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B1" w:rsidRPr="00455174" w:rsidRDefault="00BF72B1" w:rsidP="00BF72B1">
      <w:pPr>
        <w:pStyle w:val="Heading4"/>
        <w:numPr>
          <w:ilvl w:val="0"/>
          <w:numId w:val="0"/>
        </w:numPr>
        <w:ind w:left="709" w:hanging="709"/>
        <w:rPr>
          <w:sz w:val="36"/>
          <w:szCs w:val="32"/>
        </w:rPr>
      </w:pPr>
      <w:r>
        <w:rPr>
          <w:sz w:val="36"/>
        </w:rPr>
        <w:t>7</w:t>
      </w:r>
      <w:r w:rsidR="00C317F3" w:rsidRPr="00CC4303">
        <w:rPr>
          <w:sz w:val="36"/>
        </w:rPr>
        <w:t>.</w:t>
      </w:r>
      <w:r w:rsidR="007C3678" w:rsidRPr="00CC4303">
        <w:rPr>
          <w:sz w:val="36"/>
        </w:rPr>
        <w:t>01</w:t>
      </w:r>
      <w:r w:rsidR="00C317F3" w:rsidRPr="00CC4303">
        <w:rPr>
          <w:sz w:val="36"/>
        </w:rPr>
        <w:tab/>
      </w:r>
      <w:r w:rsidRPr="00455174">
        <w:rPr>
          <w:szCs w:val="32"/>
        </w:rPr>
        <w:tab/>
      </w:r>
      <w:r w:rsidRPr="00455174">
        <w:rPr>
          <w:sz w:val="36"/>
          <w:szCs w:val="32"/>
        </w:rPr>
        <w:t>ROMIDEPSIN</w:t>
      </w:r>
      <w:r w:rsidRPr="00455174">
        <w:rPr>
          <w:sz w:val="36"/>
          <w:szCs w:val="32"/>
        </w:rPr>
        <w:br/>
        <w:t xml:space="preserve">Powder for infusion 10mg, </w:t>
      </w:r>
      <w:r w:rsidRPr="00455174">
        <w:rPr>
          <w:sz w:val="36"/>
          <w:szCs w:val="32"/>
        </w:rPr>
        <w:br/>
      </w:r>
      <w:proofErr w:type="spellStart"/>
      <w:r w:rsidRPr="00455174">
        <w:rPr>
          <w:sz w:val="36"/>
          <w:szCs w:val="32"/>
        </w:rPr>
        <w:t>Istodax</w:t>
      </w:r>
      <w:proofErr w:type="spellEnd"/>
      <w:r w:rsidRPr="00455174">
        <w:rPr>
          <w:sz w:val="36"/>
          <w:szCs w:val="32"/>
        </w:rPr>
        <w:t>®, Celgene Pty Limited</w:t>
      </w:r>
    </w:p>
    <w:p w:rsidR="00C317F3" w:rsidRPr="000F4356" w:rsidRDefault="00C317F3" w:rsidP="002001C6">
      <w:pPr>
        <w:pStyle w:val="Heading1"/>
        <w:ind w:left="709" w:hanging="709"/>
      </w:pPr>
      <w:bookmarkStart w:id="0" w:name="_Toc413139271"/>
      <w:bookmarkStart w:id="1" w:name="_Toc497379027"/>
      <w:r w:rsidRPr="000F4356">
        <w:t xml:space="preserve">Purpose of </w:t>
      </w:r>
      <w:r w:rsidR="00661286" w:rsidRPr="000F4356">
        <w:t>a</w:t>
      </w:r>
      <w:r w:rsidRPr="000F4356">
        <w:t>pplication</w:t>
      </w:r>
      <w:bookmarkEnd w:id="0"/>
      <w:bookmarkEnd w:id="1"/>
    </w:p>
    <w:p w:rsidR="00BF72B1" w:rsidRPr="009558E1" w:rsidRDefault="00BF72B1" w:rsidP="00BF72B1">
      <w:pPr>
        <w:pStyle w:val="ListParagraph"/>
        <w:numPr>
          <w:ilvl w:val="1"/>
          <w:numId w:val="1"/>
        </w:numPr>
        <w:spacing w:before="0" w:after="120"/>
        <w:jc w:val="both"/>
      </w:pPr>
      <w:r w:rsidRPr="009558E1">
        <w:t xml:space="preserve">Section 100, Authority </w:t>
      </w:r>
      <w:proofErr w:type="gramStart"/>
      <w:r w:rsidRPr="009558E1">
        <w:t>Required</w:t>
      </w:r>
      <w:proofErr w:type="gramEnd"/>
      <w:r w:rsidRPr="009558E1">
        <w:t xml:space="preserve"> listing for romidepsin for treatment of relapsed or chemotherapy refractory peripheral T-cell lymphoma (PTCL). The first submission was </w:t>
      </w:r>
      <w:r>
        <w:t xml:space="preserve">considered by PBAC in </w:t>
      </w:r>
      <w:r w:rsidRPr="009558E1">
        <w:t xml:space="preserve">November 2016. </w:t>
      </w:r>
    </w:p>
    <w:p w:rsidR="00BF72B1" w:rsidRDefault="00BF72B1" w:rsidP="00BF72B1">
      <w:pPr>
        <w:pStyle w:val="ListParagraph"/>
        <w:numPr>
          <w:ilvl w:val="1"/>
          <w:numId w:val="1"/>
        </w:numPr>
        <w:spacing w:before="0" w:after="120"/>
        <w:jc w:val="both"/>
      </w:pPr>
      <w:r w:rsidRPr="009558E1">
        <w:t xml:space="preserve">The listing is requested based on cost-effectiveness compared with no active treatment. </w:t>
      </w:r>
    </w:p>
    <w:p w:rsidR="00544932" w:rsidRPr="00544932" w:rsidRDefault="00544932" w:rsidP="00544932">
      <w:pPr>
        <w:pStyle w:val="Caption"/>
        <w:rPr>
          <w:rFonts w:ascii="Arial Narrow" w:hAnsi="Arial Narrow"/>
        </w:rPr>
      </w:pPr>
      <w:r w:rsidRPr="00544932">
        <w:rPr>
          <w:rFonts w:ascii="Arial Narrow" w:hAnsi="Arial Narrow"/>
        </w:rPr>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1</w:t>
      </w:r>
      <w:r w:rsidRPr="00544932">
        <w:rPr>
          <w:rFonts w:ascii="Arial Narrow" w:hAnsi="Arial Narrow"/>
        </w:rPr>
        <w:fldChar w:fldCharType="end"/>
      </w:r>
      <w:r w:rsidRPr="00544932">
        <w:rPr>
          <w:rFonts w:ascii="Arial Narrow" w:hAnsi="Arial Narrow"/>
        </w:rPr>
        <w:t>: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
      </w:tblPr>
      <w:tblGrid>
        <w:gridCol w:w="1696"/>
        <w:gridCol w:w="7320"/>
      </w:tblGrid>
      <w:tr w:rsidR="00BF72B1" w:rsidRPr="004F1D16" w:rsidTr="00234AC7">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BF72B1" w:rsidRPr="004F1D16" w:rsidRDefault="00BF72B1" w:rsidP="00234AC7">
            <w:pPr>
              <w:pStyle w:val="PBACTableText"/>
              <w:rPr>
                <w:szCs w:val="20"/>
              </w:rPr>
            </w:pPr>
            <w:r w:rsidRPr="004F1D16">
              <w:rPr>
                <w:szCs w:val="20"/>
              </w:rPr>
              <w:t>Component</w:t>
            </w:r>
          </w:p>
        </w:tc>
        <w:tc>
          <w:tcPr>
            <w:tcW w:w="7320" w:type="dxa"/>
            <w:shd w:val="clear" w:color="auto" w:fill="auto"/>
          </w:tcPr>
          <w:p w:rsidR="00BF72B1" w:rsidRPr="004F1D16" w:rsidRDefault="00BF72B1" w:rsidP="00234AC7">
            <w:pPr>
              <w:pStyle w:val="PBACTableText"/>
              <w:rPr>
                <w:szCs w:val="20"/>
              </w:rPr>
            </w:pPr>
            <w:r w:rsidRPr="004F1D16">
              <w:rPr>
                <w:szCs w:val="20"/>
              </w:rPr>
              <w:t>Description</w:t>
            </w:r>
          </w:p>
        </w:tc>
      </w:tr>
      <w:tr w:rsidR="00BF72B1" w:rsidRPr="004F1D16" w:rsidTr="00234AC7">
        <w:trPr>
          <w:cantSplit/>
        </w:trPr>
        <w:tc>
          <w:tcPr>
            <w:tcW w:w="1696" w:type="dxa"/>
            <w:shd w:val="clear" w:color="auto" w:fill="auto"/>
          </w:tcPr>
          <w:p w:rsidR="00BF72B1" w:rsidRPr="004F1D16" w:rsidRDefault="00BF72B1" w:rsidP="00234AC7">
            <w:pPr>
              <w:pStyle w:val="PBACTableText"/>
              <w:rPr>
                <w:szCs w:val="20"/>
              </w:rPr>
            </w:pPr>
            <w:r w:rsidRPr="004F1D16">
              <w:rPr>
                <w:szCs w:val="20"/>
              </w:rPr>
              <w:t>Population</w:t>
            </w:r>
          </w:p>
        </w:tc>
        <w:tc>
          <w:tcPr>
            <w:tcW w:w="7320" w:type="dxa"/>
            <w:shd w:val="clear" w:color="auto" w:fill="auto"/>
          </w:tcPr>
          <w:p w:rsidR="00BF72B1" w:rsidRPr="004F1D16" w:rsidRDefault="00BF72B1" w:rsidP="00234AC7">
            <w:pPr>
              <w:pStyle w:val="TableText"/>
              <w:rPr>
                <w:szCs w:val="20"/>
              </w:rPr>
            </w:pPr>
            <w:r w:rsidRPr="004F1D16">
              <w:rPr>
                <w:szCs w:val="20"/>
              </w:rPr>
              <w:t>Relapsed or refractory peripheral T-cell lymphoma (PTCL) (following at least first-line chemotherapy).</w:t>
            </w:r>
          </w:p>
        </w:tc>
      </w:tr>
      <w:tr w:rsidR="00BF72B1" w:rsidRPr="004F1D16" w:rsidTr="00234AC7">
        <w:trPr>
          <w:cantSplit/>
        </w:trPr>
        <w:tc>
          <w:tcPr>
            <w:tcW w:w="1696" w:type="dxa"/>
            <w:shd w:val="clear" w:color="auto" w:fill="auto"/>
          </w:tcPr>
          <w:p w:rsidR="00BF72B1" w:rsidRPr="004F1D16" w:rsidRDefault="00BF72B1" w:rsidP="00234AC7">
            <w:pPr>
              <w:pStyle w:val="PBACTableText"/>
              <w:rPr>
                <w:szCs w:val="20"/>
              </w:rPr>
            </w:pPr>
            <w:r w:rsidRPr="004F1D16">
              <w:rPr>
                <w:szCs w:val="20"/>
              </w:rPr>
              <w:t>Intervention</w:t>
            </w:r>
          </w:p>
        </w:tc>
        <w:tc>
          <w:tcPr>
            <w:tcW w:w="7320" w:type="dxa"/>
            <w:shd w:val="clear" w:color="auto" w:fill="auto"/>
          </w:tcPr>
          <w:p w:rsidR="00BF72B1" w:rsidRPr="004F1D16" w:rsidRDefault="00BF72B1" w:rsidP="00234AC7">
            <w:pPr>
              <w:pStyle w:val="TableText"/>
              <w:rPr>
                <w:szCs w:val="20"/>
              </w:rPr>
            </w:pPr>
            <w:r w:rsidRPr="004F1D16">
              <w:rPr>
                <w:szCs w:val="20"/>
              </w:rPr>
              <w:t>Romidepsin</w:t>
            </w:r>
          </w:p>
        </w:tc>
      </w:tr>
      <w:tr w:rsidR="00BF72B1" w:rsidRPr="004F1D16" w:rsidTr="00234AC7">
        <w:trPr>
          <w:cantSplit/>
        </w:trPr>
        <w:tc>
          <w:tcPr>
            <w:tcW w:w="1696" w:type="dxa"/>
            <w:shd w:val="clear" w:color="auto" w:fill="auto"/>
          </w:tcPr>
          <w:p w:rsidR="00BF72B1" w:rsidRPr="004F1D16" w:rsidRDefault="00BF72B1" w:rsidP="00234AC7">
            <w:pPr>
              <w:pStyle w:val="PBACTableText"/>
              <w:rPr>
                <w:szCs w:val="20"/>
              </w:rPr>
            </w:pPr>
            <w:r w:rsidRPr="004F1D16">
              <w:rPr>
                <w:szCs w:val="20"/>
              </w:rPr>
              <w:t>Comparator</w:t>
            </w:r>
          </w:p>
        </w:tc>
        <w:tc>
          <w:tcPr>
            <w:tcW w:w="7320" w:type="dxa"/>
            <w:shd w:val="clear" w:color="auto" w:fill="auto"/>
          </w:tcPr>
          <w:p w:rsidR="00BF72B1" w:rsidRPr="004F1D16" w:rsidRDefault="00BF72B1" w:rsidP="00234AC7">
            <w:pPr>
              <w:pStyle w:val="TableText"/>
              <w:rPr>
                <w:szCs w:val="20"/>
              </w:rPr>
            </w:pPr>
            <w:r w:rsidRPr="004F1D16">
              <w:rPr>
                <w:szCs w:val="20"/>
              </w:rPr>
              <w:t>No active therapy</w:t>
            </w:r>
          </w:p>
        </w:tc>
      </w:tr>
      <w:tr w:rsidR="00BF72B1" w:rsidRPr="004F1D16" w:rsidTr="00234AC7">
        <w:trPr>
          <w:cantSplit/>
        </w:trPr>
        <w:tc>
          <w:tcPr>
            <w:tcW w:w="1696" w:type="dxa"/>
            <w:shd w:val="clear" w:color="auto" w:fill="auto"/>
          </w:tcPr>
          <w:p w:rsidR="00BF72B1" w:rsidRPr="004F1D16" w:rsidRDefault="00BF72B1" w:rsidP="00234AC7">
            <w:pPr>
              <w:pStyle w:val="PBACTableText"/>
              <w:rPr>
                <w:szCs w:val="20"/>
              </w:rPr>
            </w:pPr>
            <w:r w:rsidRPr="004F1D16">
              <w:rPr>
                <w:szCs w:val="20"/>
              </w:rPr>
              <w:t>Outcomes</w:t>
            </w:r>
          </w:p>
        </w:tc>
        <w:tc>
          <w:tcPr>
            <w:tcW w:w="7320" w:type="dxa"/>
            <w:shd w:val="clear" w:color="auto" w:fill="auto"/>
          </w:tcPr>
          <w:p w:rsidR="00BF72B1" w:rsidRPr="004F1D16" w:rsidRDefault="00BF72B1" w:rsidP="00234AC7">
            <w:pPr>
              <w:pStyle w:val="TableText"/>
              <w:rPr>
                <w:szCs w:val="20"/>
              </w:rPr>
            </w:pPr>
            <w:r w:rsidRPr="004F1D16">
              <w:rPr>
                <w:szCs w:val="20"/>
              </w:rPr>
              <w:t>Overall survival</w:t>
            </w:r>
          </w:p>
        </w:tc>
      </w:tr>
      <w:tr w:rsidR="00BF72B1" w:rsidRPr="004F1D16" w:rsidTr="00234AC7">
        <w:trPr>
          <w:cantSplit/>
        </w:trPr>
        <w:tc>
          <w:tcPr>
            <w:tcW w:w="1696" w:type="dxa"/>
            <w:shd w:val="clear" w:color="auto" w:fill="auto"/>
          </w:tcPr>
          <w:p w:rsidR="00BF72B1" w:rsidRPr="004F1D16" w:rsidRDefault="00BF72B1" w:rsidP="00234AC7">
            <w:pPr>
              <w:pStyle w:val="PBACTableText"/>
              <w:rPr>
                <w:szCs w:val="20"/>
              </w:rPr>
            </w:pPr>
            <w:r w:rsidRPr="004F1D16">
              <w:rPr>
                <w:szCs w:val="20"/>
              </w:rPr>
              <w:t>Clinical claim</w:t>
            </w:r>
          </w:p>
        </w:tc>
        <w:tc>
          <w:tcPr>
            <w:tcW w:w="7320" w:type="dxa"/>
            <w:shd w:val="clear" w:color="auto" w:fill="auto"/>
          </w:tcPr>
          <w:p w:rsidR="00BF72B1" w:rsidRPr="004F1D16" w:rsidRDefault="00BF72B1" w:rsidP="00234AC7">
            <w:pPr>
              <w:pStyle w:val="TableText"/>
              <w:rPr>
                <w:szCs w:val="20"/>
              </w:rPr>
            </w:pPr>
            <w:r w:rsidRPr="004F1D16">
              <w:rPr>
                <w:szCs w:val="20"/>
              </w:rPr>
              <w:t>Improved overall survival from the time of first line therapy for patients subsequently treated with romidepsin compared to those who are not.</w:t>
            </w:r>
          </w:p>
        </w:tc>
      </w:tr>
    </w:tbl>
    <w:p w:rsidR="00BF72B1" w:rsidRPr="004F1D16" w:rsidRDefault="00BF72B1" w:rsidP="00BF72B1">
      <w:pPr>
        <w:pStyle w:val="TableFooter"/>
        <w:rPr>
          <w:sz w:val="20"/>
        </w:rPr>
      </w:pPr>
      <w:r w:rsidRPr="004F1D16">
        <w:rPr>
          <w:sz w:val="20"/>
        </w:rPr>
        <w:t>Source: Table 1, p11 of the submission</w:t>
      </w:r>
    </w:p>
    <w:p w:rsidR="00BF72B1" w:rsidRDefault="00BF72B1" w:rsidP="00BF72B1">
      <w:pPr>
        <w:pStyle w:val="TableFooter"/>
        <w:rPr>
          <w:sz w:val="20"/>
        </w:rPr>
      </w:pPr>
      <w:r w:rsidRPr="004F1D16">
        <w:rPr>
          <w:sz w:val="20"/>
        </w:rPr>
        <w:t>PTCL = peripheral T-cell lymphoma</w:t>
      </w:r>
    </w:p>
    <w:p w:rsidR="008F4372" w:rsidRPr="000F4356" w:rsidRDefault="00FA4C58" w:rsidP="00542201">
      <w:pPr>
        <w:pStyle w:val="TableFooter"/>
      </w:pPr>
      <w:r w:rsidRPr="000F4356">
        <w:t>SF36 = short form 36; VAS = visual analogue scale;</w:t>
      </w:r>
    </w:p>
    <w:p w:rsidR="002001C6" w:rsidRPr="000F4356" w:rsidRDefault="00C317F3" w:rsidP="00CE42EC">
      <w:pPr>
        <w:pStyle w:val="Heading1"/>
        <w:ind w:left="709" w:hanging="709"/>
      </w:pPr>
      <w:bookmarkStart w:id="2" w:name="_Toc413139272"/>
      <w:bookmarkStart w:id="3" w:name="_Toc497379028"/>
      <w:r w:rsidRPr="000F4356">
        <w:t>Requested listing</w:t>
      </w:r>
      <w:bookmarkEnd w:id="2"/>
      <w:bookmarkEnd w:id="3"/>
      <w:r w:rsidR="005C6285" w:rsidRPr="000F4356">
        <w:t xml:space="preserve"> </w:t>
      </w:r>
    </w:p>
    <w:p w:rsidR="00BF72B1" w:rsidRPr="000D1058" w:rsidRDefault="00BF72B1" w:rsidP="00BF72B1">
      <w:pPr>
        <w:pStyle w:val="ListParagraph"/>
        <w:numPr>
          <w:ilvl w:val="1"/>
          <w:numId w:val="1"/>
        </w:numPr>
        <w:jc w:val="both"/>
        <w:rPr>
          <w:rFonts w:eastAsia="SimSun"/>
        </w:rPr>
      </w:pPr>
      <w:bookmarkStart w:id="4" w:name="_Toc413139273"/>
      <w:bookmarkStart w:id="5" w:name="_Toc497379029"/>
      <w:r w:rsidRPr="000D1058">
        <w:rPr>
          <w:rFonts w:eastAsia="SimSun"/>
        </w:rPr>
        <w:t>Suggestions and additions proposed by the Secretariat to the requested listing are added in italics and suggested deletions are crossed out with strikethrough.</w:t>
      </w:r>
    </w:p>
    <w:p w:rsidR="00BF72B1" w:rsidRDefault="00BF72B1" w:rsidP="00BF72B1">
      <w:pPr>
        <w:spacing w:before="0" w:line="259" w:lineRule="auto"/>
        <w:rPr>
          <w:rFonts w:eastAsia="SimSun"/>
          <w:i/>
        </w:rPr>
      </w:pPr>
      <w:r>
        <w:rPr>
          <w:rFonts w:eastAsia="SimSun"/>
          <w:i/>
        </w:rPr>
        <w:br w:type="page"/>
      </w:r>
    </w:p>
    <w:p w:rsidR="00BF72B1" w:rsidRPr="002C3ED0" w:rsidRDefault="00BF72B1" w:rsidP="00BF72B1">
      <w:pPr>
        <w:jc w:val="both"/>
        <w:rPr>
          <w:i/>
        </w:rPr>
      </w:pPr>
    </w:p>
    <w:tbl>
      <w:tblPr>
        <w:tblW w:w="5010" w:type="pct"/>
        <w:tblCellMar>
          <w:left w:w="28" w:type="dxa"/>
          <w:right w:w="28" w:type="dxa"/>
        </w:tblCellMar>
        <w:tblLook w:val="0000" w:firstRow="0" w:lastRow="0" w:firstColumn="0" w:lastColumn="0" w:noHBand="0" w:noVBand="0"/>
      </w:tblPr>
      <w:tblGrid>
        <w:gridCol w:w="24"/>
        <w:gridCol w:w="1986"/>
        <w:gridCol w:w="1278"/>
        <w:gridCol w:w="994"/>
        <w:gridCol w:w="992"/>
        <w:gridCol w:w="1842"/>
        <w:gridCol w:w="1984"/>
      </w:tblGrid>
      <w:tr w:rsidR="00BF72B1" w:rsidRPr="001F37AD" w:rsidTr="00234AC7">
        <w:trPr>
          <w:cantSplit/>
          <w:trHeight w:val="463"/>
        </w:trPr>
        <w:tc>
          <w:tcPr>
            <w:tcW w:w="1807" w:type="pct"/>
            <w:gridSpan w:val="3"/>
            <w:tcBorders>
              <w:bottom w:val="single" w:sz="4" w:space="0" w:color="auto"/>
            </w:tcBorders>
            <w:vAlign w:val="center"/>
          </w:tcPr>
          <w:p w:rsidR="00BF72B1" w:rsidRPr="001F37AD" w:rsidRDefault="00BF72B1" w:rsidP="00234AC7">
            <w:pPr>
              <w:pStyle w:val="PBACTableText"/>
              <w:rPr>
                <w:b/>
              </w:rPr>
            </w:pPr>
            <w:r w:rsidRPr="001F37AD">
              <w:rPr>
                <w:b/>
              </w:rPr>
              <w:t>Name, Restriction,</w:t>
            </w:r>
          </w:p>
          <w:p w:rsidR="00BF72B1" w:rsidRPr="001F37AD" w:rsidRDefault="00BF72B1" w:rsidP="00234AC7">
            <w:pPr>
              <w:pStyle w:val="PBACTableText"/>
              <w:rPr>
                <w:b/>
              </w:rPr>
            </w:pPr>
            <w:r w:rsidRPr="001F37AD">
              <w:rPr>
                <w:b/>
              </w:rPr>
              <w:t>Manner of administration and form</w:t>
            </w:r>
          </w:p>
        </w:tc>
        <w:tc>
          <w:tcPr>
            <w:tcW w:w="546" w:type="pct"/>
            <w:tcBorders>
              <w:bottom w:val="single" w:sz="4" w:space="0" w:color="auto"/>
            </w:tcBorders>
            <w:vAlign w:val="center"/>
          </w:tcPr>
          <w:p w:rsidR="00BF72B1" w:rsidRDefault="00BF72B1" w:rsidP="00234AC7">
            <w:pPr>
              <w:pStyle w:val="PBACTableText"/>
              <w:rPr>
                <w:b/>
              </w:rPr>
            </w:pPr>
            <w:r>
              <w:rPr>
                <w:b/>
              </w:rPr>
              <w:t xml:space="preserve">Max. </w:t>
            </w:r>
          </w:p>
          <w:p w:rsidR="00BF72B1" w:rsidRPr="001F37AD" w:rsidRDefault="00BF72B1" w:rsidP="00234AC7">
            <w:pPr>
              <w:pStyle w:val="PBACTableText"/>
              <w:rPr>
                <w:b/>
              </w:rPr>
            </w:pPr>
            <w:proofErr w:type="spellStart"/>
            <w:r>
              <w:rPr>
                <w:b/>
              </w:rPr>
              <w:t>Amt</w:t>
            </w:r>
            <w:proofErr w:type="spellEnd"/>
          </w:p>
        </w:tc>
        <w:tc>
          <w:tcPr>
            <w:tcW w:w="545" w:type="pct"/>
            <w:tcBorders>
              <w:bottom w:val="single" w:sz="4" w:space="0" w:color="auto"/>
            </w:tcBorders>
            <w:vAlign w:val="center"/>
          </w:tcPr>
          <w:p w:rsidR="00BF72B1" w:rsidRPr="001F37AD" w:rsidRDefault="00BF72B1" w:rsidP="00234AC7">
            <w:pPr>
              <w:pStyle w:val="PBACTableText"/>
              <w:rPr>
                <w:b/>
              </w:rPr>
            </w:pPr>
            <w:r w:rsidRPr="001F37AD">
              <w:rPr>
                <w:b/>
              </w:rPr>
              <w:t>№.of</w:t>
            </w:r>
          </w:p>
          <w:p w:rsidR="00BF72B1" w:rsidRPr="001F37AD" w:rsidRDefault="00BF72B1" w:rsidP="00234AC7">
            <w:pPr>
              <w:pStyle w:val="PBACTableText"/>
              <w:rPr>
                <w:b/>
              </w:rPr>
            </w:pPr>
            <w:proofErr w:type="spellStart"/>
            <w:r w:rsidRPr="001F37AD">
              <w:rPr>
                <w:b/>
              </w:rPr>
              <w:t>Rpts</w:t>
            </w:r>
            <w:proofErr w:type="spellEnd"/>
          </w:p>
        </w:tc>
        <w:tc>
          <w:tcPr>
            <w:tcW w:w="2102" w:type="pct"/>
            <w:gridSpan w:val="2"/>
            <w:tcBorders>
              <w:bottom w:val="single" w:sz="4" w:space="0" w:color="auto"/>
            </w:tcBorders>
            <w:vAlign w:val="center"/>
          </w:tcPr>
          <w:p w:rsidR="00BF72B1" w:rsidRPr="001F37AD" w:rsidRDefault="00BF72B1" w:rsidP="00234AC7">
            <w:pPr>
              <w:pStyle w:val="PBACTableText"/>
              <w:rPr>
                <w:b/>
                <w:lang w:val="fr-FR"/>
              </w:rPr>
            </w:pPr>
            <w:r w:rsidRPr="001F37AD">
              <w:rPr>
                <w:b/>
              </w:rPr>
              <w:t>Proprietary Name and Manufacturer</w:t>
            </w:r>
          </w:p>
        </w:tc>
      </w:tr>
      <w:tr w:rsidR="00BF72B1" w:rsidRPr="001F37AD" w:rsidTr="00234AC7">
        <w:trPr>
          <w:cantSplit/>
          <w:trHeight w:val="567"/>
        </w:trPr>
        <w:tc>
          <w:tcPr>
            <w:tcW w:w="1807" w:type="pct"/>
            <w:gridSpan w:val="3"/>
            <w:vAlign w:val="center"/>
          </w:tcPr>
          <w:p w:rsidR="00BF72B1" w:rsidRPr="00B20182" w:rsidRDefault="00BF72B1" w:rsidP="00234AC7">
            <w:pPr>
              <w:pStyle w:val="PBACTableText"/>
            </w:pPr>
            <w:r w:rsidRPr="00B20182">
              <w:t xml:space="preserve">ROMIDEPSIN </w:t>
            </w:r>
          </w:p>
          <w:p w:rsidR="00BF72B1" w:rsidRPr="00B20182" w:rsidRDefault="00BF72B1" w:rsidP="00234AC7">
            <w:pPr>
              <w:pStyle w:val="PBACTableText"/>
            </w:pPr>
            <w:r w:rsidRPr="00B20182">
              <w:t>10 mg powder for injection and solvent for reconstitution</w:t>
            </w:r>
          </w:p>
        </w:tc>
        <w:tc>
          <w:tcPr>
            <w:tcW w:w="546" w:type="pct"/>
            <w:vAlign w:val="center"/>
          </w:tcPr>
          <w:p w:rsidR="00BF72B1" w:rsidRPr="00B20182" w:rsidRDefault="00BF72B1" w:rsidP="00234AC7">
            <w:pPr>
              <w:pStyle w:val="PBACTableText"/>
            </w:pPr>
          </w:p>
          <w:p w:rsidR="00BF72B1" w:rsidRPr="00B20182" w:rsidRDefault="00BF72B1" w:rsidP="00234AC7">
            <w:pPr>
              <w:pStyle w:val="PBACTableText"/>
            </w:pPr>
            <w:r w:rsidRPr="00B20182">
              <w:t>31</w:t>
            </w:r>
          </w:p>
        </w:tc>
        <w:tc>
          <w:tcPr>
            <w:tcW w:w="545" w:type="pct"/>
            <w:vAlign w:val="center"/>
          </w:tcPr>
          <w:p w:rsidR="00BF72B1" w:rsidRPr="00B20182" w:rsidRDefault="00BF72B1" w:rsidP="00234AC7">
            <w:pPr>
              <w:pStyle w:val="PBACTableText"/>
            </w:pPr>
          </w:p>
          <w:p w:rsidR="00BF72B1" w:rsidRPr="00B20182" w:rsidRDefault="00BF72B1" w:rsidP="00234AC7">
            <w:pPr>
              <w:pStyle w:val="PBACTableText"/>
            </w:pPr>
            <w:r w:rsidRPr="00B20182">
              <w:t>17</w:t>
            </w:r>
          </w:p>
        </w:tc>
        <w:tc>
          <w:tcPr>
            <w:tcW w:w="1012" w:type="pct"/>
            <w:vAlign w:val="center"/>
          </w:tcPr>
          <w:p w:rsidR="00BF72B1" w:rsidRPr="00B20182" w:rsidRDefault="00BF72B1" w:rsidP="00234AC7">
            <w:pPr>
              <w:pStyle w:val="PBACTableText"/>
            </w:pPr>
            <w:proofErr w:type="spellStart"/>
            <w:r>
              <w:t>Istodax</w:t>
            </w:r>
            <w:proofErr w:type="spellEnd"/>
            <w:r>
              <w:t>®</w:t>
            </w:r>
          </w:p>
        </w:tc>
        <w:tc>
          <w:tcPr>
            <w:tcW w:w="1090" w:type="pct"/>
            <w:vAlign w:val="center"/>
          </w:tcPr>
          <w:p w:rsidR="00BF72B1" w:rsidRPr="00B20182" w:rsidRDefault="00BF72B1" w:rsidP="00234AC7">
            <w:pPr>
              <w:pStyle w:val="PBACTableText"/>
            </w:pPr>
            <w:r>
              <w:t>Celgene</w:t>
            </w:r>
          </w:p>
        </w:tc>
      </w:tr>
      <w:tr w:rsidR="00BF72B1" w:rsidTr="00234AC7">
        <w:tblPrEx>
          <w:tblCellMar>
            <w:left w:w="108" w:type="dxa"/>
            <w:right w:w="108" w:type="dxa"/>
          </w:tblCellMar>
        </w:tblPrEx>
        <w:trPr>
          <w:gridBefore w:val="1"/>
          <w:wBefore w:w="14"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BF72B1" w:rsidRPr="00331E98" w:rsidRDefault="00BF72B1" w:rsidP="00234AC7">
            <w:pPr>
              <w:pStyle w:val="TableText"/>
              <w:rPr>
                <w:b/>
              </w:rPr>
            </w:pPr>
            <w:r w:rsidRPr="00331E98">
              <w:rPr>
                <w:b/>
              </w:rPr>
              <w:t>Category / Program:</w:t>
            </w:r>
          </w:p>
        </w:tc>
        <w:tc>
          <w:tcPr>
            <w:tcW w:w="3895" w:type="pct"/>
            <w:gridSpan w:val="5"/>
            <w:tcBorders>
              <w:top w:val="single" w:sz="4" w:space="0" w:color="000000"/>
              <w:left w:val="single" w:sz="4" w:space="0" w:color="000000"/>
              <w:bottom w:val="single" w:sz="4" w:space="0" w:color="000000"/>
              <w:right w:val="single" w:sz="4" w:space="0" w:color="000000"/>
            </w:tcBorders>
          </w:tcPr>
          <w:p w:rsidR="00BF72B1" w:rsidRDefault="00BF72B1" w:rsidP="00234AC7">
            <w:pPr>
              <w:pStyle w:val="TableText"/>
            </w:pPr>
            <w:r w:rsidRPr="00642EAE">
              <w:rPr>
                <w:rFonts w:eastAsia="Arial Unicode MS" w:cs="Arial Unicode MS"/>
                <w:iCs/>
                <w:color w:val="000000"/>
                <w:szCs w:val="20"/>
                <w:u w:color="000000"/>
                <w:bdr w:val="nil"/>
                <w:lang w:eastAsia="en-AU"/>
              </w:rPr>
              <w:t>Section 100 – Efficient Funding of Chemotherapy</w:t>
            </w:r>
          </w:p>
        </w:tc>
      </w:tr>
      <w:tr w:rsidR="00BF72B1" w:rsidTr="00234AC7">
        <w:tblPrEx>
          <w:tblCellMar>
            <w:left w:w="108" w:type="dxa"/>
            <w:right w:w="108" w:type="dxa"/>
          </w:tblCellMar>
        </w:tblPrEx>
        <w:trPr>
          <w:gridBefore w:val="1"/>
          <w:wBefore w:w="14"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BF72B1" w:rsidRPr="00331E98" w:rsidRDefault="00BF72B1" w:rsidP="00234AC7">
            <w:pPr>
              <w:pStyle w:val="TableText"/>
              <w:rPr>
                <w:b/>
              </w:rPr>
            </w:pPr>
            <w:r w:rsidRPr="00AF6296">
              <w:rPr>
                <w:rFonts w:eastAsia="Arial Unicode MS" w:cs="Arial Unicode MS"/>
                <w:b/>
                <w:bCs/>
                <w:color w:val="000000"/>
                <w:szCs w:val="20"/>
                <w:u w:color="000000"/>
                <w:bdr w:val="nil"/>
              </w:rPr>
              <w:t>Prescriber type:</w:t>
            </w:r>
          </w:p>
        </w:tc>
        <w:tc>
          <w:tcPr>
            <w:tcW w:w="3895" w:type="pct"/>
            <w:gridSpan w:val="5"/>
            <w:tcBorders>
              <w:top w:val="single" w:sz="4" w:space="0" w:color="000000"/>
              <w:left w:val="single" w:sz="4" w:space="0" w:color="000000"/>
              <w:bottom w:val="single" w:sz="4" w:space="0" w:color="000000"/>
              <w:right w:val="single" w:sz="4" w:space="0" w:color="000000"/>
            </w:tcBorders>
          </w:tcPr>
          <w:p w:rsidR="00BF72B1" w:rsidRPr="00AF6296" w:rsidRDefault="00BF72B1" w:rsidP="00234AC7">
            <w:pPr>
              <w:widowControl w:val="0"/>
              <w:pBdr>
                <w:top w:val="nil"/>
                <w:left w:val="nil"/>
                <w:bottom w:val="nil"/>
                <w:right w:val="nil"/>
                <w:between w:val="nil"/>
                <w:bar w:val="nil"/>
              </w:pBdr>
              <w:spacing w:before="0" w:after="0"/>
              <w:rPr>
                <w:rFonts w:ascii="Arial Narrow" w:eastAsia="Arial Unicode MS" w:hAnsi="Arial Narrow" w:cs="Arial Unicode MS"/>
                <w:color w:val="000000"/>
                <w:sz w:val="20"/>
                <w:u w:color="000000"/>
                <w:bdr w:val="nil"/>
              </w:rPr>
            </w:pPr>
            <w:r w:rsidRPr="00AF6296">
              <w:rPr>
                <w:rFonts w:ascii="Arial Narrow" w:eastAsia="Arial Unicode MS" w:hAnsi="Arial Narrow" w:cs="Arial Unicode MS"/>
                <w:color w:val="000000"/>
                <w:sz w:val="20"/>
                <w:u w:color="000000"/>
                <w:bdr w:val="nil"/>
              </w:rPr>
              <w:fldChar w:fldCharType="begin">
                <w:ffData>
                  <w:name w:val="Check1"/>
                  <w:enabled/>
                  <w:calcOnExit w:val="0"/>
                  <w:checkBox>
                    <w:sizeAuto/>
                    <w:default w:val="0"/>
                  </w:checkBox>
                </w:ffData>
              </w:fldChar>
            </w:r>
            <w:r w:rsidRPr="00AF6296">
              <w:rPr>
                <w:rFonts w:ascii="Arial Narrow" w:eastAsia="Arial Unicode MS" w:hAnsi="Arial Narrow" w:cs="Arial Unicode MS"/>
                <w:color w:val="000000"/>
                <w:sz w:val="20"/>
                <w:u w:color="000000"/>
                <w:bdr w:val="nil"/>
              </w:rPr>
              <w:instrText xml:space="preserve"> FORMCHECKBOX </w:instrText>
            </w:r>
            <w:r>
              <w:rPr>
                <w:rFonts w:ascii="Arial Narrow" w:eastAsia="Arial Unicode MS" w:hAnsi="Arial Narrow" w:cs="Arial Unicode MS"/>
                <w:color w:val="000000"/>
                <w:sz w:val="20"/>
                <w:u w:color="000000"/>
                <w:bdr w:val="nil"/>
              </w:rPr>
            </w:r>
            <w:r>
              <w:rPr>
                <w:rFonts w:ascii="Arial Narrow" w:eastAsia="Arial Unicode MS" w:hAnsi="Arial Narrow" w:cs="Arial Unicode MS"/>
                <w:color w:val="000000"/>
                <w:sz w:val="20"/>
                <w:u w:color="000000"/>
                <w:bdr w:val="nil"/>
              </w:rPr>
              <w:fldChar w:fldCharType="separate"/>
            </w:r>
            <w:r w:rsidRPr="00AF6296">
              <w:rPr>
                <w:rFonts w:ascii="Arial Narrow" w:eastAsia="Arial Unicode MS" w:hAnsi="Arial Narrow" w:cs="Arial Unicode MS"/>
                <w:color w:val="000000"/>
                <w:sz w:val="20"/>
                <w:u w:color="000000"/>
                <w:bdr w:val="nil"/>
              </w:rPr>
              <w:fldChar w:fldCharType="end"/>
            </w:r>
            <w:r w:rsidRPr="00AF6296">
              <w:rPr>
                <w:rFonts w:ascii="Arial Narrow" w:eastAsia="Arial Unicode MS" w:hAnsi="Arial Narrow" w:cs="Arial Unicode MS"/>
                <w:color w:val="000000"/>
                <w:sz w:val="20"/>
                <w:u w:color="000000"/>
                <w:bdr w:val="nil"/>
              </w:rPr>
              <w:t xml:space="preserve">Dental </w:t>
            </w:r>
            <w:r w:rsidRPr="00AF6296">
              <w:rPr>
                <w:rFonts w:ascii="Arial Narrow" w:eastAsia="Arial Unicode MS" w:hAnsi="Arial Narrow" w:cs="Arial Unicode MS"/>
                <w:color w:val="000000"/>
                <w:sz w:val="20"/>
                <w:u w:color="000000"/>
                <w:bdr w:val="nil"/>
              </w:rPr>
              <w:fldChar w:fldCharType="begin">
                <w:ffData>
                  <w:name w:val=""/>
                  <w:enabled/>
                  <w:calcOnExit w:val="0"/>
                  <w:checkBox>
                    <w:sizeAuto/>
                    <w:default w:val="1"/>
                  </w:checkBox>
                </w:ffData>
              </w:fldChar>
            </w:r>
            <w:r w:rsidRPr="00AF6296">
              <w:rPr>
                <w:rFonts w:ascii="Arial Narrow" w:eastAsia="Arial Unicode MS" w:hAnsi="Arial Narrow" w:cs="Arial Unicode MS"/>
                <w:color w:val="000000"/>
                <w:sz w:val="20"/>
                <w:u w:color="000000"/>
                <w:bdr w:val="nil"/>
              </w:rPr>
              <w:instrText xml:space="preserve"> FORMCHECKBOX </w:instrText>
            </w:r>
            <w:r>
              <w:rPr>
                <w:rFonts w:ascii="Arial Narrow" w:eastAsia="Arial Unicode MS" w:hAnsi="Arial Narrow" w:cs="Arial Unicode MS"/>
                <w:color w:val="000000"/>
                <w:sz w:val="20"/>
                <w:u w:color="000000"/>
                <w:bdr w:val="nil"/>
              </w:rPr>
            </w:r>
            <w:r>
              <w:rPr>
                <w:rFonts w:ascii="Arial Narrow" w:eastAsia="Arial Unicode MS" w:hAnsi="Arial Narrow" w:cs="Arial Unicode MS"/>
                <w:color w:val="000000"/>
                <w:sz w:val="20"/>
                <w:u w:color="000000"/>
                <w:bdr w:val="nil"/>
              </w:rPr>
              <w:fldChar w:fldCharType="separate"/>
            </w:r>
            <w:r w:rsidRPr="00AF6296">
              <w:rPr>
                <w:rFonts w:ascii="Arial Narrow" w:eastAsia="Arial Unicode MS" w:hAnsi="Arial Narrow" w:cs="Arial Unicode MS"/>
                <w:color w:val="000000"/>
                <w:sz w:val="20"/>
                <w:u w:color="000000"/>
                <w:bdr w:val="nil"/>
              </w:rPr>
              <w:fldChar w:fldCharType="end"/>
            </w:r>
            <w:r w:rsidRPr="00AF6296">
              <w:rPr>
                <w:rFonts w:ascii="Arial Narrow" w:eastAsia="Arial Unicode MS" w:hAnsi="Arial Narrow" w:cs="Arial Unicode MS"/>
                <w:color w:val="000000"/>
                <w:sz w:val="20"/>
                <w:u w:color="000000"/>
                <w:bdr w:val="nil"/>
              </w:rPr>
              <w:t xml:space="preserve">Medical Practitioners </w:t>
            </w:r>
            <w:r w:rsidRPr="00AF6296">
              <w:rPr>
                <w:rFonts w:ascii="Arial Narrow" w:eastAsia="Arial Unicode MS" w:hAnsi="Arial Narrow" w:cs="Arial Unicode MS"/>
                <w:color w:val="000000"/>
                <w:sz w:val="20"/>
                <w:u w:color="000000"/>
                <w:bdr w:val="nil"/>
              </w:rPr>
              <w:fldChar w:fldCharType="begin">
                <w:ffData>
                  <w:name w:val="Check3"/>
                  <w:enabled/>
                  <w:calcOnExit w:val="0"/>
                  <w:checkBox>
                    <w:sizeAuto/>
                    <w:default w:val="0"/>
                  </w:checkBox>
                </w:ffData>
              </w:fldChar>
            </w:r>
            <w:r w:rsidRPr="00AF6296">
              <w:rPr>
                <w:rFonts w:ascii="Arial Narrow" w:eastAsia="Arial Unicode MS" w:hAnsi="Arial Narrow" w:cs="Arial Unicode MS"/>
                <w:color w:val="000000"/>
                <w:sz w:val="20"/>
                <w:u w:color="000000"/>
                <w:bdr w:val="nil"/>
              </w:rPr>
              <w:instrText xml:space="preserve"> FORMCHECKBOX </w:instrText>
            </w:r>
            <w:r>
              <w:rPr>
                <w:rFonts w:ascii="Arial Narrow" w:eastAsia="Arial Unicode MS" w:hAnsi="Arial Narrow" w:cs="Arial Unicode MS"/>
                <w:color w:val="000000"/>
                <w:sz w:val="20"/>
                <w:u w:color="000000"/>
                <w:bdr w:val="nil"/>
              </w:rPr>
            </w:r>
            <w:r>
              <w:rPr>
                <w:rFonts w:ascii="Arial Narrow" w:eastAsia="Arial Unicode MS" w:hAnsi="Arial Narrow" w:cs="Arial Unicode MS"/>
                <w:color w:val="000000"/>
                <w:sz w:val="20"/>
                <w:u w:color="000000"/>
                <w:bdr w:val="nil"/>
              </w:rPr>
              <w:fldChar w:fldCharType="separate"/>
            </w:r>
            <w:r w:rsidRPr="00AF6296">
              <w:rPr>
                <w:rFonts w:ascii="Arial Narrow" w:eastAsia="Arial Unicode MS" w:hAnsi="Arial Narrow" w:cs="Arial Unicode MS"/>
                <w:color w:val="000000"/>
                <w:sz w:val="20"/>
                <w:u w:color="000000"/>
                <w:bdr w:val="nil"/>
              </w:rPr>
              <w:fldChar w:fldCharType="end"/>
            </w:r>
            <w:r w:rsidRPr="00AF6296">
              <w:rPr>
                <w:rFonts w:ascii="Arial Narrow" w:eastAsia="Arial Unicode MS" w:hAnsi="Arial Narrow" w:cs="Arial Unicode MS"/>
                <w:color w:val="000000"/>
                <w:sz w:val="20"/>
                <w:u w:color="000000"/>
                <w:bdr w:val="nil"/>
              </w:rPr>
              <w:t>Nurse practitioners</w:t>
            </w:r>
          </w:p>
          <w:p w:rsidR="00BF72B1" w:rsidRPr="00642EAE" w:rsidRDefault="00BF72B1" w:rsidP="00234AC7">
            <w:pPr>
              <w:pStyle w:val="TableText"/>
              <w:rPr>
                <w:rFonts w:eastAsia="Arial Unicode MS" w:cs="Arial Unicode MS"/>
                <w:color w:val="000000"/>
                <w:szCs w:val="20"/>
                <w:u w:color="000000"/>
                <w:bdr w:val="nil"/>
                <w:lang w:eastAsia="en-AU"/>
              </w:rPr>
            </w:pPr>
            <w:r w:rsidRPr="00AF6296">
              <w:rPr>
                <w:rFonts w:eastAsia="Arial Unicode MS" w:cs="Arial Unicode MS"/>
                <w:color w:val="000000"/>
                <w:u w:color="000000"/>
                <w:bdr w:val="nil"/>
              </w:rPr>
              <w:fldChar w:fldCharType="begin">
                <w:ffData>
                  <w:name w:val=""/>
                  <w:enabled/>
                  <w:calcOnExit w:val="0"/>
                  <w:checkBox>
                    <w:sizeAuto/>
                    <w:default w:val="0"/>
                  </w:checkBox>
                </w:ffData>
              </w:fldChar>
            </w:r>
            <w:r w:rsidRPr="00AF6296">
              <w:rPr>
                <w:rFonts w:eastAsia="Arial Unicode MS" w:cs="Arial Unicode MS"/>
                <w:color w:val="000000"/>
                <w:u w:color="000000"/>
                <w:bdr w:val="nil"/>
              </w:rPr>
              <w:instrText xml:space="preserve"> FORMCHECKBOX </w:instrText>
            </w:r>
            <w:r>
              <w:rPr>
                <w:rFonts w:eastAsia="Arial Unicode MS" w:cs="Arial Unicode MS"/>
                <w:color w:val="000000"/>
                <w:u w:color="000000"/>
                <w:bdr w:val="nil"/>
              </w:rPr>
            </w:r>
            <w:r>
              <w:rPr>
                <w:rFonts w:eastAsia="Arial Unicode MS" w:cs="Arial Unicode MS"/>
                <w:color w:val="000000"/>
                <w:u w:color="000000"/>
                <w:bdr w:val="nil"/>
              </w:rPr>
              <w:fldChar w:fldCharType="separate"/>
            </w:r>
            <w:r w:rsidRPr="00AF6296">
              <w:rPr>
                <w:rFonts w:eastAsia="Arial Unicode MS" w:cs="Arial Unicode MS"/>
                <w:color w:val="000000"/>
                <w:u w:color="000000"/>
                <w:bdr w:val="nil"/>
              </w:rPr>
              <w:fldChar w:fldCharType="end"/>
            </w:r>
            <w:r w:rsidRPr="00AF6296">
              <w:rPr>
                <w:rFonts w:eastAsia="Arial Unicode MS" w:cs="Arial Unicode MS"/>
                <w:color w:val="000000"/>
                <w:u w:color="000000"/>
                <w:bdr w:val="nil"/>
              </w:rPr>
              <w:t xml:space="preserve">Optometrists </w:t>
            </w:r>
            <w:r w:rsidRPr="00AF6296">
              <w:rPr>
                <w:rFonts w:eastAsia="Arial Unicode MS" w:cs="Arial Unicode MS"/>
                <w:color w:val="000000"/>
                <w:u w:color="000000"/>
                <w:bdr w:val="nil"/>
              </w:rPr>
              <w:fldChar w:fldCharType="begin">
                <w:ffData>
                  <w:name w:val="Check5"/>
                  <w:enabled/>
                  <w:calcOnExit w:val="0"/>
                  <w:checkBox>
                    <w:sizeAuto/>
                    <w:default w:val="0"/>
                  </w:checkBox>
                </w:ffData>
              </w:fldChar>
            </w:r>
            <w:r w:rsidRPr="00AF6296">
              <w:rPr>
                <w:rFonts w:eastAsia="Arial Unicode MS" w:cs="Arial Unicode MS"/>
                <w:color w:val="000000"/>
                <w:u w:color="000000"/>
                <w:bdr w:val="nil"/>
              </w:rPr>
              <w:instrText xml:space="preserve"> FORMCHECKBOX </w:instrText>
            </w:r>
            <w:r>
              <w:rPr>
                <w:rFonts w:eastAsia="Arial Unicode MS" w:cs="Arial Unicode MS"/>
                <w:color w:val="000000"/>
                <w:u w:color="000000"/>
                <w:bdr w:val="nil"/>
              </w:rPr>
            </w:r>
            <w:r>
              <w:rPr>
                <w:rFonts w:eastAsia="Arial Unicode MS" w:cs="Arial Unicode MS"/>
                <w:color w:val="000000"/>
                <w:u w:color="000000"/>
                <w:bdr w:val="nil"/>
              </w:rPr>
              <w:fldChar w:fldCharType="separate"/>
            </w:r>
            <w:r w:rsidRPr="00AF6296">
              <w:rPr>
                <w:rFonts w:eastAsia="Arial Unicode MS" w:cs="Arial Unicode MS"/>
                <w:color w:val="000000"/>
                <w:u w:color="000000"/>
                <w:bdr w:val="nil"/>
              </w:rPr>
              <w:fldChar w:fldCharType="end"/>
            </w:r>
            <w:r w:rsidRPr="00AF6296">
              <w:rPr>
                <w:rFonts w:eastAsia="Arial Unicode MS" w:cs="Arial Unicode MS"/>
                <w:color w:val="000000"/>
                <w:u w:color="000000"/>
                <w:bdr w:val="nil"/>
              </w:rPr>
              <w:t>Midwives</w:t>
            </w:r>
          </w:p>
        </w:tc>
      </w:tr>
      <w:tr w:rsidR="00BF72B1" w:rsidTr="00234AC7">
        <w:tblPrEx>
          <w:tblCellMar>
            <w:left w:w="108" w:type="dxa"/>
            <w:right w:w="108" w:type="dxa"/>
          </w:tblCellMar>
        </w:tblPrEx>
        <w:trPr>
          <w:gridBefore w:val="1"/>
          <w:wBefore w:w="14"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BF72B1" w:rsidRPr="00331E98" w:rsidRDefault="00BF72B1" w:rsidP="00234AC7">
            <w:pPr>
              <w:pStyle w:val="TableText"/>
              <w:rPr>
                <w:b/>
              </w:rPr>
            </w:pPr>
            <w:r w:rsidRPr="007862E6">
              <w:rPr>
                <w:rFonts w:eastAsia="Arial Unicode MS" w:cs="Arial Unicode MS"/>
                <w:b/>
                <w:bCs/>
                <w:color w:val="000000"/>
                <w:szCs w:val="20"/>
                <w:u w:color="000000"/>
                <w:bdr w:val="nil"/>
              </w:rPr>
              <w:t>Severity</w:t>
            </w:r>
          </w:p>
        </w:tc>
        <w:tc>
          <w:tcPr>
            <w:tcW w:w="3895" w:type="pct"/>
            <w:gridSpan w:val="5"/>
            <w:tcBorders>
              <w:top w:val="single" w:sz="4" w:space="0" w:color="000000"/>
              <w:left w:val="single" w:sz="4" w:space="0" w:color="000000"/>
              <w:bottom w:val="single" w:sz="4" w:space="0" w:color="000000"/>
              <w:right w:val="single" w:sz="4" w:space="0" w:color="000000"/>
            </w:tcBorders>
          </w:tcPr>
          <w:p w:rsidR="00BF72B1" w:rsidRPr="00642EAE" w:rsidRDefault="00BF72B1" w:rsidP="00234AC7">
            <w:pPr>
              <w:pStyle w:val="TableText"/>
              <w:rPr>
                <w:rFonts w:eastAsia="Arial Unicode MS" w:cs="Arial Unicode MS"/>
                <w:color w:val="000000"/>
                <w:szCs w:val="20"/>
                <w:u w:color="000000"/>
                <w:bdr w:val="nil"/>
                <w:lang w:eastAsia="en-AU"/>
              </w:rPr>
            </w:pPr>
            <w:r w:rsidRPr="007862E6">
              <w:rPr>
                <w:rFonts w:eastAsia="Arial Unicode MS" w:cs="Arial Unicode MS"/>
                <w:i/>
                <w:color w:val="000000"/>
                <w:szCs w:val="20"/>
                <w:u w:color="000000"/>
                <w:bdr w:val="nil"/>
              </w:rPr>
              <w:t>Relapsed or refractory</w:t>
            </w:r>
          </w:p>
        </w:tc>
      </w:tr>
      <w:tr w:rsidR="00BF72B1" w:rsidTr="00234AC7">
        <w:tblPrEx>
          <w:tblCellMar>
            <w:left w:w="108" w:type="dxa"/>
            <w:right w:w="108" w:type="dxa"/>
          </w:tblCellMar>
        </w:tblPrEx>
        <w:trPr>
          <w:gridBefore w:val="1"/>
          <w:wBefore w:w="14"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BF72B1" w:rsidRPr="00331E98" w:rsidRDefault="00BF72B1" w:rsidP="00234AC7">
            <w:pPr>
              <w:pStyle w:val="TableText"/>
              <w:rPr>
                <w:b/>
              </w:rPr>
            </w:pPr>
            <w:r w:rsidRPr="00AF6296">
              <w:rPr>
                <w:rFonts w:eastAsia="Arial Unicode MS" w:cs="Arial Unicode MS"/>
                <w:b/>
                <w:bCs/>
                <w:color w:val="000000"/>
                <w:szCs w:val="20"/>
                <w:u w:color="000000"/>
                <w:bdr w:val="nil"/>
              </w:rPr>
              <w:t>Condition:</w:t>
            </w:r>
          </w:p>
        </w:tc>
        <w:tc>
          <w:tcPr>
            <w:tcW w:w="3895" w:type="pct"/>
            <w:gridSpan w:val="5"/>
            <w:tcBorders>
              <w:top w:val="single" w:sz="4" w:space="0" w:color="000000"/>
              <w:left w:val="single" w:sz="4" w:space="0" w:color="000000"/>
              <w:bottom w:val="single" w:sz="4" w:space="0" w:color="000000"/>
              <w:right w:val="single" w:sz="4" w:space="0" w:color="000000"/>
            </w:tcBorders>
          </w:tcPr>
          <w:p w:rsidR="00BF72B1" w:rsidRPr="00642EAE" w:rsidRDefault="00BF72B1" w:rsidP="00234AC7">
            <w:pPr>
              <w:pStyle w:val="TableText"/>
              <w:rPr>
                <w:rFonts w:eastAsia="Arial Unicode MS" w:cs="Arial Unicode MS"/>
                <w:color w:val="000000"/>
                <w:szCs w:val="20"/>
                <w:u w:color="000000"/>
                <w:bdr w:val="nil"/>
                <w:lang w:eastAsia="en-AU"/>
              </w:rPr>
            </w:pPr>
            <w:r w:rsidRPr="00AF6296">
              <w:rPr>
                <w:rFonts w:eastAsia="Arial Unicode MS" w:cs="Arial Unicode MS"/>
                <w:color w:val="000000"/>
                <w:szCs w:val="20"/>
                <w:u w:color="000000"/>
                <w:bdr w:val="nil"/>
              </w:rPr>
              <w:t>Peripheral T-cell lymphoma</w:t>
            </w:r>
          </w:p>
        </w:tc>
      </w:tr>
      <w:tr w:rsidR="00BF72B1" w:rsidTr="00234AC7">
        <w:tblPrEx>
          <w:tblCellMar>
            <w:left w:w="108" w:type="dxa"/>
            <w:right w:w="108" w:type="dxa"/>
          </w:tblCellMar>
        </w:tblPrEx>
        <w:trPr>
          <w:gridBefore w:val="1"/>
          <w:wBefore w:w="14"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BF72B1" w:rsidRPr="00331E98" w:rsidRDefault="00BF72B1" w:rsidP="00234AC7">
            <w:pPr>
              <w:pStyle w:val="TableText"/>
              <w:rPr>
                <w:rFonts w:ascii="Times" w:eastAsia="Times New Roman" w:hAnsi="Times" w:cs="Times New Roman"/>
                <w:b/>
                <w:szCs w:val="20"/>
                <w:lang w:val="en-US"/>
              </w:rPr>
            </w:pPr>
            <w:r w:rsidRPr="00AF6296">
              <w:rPr>
                <w:rFonts w:eastAsia="Arial Unicode MS" w:cs="Arial Unicode MS"/>
                <w:b/>
                <w:bCs/>
                <w:color w:val="000000"/>
                <w:szCs w:val="20"/>
                <w:u w:color="000000"/>
                <w:bdr w:val="nil"/>
              </w:rPr>
              <w:t>PBS Indication:</w:t>
            </w:r>
          </w:p>
        </w:tc>
        <w:tc>
          <w:tcPr>
            <w:tcW w:w="3895" w:type="pct"/>
            <w:gridSpan w:val="5"/>
            <w:tcBorders>
              <w:top w:val="single" w:sz="4" w:space="0" w:color="000000"/>
              <w:left w:val="single" w:sz="4" w:space="0" w:color="000000"/>
              <w:bottom w:val="single" w:sz="4" w:space="0" w:color="000000"/>
              <w:right w:val="single" w:sz="4" w:space="0" w:color="000000"/>
            </w:tcBorders>
          </w:tcPr>
          <w:p w:rsidR="00BF72B1" w:rsidRDefault="00BF72B1" w:rsidP="00234AC7">
            <w:pPr>
              <w:pStyle w:val="TableText"/>
            </w:pPr>
            <w:r w:rsidRPr="007862E6">
              <w:rPr>
                <w:rFonts w:eastAsia="Arial Unicode MS" w:cs="Arial Unicode MS"/>
                <w:i/>
                <w:color w:val="000000"/>
                <w:szCs w:val="20"/>
                <w:u w:color="000000"/>
                <w:bdr w:val="nil"/>
              </w:rPr>
              <w:t>Relapsed or refractory</w:t>
            </w:r>
            <w:r>
              <w:rPr>
                <w:rFonts w:eastAsia="Arial Unicode MS" w:cs="Arial Unicode MS"/>
                <w:color w:val="000000"/>
                <w:szCs w:val="20"/>
                <w:u w:color="000000"/>
                <w:bdr w:val="nil"/>
              </w:rPr>
              <w:t xml:space="preserve"> p</w:t>
            </w:r>
            <w:r w:rsidRPr="00AF6296">
              <w:rPr>
                <w:rFonts w:eastAsia="Arial Unicode MS" w:cs="Arial Unicode MS"/>
                <w:color w:val="000000"/>
                <w:szCs w:val="20"/>
                <w:u w:color="000000"/>
                <w:bdr w:val="nil"/>
              </w:rPr>
              <w:t>eripheral T-cell lymphoma</w:t>
            </w:r>
          </w:p>
        </w:tc>
      </w:tr>
      <w:tr w:rsidR="00BF72B1" w:rsidTr="00234AC7">
        <w:tblPrEx>
          <w:tblCellMar>
            <w:left w:w="108" w:type="dxa"/>
            <w:right w:w="108" w:type="dxa"/>
          </w:tblCellMar>
        </w:tblPrEx>
        <w:trPr>
          <w:gridBefore w:val="1"/>
          <w:wBefore w:w="14"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BF72B1" w:rsidRPr="00331E98" w:rsidRDefault="00BF72B1" w:rsidP="00234AC7">
            <w:pPr>
              <w:pStyle w:val="TableText"/>
              <w:rPr>
                <w:b/>
              </w:rPr>
            </w:pPr>
            <w:r w:rsidRPr="00331E98">
              <w:rPr>
                <w:b/>
              </w:rPr>
              <w:t>Treatment phase:</w:t>
            </w:r>
          </w:p>
        </w:tc>
        <w:tc>
          <w:tcPr>
            <w:tcW w:w="3895" w:type="pct"/>
            <w:gridSpan w:val="5"/>
            <w:tcBorders>
              <w:top w:val="single" w:sz="4" w:space="0" w:color="auto"/>
              <w:left w:val="single" w:sz="4" w:space="0" w:color="auto"/>
              <w:bottom w:val="single" w:sz="4" w:space="0" w:color="auto"/>
              <w:right w:val="single" w:sz="4" w:space="0" w:color="auto"/>
            </w:tcBorders>
          </w:tcPr>
          <w:p w:rsidR="00BF72B1" w:rsidRDefault="00BF72B1" w:rsidP="00234AC7">
            <w:pPr>
              <w:pStyle w:val="TableText"/>
            </w:pPr>
            <w:r>
              <w:t>Initial treatment</w:t>
            </w:r>
          </w:p>
        </w:tc>
      </w:tr>
      <w:tr w:rsidR="00BF72B1" w:rsidTr="00234AC7">
        <w:tblPrEx>
          <w:tblCellMar>
            <w:left w:w="108" w:type="dxa"/>
            <w:right w:w="108" w:type="dxa"/>
          </w:tblCellMar>
        </w:tblPrEx>
        <w:trPr>
          <w:gridBefore w:val="1"/>
          <w:wBefore w:w="14"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BF72B1" w:rsidRPr="00331E98" w:rsidRDefault="00BF72B1" w:rsidP="00234AC7">
            <w:pPr>
              <w:pStyle w:val="TableText"/>
              <w:rPr>
                <w:b/>
              </w:rPr>
            </w:pPr>
            <w:r w:rsidRPr="00AF6296">
              <w:rPr>
                <w:rFonts w:eastAsia="Arial Unicode MS" w:cs="Arial Unicode MS"/>
                <w:b/>
                <w:bCs/>
                <w:color w:val="000000"/>
                <w:szCs w:val="20"/>
                <w:u w:color="000000"/>
                <w:bdr w:val="nil"/>
              </w:rPr>
              <w:t>Restriction Level / Method:</w:t>
            </w:r>
          </w:p>
        </w:tc>
        <w:tc>
          <w:tcPr>
            <w:tcW w:w="3895" w:type="pct"/>
            <w:gridSpan w:val="5"/>
            <w:tcBorders>
              <w:top w:val="single" w:sz="4" w:space="0" w:color="auto"/>
              <w:left w:val="single" w:sz="4" w:space="0" w:color="auto"/>
              <w:bottom w:val="single" w:sz="4" w:space="0" w:color="auto"/>
              <w:right w:val="single" w:sz="4" w:space="0" w:color="auto"/>
            </w:tcBorders>
          </w:tcPr>
          <w:p w:rsidR="00BF72B1" w:rsidRPr="00AF6296" w:rsidRDefault="00BF72B1" w:rsidP="00234AC7">
            <w:pPr>
              <w:spacing w:before="0" w:after="0" w:line="360" w:lineRule="auto"/>
              <w:rPr>
                <w:rFonts w:ascii="Arial Narrow" w:hAnsi="Arial Narrow"/>
                <w:sz w:val="20"/>
              </w:rPr>
            </w:pPr>
            <w:r w:rsidRPr="00AF6296">
              <w:rPr>
                <w:rFonts w:ascii="Arial Narrow" w:hAnsi="Arial Narrow"/>
                <w:sz w:val="20"/>
              </w:rPr>
              <w:fldChar w:fldCharType="begin">
                <w:ffData>
                  <w:name w:val="Check1"/>
                  <w:enabled/>
                  <w:calcOnExit w:val="0"/>
                  <w:checkBox>
                    <w:sizeAuto/>
                    <w:default w:val="0"/>
                  </w:checkBox>
                </w:ffData>
              </w:fldChar>
            </w:r>
            <w:r w:rsidRPr="00AF629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AF6296">
              <w:rPr>
                <w:rFonts w:ascii="Arial Narrow" w:hAnsi="Arial Narrow"/>
                <w:sz w:val="20"/>
              </w:rPr>
              <w:fldChar w:fldCharType="end"/>
            </w:r>
            <w:r w:rsidRPr="00AF6296">
              <w:rPr>
                <w:rFonts w:ascii="Arial Narrow" w:hAnsi="Arial Narrow"/>
                <w:sz w:val="20"/>
              </w:rPr>
              <w:t>Restricted benefit</w:t>
            </w:r>
          </w:p>
          <w:p w:rsidR="00BF72B1" w:rsidRPr="00AF6296" w:rsidRDefault="00BF72B1" w:rsidP="00234AC7">
            <w:pPr>
              <w:spacing w:before="0" w:after="0" w:line="360" w:lineRule="auto"/>
              <w:rPr>
                <w:rFonts w:ascii="Arial Narrow" w:hAnsi="Arial Narrow"/>
                <w:sz w:val="20"/>
              </w:rPr>
            </w:pPr>
            <w:r w:rsidRPr="00AF6296">
              <w:rPr>
                <w:rFonts w:ascii="Arial Narrow" w:hAnsi="Arial Narrow"/>
                <w:sz w:val="20"/>
              </w:rPr>
              <w:fldChar w:fldCharType="begin">
                <w:ffData>
                  <w:name w:val=""/>
                  <w:enabled/>
                  <w:calcOnExit w:val="0"/>
                  <w:checkBox>
                    <w:sizeAuto/>
                    <w:default w:val="1"/>
                  </w:checkBox>
                </w:ffData>
              </w:fldChar>
            </w:r>
            <w:r w:rsidRPr="00AF629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AF6296">
              <w:rPr>
                <w:rFonts w:ascii="Arial Narrow" w:hAnsi="Arial Narrow"/>
                <w:sz w:val="20"/>
              </w:rPr>
              <w:fldChar w:fldCharType="end"/>
            </w:r>
            <w:r w:rsidRPr="00AF6296">
              <w:rPr>
                <w:rFonts w:ascii="Arial Narrow" w:hAnsi="Arial Narrow"/>
                <w:sz w:val="20"/>
              </w:rPr>
              <w:t>Authority Required - In Writing</w:t>
            </w:r>
          </w:p>
          <w:p w:rsidR="00BF72B1" w:rsidRPr="00AF6296" w:rsidRDefault="00BF72B1" w:rsidP="00234AC7">
            <w:pPr>
              <w:spacing w:before="0" w:after="0" w:line="360" w:lineRule="auto"/>
              <w:rPr>
                <w:rFonts w:ascii="Arial Narrow" w:hAnsi="Arial Narrow"/>
                <w:sz w:val="20"/>
              </w:rPr>
            </w:pPr>
            <w:r w:rsidRPr="00AF6296">
              <w:rPr>
                <w:rFonts w:ascii="Arial Narrow" w:hAnsi="Arial Narrow"/>
                <w:sz w:val="20"/>
              </w:rPr>
              <w:fldChar w:fldCharType="begin">
                <w:ffData>
                  <w:name w:val="Check3"/>
                  <w:enabled/>
                  <w:calcOnExit w:val="0"/>
                  <w:checkBox>
                    <w:sizeAuto/>
                    <w:default w:val="0"/>
                  </w:checkBox>
                </w:ffData>
              </w:fldChar>
            </w:r>
            <w:r w:rsidRPr="00AF629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AF6296">
              <w:rPr>
                <w:rFonts w:ascii="Arial Narrow" w:hAnsi="Arial Narrow"/>
                <w:sz w:val="20"/>
              </w:rPr>
              <w:fldChar w:fldCharType="end"/>
            </w:r>
            <w:r w:rsidRPr="00AF6296">
              <w:rPr>
                <w:rFonts w:ascii="Arial Narrow" w:hAnsi="Arial Narrow"/>
                <w:sz w:val="20"/>
              </w:rPr>
              <w:t>Authority Required - Telephone</w:t>
            </w:r>
          </w:p>
          <w:p w:rsidR="00BF72B1" w:rsidRPr="00AF6296" w:rsidRDefault="00BF72B1" w:rsidP="00234AC7">
            <w:pPr>
              <w:spacing w:before="0" w:after="0" w:line="360" w:lineRule="auto"/>
              <w:rPr>
                <w:rFonts w:ascii="Arial Narrow" w:hAnsi="Arial Narrow"/>
                <w:sz w:val="20"/>
              </w:rPr>
            </w:pPr>
            <w:r w:rsidRPr="00AF6296">
              <w:rPr>
                <w:rFonts w:ascii="Arial Narrow" w:hAnsi="Arial Narrow"/>
                <w:sz w:val="20"/>
              </w:rPr>
              <w:fldChar w:fldCharType="begin">
                <w:ffData>
                  <w:name w:val=""/>
                  <w:enabled/>
                  <w:calcOnExit w:val="0"/>
                  <w:checkBox>
                    <w:sizeAuto/>
                    <w:default w:val="0"/>
                  </w:checkBox>
                </w:ffData>
              </w:fldChar>
            </w:r>
            <w:r w:rsidRPr="00AF629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AF6296">
              <w:rPr>
                <w:rFonts w:ascii="Arial Narrow" w:hAnsi="Arial Narrow"/>
                <w:sz w:val="20"/>
              </w:rPr>
              <w:fldChar w:fldCharType="end"/>
            </w:r>
            <w:r w:rsidRPr="00AF6296">
              <w:rPr>
                <w:rFonts w:ascii="Arial Narrow" w:hAnsi="Arial Narrow"/>
                <w:sz w:val="20"/>
              </w:rPr>
              <w:t>Authority Required - Emergency</w:t>
            </w:r>
          </w:p>
          <w:p w:rsidR="00BF72B1" w:rsidRPr="00AF6296" w:rsidRDefault="00BF72B1" w:rsidP="00234AC7">
            <w:pPr>
              <w:spacing w:before="0" w:after="0" w:line="360" w:lineRule="auto"/>
              <w:rPr>
                <w:rFonts w:ascii="Arial Narrow" w:hAnsi="Arial Narrow"/>
                <w:sz w:val="20"/>
              </w:rPr>
            </w:pPr>
            <w:r w:rsidRPr="00AF6296">
              <w:rPr>
                <w:rFonts w:ascii="Arial Narrow" w:hAnsi="Arial Narrow"/>
                <w:sz w:val="20"/>
              </w:rPr>
              <w:fldChar w:fldCharType="begin">
                <w:ffData>
                  <w:name w:val="Check5"/>
                  <w:enabled/>
                  <w:calcOnExit w:val="0"/>
                  <w:checkBox>
                    <w:sizeAuto/>
                    <w:default w:val="0"/>
                  </w:checkBox>
                </w:ffData>
              </w:fldChar>
            </w:r>
            <w:r w:rsidRPr="00AF629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AF6296">
              <w:rPr>
                <w:rFonts w:ascii="Arial Narrow" w:hAnsi="Arial Narrow"/>
                <w:sz w:val="20"/>
              </w:rPr>
              <w:fldChar w:fldCharType="end"/>
            </w:r>
            <w:r w:rsidRPr="00AF6296">
              <w:rPr>
                <w:rFonts w:ascii="Arial Narrow" w:hAnsi="Arial Narrow"/>
                <w:sz w:val="20"/>
              </w:rPr>
              <w:t>Authority Required - Electronic</w:t>
            </w:r>
          </w:p>
          <w:p w:rsidR="00BF72B1" w:rsidRPr="00791DE1" w:rsidRDefault="00BF72B1" w:rsidP="00234AC7">
            <w:pPr>
              <w:pStyle w:val="TableText"/>
            </w:pPr>
            <w:r w:rsidRPr="00AF6296">
              <w:rPr>
                <w:rFonts w:eastAsia="Arial Unicode MS" w:cs="Arial Unicode MS"/>
                <w:color w:val="000000"/>
                <w:u w:color="000000"/>
                <w:bdr w:val="nil"/>
              </w:rPr>
              <w:fldChar w:fldCharType="begin">
                <w:ffData>
                  <w:name w:val="Check5"/>
                  <w:enabled/>
                  <w:calcOnExit w:val="0"/>
                  <w:checkBox>
                    <w:sizeAuto/>
                    <w:default w:val="0"/>
                  </w:checkBox>
                </w:ffData>
              </w:fldChar>
            </w:r>
            <w:r w:rsidRPr="00AF6296">
              <w:rPr>
                <w:rFonts w:eastAsia="Arial Unicode MS" w:cs="Arial Unicode MS"/>
                <w:color w:val="000000"/>
                <w:u w:color="000000"/>
                <w:bdr w:val="nil"/>
              </w:rPr>
              <w:instrText xml:space="preserve"> FORMCHECKBOX </w:instrText>
            </w:r>
            <w:r>
              <w:rPr>
                <w:rFonts w:eastAsia="Arial Unicode MS" w:cs="Arial Unicode MS"/>
                <w:color w:val="000000"/>
                <w:u w:color="000000"/>
                <w:bdr w:val="nil"/>
              </w:rPr>
            </w:r>
            <w:r>
              <w:rPr>
                <w:rFonts w:eastAsia="Arial Unicode MS" w:cs="Arial Unicode MS"/>
                <w:color w:val="000000"/>
                <w:u w:color="000000"/>
                <w:bdr w:val="nil"/>
              </w:rPr>
              <w:fldChar w:fldCharType="separate"/>
            </w:r>
            <w:r w:rsidRPr="00AF6296">
              <w:rPr>
                <w:rFonts w:eastAsia="Arial Unicode MS" w:cs="Arial Unicode MS"/>
                <w:color w:val="000000"/>
                <w:u w:color="000000"/>
                <w:bdr w:val="nil"/>
              </w:rPr>
              <w:fldChar w:fldCharType="end"/>
            </w:r>
            <w:r w:rsidRPr="00AF6296">
              <w:rPr>
                <w:rFonts w:eastAsia="Arial Unicode MS" w:cs="Arial Unicode MS"/>
                <w:color w:val="000000"/>
                <w:u w:color="000000"/>
                <w:bdr w:val="nil"/>
              </w:rPr>
              <w:t>Streamlined</w:t>
            </w:r>
          </w:p>
        </w:tc>
      </w:tr>
      <w:tr w:rsidR="00BF72B1" w:rsidRPr="00C31A26" w:rsidTr="00234AC7">
        <w:tblPrEx>
          <w:tblCellMar>
            <w:left w:w="108" w:type="dxa"/>
            <w:right w:w="108" w:type="dxa"/>
          </w:tblCellMar>
        </w:tblPrEx>
        <w:trPr>
          <w:gridBefore w:val="1"/>
          <w:wBefore w:w="14"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BF72B1" w:rsidRPr="00331E98" w:rsidRDefault="00BF72B1" w:rsidP="00234AC7">
            <w:pPr>
              <w:pStyle w:val="TableText"/>
              <w:rPr>
                <w:rFonts w:ascii="Times" w:eastAsia="Times New Roman" w:hAnsi="Times" w:cs="Times New Roman"/>
                <w:b/>
                <w:szCs w:val="20"/>
                <w:lang w:val="en-US"/>
              </w:rPr>
            </w:pPr>
            <w:r w:rsidRPr="00AF6296">
              <w:rPr>
                <w:rFonts w:eastAsia="Arial Unicode MS" w:cs="Arial Unicode MS"/>
                <w:b/>
                <w:bCs/>
                <w:color w:val="000000"/>
                <w:szCs w:val="20"/>
                <w:u w:color="000000"/>
                <w:bdr w:val="nil"/>
              </w:rPr>
              <w:t>Clinical criteria:</w:t>
            </w:r>
          </w:p>
        </w:tc>
        <w:tc>
          <w:tcPr>
            <w:tcW w:w="3895" w:type="pct"/>
            <w:gridSpan w:val="5"/>
            <w:tcBorders>
              <w:top w:val="single" w:sz="4" w:space="0" w:color="auto"/>
              <w:left w:val="single" w:sz="4" w:space="0" w:color="auto"/>
              <w:bottom w:val="single" w:sz="4" w:space="0" w:color="auto"/>
              <w:right w:val="single" w:sz="4" w:space="0" w:color="auto"/>
            </w:tcBorders>
          </w:tcPr>
          <w:p w:rsidR="00BF72B1" w:rsidRPr="00AF6296" w:rsidRDefault="00BF72B1" w:rsidP="00234AC7">
            <w:pPr>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r w:rsidRPr="00AF6296">
              <w:rPr>
                <w:rFonts w:ascii="Arial Narrow" w:eastAsia="Arial Unicode MS" w:hAnsi="Arial Narrow" w:cs="Arial Unicode MS"/>
                <w:iCs/>
                <w:color w:val="000000"/>
                <w:sz w:val="20"/>
                <w:szCs w:val="20"/>
                <w:u w:color="000000"/>
                <w:bdr w:val="nil"/>
              </w:rPr>
              <w:t>Patient must have undergone appropriate prior front-line systemic therapy,</w:t>
            </w:r>
          </w:p>
          <w:p w:rsidR="00BF72B1" w:rsidRPr="00AF6296" w:rsidRDefault="00BF72B1" w:rsidP="00234AC7">
            <w:pPr>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r w:rsidRPr="00AF6296">
              <w:rPr>
                <w:rFonts w:ascii="Arial Narrow" w:eastAsia="Arial Unicode MS" w:hAnsi="Arial Narrow" w:cs="Arial Unicode MS"/>
                <w:iCs/>
                <w:color w:val="000000"/>
                <w:sz w:val="20"/>
                <w:szCs w:val="20"/>
                <w:u w:color="000000"/>
                <w:bdr w:val="nil"/>
              </w:rPr>
              <w:t>AND</w:t>
            </w:r>
          </w:p>
          <w:p w:rsidR="00BF72B1" w:rsidRPr="007862E6" w:rsidRDefault="00BF72B1" w:rsidP="00234AC7">
            <w:pPr>
              <w:widowControl w:val="0"/>
              <w:pBdr>
                <w:top w:val="nil"/>
                <w:left w:val="nil"/>
                <w:bottom w:val="nil"/>
                <w:right w:val="nil"/>
                <w:between w:val="nil"/>
                <w:bar w:val="nil"/>
              </w:pBdr>
              <w:spacing w:before="0" w:after="0" w:line="276" w:lineRule="auto"/>
              <w:jc w:val="both"/>
              <w:rPr>
                <w:rFonts w:ascii="Arial Narrow" w:eastAsia="Arial Narrow" w:hAnsi="Arial Narrow" w:cs="Arial Narrow"/>
                <w:iCs/>
                <w:strike/>
                <w:color w:val="000000"/>
                <w:sz w:val="20"/>
                <w:szCs w:val="20"/>
                <w:u w:color="000000"/>
                <w:bdr w:val="nil"/>
              </w:rPr>
            </w:pPr>
            <w:r w:rsidRPr="007862E6">
              <w:rPr>
                <w:rFonts w:ascii="Arial Narrow" w:eastAsia="Arial Unicode MS" w:hAnsi="Arial Narrow" w:cs="Arial Unicode MS"/>
                <w:iCs/>
                <w:strike/>
                <w:color w:val="000000"/>
                <w:sz w:val="20"/>
                <w:szCs w:val="20"/>
                <w:u w:color="000000"/>
                <w:bdr w:val="nil"/>
              </w:rPr>
              <w:t>Patient must demonstrate relapsed or refractory disease,</w:t>
            </w:r>
          </w:p>
          <w:p w:rsidR="00BF72B1" w:rsidRPr="00AF6296" w:rsidRDefault="00BF72B1" w:rsidP="00234AC7">
            <w:pPr>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r w:rsidRPr="00AF6296">
              <w:rPr>
                <w:rFonts w:ascii="Arial Narrow" w:eastAsia="Arial Unicode MS" w:hAnsi="Arial Narrow" w:cs="Arial Unicode MS"/>
                <w:iCs/>
                <w:color w:val="000000"/>
                <w:sz w:val="20"/>
                <w:szCs w:val="20"/>
                <w:u w:color="000000"/>
                <w:bdr w:val="nil"/>
              </w:rPr>
              <w:t>AND</w:t>
            </w:r>
          </w:p>
          <w:p w:rsidR="00BF72B1" w:rsidRPr="00C31A26" w:rsidRDefault="00BF72B1" w:rsidP="00234AC7">
            <w:pPr>
              <w:pStyle w:val="TableText"/>
            </w:pPr>
            <w:r w:rsidRPr="00AF6296">
              <w:rPr>
                <w:rFonts w:eastAsia="Arial Unicode MS" w:cs="Arial Unicode MS"/>
                <w:iCs/>
                <w:color w:val="000000"/>
                <w:szCs w:val="20"/>
                <w:u w:color="000000"/>
                <w:bdr w:val="nil"/>
              </w:rPr>
              <w:t xml:space="preserve">The treatment must be the sole PBS-subsidised </w:t>
            </w:r>
            <w:r w:rsidRPr="007862E6">
              <w:rPr>
                <w:rFonts w:eastAsia="Arial Unicode MS" w:cs="Arial Unicode MS"/>
                <w:iCs/>
                <w:strike/>
                <w:color w:val="000000"/>
                <w:szCs w:val="20"/>
                <w:u w:color="000000"/>
                <w:bdr w:val="nil"/>
              </w:rPr>
              <w:t>systemic</w:t>
            </w:r>
            <w:r w:rsidRPr="00AF6296">
              <w:rPr>
                <w:rFonts w:eastAsia="Arial Unicode MS" w:cs="Arial Unicode MS"/>
                <w:iCs/>
                <w:color w:val="000000"/>
                <w:szCs w:val="20"/>
                <w:u w:color="000000"/>
                <w:bdr w:val="nil"/>
              </w:rPr>
              <w:t xml:space="preserve"> therapy for this condition.</w:t>
            </w:r>
          </w:p>
        </w:tc>
      </w:tr>
      <w:tr w:rsidR="00BF72B1" w:rsidTr="00234AC7">
        <w:tblPrEx>
          <w:tblCellMar>
            <w:left w:w="108" w:type="dxa"/>
            <w:right w:w="108" w:type="dxa"/>
          </w:tblCellMar>
        </w:tblPrEx>
        <w:trPr>
          <w:gridBefore w:val="1"/>
          <w:wBefore w:w="14"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BF72B1" w:rsidRPr="00331E98" w:rsidRDefault="00BF72B1" w:rsidP="00234AC7">
            <w:pPr>
              <w:pStyle w:val="TableText"/>
              <w:rPr>
                <w:rFonts w:ascii="Times" w:eastAsia="Times New Roman" w:hAnsi="Times" w:cs="Times New Roman"/>
                <w:b/>
                <w:szCs w:val="20"/>
                <w:lang w:val="en-US"/>
              </w:rPr>
            </w:pPr>
            <w:r w:rsidRPr="00331E98">
              <w:rPr>
                <w:b/>
              </w:rPr>
              <w:t>Prescriber Instructions:</w:t>
            </w:r>
          </w:p>
        </w:tc>
        <w:tc>
          <w:tcPr>
            <w:tcW w:w="3895" w:type="pct"/>
            <w:gridSpan w:val="5"/>
            <w:tcBorders>
              <w:top w:val="single" w:sz="4" w:space="0" w:color="auto"/>
              <w:left w:val="single" w:sz="4" w:space="0" w:color="auto"/>
              <w:bottom w:val="single" w:sz="4" w:space="0" w:color="auto"/>
              <w:right w:val="single" w:sz="4" w:space="0" w:color="auto"/>
            </w:tcBorders>
          </w:tcPr>
          <w:p w:rsidR="00BF72B1" w:rsidRDefault="00BF72B1" w:rsidP="00234AC7">
            <w:pPr>
              <w:pStyle w:val="TableText"/>
            </w:pPr>
            <w:r>
              <w:t>Applications for authorisation of initial treatment must be in writing and must include:</w:t>
            </w:r>
          </w:p>
          <w:p w:rsidR="00BF72B1" w:rsidRDefault="00BF72B1" w:rsidP="00234AC7">
            <w:pPr>
              <w:pStyle w:val="TableText"/>
            </w:pPr>
            <w:r>
              <w:t>(a) a completed authority prescription form; and</w:t>
            </w:r>
          </w:p>
          <w:p w:rsidR="00BF72B1" w:rsidRDefault="00BF72B1" w:rsidP="00234AC7">
            <w:pPr>
              <w:pStyle w:val="TableText"/>
            </w:pPr>
            <w:r>
              <w:t>(b) a completed PTCL romidepsin PBS Authority Application - Supporting Information Form [to be determined] which includes the following:</w:t>
            </w:r>
          </w:p>
          <w:p w:rsidR="00BF72B1" w:rsidRDefault="00BF72B1" w:rsidP="00234AC7">
            <w:pPr>
              <w:pStyle w:val="TableText"/>
            </w:pPr>
            <w:r>
              <w:t>(</w:t>
            </w:r>
            <w:proofErr w:type="spellStart"/>
            <w:r>
              <w:t>i</w:t>
            </w:r>
            <w:proofErr w:type="spellEnd"/>
            <w:r>
              <w:t>) a histological diagnosis of relapsed or refractory peripheral T-cell lymphoma and;</w:t>
            </w:r>
          </w:p>
          <w:p w:rsidR="00BF72B1" w:rsidRDefault="00BF72B1" w:rsidP="00234AC7">
            <w:pPr>
              <w:pStyle w:val="TableText"/>
            </w:pPr>
            <w:r>
              <w:t>(ii) details of prior treatment including name(s) of drug(s) and date of most recent treatment cycle</w:t>
            </w:r>
          </w:p>
        </w:tc>
      </w:tr>
    </w:tbl>
    <w:p w:rsidR="00BF72B1" w:rsidRDefault="00BF72B1" w:rsidP="00BF72B1">
      <w:pPr>
        <w:pStyle w:val="TableFooter"/>
        <w:rPr>
          <w:vertAlign w:val="superscript"/>
        </w:rPr>
      </w:pPr>
    </w:p>
    <w:tbl>
      <w:tblPr>
        <w:tblW w:w="90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7"/>
        <w:gridCol w:w="6469"/>
      </w:tblGrid>
      <w:tr w:rsidR="00BF72B1" w:rsidRPr="00642EAE" w:rsidTr="00234AC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72B1" w:rsidRPr="00642EAE" w:rsidRDefault="00BF72B1" w:rsidP="00234AC7">
            <w:pPr>
              <w:keepNext/>
              <w:widowControl w:val="0"/>
              <w:pBdr>
                <w:top w:val="nil"/>
                <w:left w:val="nil"/>
                <w:bottom w:val="nil"/>
                <w:right w:val="nil"/>
                <w:between w:val="nil"/>
                <w:bar w:val="nil"/>
              </w:pBdr>
              <w:spacing w:before="0" w:after="0" w:line="276" w:lineRule="auto"/>
              <w:jc w:val="both"/>
              <w:rPr>
                <w:rFonts w:eastAsia="Arial Unicode MS" w:cs="Arial Unicode MS"/>
                <w:color w:val="000000"/>
                <w:u w:color="000000"/>
                <w:bdr w:val="nil"/>
              </w:rPr>
            </w:pPr>
            <w:r w:rsidRPr="00642EAE">
              <w:rPr>
                <w:rFonts w:ascii="Arial Narrow" w:eastAsia="Arial Unicode MS" w:hAnsi="Arial Narrow" w:cs="Arial Unicode MS"/>
                <w:b/>
                <w:bCs/>
                <w:color w:val="000000"/>
                <w:sz w:val="20"/>
                <w:szCs w:val="20"/>
                <w:u w:color="000000"/>
                <w:bdr w:val="nil"/>
              </w:rPr>
              <w:lastRenderedPageBreak/>
              <w:t>Treatment phase: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72B1" w:rsidRPr="00642EAE" w:rsidRDefault="00BF72B1" w:rsidP="00234AC7">
            <w:pPr>
              <w:keepNext/>
              <w:widowControl w:val="0"/>
              <w:pBdr>
                <w:top w:val="nil"/>
                <w:left w:val="nil"/>
                <w:bottom w:val="nil"/>
                <w:right w:val="nil"/>
                <w:between w:val="nil"/>
                <w:bar w:val="nil"/>
              </w:pBdr>
              <w:spacing w:before="0" w:after="0" w:line="276" w:lineRule="auto"/>
              <w:jc w:val="both"/>
              <w:rPr>
                <w:rFonts w:eastAsia="Arial Unicode MS" w:cs="Arial Unicode MS"/>
                <w:color w:val="000000"/>
                <w:u w:color="000000"/>
                <w:bdr w:val="nil"/>
              </w:rPr>
            </w:pPr>
            <w:r w:rsidRPr="00642EAE">
              <w:rPr>
                <w:rFonts w:ascii="Arial Narrow" w:eastAsia="Arial Unicode MS" w:hAnsi="Arial Narrow" w:cs="Arial Unicode MS"/>
                <w:color w:val="000000"/>
                <w:sz w:val="20"/>
                <w:szCs w:val="20"/>
                <w:u w:color="000000"/>
                <w:bdr w:val="nil"/>
              </w:rPr>
              <w:t>Continuing treatment</w:t>
            </w:r>
          </w:p>
        </w:tc>
      </w:tr>
      <w:tr w:rsidR="00BF72B1" w:rsidRPr="00642EAE" w:rsidTr="00234AC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72B1" w:rsidRPr="00642EAE" w:rsidRDefault="00BF72B1" w:rsidP="00234AC7">
            <w:pPr>
              <w:keepNext/>
              <w:widowControl w:val="0"/>
              <w:pBdr>
                <w:top w:val="nil"/>
                <w:left w:val="nil"/>
                <w:bottom w:val="nil"/>
                <w:right w:val="nil"/>
                <w:between w:val="nil"/>
                <w:bar w:val="nil"/>
              </w:pBdr>
              <w:spacing w:before="0" w:after="0" w:line="276" w:lineRule="auto"/>
              <w:rPr>
                <w:rFonts w:eastAsia="Arial Unicode MS" w:cs="Arial Unicode MS"/>
                <w:color w:val="000000"/>
                <w:u w:color="000000"/>
                <w:bdr w:val="nil"/>
              </w:rPr>
            </w:pPr>
            <w:r w:rsidRPr="00642EAE">
              <w:rPr>
                <w:rFonts w:ascii="Arial Narrow" w:eastAsia="Arial Unicode MS" w:hAnsi="Arial Narrow" w:cs="Arial Unicode MS"/>
                <w:b/>
                <w:bCs/>
                <w:color w:val="000000"/>
                <w:sz w:val="20"/>
                <w:szCs w:val="20"/>
                <w:u w:color="000000"/>
                <w:bdr w:val="nil"/>
              </w:rPr>
              <w:t>Restriction Level / Method: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72B1" w:rsidRPr="00642EAE" w:rsidRDefault="00BF72B1" w:rsidP="00234AC7">
            <w:pPr>
              <w:keepNext/>
              <w:spacing w:before="0" w:after="0"/>
              <w:rPr>
                <w:rFonts w:ascii="Arial Narrow" w:hAnsi="Arial Narrow"/>
                <w:sz w:val="20"/>
              </w:rPr>
            </w:pPr>
            <w:r w:rsidRPr="00642EAE">
              <w:rPr>
                <w:rFonts w:ascii="Arial Narrow" w:hAnsi="Arial Narrow"/>
                <w:sz w:val="20"/>
              </w:rPr>
              <w:fldChar w:fldCharType="begin">
                <w:ffData>
                  <w:name w:val="Check1"/>
                  <w:enabled/>
                  <w:calcOnExit w:val="0"/>
                  <w:checkBox>
                    <w:sizeAuto/>
                    <w:default w:val="0"/>
                  </w:checkBox>
                </w:ffData>
              </w:fldChar>
            </w:r>
            <w:r w:rsidRPr="00642EA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642EAE">
              <w:rPr>
                <w:rFonts w:ascii="Arial Narrow" w:hAnsi="Arial Narrow"/>
                <w:sz w:val="20"/>
              </w:rPr>
              <w:fldChar w:fldCharType="end"/>
            </w:r>
            <w:r w:rsidRPr="00642EAE">
              <w:rPr>
                <w:rFonts w:ascii="Arial Narrow" w:hAnsi="Arial Narrow"/>
                <w:sz w:val="20"/>
              </w:rPr>
              <w:t>Restricted benefit</w:t>
            </w:r>
          </w:p>
          <w:p w:rsidR="00BF72B1" w:rsidRPr="00642EAE" w:rsidRDefault="00BF72B1" w:rsidP="00234AC7">
            <w:pPr>
              <w:keepNext/>
              <w:spacing w:before="0" w:after="0"/>
              <w:rPr>
                <w:rFonts w:ascii="Arial Narrow" w:hAnsi="Arial Narrow"/>
                <w:sz w:val="20"/>
              </w:rPr>
            </w:pPr>
            <w:r w:rsidRPr="00642EAE">
              <w:rPr>
                <w:rFonts w:ascii="Arial Narrow" w:hAnsi="Arial Narrow"/>
                <w:sz w:val="20"/>
              </w:rPr>
              <w:fldChar w:fldCharType="begin">
                <w:ffData>
                  <w:name w:val=""/>
                  <w:enabled/>
                  <w:calcOnExit w:val="0"/>
                  <w:checkBox>
                    <w:sizeAuto/>
                    <w:default w:val="1"/>
                  </w:checkBox>
                </w:ffData>
              </w:fldChar>
            </w:r>
            <w:r w:rsidRPr="00642EA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642EAE">
              <w:rPr>
                <w:rFonts w:ascii="Arial Narrow" w:hAnsi="Arial Narrow"/>
                <w:sz w:val="20"/>
              </w:rPr>
              <w:fldChar w:fldCharType="end"/>
            </w:r>
            <w:r w:rsidRPr="00642EAE">
              <w:rPr>
                <w:rFonts w:ascii="Arial Narrow" w:hAnsi="Arial Narrow"/>
                <w:sz w:val="20"/>
              </w:rPr>
              <w:t>Authority Required - In Writing</w:t>
            </w:r>
          </w:p>
          <w:p w:rsidR="00BF72B1" w:rsidRPr="00642EAE" w:rsidRDefault="00BF72B1" w:rsidP="00234AC7">
            <w:pPr>
              <w:keepNext/>
              <w:spacing w:before="0" w:after="0"/>
              <w:rPr>
                <w:rFonts w:ascii="Arial Narrow" w:hAnsi="Arial Narrow"/>
                <w:sz w:val="20"/>
              </w:rPr>
            </w:pPr>
            <w:r w:rsidRPr="00642EAE">
              <w:rPr>
                <w:rFonts w:ascii="Arial Narrow" w:hAnsi="Arial Narrow"/>
                <w:sz w:val="20"/>
              </w:rPr>
              <w:fldChar w:fldCharType="begin">
                <w:ffData>
                  <w:name w:val=""/>
                  <w:enabled/>
                  <w:calcOnExit w:val="0"/>
                  <w:checkBox>
                    <w:sizeAuto/>
                    <w:default w:val="1"/>
                  </w:checkBox>
                </w:ffData>
              </w:fldChar>
            </w:r>
            <w:r w:rsidRPr="00642EA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642EAE">
              <w:rPr>
                <w:rFonts w:ascii="Arial Narrow" w:hAnsi="Arial Narrow"/>
                <w:sz w:val="20"/>
              </w:rPr>
              <w:fldChar w:fldCharType="end"/>
            </w:r>
            <w:r w:rsidRPr="00642EAE">
              <w:rPr>
                <w:rFonts w:ascii="Arial Narrow" w:hAnsi="Arial Narrow"/>
                <w:sz w:val="20"/>
              </w:rPr>
              <w:t>Authority Required - Telephone</w:t>
            </w:r>
          </w:p>
          <w:p w:rsidR="00BF72B1" w:rsidRPr="00642EAE" w:rsidRDefault="00BF72B1" w:rsidP="00234AC7">
            <w:pPr>
              <w:keepNext/>
              <w:spacing w:before="0" w:after="0"/>
              <w:rPr>
                <w:rFonts w:ascii="Arial Narrow" w:hAnsi="Arial Narrow"/>
                <w:sz w:val="20"/>
              </w:rPr>
            </w:pPr>
            <w:r w:rsidRPr="00642EAE">
              <w:rPr>
                <w:rFonts w:ascii="Arial Narrow" w:hAnsi="Arial Narrow"/>
                <w:sz w:val="20"/>
              </w:rPr>
              <w:fldChar w:fldCharType="begin">
                <w:ffData>
                  <w:name w:val=""/>
                  <w:enabled/>
                  <w:calcOnExit w:val="0"/>
                  <w:checkBox>
                    <w:sizeAuto/>
                    <w:default w:val="0"/>
                  </w:checkBox>
                </w:ffData>
              </w:fldChar>
            </w:r>
            <w:r w:rsidRPr="00642EA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642EAE">
              <w:rPr>
                <w:rFonts w:ascii="Arial Narrow" w:hAnsi="Arial Narrow"/>
                <w:sz w:val="20"/>
              </w:rPr>
              <w:fldChar w:fldCharType="end"/>
            </w:r>
            <w:r w:rsidRPr="00642EAE">
              <w:rPr>
                <w:rFonts w:ascii="Arial Narrow" w:hAnsi="Arial Narrow"/>
                <w:sz w:val="20"/>
              </w:rPr>
              <w:t>Authority Required - Emergency</w:t>
            </w:r>
          </w:p>
          <w:p w:rsidR="00BF72B1" w:rsidRPr="00642EAE" w:rsidRDefault="00BF72B1" w:rsidP="00234AC7">
            <w:pPr>
              <w:keepNext/>
              <w:spacing w:before="0" w:after="0"/>
              <w:rPr>
                <w:rFonts w:ascii="Arial Narrow" w:hAnsi="Arial Narrow"/>
                <w:sz w:val="20"/>
              </w:rPr>
            </w:pPr>
            <w:r w:rsidRPr="00642EAE">
              <w:rPr>
                <w:rFonts w:ascii="Arial Narrow" w:hAnsi="Arial Narrow"/>
                <w:sz w:val="20"/>
              </w:rPr>
              <w:fldChar w:fldCharType="begin">
                <w:ffData>
                  <w:name w:val="Check5"/>
                  <w:enabled/>
                  <w:calcOnExit w:val="0"/>
                  <w:checkBox>
                    <w:sizeAuto/>
                    <w:default w:val="0"/>
                  </w:checkBox>
                </w:ffData>
              </w:fldChar>
            </w:r>
            <w:r w:rsidRPr="00642EA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642EAE">
              <w:rPr>
                <w:rFonts w:ascii="Arial Narrow" w:hAnsi="Arial Narrow"/>
                <w:sz w:val="20"/>
              </w:rPr>
              <w:fldChar w:fldCharType="end"/>
            </w:r>
            <w:r w:rsidRPr="00642EAE">
              <w:rPr>
                <w:rFonts w:ascii="Arial Narrow" w:hAnsi="Arial Narrow"/>
                <w:sz w:val="20"/>
              </w:rPr>
              <w:t>Authority Required - Electronic</w:t>
            </w:r>
          </w:p>
          <w:p w:rsidR="00BF72B1" w:rsidRPr="00642EAE" w:rsidRDefault="00BF72B1" w:rsidP="00234AC7">
            <w:pPr>
              <w:keepNext/>
              <w:widowControl w:val="0"/>
              <w:pBdr>
                <w:top w:val="nil"/>
                <w:left w:val="nil"/>
                <w:bottom w:val="nil"/>
                <w:right w:val="nil"/>
                <w:between w:val="nil"/>
                <w:bar w:val="nil"/>
              </w:pBdr>
              <w:spacing w:before="0" w:after="0" w:line="276" w:lineRule="auto"/>
              <w:jc w:val="both"/>
              <w:rPr>
                <w:rFonts w:eastAsia="Arial Unicode MS" w:cs="Arial Unicode MS"/>
                <w:color w:val="000000"/>
                <w:u w:color="000000"/>
                <w:bdr w:val="nil"/>
              </w:rPr>
            </w:pPr>
            <w:r w:rsidRPr="00642EAE">
              <w:rPr>
                <w:rFonts w:ascii="Arial Narrow" w:eastAsia="Arial Unicode MS" w:hAnsi="Arial Narrow" w:cs="Arial Unicode MS"/>
                <w:color w:val="000000"/>
                <w:sz w:val="20"/>
                <w:u w:color="000000"/>
                <w:bdr w:val="nil"/>
              </w:rPr>
              <w:fldChar w:fldCharType="begin">
                <w:ffData>
                  <w:name w:val="Check5"/>
                  <w:enabled/>
                  <w:calcOnExit w:val="0"/>
                  <w:checkBox>
                    <w:sizeAuto/>
                    <w:default w:val="0"/>
                  </w:checkBox>
                </w:ffData>
              </w:fldChar>
            </w:r>
            <w:r w:rsidRPr="00642EAE">
              <w:rPr>
                <w:rFonts w:ascii="Arial Narrow" w:eastAsia="Arial Unicode MS" w:hAnsi="Arial Narrow" w:cs="Arial Unicode MS"/>
                <w:color w:val="000000"/>
                <w:sz w:val="20"/>
                <w:u w:color="000000"/>
                <w:bdr w:val="nil"/>
              </w:rPr>
              <w:instrText xml:space="preserve"> FORMCHECKBOX </w:instrText>
            </w:r>
            <w:r>
              <w:rPr>
                <w:rFonts w:ascii="Arial Narrow" w:eastAsia="Arial Unicode MS" w:hAnsi="Arial Narrow" w:cs="Arial Unicode MS"/>
                <w:color w:val="000000"/>
                <w:sz w:val="20"/>
                <w:u w:color="000000"/>
                <w:bdr w:val="nil"/>
              </w:rPr>
            </w:r>
            <w:r>
              <w:rPr>
                <w:rFonts w:ascii="Arial Narrow" w:eastAsia="Arial Unicode MS" w:hAnsi="Arial Narrow" w:cs="Arial Unicode MS"/>
                <w:color w:val="000000"/>
                <w:sz w:val="20"/>
                <w:u w:color="000000"/>
                <w:bdr w:val="nil"/>
              </w:rPr>
              <w:fldChar w:fldCharType="separate"/>
            </w:r>
            <w:r w:rsidRPr="00642EAE">
              <w:rPr>
                <w:rFonts w:ascii="Arial Narrow" w:eastAsia="Arial Unicode MS" w:hAnsi="Arial Narrow" w:cs="Arial Unicode MS"/>
                <w:color w:val="000000"/>
                <w:sz w:val="20"/>
                <w:u w:color="000000"/>
                <w:bdr w:val="nil"/>
              </w:rPr>
              <w:fldChar w:fldCharType="end"/>
            </w:r>
            <w:r w:rsidRPr="00642EAE">
              <w:rPr>
                <w:rFonts w:ascii="Arial Narrow" w:eastAsia="Arial Unicode MS" w:hAnsi="Arial Narrow" w:cs="Arial Unicode MS"/>
                <w:color w:val="000000"/>
                <w:sz w:val="20"/>
                <w:u w:color="000000"/>
                <w:bdr w:val="nil"/>
              </w:rPr>
              <w:t>Streamlined</w:t>
            </w:r>
          </w:p>
        </w:tc>
      </w:tr>
      <w:tr w:rsidR="00BF72B1" w:rsidRPr="00642EAE" w:rsidTr="00234AC7">
        <w:trPr>
          <w:trHeight w:val="2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72B1" w:rsidRPr="00642EAE" w:rsidRDefault="00BF72B1" w:rsidP="00234AC7">
            <w:pPr>
              <w:keepNext/>
              <w:widowControl w:val="0"/>
              <w:pBdr>
                <w:top w:val="nil"/>
                <w:left w:val="nil"/>
                <w:bottom w:val="nil"/>
                <w:right w:val="nil"/>
                <w:between w:val="nil"/>
                <w:bar w:val="nil"/>
              </w:pBdr>
              <w:spacing w:before="0" w:after="0" w:line="276" w:lineRule="auto"/>
              <w:jc w:val="both"/>
              <w:rPr>
                <w:rFonts w:eastAsia="Arial Unicode MS" w:cs="Arial Unicode MS"/>
                <w:color w:val="000000"/>
                <w:u w:color="000000"/>
                <w:bdr w:val="nil"/>
              </w:rPr>
            </w:pPr>
            <w:r w:rsidRPr="00642EAE">
              <w:rPr>
                <w:rFonts w:ascii="Arial Narrow" w:eastAsia="Arial Unicode MS" w:hAnsi="Arial Narrow" w:cs="Arial Unicode MS"/>
                <w:b/>
                <w:bCs/>
                <w:color w:val="000000"/>
                <w:sz w:val="20"/>
                <w:szCs w:val="20"/>
                <w:u w:color="000000"/>
                <w:bdr w:val="nil"/>
              </w:rPr>
              <w:t>Clinical criteria:</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72B1" w:rsidRDefault="00BF72B1" w:rsidP="00234AC7">
            <w:pPr>
              <w:keepNext/>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r w:rsidRPr="00642EAE">
              <w:rPr>
                <w:rFonts w:ascii="Arial Narrow" w:eastAsia="Arial Narrow" w:hAnsi="Arial Narrow" w:cs="Arial Narrow"/>
                <w:iCs/>
                <w:color w:val="000000"/>
                <w:sz w:val="20"/>
                <w:szCs w:val="20"/>
                <w:u w:color="000000"/>
                <w:bdr w:val="nil"/>
              </w:rPr>
              <w:t>Patient must have previously received PBS-subsidised treatment with this drug for this condition,</w:t>
            </w:r>
          </w:p>
          <w:p w:rsidR="00BF72B1" w:rsidRPr="00642EAE" w:rsidRDefault="00BF72B1" w:rsidP="00234AC7">
            <w:pPr>
              <w:keepNext/>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p>
          <w:p w:rsidR="00BF72B1" w:rsidRDefault="00BF72B1" w:rsidP="00234AC7">
            <w:pPr>
              <w:keepNext/>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r w:rsidRPr="00642EAE">
              <w:rPr>
                <w:rFonts w:ascii="Arial Narrow" w:eastAsia="Arial Narrow" w:hAnsi="Arial Narrow" w:cs="Arial Narrow"/>
                <w:iCs/>
                <w:color w:val="000000"/>
                <w:sz w:val="20"/>
                <w:szCs w:val="20"/>
                <w:u w:color="000000"/>
                <w:bdr w:val="nil"/>
              </w:rPr>
              <w:t>AND</w:t>
            </w:r>
          </w:p>
          <w:p w:rsidR="00BF72B1" w:rsidRPr="00642EAE" w:rsidRDefault="00BF72B1" w:rsidP="00234AC7">
            <w:pPr>
              <w:keepNext/>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p>
          <w:p w:rsidR="00BF72B1" w:rsidRDefault="00BF72B1" w:rsidP="00234AC7">
            <w:pPr>
              <w:keepNext/>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r w:rsidRPr="00642EAE">
              <w:rPr>
                <w:rFonts w:ascii="Arial Narrow" w:eastAsia="Arial Narrow" w:hAnsi="Arial Narrow" w:cs="Arial Narrow"/>
                <w:iCs/>
                <w:color w:val="000000"/>
                <w:sz w:val="20"/>
                <w:szCs w:val="20"/>
                <w:u w:color="000000"/>
                <w:bdr w:val="nil"/>
              </w:rPr>
              <w:t>Patient must not have progressive disease while receiving PBS-subsidised treatment with this drug for this condition,</w:t>
            </w:r>
          </w:p>
          <w:p w:rsidR="00BF72B1" w:rsidRPr="00642EAE" w:rsidRDefault="00BF72B1" w:rsidP="00234AC7">
            <w:pPr>
              <w:keepNext/>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p>
          <w:p w:rsidR="00BF72B1" w:rsidRDefault="00BF72B1" w:rsidP="00234AC7">
            <w:pPr>
              <w:keepNext/>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r w:rsidRPr="00642EAE">
              <w:rPr>
                <w:rFonts w:ascii="Arial Narrow" w:eastAsia="Arial Narrow" w:hAnsi="Arial Narrow" w:cs="Arial Narrow"/>
                <w:iCs/>
                <w:color w:val="000000"/>
                <w:sz w:val="20"/>
                <w:szCs w:val="20"/>
                <w:u w:color="000000"/>
                <w:bdr w:val="nil"/>
              </w:rPr>
              <w:t>AND</w:t>
            </w:r>
          </w:p>
          <w:p w:rsidR="00BF72B1" w:rsidRPr="00642EAE" w:rsidRDefault="00BF72B1" w:rsidP="00234AC7">
            <w:pPr>
              <w:keepNext/>
              <w:widowControl w:val="0"/>
              <w:pBdr>
                <w:top w:val="nil"/>
                <w:left w:val="nil"/>
                <w:bottom w:val="nil"/>
                <w:right w:val="nil"/>
                <w:between w:val="nil"/>
                <w:bar w:val="nil"/>
              </w:pBdr>
              <w:spacing w:before="0" w:after="0" w:line="276" w:lineRule="auto"/>
              <w:jc w:val="both"/>
              <w:rPr>
                <w:rFonts w:ascii="Arial Narrow" w:eastAsia="Arial Narrow" w:hAnsi="Arial Narrow" w:cs="Arial Narrow"/>
                <w:iCs/>
                <w:color w:val="000000"/>
                <w:sz w:val="20"/>
                <w:szCs w:val="20"/>
                <w:u w:color="000000"/>
                <w:bdr w:val="nil"/>
              </w:rPr>
            </w:pPr>
          </w:p>
          <w:p w:rsidR="00BF72B1" w:rsidRPr="00642EAE" w:rsidRDefault="00BF72B1" w:rsidP="00234AC7">
            <w:pPr>
              <w:keepNext/>
              <w:widowControl w:val="0"/>
              <w:pBdr>
                <w:top w:val="nil"/>
                <w:left w:val="nil"/>
                <w:bottom w:val="nil"/>
                <w:right w:val="nil"/>
                <w:between w:val="nil"/>
                <w:bar w:val="nil"/>
              </w:pBdr>
              <w:spacing w:before="0" w:after="0" w:line="276" w:lineRule="auto"/>
              <w:jc w:val="both"/>
              <w:rPr>
                <w:rFonts w:eastAsia="Arial Unicode MS" w:cs="Arial Unicode MS"/>
                <w:color w:val="000000"/>
                <w:u w:color="000000"/>
                <w:bdr w:val="nil"/>
              </w:rPr>
            </w:pPr>
            <w:r w:rsidRPr="00642EAE">
              <w:rPr>
                <w:rFonts w:ascii="Arial Narrow" w:eastAsia="Arial Narrow" w:hAnsi="Arial Narrow" w:cs="Arial Narrow"/>
                <w:iCs/>
                <w:color w:val="000000"/>
                <w:sz w:val="20"/>
                <w:szCs w:val="20"/>
                <w:u w:color="000000"/>
                <w:bdr w:val="nil"/>
              </w:rPr>
              <w:t xml:space="preserve">The treatment must be a sole PBS-subsidised </w:t>
            </w:r>
            <w:r w:rsidRPr="00703502">
              <w:rPr>
                <w:rFonts w:ascii="Arial Narrow" w:eastAsia="Arial Narrow" w:hAnsi="Arial Narrow" w:cs="Arial Narrow"/>
                <w:iCs/>
                <w:strike/>
                <w:color w:val="000000"/>
                <w:sz w:val="20"/>
                <w:szCs w:val="20"/>
                <w:u w:color="000000"/>
                <w:bdr w:val="nil"/>
              </w:rPr>
              <w:t>systemic treatment with this drug</w:t>
            </w:r>
            <w:r w:rsidRPr="00642EAE">
              <w:rPr>
                <w:rFonts w:ascii="Arial Narrow" w:eastAsia="Arial Narrow" w:hAnsi="Arial Narrow" w:cs="Arial Narrow"/>
                <w:iCs/>
                <w:color w:val="000000"/>
                <w:sz w:val="20"/>
                <w:szCs w:val="20"/>
                <w:u w:color="000000"/>
                <w:bdr w:val="nil"/>
              </w:rPr>
              <w:t xml:space="preserve"> </w:t>
            </w:r>
            <w:r>
              <w:rPr>
                <w:rFonts w:ascii="Arial Narrow" w:eastAsia="Arial Narrow" w:hAnsi="Arial Narrow" w:cs="Arial Narrow"/>
                <w:i/>
                <w:iCs/>
                <w:color w:val="000000"/>
                <w:sz w:val="20"/>
                <w:szCs w:val="20"/>
                <w:u w:color="000000"/>
                <w:bdr w:val="nil"/>
              </w:rPr>
              <w:t xml:space="preserve">therapy </w:t>
            </w:r>
            <w:r w:rsidRPr="00642EAE">
              <w:rPr>
                <w:rFonts w:ascii="Arial Narrow" w:eastAsia="Arial Narrow" w:hAnsi="Arial Narrow" w:cs="Arial Narrow"/>
                <w:iCs/>
                <w:color w:val="000000"/>
                <w:sz w:val="20"/>
                <w:szCs w:val="20"/>
                <w:u w:color="000000"/>
                <w:bdr w:val="nil"/>
              </w:rPr>
              <w:t>for this condition.</w:t>
            </w:r>
          </w:p>
        </w:tc>
      </w:tr>
    </w:tbl>
    <w:p w:rsidR="00BF72B1" w:rsidRPr="000D1058" w:rsidRDefault="00BF72B1" w:rsidP="00BF72B1">
      <w:pPr>
        <w:pStyle w:val="V50InstructionsBullets"/>
        <w:numPr>
          <w:ilvl w:val="0"/>
          <w:numId w:val="0"/>
        </w:numPr>
        <w:ind w:left="714" w:hanging="357"/>
        <w:jc w:val="both"/>
      </w:pPr>
    </w:p>
    <w:p w:rsidR="00BF72B1" w:rsidRPr="00E47CDC" w:rsidRDefault="00BF72B1" w:rsidP="00BF72B1">
      <w:pPr>
        <w:pStyle w:val="V50InstructionsBullets"/>
        <w:numPr>
          <w:ilvl w:val="1"/>
          <w:numId w:val="1"/>
        </w:numPr>
        <w:spacing w:after="120"/>
        <w:jc w:val="both"/>
      </w:pPr>
      <w:r w:rsidRPr="00E47CDC">
        <w:rPr>
          <w:color w:val="auto"/>
        </w:rPr>
        <w:t>The current resubmission proposed a lower effective ex-manufacturer price per vial ($</w:t>
      </w:r>
      <w:r>
        <w:rPr>
          <w:noProof/>
          <w:color w:val="000000"/>
          <w:highlight w:val="black"/>
        </w:rPr>
        <w:t>''''''''''''</w:t>
      </w:r>
      <w:r w:rsidRPr="00E47CDC">
        <w:rPr>
          <w:color w:val="auto"/>
        </w:rPr>
        <w:t>) compared to the November 2016 submission ($</w:t>
      </w:r>
      <w:r>
        <w:rPr>
          <w:noProof/>
          <w:color w:val="000000"/>
          <w:highlight w:val="black"/>
        </w:rPr>
        <w:t>''''''''''''''''''</w:t>
      </w:r>
      <w:r w:rsidRPr="00E47CDC">
        <w:rPr>
          <w:color w:val="auto"/>
        </w:rPr>
        <w:t xml:space="preserve">). </w:t>
      </w:r>
    </w:p>
    <w:p w:rsidR="00BF72B1" w:rsidRDefault="00BF72B1" w:rsidP="00BF72B1">
      <w:pPr>
        <w:pStyle w:val="V50InstructionsBullets"/>
        <w:numPr>
          <w:ilvl w:val="1"/>
          <w:numId w:val="1"/>
        </w:numPr>
        <w:spacing w:after="120"/>
        <w:jc w:val="both"/>
        <w:rPr>
          <w:color w:val="auto"/>
        </w:rPr>
      </w:pPr>
      <w:r w:rsidRPr="00E47CDC">
        <w:rPr>
          <w:color w:val="auto"/>
        </w:rPr>
        <w:t>The maximum amount and number of repeats were appropriate. However</w:t>
      </w:r>
      <w:r w:rsidRPr="00EA2518">
        <w:rPr>
          <w:color w:val="auto"/>
        </w:rPr>
        <w:t xml:space="preserve">, the resubmission calculated the published DPMA based on a maximum dose of 31 mg rather than a maximum of four vials that will be required to achieve the dose of 31 mg (they did not calculate the effective </w:t>
      </w:r>
      <w:r w:rsidRPr="00E47CDC">
        <w:rPr>
          <w:color w:val="auto"/>
        </w:rPr>
        <w:t>DPMA). The published DPMAs for romidepsin were recalculated in the evaluation to be $</w:t>
      </w:r>
      <w:r>
        <w:rPr>
          <w:noProof/>
          <w:color w:val="000000"/>
          <w:highlight w:val="black"/>
        </w:rPr>
        <w:t>''''''''''''''''</w:t>
      </w:r>
      <w:r w:rsidRPr="00E47CDC">
        <w:rPr>
          <w:color w:val="auto"/>
        </w:rPr>
        <w:t xml:space="preserve"> (public hospital; </w:t>
      </w:r>
      <w:r w:rsidRPr="00E47CDC">
        <w:rPr>
          <w:rFonts w:eastAsiaTheme="majorEastAsia"/>
          <w:color w:val="auto"/>
          <w:lang w:eastAsia="ja-JP"/>
        </w:rPr>
        <w:t>$</w:t>
      </w:r>
      <w:r>
        <w:rPr>
          <w:rFonts w:eastAsiaTheme="majorEastAsia"/>
          <w:noProof/>
          <w:color w:val="000000"/>
          <w:highlight w:val="black"/>
          <w:lang w:eastAsia="ja-JP"/>
        </w:rPr>
        <w:t>'''''''''''''''''</w:t>
      </w:r>
      <w:r w:rsidRPr="00E47CDC">
        <w:rPr>
          <w:rFonts w:eastAsiaTheme="majorEastAsia"/>
          <w:color w:val="auto"/>
          <w:lang w:eastAsia="ja-JP"/>
        </w:rPr>
        <w:t xml:space="preserve"> in the resubmission</w:t>
      </w:r>
      <w:r w:rsidRPr="00E47CDC">
        <w:rPr>
          <w:color w:val="auto"/>
        </w:rPr>
        <w:t>) and $</w:t>
      </w:r>
      <w:r>
        <w:rPr>
          <w:noProof/>
          <w:color w:val="000000"/>
          <w:highlight w:val="black"/>
        </w:rPr>
        <w:t>'''''''''''''''''''</w:t>
      </w:r>
      <w:r w:rsidRPr="00E47CDC">
        <w:rPr>
          <w:color w:val="auto"/>
        </w:rPr>
        <w:t xml:space="preserve"> (private hospital; </w:t>
      </w:r>
      <w:r w:rsidRPr="00E47CDC">
        <w:rPr>
          <w:rFonts w:eastAsiaTheme="majorEastAsia"/>
          <w:color w:val="auto"/>
          <w:lang w:eastAsia="ja-JP"/>
        </w:rPr>
        <w:t>$</w:t>
      </w:r>
      <w:r>
        <w:rPr>
          <w:rFonts w:eastAsiaTheme="majorEastAsia"/>
          <w:noProof/>
          <w:color w:val="000000"/>
          <w:highlight w:val="black"/>
          <w:lang w:eastAsia="ja-JP"/>
        </w:rPr>
        <w:t>'''''''''''''''</w:t>
      </w:r>
      <w:r w:rsidRPr="00E47CDC">
        <w:rPr>
          <w:rFonts w:eastAsiaTheme="majorEastAsia"/>
          <w:color w:val="auto"/>
          <w:lang w:eastAsia="ja-JP"/>
        </w:rPr>
        <w:t xml:space="preserve"> in the resubmission</w:t>
      </w:r>
      <w:r w:rsidRPr="00E47CDC">
        <w:rPr>
          <w:color w:val="auto"/>
        </w:rPr>
        <w:t>) using four vials and most recent dispensing fees.</w:t>
      </w:r>
    </w:p>
    <w:p w:rsidR="00BF72B1" w:rsidRPr="00883A94" w:rsidRDefault="00BF72B1" w:rsidP="00BF72B1">
      <w:pPr>
        <w:pStyle w:val="PBACHeading1"/>
        <w:numPr>
          <w:ilvl w:val="0"/>
          <w:numId w:val="0"/>
        </w:numPr>
        <w:ind w:left="720"/>
        <w:rPr>
          <w:rFonts w:asciiTheme="minorHAnsi" w:hAnsiTheme="minorHAnsi"/>
          <w:b w:val="0"/>
          <w:i/>
          <w:sz w:val="24"/>
        </w:rPr>
      </w:pPr>
      <w:r w:rsidRPr="00883A94">
        <w:rPr>
          <w:rFonts w:asciiTheme="minorHAnsi" w:hAnsiTheme="minorHAnsi"/>
          <w:b w:val="0"/>
          <w:i/>
          <w:sz w:val="24"/>
        </w:rPr>
        <w:t>For more detail on PBAC’s view, see section 7 PBAC outcome.</w:t>
      </w:r>
    </w:p>
    <w:p w:rsidR="00BF72B1" w:rsidRPr="00455174" w:rsidRDefault="00BF72B1" w:rsidP="00BF72B1">
      <w:pPr>
        <w:pStyle w:val="Heading1"/>
        <w:ind w:left="709" w:hanging="709"/>
      </w:pPr>
      <w:bookmarkStart w:id="6" w:name="_Toc496529121"/>
      <w:bookmarkStart w:id="7" w:name="_Toc497395992"/>
      <w:bookmarkEnd w:id="4"/>
      <w:bookmarkEnd w:id="5"/>
      <w:r w:rsidRPr="00455174">
        <w:t>Background</w:t>
      </w:r>
      <w:bookmarkEnd w:id="6"/>
      <w:bookmarkEnd w:id="7"/>
    </w:p>
    <w:p w:rsidR="00BF72B1" w:rsidRPr="00BF72B1" w:rsidRDefault="00BF72B1" w:rsidP="00BF72B1">
      <w:pPr>
        <w:pStyle w:val="BodyText1"/>
      </w:pPr>
      <w:bookmarkStart w:id="8" w:name="_Toc496529122"/>
      <w:bookmarkStart w:id="9" w:name="_Toc497395993"/>
      <w:r w:rsidRPr="00BF72B1">
        <w:t>Registration status</w:t>
      </w:r>
      <w:bookmarkEnd w:id="8"/>
      <w:bookmarkEnd w:id="9"/>
    </w:p>
    <w:p w:rsidR="00BF72B1" w:rsidRPr="00883A94" w:rsidRDefault="00BF72B1" w:rsidP="00BF72B1">
      <w:pPr>
        <w:pStyle w:val="ListParagraph"/>
        <w:numPr>
          <w:ilvl w:val="1"/>
          <w:numId w:val="1"/>
        </w:numPr>
        <w:spacing w:before="0" w:after="120"/>
        <w:jc w:val="both"/>
      </w:pPr>
      <w:r w:rsidRPr="00883A94">
        <w:t>Romidepsin was TGA registered on 7 August 2013 for the treatment of peripheral T-cell lymphoma in patients who have received at least one prior systemic therapy.</w:t>
      </w:r>
    </w:p>
    <w:p w:rsidR="00BF72B1" w:rsidRDefault="00BF72B1" w:rsidP="00BF72B1">
      <w:pPr>
        <w:pStyle w:val="BodyText1"/>
      </w:pPr>
      <w:bookmarkStart w:id="10" w:name="_Toc496529123"/>
      <w:bookmarkStart w:id="11" w:name="_Toc497395994"/>
      <w:r>
        <w:t>Previous PBAC consideration</w:t>
      </w:r>
      <w:bookmarkEnd w:id="10"/>
      <w:bookmarkEnd w:id="11"/>
    </w:p>
    <w:p w:rsidR="00BF72B1" w:rsidRPr="00D20816" w:rsidRDefault="00BF72B1" w:rsidP="00BF72B1">
      <w:pPr>
        <w:pStyle w:val="ListParagraph"/>
        <w:numPr>
          <w:ilvl w:val="1"/>
          <w:numId w:val="1"/>
        </w:numPr>
        <w:spacing w:before="0" w:after="120"/>
        <w:jc w:val="both"/>
        <w:rPr>
          <w:rFonts w:ascii="Arial Narrow" w:eastAsia="SimSun" w:hAnsi="Arial Narrow" w:cs="Times New Roman"/>
          <w:b/>
          <w:sz w:val="20"/>
          <w:szCs w:val="20"/>
          <w:lang w:eastAsia="en-AU"/>
        </w:rPr>
      </w:pPr>
      <w:r w:rsidRPr="000F7B11">
        <w:t>Romidepsin for the treatment of relapsed or refractory PTCL has been considered by the PBAC on one previous occasion as a major submission in November 201</w:t>
      </w:r>
      <w:r>
        <w:t>6</w:t>
      </w:r>
      <w:r w:rsidRPr="000F7B11">
        <w:t xml:space="preserve">. A summary of outstanding matters of concern to the PBAC are presented in Table </w:t>
      </w:r>
      <w:r>
        <w:t xml:space="preserve">2. </w:t>
      </w:r>
    </w:p>
    <w:p w:rsidR="00BF72B1" w:rsidRDefault="00BF72B1" w:rsidP="00BF72B1">
      <w:pPr>
        <w:spacing w:before="0" w:line="259" w:lineRule="auto"/>
        <w:rPr>
          <w:rFonts w:ascii="Arial Narrow" w:eastAsia="Times New Roman" w:hAnsi="Arial Narrow" w:cs="Arial"/>
          <w:b/>
          <w:snapToGrid w:val="0"/>
          <w:sz w:val="20"/>
          <w:szCs w:val="20"/>
        </w:rPr>
      </w:pPr>
      <w:r>
        <w:rPr>
          <w:rFonts w:ascii="Arial Narrow" w:hAnsi="Arial Narrow"/>
          <w:sz w:val="20"/>
          <w:szCs w:val="20"/>
        </w:rPr>
        <w:br w:type="page"/>
      </w:r>
    </w:p>
    <w:p w:rsidR="00544932" w:rsidRPr="00544932" w:rsidRDefault="00544932" w:rsidP="00544932">
      <w:pPr>
        <w:pStyle w:val="Caption"/>
        <w:rPr>
          <w:rFonts w:ascii="Arial Narrow" w:hAnsi="Arial Narrow"/>
        </w:rPr>
      </w:pPr>
      <w:r w:rsidRPr="00544932">
        <w:rPr>
          <w:rFonts w:ascii="Arial Narrow" w:hAnsi="Arial Narrow"/>
        </w:rPr>
        <w:lastRenderedPageBreak/>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2</w:t>
      </w:r>
      <w:r w:rsidRPr="00544932">
        <w:rPr>
          <w:rFonts w:ascii="Arial Narrow" w:hAnsi="Arial Narrow"/>
        </w:rPr>
        <w:fldChar w:fldCharType="end"/>
      </w:r>
      <w:r w:rsidRPr="00544932">
        <w:rPr>
          <w:rFonts w:ascii="Arial Narrow" w:hAnsi="Arial Narrow"/>
        </w:rPr>
        <w:t>: Outstanding matters of concern from November 2016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Outstanding matters of concern from November 2016 submission"/>
      </w:tblPr>
      <w:tblGrid>
        <w:gridCol w:w="1306"/>
        <w:gridCol w:w="4109"/>
        <w:gridCol w:w="3667"/>
      </w:tblGrid>
      <w:tr w:rsidR="00BF72B1" w:rsidRPr="006A59DB" w:rsidTr="00544932">
        <w:trPr>
          <w:tblHeader/>
        </w:trPr>
        <w:tc>
          <w:tcPr>
            <w:tcW w:w="719" w:type="pct"/>
          </w:tcPr>
          <w:p w:rsidR="00BF72B1" w:rsidRPr="006A59DB" w:rsidRDefault="00BF72B1" w:rsidP="00234AC7">
            <w:pPr>
              <w:pStyle w:val="TableText"/>
              <w:rPr>
                <w:b/>
              </w:rPr>
            </w:pPr>
            <w:r w:rsidRPr="006A59DB">
              <w:rPr>
                <w:b/>
              </w:rPr>
              <w:t>Component</w:t>
            </w:r>
          </w:p>
        </w:tc>
        <w:tc>
          <w:tcPr>
            <w:tcW w:w="2262" w:type="pct"/>
            <w:shd w:val="clear" w:color="auto" w:fill="auto"/>
          </w:tcPr>
          <w:p w:rsidR="00BF72B1" w:rsidRPr="006A59DB" w:rsidRDefault="00BF72B1" w:rsidP="00234AC7">
            <w:pPr>
              <w:pStyle w:val="TableText"/>
              <w:ind w:right="114"/>
              <w:rPr>
                <w:b/>
              </w:rPr>
            </w:pPr>
            <w:r w:rsidRPr="006A59DB">
              <w:rPr>
                <w:b/>
              </w:rPr>
              <w:t>Matter of concern</w:t>
            </w:r>
          </w:p>
        </w:tc>
        <w:tc>
          <w:tcPr>
            <w:tcW w:w="2019" w:type="pct"/>
            <w:shd w:val="clear" w:color="auto" w:fill="auto"/>
          </w:tcPr>
          <w:p w:rsidR="00BF72B1" w:rsidRPr="00C0791A" w:rsidRDefault="00BF72B1" w:rsidP="00234AC7">
            <w:pPr>
              <w:pStyle w:val="TableText"/>
              <w:rPr>
                <w:b/>
              </w:rPr>
            </w:pPr>
            <w:r w:rsidRPr="00C0791A">
              <w:rPr>
                <w:b/>
              </w:rPr>
              <w:t>How the resubmission addresses it</w:t>
            </w:r>
          </w:p>
        </w:tc>
      </w:tr>
      <w:tr w:rsidR="00BF72B1" w:rsidRPr="00FF610D" w:rsidTr="00544932">
        <w:tc>
          <w:tcPr>
            <w:tcW w:w="719" w:type="pct"/>
          </w:tcPr>
          <w:p w:rsidR="00BF72B1" w:rsidRDefault="00BF72B1" w:rsidP="00234AC7">
            <w:pPr>
              <w:pStyle w:val="TableText"/>
            </w:pPr>
            <w:r>
              <w:rPr>
                <w:rFonts w:eastAsia="Times New Roman" w:cs="Arial"/>
                <w:snapToGrid w:val="0"/>
                <w:szCs w:val="20"/>
              </w:rPr>
              <w:t>Clinical evaluation</w:t>
            </w:r>
          </w:p>
        </w:tc>
        <w:tc>
          <w:tcPr>
            <w:tcW w:w="2262" w:type="pct"/>
            <w:shd w:val="clear" w:color="auto" w:fill="auto"/>
          </w:tcPr>
          <w:p w:rsidR="00BF72B1" w:rsidRPr="00690D67" w:rsidRDefault="00BF72B1" w:rsidP="00234AC7">
            <w:pPr>
              <w:keepNext/>
              <w:pBdr>
                <w:top w:val="nil"/>
                <w:left w:val="nil"/>
                <w:bottom w:val="nil"/>
                <w:right w:val="nil"/>
                <w:between w:val="nil"/>
                <w:bar w:val="nil"/>
              </w:pBdr>
              <w:spacing w:before="0" w:after="0"/>
              <w:ind w:right="114"/>
              <w:jc w:val="both"/>
              <w:rPr>
                <w:rFonts w:ascii="Arial Narrow" w:hAnsi="Arial Narrow"/>
                <w:sz w:val="20"/>
              </w:rPr>
            </w:pPr>
            <w:r w:rsidRPr="00C1552F">
              <w:rPr>
                <w:rFonts w:ascii="Arial Narrow" w:eastAsia="Times New Roman" w:hAnsi="Arial Narrow" w:cs="Arial"/>
                <w:snapToGrid w:val="0"/>
                <w:sz w:val="20"/>
                <w:szCs w:val="20"/>
              </w:rPr>
              <w:t>The PBAC considered the efficacy and safety data were difficult to assess in the absence of a comparative analysis</w:t>
            </w:r>
            <w:r>
              <w:rPr>
                <w:rFonts w:ascii="Arial Narrow" w:eastAsia="Times New Roman" w:hAnsi="Arial Narrow" w:cs="Arial"/>
                <w:snapToGrid w:val="0"/>
                <w:sz w:val="20"/>
                <w:szCs w:val="20"/>
              </w:rPr>
              <w:t xml:space="preserve">. </w:t>
            </w:r>
            <w:r w:rsidRPr="00C1552F">
              <w:rPr>
                <w:rFonts w:ascii="Arial Narrow" w:eastAsia="Times New Roman" w:hAnsi="Arial Narrow" w:cs="Arial"/>
                <w:snapToGrid w:val="0"/>
                <w:sz w:val="20"/>
                <w:szCs w:val="20"/>
              </w:rPr>
              <w:t>The PBAC noted the ESC’s advice that t</w:t>
            </w:r>
            <w:r>
              <w:rPr>
                <w:rFonts w:ascii="Arial Narrow" w:eastAsia="Times New Roman" w:hAnsi="Arial Narrow" w:cs="Arial"/>
                <w:snapToGrid w:val="0"/>
                <w:sz w:val="20"/>
                <w:szCs w:val="20"/>
              </w:rPr>
              <w:t>he</w:t>
            </w:r>
            <w:r w:rsidRPr="00C1552F">
              <w:rPr>
                <w:rFonts w:ascii="Arial Narrow" w:eastAsia="Times New Roman" w:hAnsi="Arial Narrow" w:cs="Arial"/>
                <w:snapToGrid w:val="0"/>
                <w:sz w:val="20"/>
                <w:szCs w:val="20"/>
              </w:rPr>
              <w:t xml:space="preserve"> application to the TGA for registration of romidepsin included a comparison with historical controls, which was not provided in the PBAC submission. The PBAC would have welcomed an opportunity to assess this analysis, particularly as a means of establishing if current treatments offer meaningful benefit to patients and for giving context to the durable responses to romidepsin as seen in some PTCL patients.</w:t>
            </w:r>
            <w:r>
              <w:rPr>
                <w:rFonts w:ascii="Arial Narrow" w:eastAsia="Times New Roman" w:hAnsi="Arial Narrow" w:cs="Arial"/>
                <w:snapToGrid w:val="0"/>
                <w:sz w:val="20"/>
                <w:szCs w:val="20"/>
              </w:rPr>
              <w:t xml:space="preserve"> (para 7.4, Nov 16 romidepsin PSD) </w:t>
            </w:r>
          </w:p>
        </w:tc>
        <w:tc>
          <w:tcPr>
            <w:tcW w:w="2019" w:type="pct"/>
            <w:shd w:val="clear" w:color="auto" w:fill="auto"/>
          </w:tcPr>
          <w:p w:rsidR="00BF72B1" w:rsidRPr="00C0791A" w:rsidRDefault="00BF72B1" w:rsidP="00234AC7">
            <w:pPr>
              <w:pStyle w:val="TableText"/>
              <w:rPr>
                <w:rFonts w:eastAsia="Times New Roman" w:cs="Arial"/>
                <w:snapToGrid w:val="0"/>
                <w:szCs w:val="20"/>
              </w:rPr>
            </w:pPr>
            <w:r w:rsidRPr="00C0791A">
              <w:rPr>
                <w:rFonts w:eastAsia="Times New Roman" w:cs="Arial"/>
                <w:snapToGrid w:val="0"/>
                <w:szCs w:val="20"/>
              </w:rPr>
              <w:t xml:space="preserve">The resubmission presented a comparison with historical (external) control data set representing a treatment career without romidepsin (205 patients). This was the same external dataset as presented to the TGA. </w:t>
            </w:r>
          </w:p>
        </w:tc>
      </w:tr>
      <w:tr w:rsidR="00BF72B1" w:rsidRPr="00FF610D" w:rsidTr="00544932">
        <w:tc>
          <w:tcPr>
            <w:tcW w:w="719" w:type="pct"/>
          </w:tcPr>
          <w:p w:rsidR="00BF72B1" w:rsidRDefault="00BF72B1" w:rsidP="00234AC7">
            <w:pPr>
              <w:pStyle w:val="TableText"/>
              <w:keepNext w:val="0"/>
              <w:widowControl w:val="0"/>
            </w:pPr>
          </w:p>
        </w:tc>
        <w:tc>
          <w:tcPr>
            <w:tcW w:w="2262" w:type="pct"/>
            <w:shd w:val="clear" w:color="auto" w:fill="auto"/>
          </w:tcPr>
          <w:p w:rsidR="00BF72B1" w:rsidRPr="00A34375" w:rsidRDefault="00BF72B1" w:rsidP="00234AC7">
            <w:pPr>
              <w:widowControl w:val="0"/>
              <w:pBdr>
                <w:top w:val="nil"/>
                <w:left w:val="nil"/>
                <w:bottom w:val="nil"/>
                <w:right w:val="nil"/>
                <w:between w:val="nil"/>
                <w:bar w:val="nil"/>
              </w:pBdr>
              <w:spacing w:before="0" w:after="0"/>
              <w:ind w:right="114"/>
              <w:jc w:val="both"/>
              <w:rPr>
                <w:rFonts w:ascii="Arial Narrow" w:eastAsia="Times New Roman" w:hAnsi="Arial Narrow" w:cs="Arial"/>
                <w:snapToGrid w:val="0"/>
                <w:sz w:val="20"/>
                <w:szCs w:val="20"/>
              </w:rPr>
            </w:pPr>
            <w:r>
              <w:rPr>
                <w:rFonts w:ascii="Arial Narrow" w:eastAsia="Times New Roman" w:hAnsi="Arial Narrow" w:cs="Arial"/>
                <w:snapToGrid w:val="0"/>
                <w:sz w:val="20"/>
                <w:szCs w:val="20"/>
              </w:rPr>
              <w:t>T</w:t>
            </w:r>
            <w:r w:rsidRPr="00F9790C">
              <w:rPr>
                <w:rFonts w:ascii="Arial Narrow" w:eastAsia="Times New Roman" w:hAnsi="Arial Narrow" w:cs="Arial"/>
                <w:snapToGrid w:val="0"/>
                <w:sz w:val="20"/>
                <w:szCs w:val="20"/>
              </w:rPr>
              <w:t xml:space="preserve">he PBAC </w:t>
            </w:r>
            <w:r>
              <w:rPr>
                <w:rFonts w:ascii="Arial Narrow" w:eastAsia="Times New Roman" w:hAnsi="Arial Narrow" w:cs="Arial"/>
                <w:snapToGrid w:val="0"/>
                <w:sz w:val="20"/>
                <w:szCs w:val="20"/>
              </w:rPr>
              <w:t>noted</w:t>
            </w:r>
            <w:r w:rsidRPr="00F9790C">
              <w:rPr>
                <w:rFonts w:ascii="Arial Narrow" w:eastAsia="Times New Roman" w:hAnsi="Arial Narrow" w:cs="Arial"/>
                <w:snapToGrid w:val="0"/>
                <w:sz w:val="20"/>
                <w:szCs w:val="20"/>
              </w:rPr>
              <w:t xml:space="preserve"> the heterogeneity of the PTCL patient population and was consequently uncertain as to the applicability of the trial results to the various PTCL subtypes</w:t>
            </w:r>
            <w:r>
              <w:rPr>
                <w:rFonts w:ascii="Arial Narrow" w:eastAsia="Times New Roman" w:hAnsi="Arial Narrow" w:cs="Arial"/>
                <w:snapToGrid w:val="0"/>
                <w:sz w:val="20"/>
                <w:szCs w:val="20"/>
              </w:rPr>
              <w:t>. (para 7.5, Nov 16 romidepsin PSD)</w:t>
            </w:r>
          </w:p>
        </w:tc>
        <w:tc>
          <w:tcPr>
            <w:tcW w:w="2019" w:type="pct"/>
            <w:shd w:val="clear" w:color="auto" w:fill="auto"/>
          </w:tcPr>
          <w:p w:rsidR="00BF72B1" w:rsidRPr="00C0791A" w:rsidRDefault="00BF72B1" w:rsidP="00234AC7">
            <w:pPr>
              <w:pStyle w:val="TableText"/>
              <w:keepNext w:val="0"/>
              <w:widowControl w:val="0"/>
            </w:pPr>
            <w:r>
              <w:rPr>
                <w:rFonts w:eastAsia="Times New Roman" w:cs="Arial"/>
                <w:snapToGrid w:val="0"/>
                <w:szCs w:val="20"/>
              </w:rPr>
              <w:t xml:space="preserve">The resubmission presents some discussion of representation of the different PTCL subtypes in Section 2, and some results are presented according to subtype. </w:t>
            </w:r>
            <w:r w:rsidRPr="00EA2518">
              <w:rPr>
                <w:rFonts w:eastAsia="Times New Roman" w:cs="Arial"/>
                <w:snapToGrid w:val="0"/>
                <w:szCs w:val="20"/>
              </w:rPr>
              <w:t>Given the small numbers of patients, this issue is difficult to address.</w:t>
            </w:r>
          </w:p>
        </w:tc>
      </w:tr>
      <w:tr w:rsidR="00BF72B1" w:rsidRPr="00FF610D" w:rsidTr="00544932">
        <w:tc>
          <w:tcPr>
            <w:tcW w:w="719" w:type="pct"/>
          </w:tcPr>
          <w:p w:rsidR="00BF72B1" w:rsidRPr="006A59DB" w:rsidRDefault="00BF72B1" w:rsidP="00234AC7">
            <w:pPr>
              <w:pStyle w:val="TableText"/>
              <w:keepNext w:val="0"/>
              <w:widowControl w:val="0"/>
            </w:pPr>
            <w:r>
              <w:t>Economic evaluation</w:t>
            </w:r>
          </w:p>
        </w:tc>
        <w:tc>
          <w:tcPr>
            <w:tcW w:w="2262" w:type="pct"/>
            <w:shd w:val="clear" w:color="auto" w:fill="auto"/>
          </w:tcPr>
          <w:p w:rsidR="00BF72B1" w:rsidRPr="006A59DB" w:rsidRDefault="00BF72B1" w:rsidP="00234AC7">
            <w:pPr>
              <w:pStyle w:val="TableText"/>
              <w:keepNext w:val="0"/>
              <w:widowControl w:val="0"/>
              <w:ind w:right="114"/>
            </w:pPr>
            <w:r>
              <w:t>T</w:t>
            </w:r>
            <w:r w:rsidRPr="00FA0177">
              <w:t>he comparator arm</w:t>
            </w:r>
            <w:r>
              <w:t xml:space="preserve"> was populated with </w:t>
            </w:r>
            <w:r w:rsidRPr="00FA0177">
              <w:t>data, from patients who progressed or died within 6 months of receiving a HDAC inhibitor (thereby ensuring progression free survival in this arm of less tha</w:t>
            </w:r>
            <w:r>
              <w:t>n 6 months)</w:t>
            </w:r>
            <w:r w:rsidRPr="00FA0177">
              <w:t>.</w:t>
            </w:r>
            <w:r>
              <w:t xml:space="preserve"> By contrast</w:t>
            </w:r>
            <w:r w:rsidRPr="00FA0177">
              <w:t xml:space="preserve"> responders were selected on the basis of a time to next treatment (TTNT) of greater than 6 months. The PBAC considered that these assumptions biased the survival rates in favour of romidepsin, and were not well justified </w:t>
            </w:r>
            <w:r>
              <w:rPr>
                <w:rFonts w:eastAsia="Times New Roman" w:cs="Arial"/>
                <w:snapToGrid w:val="0"/>
                <w:szCs w:val="20"/>
              </w:rPr>
              <w:t>(para 7.7, Nov 16 romidepsin PSD)</w:t>
            </w:r>
            <w:r>
              <w:t>.</w:t>
            </w:r>
          </w:p>
        </w:tc>
        <w:tc>
          <w:tcPr>
            <w:tcW w:w="2019" w:type="pct"/>
            <w:shd w:val="clear" w:color="auto" w:fill="auto"/>
          </w:tcPr>
          <w:p w:rsidR="00BF72B1" w:rsidRPr="00C0791A" w:rsidRDefault="00BF72B1" w:rsidP="00234AC7">
            <w:pPr>
              <w:pStyle w:val="TableText"/>
              <w:keepNext w:val="0"/>
              <w:widowControl w:val="0"/>
            </w:pPr>
            <w:r w:rsidRPr="00C0791A">
              <w:t xml:space="preserve">The resubmission model presents historical control data from three sources to represent a “standard care” arm compared to data in the romidepsin treatment arm (from key Study 0002) </w:t>
            </w:r>
          </w:p>
        </w:tc>
      </w:tr>
      <w:tr w:rsidR="00BF72B1" w:rsidRPr="00FF610D" w:rsidTr="00544932">
        <w:tc>
          <w:tcPr>
            <w:tcW w:w="719" w:type="pct"/>
          </w:tcPr>
          <w:p w:rsidR="00BF72B1" w:rsidRDefault="00BF72B1" w:rsidP="00234AC7">
            <w:pPr>
              <w:pStyle w:val="TableText"/>
              <w:keepNext w:val="0"/>
              <w:widowControl w:val="0"/>
            </w:pPr>
          </w:p>
        </w:tc>
        <w:tc>
          <w:tcPr>
            <w:tcW w:w="2262" w:type="pct"/>
            <w:shd w:val="clear" w:color="auto" w:fill="auto"/>
          </w:tcPr>
          <w:p w:rsidR="00BF72B1" w:rsidRPr="000722E5" w:rsidRDefault="00BF72B1" w:rsidP="00234AC7">
            <w:pPr>
              <w:pStyle w:val="TableText"/>
              <w:keepNext w:val="0"/>
              <w:widowControl w:val="0"/>
              <w:ind w:right="114"/>
              <w:rPr>
                <w:rFonts w:eastAsia="Times New Roman" w:cs="Times New Roman"/>
                <w:color w:val="00000A"/>
                <w:szCs w:val="20"/>
              </w:rPr>
            </w:pPr>
            <w:r>
              <w:rPr>
                <w:rFonts w:eastAsia="Times New Roman" w:cs="Times New Roman"/>
                <w:color w:val="00000A"/>
                <w:szCs w:val="20"/>
              </w:rPr>
              <w:t>A</w:t>
            </w:r>
            <w:r w:rsidRPr="00FA0177">
              <w:rPr>
                <w:rFonts w:eastAsia="Times New Roman" w:cs="Times New Roman"/>
                <w:color w:val="00000A"/>
                <w:szCs w:val="20"/>
              </w:rPr>
              <w:t xml:space="preserve"> surrogate relationship was assumed to apply between response in PTCL and the median durations of PFS and OS from the registry. This translation from a surrogate outcome (response) to a final outcome (survival) was not sufficiently substantiated in the submission</w:t>
            </w:r>
            <w:r>
              <w:rPr>
                <w:rFonts w:eastAsia="Times New Roman" w:cs="Times New Roman"/>
                <w:color w:val="00000A"/>
                <w:szCs w:val="20"/>
              </w:rPr>
              <w:t xml:space="preserve">. </w:t>
            </w:r>
            <w:r>
              <w:rPr>
                <w:rFonts w:eastAsia="Times New Roman" w:cs="Arial"/>
                <w:snapToGrid w:val="0"/>
                <w:szCs w:val="20"/>
              </w:rPr>
              <w:t>(</w:t>
            </w:r>
            <w:proofErr w:type="gramStart"/>
            <w:r>
              <w:rPr>
                <w:rFonts w:eastAsia="Times New Roman" w:cs="Arial"/>
                <w:snapToGrid w:val="0"/>
                <w:szCs w:val="20"/>
              </w:rPr>
              <w:t>para</w:t>
            </w:r>
            <w:proofErr w:type="gramEnd"/>
            <w:r>
              <w:rPr>
                <w:rFonts w:eastAsia="Times New Roman" w:cs="Arial"/>
                <w:snapToGrid w:val="0"/>
                <w:szCs w:val="20"/>
              </w:rPr>
              <w:t xml:space="preserve"> 6.20, Nov 16 romidepsin PSD)</w:t>
            </w:r>
            <w:r>
              <w:t>.</w:t>
            </w:r>
          </w:p>
        </w:tc>
        <w:tc>
          <w:tcPr>
            <w:tcW w:w="2019" w:type="pct"/>
            <w:shd w:val="clear" w:color="auto" w:fill="auto"/>
          </w:tcPr>
          <w:p w:rsidR="00BF72B1" w:rsidRPr="00C0791A" w:rsidRDefault="00BF72B1" w:rsidP="00234AC7">
            <w:pPr>
              <w:pStyle w:val="TableText"/>
              <w:keepNext w:val="0"/>
              <w:widowControl w:val="0"/>
            </w:pPr>
            <w:r w:rsidRPr="00C0791A">
              <w:t>The resubmission model draws survival directly from the KM curves resulting from each of the control and Study 0002 datasets and assumes a 35.4% PFS period in each arm (based on direct observation from Study 0002).</w:t>
            </w:r>
          </w:p>
        </w:tc>
      </w:tr>
      <w:tr w:rsidR="00BF72B1" w:rsidRPr="00FF610D" w:rsidTr="00544932">
        <w:tc>
          <w:tcPr>
            <w:tcW w:w="719" w:type="pct"/>
          </w:tcPr>
          <w:p w:rsidR="00BF72B1" w:rsidRDefault="00BF72B1" w:rsidP="00234AC7">
            <w:pPr>
              <w:pStyle w:val="TableText"/>
              <w:keepNext w:val="0"/>
              <w:widowControl w:val="0"/>
            </w:pPr>
          </w:p>
        </w:tc>
        <w:tc>
          <w:tcPr>
            <w:tcW w:w="2262" w:type="pct"/>
            <w:shd w:val="clear" w:color="auto" w:fill="auto"/>
          </w:tcPr>
          <w:p w:rsidR="00BF72B1" w:rsidRDefault="00BF72B1" w:rsidP="00234AC7">
            <w:pPr>
              <w:pStyle w:val="TableText"/>
              <w:keepNext w:val="0"/>
              <w:widowControl w:val="0"/>
              <w:ind w:right="114"/>
              <w:rPr>
                <w:rFonts w:eastAsia="Times New Roman" w:cs="Times New Roman"/>
                <w:color w:val="00000A"/>
                <w:szCs w:val="20"/>
              </w:rPr>
            </w:pPr>
            <w:r w:rsidRPr="00FA0177">
              <w:rPr>
                <w:rFonts w:eastAsia="Times New Roman" w:cs="Times New Roman"/>
                <w:color w:val="00000A"/>
                <w:szCs w:val="20"/>
              </w:rPr>
              <w:t>Costs of concomitant therapies or disease monitoring (for romidepsin) or the costs of active therapies/best supportive care (for the comparator) were not included in the model; excluding these costs resulted in biases in both directions, so the overall effect was unclear. The PBAC considered that this was a fundamental source of uncertainty in the economic analysis.</w:t>
            </w:r>
            <w:r>
              <w:rPr>
                <w:rFonts w:eastAsia="Times New Roman" w:cs="Times New Roman"/>
                <w:color w:val="00000A"/>
                <w:szCs w:val="20"/>
              </w:rPr>
              <w:t xml:space="preserve"> </w:t>
            </w:r>
            <w:r>
              <w:rPr>
                <w:rFonts w:eastAsia="Times New Roman" w:cs="Arial"/>
                <w:snapToGrid w:val="0"/>
                <w:szCs w:val="20"/>
              </w:rPr>
              <w:t>(</w:t>
            </w:r>
            <w:proofErr w:type="gramStart"/>
            <w:r>
              <w:rPr>
                <w:rFonts w:eastAsia="Times New Roman" w:cs="Arial"/>
                <w:snapToGrid w:val="0"/>
                <w:szCs w:val="20"/>
              </w:rPr>
              <w:t>para</w:t>
            </w:r>
            <w:proofErr w:type="gramEnd"/>
            <w:r>
              <w:rPr>
                <w:rFonts w:eastAsia="Times New Roman" w:cs="Arial"/>
                <w:snapToGrid w:val="0"/>
                <w:szCs w:val="20"/>
              </w:rPr>
              <w:t xml:space="preserve"> 7.7, Nov 16 romidepsin PSD)</w:t>
            </w:r>
            <w:r>
              <w:t>.</w:t>
            </w:r>
          </w:p>
        </w:tc>
        <w:tc>
          <w:tcPr>
            <w:tcW w:w="2019" w:type="pct"/>
            <w:shd w:val="clear" w:color="auto" w:fill="auto"/>
          </w:tcPr>
          <w:p w:rsidR="00BF72B1" w:rsidRPr="00C0791A" w:rsidRDefault="00BF72B1" w:rsidP="00234AC7">
            <w:pPr>
              <w:pStyle w:val="TableText"/>
              <w:keepNext w:val="0"/>
              <w:widowControl w:val="0"/>
            </w:pPr>
            <w:r w:rsidRPr="00C0791A">
              <w:t xml:space="preserve">The resubmission model added monitoring and follow-up </w:t>
            </w:r>
            <w:r w:rsidRPr="00E47CDC">
              <w:t>costs of $34.83 and $69.95 per cycle respectively.</w:t>
            </w:r>
          </w:p>
          <w:p w:rsidR="00BF72B1" w:rsidRPr="00C0791A" w:rsidRDefault="00BF72B1" w:rsidP="00234AC7">
            <w:pPr>
              <w:pStyle w:val="TableText"/>
              <w:keepNext w:val="0"/>
              <w:widowControl w:val="0"/>
            </w:pPr>
            <w:r w:rsidRPr="00C0791A">
              <w:t>The model also included the cost of the anti-emetic ondansetron of 16 mg per day for 2 days post chemotherapy treatment (for 78.6% patients – Study 0002).</w:t>
            </w:r>
          </w:p>
        </w:tc>
      </w:tr>
      <w:tr w:rsidR="00BF72B1" w:rsidRPr="00FF610D" w:rsidTr="00544932">
        <w:tc>
          <w:tcPr>
            <w:tcW w:w="719" w:type="pct"/>
          </w:tcPr>
          <w:p w:rsidR="00BF72B1" w:rsidRDefault="00BF72B1" w:rsidP="00234AC7">
            <w:pPr>
              <w:pStyle w:val="TableText"/>
              <w:keepNext w:val="0"/>
              <w:widowControl w:val="0"/>
            </w:pPr>
            <w:r>
              <w:t>Financial impact</w:t>
            </w:r>
          </w:p>
        </w:tc>
        <w:tc>
          <w:tcPr>
            <w:tcW w:w="2262" w:type="pct"/>
            <w:shd w:val="clear" w:color="auto" w:fill="auto"/>
          </w:tcPr>
          <w:p w:rsidR="00BF72B1" w:rsidRPr="00FA0177" w:rsidRDefault="00BF72B1" w:rsidP="00234AC7">
            <w:pPr>
              <w:pStyle w:val="TableText"/>
              <w:keepNext w:val="0"/>
              <w:widowControl w:val="0"/>
              <w:ind w:right="114"/>
              <w:rPr>
                <w:rFonts w:eastAsia="Times New Roman" w:cs="Times New Roman"/>
                <w:color w:val="00000A"/>
                <w:szCs w:val="20"/>
              </w:rPr>
            </w:pPr>
            <w:r>
              <w:rPr>
                <w:rFonts w:eastAsia="Times New Roman" w:cs="Times New Roman"/>
                <w:color w:val="00000A"/>
                <w:szCs w:val="20"/>
              </w:rPr>
              <w:t>The PBAC noted there were a number of assumptions that meant the financial impact might have been either over or underestimated.</w:t>
            </w:r>
          </w:p>
        </w:tc>
        <w:tc>
          <w:tcPr>
            <w:tcW w:w="2019" w:type="pct"/>
            <w:shd w:val="clear" w:color="auto" w:fill="auto"/>
          </w:tcPr>
          <w:p w:rsidR="00BF72B1" w:rsidRPr="00C0791A" w:rsidRDefault="00BF72B1" w:rsidP="00234AC7">
            <w:pPr>
              <w:pStyle w:val="TableText"/>
              <w:keepNext w:val="0"/>
              <w:widowControl w:val="0"/>
            </w:pPr>
            <w:r>
              <w:t xml:space="preserve">Changes to some assumptions </w:t>
            </w:r>
          </w:p>
        </w:tc>
      </w:tr>
    </w:tbl>
    <w:p w:rsidR="00BF72B1" w:rsidRPr="00D20816" w:rsidRDefault="00BF72B1" w:rsidP="00BF72B1">
      <w:pPr>
        <w:pStyle w:val="PBACHeading1"/>
        <w:numPr>
          <w:ilvl w:val="0"/>
          <w:numId w:val="0"/>
        </w:numPr>
        <w:spacing w:before="0" w:after="0"/>
        <w:ind w:left="142"/>
        <w:rPr>
          <w:rFonts w:ascii="Arial Narrow" w:hAnsi="Arial Narrow"/>
          <w:b w:val="0"/>
          <w:sz w:val="20"/>
          <w:szCs w:val="20"/>
        </w:rPr>
      </w:pPr>
      <w:r w:rsidRPr="00D20816">
        <w:rPr>
          <w:rFonts w:ascii="Arial Narrow" w:hAnsi="Arial Narrow"/>
          <w:b w:val="0"/>
          <w:sz w:val="20"/>
          <w:szCs w:val="20"/>
        </w:rPr>
        <w:t>Source: November 2016 romidepsin Public Summary Document (PSD), Compiled during the evaluation</w:t>
      </w:r>
    </w:p>
    <w:p w:rsidR="00BF72B1" w:rsidRPr="00D20816" w:rsidRDefault="00BF72B1" w:rsidP="00BF72B1">
      <w:pPr>
        <w:pStyle w:val="PBACHeading1"/>
        <w:numPr>
          <w:ilvl w:val="0"/>
          <w:numId w:val="0"/>
        </w:numPr>
        <w:spacing w:before="0" w:after="0"/>
        <w:ind w:left="142"/>
        <w:rPr>
          <w:rFonts w:ascii="Arial Narrow" w:hAnsi="Arial Narrow"/>
          <w:b w:val="0"/>
          <w:sz w:val="20"/>
          <w:szCs w:val="20"/>
        </w:rPr>
      </w:pPr>
      <w:proofErr w:type="spellStart"/>
      <w:r w:rsidRPr="00D20816">
        <w:rPr>
          <w:rFonts w:ascii="Arial Narrow" w:hAnsi="Arial Narrow"/>
          <w:b w:val="0"/>
          <w:sz w:val="20"/>
          <w:szCs w:val="20"/>
        </w:rPr>
        <w:t>HDACi</w:t>
      </w:r>
      <w:proofErr w:type="spellEnd"/>
      <w:r w:rsidRPr="00D20816">
        <w:rPr>
          <w:rFonts w:ascii="Arial Narrow" w:hAnsi="Arial Narrow"/>
          <w:b w:val="0"/>
          <w:sz w:val="20"/>
          <w:szCs w:val="20"/>
        </w:rPr>
        <w:t xml:space="preserve"> = histone deacetylase inhibitor; PBAC = Pharmaceutical Benefits Advisory Committee; PBS = Pharmaceutical Benefits Scheme; PFS = progression free survival; PTCL = peripheral T cell lymphoma; TTNT = time to next treatment; </w:t>
      </w:r>
      <w:proofErr w:type="spellStart"/>
      <w:r w:rsidRPr="00D20816">
        <w:rPr>
          <w:rFonts w:ascii="Arial Narrow" w:hAnsi="Arial Narrow"/>
          <w:b w:val="0"/>
          <w:sz w:val="20"/>
          <w:szCs w:val="20"/>
        </w:rPr>
        <w:t>yr</w:t>
      </w:r>
      <w:proofErr w:type="spellEnd"/>
      <w:r w:rsidRPr="00D20816">
        <w:rPr>
          <w:rFonts w:ascii="Arial Narrow" w:hAnsi="Arial Narrow"/>
          <w:b w:val="0"/>
          <w:sz w:val="20"/>
          <w:szCs w:val="20"/>
        </w:rPr>
        <w:t xml:space="preserve"> = year</w:t>
      </w:r>
    </w:p>
    <w:p w:rsidR="00BF72B1" w:rsidRPr="00D20816" w:rsidRDefault="00BF72B1" w:rsidP="00BF72B1">
      <w:pPr>
        <w:pStyle w:val="V50InstructionsBullets"/>
        <w:numPr>
          <w:ilvl w:val="0"/>
          <w:numId w:val="0"/>
        </w:numPr>
        <w:spacing w:line="259" w:lineRule="auto"/>
        <w:ind w:left="720"/>
        <w:jc w:val="both"/>
        <w:rPr>
          <w:rFonts w:ascii="Arial Narrow" w:eastAsia="SimSun" w:hAnsi="Arial Narrow" w:cs="Times New Roman"/>
          <w:b/>
          <w:sz w:val="20"/>
          <w:szCs w:val="20"/>
          <w:lang w:eastAsia="en-AU"/>
        </w:rPr>
      </w:pPr>
    </w:p>
    <w:p w:rsidR="00BF72B1" w:rsidRDefault="00BF72B1" w:rsidP="00BF72B1">
      <w:pPr>
        <w:pStyle w:val="ListParagraph"/>
        <w:numPr>
          <w:ilvl w:val="1"/>
          <w:numId w:val="1"/>
        </w:numPr>
        <w:spacing w:before="0" w:after="120"/>
        <w:jc w:val="both"/>
      </w:pPr>
      <w:r w:rsidRPr="005D1793">
        <w:t>The ESC noted that pralatrexate</w:t>
      </w:r>
      <w:r>
        <w:t xml:space="preserve"> had been recommended for listing </w:t>
      </w:r>
      <w:r w:rsidRPr="005D1793">
        <w:t>for the treatment of peripheral T-cell lymphoma</w:t>
      </w:r>
      <w:r>
        <w:t xml:space="preserve"> at the </w:t>
      </w:r>
      <w:r w:rsidRPr="005D1793">
        <w:t>November 2017 PBAC meeting.</w:t>
      </w:r>
    </w:p>
    <w:p w:rsidR="00BF72B1" w:rsidRPr="00883A94" w:rsidRDefault="00BF72B1" w:rsidP="00BF72B1">
      <w:pPr>
        <w:pStyle w:val="PBACHeading1"/>
        <w:numPr>
          <w:ilvl w:val="0"/>
          <w:numId w:val="0"/>
        </w:numPr>
        <w:ind w:left="720"/>
        <w:rPr>
          <w:rFonts w:asciiTheme="minorHAnsi" w:hAnsiTheme="minorHAnsi"/>
          <w:b w:val="0"/>
          <w:i/>
          <w:sz w:val="24"/>
        </w:rPr>
      </w:pPr>
      <w:r w:rsidRPr="00883A94">
        <w:rPr>
          <w:rFonts w:asciiTheme="minorHAnsi" w:hAnsiTheme="minorHAnsi"/>
          <w:b w:val="0"/>
          <w:i/>
          <w:sz w:val="24"/>
        </w:rPr>
        <w:t>For more detail on PBAC’s view, see section 7 PBAC outcome.</w:t>
      </w:r>
    </w:p>
    <w:p w:rsidR="00BF72B1" w:rsidRDefault="00BF72B1" w:rsidP="00BF72B1">
      <w:pPr>
        <w:pStyle w:val="V50InstructionsBullets"/>
        <w:numPr>
          <w:ilvl w:val="0"/>
          <w:numId w:val="0"/>
        </w:numPr>
        <w:spacing w:after="120"/>
        <w:jc w:val="both"/>
        <w:rPr>
          <w:color w:val="auto"/>
        </w:rPr>
      </w:pPr>
    </w:p>
    <w:p w:rsidR="00BF72B1" w:rsidRPr="00455174" w:rsidRDefault="00BF72B1" w:rsidP="00BF72B1">
      <w:pPr>
        <w:pStyle w:val="Heading1"/>
        <w:ind w:left="709" w:hanging="709"/>
      </w:pPr>
      <w:bookmarkStart w:id="12" w:name="_Toc496529124"/>
      <w:bookmarkStart w:id="13" w:name="_Toc497395995"/>
      <w:bookmarkStart w:id="14" w:name="_Toc413139275"/>
      <w:r w:rsidRPr="00455174">
        <w:lastRenderedPageBreak/>
        <w:t>Population and disease</w:t>
      </w:r>
      <w:bookmarkEnd w:id="12"/>
      <w:bookmarkEnd w:id="13"/>
    </w:p>
    <w:p w:rsidR="00BF72B1" w:rsidRDefault="00BF72B1" w:rsidP="00BF72B1">
      <w:pPr>
        <w:pStyle w:val="ListParagraph"/>
        <w:numPr>
          <w:ilvl w:val="1"/>
          <w:numId w:val="1"/>
        </w:numPr>
        <w:spacing w:before="0" w:after="120"/>
        <w:jc w:val="both"/>
      </w:pPr>
      <w:r w:rsidRPr="00B91BFB">
        <w:t>Peripheral T-cell lymphoma (PTCL) develops from mature T-cells and accounts for approxima</w:t>
      </w:r>
      <w:r>
        <w:t>tely 10-15% of all Non-Hodgkin L</w:t>
      </w:r>
      <w:r w:rsidRPr="00B91BFB">
        <w:t xml:space="preserve">ymphoma (NHL) cases. NHL </w:t>
      </w:r>
      <w:proofErr w:type="gramStart"/>
      <w:r w:rsidRPr="00B91BFB">
        <w:t>are</w:t>
      </w:r>
      <w:proofErr w:type="gramEnd"/>
      <w:r w:rsidRPr="00B91BFB">
        <w:t xml:space="preserve"> cancers of the lymphatic system with an incidence of about 19/100,000 (AIHW, 2014). Current 5-year OS rate for patients with PTCL following a first relapse on conventional dose chemotherapy is 10-30% (</w:t>
      </w:r>
      <w:proofErr w:type="spellStart"/>
      <w:r w:rsidRPr="00B91BFB">
        <w:t>Vose</w:t>
      </w:r>
      <w:proofErr w:type="spellEnd"/>
      <w:r w:rsidRPr="00B91BFB">
        <w:t xml:space="preserve"> et al, 2008; </w:t>
      </w:r>
      <w:proofErr w:type="spellStart"/>
      <w:r w:rsidRPr="00B91BFB">
        <w:t>Mak</w:t>
      </w:r>
      <w:proofErr w:type="spellEnd"/>
      <w:r w:rsidRPr="00B91BFB">
        <w:t xml:space="preserve"> et al, 2013; </w:t>
      </w:r>
      <w:proofErr w:type="spellStart"/>
      <w:r w:rsidRPr="00B91BFB">
        <w:t>Dreyling</w:t>
      </w:r>
      <w:proofErr w:type="spellEnd"/>
      <w:r w:rsidRPr="00B91BFB">
        <w:t xml:space="preserve"> et al, 2013). In the absence of haematopoietic stem cell transplantation, treatment of relapsed or refractory PTCLs is usually palliative. Median survival in these patients is 5.5 months with survival only marginally improved in patients treated with chemotherapy after first relapse (</w:t>
      </w:r>
      <w:proofErr w:type="spellStart"/>
      <w:r w:rsidRPr="00B91BFB">
        <w:t>Mak</w:t>
      </w:r>
      <w:proofErr w:type="spellEnd"/>
      <w:r w:rsidRPr="00B91BFB">
        <w:t xml:space="preserve"> et al, 2013). </w:t>
      </w:r>
    </w:p>
    <w:p w:rsidR="00BF72B1" w:rsidRDefault="00BF72B1" w:rsidP="00BF72B1">
      <w:pPr>
        <w:pStyle w:val="ListParagraph"/>
        <w:numPr>
          <w:ilvl w:val="1"/>
          <w:numId w:val="1"/>
        </w:numPr>
        <w:spacing w:before="0" w:after="120"/>
        <w:jc w:val="both"/>
      </w:pPr>
      <w:r w:rsidRPr="00B91BFB">
        <w:t>Romidepsin was proposed for the treatment of relapsed or refractory PTCL.</w:t>
      </w:r>
      <w:bookmarkStart w:id="15" w:name="_Toc496529125"/>
      <w:r w:rsidRPr="00B91BFB">
        <w:t xml:space="preserve"> </w:t>
      </w:r>
    </w:p>
    <w:p w:rsidR="00BF72B1" w:rsidRPr="00883A94" w:rsidRDefault="00BF72B1" w:rsidP="00BF72B1">
      <w:pPr>
        <w:pStyle w:val="PBACHeading1"/>
        <w:numPr>
          <w:ilvl w:val="0"/>
          <w:numId w:val="0"/>
        </w:numPr>
        <w:ind w:left="720"/>
        <w:rPr>
          <w:rFonts w:asciiTheme="minorHAnsi" w:hAnsiTheme="minorHAnsi"/>
          <w:b w:val="0"/>
          <w:i/>
          <w:sz w:val="24"/>
        </w:rPr>
      </w:pPr>
      <w:r w:rsidRPr="00883A94">
        <w:rPr>
          <w:rFonts w:asciiTheme="minorHAnsi" w:hAnsiTheme="minorHAnsi"/>
          <w:b w:val="0"/>
          <w:i/>
          <w:sz w:val="24"/>
        </w:rPr>
        <w:t>For more detail on PBAC’s view, see section 7 PBAC outcome.</w:t>
      </w:r>
    </w:p>
    <w:p w:rsidR="00BF72B1" w:rsidRPr="00455174" w:rsidRDefault="00BF72B1" w:rsidP="00BF72B1">
      <w:pPr>
        <w:pStyle w:val="Heading1"/>
        <w:ind w:left="709" w:hanging="709"/>
      </w:pPr>
      <w:bookmarkStart w:id="16" w:name="_Toc497395996"/>
      <w:bookmarkStart w:id="17" w:name="_Toc413139276"/>
      <w:bookmarkEnd w:id="14"/>
      <w:bookmarkEnd w:id="15"/>
      <w:r w:rsidRPr="00455174">
        <w:t>Comparator</w:t>
      </w:r>
      <w:bookmarkEnd w:id="16"/>
      <w:r w:rsidRPr="00455174">
        <w:t xml:space="preserve"> </w:t>
      </w:r>
    </w:p>
    <w:p w:rsidR="00BF72B1" w:rsidRDefault="00BF72B1" w:rsidP="00BF72B1">
      <w:pPr>
        <w:pStyle w:val="ListParagraph"/>
        <w:numPr>
          <w:ilvl w:val="1"/>
          <w:numId w:val="1"/>
        </w:numPr>
        <w:spacing w:before="0" w:after="120"/>
        <w:jc w:val="both"/>
      </w:pPr>
      <w:r w:rsidRPr="00B91BFB">
        <w:t>The resubmission nominated “no active therapy” as the main comparator. This was previously accepted as appropriate by the PBAC (paragraph 7</w:t>
      </w:r>
      <w:r>
        <w:t>.3, November 2016 romidepsin Public Summary Document</w:t>
      </w:r>
      <w:r w:rsidRPr="00B91BFB">
        <w:t xml:space="preserve">).  </w:t>
      </w:r>
    </w:p>
    <w:p w:rsidR="00BF72B1" w:rsidRPr="009A66AE" w:rsidRDefault="00BF72B1" w:rsidP="00BF72B1">
      <w:pPr>
        <w:pStyle w:val="ListParagraph"/>
        <w:numPr>
          <w:ilvl w:val="1"/>
          <w:numId w:val="1"/>
        </w:numPr>
        <w:spacing w:before="0" w:after="120"/>
        <w:jc w:val="both"/>
      </w:pPr>
      <w:r w:rsidRPr="00EA2518">
        <w:t xml:space="preserve">A submission for pralatrexate in PTCL was </w:t>
      </w:r>
      <w:r>
        <w:t>considered</w:t>
      </w:r>
      <w:r w:rsidRPr="00EA2518">
        <w:t xml:space="preserve"> at the November 2017 PBAC meeting. </w:t>
      </w:r>
      <w:r w:rsidRPr="005D1793">
        <w:t xml:space="preserve">Given the paucity of information available in PTCL, the ESC agreed that a comparison with pralatrexate as a possible ‘near market’ comparator was likely to provide some additional context for PBAC’s consideration of romidepsin. </w:t>
      </w:r>
    </w:p>
    <w:p w:rsidR="00BF72B1" w:rsidRPr="00883A94" w:rsidRDefault="00BF72B1" w:rsidP="00BF72B1">
      <w:pPr>
        <w:pStyle w:val="PBACHeading1"/>
        <w:numPr>
          <w:ilvl w:val="0"/>
          <w:numId w:val="0"/>
        </w:numPr>
        <w:ind w:left="720"/>
        <w:rPr>
          <w:rFonts w:asciiTheme="minorHAnsi" w:hAnsiTheme="minorHAnsi"/>
          <w:b w:val="0"/>
          <w:i/>
          <w:sz w:val="24"/>
        </w:rPr>
      </w:pPr>
      <w:bookmarkStart w:id="18" w:name="_Toc496529126"/>
      <w:r w:rsidRPr="00883A94">
        <w:rPr>
          <w:rFonts w:asciiTheme="minorHAnsi" w:hAnsiTheme="minorHAnsi"/>
          <w:b w:val="0"/>
          <w:i/>
          <w:sz w:val="24"/>
        </w:rPr>
        <w:t>For more detail on PBAC’s view, see section 7 PBAC outcome.</w:t>
      </w:r>
    </w:p>
    <w:p w:rsidR="00BF72B1" w:rsidRPr="00455174" w:rsidRDefault="00BF72B1" w:rsidP="00BF72B1">
      <w:pPr>
        <w:pStyle w:val="Heading1"/>
        <w:ind w:left="709" w:hanging="709"/>
      </w:pPr>
      <w:bookmarkStart w:id="19" w:name="_Toc497395997"/>
      <w:bookmarkStart w:id="20" w:name="_Toc413139278"/>
      <w:bookmarkEnd w:id="17"/>
      <w:bookmarkEnd w:id="18"/>
      <w:r w:rsidRPr="00455174">
        <w:t>Consideration of the evidence</w:t>
      </w:r>
      <w:bookmarkEnd w:id="19"/>
      <w:r w:rsidRPr="00455174">
        <w:t xml:space="preserve"> </w:t>
      </w:r>
    </w:p>
    <w:p w:rsidR="00BF72B1" w:rsidRPr="00BF72B1" w:rsidRDefault="00BF72B1" w:rsidP="00BF72B1">
      <w:pPr>
        <w:pStyle w:val="Heading2"/>
      </w:pPr>
      <w:r w:rsidRPr="00BF72B1">
        <w:t>Sponsor hearing</w:t>
      </w:r>
    </w:p>
    <w:p w:rsidR="00BF72B1" w:rsidRPr="00B33094" w:rsidRDefault="00BF72B1" w:rsidP="00BF72B1">
      <w:pPr>
        <w:pStyle w:val="ListParagraph"/>
        <w:numPr>
          <w:ilvl w:val="1"/>
          <w:numId w:val="1"/>
        </w:numPr>
        <w:spacing w:before="0" w:after="120"/>
        <w:jc w:val="both"/>
      </w:pPr>
      <w:r w:rsidRPr="00B33094">
        <w:t>There was no hearing for this item.</w:t>
      </w:r>
    </w:p>
    <w:p w:rsidR="00BF72B1" w:rsidRPr="00BF72B1" w:rsidRDefault="00BF72B1" w:rsidP="00BF72B1">
      <w:pPr>
        <w:pStyle w:val="Heading2"/>
      </w:pPr>
      <w:r w:rsidRPr="00BF72B1">
        <w:t>Consumer comments</w:t>
      </w:r>
    </w:p>
    <w:p w:rsidR="00BF72B1" w:rsidRPr="006A135C" w:rsidRDefault="00BF72B1" w:rsidP="00BF72B1">
      <w:pPr>
        <w:pStyle w:val="ListParagraph"/>
        <w:numPr>
          <w:ilvl w:val="1"/>
          <w:numId w:val="1"/>
        </w:numPr>
        <w:spacing w:before="0" w:after="120"/>
        <w:jc w:val="both"/>
        <w:rPr>
          <w:rFonts w:cs="Arial"/>
          <w:bCs/>
          <w:snapToGrid w:val="0"/>
        </w:rPr>
      </w:pPr>
      <w:r w:rsidRPr="006A135C">
        <w:rPr>
          <w:rFonts w:cs="Arial"/>
          <w:bCs/>
          <w:snapToGrid w:val="0"/>
        </w:rPr>
        <w:t xml:space="preserve">The PBAC noted and welcomed the input from one individual (1), via the Consumer Comments facility on the PBS website, noting the importance of access to medicines for patients.   </w:t>
      </w:r>
    </w:p>
    <w:p w:rsidR="00BF72B1" w:rsidRPr="00B04EEB" w:rsidRDefault="00BF72B1" w:rsidP="00BF72B1">
      <w:pPr>
        <w:pStyle w:val="Heading2"/>
      </w:pPr>
      <w:bookmarkStart w:id="21" w:name="_Toc497395998"/>
      <w:r>
        <w:t>Clinical evidence presented in the resubmission</w:t>
      </w:r>
      <w:bookmarkEnd w:id="21"/>
    </w:p>
    <w:p w:rsidR="00BF72B1" w:rsidRPr="00B91BFB" w:rsidRDefault="00BF72B1" w:rsidP="00BF72B1">
      <w:pPr>
        <w:pStyle w:val="ListParagraph"/>
        <w:numPr>
          <w:ilvl w:val="1"/>
          <w:numId w:val="1"/>
        </w:numPr>
        <w:spacing w:before="0" w:after="120"/>
        <w:jc w:val="both"/>
      </w:pPr>
      <w:r w:rsidRPr="00B91BFB">
        <w:t xml:space="preserve">The November 2016 submission presented a non-comparative analysis </w:t>
      </w:r>
      <w:r>
        <w:t>using</w:t>
      </w:r>
      <w:r w:rsidRPr="00B91BFB">
        <w:t xml:space="preserve"> data from Study </w:t>
      </w:r>
      <w:r>
        <w:t>GPI-06-</w:t>
      </w:r>
      <w:r w:rsidRPr="00B91BFB">
        <w:t xml:space="preserve">0002 </w:t>
      </w:r>
      <w:r>
        <w:t xml:space="preserve">(hereafter referred to as Study 0002) </w:t>
      </w:r>
      <w:r w:rsidRPr="00B91BFB">
        <w:t>and a separate phase II trial (</w:t>
      </w:r>
      <w:proofErr w:type="spellStart"/>
      <w:r w:rsidRPr="00B91BFB">
        <w:t>Piekarz</w:t>
      </w:r>
      <w:proofErr w:type="spellEnd"/>
      <w:r w:rsidRPr="00B91BFB">
        <w:t xml:space="preserve"> et al, 2011) to inform the efficacy and safety of romidepsin. No data for the comparative efficacy and safety of romidepsin over a “no active therapy” was presented in the previous submission. An updated literature search failed to identify any new comparative data for inclusion in the resubmission.</w:t>
      </w:r>
    </w:p>
    <w:p w:rsidR="00BF72B1" w:rsidRPr="00CB7310" w:rsidRDefault="00BF72B1" w:rsidP="00BF72B1">
      <w:pPr>
        <w:pStyle w:val="ListParagraph"/>
        <w:numPr>
          <w:ilvl w:val="1"/>
          <w:numId w:val="1"/>
        </w:numPr>
        <w:spacing w:before="0" w:after="120"/>
        <w:jc w:val="both"/>
      </w:pPr>
      <w:r w:rsidRPr="00CB7310">
        <w:t>In the romidepsin Public Summary Document</w:t>
      </w:r>
      <w:r>
        <w:t xml:space="preserve"> (PSD)</w:t>
      </w:r>
      <w:r w:rsidRPr="00CB7310">
        <w:t xml:space="preserve"> from the November 2016 PBAC meeting, the committee noted</w:t>
      </w:r>
      <w:r>
        <w:t xml:space="preserve"> that the submission to</w:t>
      </w:r>
      <w:r w:rsidRPr="00CB7310">
        <w:t xml:space="preserve"> “…the TGA for registration of </w:t>
      </w:r>
      <w:r w:rsidRPr="00CB7310">
        <w:lastRenderedPageBreak/>
        <w:t xml:space="preserve">romidepsin included a comparison with historical controls, which was not provided in the PBAC submission. The PBAC would have welcomed an opportunity to assess this analysis”.  </w:t>
      </w:r>
    </w:p>
    <w:p w:rsidR="00BF72B1" w:rsidRPr="00EA2518" w:rsidRDefault="00BF72B1" w:rsidP="00BF72B1">
      <w:pPr>
        <w:pStyle w:val="ListParagraph"/>
        <w:numPr>
          <w:ilvl w:val="1"/>
          <w:numId w:val="1"/>
        </w:numPr>
        <w:spacing w:before="0" w:after="120"/>
        <w:jc w:val="both"/>
      </w:pPr>
      <w:r w:rsidRPr="00CB7310">
        <w:t xml:space="preserve">The resubmission stated (p17) that </w:t>
      </w:r>
      <w:r>
        <w:t xml:space="preserve">the </w:t>
      </w:r>
      <w:r w:rsidRPr="00CB7310">
        <w:t xml:space="preserve">analysis referred to in the November 2016 PSD was a comparison of overall survival of PTCL patients given a “treatment career” which includes romidepsin compared to a treatment career which does not include romidepsin, and clarifies that, in the continued absence of comparative studies, “the intention of Section 2 </w:t>
      </w:r>
      <w:r>
        <w:t xml:space="preserve">(of the submission) </w:t>
      </w:r>
      <w:r w:rsidRPr="00CB7310">
        <w:t xml:space="preserve">is to present the same external control data comparison as was presented to the TGA in order to support the positive risk benefit ratio claimed for romidepsin in the previous submission.” </w:t>
      </w:r>
      <w:r w:rsidRPr="00EA2518">
        <w:t xml:space="preserve">Based on the available information, the TGA consideration appears to have used the outcome of ‘response’, rather than overall survival, which is the outcome used in the resubmission. It is unclear whether the TGA considered overall survival, and also whether the ‘treatment career’ </w:t>
      </w:r>
      <w:proofErr w:type="gramStart"/>
      <w:r w:rsidRPr="00EA2518">
        <w:t>approach</w:t>
      </w:r>
      <w:proofErr w:type="gramEnd"/>
      <w:r w:rsidRPr="00EA2518">
        <w:t xml:space="preserve"> was presented to the TGA. </w:t>
      </w:r>
    </w:p>
    <w:p w:rsidR="00BF72B1" w:rsidRPr="00CB7310" w:rsidRDefault="00BF72B1" w:rsidP="00BF72B1">
      <w:pPr>
        <w:pStyle w:val="ListParagraph"/>
        <w:numPr>
          <w:ilvl w:val="1"/>
          <w:numId w:val="1"/>
        </w:numPr>
        <w:spacing w:before="0" w:after="120"/>
        <w:jc w:val="both"/>
      </w:pPr>
      <w:r w:rsidRPr="00CB7310">
        <w:t xml:space="preserve">The resubmission was based on one phase II study (0002) and individual patient data sourced from three international databases: </w:t>
      </w:r>
    </w:p>
    <w:p w:rsidR="00BF72B1" w:rsidRDefault="00BF72B1" w:rsidP="00BF72B1">
      <w:pPr>
        <w:spacing w:before="0" w:line="259" w:lineRule="auto"/>
        <w:rPr>
          <w:rFonts w:ascii="Arial Narrow" w:hAnsi="Arial Narrow"/>
          <w:b/>
          <w:sz w:val="20"/>
          <w:szCs w:val="20"/>
        </w:rPr>
      </w:pPr>
      <w:r>
        <w:rPr>
          <w:rFonts w:ascii="Arial Narrow" w:hAnsi="Arial Narrow"/>
          <w:b/>
          <w:sz w:val="20"/>
          <w:szCs w:val="20"/>
        </w:rPr>
        <w:br w:type="page"/>
      </w:r>
    </w:p>
    <w:p w:rsidR="00544932" w:rsidRPr="00544932" w:rsidRDefault="00544932" w:rsidP="00544932">
      <w:pPr>
        <w:pStyle w:val="Caption"/>
        <w:rPr>
          <w:rFonts w:ascii="Arial Narrow" w:hAnsi="Arial Narrow"/>
        </w:rPr>
      </w:pPr>
      <w:r w:rsidRPr="00544932">
        <w:rPr>
          <w:rFonts w:ascii="Arial Narrow" w:hAnsi="Arial Narrow"/>
        </w:rPr>
        <w:lastRenderedPageBreak/>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3</w:t>
      </w:r>
      <w:r w:rsidRPr="00544932">
        <w:rPr>
          <w:rFonts w:ascii="Arial Narrow" w:hAnsi="Arial Narrow"/>
        </w:rPr>
        <w:fldChar w:fldCharType="end"/>
      </w:r>
      <w:r w:rsidRPr="00544932">
        <w:rPr>
          <w:rFonts w:ascii="Arial Narrow" w:hAnsi="Arial Narrow"/>
        </w:rPr>
        <w:t>: Studies and associated reports presented in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tudies and associated reports presented in the submission"/>
      </w:tblPr>
      <w:tblGrid>
        <w:gridCol w:w="1493"/>
        <w:gridCol w:w="5398"/>
        <w:gridCol w:w="2191"/>
      </w:tblGrid>
      <w:tr w:rsidR="00BF72B1" w:rsidRPr="00776F11" w:rsidTr="00234AC7">
        <w:trPr>
          <w:trHeight w:val="269"/>
          <w:tblHeader/>
        </w:trPr>
        <w:tc>
          <w:tcPr>
            <w:tcW w:w="822" w:type="pct"/>
            <w:vMerge w:val="restart"/>
          </w:tcPr>
          <w:p w:rsidR="00BF72B1" w:rsidRPr="00776F11" w:rsidRDefault="00BF72B1" w:rsidP="00234AC7">
            <w:pPr>
              <w:pStyle w:val="TableText"/>
              <w:rPr>
                <w:b/>
                <w:szCs w:val="20"/>
              </w:rPr>
            </w:pPr>
            <w:r w:rsidRPr="00776F11">
              <w:rPr>
                <w:b/>
                <w:szCs w:val="20"/>
              </w:rPr>
              <w:t>Trial ID</w:t>
            </w:r>
          </w:p>
        </w:tc>
        <w:tc>
          <w:tcPr>
            <w:tcW w:w="2972" w:type="pct"/>
            <w:vMerge w:val="restart"/>
          </w:tcPr>
          <w:p w:rsidR="00BF72B1" w:rsidRPr="00776F11" w:rsidRDefault="00BF72B1" w:rsidP="00234AC7">
            <w:pPr>
              <w:pStyle w:val="TableText"/>
              <w:rPr>
                <w:b/>
                <w:szCs w:val="20"/>
              </w:rPr>
            </w:pPr>
            <w:r w:rsidRPr="00776F11">
              <w:rPr>
                <w:b/>
                <w:szCs w:val="20"/>
              </w:rPr>
              <w:t>Protocol title/ Publication title</w:t>
            </w:r>
          </w:p>
        </w:tc>
        <w:tc>
          <w:tcPr>
            <w:tcW w:w="1206" w:type="pct"/>
            <w:vMerge w:val="restart"/>
          </w:tcPr>
          <w:p w:rsidR="00BF72B1" w:rsidRPr="00776F11" w:rsidRDefault="00BF72B1" w:rsidP="00234AC7">
            <w:pPr>
              <w:pStyle w:val="TableText"/>
              <w:rPr>
                <w:b/>
                <w:szCs w:val="20"/>
              </w:rPr>
            </w:pPr>
            <w:r w:rsidRPr="00776F11">
              <w:rPr>
                <w:b/>
                <w:szCs w:val="20"/>
              </w:rPr>
              <w:t>Publication citation</w:t>
            </w:r>
          </w:p>
        </w:tc>
      </w:tr>
      <w:tr w:rsidR="00BF72B1" w:rsidRPr="00776F11" w:rsidTr="00234AC7">
        <w:trPr>
          <w:trHeight w:val="309"/>
          <w:tblHeader/>
        </w:trPr>
        <w:tc>
          <w:tcPr>
            <w:tcW w:w="822" w:type="pct"/>
            <w:vMerge/>
          </w:tcPr>
          <w:p w:rsidR="00BF72B1" w:rsidRPr="00776F11" w:rsidRDefault="00BF72B1" w:rsidP="00234AC7">
            <w:pPr>
              <w:pStyle w:val="TableText"/>
              <w:rPr>
                <w:b/>
                <w:szCs w:val="20"/>
              </w:rPr>
            </w:pPr>
          </w:p>
        </w:tc>
        <w:tc>
          <w:tcPr>
            <w:tcW w:w="2972" w:type="pct"/>
            <w:vMerge/>
          </w:tcPr>
          <w:p w:rsidR="00BF72B1" w:rsidRPr="00776F11" w:rsidRDefault="00BF72B1" w:rsidP="00234AC7">
            <w:pPr>
              <w:pStyle w:val="TableText"/>
              <w:rPr>
                <w:b/>
                <w:szCs w:val="20"/>
              </w:rPr>
            </w:pPr>
          </w:p>
        </w:tc>
        <w:tc>
          <w:tcPr>
            <w:tcW w:w="1206" w:type="pct"/>
            <w:vMerge/>
          </w:tcPr>
          <w:p w:rsidR="00BF72B1" w:rsidRPr="00776F11" w:rsidRDefault="00BF72B1" w:rsidP="00234AC7">
            <w:pPr>
              <w:pStyle w:val="TableText"/>
              <w:rPr>
                <w:b/>
                <w:szCs w:val="20"/>
              </w:rPr>
            </w:pPr>
          </w:p>
        </w:tc>
      </w:tr>
      <w:tr w:rsidR="00BF72B1" w:rsidRPr="00776F11" w:rsidTr="00234AC7">
        <w:tc>
          <w:tcPr>
            <w:tcW w:w="5000" w:type="pct"/>
            <w:gridSpan w:val="3"/>
          </w:tcPr>
          <w:p w:rsidR="00BF72B1" w:rsidRPr="00776F11" w:rsidRDefault="00BF72B1" w:rsidP="00234AC7">
            <w:pPr>
              <w:pStyle w:val="TableText"/>
              <w:rPr>
                <w:b/>
                <w:szCs w:val="20"/>
              </w:rPr>
            </w:pPr>
            <w:r w:rsidRPr="00776F11">
              <w:rPr>
                <w:b/>
                <w:szCs w:val="20"/>
              </w:rPr>
              <w:t>Treatment career with romidepsin</w:t>
            </w:r>
          </w:p>
        </w:tc>
      </w:tr>
      <w:tr w:rsidR="00BF72B1" w:rsidRPr="00776F11" w:rsidTr="00234AC7">
        <w:tc>
          <w:tcPr>
            <w:tcW w:w="822" w:type="pct"/>
            <w:vMerge w:val="restart"/>
          </w:tcPr>
          <w:p w:rsidR="00BF72B1" w:rsidRPr="00776F11" w:rsidRDefault="00BF72B1" w:rsidP="00234AC7">
            <w:pPr>
              <w:widowControl w:val="0"/>
              <w:spacing w:before="60" w:after="60"/>
              <w:rPr>
                <w:rFonts w:ascii="Arial Narrow" w:hAnsi="Arial Narrow"/>
                <w:sz w:val="20"/>
                <w:szCs w:val="20"/>
              </w:rPr>
            </w:pPr>
            <w:r w:rsidRPr="00776F11">
              <w:rPr>
                <w:rFonts w:ascii="Arial Narrow" w:hAnsi="Arial Narrow"/>
                <w:sz w:val="20"/>
                <w:szCs w:val="20"/>
              </w:rPr>
              <w:t>Study 0002</w:t>
            </w:r>
          </w:p>
        </w:tc>
        <w:tc>
          <w:tcPr>
            <w:tcW w:w="2972" w:type="pct"/>
          </w:tcPr>
          <w:p w:rsidR="00BF72B1" w:rsidRPr="00776F11" w:rsidRDefault="00BF72B1" w:rsidP="00234AC7">
            <w:pPr>
              <w:pStyle w:val="TableText"/>
              <w:rPr>
                <w:szCs w:val="20"/>
              </w:rPr>
            </w:pPr>
            <w:r w:rsidRPr="00776F11">
              <w:rPr>
                <w:szCs w:val="20"/>
              </w:rPr>
              <w:t>Coiffier B, Pro B, et al. “Results from a pivotal, open-label, Phase II study of romidepsin in relapsed or refractory peripheral T-cell lymphoma after prior systemic therapy.”</w:t>
            </w:r>
          </w:p>
        </w:tc>
        <w:tc>
          <w:tcPr>
            <w:tcW w:w="1206" w:type="pct"/>
          </w:tcPr>
          <w:p w:rsidR="00BF72B1" w:rsidRPr="00776F11" w:rsidRDefault="00BF72B1" w:rsidP="00234AC7">
            <w:pPr>
              <w:pStyle w:val="TableText"/>
              <w:rPr>
                <w:szCs w:val="20"/>
              </w:rPr>
            </w:pPr>
            <w:r w:rsidRPr="00776F11">
              <w:rPr>
                <w:szCs w:val="20"/>
              </w:rPr>
              <w:t xml:space="preserve">J </w:t>
            </w:r>
            <w:proofErr w:type="spellStart"/>
            <w:r w:rsidRPr="00776F11">
              <w:rPr>
                <w:szCs w:val="20"/>
              </w:rPr>
              <w:t>Clin</w:t>
            </w:r>
            <w:proofErr w:type="spellEnd"/>
            <w:r w:rsidRPr="00776F11">
              <w:rPr>
                <w:szCs w:val="20"/>
              </w:rPr>
              <w:t xml:space="preserve"> </w:t>
            </w:r>
            <w:proofErr w:type="spellStart"/>
            <w:r w:rsidRPr="00776F11">
              <w:rPr>
                <w:szCs w:val="20"/>
              </w:rPr>
              <w:t>Oncol</w:t>
            </w:r>
            <w:proofErr w:type="spellEnd"/>
            <w:r w:rsidRPr="00776F11">
              <w:rPr>
                <w:szCs w:val="20"/>
              </w:rPr>
              <w:t xml:space="preserve"> 2012; 30: 631-6.</w:t>
            </w:r>
          </w:p>
        </w:tc>
      </w:tr>
      <w:tr w:rsidR="00BF72B1" w:rsidRPr="00776F11" w:rsidTr="00234AC7">
        <w:tc>
          <w:tcPr>
            <w:tcW w:w="822" w:type="pct"/>
            <w:vMerge/>
          </w:tcPr>
          <w:p w:rsidR="00BF72B1" w:rsidRPr="00776F11" w:rsidRDefault="00BF72B1" w:rsidP="00234AC7">
            <w:pPr>
              <w:pStyle w:val="TableText"/>
              <w:rPr>
                <w:szCs w:val="20"/>
              </w:rPr>
            </w:pPr>
          </w:p>
        </w:tc>
        <w:tc>
          <w:tcPr>
            <w:tcW w:w="2972" w:type="pct"/>
          </w:tcPr>
          <w:p w:rsidR="00BF72B1" w:rsidRPr="00776F11" w:rsidRDefault="00BF72B1" w:rsidP="00234AC7">
            <w:pPr>
              <w:pStyle w:val="TableText"/>
              <w:rPr>
                <w:szCs w:val="20"/>
              </w:rPr>
            </w:pPr>
            <w:r w:rsidRPr="00776F11">
              <w:rPr>
                <w:szCs w:val="20"/>
              </w:rPr>
              <w:t>Coiffier, B., Pro, B., et al. "Romidepsin induces durable responses in patients with peripheral t-cell lymphoma: GPI-06-0002 study update."</w:t>
            </w:r>
          </w:p>
        </w:tc>
        <w:tc>
          <w:tcPr>
            <w:tcW w:w="1206" w:type="pct"/>
          </w:tcPr>
          <w:p w:rsidR="00BF72B1" w:rsidRPr="00776F11" w:rsidRDefault="00BF72B1" w:rsidP="00234AC7">
            <w:pPr>
              <w:pStyle w:val="TableText"/>
              <w:rPr>
                <w:szCs w:val="20"/>
              </w:rPr>
            </w:pPr>
            <w:r w:rsidRPr="00776F11">
              <w:rPr>
                <w:szCs w:val="20"/>
              </w:rPr>
              <w:t>Blood, 2012; 120 (21).</w:t>
            </w:r>
          </w:p>
        </w:tc>
      </w:tr>
      <w:tr w:rsidR="00BF72B1" w:rsidRPr="00776F11" w:rsidTr="00234AC7">
        <w:tc>
          <w:tcPr>
            <w:tcW w:w="822" w:type="pct"/>
            <w:vMerge/>
          </w:tcPr>
          <w:p w:rsidR="00BF72B1" w:rsidRPr="00776F11" w:rsidRDefault="00BF72B1" w:rsidP="00234AC7">
            <w:pPr>
              <w:pStyle w:val="TableText"/>
              <w:rPr>
                <w:szCs w:val="20"/>
              </w:rPr>
            </w:pPr>
          </w:p>
        </w:tc>
        <w:tc>
          <w:tcPr>
            <w:tcW w:w="2972" w:type="pct"/>
          </w:tcPr>
          <w:p w:rsidR="00BF72B1" w:rsidRPr="00776F11" w:rsidRDefault="00BF72B1" w:rsidP="00234AC7">
            <w:pPr>
              <w:pStyle w:val="TableText"/>
              <w:rPr>
                <w:szCs w:val="20"/>
              </w:rPr>
            </w:pPr>
            <w:r w:rsidRPr="00776F11">
              <w:rPr>
                <w:szCs w:val="20"/>
              </w:rPr>
              <w:t>Coiffier B, Pro B, et al. “Analysis of patients with common peripheral T-cell lymphoma subtypes from a Phase 2 study of romidepsin in relapsed or refractory peripheral T-cell lymphoma.”</w:t>
            </w:r>
          </w:p>
        </w:tc>
        <w:tc>
          <w:tcPr>
            <w:tcW w:w="1206" w:type="pct"/>
          </w:tcPr>
          <w:p w:rsidR="00BF72B1" w:rsidRPr="00776F11" w:rsidRDefault="00BF72B1" w:rsidP="00234AC7">
            <w:pPr>
              <w:pStyle w:val="TableText"/>
              <w:rPr>
                <w:szCs w:val="20"/>
              </w:rPr>
            </w:pPr>
            <w:r w:rsidRPr="00776F11">
              <w:rPr>
                <w:szCs w:val="20"/>
              </w:rPr>
              <w:t>Oral presentation at 53rd ASH Annual Meeting Dec 10-13, 2011.</w:t>
            </w:r>
          </w:p>
          <w:p w:rsidR="00BF72B1" w:rsidRPr="00776F11" w:rsidRDefault="00BF72B1" w:rsidP="00234AC7">
            <w:pPr>
              <w:pStyle w:val="TableText"/>
              <w:rPr>
                <w:szCs w:val="20"/>
              </w:rPr>
            </w:pPr>
            <w:r w:rsidRPr="00776F11">
              <w:rPr>
                <w:szCs w:val="20"/>
              </w:rPr>
              <w:t>Blood 2011; 118 (21)</w:t>
            </w:r>
          </w:p>
        </w:tc>
      </w:tr>
      <w:tr w:rsidR="00BF72B1" w:rsidRPr="00776F11" w:rsidTr="00234AC7">
        <w:tc>
          <w:tcPr>
            <w:tcW w:w="822" w:type="pct"/>
            <w:vMerge/>
          </w:tcPr>
          <w:p w:rsidR="00BF72B1" w:rsidRPr="00776F11" w:rsidRDefault="00BF72B1" w:rsidP="00234AC7">
            <w:pPr>
              <w:pStyle w:val="TableText"/>
              <w:rPr>
                <w:szCs w:val="20"/>
              </w:rPr>
            </w:pPr>
          </w:p>
        </w:tc>
        <w:tc>
          <w:tcPr>
            <w:tcW w:w="2972" w:type="pct"/>
          </w:tcPr>
          <w:p w:rsidR="00BF72B1" w:rsidRPr="00776F11" w:rsidRDefault="00BF72B1" w:rsidP="00234AC7">
            <w:pPr>
              <w:pStyle w:val="TableText"/>
              <w:rPr>
                <w:szCs w:val="20"/>
              </w:rPr>
            </w:pPr>
            <w:r w:rsidRPr="00776F11">
              <w:rPr>
                <w:szCs w:val="20"/>
              </w:rPr>
              <w:t xml:space="preserve">Coiffier B, Pro B, et al. “Final results from a pivotal, </w:t>
            </w:r>
            <w:proofErr w:type="spellStart"/>
            <w:r w:rsidRPr="00776F11">
              <w:rPr>
                <w:szCs w:val="20"/>
              </w:rPr>
              <w:t>multicenter</w:t>
            </w:r>
            <w:proofErr w:type="spellEnd"/>
            <w:r w:rsidRPr="00776F11">
              <w:rPr>
                <w:szCs w:val="20"/>
              </w:rPr>
              <w:t>, international, open-label, phase 2 study of romidepsin in progressive or relapsed peripheral T-cell lymphoma (PTCL) following prior systemic therapy.”</w:t>
            </w:r>
          </w:p>
        </w:tc>
        <w:tc>
          <w:tcPr>
            <w:tcW w:w="1206" w:type="pct"/>
          </w:tcPr>
          <w:p w:rsidR="00BF72B1" w:rsidRPr="00776F11" w:rsidRDefault="00BF72B1" w:rsidP="00234AC7">
            <w:pPr>
              <w:pStyle w:val="TableText"/>
              <w:rPr>
                <w:szCs w:val="20"/>
              </w:rPr>
            </w:pPr>
            <w:r w:rsidRPr="00776F11">
              <w:rPr>
                <w:szCs w:val="20"/>
              </w:rPr>
              <w:t>Blood (ASH Annual Meeting Abstracts) 116: Abstract 114.Blood 2010; 116 (21).</w:t>
            </w:r>
          </w:p>
        </w:tc>
      </w:tr>
      <w:tr w:rsidR="00BF72B1" w:rsidRPr="00776F11" w:rsidTr="00234AC7">
        <w:tc>
          <w:tcPr>
            <w:tcW w:w="822" w:type="pct"/>
            <w:vMerge/>
          </w:tcPr>
          <w:p w:rsidR="00BF72B1" w:rsidRPr="00776F11" w:rsidRDefault="00BF72B1" w:rsidP="00234AC7">
            <w:pPr>
              <w:pStyle w:val="TableText"/>
              <w:rPr>
                <w:szCs w:val="20"/>
              </w:rPr>
            </w:pPr>
          </w:p>
        </w:tc>
        <w:tc>
          <w:tcPr>
            <w:tcW w:w="2972" w:type="pct"/>
          </w:tcPr>
          <w:p w:rsidR="00BF72B1" w:rsidRPr="00776F11" w:rsidRDefault="00BF72B1" w:rsidP="00234AC7">
            <w:pPr>
              <w:pStyle w:val="TableText"/>
              <w:rPr>
                <w:szCs w:val="20"/>
              </w:rPr>
            </w:pPr>
            <w:r w:rsidRPr="00776F11">
              <w:rPr>
                <w:szCs w:val="20"/>
              </w:rPr>
              <w:t xml:space="preserve">Coiffier B, Pro B, </w:t>
            </w:r>
            <w:proofErr w:type="gramStart"/>
            <w:r w:rsidRPr="00776F11">
              <w:rPr>
                <w:szCs w:val="20"/>
              </w:rPr>
              <w:t>Prince</w:t>
            </w:r>
            <w:proofErr w:type="gramEnd"/>
            <w:r w:rsidRPr="00776F11">
              <w:rPr>
                <w:szCs w:val="20"/>
              </w:rPr>
              <w:t xml:space="preserve"> HM et al. Romidepsin for the treatment of relapsed/refractory peripheral T-cell lymphoma: pivotal study update demonstrates durable responses.</w:t>
            </w:r>
          </w:p>
        </w:tc>
        <w:tc>
          <w:tcPr>
            <w:tcW w:w="1206" w:type="pct"/>
          </w:tcPr>
          <w:p w:rsidR="00BF72B1" w:rsidRPr="00776F11" w:rsidRDefault="00BF72B1" w:rsidP="00234AC7">
            <w:pPr>
              <w:pStyle w:val="TableText"/>
              <w:rPr>
                <w:szCs w:val="20"/>
              </w:rPr>
            </w:pPr>
            <w:r w:rsidRPr="00776F11">
              <w:rPr>
                <w:szCs w:val="20"/>
              </w:rPr>
              <w:t xml:space="preserve">Journal of </w:t>
            </w:r>
            <w:proofErr w:type="spellStart"/>
            <w:r w:rsidRPr="00776F11">
              <w:rPr>
                <w:szCs w:val="20"/>
              </w:rPr>
              <w:t>Hematology</w:t>
            </w:r>
            <w:proofErr w:type="spellEnd"/>
            <w:r w:rsidRPr="00776F11">
              <w:rPr>
                <w:szCs w:val="20"/>
              </w:rPr>
              <w:t xml:space="preserve"> &amp; Oncology 2014, 7:11.</w:t>
            </w:r>
          </w:p>
        </w:tc>
      </w:tr>
      <w:tr w:rsidR="00BF72B1" w:rsidRPr="00776F11" w:rsidTr="00234AC7">
        <w:tc>
          <w:tcPr>
            <w:tcW w:w="822" w:type="pct"/>
            <w:vMerge/>
          </w:tcPr>
          <w:p w:rsidR="00BF72B1" w:rsidRPr="00776F11" w:rsidRDefault="00BF72B1" w:rsidP="00234AC7">
            <w:pPr>
              <w:pStyle w:val="TableText"/>
              <w:rPr>
                <w:szCs w:val="20"/>
              </w:rPr>
            </w:pPr>
          </w:p>
        </w:tc>
        <w:tc>
          <w:tcPr>
            <w:tcW w:w="2972" w:type="pct"/>
          </w:tcPr>
          <w:p w:rsidR="00BF72B1" w:rsidRPr="00776F11" w:rsidRDefault="00BF72B1" w:rsidP="00234AC7">
            <w:pPr>
              <w:pStyle w:val="TableText"/>
              <w:rPr>
                <w:szCs w:val="20"/>
              </w:rPr>
            </w:pPr>
            <w:r w:rsidRPr="00776F11">
              <w:rPr>
                <w:szCs w:val="20"/>
              </w:rPr>
              <w:t>Foss F, Horwitz S, Pro B et al. Romidepsin for the treatment of relapsed/ refractory peripheral T-cell lymphoma: prolonged stable disease provides clinical benefits for patients in the pivotal study.</w:t>
            </w:r>
          </w:p>
        </w:tc>
        <w:tc>
          <w:tcPr>
            <w:tcW w:w="1206" w:type="pct"/>
          </w:tcPr>
          <w:p w:rsidR="00BF72B1" w:rsidRPr="00776F11" w:rsidRDefault="00BF72B1" w:rsidP="00234AC7">
            <w:pPr>
              <w:pStyle w:val="TableText"/>
              <w:rPr>
                <w:szCs w:val="20"/>
              </w:rPr>
            </w:pPr>
            <w:r w:rsidRPr="00776F11">
              <w:rPr>
                <w:szCs w:val="20"/>
              </w:rPr>
              <w:t xml:space="preserve">Journal of </w:t>
            </w:r>
            <w:proofErr w:type="spellStart"/>
            <w:r w:rsidRPr="00776F11">
              <w:rPr>
                <w:szCs w:val="20"/>
              </w:rPr>
              <w:t>Hematology</w:t>
            </w:r>
            <w:proofErr w:type="spellEnd"/>
            <w:r w:rsidRPr="00776F11">
              <w:rPr>
                <w:szCs w:val="20"/>
              </w:rPr>
              <w:t xml:space="preserve"> &amp; Oncology 2016; 9:22.</w:t>
            </w:r>
          </w:p>
        </w:tc>
      </w:tr>
      <w:tr w:rsidR="00BF72B1" w:rsidRPr="00776F11" w:rsidTr="00234AC7">
        <w:tc>
          <w:tcPr>
            <w:tcW w:w="822" w:type="pct"/>
            <w:vMerge/>
          </w:tcPr>
          <w:p w:rsidR="00BF72B1" w:rsidRPr="00776F11" w:rsidRDefault="00BF72B1" w:rsidP="00234AC7">
            <w:pPr>
              <w:pStyle w:val="TableText"/>
              <w:rPr>
                <w:szCs w:val="20"/>
              </w:rPr>
            </w:pPr>
          </w:p>
        </w:tc>
        <w:tc>
          <w:tcPr>
            <w:tcW w:w="2972" w:type="pct"/>
          </w:tcPr>
          <w:p w:rsidR="00BF72B1" w:rsidRPr="00776F11" w:rsidRDefault="00BF72B1" w:rsidP="00234AC7">
            <w:pPr>
              <w:pStyle w:val="TableText"/>
              <w:rPr>
                <w:szCs w:val="20"/>
              </w:rPr>
            </w:pPr>
            <w:r w:rsidRPr="00776F11">
              <w:rPr>
                <w:szCs w:val="20"/>
              </w:rPr>
              <w:t>Foss F, Pro B, Prince HM, et al. Responses to romidepsin by line of therapy in patients with relapsed or refractory peripheral T-cell lymphoma.</w:t>
            </w:r>
          </w:p>
        </w:tc>
        <w:tc>
          <w:tcPr>
            <w:tcW w:w="1206" w:type="pct"/>
          </w:tcPr>
          <w:p w:rsidR="00BF72B1" w:rsidRPr="00776F11" w:rsidRDefault="00BF72B1" w:rsidP="00234AC7">
            <w:pPr>
              <w:pStyle w:val="TableText"/>
              <w:rPr>
                <w:szCs w:val="20"/>
              </w:rPr>
            </w:pPr>
            <w:r w:rsidRPr="00776F11">
              <w:rPr>
                <w:szCs w:val="20"/>
              </w:rPr>
              <w:t>Cancer Medicine 2017; 6(1):36–44.</w:t>
            </w:r>
          </w:p>
        </w:tc>
      </w:tr>
      <w:tr w:rsidR="00BF72B1" w:rsidRPr="00776F11" w:rsidTr="00234AC7">
        <w:tc>
          <w:tcPr>
            <w:tcW w:w="5000" w:type="pct"/>
            <w:gridSpan w:val="3"/>
          </w:tcPr>
          <w:p w:rsidR="00BF72B1" w:rsidRPr="00776F11" w:rsidRDefault="00BF72B1" w:rsidP="00234AC7">
            <w:pPr>
              <w:pStyle w:val="TableText"/>
              <w:rPr>
                <w:b/>
                <w:szCs w:val="20"/>
              </w:rPr>
            </w:pPr>
            <w:r w:rsidRPr="00776F11">
              <w:rPr>
                <w:b/>
                <w:szCs w:val="20"/>
              </w:rPr>
              <w:t>Treatment career without romidepsin</w:t>
            </w:r>
          </w:p>
        </w:tc>
      </w:tr>
      <w:tr w:rsidR="00BF72B1" w:rsidRPr="00776F11" w:rsidTr="00234AC7">
        <w:tc>
          <w:tcPr>
            <w:tcW w:w="822" w:type="pct"/>
          </w:tcPr>
          <w:p w:rsidR="00BF72B1" w:rsidRPr="00776F11" w:rsidRDefault="00BF72B1" w:rsidP="00234AC7">
            <w:pPr>
              <w:pStyle w:val="TableText"/>
              <w:keepLines/>
              <w:widowControl w:val="0"/>
              <w:rPr>
                <w:szCs w:val="20"/>
              </w:rPr>
            </w:pPr>
            <w:r w:rsidRPr="00776F11">
              <w:rPr>
                <w:szCs w:val="20"/>
              </w:rPr>
              <w:t>Historical control</w:t>
            </w:r>
          </w:p>
        </w:tc>
        <w:tc>
          <w:tcPr>
            <w:tcW w:w="2972" w:type="pct"/>
          </w:tcPr>
          <w:p w:rsidR="00BF72B1" w:rsidRPr="00776F11" w:rsidRDefault="00BF72B1" w:rsidP="00234AC7">
            <w:pPr>
              <w:pStyle w:val="TableText"/>
              <w:keepLines/>
              <w:widowControl w:val="0"/>
              <w:rPr>
                <w:szCs w:val="20"/>
              </w:rPr>
            </w:pPr>
            <w:r w:rsidRPr="00776F11">
              <w:rPr>
                <w:szCs w:val="20"/>
              </w:rPr>
              <w:t>Individual patient data</w:t>
            </w:r>
          </w:p>
          <w:p w:rsidR="00BF72B1" w:rsidRPr="00776F11" w:rsidRDefault="00BF72B1" w:rsidP="00234AC7">
            <w:pPr>
              <w:pStyle w:val="TableText"/>
              <w:keepLines/>
              <w:widowControl w:val="0"/>
              <w:rPr>
                <w:szCs w:val="20"/>
              </w:rPr>
            </w:pPr>
            <w:r w:rsidRPr="00776F11">
              <w:rPr>
                <w:szCs w:val="20"/>
              </w:rPr>
              <w:t>3 overseas databases (combined)</w:t>
            </w:r>
          </w:p>
          <w:p w:rsidR="00BF72B1" w:rsidRPr="00776F11" w:rsidRDefault="00BF72B1" w:rsidP="00234AC7">
            <w:pPr>
              <w:pStyle w:val="TableText"/>
              <w:keepLines/>
              <w:widowControl w:val="0"/>
              <w:rPr>
                <w:szCs w:val="20"/>
              </w:rPr>
            </w:pPr>
            <w:r w:rsidRPr="00776F11">
              <w:rPr>
                <w:szCs w:val="20"/>
              </w:rPr>
              <w:t>1986 – 2010</w:t>
            </w:r>
          </w:p>
        </w:tc>
        <w:tc>
          <w:tcPr>
            <w:tcW w:w="1206" w:type="pct"/>
          </w:tcPr>
          <w:p w:rsidR="00BF72B1" w:rsidRPr="00776F11" w:rsidRDefault="00BF72B1" w:rsidP="00234AC7">
            <w:pPr>
              <w:pStyle w:val="TableText"/>
              <w:keepLines/>
              <w:widowControl w:val="0"/>
              <w:rPr>
                <w:szCs w:val="20"/>
              </w:rPr>
            </w:pPr>
            <w:r w:rsidRPr="00776F11">
              <w:rPr>
                <w:szCs w:val="20"/>
              </w:rPr>
              <w:t>October 2013</w:t>
            </w:r>
          </w:p>
          <w:p w:rsidR="00BF72B1" w:rsidRPr="00776F11" w:rsidRDefault="00BF72B1" w:rsidP="00234AC7">
            <w:pPr>
              <w:pStyle w:val="TableText"/>
              <w:keepLines/>
              <w:widowControl w:val="0"/>
              <w:rPr>
                <w:szCs w:val="20"/>
              </w:rPr>
            </w:pPr>
            <w:r w:rsidRPr="00776F11">
              <w:rPr>
                <w:szCs w:val="20"/>
              </w:rPr>
              <w:t>Celgene</w:t>
            </w:r>
          </w:p>
          <w:p w:rsidR="00BF72B1" w:rsidRPr="00776F11" w:rsidRDefault="00BF72B1" w:rsidP="00234AC7">
            <w:pPr>
              <w:pStyle w:val="TableText"/>
              <w:keepLines/>
              <w:widowControl w:val="0"/>
              <w:rPr>
                <w:szCs w:val="20"/>
              </w:rPr>
            </w:pPr>
            <w:proofErr w:type="spellStart"/>
            <w:r w:rsidRPr="00776F11">
              <w:rPr>
                <w:szCs w:val="20"/>
              </w:rPr>
              <w:t>Istodax</w:t>
            </w:r>
            <w:proofErr w:type="spellEnd"/>
            <w:r w:rsidRPr="00776F11">
              <w:rPr>
                <w:szCs w:val="20"/>
                <w:vertAlign w:val="superscript"/>
              </w:rPr>
              <w:t xml:space="preserve"> ® </w:t>
            </w:r>
            <w:r w:rsidRPr="00776F11">
              <w:rPr>
                <w:szCs w:val="20"/>
              </w:rPr>
              <w:t xml:space="preserve">(romidepsin) – </w:t>
            </w:r>
            <w:proofErr w:type="spellStart"/>
            <w:r w:rsidRPr="00776F11">
              <w:rPr>
                <w:szCs w:val="20"/>
              </w:rPr>
              <w:t>Istodax</w:t>
            </w:r>
            <w:proofErr w:type="spellEnd"/>
            <w:r w:rsidRPr="00776F11">
              <w:rPr>
                <w:szCs w:val="20"/>
              </w:rPr>
              <w:t xml:space="preserve"> Historical Comparison report.</w:t>
            </w:r>
          </w:p>
        </w:tc>
      </w:tr>
    </w:tbl>
    <w:p w:rsidR="00BF72B1" w:rsidRDefault="00BF72B1" w:rsidP="00BF72B1">
      <w:pPr>
        <w:pStyle w:val="TableText"/>
        <w:keepLines/>
        <w:widowControl w:val="0"/>
        <w:rPr>
          <w:szCs w:val="20"/>
        </w:rPr>
      </w:pPr>
      <w:r w:rsidRPr="00CB7310">
        <w:rPr>
          <w:szCs w:val="20"/>
        </w:rPr>
        <w:t>Source: Table 6, pp10-11 of the resubmission.</w:t>
      </w:r>
    </w:p>
    <w:p w:rsidR="00BF72B1" w:rsidRPr="00F70515" w:rsidRDefault="00BF72B1" w:rsidP="00BF72B1">
      <w:pPr>
        <w:spacing w:before="240" w:after="120"/>
        <w:jc w:val="both"/>
        <w:rPr>
          <w:u w:val="single"/>
        </w:rPr>
      </w:pPr>
      <w:r w:rsidRPr="00DC143C">
        <w:rPr>
          <w:u w:val="single"/>
        </w:rPr>
        <w:t>Treatment career with romidepsin (Study 0002</w:t>
      </w:r>
      <w:r>
        <w:rPr>
          <w:u w:val="single"/>
        </w:rPr>
        <w:t>)</w:t>
      </w:r>
    </w:p>
    <w:p w:rsidR="00BF72B1" w:rsidRPr="00CB7310" w:rsidRDefault="00BF72B1" w:rsidP="00BF72B1">
      <w:pPr>
        <w:pStyle w:val="ListParagraph"/>
        <w:numPr>
          <w:ilvl w:val="1"/>
          <w:numId w:val="1"/>
        </w:numPr>
        <w:spacing w:before="0" w:after="120"/>
        <w:jc w:val="both"/>
      </w:pPr>
      <w:r w:rsidRPr="00CB7310">
        <w:t xml:space="preserve">The treatment career with romidepsin arm was based on </w:t>
      </w:r>
      <w:r>
        <w:t>Study 0002</w:t>
      </w:r>
      <w:r w:rsidRPr="00CB7310">
        <w:t xml:space="preserve">, which was a prospective single-arm, open-label phase II trial (N = 130), and was one of two key trials reported in the November 2016 submission. The other, </w:t>
      </w:r>
      <w:proofErr w:type="spellStart"/>
      <w:r w:rsidRPr="00CB7310">
        <w:t>Piekarz</w:t>
      </w:r>
      <w:proofErr w:type="spellEnd"/>
      <w:r w:rsidRPr="00CB7310">
        <w:t xml:space="preserve"> et al, (2011), was not included in the resubmission as the study was small and did not report on overall survival. </w:t>
      </w:r>
      <w:r w:rsidRPr="0001444D">
        <w:t>This was appropriate</w:t>
      </w:r>
      <w:r w:rsidRPr="00CB7310">
        <w:rPr>
          <w:i/>
        </w:rPr>
        <w:t>.</w:t>
      </w:r>
      <w:r w:rsidRPr="00CB7310">
        <w:t xml:space="preserve">   </w:t>
      </w:r>
    </w:p>
    <w:p w:rsidR="00BF72B1" w:rsidRPr="00EA2518" w:rsidRDefault="00BF72B1" w:rsidP="00BF72B1">
      <w:pPr>
        <w:pStyle w:val="ListParagraph"/>
        <w:numPr>
          <w:ilvl w:val="1"/>
          <w:numId w:val="1"/>
        </w:numPr>
        <w:spacing w:before="0" w:after="120"/>
        <w:jc w:val="both"/>
      </w:pPr>
      <w:r w:rsidRPr="00EA2518">
        <w:t xml:space="preserve">Although Study 0002 was presented to the PBAC </w:t>
      </w:r>
      <w:r>
        <w:t xml:space="preserve">in the November 2016 submission </w:t>
      </w:r>
      <w:r w:rsidRPr="00EA2518">
        <w:t>and was evaluated in full at that time, data were used</w:t>
      </w:r>
      <w:r>
        <w:t xml:space="preserve"> differently</w:t>
      </w:r>
      <w:r w:rsidRPr="00EA2518">
        <w:t xml:space="preserve"> in the resubmission and </w:t>
      </w:r>
      <w:r>
        <w:t xml:space="preserve">this </w:t>
      </w:r>
      <w:r w:rsidRPr="00EA2518">
        <w:t>had not been presented previously.</w:t>
      </w:r>
      <w:r w:rsidRPr="00CB7310">
        <w:t xml:space="preserve"> The resubmission presented a naïve comparison of “treatment career with romidepsin” (based on data from Study 0002) versus “treatment career without romidepsin” (based on the historical cohorts presented to the TGA). This approach meant that the benefit outcome (overall survival) was measured from the start of first line therapy to death or censoring (rather than from initiation of treatment with romidepsin). This was estimated based on observed individual data from Study 0002. Start and stop dates for each line of </w:t>
      </w:r>
      <w:r w:rsidRPr="00CB7310">
        <w:lastRenderedPageBreak/>
        <w:t>therapy were retrospectively captured when patients were enrolled in Study 0002, and these data were used for the start date of the first line therapy.</w:t>
      </w:r>
      <w:r w:rsidRPr="00AF3595">
        <w:rPr>
          <w:i/>
        </w:rPr>
        <w:t xml:space="preserve"> </w:t>
      </w:r>
      <w:r w:rsidRPr="005D1793">
        <w:t xml:space="preserve">The ESC agreed that there is likely to be some selection bias favouring the romidepsin arm of the comparison, given that patients had to have survived for long enough to receive romidepsin treatment. </w:t>
      </w:r>
    </w:p>
    <w:p w:rsidR="00BF72B1" w:rsidRPr="002B1CF6" w:rsidRDefault="00BF72B1" w:rsidP="00BF72B1">
      <w:pPr>
        <w:spacing w:before="0" w:after="120"/>
        <w:jc w:val="both"/>
        <w:rPr>
          <w:u w:val="single"/>
        </w:rPr>
      </w:pPr>
      <w:r>
        <w:rPr>
          <w:u w:val="single"/>
        </w:rPr>
        <w:t>Treatment career without romidepsin (historical control cohort)</w:t>
      </w:r>
    </w:p>
    <w:p w:rsidR="00BF72B1" w:rsidRDefault="00BF72B1" w:rsidP="00BF72B1">
      <w:pPr>
        <w:pStyle w:val="ListParagraph"/>
        <w:numPr>
          <w:ilvl w:val="1"/>
          <w:numId w:val="1"/>
        </w:numPr>
        <w:spacing w:before="0" w:after="120"/>
        <w:jc w:val="both"/>
      </w:pPr>
      <w:r w:rsidRPr="00CB7310">
        <w:t>The treatment career without romidepsin arm (Historical Control Cohort, N=205) was constructed using individual patient data from:</w:t>
      </w:r>
    </w:p>
    <w:p w:rsidR="00BF72B1" w:rsidRDefault="00BF72B1" w:rsidP="00BF72B1">
      <w:pPr>
        <w:pStyle w:val="ListParagraph"/>
        <w:numPr>
          <w:ilvl w:val="0"/>
          <w:numId w:val="14"/>
        </w:numPr>
        <w:spacing w:before="0"/>
        <w:ind w:left="1134"/>
        <w:jc w:val="both"/>
      </w:pPr>
      <w:r w:rsidRPr="00CB7310">
        <w:t xml:space="preserve">Two academic hospitals in the US with high-volume haematology departments and expertise in peripheral T-cell lymphoma (N = </w:t>
      </w:r>
      <w:r>
        <w:rPr>
          <w:noProof/>
          <w:color w:val="000000"/>
          <w:highlight w:val="black"/>
        </w:rPr>
        <w:t>'''''</w:t>
      </w:r>
      <w:r w:rsidRPr="00CB7310">
        <w:t>); and</w:t>
      </w:r>
    </w:p>
    <w:p w:rsidR="00BF72B1" w:rsidRPr="00CB7310" w:rsidRDefault="00BF72B1" w:rsidP="00BF72B1">
      <w:pPr>
        <w:pStyle w:val="ListParagraph"/>
        <w:numPr>
          <w:ilvl w:val="0"/>
          <w:numId w:val="14"/>
        </w:numPr>
        <w:spacing w:before="0"/>
        <w:ind w:left="1134"/>
        <w:jc w:val="both"/>
      </w:pPr>
      <w:r w:rsidRPr="00CB7310">
        <w:t xml:space="preserve">The </w:t>
      </w:r>
      <w:proofErr w:type="spellStart"/>
      <w:r w:rsidRPr="00CB7310">
        <w:t>Groupe</w:t>
      </w:r>
      <w:proofErr w:type="spellEnd"/>
      <w:r w:rsidRPr="00CB7310">
        <w:t xml:space="preserve"> </w:t>
      </w:r>
      <w:proofErr w:type="spellStart"/>
      <w:r w:rsidRPr="00CB7310">
        <w:t>d’Etude</w:t>
      </w:r>
      <w:proofErr w:type="spellEnd"/>
      <w:r w:rsidRPr="00CB7310">
        <w:t xml:space="preserve"> des </w:t>
      </w:r>
      <w:proofErr w:type="spellStart"/>
      <w:r w:rsidRPr="00CB7310">
        <w:t>Lymphomes</w:t>
      </w:r>
      <w:proofErr w:type="spellEnd"/>
      <w:r w:rsidRPr="00CB7310">
        <w:t xml:space="preserve"> d </w:t>
      </w:r>
      <w:proofErr w:type="spellStart"/>
      <w:r w:rsidRPr="00CB7310">
        <w:t>l’Adlute</w:t>
      </w:r>
      <w:proofErr w:type="spellEnd"/>
      <w:r w:rsidRPr="00CB7310">
        <w:t xml:space="preserve"> (GELA), a European cancer cooperative group (N = </w:t>
      </w:r>
      <w:r>
        <w:rPr>
          <w:noProof/>
          <w:color w:val="000000"/>
          <w:highlight w:val="black"/>
        </w:rPr>
        <w:t>''''''''</w:t>
      </w:r>
      <w:r w:rsidRPr="00CB7310">
        <w:t xml:space="preserve">). </w:t>
      </w:r>
    </w:p>
    <w:p w:rsidR="00BF72B1" w:rsidRPr="00CB7310" w:rsidRDefault="00BF72B1" w:rsidP="00BF72B1">
      <w:pPr>
        <w:pStyle w:val="ListParagraph"/>
        <w:numPr>
          <w:ilvl w:val="1"/>
          <w:numId w:val="1"/>
        </w:numPr>
        <w:spacing w:before="0" w:after="120"/>
        <w:jc w:val="both"/>
      </w:pPr>
      <w:r w:rsidRPr="00CB7310">
        <w:t xml:space="preserve">Data for a total of 254 patients were obtained across the three sources used to inform the historical control cohort. Key eligibility and exclusion criteria for Study 0002 were applied to this group, and the 205 patients who met the inclusion criteria for Study 0002 were included in the historical control cohort. </w:t>
      </w:r>
    </w:p>
    <w:p w:rsidR="00BF72B1" w:rsidRPr="00EA2518" w:rsidRDefault="00BF72B1" w:rsidP="00BF72B1">
      <w:pPr>
        <w:pStyle w:val="ListParagraph"/>
        <w:numPr>
          <w:ilvl w:val="1"/>
          <w:numId w:val="1"/>
        </w:numPr>
        <w:spacing w:before="0" w:after="120"/>
        <w:jc w:val="both"/>
      </w:pPr>
      <w:r w:rsidRPr="00EA2518">
        <w:t>The P</w:t>
      </w:r>
      <w:r>
        <w:t xml:space="preserve">ublic </w:t>
      </w:r>
      <w:r w:rsidRPr="00EA2518">
        <w:t>S</w:t>
      </w:r>
      <w:r>
        <w:t xml:space="preserve">ummary </w:t>
      </w:r>
      <w:r w:rsidRPr="00EA2518">
        <w:t>D</w:t>
      </w:r>
      <w:r>
        <w:t>ocument</w:t>
      </w:r>
      <w:r w:rsidRPr="00EA2518">
        <w:t xml:space="preserve"> for the July 2017 pralatrexate submission notes that the historical control cohort constructed for that submission included patients from an Australian dataset from the Peter </w:t>
      </w:r>
      <w:proofErr w:type="spellStart"/>
      <w:r w:rsidRPr="00EA2518">
        <w:t>MacCallum</w:t>
      </w:r>
      <w:proofErr w:type="spellEnd"/>
      <w:r w:rsidRPr="00EA2518">
        <w:t xml:space="preserve"> Institute. This database is referred to in the romidepsin </w:t>
      </w:r>
      <w:proofErr w:type="gramStart"/>
      <w:r w:rsidRPr="00EA2518">
        <w:t>submission,</w:t>
      </w:r>
      <w:proofErr w:type="gramEnd"/>
      <w:r w:rsidRPr="00EA2518">
        <w:t xml:space="preserve"> however it was not included in the comparator arm of the clinical comparison.</w:t>
      </w:r>
    </w:p>
    <w:p w:rsidR="00BF72B1" w:rsidRPr="0035203E" w:rsidRDefault="00BF72B1" w:rsidP="00BF72B1">
      <w:pPr>
        <w:pStyle w:val="PBACHeading1"/>
        <w:numPr>
          <w:ilvl w:val="0"/>
          <w:numId w:val="0"/>
        </w:numPr>
        <w:spacing w:before="0"/>
        <w:ind w:left="720" w:hanging="720"/>
        <w:jc w:val="both"/>
        <w:rPr>
          <w:rFonts w:asciiTheme="minorHAnsi" w:hAnsiTheme="minorHAnsi"/>
          <w:b w:val="0"/>
          <w:sz w:val="24"/>
          <w:szCs w:val="24"/>
          <w:u w:val="single"/>
        </w:rPr>
      </w:pPr>
      <w:bookmarkStart w:id="22" w:name="_Toc497395999"/>
      <w:r w:rsidRPr="0035203E">
        <w:rPr>
          <w:rFonts w:asciiTheme="minorHAnsi" w:hAnsiTheme="minorHAnsi"/>
          <w:b w:val="0"/>
          <w:sz w:val="24"/>
          <w:szCs w:val="24"/>
          <w:u w:val="single"/>
        </w:rPr>
        <w:t xml:space="preserve">Comparability of </w:t>
      </w:r>
      <w:r>
        <w:rPr>
          <w:rFonts w:asciiTheme="minorHAnsi" w:hAnsiTheme="minorHAnsi"/>
          <w:b w:val="0"/>
          <w:sz w:val="24"/>
          <w:szCs w:val="24"/>
          <w:u w:val="single"/>
        </w:rPr>
        <w:t>Study 0002 and the historical control cohort</w:t>
      </w:r>
      <w:bookmarkEnd w:id="22"/>
    </w:p>
    <w:p w:rsidR="00BF72B1" w:rsidRPr="00CB7310" w:rsidRDefault="00BF72B1" w:rsidP="00BF72B1">
      <w:pPr>
        <w:pStyle w:val="ListParagraph"/>
        <w:numPr>
          <w:ilvl w:val="1"/>
          <w:numId w:val="1"/>
        </w:numPr>
        <w:spacing w:before="0" w:after="120"/>
        <w:jc w:val="both"/>
      </w:pPr>
      <w:r w:rsidRPr="00CB7310">
        <w:t>The key features of the studies presented by the resubmission are summarised in the table below.</w:t>
      </w:r>
    </w:p>
    <w:p w:rsidR="00544932" w:rsidRPr="00544932" w:rsidRDefault="00544932" w:rsidP="00544932">
      <w:pPr>
        <w:pStyle w:val="Caption"/>
        <w:rPr>
          <w:rFonts w:ascii="Arial Narrow" w:hAnsi="Arial Narrow"/>
        </w:rPr>
      </w:pPr>
      <w:r w:rsidRPr="00544932">
        <w:rPr>
          <w:rFonts w:ascii="Arial Narrow" w:hAnsi="Arial Narrow"/>
        </w:rPr>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4</w:t>
      </w:r>
      <w:r w:rsidRPr="00544932">
        <w:rPr>
          <w:rFonts w:ascii="Arial Narrow" w:hAnsi="Arial Narrow"/>
        </w:rPr>
        <w:fldChar w:fldCharType="end"/>
      </w:r>
      <w:r w:rsidRPr="00544932">
        <w:rPr>
          <w:rFonts w:ascii="Arial Narrow" w:hAnsi="Arial Narrow"/>
        </w:rPr>
        <w:t>: Key features of the included evidence, treatment career with romidepsin vs. treatment career without romidepsin – naïve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treatment career with romidepsin vs. treatment career without romidepsin – naïve comparison"/>
      </w:tblPr>
      <w:tblGrid>
        <w:gridCol w:w="1234"/>
        <w:gridCol w:w="774"/>
        <w:gridCol w:w="2005"/>
        <w:gridCol w:w="1079"/>
        <w:gridCol w:w="1471"/>
        <w:gridCol w:w="1304"/>
        <w:gridCol w:w="1215"/>
      </w:tblGrid>
      <w:tr w:rsidR="00BF72B1" w:rsidRPr="00D86405" w:rsidTr="00234AC7">
        <w:tc>
          <w:tcPr>
            <w:tcW w:w="679" w:type="pct"/>
            <w:shd w:val="clear" w:color="auto" w:fill="auto"/>
            <w:vAlign w:val="center"/>
          </w:tcPr>
          <w:p w:rsidR="00BF72B1" w:rsidRPr="00D86405" w:rsidRDefault="00BF72B1" w:rsidP="00234AC7">
            <w:pPr>
              <w:pStyle w:val="TableText"/>
              <w:rPr>
                <w:b/>
              </w:rPr>
            </w:pPr>
            <w:r w:rsidRPr="00D86405">
              <w:rPr>
                <w:b/>
              </w:rPr>
              <w:t>Trial</w:t>
            </w:r>
          </w:p>
        </w:tc>
        <w:tc>
          <w:tcPr>
            <w:tcW w:w="426" w:type="pct"/>
            <w:shd w:val="clear" w:color="auto" w:fill="auto"/>
            <w:vAlign w:val="center"/>
          </w:tcPr>
          <w:p w:rsidR="00BF72B1" w:rsidRPr="00D86405" w:rsidRDefault="00BF72B1" w:rsidP="00234AC7">
            <w:pPr>
              <w:pStyle w:val="TableText"/>
              <w:rPr>
                <w:b/>
              </w:rPr>
            </w:pPr>
            <w:r w:rsidRPr="00D86405">
              <w:rPr>
                <w:b/>
              </w:rPr>
              <w:t>N</w:t>
            </w:r>
          </w:p>
        </w:tc>
        <w:tc>
          <w:tcPr>
            <w:tcW w:w="1104" w:type="pct"/>
            <w:shd w:val="clear" w:color="auto" w:fill="auto"/>
            <w:vAlign w:val="center"/>
          </w:tcPr>
          <w:p w:rsidR="00BF72B1" w:rsidRPr="00D86405" w:rsidRDefault="00BF72B1" w:rsidP="00234AC7">
            <w:pPr>
              <w:pStyle w:val="TableText"/>
              <w:rPr>
                <w:b/>
              </w:rPr>
            </w:pPr>
            <w:r w:rsidRPr="00D86405">
              <w:rPr>
                <w:b/>
              </w:rPr>
              <w:t xml:space="preserve">Design/ </w:t>
            </w:r>
            <w:r>
              <w:rPr>
                <w:b/>
              </w:rPr>
              <w:t xml:space="preserve">median </w:t>
            </w:r>
            <w:r w:rsidRPr="00D86405">
              <w:rPr>
                <w:b/>
              </w:rPr>
              <w:t>duration of follow-up</w:t>
            </w:r>
          </w:p>
        </w:tc>
        <w:tc>
          <w:tcPr>
            <w:tcW w:w="594" w:type="pct"/>
            <w:shd w:val="clear" w:color="auto" w:fill="auto"/>
            <w:vAlign w:val="center"/>
          </w:tcPr>
          <w:p w:rsidR="00BF72B1" w:rsidRPr="00D86405" w:rsidRDefault="00BF72B1" w:rsidP="00234AC7">
            <w:pPr>
              <w:pStyle w:val="TableText"/>
              <w:rPr>
                <w:b/>
              </w:rPr>
            </w:pPr>
            <w:r w:rsidRPr="00D86405">
              <w:rPr>
                <w:b/>
              </w:rPr>
              <w:t>Risk of bias</w:t>
            </w:r>
          </w:p>
        </w:tc>
        <w:tc>
          <w:tcPr>
            <w:tcW w:w="810" w:type="pct"/>
            <w:shd w:val="clear" w:color="auto" w:fill="auto"/>
            <w:vAlign w:val="center"/>
          </w:tcPr>
          <w:p w:rsidR="00BF72B1" w:rsidRPr="00D86405" w:rsidRDefault="00BF72B1" w:rsidP="00234AC7">
            <w:pPr>
              <w:pStyle w:val="TableText"/>
              <w:rPr>
                <w:b/>
              </w:rPr>
            </w:pPr>
            <w:r w:rsidRPr="00D86405">
              <w:rPr>
                <w:b/>
              </w:rPr>
              <w:t>Patient population</w:t>
            </w:r>
          </w:p>
        </w:tc>
        <w:tc>
          <w:tcPr>
            <w:tcW w:w="718" w:type="pct"/>
            <w:shd w:val="clear" w:color="auto" w:fill="auto"/>
            <w:vAlign w:val="center"/>
          </w:tcPr>
          <w:p w:rsidR="00BF72B1" w:rsidRPr="00D86405" w:rsidRDefault="00BF72B1" w:rsidP="00234AC7">
            <w:pPr>
              <w:pStyle w:val="TableText"/>
              <w:rPr>
                <w:b/>
              </w:rPr>
            </w:pPr>
            <w:r w:rsidRPr="00D86405">
              <w:rPr>
                <w:b/>
              </w:rPr>
              <w:t>Outcome(s)</w:t>
            </w:r>
          </w:p>
        </w:tc>
        <w:tc>
          <w:tcPr>
            <w:tcW w:w="669" w:type="pct"/>
            <w:shd w:val="clear" w:color="auto" w:fill="auto"/>
            <w:vAlign w:val="center"/>
          </w:tcPr>
          <w:p w:rsidR="00BF72B1" w:rsidRPr="00D86405" w:rsidRDefault="00BF72B1" w:rsidP="00234AC7">
            <w:pPr>
              <w:pStyle w:val="TableText"/>
              <w:rPr>
                <w:b/>
              </w:rPr>
            </w:pPr>
            <w:r w:rsidRPr="00D86405">
              <w:rPr>
                <w:b/>
              </w:rPr>
              <w:t xml:space="preserve">Use in </w:t>
            </w:r>
            <w:r>
              <w:rPr>
                <w:b/>
              </w:rPr>
              <w:t xml:space="preserve">economic </w:t>
            </w:r>
            <w:r w:rsidRPr="00D86405">
              <w:rPr>
                <w:b/>
              </w:rPr>
              <w:t>evaluation</w:t>
            </w:r>
          </w:p>
        </w:tc>
      </w:tr>
      <w:tr w:rsidR="00BF72B1" w:rsidRPr="00D86405" w:rsidTr="00234AC7">
        <w:tc>
          <w:tcPr>
            <w:tcW w:w="5000" w:type="pct"/>
            <w:gridSpan w:val="7"/>
            <w:shd w:val="clear" w:color="auto" w:fill="auto"/>
            <w:vAlign w:val="center"/>
          </w:tcPr>
          <w:p w:rsidR="00BF72B1" w:rsidRPr="005B2C16" w:rsidRDefault="00BF72B1" w:rsidP="00234AC7">
            <w:pPr>
              <w:pStyle w:val="TableText"/>
              <w:rPr>
                <w:rFonts w:ascii="Times" w:eastAsia="Times New Roman" w:hAnsi="Times" w:cs="Times New Roman"/>
                <w:b/>
              </w:rPr>
            </w:pPr>
            <w:r w:rsidRPr="005B2C16">
              <w:rPr>
                <w:b/>
              </w:rPr>
              <w:t>Treatment career with romidepsin</w:t>
            </w:r>
          </w:p>
        </w:tc>
      </w:tr>
      <w:tr w:rsidR="00BF72B1" w:rsidRPr="00D86405" w:rsidTr="00234AC7">
        <w:tc>
          <w:tcPr>
            <w:tcW w:w="679" w:type="pct"/>
            <w:shd w:val="clear" w:color="auto" w:fill="auto"/>
            <w:vAlign w:val="center"/>
          </w:tcPr>
          <w:p w:rsidR="00BF72B1" w:rsidRPr="0074358E" w:rsidRDefault="00BF72B1" w:rsidP="00234AC7">
            <w:pPr>
              <w:pStyle w:val="TableText"/>
            </w:pPr>
            <w:r w:rsidRPr="0074358E">
              <w:t>Study 0002</w:t>
            </w:r>
          </w:p>
        </w:tc>
        <w:tc>
          <w:tcPr>
            <w:tcW w:w="426" w:type="pct"/>
            <w:shd w:val="clear" w:color="auto" w:fill="auto"/>
            <w:vAlign w:val="center"/>
          </w:tcPr>
          <w:p w:rsidR="00BF72B1" w:rsidRPr="0074358E" w:rsidRDefault="00BF72B1" w:rsidP="00234AC7">
            <w:pPr>
              <w:pStyle w:val="TableText"/>
            </w:pPr>
            <w:r>
              <w:t>130</w:t>
            </w:r>
          </w:p>
        </w:tc>
        <w:tc>
          <w:tcPr>
            <w:tcW w:w="1104" w:type="pct"/>
            <w:shd w:val="clear" w:color="auto" w:fill="auto"/>
            <w:vAlign w:val="center"/>
          </w:tcPr>
          <w:p w:rsidR="00BF72B1" w:rsidRPr="0074358E" w:rsidRDefault="00BF72B1" w:rsidP="00234AC7">
            <w:pPr>
              <w:pStyle w:val="TableText"/>
            </w:pPr>
            <w:r>
              <w:t>MC,</w:t>
            </w:r>
            <w:r w:rsidRPr="0074358E">
              <w:t xml:space="preserve"> OL</w:t>
            </w:r>
            <w:r>
              <w:t>/</w:t>
            </w:r>
            <w:r w:rsidRPr="00C60221">
              <w:t>27.8 months</w:t>
            </w:r>
          </w:p>
        </w:tc>
        <w:tc>
          <w:tcPr>
            <w:tcW w:w="594" w:type="pct"/>
            <w:shd w:val="clear" w:color="auto" w:fill="auto"/>
            <w:vAlign w:val="center"/>
          </w:tcPr>
          <w:p w:rsidR="00BF72B1" w:rsidRPr="0074358E" w:rsidRDefault="00BF72B1" w:rsidP="00234AC7">
            <w:pPr>
              <w:pStyle w:val="TableText"/>
            </w:pPr>
            <w:r w:rsidRPr="0074358E">
              <w:t>High</w:t>
            </w:r>
          </w:p>
        </w:tc>
        <w:tc>
          <w:tcPr>
            <w:tcW w:w="810" w:type="pct"/>
            <w:shd w:val="clear" w:color="auto" w:fill="auto"/>
            <w:vAlign w:val="center"/>
          </w:tcPr>
          <w:p w:rsidR="00BF72B1" w:rsidRPr="0074358E" w:rsidRDefault="00BF72B1" w:rsidP="00234AC7">
            <w:pPr>
              <w:pStyle w:val="TableText"/>
            </w:pPr>
            <w:r w:rsidRPr="0074358E">
              <w:t>R</w:t>
            </w:r>
            <w:r>
              <w:t>/</w:t>
            </w:r>
            <w:r w:rsidRPr="0074358E">
              <w:t>R PTCL</w:t>
            </w:r>
          </w:p>
        </w:tc>
        <w:tc>
          <w:tcPr>
            <w:tcW w:w="718" w:type="pct"/>
            <w:shd w:val="clear" w:color="auto" w:fill="auto"/>
            <w:vAlign w:val="center"/>
          </w:tcPr>
          <w:p w:rsidR="00BF72B1" w:rsidRPr="0074358E" w:rsidRDefault="00BF72B1" w:rsidP="00234AC7">
            <w:pPr>
              <w:pStyle w:val="TableText"/>
            </w:pPr>
            <w:r>
              <w:rPr>
                <w:szCs w:val="20"/>
                <w:lang w:val="en-US"/>
              </w:rPr>
              <w:t>Response rate, DOR, PFS, OS, toxicity</w:t>
            </w:r>
          </w:p>
        </w:tc>
        <w:tc>
          <w:tcPr>
            <w:tcW w:w="669" w:type="pct"/>
            <w:shd w:val="clear" w:color="auto" w:fill="auto"/>
            <w:vAlign w:val="center"/>
          </w:tcPr>
          <w:p w:rsidR="00BF72B1" w:rsidRDefault="00BF72B1" w:rsidP="00234AC7">
            <w:pPr>
              <w:pStyle w:val="TableText"/>
            </w:pPr>
            <w:r>
              <w:t>Yes (OS, PFS)</w:t>
            </w:r>
          </w:p>
          <w:p w:rsidR="00BF72B1" w:rsidRPr="0074358E" w:rsidRDefault="00BF72B1" w:rsidP="00234AC7">
            <w:pPr>
              <w:pStyle w:val="TableText"/>
            </w:pPr>
          </w:p>
        </w:tc>
      </w:tr>
      <w:tr w:rsidR="00BF72B1" w:rsidRPr="00D86405" w:rsidTr="00234AC7">
        <w:tc>
          <w:tcPr>
            <w:tcW w:w="5000" w:type="pct"/>
            <w:gridSpan w:val="7"/>
            <w:shd w:val="clear" w:color="auto" w:fill="auto"/>
            <w:vAlign w:val="center"/>
          </w:tcPr>
          <w:p w:rsidR="00BF72B1" w:rsidRPr="0074358E" w:rsidRDefault="00BF72B1" w:rsidP="00234AC7">
            <w:pPr>
              <w:pStyle w:val="TableText"/>
              <w:rPr>
                <w:b/>
              </w:rPr>
            </w:pPr>
            <w:r w:rsidRPr="0074358E">
              <w:rPr>
                <w:b/>
              </w:rPr>
              <w:t>Treatment career without romidepsin</w:t>
            </w:r>
          </w:p>
        </w:tc>
      </w:tr>
      <w:tr w:rsidR="00BF72B1" w:rsidRPr="00D86405" w:rsidTr="00234AC7">
        <w:tc>
          <w:tcPr>
            <w:tcW w:w="679" w:type="pct"/>
            <w:shd w:val="clear" w:color="auto" w:fill="auto"/>
            <w:vAlign w:val="center"/>
          </w:tcPr>
          <w:p w:rsidR="00BF72B1" w:rsidRPr="0074358E" w:rsidRDefault="00BF72B1" w:rsidP="00234AC7">
            <w:pPr>
              <w:pStyle w:val="TableText"/>
            </w:pPr>
            <w:r w:rsidRPr="0074358E">
              <w:t>Cooperative group</w:t>
            </w:r>
          </w:p>
        </w:tc>
        <w:tc>
          <w:tcPr>
            <w:tcW w:w="426" w:type="pct"/>
            <w:shd w:val="clear" w:color="auto" w:fill="auto"/>
            <w:vAlign w:val="center"/>
          </w:tcPr>
          <w:p w:rsidR="00BF72B1" w:rsidRPr="00455174" w:rsidRDefault="00BF72B1" w:rsidP="00234AC7">
            <w:pPr>
              <w:pStyle w:val="TableText"/>
              <w:rPr>
                <w:highlight w:val="black"/>
              </w:rPr>
            </w:pPr>
            <w:r>
              <w:rPr>
                <w:noProof/>
                <w:color w:val="000000"/>
                <w:highlight w:val="black"/>
              </w:rPr>
              <w:t>''''''''</w:t>
            </w:r>
          </w:p>
        </w:tc>
        <w:tc>
          <w:tcPr>
            <w:tcW w:w="1104" w:type="pct"/>
            <w:shd w:val="clear" w:color="auto" w:fill="auto"/>
            <w:vAlign w:val="center"/>
          </w:tcPr>
          <w:p w:rsidR="00BF72B1" w:rsidRPr="0074358E" w:rsidRDefault="00BF72B1" w:rsidP="00234AC7">
            <w:pPr>
              <w:pStyle w:val="TableText"/>
            </w:pPr>
            <w:r>
              <w:t>Historical database (1997 – 2008)/24.2</w:t>
            </w:r>
            <w:r w:rsidRPr="00C60221">
              <w:t xml:space="preserve"> months</w:t>
            </w:r>
          </w:p>
        </w:tc>
        <w:tc>
          <w:tcPr>
            <w:tcW w:w="594" w:type="pct"/>
            <w:shd w:val="clear" w:color="auto" w:fill="auto"/>
            <w:vAlign w:val="center"/>
          </w:tcPr>
          <w:p w:rsidR="00BF72B1" w:rsidRPr="0074358E" w:rsidRDefault="00BF72B1" w:rsidP="00234AC7">
            <w:pPr>
              <w:pStyle w:val="TableText"/>
            </w:pPr>
            <w:r w:rsidRPr="0074358E">
              <w:t>High</w:t>
            </w:r>
          </w:p>
        </w:tc>
        <w:tc>
          <w:tcPr>
            <w:tcW w:w="810" w:type="pct"/>
            <w:shd w:val="clear" w:color="auto" w:fill="auto"/>
            <w:vAlign w:val="center"/>
          </w:tcPr>
          <w:p w:rsidR="00BF72B1" w:rsidRPr="0074358E" w:rsidRDefault="00BF72B1" w:rsidP="00234AC7">
            <w:pPr>
              <w:pStyle w:val="TableText"/>
            </w:pPr>
            <w:r>
              <w:t>R/R PTCL</w:t>
            </w:r>
          </w:p>
        </w:tc>
        <w:tc>
          <w:tcPr>
            <w:tcW w:w="718" w:type="pct"/>
            <w:shd w:val="clear" w:color="auto" w:fill="auto"/>
            <w:vAlign w:val="center"/>
          </w:tcPr>
          <w:p w:rsidR="00BF72B1" w:rsidRPr="0074358E" w:rsidRDefault="00BF72B1" w:rsidP="00234AC7">
            <w:pPr>
              <w:pStyle w:val="TableText"/>
            </w:pPr>
            <w:r>
              <w:t>OS</w:t>
            </w:r>
          </w:p>
        </w:tc>
        <w:tc>
          <w:tcPr>
            <w:tcW w:w="669" w:type="pct"/>
            <w:shd w:val="clear" w:color="auto" w:fill="auto"/>
            <w:vAlign w:val="center"/>
          </w:tcPr>
          <w:p w:rsidR="00BF72B1" w:rsidRPr="0074358E" w:rsidRDefault="00BF72B1" w:rsidP="00234AC7">
            <w:pPr>
              <w:pStyle w:val="TableText"/>
            </w:pPr>
            <w:r>
              <w:t>Yes</w:t>
            </w:r>
          </w:p>
        </w:tc>
      </w:tr>
      <w:tr w:rsidR="00BF72B1" w:rsidRPr="00D86405" w:rsidTr="00234AC7">
        <w:tc>
          <w:tcPr>
            <w:tcW w:w="679" w:type="pct"/>
            <w:shd w:val="clear" w:color="auto" w:fill="auto"/>
            <w:vAlign w:val="center"/>
          </w:tcPr>
          <w:p w:rsidR="00BF72B1" w:rsidRPr="0074358E" w:rsidRDefault="00BF72B1" w:rsidP="00234AC7">
            <w:pPr>
              <w:pStyle w:val="TableText"/>
            </w:pPr>
            <w:r w:rsidRPr="0074358E">
              <w:t>Hospital group</w:t>
            </w:r>
          </w:p>
        </w:tc>
        <w:tc>
          <w:tcPr>
            <w:tcW w:w="426" w:type="pct"/>
            <w:shd w:val="clear" w:color="auto" w:fill="auto"/>
            <w:vAlign w:val="center"/>
          </w:tcPr>
          <w:p w:rsidR="00BF72B1" w:rsidRPr="00455174" w:rsidRDefault="00BF72B1" w:rsidP="00234AC7">
            <w:pPr>
              <w:pStyle w:val="TableText"/>
              <w:rPr>
                <w:highlight w:val="black"/>
              </w:rPr>
            </w:pPr>
            <w:r>
              <w:rPr>
                <w:noProof/>
                <w:color w:val="000000"/>
                <w:highlight w:val="black"/>
              </w:rPr>
              <w:t>''''''</w:t>
            </w:r>
          </w:p>
        </w:tc>
        <w:tc>
          <w:tcPr>
            <w:tcW w:w="1104" w:type="pct"/>
            <w:shd w:val="clear" w:color="auto" w:fill="auto"/>
            <w:vAlign w:val="center"/>
          </w:tcPr>
          <w:p w:rsidR="00BF72B1" w:rsidRPr="0074358E" w:rsidRDefault="00BF72B1" w:rsidP="00234AC7">
            <w:pPr>
              <w:pStyle w:val="TableText"/>
            </w:pPr>
            <w:r>
              <w:t>Historical database (1986 – 2010)/18.5</w:t>
            </w:r>
            <w:r w:rsidRPr="00C60221">
              <w:t xml:space="preserve"> months</w:t>
            </w:r>
          </w:p>
        </w:tc>
        <w:tc>
          <w:tcPr>
            <w:tcW w:w="594" w:type="pct"/>
            <w:shd w:val="clear" w:color="auto" w:fill="auto"/>
            <w:vAlign w:val="center"/>
          </w:tcPr>
          <w:p w:rsidR="00BF72B1" w:rsidRPr="0074358E" w:rsidRDefault="00BF72B1" w:rsidP="00234AC7">
            <w:pPr>
              <w:pStyle w:val="TableText"/>
            </w:pPr>
            <w:r w:rsidRPr="0074358E">
              <w:t>High</w:t>
            </w:r>
          </w:p>
        </w:tc>
        <w:tc>
          <w:tcPr>
            <w:tcW w:w="810" w:type="pct"/>
            <w:shd w:val="clear" w:color="auto" w:fill="auto"/>
            <w:vAlign w:val="center"/>
          </w:tcPr>
          <w:p w:rsidR="00BF72B1" w:rsidRPr="0074358E" w:rsidRDefault="00BF72B1" w:rsidP="00234AC7">
            <w:pPr>
              <w:pStyle w:val="TableText"/>
            </w:pPr>
            <w:r>
              <w:t xml:space="preserve">R/R </w:t>
            </w:r>
            <w:r w:rsidRPr="0074358E">
              <w:t>PTCL</w:t>
            </w:r>
          </w:p>
        </w:tc>
        <w:tc>
          <w:tcPr>
            <w:tcW w:w="718" w:type="pct"/>
            <w:shd w:val="clear" w:color="auto" w:fill="auto"/>
            <w:vAlign w:val="center"/>
          </w:tcPr>
          <w:p w:rsidR="00BF72B1" w:rsidRPr="0074358E" w:rsidRDefault="00BF72B1" w:rsidP="00234AC7">
            <w:pPr>
              <w:pStyle w:val="TableText"/>
            </w:pPr>
            <w:r>
              <w:t>OS</w:t>
            </w:r>
          </w:p>
        </w:tc>
        <w:tc>
          <w:tcPr>
            <w:tcW w:w="669" w:type="pct"/>
            <w:shd w:val="clear" w:color="auto" w:fill="auto"/>
            <w:vAlign w:val="center"/>
          </w:tcPr>
          <w:p w:rsidR="00BF72B1" w:rsidRPr="0074358E" w:rsidRDefault="00BF72B1" w:rsidP="00234AC7">
            <w:pPr>
              <w:pStyle w:val="TableText"/>
            </w:pPr>
            <w:r>
              <w:t>Yes</w:t>
            </w:r>
          </w:p>
        </w:tc>
      </w:tr>
    </w:tbl>
    <w:p w:rsidR="00BF72B1" w:rsidRPr="004F297C" w:rsidRDefault="00BF72B1" w:rsidP="00BF72B1">
      <w:pPr>
        <w:pStyle w:val="TableFooter"/>
      </w:pPr>
      <w:r w:rsidRPr="00D86405">
        <w:t>Source: compiled during the evaluation</w:t>
      </w:r>
    </w:p>
    <w:p w:rsidR="00BF72B1" w:rsidRPr="00D86405" w:rsidRDefault="00BF72B1" w:rsidP="00BF72B1">
      <w:pPr>
        <w:pStyle w:val="TableFooter"/>
      </w:pPr>
      <w:r w:rsidRPr="00D86405">
        <w:t>MC</w:t>
      </w:r>
      <w:r>
        <w:t xml:space="preserve"> </w:t>
      </w:r>
      <w:r w:rsidRPr="00D86405">
        <w:t>=</w:t>
      </w:r>
      <w:r>
        <w:t xml:space="preserve"> </w:t>
      </w:r>
      <w:r w:rsidRPr="00D86405">
        <w:t>multi-centre; OL</w:t>
      </w:r>
      <w:r>
        <w:t xml:space="preserve"> </w:t>
      </w:r>
      <w:r w:rsidRPr="00D86405">
        <w:t>=</w:t>
      </w:r>
      <w:r>
        <w:t xml:space="preserve"> </w:t>
      </w:r>
      <w:r w:rsidRPr="00D86405">
        <w:t>open label; OS</w:t>
      </w:r>
      <w:r>
        <w:t xml:space="preserve"> </w:t>
      </w:r>
      <w:r w:rsidRPr="00D86405">
        <w:t>=</w:t>
      </w:r>
      <w:r>
        <w:t xml:space="preserve"> </w:t>
      </w:r>
      <w:r w:rsidRPr="00D86405">
        <w:t>overall survival</w:t>
      </w:r>
      <w:r>
        <w:t>; PTCL = peripheral T-cell lymphoma; R/R = relapsed/refractory</w:t>
      </w:r>
    </w:p>
    <w:p w:rsidR="00BF72B1" w:rsidRDefault="00BF72B1" w:rsidP="00BF72B1">
      <w:pPr>
        <w:pStyle w:val="ListParagraph"/>
        <w:numPr>
          <w:ilvl w:val="1"/>
          <w:numId w:val="1"/>
        </w:numPr>
        <w:spacing w:before="0" w:after="120"/>
        <w:jc w:val="both"/>
      </w:pPr>
      <w:r>
        <w:t>D</w:t>
      </w:r>
      <w:r w:rsidRPr="00EA2518">
        <w:t>ue to the limited information available for the historical control cohort, it was not possible to fully assess the comparability of patients in the comparative analysis set.</w:t>
      </w:r>
    </w:p>
    <w:p w:rsidR="00BF72B1" w:rsidRPr="00EA2518" w:rsidRDefault="00BF72B1" w:rsidP="00BF72B1">
      <w:pPr>
        <w:pStyle w:val="ListParagraph"/>
        <w:numPr>
          <w:ilvl w:val="1"/>
          <w:numId w:val="1"/>
        </w:numPr>
        <w:spacing w:before="0" w:after="120"/>
        <w:jc w:val="both"/>
      </w:pPr>
      <w:r w:rsidRPr="00EA2518">
        <w:t>The following issues contributed to the uncertainty around the level of heterogeneity between the comparison arms:</w:t>
      </w:r>
    </w:p>
    <w:p w:rsidR="00BF72B1" w:rsidRPr="00EA2518" w:rsidRDefault="00BF72B1" w:rsidP="00BF72B1">
      <w:pPr>
        <w:pStyle w:val="ListParagraph"/>
        <w:numPr>
          <w:ilvl w:val="2"/>
          <w:numId w:val="8"/>
        </w:numPr>
        <w:spacing w:after="120"/>
        <w:ind w:left="993" w:hanging="284"/>
        <w:jc w:val="both"/>
        <w:rPr>
          <w:lang w:val="en-US"/>
        </w:rPr>
      </w:pPr>
      <w:r w:rsidRPr="00EA2518">
        <w:lastRenderedPageBreak/>
        <w:t>Inclusion but not exclusion criteria from Study 0002 were used to identify patients for the historical comparator cohort. This meant</w:t>
      </w:r>
      <w:r>
        <w:t xml:space="preserve"> that </w:t>
      </w:r>
      <w:r w:rsidRPr="00EA2518">
        <w:rPr>
          <w:lang w:val="en-US"/>
        </w:rPr>
        <w:t xml:space="preserve">patients in Study 0002 might have benefited from survival gains due to having fewer comorbidities compared with the historical control cohort; </w:t>
      </w:r>
    </w:p>
    <w:p w:rsidR="00BF72B1" w:rsidRPr="00EA2518" w:rsidRDefault="00BF72B1" w:rsidP="00BF72B1">
      <w:pPr>
        <w:pStyle w:val="ListParagraph"/>
        <w:numPr>
          <w:ilvl w:val="1"/>
          <w:numId w:val="8"/>
        </w:numPr>
        <w:spacing w:after="120"/>
        <w:ind w:left="993" w:hanging="284"/>
        <w:jc w:val="both"/>
      </w:pPr>
      <w:r w:rsidRPr="00EA2518">
        <w:t>There may have been differences in the types of other treatments used in the two arms; and</w:t>
      </w:r>
    </w:p>
    <w:p w:rsidR="00BF72B1" w:rsidRDefault="00BF72B1" w:rsidP="00BF72B1">
      <w:pPr>
        <w:pStyle w:val="ListParagraph"/>
        <w:numPr>
          <w:ilvl w:val="1"/>
          <w:numId w:val="8"/>
        </w:numPr>
        <w:spacing w:after="120"/>
        <w:ind w:left="993" w:hanging="284"/>
        <w:jc w:val="both"/>
      </w:pPr>
      <w:r w:rsidRPr="00EA2518">
        <w:t xml:space="preserve">Patients in the romidepsin arm may have had less severe disease or a better prognosis, given that they had already survived long enough to receive treatment. </w:t>
      </w:r>
    </w:p>
    <w:p w:rsidR="00BF72B1" w:rsidRPr="005D1793" w:rsidRDefault="00BF72B1" w:rsidP="00BF72B1">
      <w:pPr>
        <w:pStyle w:val="ListParagraph"/>
        <w:numPr>
          <w:ilvl w:val="1"/>
          <w:numId w:val="1"/>
        </w:numPr>
        <w:spacing w:before="0" w:after="120"/>
        <w:jc w:val="both"/>
      </w:pPr>
      <w:r w:rsidRPr="005D1793">
        <w:t>The Pre-Sub-Committee Response (PSCR, p1) acknowledged that there were potential confounders given the retrospective nature of the analysis, but states that “steps were taken to ensure unbiased selection of candidates for the external control arm”, including that patients who died soon after completing a line of treatment “were generally not accepted for the external control dataset.”</w:t>
      </w:r>
    </w:p>
    <w:p w:rsidR="00BF72B1" w:rsidRPr="005D1793" w:rsidRDefault="00BF72B1" w:rsidP="00BF72B1">
      <w:pPr>
        <w:pStyle w:val="ListParagraph"/>
        <w:numPr>
          <w:ilvl w:val="1"/>
          <w:numId w:val="1"/>
        </w:numPr>
        <w:spacing w:before="0" w:after="120"/>
        <w:jc w:val="both"/>
      </w:pPr>
      <w:r w:rsidRPr="005D1793">
        <w:t xml:space="preserve">The ESC acknowledged the information provided in the PSCR, but considered that, overall, the comparability of the datasets remained uncertain, and that this was a key issue in accepting the reliability of the comparison presented in the submission. </w:t>
      </w:r>
    </w:p>
    <w:p w:rsidR="00BF72B1" w:rsidRDefault="00BF72B1" w:rsidP="00BF72B1">
      <w:pPr>
        <w:pStyle w:val="Heading2"/>
      </w:pPr>
      <w:bookmarkStart w:id="23" w:name="_Toc496529128"/>
      <w:bookmarkStart w:id="24" w:name="_Toc497396000"/>
      <w:r>
        <w:t>Comparative effectiveness</w:t>
      </w:r>
      <w:bookmarkEnd w:id="23"/>
      <w:bookmarkEnd w:id="24"/>
      <w:r>
        <w:t xml:space="preserve"> </w:t>
      </w:r>
    </w:p>
    <w:p w:rsidR="00BF72B1" w:rsidRPr="00EA2518" w:rsidRDefault="00BF72B1" w:rsidP="00BF72B1">
      <w:pPr>
        <w:rPr>
          <w:u w:val="single"/>
        </w:rPr>
      </w:pPr>
      <w:r w:rsidRPr="00EA2518">
        <w:rPr>
          <w:u w:val="single"/>
        </w:rPr>
        <w:t>Comparison with historical control cohort – overall survival</w:t>
      </w:r>
    </w:p>
    <w:p w:rsidR="00BF72B1" w:rsidRPr="00EA2518" w:rsidRDefault="00BF72B1" w:rsidP="00BF72B1">
      <w:pPr>
        <w:pStyle w:val="ListParagraph"/>
        <w:numPr>
          <w:ilvl w:val="1"/>
          <w:numId w:val="1"/>
        </w:numPr>
        <w:spacing w:before="0" w:after="120"/>
        <w:jc w:val="both"/>
      </w:pPr>
      <w:r w:rsidRPr="00EA2518">
        <w:t xml:space="preserve">The effectiveness outcome presented in the resubmission was overall survival. </w:t>
      </w:r>
    </w:p>
    <w:p w:rsidR="00BF72B1" w:rsidRPr="00EA2518" w:rsidRDefault="00BF72B1" w:rsidP="00BF72B1">
      <w:pPr>
        <w:pStyle w:val="ListParagraph"/>
        <w:numPr>
          <w:ilvl w:val="1"/>
          <w:numId w:val="1"/>
        </w:numPr>
        <w:spacing w:before="0" w:after="120"/>
        <w:jc w:val="both"/>
      </w:pPr>
      <w:r w:rsidRPr="00EA2518">
        <w:t xml:space="preserve">As noted above, the resubmission presented the overall survival results for Study 0002 taking a ‘treatment career’ approach, meaning that overall survival was measured from start of first-line therapy through to death or censoring. Given the uncertainty around the appropriateness of this approach, and the possible confounding of the benefit from other treatments, the overall survival results reported in Study 0002 for the ITT population and for the responder population (as presented in the November 2016 submission) </w:t>
      </w:r>
      <w:r>
        <w:t>were</w:t>
      </w:r>
      <w:r w:rsidRPr="00EA2518">
        <w:t xml:space="preserve"> also presented in the results table</w:t>
      </w:r>
      <w:r>
        <w:t xml:space="preserve">, </w:t>
      </w:r>
      <w:r w:rsidRPr="00EA2518">
        <w:t xml:space="preserve">to provide some additional context to the PBAC around the impact of the treatment career approach on the survival estimate. </w:t>
      </w:r>
    </w:p>
    <w:p w:rsidR="00BF72B1" w:rsidRPr="00EA2518" w:rsidRDefault="00BF72B1" w:rsidP="00BF72B1">
      <w:pPr>
        <w:pStyle w:val="ListParagraph"/>
        <w:numPr>
          <w:ilvl w:val="1"/>
          <w:numId w:val="1"/>
        </w:numPr>
        <w:spacing w:before="0" w:after="120"/>
        <w:jc w:val="both"/>
      </w:pPr>
      <w:r w:rsidRPr="00EA2518">
        <w:t xml:space="preserve">The overall survival for treatment career with romidepsin was 34.9 months (95% confidence interval (CI): 28.6 to 65.4) compared to </w:t>
      </w:r>
      <w:r>
        <w:rPr>
          <w:noProof/>
          <w:color w:val="000000"/>
          <w:highlight w:val="black"/>
        </w:rPr>
        <w:t>'''''''''</w:t>
      </w:r>
      <w:r>
        <w:t xml:space="preserve"> </w:t>
      </w:r>
      <w:r w:rsidRPr="00EA2518">
        <w:t>months (95% CI:</w:t>
      </w:r>
      <w:r>
        <w:t xml:space="preserve"> </w:t>
      </w:r>
      <w:r>
        <w:rPr>
          <w:noProof/>
          <w:color w:val="000000"/>
          <w:highlight w:val="black"/>
        </w:rPr>
        <w:t>'''''''''</w:t>
      </w:r>
      <w:r w:rsidRPr="00EA2518">
        <w:t xml:space="preserve"> to </w:t>
      </w:r>
      <w:r>
        <w:rPr>
          <w:noProof/>
          <w:color w:val="000000"/>
          <w:highlight w:val="black"/>
        </w:rPr>
        <w:t>''''''''</w:t>
      </w:r>
      <w:r w:rsidRPr="00EA2518">
        <w:t>) in the historical control arm.</w:t>
      </w:r>
    </w:p>
    <w:p w:rsidR="00BF72B1" w:rsidRDefault="00BF72B1" w:rsidP="00BF72B1">
      <w:pPr>
        <w:spacing w:before="0" w:line="259" w:lineRule="auto"/>
        <w:rPr>
          <w:rFonts w:ascii="Arial Narrow" w:eastAsia="Times New Roman" w:hAnsi="Arial Narrow" w:cs="Arial"/>
          <w:b/>
          <w:snapToGrid w:val="0"/>
          <w:sz w:val="20"/>
          <w:szCs w:val="20"/>
        </w:rPr>
      </w:pPr>
      <w:r>
        <w:br w:type="page"/>
      </w:r>
    </w:p>
    <w:p w:rsidR="00544932" w:rsidRPr="00544932" w:rsidRDefault="00544932" w:rsidP="00544932">
      <w:pPr>
        <w:pStyle w:val="Caption"/>
        <w:rPr>
          <w:rFonts w:ascii="Arial Narrow" w:hAnsi="Arial Narrow"/>
        </w:rPr>
      </w:pPr>
      <w:r w:rsidRPr="00544932">
        <w:rPr>
          <w:rFonts w:ascii="Arial Narrow" w:hAnsi="Arial Narrow"/>
        </w:rPr>
        <w:lastRenderedPageBreak/>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5</w:t>
      </w:r>
      <w:r w:rsidRPr="00544932">
        <w:rPr>
          <w:rFonts w:ascii="Arial Narrow" w:hAnsi="Arial Narrow"/>
        </w:rPr>
        <w:fldChar w:fldCharType="end"/>
      </w:r>
      <w:r w:rsidRPr="00544932">
        <w:rPr>
          <w:rFonts w:ascii="Arial Narrow" w:hAnsi="Arial Narrow"/>
        </w:rPr>
        <w:t>: OS results from study 0002 and the historical control cohorts</w:t>
      </w:r>
    </w:p>
    <w:tbl>
      <w:tblPr>
        <w:tblStyle w:val="TableGrid1"/>
        <w:tblW w:w="4952" w:type="pct"/>
        <w:tblInd w:w="0" w:type="dxa"/>
        <w:tblLook w:val="04A0" w:firstRow="1" w:lastRow="0" w:firstColumn="1" w:lastColumn="0" w:noHBand="0" w:noVBand="1"/>
        <w:tblCaption w:val="OS results from study 0002 and the historical control cohorts"/>
      </w:tblPr>
      <w:tblGrid>
        <w:gridCol w:w="1571"/>
        <w:gridCol w:w="1878"/>
        <w:gridCol w:w="1875"/>
        <w:gridCol w:w="1875"/>
        <w:gridCol w:w="1875"/>
      </w:tblGrid>
      <w:tr w:rsidR="00BF72B1" w:rsidRPr="005B2ED2" w:rsidTr="00234AC7">
        <w:trPr>
          <w:cantSplit/>
          <w:trHeight w:val="320"/>
          <w:tblHeader/>
        </w:trPr>
        <w:tc>
          <w:tcPr>
            <w:tcW w:w="86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72B1" w:rsidRPr="005B2ED2" w:rsidRDefault="00BF72B1" w:rsidP="00234AC7">
            <w:pPr>
              <w:pStyle w:val="PBACHeading1"/>
              <w:numPr>
                <w:ilvl w:val="0"/>
                <w:numId w:val="0"/>
              </w:numPr>
              <w:ind w:left="720"/>
              <w:rPr>
                <w:rFonts w:eastAsia="Calibri"/>
              </w:rPr>
            </w:pPr>
          </w:p>
        </w:tc>
        <w:tc>
          <w:tcPr>
            <w:tcW w:w="10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72B1" w:rsidRPr="008D409D" w:rsidRDefault="00BF72B1" w:rsidP="00234AC7">
            <w:pPr>
              <w:keepNext/>
              <w:kinsoku w:val="0"/>
              <w:overflowPunct w:val="0"/>
              <w:autoSpaceDE w:val="0"/>
              <w:autoSpaceDN w:val="0"/>
              <w:adjustRightInd w:val="0"/>
              <w:rPr>
                <w:rFonts w:ascii="Arial Narrow" w:eastAsia="Calibri" w:hAnsi="Arial Narrow" w:cs="Times New Roman"/>
                <w:b/>
                <w:bCs/>
                <w:i/>
                <w:sz w:val="20"/>
                <w:szCs w:val="20"/>
              </w:rPr>
            </w:pPr>
            <w:r w:rsidRPr="005B2ED2">
              <w:rPr>
                <w:rFonts w:ascii="Arial Narrow" w:eastAsia="Calibri" w:hAnsi="Arial Narrow" w:cs="Times New Roman"/>
                <w:b/>
                <w:bCs/>
                <w:sz w:val="20"/>
                <w:szCs w:val="20"/>
              </w:rPr>
              <w:t xml:space="preserve">Treatment career with romidepsin </w:t>
            </w:r>
          </w:p>
        </w:tc>
        <w:tc>
          <w:tcPr>
            <w:tcW w:w="10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72B1" w:rsidRPr="005B2ED2" w:rsidRDefault="00BF72B1" w:rsidP="00234AC7">
            <w:pPr>
              <w:keepNext/>
              <w:kinsoku w:val="0"/>
              <w:overflowPunct w:val="0"/>
              <w:autoSpaceDE w:val="0"/>
              <w:autoSpaceDN w:val="0"/>
              <w:adjustRightInd w:val="0"/>
              <w:rPr>
                <w:rFonts w:ascii="Arial Narrow" w:eastAsia="Calibri" w:hAnsi="Arial Narrow" w:cs="Times New Roman"/>
                <w:b/>
                <w:bCs/>
                <w:sz w:val="20"/>
                <w:szCs w:val="20"/>
              </w:rPr>
            </w:pPr>
            <w:r w:rsidRPr="005B2ED2">
              <w:rPr>
                <w:rFonts w:ascii="Arial Narrow" w:eastAsia="Calibri" w:hAnsi="Arial Narrow" w:cs="Times New Roman"/>
                <w:b/>
                <w:bCs/>
                <w:sz w:val="20"/>
                <w:szCs w:val="20"/>
              </w:rPr>
              <w:t>Treatment career without romidepsin</w:t>
            </w:r>
          </w:p>
        </w:tc>
        <w:tc>
          <w:tcPr>
            <w:tcW w:w="1033"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keepNext/>
              <w:kinsoku w:val="0"/>
              <w:overflowPunct w:val="0"/>
              <w:autoSpaceDE w:val="0"/>
              <w:autoSpaceDN w:val="0"/>
              <w:adjustRightInd w:val="0"/>
              <w:rPr>
                <w:rFonts w:ascii="Arial Narrow" w:eastAsia="Calibri" w:hAnsi="Arial Narrow" w:cs="Times New Roman"/>
                <w:b/>
                <w:bCs/>
                <w:sz w:val="20"/>
                <w:szCs w:val="20"/>
              </w:rPr>
            </w:pPr>
            <w:r w:rsidRPr="00EA2518">
              <w:rPr>
                <w:rFonts w:ascii="Arial Narrow" w:eastAsia="Calibri" w:hAnsi="Arial Narrow" w:cs="Times New Roman"/>
                <w:b/>
                <w:bCs/>
                <w:sz w:val="20"/>
                <w:szCs w:val="20"/>
              </w:rPr>
              <w:t>Romidepsin only</w:t>
            </w:r>
          </w:p>
          <w:p w:rsidR="00BF72B1" w:rsidRPr="00EA2518" w:rsidRDefault="00BF72B1" w:rsidP="00234AC7">
            <w:pPr>
              <w:keepNext/>
              <w:kinsoku w:val="0"/>
              <w:overflowPunct w:val="0"/>
              <w:autoSpaceDE w:val="0"/>
              <w:autoSpaceDN w:val="0"/>
              <w:adjustRightInd w:val="0"/>
              <w:rPr>
                <w:rFonts w:ascii="Arial Narrow" w:eastAsia="Calibri" w:hAnsi="Arial Narrow" w:cs="Times New Roman"/>
                <w:b/>
                <w:bCs/>
                <w:sz w:val="20"/>
                <w:szCs w:val="20"/>
              </w:rPr>
            </w:pPr>
            <w:r w:rsidRPr="00EA2518">
              <w:rPr>
                <w:rFonts w:ascii="Arial Narrow" w:eastAsia="Calibri" w:hAnsi="Arial Narrow" w:cs="Times New Roman"/>
                <w:b/>
                <w:bCs/>
                <w:sz w:val="20"/>
                <w:szCs w:val="20"/>
              </w:rPr>
              <w:t>ITT</w:t>
            </w:r>
          </w:p>
        </w:tc>
        <w:tc>
          <w:tcPr>
            <w:tcW w:w="1033"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keepNext/>
              <w:kinsoku w:val="0"/>
              <w:overflowPunct w:val="0"/>
              <w:autoSpaceDE w:val="0"/>
              <w:autoSpaceDN w:val="0"/>
              <w:adjustRightInd w:val="0"/>
              <w:rPr>
                <w:rFonts w:ascii="Arial Narrow" w:eastAsia="Calibri" w:hAnsi="Arial Narrow" w:cs="Times New Roman"/>
                <w:b/>
                <w:bCs/>
                <w:sz w:val="20"/>
                <w:szCs w:val="20"/>
              </w:rPr>
            </w:pPr>
            <w:r w:rsidRPr="00EA2518">
              <w:rPr>
                <w:rFonts w:ascii="Arial Narrow" w:eastAsia="Calibri" w:hAnsi="Arial Narrow" w:cs="Times New Roman"/>
                <w:b/>
                <w:bCs/>
                <w:sz w:val="20"/>
                <w:szCs w:val="20"/>
              </w:rPr>
              <w:t>Romidepsin only</w:t>
            </w:r>
          </w:p>
          <w:p w:rsidR="00BF72B1" w:rsidRPr="00EA2518" w:rsidRDefault="00BF72B1" w:rsidP="00234AC7">
            <w:pPr>
              <w:keepNext/>
              <w:kinsoku w:val="0"/>
              <w:overflowPunct w:val="0"/>
              <w:autoSpaceDE w:val="0"/>
              <w:autoSpaceDN w:val="0"/>
              <w:adjustRightInd w:val="0"/>
              <w:rPr>
                <w:rFonts w:ascii="Arial Narrow" w:eastAsia="Calibri" w:hAnsi="Arial Narrow" w:cs="Times New Roman"/>
                <w:b/>
                <w:bCs/>
                <w:sz w:val="20"/>
                <w:szCs w:val="20"/>
                <w:vertAlign w:val="superscript"/>
              </w:rPr>
            </w:pPr>
            <w:r w:rsidRPr="00EA2518">
              <w:rPr>
                <w:rFonts w:ascii="Arial Narrow" w:eastAsia="Calibri" w:hAnsi="Arial Narrow" w:cs="Times New Roman"/>
                <w:b/>
                <w:bCs/>
                <w:sz w:val="20"/>
                <w:szCs w:val="20"/>
              </w:rPr>
              <w:t xml:space="preserve">Objective </w:t>
            </w:r>
            <w:proofErr w:type="spellStart"/>
            <w:r w:rsidRPr="00EA2518">
              <w:rPr>
                <w:rFonts w:ascii="Arial Narrow" w:eastAsia="Calibri" w:hAnsi="Arial Narrow" w:cs="Times New Roman"/>
                <w:b/>
                <w:bCs/>
                <w:sz w:val="20"/>
                <w:szCs w:val="20"/>
              </w:rPr>
              <w:t>responder</w:t>
            </w:r>
            <w:r w:rsidRPr="00EA2518">
              <w:rPr>
                <w:rFonts w:ascii="Arial Narrow" w:eastAsia="Calibri" w:hAnsi="Arial Narrow" w:cs="Times New Roman"/>
                <w:b/>
                <w:bCs/>
                <w:sz w:val="20"/>
                <w:szCs w:val="20"/>
                <w:vertAlign w:val="superscript"/>
              </w:rPr>
              <w:t>a</w:t>
            </w:r>
            <w:proofErr w:type="spellEnd"/>
          </w:p>
        </w:tc>
      </w:tr>
      <w:tr w:rsidR="00BF72B1" w:rsidRPr="005B2ED2" w:rsidTr="00234AC7">
        <w:trPr>
          <w:cantSplit/>
          <w:tblHeader/>
        </w:trPr>
        <w:tc>
          <w:tcPr>
            <w:tcW w:w="866" w:type="pct"/>
            <w:vMerge/>
            <w:tcBorders>
              <w:top w:val="single" w:sz="4" w:space="0" w:color="auto"/>
              <w:left w:val="single" w:sz="4" w:space="0" w:color="auto"/>
              <w:bottom w:val="single" w:sz="4" w:space="0" w:color="auto"/>
              <w:right w:val="single" w:sz="4" w:space="0" w:color="auto"/>
            </w:tcBorders>
            <w:vAlign w:val="center"/>
            <w:hideMark/>
          </w:tcPr>
          <w:p w:rsidR="00BF72B1" w:rsidRPr="005B2ED2" w:rsidRDefault="00BF72B1" w:rsidP="00234AC7">
            <w:pPr>
              <w:keepNext/>
              <w:rPr>
                <w:rFonts w:ascii="Arial Narrow" w:eastAsia="Calibri" w:hAnsi="Arial Narrow" w:cs="Arial"/>
                <w:sz w:val="20"/>
              </w:rPr>
            </w:pPr>
          </w:p>
        </w:tc>
        <w:tc>
          <w:tcPr>
            <w:tcW w:w="10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72B1" w:rsidRPr="005B2ED2" w:rsidRDefault="00BF72B1" w:rsidP="00234AC7">
            <w:pPr>
              <w:keepNext/>
              <w:spacing w:before="40" w:after="40"/>
              <w:rPr>
                <w:rFonts w:ascii="Arial Narrow" w:eastAsia="Calibri" w:hAnsi="Arial Narrow" w:cs="Arial"/>
                <w:b/>
                <w:sz w:val="20"/>
              </w:rPr>
            </w:pPr>
            <w:r w:rsidRPr="005B2ED2">
              <w:rPr>
                <w:rFonts w:ascii="Arial Narrow" w:eastAsia="Calibri" w:hAnsi="Arial Narrow" w:cs="Arial"/>
                <w:b/>
                <w:sz w:val="20"/>
              </w:rPr>
              <w:t>Study 0002</w:t>
            </w:r>
            <w:r>
              <w:rPr>
                <w:rFonts w:ascii="Arial Narrow" w:eastAsia="Calibri" w:hAnsi="Arial Narrow" w:cs="Arial"/>
                <w:b/>
                <w:sz w:val="20"/>
              </w:rPr>
              <w:t xml:space="preserve"> (adjusted by resubmission)</w:t>
            </w:r>
          </w:p>
        </w:tc>
        <w:tc>
          <w:tcPr>
            <w:tcW w:w="1033" w:type="pct"/>
            <w:tcBorders>
              <w:bottom w:val="single" w:sz="4" w:space="0" w:color="auto"/>
            </w:tcBorders>
            <w:tcMar>
              <w:top w:w="0" w:type="dxa"/>
              <w:left w:w="28" w:type="dxa"/>
              <w:bottom w:w="0" w:type="dxa"/>
              <w:right w:w="28" w:type="dxa"/>
            </w:tcMar>
            <w:hideMark/>
          </w:tcPr>
          <w:p w:rsidR="00BF72B1" w:rsidRPr="005B2ED2" w:rsidRDefault="00BF72B1" w:rsidP="00234AC7">
            <w:pPr>
              <w:keepNext/>
              <w:spacing w:before="40" w:after="40"/>
              <w:rPr>
                <w:rFonts w:ascii="Arial Narrow" w:eastAsia="Calibri" w:hAnsi="Arial Narrow" w:cs="Arial"/>
                <w:b/>
                <w:sz w:val="20"/>
              </w:rPr>
            </w:pPr>
            <w:r w:rsidRPr="005B2ED2">
              <w:rPr>
                <w:rFonts w:ascii="Arial Narrow" w:eastAsia="Calibri" w:hAnsi="Arial Narrow" w:cs="Arial"/>
                <w:b/>
                <w:sz w:val="20"/>
              </w:rPr>
              <w:t>Historical Control Cohort</w:t>
            </w:r>
          </w:p>
        </w:tc>
        <w:tc>
          <w:tcPr>
            <w:tcW w:w="1033" w:type="pct"/>
            <w:tcBorders>
              <w:bottom w:val="single" w:sz="4" w:space="0" w:color="auto"/>
            </w:tcBorders>
          </w:tcPr>
          <w:p w:rsidR="00BF72B1" w:rsidRPr="00EA2518" w:rsidRDefault="00BF72B1" w:rsidP="00234AC7">
            <w:pPr>
              <w:keepNext/>
              <w:spacing w:before="40" w:after="40"/>
              <w:rPr>
                <w:rFonts w:ascii="Arial Narrow" w:eastAsia="Calibri" w:hAnsi="Arial Narrow" w:cs="Arial"/>
                <w:b/>
                <w:sz w:val="20"/>
              </w:rPr>
            </w:pPr>
            <w:r w:rsidRPr="00EA2518">
              <w:rPr>
                <w:rFonts w:ascii="Arial Narrow" w:eastAsia="Calibri" w:hAnsi="Arial Narrow" w:cs="Arial"/>
                <w:b/>
                <w:sz w:val="20"/>
              </w:rPr>
              <w:t xml:space="preserve">Study 0002 </w:t>
            </w:r>
          </w:p>
          <w:p w:rsidR="00BF72B1" w:rsidRPr="00EA2518" w:rsidRDefault="00BF72B1" w:rsidP="00234AC7">
            <w:pPr>
              <w:keepNext/>
              <w:spacing w:before="40" w:after="40"/>
              <w:rPr>
                <w:rFonts w:ascii="Arial Narrow" w:eastAsia="Calibri" w:hAnsi="Arial Narrow" w:cs="Arial"/>
                <w:b/>
                <w:sz w:val="20"/>
              </w:rPr>
            </w:pPr>
            <w:r w:rsidRPr="00EA2518">
              <w:rPr>
                <w:rFonts w:ascii="Arial Narrow" w:eastAsia="Calibri" w:hAnsi="Arial Narrow" w:cs="Arial"/>
                <w:b/>
                <w:sz w:val="20"/>
              </w:rPr>
              <w:t>(Coiffier 2014)</w:t>
            </w:r>
          </w:p>
        </w:tc>
        <w:tc>
          <w:tcPr>
            <w:tcW w:w="1033" w:type="pct"/>
            <w:tcBorders>
              <w:bottom w:val="single" w:sz="4" w:space="0" w:color="auto"/>
            </w:tcBorders>
          </w:tcPr>
          <w:p w:rsidR="00BF72B1" w:rsidRPr="00EA2518" w:rsidRDefault="00BF72B1" w:rsidP="00234AC7">
            <w:pPr>
              <w:keepNext/>
              <w:spacing w:before="40" w:after="40"/>
              <w:rPr>
                <w:rFonts w:ascii="Arial Narrow" w:eastAsia="Calibri" w:hAnsi="Arial Narrow" w:cs="Arial"/>
                <w:b/>
                <w:sz w:val="20"/>
              </w:rPr>
            </w:pPr>
            <w:r w:rsidRPr="00EA2518">
              <w:rPr>
                <w:rFonts w:ascii="Arial Narrow" w:eastAsia="Calibri" w:hAnsi="Arial Narrow" w:cs="Arial"/>
                <w:b/>
                <w:sz w:val="20"/>
              </w:rPr>
              <w:t xml:space="preserve">Study 0002 </w:t>
            </w:r>
          </w:p>
          <w:p w:rsidR="00BF72B1" w:rsidRPr="00EA2518" w:rsidRDefault="00BF72B1" w:rsidP="00234AC7">
            <w:pPr>
              <w:keepNext/>
              <w:spacing w:before="40" w:after="40"/>
              <w:rPr>
                <w:rFonts w:ascii="Arial Narrow" w:eastAsia="Calibri" w:hAnsi="Arial Narrow" w:cs="Arial"/>
                <w:b/>
                <w:sz w:val="20"/>
              </w:rPr>
            </w:pPr>
            <w:r w:rsidRPr="00EA2518">
              <w:rPr>
                <w:rFonts w:ascii="Arial Narrow" w:eastAsia="Calibri" w:hAnsi="Arial Narrow" w:cs="Arial"/>
                <w:b/>
                <w:sz w:val="20"/>
              </w:rPr>
              <w:t>(Coiffier 2014)</w:t>
            </w:r>
          </w:p>
        </w:tc>
      </w:tr>
      <w:tr w:rsidR="00BF72B1" w:rsidRPr="005B2ED2" w:rsidTr="00234AC7">
        <w:trPr>
          <w:cantSplit/>
        </w:trPr>
        <w:tc>
          <w:tcPr>
            <w:tcW w:w="8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72B1" w:rsidRPr="005B2ED2" w:rsidRDefault="00BF72B1" w:rsidP="00234AC7">
            <w:pPr>
              <w:keepNext/>
              <w:spacing w:before="40" w:after="40"/>
              <w:rPr>
                <w:rFonts w:ascii="Arial Narrow" w:eastAsia="Calibri" w:hAnsi="Arial Narrow" w:cs="Arial"/>
                <w:sz w:val="20"/>
              </w:rPr>
            </w:pPr>
            <w:r w:rsidRPr="005B2ED2">
              <w:rPr>
                <w:rFonts w:ascii="Arial Narrow" w:eastAsia="Calibri" w:hAnsi="Arial Narrow" w:cs="Arial"/>
                <w:sz w:val="20"/>
              </w:rPr>
              <w:t>N</w:t>
            </w:r>
          </w:p>
        </w:tc>
        <w:tc>
          <w:tcPr>
            <w:tcW w:w="10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72B1" w:rsidRPr="005B2ED2" w:rsidRDefault="00BF72B1" w:rsidP="00234AC7">
            <w:pPr>
              <w:keepNext/>
              <w:spacing w:before="40" w:after="40"/>
              <w:rPr>
                <w:rFonts w:ascii="Arial Narrow" w:eastAsia="Calibri" w:hAnsi="Arial Narrow" w:cs="Arial"/>
                <w:sz w:val="20"/>
              </w:rPr>
            </w:pPr>
            <w:r w:rsidRPr="005B2ED2">
              <w:rPr>
                <w:rFonts w:ascii="Arial Narrow" w:eastAsia="Calibri" w:hAnsi="Arial Narrow" w:cs="Arial"/>
                <w:sz w:val="20"/>
              </w:rPr>
              <w:t>130</w:t>
            </w:r>
          </w:p>
        </w:tc>
        <w:tc>
          <w:tcPr>
            <w:tcW w:w="10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72B1" w:rsidRPr="00455174" w:rsidRDefault="00BF72B1" w:rsidP="00234AC7">
            <w:pPr>
              <w:keepNext/>
              <w:spacing w:before="40" w:after="40"/>
              <w:ind w:left="95"/>
              <w:rPr>
                <w:rFonts w:ascii="Arial Narrow" w:eastAsia="Calibri" w:hAnsi="Arial Narrow" w:cs="Arial"/>
                <w:sz w:val="20"/>
                <w:highlight w:val="black"/>
              </w:rPr>
            </w:pPr>
            <w:r>
              <w:rPr>
                <w:rFonts w:ascii="Arial Narrow" w:eastAsia="Calibri" w:hAnsi="Arial Narrow" w:cs="Arial"/>
                <w:noProof/>
                <w:color w:val="000000"/>
                <w:sz w:val="20"/>
                <w:highlight w:val="black"/>
              </w:rPr>
              <w:t>'''''''''</w:t>
            </w:r>
          </w:p>
        </w:tc>
        <w:tc>
          <w:tcPr>
            <w:tcW w:w="1033"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keepNext/>
              <w:spacing w:before="40" w:after="40"/>
              <w:rPr>
                <w:rFonts w:ascii="Arial Narrow" w:eastAsia="Calibri" w:hAnsi="Arial Narrow" w:cs="Arial"/>
                <w:sz w:val="20"/>
              </w:rPr>
            </w:pPr>
            <w:r w:rsidRPr="00EA2518">
              <w:rPr>
                <w:rFonts w:ascii="Arial Narrow" w:eastAsia="Calibri" w:hAnsi="Arial Narrow" w:cs="Arial"/>
                <w:sz w:val="20"/>
              </w:rPr>
              <w:t>130</w:t>
            </w:r>
          </w:p>
        </w:tc>
        <w:tc>
          <w:tcPr>
            <w:tcW w:w="1033"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keepNext/>
              <w:spacing w:before="40" w:after="40"/>
              <w:ind w:left="92"/>
              <w:rPr>
                <w:rFonts w:ascii="Arial Narrow" w:eastAsia="Calibri" w:hAnsi="Arial Narrow" w:cs="Arial"/>
                <w:sz w:val="20"/>
              </w:rPr>
            </w:pPr>
            <w:r w:rsidRPr="00EA2518">
              <w:rPr>
                <w:rFonts w:ascii="Arial Narrow" w:eastAsia="Calibri" w:hAnsi="Arial Narrow" w:cs="Arial"/>
                <w:sz w:val="20"/>
              </w:rPr>
              <w:t>130</w:t>
            </w:r>
          </w:p>
        </w:tc>
      </w:tr>
      <w:tr w:rsidR="00BF72B1" w:rsidRPr="005B2ED2" w:rsidTr="00234AC7">
        <w:trPr>
          <w:cantSplit/>
        </w:trPr>
        <w:tc>
          <w:tcPr>
            <w:tcW w:w="8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72B1" w:rsidRPr="005B2ED2" w:rsidRDefault="00BF72B1" w:rsidP="00234AC7">
            <w:pPr>
              <w:widowControl w:val="0"/>
              <w:spacing w:before="40" w:after="40"/>
              <w:rPr>
                <w:rFonts w:ascii="Arial Narrow" w:eastAsia="Calibri" w:hAnsi="Arial Narrow" w:cs="Arial"/>
                <w:sz w:val="20"/>
              </w:rPr>
            </w:pPr>
            <w:r w:rsidRPr="005B2ED2">
              <w:rPr>
                <w:rFonts w:ascii="Arial Narrow" w:eastAsia="Calibri" w:hAnsi="Arial Narrow" w:cs="Arial"/>
                <w:sz w:val="20"/>
              </w:rPr>
              <w:t>Events, n (%)</w:t>
            </w:r>
          </w:p>
        </w:tc>
        <w:tc>
          <w:tcPr>
            <w:tcW w:w="10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72B1" w:rsidRPr="005B2ED2" w:rsidRDefault="00BF72B1" w:rsidP="00234AC7">
            <w:pPr>
              <w:widowControl w:val="0"/>
              <w:spacing w:before="40" w:after="40"/>
              <w:rPr>
                <w:rFonts w:ascii="Arial Narrow" w:eastAsia="Calibri" w:hAnsi="Arial Narrow" w:cs="Arial"/>
                <w:sz w:val="20"/>
              </w:rPr>
            </w:pPr>
            <w:r w:rsidRPr="005B2ED2">
              <w:rPr>
                <w:rFonts w:ascii="Arial Narrow" w:eastAsia="Calibri" w:hAnsi="Arial Narrow" w:cs="Arial"/>
                <w:sz w:val="20"/>
              </w:rPr>
              <w:t>76 (58.55%)</w:t>
            </w:r>
          </w:p>
        </w:tc>
        <w:tc>
          <w:tcPr>
            <w:tcW w:w="1033" w:type="pct"/>
            <w:tcBorders>
              <w:top w:val="nil"/>
              <w:bottom w:val="nil"/>
            </w:tcBorders>
            <w:tcMar>
              <w:top w:w="0" w:type="dxa"/>
              <w:left w:w="28" w:type="dxa"/>
              <w:bottom w:w="0" w:type="dxa"/>
              <w:right w:w="28" w:type="dxa"/>
            </w:tcMar>
            <w:hideMark/>
          </w:tcPr>
          <w:p w:rsidR="00BF72B1" w:rsidRPr="005B2ED2" w:rsidRDefault="00BF72B1" w:rsidP="00234AC7">
            <w:pPr>
              <w:widowControl w:val="0"/>
              <w:spacing w:before="40" w:after="40"/>
              <w:ind w:left="95"/>
              <w:rPr>
                <w:rFonts w:ascii="Arial Narrow" w:eastAsia="Calibri" w:hAnsi="Arial Narrow" w:cs="Arial"/>
                <w:sz w:val="20"/>
              </w:rPr>
            </w:pPr>
            <w:r>
              <w:rPr>
                <w:rFonts w:ascii="Arial Narrow" w:eastAsia="Calibri" w:hAnsi="Arial Narrow" w:cs="Arial"/>
                <w:noProof/>
                <w:color w:val="000000"/>
                <w:sz w:val="20"/>
                <w:highlight w:val="black"/>
              </w:rPr>
              <w:t>''''''''''</w:t>
            </w:r>
            <w:r w:rsidRPr="005B2ED2">
              <w:rPr>
                <w:rFonts w:ascii="Arial Narrow" w:eastAsia="Calibri" w:hAnsi="Arial Narrow" w:cs="Arial"/>
                <w:sz w:val="20"/>
              </w:rPr>
              <w:t xml:space="preserve"> (</w:t>
            </w:r>
            <w:r>
              <w:rPr>
                <w:rFonts w:ascii="Arial Narrow" w:eastAsia="Calibri" w:hAnsi="Arial Narrow" w:cs="Arial"/>
                <w:noProof/>
                <w:color w:val="000000"/>
                <w:sz w:val="20"/>
                <w:highlight w:val="black"/>
              </w:rPr>
              <w:t>''''''''''</w:t>
            </w:r>
            <w:r w:rsidRPr="005B2ED2">
              <w:rPr>
                <w:rFonts w:ascii="Arial Narrow" w:eastAsia="Calibri" w:hAnsi="Arial Narrow" w:cs="Arial"/>
                <w:sz w:val="20"/>
              </w:rPr>
              <w:t>%)</w:t>
            </w:r>
          </w:p>
        </w:tc>
        <w:tc>
          <w:tcPr>
            <w:tcW w:w="1033" w:type="pct"/>
            <w:tcBorders>
              <w:top w:val="nil"/>
              <w:bottom w:val="nil"/>
            </w:tcBorders>
          </w:tcPr>
          <w:p w:rsidR="00BF72B1" w:rsidRPr="00EA2518" w:rsidRDefault="00BF72B1" w:rsidP="00234AC7">
            <w:pPr>
              <w:widowControl w:val="0"/>
              <w:spacing w:before="40" w:after="40"/>
              <w:rPr>
                <w:rFonts w:ascii="Arial Narrow" w:eastAsia="Calibri" w:hAnsi="Arial Narrow" w:cs="Arial"/>
                <w:sz w:val="20"/>
              </w:rPr>
            </w:pPr>
            <w:r w:rsidRPr="00EA2518">
              <w:rPr>
                <w:rFonts w:ascii="Arial Narrow" w:eastAsia="Calibri" w:hAnsi="Arial Narrow" w:cs="Arial"/>
                <w:sz w:val="20"/>
              </w:rPr>
              <w:t>NR</w:t>
            </w:r>
          </w:p>
        </w:tc>
        <w:tc>
          <w:tcPr>
            <w:tcW w:w="1033" w:type="pct"/>
            <w:tcBorders>
              <w:top w:val="nil"/>
              <w:bottom w:val="nil"/>
            </w:tcBorders>
          </w:tcPr>
          <w:p w:rsidR="00BF72B1" w:rsidRPr="00EA2518" w:rsidRDefault="00BF72B1" w:rsidP="00234AC7">
            <w:pPr>
              <w:widowControl w:val="0"/>
              <w:spacing w:before="40" w:after="40"/>
              <w:ind w:left="92"/>
              <w:rPr>
                <w:rFonts w:ascii="Arial Narrow" w:eastAsia="Calibri" w:hAnsi="Arial Narrow" w:cs="Arial"/>
                <w:sz w:val="20"/>
              </w:rPr>
            </w:pPr>
            <w:r w:rsidRPr="00EA2518">
              <w:rPr>
                <w:rFonts w:ascii="Arial Narrow" w:eastAsia="Calibri" w:hAnsi="Arial Narrow" w:cs="Arial"/>
                <w:sz w:val="20"/>
              </w:rPr>
              <w:t>33</w:t>
            </w:r>
          </w:p>
        </w:tc>
      </w:tr>
      <w:tr w:rsidR="00BF72B1" w:rsidRPr="005B2ED2" w:rsidTr="00234AC7">
        <w:trPr>
          <w:cantSplit/>
        </w:trPr>
        <w:tc>
          <w:tcPr>
            <w:tcW w:w="8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72B1" w:rsidRPr="005B2ED2" w:rsidRDefault="00BF72B1" w:rsidP="00234AC7">
            <w:pPr>
              <w:widowControl w:val="0"/>
              <w:spacing w:before="40" w:after="40"/>
              <w:rPr>
                <w:rFonts w:ascii="Arial Narrow" w:eastAsia="Calibri" w:hAnsi="Arial Narrow" w:cs="Arial"/>
                <w:sz w:val="20"/>
              </w:rPr>
            </w:pPr>
            <w:r w:rsidRPr="005B2ED2">
              <w:rPr>
                <w:rFonts w:ascii="Arial Narrow" w:eastAsia="Calibri" w:hAnsi="Arial Narrow" w:cs="Arial"/>
                <w:sz w:val="20"/>
              </w:rPr>
              <w:t>Median OS, months (95% CI)</w:t>
            </w:r>
          </w:p>
        </w:tc>
        <w:tc>
          <w:tcPr>
            <w:tcW w:w="10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72B1" w:rsidRPr="005B2ED2" w:rsidRDefault="00BF72B1" w:rsidP="00234AC7">
            <w:pPr>
              <w:widowControl w:val="0"/>
              <w:spacing w:before="40" w:after="40"/>
              <w:rPr>
                <w:rFonts w:ascii="Arial Narrow" w:eastAsia="Calibri" w:hAnsi="Arial Narrow" w:cs="Arial"/>
                <w:sz w:val="20"/>
              </w:rPr>
            </w:pPr>
            <w:r w:rsidRPr="005B2ED2">
              <w:rPr>
                <w:rFonts w:ascii="Arial Narrow" w:eastAsia="Calibri" w:hAnsi="Arial Narrow" w:cs="Arial"/>
                <w:sz w:val="20"/>
              </w:rPr>
              <w:t>34.9 (28.6, 65.4)</w:t>
            </w:r>
          </w:p>
        </w:tc>
        <w:tc>
          <w:tcPr>
            <w:tcW w:w="1033" w:type="pct"/>
            <w:tcBorders>
              <w:top w:val="single" w:sz="4" w:space="0" w:color="auto"/>
              <w:left w:val="single" w:sz="4" w:space="0" w:color="auto"/>
              <w:bottom w:val="single" w:sz="4" w:space="0" w:color="auto"/>
              <w:right w:val="single" w:sz="4" w:space="0" w:color="auto"/>
            </w:tcBorders>
            <w:hideMark/>
          </w:tcPr>
          <w:p w:rsidR="00BF72B1" w:rsidRPr="005B2ED2" w:rsidRDefault="00BF72B1" w:rsidP="00234AC7">
            <w:pPr>
              <w:widowControl w:val="0"/>
              <w:spacing w:before="40" w:after="40"/>
              <w:rPr>
                <w:rFonts w:ascii="Arial Narrow" w:eastAsia="Calibri" w:hAnsi="Arial Narrow" w:cs="Arial"/>
                <w:sz w:val="20"/>
              </w:rPr>
            </w:pPr>
            <w:r>
              <w:rPr>
                <w:rFonts w:ascii="Arial Narrow" w:eastAsia="Calibri" w:hAnsi="Arial Narrow" w:cs="Arial"/>
                <w:noProof/>
                <w:color w:val="000000"/>
                <w:sz w:val="20"/>
                <w:highlight w:val="black"/>
              </w:rPr>
              <w:t>'''''''''''</w:t>
            </w:r>
            <w:r w:rsidRPr="005B2ED2">
              <w:rPr>
                <w:rFonts w:ascii="Arial Narrow" w:eastAsia="Calibri" w:hAnsi="Arial Narrow" w:cs="Arial"/>
                <w:sz w:val="20"/>
              </w:rPr>
              <w:t xml:space="preserve"> (</w:t>
            </w:r>
            <w:r>
              <w:rPr>
                <w:rFonts w:ascii="Arial Narrow" w:eastAsia="Calibri" w:hAnsi="Arial Narrow" w:cs="Arial"/>
                <w:noProof/>
                <w:color w:val="000000"/>
                <w:sz w:val="20"/>
                <w:highlight w:val="black"/>
              </w:rPr>
              <w:t>''''''''''' ''''''''''''</w:t>
            </w:r>
            <w:r w:rsidRPr="005B2ED2">
              <w:rPr>
                <w:rFonts w:ascii="Arial Narrow" w:eastAsia="Calibri" w:hAnsi="Arial Narrow" w:cs="Arial"/>
                <w:sz w:val="20"/>
              </w:rPr>
              <w:t>)</w:t>
            </w:r>
          </w:p>
        </w:tc>
        <w:tc>
          <w:tcPr>
            <w:tcW w:w="1033"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widowControl w:val="0"/>
              <w:spacing w:before="40" w:after="40"/>
              <w:rPr>
                <w:rFonts w:ascii="Arial Narrow" w:eastAsia="Calibri" w:hAnsi="Arial Narrow" w:cs="Arial"/>
                <w:sz w:val="20"/>
              </w:rPr>
            </w:pPr>
            <w:r w:rsidRPr="00EA2518">
              <w:rPr>
                <w:rFonts w:ascii="Arial Narrow" w:eastAsia="Calibri" w:hAnsi="Arial Narrow" w:cs="Arial"/>
                <w:sz w:val="20"/>
              </w:rPr>
              <w:t>11.3 (8.3, 22.1)</w:t>
            </w:r>
          </w:p>
        </w:tc>
        <w:tc>
          <w:tcPr>
            <w:tcW w:w="1033"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widowControl w:val="0"/>
              <w:spacing w:before="40" w:after="40"/>
              <w:ind w:left="92"/>
              <w:rPr>
                <w:rFonts w:ascii="Arial Narrow" w:eastAsia="Calibri" w:hAnsi="Arial Narrow" w:cs="Arial"/>
                <w:sz w:val="20"/>
              </w:rPr>
            </w:pPr>
            <w:r w:rsidRPr="00EA2518">
              <w:rPr>
                <w:rFonts w:ascii="Arial Narrow" w:eastAsia="Calibri" w:hAnsi="Arial Narrow" w:cs="Arial"/>
                <w:sz w:val="20"/>
              </w:rPr>
              <w:t>30 (2.0, 49.5)</w:t>
            </w:r>
          </w:p>
        </w:tc>
      </w:tr>
      <w:tr w:rsidR="00BF72B1" w:rsidRPr="005B2ED2" w:rsidTr="00234AC7">
        <w:trPr>
          <w:cantSplit/>
        </w:trPr>
        <w:tc>
          <w:tcPr>
            <w:tcW w:w="8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72B1" w:rsidRPr="005B2ED2" w:rsidRDefault="00BF72B1" w:rsidP="00234AC7">
            <w:pPr>
              <w:widowControl w:val="0"/>
              <w:spacing w:before="40" w:after="40"/>
              <w:rPr>
                <w:rFonts w:ascii="Arial Narrow" w:eastAsia="Calibri" w:hAnsi="Arial Narrow" w:cs="Arial"/>
                <w:sz w:val="20"/>
              </w:rPr>
            </w:pPr>
            <w:r w:rsidRPr="005B2ED2">
              <w:rPr>
                <w:rFonts w:ascii="Arial Narrow" w:eastAsia="Calibri" w:hAnsi="Arial Narrow" w:cs="Arial"/>
                <w:sz w:val="20"/>
              </w:rPr>
              <w:t>Median follow-up, months (95% CI)</w:t>
            </w:r>
          </w:p>
        </w:tc>
        <w:tc>
          <w:tcPr>
            <w:tcW w:w="10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72B1" w:rsidRPr="005B2ED2" w:rsidRDefault="00BF72B1" w:rsidP="00234AC7">
            <w:pPr>
              <w:widowControl w:val="0"/>
              <w:spacing w:before="40" w:after="40"/>
              <w:rPr>
                <w:rFonts w:ascii="Arial Narrow" w:eastAsia="Calibri" w:hAnsi="Arial Narrow" w:cs="Arial"/>
                <w:sz w:val="20"/>
              </w:rPr>
            </w:pPr>
            <w:r w:rsidRPr="005B2ED2">
              <w:rPr>
                <w:rFonts w:ascii="Arial Narrow" w:eastAsia="Calibri" w:hAnsi="Arial Narrow" w:cs="Arial"/>
                <w:sz w:val="20"/>
              </w:rPr>
              <w:t>27.80 (3.8,153.8)</w:t>
            </w:r>
          </w:p>
        </w:tc>
        <w:tc>
          <w:tcPr>
            <w:tcW w:w="1033" w:type="pct"/>
            <w:tcBorders>
              <w:top w:val="single" w:sz="4" w:space="0" w:color="auto"/>
              <w:left w:val="single" w:sz="4" w:space="0" w:color="auto"/>
              <w:bottom w:val="single" w:sz="4" w:space="0" w:color="auto"/>
              <w:right w:val="single" w:sz="4" w:space="0" w:color="auto"/>
            </w:tcBorders>
          </w:tcPr>
          <w:p w:rsidR="00BF72B1" w:rsidRPr="005B2ED2" w:rsidRDefault="00BF72B1" w:rsidP="00234AC7">
            <w:pPr>
              <w:widowControl w:val="0"/>
              <w:spacing w:before="40" w:after="40"/>
              <w:ind w:left="15"/>
              <w:rPr>
                <w:rFonts w:ascii="Arial Narrow" w:eastAsia="Calibri" w:hAnsi="Arial Narrow" w:cs="Arial"/>
                <w:sz w:val="20"/>
              </w:rPr>
            </w:pPr>
            <w:r>
              <w:rPr>
                <w:rFonts w:ascii="Arial Narrow" w:eastAsia="Calibri" w:hAnsi="Arial Narrow" w:cs="Arial"/>
                <w:noProof/>
                <w:color w:val="000000"/>
                <w:sz w:val="20"/>
                <w:highlight w:val="black"/>
              </w:rPr>
              <w:t>'''''''''''</w:t>
            </w:r>
            <w:r w:rsidRPr="005B2ED2">
              <w:rPr>
                <w:rFonts w:ascii="Arial Narrow" w:eastAsia="Calibri" w:hAnsi="Arial Narrow" w:cs="Arial"/>
                <w:sz w:val="20"/>
              </w:rPr>
              <w:t xml:space="preserve"> (</w:t>
            </w:r>
            <w:r>
              <w:rPr>
                <w:rFonts w:ascii="Arial Narrow" w:eastAsia="Calibri" w:hAnsi="Arial Narrow" w:cs="Arial"/>
                <w:noProof/>
                <w:color w:val="000000"/>
                <w:sz w:val="20"/>
                <w:highlight w:val="black"/>
              </w:rPr>
              <w:t>''''''''''''''''''''</w:t>
            </w:r>
            <w:r w:rsidRPr="005B2ED2">
              <w:rPr>
                <w:rFonts w:ascii="Arial Narrow" w:eastAsia="Calibri" w:hAnsi="Arial Narrow" w:cs="Arial"/>
                <w:sz w:val="20"/>
              </w:rPr>
              <w:t>)</w:t>
            </w:r>
          </w:p>
        </w:tc>
        <w:tc>
          <w:tcPr>
            <w:tcW w:w="1033"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widowControl w:val="0"/>
              <w:spacing w:before="40" w:after="40"/>
              <w:rPr>
                <w:rFonts w:ascii="Arial Narrow" w:eastAsia="Calibri" w:hAnsi="Arial Narrow" w:cs="Arial"/>
                <w:sz w:val="20"/>
              </w:rPr>
            </w:pPr>
            <w:r w:rsidRPr="00EA2518">
              <w:rPr>
                <w:rFonts w:ascii="Arial Narrow" w:eastAsia="Calibri" w:hAnsi="Arial Narrow" w:cs="Arial"/>
                <w:sz w:val="20"/>
              </w:rPr>
              <w:t>22.3 (NR, NR)</w:t>
            </w:r>
          </w:p>
        </w:tc>
        <w:tc>
          <w:tcPr>
            <w:tcW w:w="1033"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widowControl w:val="0"/>
              <w:spacing w:before="40" w:after="40"/>
              <w:ind w:left="92"/>
              <w:rPr>
                <w:rFonts w:ascii="Arial Narrow" w:eastAsia="Calibri" w:hAnsi="Arial Narrow" w:cs="Arial"/>
                <w:sz w:val="20"/>
              </w:rPr>
            </w:pPr>
            <w:r w:rsidRPr="00EA2518">
              <w:rPr>
                <w:rFonts w:ascii="Arial Narrow" w:eastAsia="Calibri" w:hAnsi="Arial Narrow" w:cs="Arial"/>
                <w:sz w:val="20"/>
              </w:rPr>
              <w:t>22.3 (NR, NR)</w:t>
            </w:r>
          </w:p>
        </w:tc>
      </w:tr>
    </w:tbl>
    <w:p w:rsidR="00BF72B1" w:rsidRPr="005B2ED2" w:rsidRDefault="00BF72B1" w:rsidP="00BF72B1">
      <w:pPr>
        <w:keepNext/>
        <w:spacing w:after="120"/>
        <w:contextualSpacing/>
        <w:jc w:val="both"/>
        <w:rPr>
          <w:rFonts w:ascii="Arial Narrow" w:eastAsia="Times New Roman" w:hAnsi="Arial Narrow" w:cs="Arial"/>
          <w:snapToGrid w:val="0"/>
          <w:sz w:val="18"/>
          <w:szCs w:val="20"/>
        </w:rPr>
      </w:pPr>
      <w:r w:rsidRPr="005B2ED2">
        <w:rPr>
          <w:rFonts w:ascii="Arial Narrow" w:eastAsia="Times New Roman" w:hAnsi="Arial Narrow" w:cs="Arial"/>
          <w:snapToGrid w:val="0"/>
          <w:sz w:val="18"/>
          <w:szCs w:val="20"/>
        </w:rPr>
        <w:t>Source: Table 15, p22 and Table 14.2.2.4, p129 of Appendix A of the resubmission, and Coiffier 2014</w:t>
      </w:r>
    </w:p>
    <w:p w:rsidR="00BF72B1" w:rsidRDefault="00BF72B1" w:rsidP="00BF72B1">
      <w:pPr>
        <w:keepNext/>
        <w:spacing w:after="120"/>
        <w:contextualSpacing/>
        <w:jc w:val="both"/>
        <w:rPr>
          <w:rFonts w:ascii="Arial Narrow" w:eastAsia="Times New Roman" w:hAnsi="Arial Narrow" w:cs="Arial"/>
          <w:snapToGrid w:val="0"/>
          <w:sz w:val="18"/>
          <w:szCs w:val="20"/>
        </w:rPr>
      </w:pPr>
      <w:r w:rsidRPr="005B2ED2">
        <w:rPr>
          <w:rFonts w:ascii="Arial Narrow" w:eastAsia="Times New Roman" w:hAnsi="Arial Narrow" w:cs="Arial"/>
          <w:snapToGrid w:val="0"/>
          <w:sz w:val="18"/>
          <w:szCs w:val="20"/>
        </w:rPr>
        <w:t>CI = confidence interval; n/N = number; OS = overall survival</w:t>
      </w:r>
    </w:p>
    <w:p w:rsidR="00BF72B1" w:rsidRPr="005B2ED2" w:rsidRDefault="00BF72B1" w:rsidP="00BF72B1">
      <w:pPr>
        <w:keepNext/>
        <w:spacing w:after="120"/>
        <w:contextualSpacing/>
        <w:jc w:val="both"/>
        <w:rPr>
          <w:rFonts w:ascii="Arial Narrow" w:eastAsia="Times New Roman" w:hAnsi="Arial Narrow" w:cs="Arial"/>
          <w:snapToGrid w:val="0"/>
          <w:sz w:val="18"/>
          <w:szCs w:val="20"/>
        </w:rPr>
      </w:pPr>
      <w:proofErr w:type="spellStart"/>
      <w:proofErr w:type="gramStart"/>
      <w:r w:rsidRPr="005B2ED2">
        <w:rPr>
          <w:rFonts w:ascii="Arial Narrow" w:eastAsia="Times New Roman" w:hAnsi="Arial Narrow" w:cs="Arial"/>
          <w:snapToGrid w:val="0"/>
          <w:sz w:val="18"/>
          <w:szCs w:val="20"/>
          <w:vertAlign w:val="superscript"/>
        </w:rPr>
        <w:t>a</w:t>
      </w:r>
      <w:proofErr w:type="spellEnd"/>
      <w:proofErr w:type="gramEnd"/>
      <w:r>
        <w:rPr>
          <w:rFonts w:ascii="Arial Narrow" w:eastAsia="Times New Roman" w:hAnsi="Arial Narrow" w:cs="Arial"/>
          <w:snapToGrid w:val="0"/>
          <w:sz w:val="18"/>
          <w:szCs w:val="20"/>
        </w:rPr>
        <w:t xml:space="preserve"> Objective responder was a patient that obtained a </w:t>
      </w:r>
      <w:r w:rsidRPr="005B2ED2">
        <w:rPr>
          <w:rFonts w:ascii="Arial Narrow" w:eastAsia="Times New Roman" w:hAnsi="Arial Narrow" w:cs="Arial"/>
          <w:snapToGrid w:val="0"/>
          <w:sz w:val="18"/>
          <w:szCs w:val="20"/>
        </w:rPr>
        <w:t>confirmed/unconfirmed complete response</w:t>
      </w:r>
      <w:r>
        <w:rPr>
          <w:rFonts w:ascii="Arial Narrow" w:eastAsia="Times New Roman" w:hAnsi="Arial Narrow" w:cs="Arial"/>
          <w:snapToGrid w:val="0"/>
          <w:sz w:val="18"/>
          <w:szCs w:val="20"/>
        </w:rPr>
        <w:t xml:space="preserve"> or a partial response in Study 0002. This was the key outcome used in the November 2016 submission </w:t>
      </w:r>
    </w:p>
    <w:p w:rsidR="00BF72B1" w:rsidRDefault="00BF72B1" w:rsidP="00BF72B1">
      <w:pPr>
        <w:pStyle w:val="ListParagraph"/>
        <w:numPr>
          <w:ilvl w:val="1"/>
          <w:numId w:val="1"/>
        </w:numPr>
        <w:spacing w:before="0" w:after="120"/>
        <w:jc w:val="both"/>
      </w:pPr>
      <w:r>
        <w:t xml:space="preserve">Figure 1 presents the Kaplan-Meier </w:t>
      </w:r>
      <w:r w:rsidRPr="0037036E">
        <w:t xml:space="preserve">curves of overall survival, for the comparative analysis </w:t>
      </w:r>
      <w:r>
        <w:t>of treatment career with romidepsin compared to the historical control cohort</w:t>
      </w:r>
      <w:r w:rsidRPr="0037036E">
        <w:t xml:space="preserve">. </w:t>
      </w:r>
    </w:p>
    <w:p w:rsidR="00BF72B1" w:rsidRPr="00D86405" w:rsidRDefault="00BF72B1" w:rsidP="00BF72B1">
      <w:pPr>
        <w:pStyle w:val="TableHeading0"/>
      </w:pPr>
      <w:r w:rsidRPr="0043227D">
        <w:t>Figure 1:</w:t>
      </w:r>
      <w:r>
        <w:t xml:space="preserve"> Kaplan-Meier OS curves for the external control d</w:t>
      </w:r>
      <w:r w:rsidRPr="0043227D">
        <w:t xml:space="preserve">ataset and </w:t>
      </w:r>
      <w:r>
        <w:t>treatment career with romidepsin (based on Study 0002)</w:t>
      </w:r>
    </w:p>
    <w:p w:rsidR="00BF72B1" w:rsidRPr="00D86405" w:rsidRDefault="00BF72B1" w:rsidP="00BF72B1">
      <w:pPr>
        <w:pStyle w:val="V50TableText"/>
      </w:pPr>
      <w:r>
        <w:rPr>
          <w:noProof/>
          <w:sz w:val="16"/>
          <w:szCs w:val="16"/>
          <w:lang w:val="en-AU" w:eastAsia="en-AU"/>
        </w:rPr>
        <w:drawing>
          <wp:inline distT="0" distB="0" distL="0" distR="0" wp14:anchorId="29BDD198" wp14:editId="721E71A8">
            <wp:extent cx="5748020" cy="3273425"/>
            <wp:effectExtent l="0" t="0" r="5080" b="3175"/>
            <wp:docPr id="1" name="Picture 1" title="OS results from study 0002 and the historical control cohor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48020" cy="3273425"/>
                    </a:xfrm>
                    <a:prstGeom prst="rect">
                      <a:avLst/>
                    </a:prstGeom>
                  </pic:spPr>
                </pic:pic>
              </a:graphicData>
            </a:graphic>
          </wp:inline>
        </w:drawing>
      </w:r>
    </w:p>
    <w:p w:rsidR="00BF72B1" w:rsidRDefault="00BF72B1" w:rsidP="00BF72B1">
      <w:pPr>
        <w:pStyle w:val="V50TableText"/>
      </w:pPr>
      <w:r>
        <w:t>Source: Figure 2, p21 of the resubmission</w:t>
      </w:r>
    </w:p>
    <w:p w:rsidR="00BF72B1" w:rsidRDefault="00BF72B1" w:rsidP="00BF72B1">
      <w:pPr>
        <w:pStyle w:val="V50TableText"/>
      </w:pPr>
      <w:r>
        <w:t>CI = confidence interval; OS = overall survival</w:t>
      </w:r>
    </w:p>
    <w:p w:rsidR="00BF72B1" w:rsidRDefault="00BF72B1" w:rsidP="00BF72B1">
      <w:pPr>
        <w:pStyle w:val="V50TableText"/>
      </w:pPr>
    </w:p>
    <w:p w:rsidR="00BF72B1" w:rsidRPr="009A66AE" w:rsidRDefault="00BF72B1" w:rsidP="00BF72B1">
      <w:pPr>
        <w:pStyle w:val="ListParagraph"/>
        <w:numPr>
          <w:ilvl w:val="1"/>
          <w:numId w:val="1"/>
        </w:numPr>
        <w:spacing w:before="0" w:after="120"/>
        <w:jc w:val="both"/>
      </w:pPr>
      <w:bookmarkStart w:id="25" w:name="_Toc413139279"/>
      <w:bookmarkEnd w:id="20"/>
      <w:r>
        <w:t xml:space="preserve">No indirect comparative statistical analysis was conducted. </w:t>
      </w:r>
      <w:r w:rsidRPr="00EA2518">
        <w:t>This was appropriate, as there was considerable heterogeneity between the two data sources.</w:t>
      </w:r>
    </w:p>
    <w:p w:rsidR="00BF72B1" w:rsidRPr="00F043B0" w:rsidRDefault="00BF72B1" w:rsidP="00BF72B1">
      <w:pPr>
        <w:pStyle w:val="ListParagraph"/>
        <w:numPr>
          <w:ilvl w:val="1"/>
          <w:numId w:val="1"/>
        </w:numPr>
        <w:spacing w:before="0" w:after="120"/>
        <w:jc w:val="both"/>
      </w:pPr>
      <w:r w:rsidRPr="00F043B0">
        <w:t xml:space="preserve">The OS difference may have been overestimated in favour of romidepsin as: </w:t>
      </w:r>
    </w:p>
    <w:p w:rsidR="00BF72B1" w:rsidRPr="00F043B0" w:rsidRDefault="00BF72B1" w:rsidP="00BF72B1">
      <w:pPr>
        <w:pStyle w:val="V50InstructionsBullets"/>
        <w:numPr>
          <w:ilvl w:val="1"/>
          <w:numId w:val="15"/>
        </w:numPr>
        <w:ind w:left="993" w:hanging="142"/>
        <w:jc w:val="both"/>
        <w:rPr>
          <w:color w:val="auto"/>
        </w:rPr>
      </w:pPr>
      <w:r w:rsidRPr="00F043B0">
        <w:rPr>
          <w:color w:val="auto"/>
        </w:rPr>
        <w:t xml:space="preserve">In Study 0002 the exclusion criteria were comprehensive and excluded a number of comorbidities. All patients that met the inclusion criteria (though not necessarily the exclusion criteria) in the historical control cohort were enrolled. </w:t>
      </w:r>
      <w:r w:rsidRPr="00F043B0">
        <w:rPr>
          <w:color w:val="auto"/>
        </w:rPr>
        <w:lastRenderedPageBreak/>
        <w:t>This benefits romidepsin as patients would have worse comorbidities in the historical control cohort;</w:t>
      </w:r>
    </w:p>
    <w:p w:rsidR="00BF72B1" w:rsidRPr="00F043B0" w:rsidRDefault="00BF72B1" w:rsidP="00BF72B1">
      <w:pPr>
        <w:pStyle w:val="V50InstructionsBullets"/>
        <w:numPr>
          <w:ilvl w:val="1"/>
          <w:numId w:val="15"/>
        </w:numPr>
        <w:ind w:left="993" w:hanging="142"/>
        <w:jc w:val="both"/>
        <w:rPr>
          <w:color w:val="auto"/>
        </w:rPr>
      </w:pPr>
      <w:r w:rsidRPr="00F043B0">
        <w:rPr>
          <w:color w:val="auto"/>
        </w:rPr>
        <w:t>The OS in Study 0002 was calculated so that patients were accumulating survival benefit prior to been treated with romidepsin. This would favour romidepsin as patients had to be alive for a considerable time after a previous line of therapy to receive romidepsin. In the historical control cohort, patients that died soon after a line of treatment were included in the analysis; and</w:t>
      </w:r>
    </w:p>
    <w:p w:rsidR="00BF72B1" w:rsidRPr="00F043B0" w:rsidRDefault="00BF72B1" w:rsidP="00BF72B1">
      <w:pPr>
        <w:pStyle w:val="V50InstructionsBullets"/>
        <w:numPr>
          <w:ilvl w:val="1"/>
          <w:numId w:val="15"/>
        </w:numPr>
        <w:spacing w:after="120"/>
        <w:ind w:left="993" w:hanging="142"/>
        <w:jc w:val="both"/>
        <w:rPr>
          <w:color w:val="auto"/>
        </w:rPr>
      </w:pPr>
      <w:r w:rsidRPr="00F043B0">
        <w:rPr>
          <w:color w:val="auto"/>
        </w:rPr>
        <w:t xml:space="preserve">Study 0002 was conducted for a period of 3.5 years, with survival data collected both retrospectively and prospectively. The survival curve presented in the submission suggests that 23.6% of Study 0002 patients were still alive. This means that patients could have survived PTCL for up to 6.5 years prior entering Study 0002 and receiving romidepsin. In this case patients could have accrued the majority of their survival unrelated to romidepsin therapy. </w:t>
      </w:r>
    </w:p>
    <w:p w:rsidR="00BF72B1" w:rsidRPr="00EA2518" w:rsidRDefault="00BF72B1" w:rsidP="00BF72B1">
      <w:pPr>
        <w:pStyle w:val="V50InstructionsBullets"/>
        <w:numPr>
          <w:ilvl w:val="0"/>
          <w:numId w:val="0"/>
        </w:numPr>
        <w:spacing w:after="120"/>
        <w:jc w:val="both"/>
        <w:rPr>
          <w:color w:val="auto"/>
          <w:u w:val="single"/>
        </w:rPr>
      </w:pPr>
      <w:r w:rsidRPr="00EA2518">
        <w:rPr>
          <w:color w:val="auto"/>
          <w:u w:val="single"/>
        </w:rPr>
        <w:t>Comparison with pralatrexate</w:t>
      </w:r>
    </w:p>
    <w:p w:rsidR="00BF72B1" w:rsidRDefault="00BF72B1" w:rsidP="00BF72B1">
      <w:pPr>
        <w:pStyle w:val="ListParagraph"/>
        <w:numPr>
          <w:ilvl w:val="1"/>
          <w:numId w:val="1"/>
        </w:numPr>
        <w:spacing w:before="0" w:after="120"/>
        <w:jc w:val="both"/>
      </w:pPr>
      <w:r>
        <w:t xml:space="preserve">The historical comparison document included at </w:t>
      </w:r>
      <w:r w:rsidRPr="00DC2D91">
        <w:t>Appendix A of the resubmission</w:t>
      </w:r>
      <w:r>
        <w:t xml:space="preserve"> presented a review of the efficacy results in</w:t>
      </w:r>
      <w:r w:rsidRPr="00DC2D91">
        <w:t xml:space="preserve"> Study 0002</w:t>
      </w:r>
      <w:r>
        <w:t xml:space="preserve"> and the </w:t>
      </w:r>
      <w:r w:rsidRPr="00DC2D91">
        <w:t xml:space="preserve">pralatrexate </w:t>
      </w:r>
      <w:r>
        <w:t xml:space="preserve">study </w:t>
      </w:r>
      <w:r w:rsidRPr="00DC2D91">
        <w:t xml:space="preserve">(PROPEL). PROPEL was an open label, non-randomised, single arm study of 109 patients with relapsed or refractory peripheral </w:t>
      </w:r>
      <w:r>
        <w:t>T</w:t>
      </w:r>
      <w:r w:rsidRPr="00DC2D91">
        <w:t>-cell lymphoma. PROPEL was determined to have a high risk of bias, primarily due to the risk of confounding of results due to the absence of randomisation, the heterogeneity of the population and the absence of blinding.</w:t>
      </w:r>
      <w:r>
        <w:t xml:space="preserve"> The PROPEL study had</w:t>
      </w:r>
      <w:r w:rsidRPr="00EA2518">
        <w:t xml:space="preserve"> </w:t>
      </w:r>
      <w:r>
        <w:t xml:space="preserve">previously </w:t>
      </w:r>
      <w:r w:rsidRPr="00EA2518">
        <w:t xml:space="preserve">been </w:t>
      </w:r>
      <w:r>
        <w:t>presented to</w:t>
      </w:r>
      <w:r w:rsidRPr="00EA2518">
        <w:t xml:space="preserve"> the PBAC in their considerations of submissions for the listing of pralatrexate for PTCL (paragraph 6.6, pralatrexate PSD, July 2017)</w:t>
      </w:r>
    </w:p>
    <w:p w:rsidR="00BF72B1" w:rsidRPr="00291497" w:rsidRDefault="00BF72B1" w:rsidP="00BF72B1">
      <w:pPr>
        <w:pStyle w:val="ListParagraph"/>
        <w:numPr>
          <w:ilvl w:val="1"/>
          <w:numId w:val="1"/>
        </w:numPr>
        <w:spacing w:before="0" w:after="120"/>
        <w:jc w:val="both"/>
      </w:pPr>
      <w:r w:rsidRPr="00DC2D91">
        <w:t xml:space="preserve">Table </w:t>
      </w:r>
      <w:r>
        <w:t>6</w:t>
      </w:r>
      <w:r w:rsidRPr="00DC2D91">
        <w:t xml:space="preserve"> presents the naïve comparison of romidepsin compared to pralatrexate from Appendix A of the resubmission.</w:t>
      </w:r>
    </w:p>
    <w:p w:rsidR="00544932" w:rsidRPr="00544932" w:rsidRDefault="00544932" w:rsidP="00544932">
      <w:pPr>
        <w:pStyle w:val="Caption"/>
        <w:rPr>
          <w:rFonts w:ascii="Arial Narrow" w:hAnsi="Arial Narrow"/>
        </w:rPr>
      </w:pPr>
      <w:r w:rsidRPr="00544932">
        <w:rPr>
          <w:rFonts w:ascii="Arial Narrow" w:hAnsi="Arial Narrow"/>
        </w:rPr>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6</w:t>
      </w:r>
      <w:r w:rsidRPr="00544932">
        <w:rPr>
          <w:rFonts w:ascii="Arial Narrow" w:hAnsi="Arial Narrow"/>
        </w:rPr>
        <w:fldChar w:fldCharType="end"/>
      </w:r>
      <w:r w:rsidRPr="00544932">
        <w:rPr>
          <w:rFonts w:ascii="Arial Narrow" w:hAnsi="Arial Narrow"/>
        </w:rPr>
        <w:t>: Comparison of romidepsin and pralatrexate based on independent panel assessment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Comparison of romidepsin and pralatrexate based on independent panel assessment"/>
      </w:tblPr>
      <w:tblGrid>
        <w:gridCol w:w="4883"/>
        <w:gridCol w:w="2098"/>
        <w:gridCol w:w="2055"/>
      </w:tblGrid>
      <w:tr w:rsidR="00BF72B1" w:rsidRPr="00CB7310" w:rsidTr="00234AC7">
        <w:trPr>
          <w:cantSplit/>
          <w:trHeight w:val="280"/>
          <w:tblHeader/>
          <w:jc w:val="right"/>
        </w:trPr>
        <w:tc>
          <w:tcPr>
            <w:tcW w:w="2702" w:type="pct"/>
            <w:vMerge w:val="restart"/>
            <w:tcBorders>
              <w:top w:val="single" w:sz="4" w:space="0" w:color="auto"/>
              <w:left w:val="single" w:sz="4" w:space="0" w:color="auto"/>
              <w:right w:val="single" w:sz="4" w:space="0" w:color="auto"/>
            </w:tcBorders>
            <w:vAlign w:val="bottom"/>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sz w:val="20"/>
                <w:szCs w:val="20"/>
              </w:rPr>
            </w:pPr>
            <w:r w:rsidRPr="00E80957">
              <w:rPr>
                <w:rFonts w:ascii="Arial Narrow" w:eastAsia="Calibri" w:hAnsi="Arial Narrow" w:cs="Times New Roman"/>
                <w:b/>
                <w:bCs/>
                <w:sz w:val="20"/>
                <w:szCs w:val="20"/>
              </w:rPr>
              <w:t>Efficacy Endpoint</w:t>
            </w: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b/>
                <w:bCs/>
                <w:sz w:val="20"/>
                <w:szCs w:val="20"/>
              </w:rPr>
            </w:pPr>
            <w:r w:rsidRPr="00CB7310">
              <w:rPr>
                <w:rFonts w:ascii="Arial Narrow" w:eastAsia="Calibri" w:hAnsi="Arial Narrow" w:cs="Times New Roman"/>
                <w:b/>
                <w:bCs/>
                <w:sz w:val="20"/>
                <w:szCs w:val="20"/>
              </w:rPr>
              <w:t>Romidepsin</w:t>
            </w:r>
          </w:p>
        </w:tc>
        <w:tc>
          <w:tcPr>
            <w:tcW w:w="1137"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b/>
                <w:bCs/>
                <w:sz w:val="20"/>
                <w:szCs w:val="20"/>
              </w:rPr>
            </w:pPr>
            <w:r w:rsidRPr="00CB7310">
              <w:rPr>
                <w:rFonts w:ascii="Arial Narrow" w:eastAsia="Calibri" w:hAnsi="Arial Narrow" w:cs="Times New Roman"/>
                <w:b/>
                <w:bCs/>
                <w:sz w:val="20"/>
                <w:szCs w:val="20"/>
              </w:rPr>
              <w:t>Pralatrexate</w:t>
            </w:r>
          </w:p>
        </w:tc>
      </w:tr>
      <w:tr w:rsidR="00BF72B1" w:rsidRPr="00CB7310" w:rsidTr="00234AC7">
        <w:trPr>
          <w:cantSplit/>
          <w:trHeight w:val="220"/>
          <w:tblHeader/>
          <w:jc w:val="right"/>
        </w:trPr>
        <w:tc>
          <w:tcPr>
            <w:tcW w:w="2702" w:type="pct"/>
            <w:vMerge/>
            <w:tcBorders>
              <w:left w:val="single" w:sz="4" w:space="0" w:color="auto"/>
              <w:right w:val="single" w:sz="4" w:space="0" w:color="auto"/>
            </w:tcBorders>
            <w:vAlign w:val="center"/>
            <w:hideMark/>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sz w:val="20"/>
                <w:szCs w:val="20"/>
              </w:rPr>
            </w:pP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b/>
                <w:bCs/>
                <w:sz w:val="20"/>
                <w:szCs w:val="20"/>
              </w:rPr>
            </w:pPr>
            <w:r w:rsidRPr="00CB7310">
              <w:rPr>
                <w:rFonts w:ascii="Arial Narrow" w:eastAsia="Calibri" w:hAnsi="Arial Narrow" w:cs="Times New Roman"/>
                <w:b/>
                <w:bCs/>
                <w:sz w:val="20"/>
                <w:szCs w:val="20"/>
              </w:rPr>
              <w:t>Study 0002</w:t>
            </w:r>
          </w:p>
        </w:tc>
        <w:tc>
          <w:tcPr>
            <w:tcW w:w="1137"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b/>
                <w:bCs/>
                <w:sz w:val="20"/>
                <w:szCs w:val="20"/>
              </w:rPr>
            </w:pPr>
            <w:r w:rsidRPr="00CB7310">
              <w:rPr>
                <w:rFonts w:ascii="Arial Narrow" w:eastAsia="Calibri" w:hAnsi="Arial Narrow" w:cs="Times New Roman"/>
                <w:b/>
                <w:bCs/>
                <w:sz w:val="20"/>
                <w:szCs w:val="20"/>
              </w:rPr>
              <w:t>PROPEL</w:t>
            </w:r>
          </w:p>
        </w:tc>
      </w:tr>
      <w:tr w:rsidR="00BF72B1" w:rsidRPr="00CB7310" w:rsidTr="00234AC7">
        <w:trPr>
          <w:cantSplit/>
          <w:trHeight w:val="280"/>
          <w:tblHeader/>
          <w:jc w:val="right"/>
        </w:trPr>
        <w:tc>
          <w:tcPr>
            <w:tcW w:w="2702" w:type="pct"/>
            <w:vMerge/>
            <w:tcBorders>
              <w:left w:val="single" w:sz="4" w:space="0" w:color="auto"/>
              <w:bottom w:val="single" w:sz="4" w:space="0" w:color="auto"/>
              <w:right w:val="single" w:sz="4" w:space="0" w:color="auto"/>
            </w:tcBorders>
            <w:vAlign w:val="center"/>
            <w:hideMark/>
          </w:tcPr>
          <w:p w:rsidR="00BF72B1" w:rsidRPr="00E80957" w:rsidRDefault="00BF72B1" w:rsidP="00234AC7">
            <w:pPr>
              <w:keepNext/>
              <w:kinsoku w:val="0"/>
              <w:overflowPunct w:val="0"/>
              <w:autoSpaceDE w:val="0"/>
              <w:autoSpaceDN w:val="0"/>
              <w:adjustRightInd w:val="0"/>
              <w:spacing w:before="0" w:after="0"/>
              <w:rPr>
                <w:rFonts w:ascii="Arial Narrow" w:eastAsia="Calibri" w:hAnsi="Arial Narrow" w:cs="Times New Roman"/>
                <w:b/>
                <w:bCs/>
                <w:sz w:val="20"/>
                <w:szCs w:val="20"/>
              </w:rPr>
            </w:pP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b/>
                <w:bCs/>
                <w:sz w:val="20"/>
                <w:szCs w:val="20"/>
              </w:rPr>
            </w:pPr>
            <w:r w:rsidRPr="00CB7310">
              <w:rPr>
                <w:rFonts w:ascii="Arial Narrow" w:eastAsia="Calibri" w:hAnsi="Arial Narrow" w:cs="Times New Roman"/>
                <w:b/>
                <w:bCs/>
                <w:sz w:val="20"/>
                <w:szCs w:val="20"/>
              </w:rPr>
              <w:t>(N = 130)</w:t>
            </w:r>
          </w:p>
        </w:tc>
        <w:tc>
          <w:tcPr>
            <w:tcW w:w="1137"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b/>
                <w:bCs/>
                <w:sz w:val="20"/>
                <w:szCs w:val="20"/>
              </w:rPr>
            </w:pPr>
            <w:r w:rsidRPr="00CB7310">
              <w:rPr>
                <w:rFonts w:ascii="Arial Narrow" w:eastAsia="Calibri" w:hAnsi="Arial Narrow" w:cs="Times New Roman"/>
                <w:b/>
                <w:bCs/>
                <w:sz w:val="20"/>
                <w:szCs w:val="20"/>
              </w:rPr>
              <w:t>(N = 109)</w:t>
            </w:r>
          </w:p>
        </w:tc>
      </w:tr>
      <w:tr w:rsidR="00BF72B1" w:rsidRPr="00CB7310" w:rsidTr="00234AC7">
        <w:trPr>
          <w:cantSplit/>
          <w:trHeight w:val="640"/>
          <w:tblHeader/>
          <w:jc w:val="right"/>
        </w:trPr>
        <w:tc>
          <w:tcPr>
            <w:tcW w:w="2702"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bCs/>
                <w:sz w:val="20"/>
                <w:szCs w:val="20"/>
              </w:rPr>
            </w:pPr>
            <w:r w:rsidRPr="00CB7310">
              <w:rPr>
                <w:rFonts w:ascii="Arial Narrow" w:eastAsia="Calibri" w:hAnsi="Arial Narrow" w:cs="Times New Roman"/>
                <w:bCs/>
                <w:sz w:val="20"/>
                <w:szCs w:val="20"/>
              </w:rPr>
              <w:t>Best Response Category</w:t>
            </w:r>
          </w:p>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ORR (95% CI)</w:t>
            </w:r>
          </w:p>
        </w:tc>
        <w:tc>
          <w:tcPr>
            <w:tcW w:w="1161" w:type="pct"/>
            <w:tcBorders>
              <w:top w:val="single" w:sz="4" w:space="0" w:color="auto"/>
              <w:left w:val="single" w:sz="4" w:space="0" w:color="auto"/>
              <w:bottom w:val="single" w:sz="4" w:space="0" w:color="auto"/>
              <w:right w:val="single" w:sz="4" w:space="0" w:color="auto"/>
            </w:tcBorders>
            <w:vAlign w:val="center"/>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b/>
                <w:bCs/>
                <w:sz w:val="20"/>
                <w:szCs w:val="20"/>
              </w:rPr>
            </w:pPr>
          </w:p>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25% (18, 34)</w:t>
            </w:r>
          </w:p>
        </w:tc>
        <w:tc>
          <w:tcPr>
            <w:tcW w:w="1137" w:type="pct"/>
            <w:tcBorders>
              <w:top w:val="single" w:sz="4" w:space="0" w:color="auto"/>
              <w:left w:val="single" w:sz="4" w:space="0" w:color="auto"/>
              <w:bottom w:val="single" w:sz="4" w:space="0" w:color="auto"/>
              <w:right w:val="single" w:sz="4" w:space="0" w:color="auto"/>
            </w:tcBorders>
            <w:vAlign w:val="center"/>
          </w:tcPr>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b/>
                <w:bCs/>
                <w:sz w:val="20"/>
                <w:szCs w:val="20"/>
              </w:rPr>
            </w:pPr>
          </w:p>
          <w:p w:rsidR="00BF72B1" w:rsidRPr="00CB7310" w:rsidRDefault="00BF72B1" w:rsidP="00234AC7">
            <w:pPr>
              <w:keepNext/>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29% (21, 39)</w:t>
            </w:r>
          </w:p>
        </w:tc>
      </w:tr>
      <w:tr w:rsidR="00BF72B1" w:rsidRPr="00CB7310" w:rsidTr="00234AC7">
        <w:trPr>
          <w:cantSplit/>
          <w:trHeight w:val="300"/>
          <w:tblHeader/>
          <w:jc w:val="right"/>
        </w:trPr>
        <w:tc>
          <w:tcPr>
            <w:tcW w:w="2702"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CR</w:t>
            </w: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15%</w:t>
            </w:r>
          </w:p>
        </w:tc>
        <w:tc>
          <w:tcPr>
            <w:tcW w:w="1137"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11%</w:t>
            </w:r>
          </w:p>
        </w:tc>
      </w:tr>
      <w:tr w:rsidR="00BF72B1" w:rsidRPr="00CB7310" w:rsidTr="00234AC7">
        <w:trPr>
          <w:cantSplit/>
          <w:trHeight w:val="280"/>
          <w:tblHeader/>
          <w:jc w:val="right"/>
        </w:trPr>
        <w:tc>
          <w:tcPr>
            <w:tcW w:w="2702"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PR</w:t>
            </w: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11%</w:t>
            </w:r>
          </w:p>
        </w:tc>
        <w:tc>
          <w:tcPr>
            <w:tcW w:w="1137"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18%</w:t>
            </w:r>
          </w:p>
        </w:tc>
      </w:tr>
      <w:tr w:rsidR="00BF72B1" w:rsidRPr="00CB7310" w:rsidTr="00234AC7">
        <w:trPr>
          <w:cantSplit/>
          <w:trHeight w:val="280"/>
          <w:tblHeader/>
          <w:jc w:val="right"/>
        </w:trPr>
        <w:tc>
          <w:tcPr>
            <w:tcW w:w="2702"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SD</w:t>
            </w: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25%</w:t>
            </w:r>
          </w:p>
        </w:tc>
        <w:tc>
          <w:tcPr>
            <w:tcW w:w="1137"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19%</w:t>
            </w:r>
          </w:p>
        </w:tc>
      </w:tr>
      <w:tr w:rsidR="00BF72B1" w:rsidRPr="00CB7310" w:rsidTr="00234AC7">
        <w:trPr>
          <w:cantSplit/>
          <w:trHeight w:val="240"/>
          <w:tblHeader/>
          <w:jc w:val="right"/>
        </w:trPr>
        <w:tc>
          <w:tcPr>
            <w:tcW w:w="2702"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PD</w:t>
            </w: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49%</w:t>
            </w:r>
          </w:p>
        </w:tc>
        <w:tc>
          <w:tcPr>
            <w:tcW w:w="1137"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52%</w:t>
            </w:r>
          </w:p>
        </w:tc>
      </w:tr>
      <w:tr w:rsidR="00BF72B1" w:rsidRPr="00CB7310" w:rsidTr="00234AC7">
        <w:trPr>
          <w:cantSplit/>
          <w:trHeight w:val="240"/>
          <w:tblHeader/>
          <w:jc w:val="right"/>
        </w:trPr>
        <w:tc>
          <w:tcPr>
            <w:tcW w:w="2702"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outlineLvl w:val="0"/>
              <w:rPr>
                <w:rFonts w:ascii="Arial Narrow" w:eastAsia="Calibri" w:hAnsi="Arial Narrow" w:cs="Times New Roman"/>
                <w:sz w:val="20"/>
                <w:szCs w:val="20"/>
              </w:rPr>
            </w:pPr>
            <w:r w:rsidRPr="00CB7310">
              <w:rPr>
                <w:rFonts w:ascii="Arial Narrow" w:eastAsia="Calibri" w:hAnsi="Arial Narrow" w:cs="Times New Roman"/>
                <w:bCs/>
                <w:sz w:val="20"/>
                <w:szCs w:val="20"/>
              </w:rPr>
              <w:t>Duration of Response (Months)</w:t>
            </w:r>
            <w:r w:rsidRPr="00CB7310">
              <w:rPr>
                <w:rFonts w:ascii="Arial Narrow" w:eastAsia="Calibri" w:hAnsi="Arial Narrow" w:cs="Times New Roman"/>
                <w:sz w:val="20"/>
                <w:szCs w:val="20"/>
              </w:rPr>
              <w:t xml:space="preserve"> Median (95% CI)</w:t>
            </w: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16.6 (11.6, NE)</w:t>
            </w:r>
          </w:p>
        </w:tc>
        <w:tc>
          <w:tcPr>
            <w:tcW w:w="1137"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10.1 (3.4, NE)</w:t>
            </w:r>
          </w:p>
        </w:tc>
      </w:tr>
      <w:tr w:rsidR="00BF72B1" w:rsidRPr="00CB7310" w:rsidTr="00234AC7">
        <w:trPr>
          <w:cantSplit/>
          <w:trHeight w:val="240"/>
          <w:tblHeader/>
          <w:jc w:val="right"/>
        </w:trPr>
        <w:tc>
          <w:tcPr>
            <w:tcW w:w="2702"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outlineLvl w:val="0"/>
              <w:rPr>
                <w:rFonts w:ascii="Arial Narrow" w:eastAsia="Calibri" w:hAnsi="Arial Narrow" w:cs="Times New Roman"/>
                <w:bCs/>
                <w:sz w:val="20"/>
                <w:szCs w:val="20"/>
              </w:rPr>
            </w:pPr>
            <w:r w:rsidRPr="00CB7310">
              <w:rPr>
                <w:rFonts w:ascii="Arial Narrow" w:eastAsia="Calibri" w:hAnsi="Arial Narrow" w:cs="Times New Roman"/>
                <w:bCs/>
                <w:sz w:val="20"/>
                <w:szCs w:val="20"/>
              </w:rPr>
              <w:t>PFS (Months)</w:t>
            </w:r>
          </w:p>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Median (95% CI)</w:t>
            </w: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3.5 (2.5, 5.8)</w:t>
            </w:r>
          </w:p>
        </w:tc>
        <w:tc>
          <w:tcPr>
            <w:tcW w:w="1137" w:type="pct"/>
            <w:tcBorders>
              <w:top w:val="single" w:sz="4" w:space="0" w:color="auto"/>
              <w:left w:val="single" w:sz="4" w:space="0" w:color="auto"/>
              <w:bottom w:val="single" w:sz="4" w:space="0" w:color="auto"/>
              <w:right w:val="single" w:sz="4" w:space="0" w:color="auto"/>
            </w:tcBorders>
            <w:vAlign w:val="center"/>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3.5 (1.7, 4.8)</w:t>
            </w:r>
          </w:p>
        </w:tc>
      </w:tr>
      <w:tr w:rsidR="00BF72B1" w:rsidRPr="00CB7310" w:rsidTr="00234AC7">
        <w:trPr>
          <w:cantSplit/>
          <w:trHeight w:val="240"/>
          <w:tblHeader/>
          <w:jc w:val="right"/>
        </w:trPr>
        <w:tc>
          <w:tcPr>
            <w:tcW w:w="2702"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outlineLvl w:val="0"/>
              <w:rPr>
                <w:rFonts w:ascii="Arial Narrow" w:eastAsia="Calibri" w:hAnsi="Arial Narrow" w:cs="Times New Roman"/>
                <w:bCs/>
                <w:sz w:val="20"/>
                <w:szCs w:val="20"/>
              </w:rPr>
            </w:pPr>
            <w:r w:rsidRPr="00CB7310">
              <w:rPr>
                <w:rFonts w:ascii="Arial Narrow" w:eastAsia="Calibri" w:hAnsi="Arial Narrow" w:cs="Times New Roman"/>
                <w:bCs/>
                <w:sz w:val="20"/>
                <w:szCs w:val="20"/>
              </w:rPr>
              <w:t>OS from Enrolment (Months)</w:t>
            </w:r>
          </w:p>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Median (95% CI)</w:t>
            </w:r>
          </w:p>
        </w:tc>
        <w:tc>
          <w:tcPr>
            <w:tcW w:w="1161" w:type="pct"/>
            <w:tcBorders>
              <w:top w:val="single" w:sz="4" w:space="0" w:color="auto"/>
              <w:left w:val="single" w:sz="4" w:space="0" w:color="auto"/>
              <w:bottom w:val="single" w:sz="4" w:space="0" w:color="auto"/>
              <w:right w:val="single" w:sz="4" w:space="0" w:color="auto"/>
            </w:tcBorders>
            <w:vAlign w:val="center"/>
            <w:hideMark/>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11.3 (8.3, 22.1)</w:t>
            </w:r>
          </w:p>
        </w:tc>
        <w:tc>
          <w:tcPr>
            <w:tcW w:w="1137" w:type="pct"/>
            <w:tcBorders>
              <w:top w:val="single" w:sz="4" w:space="0" w:color="auto"/>
              <w:left w:val="single" w:sz="4" w:space="0" w:color="auto"/>
              <w:bottom w:val="single" w:sz="4" w:space="0" w:color="auto"/>
              <w:right w:val="single" w:sz="4" w:space="0" w:color="auto"/>
            </w:tcBorders>
            <w:vAlign w:val="center"/>
          </w:tcPr>
          <w:p w:rsidR="00BF72B1" w:rsidRPr="00CB7310" w:rsidRDefault="00BF72B1" w:rsidP="00234AC7">
            <w:pPr>
              <w:widowControl w:val="0"/>
              <w:kinsoku w:val="0"/>
              <w:overflowPunct w:val="0"/>
              <w:autoSpaceDE w:val="0"/>
              <w:autoSpaceDN w:val="0"/>
              <w:adjustRightInd w:val="0"/>
              <w:spacing w:before="0" w:after="0"/>
              <w:rPr>
                <w:rFonts w:ascii="Arial Narrow" w:eastAsia="Calibri" w:hAnsi="Arial Narrow" w:cs="Times New Roman"/>
                <w:sz w:val="20"/>
                <w:szCs w:val="20"/>
              </w:rPr>
            </w:pPr>
            <w:r w:rsidRPr="00CB7310">
              <w:rPr>
                <w:rFonts w:ascii="Arial Narrow" w:eastAsia="Calibri" w:hAnsi="Arial Narrow" w:cs="Times New Roman"/>
                <w:sz w:val="20"/>
                <w:szCs w:val="20"/>
              </w:rPr>
              <w:t>14.5 (10.6, 22.5)</w:t>
            </w:r>
          </w:p>
        </w:tc>
      </w:tr>
    </w:tbl>
    <w:p w:rsidR="00BF72B1" w:rsidRPr="00CB7310" w:rsidRDefault="00BF72B1" w:rsidP="00BF72B1">
      <w:pPr>
        <w:pStyle w:val="V50InstructionsBullets"/>
        <w:numPr>
          <w:ilvl w:val="0"/>
          <w:numId w:val="0"/>
        </w:numPr>
        <w:jc w:val="both"/>
        <w:rPr>
          <w:rFonts w:ascii="Arial Narrow" w:hAnsi="Arial Narrow"/>
          <w:color w:val="auto"/>
          <w:sz w:val="20"/>
          <w:szCs w:val="20"/>
        </w:rPr>
      </w:pPr>
      <w:r w:rsidRPr="00CB7310">
        <w:rPr>
          <w:rFonts w:ascii="Arial Narrow" w:hAnsi="Arial Narrow"/>
          <w:color w:val="auto"/>
          <w:sz w:val="20"/>
          <w:szCs w:val="20"/>
        </w:rPr>
        <w:t>Source: Table 23, p21 of Appendix A of the resubmission (</w:t>
      </w:r>
      <w:proofErr w:type="spellStart"/>
      <w:r w:rsidRPr="00CB7310">
        <w:rPr>
          <w:rFonts w:ascii="Arial Narrow" w:hAnsi="Arial Narrow"/>
          <w:color w:val="auto"/>
          <w:sz w:val="20"/>
          <w:szCs w:val="20"/>
        </w:rPr>
        <w:t>Istodax</w:t>
      </w:r>
      <w:proofErr w:type="spellEnd"/>
      <w:r w:rsidRPr="00CB7310">
        <w:rPr>
          <w:rFonts w:ascii="Arial Narrow" w:hAnsi="Arial Narrow"/>
          <w:color w:val="auto"/>
          <w:sz w:val="20"/>
          <w:szCs w:val="20"/>
        </w:rPr>
        <w:t xml:space="preserve"> Historical Comparison.pdf)</w:t>
      </w:r>
    </w:p>
    <w:p w:rsidR="00BF72B1" w:rsidRDefault="00BF72B1" w:rsidP="00BF72B1">
      <w:pPr>
        <w:pStyle w:val="V50InstructionsBullets"/>
        <w:numPr>
          <w:ilvl w:val="0"/>
          <w:numId w:val="0"/>
        </w:numPr>
        <w:jc w:val="both"/>
        <w:rPr>
          <w:rFonts w:ascii="Arial Narrow" w:hAnsi="Arial Narrow"/>
          <w:color w:val="auto"/>
          <w:sz w:val="20"/>
          <w:szCs w:val="20"/>
        </w:rPr>
      </w:pPr>
      <w:r w:rsidRPr="00CB7310">
        <w:rPr>
          <w:rFonts w:ascii="Arial Narrow" w:hAnsi="Arial Narrow"/>
          <w:color w:val="auto"/>
          <w:sz w:val="20"/>
          <w:szCs w:val="20"/>
        </w:rPr>
        <w:t>CI = confidence interval; CR = complete response; N = number, NE = not estimable; ORR = overall response rate; OS = overall survival; PD = progressive disease; PFS = progression free survival; PR = partial response</w:t>
      </w:r>
      <w:r>
        <w:rPr>
          <w:rFonts w:ascii="Arial Narrow" w:hAnsi="Arial Narrow"/>
          <w:color w:val="auto"/>
          <w:sz w:val="20"/>
          <w:szCs w:val="20"/>
        </w:rPr>
        <w:t>; SD = Stable Disease</w:t>
      </w:r>
      <w:r w:rsidRPr="00CB7310">
        <w:rPr>
          <w:rFonts w:ascii="Arial Narrow" w:hAnsi="Arial Narrow"/>
          <w:color w:val="auto"/>
          <w:sz w:val="20"/>
          <w:szCs w:val="20"/>
        </w:rPr>
        <w:t xml:space="preserve"> </w:t>
      </w:r>
    </w:p>
    <w:p w:rsidR="00BF72B1" w:rsidRDefault="00BF72B1" w:rsidP="00BF72B1">
      <w:pPr>
        <w:pStyle w:val="Heading2"/>
      </w:pPr>
      <w:bookmarkStart w:id="26" w:name="_Toc496529130"/>
      <w:bookmarkStart w:id="27" w:name="_Toc497396001"/>
      <w:r>
        <w:lastRenderedPageBreak/>
        <w:t>Comparative harms</w:t>
      </w:r>
      <w:bookmarkEnd w:id="26"/>
      <w:bookmarkEnd w:id="27"/>
    </w:p>
    <w:p w:rsidR="00BF72B1" w:rsidRPr="00EA2518" w:rsidRDefault="00BF72B1" w:rsidP="00BF72B1">
      <w:pPr>
        <w:pStyle w:val="ListParagraph"/>
        <w:numPr>
          <w:ilvl w:val="1"/>
          <w:numId w:val="1"/>
        </w:numPr>
        <w:spacing w:before="0" w:after="120"/>
        <w:jc w:val="both"/>
      </w:pPr>
      <w:r w:rsidRPr="003B68F9">
        <w:t xml:space="preserve">The resubmission did not present comparative harms data from the included studies and no comparative safety data were available from either the previous submission or the attached documents. </w:t>
      </w:r>
      <w:r w:rsidRPr="00EA2518">
        <w:t xml:space="preserve">This was appropriate, as there was considerable heterogeneity between the two studies and adverse event data were limited in the Historical Control Cohort. </w:t>
      </w:r>
    </w:p>
    <w:p w:rsidR="00BF72B1" w:rsidRPr="00EA2518" w:rsidRDefault="00BF72B1" w:rsidP="00BF72B1">
      <w:pPr>
        <w:pStyle w:val="ListParagraph"/>
        <w:numPr>
          <w:ilvl w:val="1"/>
          <w:numId w:val="1"/>
        </w:numPr>
        <w:spacing w:before="0" w:after="120"/>
        <w:jc w:val="both"/>
      </w:pPr>
      <w:r w:rsidRPr="00EA2518">
        <w:t>All safety data originated from non-randomised, single arm, open-label studies. In Study 0002, the most frequent grade ≥3 adverse events were thrombocytopenia, neutropenia, and infections. Other frequent adverse events (which were seldom grade 3 or 4) included nausea, vomiting, asthenia/fatigue and diarrhoea.</w:t>
      </w:r>
    </w:p>
    <w:p w:rsidR="00BF72B1" w:rsidRPr="00EA2518" w:rsidRDefault="00BF72B1" w:rsidP="00BF72B1">
      <w:pPr>
        <w:pStyle w:val="ListParagraph"/>
        <w:numPr>
          <w:ilvl w:val="1"/>
          <w:numId w:val="1"/>
        </w:numPr>
        <w:spacing w:before="0" w:after="120"/>
        <w:jc w:val="both"/>
      </w:pPr>
      <w:r w:rsidRPr="00EA2518">
        <w:t>The resubmission presented an extended assessment of comparative safety that included studies of chemotherapies in patients with non-Hodgkin lymphoma (NHL), but not specifically PTCL patients. Overall, the resubmission concluded that romidepsin had a relatively mild comparative safety profile to other chemotherapies. Given the presented evidence and the heterogeneous nature of the studies, it was not possible to estimate the true difference in safety between romidepsin and chemotherapy.</w:t>
      </w:r>
      <w:bookmarkStart w:id="28" w:name="_Toc496529131"/>
    </w:p>
    <w:p w:rsidR="00BF72B1" w:rsidRDefault="00BF72B1" w:rsidP="00BF72B1">
      <w:pPr>
        <w:pStyle w:val="Heading2"/>
      </w:pPr>
      <w:bookmarkStart w:id="29" w:name="_Toc497396002"/>
      <w:r>
        <w:t>Benefits and harms</w:t>
      </w:r>
      <w:bookmarkEnd w:id="28"/>
      <w:bookmarkEnd w:id="29"/>
    </w:p>
    <w:p w:rsidR="00BF72B1" w:rsidRPr="00EA2518" w:rsidRDefault="00BF72B1" w:rsidP="00BF72B1">
      <w:pPr>
        <w:pStyle w:val="ListParagraph"/>
        <w:numPr>
          <w:ilvl w:val="1"/>
          <w:numId w:val="1"/>
        </w:numPr>
        <w:spacing w:before="0" w:after="120"/>
        <w:jc w:val="both"/>
      </w:pPr>
      <w:r w:rsidRPr="00F6371C">
        <w:t xml:space="preserve">A summary of the comparative benefits of treatment career with romidepsin versus treatment career without romidepsin based on a naïve comparison is presented in </w:t>
      </w:r>
      <w:r>
        <w:t>T</w:t>
      </w:r>
      <w:r w:rsidRPr="00F6371C">
        <w:t>able 5</w:t>
      </w:r>
      <w:r>
        <w:t xml:space="preserve"> </w:t>
      </w:r>
      <w:r w:rsidRPr="00EA2518">
        <w:t xml:space="preserve">(in the overall survival section, above). </w:t>
      </w:r>
    </w:p>
    <w:p w:rsidR="00BF72B1" w:rsidRPr="00EA2518" w:rsidRDefault="00BF72B1" w:rsidP="00BF72B1">
      <w:pPr>
        <w:pStyle w:val="ListParagraph"/>
        <w:numPr>
          <w:ilvl w:val="1"/>
          <w:numId w:val="1"/>
        </w:numPr>
        <w:spacing w:before="0" w:after="120"/>
        <w:jc w:val="both"/>
      </w:pPr>
      <w:r w:rsidRPr="00EA2518">
        <w:t xml:space="preserve">The extent of comparative benefit associated with romidepsin </w:t>
      </w:r>
      <w:r>
        <w:t>remains</w:t>
      </w:r>
      <w:r w:rsidRPr="00EA2518">
        <w:t xml:space="preserve"> un</w:t>
      </w:r>
      <w:r>
        <w:t>certai</w:t>
      </w:r>
      <w:r w:rsidRPr="00EA2518">
        <w:t>n due to the nature of the evidence provided.</w:t>
      </w:r>
    </w:p>
    <w:p w:rsidR="00BF72B1" w:rsidRDefault="00BF72B1" w:rsidP="00BF72B1">
      <w:pPr>
        <w:pStyle w:val="Heading2"/>
      </w:pPr>
      <w:bookmarkStart w:id="30" w:name="_Toc496529132"/>
      <w:bookmarkStart w:id="31" w:name="_Toc497396003"/>
      <w:r>
        <w:t>Interpretation of clinical evidence</w:t>
      </w:r>
      <w:bookmarkEnd w:id="30"/>
      <w:bookmarkEnd w:id="31"/>
    </w:p>
    <w:p w:rsidR="00BF72B1" w:rsidRDefault="00BF72B1" w:rsidP="00BF72B1">
      <w:pPr>
        <w:pStyle w:val="ListParagraph"/>
        <w:numPr>
          <w:ilvl w:val="1"/>
          <w:numId w:val="1"/>
        </w:numPr>
        <w:spacing w:before="0" w:after="120"/>
        <w:jc w:val="both"/>
      </w:pPr>
      <w:r w:rsidRPr="00AD2AED">
        <w:t>The resubmission concluded that:</w:t>
      </w:r>
    </w:p>
    <w:p w:rsidR="00BF72B1" w:rsidRPr="00CB7310" w:rsidRDefault="00BF72B1" w:rsidP="00BF72B1">
      <w:pPr>
        <w:pStyle w:val="ListParagraph"/>
        <w:numPr>
          <w:ilvl w:val="0"/>
          <w:numId w:val="9"/>
        </w:numPr>
        <w:spacing w:before="0" w:after="0"/>
        <w:ind w:left="1077" w:hanging="357"/>
        <w:jc w:val="both"/>
      </w:pPr>
      <w:r w:rsidRPr="00CB7310">
        <w:t>A treatment career that includes romidepsin is superior to a treatment career that does not include romidepsin in terms of overall survival</w:t>
      </w:r>
    </w:p>
    <w:p w:rsidR="00BF72B1" w:rsidRPr="00CB7310" w:rsidRDefault="00BF72B1" w:rsidP="00BF72B1">
      <w:pPr>
        <w:pStyle w:val="ListParagraph"/>
        <w:numPr>
          <w:ilvl w:val="0"/>
          <w:numId w:val="9"/>
        </w:numPr>
        <w:spacing w:before="0" w:after="0"/>
        <w:ind w:left="1077" w:hanging="357"/>
        <w:jc w:val="both"/>
      </w:pPr>
      <w:r w:rsidRPr="00CB7310">
        <w:t>A treatment career that includes romidepsin is marginally inferior to a treatment career that does not include romidepsin in terms of safety.</w:t>
      </w:r>
    </w:p>
    <w:p w:rsidR="00BF72B1" w:rsidRPr="00EA2518" w:rsidRDefault="00BF72B1" w:rsidP="00BF72B1">
      <w:pPr>
        <w:pStyle w:val="ListParagraph"/>
        <w:numPr>
          <w:ilvl w:val="1"/>
          <w:numId w:val="1"/>
        </w:numPr>
        <w:spacing w:before="0" w:after="120"/>
        <w:jc w:val="both"/>
      </w:pPr>
      <w:r w:rsidRPr="00EA2518">
        <w:t xml:space="preserve">The therapeutic conclusion presented in the submission is not strongly supported by the evidence presented in Section 2 of the submission. </w:t>
      </w:r>
      <w:r>
        <w:t>Although the evidence provided suggests an improvement in overall survival compared to no active treatment, th</w:t>
      </w:r>
      <w:r w:rsidRPr="00EA2518">
        <w:t>e magnitude of any benefit remains unclear given:</w:t>
      </w:r>
    </w:p>
    <w:p w:rsidR="00BF72B1" w:rsidRPr="00EA2518" w:rsidRDefault="00BF72B1" w:rsidP="00BF72B1">
      <w:pPr>
        <w:pStyle w:val="ListParagraph"/>
        <w:numPr>
          <w:ilvl w:val="0"/>
          <w:numId w:val="9"/>
        </w:numPr>
        <w:spacing w:before="0" w:after="0"/>
        <w:ind w:left="1077" w:hanging="357"/>
        <w:jc w:val="both"/>
      </w:pPr>
      <w:r w:rsidRPr="00EA2518">
        <w:t xml:space="preserve">The claim was based on a naïve comparison of studies with high risk of bias; </w:t>
      </w:r>
    </w:p>
    <w:p w:rsidR="00BF72B1" w:rsidRPr="00EA2518" w:rsidRDefault="00BF72B1" w:rsidP="00BF72B1">
      <w:pPr>
        <w:pStyle w:val="ListParagraph"/>
        <w:numPr>
          <w:ilvl w:val="0"/>
          <w:numId w:val="9"/>
        </w:numPr>
        <w:spacing w:before="0" w:after="0"/>
        <w:ind w:left="1077" w:hanging="357"/>
        <w:jc w:val="both"/>
      </w:pPr>
      <w:r>
        <w:t>The comparison is likely to be impacted by survival bias</w:t>
      </w:r>
      <w:r w:rsidRPr="00EA2518">
        <w:t>; and</w:t>
      </w:r>
    </w:p>
    <w:p w:rsidR="00BF72B1" w:rsidRPr="00306CBA" w:rsidRDefault="00BF72B1" w:rsidP="00BF72B1">
      <w:pPr>
        <w:pStyle w:val="ListParagraph"/>
        <w:numPr>
          <w:ilvl w:val="0"/>
          <w:numId w:val="9"/>
        </w:numPr>
        <w:spacing w:before="0" w:after="0"/>
        <w:ind w:left="1077" w:hanging="357"/>
        <w:jc w:val="both"/>
      </w:pPr>
      <w:r w:rsidRPr="00EA2518">
        <w:t xml:space="preserve">The median overall survival of treatment career with romidepsin (34.9 months; 95% CI: </w:t>
      </w:r>
      <w:r w:rsidRPr="00306CBA">
        <w:t>28.6, 65.4) was not different to treatment career without romidepsin (</w:t>
      </w:r>
      <w:r>
        <w:rPr>
          <w:noProof/>
          <w:color w:val="000000"/>
          <w:highlight w:val="black"/>
        </w:rPr>
        <w:t>'''''''''</w:t>
      </w:r>
      <w:r w:rsidRPr="00306CBA">
        <w:t xml:space="preserve"> months; 95% CI: </w:t>
      </w:r>
      <w:r>
        <w:rPr>
          <w:noProof/>
          <w:color w:val="000000"/>
          <w:highlight w:val="black"/>
        </w:rPr>
        <w:t>'''''''''</w:t>
      </w:r>
      <w:r w:rsidRPr="00536E5A">
        <w:t>,</w:t>
      </w:r>
      <w:r>
        <w:rPr>
          <w:noProof/>
          <w:color w:val="000000"/>
          <w:highlight w:val="black"/>
        </w:rPr>
        <w:t xml:space="preserve"> ''''''''</w:t>
      </w:r>
      <w:r w:rsidRPr="00306CBA">
        <w:t>) based on an overlap of confidence intervals.</w:t>
      </w:r>
    </w:p>
    <w:p w:rsidR="00BF72B1" w:rsidRPr="00306CBA" w:rsidRDefault="00BF72B1" w:rsidP="00BF72B1">
      <w:pPr>
        <w:pStyle w:val="ListParagraph"/>
        <w:numPr>
          <w:ilvl w:val="1"/>
          <w:numId w:val="1"/>
        </w:numPr>
        <w:spacing w:before="0" w:after="120"/>
        <w:jc w:val="both"/>
      </w:pPr>
      <w:r w:rsidRPr="00306CBA">
        <w:t xml:space="preserve">The PBAC was satisfied that the claim of superior comparative effectiveness was likely to be reasonable, but </w:t>
      </w:r>
      <w:r>
        <w:t xml:space="preserve">considered </w:t>
      </w:r>
      <w:r w:rsidRPr="00306CBA">
        <w:t>that the magnitude of benefit remained uncertain.</w:t>
      </w:r>
    </w:p>
    <w:p w:rsidR="00BF72B1" w:rsidRPr="00306CBA" w:rsidRDefault="00BF72B1" w:rsidP="00BF72B1">
      <w:pPr>
        <w:pStyle w:val="ListParagraph"/>
        <w:numPr>
          <w:ilvl w:val="1"/>
          <w:numId w:val="1"/>
        </w:numPr>
        <w:spacing w:before="0" w:after="120"/>
        <w:jc w:val="both"/>
      </w:pPr>
      <w:r w:rsidRPr="00306CBA">
        <w:t>The PBAC considered that the claim of inferior comparative safety was reasonable.</w:t>
      </w:r>
    </w:p>
    <w:p w:rsidR="00BF72B1" w:rsidRDefault="00BF72B1" w:rsidP="00BF72B1">
      <w:pPr>
        <w:pStyle w:val="ListParagraph"/>
        <w:numPr>
          <w:ilvl w:val="1"/>
          <w:numId w:val="1"/>
        </w:numPr>
        <w:spacing w:before="0" w:after="120"/>
        <w:jc w:val="both"/>
      </w:pPr>
      <w:r w:rsidRPr="005D1793">
        <w:lastRenderedPageBreak/>
        <w:t>Whilst the results of the pralatrexate study PROPEL were included in an appendix to the submission, a</w:t>
      </w:r>
      <w:r>
        <w:t xml:space="preserve"> formal</w:t>
      </w:r>
      <w:r w:rsidRPr="005D1793">
        <w:t xml:space="preserve"> clinical claim against pralatrexate was not provided. </w:t>
      </w:r>
      <w:r>
        <w:t xml:space="preserve">Based on the naïve comparison of efficacy endpoints between romidepsin and pralatrexate, the sponsor’s pre-PBAC response (p4) stated that the “romidepsin may be non-inferior to pralatrexate.” </w:t>
      </w:r>
      <w:r>
        <w:rPr>
          <w:i/>
        </w:rPr>
        <w:t xml:space="preserve"> </w:t>
      </w:r>
    </w:p>
    <w:p w:rsidR="00BF72B1" w:rsidRPr="00EA2518" w:rsidRDefault="00BF72B1" w:rsidP="00BF72B1">
      <w:pPr>
        <w:pStyle w:val="ListParagraph"/>
        <w:numPr>
          <w:ilvl w:val="1"/>
          <w:numId w:val="1"/>
        </w:numPr>
        <w:spacing w:before="0" w:after="120"/>
        <w:jc w:val="both"/>
      </w:pPr>
      <w:r w:rsidRPr="00306CBA">
        <w:t>Based on the naïve comparison of romidepsin and pralatrexate</w:t>
      </w:r>
      <w:r>
        <w:t>,</w:t>
      </w:r>
      <w:r w:rsidRPr="00306CBA">
        <w:t xml:space="preserve"> the PBAC considered that the efficacy and safety of these products w</w:t>
      </w:r>
      <w:r>
        <w:t>ere</w:t>
      </w:r>
      <w:r w:rsidRPr="00306CBA">
        <w:t xml:space="preserve"> likely to be comparable.</w:t>
      </w:r>
    </w:p>
    <w:p w:rsidR="00BF72B1" w:rsidRPr="00F733EB" w:rsidRDefault="00BF72B1" w:rsidP="00BF72B1">
      <w:pPr>
        <w:pStyle w:val="Heading2"/>
      </w:pPr>
      <w:bookmarkStart w:id="32" w:name="_Toc413139282"/>
      <w:bookmarkStart w:id="33" w:name="_Toc496529133"/>
      <w:bookmarkStart w:id="34" w:name="_Toc497396004"/>
      <w:r>
        <w:t>Economic analysis</w:t>
      </w:r>
      <w:bookmarkEnd w:id="32"/>
      <w:bookmarkEnd w:id="33"/>
      <w:bookmarkEnd w:id="34"/>
    </w:p>
    <w:p w:rsidR="00BF72B1" w:rsidRPr="00FD65C6" w:rsidRDefault="00BF72B1" w:rsidP="00BF72B1">
      <w:pPr>
        <w:pStyle w:val="ListParagraph"/>
        <w:numPr>
          <w:ilvl w:val="1"/>
          <w:numId w:val="1"/>
        </w:numPr>
        <w:spacing w:before="0" w:after="120"/>
        <w:jc w:val="both"/>
      </w:pPr>
      <w:r w:rsidRPr="00FD65C6">
        <w:t>The resubmission presented a simple cost-utility analysis t</w:t>
      </w:r>
      <w:r>
        <w:t>hat compared the costs and QALY</w:t>
      </w:r>
      <w:r w:rsidRPr="00FD65C6">
        <w:t xml:space="preserve">s generated from romidepsin (treatment arm) and “no active treatment” (control). The model </w:t>
      </w:r>
      <w:r>
        <w:t xml:space="preserve">was trial-based, </w:t>
      </w:r>
      <w:r w:rsidRPr="00FD65C6">
        <w:t xml:space="preserve">using only raw survival data from the post hoc “treatment career with romidepsin” analysis from Study 0002 and the </w:t>
      </w:r>
      <w:r>
        <w:t>h</w:t>
      </w:r>
      <w:r w:rsidRPr="00FD65C6">
        <w:t xml:space="preserve">istorical </w:t>
      </w:r>
      <w:r>
        <w:t>c</w:t>
      </w:r>
      <w:r w:rsidRPr="00FD65C6">
        <w:t xml:space="preserve">ontrol </w:t>
      </w:r>
      <w:r>
        <w:t>c</w:t>
      </w:r>
      <w:r w:rsidRPr="00FD65C6">
        <w:t xml:space="preserve">ohort. </w:t>
      </w:r>
    </w:p>
    <w:p w:rsidR="00BF72B1" w:rsidRPr="00EA2518" w:rsidRDefault="00BF72B1" w:rsidP="00BF72B1">
      <w:pPr>
        <w:pStyle w:val="ListParagraph"/>
        <w:numPr>
          <w:ilvl w:val="1"/>
          <w:numId w:val="1"/>
        </w:numPr>
        <w:spacing w:before="0" w:after="120"/>
        <w:jc w:val="both"/>
      </w:pPr>
      <w:r w:rsidRPr="00EA2518">
        <w:t>The model in the resubmission was substantially different from that presented in the November 2016 submission as:</w:t>
      </w:r>
    </w:p>
    <w:p w:rsidR="00BF72B1" w:rsidRPr="00EA2518" w:rsidRDefault="00BF72B1" w:rsidP="00BF72B1">
      <w:pPr>
        <w:pStyle w:val="ListParagraph"/>
        <w:numPr>
          <w:ilvl w:val="1"/>
          <w:numId w:val="10"/>
        </w:numPr>
        <w:spacing w:before="0" w:after="0"/>
        <w:ind w:left="1077" w:hanging="357"/>
        <w:jc w:val="both"/>
      </w:pPr>
      <w:r w:rsidRPr="00EA2518">
        <w:t>OS was determined directly from 10-year observed data in the key Study 0002 and a historical control dataset;</w:t>
      </w:r>
    </w:p>
    <w:p w:rsidR="00BF72B1" w:rsidRPr="00EA2518" w:rsidRDefault="00BF72B1" w:rsidP="00BF72B1">
      <w:pPr>
        <w:pStyle w:val="ListParagraph"/>
        <w:numPr>
          <w:ilvl w:val="1"/>
          <w:numId w:val="10"/>
        </w:numPr>
        <w:spacing w:before="0" w:after="0"/>
        <w:ind w:left="1077" w:hanging="357"/>
        <w:jc w:val="both"/>
      </w:pPr>
      <w:r w:rsidRPr="00EA2518">
        <w:t>It was assumed that progression free survival (PFS) was 35.4% of overall survival (OS) with the remainder of OS spent in progressive disease (PD), based on data from Study 0002;</w:t>
      </w:r>
    </w:p>
    <w:p w:rsidR="00BF72B1" w:rsidRPr="00EA2518" w:rsidRDefault="00BF72B1" w:rsidP="00BF72B1">
      <w:pPr>
        <w:pStyle w:val="ListParagraph"/>
        <w:numPr>
          <w:ilvl w:val="1"/>
          <w:numId w:val="10"/>
        </w:numPr>
        <w:spacing w:before="0" w:after="0"/>
        <w:ind w:left="1077" w:hanging="357"/>
        <w:jc w:val="both"/>
      </w:pPr>
      <w:r w:rsidRPr="00EA2518">
        <w:t>The number of doses, number of vials per dose, and proportion of adverse events was updated;</w:t>
      </w:r>
    </w:p>
    <w:p w:rsidR="00BF72B1" w:rsidRPr="00EA2518" w:rsidRDefault="00BF72B1" w:rsidP="00BF72B1">
      <w:pPr>
        <w:pStyle w:val="ListParagraph"/>
        <w:numPr>
          <w:ilvl w:val="1"/>
          <w:numId w:val="10"/>
        </w:numPr>
        <w:spacing w:before="0" w:after="0"/>
        <w:ind w:left="1077" w:hanging="357"/>
        <w:jc w:val="both"/>
      </w:pPr>
      <w:r w:rsidRPr="00EA2518">
        <w:t>Costs for concomitant medication, a hospital preparation fee, and monitoring were added; and</w:t>
      </w:r>
    </w:p>
    <w:p w:rsidR="00BF72B1" w:rsidRPr="00EA2518" w:rsidRDefault="00BF72B1" w:rsidP="00BF72B1">
      <w:pPr>
        <w:pStyle w:val="ListParagraph"/>
        <w:numPr>
          <w:ilvl w:val="1"/>
          <w:numId w:val="10"/>
        </w:numPr>
        <w:spacing w:before="0" w:after="0"/>
        <w:ind w:left="1077" w:hanging="357"/>
        <w:jc w:val="both"/>
      </w:pPr>
      <w:r w:rsidRPr="00EA2518">
        <w:t>Costs of romidepsin, drug administration, and adverse events were updated.</w:t>
      </w:r>
    </w:p>
    <w:p w:rsidR="00BF72B1" w:rsidRDefault="00BF72B1" w:rsidP="00BF72B1">
      <w:pPr>
        <w:pStyle w:val="ListParagraph"/>
        <w:numPr>
          <w:ilvl w:val="1"/>
          <w:numId w:val="1"/>
        </w:numPr>
        <w:spacing w:before="0" w:after="120"/>
        <w:jc w:val="both"/>
      </w:pPr>
      <w:r w:rsidRPr="00F733EB">
        <w:t xml:space="preserve">Table </w:t>
      </w:r>
      <w:r>
        <w:t>7</w:t>
      </w:r>
      <w:r w:rsidRPr="00F733EB">
        <w:t xml:space="preserve"> provides a summary of the model structure.</w:t>
      </w:r>
    </w:p>
    <w:p w:rsidR="00BF72B1" w:rsidRDefault="00BF72B1" w:rsidP="00BF72B1">
      <w:pPr>
        <w:spacing w:before="0" w:line="259" w:lineRule="auto"/>
        <w:rPr>
          <w:rFonts w:ascii="Arial Narrow" w:hAnsi="Arial Narrow"/>
          <w:b/>
          <w:sz w:val="20"/>
        </w:rPr>
      </w:pPr>
      <w:r>
        <w:rPr>
          <w:rFonts w:ascii="Arial Narrow" w:hAnsi="Arial Narrow"/>
          <w:b/>
          <w:sz w:val="20"/>
        </w:rPr>
        <w:br w:type="page"/>
      </w:r>
    </w:p>
    <w:p w:rsidR="00544932" w:rsidRPr="00544932" w:rsidRDefault="00544932" w:rsidP="00544932">
      <w:pPr>
        <w:pStyle w:val="Caption"/>
        <w:rPr>
          <w:rFonts w:ascii="Arial Narrow" w:hAnsi="Arial Narrow" w:cs="Vani"/>
        </w:rPr>
      </w:pPr>
      <w:r w:rsidRPr="00544932">
        <w:rPr>
          <w:rFonts w:ascii="Arial Narrow" w:hAnsi="Arial Narrow" w:cs="Vani"/>
        </w:rPr>
        <w:lastRenderedPageBreak/>
        <w:t xml:space="preserve">Table </w:t>
      </w:r>
      <w:r w:rsidRPr="00544932">
        <w:rPr>
          <w:rFonts w:ascii="Arial Narrow" w:hAnsi="Arial Narrow" w:cs="Vani"/>
        </w:rPr>
        <w:fldChar w:fldCharType="begin"/>
      </w:r>
      <w:r w:rsidRPr="00544932">
        <w:rPr>
          <w:rFonts w:ascii="Arial Narrow" w:hAnsi="Arial Narrow" w:cs="Vani"/>
        </w:rPr>
        <w:instrText xml:space="preserve"> SEQ Table \* ARABIC </w:instrText>
      </w:r>
      <w:r w:rsidRPr="00544932">
        <w:rPr>
          <w:rFonts w:ascii="Arial Narrow" w:hAnsi="Arial Narrow" w:cs="Vani"/>
        </w:rPr>
        <w:fldChar w:fldCharType="separate"/>
      </w:r>
      <w:r w:rsidR="009E192F">
        <w:rPr>
          <w:rFonts w:ascii="Arial Narrow" w:hAnsi="Arial Narrow" w:cs="Vani"/>
          <w:noProof/>
        </w:rPr>
        <w:t>7</w:t>
      </w:r>
      <w:r w:rsidRPr="00544932">
        <w:rPr>
          <w:rFonts w:ascii="Arial Narrow" w:hAnsi="Arial Narrow" w:cs="Vani"/>
        </w:rPr>
        <w:fldChar w:fldCharType="end"/>
      </w:r>
      <w:r w:rsidRPr="00544932">
        <w:rPr>
          <w:rFonts w:ascii="Arial Narrow" w:hAnsi="Arial Narrow" w:cs="Vani"/>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model structure and rationale "/>
      </w:tblPr>
      <w:tblGrid>
        <w:gridCol w:w="2296"/>
        <w:gridCol w:w="6786"/>
      </w:tblGrid>
      <w:tr w:rsidR="00BF72B1" w:rsidRPr="00AD2AED" w:rsidTr="00234AC7">
        <w:trPr>
          <w:cantSplit/>
          <w:tblHeader/>
        </w:trPr>
        <w:tc>
          <w:tcPr>
            <w:tcW w:w="1264" w:type="pct"/>
            <w:shd w:val="clear" w:color="auto" w:fill="auto"/>
            <w:vAlign w:val="center"/>
          </w:tcPr>
          <w:p w:rsidR="00BF72B1" w:rsidRPr="00AD2AED" w:rsidRDefault="00BF72B1" w:rsidP="00234AC7">
            <w:pPr>
              <w:keepNext/>
              <w:spacing w:before="40" w:after="40"/>
              <w:rPr>
                <w:rFonts w:ascii="Arial Narrow" w:hAnsi="Arial Narrow"/>
                <w:b/>
                <w:sz w:val="20"/>
              </w:rPr>
            </w:pPr>
            <w:r w:rsidRPr="00AD2AED">
              <w:rPr>
                <w:rFonts w:ascii="Arial Narrow" w:hAnsi="Arial Narrow"/>
                <w:b/>
                <w:sz w:val="20"/>
              </w:rPr>
              <w:t>Component</w:t>
            </w:r>
          </w:p>
        </w:tc>
        <w:tc>
          <w:tcPr>
            <w:tcW w:w="3736" w:type="pct"/>
            <w:shd w:val="clear" w:color="auto" w:fill="auto"/>
            <w:vAlign w:val="center"/>
          </w:tcPr>
          <w:p w:rsidR="00BF72B1" w:rsidRPr="00AD2AED" w:rsidRDefault="00BF72B1" w:rsidP="00234AC7">
            <w:pPr>
              <w:keepNext/>
              <w:spacing w:before="40" w:after="40"/>
              <w:rPr>
                <w:rFonts w:ascii="Arial Narrow" w:hAnsi="Arial Narrow"/>
                <w:b/>
                <w:sz w:val="20"/>
              </w:rPr>
            </w:pPr>
            <w:r w:rsidRPr="00AD2AED">
              <w:rPr>
                <w:rFonts w:ascii="Arial Narrow" w:hAnsi="Arial Narrow"/>
                <w:b/>
                <w:sz w:val="20"/>
              </w:rPr>
              <w:t>Summary</w:t>
            </w:r>
          </w:p>
        </w:tc>
      </w:tr>
      <w:tr w:rsidR="00BF72B1" w:rsidRPr="00AD2AED" w:rsidTr="00234AC7">
        <w:trPr>
          <w:cantSplit/>
        </w:trPr>
        <w:tc>
          <w:tcPr>
            <w:tcW w:w="1264" w:type="pct"/>
            <w:shd w:val="clear" w:color="auto" w:fill="auto"/>
          </w:tcPr>
          <w:p w:rsidR="00BF72B1" w:rsidRPr="00AD2AED" w:rsidRDefault="00BF72B1" w:rsidP="00234AC7">
            <w:pPr>
              <w:keepNext/>
              <w:spacing w:before="40" w:after="40"/>
              <w:rPr>
                <w:rFonts w:ascii="Arial Narrow" w:hAnsi="Arial Narrow"/>
                <w:sz w:val="20"/>
              </w:rPr>
            </w:pPr>
            <w:r w:rsidRPr="00AD2AED">
              <w:rPr>
                <w:rFonts w:ascii="Arial Narrow" w:hAnsi="Arial Narrow"/>
                <w:sz w:val="20"/>
              </w:rPr>
              <w:t>Time horizon</w:t>
            </w:r>
          </w:p>
        </w:tc>
        <w:tc>
          <w:tcPr>
            <w:tcW w:w="3736" w:type="pct"/>
            <w:shd w:val="clear" w:color="auto" w:fill="auto"/>
          </w:tcPr>
          <w:p w:rsidR="00BF72B1" w:rsidRPr="00AD2AED" w:rsidRDefault="00BF72B1" w:rsidP="00234AC7">
            <w:pPr>
              <w:keepNext/>
              <w:spacing w:before="40" w:after="40"/>
              <w:rPr>
                <w:rFonts w:ascii="Times" w:eastAsia="Times New Roman" w:hAnsi="Times" w:cs="Times New Roman"/>
                <w:sz w:val="20"/>
              </w:rPr>
            </w:pPr>
            <w:r w:rsidRPr="00AD2AED">
              <w:rPr>
                <w:rFonts w:ascii="Arial Narrow" w:hAnsi="Arial Narrow"/>
                <w:sz w:val="20"/>
              </w:rPr>
              <w:t>10 years in the model base case based on 10 year observed data in the key trial and historical control dataset</w:t>
            </w:r>
          </w:p>
        </w:tc>
      </w:tr>
      <w:tr w:rsidR="00BF72B1" w:rsidRPr="00AD2AED" w:rsidTr="00234AC7">
        <w:trPr>
          <w:cantSplit/>
        </w:trPr>
        <w:tc>
          <w:tcPr>
            <w:tcW w:w="1264" w:type="pct"/>
            <w:shd w:val="clear" w:color="auto" w:fill="auto"/>
          </w:tcPr>
          <w:p w:rsidR="00BF72B1" w:rsidRPr="00AD2AED" w:rsidRDefault="00BF72B1" w:rsidP="00234AC7">
            <w:pPr>
              <w:keepNext/>
              <w:spacing w:before="40" w:after="40"/>
              <w:rPr>
                <w:rFonts w:ascii="Times" w:eastAsia="Times New Roman" w:hAnsi="Times" w:cs="Times New Roman"/>
                <w:sz w:val="20"/>
              </w:rPr>
            </w:pPr>
            <w:r w:rsidRPr="00AD2AED">
              <w:rPr>
                <w:rFonts w:ascii="Arial Narrow" w:hAnsi="Arial Narrow"/>
                <w:sz w:val="20"/>
              </w:rPr>
              <w:t>Outcomes</w:t>
            </w:r>
          </w:p>
        </w:tc>
        <w:tc>
          <w:tcPr>
            <w:tcW w:w="3736" w:type="pct"/>
            <w:shd w:val="clear" w:color="auto" w:fill="auto"/>
          </w:tcPr>
          <w:p w:rsidR="00BF72B1" w:rsidRPr="00AD2AED" w:rsidRDefault="00BF72B1" w:rsidP="00234AC7">
            <w:pPr>
              <w:keepNext/>
              <w:spacing w:before="40" w:after="40"/>
              <w:rPr>
                <w:rFonts w:ascii="Times" w:eastAsia="Times New Roman" w:hAnsi="Times" w:cs="Times New Roman"/>
                <w:sz w:val="20"/>
              </w:rPr>
            </w:pPr>
            <w:r w:rsidRPr="00AD2AED">
              <w:rPr>
                <w:rFonts w:ascii="Arial Narrow" w:hAnsi="Arial Narrow"/>
                <w:sz w:val="20"/>
              </w:rPr>
              <w:t>LYG and QALYs</w:t>
            </w:r>
          </w:p>
        </w:tc>
      </w:tr>
      <w:tr w:rsidR="00BF72B1" w:rsidRPr="00AD2AED" w:rsidTr="00234AC7">
        <w:trPr>
          <w:cantSplit/>
        </w:trPr>
        <w:tc>
          <w:tcPr>
            <w:tcW w:w="1264" w:type="pct"/>
            <w:shd w:val="clear" w:color="auto" w:fill="auto"/>
          </w:tcPr>
          <w:p w:rsidR="00BF72B1" w:rsidRPr="00AD2AED" w:rsidRDefault="00BF72B1" w:rsidP="00234AC7">
            <w:pPr>
              <w:widowControl w:val="0"/>
              <w:spacing w:before="40" w:after="40"/>
              <w:rPr>
                <w:rFonts w:ascii="Times" w:eastAsia="Times New Roman" w:hAnsi="Times" w:cs="Times New Roman"/>
                <w:sz w:val="20"/>
              </w:rPr>
            </w:pPr>
            <w:r w:rsidRPr="00AD2AED">
              <w:rPr>
                <w:rFonts w:ascii="Arial Narrow" w:hAnsi="Arial Narrow"/>
                <w:sz w:val="20"/>
              </w:rPr>
              <w:t>Methods used to generate results</w:t>
            </w:r>
          </w:p>
        </w:tc>
        <w:tc>
          <w:tcPr>
            <w:tcW w:w="3736" w:type="pct"/>
            <w:shd w:val="clear" w:color="auto" w:fill="auto"/>
          </w:tcPr>
          <w:p w:rsidR="00BF72B1" w:rsidRPr="00AD2AED" w:rsidRDefault="00BF72B1" w:rsidP="00234AC7">
            <w:pPr>
              <w:widowControl w:val="0"/>
              <w:spacing w:before="40" w:after="40"/>
              <w:rPr>
                <w:rFonts w:ascii="Times" w:eastAsia="Times New Roman" w:hAnsi="Times" w:cs="Times New Roman"/>
                <w:sz w:val="20"/>
              </w:rPr>
            </w:pPr>
            <w:r w:rsidRPr="00AD2AED">
              <w:rPr>
                <w:rFonts w:ascii="Arial Narrow" w:hAnsi="Arial Narrow"/>
                <w:sz w:val="20"/>
              </w:rPr>
              <w:t>Trial-based; area under the curve for 10-year survival data in patients with a treatment career including romidepsin, or without romidepsin (control)</w:t>
            </w:r>
          </w:p>
        </w:tc>
      </w:tr>
      <w:tr w:rsidR="00BF72B1" w:rsidRPr="00AD2AED" w:rsidTr="00234AC7">
        <w:trPr>
          <w:cantSplit/>
        </w:trPr>
        <w:tc>
          <w:tcPr>
            <w:tcW w:w="1264" w:type="pct"/>
            <w:shd w:val="clear" w:color="auto" w:fill="auto"/>
          </w:tcPr>
          <w:p w:rsidR="00BF72B1" w:rsidRPr="00AD2AED" w:rsidRDefault="00BF72B1" w:rsidP="00234AC7">
            <w:pPr>
              <w:widowControl w:val="0"/>
              <w:spacing w:before="40" w:after="40"/>
              <w:rPr>
                <w:rFonts w:ascii="Times" w:eastAsia="Times New Roman" w:hAnsi="Times" w:cs="Times New Roman"/>
                <w:sz w:val="20"/>
              </w:rPr>
            </w:pPr>
            <w:r w:rsidRPr="00AD2AED">
              <w:rPr>
                <w:rFonts w:ascii="Arial Narrow" w:hAnsi="Arial Narrow"/>
                <w:sz w:val="20"/>
              </w:rPr>
              <w:t>Health states</w:t>
            </w:r>
          </w:p>
        </w:tc>
        <w:tc>
          <w:tcPr>
            <w:tcW w:w="3736" w:type="pct"/>
            <w:shd w:val="clear" w:color="auto" w:fill="auto"/>
          </w:tcPr>
          <w:p w:rsidR="00BF72B1" w:rsidRPr="00AD2AED" w:rsidRDefault="00BF72B1" w:rsidP="00BF72B1">
            <w:pPr>
              <w:widowControl w:val="0"/>
              <w:numPr>
                <w:ilvl w:val="0"/>
                <w:numId w:val="6"/>
              </w:numPr>
              <w:spacing w:before="40" w:after="40"/>
              <w:rPr>
                <w:rFonts w:ascii="Times" w:eastAsia="Times New Roman" w:hAnsi="Times" w:cs="Times New Roman"/>
                <w:sz w:val="20"/>
              </w:rPr>
            </w:pPr>
            <w:r w:rsidRPr="00AD2AED">
              <w:rPr>
                <w:rFonts w:ascii="Arial Narrow" w:hAnsi="Arial Narrow"/>
                <w:sz w:val="20"/>
              </w:rPr>
              <w:t>Alive</w:t>
            </w:r>
          </w:p>
          <w:p w:rsidR="00BF72B1" w:rsidRPr="00AD2AED" w:rsidRDefault="00BF72B1" w:rsidP="00BF72B1">
            <w:pPr>
              <w:widowControl w:val="0"/>
              <w:numPr>
                <w:ilvl w:val="0"/>
                <w:numId w:val="6"/>
              </w:numPr>
              <w:spacing w:before="40" w:after="40"/>
              <w:rPr>
                <w:rFonts w:ascii="Arial Narrow" w:eastAsia="Times New Roman" w:hAnsi="Arial Narrow" w:cs="Times New Roman"/>
                <w:sz w:val="20"/>
              </w:rPr>
            </w:pPr>
            <w:r w:rsidRPr="00AD2AED">
              <w:rPr>
                <w:rFonts w:ascii="Arial Narrow" w:eastAsia="Times New Roman" w:hAnsi="Arial Narrow" w:cs="Times New Roman"/>
                <w:sz w:val="20"/>
              </w:rPr>
              <w:t>Dead</w:t>
            </w:r>
          </w:p>
        </w:tc>
      </w:tr>
      <w:tr w:rsidR="00BF72B1" w:rsidRPr="00AD2AED" w:rsidTr="00234AC7">
        <w:trPr>
          <w:cantSplit/>
        </w:trPr>
        <w:tc>
          <w:tcPr>
            <w:tcW w:w="1264" w:type="pct"/>
            <w:shd w:val="clear" w:color="auto" w:fill="auto"/>
          </w:tcPr>
          <w:p w:rsidR="00BF72B1" w:rsidRPr="00AD2AED" w:rsidRDefault="00BF72B1" w:rsidP="00234AC7">
            <w:pPr>
              <w:widowControl w:val="0"/>
              <w:spacing w:before="40" w:after="40"/>
              <w:rPr>
                <w:rFonts w:ascii="Times" w:eastAsia="Times New Roman" w:hAnsi="Times" w:cs="Times New Roman"/>
                <w:sz w:val="20"/>
              </w:rPr>
            </w:pPr>
            <w:r w:rsidRPr="00AD2AED">
              <w:rPr>
                <w:rFonts w:ascii="Arial Narrow" w:hAnsi="Arial Narrow"/>
                <w:sz w:val="20"/>
              </w:rPr>
              <w:t>Utilities</w:t>
            </w:r>
          </w:p>
        </w:tc>
        <w:tc>
          <w:tcPr>
            <w:tcW w:w="3736" w:type="pct"/>
            <w:shd w:val="clear" w:color="auto" w:fill="auto"/>
          </w:tcPr>
          <w:p w:rsidR="00BF72B1" w:rsidRPr="00AD2AED" w:rsidRDefault="00BF72B1" w:rsidP="00234AC7">
            <w:pPr>
              <w:widowControl w:val="0"/>
              <w:spacing w:before="40" w:after="40"/>
              <w:rPr>
                <w:rFonts w:ascii="Arial Narrow" w:eastAsia="Times New Roman" w:hAnsi="Arial Narrow" w:cs="Times New Roman"/>
                <w:sz w:val="20"/>
              </w:rPr>
            </w:pPr>
            <w:r w:rsidRPr="00AD2AED">
              <w:rPr>
                <w:rFonts w:ascii="Arial Narrow" w:eastAsia="Times New Roman" w:hAnsi="Arial Narrow" w:cs="Times New Roman"/>
                <w:sz w:val="20"/>
              </w:rPr>
              <w:t xml:space="preserve">Trial based; patients with relapsed/refractory Hodgkin’s lymphoma or systemic anaplastic large-cell lymphoma </w:t>
            </w:r>
            <w:proofErr w:type="spellStart"/>
            <w:r w:rsidRPr="00AD2AED">
              <w:rPr>
                <w:rFonts w:ascii="Arial Narrow" w:eastAsia="Times New Roman" w:hAnsi="Arial Narrow" w:cs="Times New Roman"/>
                <w:sz w:val="20"/>
              </w:rPr>
              <w:t>Swinburn</w:t>
            </w:r>
            <w:proofErr w:type="spellEnd"/>
            <w:r w:rsidRPr="00AD2AED">
              <w:rPr>
                <w:rFonts w:ascii="Arial Narrow" w:eastAsia="Times New Roman" w:hAnsi="Arial Narrow" w:cs="Times New Roman"/>
                <w:sz w:val="20"/>
              </w:rPr>
              <w:t xml:space="preserve"> (2015)</w:t>
            </w:r>
          </w:p>
          <w:p w:rsidR="00BF72B1" w:rsidRPr="00AD2AED" w:rsidRDefault="00BF72B1" w:rsidP="00234AC7">
            <w:pPr>
              <w:widowControl w:val="0"/>
              <w:spacing w:before="40" w:after="40"/>
              <w:rPr>
                <w:rFonts w:ascii="Arial Narrow" w:eastAsia="Times New Roman" w:hAnsi="Arial Narrow" w:cs="Times New Roman"/>
                <w:sz w:val="20"/>
              </w:rPr>
            </w:pPr>
            <w:r w:rsidRPr="00AD2AED">
              <w:rPr>
                <w:rFonts w:ascii="Arial Narrow" w:eastAsia="Times New Roman" w:hAnsi="Arial Narrow" w:cs="Times New Roman"/>
                <w:sz w:val="20"/>
              </w:rPr>
              <w:t xml:space="preserve">Identical utilities were applied to each arm based on the proportion of time a patient spent in progression free survival and </w:t>
            </w:r>
            <w:proofErr w:type="gramStart"/>
            <w:r w:rsidRPr="00AD2AED">
              <w:rPr>
                <w:rFonts w:ascii="Arial Narrow" w:eastAsia="Times New Roman" w:hAnsi="Arial Narrow" w:cs="Times New Roman"/>
                <w:sz w:val="20"/>
              </w:rPr>
              <w:t>progressed</w:t>
            </w:r>
            <w:proofErr w:type="gramEnd"/>
            <w:r w:rsidRPr="00AD2AED">
              <w:rPr>
                <w:rFonts w:ascii="Arial Narrow" w:eastAsia="Times New Roman" w:hAnsi="Arial Narrow" w:cs="Times New Roman"/>
                <w:sz w:val="20"/>
              </w:rPr>
              <w:t xml:space="preserve"> disease from Study 0002.</w:t>
            </w:r>
          </w:p>
        </w:tc>
      </w:tr>
      <w:tr w:rsidR="00BF72B1" w:rsidRPr="00AD2AED" w:rsidTr="00234AC7">
        <w:trPr>
          <w:cantSplit/>
        </w:trPr>
        <w:tc>
          <w:tcPr>
            <w:tcW w:w="1264" w:type="pct"/>
            <w:shd w:val="clear" w:color="auto" w:fill="auto"/>
          </w:tcPr>
          <w:p w:rsidR="00BF72B1" w:rsidRPr="00AD2AED" w:rsidRDefault="00BF72B1" w:rsidP="00234AC7">
            <w:pPr>
              <w:widowControl w:val="0"/>
              <w:spacing w:before="40" w:after="40"/>
              <w:rPr>
                <w:rFonts w:ascii="Times" w:eastAsia="Times New Roman" w:hAnsi="Times" w:cs="Times New Roman"/>
                <w:sz w:val="20"/>
              </w:rPr>
            </w:pPr>
            <w:r w:rsidRPr="00AD2AED">
              <w:rPr>
                <w:rFonts w:ascii="Arial Narrow" w:hAnsi="Arial Narrow"/>
                <w:sz w:val="20"/>
              </w:rPr>
              <w:t>Cycle length</w:t>
            </w:r>
          </w:p>
        </w:tc>
        <w:tc>
          <w:tcPr>
            <w:tcW w:w="3736" w:type="pct"/>
            <w:shd w:val="clear" w:color="auto" w:fill="auto"/>
          </w:tcPr>
          <w:p w:rsidR="00BF72B1" w:rsidRPr="00AD2AED" w:rsidRDefault="00BF72B1" w:rsidP="00234AC7">
            <w:pPr>
              <w:widowControl w:val="0"/>
              <w:spacing w:before="40" w:after="40"/>
              <w:rPr>
                <w:rFonts w:ascii="Arial Narrow" w:eastAsia="Times New Roman" w:hAnsi="Arial Narrow" w:cs="Times New Roman"/>
                <w:sz w:val="20"/>
              </w:rPr>
            </w:pPr>
            <w:r w:rsidRPr="00AD2AED">
              <w:rPr>
                <w:rFonts w:ascii="Arial Narrow" w:hAnsi="Arial Narrow"/>
                <w:sz w:val="20"/>
              </w:rPr>
              <w:t>Not modelled as LY and QALYs derived directly from observed KM data</w:t>
            </w:r>
            <w:r>
              <w:rPr>
                <w:rFonts w:ascii="Arial Narrow" w:hAnsi="Arial Narrow"/>
                <w:sz w:val="20"/>
              </w:rPr>
              <w:t xml:space="preserve"> </w:t>
            </w:r>
            <w:r w:rsidRPr="00EA2518">
              <w:rPr>
                <w:rFonts w:ascii="Arial Narrow" w:hAnsi="Arial Narrow"/>
                <w:sz w:val="20"/>
              </w:rPr>
              <w:t>(monitoring costed following a 28 days cycle)</w:t>
            </w:r>
            <w:r w:rsidRPr="00AD2AED">
              <w:rPr>
                <w:rFonts w:ascii="Arial Narrow" w:hAnsi="Arial Narrow"/>
                <w:sz w:val="20"/>
              </w:rPr>
              <w:t xml:space="preserve"> </w:t>
            </w:r>
          </w:p>
        </w:tc>
      </w:tr>
      <w:tr w:rsidR="00BF72B1" w:rsidRPr="00AD2AED" w:rsidTr="00234AC7">
        <w:trPr>
          <w:cantSplit/>
        </w:trPr>
        <w:tc>
          <w:tcPr>
            <w:tcW w:w="1264" w:type="pct"/>
            <w:shd w:val="clear" w:color="auto" w:fill="auto"/>
          </w:tcPr>
          <w:p w:rsidR="00BF72B1" w:rsidRPr="00AD2AED" w:rsidRDefault="00BF72B1" w:rsidP="00234AC7">
            <w:pPr>
              <w:widowControl w:val="0"/>
              <w:spacing w:before="40" w:after="40"/>
              <w:rPr>
                <w:rFonts w:ascii="Times" w:eastAsia="Times New Roman" w:hAnsi="Times" w:cs="Times New Roman"/>
                <w:sz w:val="20"/>
              </w:rPr>
            </w:pPr>
            <w:r w:rsidRPr="00AD2AED">
              <w:rPr>
                <w:rFonts w:ascii="Arial Narrow" w:hAnsi="Arial Narrow"/>
                <w:sz w:val="20"/>
              </w:rPr>
              <w:t>Transition probabilities</w:t>
            </w:r>
          </w:p>
        </w:tc>
        <w:tc>
          <w:tcPr>
            <w:tcW w:w="3736" w:type="pct"/>
            <w:shd w:val="clear" w:color="auto" w:fill="auto"/>
          </w:tcPr>
          <w:p w:rsidR="00BF72B1" w:rsidRPr="00AD2AED" w:rsidRDefault="00BF72B1" w:rsidP="00234AC7">
            <w:pPr>
              <w:widowControl w:val="0"/>
              <w:spacing w:before="40" w:after="40"/>
              <w:rPr>
                <w:rFonts w:ascii="Arial Narrow" w:eastAsia="Times New Roman" w:hAnsi="Arial Narrow" w:cs="Times New Roman"/>
                <w:sz w:val="20"/>
              </w:rPr>
            </w:pPr>
            <w:r w:rsidRPr="00AD2AED">
              <w:rPr>
                <w:rFonts w:ascii="Arial Narrow" w:hAnsi="Arial Narrow"/>
                <w:sz w:val="20"/>
              </w:rPr>
              <w:t xml:space="preserve">Not modelled </w:t>
            </w:r>
            <w:r w:rsidRPr="007D6486">
              <w:rPr>
                <w:rFonts w:ascii="Arial Narrow" w:hAnsi="Arial Narrow"/>
                <w:sz w:val="20"/>
              </w:rPr>
              <w:t>(35.4% of OS spent in PFS)</w:t>
            </w:r>
          </w:p>
        </w:tc>
      </w:tr>
    </w:tbl>
    <w:p w:rsidR="00BF72B1" w:rsidRPr="00AD2AED" w:rsidRDefault="00BF72B1" w:rsidP="00BF72B1">
      <w:pPr>
        <w:pStyle w:val="TableFooter"/>
      </w:pPr>
      <w:r w:rsidRPr="008E7566">
        <w:t>Source: Table 25, p47 of the submission</w:t>
      </w:r>
    </w:p>
    <w:p w:rsidR="00BF72B1" w:rsidRDefault="00BF72B1" w:rsidP="00BF72B1">
      <w:pPr>
        <w:pStyle w:val="TableFooter"/>
      </w:pPr>
      <w:r w:rsidRPr="008E7566">
        <w:t>KM = Kaplan-Meier; LY = life year; LYG = life years gained; OS = overall survival; PD = progressive disease; PFS = progression free survival; QALYs = quality adjusted life years</w:t>
      </w:r>
    </w:p>
    <w:p w:rsidR="00BF72B1" w:rsidRPr="00EA2518" w:rsidRDefault="00BF72B1" w:rsidP="00BF72B1">
      <w:pPr>
        <w:pStyle w:val="ListParagraph"/>
        <w:numPr>
          <w:ilvl w:val="1"/>
          <w:numId w:val="1"/>
        </w:numPr>
        <w:spacing w:before="0" w:after="120"/>
        <w:jc w:val="both"/>
      </w:pPr>
      <w:r w:rsidRPr="00EA2518">
        <w:t>A number of issues were identified in the new economic model including:</w:t>
      </w:r>
    </w:p>
    <w:p w:rsidR="00BF72B1" w:rsidRPr="005D1793" w:rsidRDefault="00BF72B1" w:rsidP="00BF72B1">
      <w:pPr>
        <w:pStyle w:val="ListParagraph"/>
        <w:numPr>
          <w:ilvl w:val="1"/>
          <w:numId w:val="11"/>
        </w:numPr>
        <w:spacing w:before="0" w:after="0"/>
        <w:ind w:left="1077" w:hanging="357"/>
        <w:jc w:val="both"/>
      </w:pPr>
      <w:r w:rsidRPr="005D1793">
        <w:t>The utility values applied in the model appeared unrealistically high (0.83 for stable disease and 0.67 for progressed disease), which maximised the QALY gain from increased survival;</w:t>
      </w:r>
    </w:p>
    <w:p w:rsidR="00BF72B1" w:rsidRPr="00EA2518" w:rsidRDefault="00BF72B1" w:rsidP="00BF72B1">
      <w:pPr>
        <w:pStyle w:val="ListParagraph"/>
        <w:numPr>
          <w:ilvl w:val="1"/>
          <w:numId w:val="11"/>
        </w:numPr>
        <w:spacing w:before="0" w:after="0"/>
        <w:ind w:left="1077" w:hanging="357"/>
        <w:jc w:val="both"/>
      </w:pPr>
      <w:r w:rsidRPr="00EA2518">
        <w:t>The model may have been oversimplified because:</w:t>
      </w:r>
    </w:p>
    <w:p w:rsidR="00BF72B1" w:rsidRPr="00EA2518" w:rsidRDefault="00BF72B1" w:rsidP="00BF72B1">
      <w:pPr>
        <w:pStyle w:val="ListParagraph"/>
        <w:numPr>
          <w:ilvl w:val="1"/>
          <w:numId w:val="12"/>
        </w:numPr>
        <w:spacing w:before="0" w:after="0"/>
        <w:ind w:left="1434" w:hanging="357"/>
        <w:jc w:val="both"/>
        <w:rPr>
          <w:lang w:val="en-US"/>
        </w:rPr>
      </w:pPr>
      <w:r w:rsidRPr="00EA2518">
        <w:rPr>
          <w:lang w:val="en-US"/>
        </w:rPr>
        <w:t>Only two health states were considered: alive or dead;</w:t>
      </w:r>
    </w:p>
    <w:p w:rsidR="00BF72B1" w:rsidRPr="00EA2518" w:rsidRDefault="00BF72B1" w:rsidP="00BF72B1">
      <w:pPr>
        <w:pStyle w:val="ListParagraph"/>
        <w:numPr>
          <w:ilvl w:val="1"/>
          <w:numId w:val="12"/>
        </w:numPr>
        <w:spacing w:before="0" w:after="0"/>
        <w:ind w:left="1434" w:hanging="357"/>
        <w:jc w:val="both"/>
        <w:rPr>
          <w:lang w:val="en-US"/>
        </w:rPr>
      </w:pPr>
      <w:r w:rsidRPr="00EA2518">
        <w:rPr>
          <w:lang w:val="en-US"/>
        </w:rPr>
        <w:t xml:space="preserve">Possibility of continuing romidepsin treatment beyond the 15.5 doses (i.e. a single course of treatment) was not modelled; </w:t>
      </w:r>
    </w:p>
    <w:p w:rsidR="00BF72B1" w:rsidRPr="00EA2518" w:rsidRDefault="00BF72B1" w:rsidP="00BF72B1">
      <w:pPr>
        <w:pStyle w:val="ListParagraph"/>
        <w:numPr>
          <w:ilvl w:val="1"/>
          <w:numId w:val="12"/>
        </w:numPr>
        <w:spacing w:before="0" w:after="0"/>
        <w:ind w:left="1434" w:hanging="357"/>
        <w:jc w:val="both"/>
        <w:rPr>
          <w:lang w:val="en-US"/>
        </w:rPr>
      </w:pPr>
      <w:r w:rsidRPr="00EA2518">
        <w:rPr>
          <w:lang w:val="en-US"/>
        </w:rPr>
        <w:t xml:space="preserve">The model did not take into account different treatments, including stem cell transplant; </w:t>
      </w:r>
    </w:p>
    <w:p w:rsidR="00BF72B1" w:rsidRPr="00EA2518" w:rsidRDefault="00BF72B1" w:rsidP="00BF72B1">
      <w:pPr>
        <w:pStyle w:val="ListParagraph"/>
        <w:numPr>
          <w:ilvl w:val="1"/>
          <w:numId w:val="12"/>
        </w:numPr>
        <w:spacing w:before="0" w:after="0"/>
        <w:ind w:left="1434" w:hanging="357"/>
        <w:jc w:val="both"/>
        <w:rPr>
          <w:lang w:val="en-US"/>
        </w:rPr>
      </w:pPr>
      <w:r w:rsidRPr="00EA2518">
        <w:t xml:space="preserve">All patients in both treatment arms are assumed to spend 35.4% of their OS in PFS. This proportion is derived from the observation that for all patients in Study 0002 where the median PFS and OS were 4 months and 11.3 months respectively, and is used as a basis for the weighting of utilities in the model; </w:t>
      </w:r>
    </w:p>
    <w:p w:rsidR="00BF72B1" w:rsidRPr="00EA2518" w:rsidRDefault="00BF72B1" w:rsidP="00BF72B1">
      <w:pPr>
        <w:pStyle w:val="ListParagraph"/>
        <w:numPr>
          <w:ilvl w:val="1"/>
          <w:numId w:val="12"/>
        </w:numPr>
        <w:spacing w:before="0" w:after="0"/>
        <w:ind w:left="1434" w:hanging="357"/>
        <w:jc w:val="both"/>
        <w:rPr>
          <w:lang w:val="en-US"/>
        </w:rPr>
      </w:pPr>
      <w:r w:rsidRPr="00EA2518">
        <w:rPr>
          <w:lang w:val="en-US"/>
        </w:rPr>
        <w:t>Cost of hospitalisation due to an adverse event was considered a one-time cost; and</w:t>
      </w:r>
    </w:p>
    <w:p w:rsidR="00BF72B1" w:rsidRPr="00EA2518" w:rsidRDefault="00BF72B1" w:rsidP="00BF72B1">
      <w:pPr>
        <w:pStyle w:val="ListParagraph"/>
        <w:numPr>
          <w:ilvl w:val="1"/>
          <w:numId w:val="12"/>
        </w:numPr>
        <w:spacing w:before="0" w:after="0"/>
        <w:ind w:left="1434" w:hanging="357"/>
        <w:jc w:val="both"/>
        <w:rPr>
          <w:lang w:val="en-US"/>
        </w:rPr>
      </w:pPr>
      <w:r w:rsidRPr="00EA2518">
        <w:rPr>
          <w:lang w:val="en-US"/>
        </w:rPr>
        <w:t>All costs in the model were up front costs and were not modelled by time or response.</w:t>
      </w:r>
    </w:p>
    <w:p w:rsidR="00BF72B1" w:rsidRPr="00EA2518" w:rsidRDefault="00BF72B1" w:rsidP="00BF72B1">
      <w:pPr>
        <w:pStyle w:val="ListParagraph"/>
        <w:numPr>
          <w:ilvl w:val="1"/>
          <w:numId w:val="11"/>
        </w:numPr>
        <w:spacing w:before="0" w:after="0"/>
        <w:ind w:left="1077" w:hanging="357"/>
        <w:jc w:val="both"/>
      </w:pPr>
      <w:r w:rsidRPr="00EA2518">
        <w:t>The comparative efficacy and safety of romidepsin compared to no active therapy was uncertain; and</w:t>
      </w:r>
    </w:p>
    <w:p w:rsidR="00BF72B1" w:rsidRPr="00EA2518" w:rsidRDefault="00BF72B1" w:rsidP="00BF72B1">
      <w:pPr>
        <w:pStyle w:val="ListParagraph"/>
        <w:numPr>
          <w:ilvl w:val="1"/>
          <w:numId w:val="11"/>
        </w:numPr>
        <w:spacing w:before="0" w:after="0"/>
        <w:ind w:left="1077" w:hanging="357"/>
        <w:jc w:val="both"/>
      </w:pPr>
      <w:r w:rsidRPr="00EA2518">
        <w:t xml:space="preserve">The incremental difference in OS between the two </w:t>
      </w:r>
      <w:proofErr w:type="gramStart"/>
      <w:r w:rsidRPr="00EA2518">
        <w:t>treatment</w:t>
      </w:r>
      <w:proofErr w:type="gramEnd"/>
      <w:r w:rsidRPr="00EA2518">
        <w:t xml:space="preserve"> arms may be overestimated as it was based on a clinical comparison that may have favoured romidepsin.</w:t>
      </w:r>
    </w:p>
    <w:p w:rsidR="00BF72B1" w:rsidRPr="00EA2518" w:rsidRDefault="00BF72B1" w:rsidP="00BF72B1">
      <w:pPr>
        <w:pStyle w:val="ListParagraph"/>
        <w:numPr>
          <w:ilvl w:val="1"/>
          <w:numId w:val="1"/>
        </w:numPr>
        <w:spacing w:before="0" w:after="120"/>
        <w:jc w:val="both"/>
      </w:pPr>
      <w:r w:rsidRPr="00EA2518">
        <w:t>The key drivers of the model are summarised in the table below.</w:t>
      </w:r>
    </w:p>
    <w:p w:rsidR="00544932" w:rsidRPr="00544932" w:rsidRDefault="00544932" w:rsidP="00544932">
      <w:pPr>
        <w:pStyle w:val="Caption"/>
        <w:rPr>
          <w:rFonts w:ascii="Arial Narrow" w:hAnsi="Arial Narrow"/>
        </w:rPr>
      </w:pPr>
      <w:r w:rsidRPr="00544932">
        <w:rPr>
          <w:rFonts w:ascii="Arial Narrow" w:hAnsi="Arial Narrow"/>
        </w:rPr>
        <w:lastRenderedPageBreak/>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8</w:t>
      </w:r>
      <w:r w:rsidRPr="00544932">
        <w:rPr>
          <w:rFonts w:ascii="Arial Narrow" w:hAnsi="Arial Narrow"/>
        </w:rPr>
        <w:fldChar w:fldCharType="end"/>
      </w:r>
      <w:r w:rsidRPr="00544932">
        <w:rPr>
          <w:rFonts w:ascii="Arial Narrow" w:hAnsi="Arial Narrow"/>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model"/>
      </w:tblPr>
      <w:tblGrid>
        <w:gridCol w:w="3409"/>
        <w:gridCol w:w="4445"/>
        <w:gridCol w:w="1228"/>
      </w:tblGrid>
      <w:tr w:rsidR="00BF72B1" w:rsidRPr="0038281C" w:rsidTr="00234AC7">
        <w:trPr>
          <w:cantSplit/>
          <w:tblHeader/>
        </w:trPr>
        <w:tc>
          <w:tcPr>
            <w:tcW w:w="1877" w:type="pct"/>
            <w:shd w:val="clear" w:color="auto" w:fill="auto"/>
            <w:vAlign w:val="center"/>
          </w:tcPr>
          <w:p w:rsidR="00BF72B1" w:rsidRPr="00D1078F" w:rsidRDefault="00BF72B1" w:rsidP="00234AC7">
            <w:pPr>
              <w:pStyle w:val="TableText"/>
              <w:rPr>
                <w:b/>
              </w:rPr>
            </w:pPr>
            <w:r w:rsidRPr="00D1078F">
              <w:rPr>
                <w:b/>
              </w:rPr>
              <w:t>Description</w:t>
            </w:r>
          </w:p>
        </w:tc>
        <w:tc>
          <w:tcPr>
            <w:tcW w:w="2447" w:type="pct"/>
            <w:shd w:val="clear" w:color="auto" w:fill="auto"/>
            <w:vAlign w:val="center"/>
          </w:tcPr>
          <w:p w:rsidR="00BF72B1" w:rsidRPr="00D1078F" w:rsidRDefault="00BF72B1" w:rsidP="00234AC7">
            <w:pPr>
              <w:pStyle w:val="TableText"/>
              <w:rPr>
                <w:b/>
              </w:rPr>
            </w:pPr>
            <w:r w:rsidRPr="00D1078F">
              <w:rPr>
                <w:b/>
              </w:rPr>
              <w:t>Method/Value</w:t>
            </w:r>
          </w:p>
        </w:tc>
        <w:tc>
          <w:tcPr>
            <w:tcW w:w="676" w:type="pct"/>
            <w:shd w:val="clear" w:color="auto" w:fill="auto"/>
            <w:vAlign w:val="center"/>
          </w:tcPr>
          <w:p w:rsidR="00BF72B1" w:rsidRPr="00D1078F" w:rsidRDefault="00BF72B1" w:rsidP="00234AC7">
            <w:pPr>
              <w:pStyle w:val="TableText"/>
              <w:rPr>
                <w:b/>
              </w:rPr>
            </w:pPr>
            <w:r w:rsidRPr="00D1078F">
              <w:rPr>
                <w:b/>
              </w:rPr>
              <w:t>Impact</w:t>
            </w:r>
          </w:p>
        </w:tc>
      </w:tr>
      <w:tr w:rsidR="00BF72B1" w:rsidRPr="0038281C" w:rsidTr="00234AC7">
        <w:trPr>
          <w:cantSplit/>
        </w:trPr>
        <w:tc>
          <w:tcPr>
            <w:tcW w:w="1877" w:type="pct"/>
            <w:shd w:val="clear" w:color="auto" w:fill="auto"/>
          </w:tcPr>
          <w:p w:rsidR="00BF72B1" w:rsidRPr="00D1078F" w:rsidRDefault="00BF72B1" w:rsidP="00234AC7">
            <w:pPr>
              <w:pStyle w:val="TableText"/>
            </w:pPr>
            <w:r>
              <w:t>OS</w:t>
            </w:r>
          </w:p>
        </w:tc>
        <w:tc>
          <w:tcPr>
            <w:tcW w:w="2447" w:type="pct"/>
            <w:shd w:val="clear" w:color="auto" w:fill="auto"/>
          </w:tcPr>
          <w:p w:rsidR="00BF72B1" w:rsidRDefault="00BF72B1" w:rsidP="00234AC7">
            <w:pPr>
              <w:pStyle w:val="TableText"/>
            </w:pPr>
            <w:r>
              <w:t>AUC from 10-year survival data for both treatment arms</w:t>
            </w:r>
          </w:p>
          <w:p w:rsidR="00BF72B1" w:rsidRDefault="00BF72B1" w:rsidP="00234AC7">
            <w:pPr>
              <w:pStyle w:val="TableText"/>
            </w:pPr>
            <w:r>
              <w:t xml:space="preserve">Romidepsin treatment arm: Prospective data collection during Study 0002 period, retrospective for period prior to Study 0002 period </w:t>
            </w:r>
          </w:p>
          <w:p w:rsidR="00BF72B1" w:rsidRPr="00D1078F" w:rsidRDefault="00BF72B1" w:rsidP="00234AC7">
            <w:pPr>
              <w:pStyle w:val="TableText"/>
            </w:pPr>
            <w:r>
              <w:t>Control treatment arm: Retrospective data only</w:t>
            </w:r>
          </w:p>
        </w:tc>
        <w:tc>
          <w:tcPr>
            <w:tcW w:w="676" w:type="pct"/>
            <w:shd w:val="clear" w:color="auto" w:fill="auto"/>
          </w:tcPr>
          <w:p w:rsidR="00BF72B1" w:rsidRPr="00D1078F" w:rsidRDefault="00BF72B1" w:rsidP="00234AC7">
            <w:pPr>
              <w:pStyle w:val="TableText"/>
            </w:pPr>
            <w:r>
              <w:t xml:space="preserve">High, favours romidepsin </w:t>
            </w:r>
          </w:p>
        </w:tc>
      </w:tr>
      <w:tr w:rsidR="00BF72B1" w:rsidRPr="0038281C" w:rsidTr="00234AC7">
        <w:trPr>
          <w:cantSplit/>
        </w:trPr>
        <w:tc>
          <w:tcPr>
            <w:tcW w:w="1877" w:type="pct"/>
            <w:shd w:val="clear" w:color="auto" w:fill="auto"/>
          </w:tcPr>
          <w:p w:rsidR="00BF72B1" w:rsidRPr="00D1078F" w:rsidRDefault="00BF72B1" w:rsidP="00234AC7">
            <w:pPr>
              <w:pStyle w:val="TableText"/>
              <w:keepNext w:val="0"/>
              <w:widowControl w:val="0"/>
            </w:pPr>
            <w:r>
              <w:t>Cost of drug treatment in both treatment arms</w:t>
            </w:r>
          </w:p>
        </w:tc>
        <w:tc>
          <w:tcPr>
            <w:tcW w:w="2447" w:type="pct"/>
            <w:shd w:val="clear" w:color="auto" w:fill="auto"/>
          </w:tcPr>
          <w:p w:rsidR="00BF72B1" w:rsidRDefault="00BF72B1" w:rsidP="00234AC7">
            <w:pPr>
              <w:pStyle w:val="TableText"/>
              <w:keepNext w:val="0"/>
              <w:widowControl w:val="0"/>
            </w:pPr>
            <w:r>
              <w:t xml:space="preserve">Model includes cost of romidepsin, </w:t>
            </w:r>
            <w:r w:rsidRPr="000926EB">
              <w:t>administration, adverse events, concomitant medications, and monitoring</w:t>
            </w:r>
            <w:r>
              <w:t xml:space="preserve"> </w:t>
            </w:r>
          </w:p>
          <w:p w:rsidR="00BF72B1" w:rsidRPr="00D1078F" w:rsidRDefault="00BF72B1" w:rsidP="00234AC7">
            <w:pPr>
              <w:pStyle w:val="TableText"/>
              <w:keepNext w:val="0"/>
              <w:widowControl w:val="0"/>
            </w:pPr>
            <w:r>
              <w:t>Model assumes zero cost of comparator treatment (i.e. no treatment). Cost of monitoring only</w:t>
            </w:r>
          </w:p>
        </w:tc>
        <w:tc>
          <w:tcPr>
            <w:tcW w:w="676" w:type="pct"/>
            <w:shd w:val="clear" w:color="auto" w:fill="auto"/>
          </w:tcPr>
          <w:p w:rsidR="00BF72B1" w:rsidRPr="00175563" w:rsidRDefault="00BF72B1" w:rsidP="00234AC7">
            <w:pPr>
              <w:pStyle w:val="TableText"/>
              <w:keepNext w:val="0"/>
              <w:widowControl w:val="0"/>
            </w:pPr>
            <w:r w:rsidRPr="00175563">
              <w:t>moderate, favours comparator</w:t>
            </w:r>
          </w:p>
        </w:tc>
      </w:tr>
      <w:tr w:rsidR="00BF72B1" w:rsidRPr="00E46F50" w:rsidTr="00234AC7">
        <w:trPr>
          <w:cantSplit/>
        </w:trPr>
        <w:tc>
          <w:tcPr>
            <w:tcW w:w="1877" w:type="pct"/>
            <w:shd w:val="clear" w:color="auto" w:fill="auto"/>
          </w:tcPr>
          <w:p w:rsidR="00BF72B1" w:rsidRPr="00175563" w:rsidRDefault="00BF72B1" w:rsidP="00234AC7">
            <w:pPr>
              <w:pStyle w:val="TableText"/>
              <w:keepNext w:val="0"/>
              <w:widowControl w:val="0"/>
            </w:pPr>
            <w:r w:rsidRPr="00175563">
              <w:t>Post progression treatment use</w:t>
            </w:r>
          </w:p>
        </w:tc>
        <w:tc>
          <w:tcPr>
            <w:tcW w:w="2447" w:type="pct"/>
            <w:shd w:val="clear" w:color="auto" w:fill="auto"/>
          </w:tcPr>
          <w:p w:rsidR="00BF72B1" w:rsidRPr="00175563" w:rsidRDefault="00BF72B1" w:rsidP="00234AC7">
            <w:pPr>
              <w:pStyle w:val="TableText"/>
              <w:keepNext w:val="0"/>
              <w:widowControl w:val="0"/>
            </w:pPr>
            <w:r w:rsidRPr="00175563">
              <w:t>No post-progression costs were included</w:t>
            </w:r>
          </w:p>
        </w:tc>
        <w:tc>
          <w:tcPr>
            <w:tcW w:w="676" w:type="pct"/>
            <w:shd w:val="clear" w:color="auto" w:fill="auto"/>
          </w:tcPr>
          <w:p w:rsidR="00BF72B1" w:rsidRPr="00175563" w:rsidRDefault="00BF72B1" w:rsidP="00234AC7">
            <w:pPr>
              <w:pStyle w:val="TableText"/>
              <w:keepNext w:val="0"/>
              <w:widowControl w:val="0"/>
            </w:pPr>
            <w:r w:rsidRPr="00175563">
              <w:t>Uncertain, likely favour romidepsin</w:t>
            </w:r>
          </w:p>
        </w:tc>
      </w:tr>
      <w:tr w:rsidR="00BF72B1" w:rsidRPr="0038281C" w:rsidTr="00234AC7">
        <w:trPr>
          <w:cantSplit/>
        </w:trPr>
        <w:tc>
          <w:tcPr>
            <w:tcW w:w="1877" w:type="pct"/>
            <w:shd w:val="clear" w:color="auto" w:fill="auto"/>
          </w:tcPr>
          <w:p w:rsidR="00BF72B1" w:rsidRDefault="00BF72B1" w:rsidP="00234AC7">
            <w:pPr>
              <w:pStyle w:val="TableText"/>
              <w:keepNext w:val="0"/>
              <w:widowControl w:val="0"/>
            </w:pPr>
            <w:r>
              <w:t>Cycles of romidepsin</w:t>
            </w:r>
          </w:p>
        </w:tc>
        <w:tc>
          <w:tcPr>
            <w:tcW w:w="2447" w:type="pct"/>
            <w:shd w:val="clear" w:color="auto" w:fill="auto"/>
          </w:tcPr>
          <w:p w:rsidR="00BF72B1" w:rsidRDefault="00BF72B1" w:rsidP="00234AC7">
            <w:pPr>
              <w:pStyle w:val="TableText"/>
              <w:keepNext w:val="0"/>
              <w:widowControl w:val="0"/>
            </w:pPr>
            <w:r>
              <w:t>Model assumes an average of 5.59 cycles based on direct observation from addendum to Study 0002 (an extended follow-up of Study 0002)</w:t>
            </w:r>
          </w:p>
          <w:p w:rsidR="00BF72B1" w:rsidRDefault="00BF72B1" w:rsidP="00234AC7">
            <w:pPr>
              <w:pStyle w:val="TableText"/>
              <w:keepNext w:val="0"/>
              <w:widowControl w:val="0"/>
            </w:pPr>
            <w:r>
              <w:t>A smaller study (</w:t>
            </w:r>
            <w:proofErr w:type="spellStart"/>
            <w:r>
              <w:t>Piekartz</w:t>
            </w:r>
            <w:proofErr w:type="spellEnd"/>
            <w:r>
              <w:t xml:space="preserve"> 2014) reported an average number of cycles of 7.9.</w:t>
            </w:r>
          </w:p>
        </w:tc>
        <w:tc>
          <w:tcPr>
            <w:tcW w:w="676" w:type="pct"/>
            <w:shd w:val="clear" w:color="auto" w:fill="auto"/>
          </w:tcPr>
          <w:p w:rsidR="00BF72B1" w:rsidRPr="00175563" w:rsidRDefault="00BF72B1" w:rsidP="00234AC7">
            <w:pPr>
              <w:pStyle w:val="TableText"/>
              <w:keepNext w:val="0"/>
              <w:widowControl w:val="0"/>
            </w:pPr>
            <w:r w:rsidRPr="00175563">
              <w:t>moderate, favours romidepsin</w:t>
            </w:r>
          </w:p>
        </w:tc>
      </w:tr>
      <w:tr w:rsidR="00BF72B1" w:rsidRPr="0038281C" w:rsidTr="00234AC7">
        <w:trPr>
          <w:cantSplit/>
        </w:trPr>
        <w:tc>
          <w:tcPr>
            <w:tcW w:w="1877" w:type="pct"/>
            <w:shd w:val="clear" w:color="auto" w:fill="auto"/>
          </w:tcPr>
          <w:p w:rsidR="00BF72B1" w:rsidRPr="00D1078F" w:rsidRDefault="00BF72B1" w:rsidP="00234AC7">
            <w:pPr>
              <w:pStyle w:val="TableText"/>
              <w:keepNext w:val="0"/>
              <w:widowControl w:val="0"/>
            </w:pPr>
            <w:r>
              <w:t>Utility values</w:t>
            </w:r>
          </w:p>
        </w:tc>
        <w:tc>
          <w:tcPr>
            <w:tcW w:w="2447" w:type="pct"/>
            <w:shd w:val="clear" w:color="auto" w:fill="auto"/>
          </w:tcPr>
          <w:p w:rsidR="00BF72B1" w:rsidRPr="00D1078F" w:rsidRDefault="00BF72B1" w:rsidP="00234AC7">
            <w:pPr>
              <w:pStyle w:val="TableText"/>
              <w:keepNext w:val="0"/>
              <w:widowControl w:val="0"/>
            </w:pPr>
            <w:r>
              <w:t xml:space="preserve">Health state utility for patients in PD state assumed to accrue utility value of 0.67 (SD of NHL patients in </w:t>
            </w:r>
            <w:proofErr w:type="spellStart"/>
            <w:r>
              <w:t>Swinburn</w:t>
            </w:r>
            <w:proofErr w:type="spellEnd"/>
            <w:r>
              <w:t xml:space="preserve"> 2015)</w:t>
            </w:r>
          </w:p>
        </w:tc>
        <w:tc>
          <w:tcPr>
            <w:tcW w:w="676" w:type="pct"/>
            <w:shd w:val="clear" w:color="auto" w:fill="auto"/>
          </w:tcPr>
          <w:p w:rsidR="00BF72B1" w:rsidRPr="00D1078F" w:rsidRDefault="00BF72B1" w:rsidP="00234AC7">
            <w:pPr>
              <w:pStyle w:val="TableText"/>
              <w:keepNext w:val="0"/>
              <w:widowControl w:val="0"/>
            </w:pPr>
            <w:r>
              <w:t>High, favours romidepsin</w:t>
            </w:r>
          </w:p>
        </w:tc>
      </w:tr>
    </w:tbl>
    <w:p w:rsidR="00BF72B1" w:rsidRDefault="00BF72B1" w:rsidP="00BF72B1">
      <w:pPr>
        <w:pStyle w:val="TableFooter"/>
      </w:pPr>
      <w:r w:rsidRPr="00D1078F">
        <w:t>Source: compiled during the evaluation</w:t>
      </w:r>
      <w:r>
        <w:t xml:space="preserve"> </w:t>
      </w:r>
    </w:p>
    <w:p w:rsidR="00BF72B1" w:rsidRPr="00DD73A6" w:rsidRDefault="00BF72B1" w:rsidP="00BF72B1">
      <w:pPr>
        <w:pStyle w:val="TableFooter"/>
      </w:pPr>
      <w:r>
        <w:t>AUC = area under the curve; NHL = non-Hodgkin’s lymphoma; OS = overall survival; PD = progressive disease; SD = stable disease</w:t>
      </w:r>
    </w:p>
    <w:bookmarkEnd w:id="25"/>
    <w:p w:rsidR="00BF72B1" w:rsidRDefault="00BF72B1" w:rsidP="00BF72B1">
      <w:pPr>
        <w:pStyle w:val="ListParagraph"/>
        <w:numPr>
          <w:ilvl w:val="1"/>
          <w:numId w:val="1"/>
        </w:numPr>
        <w:spacing w:before="0" w:after="120"/>
        <w:jc w:val="both"/>
      </w:pPr>
      <w:r w:rsidRPr="00A17731">
        <w:t xml:space="preserve">Table </w:t>
      </w:r>
      <w:r>
        <w:t>9</w:t>
      </w:r>
      <w:r w:rsidRPr="00A17731">
        <w:t xml:space="preserve"> presents a summary </w:t>
      </w:r>
      <w:r>
        <w:t>of the results of the economic evaluation</w:t>
      </w:r>
      <w:r w:rsidRPr="00A17731">
        <w:t>.</w:t>
      </w:r>
    </w:p>
    <w:p w:rsidR="00544932" w:rsidRPr="00544932" w:rsidRDefault="00544932" w:rsidP="00544932">
      <w:pPr>
        <w:pStyle w:val="Caption"/>
        <w:rPr>
          <w:rFonts w:ascii="Arial Narrow" w:hAnsi="Arial Narrow"/>
        </w:rPr>
      </w:pPr>
      <w:r w:rsidRPr="00544932">
        <w:rPr>
          <w:rFonts w:ascii="Arial Narrow" w:hAnsi="Arial Narrow"/>
        </w:rPr>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9</w:t>
      </w:r>
      <w:r w:rsidRPr="00544932">
        <w:rPr>
          <w:rFonts w:ascii="Arial Narrow" w:hAnsi="Arial Narrow"/>
        </w:rPr>
        <w:fldChar w:fldCharType="end"/>
      </w:r>
      <w:r w:rsidRPr="00544932">
        <w:rPr>
          <w:rFonts w:ascii="Arial Narrow" w:hAnsi="Arial Narrow"/>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2271"/>
        <w:gridCol w:w="2379"/>
        <w:gridCol w:w="2379"/>
        <w:gridCol w:w="2053"/>
      </w:tblGrid>
      <w:tr w:rsidR="00BF72B1" w:rsidRPr="00B100D5" w:rsidTr="00544932">
        <w:trPr>
          <w:cantSplit/>
          <w:tblHeader/>
        </w:trPr>
        <w:tc>
          <w:tcPr>
            <w:tcW w:w="1250" w:type="pct"/>
          </w:tcPr>
          <w:p w:rsidR="00BF72B1" w:rsidRPr="00536E5A" w:rsidRDefault="00BF72B1" w:rsidP="00234AC7">
            <w:pPr>
              <w:pStyle w:val="TableText"/>
              <w:rPr>
                <w:b/>
              </w:rPr>
            </w:pPr>
            <w:r w:rsidRPr="00536E5A">
              <w:rPr>
                <w:b/>
              </w:rPr>
              <w:t>Component</w:t>
            </w:r>
          </w:p>
        </w:tc>
        <w:tc>
          <w:tcPr>
            <w:tcW w:w="1310" w:type="pct"/>
          </w:tcPr>
          <w:p w:rsidR="00BF72B1" w:rsidRPr="00536E5A" w:rsidRDefault="00BF72B1" w:rsidP="00234AC7">
            <w:pPr>
              <w:pStyle w:val="TableText"/>
              <w:rPr>
                <w:b/>
              </w:rPr>
            </w:pPr>
            <w:r w:rsidRPr="00536E5A">
              <w:rPr>
                <w:b/>
              </w:rPr>
              <w:t>Romidepsin</w:t>
            </w:r>
          </w:p>
        </w:tc>
        <w:tc>
          <w:tcPr>
            <w:tcW w:w="1310" w:type="pct"/>
          </w:tcPr>
          <w:p w:rsidR="00BF72B1" w:rsidRPr="00536E5A" w:rsidRDefault="00BF72B1" w:rsidP="00234AC7">
            <w:pPr>
              <w:pStyle w:val="TableText"/>
              <w:rPr>
                <w:b/>
              </w:rPr>
            </w:pPr>
            <w:r w:rsidRPr="00536E5A">
              <w:rPr>
                <w:b/>
              </w:rPr>
              <w:t>Comparator – No active therapy</w:t>
            </w:r>
          </w:p>
        </w:tc>
        <w:tc>
          <w:tcPr>
            <w:tcW w:w="1130" w:type="pct"/>
          </w:tcPr>
          <w:p w:rsidR="00BF72B1" w:rsidRPr="00536E5A" w:rsidRDefault="00BF72B1" w:rsidP="00234AC7">
            <w:pPr>
              <w:pStyle w:val="TableText"/>
              <w:rPr>
                <w:b/>
              </w:rPr>
            </w:pPr>
            <w:r w:rsidRPr="00536E5A">
              <w:rPr>
                <w:b/>
              </w:rPr>
              <w:t>Increment</w:t>
            </w:r>
          </w:p>
        </w:tc>
      </w:tr>
      <w:tr w:rsidR="00BF72B1" w:rsidRPr="004E2ADC" w:rsidTr="00544932">
        <w:trPr>
          <w:cantSplit/>
        </w:trPr>
        <w:tc>
          <w:tcPr>
            <w:tcW w:w="1250" w:type="pct"/>
          </w:tcPr>
          <w:p w:rsidR="00BF72B1" w:rsidRPr="00536E5A" w:rsidRDefault="00BF72B1" w:rsidP="00234AC7">
            <w:pPr>
              <w:pStyle w:val="TableText"/>
            </w:pPr>
            <w:r w:rsidRPr="00536E5A">
              <w:t>Costs</w:t>
            </w:r>
          </w:p>
        </w:tc>
        <w:tc>
          <w:tcPr>
            <w:tcW w:w="1310" w:type="pct"/>
          </w:tcPr>
          <w:p w:rsidR="00BF72B1" w:rsidRPr="00536E5A" w:rsidRDefault="00BF72B1" w:rsidP="00234AC7">
            <w:pPr>
              <w:pStyle w:val="TableText"/>
              <w:rPr>
                <w:rFonts w:ascii="Times" w:eastAsia="Times New Roman" w:hAnsi="Times" w:cs="Times New Roman"/>
              </w:rPr>
            </w:pPr>
            <w:r w:rsidRPr="00536E5A">
              <w:t>$</w:t>
            </w:r>
            <w:r>
              <w:rPr>
                <w:noProof/>
                <w:color w:val="000000"/>
                <w:highlight w:val="black"/>
              </w:rPr>
              <w:t>''''''''''''''''</w:t>
            </w:r>
          </w:p>
        </w:tc>
        <w:tc>
          <w:tcPr>
            <w:tcW w:w="1310" w:type="pct"/>
          </w:tcPr>
          <w:p w:rsidR="00BF72B1" w:rsidRPr="00536E5A" w:rsidRDefault="00BF72B1" w:rsidP="00234AC7">
            <w:pPr>
              <w:pStyle w:val="TableText"/>
              <w:rPr>
                <w:rFonts w:ascii="Times" w:eastAsia="Times New Roman" w:hAnsi="Times" w:cs="Times New Roman"/>
              </w:rPr>
            </w:pPr>
            <w:r w:rsidRPr="00536E5A">
              <w:t>$</w:t>
            </w:r>
            <w:r>
              <w:rPr>
                <w:noProof/>
                <w:color w:val="000000"/>
                <w:highlight w:val="black"/>
              </w:rPr>
              <w:t>'''''''''''''''</w:t>
            </w:r>
          </w:p>
        </w:tc>
        <w:tc>
          <w:tcPr>
            <w:tcW w:w="1130" w:type="pct"/>
          </w:tcPr>
          <w:p w:rsidR="00BF72B1" w:rsidRPr="00536E5A" w:rsidRDefault="00BF72B1" w:rsidP="00234AC7">
            <w:pPr>
              <w:pStyle w:val="TableText"/>
              <w:rPr>
                <w:rFonts w:ascii="Times" w:eastAsia="Times New Roman" w:hAnsi="Times" w:cs="Times New Roman"/>
              </w:rPr>
            </w:pPr>
            <w:r w:rsidRPr="00536E5A">
              <w:t>$</w:t>
            </w:r>
            <w:r>
              <w:rPr>
                <w:noProof/>
                <w:color w:val="000000"/>
                <w:highlight w:val="black"/>
              </w:rPr>
              <w:t>'''''''''''''''''</w:t>
            </w:r>
          </w:p>
        </w:tc>
      </w:tr>
      <w:tr w:rsidR="00BF72B1" w:rsidRPr="004E2ADC" w:rsidTr="00544932">
        <w:trPr>
          <w:cantSplit/>
        </w:trPr>
        <w:tc>
          <w:tcPr>
            <w:tcW w:w="1250" w:type="pct"/>
          </w:tcPr>
          <w:p w:rsidR="00BF72B1" w:rsidRPr="00536E5A" w:rsidRDefault="00BF72B1" w:rsidP="00234AC7">
            <w:pPr>
              <w:pStyle w:val="TableText"/>
              <w:rPr>
                <w:rFonts w:ascii="Times" w:eastAsia="Times New Roman" w:hAnsi="Times" w:cs="Times New Roman"/>
              </w:rPr>
            </w:pPr>
            <w:r w:rsidRPr="00536E5A">
              <w:t>QALY</w:t>
            </w:r>
          </w:p>
        </w:tc>
        <w:tc>
          <w:tcPr>
            <w:tcW w:w="1310" w:type="pct"/>
          </w:tcPr>
          <w:p w:rsidR="00BF72B1" w:rsidRPr="00536E5A" w:rsidRDefault="00BF72B1" w:rsidP="00234AC7">
            <w:pPr>
              <w:pStyle w:val="TableText"/>
            </w:pPr>
            <w:r w:rsidRPr="00536E5A">
              <w:t>3.03</w:t>
            </w:r>
          </w:p>
        </w:tc>
        <w:tc>
          <w:tcPr>
            <w:tcW w:w="1310" w:type="pct"/>
          </w:tcPr>
          <w:p w:rsidR="00BF72B1" w:rsidRPr="00536E5A" w:rsidRDefault="00BF72B1" w:rsidP="00234AC7">
            <w:pPr>
              <w:pStyle w:val="TableText"/>
            </w:pPr>
            <w:r w:rsidRPr="00536E5A">
              <w:t>2.30</w:t>
            </w:r>
          </w:p>
        </w:tc>
        <w:tc>
          <w:tcPr>
            <w:tcW w:w="1130" w:type="pct"/>
          </w:tcPr>
          <w:p w:rsidR="00BF72B1" w:rsidRPr="00536E5A" w:rsidRDefault="00BF72B1" w:rsidP="00234AC7">
            <w:pPr>
              <w:pStyle w:val="TableText"/>
            </w:pPr>
            <w:r w:rsidRPr="00536E5A">
              <w:t>0.73</w:t>
            </w:r>
          </w:p>
        </w:tc>
      </w:tr>
      <w:tr w:rsidR="00BF72B1" w:rsidRPr="004E2ADC" w:rsidTr="00544932">
        <w:trPr>
          <w:cantSplit/>
        </w:trPr>
        <w:tc>
          <w:tcPr>
            <w:tcW w:w="3870" w:type="pct"/>
            <w:gridSpan w:val="3"/>
          </w:tcPr>
          <w:p w:rsidR="00BF72B1" w:rsidRPr="00536E5A" w:rsidRDefault="00BF72B1" w:rsidP="00234AC7">
            <w:pPr>
              <w:pStyle w:val="TableText"/>
              <w:rPr>
                <w:rFonts w:ascii="Times" w:eastAsia="Times New Roman" w:hAnsi="Times" w:cs="Times New Roman"/>
              </w:rPr>
            </w:pPr>
            <w:r w:rsidRPr="00536E5A">
              <w:t>Incremental cost/extra QALY gained</w:t>
            </w:r>
          </w:p>
        </w:tc>
        <w:tc>
          <w:tcPr>
            <w:tcW w:w="1130" w:type="pct"/>
          </w:tcPr>
          <w:p w:rsidR="00BF72B1" w:rsidRPr="00536E5A" w:rsidRDefault="00BF72B1" w:rsidP="00234AC7">
            <w:pPr>
              <w:pStyle w:val="TableText"/>
              <w:rPr>
                <w:rFonts w:ascii="Times" w:eastAsia="Times New Roman" w:hAnsi="Times" w:cs="Times New Roman"/>
                <w:b/>
              </w:rPr>
            </w:pPr>
            <w:r w:rsidRPr="00536E5A">
              <w:rPr>
                <w:b/>
              </w:rPr>
              <w:t>$</w:t>
            </w:r>
            <w:r>
              <w:rPr>
                <w:b/>
                <w:noProof/>
                <w:color w:val="000000"/>
                <w:highlight w:val="black"/>
              </w:rPr>
              <w:t>''''''''''''</w:t>
            </w:r>
          </w:p>
        </w:tc>
      </w:tr>
    </w:tbl>
    <w:p w:rsidR="00BF72B1" w:rsidRDefault="00BF72B1" w:rsidP="00BF72B1">
      <w:pPr>
        <w:pStyle w:val="TableFooter"/>
      </w:pPr>
      <w:r>
        <w:t>Source: Table 38, p59 of the submission</w:t>
      </w:r>
    </w:p>
    <w:p w:rsidR="00BF72B1" w:rsidRPr="00A17731" w:rsidRDefault="00BF72B1" w:rsidP="00BF72B1">
      <w:pPr>
        <w:pStyle w:val="TableFooter"/>
      </w:pPr>
      <w:r>
        <w:t>AE = adverse event; NA = not applicable to the model; QALY = quality adjusted life year</w:t>
      </w:r>
    </w:p>
    <w:p w:rsidR="00BF72B1" w:rsidRDefault="00BF72B1" w:rsidP="00BF72B1">
      <w:pPr>
        <w:pStyle w:val="ListParagraph"/>
        <w:numPr>
          <w:ilvl w:val="1"/>
          <w:numId w:val="1"/>
        </w:numPr>
        <w:spacing w:before="0" w:after="120"/>
        <w:jc w:val="both"/>
      </w:pPr>
      <w:r w:rsidRPr="00A17731">
        <w:t>The resulting ICER in the model for the resubmission ($</w:t>
      </w:r>
      <w:r>
        <w:t xml:space="preserve">45,000 - $75,000 </w:t>
      </w:r>
      <w:r w:rsidRPr="00A17731">
        <w:t>per QALY) is significantly lower than in the November 2016 submission ($</w:t>
      </w:r>
      <w:r>
        <w:t>105,000 - $200,000</w:t>
      </w:r>
      <w:r w:rsidRPr="00A17731">
        <w:t>).</w:t>
      </w:r>
      <w:r w:rsidRPr="00A17731">
        <w:rPr>
          <w:i/>
        </w:rPr>
        <w:t xml:space="preserve"> </w:t>
      </w:r>
      <w:r w:rsidRPr="00EA2518">
        <w:t>This was primarily due to the decreased price of romidepsin and the higher incremental OS obtained using 10-year survival data from each treatment arm.</w:t>
      </w:r>
    </w:p>
    <w:p w:rsidR="00BF72B1" w:rsidRPr="00CF7901" w:rsidRDefault="00BF72B1" w:rsidP="00BF72B1">
      <w:pPr>
        <w:pStyle w:val="ListParagraph"/>
        <w:numPr>
          <w:ilvl w:val="1"/>
          <w:numId w:val="1"/>
        </w:numPr>
        <w:spacing w:before="0" w:after="120"/>
        <w:jc w:val="both"/>
      </w:pPr>
      <w:r w:rsidRPr="00CF7901">
        <w:t>In order to estimate the impact of the survival bia</w:t>
      </w:r>
      <w:r>
        <w:t>s described above (paragraph 6.8</w:t>
      </w:r>
      <w:r w:rsidRPr="00CF7901">
        <w:t>) on the estimate of cost effectiveness, the ESC performed a crude adjustment to the historical control data, whereby any patients who died in the control cohort before the first death in the romidepsin cohort (at approximately 7 months) were excluded from the analysis. This adjustment allowed for potential differences in responses to first-line therapy, which should not be present as eligibility criteria included completion of first-line therapy. The resulting survival curves are shown below.</w:t>
      </w:r>
    </w:p>
    <w:p w:rsidR="00BF72B1" w:rsidRDefault="00BF72B1" w:rsidP="00BF72B1">
      <w:pPr>
        <w:pStyle w:val="PBACHeading1"/>
        <w:numPr>
          <w:ilvl w:val="0"/>
          <w:numId w:val="0"/>
        </w:numPr>
        <w:spacing w:before="0" w:after="0"/>
        <w:ind w:left="720" w:hanging="720"/>
        <w:rPr>
          <w:rFonts w:ascii="Arial Narrow" w:hAnsi="Arial Narrow"/>
          <w:i/>
          <w:sz w:val="20"/>
          <w:szCs w:val="20"/>
        </w:rPr>
      </w:pPr>
    </w:p>
    <w:p w:rsidR="00BF72B1" w:rsidRPr="00CF7901" w:rsidRDefault="00BF72B1" w:rsidP="00BF72B1">
      <w:pPr>
        <w:spacing w:before="0" w:line="259" w:lineRule="auto"/>
        <w:rPr>
          <w:rFonts w:ascii="Arial Narrow" w:eastAsia="Times New Roman" w:hAnsi="Arial Narrow" w:cs="Arial"/>
          <w:b/>
          <w:snapToGrid w:val="0"/>
          <w:sz w:val="20"/>
          <w:szCs w:val="20"/>
        </w:rPr>
      </w:pPr>
    </w:p>
    <w:p w:rsidR="00BF72B1" w:rsidRDefault="00BF72B1" w:rsidP="00BF72B1">
      <w:pPr>
        <w:spacing w:before="0" w:line="259" w:lineRule="auto"/>
        <w:rPr>
          <w:rFonts w:ascii="Arial Narrow" w:eastAsia="Times New Roman" w:hAnsi="Arial Narrow" w:cs="Arial"/>
          <w:b/>
          <w:snapToGrid w:val="0"/>
          <w:sz w:val="20"/>
          <w:szCs w:val="20"/>
        </w:rPr>
      </w:pPr>
      <w:r>
        <w:rPr>
          <w:rFonts w:ascii="Arial Narrow" w:hAnsi="Arial Narrow"/>
          <w:sz w:val="20"/>
          <w:szCs w:val="20"/>
        </w:rPr>
        <w:br w:type="page"/>
      </w:r>
    </w:p>
    <w:p w:rsidR="00BF72B1" w:rsidRPr="00CF7901" w:rsidRDefault="00BF72B1" w:rsidP="00BF72B1">
      <w:pPr>
        <w:pStyle w:val="PBACHeading1"/>
        <w:numPr>
          <w:ilvl w:val="0"/>
          <w:numId w:val="0"/>
        </w:numPr>
        <w:spacing w:before="0" w:after="0"/>
        <w:ind w:left="720" w:hanging="720"/>
        <w:rPr>
          <w:rFonts w:ascii="Arial Narrow" w:hAnsi="Arial Narrow"/>
          <w:sz w:val="20"/>
          <w:szCs w:val="20"/>
        </w:rPr>
      </w:pPr>
      <w:r w:rsidRPr="00CF7901">
        <w:rPr>
          <w:rFonts w:ascii="Arial Narrow" w:hAnsi="Arial Narrow"/>
          <w:sz w:val="20"/>
          <w:szCs w:val="20"/>
        </w:rPr>
        <w:lastRenderedPageBreak/>
        <w:t>Figure 2: Survival curves, including adjusted control curve</w:t>
      </w:r>
    </w:p>
    <w:p w:rsidR="00BF72B1" w:rsidRPr="00CF7901" w:rsidRDefault="00BF72B1" w:rsidP="00BF72B1">
      <w:pPr>
        <w:pStyle w:val="PBACHeading1"/>
        <w:numPr>
          <w:ilvl w:val="0"/>
          <w:numId w:val="0"/>
        </w:numPr>
        <w:spacing w:before="0" w:after="0"/>
        <w:ind w:left="720" w:hanging="720"/>
      </w:pPr>
      <w:r w:rsidRPr="00CF7901">
        <w:rPr>
          <w:noProof/>
          <w:snapToGrid/>
          <w:lang w:eastAsia="en-AU"/>
        </w:rPr>
        <w:drawing>
          <wp:inline distT="0" distB="0" distL="0" distR="0" wp14:anchorId="1CAE3AFB" wp14:editId="63198340">
            <wp:extent cx="5731510" cy="3344638"/>
            <wp:effectExtent l="0" t="0" r="2540" b="8255"/>
            <wp:docPr id="2" name="Picture 1" title="Survival curves, including adjusted control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44638"/>
                    </a:xfrm>
                    <a:prstGeom prst="rect">
                      <a:avLst/>
                    </a:prstGeom>
                    <a:noFill/>
                    <a:ln>
                      <a:noFill/>
                    </a:ln>
                  </pic:spPr>
                </pic:pic>
              </a:graphicData>
            </a:graphic>
          </wp:inline>
        </w:drawing>
      </w:r>
    </w:p>
    <w:p w:rsidR="00BF72B1" w:rsidRPr="00CF7901" w:rsidRDefault="00BF72B1" w:rsidP="00BF72B1">
      <w:pPr>
        <w:pStyle w:val="PBACHeading1"/>
        <w:numPr>
          <w:ilvl w:val="0"/>
          <w:numId w:val="0"/>
        </w:numPr>
        <w:spacing w:before="0" w:after="0"/>
        <w:rPr>
          <w:rFonts w:ascii="Arial Narrow" w:hAnsi="Arial Narrow"/>
          <w:b w:val="0"/>
          <w:sz w:val="20"/>
          <w:szCs w:val="20"/>
        </w:rPr>
      </w:pPr>
      <w:r w:rsidRPr="00CF7901">
        <w:rPr>
          <w:rFonts w:ascii="Arial Narrow" w:hAnsi="Arial Narrow"/>
          <w:b w:val="0"/>
          <w:sz w:val="20"/>
          <w:szCs w:val="20"/>
        </w:rPr>
        <w:t>Source: Generated by ESC</w:t>
      </w:r>
      <w:r>
        <w:rPr>
          <w:rFonts w:ascii="Arial Narrow" w:hAnsi="Arial Narrow"/>
          <w:b w:val="0"/>
          <w:sz w:val="20"/>
          <w:szCs w:val="20"/>
        </w:rPr>
        <w:t>, as described in paragraph 6.43</w:t>
      </w:r>
      <w:r w:rsidRPr="00CF7901">
        <w:rPr>
          <w:rFonts w:ascii="Arial Narrow" w:hAnsi="Arial Narrow"/>
          <w:b w:val="0"/>
          <w:sz w:val="20"/>
          <w:szCs w:val="20"/>
        </w:rPr>
        <w:t xml:space="preserve"> above</w:t>
      </w:r>
    </w:p>
    <w:p w:rsidR="00BF72B1" w:rsidRPr="00E47F0E" w:rsidRDefault="00BF72B1" w:rsidP="00BF72B1">
      <w:pPr>
        <w:pStyle w:val="PBACHeading1"/>
        <w:numPr>
          <w:ilvl w:val="0"/>
          <w:numId w:val="0"/>
        </w:numPr>
        <w:spacing w:before="0" w:after="0"/>
        <w:rPr>
          <w:rFonts w:ascii="Arial Narrow" w:hAnsi="Arial Narrow"/>
          <w:b w:val="0"/>
          <w:i/>
          <w:sz w:val="20"/>
          <w:szCs w:val="20"/>
        </w:rPr>
      </w:pPr>
    </w:p>
    <w:p w:rsidR="00BF72B1" w:rsidRDefault="00BF72B1" w:rsidP="00BF72B1">
      <w:pPr>
        <w:pStyle w:val="ListParagraph"/>
        <w:numPr>
          <w:ilvl w:val="1"/>
          <w:numId w:val="1"/>
        </w:numPr>
        <w:spacing w:before="0" w:after="120"/>
        <w:jc w:val="both"/>
      </w:pPr>
      <w:r w:rsidRPr="00A17731">
        <w:t>The resubmission presented univariate sensitivity analyses. The key sensitivity analyses co</w:t>
      </w:r>
      <w:r>
        <w:t xml:space="preserve">nducted by the resubmission, </w:t>
      </w:r>
      <w:r w:rsidRPr="00A17731">
        <w:t xml:space="preserve">during </w:t>
      </w:r>
      <w:r w:rsidRPr="00D44252">
        <w:t>evaluation, and by ESC are</w:t>
      </w:r>
      <w:r w:rsidRPr="00A17731">
        <w:t xml:space="preserve"> presented below.</w:t>
      </w:r>
    </w:p>
    <w:p w:rsidR="00BF72B1" w:rsidRPr="0031558D" w:rsidRDefault="00BF72B1" w:rsidP="00BF72B1">
      <w:pPr>
        <w:pStyle w:val="V50InstructionsBullets"/>
        <w:numPr>
          <w:ilvl w:val="0"/>
          <w:numId w:val="0"/>
        </w:numPr>
        <w:jc w:val="both"/>
        <w:rPr>
          <w:color w:val="auto"/>
        </w:rPr>
      </w:pPr>
    </w:p>
    <w:p w:rsidR="00BF72B1" w:rsidRDefault="00BF72B1" w:rsidP="00BF72B1">
      <w:pPr>
        <w:spacing w:before="0" w:line="259" w:lineRule="auto"/>
        <w:rPr>
          <w:rFonts w:ascii="Arial Narrow" w:eastAsia="SimSun" w:hAnsi="Arial Narrow" w:cs="Times New Roman"/>
          <w:b/>
          <w:sz w:val="20"/>
          <w:szCs w:val="20"/>
          <w:lang w:eastAsia="en-AU"/>
        </w:rPr>
      </w:pPr>
      <w:r>
        <w:br w:type="page"/>
      </w:r>
    </w:p>
    <w:p w:rsidR="00544932" w:rsidRPr="00544932" w:rsidRDefault="00544932" w:rsidP="00544932">
      <w:pPr>
        <w:pStyle w:val="Caption"/>
        <w:rPr>
          <w:rFonts w:ascii="Arial Narrow" w:hAnsi="Arial Narrow"/>
        </w:rPr>
      </w:pPr>
      <w:r w:rsidRPr="00544932">
        <w:rPr>
          <w:rFonts w:ascii="Arial Narrow" w:hAnsi="Arial Narrow"/>
        </w:rPr>
        <w:lastRenderedPageBreak/>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10</w:t>
      </w:r>
      <w:r w:rsidRPr="00544932">
        <w:rPr>
          <w:rFonts w:ascii="Arial Narrow" w:hAnsi="Arial Narrow"/>
        </w:rPr>
        <w:fldChar w:fldCharType="end"/>
      </w:r>
      <w:r w:rsidRPr="00544932">
        <w:rPr>
          <w:rFonts w:ascii="Arial Narrow" w:hAnsi="Arial Narrow"/>
        </w:rPr>
        <w:t>: Results of the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key sensitivity analyses"/>
      </w:tblPr>
      <w:tblGrid>
        <w:gridCol w:w="4708"/>
        <w:gridCol w:w="1428"/>
        <w:gridCol w:w="1284"/>
        <w:gridCol w:w="1662"/>
      </w:tblGrid>
      <w:tr w:rsidR="00BF72B1" w:rsidRPr="00A72FA7" w:rsidTr="00234AC7">
        <w:trPr>
          <w:tblHeader/>
        </w:trPr>
        <w:tc>
          <w:tcPr>
            <w:tcW w:w="2592" w:type="pct"/>
            <w:tcBorders>
              <w:top w:val="single" w:sz="4" w:space="0" w:color="auto"/>
              <w:left w:val="single" w:sz="4" w:space="0" w:color="auto"/>
              <w:bottom w:val="single" w:sz="4" w:space="0" w:color="auto"/>
              <w:right w:val="single" w:sz="4" w:space="0" w:color="auto"/>
            </w:tcBorders>
            <w:vAlign w:val="center"/>
          </w:tcPr>
          <w:p w:rsidR="00BF72B1" w:rsidRPr="00EF3278" w:rsidRDefault="00BF72B1" w:rsidP="00234AC7">
            <w:pPr>
              <w:pStyle w:val="TableText"/>
              <w:rPr>
                <w:b/>
              </w:rPr>
            </w:pPr>
          </w:p>
        </w:tc>
        <w:tc>
          <w:tcPr>
            <w:tcW w:w="786" w:type="pct"/>
            <w:tcBorders>
              <w:top w:val="single" w:sz="4" w:space="0" w:color="auto"/>
              <w:left w:val="single" w:sz="4" w:space="0" w:color="auto"/>
              <w:bottom w:val="single" w:sz="4" w:space="0" w:color="auto"/>
              <w:right w:val="single" w:sz="4" w:space="0" w:color="auto"/>
            </w:tcBorders>
            <w:vAlign w:val="center"/>
          </w:tcPr>
          <w:p w:rsidR="00BF72B1" w:rsidRPr="00EF3278" w:rsidRDefault="00BF72B1" w:rsidP="00234AC7">
            <w:pPr>
              <w:pStyle w:val="TableText"/>
              <w:rPr>
                <w:b/>
              </w:rPr>
            </w:pPr>
            <w:r w:rsidRPr="00EF3278">
              <w:rPr>
                <w:b/>
              </w:rPr>
              <w:t>Incremental costs</w:t>
            </w:r>
          </w:p>
        </w:tc>
        <w:tc>
          <w:tcPr>
            <w:tcW w:w="707" w:type="pct"/>
            <w:tcBorders>
              <w:top w:val="single" w:sz="4" w:space="0" w:color="auto"/>
              <w:left w:val="single" w:sz="4" w:space="0" w:color="auto"/>
              <w:bottom w:val="single" w:sz="4" w:space="0" w:color="auto"/>
              <w:right w:val="single" w:sz="4" w:space="0" w:color="auto"/>
            </w:tcBorders>
            <w:vAlign w:val="center"/>
          </w:tcPr>
          <w:p w:rsidR="00BF72B1" w:rsidRPr="00EF3278" w:rsidRDefault="00BF72B1" w:rsidP="00234AC7">
            <w:pPr>
              <w:pStyle w:val="TableText"/>
              <w:rPr>
                <w:b/>
              </w:rPr>
            </w:pPr>
            <w:r w:rsidRPr="00EF3278">
              <w:rPr>
                <w:b/>
              </w:rPr>
              <w:t>Incremental effectiveness</w:t>
            </w:r>
          </w:p>
        </w:tc>
        <w:tc>
          <w:tcPr>
            <w:tcW w:w="915" w:type="pct"/>
            <w:tcBorders>
              <w:top w:val="single" w:sz="4" w:space="0" w:color="auto"/>
              <w:left w:val="single" w:sz="4" w:space="0" w:color="auto"/>
              <w:bottom w:val="single" w:sz="4" w:space="0" w:color="auto"/>
              <w:right w:val="single" w:sz="4" w:space="0" w:color="auto"/>
            </w:tcBorders>
            <w:vAlign w:val="center"/>
          </w:tcPr>
          <w:p w:rsidR="00BF72B1" w:rsidRPr="00EF3278" w:rsidRDefault="00BF72B1" w:rsidP="00234AC7">
            <w:pPr>
              <w:pStyle w:val="TableText"/>
              <w:rPr>
                <w:b/>
              </w:rPr>
            </w:pPr>
            <w:r w:rsidRPr="00EF3278">
              <w:rPr>
                <w:b/>
              </w:rPr>
              <w:t>Incremental cost-effectiveness</w:t>
            </w:r>
          </w:p>
        </w:tc>
      </w:tr>
      <w:tr w:rsidR="00BF72B1" w:rsidRPr="004E2ADC" w:rsidTr="00234AC7">
        <w:tc>
          <w:tcPr>
            <w:tcW w:w="2592" w:type="pct"/>
            <w:tcBorders>
              <w:top w:val="single" w:sz="4" w:space="0" w:color="auto"/>
              <w:left w:val="single" w:sz="4" w:space="0" w:color="auto"/>
              <w:bottom w:val="single" w:sz="4" w:space="0" w:color="auto"/>
              <w:right w:val="single" w:sz="4" w:space="0" w:color="auto"/>
            </w:tcBorders>
            <w:vAlign w:val="center"/>
          </w:tcPr>
          <w:p w:rsidR="00BF72B1" w:rsidRPr="004E2ADC" w:rsidRDefault="00BF72B1" w:rsidP="00234AC7">
            <w:pPr>
              <w:pStyle w:val="TableText"/>
            </w:pPr>
            <w:r w:rsidRPr="004E2ADC">
              <w:t>Base case</w:t>
            </w:r>
          </w:p>
        </w:tc>
        <w:tc>
          <w:tcPr>
            <w:tcW w:w="786" w:type="pct"/>
            <w:tcBorders>
              <w:top w:val="single" w:sz="4" w:space="0" w:color="auto"/>
              <w:left w:val="single" w:sz="4" w:space="0" w:color="auto"/>
              <w:bottom w:val="single" w:sz="4" w:space="0" w:color="auto"/>
              <w:right w:val="single" w:sz="4" w:space="0" w:color="auto"/>
            </w:tcBorders>
            <w:vAlign w:val="center"/>
          </w:tcPr>
          <w:p w:rsidR="00BF72B1" w:rsidRPr="004E2ADC" w:rsidRDefault="00BF72B1" w:rsidP="00234AC7">
            <w:pPr>
              <w:pStyle w:val="TableText"/>
            </w:pPr>
            <w:r>
              <w:t>$</w:t>
            </w:r>
            <w:r>
              <w:rPr>
                <w:noProof/>
                <w:color w:val="000000"/>
                <w:highlight w:val="black"/>
              </w:rPr>
              <w:t>'''''''''''''''''</w:t>
            </w:r>
          </w:p>
        </w:tc>
        <w:tc>
          <w:tcPr>
            <w:tcW w:w="707" w:type="pct"/>
            <w:tcBorders>
              <w:top w:val="single" w:sz="4" w:space="0" w:color="auto"/>
              <w:left w:val="single" w:sz="4" w:space="0" w:color="auto"/>
              <w:bottom w:val="single" w:sz="4" w:space="0" w:color="auto"/>
              <w:right w:val="single" w:sz="4" w:space="0" w:color="auto"/>
            </w:tcBorders>
            <w:vAlign w:val="center"/>
          </w:tcPr>
          <w:p w:rsidR="00BF72B1" w:rsidRPr="004E2ADC" w:rsidRDefault="00BF72B1" w:rsidP="00234AC7">
            <w:pPr>
              <w:pStyle w:val="TableText"/>
            </w:pPr>
            <w:r>
              <w:t>0.73</w:t>
            </w:r>
          </w:p>
        </w:tc>
        <w:tc>
          <w:tcPr>
            <w:tcW w:w="915" w:type="pct"/>
            <w:tcBorders>
              <w:top w:val="single" w:sz="4" w:space="0" w:color="auto"/>
              <w:left w:val="single" w:sz="4" w:space="0" w:color="auto"/>
              <w:bottom w:val="single" w:sz="4" w:space="0" w:color="auto"/>
              <w:right w:val="single" w:sz="4" w:space="0" w:color="auto"/>
            </w:tcBorders>
            <w:vAlign w:val="center"/>
          </w:tcPr>
          <w:p w:rsidR="00BF72B1" w:rsidRPr="004E2ADC" w:rsidRDefault="00BF72B1" w:rsidP="00234AC7">
            <w:pPr>
              <w:pStyle w:val="TableText"/>
            </w:pPr>
            <w:r>
              <w:t>$</w:t>
            </w:r>
            <w:r>
              <w:rPr>
                <w:noProof/>
                <w:color w:val="000000"/>
                <w:highlight w:val="black"/>
              </w:rPr>
              <w:t>'''''''''''''''</w:t>
            </w:r>
          </w:p>
        </w:tc>
      </w:tr>
      <w:tr w:rsidR="00BF72B1" w:rsidRPr="004E2ADC" w:rsidTr="00234AC7">
        <w:tc>
          <w:tcPr>
            <w:tcW w:w="5000" w:type="pct"/>
            <w:gridSpan w:val="4"/>
            <w:tcBorders>
              <w:top w:val="single" w:sz="4" w:space="0" w:color="auto"/>
              <w:left w:val="single" w:sz="4" w:space="0" w:color="auto"/>
              <w:bottom w:val="single" w:sz="4" w:space="0" w:color="auto"/>
              <w:right w:val="single" w:sz="4" w:space="0" w:color="auto"/>
            </w:tcBorders>
            <w:vAlign w:val="center"/>
          </w:tcPr>
          <w:p w:rsidR="00BF72B1" w:rsidRPr="004E2ADC" w:rsidRDefault="00BF72B1" w:rsidP="00234AC7">
            <w:pPr>
              <w:pStyle w:val="TableText"/>
            </w:pPr>
            <w:r w:rsidRPr="00EF3278">
              <w:rPr>
                <w:b/>
              </w:rPr>
              <w:t>Univariate analyses</w:t>
            </w:r>
          </w:p>
        </w:tc>
      </w:tr>
      <w:tr w:rsidR="00BF72B1" w:rsidRPr="00CA18FA" w:rsidTr="00234AC7">
        <w:tc>
          <w:tcPr>
            <w:tcW w:w="2592"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pStyle w:val="TableText"/>
              <w:rPr>
                <w:rFonts w:eastAsia="Times New Roman" w:cs="Times New Roman"/>
              </w:rPr>
            </w:pPr>
            <w:r w:rsidRPr="00EA2518">
              <w:rPr>
                <w:rFonts w:eastAsia="Times New Roman" w:cs="Times New Roman"/>
              </w:rPr>
              <w:t>PFS as a proportion of OS (base case 35%)</w:t>
            </w:r>
          </w:p>
          <w:p w:rsidR="00BF72B1" w:rsidRPr="00EA2518" w:rsidRDefault="00BF72B1" w:rsidP="00234AC7">
            <w:pPr>
              <w:pStyle w:val="TableText"/>
              <w:rPr>
                <w:rFonts w:eastAsia="Times New Roman" w:cs="Times New Roman"/>
              </w:rPr>
            </w:pPr>
            <w:r w:rsidRPr="00EA2518">
              <w:rPr>
                <w:rFonts w:eastAsia="Times New Roman" w:cs="Times New Roman"/>
              </w:rPr>
              <w:tab/>
              <w:t>0%</w:t>
            </w:r>
          </w:p>
          <w:p w:rsidR="00BF72B1" w:rsidRPr="00EA2518" w:rsidRDefault="00BF72B1" w:rsidP="00234AC7">
            <w:pPr>
              <w:pStyle w:val="TableText"/>
              <w:rPr>
                <w:rFonts w:eastAsia="Times New Roman" w:cs="Times New Roman"/>
              </w:rPr>
            </w:pPr>
            <w:r w:rsidRPr="00EA2518">
              <w:rPr>
                <w:rFonts w:eastAsia="Times New Roman" w:cs="Times New Roman"/>
              </w:rPr>
              <w:tab/>
              <w:t>50%</w:t>
            </w:r>
          </w:p>
        </w:tc>
        <w:tc>
          <w:tcPr>
            <w:tcW w:w="786"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r w:rsidRPr="00544C27">
              <w:t>$</w:t>
            </w:r>
            <w:r>
              <w:rPr>
                <w:noProof/>
                <w:color w:val="000000"/>
                <w:highlight w:val="black"/>
              </w:rPr>
              <w:t>'''''''''''''''</w:t>
            </w:r>
          </w:p>
          <w:p w:rsidR="00BF72B1" w:rsidRPr="00544C27" w:rsidRDefault="00BF72B1" w:rsidP="00234AC7">
            <w:pPr>
              <w:pStyle w:val="TableText"/>
            </w:pPr>
            <w:r w:rsidRPr="00544C27">
              <w:t>$</w:t>
            </w:r>
            <w:r>
              <w:rPr>
                <w:noProof/>
                <w:color w:val="000000"/>
                <w:highlight w:val="black"/>
              </w:rPr>
              <w:t>''''''''''''''''</w:t>
            </w:r>
          </w:p>
        </w:tc>
        <w:tc>
          <w:tcPr>
            <w:tcW w:w="707"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r w:rsidRPr="00544C27">
              <w:t>0.68</w:t>
            </w:r>
          </w:p>
          <w:p w:rsidR="00BF72B1" w:rsidRPr="00544C27" w:rsidRDefault="00BF72B1" w:rsidP="00234AC7">
            <w:pPr>
              <w:pStyle w:val="TableText"/>
            </w:pPr>
            <w:r w:rsidRPr="00544C27">
              <w:t>0.76</w:t>
            </w:r>
          </w:p>
        </w:tc>
        <w:tc>
          <w:tcPr>
            <w:tcW w:w="915"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r w:rsidRPr="00544C27">
              <w:t>$</w:t>
            </w:r>
            <w:r>
              <w:rPr>
                <w:noProof/>
                <w:color w:val="000000"/>
                <w:highlight w:val="black"/>
              </w:rPr>
              <w:t>'''''''''''''''''</w:t>
            </w:r>
          </w:p>
          <w:p w:rsidR="00BF72B1" w:rsidRPr="00544C27" w:rsidRDefault="00BF72B1" w:rsidP="00234AC7">
            <w:pPr>
              <w:pStyle w:val="TableText"/>
            </w:pPr>
            <w:r w:rsidRPr="00544C27">
              <w:t>$</w:t>
            </w:r>
            <w:r>
              <w:rPr>
                <w:noProof/>
                <w:color w:val="000000"/>
                <w:highlight w:val="black"/>
              </w:rPr>
              <w:t>'''''''''''''''''</w:t>
            </w:r>
          </w:p>
        </w:tc>
      </w:tr>
      <w:tr w:rsidR="00BF72B1" w:rsidRPr="00CA18FA" w:rsidTr="00234AC7">
        <w:tc>
          <w:tcPr>
            <w:tcW w:w="2592"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pStyle w:val="TableText"/>
              <w:rPr>
                <w:rFonts w:eastAsia="Times New Roman" w:cs="Times New Roman"/>
              </w:rPr>
            </w:pPr>
            <w:r w:rsidRPr="00EA2518">
              <w:rPr>
                <w:rFonts w:eastAsia="Times New Roman" w:cs="Times New Roman"/>
              </w:rPr>
              <w:t>Utility values for health state PD (base case 0.67)</w:t>
            </w:r>
          </w:p>
          <w:p w:rsidR="00BF72B1" w:rsidRPr="00EA2518" w:rsidRDefault="00BF72B1" w:rsidP="00234AC7">
            <w:pPr>
              <w:pStyle w:val="TableText"/>
              <w:rPr>
                <w:rFonts w:eastAsia="Times New Roman" w:cs="Times New Roman"/>
              </w:rPr>
            </w:pPr>
            <w:r w:rsidRPr="00EA2518">
              <w:rPr>
                <w:rFonts w:eastAsia="Times New Roman" w:cs="Times New Roman"/>
              </w:rPr>
              <w:tab/>
              <w:t xml:space="preserve">0.32 value for PD in </w:t>
            </w:r>
            <w:proofErr w:type="spellStart"/>
            <w:r w:rsidRPr="00EA2518">
              <w:rPr>
                <w:rFonts w:eastAsia="Times New Roman" w:cs="Times New Roman"/>
              </w:rPr>
              <w:t>Swinburn</w:t>
            </w:r>
            <w:proofErr w:type="spellEnd"/>
            <w:r w:rsidRPr="00EA2518">
              <w:rPr>
                <w:rFonts w:eastAsia="Times New Roman" w:cs="Times New Roman"/>
              </w:rPr>
              <w:t xml:space="preserve"> 2016 </w:t>
            </w:r>
          </w:p>
          <w:p w:rsidR="00BF72B1" w:rsidRPr="00EA2518" w:rsidRDefault="00BF72B1" w:rsidP="00234AC7">
            <w:pPr>
              <w:pStyle w:val="TableText"/>
              <w:rPr>
                <w:rFonts w:eastAsia="Times New Roman" w:cs="Times New Roman"/>
                <w:vertAlign w:val="superscript"/>
              </w:rPr>
            </w:pPr>
            <w:r w:rsidRPr="00EA2518">
              <w:rPr>
                <w:rFonts w:eastAsia="Times New Roman" w:cs="Times New Roman"/>
              </w:rPr>
              <w:tab/>
              <w:t>0.746 value for SD (Kang 2015)</w:t>
            </w:r>
            <w:r w:rsidRPr="00EA2518">
              <w:rPr>
                <w:rFonts w:eastAsia="Times New Roman" w:cs="Times New Roman"/>
                <w:vertAlign w:val="superscript"/>
              </w:rPr>
              <w:t>a</w:t>
            </w:r>
          </w:p>
          <w:p w:rsidR="00BF72B1" w:rsidRPr="00EA2518" w:rsidRDefault="00BF72B1" w:rsidP="00234AC7">
            <w:pPr>
              <w:pStyle w:val="TableText"/>
              <w:rPr>
                <w:rFonts w:eastAsia="Times New Roman" w:cs="Times New Roman"/>
              </w:rPr>
            </w:pPr>
            <w:r w:rsidRPr="00EA2518">
              <w:rPr>
                <w:rFonts w:eastAsia="Times New Roman" w:cs="Times New Roman"/>
              </w:rPr>
              <w:tab/>
              <w:t>0.567 value for PD (Kang 2015)</w:t>
            </w:r>
          </w:p>
        </w:tc>
        <w:tc>
          <w:tcPr>
            <w:tcW w:w="786"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r w:rsidRPr="00544C27">
              <w:t>$</w:t>
            </w:r>
            <w:r>
              <w:rPr>
                <w:noProof/>
                <w:color w:val="000000"/>
                <w:highlight w:val="black"/>
              </w:rPr>
              <w:t>'''''''''''''''</w:t>
            </w:r>
          </w:p>
          <w:p w:rsidR="00BF72B1" w:rsidRPr="00544C27" w:rsidRDefault="00BF72B1" w:rsidP="00234AC7">
            <w:pPr>
              <w:pStyle w:val="TableText"/>
            </w:pPr>
            <w:r w:rsidRPr="00544C27">
              <w:t>$</w:t>
            </w:r>
            <w:r>
              <w:rPr>
                <w:noProof/>
                <w:color w:val="000000"/>
                <w:highlight w:val="black"/>
              </w:rPr>
              <w:t>''''''''''''''''</w:t>
            </w:r>
          </w:p>
          <w:p w:rsidR="00BF72B1" w:rsidRPr="00544C27" w:rsidRDefault="00BF72B1" w:rsidP="00234AC7">
            <w:pPr>
              <w:pStyle w:val="TableText"/>
            </w:pPr>
            <w:r w:rsidRPr="00544C27">
              <w:t>$</w:t>
            </w:r>
            <w:r>
              <w:rPr>
                <w:noProof/>
                <w:color w:val="000000"/>
                <w:highlight w:val="black"/>
              </w:rPr>
              <w:t>''''''''''''''''</w:t>
            </w:r>
          </w:p>
        </w:tc>
        <w:tc>
          <w:tcPr>
            <w:tcW w:w="707"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r w:rsidRPr="00544C27">
              <w:t>0.51</w:t>
            </w:r>
          </w:p>
          <w:p w:rsidR="00BF72B1" w:rsidRPr="00544C27" w:rsidRDefault="00BF72B1" w:rsidP="00234AC7">
            <w:pPr>
              <w:pStyle w:val="TableText"/>
            </w:pPr>
            <w:r w:rsidRPr="00544C27">
              <w:t>0.79</w:t>
            </w:r>
          </w:p>
          <w:p w:rsidR="00BF72B1" w:rsidRPr="00544C27" w:rsidRDefault="00BF72B1" w:rsidP="00234AC7">
            <w:pPr>
              <w:pStyle w:val="TableText"/>
            </w:pPr>
            <w:r w:rsidRPr="00544C27">
              <w:t>0.67</w:t>
            </w:r>
          </w:p>
        </w:tc>
        <w:tc>
          <w:tcPr>
            <w:tcW w:w="915"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r w:rsidRPr="00544C27">
              <w:t>$</w:t>
            </w:r>
            <w:r>
              <w:rPr>
                <w:noProof/>
                <w:color w:val="000000"/>
                <w:highlight w:val="black"/>
              </w:rPr>
              <w:t>'''''''''''''''''''''</w:t>
            </w:r>
          </w:p>
          <w:p w:rsidR="00BF72B1" w:rsidRPr="00544C27" w:rsidRDefault="00BF72B1" w:rsidP="00234AC7">
            <w:pPr>
              <w:pStyle w:val="TableText"/>
            </w:pPr>
            <w:r w:rsidRPr="00544C27">
              <w:t>$</w:t>
            </w:r>
            <w:r>
              <w:rPr>
                <w:noProof/>
                <w:color w:val="000000"/>
                <w:highlight w:val="black"/>
              </w:rPr>
              <w:t>'''''''''''''''</w:t>
            </w:r>
          </w:p>
          <w:p w:rsidR="00BF72B1" w:rsidRPr="00544C27" w:rsidRDefault="00BF72B1" w:rsidP="00234AC7">
            <w:pPr>
              <w:pStyle w:val="TableText"/>
            </w:pPr>
            <w:r w:rsidRPr="00544C27">
              <w:t>$</w:t>
            </w:r>
            <w:r>
              <w:rPr>
                <w:noProof/>
                <w:color w:val="000000"/>
                <w:highlight w:val="black"/>
              </w:rPr>
              <w:t>'''''''''''''''</w:t>
            </w:r>
          </w:p>
        </w:tc>
      </w:tr>
      <w:tr w:rsidR="00BF72B1" w:rsidRPr="00CA18FA" w:rsidTr="00234AC7">
        <w:tc>
          <w:tcPr>
            <w:tcW w:w="2592"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pStyle w:val="TableText"/>
              <w:rPr>
                <w:rFonts w:eastAsia="Times New Roman" w:cs="Times New Roman"/>
              </w:rPr>
            </w:pPr>
            <w:r w:rsidRPr="00EA2518">
              <w:rPr>
                <w:rFonts w:eastAsia="Times New Roman" w:cs="Times New Roman"/>
              </w:rPr>
              <w:t>Reduction in incremental OS (1.01 years in base case)</w:t>
            </w:r>
          </w:p>
          <w:p w:rsidR="00BF72B1" w:rsidRPr="00EA2518" w:rsidRDefault="00BF72B1" w:rsidP="00234AC7">
            <w:pPr>
              <w:pStyle w:val="TableText"/>
              <w:rPr>
                <w:rFonts w:eastAsia="Times New Roman" w:cs="Times New Roman"/>
              </w:rPr>
            </w:pPr>
            <w:r w:rsidRPr="00EA2518">
              <w:rPr>
                <w:rFonts w:eastAsia="Times New Roman" w:cs="Times New Roman"/>
              </w:rPr>
              <w:tab/>
              <w:t xml:space="preserve">0.8 years as in the November 2016 model (Australian </w:t>
            </w:r>
            <w:r w:rsidRPr="00EA2518">
              <w:rPr>
                <w:rFonts w:eastAsia="Times New Roman" w:cs="Times New Roman"/>
              </w:rPr>
              <w:tab/>
              <w:t xml:space="preserve">population – </w:t>
            </w:r>
            <w:proofErr w:type="spellStart"/>
            <w:r w:rsidRPr="00EA2518">
              <w:rPr>
                <w:rFonts w:eastAsia="Times New Roman" w:cs="Times New Roman"/>
              </w:rPr>
              <w:t>HDACi</w:t>
            </w:r>
            <w:proofErr w:type="spellEnd"/>
            <w:r w:rsidRPr="00EA2518">
              <w:rPr>
                <w:rFonts w:eastAsia="Times New Roman" w:cs="Times New Roman"/>
              </w:rPr>
              <w:t xml:space="preserve"> treated)</w:t>
            </w:r>
          </w:p>
        </w:tc>
        <w:tc>
          <w:tcPr>
            <w:tcW w:w="786"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p>
          <w:p w:rsidR="00BF72B1" w:rsidRPr="00544C27" w:rsidRDefault="00BF72B1" w:rsidP="00234AC7">
            <w:pPr>
              <w:pStyle w:val="TableText"/>
            </w:pPr>
            <w:r w:rsidRPr="00544C27">
              <w:t>$</w:t>
            </w:r>
            <w:r>
              <w:rPr>
                <w:noProof/>
                <w:color w:val="000000"/>
                <w:highlight w:val="black"/>
              </w:rPr>
              <w:t>''''''''''''''''</w:t>
            </w:r>
          </w:p>
        </w:tc>
        <w:tc>
          <w:tcPr>
            <w:tcW w:w="707"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p>
          <w:p w:rsidR="00BF72B1" w:rsidRPr="00544C27" w:rsidRDefault="00BF72B1" w:rsidP="00234AC7">
            <w:pPr>
              <w:pStyle w:val="TableText"/>
            </w:pPr>
            <w:r w:rsidRPr="00544C27">
              <w:t>0.58</w:t>
            </w:r>
          </w:p>
        </w:tc>
        <w:tc>
          <w:tcPr>
            <w:tcW w:w="915"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p>
          <w:p w:rsidR="00BF72B1" w:rsidRPr="00544C27" w:rsidRDefault="00BF72B1" w:rsidP="00234AC7">
            <w:pPr>
              <w:pStyle w:val="TableText"/>
            </w:pPr>
            <w:r w:rsidRPr="00544C27">
              <w:t>$</w:t>
            </w:r>
            <w:r>
              <w:rPr>
                <w:noProof/>
                <w:color w:val="000000"/>
                <w:highlight w:val="black"/>
              </w:rPr>
              <w:t>''''''''''''''''''</w:t>
            </w:r>
          </w:p>
        </w:tc>
      </w:tr>
      <w:tr w:rsidR="00BF72B1" w:rsidRPr="00CA18FA" w:rsidTr="00234AC7">
        <w:tc>
          <w:tcPr>
            <w:tcW w:w="2592" w:type="pct"/>
            <w:tcBorders>
              <w:top w:val="single" w:sz="4" w:space="0" w:color="auto"/>
              <w:left w:val="single" w:sz="4" w:space="0" w:color="auto"/>
              <w:bottom w:val="single" w:sz="4" w:space="0" w:color="auto"/>
              <w:right w:val="single" w:sz="4" w:space="0" w:color="auto"/>
            </w:tcBorders>
          </w:tcPr>
          <w:p w:rsidR="00BF72B1" w:rsidRPr="00EA2518" w:rsidRDefault="00BF72B1" w:rsidP="00234AC7">
            <w:pPr>
              <w:pStyle w:val="TableText"/>
              <w:rPr>
                <w:rFonts w:eastAsia="Times New Roman" w:cs="Times New Roman"/>
              </w:rPr>
            </w:pPr>
            <w:r w:rsidRPr="00EA2518">
              <w:rPr>
                <w:rFonts w:eastAsia="Times New Roman" w:cs="Times New Roman"/>
              </w:rPr>
              <w:t>OS in Historical Control treatment arm (3.37 in base case)</w:t>
            </w:r>
          </w:p>
          <w:p w:rsidR="00BF72B1" w:rsidRPr="00EA2518" w:rsidRDefault="00BF72B1" w:rsidP="00234AC7">
            <w:pPr>
              <w:pStyle w:val="TableText"/>
              <w:rPr>
                <w:rFonts w:eastAsia="Times New Roman" w:cs="Times New Roman"/>
              </w:rPr>
            </w:pPr>
            <w:r w:rsidRPr="00EA2518">
              <w:rPr>
                <w:rFonts w:eastAsia="Times New Roman" w:cs="Times New Roman"/>
              </w:rPr>
              <w:tab/>
              <w:t>3.534 (baseline adjustment)</w:t>
            </w:r>
          </w:p>
        </w:tc>
        <w:tc>
          <w:tcPr>
            <w:tcW w:w="786"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r w:rsidRPr="00544C27">
              <w:t>$</w:t>
            </w:r>
            <w:r>
              <w:rPr>
                <w:noProof/>
                <w:color w:val="000000"/>
                <w:highlight w:val="black"/>
              </w:rPr>
              <w:t>''''''''''''''''</w:t>
            </w:r>
          </w:p>
        </w:tc>
        <w:tc>
          <w:tcPr>
            <w:tcW w:w="707"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r w:rsidRPr="00544C27">
              <w:t>0.46</w:t>
            </w:r>
          </w:p>
        </w:tc>
        <w:tc>
          <w:tcPr>
            <w:tcW w:w="915" w:type="pct"/>
            <w:tcBorders>
              <w:top w:val="single" w:sz="4" w:space="0" w:color="auto"/>
              <w:left w:val="single" w:sz="4" w:space="0" w:color="auto"/>
              <w:bottom w:val="single" w:sz="4" w:space="0" w:color="auto"/>
              <w:right w:val="single" w:sz="4" w:space="0" w:color="auto"/>
            </w:tcBorders>
          </w:tcPr>
          <w:p w:rsidR="00BF72B1" w:rsidRPr="00544C27" w:rsidRDefault="00BF72B1" w:rsidP="00234AC7">
            <w:pPr>
              <w:pStyle w:val="TableText"/>
            </w:pPr>
          </w:p>
          <w:p w:rsidR="00BF72B1" w:rsidRPr="00544C27" w:rsidRDefault="00BF72B1" w:rsidP="00234AC7">
            <w:pPr>
              <w:pStyle w:val="TableText"/>
            </w:pPr>
            <w:r w:rsidRPr="00544C27">
              <w:t>$</w:t>
            </w:r>
            <w:r>
              <w:rPr>
                <w:noProof/>
                <w:color w:val="000000"/>
                <w:highlight w:val="black"/>
              </w:rPr>
              <w:t>''''''''''''''''''</w:t>
            </w:r>
          </w:p>
        </w:tc>
      </w:tr>
      <w:tr w:rsidR="00BF72B1" w:rsidRPr="00D44252" w:rsidTr="00234AC7">
        <w:tc>
          <w:tcPr>
            <w:tcW w:w="2592"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TableText"/>
              <w:keepNext w:val="0"/>
              <w:widowControl w:val="0"/>
              <w:rPr>
                <w:rFonts w:eastAsia="Times New Roman" w:cs="Times New Roman"/>
              </w:rPr>
            </w:pPr>
            <w:r w:rsidRPr="00D44252">
              <w:rPr>
                <w:rFonts w:eastAsia="Times New Roman" w:cs="Times New Roman"/>
              </w:rPr>
              <w:t>Number of cycles per patient (base case 5.59 cycles)</w:t>
            </w:r>
          </w:p>
          <w:p w:rsidR="00BF72B1" w:rsidRPr="00D44252" w:rsidRDefault="00BF72B1" w:rsidP="00234AC7">
            <w:pPr>
              <w:pStyle w:val="TableText"/>
              <w:rPr>
                <w:rFonts w:eastAsia="Times New Roman" w:cs="Times New Roman"/>
              </w:rPr>
            </w:pPr>
            <w:r w:rsidRPr="00D44252">
              <w:rPr>
                <w:rFonts w:eastAsia="Times New Roman" w:cs="Times New Roman"/>
              </w:rPr>
              <w:tab/>
              <w:t>7.9 cycles (</w:t>
            </w:r>
            <w:proofErr w:type="spellStart"/>
            <w:r w:rsidRPr="00D44252">
              <w:rPr>
                <w:rFonts w:eastAsia="Times New Roman" w:cs="Times New Roman"/>
              </w:rPr>
              <w:t>Piekartz</w:t>
            </w:r>
            <w:proofErr w:type="spellEnd"/>
            <w:r w:rsidRPr="00D44252">
              <w:rPr>
                <w:rFonts w:eastAsia="Times New Roman" w:cs="Times New Roman"/>
              </w:rPr>
              <w:t xml:space="preserve"> 2011)</w:t>
            </w:r>
            <w:r w:rsidRPr="00D44252">
              <w:rPr>
                <w:rFonts w:eastAsia="Times New Roman" w:cs="Times New Roman"/>
                <w:vertAlign w:val="superscript"/>
              </w:rPr>
              <w:t>b</w:t>
            </w:r>
          </w:p>
        </w:tc>
        <w:tc>
          <w:tcPr>
            <w:tcW w:w="786"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TableText"/>
              <w:keepNext w:val="0"/>
              <w:widowControl w:val="0"/>
            </w:pPr>
          </w:p>
          <w:p w:rsidR="00BF72B1" w:rsidRPr="00D44252" w:rsidRDefault="00BF72B1" w:rsidP="00234AC7">
            <w:pPr>
              <w:pStyle w:val="TableText"/>
            </w:pPr>
            <w:r w:rsidRPr="00D44252">
              <w:t>$</w:t>
            </w:r>
            <w:r>
              <w:rPr>
                <w:noProof/>
                <w:color w:val="000000"/>
                <w:highlight w:val="black"/>
              </w:rPr>
              <w:t>'''''''''''''''''</w:t>
            </w:r>
          </w:p>
        </w:tc>
        <w:tc>
          <w:tcPr>
            <w:tcW w:w="707"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TableText"/>
              <w:keepNext w:val="0"/>
              <w:widowControl w:val="0"/>
            </w:pPr>
          </w:p>
          <w:p w:rsidR="00BF72B1" w:rsidRPr="00D44252" w:rsidRDefault="00BF72B1" w:rsidP="00234AC7">
            <w:pPr>
              <w:pStyle w:val="TableText"/>
            </w:pPr>
            <w:r w:rsidRPr="00D44252">
              <w:t>0.73</w:t>
            </w:r>
          </w:p>
        </w:tc>
        <w:tc>
          <w:tcPr>
            <w:tcW w:w="915"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TableText"/>
              <w:keepNext w:val="0"/>
              <w:widowControl w:val="0"/>
            </w:pPr>
          </w:p>
          <w:p w:rsidR="00BF72B1" w:rsidRPr="00D44252" w:rsidRDefault="00BF72B1" w:rsidP="00234AC7">
            <w:pPr>
              <w:pStyle w:val="TableText"/>
            </w:pPr>
            <w:r w:rsidRPr="00D44252">
              <w:t>$</w:t>
            </w:r>
            <w:r>
              <w:rPr>
                <w:noProof/>
                <w:color w:val="000000"/>
                <w:highlight w:val="black"/>
              </w:rPr>
              <w:t>''''''''''''''''''</w:t>
            </w:r>
          </w:p>
        </w:tc>
      </w:tr>
      <w:tr w:rsidR="00BF72B1" w:rsidRPr="00D44252" w:rsidTr="00234AC7">
        <w:tc>
          <w:tcPr>
            <w:tcW w:w="5000" w:type="pct"/>
            <w:gridSpan w:val="4"/>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TableText"/>
              <w:keepNext w:val="0"/>
              <w:widowControl w:val="0"/>
              <w:rPr>
                <w:b/>
              </w:rPr>
            </w:pPr>
            <w:r w:rsidRPr="00D44252">
              <w:rPr>
                <w:b/>
              </w:rPr>
              <w:t>Multivariate analyses</w:t>
            </w:r>
          </w:p>
        </w:tc>
      </w:tr>
      <w:tr w:rsidR="00BF72B1" w:rsidRPr="00D44252" w:rsidTr="00234AC7">
        <w:tc>
          <w:tcPr>
            <w:tcW w:w="2592"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m-5279696091434399395tabletext"/>
              <w:spacing w:before="40" w:beforeAutospacing="0" w:after="40" w:afterAutospacing="0" w:line="252" w:lineRule="auto"/>
              <w:rPr>
                <w:rFonts w:ascii="Arial Narrow" w:hAnsi="Arial Narrow"/>
                <w:sz w:val="20"/>
                <w:szCs w:val="20"/>
                <w:lang w:eastAsia="en-US"/>
              </w:rPr>
            </w:pPr>
            <w:r w:rsidRPr="00D44252">
              <w:rPr>
                <w:rFonts w:ascii="Arial Narrow" w:hAnsi="Arial Narrow"/>
                <w:iCs/>
                <w:sz w:val="20"/>
                <w:szCs w:val="20"/>
                <w:lang w:eastAsia="en-US"/>
              </w:rPr>
              <w:t>0.75 used for PF (stable disease in Kang 2015)</w:t>
            </w:r>
          </w:p>
          <w:p w:rsidR="00BF72B1" w:rsidRPr="00D44252" w:rsidRDefault="00BF72B1" w:rsidP="00234AC7">
            <w:pPr>
              <w:pStyle w:val="m-5279696091434399395tabletext"/>
              <w:spacing w:before="40" w:beforeAutospacing="0" w:after="40" w:afterAutospacing="0" w:line="252" w:lineRule="auto"/>
              <w:rPr>
                <w:rFonts w:ascii="Arial Narrow" w:hAnsi="Arial Narrow"/>
                <w:sz w:val="20"/>
                <w:szCs w:val="20"/>
                <w:lang w:eastAsia="en-US"/>
              </w:rPr>
            </w:pPr>
            <w:r w:rsidRPr="00D44252">
              <w:rPr>
                <w:rFonts w:ascii="Arial Narrow" w:hAnsi="Arial Narrow"/>
                <w:iCs/>
                <w:sz w:val="20"/>
                <w:szCs w:val="20"/>
                <w:lang w:eastAsia="en-US"/>
              </w:rPr>
              <w:t>0.57 used for PD (progressed disease in Kang 2015)</w:t>
            </w:r>
          </w:p>
          <w:p w:rsidR="00BF72B1" w:rsidRPr="00D44252" w:rsidRDefault="00BF72B1" w:rsidP="00234AC7">
            <w:pPr>
              <w:pStyle w:val="TableText"/>
              <w:keepNext w:val="0"/>
              <w:widowControl w:val="0"/>
              <w:rPr>
                <w:iCs/>
                <w:szCs w:val="20"/>
              </w:rPr>
            </w:pPr>
            <w:r w:rsidRPr="00D44252">
              <w:rPr>
                <w:iCs/>
                <w:szCs w:val="20"/>
              </w:rPr>
              <w:t xml:space="preserve">Baseline OS adjusted for control group </w:t>
            </w:r>
          </w:p>
          <w:p w:rsidR="00BF72B1" w:rsidRPr="00D44252" w:rsidRDefault="00BF72B1" w:rsidP="00234AC7">
            <w:pPr>
              <w:pStyle w:val="TableText"/>
              <w:keepNext w:val="0"/>
              <w:widowControl w:val="0"/>
              <w:rPr>
                <w:rFonts w:eastAsia="Times New Roman" w:cs="Times New Roman"/>
              </w:rPr>
            </w:pPr>
            <w:r w:rsidRPr="00D44252">
              <w:rPr>
                <w:iCs/>
                <w:szCs w:val="20"/>
              </w:rPr>
              <w:t xml:space="preserve">(only those surviving &gt;7 months) </w:t>
            </w:r>
          </w:p>
        </w:tc>
        <w:tc>
          <w:tcPr>
            <w:tcW w:w="786"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m-5279696091434399395tabletext"/>
              <w:spacing w:before="0" w:beforeAutospacing="0" w:after="0" w:afterAutospacing="0" w:line="252" w:lineRule="auto"/>
              <w:rPr>
                <w:rFonts w:ascii="Arial Narrow" w:hAnsi="Arial Narrow"/>
                <w:sz w:val="20"/>
                <w:szCs w:val="20"/>
                <w:lang w:eastAsia="en-US"/>
              </w:rPr>
            </w:pPr>
            <w:r w:rsidRPr="00D44252">
              <w:rPr>
                <w:rFonts w:ascii="Arial Narrow" w:hAnsi="Arial Narrow"/>
                <w:iCs/>
                <w:sz w:val="20"/>
                <w:szCs w:val="20"/>
                <w:lang w:eastAsia="en-US"/>
              </w:rPr>
              <w:t> </w:t>
            </w:r>
          </w:p>
          <w:p w:rsidR="00BF72B1" w:rsidRPr="00D44252" w:rsidRDefault="00BF72B1" w:rsidP="00234AC7">
            <w:pPr>
              <w:pStyle w:val="TableText"/>
              <w:keepNext w:val="0"/>
              <w:widowControl w:val="0"/>
            </w:pPr>
            <w:r w:rsidRPr="00D44252">
              <w:rPr>
                <w:iCs/>
                <w:szCs w:val="20"/>
              </w:rPr>
              <w:t>$</w:t>
            </w:r>
            <w:r>
              <w:rPr>
                <w:iCs/>
                <w:noProof/>
                <w:color w:val="000000"/>
                <w:szCs w:val="20"/>
                <w:highlight w:val="black"/>
              </w:rPr>
              <w:t>''''''''''''''''</w:t>
            </w:r>
          </w:p>
        </w:tc>
        <w:tc>
          <w:tcPr>
            <w:tcW w:w="707"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m-5279696091434399395tabletext"/>
              <w:spacing w:before="0" w:beforeAutospacing="0" w:after="0" w:afterAutospacing="0" w:line="252" w:lineRule="auto"/>
              <w:rPr>
                <w:rFonts w:ascii="Arial Narrow" w:hAnsi="Arial Narrow"/>
                <w:sz w:val="20"/>
                <w:szCs w:val="20"/>
                <w:lang w:eastAsia="en-US"/>
              </w:rPr>
            </w:pPr>
            <w:r w:rsidRPr="00D44252">
              <w:rPr>
                <w:rFonts w:ascii="Arial Narrow" w:hAnsi="Arial Narrow"/>
                <w:iCs/>
                <w:sz w:val="20"/>
                <w:szCs w:val="20"/>
                <w:lang w:eastAsia="en-US"/>
              </w:rPr>
              <w:t> </w:t>
            </w:r>
          </w:p>
          <w:p w:rsidR="00BF72B1" w:rsidRPr="00D44252" w:rsidRDefault="00BF72B1" w:rsidP="00234AC7">
            <w:pPr>
              <w:pStyle w:val="TableText"/>
              <w:keepNext w:val="0"/>
              <w:widowControl w:val="0"/>
            </w:pPr>
            <w:r w:rsidRPr="00D44252">
              <w:rPr>
                <w:iCs/>
                <w:szCs w:val="20"/>
              </w:rPr>
              <w:t>0.40</w:t>
            </w:r>
          </w:p>
        </w:tc>
        <w:tc>
          <w:tcPr>
            <w:tcW w:w="915"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m-5279696091434399395tabletext"/>
              <w:spacing w:before="0" w:beforeAutospacing="0" w:after="0" w:afterAutospacing="0" w:line="252" w:lineRule="auto"/>
              <w:rPr>
                <w:rFonts w:ascii="Arial Narrow" w:hAnsi="Arial Narrow"/>
                <w:sz w:val="20"/>
                <w:szCs w:val="20"/>
                <w:lang w:eastAsia="en-US"/>
              </w:rPr>
            </w:pPr>
            <w:r w:rsidRPr="00D44252">
              <w:rPr>
                <w:rFonts w:ascii="Arial Narrow" w:hAnsi="Arial Narrow"/>
                <w:iCs/>
                <w:sz w:val="20"/>
                <w:szCs w:val="20"/>
                <w:lang w:eastAsia="en-US"/>
              </w:rPr>
              <w:t> </w:t>
            </w:r>
          </w:p>
          <w:p w:rsidR="00BF72B1" w:rsidRPr="00D44252" w:rsidRDefault="00BF72B1" w:rsidP="00234AC7">
            <w:pPr>
              <w:pStyle w:val="TableText"/>
              <w:keepNext w:val="0"/>
              <w:widowControl w:val="0"/>
            </w:pPr>
            <w:r w:rsidRPr="00D44252">
              <w:rPr>
                <w:iCs/>
                <w:szCs w:val="20"/>
              </w:rPr>
              <w:t>$</w:t>
            </w:r>
            <w:r>
              <w:rPr>
                <w:iCs/>
                <w:noProof/>
                <w:color w:val="000000"/>
                <w:szCs w:val="20"/>
                <w:highlight w:val="black"/>
              </w:rPr>
              <w:t>'''''''''''''''''''</w:t>
            </w:r>
          </w:p>
        </w:tc>
      </w:tr>
      <w:tr w:rsidR="00BF72B1" w:rsidRPr="00D44252" w:rsidTr="00234AC7">
        <w:tc>
          <w:tcPr>
            <w:tcW w:w="2592"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m-5279696091434399395tabletext"/>
              <w:spacing w:before="40" w:beforeAutospacing="0" w:after="40" w:afterAutospacing="0" w:line="252" w:lineRule="auto"/>
              <w:rPr>
                <w:rFonts w:ascii="Arial Narrow" w:hAnsi="Arial Narrow"/>
                <w:sz w:val="20"/>
                <w:szCs w:val="20"/>
                <w:lang w:eastAsia="en-US"/>
              </w:rPr>
            </w:pPr>
            <w:r w:rsidRPr="00D44252">
              <w:rPr>
                <w:rFonts w:ascii="Arial Narrow" w:hAnsi="Arial Narrow"/>
                <w:iCs/>
                <w:sz w:val="20"/>
                <w:szCs w:val="20"/>
                <w:lang w:eastAsia="en-US"/>
              </w:rPr>
              <w:t xml:space="preserve">0.78 used for PF (Unweighted mean* of Complete response, Partial response, &amp; Stable disease </w:t>
            </w:r>
            <w:proofErr w:type="spellStart"/>
            <w:r w:rsidRPr="00D44252">
              <w:rPr>
                <w:rFonts w:ascii="Arial Narrow" w:hAnsi="Arial Narrow"/>
                <w:iCs/>
                <w:sz w:val="20"/>
                <w:szCs w:val="20"/>
                <w:lang w:eastAsia="en-US"/>
              </w:rPr>
              <w:t>Swinburn</w:t>
            </w:r>
            <w:proofErr w:type="spellEnd"/>
            <w:r w:rsidRPr="00D44252">
              <w:rPr>
                <w:rFonts w:ascii="Arial Narrow" w:hAnsi="Arial Narrow"/>
                <w:iCs/>
                <w:sz w:val="20"/>
                <w:szCs w:val="20"/>
                <w:lang w:eastAsia="en-US"/>
              </w:rPr>
              <w:t xml:space="preserve"> et al (2015))</w:t>
            </w:r>
          </w:p>
          <w:p w:rsidR="00BF72B1" w:rsidRPr="00D44252" w:rsidRDefault="00BF72B1" w:rsidP="00234AC7">
            <w:pPr>
              <w:pStyle w:val="m-5279696091434399395tabletext"/>
              <w:spacing w:before="40" w:beforeAutospacing="0" w:after="40" w:afterAutospacing="0" w:line="252" w:lineRule="auto"/>
              <w:rPr>
                <w:rFonts w:ascii="Arial Narrow" w:hAnsi="Arial Narrow"/>
                <w:iCs/>
                <w:sz w:val="20"/>
                <w:szCs w:val="20"/>
                <w:lang w:eastAsia="en-US"/>
              </w:rPr>
            </w:pPr>
            <w:r w:rsidRPr="00D44252">
              <w:rPr>
                <w:rFonts w:ascii="Arial Narrow" w:hAnsi="Arial Narrow"/>
                <w:iCs/>
                <w:sz w:val="20"/>
                <w:szCs w:val="20"/>
                <w:lang w:eastAsia="en-US"/>
              </w:rPr>
              <w:t xml:space="preserve">0.32 used for PD (progressed disease in </w:t>
            </w:r>
            <w:proofErr w:type="spellStart"/>
            <w:r w:rsidRPr="00D44252">
              <w:rPr>
                <w:rFonts w:ascii="Arial Narrow" w:hAnsi="Arial Narrow"/>
                <w:iCs/>
                <w:sz w:val="20"/>
                <w:szCs w:val="20"/>
                <w:lang w:eastAsia="en-US"/>
              </w:rPr>
              <w:t>Swinburn</w:t>
            </w:r>
            <w:proofErr w:type="spellEnd"/>
            <w:r w:rsidRPr="00D44252">
              <w:rPr>
                <w:rFonts w:ascii="Arial Narrow" w:hAnsi="Arial Narrow"/>
                <w:iCs/>
                <w:sz w:val="20"/>
                <w:szCs w:val="20"/>
                <w:lang w:eastAsia="en-US"/>
              </w:rPr>
              <w:t xml:space="preserve"> et al 2015)</w:t>
            </w:r>
          </w:p>
          <w:p w:rsidR="00BF72B1" w:rsidRPr="00D44252" w:rsidRDefault="00BF72B1" w:rsidP="00234AC7">
            <w:pPr>
              <w:pStyle w:val="TableText"/>
              <w:keepNext w:val="0"/>
              <w:widowControl w:val="0"/>
              <w:rPr>
                <w:iCs/>
                <w:szCs w:val="20"/>
              </w:rPr>
            </w:pPr>
            <w:r w:rsidRPr="00D44252">
              <w:rPr>
                <w:iCs/>
                <w:szCs w:val="20"/>
              </w:rPr>
              <w:t xml:space="preserve">Baseline OS adjusted for control group </w:t>
            </w:r>
          </w:p>
          <w:p w:rsidR="00BF72B1" w:rsidRPr="00D44252" w:rsidRDefault="00BF72B1" w:rsidP="00234AC7">
            <w:pPr>
              <w:pStyle w:val="TableText"/>
              <w:keepNext w:val="0"/>
              <w:widowControl w:val="0"/>
              <w:rPr>
                <w:rFonts w:eastAsia="Times New Roman" w:cs="Times New Roman"/>
              </w:rPr>
            </w:pPr>
            <w:r w:rsidRPr="00D44252">
              <w:rPr>
                <w:iCs/>
                <w:szCs w:val="20"/>
              </w:rPr>
              <w:t xml:space="preserve">(only those surviving &gt;7 months) </w:t>
            </w:r>
          </w:p>
        </w:tc>
        <w:tc>
          <w:tcPr>
            <w:tcW w:w="786"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m-5279696091434399395tabletext"/>
              <w:spacing w:before="0" w:beforeAutospacing="0" w:after="0" w:afterAutospacing="0" w:line="252" w:lineRule="auto"/>
              <w:rPr>
                <w:rFonts w:ascii="Arial Narrow" w:hAnsi="Arial Narrow"/>
                <w:sz w:val="20"/>
                <w:szCs w:val="20"/>
                <w:lang w:eastAsia="en-US"/>
              </w:rPr>
            </w:pPr>
            <w:r w:rsidRPr="00D44252">
              <w:rPr>
                <w:rFonts w:ascii="Arial Narrow" w:hAnsi="Arial Narrow"/>
                <w:iCs/>
                <w:sz w:val="20"/>
                <w:szCs w:val="20"/>
                <w:lang w:eastAsia="en-US"/>
              </w:rPr>
              <w:t> </w:t>
            </w:r>
          </w:p>
          <w:p w:rsidR="00BF72B1" w:rsidRPr="00D44252" w:rsidRDefault="00BF72B1" w:rsidP="00234AC7">
            <w:pPr>
              <w:pStyle w:val="TableText"/>
              <w:keepNext w:val="0"/>
              <w:widowControl w:val="0"/>
            </w:pPr>
            <w:r w:rsidRPr="00D44252">
              <w:rPr>
                <w:iCs/>
                <w:szCs w:val="20"/>
              </w:rPr>
              <w:t>$</w:t>
            </w:r>
            <w:r>
              <w:rPr>
                <w:iCs/>
                <w:noProof/>
                <w:color w:val="000000"/>
                <w:szCs w:val="20"/>
                <w:highlight w:val="black"/>
              </w:rPr>
              <w:t>'''''''''''''''''</w:t>
            </w:r>
          </w:p>
        </w:tc>
        <w:tc>
          <w:tcPr>
            <w:tcW w:w="707"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m-5279696091434399395tabletext"/>
              <w:spacing w:before="0" w:beforeAutospacing="0" w:after="0" w:afterAutospacing="0" w:line="252" w:lineRule="auto"/>
              <w:rPr>
                <w:rFonts w:ascii="Arial Narrow" w:hAnsi="Arial Narrow"/>
                <w:sz w:val="20"/>
                <w:szCs w:val="20"/>
                <w:lang w:eastAsia="en-US"/>
              </w:rPr>
            </w:pPr>
            <w:r w:rsidRPr="00D44252">
              <w:rPr>
                <w:rFonts w:ascii="Arial Narrow" w:hAnsi="Arial Narrow"/>
                <w:iCs/>
                <w:sz w:val="20"/>
                <w:szCs w:val="20"/>
                <w:lang w:eastAsia="en-US"/>
              </w:rPr>
              <w:t> </w:t>
            </w:r>
          </w:p>
          <w:p w:rsidR="00BF72B1" w:rsidRPr="00D44252" w:rsidRDefault="00BF72B1" w:rsidP="00234AC7">
            <w:pPr>
              <w:pStyle w:val="TableText"/>
              <w:keepNext w:val="0"/>
              <w:widowControl w:val="0"/>
            </w:pPr>
            <w:r w:rsidRPr="00D44252">
              <w:rPr>
                <w:iCs/>
                <w:szCs w:val="20"/>
              </w:rPr>
              <w:t>0.31</w:t>
            </w:r>
          </w:p>
        </w:tc>
        <w:tc>
          <w:tcPr>
            <w:tcW w:w="915" w:type="pct"/>
            <w:tcBorders>
              <w:top w:val="single" w:sz="4" w:space="0" w:color="auto"/>
              <w:left w:val="single" w:sz="4" w:space="0" w:color="auto"/>
              <w:bottom w:val="single" w:sz="4" w:space="0" w:color="auto"/>
              <w:right w:val="single" w:sz="4" w:space="0" w:color="auto"/>
            </w:tcBorders>
          </w:tcPr>
          <w:p w:rsidR="00BF72B1" w:rsidRPr="00D44252" w:rsidRDefault="00BF72B1" w:rsidP="00234AC7">
            <w:pPr>
              <w:pStyle w:val="m-5279696091434399395tabletext"/>
              <w:spacing w:before="0" w:beforeAutospacing="0" w:after="0" w:afterAutospacing="0" w:line="252" w:lineRule="auto"/>
              <w:rPr>
                <w:rFonts w:ascii="Arial Narrow" w:hAnsi="Arial Narrow"/>
                <w:sz w:val="20"/>
                <w:szCs w:val="20"/>
                <w:lang w:eastAsia="en-US"/>
              </w:rPr>
            </w:pPr>
            <w:r w:rsidRPr="00D44252">
              <w:rPr>
                <w:rFonts w:ascii="Arial Narrow" w:hAnsi="Arial Narrow"/>
                <w:iCs/>
                <w:sz w:val="20"/>
                <w:szCs w:val="20"/>
                <w:lang w:eastAsia="en-US"/>
              </w:rPr>
              <w:t> </w:t>
            </w:r>
          </w:p>
          <w:p w:rsidR="00BF72B1" w:rsidRPr="00D44252" w:rsidRDefault="00BF72B1" w:rsidP="00234AC7">
            <w:pPr>
              <w:pStyle w:val="TableText"/>
              <w:keepNext w:val="0"/>
              <w:widowControl w:val="0"/>
            </w:pPr>
            <w:r w:rsidRPr="00D44252">
              <w:rPr>
                <w:iCs/>
                <w:szCs w:val="20"/>
              </w:rPr>
              <w:t>$</w:t>
            </w:r>
            <w:r>
              <w:rPr>
                <w:iCs/>
                <w:noProof/>
                <w:color w:val="000000"/>
                <w:szCs w:val="20"/>
                <w:highlight w:val="black"/>
              </w:rPr>
              <w:t>''''''''''''''''''</w:t>
            </w:r>
          </w:p>
        </w:tc>
      </w:tr>
    </w:tbl>
    <w:p w:rsidR="00BF72B1" w:rsidRPr="00D44252" w:rsidRDefault="00BF72B1" w:rsidP="00BF72B1">
      <w:pPr>
        <w:pStyle w:val="TableFooter"/>
      </w:pPr>
      <w:r w:rsidRPr="00D44252">
        <w:t>Source: Table 41, p61 of the submission, and calculated during the evaluation</w:t>
      </w:r>
    </w:p>
    <w:p w:rsidR="00BF72B1" w:rsidRPr="00D44252" w:rsidRDefault="00BF72B1" w:rsidP="00BF72B1">
      <w:pPr>
        <w:pStyle w:val="TableFooter"/>
      </w:pPr>
      <w:r w:rsidRPr="00D44252">
        <w:t>AE = adverse event; DPMQ = dispensed price maximum quantity; OS = overall survival; PBS = Pharmaceutical Benefits Scheme; PD = progressive disease; PFS = progression free survival; SD = stable disease</w:t>
      </w:r>
    </w:p>
    <w:p w:rsidR="00BF72B1" w:rsidRPr="00D44252" w:rsidRDefault="00BF72B1" w:rsidP="00BF72B1">
      <w:pPr>
        <w:pStyle w:val="TableFooter"/>
      </w:pPr>
      <w:r w:rsidRPr="00D44252">
        <w:t xml:space="preserve">*the use of an unweighted mean overestimates the actual benefit in this population </w:t>
      </w:r>
    </w:p>
    <w:p w:rsidR="00BF72B1" w:rsidRPr="00D44252" w:rsidRDefault="00BF72B1" w:rsidP="00BF72B1">
      <w:pPr>
        <w:pStyle w:val="TableFooter"/>
      </w:pPr>
      <w:proofErr w:type="gramStart"/>
      <w:r w:rsidRPr="00D44252">
        <w:rPr>
          <w:vertAlign w:val="superscript"/>
        </w:rPr>
        <w:t>a</w:t>
      </w:r>
      <w:proofErr w:type="gramEnd"/>
      <w:r w:rsidRPr="00D44252">
        <w:t xml:space="preserve"> health state utilities for relapsed or refractory peripheral T-cell lymphoma</w:t>
      </w:r>
    </w:p>
    <w:p w:rsidR="00BF72B1" w:rsidRPr="00D44252" w:rsidRDefault="00BF72B1" w:rsidP="00BF72B1">
      <w:pPr>
        <w:pStyle w:val="TableFooter"/>
      </w:pPr>
      <w:proofErr w:type="gramStart"/>
      <w:r w:rsidRPr="00D44252">
        <w:rPr>
          <w:vertAlign w:val="superscript"/>
        </w:rPr>
        <w:t>b</w:t>
      </w:r>
      <w:proofErr w:type="gramEnd"/>
      <w:r w:rsidRPr="00D44252">
        <w:rPr>
          <w:vertAlign w:val="superscript"/>
        </w:rPr>
        <w:t xml:space="preserve"> </w:t>
      </w:r>
      <w:r w:rsidRPr="00D44252">
        <w:t>input 23.4 doses per patient and 69.68 vials per patient to cost calculations (Section 3 economic evaluation.xlsx)</w:t>
      </w:r>
    </w:p>
    <w:p w:rsidR="00BF72B1" w:rsidRPr="009A66AE" w:rsidRDefault="00BF72B1" w:rsidP="00BF72B1">
      <w:pPr>
        <w:pStyle w:val="ListParagraph"/>
        <w:numPr>
          <w:ilvl w:val="1"/>
          <w:numId w:val="1"/>
        </w:numPr>
        <w:spacing w:before="0" w:after="120"/>
        <w:jc w:val="both"/>
      </w:pPr>
      <w:r w:rsidRPr="009A66AE">
        <w:t>The model is most sensitive to cost of romidepsin, the number of cycles of romidepsin and the utility values applied to the time spent in progressed disease.</w:t>
      </w:r>
    </w:p>
    <w:p w:rsidR="00BF72B1" w:rsidRPr="005D1793" w:rsidRDefault="00BF72B1" w:rsidP="00BF72B1">
      <w:pPr>
        <w:pStyle w:val="ListParagraph"/>
        <w:numPr>
          <w:ilvl w:val="1"/>
          <w:numId w:val="1"/>
        </w:numPr>
        <w:spacing w:before="0" w:after="120"/>
        <w:jc w:val="both"/>
      </w:pPr>
      <w:r w:rsidRPr="005D1793">
        <w:t xml:space="preserve">A multivariate sensitivity analysis applying the adjusted control survival data and lower utilities (0.78 and 0.32 for stable and progressed disease respectively, from </w:t>
      </w:r>
      <w:proofErr w:type="spellStart"/>
      <w:r w:rsidRPr="005D1793">
        <w:t>Swinburn</w:t>
      </w:r>
      <w:proofErr w:type="spellEnd"/>
      <w:r w:rsidRPr="005D1793">
        <w:t xml:space="preserve"> et al 2015) increased the ICER from $</w:t>
      </w:r>
      <w:r>
        <w:t xml:space="preserve">45,000 - $75,000 </w:t>
      </w:r>
      <w:r w:rsidRPr="005D1793">
        <w:t>to $</w:t>
      </w:r>
      <w:r>
        <w:t>105,000 - $200,000</w:t>
      </w:r>
      <w:r w:rsidRPr="005D1793">
        <w:t xml:space="preserve">.  </w:t>
      </w:r>
    </w:p>
    <w:p w:rsidR="00BF72B1" w:rsidRPr="00B83CF4" w:rsidRDefault="00BF72B1" w:rsidP="00BF72B1">
      <w:pPr>
        <w:pStyle w:val="Heading2"/>
      </w:pPr>
      <w:bookmarkStart w:id="35" w:name="_Toc413139283"/>
      <w:bookmarkStart w:id="36" w:name="_Toc496529134"/>
      <w:bookmarkStart w:id="37" w:name="_Toc497396005"/>
      <w:r w:rsidRPr="00B83CF4">
        <w:t>Drug cost/patient/course</w:t>
      </w:r>
      <w:bookmarkEnd w:id="35"/>
      <w:r w:rsidRPr="00B83CF4">
        <w:t>: $</w:t>
      </w:r>
      <w:bookmarkEnd w:id="36"/>
      <w:bookmarkEnd w:id="37"/>
      <w:r>
        <w:rPr>
          <w:noProof/>
          <w:color w:val="000000"/>
          <w:highlight w:val="black"/>
        </w:rPr>
        <w:t>'''''''''''''''''''</w:t>
      </w:r>
    </w:p>
    <w:p w:rsidR="00BF72B1" w:rsidRPr="00B83CF4" w:rsidRDefault="00BF72B1" w:rsidP="00BF72B1">
      <w:pPr>
        <w:pStyle w:val="ListParagraph"/>
        <w:numPr>
          <w:ilvl w:val="1"/>
          <w:numId w:val="1"/>
        </w:numPr>
        <w:spacing w:before="0" w:after="120"/>
        <w:jc w:val="both"/>
      </w:pPr>
      <w:r w:rsidRPr="00B83CF4">
        <w:t>The total cost of romidepsin treatment was calculated to be $</w:t>
      </w:r>
      <w:r>
        <w:rPr>
          <w:noProof/>
          <w:color w:val="000000"/>
          <w:highlight w:val="black"/>
        </w:rPr>
        <w:t>'''''''''''''''''</w:t>
      </w:r>
      <w:r w:rsidRPr="00B83CF4">
        <w:t xml:space="preserve"> (assuming a cost of per vial of $</w:t>
      </w:r>
      <w:r>
        <w:rPr>
          <w:noProof/>
          <w:color w:val="000000"/>
          <w:highlight w:val="black"/>
        </w:rPr>
        <w:t>''''''''''''</w:t>
      </w:r>
      <w:r w:rsidRPr="00B83CF4">
        <w:t>; 45.62 vials per patient; 15.5 doses per patient; and $83.22 hospital preparation fee per dose). The total cost of comparator treatment was $</w:t>
      </w:r>
      <w:r>
        <w:rPr>
          <w:noProof/>
          <w:color w:val="000000"/>
          <w:highlight w:val="black"/>
        </w:rPr>
        <w:t>'''''''''''</w:t>
      </w:r>
      <w:r w:rsidRPr="00B83CF4">
        <w:t xml:space="preserve"> (assuming cost of monitoring and follow-up only for the comparator).</w:t>
      </w:r>
    </w:p>
    <w:p w:rsidR="00BF72B1" w:rsidRPr="00DD73A6" w:rsidRDefault="00BF72B1" w:rsidP="00BF72B1">
      <w:pPr>
        <w:pStyle w:val="ListParagraph"/>
        <w:numPr>
          <w:ilvl w:val="1"/>
          <w:numId w:val="1"/>
        </w:numPr>
        <w:spacing w:before="0" w:after="120"/>
        <w:jc w:val="both"/>
      </w:pPr>
      <w:r w:rsidRPr="00DD73A6">
        <w:lastRenderedPageBreak/>
        <w:t>In the November 2016 submission, the cost of romidepsin was calculated to be $</w:t>
      </w:r>
      <w:r>
        <w:rPr>
          <w:noProof/>
          <w:color w:val="000000"/>
          <w:highlight w:val="black"/>
        </w:rPr>
        <w:t>''''''''''''</w:t>
      </w:r>
      <w:r w:rsidRPr="00DD73A6">
        <w:t xml:space="preserve"> per patient per course. No costs were attributed to the comparator (no active treatment). </w:t>
      </w:r>
    </w:p>
    <w:p w:rsidR="00BF72B1" w:rsidRDefault="00BF72B1" w:rsidP="00BF72B1">
      <w:pPr>
        <w:pStyle w:val="Heading2"/>
      </w:pPr>
      <w:bookmarkStart w:id="38" w:name="_Toc413139284"/>
      <w:bookmarkStart w:id="39" w:name="_Toc496529135"/>
      <w:bookmarkStart w:id="40" w:name="_Toc497396006"/>
      <w:r>
        <w:t>Estimated PBS usage &amp; financial implications</w:t>
      </w:r>
      <w:bookmarkEnd w:id="38"/>
      <w:bookmarkEnd w:id="39"/>
      <w:bookmarkEnd w:id="40"/>
    </w:p>
    <w:p w:rsidR="00BF72B1" w:rsidRPr="00DD73A6" w:rsidRDefault="00BF72B1" w:rsidP="00BF72B1">
      <w:pPr>
        <w:pStyle w:val="ListParagraph"/>
        <w:numPr>
          <w:ilvl w:val="1"/>
          <w:numId w:val="1"/>
        </w:numPr>
        <w:spacing w:before="0" w:after="120"/>
        <w:jc w:val="both"/>
      </w:pPr>
      <w:r w:rsidRPr="00DD73A6">
        <w:t xml:space="preserve">This submission </w:t>
      </w:r>
      <w:r>
        <w:t>was</w:t>
      </w:r>
      <w:r w:rsidRPr="00DD73A6">
        <w:t xml:space="preserve"> not considered by DUSC. </w:t>
      </w:r>
    </w:p>
    <w:p w:rsidR="00BF72B1" w:rsidRPr="00EA2518" w:rsidRDefault="00BF72B1" w:rsidP="00BF72B1">
      <w:pPr>
        <w:pStyle w:val="ListParagraph"/>
        <w:numPr>
          <w:ilvl w:val="1"/>
          <w:numId w:val="1"/>
        </w:numPr>
        <w:spacing w:before="0" w:after="120"/>
        <w:jc w:val="both"/>
      </w:pPr>
      <w:r w:rsidRPr="00021941">
        <w:t>The resubmis</w:t>
      </w:r>
      <w:r>
        <w:t xml:space="preserve">sion </w:t>
      </w:r>
      <w:r w:rsidRPr="00021941">
        <w:t xml:space="preserve">used an epidemiological approach to determine the likely number of patients and costs associated with listing </w:t>
      </w:r>
      <w:r w:rsidRPr="00DD73A6">
        <w:t xml:space="preserve">romidepsin on the PBS/RPBS. </w:t>
      </w:r>
      <w:r w:rsidRPr="00EA2518">
        <w:t>The method of calculation of the number of NHL patients per year was different to the previous su</w:t>
      </w:r>
      <w:r>
        <w:t>bmission. In the November 2016 s</w:t>
      </w:r>
      <w:r w:rsidRPr="00EA2518">
        <w:t>ubmission, the incidence of NHL was determined by applying an estimate of incidence of NHL of 19 per 100,000 to the projected population of Australia. The resubmission conducted a linear extrapolation of NHL incidence data (from 2008 to 2013) to estimate expected NHL incidence figures for 2018 to 2023.</w:t>
      </w:r>
    </w:p>
    <w:p w:rsidR="00BF72B1" w:rsidRPr="00575C5D" w:rsidRDefault="00BF72B1" w:rsidP="00BF72B1">
      <w:pPr>
        <w:pStyle w:val="ListParagraph"/>
        <w:numPr>
          <w:ilvl w:val="1"/>
          <w:numId w:val="1"/>
        </w:numPr>
        <w:spacing w:before="0" w:after="120"/>
        <w:jc w:val="both"/>
        <w:rPr>
          <w:i/>
        </w:rPr>
      </w:pPr>
      <w:r>
        <w:t>Individual patient data were</w:t>
      </w:r>
      <w:r w:rsidRPr="00DD73A6">
        <w:t xml:space="preserve"> used to calculate the average use of romidepsin (updated from the </w:t>
      </w:r>
      <w:r w:rsidRPr="00575C5D">
        <w:rPr>
          <w:rFonts w:cs="Arial"/>
          <w:szCs w:val="20"/>
        </w:rPr>
        <w:t>Study 0002 Addendum)</w:t>
      </w:r>
      <w:r w:rsidRPr="00DD73A6">
        <w:t xml:space="preserve">. The cost of concomitant </w:t>
      </w:r>
      <w:r>
        <w:t xml:space="preserve">anti-emetic </w:t>
      </w:r>
      <w:r w:rsidRPr="00DD73A6">
        <w:t>treatment (ondansetron only), a drug administration fee, and a hospital preparation fee were included in the estimates for romidepsin (No concomitant treatment was included in the November 2016 Submission). The costs of monitoring and follow-up were included in the estimates for rom</w:t>
      </w:r>
      <w:r>
        <w:t xml:space="preserve">idepsin and </w:t>
      </w:r>
      <w:proofErr w:type="gramStart"/>
      <w:r>
        <w:t>no active therapy (n</w:t>
      </w:r>
      <w:r w:rsidRPr="00DD73A6">
        <w:t>ot included in the November 2016 Submission)</w:t>
      </w:r>
      <w:proofErr w:type="gramEnd"/>
      <w:r w:rsidRPr="00DD73A6">
        <w:t xml:space="preserve">. The cost per vial of romidepsin and the average co-payment per dose were updated for the romidepsin treatment arm. As in the November 2016 submission, no treatment costs were included in the comparator treatment arm (considered no active therapy). </w:t>
      </w:r>
    </w:p>
    <w:p w:rsidR="00544932" w:rsidRPr="00544932" w:rsidRDefault="00544932" w:rsidP="00544932">
      <w:pPr>
        <w:pStyle w:val="Caption"/>
        <w:rPr>
          <w:rFonts w:ascii="Arial Narrow" w:hAnsi="Arial Narrow"/>
        </w:rPr>
      </w:pPr>
      <w:r w:rsidRPr="00544932">
        <w:rPr>
          <w:rFonts w:ascii="Arial Narrow" w:hAnsi="Arial Narrow"/>
        </w:rPr>
        <w:lastRenderedPageBreak/>
        <w:t xml:space="preserve">Table </w:t>
      </w:r>
      <w:r w:rsidRPr="00544932">
        <w:rPr>
          <w:rFonts w:ascii="Arial Narrow" w:hAnsi="Arial Narrow"/>
        </w:rPr>
        <w:fldChar w:fldCharType="begin"/>
      </w:r>
      <w:r w:rsidRPr="00544932">
        <w:rPr>
          <w:rFonts w:ascii="Arial Narrow" w:hAnsi="Arial Narrow"/>
        </w:rPr>
        <w:instrText xml:space="preserve"> SEQ Table \* ARABIC </w:instrText>
      </w:r>
      <w:r w:rsidRPr="00544932">
        <w:rPr>
          <w:rFonts w:ascii="Arial Narrow" w:hAnsi="Arial Narrow"/>
        </w:rPr>
        <w:fldChar w:fldCharType="separate"/>
      </w:r>
      <w:r w:rsidR="009E192F">
        <w:rPr>
          <w:rFonts w:ascii="Arial Narrow" w:hAnsi="Arial Narrow"/>
          <w:noProof/>
        </w:rPr>
        <w:t>11</w:t>
      </w:r>
      <w:r w:rsidRPr="00544932">
        <w:rPr>
          <w:rFonts w:ascii="Arial Narrow" w:hAnsi="Arial Narrow"/>
        </w:rPr>
        <w:fldChar w:fldCharType="end"/>
      </w:r>
      <w:r w:rsidRPr="00544932">
        <w:rPr>
          <w:rFonts w:ascii="Arial Narrow" w:hAnsi="Arial Narrow"/>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2014"/>
        <w:gridCol w:w="1165"/>
        <w:gridCol w:w="1165"/>
        <w:gridCol w:w="1165"/>
        <w:gridCol w:w="1165"/>
        <w:gridCol w:w="1165"/>
        <w:gridCol w:w="1165"/>
      </w:tblGrid>
      <w:tr w:rsidR="00BF72B1" w:rsidRPr="003639A6" w:rsidTr="00234AC7">
        <w:trPr>
          <w:tblHeader/>
        </w:trPr>
        <w:tc>
          <w:tcPr>
            <w:tcW w:w="1118" w:type="pct"/>
            <w:shd w:val="clear" w:color="auto" w:fill="auto"/>
            <w:vAlign w:val="center"/>
          </w:tcPr>
          <w:p w:rsidR="00BF72B1" w:rsidRPr="003639A6" w:rsidRDefault="00BF72B1" w:rsidP="00234AC7">
            <w:pPr>
              <w:pStyle w:val="TableText"/>
            </w:pPr>
          </w:p>
        </w:tc>
        <w:tc>
          <w:tcPr>
            <w:tcW w:w="647" w:type="pct"/>
            <w:shd w:val="clear" w:color="auto" w:fill="auto"/>
            <w:vAlign w:val="center"/>
          </w:tcPr>
          <w:p w:rsidR="00BF72B1" w:rsidRPr="00D1078F" w:rsidRDefault="00BF72B1" w:rsidP="00234AC7">
            <w:pPr>
              <w:pStyle w:val="TableText"/>
              <w:rPr>
                <w:b/>
              </w:rPr>
            </w:pPr>
            <w:r w:rsidRPr="00D1078F">
              <w:rPr>
                <w:b/>
              </w:rPr>
              <w:t>Year 1</w:t>
            </w:r>
          </w:p>
        </w:tc>
        <w:tc>
          <w:tcPr>
            <w:tcW w:w="647" w:type="pct"/>
            <w:shd w:val="clear" w:color="auto" w:fill="auto"/>
            <w:vAlign w:val="center"/>
          </w:tcPr>
          <w:p w:rsidR="00BF72B1" w:rsidRPr="00D1078F" w:rsidRDefault="00BF72B1" w:rsidP="00234AC7">
            <w:pPr>
              <w:pStyle w:val="TableText"/>
              <w:rPr>
                <w:b/>
              </w:rPr>
            </w:pPr>
            <w:r w:rsidRPr="00D1078F">
              <w:rPr>
                <w:b/>
              </w:rPr>
              <w:t>Year 2</w:t>
            </w:r>
          </w:p>
        </w:tc>
        <w:tc>
          <w:tcPr>
            <w:tcW w:w="647" w:type="pct"/>
            <w:shd w:val="clear" w:color="auto" w:fill="auto"/>
            <w:vAlign w:val="center"/>
          </w:tcPr>
          <w:p w:rsidR="00BF72B1" w:rsidRPr="00D1078F" w:rsidRDefault="00BF72B1" w:rsidP="00234AC7">
            <w:pPr>
              <w:pStyle w:val="TableText"/>
              <w:rPr>
                <w:b/>
              </w:rPr>
            </w:pPr>
            <w:r w:rsidRPr="00D1078F">
              <w:rPr>
                <w:b/>
              </w:rPr>
              <w:t>Year 3</w:t>
            </w:r>
          </w:p>
        </w:tc>
        <w:tc>
          <w:tcPr>
            <w:tcW w:w="647" w:type="pct"/>
            <w:shd w:val="clear" w:color="auto" w:fill="auto"/>
            <w:vAlign w:val="center"/>
          </w:tcPr>
          <w:p w:rsidR="00BF72B1" w:rsidRPr="00D1078F" w:rsidRDefault="00BF72B1" w:rsidP="00234AC7">
            <w:pPr>
              <w:pStyle w:val="TableText"/>
              <w:rPr>
                <w:b/>
              </w:rPr>
            </w:pPr>
            <w:r w:rsidRPr="00D1078F">
              <w:rPr>
                <w:b/>
              </w:rPr>
              <w:t>Year 4</w:t>
            </w:r>
          </w:p>
        </w:tc>
        <w:tc>
          <w:tcPr>
            <w:tcW w:w="647" w:type="pct"/>
            <w:shd w:val="clear" w:color="auto" w:fill="auto"/>
            <w:vAlign w:val="center"/>
          </w:tcPr>
          <w:p w:rsidR="00BF72B1" w:rsidRPr="00D1078F" w:rsidRDefault="00BF72B1" w:rsidP="00234AC7">
            <w:pPr>
              <w:pStyle w:val="TableText"/>
              <w:rPr>
                <w:b/>
              </w:rPr>
            </w:pPr>
            <w:r w:rsidRPr="00D1078F">
              <w:rPr>
                <w:b/>
              </w:rPr>
              <w:t>Year 5</w:t>
            </w:r>
          </w:p>
        </w:tc>
        <w:tc>
          <w:tcPr>
            <w:tcW w:w="647" w:type="pct"/>
          </w:tcPr>
          <w:p w:rsidR="00BF72B1" w:rsidRPr="00D1078F" w:rsidRDefault="00BF72B1" w:rsidP="00234AC7">
            <w:pPr>
              <w:pStyle w:val="TableText"/>
              <w:rPr>
                <w:b/>
              </w:rPr>
            </w:pPr>
            <w:r w:rsidRPr="00D1078F">
              <w:rPr>
                <w:b/>
              </w:rPr>
              <w:t>Year 6</w:t>
            </w:r>
          </w:p>
        </w:tc>
      </w:tr>
      <w:tr w:rsidR="00BF72B1" w:rsidRPr="003639A6" w:rsidTr="00234AC7">
        <w:tc>
          <w:tcPr>
            <w:tcW w:w="5000" w:type="pct"/>
            <w:gridSpan w:val="7"/>
            <w:shd w:val="clear" w:color="auto" w:fill="auto"/>
            <w:vAlign w:val="center"/>
          </w:tcPr>
          <w:p w:rsidR="00BF72B1" w:rsidRPr="00D1078F" w:rsidRDefault="00BF72B1" w:rsidP="00234AC7">
            <w:pPr>
              <w:pStyle w:val="TableText"/>
              <w:rPr>
                <w:b/>
                <w:bCs/>
                <w:color w:val="000000"/>
              </w:rPr>
            </w:pPr>
            <w:r w:rsidRPr="00D1078F">
              <w:rPr>
                <w:b/>
                <w:bCs/>
                <w:color w:val="000000"/>
              </w:rPr>
              <w:t>Estimated extent of use</w:t>
            </w:r>
          </w:p>
        </w:tc>
      </w:tr>
      <w:tr w:rsidR="00BF72B1" w:rsidRPr="00BB0B2D" w:rsidTr="00234AC7">
        <w:tc>
          <w:tcPr>
            <w:tcW w:w="1118" w:type="pct"/>
            <w:shd w:val="clear" w:color="auto" w:fill="auto"/>
            <w:vAlign w:val="center"/>
          </w:tcPr>
          <w:p w:rsidR="00BF72B1" w:rsidRPr="00B83CF4" w:rsidRDefault="00BF72B1" w:rsidP="00234AC7">
            <w:pPr>
              <w:pStyle w:val="TableText"/>
              <w:rPr>
                <w:rFonts w:ascii="Times" w:eastAsia="Times New Roman" w:hAnsi="Times" w:cs="Times New Roman"/>
              </w:rPr>
            </w:pPr>
            <w:r w:rsidRPr="00B83CF4">
              <w:t>Number of patients treated</w:t>
            </w:r>
          </w:p>
        </w:tc>
        <w:tc>
          <w:tcPr>
            <w:tcW w:w="647" w:type="pct"/>
            <w:tcBorders>
              <w:bottom w:val="single" w:sz="4" w:space="0" w:color="auto"/>
            </w:tcBorders>
          </w:tcPr>
          <w:p w:rsidR="00BF72B1" w:rsidRPr="00455174" w:rsidRDefault="00BF72B1" w:rsidP="00234AC7">
            <w:pPr>
              <w:pStyle w:val="TableText"/>
              <w:rPr>
                <w:bCs/>
                <w:color w:val="000000"/>
                <w:highlight w:val="black"/>
              </w:rPr>
            </w:pPr>
            <w:r>
              <w:rPr>
                <w:noProof/>
                <w:color w:val="000000"/>
                <w:szCs w:val="20"/>
                <w:highlight w:val="black"/>
              </w:rPr>
              <w:t>'''''''''</w:t>
            </w:r>
          </w:p>
        </w:tc>
        <w:tc>
          <w:tcPr>
            <w:tcW w:w="647" w:type="pct"/>
            <w:tcBorders>
              <w:bottom w:val="single" w:sz="4" w:space="0" w:color="auto"/>
            </w:tcBorders>
          </w:tcPr>
          <w:p w:rsidR="00BF72B1" w:rsidRPr="00455174" w:rsidRDefault="00BF72B1" w:rsidP="00234AC7">
            <w:pPr>
              <w:pStyle w:val="TableText"/>
              <w:rPr>
                <w:bCs/>
                <w:color w:val="000000"/>
                <w:highlight w:val="black"/>
              </w:rPr>
            </w:pPr>
            <w:r>
              <w:rPr>
                <w:noProof/>
                <w:color w:val="000000"/>
                <w:szCs w:val="20"/>
                <w:highlight w:val="black"/>
              </w:rPr>
              <w:t>''''''''''</w:t>
            </w:r>
          </w:p>
        </w:tc>
        <w:tc>
          <w:tcPr>
            <w:tcW w:w="647" w:type="pct"/>
            <w:tcBorders>
              <w:bottom w:val="single" w:sz="4" w:space="0" w:color="auto"/>
            </w:tcBorders>
          </w:tcPr>
          <w:p w:rsidR="00BF72B1" w:rsidRPr="00455174" w:rsidRDefault="00BF72B1" w:rsidP="00234AC7">
            <w:pPr>
              <w:pStyle w:val="TableText"/>
              <w:rPr>
                <w:bCs/>
                <w:color w:val="000000"/>
                <w:highlight w:val="black"/>
              </w:rPr>
            </w:pPr>
            <w:r>
              <w:rPr>
                <w:noProof/>
                <w:color w:val="000000"/>
                <w:szCs w:val="20"/>
                <w:highlight w:val="black"/>
              </w:rPr>
              <w:t>'''''''''</w:t>
            </w:r>
          </w:p>
        </w:tc>
        <w:tc>
          <w:tcPr>
            <w:tcW w:w="647" w:type="pct"/>
            <w:tcBorders>
              <w:bottom w:val="single" w:sz="4" w:space="0" w:color="auto"/>
            </w:tcBorders>
          </w:tcPr>
          <w:p w:rsidR="00BF72B1" w:rsidRPr="00455174" w:rsidRDefault="00BF72B1" w:rsidP="00234AC7">
            <w:pPr>
              <w:pStyle w:val="TableText"/>
              <w:rPr>
                <w:bCs/>
                <w:color w:val="000000"/>
                <w:highlight w:val="black"/>
              </w:rPr>
            </w:pPr>
            <w:r>
              <w:rPr>
                <w:noProof/>
                <w:color w:val="000000"/>
                <w:szCs w:val="20"/>
                <w:highlight w:val="black"/>
              </w:rPr>
              <w:t>''''''''''</w:t>
            </w:r>
          </w:p>
        </w:tc>
        <w:tc>
          <w:tcPr>
            <w:tcW w:w="647" w:type="pct"/>
            <w:tcBorders>
              <w:bottom w:val="single" w:sz="4" w:space="0" w:color="auto"/>
            </w:tcBorders>
          </w:tcPr>
          <w:p w:rsidR="00BF72B1" w:rsidRPr="00455174" w:rsidRDefault="00BF72B1" w:rsidP="00234AC7">
            <w:pPr>
              <w:pStyle w:val="TableText"/>
              <w:rPr>
                <w:bCs/>
                <w:color w:val="000000"/>
                <w:highlight w:val="black"/>
              </w:rPr>
            </w:pPr>
            <w:r>
              <w:rPr>
                <w:noProof/>
                <w:color w:val="000000"/>
                <w:szCs w:val="20"/>
                <w:highlight w:val="black"/>
              </w:rPr>
              <w:t>'''''''''</w:t>
            </w:r>
          </w:p>
        </w:tc>
        <w:tc>
          <w:tcPr>
            <w:tcW w:w="647" w:type="pct"/>
            <w:tcBorders>
              <w:bottom w:val="single" w:sz="4" w:space="0" w:color="auto"/>
            </w:tcBorders>
          </w:tcPr>
          <w:p w:rsidR="00BF72B1" w:rsidRPr="00455174" w:rsidRDefault="00BF72B1" w:rsidP="00234AC7">
            <w:pPr>
              <w:pStyle w:val="TableText"/>
              <w:rPr>
                <w:bCs/>
                <w:color w:val="000000"/>
                <w:highlight w:val="black"/>
              </w:rPr>
            </w:pPr>
            <w:r>
              <w:rPr>
                <w:noProof/>
                <w:color w:val="000000"/>
                <w:szCs w:val="20"/>
                <w:highlight w:val="black"/>
              </w:rPr>
              <w:t>''''''''''</w:t>
            </w:r>
          </w:p>
        </w:tc>
      </w:tr>
      <w:tr w:rsidR="00BF72B1" w:rsidRPr="003639A6" w:rsidTr="00234AC7">
        <w:tc>
          <w:tcPr>
            <w:tcW w:w="1118" w:type="pct"/>
            <w:shd w:val="clear" w:color="auto" w:fill="auto"/>
            <w:vAlign w:val="center"/>
          </w:tcPr>
          <w:p w:rsidR="00BF72B1" w:rsidRPr="00B83CF4" w:rsidRDefault="00BF72B1" w:rsidP="00234AC7">
            <w:pPr>
              <w:pStyle w:val="TableText"/>
              <w:rPr>
                <w:rFonts w:ascii="Times" w:eastAsia="Times New Roman" w:hAnsi="Times" w:cs="Times New Roman"/>
              </w:rPr>
            </w:pPr>
            <w:r w:rsidRPr="00B83CF4">
              <w:t xml:space="preserve">Number of scripts </w:t>
            </w:r>
            <w:proofErr w:type="spellStart"/>
            <w:r w:rsidRPr="00B83CF4">
              <w:t>dispensed</w:t>
            </w:r>
            <w:r w:rsidRPr="00B83CF4">
              <w:rPr>
                <w:vertAlign w:val="superscript"/>
              </w:rPr>
              <w:t>a</w:t>
            </w:r>
            <w:proofErr w:type="spellEnd"/>
          </w:p>
        </w:tc>
        <w:tc>
          <w:tcPr>
            <w:tcW w:w="647" w:type="pct"/>
            <w:tcBorders>
              <w:top w:val="single" w:sz="4" w:space="0" w:color="auto"/>
              <w:left w:val="nil"/>
              <w:bottom w:val="nil"/>
              <w:right w:val="single" w:sz="4" w:space="0" w:color="auto"/>
            </w:tcBorders>
            <w:shd w:val="clear" w:color="auto" w:fill="auto"/>
            <w:vAlign w:val="bottom"/>
          </w:tcPr>
          <w:p w:rsidR="00BF72B1" w:rsidRPr="00455174" w:rsidRDefault="00BF72B1" w:rsidP="00234AC7">
            <w:pPr>
              <w:pStyle w:val="TableText"/>
              <w:rPr>
                <w:bCs/>
                <w:color w:val="000000"/>
                <w:szCs w:val="20"/>
                <w:highlight w:val="black"/>
              </w:rPr>
            </w:pPr>
            <w:r>
              <w:rPr>
                <w:noProof/>
                <w:color w:val="000000"/>
                <w:szCs w:val="20"/>
                <w:highlight w:val="black"/>
              </w:rPr>
              <w:t>''''''''''''''</w:t>
            </w:r>
            <w:r w:rsidRPr="00455174">
              <w:rPr>
                <w:color w:val="000000"/>
                <w:szCs w:val="20"/>
                <w:highlight w:val="black"/>
              </w:rPr>
              <w:t xml:space="preserve"> </w:t>
            </w:r>
          </w:p>
        </w:tc>
        <w:tc>
          <w:tcPr>
            <w:tcW w:w="647" w:type="pct"/>
            <w:tcBorders>
              <w:top w:val="single" w:sz="4" w:space="0" w:color="auto"/>
              <w:left w:val="single" w:sz="4" w:space="0" w:color="auto"/>
              <w:bottom w:val="nil"/>
              <w:right w:val="single" w:sz="4" w:space="0" w:color="auto"/>
            </w:tcBorders>
            <w:shd w:val="clear" w:color="auto" w:fill="auto"/>
            <w:vAlign w:val="bottom"/>
          </w:tcPr>
          <w:p w:rsidR="00BF72B1" w:rsidRPr="00455174" w:rsidRDefault="00BF72B1" w:rsidP="00234AC7">
            <w:pPr>
              <w:pStyle w:val="TableText"/>
              <w:rPr>
                <w:bCs/>
                <w:color w:val="000000"/>
                <w:szCs w:val="20"/>
                <w:highlight w:val="black"/>
              </w:rPr>
            </w:pPr>
            <w:r>
              <w:rPr>
                <w:noProof/>
                <w:color w:val="000000"/>
                <w:szCs w:val="20"/>
                <w:highlight w:val="black"/>
              </w:rPr>
              <w:t>''''''''''''</w:t>
            </w:r>
            <w:r w:rsidRPr="00455174">
              <w:rPr>
                <w:color w:val="000000"/>
                <w:szCs w:val="20"/>
                <w:highlight w:val="black"/>
              </w:rPr>
              <w:t xml:space="preserve"> </w:t>
            </w:r>
          </w:p>
        </w:tc>
        <w:tc>
          <w:tcPr>
            <w:tcW w:w="647" w:type="pct"/>
            <w:tcBorders>
              <w:top w:val="single" w:sz="4" w:space="0" w:color="auto"/>
              <w:left w:val="single" w:sz="4" w:space="0" w:color="auto"/>
              <w:bottom w:val="nil"/>
              <w:right w:val="single" w:sz="4" w:space="0" w:color="auto"/>
            </w:tcBorders>
            <w:shd w:val="clear" w:color="auto" w:fill="auto"/>
            <w:vAlign w:val="bottom"/>
          </w:tcPr>
          <w:p w:rsidR="00BF72B1" w:rsidRPr="00455174" w:rsidRDefault="00BF72B1" w:rsidP="00234AC7">
            <w:pPr>
              <w:pStyle w:val="TableText"/>
              <w:rPr>
                <w:bCs/>
                <w:color w:val="000000"/>
                <w:szCs w:val="20"/>
                <w:highlight w:val="black"/>
              </w:rPr>
            </w:pPr>
            <w:r>
              <w:rPr>
                <w:noProof/>
                <w:color w:val="000000"/>
                <w:szCs w:val="20"/>
                <w:highlight w:val="black"/>
              </w:rPr>
              <w:t>'''''''''''''</w:t>
            </w:r>
            <w:r w:rsidRPr="00455174">
              <w:rPr>
                <w:color w:val="000000"/>
                <w:szCs w:val="20"/>
                <w:highlight w:val="black"/>
              </w:rPr>
              <w:t xml:space="preserve"> </w:t>
            </w:r>
          </w:p>
        </w:tc>
        <w:tc>
          <w:tcPr>
            <w:tcW w:w="647" w:type="pct"/>
            <w:tcBorders>
              <w:top w:val="single" w:sz="4" w:space="0" w:color="auto"/>
              <w:left w:val="single" w:sz="4" w:space="0" w:color="auto"/>
              <w:bottom w:val="nil"/>
              <w:right w:val="single" w:sz="4" w:space="0" w:color="auto"/>
            </w:tcBorders>
            <w:shd w:val="clear" w:color="auto" w:fill="auto"/>
            <w:vAlign w:val="bottom"/>
          </w:tcPr>
          <w:p w:rsidR="00BF72B1" w:rsidRPr="00455174" w:rsidRDefault="00BF72B1" w:rsidP="00234AC7">
            <w:pPr>
              <w:pStyle w:val="TableText"/>
              <w:rPr>
                <w:bCs/>
                <w:color w:val="000000"/>
                <w:szCs w:val="20"/>
                <w:highlight w:val="black"/>
              </w:rPr>
            </w:pPr>
            <w:r>
              <w:rPr>
                <w:noProof/>
                <w:color w:val="000000"/>
                <w:szCs w:val="20"/>
                <w:highlight w:val="black"/>
              </w:rPr>
              <w:t>'''''''''''''</w:t>
            </w:r>
            <w:r w:rsidRPr="00455174">
              <w:rPr>
                <w:color w:val="000000"/>
                <w:szCs w:val="20"/>
                <w:highlight w:val="black"/>
              </w:rPr>
              <w:t xml:space="preserve"> </w:t>
            </w:r>
          </w:p>
        </w:tc>
        <w:tc>
          <w:tcPr>
            <w:tcW w:w="647" w:type="pct"/>
            <w:tcBorders>
              <w:top w:val="single" w:sz="4" w:space="0" w:color="auto"/>
              <w:left w:val="single" w:sz="4" w:space="0" w:color="auto"/>
              <w:bottom w:val="nil"/>
              <w:right w:val="single" w:sz="4" w:space="0" w:color="auto"/>
            </w:tcBorders>
            <w:shd w:val="clear" w:color="auto" w:fill="auto"/>
            <w:vAlign w:val="bottom"/>
          </w:tcPr>
          <w:p w:rsidR="00BF72B1" w:rsidRPr="00455174" w:rsidRDefault="00BF72B1" w:rsidP="00234AC7">
            <w:pPr>
              <w:pStyle w:val="TableText"/>
              <w:rPr>
                <w:bCs/>
                <w:color w:val="000000"/>
                <w:szCs w:val="20"/>
                <w:highlight w:val="black"/>
              </w:rPr>
            </w:pPr>
            <w:r>
              <w:rPr>
                <w:noProof/>
                <w:color w:val="000000"/>
                <w:szCs w:val="20"/>
                <w:highlight w:val="black"/>
              </w:rPr>
              <w:t>''''''''''''''</w:t>
            </w:r>
            <w:r w:rsidRPr="00455174">
              <w:rPr>
                <w:color w:val="000000"/>
                <w:szCs w:val="20"/>
                <w:highlight w:val="black"/>
              </w:rPr>
              <w:t xml:space="preserve"> </w:t>
            </w:r>
          </w:p>
        </w:tc>
        <w:tc>
          <w:tcPr>
            <w:tcW w:w="647" w:type="pct"/>
            <w:tcBorders>
              <w:top w:val="single" w:sz="4" w:space="0" w:color="auto"/>
              <w:left w:val="single" w:sz="4" w:space="0" w:color="auto"/>
              <w:bottom w:val="nil"/>
              <w:right w:val="single" w:sz="4" w:space="0" w:color="auto"/>
            </w:tcBorders>
            <w:shd w:val="clear" w:color="auto" w:fill="auto"/>
            <w:vAlign w:val="bottom"/>
          </w:tcPr>
          <w:p w:rsidR="00BF72B1" w:rsidRPr="00455174" w:rsidRDefault="00BF72B1" w:rsidP="00234AC7">
            <w:pPr>
              <w:pStyle w:val="TableText"/>
              <w:rPr>
                <w:bCs/>
                <w:color w:val="000000"/>
                <w:szCs w:val="20"/>
                <w:highlight w:val="black"/>
              </w:rPr>
            </w:pPr>
            <w:r>
              <w:rPr>
                <w:noProof/>
                <w:color w:val="000000"/>
                <w:szCs w:val="20"/>
                <w:highlight w:val="black"/>
              </w:rPr>
              <w:t>''''''''''''</w:t>
            </w:r>
            <w:r w:rsidRPr="00455174">
              <w:rPr>
                <w:color w:val="000000"/>
                <w:szCs w:val="20"/>
                <w:highlight w:val="black"/>
              </w:rPr>
              <w:t xml:space="preserve"> </w:t>
            </w:r>
          </w:p>
        </w:tc>
      </w:tr>
      <w:tr w:rsidR="00BF72B1" w:rsidRPr="003639A6" w:rsidTr="00234AC7">
        <w:tc>
          <w:tcPr>
            <w:tcW w:w="5000" w:type="pct"/>
            <w:gridSpan w:val="7"/>
            <w:shd w:val="clear" w:color="auto" w:fill="auto"/>
            <w:vAlign w:val="center"/>
          </w:tcPr>
          <w:p w:rsidR="00BF72B1" w:rsidRPr="00B83CF4" w:rsidRDefault="00BF72B1" w:rsidP="00234AC7">
            <w:pPr>
              <w:pStyle w:val="TableText"/>
              <w:rPr>
                <w:b/>
                <w:bCs/>
                <w:color w:val="000000"/>
              </w:rPr>
            </w:pPr>
            <w:r w:rsidRPr="00B83CF4">
              <w:rPr>
                <w:b/>
                <w:bCs/>
                <w:color w:val="000000"/>
              </w:rPr>
              <w:t>Estimated financial implications of romidepsin</w:t>
            </w:r>
          </w:p>
        </w:tc>
      </w:tr>
      <w:tr w:rsidR="00BF72B1" w:rsidRPr="003639A6" w:rsidTr="00234AC7">
        <w:tc>
          <w:tcPr>
            <w:tcW w:w="1118" w:type="pct"/>
            <w:shd w:val="clear" w:color="auto" w:fill="auto"/>
            <w:vAlign w:val="center"/>
          </w:tcPr>
          <w:p w:rsidR="00BF72B1" w:rsidRPr="00B83CF4" w:rsidRDefault="00BF72B1" w:rsidP="00234AC7">
            <w:pPr>
              <w:pStyle w:val="TableText"/>
              <w:rPr>
                <w:rFonts w:ascii="Times" w:eastAsia="Times New Roman" w:hAnsi="Times" w:cs="Times New Roman"/>
              </w:rPr>
            </w:pPr>
            <w:r w:rsidRPr="00B83CF4">
              <w:rPr>
                <w:sz w:val="19"/>
                <w:szCs w:val="19"/>
              </w:rPr>
              <w:t>Cost to PBS/RPBS</w:t>
            </w:r>
          </w:p>
        </w:tc>
        <w:tc>
          <w:tcPr>
            <w:tcW w:w="647" w:type="pct"/>
            <w:tcBorders>
              <w:top w:val="nil"/>
              <w:left w:val="nil"/>
              <w:bottom w:val="single" w:sz="4" w:space="0" w:color="auto"/>
              <w:right w:val="single" w:sz="4" w:space="0" w:color="auto"/>
            </w:tcBorders>
            <w:shd w:val="clear" w:color="auto" w:fill="auto"/>
            <w:vAlign w:val="bottom"/>
          </w:tcPr>
          <w:p w:rsidR="00BF72B1" w:rsidRPr="00B83CF4" w:rsidRDefault="00BF72B1" w:rsidP="00234AC7">
            <w:pPr>
              <w:pStyle w:val="TableText"/>
              <w:rPr>
                <w:bCs/>
                <w:color w:val="000000"/>
                <w:szCs w:val="20"/>
              </w:rPr>
            </w:pPr>
            <w:r w:rsidRPr="00B83CF4">
              <w:rPr>
                <w:color w:val="000000"/>
                <w:szCs w:val="20"/>
              </w:rPr>
              <w:t>$</w:t>
            </w:r>
            <w:r>
              <w:rPr>
                <w:noProof/>
                <w:color w:val="000000"/>
                <w:szCs w:val="20"/>
                <w:highlight w:val="black"/>
              </w:rPr>
              <w:t>''''''''''''''''''''''''</w:t>
            </w:r>
            <w:r w:rsidRPr="00B83CF4">
              <w:rPr>
                <w:color w:val="000000"/>
                <w:szCs w:val="20"/>
              </w:rPr>
              <w:t xml:space="preserve"> </w:t>
            </w:r>
          </w:p>
        </w:tc>
        <w:tc>
          <w:tcPr>
            <w:tcW w:w="647" w:type="pct"/>
            <w:tcBorders>
              <w:top w:val="nil"/>
              <w:left w:val="single" w:sz="4" w:space="0" w:color="auto"/>
              <w:bottom w:val="single" w:sz="4" w:space="0" w:color="auto"/>
              <w:right w:val="single" w:sz="4" w:space="0" w:color="auto"/>
            </w:tcBorders>
            <w:shd w:val="clear" w:color="auto" w:fill="auto"/>
            <w:vAlign w:val="bottom"/>
          </w:tcPr>
          <w:p w:rsidR="00BF72B1" w:rsidRPr="00B83CF4" w:rsidRDefault="00BF72B1" w:rsidP="00234AC7">
            <w:pPr>
              <w:pStyle w:val="TableText"/>
              <w:rPr>
                <w:bCs/>
                <w:color w:val="000000"/>
                <w:szCs w:val="20"/>
              </w:rPr>
            </w:pPr>
            <w:r w:rsidRPr="00B83CF4">
              <w:rPr>
                <w:color w:val="000000"/>
                <w:szCs w:val="20"/>
              </w:rPr>
              <w:t>$</w:t>
            </w:r>
            <w:r>
              <w:rPr>
                <w:noProof/>
                <w:color w:val="000000"/>
                <w:szCs w:val="20"/>
                <w:highlight w:val="black"/>
              </w:rPr>
              <w:t>''''''''''''''''''''''''''</w:t>
            </w:r>
            <w:r w:rsidRPr="00B83CF4">
              <w:rPr>
                <w:color w:val="000000"/>
                <w:szCs w:val="20"/>
              </w:rPr>
              <w:t xml:space="preserve"> </w:t>
            </w:r>
          </w:p>
        </w:tc>
        <w:tc>
          <w:tcPr>
            <w:tcW w:w="647" w:type="pct"/>
            <w:tcBorders>
              <w:top w:val="nil"/>
              <w:left w:val="single" w:sz="4" w:space="0" w:color="auto"/>
              <w:bottom w:val="single" w:sz="4" w:space="0" w:color="auto"/>
              <w:right w:val="single" w:sz="4" w:space="0" w:color="auto"/>
            </w:tcBorders>
            <w:shd w:val="clear" w:color="auto" w:fill="auto"/>
            <w:vAlign w:val="bottom"/>
          </w:tcPr>
          <w:p w:rsidR="00BF72B1" w:rsidRPr="00B83CF4" w:rsidRDefault="00BF72B1" w:rsidP="00234AC7">
            <w:pPr>
              <w:pStyle w:val="TableText"/>
              <w:rPr>
                <w:bCs/>
                <w:color w:val="000000"/>
                <w:szCs w:val="20"/>
              </w:rPr>
            </w:pPr>
            <w:r w:rsidRPr="00B83CF4">
              <w:rPr>
                <w:color w:val="000000"/>
                <w:szCs w:val="20"/>
              </w:rPr>
              <w:t>$</w:t>
            </w:r>
            <w:r>
              <w:rPr>
                <w:noProof/>
                <w:color w:val="000000"/>
                <w:szCs w:val="20"/>
                <w:highlight w:val="black"/>
              </w:rPr>
              <w:t>''''''''''''''''''''''''''''</w:t>
            </w:r>
            <w:r w:rsidRPr="00B83CF4">
              <w:rPr>
                <w:color w:val="000000"/>
                <w:szCs w:val="20"/>
              </w:rPr>
              <w:t xml:space="preserve"> </w:t>
            </w:r>
          </w:p>
        </w:tc>
        <w:tc>
          <w:tcPr>
            <w:tcW w:w="647" w:type="pct"/>
            <w:tcBorders>
              <w:top w:val="nil"/>
              <w:left w:val="single" w:sz="4" w:space="0" w:color="auto"/>
              <w:bottom w:val="single" w:sz="4" w:space="0" w:color="auto"/>
              <w:right w:val="single" w:sz="4" w:space="0" w:color="auto"/>
            </w:tcBorders>
            <w:shd w:val="clear" w:color="auto" w:fill="auto"/>
            <w:vAlign w:val="bottom"/>
          </w:tcPr>
          <w:p w:rsidR="00BF72B1" w:rsidRPr="00B83CF4" w:rsidRDefault="00BF72B1" w:rsidP="00234AC7">
            <w:pPr>
              <w:pStyle w:val="TableText"/>
              <w:rPr>
                <w:bCs/>
                <w:color w:val="000000"/>
                <w:szCs w:val="20"/>
              </w:rPr>
            </w:pPr>
            <w:r w:rsidRPr="00B83CF4">
              <w:rPr>
                <w:color w:val="000000"/>
                <w:szCs w:val="20"/>
              </w:rPr>
              <w:t>$</w:t>
            </w:r>
            <w:r>
              <w:rPr>
                <w:noProof/>
                <w:color w:val="000000"/>
                <w:szCs w:val="20"/>
                <w:highlight w:val="black"/>
              </w:rPr>
              <w:t>'''''''''''''''''''''''''''</w:t>
            </w:r>
            <w:r w:rsidRPr="00B83CF4">
              <w:rPr>
                <w:color w:val="000000"/>
                <w:szCs w:val="20"/>
              </w:rPr>
              <w:t xml:space="preserve"> </w:t>
            </w:r>
          </w:p>
        </w:tc>
        <w:tc>
          <w:tcPr>
            <w:tcW w:w="647" w:type="pct"/>
            <w:tcBorders>
              <w:top w:val="nil"/>
              <w:left w:val="single" w:sz="4" w:space="0" w:color="auto"/>
              <w:bottom w:val="single" w:sz="4" w:space="0" w:color="auto"/>
              <w:right w:val="single" w:sz="4" w:space="0" w:color="auto"/>
            </w:tcBorders>
            <w:shd w:val="clear" w:color="auto" w:fill="auto"/>
            <w:vAlign w:val="bottom"/>
          </w:tcPr>
          <w:p w:rsidR="00BF72B1" w:rsidRPr="00B83CF4" w:rsidRDefault="00BF72B1" w:rsidP="00234AC7">
            <w:pPr>
              <w:pStyle w:val="TableText"/>
              <w:rPr>
                <w:bCs/>
                <w:color w:val="000000"/>
                <w:szCs w:val="20"/>
              </w:rPr>
            </w:pPr>
            <w:r w:rsidRPr="00B83CF4">
              <w:rPr>
                <w:color w:val="000000"/>
                <w:szCs w:val="20"/>
              </w:rPr>
              <w:t>$</w:t>
            </w:r>
            <w:r>
              <w:rPr>
                <w:noProof/>
                <w:color w:val="000000"/>
                <w:szCs w:val="20"/>
                <w:highlight w:val="black"/>
              </w:rPr>
              <w:t>'''''''''''''''''''''''</w:t>
            </w:r>
            <w:r w:rsidRPr="00B83CF4">
              <w:rPr>
                <w:color w:val="000000"/>
                <w:szCs w:val="20"/>
              </w:rPr>
              <w:t xml:space="preserve"> </w:t>
            </w:r>
          </w:p>
        </w:tc>
        <w:tc>
          <w:tcPr>
            <w:tcW w:w="647" w:type="pct"/>
            <w:tcBorders>
              <w:top w:val="nil"/>
              <w:left w:val="single" w:sz="4" w:space="0" w:color="auto"/>
              <w:bottom w:val="single" w:sz="4" w:space="0" w:color="auto"/>
              <w:right w:val="single" w:sz="4" w:space="0" w:color="auto"/>
            </w:tcBorders>
            <w:shd w:val="clear" w:color="auto" w:fill="auto"/>
            <w:vAlign w:val="bottom"/>
          </w:tcPr>
          <w:p w:rsidR="00BF72B1" w:rsidRPr="00B83CF4" w:rsidRDefault="00BF72B1" w:rsidP="00234AC7">
            <w:pPr>
              <w:pStyle w:val="TableText"/>
              <w:rPr>
                <w:bCs/>
                <w:color w:val="000000"/>
                <w:szCs w:val="20"/>
              </w:rPr>
            </w:pPr>
            <w:r w:rsidRPr="00B83CF4">
              <w:rPr>
                <w:color w:val="000000"/>
                <w:szCs w:val="20"/>
              </w:rPr>
              <w:t>$</w:t>
            </w:r>
            <w:r>
              <w:rPr>
                <w:noProof/>
                <w:color w:val="000000"/>
                <w:szCs w:val="20"/>
                <w:highlight w:val="black"/>
              </w:rPr>
              <w:t>''''''''''''''''''''''''''''</w:t>
            </w:r>
            <w:r w:rsidRPr="00B83CF4">
              <w:rPr>
                <w:color w:val="000000"/>
                <w:szCs w:val="20"/>
              </w:rPr>
              <w:t xml:space="preserve"> </w:t>
            </w:r>
          </w:p>
        </w:tc>
      </w:tr>
      <w:tr w:rsidR="00BF72B1" w:rsidRPr="003639A6" w:rsidTr="00234AC7">
        <w:tc>
          <w:tcPr>
            <w:tcW w:w="1118" w:type="pct"/>
            <w:shd w:val="clear" w:color="auto" w:fill="auto"/>
            <w:vAlign w:val="center"/>
          </w:tcPr>
          <w:p w:rsidR="00BF72B1" w:rsidRPr="00B83CF4" w:rsidRDefault="00BF72B1" w:rsidP="00234AC7">
            <w:pPr>
              <w:pStyle w:val="TableText"/>
              <w:rPr>
                <w:sz w:val="19"/>
                <w:szCs w:val="19"/>
              </w:rPr>
            </w:pPr>
            <w:proofErr w:type="spellStart"/>
            <w:r w:rsidRPr="00B83CF4">
              <w:rPr>
                <w:sz w:val="19"/>
                <w:szCs w:val="19"/>
              </w:rPr>
              <w:t>Copayments</w:t>
            </w:r>
            <w:proofErr w:type="spellEnd"/>
          </w:p>
        </w:tc>
        <w:tc>
          <w:tcPr>
            <w:tcW w:w="647" w:type="pct"/>
            <w:tcBorders>
              <w:top w:val="single" w:sz="4" w:space="0" w:color="auto"/>
              <w:left w:val="single" w:sz="4" w:space="0" w:color="auto"/>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color w:val="000000"/>
                <w:szCs w:val="20"/>
              </w:rPr>
              <w:t>$</w:t>
            </w:r>
            <w:r>
              <w:rPr>
                <w:rFonts w:cs="Arial"/>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color w:val="000000"/>
                <w:szCs w:val="20"/>
              </w:rPr>
              <w:t>$</w:t>
            </w:r>
            <w:r>
              <w:rPr>
                <w:rFonts w:cs="Arial"/>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color w:val="000000"/>
                <w:szCs w:val="20"/>
              </w:rPr>
              <w:t>$</w:t>
            </w:r>
            <w:r>
              <w:rPr>
                <w:rFonts w:cs="Arial"/>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color w:val="000000"/>
                <w:szCs w:val="20"/>
              </w:rPr>
              <w:t>$</w:t>
            </w:r>
            <w:r>
              <w:rPr>
                <w:rFonts w:cs="Arial"/>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color w:val="000000"/>
                <w:szCs w:val="20"/>
              </w:rPr>
              <w:t>$</w:t>
            </w:r>
            <w:r>
              <w:rPr>
                <w:rFonts w:cs="Arial"/>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color w:val="000000"/>
                <w:szCs w:val="20"/>
              </w:rPr>
              <w:t>$</w:t>
            </w:r>
            <w:r>
              <w:rPr>
                <w:rFonts w:cs="Arial"/>
                <w:noProof/>
                <w:color w:val="000000"/>
                <w:szCs w:val="20"/>
                <w:highlight w:val="black"/>
              </w:rPr>
              <w:t>'''''''''''''</w:t>
            </w:r>
          </w:p>
        </w:tc>
      </w:tr>
      <w:tr w:rsidR="00BF72B1" w:rsidRPr="003639A6" w:rsidTr="00234AC7">
        <w:tc>
          <w:tcPr>
            <w:tcW w:w="1118" w:type="pct"/>
            <w:shd w:val="clear" w:color="auto" w:fill="auto"/>
            <w:vAlign w:val="center"/>
          </w:tcPr>
          <w:p w:rsidR="00BF72B1" w:rsidRPr="00B83CF4" w:rsidRDefault="00BF72B1" w:rsidP="00234AC7">
            <w:pPr>
              <w:pStyle w:val="TableText"/>
              <w:rPr>
                <w:sz w:val="19"/>
                <w:szCs w:val="19"/>
              </w:rPr>
            </w:pPr>
            <w:r w:rsidRPr="00B83CF4">
              <w:rPr>
                <w:sz w:val="19"/>
                <w:szCs w:val="19"/>
              </w:rPr>
              <w:t xml:space="preserve">Cost to PBS/RPBS less </w:t>
            </w:r>
            <w:proofErr w:type="spellStart"/>
            <w:r w:rsidRPr="00B83CF4">
              <w:rPr>
                <w:sz w:val="19"/>
                <w:szCs w:val="19"/>
              </w:rPr>
              <w:t>copayments</w:t>
            </w:r>
            <w:proofErr w:type="spellEnd"/>
          </w:p>
        </w:tc>
        <w:tc>
          <w:tcPr>
            <w:tcW w:w="647" w:type="pct"/>
            <w:tcBorders>
              <w:top w:val="single" w:sz="4" w:space="0" w:color="auto"/>
              <w:left w:val="single" w:sz="4" w:space="0" w:color="auto"/>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bCs/>
                <w:color w:val="000000"/>
                <w:szCs w:val="20"/>
              </w:rPr>
              <w:t>$</w:t>
            </w:r>
            <w:r>
              <w:rPr>
                <w:rFonts w:cs="Arial"/>
                <w:bCs/>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bCs/>
                <w:color w:val="000000"/>
                <w:szCs w:val="20"/>
              </w:rPr>
              <w:t>$</w:t>
            </w:r>
            <w:r>
              <w:rPr>
                <w:rFonts w:cs="Arial"/>
                <w:b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bCs/>
                <w:color w:val="000000"/>
                <w:szCs w:val="20"/>
              </w:rPr>
              <w:t>$</w:t>
            </w:r>
            <w:r>
              <w:rPr>
                <w:rFonts w:cs="Arial"/>
                <w:b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bCs/>
                <w:color w:val="000000"/>
                <w:szCs w:val="20"/>
              </w:rPr>
              <w:t>$</w:t>
            </w:r>
            <w:r>
              <w:rPr>
                <w:rFonts w:cs="Arial"/>
                <w:b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bCs/>
                <w:color w:val="000000"/>
                <w:szCs w:val="20"/>
              </w:rPr>
              <w:t>$</w:t>
            </w:r>
            <w:r>
              <w:rPr>
                <w:rFonts w:cs="Arial"/>
                <w:b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rFonts w:cs="Arial"/>
                <w:bCs/>
                <w:color w:val="000000"/>
                <w:szCs w:val="20"/>
              </w:rPr>
              <w:t>$</w:t>
            </w:r>
            <w:r>
              <w:rPr>
                <w:rFonts w:cs="Arial"/>
                <w:bCs/>
                <w:noProof/>
                <w:color w:val="000000"/>
                <w:szCs w:val="20"/>
                <w:highlight w:val="black"/>
              </w:rPr>
              <w:t>'''''''''''''''''''''''''</w:t>
            </w:r>
          </w:p>
        </w:tc>
      </w:tr>
      <w:tr w:rsidR="00BF72B1" w:rsidRPr="003639A6" w:rsidTr="00234AC7">
        <w:tc>
          <w:tcPr>
            <w:tcW w:w="5000" w:type="pct"/>
            <w:gridSpan w:val="7"/>
            <w:shd w:val="clear" w:color="auto" w:fill="auto"/>
            <w:vAlign w:val="center"/>
          </w:tcPr>
          <w:p w:rsidR="00BF72B1" w:rsidRPr="00B83CF4" w:rsidRDefault="00BF72B1" w:rsidP="00234AC7">
            <w:pPr>
              <w:pStyle w:val="TableText"/>
              <w:rPr>
                <w:bCs/>
                <w:color w:val="000000"/>
              </w:rPr>
            </w:pPr>
            <w:r w:rsidRPr="00B83CF4">
              <w:rPr>
                <w:b/>
                <w:bCs/>
                <w:color w:val="000000"/>
              </w:rPr>
              <w:t>Estimated financial implications for ondansetron</w:t>
            </w:r>
          </w:p>
        </w:tc>
      </w:tr>
      <w:tr w:rsidR="00BF72B1" w:rsidRPr="003639A6" w:rsidTr="00234AC7">
        <w:tc>
          <w:tcPr>
            <w:tcW w:w="1118" w:type="pct"/>
            <w:shd w:val="clear" w:color="auto" w:fill="auto"/>
            <w:vAlign w:val="center"/>
          </w:tcPr>
          <w:p w:rsidR="00BF72B1" w:rsidRPr="00B83CF4" w:rsidRDefault="00BF72B1" w:rsidP="00234AC7">
            <w:pPr>
              <w:pStyle w:val="TableText"/>
              <w:rPr>
                <w:sz w:val="19"/>
                <w:szCs w:val="19"/>
              </w:rPr>
            </w:pPr>
            <w:r w:rsidRPr="00B83CF4">
              <w:rPr>
                <w:sz w:val="19"/>
                <w:szCs w:val="19"/>
              </w:rPr>
              <w:t>Cost to PBS/RPBS</w:t>
            </w:r>
          </w:p>
        </w:tc>
        <w:tc>
          <w:tcPr>
            <w:tcW w:w="647" w:type="pct"/>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r>
      <w:tr w:rsidR="00BF72B1" w:rsidRPr="003639A6" w:rsidTr="00234AC7">
        <w:tc>
          <w:tcPr>
            <w:tcW w:w="1118" w:type="pct"/>
            <w:shd w:val="clear" w:color="auto" w:fill="auto"/>
            <w:vAlign w:val="center"/>
          </w:tcPr>
          <w:p w:rsidR="00BF72B1" w:rsidRPr="00B83CF4" w:rsidRDefault="00BF72B1" w:rsidP="00234AC7">
            <w:pPr>
              <w:pStyle w:val="TableText"/>
              <w:rPr>
                <w:sz w:val="19"/>
                <w:szCs w:val="19"/>
              </w:rPr>
            </w:pPr>
            <w:proofErr w:type="spellStart"/>
            <w:r w:rsidRPr="00B83CF4">
              <w:rPr>
                <w:sz w:val="19"/>
                <w:szCs w:val="19"/>
              </w:rPr>
              <w:t>Copayments</w:t>
            </w:r>
            <w:proofErr w:type="spellEnd"/>
          </w:p>
        </w:tc>
        <w:tc>
          <w:tcPr>
            <w:tcW w:w="647" w:type="pct"/>
            <w:shd w:val="clear" w:color="auto" w:fill="auto"/>
            <w:vAlign w:val="center"/>
          </w:tcPr>
          <w:p w:rsidR="00BF72B1" w:rsidRPr="00B83CF4" w:rsidRDefault="00BF72B1" w:rsidP="00234AC7">
            <w:pPr>
              <w:pStyle w:val="TableText"/>
              <w:rPr>
                <w:bCs/>
                <w:color w:val="000000"/>
              </w:rPr>
            </w:pPr>
          </w:p>
        </w:tc>
        <w:tc>
          <w:tcPr>
            <w:tcW w:w="647" w:type="pct"/>
            <w:shd w:val="clear" w:color="auto" w:fill="auto"/>
            <w:vAlign w:val="center"/>
          </w:tcPr>
          <w:p w:rsidR="00BF72B1" w:rsidRPr="00B83CF4" w:rsidRDefault="00BF72B1" w:rsidP="00234AC7">
            <w:pPr>
              <w:pStyle w:val="TableText"/>
              <w:rPr>
                <w:bCs/>
                <w:color w:val="000000"/>
              </w:rPr>
            </w:pPr>
          </w:p>
        </w:tc>
        <w:tc>
          <w:tcPr>
            <w:tcW w:w="647" w:type="pct"/>
            <w:shd w:val="clear" w:color="auto" w:fill="auto"/>
            <w:vAlign w:val="center"/>
          </w:tcPr>
          <w:p w:rsidR="00BF72B1" w:rsidRPr="00B83CF4" w:rsidRDefault="00BF72B1" w:rsidP="00234AC7">
            <w:pPr>
              <w:pStyle w:val="TableText"/>
              <w:rPr>
                <w:bCs/>
                <w:color w:val="000000"/>
              </w:rPr>
            </w:pPr>
          </w:p>
        </w:tc>
        <w:tc>
          <w:tcPr>
            <w:tcW w:w="647" w:type="pct"/>
            <w:shd w:val="clear" w:color="auto" w:fill="auto"/>
            <w:vAlign w:val="center"/>
          </w:tcPr>
          <w:p w:rsidR="00BF72B1" w:rsidRPr="00B83CF4" w:rsidRDefault="00BF72B1" w:rsidP="00234AC7">
            <w:pPr>
              <w:pStyle w:val="TableText"/>
              <w:rPr>
                <w:bCs/>
                <w:color w:val="000000"/>
              </w:rPr>
            </w:pPr>
          </w:p>
        </w:tc>
        <w:tc>
          <w:tcPr>
            <w:tcW w:w="647" w:type="pct"/>
            <w:shd w:val="clear" w:color="auto" w:fill="auto"/>
            <w:vAlign w:val="center"/>
          </w:tcPr>
          <w:p w:rsidR="00BF72B1" w:rsidRPr="00B83CF4" w:rsidRDefault="00BF72B1" w:rsidP="00234AC7">
            <w:pPr>
              <w:pStyle w:val="TableText"/>
              <w:rPr>
                <w:bCs/>
                <w:color w:val="000000"/>
              </w:rPr>
            </w:pPr>
          </w:p>
        </w:tc>
        <w:tc>
          <w:tcPr>
            <w:tcW w:w="647" w:type="pct"/>
          </w:tcPr>
          <w:p w:rsidR="00BF72B1" w:rsidRPr="00B83CF4" w:rsidRDefault="00BF72B1" w:rsidP="00234AC7">
            <w:pPr>
              <w:pStyle w:val="TableText"/>
              <w:rPr>
                <w:bCs/>
                <w:color w:val="000000"/>
              </w:rPr>
            </w:pPr>
          </w:p>
        </w:tc>
      </w:tr>
      <w:tr w:rsidR="00BF72B1" w:rsidRPr="003639A6" w:rsidTr="00234AC7">
        <w:tc>
          <w:tcPr>
            <w:tcW w:w="1118" w:type="pct"/>
            <w:shd w:val="clear" w:color="auto" w:fill="auto"/>
            <w:vAlign w:val="center"/>
          </w:tcPr>
          <w:p w:rsidR="00BF72B1" w:rsidRPr="00B83CF4" w:rsidRDefault="00BF72B1" w:rsidP="00234AC7">
            <w:pPr>
              <w:pStyle w:val="TableText"/>
              <w:rPr>
                <w:sz w:val="19"/>
                <w:szCs w:val="19"/>
              </w:rPr>
            </w:pPr>
            <w:r w:rsidRPr="00B83CF4">
              <w:rPr>
                <w:sz w:val="19"/>
                <w:szCs w:val="19"/>
              </w:rPr>
              <w:t xml:space="preserve">Cost to PBS/RPBS less </w:t>
            </w:r>
            <w:proofErr w:type="spellStart"/>
            <w:r w:rsidRPr="00B83CF4">
              <w:rPr>
                <w:sz w:val="19"/>
                <w:szCs w:val="19"/>
              </w:rPr>
              <w:t>copayments</w:t>
            </w:r>
            <w:proofErr w:type="spellEnd"/>
          </w:p>
        </w:tc>
        <w:tc>
          <w:tcPr>
            <w:tcW w:w="647" w:type="pct"/>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c>
          <w:tcPr>
            <w:tcW w:w="647" w:type="pct"/>
            <w:shd w:val="clear" w:color="auto" w:fill="auto"/>
          </w:tcPr>
          <w:p w:rsidR="00BF72B1" w:rsidRPr="00B83CF4" w:rsidRDefault="00BF72B1" w:rsidP="00234AC7">
            <w:pPr>
              <w:pStyle w:val="TableText"/>
              <w:rPr>
                <w:bCs/>
                <w:color w:val="000000"/>
              </w:rPr>
            </w:pPr>
            <w:r w:rsidRPr="00B83CF4">
              <w:t>$</w:t>
            </w:r>
            <w:r>
              <w:rPr>
                <w:noProof/>
                <w:color w:val="000000"/>
                <w:highlight w:val="black"/>
              </w:rPr>
              <w:t>'''''''''''''''</w:t>
            </w:r>
          </w:p>
        </w:tc>
      </w:tr>
      <w:tr w:rsidR="00BF72B1" w:rsidRPr="003639A6" w:rsidTr="00234AC7">
        <w:tc>
          <w:tcPr>
            <w:tcW w:w="5000" w:type="pct"/>
            <w:gridSpan w:val="7"/>
            <w:shd w:val="clear" w:color="auto" w:fill="auto"/>
            <w:vAlign w:val="center"/>
          </w:tcPr>
          <w:p w:rsidR="00BF72B1" w:rsidRPr="00FC22AB" w:rsidRDefault="00BF72B1" w:rsidP="00234AC7">
            <w:pPr>
              <w:pStyle w:val="TableText"/>
              <w:rPr>
                <w:b/>
                <w:bCs/>
                <w:color w:val="000000"/>
              </w:rPr>
            </w:pPr>
            <w:r w:rsidRPr="00FC22AB">
              <w:rPr>
                <w:b/>
                <w:bCs/>
                <w:color w:val="000000"/>
              </w:rPr>
              <w:t>Net financial implications</w:t>
            </w:r>
            <w:r w:rsidRPr="00FC22AB">
              <w:rPr>
                <w:b/>
                <w:bCs/>
                <w:color w:val="4472C4" w:themeColor="accent5"/>
              </w:rPr>
              <w:t xml:space="preserve"> </w:t>
            </w:r>
          </w:p>
        </w:tc>
      </w:tr>
      <w:tr w:rsidR="00BF72B1" w:rsidRPr="00B83CF4" w:rsidTr="00234AC7">
        <w:tc>
          <w:tcPr>
            <w:tcW w:w="1118" w:type="pct"/>
            <w:shd w:val="clear" w:color="auto" w:fill="auto"/>
            <w:vAlign w:val="center"/>
          </w:tcPr>
          <w:p w:rsidR="00BF72B1" w:rsidRPr="00B83CF4" w:rsidRDefault="00BF72B1" w:rsidP="00234AC7">
            <w:pPr>
              <w:pStyle w:val="TableText"/>
              <w:rPr>
                <w:sz w:val="19"/>
                <w:szCs w:val="19"/>
              </w:rPr>
            </w:pPr>
            <w:r w:rsidRPr="00B83CF4">
              <w:rPr>
                <w:sz w:val="19"/>
                <w:szCs w:val="19"/>
              </w:rPr>
              <w:t>Net cost to PBS/RPBS</w:t>
            </w:r>
          </w:p>
        </w:tc>
        <w:tc>
          <w:tcPr>
            <w:tcW w:w="647" w:type="pct"/>
            <w:tcBorders>
              <w:top w:val="single" w:sz="4" w:space="0" w:color="auto"/>
              <w:left w:val="nil"/>
              <w:bottom w:val="nil"/>
              <w:right w:val="single" w:sz="4" w:space="0" w:color="auto"/>
            </w:tcBorders>
            <w:shd w:val="clear" w:color="auto" w:fill="auto"/>
          </w:tcPr>
          <w:p w:rsidR="00BF72B1" w:rsidRPr="00B83CF4" w:rsidRDefault="00BF72B1" w:rsidP="00234AC7">
            <w:pPr>
              <w:pStyle w:val="TableText"/>
              <w:rPr>
                <w:bCs/>
                <w:color w:val="000000"/>
              </w:rPr>
            </w:pPr>
            <w:r w:rsidRPr="00B83CF4">
              <w:rPr>
                <w:color w:val="000000"/>
                <w:szCs w:val="20"/>
              </w:rPr>
              <w:t>$</w:t>
            </w:r>
            <w:r>
              <w:rPr>
                <w:noProof/>
                <w:color w:val="000000"/>
                <w:szCs w:val="20"/>
                <w:highlight w:val="black"/>
              </w:rPr>
              <w:t>'''''''''''''''''''''''''''</w:t>
            </w:r>
          </w:p>
        </w:tc>
        <w:tc>
          <w:tcPr>
            <w:tcW w:w="647" w:type="pct"/>
            <w:tcBorders>
              <w:top w:val="single" w:sz="4" w:space="0" w:color="auto"/>
              <w:left w:val="single" w:sz="4" w:space="0" w:color="auto"/>
              <w:bottom w:val="nil"/>
              <w:right w:val="single" w:sz="4" w:space="0" w:color="auto"/>
            </w:tcBorders>
            <w:shd w:val="clear" w:color="auto" w:fill="auto"/>
          </w:tcPr>
          <w:p w:rsidR="00BF72B1" w:rsidRPr="00B83CF4" w:rsidRDefault="00BF72B1" w:rsidP="00234AC7">
            <w:pPr>
              <w:pStyle w:val="TableText"/>
              <w:rPr>
                <w:bCs/>
                <w:color w:val="000000"/>
              </w:rPr>
            </w:pPr>
            <w:r w:rsidRPr="00B83CF4">
              <w:rPr>
                <w:color w:val="000000"/>
                <w:szCs w:val="20"/>
              </w:rPr>
              <w:t>$</w:t>
            </w:r>
            <w:r>
              <w:rPr>
                <w:noProof/>
                <w:color w:val="000000"/>
                <w:szCs w:val="20"/>
                <w:highlight w:val="black"/>
              </w:rPr>
              <w:t>''''''''''''''''''''''''</w:t>
            </w:r>
          </w:p>
        </w:tc>
        <w:tc>
          <w:tcPr>
            <w:tcW w:w="647" w:type="pct"/>
            <w:tcBorders>
              <w:top w:val="single" w:sz="4" w:space="0" w:color="auto"/>
              <w:left w:val="single" w:sz="4" w:space="0" w:color="auto"/>
              <w:bottom w:val="nil"/>
              <w:right w:val="single" w:sz="4" w:space="0" w:color="auto"/>
            </w:tcBorders>
            <w:shd w:val="clear" w:color="auto" w:fill="auto"/>
          </w:tcPr>
          <w:p w:rsidR="00BF72B1" w:rsidRPr="00B83CF4" w:rsidRDefault="00BF72B1" w:rsidP="00234AC7">
            <w:pPr>
              <w:pStyle w:val="TableText"/>
              <w:rPr>
                <w:bCs/>
                <w:color w:val="000000"/>
              </w:rPr>
            </w:pPr>
            <w:r w:rsidRPr="00B83CF4">
              <w:rPr>
                <w:color w:val="000000"/>
                <w:szCs w:val="20"/>
              </w:rPr>
              <w:t>$</w:t>
            </w:r>
            <w:r>
              <w:rPr>
                <w:noProof/>
                <w:color w:val="000000"/>
                <w:szCs w:val="20"/>
                <w:highlight w:val="black"/>
              </w:rPr>
              <w:t>'''''''''''''''''''''''''''''</w:t>
            </w:r>
          </w:p>
        </w:tc>
        <w:tc>
          <w:tcPr>
            <w:tcW w:w="647" w:type="pct"/>
            <w:tcBorders>
              <w:top w:val="single" w:sz="4" w:space="0" w:color="auto"/>
              <w:left w:val="single" w:sz="4" w:space="0" w:color="auto"/>
              <w:bottom w:val="nil"/>
              <w:right w:val="single" w:sz="4" w:space="0" w:color="auto"/>
            </w:tcBorders>
            <w:shd w:val="clear" w:color="auto" w:fill="auto"/>
          </w:tcPr>
          <w:p w:rsidR="00BF72B1" w:rsidRPr="00B83CF4" w:rsidRDefault="00BF72B1" w:rsidP="00234AC7">
            <w:pPr>
              <w:pStyle w:val="TableText"/>
              <w:rPr>
                <w:bCs/>
                <w:color w:val="000000"/>
              </w:rPr>
            </w:pPr>
            <w:r w:rsidRPr="00B83CF4">
              <w:rPr>
                <w:color w:val="000000"/>
                <w:szCs w:val="20"/>
              </w:rPr>
              <w:t>$</w:t>
            </w:r>
            <w:r>
              <w:rPr>
                <w:noProof/>
                <w:color w:val="000000"/>
                <w:szCs w:val="20"/>
                <w:highlight w:val="black"/>
              </w:rPr>
              <w:t>''''''''''''''''''''''''''</w:t>
            </w:r>
          </w:p>
        </w:tc>
        <w:tc>
          <w:tcPr>
            <w:tcW w:w="647" w:type="pct"/>
            <w:tcBorders>
              <w:top w:val="single" w:sz="4" w:space="0" w:color="auto"/>
              <w:left w:val="single" w:sz="4" w:space="0" w:color="auto"/>
              <w:bottom w:val="nil"/>
              <w:right w:val="single" w:sz="4" w:space="0" w:color="auto"/>
            </w:tcBorders>
            <w:shd w:val="clear" w:color="auto" w:fill="auto"/>
          </w:tcPr>
          <w:p w:rsidR="00BF72B1" w:rsidRPr="00B83CF4" w:rsidRDefault="00BF72B1" w:rsidP="00234AC7">
            <w:pPr>
              <w:pStyle w:val="TableText"/>
              <w:rPr>
                <w:bCs/>
                <w:color w:val="000000"/>
              </w:rPr>
            </w:pPr>
            <w:r w:rsidRPr="00B83CF4">
              <w:rPr>
                <w:color w:val="000000"/>
                <w:szCs w:val="20"/>
              </w:rPr>
              <w:t>$</w:t>
            </w:r>
            <w:r>
              <w:rPr>
                <w:noProof/>
                <w:color w:val="000000"/>
                <w:szCs w:val="20"/>
                <w:highlight w:val="black"/>
              </w:rPr>
              <w:t>''''''''''''''''''''''''</w:t>
            </w:r>
          </w:p>
        </w:tc>
        <w:tc>
          <w:tcPr>
            <w:tcW w:w="647" w:type="pct"/>
            <w:tcBorders>
              <w:top w:val="single" w:sz="4" w:space="0" w:color="auto"/>
              <w:left w:val="single" w:sz="4" w:space="0" w:color="auto"/>
              <w:bottom w:val="nil"/>
              <w:right w:val="single" w:sz="4" w:space="0" w:color="auto"/>
            </w:tcBorders>
            <w:shd w:val="clear" w:color="auto" w:fill="auto"/>
          </w:tcPr>
          <w:p w:rsidR="00BF72B1" w:rsidRPr="00B83CF4" w:rsidRDefault="00BF72B1" w:rsidP="00234AC7">
            <w:pPr>
              <w:pStyle w:val="TableText"/>
              <w:rPr>
                <w:bCs/>
                <w:color w:val="000000"/>
              </w:rPr>
            </w:pPr>
            <w:r w:rsidRPr="00B83CF4">
              <w:rPr>
                <w:color w:val="000000"/>
                <w:szCs w:val="20"/>
              </w:rPr>
              <w:t>$</w:t>
            </w:r>
            <w:r>
              <w:rPr>
                <w:noProof/>
                <w:color w:val="000000"/>
                <w:szCs w:val="20"/>
                <w:highlight w:val="black"/>
              </w:rPr>
              <w:t>'''''''''''''''''''''''''''</w:t>
            </w:r>
          </w:p>
        </w:tc>
      </w:tr>
      <w:tr w:rsidR="00BF72B1" w:rsidRPr="00B83CF4" w:rsidTr="00234AC7">
        <w:tc>
          <w:tcPr>
            <w:tcW w:w="1118" w:type="pct"/>
            <w:shd w:val="clear" w:color="auto" w:fill="auto"/>
            <w:vAlign w:val="center"/>
          </w:tcPr>
          <w:p w:rsidR="00BF72B1" w:rsidRPr="00B83CF4" w:rsidRDefault="00BF72B1" w:rsidP="00234AC7">
            <w:pPr>
              <w:pStyle w:val="TableText"/>
              <w:rPr>
                <w:rFonts w:ascii="Times" w:eastAsia="Times New Roman" w:hAnsi="Times" w:cs="Times New Roman"/>
                <w:vertAlign w:val="superscript"/>
              </w:rPr>
            </w:pPr>
            <w:r w:rsidRPr="00B83CF4">
              <w:rPr>
                <w:sz w:val="19"/>
                <w:szCs w:val="19"/>
              </w:rPr>
              <w:t xml:space="preserve">Net cost to </w:t>
            </w:r>
            <w:proofErr w:type="spellStart"/>
            <w:r w:rsidRPr="00B83CF4">
              <w:rPr>
                <w:sz w:val="19"/>
                <w:szCs w:val="19"/>
              </w:rPr>
              <w:t>MBS</w:t>
            </w:r>
            <w:r w:rsidRPr="00B83CF4">
              <w:rPr>
                <w:sz w:val="19"/>
                <w:szCs w:val="19"/>
                <w:vertAlign w:val="superscript"/>
              </w:rPr>
              <w:t>b</w:t>
            </w:r>
            <w:proofErr w:type="spellEnd"/>
          </w:p>
        </w:tc>
        <w:tc>
          <w:tcPr>
            <w:tcW w:w="647" w:type="pct"/>
            <w:tcBorders>
              <w:top w:val="single" w:sz="4" w:space="0" w:color="auto"/>
              <w:bottom w:val="single" w:sz="4" w:space="0" w:color="auto"/>
              <w:right w:val="single" w:sz="4" w:space="0" w:color="auto"/>
            </w:tcBorders>
          </w:tcPr>
          <w:p w:rsidR="00BF72B1" w:rsidRPr="00B83CF4" w:rsidRDefault="00BF72B1" w:rsidP="00234AC7">
            <w:pPr>
              <w:pStyle w:val="TableText"/>
            </w:pPr>
            <w:r w:rsidRPr="00B83CF4">
              <w:t>$</w:t>
            </w:r>
            <w:r>
              <w:rPr>
                <w:noProof/>
                <w:color w:val="000000"/>
                <w:highlight w:val="black"/>
              </w:rPr>
              <w:t>'''''''''''''''''</w:t>
            </w:r>
          </w:p>
          <w:p w:rsidR="00BF72B1" w:rsidRPr="00B83CF4" w:rsidRDefault="00BF72B1" w:rsidP="00234AC7">
            <w:pPr>
              <w:pStyle w:val="TableText"/>
              <w:rPr>
                <w:bCs/>
                <w:color w:val="000000"/>
              </w:rPr>
            </w:pPr>
            <w:r w:rsidRPr="00B83CF4">
              <w:rPr>
                <w:i/>
              </w:rPr>
              <w:t>$</w:t>
            </w:r>
            <w:r>
              <w:rPr>
                <w:i/>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BF72B1" w:rsidRPr="00B83CF4" w:rsidRDefault="00BF72B1" w:rsidP="00234AC7">
            <w:pPr>
              <w:pStyle w:val="TableText"/>
            </w:pPr>
            <w:r w:rsidRPr="00B83CF4">
              <w:t>$</w:t>
            </w:r>
            <w:r>
              <w:rPr>
                <w:noProof/>
                <w:color w:val="000000"/>
                <w:highlight w:val="black"/>
              </w:rPr>
              <w:t>'''''''''''''''''''</w:t>
            </w:r>
          </w:p>
          <w:p w:rsidR="00BF72B1" w:rsidRPr="00B83CF4" w:rsidRDefault="00BF72B1" w:rsidP="00234AC7">
            <w:pPr>
              <w:pStyle w:val="TableText"/>
              <w:rPr>
                <w:bCs/>
                <w:color w:val="000000"/>
              </w:rPr>
            </w:pPr>
            <w:r w:rsidRPr="00B83CF4">
              <w:rPr>
                <w:i/>
              </w:rPr>
              <w:t>$</w:t>
            </w:r>
            <w:r>
              <w:rPr>
                <w:i/>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BF72B1" w:rsidRPr="00B83CF4" w:rsidRDefault="00BF72B1" w:rsidP="00234AC7">
            <w:pPr>
              <w:pStyle w:val="TableText"/>
            </w:pPr>
            <w:r w:rsidRPr="00B83CF4">
              <w:t>$</w:t>
            </w:r>
            <w:r>
              <w:rPr>
                <w:noProof/>
                <w:color w:val="000000"/>
                <w:highlight w:val="black"/>
              </w:rPr>
              <w:t>''''''''''''''''''''</w:t>
            </w:r>
          </w:p>
          <w:p w:rsidR="00BF72B1" w:rsidRPr="00B83CF4" w:rsidRDefault="00BF72B1" w:rsidP="00234AC7">
            <w:pPr>
              <w:pStyle w:val="TableText"/>
              <w:rPr>
                <w:bCs/>
                <w:color w:val="000000"/>
              </w:rPr>
            </w:pPr>
            <w:r w:rsidRPr="00B83CF4">
              <w:rPr>
                <w:i/>
              </w:rPr>
              <w:t>$</w:t>
            </w:r>
            <w:r>
              <w:rPr>
                <w:i/>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BF72B1" w:rsidRPr="00B83CF4" w:rsidRDefault="00BF72B1" w:rsidP="00234AC7">
            <w:pPr>
              <w:pStyle w:val="TableText"/>
            </w:pPr>
            <w:r w:rsidRPr="00B83CF4">
              <w:t>$</w:t>
            </w:r>
            <w:r>
              <w:rPr>
                <w:noProof/>
                <w:color w:val="000000"/>
                <w:highlight w:val="black"/>
              </w:rPr>
              <w:t>'''''''''''''''''''''</w:t>
            </w:r>
          </w:p>
          <w:p w:rsidR="00BF72B1" w:rsidRPr="00B83CF4" w:rsidRDefault="00BF72B1" w:rsidP="00234AC7">
            <w:pPr>
              <w:pStyle w:val="TableText"/>
              <w:rPr>
                <w:bCs/>
                <w:color w:val="000000"/>
              </w:rPr>
            </w:pPr>
            <w:r w:rsidRPr="00B83CF4">
              <w:rPr>
                <w:i/>
              </w:rPr>
              <w:t>$</w:t>
            </w:r>
            <w:r>
              <w:rPr>
                <w:i/>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BF72B1" w:rsidRPr="00B83CF4" w:rsidRDefault="00BF72B1" w:rsidP="00234AC7">
            <w:pPr>
              <w:pStyle w:val="TableText"/>
            </w:pPr>
            <w:r w:rsidRPr="00B83CF4">
              <w:t>$</w:t>
            </w:r>
            <w:r>
              <w:rPr>
                <w:noProof/>
                <w:color w:val="000000"/>
                <w:highlight w:val="black"/>
              </w:rPr>
              <w:t>''''''''''''''''''''</w:t>
            </w:r>
          </w:p>
          <w:p w:rsidR="00BF72B1" w:rsidRPr="00B83CF4" w:rsidRDefault="00BF72B1" w:rsidP="00234AC7">
            <w:pPr>
              <w:pStyle w:val="TableText"/>
              <w:rPr>
                <w:bCs/>
                <w:color w:val="000000"/>
              </w:rPr>
            </w:pPr>
            <w:r w:rsidRPr="00B83CF4">
              <w:rPr>
                <w:i/>
              </w:rPr>
              <w:t>$</w:t>
            </w:r>
            <w:r>
              <w:rPr>
                <w:i/>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BF72B1" w:rsidRPr="00B83CF4" w:rsidRDefault="00BF72B1" w:rsidP="00234AC7">
            <w:pPr>
              <w:pStyle w:val="TableText"/>
            </w:pPr>
            <w:r w:rsidRPr="00B83CF4">
              <w:t>$</w:t>
            </w:r>
            <w:r>
              <w:rPr>
                <w:noProof/>
                <w:color w:val="000000"/>
                <w:highlight w:val="black"/>
              </w:rPr>
              <w:t>''''''''''''''''''''''</w:t>
            </w:r>
          </w:p>
          <w:p w:rsidR="00BF72B1" w:rsidRPr="00B83CF4" w:rsidRDefault="00BF72B1" w:rsidP="00234AC7">
            <w:pPr>
              <w:pStyle w:val="TableText"/>
              <w:rPr>
                <w:bCs/>
                <w:color w:val="000000"/>
              </w:rPr>
            </w:pPr>
            <w:r w:rsidRPr="00B83CF4">
              <w:rPr>
                <w:i/>
              </w:rPr>
              <w:t>$</w:t>
            </w:r>
            <w:r>
              <w:rPr>
                <w:i/>
                <w:noProof/>
                <w:color w:val="000000"/>
                <w:highlight w:val="black"/>
              </w:rPr>
              <w:t>'''''''''''''''''''</w:t>
            </w:r>
          </w:p>
        </w:tc>
      </w:tr>
      <w:tr w:rsidR="00BF72B1" w:rsidRPr="00B83CF4" w:rsidTr="00234AC7">
        <w:tc>
          <w:tcPr>
            <w:tcW w:w="1118" w:type="pct"/>
            <w:shd w:val="clear" w:color="auto" w:fill="auto"/>
            <w:vAlign w:val="center"/>
          </w:tcPr>
          <w:p w:rsidR="00BF72B1" w:rsidRPr="00B83CF4" w:rsidRDefault="00BF72B1" w:rsidP="00234AC7">
            <w:pPr>
              <w:pStyle w:val="TableText"/>
              <w:rPr>
                <w:sz w:val="19"/>
                <w:szCs w:val="19"/>
              </w:rPr>
            </w:pPr>
            <w:r w:rsidRPr="00B83CF4">
              <w:rPr>
                <w:sz w:val="19"/>
                <w:szCs w:val="19"/>
              </w:rPr>
              <w:t>Net cost to PBS/RPBS/MBS</w:t>
            </w:r>
          </w:p>
        </w:tc>
        <w:tc>
          <w:tcPr>
            <w:tcW w:w="647" w:type="pct"/>
            <w:tcBorders>
              <w:top w:val="single" w:sz="4" w:space="0" w:color="auto"/>
              <w:left w:val="nil"/>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b/>
                <w:i/>
                <w:color w:val="000000"/>
                <w:szCs w:val="20"/>
              </w:rPr>
              <w:t>$</w:t>
            </w:r>
            <w:r>
              <w:rPr>
                <w:b/>
                <w:i/>
                <w:noProof/>
                <w:color w:val="000000"/>
                <w:szCs w:val="20"/>
                <w:highlight w:val="black"/>
              </w:rPr>
              <w:t>'''''''''''''''''''''''</w:t>
            </w:r>
            <w:r w:rsidRPr="00B83CF4">
              <w:rPr>
                <w:b/>
                <w:i/>
                <w:color w:val="000000"/>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b/>
                <w:i/>
                <w:color w:val="000000"/>
                <w:szCs w:val="20"/>
              </w:rPr>
              <w:t>$</w:t>
            </w:r>
            <w:r>
              <w:rPr>
                <w:b/>
                <w:i/>
                <w:noProof/>
                <w:color w:val="000000"/>
                <w:szCs w:val="20"/>
                <w:highlight w:val="black"/>
              </w:rPr>
              <w:t>'''''''''''''''''''''''</w:t>
            </w:r>
            <w:r w:rsidRPr="00B83CF4">
              <w:rPr>
                <w:b/>
                <w:i/>
                <w:color w:val="000000"/>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b/>
                <w:i/>
                <w:color w:val="000000"/>
                <w:szCs w:val="20"/>
              </w:rPr>
              <w:t>$</w:t>
            </w:r>
            <w:r>
              <w:rPr>
                <w:b/>
                <w:i/>
                <w:noProof/>
                <w:color w:val="000000"/>
                <w:szCs w:val="20"/>
                <w:highlight w:val="black"/>
              </w:rPr>
              <w:t>'''''''''''''''''''''''</w:t>
            </w:r>
            <w:r w:rsidRPr="00B83CF4">
              <w:rPr>
                <w:b/>
                <w:i/>
                <w:color w:val="000000"/>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b/>
                <w:i/>
                <w:color w:val="000000"/>
                <w:szCs w:val="20"/>
              </w:rPr>
              <w:t>$</w:t>
            </w:r>
            <w:r>
              <w:rPr>
                <w:b/>
                <w: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b/>
                <w:i/>
                <w:color w:val="000000"/>
                <w:szCs w:val="20"/>
              </w:rPr>
              <w:t>$</w:t>
            </w:r>
            <w:r>
              <w:rPr>
                <w:b/>
                <w: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BF72B1" w:rsidRPr="00B83CF4" w:rsidRDefault="00BF72B1" w:rsidP="00234AC7">
            <w:pPr>
              <w:pStyle w:val="TableText"/>
              <w:rPr>
                <w:bCs/>
                <w:color w:val="000000"/>
              </w:rPr>
            </w:pPr>
            <w:r w:rsidRPr="00B83CF4">
              <w:rPr>
                <w:b/>
                <w:i/>
                <w:color w:val="000000"/>
                <w:szCs w:val="20"/>
              </w:rPr>
              <w:t>$</w:t>
            </w:r>
            <w:r>
              <w:rPr>
                <w:b/>
                <w:i/>
                <w:noProof/>
                <w:color w:val="000000"/>
                <w:szCs w:val="20"/>
                <w:highlight w:val="black"/>
              </w:rPr>
              <w:t>''''''''''''''''''''</w:t>
            </w:r>
            <w:r w:rsidRPr="00B83CF4">
              <w:rPr>
                <w:b/>
                <w:i/>
                <w:color w:val="000000"/>
                <w:szCs w:val="20"/>
              </w:rPr>
              <w:t xml:space="preserve"> </w:t>
            </w:r>
          </w:p>
        </w:tc>
      </w:tr>
    </w:tbl>
    <w:p w:rsidR="00BF72B1" w:rsidRDefault="00BF72B1" w:rsidP="00BF72B1">
      <w:pPr>
        <w:pStyle w:val="TableFooter"/>
        <w:tabs>
          <w:tab w:val="right" w:pos="9026"/>
        </w:tabs>
      </w:pPr>
      <w:r w:rsidRPr="00B83CF4">
        <w:t>Source: Table 43, p65, Tables 45-47, pp67-69 of the submission</w:t>
      </w:r>
      <w:r>
        <w:tab/>
      </w:r>
    </w:p>
    <w:p w:rsidR="00BF72B1" w:rsidRPr="003D5C02" w:rsidRDefault="00BF72B1" w:rsidP="00BF72B1">
      <w:pPr>
        <w:pStyle w:val="TableFooter"/>
      </w:pPr>
      <w:r>
        <w:t>MBS = Medical Benefits Scheme; PBS = Pharmaceutical Benefits Scheme; RPBS = Repatriation Pharmaceutical Benefits Scheme</w:t>
      </w:r>
    </w:p>
    <w:p w:rsidR="00BF72B1" w:rsidRPr="005830EB" w:rsidRDefault="00BF72B1" w:rsidP="00BF72B1">
      <w:pPr>
        <w:pStyle w:val="TableFooter"/>
      </w:pPr>
      <w:proofErr w:type="spellStart"/>
      <w:proofErr w:type="gramStart"/>
      <w:r w:rsidRPr="003639A6">
        <w:rPr>
          <w:vertAlign w:val="superscript"/>
        </w:rPr>
        <w:t>a</w:t>
      </w:r>
      <w:proofErr w:type="spellEnd"/>
      <w:proofErr w:type="gramEnd"/>
      <w:r w:rsidRPr="003639A6">
        <w:t xml:space="preserve"> Assuming </w:t>
      </w:r>
      <w:r>
        <w:t>15.5 doses</w:t>
      </w:r>
      <w:r w:rsidRPr="003639A6">
        <w:t xml:space="preserve"> per year </w:t>
      </w:r>
      <w:r w:rsidRPr="005830EB">
        <w:t>as estimated by the submission</w:t>
      </w:r>
    </w:p>
    <w:p w:rsidR="00BF72B1" w:rsidRDefault="00BF72B1" w:rsidP="00BF72B1">
      <w:pPr>
        <w:pStyle w:val="TableFooter"/>
        <w:rPr>
          <w:i/>
        </w:rPr>
      </w:pPr>
      <w:proofErr w:type="gramStart"/>
      <w:r w:rsidRPr="005830EB">
        <w:rPr>
          <w:vertAlign w:val="superscript"/>
        </w:rPr>
        <w:t>b</w:t>
      </w:r>
      <w:proofErr w:type="gramEnd"/>
      <w:r w:rsidRPr="005830EB">
        <w:rPr>
          <w:vertAlign w:val="superscript"/>
        </w:rPr>
        <w:t xml:space="preserve"> </w:t>
      </w:r>
      <w:r w:rsidRPr="005830EB">
        <w:t>Calculation error, the resubmission used $</w:t>
      </w:r>
      <w:r>
        <w:rPr>
          <w:noProof/>
          <w:color w:val="000000"/>
          <w:highlight w:val="black"/>
        </w:rPr>
        <w:t xml:space="preserve">''''''''' </w:t>
      </w:r>
      <w:r w:rsidRPr="005830EB">
        <w:t>per patient. The true value is $</w:t>
      </w:r>
      <w:r>
        <w:rPr>
          <w:noProof/>
          <w:color w:val="000000"/>
          <w:highlight w:val="black"/>
        </w:rPr>
        <w:t>''''''''</w:t>
      </w:r>
      <w:r w:rsidRPr="005830EB">
        <w:t xml:space="preserve"> per patient as discussed in Section 4.5.2, p69 of the resubmission. </w:t>
      </w:r>
      <w:r w:rsidRPr="005830EB">
        <w:rPr>
          <w:i/>
        </w:rPr>
        <w:t>Values recalculated to reflect this error.</w:t>
      </w:r>
    </w:p>
    <w:p w:rsidR="00BF72B1" w:rsidRDefault="00BF72B1" w:rsidP="00BF72B1">
      <w:pPr>
        <w:pStyle w:val="TableFooter"/>
        <w:rPr>
          <w:i/>
        </w:rPr>
      </w:pPr>
    </w:p>
    <w:p w:rsidR="00BF72B1" w:rsidRPr="00EA2518" w:rsidRDefault="00BF72B1" w:rsidP="00BF72B1">
      <w:pPr>
        <w:pStyle w:val="ListParagraph"/>
        <w:numPr>
          <w:ilvl w:val="1"/>
          <w:numId w:val="1"/>
        </w:numPr>
        <w:spacing w:before="0" w:after="120"/>
        <w:jc w:val="both"/>
      </w:pPr>
      <w:r w:rsidRPr="00EA2518">
        <w:t xml:space="preserve">During evaluation there was an error identified in the calculation of the net cost to the MBS by applying </w:t>
      </w:r>
      <w:r w:rsidRPr="005830EB">
        <w:t>an average cost per hospital admission of $</w:t>
      </w:r>
      <w:r>
        <w:rPr>
          <w:noProof/>
          <w:color w:val="000000"/>
          <w:highlight w:val="black"/>
        </w:rPr>
        <w:t>''''''''</w:t>
      </w:r>
      <w:r w:rsidRPr="005830EB">
        <w:t xml:space="preserve"> per patient instead of the true value of $</w:t>
      </w:r>
      <w:r>
        <w:rPr>
          <w:noProof/>
          <w:color w:val="000000"/>
          <w:highlight w:val="black"/>
        </w:rPr>
        <w:t>'''''''</w:t>
      </w:r>
      <w:r w:rsidRPr="005830EB">
        <w:t xml:space="preserve"> per patient.</w:t>
      </w:r>
      <w:r w:rsidRPr="00EA2518">
        <w:t xml:space="preserve"> </w:t>
      </w:r>
    </w:p>
    <w:p w:rsidR="00BF72B1" w:rsidRPr="00EA2518" w:rsidRDefault="00BF72B1" w:rsidP="00BF72B1">
      <w:pPr>
        <w:pStyle w:val="ListParagraph"/>
        <w:numPr>
          <w:ilvl w:val="1"/>
          <w:numId w:val="1"/>
        </w:numPr>
        <w:spacing w:before="0" w:after="120"/>
        <w:jc w:val="both"/>
      </w:pPr>
      <w:r w:rsidRPr="00EA2518">
        <w:t>The number of patients treated with romidepsin in the resubmission was higher than estimated in November 2016 submission. This was primarily due to the new approach to determining the number of incident NHL cases (linear extrapolation of five years of recorded AIHW NHL incidence data to estimate 2018 to 2023 figures).</w:t>
      </w:r>
    </w:p>
    <w:p w:rsidR="00BF72B1" w:rsidRPr="00EA2518" w:rsidRDefault="00BF72B1" w:rsidP="00BF72B1">
      <w:pPr>
        <w:pStyle w:val="ListParagraph"/>
        <w:numPr>
          <w:ilvl w:val="1"/>
          <w:numId w:val="1"/>
        </w:numPr>
        <w:spacing w:before="0" w:after="120"/>
        <w:jc w:val="both"/>
      </w:pPr>
      <w:r w:rsidRPr="00EA2518">
        <w:t xml:space="preserve">The net cost to the PBS/RPBS in Year </w:t>
      </w:r>
      <w:r>
        <w:t xml:space="preserve">6 </w:t>
      </w:r>
      <w:r w:rsidRPr="00EA2518">
        <w:t>was $1</w:t>
      </w:r>
      <w:r>
        <w:t>0</w:t>
      </w:r>
      <w:r w:rsidRPr="00EA2518">
        <w:t xml:space="preserve"> </w:t>
      </w:r>
      <w:r>
        <w:t xml:space="preserve">- $20 </w:t>
      </w:r>
      <w:r w:rsidRPr="00EA2518">
        <w:t>million. This was slightly lower than the estimates provided in the previous submission due to the decrease in the cost of romidepsin.</w:t>
      </w:r>
    </w:p>
    <w:p w:rsidR="00BF72B1" w:rsidRPr="00EA2518" w:rsidRDefault="00BF72B1" w:rsidP="00BF72B1">
      <w:pPr>
        <w:pStyle w:val="ListParagraph"/>
        <w:numPr>
          <w:ilvl w:val="1"/>
          <w:numId w:val="1"/>
        </w:numPr>
        <w:spacing w:before="0" w:after="120"/>
        <w:jc w:val="both"/>
      </w:pPr>
      <w:r w:rsidRPr="00EA2518">
        <w:t>There was uncertainty in the estimates of net cost to government:</w:t>
      </w:r>
    </w:p>
    <w:p w:rsidR="00BF72B1" w:rsidRPr="00EA2518" w:rsidRDefault="00BF72B1" w:rsidP="00BF72B1">
      <w:pPr>
        <w:pStyle w:val="ListParagraph"/>
        <w:numPr>
          <w:ilvl w:val="1"/>
          <w:numId w:val="13"/>
        </w:numPr>
        <w:ind w:left="993" w:hanging="357"/>
        <w:jc w:val="both"/>
      </w:pPr>
      <w:r w:rsidRPr="00EA2518">
        <w:t xml:space="preserve">The uptake in eligible patients is likely to be lower </w:t>
      </w:r>
      <w:r w:rsidRPr="001101DE">
        <w:t>than 96% (overestimate</w:t>
      </w:r>
      <w:r w:rsidRPr="00EA2518">
        <w:t>);</w:t>
      </w:r>
    </w:p>
    <w:p w:rsidR="00BF72B1" w:rsidRPr="00EA2518" w:rsidRDefault="00BF72B1" w:rsidP="00BF72B1">
      <w:pPr>
        <w:pStyle w:val="ListParagraph"/>
        <w:numPr>
          <w:ilvl w:val="1"/>
          <w:numId w:val="13"/>
        </w:numPr>
        <w:ind w:left="993" w:hanging="357"/>
        <w:jc w:val="both"/>
      </w:pPr>
      <w:r w:rsidRPr="00EA2518">
        <w:t xml:space="preserve">The submission did not consider the treatments given to patients that would be substituted/displaced if romidepsin was listed on the PBS (underestimate); </w:t>
      </w:r>
    </w:p>
    <w:p w:rsidR="00BF72B1" w:rsidRPr="00EA2518" w:rsidRDefault="00BF72B1" w:rsidP="00BF72B1">
      <w:pPr>
        <w:pStyle w:val="ListParagraph"/>
        <w:numPr>
          <w:ilvl w:val="1"/>
          <w:numId w:val="13"/>
        </w:numPr>
        <w:ind w:left="993" w:hanging="357"/>
        <w:jc w:val="both"/>
      </w:pPr>
      <w:r w:rsidRPr="00EA2518">
        <w:t>The cost of a co-payment for ondansetron was not included in the December 2017 resubmission (overestimate); and</w:t>
      </w:r>
    </w:p>
    <w:p w:rsidR="00BF72B1" w:rsidRPr="00EA2518" w:rsidRDefault="00BF72B1" w:rsidP="00BF72B1">
      <w:pPr>
        <w:pStyle w:val="ListParagraph"/>
        <w:numPr>
          <w:ilvl w:val="1"/>
          <w:numId w:val="13"/>
        </w:numPr>
        <w:ind w:left="993" w:hanging="357"/>
        <w:jc w:val="both"/>
      </w:pPr>
      <w:r w:rsidRPr="00EA2518">
        <w:t>Treatment duration may be longer as it is likely frequency of response evaluation would be longer in practice (overestimate).</w:t>
      </w:r>
    </w:p>
    <w:p w:rsidR="00BF72B1" w:rsidRDefault="00BF72B1" w:rsidP="00BF72B1">
      <w:pPr>
        <w:pStyle w:val="Heading2"/>
      </w:pPr>
      <w:bookmarkStart w:id="41" w:name="_Toc413139286"/>
      <w:bookmarkStart w:id="42" w:name="_Toc496529137"/>
      <w:bookmarkStart w:id="43" w:name="_Toc497396008"/>
      <w:r>
        <w:lastRenderedPageBreak/>
        <w:t>Financial management – risk sharing arrangements</w:t>
      </w:r>
      <w:bookmarkEnd w:id="41"/>
      <w:bookmarkEnd w:id="42"/>
      <w:bookmarkEnd w:id="43"/>
    </w:p>
    <w:p w:rsidR="00BF72B1" w:rsidRDefault="00BF72B1" w:rsidP="00BF72B1">
      <w:pPr>
        <w:pStyle w:val="ListParagraph"/>
        <w:numPr>
          <w:ilvl w:val="1"/>
          <w:numId w:val="1"/>
        </w:numPr>
        <w:spacing w:before="0" w:after="120"/>
        <w:jc w:val="both"/>
      </w:pPr>
      <w:r w:rsidRPr="00C37F25">
        <w:t xml:space="preserve">The resubmission requested a Special </w:t>
      </w:r>
      <w:r w:rsidRPr="005830EB">
        <w:t>Pricing Arrangement such that the published ex-manufacturer price per 10 mg vial of romidepsin is $</w:t>
      </w:r>
      <w:r>
        <w:rPr>
          <w:noProof/>
          <w:color w:val="000000"/>
          <w:highlight w:val="black"/>
        </w:rPr>
        <w:t>''''''''''</w:t>
      </w:r>
      <w:r w:rsidRPr="005830EB">
        <w:t>.  The resubmission requested an effective ex-manufacture price of $</w:t>
      </w:r>
      <w:r>
        <w:rPr>
          <w:noProof/>
          <w:color w:val="000000"/>
          <w:highlight w:val="black"/>
        </w:rPr>
        <w:t>''''''''''''''''''</w:t>
      </w:r>
      <w:r w:rsidRPr="005830EB">
        <w:t xml:space="preserve">, representing a </w:t>
      </w:r>
      <w:r>
        <w:rPr>
          <w:noProof/>
          <w:color w:val="000000"/>
          <w:highlight w:val="black"/>
        </w:rPr>
        <w:t>'''''</w:t>
      </w:r>
      <w:r w:rsidRPr="005830EB">
        <w:t>% discount on the published price.</w:t>
      </w:r>
    </w:p>
    <w:p w:rsidR="00BF72B1" w:rsidRPr="003149EC" w:rsidRDefault="00BF72B1" w:rsidP="00BF72B1">
      <w:pPr>
        <w:pStyle w:val="PBACHeading1"/>
        <w:numPr>
          <w:ilvl w:val="0"/>
          <w:numId w:val="0"/>
        </w:numPr>
        <w:ind w:firstLine="720"/>
        <w:rPr>
          <w:rFonts w:asciiTheme="minorHAnsi" w:hAnsiTheme="minorHAnsi"/>
          <w:b w:val="0"/>
          <w:i/>
          <w:sz w:val="24"/>
        </w:rPr>
      </w:pPr>
      <w:r w:rsidRPr="003149EC">
        <w:rPr>
          <w:rFonts w:asciiTheme="minorHAnsi" w:hAnsiTheme="minorHAnsi"/>
          <w:b w:val="0"/>
          <w:i/>
          <w:sz w:val="24"/>
        </w:rPr>
        <w:t>For more detail on PBAC’s view, see section 7 PBAC outcome.</w:t>
      </w:r>
    </w:p>
    <w:p w:rsidR="00BF72B1" w:rsidRPr="00455174" w:rsidRDefault="00BF72B1" w:rsidP="00BF72B1">
      <w:pPr>
        <w:pStyle w:val="Heading1"/>
        <w:ind w:left="709" w:hanging="709"/>
      </w:pPr>
      <w:r w:rsidRPr="00455174">
        <w:t>PBAC Outcome</w:t>
      </w:r>
    </w:p>
    <w:p w:rsidR="00BF72B1" w:rsidRPr="001A7A38" w:rsidRDefault="00BF72B1" w:rsidP="00BF72B1">
      <w:pPr>
        <w:pStyle w:val="ListParagraph"/>
        <w:numPr>
          <w:ilvl w:val="1"/>
          <w:numId w:val="1"/>
        </w:numPr>
        <w:spacing w:before="0" w:after="120"/>
        <w:jc w:val="both"/>
        <w:rPr>
          <w:rFonts w:cs="Arial"/>
          <w:bCs/>
          <w:snapToGrid w:val="0"/>
          <w:lang w:val="en-GB"/>
        </w:rPr>
      </w:pPr>
      <w:r w:rsidRPr="001A7A38">
        <w:rPr>
          <w:rFonts w:cs="Arial"/>
          <w:bCs/>
          <w:snapToGrid w:val="0"/>
          <w:lang w:val="en-GB"/>
        </w:rPr>
        <w:t xml:space="preserve">The PBAC deferred making a recommendation to list romidepsin for the treatment of </w:t>
      </w:r>
      <w:r>
        <w:rPr>
          <w:rFonts w:cs="Arial"/>
          <w:bCs/>
          <w:snapToGrid w:val="0"/>
          <w:lang w:val="en-GB"/>
        </w:rPr>
        <w:t>PTCL</w:t>
      </w:r>
      <w:r w:rsidRPr="001A7A38">
        <w:rPr>
          <w:rFonts w:cs="Arial"/>
          <w:bCs/>
          <w:snapToGrid w:val="0"/>
          <w:lang w:val="en-GB"/>
        </w:rPr>
        <w:t xml:space="preserve">. Accepting that there </w:t>
      </w:r>
      <w:r>
        <w:rPr>
          <w:rFonts w:cs="Arial"/>
          <w:bCs/>
          <w:snapToGrid w:val="0"/>
          <w:lang w:val="en-GB"/>
        </w:rPr>
        <w:t>remained</w:t>
      </w:r>
      <w:r w:rsidRPr="001A7A38">
        <w:rPr>
          <w:rFonts w:cs="Arial"/>
          <w:bCs/>
          <w:snapToGrid w:val="0"/>
          <w:lang w:val="en-GB"/>
        </w:rPr>
        <w:t xml:space="preserve"> a clinical need for </w:t>
      </w:r>
      <w:r>
        <w:rPr>
          <w:rFonts w:cs="Arial"/>
          <w:bCs/>
          <w:snapToGrid w:val="0"/>
          <w:lang w:val="en-GB"/>
        </w:rPr>
        <w:t xml:space="preserve">additional therapies in PTCL and that </w:t>
      </w:r>
      <w:r w:rsidRPr="001A7A38">
        <w:rPr>
          <w:rFonts w:cs="Arial"/>
          <w:bCs/>
          <w:snapToGrid w:val="0"/>
          <w:lang w:val="en-GB"/>
        </w:rPr>
        <w:t>romidepsin</w:t>
      </w:r>
      <w:r>
        <w:rPr>
          <w:rFonts w:cs="Arial"/>
          <w:bCs/>
          <w:snapToGrid w:val="0"/>
          <w:lang w:val="en-GB"/>
        </w:rPr>
        <w:t xml:space="preserve"> provided a degree of clinical benefit in some patients</w:t>
      </w:r>
      <w:r w:rsidRPr="001A7A38">
        <w:rPr>
          <w:rFonts w:cs="Arial"/>
          <w:bCs/>
          <w:snapToGrid w:val="0"/>
          <w:lang w:val="en-GB"/>
        </w:rPr>
        <w:t>, the PBAC considered that the most appropriate comparison was against pralatrexate, and therefore the decis</w:t>
      </w:r>
      <w:r>
        <w:rPr>
          <w:rFonts w:cs="Arial"/>
          <w:bCs/>
          <w:snapToGrid w:val="0"/>
          <w:lang w:val="en-GB"/>
        </w:rPr>
        <w:t xml:space="preserve">ion was deferred to allow for further discussion with the sponsor around this comparison. </w:t>
      </w:r>
    </w:p>
    <w:p w:rsidR="00BF72B1" w:rsidRPr="00150CE3" w:rsidRDefault="00BF72B1" w:rsidP="00BF72B1">
      <w:pPr>
        <w:pStyle w:val="ListParagraph"/>
        <w:numPr>
          <w:ilvl w:val="1"/>
          <w:numId w:val="1"/>
        </w:numPr>
        <w:spacing w:before="0" w:after="120"/>
        <w:jc w:val="both"/>
        <w:rPr>
          <w:rFonts w:cs="Arial"/>
          <w:bCs/>
          <w:snapToGrid w:val="0"/>
          <w:lang w:val="en-GB"/>
        </w:rPr>
      </w:pPr>
      <w:r w:rsidRPr="00BF72B1">
        <w:t>In</w:t>
      </w:r>
      <w:r w:rsidRPr="001A7A38">
        <w:rPr>
          <w:rFonts w:cs="Arial"/>
          <w:bCs/>
          <w:snapToGrid w:val="0"/>
          <w:lang w:val="en-GB"/>
        </w:rPr>
        <w:t xml:space="preserve"> making this decision</w:t>
      </w:r>
      <w:r>
        <w:rPr>
          <w:rFonts w:cs="Arial"/>
          <w:bCs/>
          <w:snapToGrid w:val="0"/>
          <w:lang w:val="en-GB"/>
        </w:rPr>
        <w:t>,</w:t>
      </w:r>
      <w:r w:rsidRPr="001A7A38">
        <w:rPr>
          <w:rFonts w:cs="Arial"/>
          <w:bCs/>
          <w:snapToGrid w:val="0"/>
          <w:lang w:val="en-GB"/>
        </w:rPr>
        <w:t xml:space="preserve"> the PBAC acknowledged the request from the Sponsor</w:t>
      </w:r>
      <w:r>
        <w:rPr>
          <w:rFonts w:cs="Arial"/>
          <w:bCs/>
          <w:snapToGrid w:val="0"/>
          <w:lang w:val="en-GB"/>
        </w:rPr>
        <w:t>, received while the committee was in session,</w:t>
      </w:r>
      <w:r w:rsidRPr="001A7A38">
        <w:rPr>
          <w:rFonts w:cs="Arial"/>
          <w:bCs/>
          <w:snapToGrid w:val="0"/>
          <w:lang w:val="en-GB"/>
        </w:rPr>
        <w:t xml:space="preserve"> for consideration of the submission to be deferred until the March </w:t>
      </w:r>
      <w:r>
        <w:rPr>
          <w:rFonts w:cs="Arial"/>
          <w:bCs/>
          <w:snapToGrid w:val="0"/>
          <w:lang w:val="en-GB"/>
        </w:rPr>
        <w:t xml:space="preserve">2018 </w:t>
      </w:r>
      <w:r w:rsidRPr="001A7A38">
        <w:rPr>
          <w:rFonts w:cs="Arial"/>
          <w:bCs/>
          <w:snapToGrid w:val="0"/>
          <w:lang w:val="en-GB"/>
        </w:rPr>
        <w:t>meeting</w:t>
      </w:r>
      <w:r>
        <w:rPr>
          <w:rFonts w:cs="Arial"/>
          <w:bCs/>
          <w:snapToGrid w:val="0"/>
          <w:lang w:val="en-GB"/>
        </w:rPr>
        <w:t>. The PBAC noted that this request was made to allow further discussions within Celgene and its parent Corporation</w:t>
      </w:r>
      <w:r w:rsidRPr="00482FC1">
        <w:rPr>
          <w:rFonts w:cs="Arial"/>
          <w:bCs/>
          <w:snapToGrid w:val="0"/>
          <w:lang w:val="en-GB"/>
        </w:rPr>
        <w:t xml:space="preserve"> </w:t>
      </w:r>
      <w:r>
        <w:rPr>
          <w:rFonts w:cs="Arial"/>
          <w:bCs/>
          <w:snapToGrid w:val="0"/>
          <w:lang w:val="en-GB"/>
        </w:rPr>
        <w:t>about PBS subsidised access to romidepsin in Australia</w:t>
      </w:r>
      <w:r w:rsidRPr="001A7A38">
        <w:rPr>
          <w:rFonts w:cs="Arial"/>
          <w:bCs/>
          <w:snapToGrid w:val="0"/>
          <w:lang w:val="en-GB"/>
        </w:rPr>
        <w:t xml:space="preserve">. </w:t>
      </w:r>
      <w:r>
        <w:rPr>
          <w:rFonts w:cs="Arial"/>
          <w:bCs/>
          <w:snapToGrid w:val="0"/>
          <w:lang w:val="en-GB"/>
        </w:rPr>
        <w:t>However recognising</w:t>
      </w:r>
      <w:r w:rsidRPr="001A7A38">
        <w:rPr>
          <w:rFonts w:cs="Arial"/>
          <w:bCs/>
          <w:snapToGrid w:val="0"/>
          <w:lang w:val="en-GB"/>
        </w:rPr>
        <w:t xml:space="preserve"> the clinical need in this patient population,</w:t>
      </w:r>
      <w:r>
        <w:rPr>
          <w:rFonts w:cs="Arial"/>
          <w:bCs/>
          <w:snapToGrid w:val="0"/>
          <w:lang w:val="en-GB"/>
        </w:rPr>
        <w:t xml:space="preserve"> that the Committee had information before it for the consideration of romidepsin, and had invested considerable resources for the submission to be considered at the meeting,</w:t>
      </w:r>
      <w:r w:rsidRPr="001A7A38">
        <w:rPr>
          <w:rFonts w:cs="Arial"/>
          <w:bCs/>
          <w:snapToGrid w:val="0"/>
          <w:lang w:val="en-GB"/>
        </w:rPr>
        <w:t xml:space="preserve"> the PBAC </w:t>
      </w:r>
      <w:r>
        <w:rPr>
          <w:rFonts w:cs="Arial"/>
          <w:bCs/>
          <w:snapToGrid w:val="0"/>
          <w:lang w:val="en-GB"/>
        </w:rPr>
        <w:t>decided</w:t>
      </w:r>
      <w:r w:rsidRPr="001A7A38">
        <w:rPr>
          <w:rFonts w:cs="Arial"/>
          <w:bCs/>
          <w:snapToGrid w:val="0"/>
          <w:lang w:val="en-GB"/>
        </w:rPr>
        <w:t xml:space="preserve"> </w:t>
      </w:r>
      <w:r>
        <w:rPr>
          <w:rFonts w:cs="Arial"/>
          <w:bCs/>
          <w:snapToGrid w:val="0"/>
          <w:lang w:val="en-GB"/>
        </w:rPr>
        <w:t xml:space="preserve">at its own motion </w:t>
      </w:r>
      <w:r w:rsidRPr="001A7A38">
        <w:rPr>
          <w:rFonts w:cs="Arial"/>
          <w:bCs/>
          <w:snapToGrid w:val="0"/>
          <w:lang w:val="en-GB"/>
        </w:rPr>
        <w:t xml:space="preserve">to proceed with </w:t>
      </w:r>
      <w:r>
        <w:rPr>
          <w:rFonts w:cs="Arial"/>
          <w:bCs/>
          <w:snapToGrid w:val="0"/>
          <w:lang w:val="en-GB"/>
        </w:rPr>
        <w:t>its consideration</w:t>
      </w:r>
      <w:r w:rsidRPr="001A7A38">
        <w:rPr>
          <w:rFonts w:cs="Arial"/>
          <w:bCs/>
          <w:snapToGrid w:val="0"/>
          <w:lang w:val="en-GB"/>
        </w:rPr>
        <w:t xml:space="preserve"> of the submission.</w:t>
      </w:r>
    </w:p>
    <w:p w:rsidR="00BF72B1" w:rsidRPr="001A7A38" w:rsidRDefault="00BF72B1" w:rsidP="00BF72B1">
      <w:pPr>
        <w:pStyle w:val="ListParagraph"/>
        <w:numPr>
          <w:ilvl w:val="1"/>
          <w:numId w:val="1"/>
        </w:numPr>
        <w:spacing w:before="0" w:after="120"/>
        <w:jc w:val="both"/>
        <w:rPr>
          <w:rFonts w:cs="Arial"/>
          <w:bCs/>
          <w:snapToGrid w:val="0"/>
          <w:lang w:val="en-GB"/>
        </w:rPr>
      </w:pPr>
      <w:r w:rsidRPr="001A7A38">
        <w:rPr>
          <w:rFonts w:cs="Arial"/>
          <w:bCs/>
          <w:snapToGrid w:val="0"/>
          <w:lang w:val="en-GB"/>
        </w:rPr>
        <w:t xml:space="preserve">As in their previous consideration of romidepsin, the PBAC </w:t>
      </w:r>
      <w:r w:rsidRPr="001A7A38">
        <w:t>recognised the high and unmet clinical need for an additional or alternative effective therapy in a group of patients with advanced PTCL after the failure of prior systemic therapy</w:t>
      </w:r>
      <w:r>
        <w:t>, and considered that this clinical need remained despite the recommendation for listing of pralatrexate in this patient population</w:t>
      </w:r>
      <w:r w:rsidRPr="001A7A38">
        <w:t>.</w:t>
      </w:r>
    </w:p>
    <w:p w:rsidR="00BF72B1" w:rsidRPr="00D90E4B" w:rsidRDefault="00BF72B1" w:rsidP="00BF72B1">
      <w:pPr>
        <w:pStyle w:val="ListParagraph"/>
        <w:numPr>
          <w:ilvl w:val="1"/>
          <w:numId w:val="1"/>
        </w:numPr>
        <w:spacing w:before="0" w:after="120"/>
        <w:jc w:val="both"/>
        <w:rPr>
          <w:rFonts w:cs="Arial"/>
          <w:bCs/>
          <w:snapToGrid w:val="0"/>
          <w:lang w:val="en-GB"/>
        </w:rPr>
      </w:pPr>
      <w:r w:rsidRPr="001A7A38">
        <w:rPr>
          <w:rFonts w:cs="Arial"/>
          <w:bCs/>
          <w:snapToGrid w:val="0"/>
          <w:lang w:val="en-GB"/>
        </w:rPr>
        <w:t xml:space="preserve">Although the PBAC accepted that </w:t>
      </w:r>
      <w:r>
        <w:rPr>
          <w:rFonts w:cs="Arial"/>
          <w:bCs/>
          <w:snapToGrid w:val="0"/>
          <w:lang w:val="en-GB"/>
        </w:rPr>
        <w:t>“no active therapy”</w:t>
      </w:r>
      <w:r w:rsidRPr="00837E48">
        <w:rPr>
          <w:rFonts w:cs="Arial"/>
          <w:bCs/>
          <w:snapToGrid w:val="0"/>
          <w:lang w:val="en-GB"/>
        </w:rPr>
        <w:t xml:space="preserve"> was the appropriate comparator at the time the submission was lodged, the PBAC considered that pralatrexate was</w:t>
      </w:r>
      <w:r>
        <w:rPr>
          <w:rFonts w:cs="Arial"/>
          <w:bCs/>
          <w:snapToGrid w:val="0"/>
          <w:lang w:val="en-GB"/>
        </w:rPr>
        <w:t xml:space="preserve"> now</w:t>
      </w:r>
      <w:r w:rsidRPr="00837E48">
        <w:rPr>
          <w:rFonts w:cs="Arial"/>
          <w:bCs/>
          <w:snapToGrid w:val="0"/>
          <w:lang w:val="en-GB"/>
        </w:rPr>
        <w:t xml:space="preserve"> a</w:t>
      </w:r>
      <w:r>
        <w:rPr>
          <w:rFonts w:cs="Arial"/>
          <w:bCs/>
          <w:snapToGrid w:val="0"/>
          <w:lang w:val="en-GB"/>
        </w:rPr>
        <w:t>lso an</w:t>
      </w:r>
      <w:r w:rsidRPr="00837E48">
        <w:rPr>
          <w:rFonts w:cs="Arial"/>
          <w:bCs/>
          <w:snapToGrid w:val="0"/>
          <w:lang w:val="en-GB"/>
        </w:rPr>
        <w:t xml:space="preserve"> appropriate comparator, given that it </w:t>
      </w:r>
      <w:r>
        <w:rPr>
          <w:rFonts w:cs="Arial"/>
          <w:bCs/>
          <w:snapToGrid w:val="0"/>
          <w:lang w:val="en-GB"/>
        </w:rPr>
        <w:t xml:space="preserve">had been recommended for the same patient population at the November 2017 PBAC </w:t>
      </w:r>
      <w:r w:rsidRPr="00D90E4B">
        <w:rPr>
          <w:rFonts w:cs="Arial"/>
          <w:bCs/>
          <w:snapToGrid w:val="0"/>
          <w:lang w:val="en-GB"/>
        </w:rPr>
        <w:t>meeting.</w:t>
      </w:r>
    </w:p>
    <w:p w:rsidR="00BF72B1" w:rsidRPr="00D12D18" w:rsidRDefault="00BF72B1" w:rsidP="00BF72B1">
      <w:pPr>
        <w:pStyle w:val="ListParagraph"/>
        <w:numPr>
          <w:ilvl w:val="1"/>
          <w:numId w:val="1"/>
        </w:numPr>
        <w:spacing w:before="0" w:after="120"/>
        <w:jc w:val="both"/>
        <w:rPr>
          <w:rFonts w:cs="Arial"/>
          <w:bCs/>
          <w:snapToGrid w:val="0"/>
          <w:lang w:val="en-GB"/>
        </w:rPr>
      </w:pPr>
      <w:r>
        <w:rPr>
          <w:rFonts w:cs="Arial"/>
          <w:bCs/>
          <w:snapToGrid w:val="0"/>
        </w:rPr>
        <w:t>While the PBAC acknowledged that romidepsin is active and could significantly benefit a minority of patients with PTCL, the committee considered that its net average benefit across the spectrum of patients with PTCL is small, and that the cost is very high.</w:t>
      </w:r>
    </w:p>
    <w:p w:rsidR="00BF72B1" w:rsidRDefault="00BF72B1" w:rsidP="00BF72B1">
      <w:pPr>
        <w:pStyle w:val="ListParagraph"/>
        <w:numPr>
          <w:ilvl w:val="1"/>
          <w:numId w:val="1"/>
        </w:numPr>
        <w:spacing w:before="0" w:after="120"/>
        <w:jc w:val="both"/>
        <w:rPr>
          <w:rFonts w:cs="Arial"/>
          <w:bCs/>
          <w:snapToGrid w:val="0"/>
          <w:lang w:val="en-GB"/>
        </w:rPr>
      </w:pPr>
      <w:r>
        <w:rPr>
          <w:rFonts w:cs="Arial"/>
          <w:bCs/>
          <w:snapToGrid w:val="0"/>
        </w:rPr>
        <w:t>The PBAC considered that t</w:t>
      </w:r>
      <w:r w:rsidRPr="00CB6D9F">
        <w:rPr>
          <w:rFonts w:cs="Arial"/>
          <w:bCs/>
          <w:snapToGrid w:val="0"/>
        </w:rPr>
        <w:t xml:space="preserve">he </w:t>
      </w:r>
      <w:r>
        <w:rPr>
          <w:rFonts w:cs="Arial"/>
          <w:bCs/>
          <w:snapToGrid w:val="0"/>
        </w:rPr>
        <w:t xml:space="preserve">estimated </w:t>
      </w:r>
      <w:r w:rsidRPr="00CB6D9F">
        <w:rPr>
          <w:rFonts w:cs="Arial"/>
          <w:bCs/>
          <w:snapToGrid w:val="0"/>
        </w:rPr>
        <w:t>magnitude</w:t>
      </w:r>
      <w:r>
        <w:rPr>
          <w:rFonts w:cs="Arial"/>
          <w:bCs/>
          <w:snapToGrid w:val="0"/>
        </w:rPr>
        <w:t xml:space="preserve"> of clinical benefit was</w:t>
      </w:r>
      <w:r w:rsidRPr="00CB6D9F">
        <w:rPr>
          <w:rFonts w:cs="Arial"/>
          <w:bCs/>
          <w:snapToGrid w:val="0"/>
        </w:rPr>
        <w:t xml:space="preserve"> highly uncertain due to the absence of direct comparative data, and the low quality of the indirect treatment career data used for the comparison.</w:t>
      </w:r>
      <w:r w:rsidRPr="00D90E4B">
        <w:rPr>
          <w:rFonts w:cs="Arial"/>
          <w:bCs/>
          <w:snapToGrid w:val="0"/>
          <w:lang w:val="en-GB"/>
        </w:rPr>
        <w:t xml:space="preserve"> </w:t>
      </w:r>
    </w:p>
    <w:p w:rsidR="00BF72B1" w:rsidRDefault="00BF72B1" w:rsidP="00BF72B1">
      <w:pPr>
        <w:pStyle w:val="ListParagraph"/>
        <w:numPr>
          <w:ilvl w:val="1"/>
          <w:numId w:val="1"/>
        </w:numPr>
        <w:spacing w:before="0" w:after="120"/>
        <w:jc w:val="both"/>
        <w:rPr>
          <w:rFonts w:cs="Arial"/>
          <w:bCs/>
          <w:snapToGrid w:val="0"/>
          <w:lang w:val="en-GB"/>
        </w:rPr>
      </w:pPr>
      <w:r>
        <w:rPr>
          <w:rFonts w:cs="Arial"/>
          <w:bCs/>
          <w:snapToGrid w:val="0"/>
          <w:lang w:val="en-GB"/>
        </w:rPr>
        <w:t xml:space="preserve">The PBAC noted the survival estimates calculated by the ESC, </w:t>
      </w:r>
      <w:r>
        <w:t>and considered that these gave an upper estimate of the survival curve for the historical cohort, and that the true curve was likely to sit somewhere between the submission and ESC estimates.</w:t>
      </w:r>
    </w:p>
    <w:p w:rsidR="00BF72B1" w:rsidRPr="001A7A38" w:rsidRDefault="00BF72B1" w:rsidP="00BF72B1">
      <w:pPr>
        <w:pStyle w:val="ListParagraph"/>
        <w:numPr>
          <w:ilvl w:val="1"/>
          <w:numId w:val="1"/>
        </w:numPr>
        <w:spacing w:before="0" w:after="120"/>
        <w:jc w:val="both"/>
        <w:rPr>
          <w:rFonts w:cs="Arial"/>
          <w:bCs/>
          <w:snapToGrid w:val="0"/>
          <w:lang w:val="en-GB"/>
        </w:rPr>
      </w:pPr>
      <w:r w:rsidRPr="001A7A38">
        <w:rPr>
          <w:rFonts w:cs="Arial"/>
          <w:bCs/>
          <w:snapToGrid w:val="0"/>
          <w:lang w:val="en-GB"/>
        </w:rPr>
        <w:lastRenderedPageBreak/>
        <w:t xml:space="preserve">The PBAC considered that the economic model presented in the submission in relation to </w:t>
      </w:r>
      <w:r>
        <w:rPr>
          <w:rFonts w:cs="Arial"/>
          <w:bCs/>
          <w:snapToGrid w:val="0"/>
          <w:lang w:val="en-GB"/>
        </w:rPr>
        <w:t xml:space="preserve">the cost utility claim over the “no active therapy” comparator introduced additional uncertainties, and </w:t>
      </w:r>
      <w:r w:rsidRPr="001A7A38">
        <w:rPr>
          <w:rFonts w:cs="Arial"/>
          <w:bCs/>
          <w:snapToGrid w:val="0"/>
          <w:lang w:val="en-GB"/>
        </w:rPr>
        <w:t>did not provide a suitable basis for determining the cost effectiveness of romidepsin</w:t>
      </w:r>
      <w:r>
        <w:rPr>
          <w:rFonts w:cs="Arial"/>
          <w:bCs/>
          <w:snapToGrid w:val="0"/>
          <w:lang w:val="en-GB"/>
        </w:rPr>
        <w:t xml:space="preserve"> in the PBS context</w:t>
      </w:r>
      <w:r w:rsidRPr="001A7A38">
        <w:rPr>
          <w:rFonts w:cs="Arial"/>
          <w:bCs/>
          <w:snapToGrid w:val="0"/>
          <w:lang w:val="en-GB"/>
        </w:rPr>
        <w:t xml:space="preserve">. In particular the PBAC’s concerns with the model included the lead time bias associated with the treatment career approach, the simplicity of the model structure, the duration of romidepsin use assumed, and the utility values applied in the model. </w:t>
      </w:r>
    </w:p>
    <w:p w:rsidR="00BF72B1" w:rsidRPr="005614B1" w:rsidRDefault="00BF72B1" w:rsidP="00BF72B1">
      <w:pPr>
        <w:pStyle w:val="ListParagraph"/>
        <w:numPr>
          <w:ilvl w:val="1"/>
          <w:numId w:val="1"/>
        </w:numPr>
        <w:spacing w:before="0" w:after="120"/>
        <w:jc w:val="both"/>
        <w:rPr>
          <w:rFonts w:cs="Arial"/>
          <w:bCs/>
          <w:snapToGrid w:val="0"/>
          <w:lang w:val="en-GB"/>
        </w:rPr>
      </w:pPr>
      <w:r w:rsidRPr="005614B1">
        <w:rPr>
          <w:rFonts w:cs="Arial"/>
          <w:bCs/>
          <w:snapToGrid w:val="0"/>
          <w:lang w:val="en-GB"/>
        </w:rPr>
        <w:t xml:space="preserve">The PBAC considered that the </w:t>
      </w:r>
      <w:r>
        <w:rPr>
          <w:rFonts w:cs="Arial"/>
          <w:bCs/>
          <w:snapToGrid w:val="0"/>
          <w:lang w:val="en-GB"/>
        </w:rPr>
        <w:t xml:space="preserve">ICER generated by the </w:t>
      </w:r>
      <w:r w:rsidRPr="005614B1">
        <w:rPr>
          <w:rFonts w:cs="Arial"/>
          <w:bCs/>
          <w:snapToGrid w:val="0"/>
          <w:lang w:val="en-GB"/>
        </w:rPr>
        <w:t xml:space="preserve">cost utility analysis </w:t>
      </w:r>
      <w:r>
        <w:rPr>
          <w:rFonts w:cs="Arial"/>
          <w:bCs/>
          <w:snapToGrid w:val="0"/>
          <w:lang w:val="en-GB"/>
        </w:rPr>
        <w:t xml:space="preserve">was likely to exceed $105,000 - $200,000/QALY, which was unacceptably high. Given the uncertainties inherent in the analysis, the PBAC considered that a </w:t>
      </w:r>
      <w:r w:rsidRPr="005614B1">
        <w:rPr>
          <w:rFonts w:cs="Arial"/>
          <w:bCs/>
          <w:snapToGrid w:val="0"/>
          <w:lang w:val="en-GB"/>
        </w:rPr>
        <w:t xml:space="preserve">substantial price reduction would be required </w:t>
      </w:r>
      <w:r>
        <w:rPr>
          <w:rFonts w:cs="Arial"/>
          <w:bCs/>
          <w:snapToGrid w:val="0"/>
          <w:lang w:val="en-GB"/>
        </w:rPr>
        <w:t>for</w:t>
      </w:r>
      <w:r w:rsidRPr="005614B1">
        <w:rPr>
          <w:rFonts w:cs="Arial"/>
          <w:bCs/>
          <w:snapToGrid w:val="0"/>
          <w:lang w:val="en-GB"/>
        </w:rPr>
        <w:t xml:space="preserve"> r</w:t>
      </w:r>
      <w:r>
        <w:rPr>
          <w:rFonts w:cs="Arial"/>
          <w:bCs/>
          <w:snapToGrid w:val="0"/>
          <w:lang w:val="en-GB"/>
        </w:rPr>
        <w:t>omidepsin to be considered cost-</w:t>
      </w:r>
      <w:r w:rsidRPr="005614B1">
        <w:rPr>
          <w:rFonts w:cs="Arial"/>
          <w:bCs/>
          <w:snapToGrid w:val="0"/>
          <w:lang w:val="en-GB"/>
        </w:rPr>
        <w:t>effective.</w:t>
      </w:r>
    </w:p>
    <w:p w:rsidR="00BF72B1" w:rsidRPr="005614B1" w:rsidRDefault="00BF72B1" w:rsidP="00BF72B1">
      <w:pPr>
        <w:pStyle w:val="ListParagraph"/>
        <w:numPr>
          <w:ilvl w:val="1"/>
          <w:numId w:val="1"/>
        </w:numPr>
        <w:spacing w:before="0" w:after="120"/>
        <w:jc w:val="both"/>
        <w:rPr>
          <w:rFonts w:cs="Arial"/>
          <w:bCs/>
          <w:snapToGrid w:val="0"/>
          <w:lang w:val="en-GB"/>
        </w:rPr>
      </w:pPr>
      <w:r>
        <w:rPr>
          <w:rFonts w:cs="Arial"/>
          <w:bCs/>
          <w:snapToGrid w:val="0"/>
          <w:lang w:val="en-GB"/>
        </w:rPr>
        <w:t xml:space="preserve">The PBAC noted that, based on the naïve comparison of romidepsin and pralatrexate prepared during evaluation, it might be reasonable to assume that the benefit and safety of these products was comparable. Given the recent listing of pralatrexate in this patient population, the </w:t>
      </w:r>
      <w:r w:rsidRPr="005614B1">
        <w:rPr>
          <w:rFonts w:cs="Arial"/>
          <w:bCs/>
          <w:snapToGrid w:val="0"/>
          <w:lang w:val="en-GB"/>
        </w:rPr>
        <w:t>PBAC considered that</w:t>
      </w:r>
      <w:r>
        <w:rPr>
          <w:rFonts w:cs="Arial"/>
          <w:bCs/>
          <w:snapToGrid w:val="0"/>
          <w:lang w:val="en-GB"/>
        </w:rPr>
        <w:t xml:space="preserve"> an alternative approach to determining the cost-effectiveness of romidepsin would be would be via a cost-minimisation analysis with</w:t>
      </w:r>
      <w:r w:rsidRPr="005614B1">
        <w:rPr>
          <w:rFonts w:cs="Arial"/>
          <w:bCs/>
          <w:snapToGrid w:val="0"/>
          <w:lang w:val="en-GB"/>
        </w:rPr>
        <w:t xml:space="preserve"> pralatrexate </w:t>
      </w:r>
      <w:r>
        <w:rPr>
          <w:rFonts w:cs="Arial"/>
          <w:bCs/>
          <w:snapToGrid w:val="0"/>
          <w:lang w:val="en-GB"/>
        </w:rPr>
        <w:t>as the comparator, and</w:t>
      </w:r>
      <w:r w:rsidRPr="005614B1">
        <w:rPr>
          <w:rFonts w:cs="Arial"/>
          <w:bCs/>
          <w:snapToGrid w:val="0"/>
          <w:lang w:val="en-GB"/>
        </w:rPr>
        <w:t xml:space="preserve"> therefore deferred its decision to </w:t>
      </w:r>
      <w:r>
        <w:rPr>
          <w:rFonts w:cs="Arial"/>
          <w:bCs/>
          <w:snapToGrid w:val="0"/>
          <w:lang w:val="en-GB"/>
        </w:rPr>
        <w:t xml:space="preserve">allow discussion with the </w:t>
      </w:r>
      <w:r w:rsidRPr="005614B1">
        <w:rPr>
          <w:rFonts w:cs="Arial"/>
          <w:bCs/>
          <w:snapToGrid w:val="0"/>
          <w:lang w:val="en-GB"/>
        </w:rPr>
        <w:t xml:space="preserve">applicant </w:t>
      </w:r>
      <w:r>
        <w:rPr>
          <w:rFonts w:cs="Arial"/>
          <w:bCs/>
          <w:snapToGrid w:val="0"/>
          <w:lang w:val="en-GB"/>
        </w:rPr>
        <w:t>around comparison of these two products ahead of further consideration by the PBAC</w:t>
      </w:r>
      <w:r w:rsidRPr="005614B1">
        <w:rPr>
          <w:rFonts w:cs="Arial"/>
          <w:bCs/>
          <w:snapToGrid w:val="0"/>
          <w:lang w:val="en-GB"/>
        </w:rPr>
        <w:t xml:space="preserve">. </w:t>
      </w:r>
    </w:p>
    <w:p w:rsidR="00BF72B1" w:rsidRDefault="00BF72B1" w:rsidP="00BF72B1">
      <w:pPr>
        <w:pStyle w:val="ListParagraph"/>
        <w:numPr>
          <w:ilvl w:val="1"/>
          <w:numId w:val="1"/>
        </w:numPr>
        <w:spacing w:before="0" w:after="120"/>
        <w:jc w:val="both"/>
        <w:rPr>
          <w:rFonts w:cs="Arial"/>
          <w:bCs/>
          <w:snapToGrid w:val="0"/>
          <w:lang w:val="en-GB"/>
        </w:rPr>
      </w:pPr>
      <w:r>
        <w:rPr>
          <w:rFonts w:cs="Arial"/>
          <w:bCs/>
          <w:snapToGrid w:val="0"/>
          <w:lang w:val="en-GB"/>
        </w:rPr>
        <w:t>The PBAC noted a number of uncertainties around the estimated financial implications presented in the submission:</w:t>
      </w:r>
    </w:p>
    <w:p w:rsidR="00BF72B1" w:rsidRDefault="00BF72B1" w:rsidP="00BF72B1">
      <w:pPr>
        <w:pStyle w:val="ListParagraph"/>
        <w:widowControl w:val="0"/>
        <w:numPr>
          <w:ilvl w:val="0"/>
          <w:numId w:val="16"/>
        </w:numPr>
        <w:spacing w:before="0" w:after="120"/>
        <w:jc w:val="both"/>
        <w:rPr>
          <w:rFonts w:cs="Arial"/>
          <w:bCs/>
          <w:snapToGrid w:val="0"/>
          <w:lang w:val="en-GB"/>
        </w:rPr>
      </w:pPr>
      <w:r w:rsidRPr="001A7A38">
        <w:rPr>
          <w:rFonts w:cs="Arial"/>
          <w:bCs/>
          <w:snapToGrid w:val="0"/>
          <w:lang w:val="en-GB"/>
        </w:rPr>
        <w:t xml:space="preserve">the submission’s estimate of </w:t>
      </w:r>
      <w:r>
        <w:rPr>
          <w:rFonts w:cs="Arial"/>
          <w:bCs/>
          <w:snapToGrid w:val="0"/>
          <w:lang w:val="en-GB"/>
        </w:rPr>
        <w:t>less than 10,000</w:t>
      </w:r>
      <w:r w:rsidRPr="001A7A38">
        <w:rPr>
          <w:rFonts w:cs="Arial"/>
          <w:bCs/>
          <w:snapToGrid w:val="0"/>
          <w:lang w:val="en-GB"/>
        </w:rPr>
        <w:t xml:space="preserve"> patients per annum w</w:t>
      </w:r>
      <w:r>
        <w:rPr>
          <w:rFonts w:cs="Arial"/>
          <w:bCs/>
          <w:snapToGrid w:val="0"/>
          <w:lang w:val="en-GB"/>
        </w:rPr>
        <w:t>as likely to be an overestimate;</w:t>
      </w:r>
      <w:r w:rsidRPr="001A7A38">
        <w:rPr>
          <w:rFonts w:cs="Arial"/>
          <w:bCs/>
          <w:snapToGrid w:val="0"/>
          <w:lang w:val="en-GB"/>
        </w:rPr>
        <w:t xml:space="preserve"> </w:t>
      </w:r>
    </w:p>
    <w:p w:rsidR="00BF72B1" w:rsidRDefault="00BF72B1" w:rsidP="00BF72B1">
      <w:pPr>
        <w:pStyle w:val="ListParagraph"/>
        <w:widowControl w:val="0"/>
        <w:numPr>
          <w:ilvl w:val="0"/>
          <w:numId w:val="16"/>
        </w:numPr>
        <w:spacing w:before="0" w:after="120"/>
        <w:jc w:val="both"/>
        <w:rPr>
          <w:rFonts w:cs="Arial"/>
          <w:bCs/>
          <w:snapToGrid w:val="0"/>
          <w:lang w:val="en-GB"/>
        </w:rPr>
      </w:pPr>
      <w:r w:rsidRPr="001A7A38">
        <w:rPr>
          <w:rFonts w:cs="Arial"/>
          <w:bCs/>
          <w:snapToGrid w:val="0"/>
          <w:lang w:val="en-GB"/>
        </w:rPr>
        <w:t>should romidepsin and pralatrexate both be available through the PBS sequential use was likely, and any future estimates of financial impli</w:t>
      </w:r>
      <w:r>
        <w:rPr>
          <w:rFonts w:cs="Arial"/>
          <w:bCs/>
          <w:snapToGrid w:val="0"/>
          <w:lang w:val="en-GB"/>
        </w:rPr>
        <w:t>cations should account for this;</w:t>
      </w:r>
    </w:p>
    <w:p w:rsidR="00BF72B1" w:rsidRPr="001A7A38" w:rsidRDefault="00BF72B1" w:rsidP="00BF72B1">
      <w:pPr>
        <w:pStyle w:val="ListParagraph"/>
        <w:widowControl w:val="0"/>
        <w:numPr>
          <w:ilvl w:val="0"/>
          <w:numId w:val="16"/>
        </w:numPr>
        <w:spacing w:before="0" w:after="120"/>
        <w:jc w:val="both"/>
        <w:rPr>
          <w:rFonts w:cs="Arial"/>
          <w:bCs/>
          <w:snapToGrid w:val="0"/>
          <w:lang w:val="en-GB"/>
        </w:rPr>
      </w:pPr>
      <w:r>
        <w:rPr>
          <w:rFonts w:cs="Arial"/>
          <w:bCs/>
          <w:snapToGrid w:val="0"/>
          <w:lang w:val="en-GB"/>
        </w:rPr>
        <w:t>average duratio</w:t>
      </w:r>
      <w:bookmarkStart w:id="44" w:name="_GoBack"/>
      <w:bookmarkEnd w:id="44"/>
      <w:r>
        <w:rPr>
          <w:rFonts w:cs="Arial"/>
          <w:bCs/>
          <w:snapToGrid w:val="0"/>
          <w:lang w:val="en-GB"/>
        </w:rPr>
        <w:t>n of use of romidepsin may have been underestimated, given there is a small proportion of patients where longer term use (up to several years) is likely.</w:t>
      </w:r>
      <w:r w:rsidRPr="001A7A38">
        <w:rPr>
          <w:rFonts w:cs="Arial"/>
          <w:bCs/>
          <w:snapToGrid w:val="0"/>
          <w:lang w:val="en-GB"/>
        </w:rPr>
        <w:t xml:space="preserve"> </w:t>
      </w:r>
    </w:p>
    <w:p w:rsidR="00BF72B1" w:rsidRPr="00DA31AD" w:rsidRDefault="00BF72B1" w:rsidP="00BF72B1">
      <w:pPr>
        <w:pStyle w:val="ListParagraph"/>
        <w:numPr>
          <w:ilvl w:val="1"/>
          <w:numId w:val="1"/>
        </w:numPr>
        <w:spacing w:before="0" w:after="120"/>
        <w:jc w:val="both"/>
        <w:rPr>
          <w:rFonts w:cs="Arial"/>
          <w:bCs/>
          <w:i/>
          <w:snapToGrid w:val="0"/>
          <w:lang w:val="en-GB"/>
        </w:rPr>
      </w:pPr>
      <w:r w:rsidRPr="00BF72B1">
        <w:t>The</w:t>
      </w:r>
      <w:r w:rsidRPr="005614B1">
        <w:rPr>
          <w:rFonts w:cs="Arial"/>
          <w:bCs/>
          <w:snapToGrid w:val="0"/>
          <w:lang w:val="en-GB"/>
        </w:rPr>
        <w:t xml:space="preserve"> PBAC noted that this submission is eligible for an Independent Review.</w:t>
      </w:r>
    </w:p>
    <w:p w:rsidR="00BF72B1" w:rsidRPr="00026EB9" w:rsidRDefault="00BF72B1" w:rsidP="00BF72B1">
      <w:pPr>
        <w:spacing w:before="240"/>
        <w:jc w:val="both"/>
        <w:rPr>
          <w:rFonts w:cs="Arial"/>
          <w:b/>
          <w:bCs/>
          <w:snapToGrid w:val="0"/>
          <w:lang w:val="en-GB"/>
        </w:rPr>
      </w:pPr>
      <w:r w:rsidRPr="00026EB9">
        <w:rPr>
          <w:rFonts w:cs="Arial"/>
          <w:b/>
          <w:bCs/>
          <w:snapToGrid w:val="0"/>
          <w:lang w:val="en-GB"/>
        </w:rPr>
        <w:t>Outcome:</w:t>
      </w:r>
    </w:p>
    <w:p w:rsidR="00BF72B1" w:rsidRPr="00DA31AD" w:rsidRDefault="00BF72B1" w:rsidP="00BF72B1">
      <w:pPr>
        <w:jc w:val="both"/>
        <w:rPr>
          <w:rFonts w:cs="Arial"/>
          <w:bCs/>
          <w:snapToGrid w:val="0"/>
          <w:lang w:val="en-GB"/>
        </w:rPr>
      </w:pPr>
      <w:r w:rsidRPr="00026EB9">
        <w:rPr>
          <w:rFonts w:cs="Arial"/>
          <w:bCs/>
          <w:snapToGrid w:val="0"/>
          <w:lang w:val="en-GB"/>
        </w:rPr>
        <w:t>Deferred</w:t>
      </w:r>
    </w:p>
    <w:p w:rsidR="00BF72B1" w:rsidRPr="00455174" w:rsidRDefault="00BF72B1" w:rsidP="00BF72B1">
      <w:pPr>
        <w:pStyle w:val="Heading1"/>
        <w:ind w:left="709" w:hanging="709"/>
        <w:rPr>
          <w:b w:val="0"/>
        </w:rPr>
      </w:pPr>
      <w:r>
        <w:tab/>
      </w:r>
      <w:r w:rsidRPr="00455174">
        <w:t>Context for Decision</w:t>
      </w:r>
    </w:p>
    <w:p w:rsidR="00BF72B1" w:rsidRPr="00670432" w:rsidRDefault="00BF72B1" w:rsidP="00BF72B1">
      <w:pPr>
        <w:widowControl w:val="0"/>
        <w:jc w:val="both"/>
        <w:rPr>
          <w:rFonts w:cs="Arial"/>
          <w:bCs/>
          <w:snapToGrid w:val="0"/>
        </w:rPr>
      </w:pPr>
      <w:r w:rsidRPr="00670432">
        <w:rPr>
          <w:rFonts w:cs="Arial"/>
          <w:bCs/>
          <w:snapToGrid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F72B1" w:rsidRPr="00455174" w:rsidRDefault="00BF72B1" w:rsidP="00BF72B1">
      <w:pPr>
        <w:pStyle w:val="Heading1"/>
        <w:ind w:left="709" w:hanging="709"/>
        <w:rPr>
          <w:b w:val="0"/>
        </w:rPr>
      </w:pPr>
      <w:r w:rsidRPr="00670432">
        <w:tab/>
      </w:r>
      <w:r w:rsidRPr="00455174">
        <w:t>Sponsor’s Comment</w:t>
      </w:r>
    </w:p>
    <w:p w:rsidR="008667B5" w:rsidRPr="00BF72B1" w:rsidRDefault="00BF72B1" w:rsidP="00BF72B1">
      <w:pPr>
        <w:widowControl w:val="0"/>
        <w:jc w:val="both"/>
        <w:rPr>
          <w:rFonts w:cs="Arial"/>
          <w:bCs/>
          <w:snapToGrid w:val="0"/>
          <w:highlight w:val="yellow"/>
        </w:rPr>
      </w:pPr>
      <w:r w:rsidRPr="00670432">
        <w:rPr>
          <w:rFonts w:cs="Arial"/>
          <w:bCs/>
          <w:snapToGrid w:val="0"/>
        </w:rPr>
        <w:t>The sponsor had no comment.</w:t>
      </w:r>
    </w:p>
    <w:sectPr w:rsidR="008667B5" w:rsidRPr="00BF72B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03" w:rsidRDefault="00CC4303" w:rsidP="00BA3306">
      <w:pPr>
        <w:spacing w:before="0" w:after="0"/>
      </w:pPr>
      <w:r>
        <w:separator/>
      </w:r>
    </w:p>
  </w:endnote>
  <w:endnote w:type="continuationSeparator" w:id="0">
    <w:p w:rsidR="00CC4303" w:rsidRDefault="00CC4303"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4323"/>
      <w:docPartObj>
        <w:docPartGallery w:val="Page Numbers (Bottom of Page)"/>
        <w:docPartUnique/>
      </w:docPartObj>
    </w:sdtPr>
    <w:sdtEndPr>
      <w:rPr>
        <w:noProof/>
      </w:rPr>
    </w:sdtEndPr>
    <w:sdtContent>
      <w:p w:rsidR="004630C0" w:rsidRDefault="004630C0">
        <w:pPr>
          <w:pStyle w:val="Footer"/>
          <w:jc w:val="center"/>
        </w:pPr>
        <w:r>
          <w:fldChar w:fldCharType="begin"/>
        </w:r>
        <w:r>
          <w:instrText xml:space="preserve"> PAGE   \* MERGEFORMAT </w:instrText>
        </w:r>
        <w:r>
          <w:fldChar w:fldCharType="separate"/>
        </w:r>
        <w:r w:rsidR="009E192F">
          <w:rPr>
            <w:noProof/>
          </w:rPr>
          <w:t>21</w:t>
        </w:r>
        <w:r>
          <w:rPr>
            <w:noProof/>
          </w:rPr>
          <w:fldChar w:fldCharType="end"/>
        </w:r>
      </w:p>
    </w:sdtContent>
  </w:sdt>
  <w:p w:rsidR="00A51A1B" w:rsidRDefault="00A51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03" w:rsidRDefault="00CC4303" w:rsidP="00BA3306">
      <w:pPr>
        <w:spacing w:before="0" w:after="0"/>
      </w:pPr>
      <w:r>
        <w:separator/>
      </w:r>
    </w:p>
  </w:footnote>
  <w:footnote w:type="continuationSeparator" w:id="0">
    <w:p w:rsidR="00CC4303" w:rsidRDefault="00CC4303"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FD" w:rsidRPr="004630C0" w:rsidRDefault="00382292" w:rsidP="004630C0">
    <w:pPr>
      <w:pStyle w:val="Header"/>
      <w:tabs>
        <w:tab w:val="left" w:pos="1725"/>
        <w:tab w:val="left" w:pos="7725"/>
      </w:tabs>
      <w:jc w:val="center"/>
      <w:rPr>
        <w:i/>
      </w:rPr>
    </w:pPr>
    <w:r>
      <w:rPr>
        <w:i/>
      </w:rPr>
      <w:t>Public Summary Document</w:t>
    </w:r>
    <w:r w:rsidR="004630C0" w:rsidRPr="004630C0">
      <w:rPr>
        <w:i/>
      </w:rPr>
      <w:t xml:space="preserve"> – December 2017 PBAC Meeting</w:t>
    </w:r>
  </w:p>
  <w:p w:rsidR="004630C0" w:rsidRPr="004630C0" w:rsidRDefault="004630C0" w:rsidP="004630C0">
    <w:pPr>
      <w:pStyle w:val="Header"/>
      <w:tabs>
        <w:tab w:val="left" w:pos="1725"/>
        <w:tab w:val="left" w:pos="7725"/>
      </w:tabs>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7F9"/>
    <w:multiLevelType w:val="hybridMultilevel"/>
    <w:tmpl w:val="05AE6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381721"/>
    <w:multiLevelType w:val="hybridMultilevel"/>
    <w:tmpl w:val="B75A9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4E6825"/>
    <w:multiLevelType w:val="multilevel"/>
    <w:tmpl w:val="EE5000CC"/>
    <w:lvl w:ilvl="0">
      <w:start w:val="1"/>
      <w:numFmt w:val="decimal"/>
      <w:pStyle w:val="Heading1"/>
      <w:lvlText w:val="%1"/>
      <w:lvlJc w:val="left"/>
      <w:pPr>
        <w:ind w:left="432" w:hanging="432"/>
      </w:pPr>
      <w:rPr>
        <w:rFonts w:hint="default"/>
        <w:b/>
        <w:i w:val="0"/>
      </w:rPr>
    </w:lvl>
    <w:lvl w:ilvl="1">
      <w:start w:val="1"/>
      <w:numFmt w:val="decimal"/>
      <w:lvlText w:val="%1.%2"/>
      <w:lvlJc w:val="left"/>
      <w:pPr>
        <w:ind w:left="576" w:hanging="576"/>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D43232D"/>
    <w:multiLevelType w:val="multilevel"/>
    <w:tmpl w:val="2714935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5BC3259"/>
    <w:multiLevelType w:val="hybridMultilevel"/>
    <w:tmpl w:val="8E4A2F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7391493"/>
    <w:multiLevelType w:val="hybridMultilevel"/>
    <w:tmpl w:val="A7527AD4"/>
    <w:lvl w:ilvl="0" w:tplc="59488F72">
      <w:start w:val="1"/>
      <w:numFmt w:val="decimal"/>
      <w:lvlText w:val="%1)"/>
      <w:lvlJc w:val="left"/>
      <w:pPr>
        <w:ind w:left="720" w:hanging="360"/>
      </w:pPr>
      <w:rPr>
        <w:rFonts w:ascii="Arial Narrow" w:eastAsiaTheme="minorHAnsi" w:hAnsi="Arial Narrow" w:cstheme="minorBid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621E74"/>
    <w:multiLevelType w:val="multilevel"/>
    <w:tmpl w:val="E210190C"/>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C020369"/>
    <w:multiLevelType w:val="multilevel"/>
    <w:tmpl w:val="27149358"/>
    <w:lvl w:ilvl="0">
      <w:start w:val="1"/>
      <w:numFmt w:val="decimal"/>
      <w:lvlText w:val="%1"/>
      <w:lvlJc w:val="left"/>
      <w:pPr>
        <w:ind w:left="720" w:hanging="720"/>
      </w:pPr>
      <w:rPr>
        <w:rFonts w:hint="default"/>
        <w:b/>
      </w:rPr>
    </w:lvl>
    <w:lvl w:ilvl="1">
      <w:start w:val="1"/>
      <w:numFmt w:val="bullet"/>
      <w:lvlText w:val=""/>
      <w:lvlJc w:val="left"/>
      <w:pPr>
        <w:ind w:left="1854" w:hanging="720"/>
      </w:pPr>
      <w:rPr>
        <w:rFonts w:ascii="Symbol" w:hAnsi="Symbol"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8717A"/>
    <w:multiLevelType w:val="multilevel"/>
    <w:tmpl w:val="2FA67F9C"/>
    <w:lvl w:ilvl="0">
      <w:start w:val="1"/>
      <w:numFmt w:val="decimal"/>
      <w:lvlText w:val="%1"/>
      <w:lvlJc w:val="left"/>
      <w:pPr>
        <w:ind w:left="720" w:hanging="720"/>
      </w:pPr>
      <w:rPr>
        <w:rFonts w:hint="default"/>
        <w:b/>
      </w:rPr>
    </w:lvl>
    <w:lvl w:ilvl="1">
      <w:numFmt w:val="bullet"/>
      <w:pStyle w:val="V50execlevel2bullet"/>
      <w:lvlText w:val="-"/>
      <w:lvlJc w:val="left"/>
      <w:pPr>
        <w:ind w:left="720" w:hanging="720"/>
      </w:pPr>
      <w:rPr>
        <w:rFonts w:ascii="Times New Roman" w:eastAsia="Times New Roman" w:hAnsi="Times New Roman" w:cs="Times New Roman"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96B0582"/>
    <w:multiLevelType w:val="multilevel"/>
    <w:tmpl w:val="FFC02A6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4FB2357"/>
    <w:multiLevelType w:val="multilevel"/>
    <w:tmpl w:val="D76844C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76A0241"/>
    <w:multiLevelType w:val="multilevel"/>
    <w:tmpl w:val="4C96A12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84D033C"/>
    <w:multiLevelType w:val="multilevel"/>
    <w:tmpl w:val="84369D8A"/>
    <w:lvl w:ilvl="0">
      <w:start w:val="1"/>
      <w:numFmt w:val="decimal"/>
      <w:pStyle w:val="PBACHeading1"/>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3"/>
  </w:num>
  <w:num w:numId="4">
    <w:abstractNumId w:val="11"/>
  </w:num>
  <w:num w:numId="5">
    <w:abstractNumId w:val="15"/>
  </w:num>
  <w:num w:numId="6">
    <w:abstractNumId w:val="6"/>
  </w:num>
  <w:num w:numId="7">
    <w:abstractNumId w:val="10"/>
  </w:num>
  <w:num w:numId="8">
    <w:abstractNumId w:val="4"/>
  </w:num>
  <w:num w:numId="9">
    <w:abstractNumId w:val="0"/>
  </w:num>
  <w:num w:numId="10">
    <w:abstractNumId w:val="13"/>
  </w:num>
  <w:num w:numId="11">
    <w:abstractNumId w:val="14"/>
  </w:num>
  <w:num w:numId="12">
    <w:abstractNumId w:val="8"/>
  </w:num>
  <w:num w:numId="13">
    <w:abstractNumId w:val="12"/>
  </w:num>
  <w:num w:numId="14">
    <w:abstractNumId w:val="1"/>
  </w:num>
  <w:num w:numId="15">
    <w:abstractNumId w:val="9"/>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1066F"/>
    <w:rsid w:val="0001116A"/>
    <w:rsid w:val="000123CF"/>
    <w:rsid w:val="00012F95"/>
    <w:rsid w:val="00013222"/>
    <w:rsid w:val="0002095B"/>
    <w:rsid w:val="00034404"/>
    <w:rsid w:val="000461CF"/>
    <w:rsid w:val="00057F71"/>
    <w:rsid w:val="00062067"/>
    <w:rsid w:val="00065C62"/>
    <w:rsid w:val="00065CDE"/>
    <w:rsid w:val="00065F4A"/>
    <w:rsid w:val="000700FA"/>
    <w:rsid w:val="00080FF3"/>
    <w:rsid w:val="000847FE"/>
    <w:rsid w:val="00086133"/>
    <w:rsid w:val="00096AA5"/>
    <w:rsid w:val="000A2694"/>
    <w:rsid w:val="000A2EF1"/>
    <w:rsid w:val="000A6309"/>
    <w:rsid w:val="000A6FBD"/>
    <w:rsid w:val="000B56CD"/>
    <w:rsid w:val="000B6B69"/>
    <w:rsid w:val="000C0142"/>
    <w:rsid w:val="000C6033"/>
    <w:rsid w:val="000C66ED"/>
    <w:rsid w:val="000C6A40"/>
    <w:rsid w:val="000C6A75"/>
    <w:rsid w:val="000D0023"/>
    <w:rsid w:val="000D2E92"/>
    <w:rsid w:val="000D7D60"/>
    <w:rsid w:val="000F2534"/>
    <w:rsid w:val="000F3652"/>
    <w:rsid w:val="000F4356"/>
    <w:rsid w:val="001027AC"/>
    <w:rsid w:val="0011039E"/>
    <w:rsid w:val="00123FE3"/>
    <w:rsid w:val="0012437B"/>
    <w:rsid w:val="0012701F"/>
    <w:rsid w:val="001279AE"/>
    <w:rsid w:val="0013092C"/>
    <w:rsid w:val="00136E76"/>
    <w:rsid w:val="001468C6"/>
    <w:rsid w:val="00146C47"/>
    <w:rsid w:val="00162879"/>
    <w:rsid w:val="00165A49"/>
    <w:rsid w:val="00165FFC"/>
    <w:rsid w:val="001722AD"/>
    <w:rsid w:val="00173577"/>
    <w:rsid w:val="00175563"/>
    <w:rsid w:val="0017638E"/>
    <w:rsid w:val="00176AA5"/>
    <w:rsid w:val="0017720E"/>
    <w:rsid w:val="00177893"/>
    <w:rsid w:val="00184221"/>
    <w:rsid w:val="00186307"/>
    <w:rsid w:val="00186EBC"/>
    <w:rsid w:val="00195DA4"/>
    <w:rsid w:val="001A0142"/>
    <w:rsid w:val="001A02B2"/>
    <w:rsid w:val="001B00CE"/>
    <w:rsid w:val="001B1D1B"/>
    <w:rsid w:val="001B6389"/>
    <w:rsid w:val="001C04CC"/>
    <w:rsid w:val="001C051E"/>
    <w:rsid w:val="001D5DE3"/>
    <w:rsid w:val="001E4361"/>
    <w:rsid w:val="001E5918"/>
    <w:rsid w:val="001F073C"/>
    <w:rsid w:val="001F2912"/>
    <w:rsid w:val="002001C6"/>
    <w:rsid w:val="00200296"/>
    <w:rsid w:val="00201ADB"/>
    <w:rsid w:val="002058E5"/>
    <w:rsid w:val="00207FFC"/>
    <w:rsid w:val="00210FAA"/>
    <w:rsid w:val="00217585"/>
    <w:rsid w:val="002234A6"/>
    <w:rsid w:val="002248C2"/>
    <w:rsid w:val="00227F56"/>
    <w:rsid w:val="00235F10"/>
    <w:rsid w:val="002372EA"/>
    <w:rsid w:val="002425EA"/>
    <w:rsid w:val="00242EA0"/>
    <w:rsid w:val="00243685"/>
    <w:rsid w:val="0025613F"/>
    <w:rsid w:val="002561AB"/>
    <w:rsid w:val="00261DC6"/>
    <w:rsid w:val="00264623"/>
    <w:rsid w:val="00273C92"/>
    <w:rsid w:val="00280B5B"/>
    <w:rsid w:val="00282D1F"/>
    <w:rsid w:val="002836DF"/>
    <w:rsid w:val="002928F4"/>
    <w:rsid w:val="0029602D"/>
    <w:rsid w:val="002A4503"/>
    <w:rsid w:val="002B109D"/>
    <w:rsid w:val="002B4941"/>
    <w:rsid w:val="002B5D74"/>
    <w:rsid w:val="002B7ADB"/>
    <w:rsid w:val="002C1D2F"/>
    <w:rsid w:val="002D1068"/>
    <w:rsid w:val="002D2FCA"/>
    <w:rsid w:val="002D34C2"/>
    <w:rsid w:val="002D7823"/>
    <w:rsid w:val="002E42FD"/>
    <w:rsid w:val="002E4C2D"/>
    <w:rsid w:val="002E5DEA"/>
    <w:rsid w:val="002E710D"/>
    <w:rsid w:val="002E724A"/>
    <w:rsid w:val="002F0CC4"/>
    <w:rsid w:val="002F311E"/>
    <w:rsid w:val="002F68D0"/>
    <w:rsid w:val="002F71B8"/>
    <w:rsid w:val="003000F3"/>
    <w:rsid w:val="0030057F"/>
    <w:rsid w:val="00301EA1"/>
    <w:rsid w:val="00302FCC"/>
    <w:rsid w:val="003062AE"/>
    <w:rsid w:val="00315514"/>
    <w:rsid w:val="00334ACF"/>
    <w:rsid w:val="00341A14"/>
    <w:rsid w:val="00351381"/>
    <w:rsid w:val="0035277D"/>
    <w:rsid w:val="003530A6"/>
    <w:rsid w:val="00353627"/>
    <w:rsid w:val="00355F72"/>
    <w:rsid w:val="00357657"/>
    <w:rsid w:val="003623BD"/>
    <w:rsid w:val="003639A6"/>
    <w:rsid w:val="00366695"/>
    <w:rsid w:val="003679AE"/>
    <w:rsid w:val="003757F6"/>
    <w:rsid w:val="00382292"/>
    <w:rsid w:val="0038281C"/>
    <w:rsid w:val="003851FE"/>
    <w:rsid w:val="00385A64"/>
    <w:rsid w:val="00386D1A"/>
    <w:rsid w:val="003923DF"/>
    <w:rsid w:val="00397170"/>
    <w:rsid w:val="003A3433"/>
    <w:rsid w:val="003A537E"/>
    <w:rsid w:val="003A660F"/>
    <w:rsid w:val="003B095E"/>
    <w:rsid w:val="003C0BF9"/>
    <w:rsid w:val="003C0EAF"/>
    <w:rsid w:val="003C1A9F"/>
    <w:rsid w:val="003C5F28"/>
    <w:rsid w:val="003D11A9"/>
    <w:rsid w:val="003D2A37"/>
    <w:rsid w:val="003D69EF"/>
    <w:rsid w:val="003D7F8C"/>
    <w:rsid w:val="003E0EDB"/>
    <w:rsid w:val="003E44EA"/>
    <w:rsid w:val="003E6475"/>
    <w:rsid w:val="003F0574"/>
    <w:rsid w:val="003F105A"/>
    <w:rsid w:val="003F283D"/>
    <w:rsid w:val="003F6199"/>
    <w:rsid w:val="00400EFD"/>
    <w:rsid w:val="004033BF"/>
    <w:rsid w:val="00411682"/>
    <w:rsid w:val="00411814"/>
    <w:rsid w:val="00414D00"/>
    <w:rsid w:val="004175C7"/>
    <w:rsid w:val="00421450"/>
    <w:rsid w:val="004218E1"/>
    <w:rsid w:val="00427E55"/>
    <w:rsid w:val="00433B21"/>
    <w:rsid w:val="00437BB5"/>
    <w:rsid w:val="00453BAE"/>
    <w:rsid w:val="00453D59"/>
    <w:rsid w:val="00454493"/>
    <w:rsid w:val="004619BB"/>
    <w:rsid w:val="004630C0"/>
    <w:rsid w:val="00465D3F"/>
    <w:rsid w:val="0046621E"/>
    <w:rsid w:val="00472D4D"/>
    <w:rsid w:val="00484911"/>
    <w:rsid w:val="00487D97"/>
    <w:rsid w:val="004919DD"/>
    <w:rsid w:val="00494F7C"/>
    <w:rsid w:val="004A2DF5"/>
    <w:rsid w:val="004A4EF3"/>
    <w:rsid w:val="004A5494"/>
    <w:rsid w:val="004B02BA"/>
    <w:rsid w:val="004B3C00"/>
    <w:rsid w:val="004C37D3"/>
    <w:rsid w:val="004C65FF"/>
    <w:rsid w:val="004D1006"/>
    <w:rsid w:val="004D45DF"/>
    <w:rsid w:val="004D5B85"/>
    <w:rsid w:val="004E0C0B"/>
    <w:rsid w:val="004E2125"/>
    <w:rsid w:val="004F2DA1"/>
    <w:rsid w:val="004F3688"/>
    <w:rsid w:val="004F3AAE"/>
    <w:rsid w:val="004F4415"/>
    <w:rsid w:val="004F4BDE"/>
    <w:rsid w:val="004F6163"/>
    <w:rsid w:val="004F7CAC"/>
    <w:rsid w:val="00507713"/>
    <w:rsid w:val="00511320"/>
    <w:rsid w:val="005143F9"/>
    <w:rsid w:val="00516566"/>
    <w:rsid w:val="005218C3"/>
    <w:rsid w:val="00531C11"/>
    <w:rsid w:val="00535C74"/>
    <w:rsid w:val="005361AB"/>
    <w:rsid w:val="00540B50"/>
    <w:rsid w:val="00541D43"/>
    <w:rsid w:val="00542068"/>
    <w:rsid w:val="00542201"/>
    <w:rsid w:val="00543AF9"/>
    <w:rsid w:val="00544932"/>
    <w:rsid w:val="00552D6B"/>
    <w:rsid w:val="0055532F"/>
    <w:rsid w:val="005558A9"/>
    <w:rsid w:val="00561D24"/>
    <w:rsid w:val="00566C0C"/>
    <w:rsid w:val="00576ADE"/>
    <w:rsid w:val="00576C07"/>
    <w:rsid w:val="00577CFD"/>
    <w:rsid w:val="00577DEF"/>
    <w:rsid w:val="005846A0"/>
    <w:rsid w:val="00587023"/>
    <w:rsid w:val="005924A7"/>
    <w:rsid w:val="005948F6"/>
    <w:rsid w:val="00597972"/>
    <w:rsid w:val="005B1A7B"/>
    <w:rsid w:val="005B2147"/>
    <w:rsid w:val="005C3BD2"/>
    <w:rsid w:val="005C6285"/>
    <w:rsid w:val="005D5BA1"/>
    <w:rsid w:val="005D622E"/>
    <w:rsid w:val="005E34E3"/>
    <w:rsid w:val="005E49B2"/>
    <w:rsid w:val="005F0AE8"/>
    <w:rsid w:val="005F2A6B"/>
    <w:rsid w:val="005F40C1"/>
    <w:rsid w:val="006024D3"/>
    <w:rsid w:val="00604104"/>
    <w:rsid w:val="00606E35"/>
    <w:rsid w:val="00606EF9"/>
    <w:rsid w:val="0060706A"/>
    <w:rsid w:val="006070C4"/>
    <w:rsid w:val="00607758"/>
    <w:rsid w:val="00610D5E"/>
    <w:rsid w:val="006110E8"/>
    <w:rsid w:val="00613467"/>
    <w:rsid w:val="006153F0"/>
    <w:rsid w:val="00616E2A"/>
    <w:rsid w:val="00624315"/>
    <w:rsid w:val="0062545B"/>
    <w:rsid w:val="0062552A"/>
    <w:rsid w:val="00626183"/>
    <w:rsid w:val="006332BE"/>
    <w:rsid w:val="00635831"/>
    <w:rsid w:val="006408C3"/>
    <w:rsid w:val="0064620D"/>
    <w:rsid w:val="006478EE"/>
    <w:rsid w:val="00657754"/>
    <w:rsid w:val="00661286"/>
    <w:rsid w:val="00662DFF"/>
    <w:rsid w:val="00662F3B"/>
    <w:rsid w:val="00664356"/>
    <w:rsid w:val="00672120"/>
    <w:rsid w:val="00691913"/>
    <w:rsid w:val="00692FB3"/>
    <w:rsid w:val="00693A04"/>
    <w:rsid w:val="006A138B"/>
    <w:rsid w:val="006B140A"/>
    <w:rsid w:val="006B288D"/>
    <w:rsid w:val="006B3F7E"/>
    <w:rsid w:val="006C4906"/>
    <w:rsid w:val="006C528E"/>
    <w:rsid w:val="006D3271"/>
    <w:rsid w:val="006E7302"/>
    <w:rsid w:val="006F161E"/>
    <w:rsid w:val="006F21CC"/>
    <w:rsid w:val="006F3B63"/>
    <w:rsid w:val="006F5815"/>
    <w:rsid w:val="00707082"/>
    <w:rsid w:val="00712C73"/>
    <w:rsid w:val="00723AB1"/>
    <w:rsid w:val="00723E1E"/>
    <w:rsid w:val="00734542"/>
    <w:rsid w:val="00734660"/>
    <w:rsid w:val="00747333"/>
    <w:rsid w:val="007509A6"/>
    <w:rsid w:val="00750B5A"/>
    <w:rsid w:val="00751984"/>
    <w:rsid w:val="007633B0"/>
    <w:rsid w:val="007715D2"/>
    <w:rsid w:val="00772501"/>
    <w:rsid w:val="00772C70"/>
    <w:rsid w:val="007847FA"/>
    <w:rsid w:val="00790910"/>
    <w:rsid w:val="00791DE1"/>
    <w:rsid w:val="00795B29"/>
    <w:rsid w:val="007A3A8C"/>
    <w:rsid w:val="007A4EAD"/>
    <w:rsid w:val="007B0E0C"/>
    <w:rsid w:val="007B2E4A"/>
    <w:rsid w:val="007B735A"/>
    <w:rsid w:val="007C26E5"/>
    <w:rsid w:val="007C3678"/>
    <w:rsid w:val="007C720A"/>
    <w:rsid w:val="007D1092"/>
    <w:rsid w:val="007D13A1"/>
    <w:rsid w:val="007D2621"/>
    <w:rsid w:val="007D3FDF"/>
    <w:rsid w:val="007E3562"/>
    <w:rsid w:val="007F08CA"/>
    <w:rsid w:val="007F3B6E"/>
    <w:rsid w:val="008058E8"/>
    <w:rsid w:val="00806434"/>
    <w:rsid w:val="00813288"/>
    <w:rsid w:val="00821A29"/>
    <w:rsid w:val="00823233"/>
    <w:rsid w:val="00824426"/>
    <w:rsid w:val="00830E52"/>
    <w:rsid w:val="008324E3"/>
    <w:rsid w:val="00833A99"/>
    <w:rsid w:val="00834DD9"/>
    <w:rsid w:val="00836E8D"/>
    <w:rsid w:val="00845946"/>
    <w:rsid w:val="008476A0"/>
    <w:rsid w:val="00852F38"/>
    <w:rsid w:val="00854C36"/>
    <w:rsid w:val="00856C34"/>
    <w:rsid w:val="00864BCC"/>
    <w:rsid w:val="00865DC1"/>
    <w:rsid w:val="008667B5"/>
    <w:rsid w:val="00870089"/>
    <w:rsid w:val="008750F9"/>
    <w:rsid w:val="00875341"/>
    <w:rsid w:val="0087536F"/>
    <w:rsid w:val="00880A40"/>
    <w:rsid w:val="00883CC9"/>
    <w:rsid w:val="008869F4"/>
    <w:rsid w:val="00893EEF"/>
    <w:rsid w:val="008A0D15"/>
    <w:rsid w:val="008A3C58"/>
    <w:rsid w:val="008A4880"/>
    <w:rsid w:val="008A52B1"/>
    <w:rsid w:val="008B5B32"/>
    <w:rsid w:val="008D0205"/>
    <w:rsid w:val="008D78FF"/>
    <w:rsid w:val="008F4372"/>
    <w:rsid w:val="008F6ACA"/>
    <w:rsid w:val="009074E3"/>
    <w:rsid w:val="00914DA7"/>
    <w:rsid w:val="00915137"/>
    <w:rsid w:val="00915F63"/>
    <w:rsid w:val="009170D7"/>
    <w:rsid w:val="009177E9"/>
    <w:rsid w:val="0092606A"/>
    <w:rsid w:val="009331CF"/>
    <w:rsid w:val="009334AC"/>
    <w:rsid w:val="00940427"/>
    <w:rsid w:val="00942010"/>
    <w:rsid w:val="0094320A"/>
    <w:rsid w:val="0095170D"/>
    <w:rsid w:val="0095307F"/>
    <w:rsid w:val="00955526"/>
    <w:rsid w:val="00966C09"/>
    <w:rsid w:val="009813A5"/>
    <w:rsid w:val="00981EB9"/>
    <w:rsid w:val="00984441"/>
    <w:rsid w:val="009844CF"/>
    <w:rsid w:val="00984DD8"/>
    <w:rsid w:val="0099085F"/>
    <w:rsid w:val="009925DB"/>
    <w:rsid w:val="00993CC9"/>
    <w:rsid w:val="00995222"/>
    <w:rsid w:val="009A6F74"/>
    <w:rsid w:val="009B376D"/>
    <w:rsid w:val="009D3628"/>
    <w:rsid w:val="009D4C2A"/>
    <w:rsid w:val="009D6914"/>
    <w:rsid w:val="009E192F"/>
    <w:rsid w:val="009E1C22"/>
    <w:rsid w:val="009E2481"/>
    <w:rsid w:val="009E6ED2"/>
    <w:rsid w:val="009F3631"/>
    <w:rsid w:val="009F3790"/>
    <w:rsid w:val="009F7CEB"/>
    <w:rsid w:val="00A040FD"/>
    <w:rsid w:val="00A0426A"/>
    <w:rsid w:val="00A04C0D"/>
    <w:rsid w:val="00A07A7F"/>
    <w:rsid w:val="00A12983"/>
    <w:rsid w:val="00A20B1A"/>
    <w:rsid w:val="00A22A39"/>
    <w:rsid w:val="00A41E5D"/>
    <w:rsid w:val="00A51A1B"/>
    <w:rsid w:val="00A535FB"/>
    <w:rsid w:val="00A56935"/>
    <w:rsid w:val="00A6374D"/>
    <w:rsid w:val="00A81F82"/>
    <w:rsid w:val="00A841B0"/>
    <w:rsid w:val="00A85A2B"/>
    <w:rsid w:val="00A93543"/>
    <w:rsid w:val="00A94EFC"/>
    <w:rsid w:val="00AA1681"/>
    <w:rsid w:val="00AA2157"/>
    <w:rsid w:val="00AA2FA1"/>
    <w:rsid w:val="00AA51C1"/>
    <w:rsid w:val="00AA6156"/>
    <w:rsid w:val="00AA73AC"/>
    <w:rsid w:val="00AA7B77"/>
    <w:rsid w:val="00AB187A"/>
    <w:rsid w:val="00AB2F64"/>
    <w:rsid w:val="00AB514A"/>
    <w:rsid w:val="00AC50E3"/>
    <w:rsid w:val="00AD51C9"/>
    <w:rsid w:val="00AE2A68"/>
    <w:rsid w:val="00AE513E"/>
    <w:rsid w:val="00AE7AA8"/>
    <w:rsid w:val="00AF0DF9"/>
    <w:rsid w:val="00AF4BE4"/>
    <w:rsid w:val="00B05A6C"/>
    <w:rsid w:val="00B11EA0"/>
    <w:rsid w:val="00B17FDB"/>
    <w:rsid w:val="00B21BB1"/>
    <w:rsid w:val="00B25D68"/>
    <w:rsid w:val="00B26BBF"/>
    <w:rsid w:val="00B2777B"/>
    <w:rsid w:val="00B32F0A"/>
    <w:rsid w:val="00B539FB"/>
    <w:rsid w:val="00B6367E"/>
    <w:rsid w:val="00B63B06"/>
    <w:rsid w:val="00B66C37"/>
    <w:rsid w:val="00B66EA2"/>
    <w:rsid w:val="00B67119"/>
    <w:rsid w:val="00B71675"/>
    <w:rsid w:val="00B71B62"/>
    <w:rsid w:val="00B75BC0"/>
    <w:rsid w:val="00B7796D"/>
    <w:rsid w:val="00B80B83"/>
    <w:rsid w:val="00B81A5A"/>
    <w:rsid w:val="00B863A0"/>
    <w:rsid w:val="00B915D3"/>
    <w:rsid w:val="00BA01AB"/>
    <w:rsid w:val="00BA1134"/>
    <w:rsid w:val="00BA21E8"/>
    <w:rsid w:val="00BA3306"/>
    <w:rsid w:val="00BA73EE"/>
    <w:rsid w:val="00BC7C1B"/>
    <w:rsid w:val="00BC7FCB"/>
    <w:rsid w:val="00BD03EC"/>
    <w:rsid w:val="00BE3CAA"/>
    <w:rsid w:val="00BE3E5F"/>
    <w:rsid w:val="00BE583A"/>
    <w:rsid w:val="00BF72B1"/>
    <w:rsid w:val="00C06418"/>
    <w:rsid w:val="00C07417"/>
    <w:rsid w:val="00C07BBA"/>
    <w:rsid w:val="00C104C2"/>
    <w:rsid w:val="00C11033"/>
    <w:rsid w:val="00C23FEA"/>
    <w:rsid w:val="00C317F3"/>
    <w:rsid w:val="00C44C37"/>
    <w:rsid w:val="00C46AE5"/>
    <w:rsid w:val="00C47654"/>
    <w:rsid w:val="00C52ACF"/>
    <w:rsid w:val="00C54D80"/>
    <w:rsid w:val="00C57E4D"/>
    <w:rsid w:val="00C626E2"/>
    <w:rsid w:val="00C628C8"/>
    <w:rsid w:val="00C7519E"/>
    <w:rsid w:val="00C81A12"/>
    <w:rsid w:val="00C846BE"/>
    <w:rsid w:val="00C963DE"/>
    <w:rsid w:val="00CA0C26"/>
    <w:rsid w:val="00CB07A8"/>
    <w:rsid w:val="00CB14A1"/>
    <w:rsid w:val="00CB5389"/>
    <w:rsid w:val="00CC10E1"/>
    <w:rsid w:val="00CC4303"/>
    <w:rsid w:val="00CD12E3"/>
    <w:rsid w:val="00CD6327"/>
    <w:rsid w:val="00CE2B78"/>
    <w:rsid w:val="00CE42EC"/>
    <w:rsid w:val="00CE6AC3"/>
    <w:rsid w:val="00CE74A3"/>
    <w:rsid w:val="00D034DD"/>
    <w:rsid w:val="00D03D0C"/>
    <w:rsid w:val="00D04952"/>
    <w:rsid w:val="00D06A16"/>
    <w:rsid w:val="00D1078F"/>
    <w:rsid w:val="00D10E60"/>
    <w:rsid w:val="00D12CD2"/>
    <w:rsid w:val="00D14D23"/>
    <w:rsid w:val="00D15D8B"/>
    <w:rsid w:val="00D17984"/>
    <w:rsid w:val="00D238C1"/>
    <w:rsid w:val="00D24DAD"/>
    <w:rsid w:val="00D25916"/>
    <w:rsid w:val="00D329E6"/>
    <w:rsid w:val="00D3720C"/>
    <w:rsid w:val="00D37972"/>
    <w:rsid w:val="00D40896"/>
    <w:rsid w:val="00D41534"/>
    <w:rsid w:val="00D451FC"/>
    <w:rsid w:val="00D50D56"/>
    <w:rsid w:val="00D63C48"/>
    <w:rsid w:val="00D64289"/>
    <w:rsid w:val="00D6667B"/>
    <w:rsid w:val="00D71400"/>
    <w:rsid w:val="00D72C23"/>
    <w:rsid w:val="00D8435D"/>
    <w:rsid w:val="00D95394"/>
    <w:rsid w:val="00D970E7"/>
    <w:rsid w:val="00D97D92"/>
    <w:rsid w:val="00DA032B"/>
    <w:rsid w:val="00DA0456"/>
    <w:rsid w:val="00DA55BB"/>
    <w:rsid w:val="00DA73EE"/>
    <w:rsid w:val="00DC1743"/>
    <w:rsid w:val="00DC1F73"/>
    <w:rsid w:val="00DC34D0"/>
    <w:rsid w:val="00DC4850"/>
    <w:rsid w:val="00DC4CC9"/>
    <w:rsid w:val="00DC7746"/>
    <w:rsid w:val="00DD26DF"/>
    <w:rsid w:val="00DD3049"/>
    <w:rsid w:val="00DD32F3"/>
    <w:rsid w:val="00DD5AF4"/>
    <w:rsid w:val="00DE1A69"/>
    <w:rsid w:val="00DE21E4"/>
    <w:rsid w:val="00DE2A7C"/>
    <w:rsid w:val="00DE30E2"/>
    <w:rsid w:val="00DE3A9A"/>
    <w:rsid w:val="00DE6421"/>
    <w:rsid w:val="00DF16C0"/>
    <w:rsid w:val="00DF1844"/>
    <w:rsid w:val="00DF53C6"/>
    <w:rsid w:val="00DF548B"/>
    <w:rsid w:val="00E05FBC"/>
    <w:rsid w:val="00E10B7D"/>
    <w:rsid w:val="00E227EA"/>
    <w:rsid w:val="00E23360"/>
    <w:rsid w:val="00E23660"/>
    <w:rsid w:val="00E23717"/>
    <w:rsid w:val="00E2761D"/>
    <w:rsid w:val="00E31A1E"/>
    <w:rsid w:val="00E31D4B"/>
    <w:rsid w:val="00E34484"/>
    <w:rsid w:val="00E35F26"/>
    <w:rsid w:val="00E37424"/>
    <w:rsid w:val="00E4041E"/>
    <w:rsid w:val="00E43AF5"/>
    <w:rsid w:val="00E45180"/>
    <w:rsid w:val="00E45305"/>
    <w:rsid w:val="00E4634C"/>
    <w:rsid w:val="00E46AC9"/>
    <w:rsid w:val="00E511FB"/>
    <w:rsid w:val="00E53DB6"/>
    <w:rsid w:val="00E54FB3"/>
    <w:rsid w:val="00E55904"/>
    <w:rsid w:val="00E55E72"/>
    <w:rsid w:val="00E66614"/>
    <w:rsid w:val="00E773DF"/>
    <w:rsid w:val="00E8269B"/>
    <w:rsid w:val="00E930FA"/>
    <w:rsid w:val="00E97407"/>
    <w:rsid w:val="00EA1B29"/>
    <w:rsid w:val="00EA66E6"/>
    <w:rsid w:val="00EB3F3E"/>
    <w:rsid w:val="00EB426B"/>
    <w:rsid w:val="00EB445E"/>
    <w:rsid w:val="00EB5E6D"/>
    <w:rsid w:val="00EB7056"/>
    <w:rsid w:val="00EC4F90"/>
    <w:rsid w:val="00EF3278"/>
    <w:rsid w:val="00F03198"/>
    <w:rsid w:val="00F049EC"/>
    <w:rsid w:val="00F26B4B"/>
    <w:rsid w:val="00F2706C"/>
    <w:rsid w:val="00F3094A"/>
    <w:rsid w:val="00F32D23"/>
    <w:rsid w:val="00F419C5"/>
    <w:rsid w:val="00F42557"/>
    <w:rsid w:val="00F44EFB"/>
    <w:rsid w:val="00F44F75"/>
    <w:rsid w:val="00F56314"/>
    <w:rsid w:val="00F703E1"/>
    <w:rsid w:val="00F70790"/>
    <w:rsid w:val="00F72B42"/>
    <w:rsid w:val="00F733F3"/>
    <w:rsid w:val="00F73A39"/>
    <w:rsid w:val="00F75D3A"/>
    <w:rsid w:val="00F80139"/>
    <w:rsid w:val="00F87C31"/>
    <w:rsid w:val="00F9212E"/>
    <w:rsid w:val="00F9783F"/>
    <w:rsid w:val="00FA0329"/>
    <w:rsid w:val="00FA0F40"/>
    <w:rsid w:val="00FA4C58"/>
    <w:rsid w:val="00FB366A"/>
    <w:rsid w:val="00FB57DB"/>
    <w:rsid w:val="00FB6238"/>
    <w:rsid w:val="00FC06E3"/>
    <w:rsid w:val="00FC22AB"/>
    <w:rsid w:val="00FC594B"/>
    <w:rsid w:val="00FC71BA"/>
    <w:rsid w:val="00FD0DA5"/>
    <w:rsid w:val="00FD7841"/>
    <w:rsid w:val="00FE2431"/>
    <w:rsid w:val="00FE4C58"/>
    <w:rsid w:val="00FE6746"/>
    <w:rsid w:val="00FF2550"/>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qFormat="1"/>
    <w:lsdException w:name="Title" w:semiHidden="0" w:uiPriority="7" w:unhideWhenUsed="0" w:qFormat="1"/>
    <w:lsdException w:name="Default Paragraph Font" w:uiPriority="1"/>
    <w:lsdException w:name="Body Text"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aliases w:val="V5.0 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aliases w:val="V5.0 Exec Heading 2(no numbers)"/>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5.0 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aliases w:val="V5.0 Exec Heading 2(no numbers)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V5.0 Exec bullet List 1"/>
    <w:basedOn w:val="Normal"/>
    <w:link w:val="ListParagraphChar"/>
    <w:uiPriority w:val="34"/>
    <w:qFormat/>
    <w:rsid w:val="0095170D"/>
    <w:pPr>
      <w:ind w:left="720"/>
    </w:pPr>
  </w:style>
  <w:style w:type="paragraph" w:customStyle="1" w:styleId="V50Heading2nonumbers">
    <w:name w:val="V5.0 Heading 2 no numbers"/>
    <w:basedOn w:val="Heading2"/>
    <w:uiPriority w:val="99"/>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uiPriority w:val="99"/>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uiPriority w:val="99"/>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uiPriority w:val="99"/>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uiPriority w:val="99"/>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uiPriority w:val="99"/>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qFormat/>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qFormat/>
    <w:rsid w:val="00C846BE"/>
    <w:rPr>
      <w:rFonts w:ascii="Arial Narrow" w:eastAsia="Times New Roman" w:hAnsi="Arial Narrow" w:cs="Arial"/>
      <w:snapToGrid w:val="0"/>
      <w:sz w:val="18"/>
      <w:szCs w:val="20"/>
    </w:rPr>
  </w:style>
  <w:style w:type="paragraph" w:customStyle="1" w:styleId="TableNotes">
    <w:name w:val="TableNotes"/>
    <w:basedOn w:val="Normal"/>
    <w:uiPriority w:val="99"/>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aliases w:val="PBAC blue text"/>
    <w:basedOn w:val="Normal"/>
    <w:link w:val="BodyTextChar"/>
    <w:uiPriority w:val="99"/>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aliases w:val="PBAC blue text Char"/>
    <w:basedOn w:val="DefaultParagraphFont"/>
    <w:link w:val="BodyText"/>
    <w:uiPriority w:val="99"/>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5"/>
      </w:numPr>
      <w:spacing w:before="200" w:after="120" w:line="240" w:lineRule="auto"/>
    </w:pPr>
    <w:rPr>
      <w:rFonts w:ascii="Arial" w:eastAsia="Times New Roman" w:hAnsi="Arial" w:cs="Arial"/>
      <w:b/>
      <w:snapToGrid w:val="0"/>
    </w:rPr>
  </w:style>
  <w:style w:type="paragraph" w:customStyle="1" w:styleId="Style1">
    <w:name w:val="Style1"/>
    <w:basedOn w:val="Normal"/>
    <w:uiPriority w:val="99"/>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uiPriority w:val="99"/>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V5.0 Exec bullet List 1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uiPriority w:val="99"/>
    <w:qFormat/>
    <w:rsid w:val="00E46AC9"/>
    <w:pPr>
      <w:numPr>
        <w:numId w:val="4"/>
      </w:numPr>
      <w:spacing w:before="0" w:after="240"/>
      <w:ind w:left="357" w:hanging="357"/>
    </w:pPr>
    <w:rPr>
      <w:sz w:val="22"/>
    </w:rPr>
  </w:style>
  <w:style w:type="paragraph" w:customStyle="1" w:styleId="TableFigNote">
    <w:name w:val="TableFigNote"/>
    <w:basedOn w:val="Normal"/>
    <w:uiPriority w:val="99"/>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uiPriority w:val="99"/>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uiPriority w:val="99"/>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D238C1"/>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238C1"/>
    <w:rPr>
      <w:rFonts w:ascii="Lucida Grande" w:hAnsi="Lucida Grande" w:cs="Lucida Grande"/>
      <w:sz w:val="24"/>
      <w:szCs w:val="24"/>
    </w:rPr>
  </w:style>
  <w:style w:type="character" w:customStyle="1" w:styleId="TableTextChar">
    <w:name w:val="Table Text Char"/>
    <w:link w:val="TableText"/>
    <w:locked/>
    <w:rsid w:val="00BF72B1"/>
    <w:rPr>
      <w:rFonts w:ascii="Arial Narrow" w:hAnsi="Arial Narrow"/>
      <w:sz w:val="20"/>
    </w:rPr>
  </w:style>
  <w:style w:type="paragraph" w:customStyle="1" w:styleId="PBACTableText">
    <w:name w:val="PBAC Table Text"/>
    <w:basedOn w:val="Normal"/>
    <w:rsid w:val="00BF72B1"/>
    <w:pPr>
      <w:keepNext/>
      <w:spacing w:before="40" w:after="40"/>
    </w:pPr>
    <w:rPr>
      <w:rFonts w:ascii="Arial Narrow" w:hAnsi="Arial Narrow"/>
      <w:sz w:val="20"/>
    </w:rPr>
  </w:style>
  <w:style w:type="paragraph" w:customStyle="1" w:styleId="Tableheading1">
    <w:name w:val="Table heading"/>
    <w:basedOn w:val="Normal"/>
    <w:link w:val="TableheadingChar"/>
    <w:rsid w:val="00BF72B1"/>
    <w:pPr>
      <w:keepNext/>
      <w:keepLines/>
      <w:spacing w:before="60" w:after="60"/>
    </w:pPr>
    <w:rPr>
      <w:rFonts w:ascii="Arial Narrow" w:eastAsia="Times New Roman" w:hAnsi="Arial Narrow" w:cs="Times New Roman"/>
      <w:b/>
      <w:sz w:val="20"/>
      <w:szCs w:val="20"/>
    </w:rPr>
  </w:style>
  <w:style w:type="character" w:customStyle="1" w:styleId="TableheadingChar">
    <w:name w:val="Table heading Char"/>
    <w:link w:val="Tableheading1"/>
    <w:locked/>
    <w:rsid w:val="00BF72B1"/>
    <w:rPr>
      <w:rFonts w:ascii="Arial Narrow" w:eastAsia="Times New Roman" w:hAnsi="Arial Narrow" w:cs="Times New Roman"/>
      <w:b/>
      <w:sz w:val="20"/>
      <w:szCs w:val="20"/>
    </w:rPr>
  </w:style>
  <w:style w:type="table" w:customStyle="1" w:styleId="GridTable1Light1">
    <w:name w:val="Grid Table 1 Light1"/>
    <w:basedOn w:val="TableNormal"/>
    <w:uiPriority w:val="46"/>
    <w:rsid w:val="00BF72B1"/>
    <w:pPr>
      <w:spacing w:after="0" w:line="240" w:lineRule="auto"/>
    </w:pPr>
    <w:rPr>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customStyle="1" w:styleId="TableHead">
    <w:name w:val="Table Head"/>
    <w:basedOn w:val="TableText1"/>
    <w:qFormat/>
    <w:rsid w:val="00BF72B1"/>
    <w:pPr>
      <w:widowControl w:val="0"/>
      <w:adjustRightInd w:val="0"/>
      <w:spacing w:before="60" w:after="60"/>
      <w:textAlignment w:val="baseline"/>
    </w:pPr>
    <w:rPr>
      <w:rFonts w:eastAsia="SimSun" w:cs="Times New Roman"/>
      <w:b/>
      <w:lang w:eastAsia="en-AU"/>
    </w:rPr>
  </w:style>
  <w:style w:type="paragraph" w:customStyle="1" w:styleId="EndNoteBibliography">
    <w:name w:val="EndNote Bibliography"/>
    <w:basedOn w:val="Normal"/>
    <w:link w:val="EndNoteBibliographyChar"/>
    <w:locked/>
    <w:rsid w:val="00BF72B1"/>
    <w:pPr>
      <w:spacing w:before="0"/>
    </w:pPr>
    <w:rPr>
      <w:rFonts w:ascii="Arial" w:hAnsi="Arial" w:cs="Arial"/>
      <w:noProof/>
      <w:sz w:val="22"/>
      <w:lang w:val="en-US"/>
    </w:rPr>
  </w:style>
  <w:style w:type="character" w:customStyle="1" w:styleId="EndNoteBibliographyChar">
    <w:name w:val="EndNote Bibliography Char"/>
    <w:basedOn w:val="DefaultParagraphFont"/>
    <w:link w:val="EndNoteBibliography"/>
    <w:rsid w:val="00BF72B1"/>
    <w:rPr>
      <w:rFonts w:ascii="Arial" w:hAnsi="Arial" w:cs="Arial"/>
      <w:noProof/>
      <w:lang w:val="en-US"/>
    </w:rPr>
  </w:style>
  <w:style w:type="table" w:customStyle="1" w:styleId="TableGridbeth1">
    <w:name w:val="Table Gridbeth1"/>
    <w:basedOn w:val="TableNormal"/>
    <w:next w:val="TableGrid"/>
    <w:uiPriority w:val="59"/>
    <w:rsid w:val="00BF72B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1">
    <w:name w:val="Table Grid1"/>
    <w:basedOn w:val="TableNormal"/>
    <w:uiPriority w:val="59"/>
    <w:rsid w:val="00BF72B1"/>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link w:val="TablefootnoteChar"/>
    <w:qFormat/>
    <w:rsid w:val="00BF72B1"/>
    <w:pPr>
      <w:keepNext/>
      <w:keepLines/>
      <w:spacing w:before="0" w:after="360"/>
      <w:contextualSpacing/>
    </w:pPr>
    <w:rPr>
      <w:rFonts w:ascii="Arial Narrow" w:eastAsia="Times New Roman" w:hAnsi="Arial Narrow" w:cs="Times New Roman"/>
      <w:sz w:val="18"/>
    </w:rPr>
  </w:style>
  <w:style w:type="character" w:customStyle="1" w:styleId="TablefootnoteChar">
    <w:name w:val="Table footnote Char"/>
    <w:basedOn w:val="DefaultParagraphFont"/>
    <w:link w:val="Tablefootnote"/>
    <w:rsid w:val="00BF72B1"/>
    <w:rPr>
      <w:rFonts w:ascii="Arial Narrow" w:eastAsia="Times New Roman" w:hAnsi="Arial Narrow" w:cs="Times New Roman"/>
      <w:sz w:val="18"/>
    </w:rPr>
  </w:style>
  <w:style w:type="character" w:customStyle="1" w:styleId="BodyText1Char">
    <w:name w:val="Body Text1 Char"/>
    <w:link w:val="BodyText1"/>
    <w:locked/>
    <w:rsid w:val="00BF72B1"/>
    <w:rPr>
      <w:rFonts w:cstheme="minorHAnsi"/>
      <w:b/>
      <w:i/>
      <w:sz w:val="24"/>
      <w:lang w:val="en-US" w:eastAsia="en-GB"/>
    </w:rPr>
  </w:style>
  <w:style w:type="paragraph" w:customStyle="1" w:styleId="BodyText1">
    <w:name w:val="Body Text1"/>
    <w:basedOn w:val="Normal"/>
    <w:link w:val="BodyText1Char"/>
    <w:autoRedefine/>
    <w:qFormat/>
    <w:rsid w:val="00BF72B1"/>
    <w:pPr>
      <w:widowControl w:val="0"/>
      <w:spacing w:after="120" w:line="276" w:lineRule="auto"/>
      <w:jc w:val="both"/>
    </w:pPr>
    <w:rPr>
      <w:rFonts w:cstheme="minorHAnsi"/>
      <w:b/>
      <w:i/>
      <w:lang w:val="en-US" w:eastAsia="en-GB"/>
    </w:rPr>
  </w:style>
  <w:style w:type="table" w:customStyle="1" w:styleId="PlainTable22">
    <w:name w:val="Plain Table 22"/>
    <w:basedOn w:val="TableNormal"/>
    <w:uiPriority w:val="42"/>
    <w:rsid w:val="00BF72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Note">
    <w:name w:val="Table Note"/>
    <w:basedOn w:val="Normal"/>
    <w:link w:val="TableNoteChar"/>
    <w:qFormat/>
    <w:rsid w:val="00BF72B1"/>
    <w:pPr>
      <w:keepNext/>
      <w:keepLines/>
      <w:spacing w:before="0" w:after="360"/>
      <w:contextualSpacing/>
    </w:pPr>
    <w:rPr>
      <w:rFonts w:ascii="Arial" w:eastAsia="Calibri" w:hAnsi="Arial" w:cs="Arial"/>
      <w:sz w:val="16"/>
    </w:rPr>
  </w:style>
  <w:style w:type="character" w:customStyle="1" w:styleId="TableNoteChar">
    <w:name w:val="Table Note Char"/>
    <w:link w:val="TableNote"/>
    <w:rsid w:val="00BF72B1"/>
    <w:rPr>
      <w:rFonts w:ascii="Arial" w:eastAsia="Calibri" w:hAnsi="Arial" w:cs="Arial"/>
      <w:sz w:val="16"/>
    </w:rPr>
  </w:style>
  <w:style w:type="paragraph" w:customStyle="1" w:styleId="TableNotes1">
    <w:name w:val="Table Notes"/>
    <w:basedOn w:val="Normal"/>
    <w:next w:val="Normal"/>
    <w:autoRedefine/>
    <w:uiPriority w:val="99"/>
    <w:qFormat/>
    <w:rsid w:val="00BF72B1"/>
    <w:pPr>
      <w:widowControl w:val="0"/>
      <w:spacing w:before="0" w:after="360"/>
      <w:contextualSpacing/>
    </w:pPr>
    <w:rPr>
      <w:rFonts w:ascii="Arial" w:eastAsia="Times New Roman" w:hAnsi="Arial" w:cs="Times New Roman"/>
      <w:sz w:val="16"/>
      <w:szCs w:val="24"/>
      <w:lang w:eastAsia="en-AU"/>
    </w:rPr>
  </w:style>
  <w:style w:type="numbering" w:customStyle="1" w:styleId="NoList1">
    <w:name w:val="No List1"/>
    <w:next w:val="NoList"/>
    <w:uiPriority w:val="99"/>
    <w:semiHidden/>
    <w:unhideWhenUsed/>
    <w:rsid w:val="00BF72B1"/>
  </w:style>
  <w:style w:type="table" w:customStyle="1" w:styleId="TableGridbeth2">
    <w:name w:val="Table Gridbeth2"/>
    <w:basedOn w:val="TableNormal"/>
    <w:next w:val="TableGrid"/>
    <w:uiPriority w:val="59"/>
    <w:rsid w:val="00BF72B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BF72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BF72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BACTableHeading">
    <w:name w:val="PBAC Table Heading"/>
    <w:basedOn w:val="Normal"/>
    <w:rsid w:val="00BF72B1"/>
    <w:pPr>
      <w:keepNext/>
      <w:spacing w:before="0" w:after="60"/>
    </w:pPr>
    <w:rPr>
      <w:rFonts w:ascii="Arial Narrow" w:hAnsi="Arial Narrow"/>
      <w:b/>
      <w:sz w:val="20"/>
    </w:rPr>
  </w:style>
  <w:style w:type="paragraph" w:customStyle="1" w:styleId="PBACTableFooter">
    <w:name w:val="PBAC Table Footer"/>
    <w:basedOn w:val="Normal"/>
    <w:link w:val="PBACTableFooterChar"/>
    <w:rsid w:val="00BF72B1"/>
    <w:pPr>
      <w:widowControl w:val="0"/>
      <w:spacing w:before="0" w:after="120"/>
      <w:contextualSpacing/>
      <w:jc w:val="both"/>
    </w:pPr>
    <w:rPr>
      <w:rFonts w:ascii="Arial Narrow" w:eastAsia="Times New Roman" w:hAnsi="Arial Narrow" w:cs="Arial"/>
      <w:snapToGrid w:val="0"/>
      <w:sz w:val="18"/>
      <w:szCs w:val="20"/>
    </w:rPr>
  </w:style>
  <w:style w:type="character" w:customStyle="1" w:styleId="PBACTableFooterChar">
    <w:name w:val="PBAC Table Footer Char"/>
    <w:link w:val="PBACTableFooter"/>
    <w:rsid w:val="00BF72B1"/>
    <w:rPr>
      <w:rFonts w:ascii="Arial Narrow" w:eastAsia="Times New Roman" w:hAnsi="Arial Narrow" w:cs="Arial"/>
      <w:snapToGrid w:val="0"/>
      <w:sz w:val="18"/>
      <w:szCs w:val="20"/>
    </w:rPr>
  </w:style>
  <w:style w:type="paragraph" w:customStyle="1" w:styleId="V50ExecHeading1">
    <w:name w:val="V5.0 Exec Heading 1"/>
    <w:basedOn w:val="Heading1"/>
    <w:qFormat/>
    <w:rsid w:val="00BF72B1"/>
    <w:pPr>
      <w:numPr>
        <w:numId w:val="0"/>
      </w:numPr>
      <w:ind w:left="709" w:hanging="709"/>
    </w:pPr>
    <w:rPr>
      <w:rFonts w:eastAsia="Times New Roman" w:cs="Arial"/>
      <w:snapToGrid w:val="0"/>
    </w:rPr>
  </w:style>
  <w:style w:type="paragraph" w:customStyle="1" w:styleId="V50execlevel2bullet">
    <w:name w:val="V5.0 exec level 2 bullet"/>
    <w:basedOn w:val="ListParagraph"/>
    <w:link w:val="V50execlevel2bulletChar"/>
    <w:qFormat/>
    <w:rsid w:val="00BF72B1"/>
    <w:pPr>
      <w:numPr>
        <w:ilvl w:val="1"/>
        <w:numId w:val="7"/>
      </w:numPr>
      <w:spacing w:before="0" w:after="120"/>
      <w:ind w:left="1434" w:hanging="357"/>
    </w:pPr>
    <w:rPr>
      <w:lang w:val="en-US"/>
    </w:rPr>
  </w:style>
  <w:style w:type="character" w:customStyle="1" w:styleId="V50execlevel2bulletChar">
    <w:name w:val="V5.0 exec level 2 bullet Char"/>
    <w:basedOn w:val="ListParagraphChar"/>
    <w:link w:val="V50execlevel2bullet"/>
    <w:rsid w:val="00BF72B1"/>
    <w:rPr>
      <w:sz w:val="24"/>
      <w:lang w:val="en-US"/>
    </w:rPr>
  </w:style>
  <w:style w:type="table" w:customStyle="1" w:styleId="TableGrid11">
    <w:name w:val="Table Grid11"/>
    <w:basedOn w:val="TableNormal"/>
    <w:uiPriority w:val="59"/>
    <w:rsid w:val="00BF72B1"/>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BF72B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customStyle="1" w:styleId="Heading4Char1">
    <w:name w:val="Heading 4 Char1"/>
    <w:aliases w:val="Heading 1 - Body Char1"/>
    <w:basedOn w:val="DefaultParagraphFont"/>
    <w:uiPriority w:val="5"/>
    <w:semiHidden/>
    <w:rsid w:val="00BF72B1"/>
    <w:rPr>
      <w:rFonts w:asciiTheme="majorHAnsi" w:eastAsiaTheme="majorEastAsia" w:hAnsiTheme="majorHAnsi" w:cstheme="majorBidi"/>
      <w:i/>
      <w:iCs/>
      <w:color w:val="2E74B5" w:themeColor="accent1" w:themeShade="BF"/>
      <w:sz w:val="24"/>
      <w:szCs w:val="22"/>
    </w:rPr>
  </w:style>
  <w:style w:type="character" w:customStyle="1" w:styleId="Heading5Char1">
    <w:name w:val="Heading 5 Char1"/>
    <w:aliases w:val="Heading 2 - Body Char1"/>
    <w:basedOn w:val="DefaultParagraphFont"/>
    <w:uiPriority w:val="7"/>
    <w:semiHidden/>
    <w:rsid w:val="00BF72B1"/>
    <w:rPr>
      <w:rFonts w:asciiTheme="majorHAnsi" w:eastAsiaTheme="majorEastAsia" w:hAnsiTheme="majorHAnsi" w:cstheme="majorBidi"/>
      <w:color w:val="2E74B5" w:themeColor="accent1" w:themeShade="BF"/>
      <w:sz w:val="24"/>
      <w:szCs w:val="22"/>
    </w:rPr>
  </w:style>
  <w:style w:type="character" w:customStyle="1" w:styleId="Heading6Char1">
    <w:name w:val="Heading 6 Char1"/>
    <w:aliases w:val="Heading 3 - Body Char1"/>
    <w:basedOn w:val="DefaultParagraphFont"/>
    <w:uiPriority w:val="7"/>
    <w:semiHidden/>
    <w:rsid w:val="00BF72B1"/>
    <w:rPr>
      <w:rFonts w:asciiTheme="majorHAnsi" w:eastAsiaTheme="majorEastAsia" w:hAnsiTheme="majorHAnsi" w:cstheme="majorBidi"/>
      <w:color w:val="1F4D78" w:themeColor="accent1" w:themeShade="7F"/>
      <w:sz w:val="24"/>
      <w:szCs w:val="22"/>
    </w:rPr>
  </w:style>
  <w:style w:type="paragraph" w:customStyle="1" w:styleId="msonormal0">
    <w:name w:val="msonormal"/>
    <w:basedOn w:val="Normal"/>
    <w:uiPriority w:val="99"/>
    <w:rsid w:val="00BF72B1"/>
    <w:pPr>
      <w:spacing w:before="100" w:after="100"/>
    </w:pPr>
    <w:rPr>
      <w:rFonts w:ascii="Times New Roman" w:eastAsia="Times New Roman" w:hAnsi="Times New Roman" w:cs="Times New Roman"/>
      <w:szCs w:val="20"/>
      <w:lang w:val="en-GB"/>
    </w:rPr>
  </w:style>
  <w:style w:type="character" w:customStyle="1" w:styleId="Heading9Char1">
    <w:name w:val="Heading 9 Char1"/>
    <w:aliases w:val="Section heading - Body Char1"/>
    <w:basedOn w:val="DefaultParagraphFont"/>
    <w:uiPriority w:val="7"/>
    <w:semiHidden/>
    <w:rsid w:val="00BF72B1"/>
    <w:rPr>
      <w:rFonts w:asciiTheme="majorHAnsi" w:eastAsiaTheme="majorEastAsia" w:hAnsiTheme="majorHAnsi" w:cstheme="majorBidi"/>
      <w:i/>
      <w:iCs/>
      <w:color w:val="272727" w:themeColor="text1" w:themeTint="D8"/>
      <w:sz w:val="21"/>
      <w:szCs w:val="21"/>
    </w:rPr>
  </w:style>
  <w:style w:type="character" w:customStyle="1" w:styleId="HeaderChar1">
    <w:name w:val="Header Char1"/>
    <w:aliases w:val="Page Header Char1,Header title Char1,he=header Char1,cntr/bld Char1"/>
    <w:basedOn w:val="DefaultParagraphFont"/>
    <w:uiPriority w:val="99"/>
    <w:semiHidden/>
    <w:rsid w:val="00BF72B1"/>
    <w:rPr>
      <w:sz w:val="24"/>
    </w:rPr>
  </w:style>
  <w:style w:type="paragraph" w:customStyle="1" w:styleId="m-5279696091434399395tabletext">
    <w:name w:val="m_-5279696091434399395tabletext"/>
    <w:basedOn w:val="Normal"/>
    <w:rsid w:val="00BF72B1"/>
    <w:pPr>
      <w:spacing w:before="100" w:beforeAutospacing="1" w:after="100" w:afterAutospacing="1"/>
    </w:pPr>
    <w:rPr>
      <w:rFonts w:ascii="Times New Roman" w:hAnsi="Times New Roman" w:cs="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qFormat="1"/>
    <w:lsdException w:name="Title" w:semiHidden="0" w:uiPriority="7" w:unhideWhenUsed="0" w:qFormat="1"/>
    <w:lsdException w:name="Default Paragraph Font" w:uiPriority="1"/>
    <w:lsdException w:name="Body Text"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aliases w:val="V5.0 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aliases w:val="V5.0 Exec Heading 2(no numbers)"/>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5.0 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aliases w:val="V5.0 Exec Heading 2(no numbers)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V5.0 Exec bullet List 1"/>
    <w:basedOn w:val="Normal"/>
    <w:link w:val="ListParagraphChar"/>
    <w:uiPriority w:val="34"/>
    <w:qFormat/>
    <w:rsid w:val="0095170D"/>
    <w:pPr>
      <w:ind w:left="720"/>
    </w:pPr>
  </w:style>
  <w:style w:type="paragraph" w:customStyle="1" w:styleId="V50Heading2nonumbers">
    <w:name w:val="V5.0 Heading 2 no numbers"/>
    <w:basedOn w:val="Heading2"/>
    <w:uiPriority w:val="99"/>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uiPriority w:val="99"/>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uiPriority w:val="99"/>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uiPriority w:val="99"/>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uiPriority w:val="99"/>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uiPriority w:val="99"/>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qFormat/>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qFormat/>
    <w:rsid w:val="00C846BE"/>
    <w:rPr>
      <w:rFonts w:ascii="Arial Narrow" w:eastAsia="Times New Roman" w:hAnsi="Arial Narrow" w:cs="Arial"/>
      <w:snapToGrid w:val="0"/>
      <w:sz w:val="18"/>
      <w:szCs w:val="20"/>
    </w:rPr>
  </w:style>
  <w:style w:type="paragraph" w:customStyle="1" w:styleId="TableNotes">
    <w:name w:val="TableNotes"/>
    <w:basedOn w:val="Normal"/>
    <w:uiPriority w:val="99"/>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aliases w:val="PBAC blue text"/>
    <w:basedOn w:val="Normal"/>
    <w:link w:val="BodyTextChar"/>
    <w:uiPriority w:val="99"/>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aliases w:val="PBAC blue text Char"/>
    <w:basedOn w:val="DefaultParagraphFont"/>
    <w:link w:val="BodyText"/>
    <w:uiPriority w:val="99"/>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5"/>
      </w:numPr>
      <w:spacing w:before="200" w:after="120" w:line="240" w:lineRule="auto"/>
    </w:pPr>
    <w:rPr>
      <w:rFonts w:ascii="Arial" w:eastAsia="Times New Roman" w:hAnsi="Arial" w:cs="Arial"/>
      <w:b/>
      <w:snapToGrid w:val="0"/>
    </w:rPr>
  </w:style>
  <w:style w:type="paragraph" w:customStyle="1" w:styleId="Style1">
    <w:name w:val="Style1"/>
    <w:basedOn w:val="Normal"/>
    <w:uiPriority w:val="99"/>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uiPriority w:val="99"/>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V5.0 Exec bullet List 1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uiPriority w:val="99"/>
    <w:qFormat/>
    <w:rsid w:val="00E46AC9"/>
    <w:pPr>
      <w:numPr>
        <w:numId w:val="4"/>
      </w:numPr>
      <w:spacing w:before="0" w:after="240"/>
      <w:ind w:left="357" w:hanging="357"/>
    </w:pPr>
    <w:rPr>
      <w:sz w:val="22"/>
    </w:rPr>
  </w:style>
  <w:style w:type="paragraph" w:customStyle="1" w:styleId="TableFigNote">
    <w:name w:val="TableFigNote"/>
    <w:basedOn w:val="Normal"/>
    <w:uiPriority w:val="99"/>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uiPriority w:val="99"/>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uiPriority w:val="99"/>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D238C1"/>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238C1"/>
    <w:rPr>
      <w:rFonts w:ascii="Lucida Grande" w:hAnsi="Lucida Grande" w:cs="Lucida Grande"/>
      <w:sz w:val="24"/>
      <w:szCs w:val="24"/>
    </w:rPr>
  </w:style>
  <w:style w:type="character" w:customStyle="1" w:styleId="TableTextChar">
    <w:name w:val="Table Text Char"/>
    <w:link w:val="TableText"/>
    <w:locked/>
    <w:rsid w:val="00BF72B1"/>
    <w:rPr>
      <w:rFonts w:ascii="Arial Narrow" w:hAnsi="Arial Narrow"/>
      <w:sz w:val="20"/>
    </w:rPr>
  </w:style>
  <w:style w:type="paragraph" w:customStyle="1" w:styleId="PBACTableText">
    <w:name w:val="PBAC Table Text"/>
    <w:basedOn w:val="Normal"/>
    <w:rsid w:val="00BF72B1"/>
    <w:pPr>
      <w:keepNext/>
      <w:spacing w:before="40" w:after="40"/>
    </w:pPr>
    <w:rPr>
      <w:rFonts w:ascii="Arial Narrow" w:hAnsi="Arial Narrow"/>
      <w:sz w:val="20"/>
    </w:rPr>
  </w:style>
  <w:style w:type="paragraph" w:customStyle="1" w:styleId="Tableheading1">
    <w:name w:val="Table heading"/>
    <w:basedOn w:val="Normal"/>
    <w:link w:val="TableheadingChar"/>
    <w:rsid w:val="00BF72B1"/>
    <w:pPr>
      <w:keepNext/>
      <w:keepLines/>
      <w:spacing w:before="60" w:after="60"/>
    </w:pPr>
    <w:rPr>
      <w:rFonts w:ascii="Arial Narrow" w:eastAsia="Times New Roman" w:hAnsi="Arial Narrow" w:cs="Times New Roman"/>
      <w:b/>
      <w:sz w:val="20"/>
      <w:szCs w:val="20"/>
    </w:rPr>
  </w:style>
  <w:style w:type="character" w:customStyle="1" w:styleId="TableheadingChar">
    <w:name w:val="Table heading Char"/>
    <w:link w:val="Tableheading1"/>
    <w:locked/>
    <w:rsid w:val="00BF72B1"/>
    <w:rPr>
      <w:rFonts w:ascii="Arial Narrow" w:eastAsia="Times New Roman" w:hAnsi="Arial Narrow" w:cs="Times New Roman"/>
      <w:b/>
      <w:sz w:val="20"/>
      <w:szCs w:val="20"/>
    </w:rPr>
  </w:style>
  <w:style w:type="table" w:customStyle="1" w:styleId="GridTable1Light1">
    <w:name w:val="Grid Table 1 Light1"/>
    <w:basedOn w:val="TableNormal"/>
    <w:uiPriority w:val="46"/>
    <w:rsid w:val="00BF72B1"/>
    <w:pPr>
      <w:spacing w:after="0" w:line="240" w:lineRule="auto"/>
    </w:pPr>
    <w:rPr>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customStyle="1" w:styleId="TableHead">
    <w:name w:val="Table Head"/>
    <w:basedOn w:val="TableText1"/>
    <w:qFormat/>
    <w:rsid w:val="00BF72B1"/>
    <w:pPr>
      <w:widowControl w:val="0"/>
      <w:adjustRightInd w:val="0"/>
      <w:spacing w:before="60" w:after="60"/>
      <w:textAlignment w:val="baseline"/>
    </w:pPr>
    <w:rPr>
      <w:rFonts w:eastAsia="SimSun" w:cs="Times New Roman"/>
      <w:b/>
      <w:lang w:eastAsia="en-AU"/>
    </w:rPr>
  </w:style>
  <w:style w:type="paragraph" w:customStyle="1" w:styleId="EndNoteBibliography">
    <w:name w:val="EndNote Bibliography"/>
    <w:basedOn w:val="Normal"/>
    <w:link w:val="EndNoteBibliographyChar"/>
    <w:locked/>
    <w:rsid w:val="00BF72B1"/>
    <w:pPr>
      <w:spacing w:before="0"/>
    </w:pPr>
    <w:rPr>
      <w:rFonts w:ascii="Arial" w:hAnsi="Arial" w:cs="Arial"/>
      <w:noProof/>
      <w:sz w:val="22"/>
      <w:lang w:val="en-US"/>
    </w:rPr>
  </w:style>
  <w:style w:type="character" w:customStyle="1" w:styleId="EndNoteBibliographyChar">
    <w:name w:val="EndNote Bibliography Char"/>
    <w:basedOn w:val="DefaultParagraphFont"/>
    <w:link w:val="EndNoteBibliography"/>
    <w:rsid w:val="00BF72B1"/>
    <w:rPr>
      <w:rFonts w:ascii="Arial" w:hAnsi="Arial" w:cs="Arial"/>
      <w:noProof/>
      <w:lang w:val="en-US"/>
    </w:rPr>
  </w:style>
  <w:style w:type="table" w:customStyle="1" w:styleId="TableGridbeth1">
    <w:name w:val="Table Gridbeth1"/>
    <w:basedOn w:val="TableNormal"/>
    <w:next w:val="TableGrid"/>
    <w:uiPriority w:val="59"/>
    <w:rsid w:val="00BF72B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1">
    <w:name w:val="Table Grid1"/>
    <w:basedOn w:val="TableNormal"/>
    <w:uiPriority w:val="59"/>
    <w:rsid w:val="00BF72B1"/>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link w:val="TablefootnoteChar"/>
    <w:qFormat/>
    <w:rsid w:val="00BF72B1"/>
    <w:pPr>
      <w:keepNext/>
      <w:keepLines/>
      <w:spacing w:before="0" w:after="360"/>
      <w:contextualSpacing/>
    </w:pPr>
    <w:rPr>
      <w:rFonts w:ascii="Arial Narrow" w:eastAsia="Times New Roman" w:hAnsi="Arial Narrow" w:cs="Times New Roman"/>
      <w:sz w:val="18"/>
    </w:rPr>
  </w:style>
  <w:style w:type="character" w:customStyle="1" w:styleId="TablefootnoteChar">
    <w:name w:val="Table footnote Char"/>
    <w:basedOn w:val="DefaultParagraphFont"/>
    <w:link w:val="Tablefootnote"/>
    <w:rsid w:val="00BF72B1"/>
    <w:rPr>
      <w:rFonts w:ascii="Arial Narrow" w:eastAsia="Times New Roman" w:hAnsi="Arial Narrow" w:cs="Times New Roman"/>
      <w:sz w:val="18"/>
    </w:rPr>
  </w:style>
  <w:style w:type="character" w:customStyle="1" w:styleId="BodyText1Char">
    <w:name w:val="Body Text1 Char"/>
    <w:link w:val="BodyText1"/>
    <w:locked/>
    <w:rsid w:val="00BF72B1"/>
    <w:rPr>
      <w:rFonts w:cstheme="minorHAnsi"/>
      <w:b/>
      <w:i/>
      <w:sz w:val="24"/>
      <w:lang w:val="en-US" w:eastAsia="en-GB"/>
    </w:rPr>
  </w:style>
  <w:style w:type="paragraph" w:customStyle="1" w:styleId="BodyText1">
    <w:name w:val="Body Text1"/>
    <w:basedOn w:val="Normal"/>
    <w:link w:val="BodyText1Char"/>
    <w:autoRedefine/>
    <w:qFormat/>
    <w:rsid w:val="00BF72B1"/>
    <w:pPr>
      <w:widowControl w:val="0"/>
      <w:spacing w:after="120" w:line="276" w:lineRule="auto"/>
      <w:jc w:val="both"/>
    </w:pPr>
    <w:rPr>
      <w:rFonts w:cstheme="minorHAnsi"/>
      <w:b/>
      <w:i/>
      <w:lang w:val="en-US" w:eastAsia="en-GB"/>
    </w:rPr>
  </w:style>
  <w:style w:type="table" w:customStyle="1" w:styleId="PlainTable22">
    <w:name w:val="Plain Table 22"/>
    <w:basedOn w:val="TableNormal"/>
    <w:uiPriority w:val="42"/>
    <w:rsid w:val="00BF72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Note">
    <w:name w:val="Table Note"/>
    <w:basedOn w:val="Normal"/>
    <w:link w:val="TableNoteChar"/>
    <w:qFormat/>
    <w:rsid w:val="00BF72B1"/>
    <w:pPr>
      <w:keepNext/>
      <w:keepLines/>
      <w:spacing w:before="0" w:after="360"/>
      <w:contextualSpacing/>
    </w:pPr>
    <w:rPr>
      <w:rFonts w:ascii="Arial" w:eastAsia="Calibri" w:hAnsi="Arial" w:cs="Arial"/>
      <w:sz w:val="16"/>
    </w:rPr>
  </w:style>
  <w:style w:type="character" w:customStyle="1" w:styleId="TableNoteChar">
    <w:name w:val="Table Note Char"/>
    <w:link w:val="TableNote"/>
    <w:rsid w:val="00BF72B1"/>
    <w:rPr>
      <w:rFonts w:ascii="Arial" w:eastAsia="Calibri" w:hAnsi="Arial" w:cs="Arial"/>
      <w:sz w:val="16"/>
    </w:rPr>
  </w:style>
  <w:style w:type="paragraph" w:customStyle="1" w:styleId="TableNotes1">
    <w:name w:val="Table Notes"/>
    <w:basedOn w:val="Normal"/>
    <w:next w:val="Normal"/>
    <w:autoRedefine/>
    <w:uiPriority w:val="99"/>
    <w:qFormat/>
    <w:rsid w:val="00BF72B1"/>
    <w:pPr>
      <w:widowControl w:val="0"/>
      <w:spacing w:before="0" w:after="360"/>
      <w:contextualSpacing/>
    </w:pPr>
    <w:rPr>
      <w:rFonts w:ascii="Arial" w:eastAsia="Times New Roman" w:hAnsi="Arial" w:cs="Times New Roman"/>
      <w:sz w:val="16"/>
      <w:szCs w:val="24"/>
      <w:lang w:eastAsia="en-AU"/>
    </w:rPr>
  </w:style>
  <w:style w:type="numbering" w:customStyle="1" w:styleId="NoList1">
    <w:name w:val="No List1"/>
    <w:next w:val="NoList"/>
    <w:uiPriority w:val="99"/>
    <w:semiHidden/>
    <w:unhideWhenUsed/>
    <w:rsid w:val="00BF72B1"/>
  </w:style>
  <w:style w:type="table" w:customStyle="1" w:styleId="TableGridbeth2">
    <w:name w:val="Table Gridbeth2"/>
    <w:basedOn w:val="TableNormal"/>
    <w:next w:val="TableGrid"/>
    <w:uiPriority w:val="59"/>
    <w:rsid w:val="00BF72B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BF72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BF72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BACTableHeading">
    <w:name w:val="PBAC Table Heading"/>
    <w:basedOn w:val="Normal"/>
    <w:rsid w:val="00BF72B1"/>
    <w:pPr>
      <w:keepNext/>
      <w:spacing w:before="0" w:after="60"/>
    </w:pPr>
    <w:rPr>
      <w:rFonts w:ascii="Arial Narrow" w:hAnsi="Arial Narrow"/>
      <w:b/>
      <w:sz w:val="20"/>
    </w:rPr>
  </w:style>
  <w:style w:type="paragraph" w:customStyle="1" w:styleId="PBACTableFooter">
    <w:name w:val="PBAC Table Footer"/>
    <w:basedOn w:val="Normal"/>
    <w:link w:val="PBACTableFooterChar"/>
    <w:rsid w:val="00BF72B1"/>
    <w:pPr>
      <w:widowControl w:val="0"/>
      <w:spacing w:before="0" w:after="120"/>
      <w:contextualSpacing/>
      <w:jc w:val="both"/>
    </w:pPr>
    <w:rPr>
      <w:rFonts w:ascii="Arial Narrow" w:eastAsia="Times New Roman" w:hAnsi="Arial Narrow" w:cs="Arial"/>
      <w:snapToGrid w:val="0"/>
      <w:sz w:val="18"/>
      <w:szCs w:val="20"/>
    </w:rPr>
  </w:style>
  <w:style w:type="character" w:customStyle="1" w:styleId="PBACTableFooterChar">
    <w:name w:val="PBAC Table Footer Char"/>
    <w:link w:val="PBACTableFooter"/>
    <w:rsid w:val="00BF72B1"/>
    <w:rPr>
      <w:rFonts w:ascii="Arial Narrow" w:eastAsia="Times New Roman" w:hAnsi="Arial Narrow" w:cs="Arial"/>
      <w:snapToGrid w:val="0"/>
      <w:sz w:val="18"/>
      <w:szCs w:val="20"/>
    </w:rPr>
  </w:style>
  <w:style w:type="paragraph" w:customStyle="1" w:styleId="V50ExecHeading1">
    <w:name w:val="V5.0 Exec Heading 1"/>
    <w:basedOn w:val="Heading1"/>
    <w:qFormat/>
    <w:rsid w:val="00BF72B1"/>
    <w:pPr>
      <w:numPr>
        <w:numId w:val="0"/>
      </w:numPr>
      <w:ind w:left="709" w:hanging="709"/>
    </w:pPr>
    <w:rPr>
      <w:rFonts w:eastAsia="Times New Roman" w:cs="Arial"/>
      <w:snapToGrid w:val="0"/>
    </w:rPr>
  </w:style>
  <w:style w:type="paragraph" w:customStyle="1" w:styleId="V50execlevel2bullet">
    <w:name w:val="V5.0 exec level 2 bullet"/>
    <w:basedOn w:val="ListParagraph"/>
    <w:link w:val="V50execlevel2bulletChar"/>
    <w:qFormat/>
    <w:rsid w:val="00BF72B1"/>
    <w:pPr>
      <w:numPr>
        <w:ilvl w:val="1"/>
        <w:numId w:val="7"/>
      </w:numPr>
      <w:spacing w:before="0" w:after="120"/>
      <w:ind w:left="1434" w:hanging="357"/>
    </w:pPr>
    <w:rPr>
      <w:lang w:val="en-US"/>
    </w:rPr>
  </w:style>
  <w:style w:type="character" w:customStyle="1" w:styleId="V50execlevel2bulletChar">
    <w:name w:val="V5.0 exec level 2 bullet Char"/>
    <w:basedOn w:val="ListParagraphChar"/>
    <w:link w:val="V50execlevel2bullet"/>
    <w:rsid w:val="00BF72B1"/>
    <w:rPr>
      <w:sz w:val="24"/>
      <w:lang w:val="en-US"/>
    </w:rPr>
  </w:style>
  <w:style w:type="table" w:customStyle="1" w:styleId="TableGrid11">
    <w:name w:val="Table Grid11"/>
    <w:basedOn w:val="TableNormal"/>
    <w:uiPriority w:val="59"/>
    <w:rsid w:val="00BF72B1"/>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BF72B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customStyle="1" w:styleId="Heading4Char1">
    <w:name w:val="Heading 4 Char1"/>
    <w:aliases w:val="Heading 1 - Body Char1"/>
    <w:basedOn w:val="DefaultParagraphFont"/>
    <w:uiPriority w:val="5"/>
    <w:semiHidden/>
    <w:rsid w:val="00BF72B1"/>
    <w:rPr>
      <w:rFonts w:asciiTheme="majorHAnsi" w:eastAsiaTheme="majorEastAsia" w:hAnsiTheme="majorHAnsi" w:cstheme="majorBidi"/>
      <w:i/>
      <w:iCs/>
      <w:color w:val="2E74B5" w:themeColor="accent1" w:themeShade="BF"/>
      <w:sz w:val="24"/>
      <w:szCs w:val="22"/>
    </w:rPr>
  </w:style>
  <w:style w:type="character" w:customStyle="1" w:styleId="Heading5Char1">
    <w:name w:val="Heading 5 Char1"/>
    <w:aliases w:val="Heading 2 - Body Char1"/>
    <w:basedOn w:val="DefaultParagraphFont"/>
    <w:uiPriority w:val="7"/>
    <w:semiHidden/>
    <w:rsid w:val="00BF72B1"/>
    <w:rPr>
      <w:rFonts w:asciiTheme="majorHAnsi" w:eastAsiaTheme="majorEastAsia" w:hAnsiTheme="majorHAnsi" w:cstheme="majorBidi"/>
      <w:color w:val="2E74B5" w:themeColor="accent1" w:themeShade="BF"/>
      <w:sz w:val="24"/>
      <w:szCs w:val="22"/>
    </w:rPr>
  </w:style>
  <w:style w:type="character" w:customStyle="1" w:styleId="Heading6Char1">
    <w:name w:val="Heading 6 Char1"/>
    <w:aliases w:val="Heading 3 - Body Char1"/>
    <w:basedOn w:val="DefaultParagraphFont"/>
    <w:uiPriority w:val="7"/>
    <w:semiHidden/>
    <w:rsid w:val="00BF72B1"/>
    <w:rPr>
      <w:rFonts w:asciiTheme="majorHAnsi" w:eastAsiaTheme="majorEastAsia" w:hAnsiTheme="majorHAnsi" w:cstheme="majorBidi"/>
      <w:color w:val="1F4D78" w:themeColor="accent1" w:themeShade="7F"/>
      <w:sz w:val="24"/>
      <w:szCs w:val="22"/>
    </w:rPr>
  </w:style>
  <w:style w:type="paragraph" w:customStyle="1" w:styleId="msonormal0">
    <w:name w:val="msonormal"/>
    <w:basedOn w:val="Normal"/>
    <w:uiPriority w:val="99"/>
    <w:rsid w:val="00BF72B1"/>
    <w:pPr>
      <w:spacing w:before="100" w:after="100"/>
    </w:pPr>
    <w:rPr>
      <w:rFonts w:ascii="Times New Roman" w:eastAsia="Times New Roman" w:hAnsi="Times New Roman" w:cs="Times New Roman"/>
      <w:szCs w:val="20"/>
      <w:lang w:val="en-GB"/>
    </w:rPr>
  </w:style>
  <w:style w:type="character" w:customStyle="1" w:styleId="Heading9Char1">
    <w:name w:val="Heading 9 Char1"/>
    <w:aliases w:val="Section heading - Body Char1"/>
    <w:basedOn w:val="DefaultParagraphFont"/>
    <w:uiPriority w:val="7"/>
    <w:semiHidden/>
    <w:rsid w:val="00BF72B1"/>
    <w:rPr>
      <w:rFonts w:asciiTheme="majorHAnsi" w:eastAsiaTheme="majorEastAsia" w:hAnsiTheme="majorHAnsi" w:cstheme="majorBidi"/>
      <w:i/>
      <w:iCs/>
      <w:color w:val="272727" w:themeColor="text1" w:themeTint="D8"/>
      <w:sz w:val="21"/>
      <w:szCs w:val="21"/>
    </w:rPr>
  </w:style>
  <w:style w:type="character" w:customStyle="1" w:styleId="HeaderChar1">
    <w:name w:val="Header Char1"/>
    <w:aliases w:val="Page Header Char1,Header title Char1,he=header Char1,cntr/bld Char1"/>
    <w:basedOn w:val="DefaultParagraphFont"/>
    <w:uiPriority w:val="99"/>
    <w:semiHidden/>
    <w:rsid w:val="00BF72B1"/>
    <w:rPr>
      <w:sz w:val="24"/>
    </w:rPr>
  </w:style>
  <w:style w:type="paragraph" w:customStyle="1" w:styleId="m-5279696091434399395tabletext">
    <w:name w:val="m_-5279696091434399395tabletext"/>
    <w:basedOn w:val="Normal"/>
    <w:rsid w:val="00BF72B1"/>
    <w:pPr>
      <w:spacing w:before="100" w:beforeAutospacing="1" w:after="100" w:afterAutospacing="1"/>
    </w:pPr>
    <w:rPr>
      <w:rFonts w:ascii="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85893384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600141737">
      <w:bodyDiv w:val="1"/>
      <w:marLeft w:val="0"/>
      <w:marRight w:val="0"/>
      <w:marTop w:val="0"/>
      <w:marBottom w:val="0"/>
      <w:divBdr>
        <w:top w:val="none" w:sz="0" w:space="0" w:color="auto"/>
        <w:left w:val="none" w:sz="0" w:space="0" w:color="auto"/>
        <w:bottom w:val="none" w:sz="0" w:space="0" w:color="auto"/>
        <w:right w:val="none" w:sz="0" w:space="0" w:color="auto"/>
      </w:divBdr>
    </w:div>
    <w:div w:id="1913080509">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3420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842A-48B3-4231-A39A-863B9421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7278</Words>
  <Characters>41490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2018-04-04T07:22:00Z</dcterms:created>
  <dcterms:modified xsi:type="dcterms:W3CDTF">2018-04-04T07:36:00Z</dcterms:modified>
</cp:coreProperties>
</file>