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Default="0036112F" w:rsidP="00653C98">
      <w:pPr>
        <w:pStyle w:val="V50Heading1nonumbers"/>
        <w:spacing w:after="240"/>
        <w:ind w:left="720" w:hanging="720"/>
        <w:jc w:val="left"/>
        <w:rPr>
          <w:sz w:val="36"/>
          <w:szCs w:val="36"/>
        </w:rPr>
      </w:pPr>
      <w:r>
        <w:rPr>
          <w:sz w:val="36"/>
          <w:szCs w:val="36"/>
        </w:rPr>
        <w:t>5</w:t>
      </w:r>
      <w:r w:rsidR="00C317F3" w:rsidRPr="00BE7FA1">
        <w:rPr>
          <w:sz w:val="36"/>
          <w:szCs w:val="36"/>
        </w:rPr>
        <w:t>.</w:t>
      </w:r>
      <w:r w:rsidR="00A0197F" w:rsidRPr="00BE7FA1">
        <w:rPr>
          <w:sz w:val="36"/>
          <w:szCs w:val="36"/>
        </w:rPr>
        <w:t>02</w:t>
      </w:r>
      <w:r w:rsidR="00C317F3" w:rsidRPr="00BE7FA1">
        <w:rPr>
          <w:sz w:val="36"/>
          <w:szCs w:val="36"/>
        </w:rPr>
        <w:tab/>
      </w:r>
      <w:r w:rsidR="004A52D5" w:rsidRPr="00BE7FA1">
        <w:rPr>
          <w:sz w:val="36"/>
          <w:szCs w:val="36"/>
        </w:rPr>
        <w:t>CABOZANTINIB</w:t>
      </w:r>
      <w:r w:rsidR="00C317F3" w:rsidRPr="00BE7FA1">
        <w:rPr>
          <w:sz w:val="36"/>
          <w:szCs w:val="36"/>
        </w:rPr>
        <w:t>,</w:t>
      </w:r>
      <w:r w:rsidR="009D4C2A" w:rsidRPr="00BE7FA1">
        <w:rPr>
          <w:sz w:val="36"/>
          <w:szCs w:val="36"/>
        </w:rPr>
        <w:br/>
      </w:r>
      <w:r w:rsidR="004A52D5" w:rsidRPr="00BE7FA1">
        <w:rPr>
          <w:sz w:val="36"/>
          <w:szCs w:val="36"/>
        </w:rPr>
        <w:t xml:space="preserve">Tablet </w:t>
      </w:r>
      <w:r w:rsidR="0010255F" w:rsidRPr="00BE7FA1">
        <w:rPr>
          <w:sz w:val="36"/>
          <w:szCs w:val="36"/>
        </w:rPr>
        <w:t>20 mg, 40 mg and 60 mg</w:t>
      </w:r>
      <w:r w:rsidR="00C317F3" w:rsidRPr="00BE7FA1">
        <w:rPr>
          <w:sz w:val="36"/>
          <w:szCs w:val="36"/>
        </w:rPr>
        <w:t xml:space="preserve">, </w:t>
      </w:r>
      <w:r w:rsidR="009D4C2A" w:rsidRPr="00BE7FA1">
        <w:rPr>
          <w:sz w:val="36"/>
          <w:szCs w:val="36"/>
        </w:rPr>
        <w:br/>
      </w:r>
      <w:proofErr w:type="spellStart"/>
      <w:r w:rsidR="0010255F" w:rsidRPr="00BE7FA1">
        <w:rPr>
          <w:sz w:val="36"/>
          <w:szCs w:val="36"/>
        </w:rPr>
        <w:t>Cabometyx</w:t>
      </w:r>
      <w:proofErr w:type="spellEnd"/>
      <w:r w:rsidR="00C317F3" w:rsidRPr="00BE7FA1">
        <w:rPr>
          <w:sz w:val="36"/>
          <w:szCs w:val="36"/>
        </w:rPr>
        <w:t xml:space="preserve">®, </w:t>
      </w:r>
      <w:proofErr w:type="spellStart"/>
      <w:r w:rsidR="00653C98">
        <w:rPr>
          <w:sz w:val="36"/>
          <w:szCs w:val="36"/>
        </w:rPr>
        <w:t>Ipsen</w:t>
      </w:r>
      <w:proofErr w:type="spellEnd"/>
      <w:r w:rsidR="00653C98">
        <w:rPr>
          <w:sz w:val="36"/>
          <w:szCs w:val="36"/>
        </w:rPr>
        <w:t xml:space="preserve"> Pty Ltd</w:t>
      </w:r>
    </w:p>
    <w:p w:rsidR="00C317F3" w:rsidRPr="00BE7FA1" w:rsidRDefault="00C317F3" w:rsidP="00D810AA">
      <w:pPr>
        <w:pStyle w:val="Heading1"/>
        <w:spacing w:before="0"/>
        <w:ind w:left="709" w:hanging="709"/>
      </w:pPr>
      <w:bookmarkStart w:id="0" w:name="_Toc413139271"/>
      <w:bookmarkStart w:id="1" w:name="_Toc497314996"/>
      <w:r w:rsidRPr="00BE7FA1">
        <w:t xml:space="preserve">Purpose of </w:t>
      </w:r>
      <w:r w:rsidR="00661286" w:rsidRPr="00BE7FA1">
        <w:t>a</w:t>
      </w:r>
      <w:r w:rsidRPr="00BE7FA1">
        <w:t>pplication</w:t>
      </w:r>
      <w:bookmarkEnd w:id="0"/>
      <w:bookmarkEnd w:id="1"/>
    </w:p>
    <w:p w:rsidR="00C317F3" w:rsidRPr="00BE7FA1" w:rsidRDefault="00B567AD" w:rsidP="00A832C9">
      <w:pPr>
        <w:pStyle w:val="ListParagraph"/>
        <w:numPr>
          <w:ilvl w:val="1"/>
          <w:numId w:val="4"/>
        </w:numPr>
        <w:spacing w:before="0" w:after="120"/>
      </w:pPr>
      <w:r w:rsidRPr="00BE7FA1">
        <w:t>The submission requested a Section 85, Authority Required (Streamlined), listing of cabozantinib for treatment of patients with Stage IV (unresectable) clear cell variant renal cell carcinoma (RCC), who have progressive disease following first-line treatment with a tyrosine kinase inhibitor (TKI). This submission had not previously been considered by the PBAC.</w:t>
      </w:r>
      <w:r w:rsidR="00F419C5" w:rsidRPr="00BE7FA1">
        <w:t xml:space="preserve"> </w:t>
      </w:r>
    </w:p>
    <w:p w:rsidR="00F44EFB" w:rsidRPr="00BE7FA1" w:rsidRDefault="00B567AD" w:rsidP="00A832C9">
      <w:pPr>
        <w:pStyle w:val="ListParagraph"/>
        <w:numPr>
          <w:ilvl w:val="1"/>
          <w:numId w:val="4"/>
        </w:numPr>
        <w:spacing w:before="0" w:after="120"/>
        <w:rPr>
          <w:color w:val="000000" w:themeColor="text1"/>
        </w:rPr>
      </w:pPr>
      <w:r w:rsidRPr="00BE7FA1">
        <w:rPr>
          <w:color w:val="000000" w:themeColor="text1"/>
        </w:rPr>
        <w:t xml:space="preserve">The </w:t>
      </w:r>
      <w:r w:rsidR="00BC7370" w:rsidRPr="00BE7FA1">
        <w:rPr>
          <w:color w:val="000000" w:themeColor="text1"/>
        </w:rPr>
        <w:t>submission</w:t>
      </w:r>
      <w:r w:rsidRPr="00BE7FA1">
        <w:rPr>
          <w:color w:val="000000" w:themeColor="text1"/>
        </w:rPr>
        <w:t xml:space="preserve"> </w:t>
      </w:r>
      <w:r w:rsidR="00FD5F95" w:rsidRPr="00BE7FA1">
        <w:rPr>
          <w:color w:val="000000" w:themeColor="text1"/>
        </w:rPr>
        <w:t>presented</w:t>
      </w:r>
      <w:r w:rsidRPr="00BE7FA1">
        <w:rPr>
          <w:color w:val="000000" w:themeColor="text1"/>
        </w:rPr>
        <w:t xml:space="preserve"> a cos</w:t>
      </w:r>
      <w:r w:rsidR="00127C33" w:rsidRPr="00BE7FA1">
        <w:rPr>
          <w:color w:val="000000" w:themeColor="text1"/>
        </w:rPr>
        <w:t>t</w:t>
      </w:r>
      <w:r w:rsidRPr="00BE7FA1">
        <w:rPr>
          <w:color w:val="000000" w:themeColor="text1"/>
        </w:rPr>
        <w:t xml:space="preserve">-effectiveness analysis of cabozantinib compared with everolimus, and </w:t>
      </w:r>
      <w:r w:rsidR="00127C33" w:rsidRPr="00BE7FA1">
        <w:rPr>
          <w:color w:val="000000" w:themeColor="text1"/>
        </w:rPr>
        <w:t xml:space="preserve">both a cost-effectiveness analysis and </w:t>
      </w:r>
      <w:r w:rsidRPr="00BE7FA1">
        <w:rPr>
          <w:color w:val="000000" w:themeColor="text1"/>
        </w:rPr>
        <w:t xml:space="preserve">a </w:t>
      </w:r>
      <w:r w:rsidR="00127C33" w:rsidRPr="00BE7FA1">
        <w:rPr>
          <w:color w:val="000000" w:themeColor="text1"/>
        </w:rPr>
        <w:t>cost-minimisation analysis of cabozantinib compared with nivolumab.</w:t>
      </w:r>
      <w:r w:rsidRPr="00BE7FA1">
        <w:rPr>
          <w:color w:val="000000" w:themeColor="text1"/>
        </w:rPr>
        <w:t xml:space="preserve"> </w:t>
      </w:r>
      <w:bookmarkStart w:id="2" w:name="_GoBack"/>
      <w:bookmarkEnd w:id="2"/>
    </w:p>
    <w:p w:rsidR="00653C98" w:rsidRPr="00653C98" w:rsidRDefault="00653C98" w:rsidP="00653C98">
      <w:pPr>
        <w:pStyle w:val="Caption"/>
        <w:rPr>
          <w:rFonts w:ascii="Arial Narrow" w:hAnsi="Arial Narrow"/>
        </w:rPr>
      </w:pPr>
      <w:r w:rsidRPr="00653C98">
        <w:rPr>
          <w:rFonts w:ascii="Arial Narrow" w:hAnsi="Arial Narrow"/>
        </w:rPr>
        <w:t xml:space="preserve">Table </w:t>
      </w:r>
      <w:r w:rsidRPr="00653C98">
        <w:rPr>
          <w:rFonts w:ascii="Arial Narrow" w:hAnsi="Arial Narrow"/>
        </w:rPr>
        <w:fldChar w:fldCharType="begin"/>
      </w:r>
      <w:r w:rsidRPr="00653C98">
        <w:rPr>
          <w:rFonts w:ascii="Arial Narrow" w:hAnsi="Arial Narrow"/>
        </w:rPr>
        <w:instrText xml:space="preserve"> SEQ Table \* ARABIC </w:instrText>
      </w:r>
      <w:r w:rsidRPr="00653C98">
        <w:rPr>
          <w:rFonts w:ascii="Arial Narrow" w:hAnsi="Arial Narrow"/>
        </w:rPr>
        <w:fldChar w:fldCharType="separate"/>
      </w:r>
      <w:r w:rsidR="00C73538">
        <w:rPr>
          <w:rFonts w:ascii="Arial Narrow" w:hAnsi="Arial Narrow"/>
          <w:noProof/>
        </w:rPr>
        <w:t>1</w:t>
      </w:r>
      <w:r w:rsidRPr="00653C98">
        <w:rPr>
          <w:rFonts w:ascii="Arial Narrow" w:hAnsi="Arial Narrow"/>
        </w:rPr>
        <w:fldChar w:fldCharType="end"/>
      </w:r>
      <w:r w:rsidRPr="00653C98">
        <w:rPr>
          <w:rFonts w:ascii="Arial Narrow" w:hAnsi="Arial Narrow"/>
        </w:rPr>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Description w:val="Population, Intervention, Comparator, Outcomes, Clinical claim"/>
      </w:tblPr>
      <w:tblGrid>
        <w:gridCol w:w="1696"/>
        <w:gridCol w:w="7320"/>
      </w:tblGrid>
      <w:tr w:rsidR="00AE513E" w:rsidRPr="00BE7FA1"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444991" w:rsidRDefault="00AE513E" w:rsidP="005C5286">
            <w:pPr>
              <w:pStyle w:val="TableText"/>
              <w:rPr>
                <w:szCs w:val="20"/>
                <w:lang w:val="en-AU"/>
              </w:rPr>
            </w:pPr>
            <w:r w:rsidRPr="00BE7FA1">
              <w:t>Component</w:t>
            </w:r>
          </w:p>
        </w:tc>
        <w:tc>
          <w:tcPr>
            <w:tcW w:w="7320" w:type="dxa"/>
            <w:shd w:val="clear" w:color="auto" w:fill="auto"/>
          </w:tcPr>
          <w:p w:rsidR="00AE513E" w:rsidRPr="00444991" w:rsidRDefault="00AE513E" w:rsidP="005C5286">
            <w:pPr>
              <w:pStyle w:val="TableText"/>
              <w:rPr>
                <w:lang w:val="en-AU"/>
              </w:rPr>
            </w:pPr>
            <w:r w:rsidRPr="00BE7FA1">
              <w:t>Description</w:t>
            </w:r>
          </w:p>
        </w:tc>
      </w:tr>
      <w:tr w:rsidR="0017720E" w:rsidRPr="00BE7FA1" w:rsidTr="00984441">
        <w:trPr>
          <w:cantSplit/>
        </w:trPr>
        <w:tc>
          <w:tcPr>
            <w:tcW w:w="1696" w:type="dxa"/>
            <w:shd w:val="clear" w:color="auto" w:fill="auto"/>
          </w:tcPr>
          <w:p w:rsidR="0017720E" w:rsidRPr="00444991" w:rsidRDefault="0017720E" w:rsidP="00772501">
            <w:pPr>
              <w:pStyle w:val="TableText"/>
              <w:rPr>
                <w:lang w:val="en-AU"/>
              </w:rPr>
            </w:pPr>
            <w:r w:rsidRPr="00BE7FA1">
              <w:t>Population</w:t>
            </w:r>
          </w:p>
        </w:tc>
        <w:tc>
          <w:tcPr>
            <w:tcW w:w="7320" w:type="dxa"/>
            <w:shd w:val="clear" w:color="auto" w:fill="auto"/>
          </w:tcPr>
          <w:p w:rsidR="0017720E" w:rsidRPr="00444991" w:rsidRDefault="00127C33" w:rsidP="00021D4D">
            <w:pPr>
              <w:pStyle w:val="TableText"/>
              <w:rPr>
                <w:lang w:val="en-AU"/>
              </w:rPr>
            </w:pPr>
            <w:r w:rsidRPr="00BE7FA1">
              <w:t xml:space="preserve">Patients with Stage IV (unresectable) clear cell variant </w:t>
            </w:r>
            <w:r w:rsidR="00021D4D" w:rsidRPr="00BE7FA1">
              <w:t>RCC</w:t>
            </w:r>
            <w:r w:rsidRPr="00BE7FA1">
              <w:t>, whose disease is progressive following first-line treatment with a TKI.</w:t>
            </w:r>
          </w:p>
        </w:tc>
      </w:tr>
      <w:tr w:rsidR="0017720E" w:rsidRPr="00BE7FA1" w:rsidTr="00984441">
        <w:trPr>
          <w:cantSplit/>
        </w:trPr>
        <w:tc>
          <w:tcPr>
            <w:tcW w:w="1696" w:type="dxa"/>
            <w:shd w:val="clear" w:color="auto" w:fill="auto"/>
          </w:tcPr>
          <w:p w:rsidR="0017720E" w:rsidRPr="00444991" w:rsidRDefault="0017720E" w:rsidP="00772501">
            <w:pPr>
              <w:pStyle w:val="TableText"/>
              <w:rPr>
                <w:lang w:val="en-AU"/>
              </w:rPr>
            </w:pPr>
            <w:r w:rsidRPr="00BE7FA1">
              <w:t>Intervention</w:t>
            </w:r>
          </w:p>
        </w:tc>
        <w:tc>
          <w:tcPr>
            <w:tcW w:w="7320" w:type="dxa"/>
            <w:shd w:val="clear" w:color="auto" w:fill="auto"/>
          </w:tcPr>
          <w:p w:rsidR="0017720E" w:rsidRPr="00444991" w:rsidRDefault="00127C33" w:rsidP="00772501">
            <w:pPr>
              <w:pStyle w:val="TableText"/>
              <w:rPr>
                <w:lang w:val="en-AU"/>
              </w:rPr>
            </w:pPr>
            <w:r w:rsidRPr="00BE7FA1">
              <w:t>Cabozantinib 60 mg orally once daily.</w:t>
            </w:r>
          </w:p>
        </w:tc>
      </w:tr>
      <w:tr w:rsidR="0017720E" w:rsidRPr="00BE7FA1" w:rsidTr="00984441">
        <w:trPr>
          <w:cantSplit/>
        </w:trPr>
        <w:tc>
          <w:tcPr>
            <w:tcW w:w="1696" w:type="dxa"/>
            <w:shd w:val="clear" w:color="auto" w:fill="auto"/>
          </w:tcPr>
          <w:p w:rsidR="0017720E" w:rsidRPr="00444991" w:rsidRDefault="0017720E" w:rsidP="00772501">
            <w:pPr>
              <w:pStyle w:val="TableText"/>
              <w:rPr>
                <w:lang w:val="en-AU"/>
              </w:rPr>
            </w:pPr>
            <w:r w:rsidRPr="00BE7FA1">
              <w:t>Comparator</w:t>
            </w:r>
          </w:p>
        </w:tc>
        <w:tc>
          <w:tcPr>
            <w:tcW w:w="7320" w:type="dxa"/>
            <w:shd w:val="clear" w:color="auto" w:fill="auto"/>
          </w:tcPr>
          <w:p w:rsidR="00127C33" w:rsidRPr="00444991" w:rsidRDefault="00127C33" w:rsidP="00127C33">
            <w:pPr>
              <w:pStyle w:val="TableText"/>
              <w:rPr>
                <w:lang w:val="en-AU"/>
              </w:rPr>
            </w:pPr>
            <w:r w:rsidRPr="00BE7FA1">
              <w:t>Main comparator: Everolimus 10 mg orally once daily</w:t>
            </w:r>
          </w:p>
          <w:p w:rsidR="00127C33" w:rsidRPr="00444991" w:rsidRDefault="00127C33" w:rsidP="00127C33">
            <w:pPr>
              <w:pStyle w:val="TableText"/>
              <w:rPr>
                <w:lang w:val="en-AU"/>
              </w:rPr>
            </w:pPr>
            <w:r w:rsidRPr="00BE7FA1">
              <w:t xml:space="preserve">Near market comparator: Nivolumab 3 mg/kg administered intravenously every 2 weeks </w:t>
            </w:r>
          </w:p>
          <w:p w:rsidR="0017720E" w:rsidRPr="00444991" w:rsidRDefault="00127C33" w:rsidP="00127C33">
            <w:pPr>
              <w:pStyle w:val="TableText"/>
              <w:rPr>
                <w:lang w:val="en-AU"/>
              </w:rPr>
            </w:pPr>
            <w:r w:rsidRPr="00BE7FA1">
              <w:t>Other/Secondary comparator: Axitinib 5 mg orally twice daily.</w:t>
            </w:r>
          </w:p>
        </w:tc>
      </w:tr>
      <w:tr w:rsidR="0017720E" w:rsidRPr="00BE7FA1" w:rsidTr="00984441">
        <w:trPr>
          <w:cantSplit/>
        </w:trPr>
        <w:tc>
          <w:tcPr>
            <w:tcW w:w="1696" w:type="dxa"/>
            <w:shd w:val="clear" w:color="auto" w:fill="auto"/>
          </w:tcPr>
          <w:p w:rsidR="0017720E" w:rsidRPr="00444991" w:rsidRDefault="0017720E" w:rsidP="00772501">
            <w:pPr>
              <w:pStyle w:val="TableText"/>
              <w:rPr>
                <w:lang w:val="en-AU"/>
              </w:rPr>
            </w:pPr>
            <w:r w:rsidRPr="00BE7FA1">
              <w:t>Outcomes</w:t>
            </w:r>
          </w:p>
        </w:tc>
        <w:tc>
          <w:tcPr>
            <w:tcW w:w="7320" w:type="dxa"/>
            <w:shd w:val="clear" w:color="auto" w:fill="auto"/>
          </w:tcPr>
          <w:p w:rsidR="0017720E" w:rsidRPr="00444991" w:rsidRDefault="00127C33" w:rsidP="00952C61">
            <w:pPr>
              <w:pStyle w:val="TableText"/>
              <w:rPr>
                <w:lang w:val="en-AU"/>
              </w:rPr>
            </w:pPr>
            <w:r w:rsidRPr="00BE7FA1">
              <w:t xml:space="preserve">Overall survival, progression free survival and objective response rate. Overall survival is the </w:t>
            </w:r>
            <w:r w:rsidR="00952C61" w:rsidRPr="00BE7FA1">
              <w:t>key</w:t>
            </w:r>
            <w:r w:rsidRPr="00BE7FA1">
              <w:t xml:space="preserve"> patient-relevant outcome.</w:t>
            </w:r>
          </w:p>
        </w:tc>
      </w:tr>
      <w:tr w:rsidR="0017720E" w:rsidRPr="00BE7FA1" w:rsidTr="00984441">
        <w:trPr>
          <w:cantSplit/>
        </w:trPr>
        <w:tc>
          <w:tcPr>
            <w:tcW w:w="1696" w:type="dxa"/>
            <w:shd w:val="clear" w:color="auto" w:fill="auto"/>
          </w:tcPr>
          <w:p w:rsidR="0017720E" w:rsidRPr="00444991" w:rsidRDefault="0017720E" w:rsidP="00772501">
            <w:pPr>
              <w:pStyle w:val="TableText"/>
              <w:rPr>
                <w:lang w:val="en-AU"/>
              </w:rPr>
            </w:pPr>
            <w:r w:rsidRPr="00BE7FA1">
              <w:t>Clinical claim</w:t>
            </w:r>
          </w:p>
        </w:tc>
        <w:tc>
          <w:tcPr>
            <w:tcW w:w="7320" w:type="dxa"/>
            <w:shd w:val="clear" w:color="auto" w:fill="auto"/>
          </w:tcPr>
          <w:p w:rsidR="0000352B" w:rsidRPr="00444991" w:rsidRDefault="0000352B" w:rsidP="0000352B">
            <w:pPr>
              <w:pStyle w:val="TableText"/>
              <w:rPr>
                <w:lang w:val="en-AU"/>
              </w:rPr>
            </w:pPr>
            <w:r w:rsidRPr="00BE7FA1">
              <w:t>In adult patients with metastatic clear cell variant RCC who experience disease progression on or after prior VEGFR-targeted treatment:</w:t>
            </w:r>
          </w:p>
          <w:p w:rsidR="0000352B" w:rsidRPr="00444991" w:rsidRDefault="0000352B" w:rsidP="00A832C9">
            <w:pPr>
              <w:pStyle w:val="TableText"/>
              <w:numPr>
                <w:ilvl w:val="0"/>
                <w:numId w:val="16"/>
              </w:numPr>
              <w:ind w:left="246" w:hanging="142"/>
              <w:rPr>
                <w:lang w:val="en-AU"/>
              </w:rPr>
            </w:pPr>
            <w:r w:rsidRPr="00BE7FA1">
              <w:t>Compared with everolimus, cabozantinib is superior in terms of e</w:t>
            </w:r>
            <w:r w:rsidR="001C60CD" w:rsidRPr="00BE7FA1">
              <w:t>ffectiveness (PFS, OS and ORR)</w:t>
            </w:r>
            <w:r w:rsidRPr="00BE7FA1">
              <w:t>, and is non-inferior in term of safety.</w:t>
            </w:r>
          </w:p>
          <w:p w:rsidR="0017720E" w:rsidRPr="00444991" w:rsidRDefault="0000352B" w:rsidP="00A832C9">
            <w:pPr>
              <w:pStyle w:val="TableText"/>
              <w:numPr>
                <w:ilvl w:val="0"/>
                <w:numId w:val="16"/>
              </w:numPr>
              <w:ind w:left="246" w:hanging="142"/>
              <w:rPr>
                <w:lang w:val="en-AU"/>
              </w:rPr>
            </w:pPr>
            <w:r w:rsidRPr="00BE7FA1">
              <w:t>Compared with nivolumab, cabozantinib is non-inferior in terms of OS and ORR, superior in terms of PFS, and inferior in terms of safety.</w:t>
            </w:r>
          </w:p>
        </w:tc>
      </w:tr>
    </w:tbl>
    <w:p w:rsidR="00D90524" w:rsidRPr="00BE7FA1" w:rsidRDefault="00D90524" w:rsidP="00D90524">
      <w:pPr>
        <w:pStyle w:val="TableFooter"/>
      </w:pPr>
      <w:bookmarkStart w:id="3" w:name="_Toc413139272"/>
      <w:r w:rsidRPr="00BE7FA1">
        <w:t xml:space="preserve">ORR = objective response rate; OS = overall survival; PFS = progression free survival; </w:t>
      </w:r>
      <w:r w:rsidR="00021D4D" w:rsidRPr="00BE7FA1">
        <w:t xml:space="preserve">RCC = renal cell carcinoma; </w:t>
      </w:r>
      <w:r w:rsidRPr="00BE7FA1">
        <w:t>TKI = tyrosine kinase inhibitor; VEGFR = vascular endothelial growth factor receptor.</w:t>
      </w:r>
    </w:p>
    <w:p w:rsidR="00D90524" w:rsidRPr="00BE7FA1" w:rsidRDefault="00D90524" w:rsidP="00D90524">
      <w:pPr>
        <w:pStyle w:val="TableFooter"/>
      </w:pPr>
      <w:r w:rsidRPr="00BE7FA1">
        <w:t>Source: Table 1-1 p20 and Section 2.8.2 p152 of the submission</w:t>
      </w:r>
    </w:p>
    <w:p w:rsidR="00D810AA" w:rsidRDefault="00D810AA">
      <w:pPr>
        <w:spacing w:before="0" w:line="259" w:lineRule="auto"/>
        <w:jc w:val="left"/>
        <w:rPr>
          <w:rFonts w:eastAsiaTheme="majorEastAsia" w:cstheme="majorBidi"/>
          <w:b/>
          <w:sz w:val="32"/>
          <w:szCs w:val="28"/>
        </w:rPr>
      </w:pPr>
      <w:bookmarkStart w:id="4" w:name="_Toc497314997"/>
      <w:r>
        <w:br w:type="page"/>
      </w:r>
    </w:p>
    <w:p w:rsidR="00E4041E" w:rsidRPr="00BE7FA1" w:rsidRDefault="00C317F3" w:rsidP="008B216C">
      <w:pPr>
        <w:pStyle w:val="Heading1"/>
        <w:spacing w:after="0"/>
        <w:ind w:left="709" w:hanging="709"/>
      </w:pPr>
      <w:r w:rsidRPr="00BE7FA1">
        <w:lastRenderedPageBreak/>
        <w:t>Requested listing</w:t>
      </w:r>
      <w:bookmarkEnd w:id="3"/>
      <w:bookmarkEnd w:id="4"/>
      <w:r w:rsidR="005C6285" w:rsidRPr="00BE7FA1">
        <w:t xml:space="preserve"> </w:t>
      </w:r>
    </w:p>
    <w:p w:rsidR="00F25C9D" w:rsidRPr="00F25C9D" w:rsidRDefault="00F25C9D" w:rsidP="00F25C9D">
      <w:pPr>
        <w:pStyle w:val="ListParagraph"/>
        <w:numPr>
          <w:ilvl w:val="0"/>
          <w:numId w:val="4"/>
        </w:numPr>
        <w:spacing w:before="0" w:after="0"/>
        <w:jc w:val="left"/>
        <w:rPr>
          <w:rFonts w:ascii="Arial" w:eastAsia="Times New Roman" w:hAnsi="Arial" w:cs="Arial"/>
          <w:b/>
          <w:snapToGrid w:val="0"/>
          <w:vanish/>
          <w:sz w:val="22"/>
        </w:rPr>
      </w:pPr>
    </w:p>
    <w:p w:rsidR="008B216C" w:rsidRPr="00BE7FA1" w:rsidRDefault="008B216C" w:rsidP="00BD4293">
      <w:pPr>
        <w:pStyle w:val="ListParagraph"/>
        <w:numPr>
          <w:ilvl w:val="1"/>
          <w:numId w:val="4"/>
        </w:numPr>
        <w:spacing w:before="0"/>
      </w:pPr>
      <w:r w:rsidRPr="00BE7FA1">
        <w:t>Suggestions and additions proposed by the Secretariat to the requested listing are added in italics and suggested deletions are crossed out with strikethrough.</w:t>
      </w:r>
    </w:p>
    <w:p w:rsidR="008B216C" w:rsidRPr="00BE7FA1" w:rsidRDefault="008B216C" w:rsidP="008B216C">
      <w:pPr>
        <w:spacing w:before="0" w:after="0"/>
        <w:rPr>
          <w:rFonts w:ascii="Arial" w:eastAsia="Times New Roman" w:hAnsi="Arial" w:cs="Arial"/>
          <w:b/>
          <w:snapToGrid w:val="0"/>
          <w:vanish/>
          <w:sz w:val="22"/>
        </w:rPr>
      </w:pPr>
    </w:p>
    <w:tbl>
      <w:tblPr>
        <w:tblW w:w="9072" w:type="dxa"/>
        <w:tblInd w:w="108" w:type="dxa"/>
        <w:tblLayout w:type="fixed"/>
        <w:tblLook w:val="0000" w:firstRow="0" w:lastRow="0" w:firstColumn="0" w:lastColumn="0" w:noHBand="0" w:noVBand="0"/>
      </w:tblPr>
      <w:tblGrid>
        <w:gridCol w:w="2302"/>
        <w:gridCol w:w="992"/>
        <w:gridCol w:w="709"/>
        <w:gridCol w:w="851"/>
        <w:gridCol w:w="1842"/>
        <w:gridCol w:w="2376"/>
      </w:tblGrid>
      <w:tr w:rsidR="008B216C" w:rsidRPr="00BE7FA1" w:rsidTr="008B216C">
        <w:trPr>
          <w:cantSplit/>
          <w:trHeight w:val="471"/>
        </w:trPr>
        <w:tc>
          <w:tcPr>
            <w:tcW w:w="3294" w:type="dxa"/>
            <w:gridSpan w:val="2"/>
            <w:tcBorders>
              <w:bottom w:val="single" w:sz="4" w:space="0" w:color="auto"/>
            </w:tcBorders>
          </w:tcPr>
          <w:p w:rsidR="008B216C" w:rsidRPr="00444991" w:rsidRDefault="008B216C" w:rsidP="008B216C">
            <w:pPr>
              <w:pStyle w:val="PBACHeading1"/>
              <w:numPr>
                <w:ilvl w:val="0"/>
                <w:numId w:val="0"/>
              </w:numPr>
              <w:spacing w:before="0" w:after="0"/>
              <w:jc w:val="both"/>
              <w:rPr>
                <w:rStyle w:val="SmallBold"/>
                <w:rFonts w:asciiTheme="minorHAnsi" w:hAnsiTheme="minorHAnsi"/>
                <w:szCs w:val="20"/>
              </w:rPr>
            </w:pPr>
            <w:r w:rsidRPr="00BE7FA1">
              <w:rPr>
                <w:rStyle w:val="SmallBold"/>
                <w:rFonts w:asciiTheme="minorHAnsi" w:hAnsiTheme="minorHAnsi"/>
                <w:szCs w:val="20"/>
              </w:rPr>
              <w:t xml:space="preserve">Name, Restriction, </w:t>
            </w:r>
          </w:p>
          <w:p w:rsidR="008B216C" w:rsidRPr="00BE7FA1" w:rsidRDefault="008B216C" w:rsidP="008B216C">
            <w:pPr>
              <w:pStyle w:val="PBACHeading1"/>
              <w:numPr>
                <w:ilvl w:val="0"/>
                <w:numId w:val="0"/>
              </w:numPr>
              <w:spacing w:before="0" w:after="0"/>
              <w:jc w:val="both"/>
              <w:rPr>
                <w:rStyle w:val="SmallBold"/>
                <w:rFonts w:asciiTheme="minorHAnsi" w:hAnsiTheme="minorHAnsi"/>
                <w:szCs w:val="20"/>
              </w:rPr>
            </w:pPr>
            <w:r w:rsidRPr="00BE7FA1">
              <w:rPr>
                <w:rStyle w:val="SmallBold"/>
                <w:rFonts w:asciiTheme="minorHAnsi" w:hAnsiTheme="minorHAnsi"/>
                <w:szCs w:val="20"/>
              </w:rPr>
              <w:t>Manner of administration and form</w:t>
            </w:r>
          </w:p>
        </w:tc>
        <w:tc>
          <w:tcPr>
            <w:tcW w:w="709" w:type="dxa"/>
            <w:tcBorders>
              <w:bottom w:val="single" w:sz="4" w:space="0" w:color="auto"/>
            </w:tcBorders>
            <w:vAlign w:val="bottom"/>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Max.</w:t>
            </w:r>
          </w:p>
          <w:p w:rsidR="008B216C" w:rsidRPr="00BE7FA1" w:rsidRDefault="008B216C" w:rsidP="008B216C">
            <w:pPr>
              <w:pStyle w:val="TableLeft"/>
              <w:rPr>
                <w:rStyle w:val="SmallBold"/>
                <w:rFonts w:asciiTheme="minorHAnsi" w:hAnsiTheme="minorHAnsi"/>
                <w:szCs w:val="20"/>
              </w:rPr>
            </w:pPr>
            <w:proofErr w:type="spellStart"/>
            <w:r w:rsidRPr="00BE7FA1">
              <w:rPr>
                <w:rStyle w:val="SmallBold"/>
                <w:rFonts w:asciiTheme="minorHAnsi" w:hAnsiTheme="minorHAnsi"/>
                <w:szCs w:val="20"/>
              </w:rPr>
              <w:t>Qty</w:t>
            </w:r>
            <w:proofErr w:type="spellEnd"/>
          </w:p>
        </w:tc>
        <w:tc>
          <w:tcPr>
            <w:tcW w:w="851" w:type="dxa"/>
            <w:tcBorders>
              <w:bottom w:val="single" w:sz="4" w:space="0" w:color="auto"/>
            </w:tcBorders>
            <w:vAlign w:val="bottom"/>
          </w:tcPr>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№.of</w:t>
            </w:r>
          </w:p>
          <w:p w:rsidR="008B216C" w:rsidRPr="00BE7FA1" w:rsidRDefault="008B216C" w:rsidP="008B216C">
            <w:pPr>
              <w:pStyle w:val="TableLeft"/>
              <w:rPr>
                <w:rStyle w:val="SmallBold"/>
                <w:rFonts w:asciiTheme="minorHAnsi" w:hAnsiTheme="minorHAnsi"/>
                <w:szCs w:val="20"/>
              </w:rPr>
            </w:pPr>
            <w:proofErr w:type="spellStart"/>
            <w:r w:rsidRPr="00BE7FA1">
              <w:rPr>
                <w:rStyle w:val="SmallBold"/>
                <w:rFonts w:asciiTheme="minorHAnsi" w:hAnsiTheme="minorHAnsi"/>
                <w:szCs w:val="20"/>
              </w:rPr>
              <w:t>Rpts</w:t>
            </w:r>
            <w:proofErr w:type="spellEnd"/>
          </w:p>
        </w:tc>
        <w:tc>
          <w:tcPr>
            <w:tcW w:w="4218" w:type="dxa"/>
            <w:gridSpan w:val="2"/>
            <w:tcBorders>
              <w:bottom w:val="single" w:sz="4" w:space="0" w:color="auto"/>
            </w:tcBorders>
            <w:vAlign w:val="bottom"/>
          </w:tcPr>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Proprietary Name and Manufacturer</w:t>
            </w:r>
          </w:p>
          <w:p w:rsidR="008B216C" w:rsidRPr="00BE7FA1" w:rsidRDefault="008B216C" w:rsidP="008B216C">
            <w:pPr>
              <w:pStyle w:val="TableLeft"/>
              <w:rPr>
                <w:rStyle w:val="SmallBold"/>
                <w:rFonts w:asciiTheme="minorHAnsi" w:hAnsiTheme="minorHAnsi"/>
                <w:szCs w:val="20"/>
              </w:rPr>
            </w:pPr>
          </w:p>
        </w:tc>
      </w:tr>
      <w:tr w:rsidR="008B216C" w:rsidRPr="00BE7FA1" w:rsidTr="008B216C">
        <w:trPr>
          <w:cantSplit/>
          <w:trHeight w:val="577"/>
        </w:trPr>
        <w:tc>
          <w:tcPr>
            <w:tcW w:w="3294" w:type="dxa"/>
            <w:gridSpan w:val="2"/>
            <w:tcBorders>
              <w:top w:val="single" w:sz="4" w:space="0" w:color="auto"/>
              <w:bottom w:val="single" w:sz="4" w:space="0" w:color="auto"/>
            </w:tcBorders>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t>CABOZANTINIB</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Cabozantinib, 60 mg tablet, 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Cabozantinib, 40 mg tablet, 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Cabozantinib, 20 mg tablet, 30</w:t>
            </w:r>
          </w:p>
          <w:p w:rsidR="008B216C" w:rsidRPr="00BE7FA1" w:rsidRDefault="008B216C" w:rsidP="008B216C">
            <w:pPr>
              <w:pStyle w:val="TableLeft"/>
              <w:rPr>
                <w:rFonts w:asciiTheme="minorHAnsi" w:hAnsiTheme="minorHAnsi"/>
                <w:szCs w:val="20"/>
              </w:rPr>
            </w:pPr>
          </w:p>
        </w:tc>
        <w:tc>
          <w:tcPr>
            <w:tcW w:w="709" w:type="dxa"/>
            <w:tcBorders>
              <w:top w:val="single" w:sz="4" w:space="0" w:color="auto"/>
              <w:bottom w:val="single" w:sz="4" w:space="0" w:color="auto"/>
            </w:tcBorders>
          </w:tcPr>
          <w:p w:rsidR="008B216C" w:rsidRPr="00BE7FA1" w:rsidRDefault="008B216C" w:rsidP="008B216C">
            <w:pPr>
              <w:pStyle w:val="TableLeft"/>
              <w:rPr>
                <w:rFonts w:asciiTheme="minorHAnsi" w:hAnsiTheme="minorHAnsi"/>
                <w:szCs w:val="20"/>
              </w:rPr>
            </w:pP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30</w:t>
            </w:r>
          </w:p>
        </w:tc>
        <w:tc>
          <w:tcPr>
            <w:tcW w:w="851" w:type="dxa"/>
            <w:tcBorders>
              <w:top w:val="single" w:sz="4" w:space="0" w:color="auto"/>
              <w:bottom w:val="single" w:sz="4" w:space="0" w:color="auto"/>
            </w:tcBorders>
          </w:tcPr>
          <w:p w:rsidR="008B216C" w:rsidRPr="00BE7FA1" w:rsidRDefault="008B216C" w:rsidP="008B216C">
            <w:pPr>
              <w:pStyle w:val="TableLeft"/>
              <w:rPr>
                <w:rFonts w:asciiTheme="minorHAnsi" w:hAnsiTheme="minorHAnsi"/>
                <w:szCs w:val="20"/>
              </w:rPr>
            </w:pP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2</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2</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2</w:t>
            </w:r>
          </w:p>
        </w:tc>
        <w:tc>
          <w:tcPr>
            <w:tcW w:w="1842" w:type="dxa"/>
            <w:tcBorders>
              <w:top w:val="single" w:sz="4" w:space="0" w:color="auto"/>
              <w:bottom w:val="single" w:sz="4" w:space="0" w:color="auto"/>
            </w:tcBorders>
          </w:tcPr>
          <w:p w:rsidR="008B216C" w:rsidRPr="00BE7FA1" w:rsidRDefault="008B216C" w:rsidP="008B216C">
            <w:pPr>
              <w:pStyle w:val="TableLeft"/>
              <w:rPr>
                <w:rFonts w:asciiTheme="minorHAnsi" w:hAnsiTheme="minorHAnsi"/>
                <w:szCs w:val="20"/>
              </w:rPr>
            </w:pPr>
            <w:proofErr w:type="spellStart"/>
            <w:r w:rsidRPr="00BE7FA1">
              <w:rPr>
                <w:rFonts w:asciiTheme="minorHAnsi" w:hAnsiTheme="minorHAnsi"/>
                <w:szCs w:val="20"/>
              </w:rPr>
              <w:t>Cabometyx</w:t>
            </w:r>
            <w:proofErr w:type="spellEnd"/>
          </w:p>
        </w:tc>
        <w:tc>
          <w:tcPr>
            <w:tcW w:w="2376" w:type="dxa"/>
            <w:tcBorders>
              <w:top w:val="single" w:sz="4" w:space="0" w:color="auto"/>
              <w:bottom w:val="single" w:sz="4" w:space="0" w:color="auto"/>
            </w:tcBorders>
          </w:tcPr>
          <w:p w:rsidR="008B216C" w:rsidRPr="00BE7FA1" w:rsidRDefault="008B216C" w:rsidP="008B216C">
            <w:pPr>
              <w:pStyle w:val="TableLeft"/>
              <w:rPr>
                <w:rFonts w:asciiTheme="minorHAnsi" w:hAnsiTheme="minorHAnsi"/>
                <w:szCs w:val="20"/>
              </w:rPr>
            </w:pPr>
            <w:proofErr w:type="spellStart"/>
            <w:r w:rsidRPr="00BE7FA1">
              <w:rPr>
                <w:rFonts w:asciiTheme="minorHAnsi" w:hAnsiTheme="minorHAnsi"/>
                <w:szCs w:val="20"/>
              </w:rPr>
              <w:t>Ipsen</w:t>
            </w:r>
            <w:proofErr w:type="spellEnd"/>
            <w:r w:rsidRPr="00BE7FA1">
              <w:rPr>
                <w:rFonts w:asciiTheme="minorHAnsi" w:hAnsiTheme="minorHAnsi"/>
                <w:szCs w:val="20"/>
              </w:rPr>
              <w:t xml:space="preserve"> Australia Pty Ltd</w:t>
            </w:r>
          </w:p>
        </w:tc>
      </w:tr>
      <w:tr w:rsidR="008B216C" w:rsidRPr="00BE7FA1" w:rsidTr="008B216C">
        <w:trPr>
          <w:cantSplit/>
          <w:trHeight w:val="199"/>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Category / program</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General Schedule</w:t>
            </w:r>
          </w:p>
        </w:tc>
      </w:tr>
      <w:tr w:rsidR="008B216C" w:rsidRPr="00BE7FA1" w:rsidTr="008B216C">
        <w:trPr>
          <w:cantSplit/>
          <w:trHeight w:val="487"/>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Prescriber type</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Dental  </w:t>
            </w: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Medical Practitioners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Nurse Practitioners</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Optometrists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Midwives</w:t>
            </w:r>
          </w:p>
        </w:tc>
      </w:tr>
      <w:tr w:rsidR="008B216C" w:rsidRPr="00BE7FA1" w:rsidTr="008B216C">
        <w:trPr>
          <w:cantSplit/>
          <w:trHeight w:val="199"/>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proofErr w:type="spellStart"/>
            <w:r w:rsidRPr="00BE7FA1">
              <w:rPr>
                <w:rStyle w:val="SmallBold"/>
                <w:rFonts w:asciiTheme="minorHAnsi" w:hAnsiTheme="minorHAnsi"/>
                <w:szCs w:val="20"/>
              </w:rPr>
              <w:t>Episodicity</w:t>
            </w:r>
            <w:proofErr w:type="spellEnd"/>
            <w:r w:rsidRPr="00BE7FA1">
              <w:rPr>
                <w:rStyle w:val="SmallBold"/>
                <w:rFonts w:asciiTheme="minorHAnsi" w:hAnsiTheme="minorHAnsi"/>
                <w:szCs w:val="20"/>
              </w:rPr>
              <w:t>:</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trike/>
                <w:szCs w:val="20"/>
              </w:rPr>
            </w:pPr>
            <w:r w:rsidRPr="00BE7FA1">
              <w:rPr>
                <w:rFonts w:asciiTheme="minorHAnsi" w:hAnsiTheme="minorHAnsi"/>
                <w:strike/>
                <w:szCs w:val="20"/>
              </w:rPr>
              <w:t>Monthly</w:t>
            </w:r>
          </w:p>
        </w:tc>
      </w:tr>
      <w:tr w:rsidR="008B216C" w:rsidRPr="00BE7FA1" w:rsidTr="008B216C">
        <w:trPr>
          <w:cantSplit/>
          <w:trHeight w:val="19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Severity:</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Stage IV</w:t>
            </w:r>
          </w:p>
        </w:tc>
      </w:tr>
      <w:tr w:rsidR="008B216C" w:rsidRPr="00BE7FA1" w:rsidTr="008B216C">
        <w:trPr>
          <w:cantSplit/>
          <w:trHeight w:val="163"/>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Condition:</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Clear cell variant renal cell carcinoma (RCC)</w:t>
            </w:r>
          </w:p>
        </w:tc>
      </w:tr>
      <w:tr w:rsidR="008B216C" w:rsidRPr="00BE7FA1" w:rsidTr="008B216C">
        <w:trPr>
          <w:cantSplit/>
          <w:trHeight w:val="208"/>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PBS Indication:</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Stage IV clear cell variant renal cell carcinoma (RCC)</w:t>
            </w:r>
          </w:p>
        </w:tc>
      </w:tr>
      <w:tr w:rsidR="008B216C" w:rsidRPr="00BE7FA1" w:rsidTr="008B216C">
        <w:trPr>
          <w:cantSplit/>
          <w:trHeight w:val="253"/>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Treatment phase:</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Initial treatment</w:t>
            </w:r>
          </w:p>
        </w:tc>
      </w:tr>
      <w:tr w:rsidR="008B216C" w:rsidRPr="00BE7FA1" w:rsidTr="008B216C">
        <w:trPr>
          <w:cantSplit/>
          <w:trHeight w:val="1378"/>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Restriction:</w:t>
            </w:r>
          </w:p>
          <w:p w:rsidR="008B216C" w:rsidRPr="00BE7FA1" w:rsidRDefault="008B216C" w:rsidP="008B216C">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Restricted benefit</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In Writing</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3"/>
                  <w:enabled/>
                  <w:calcOnExit w:val="0"/>
                  <w:checkBox>
                    <w:sizeAuto/>
                    <w:default w:val="0"/>
                  </w:checkBox>
                </w:ffData>
              </w:fldChar>
            </w:r>
            <w:bookmarkStart w:id="5" w:name="Check3"/>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bookmarkEnd w:id="5"/>
            <w:r w:rsidRPr="00BE7FA1">
              <w:rPr>
                <w:rFonts w:asciiTheme="minorHAnsi" w:hAnsiTheme="minorHAnsi"/>
                <w:szCs w:val="20"/>
              </w:rPr>
              <w:t>Authority Required - Telephone</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Emergency</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Electronic</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Streamlined</w:t>
            </w:r>
          </w:p>
        </w:tc>
      </w:tr>
      <w:tr w:rsidR="008B216C" w:rsidRPr="00BE7FA1" w:rsidTr="008B216C">
        <w:trPr>
          <w:cantSplit/>
          <w:trHeight w:val="19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Treatment criteria:</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NA</w:t>
            </w:r>
          </w:p>
        </w:tc>
      </w:tr>
      <w:tr w:rsidR="008B216C" w:rsidRPr="00BE7FA1" w:rsidTr="008B216C">
        <w:trPr>
          <w:cantSplit/>
          <w:trHeight w:val="36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Clinical criteria:</w:t>
            </w:r>
          </w:p>
          <w:p w:rsidR="008B216C" w:rsidRPr="00BE7FA1" w:rsidRDefault="008B216C" w:rsidP="008B216C">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t xml:space="preserve">Patient must have progressive disease according to Response Evaluation Criteria in Solid Tumours (RECIST) following first line treatment with a Tyrosine Kinase Inhibitor (TKI);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AND</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Patient must have disease which is WHO performance status of 2 or less;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AND</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Treatment must be the sole PBS-subsidised therapy for this condition</w:t>
            </w:r>
          </w:p>
        </w:tc>
      </w:tr>
      <w:tr w:rsidR="008B216C" w:rsidRPr="00BE7FA1" w:rsidTr="008B216C">
        <w:trPr>
          <w:cantSplit/>
          <w:trHeight w:val="217"/>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Population criteria:</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NA</w:t>
            </w:r>
          </w:p>
        </w:tc>
      </w:tr>
      <w:tr w:rsidR="008B216C" w:rsidRPr="00BE7FA1" w:rsidTr="008B216C">
        <w:trPr>
          <w:cantSplit/>
          <w:trHeight w:val="235"/>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Prescriber Instructions</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trike/>
                <w:szCs w:val="20"/>
              </w:rPr>
            </w:pPr>
            <w:r w:rsidRPr="00BE7FA1">
              <w:rPr>
                <w:rFonts w:asciiTheme="minorHAnsi" w:hAnsiTheme="minorHAnsi"/>
                <w:strike/>
                <w:szCs w:val="20"/>
              </w:rPr>
              <w:t>Patients who have developed intolerance to a TKI of a severity necessitating permanent treatment; AND withdrawal are eligible to receive PBS-subsidised cabozantinib;</w:t>
            </w:r>
          </w:p>
          <w:p w:rsidR="008B216C" w:rsidRPr="00BE7FA1" w:rsidRDefault="008B216C" w:rsidP="008B216C">
            <w:pPr>
              <w:pStyle w:val="TableLeft"/>
              <w:rPr>
                <w:rFonts w:asciiTheme="minorHAnsi" w:hAnsiTheme="minorHAnsi"/>
                <w:strike/>
                <w:szCs w:val="20"/>
              </w:rPr>
            </w:pPr>
          </w:p>
          <w:p w:rsidR="008B216C" w:rsidRPr="00BE7FA1" w:rsidRDefault="008B216C" w:rsidP="008B216C">
            <w:pPr>
              <w:pStyle w:val="TableLeft"/>
              <w:rPr>
                <w:rFonts w:asciiTheme="minorHAnsi" w:hAnsiTheme="minorHAnsi"/>
                <w:szCs w:val="20"/>
              </w:rPr>
            </w:pPr>
            <w:r w:rsidRPr="00BE7FA1">
              <w:rPr>
                <w:rFonts w:asciiTheme="minorHAnsi" w:hAnsiTheme="minorHAnsi"/>
                <w:strike/>
                <w:szCs w:val="20"/>
              </w:rPr>
              <w:t>Patients who have progressive disease with cabozantinib are no longer eligible for PBS-subsidised cabozantinib</w:t>
            </w:r>
            <w:r w:rsidRPr="00BE7FA1">
              <w:rPr>
                <w:rFonts w:asciiTheme="minorHAnsi" w:hAnsiTheme="minorHAnsi"/>
                <w:szCs w:val="20"/>
              </w:rPr>
              <w:t>.</w:t>
            </w:r>
          </w:p>
          <w:p w:rsidR="008B216C" w:rsidRPr="00BE7FA1" w:rsidRDefault="008B216C" w:rsidP="008B216C">
            <w:pPr>
              <w:pStyle w:val="TableLeft"/>
              <w:rPr>
                <w:rFonts w:asciiTheme="minorHAnsi" w:hAnsiTheme="minorHAnsi"/>
                <w:szCs w:val="20"/>
              </w:rPr>
            </w:pPr>
          </w:p>
        </w:tc>
      </w:tr>
      <w:tr w:rsidR="008B216C" w:rsidRPr="00BE7FA1" w:rsidTr="008B216C">
        <w:trPr>
          <w:cantSplit/>
          <w:trHeight w:val="208"/>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Administrative Advice</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i/>
                <w:szCs w:val="20"/>
              </w:rPr>
            </w:pPr>
          </w:p>
        </w:tc>
      </w:tr>
      <w:tr w:rsidR="008B216C" w:rsidRPr="00BE7FA1" w:rsidTr="008B216C">
        <w:trPr>
          <w:cantSplit/>
          <w:trHeight w:val="36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 xml:space="preserve">Definitions </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RECIST is defined as follows:</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Complete response (CR) is disappearance of all target lesions.</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Partial response (PR) is a 30% decrease in the sum of the longest diameter of target lesions.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Progressive disease (PD) is a 20% increase in the sum of the longest diameter of target lesions.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Stable disease (SD) is small changes that do not meet above criteria.</w:t>
            </w:r>
          </w:p>
        </w:tc>
      </w:tr>
    </w:tbl>
    <w:p w:rsidR="00BD4293" w:rsidRDefault="00BD4293">
      <w:r>
        <w:br w:type="page"/>
      </w:r>
    </w:p>
    <w:tbl>
      <w:tblPr>
        <w:tblW w:w="9072" w:type="dxa"/>
        <w:tblInd w:w="108" w:type="dxa"/>
        <w:tblLayout w:type="fixed"/>
        <w:tblLook w:val="0000" w:firstRow="0" w:lastRow="0" w:firstColumn="0" w:lastColumn="0" w:noHBand="0" w:noVBand="0"/>
      </w:tblPr>
      <w:tblGrid>
        <w:gridCol w:w="2302"/>
        <w:gridCol w:w="992"/>
        <w:gridCol w:w="851"/>
        <w:gridCol w:w="709"/>
        <w:gridCol w:w="1842"/>
        <w:gridCol w:w="2376"/>
      </w:tblGrid>
      <w:tr w:rsidR="008B216C" w:rsidRPr="00BE7FA1" w:rsidTr="008B216C">
        <w:trPr>
          <w:cantSplit/>
          <w:trHeight w:val="471"/>
        </w:trPr>
        <w:tc>
          <w:tcPr>
            <w:tcW w:w="3294" w:type="dxa"/>
            <w:gridSpan w:val="2"/>
            <w:tcBorders>
              <w:bottom w:val="single" w:sz="4" w:space="0" w:color="auto"/>
            </w:tcBorders>
          </w:tcPr>
          <w:p w:rsidR="008B216C" w:rsidRPr="00444991" w:rsidRDefault="008B216C" w:rsidP="008B216C">
            <w:pPr>
              <w:pStyle w:val="TableLeft"/>
              <w:rPr>
                <w:rStyle w:val="SmallBold"/>
                <w:rFonts w:asciiTheme="minorHAnsi" w:hAnsiTheme="minorHAnsi"/>
                <w:szCs w:val="20"/>
              </w:rPr>
            </w:pPr>
          </w:p>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Name, Restriction,</w:t>
            </w:r>
          </w:p>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Manner of administration and form</w:t>
            </w:r>
          </w:p>
        </w:tc>
        <w:tc>
          <w:tcPr>
            <w:tcW w:w="851" w:type="dxa"/>
            <w:tcBorders>
              <w:bottom w:val="single" w:sz="4" w:space="0" w:color="auto"/>
            </w:tcBorders>
          </w:tcPr>
          <w:p w:rsidR="008B216C" w:rsidRPr="00BE7FA1" w:rsidRDefault="008B216C" w:rsidP="008B216C">
            <w:pPr>
              <w:pStyle w:val="TableLeft"/>
              <w:rPr>
                <w:rStyle w:val="SmallBold"/>
                <w:rFonts w:asciiTheme="minorHAnsi" w:hAnsiTheme="minorHAnsi"/>
                <w:szCs w:val="20"/>
              </w:rPr>
            </w:pPr>
          </w:p>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Max.</w:t>
            </w:r>
          </w:p>
          <w:p w:rsidR="008B216C" w:rsidRPr="00BE7FA1" w:rsidRDefault="008B216C" w:rsidP="008B216C">
            <w:pPr>
              <w:pStyle w:val="TableLeft"/>
              <w:rPr>
                <w:rStyle w:val="SmallBold"/>
                <w:rFonts w:asciiTheme="minorHAnsi" w:hAnsiTheme="minorHAnsi"/>
                <w:szCs w:val="20"/>
              </w:rPr>
            </w:pPr>
            <w:proofErr w:type="spellStart"/>
            <w:r w:rsidRPr="00BE7FA1">
              <w:rPr>
                <w:rStyle w:val="SmallBold"/>
                <w:rFonts w:asciiTheme="minorHAnsi" w:hAnsiTheme="minorHAnsi"/>
                <w:szCs w:val="20"/>
              </w:rPr>
              <w:t>Qty</w:t>
            </w:r>
            <w:proofErr w:type="spellEnd"/>
          </w:p>
        </w:tc>
        <w:tc>
          <w:tcPr>
            <w:tcW w:w="709" w:type="dxa"/>
            <w:tcBorders>
              <w:bottom w:val="single" w:sz="4" w:space="0" w:color="auto"/>
            </w:tcBorders>
          </w:tcPr>
          <w:p w:rsidR="008B216C" w:rsidRPr="00BE7FA1" w:rsidRDefault="008B216C" w:rsidP="008B216C">
            <w:pPr>
              <w:pStyle w:val="TableLeft"/>
              <w:rPr>
                <w:rStyle w:val="SmallBold"/>
                <w:rFonts w:asciiTheme="minorHAnsi" w:hAnsiTheme="minorHAnsi"/>
                <w:szCs w:val="20"/>
              </w:rPr>
            </w:pPr>
          </w:p>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№.of</w:t>
            </w:r>
          </w:p>
          <w:p w:rsidR="008B216C" w:rsidRPr="00BE7FA1" w:rsidRDefault="008B216C" w:rsidP="008B216C">
            <w:pPr>
              <w:pStyle w:val="TableLeft"/>
              <w:rPr>
                <w:rStyle w:val="SmallBold"/>
                <w:rFonts w:asciiTheme="minorHAnsi" w:hAnsiTheme="minorHAnsi"/>
                <w:szCs w:val="20"/>
              </w:rPr>
            </w:pPr>
            <w:proofErr w:type="spellStart"/>
            <w:r w:rsidRPr="00BE7FA1">
              <w:rPr>
                <w:rStyle w:val="SmallBold"/>
                <w:rFonts w:asciiTheme="minorHAnsi" w:hAnsiTheme="minorHAnsi"/>
                <w:szCs w:val="20"/>
              </w:rPr>
              <w:t>Rpts</w:t>
            </w:r>
            <w:proofErr w:type="spellEnd"/>
          </w:p>
        </w:tc>
        <w:tc>
          <w:tcPr>
            <w:tcW w:w="4218" w:type="dxa"/>
            <w:gridSpan w:val="2"/>
            <w:tcBorders>
              <w:bottom w:val="single" w:sz="4" w:space="0" w:color="auto"/>
            </w:tcBorders>
          </w:tcPr>
          <w:p w:rsidR="008B216C" w:rsidRPr="00BE7FA1" w:rsidRDefault="008B216C" w:rsidP="008B216C">
            <w:pPr>
              <w:pStyle w:val="TableLeft"/>
              <w:rPr>
                <w:rStyle w:val="SmallBold"/>
                <w:rFonts w:asciiTheme="minorHAnsi" w:hAnsiTheme="minorHAnsi"/>
                <w:szCs w:val="20"/>
              </w:rPr>
            </w:pPr>
          </w:p>
          <w:p w:rsidR="008B216C" w:rsidRPr="00BE7FA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Proprietary Name and Manufacturer</w:t>
            </w:r>
          </w:p>
          <w:p w:rsidR="008B216C" w:rsidRPr="00BE7FA1" w:rsidRDefault="008B216C" w:rsidP="008B216C">
            <w:pPr>
              <w:pStyle w:val="TableLeft"/>
              <w:rPr>
                <w:rStyle w:val="SmallBold"/>
                <w:rFonts w:asciiTheme="minorHAnsi" w:hAnsiTheme="minorHAnsi"/>
                <w:szCs w:val="20"/>
              </w:rPr>
            </w:pPr>
          </w:p>
        </w:tc>
      </w:tr>
      <w:tr w:rsidR="008B216C" w:rsidRPr="00BE7FA1" w:rsidTr="008B216C">
        <w:trPr>
          <w:cantSplit/>
          <w:trHeight w:val="577"/>
        </w:trPr>
        <w:tc>
          <w:tcPr>
            <w:tcW w:w="3294" w:type="dxa"/>
            <w:gridSpan w:val="2"/>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t>CABOZANTINIB</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Cabozantinib, 60 mg tablet, 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Cabozantinib, 40 mg tablet, 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Cabozantinib, 20 mg tablet, 30</w:t>
            </w:r>
          </w:p>
          <w:p w:rsidR="008B216C" w:rsidRPr="00BE7FA1" w:rsidRDefault="008B216C" w:rsidP="008B216C">
            <w:pPr>
              <w:pStyle w:val="TableLeft"/>
              <w:rPr>
                <w:rFonts w:asciiTheme="minorHAnsi" w:hAnsiTheme="minorHAnsi"/>
                <w:szCs w:val="20"/>
              </w:rPr>
            </w:pPr>
          </w:p>
        </w:tc>
        <w:tc>
          <w:tcPr>
            <w:tcW w:w="851" w:type="dxa"/>
          </w:tcPr>
          <w:p w:rsidR="008B216C" w:rsidRPr="00BE7FA1" w:rsidRDefault="008B216C" w:rsidP="008B216C">
            <w:pPr>
              <w:pStyle w:val="TableLeft"/>
              <w:rPr>
                <w:rFonts w:asciiTheme="minorHAnsi" w:hAnsiTheme="minorHAnsi"/>
                <w:szCs w:val="20"/>
              </w:rPr>
            </w:pP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30</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30</w:t>
            </w:r>
          </w:p>
        </w:tc>
        <w:tc>
          <w:tcPr>
            <w:tcW w:w="709" w:type="dxa"/>
          </w:tcPr>
          <w:p w:rsidR="008B216C" w:rsidRPr="00BE7FA1" w:rsidRDefault="008B216C" w:rsidP="008B216C">
            <w:pPr>
              <w:pStyle w:val="TableLeft"/>
              <w:rPr>
                <w:rFonts w:asciiTheme="minorHAnsi" w:hAnsiTheme="minorHAnsi"/>
                <w:szCs w:val="20"/>
              </w:rPr>
            </w:pP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5</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5</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5</w:t>
            </w:r>
          </w:p>
        </w:tc>
        <w:tc>
          <w:tcPr>
            <w:tcW w:w="1842" w:type="dxa"/>
          </w:tcPr>
          <w:p w:rsidR="008B216C" w:rsidRPr="00BE7FA1" w:rsidRDefault="008B216C" w:rsidP="008B216C">
            <w:pPr>
              <w:pStyle w:val="TableLeft"/>
              <w:rPr>
                <w:rFonts w:asciiTheme="minorHAnsi" w:hAnsiTheme="minorHAnsi"/>
                <w:szCs w:val="20"/>
              </w:rPr>
            </w:pPr>
            <w:proofErr w:type="spellStart"/>
            <w:r w:rsidRPr="00BE7FA1">
              <w:rPr>
                <w:rFonts w:asciiTheme="minorHAnsi" w:hAnsiTheme="minorHAnsi"/>
                <w:szCs w:val="20"/>
              </w:rPr>
              <w:t>Cabometyx</w:t>
            </w:r>
            <w:proofErr w:type="spellEnd"/>
          </w:p>
        </w:tc>
        <w:tc>
          <w:tcPr>
            <w:tcW w:w="2376" w:type="dxa"/>
          </w:tcPr>
          <w:p w:rsidR="008B216C" w:rsidRPr="00BE7FA1" w:rsidRDefault="008B216C" w:rsidP="008B216C">
            <w:pPr>
              <w:pStyle w:val="TableLeft"/>
              <w:rPr>
                <w:rFonts w:asciiTheme="minorHAnsi" w:hAnsiTheme="minorHAnsi"/>
                <w:szCs w:val="20"/>
              </w:rPr>
            </w:pPr>
            <w:proofErr w:type="spellStart"/>
            <w:r w:rsidRPr="00BE7FA1">
              <w:rPr>
                <w:rFonts w:asciiTheme="minorHAnsi" w:hAnsiTheme="minorHAnsi"/>
                <w:szCs w:val="20"/>
              </w:rPr>
              <w:t>Ipsen</w:t>
            </w:r>
            <w:proofErr w:type="spellEnd"/>
            <w:r w:rsidRPr="00BE7FA1">
              <w:rPr>
                <w:rFonts w:asciiTheme="minorHAnsi" w:hAnsiTheme="minorHAnsi"/>
                <w:szCs w:val="20"/>
              </w:rPr>
              <w:t xml:space="preserve"> Australia Pty Ltd</w:t>
            </w:r>
          </w:p>
        </w:tc>
      </w:tr>
      <w:tr w:rsidR="008B216C" w:rsidRPr="00BE7FA1" w:rsidTr="008B216C">
        <w:trPr>
          <w:cantSplit/>
          <w:trHeight w:val="199"/>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Category / program</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General Schedule</w:t>
            </w:r>
          </w:p>
        </w:tc>
      </w:tr>
      <w:tr w:rsidR="008B216C" w:rsidRPr="00BE7FA1" w:rsidTr="008B216C">
        <w:trPr>
          <w:cantSplit/>
          <w:trHeight w:val="487"/>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Prescriber type</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Dental  </w:t>
            </w: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Medical Practitioners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Nurse Practitioners</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Optometrists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Midwives</w:t>
            </w:r>
          </w:p>
        </w:tc>
      </w:tr>
      <w:tr w:rsidR="008B216C" w:rsidRPr="00BE7FA1" w:rsidTr="008B216C">
        <w:trPr>
          <w:cantSplit/>
          <w:trHeight w:val="199"/>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proofErr w:type="spellStart"/>
            <w:r w:rsidRPr="00BE7FA1">
              <w:rPr>
                <w:rStyle w:val="SmallBold"/>
                <w:rFonts w:asciiTheme="minorHAnsi" w:hAnsiTheme="minorHAnsi"/>
                <w:szCs w:val="20"/>
              </w:rPr>
              <w:t>Episodicity</w:t>
            </w:r>
            <w:proofErr w:type="spellEnd"/>
            <w:r w:rsidRPr="00BE7FA1">
              <w:rPr>
                <w:rStyle w:val="SmallBold"/>
                <w:rFonts w:asciiTheme="minorHAnsi" w:hAnsiTheme="minorHAnsi"/>
                <w:szCs w:val="20"/>
              </w:rPr>
              <w:t>:</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trike/>
                <w:szCs w:val="20"/>
              </w:rPr>
            </w:pPr>
            <w:r w:rsidRPr="00BE7FA1">
              <w:rPr>
                <w:rFonts w:asciiTheme="minorHAnsi" w:hAnsiTheme="minorHAnsi"/>
                <w:strike/>
                <w:szCs w:val="20"/>
              </w:rPr>
              <w:t>Monthly</w:t>
            </w:r>
          </w:p>
        </w:tc>
      </w:tr>
      <w:tr w:rsidR="008B216C" w:rsidRPr="00BE7FA1" w:rsidTr="008B216C">
        <w:trPr>
          <w:cantSplit/>
          <w:trHeight w:val="19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Severity:</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Stage IV</w:t>
            </w:r>
          </w:p>
        </w:tc>
      </w:tr>
      <w:tr w:rsidR="008B216C" w:rsidRPr="00BE7FA1" w:rsidTr="008B216C">
        <w:trPr>
          <w:cantSplit/>
          <w:trHeight w:val="163"/>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Condition:</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Clear cell variant renal cell carcinoma (RCC)</w:t>
            </w:r>
          </w:p>
        </w:tc>
      </w:tr>
      <w:tr w:rsidR="008B216C" w:rsidRPr="00BE7FA1" w:rsidTr="008B216C">
        <w:trPr>
          <w:cantSplit/>
          <w:trHeight w:val="208"/>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PBS Indication:</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Stage IV clear cell variant renal cell carcinoma (RCC)</w:t>
            </w:r>
          </w:p>
        </w:tc>
      </w:tr>
      <w:tr w:rsidR="008B216C" w:rsidRPr="00BE7FA1" w:rsidTr="008B216C">
        <w:trPr>
          <w:cantSplit/>
          <w:trHeight w:val="55"/>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Treatment phase:</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Continuing treatment </w:t>
            </w:r>
            <w:r w:rsidRPr="00BE7FA1">
              <w:rPr>
                <w:rFonts w:asciiTheme="minorHAnsi" w:hAnsiTheme="minorHAnsi"/>
                <w:strike/>
                <w:szCs w:val="20"/>
              </w:rPr>
              <w:t>beyond 3 months</w:t>
            </w:r>
          </w:p>
        </w:tc>
      </w:tr>
      <w:tr w:rsidR="008B216C" w:rsidRPr="00BE7FA1" w:rsidTr="008B216C">
        <w:trPr>
          <w:cantSplit/>
          <w:trHeight w:val="136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Restriction:</w:t>
            </w:r>
          </w:p>
          <w:p w:rsidR="008B216C" w:rsidRPr="00BE7FA1" w:rsidRDefault="008B216C" w:rsidP="008B216C">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Restricted benefit</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In Writing</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3"/>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Telephone</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Emergency</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Check5"/>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Electronic</w:t>
            </w:r>
          </w:p>
          <w:p w:rsidR="008B216C" w:rsidRPr="00BE7FA1" w:rsidRDefault="008B216C" w:rsidP="008B216C">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Streamlined</w:t>
            </w:r>
          </w:p>
        </w:tc>
      </w:tr>
      <w:tr w:rsidR="008B216C" w:rsidRPr="00BE7FA1" w:rsidTr="008B216C">
        <w:trPr>
          <w:cantSplit/>
          <w:trHeight w:val="19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Treatment criteria:</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NA</w:t>
            </w:r>
          </w:p>
        </w:tc>
      </w:tr>
      <w:tr w:rsidR="008B216C" w:rsidRPr="00BE7FA1" w:rsidTr="008B216C">
        <w:trPr>
          <w:cantSplit/>
          <w:trHeight w:val="36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Clinical criteria:</w:t>
            </w:r>
          </w:p>
          <w:p w:rsidR="008B216C" w:rsidRPr="00BE7FA1" w:rsidRDefault="008B216C" w:rsidP="008B216C">
            <w:pPr>
              <w:pStyle w:val="TableLeft"/>
              <w:rPr>
                <w:rStyle w:val="SmallBold"/>
                <w:rFonts w:asciiTheme="minorHAnsi" w:hAnsiTheme="minorHAnsi"/>
                <w:szCs w:val="20"/>
              </w:rPr>
            </w:pPr>
          </w:p>
          <w:p w:rsidR="008B216C" w:rsidRPr="00BE7FA1" w:rsidRDefault="008B216C" w:rsidP="008B216C">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i/>
                <w:szCs w:val="20"/>
              </w:rPr>
            </w:pPr>
            <w:r w:rsidRPr="00444991">
              <w:rPr>
                <w:rFonts w:asciiTheme="minorHAnsi" w:hAnsiTheme="minorHAnsi"/>
                <w:szCs w:val="20"/>
              </w:rPr>
              <w:t xml:space="preserve">Patient must have previously </w:t>
            </w:r>
            <w:r w:rsidRPr="00BE7FA1">
              <w:rPr>
                <w:rFonts w:asciiTheme="minorHAnsi" w:hAnsiTheme="minorHAnsi"/>
                <w:i/>
                <w:szCs w:val="20"/>
              </w:rPr>
              <w:t xml:space="preserve">received PBS-subsidised treatment with this drug for this condition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AND</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Patient must have stable or responding disease according to the Response Evaluation Criteria in Solid Tumours (RECIST),</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AND</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Treatment must be the sole PBS-subsidised therapy for this condition.</w:t>
            </w:r>
          </w:p>
          <w:p w:rsidR="008B216C" w:rsidRPr="00BE7FA1" w:rsidRDefault="008B216C" w:rsidP="008B216C">
            <w:pPr>
              <w:pStyle w:val="TableLeft"/>
              <w:rPr>
                <w:rFonts w:asciiTheme="minorHAnsi" w:hAnsiTheme="minorHAnsi"/>
                <w:i/>
                <w:szCs w:val="20"/>
              </w:rPr>
            </w:pPr>
            <w:r w:rsidRPr="00BE7FA1">
              <w:rPr>
                <w:rFonts w:asciiTheme="minorHAnsi" w:hAnsiTheme="minorHAnsi"/>
                <w:i/>
                <w:szCs w:val="20"/>
              </w:rPr>
              <w:t>AND</w:t>
            </w:r>
          </w:p>
          <w:p w:rsidR="008B216C" w:rsidRPr="00BE7FA1" w:rsidRDefault="008B216C" w:rsidP="008B216C">
            <w:pPr>
              <w:pStyle w:val="TableLeft"/>
              <w:rPr>
                <w:rFonts w:asciiTheme="minorHAnsi" w:hAnsiTheme="minorHAnsi"/>
                <w:i/>
                <w:szCs w:val="20"/>
              </w:rPr>
            </w:pPr>
            <w:r w:rsidRPr="00BE7FA1">
              <w:rPr>
                <w:rFonts w:asciiTheme="minorHAnsi" w:hAnsiTheme="minorHAnsi"/>
                <w:i/>
                <w:szCs w:val="20"/>
              </w:rPr>
              <w:t xml:space="preserve">Patients must not receive PBS-subsidised treatment with this drug if progressive disease develops while on this drug. </w:t>
            </w:r>
          </w:p>
        </w:tc>
      </w:tr>
      <w:tr w:rsidR="008B216C" w:rsidRPr="00BE7FA1" w:rsidTr="008B216C">
        <w:trPr>
          <w:cantSplit/>
          <w:trHeight w:val="217"/>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Population criteria:</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NA</w:t>
            </w:r>
          </w:p>
        </w:tc>
      </w:tr>
      <w:tr w:rsidR="008B216C" w:rsidRPr="00BE7FA1" w:rsidTr="008B216C">
        <w:trPr>
          <w:cantSplit/>
          <w:trHeight w:val="163"/>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Prescriber Instructions</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 </w:t>
            </w:r>
            <w:r w:rsidRPr="00BE7FA1">
              <w:rPr>
                <w:rFonts w:asciiTheme="minorHAnsi" w:hAnsiTheme="minorHAnsi"/>
                <w:strike/>
                <w:szCs w:val="20"/>
              </w:rPr>
              <w:t>A patient who has progressive disease when treated with this cabozantinib is no longer eligible for PBS-subsidised treatment with cabozantinib</w:t>
            </w:r>
            <w:r w:rsidRPr="00BE7FA1">
              <w:rPr>
                <w:rFonts w:asciiTheme="minorHAnsi" w:hAnsiTheme="minorHAnsi"/>
                <w:szCs w:val="20"/>
              </w:rPr>
              <w:t>.</w:t>
            </w:r>
          </w:p>
        </w:tc>
      </w:tr>
      <w:tr w:rsidR="008B216C" w:rsidRPr="00BE7FA1" w:rsidTr="008B216C">
        <w:trPr>
          <w:cantSplit/>
          <w:trHeight w:val="208"/>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Administrative Advice</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NA</w:t>
            </w:r>
          </w:p>
        </w:tc>
      </w:tr>
      <w:tr w:rsidR="008B216C" w:rsidRPr="00BE7FA1" w:rsidTr="008B216C">
        <w:trPr>
          <w:cantSplit/>
          <w:trHeight w:val="360"/>
        </w:trPr>
        <w:tc>
          <w:tcPr>
            <w:tcW w:w="2302" w:type="dxa"/>
            <w:tcBorders>
              <w:top w:val="single" w:sz="4" w:space="0" w:color="auto"/>
              <w:left w:val="single" w:sz="4" w:space="0" w:color="auto"/>
              <w:bottom w:val="single" w:sz="4" w:space="0" w:color="auto"/>
              <w:right w:val="single" w:sz="4" w:space="0" w:color="auto"/>
            </w:tcBorders>
          </w:tcPr>
          <w:p w:rsidR="008B216C" w:rsidRPr="00444991" w:rsidRDefault="008B216C" w:rsidP="008B216C">
            <w:pPr>
              <w:pStyle w:val="TableLeft"/>
              <w:rPr>
                <w:rStyle w:val="SmallBold"/>
                <w:rFonts w:asciiTheme="minorHAnsi" w:hAnsiTheme="minorHAnsi"/>
                <w:szCs w:val="20"/>
              </w:rPr>
            </w:pPr>
            <w:r w:rsidRPr="00BE7FA1">
              <w:rPr>
                <w:rStyle w:val="SmallBold"/>
                <w:rFonts w:asciiTheme="minorHAnsi" w:hAnsiTheme="minorHAnsi"/>
                <w:szCs w:val="20"/>
              </w:rPr>
              <w:t xml:space="preserve">Definitions </w:t>
            </w:r>
          </w:p>
        </w:tc>
        <w:tc>
          <w:tcPr>
            <w:tcW w:w="6770" w:type="dxa"/>
            <w:gridSpan w:val="5"/>
            <w:tcBorders>
              <w:top w:val="single" w:sz="4" w:space="0" w:color="auto"/>
              <w:left w:val="single" w:sz="4" w:space="0" w:color="auto"/>
              <w:bottom w:val="single" w:sz="4" w:space="0" w:color="auto"/>
              <w:right w:val="single" w:sz="4" w:space="0" w:color="auto"/>
            </w:tcBorders>
          </w:tcPr>
          <w:p w:rsidR="008B216C" w:rsidRPr="00BE7FA1" w:rsidRDefault="008B216C" w:rsidP="008B216C">
            <w:pPr>
              <w:pStyle w:val="TableLeft"/>
              <w:rPr>
                <w:rFonts w:asciiTheme="minorHAnsi" w:hAnsiTheme="minorHAnsi"/>
                <w:szCs w:val="20"/>
              </w:rPr>
            </w:pPr>
            <w:r w:rsidRPr="00BE7FA1">
              <w:rPr>
                <w:rFonts w:asciiTheme="minorHAnsi" w:hAnsiTheme="minorHAnsi"/>
                <w:szCs w:val="20"/>
              </w:rPr>
              <w:t>RECIST is defined as follows:</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Complete response (CR) is disappearance of all target lesions.</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Partial response (PR) is a 30% decrease in the sum of the longest diameter of target lesions.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 xml:space="preserve">Progressive disease (PD) is a 20% increase in the sum of the longest diameter of target lesions. </w:t>
            </w:r>
          </w:p>
          <w:p w:rsidR="008B216C" w:rsidRPr="00BE7FA1" w:rsidRDefault="008B216C" w:rsidP="008B216C">
            <w:pPr>
              <w:pStyle w:val="TableLeft"/>
              <w:rPr>
                <w:rFonts w:asciiTheme="minorHAnsi" w:hAnsiTheme="minorHAnsi"/>
                <w:szCs w:val="20"/>
              </w:rPr>
            </w:pPr>
            <w:r w:rsidRPr="00BE7FA1">
              <w:rPr>
                <w:rFonts w:asciiTheme="minorHAnsi" w:hAnsiTheme="minorHAnsi"/>
                <w:szCs w:val="20"/>
              </w:rPr>
              <w:t>Stable disease (SD) is small changes that do not meet above criteria.</w:t>
            </w:r>
          </w:p>
        </w:tc>
      </w:tr>
    </w:tbl>
    <w:p w:rsidR="001740C5" w:rsidRPr="00BE7FA1" w:rsidRDefault="008B216C" w:rsidP="008B216C">
      <w:pPr>
        <w:pStyle w:val="ListParagraph"/>
        <w:numPr>
          <w:ilvl w:val="1"/>
          <w:numId w:val="4"/>
        </w:numPr>
        <w:rPr>
          <w:rFonts w:eastAsiaTheme="majorEastAsia" w:cstheme="majorBidi"/>
          <w:b/>
          <w:sz w:val="32"/>
          <w:szCs w:val="28"/>
        </w:rPr>
      </w:pPr>
      <w:r w:rsidRPr="00BE7FA1">
        <w:t>T</w:t>
      </w:r>
      <w:r w:rsidR="001740C5" w:rsidRPr="00BE7FA1">
        <w:t xml:space="preserve">he recommended dose of cabozantinib in the draft </w:t>
      </w:r>
      <w:r w:rsidR="00694F55" w:rsidRPr="00BE7FA1">
        <w:t>product information (</w:t>
      </w:r>
      <w:r w:rsidR="001740C5" w:rsidRPr="00BE7FA1">
        <w:t>PI</w:t>
      </w:r>
      <w:r w:rsidR="00694F55" w:rsidRPr="00BE7FA1">
        <w:t>)</w:t>
      </w:r>
      <w:r w:rsidR="001740C5" w:rsidRPr="00BE7FA1">
        <w:t xml:space="preserve"> is 60 mg once daily. </w:t>
      </w:r>
    </w:p>
    <w:p w:rsidR="0040499F" w:rsidRPr="00BE7FA1" w:rsidRDefault="00732926" w:rsidP="00A832C9">
      <w:pPr>
        <w:pStyle w:val="ListParagraph"/>
        <w:numPr>
          <w:ilvl w:val="1"/>
          <w:numId w:val="4"/>
        </w:numPr>
      </w:pPr>
      <w:r w:rsidRPr="00BE7FA1">
        <w:t xml:space="preserve">Cabozantinib was proposed as a second-line treatment option in patients with clear cell variant metastatic RCC, who have progressive disease following first-line treatment with a TKI. </w:t>
      </w:r>
      <w:r w:rsidR="0040499F" w:rsidRPr="00BE7FA1">
        <w:t xml:space="preserve">The requested restriction does not restrict use of cabozantinib to patients who have only received one prior line of therapy. In particular, it does not preclude the use of cabozantinib subsequent to treatment with </w:t>
      </w:r>
      <w:r w:rsidR="00BC7370" w:rsidRPr="00BE7FA1">
        <w:t xml:space="preserve">second-line </w:t>
      </w:r>
      <w:r w:rsidR="0040499F" w:rsidRPr="00BE7FA1">
        <w:t>nivolumab</w:t>
      </w:r>
      <w:r w:rsidR="00BC7370" w:rsidRPr="00BE7FA1">
        <w:t xml:space="preserve"> (after a first-line TKI)</w:t>
      </w:r>
      <w:r w:rsidR="0040499F" w:rsidRPr="00BE7FA1">
        <w:t xml:space="preserve">. </w:t>
      </w:r>
    </w:p>
    <w:p w:rsidR="001721D0" w:rsidRPr="00BE7FA1" w:rsidRDefault="001721D0" w:rsidP="00A832C9">
      <w:pPr>
        <w:pStyle w:val="ListParagraph"/>
        <w:numPr>
          <w:ilvl w:val="1"/>
          <w:numId w:val="4"/>
        </w:numPr>
      </w:pPr>
      <w:r w:rsidRPr="00BE7FA1">
        <w:lastRenderedPageBreak/>
        <w:t>If cabozantinib is listed, it is likely that nivolumab and cabozantinib will be used sequentially (in either order) in these patients, i.e. as second- and third-line treatment, consistent with the recommendations in European Society of Medical Oncology (ESMO)</w:t>
      </w:r>
      <w:r w:rsidR="006124B8" w:rsidRPr="00BE7FA1">
        <w:t xml:space="preserve"> guidelines for RCC</w:t>
      </w:r>
      <w:r w:rsidRPr="00BE7FA1">
        <w:rPr>
          <w:rStyle w:val="FootnoteReference"/>
        </w:rPr>
        <w:t xml:space="preserve"> </w:t>
      </w:r>
      <w:r w:rsidRPr="00BE7FA1">
        <w:rPr>
          <w:rStyle w:val="FootnoteReference"/>
        </w:rPr>
        <w:footnoteReference w:id="1"/>
      </w:r>
      <w:r w:rsidR="006124B8" w:rsidRPr="00BE7FA1">
        <w:t>.</w:t>
      </w:r>
    </w:p>
    <w:p w:rsidR="00301538" w:rsidRPr="00BE7FA1" w:rsidRDefault="00301538" w:rsidP="00A832C9">
      <w:pPr>
        <w:pStyle w:val="ListParagraph"/>
        <w:numPr>
          <w:ilvl w:val="1"/>
          <w:numId w:val="4"/>
        </w:numPr>
      </w:pPr>
      <w:r w:rsidRPr="00BE7FA1">
        <w:t>Under the requested listing, eligibility for initiation of cabozantinib would be limited to patients with Stage IV disease and with a World Health Organisation (WHO) performance status of 2 or less. In the key cabozantinib trial, 85% of patient</w:t>
      </w:r>
      <w:r w:rsidR="00D81449" w:rsidRPr="00BE7FA1">
        <w:t>s</w:t>
      </w:r>
      <w:r w:rsidRPr="00BE7FA1">
        <w:t xml:space="preserve"> were confirmed to have Stage IV disease. Choueiri 2016</w:t>
      </w:r>
      <w:r w:rsidRPr="00BE7FA1">
        <w:rPr>
          <w:rStyle w:val="FootnoteReference"/>
        </w:rPr>
        <w:footnoteReference w:id="2"/>
      </w:r>
      <w:r w:rsidRPr="00BE7FA1">
        <w:t xml:space="preserve"> reported that all patients had an Eastern Cooperative Oncology Group (ECOG)/WHO performance status of 0 or 1. </w:t>
      </w:r>
    </w:p>
    <w:p w:rsidR="00062DF0" w:rsidRPr="00BE7FA1" w:rsidRDefault="00AA7041" w:rsidP="00A832C9">
      <w:pPr>
        <w:pStyle w:val="ListParagraph"/>
        <w:numPr>
          <w:ilvl w:val="1"/>
          <w:numId w:val="4"/>
        </w:numPr>
      </w:pPr>
      <w:r w:rsidRPr="00BE7FA1">
        <w:t>T</w:t>
      </w:r>
      <w:r w:rsidR="00062DF0" w:rsidRPr="00BE7FA1">
        <w:t xml:space="preserve">he clinical criteria proposed in the restriction included </w:t>
      </w:r>
      <w:r w:rsidR="00D81449" w:rsidRPr="00BE7FA1">
        <w:t>ongoing</w:t>
      </w:r>
      <w:r w:rsidR="00062DF0" w:rsidRPr="00BE7FA1">
        <w:t xml:space="preserve"> stable or r</w:t>
      </w:r>
      <w:r w:rsidR="004D3A67" w:rsidRPr="00BE7FA1">
        <w:t xml:space="preserve">esponding disease according to RECIST. The ESC noted that patients are likely to be assessed for </w:t>
      </w:r>
      <w:r w:rsidR="00D81449" w:rsidRPr="00BE7FA1">
        <w:t>radiographic</w:t>
      </w:r>
      <w:r w:rsidR="006279D1" w:rsidRPr="00BE7FA1">
        <w:t xml:space="preserve"> progression</w:t>
      </w:r>
      <w:r w:rsidR="00D81449" w:rsidRPr="00BE7FA1">
        <w:t xml:space="preserve"> </w:t>
      </w:r>
      <w:r w:rsidR="004D3A67" w:rsidRPr="00BE7FA1">
        <w:t>l</w:t>
      </w:r>
      <w:r w:rsidRPr="00BE7FA1">
        <w:t>ess regularly in</w:t>
      </w:r>
      <w:r w:rsidR="00D81449" w:rsidRPr="00BE7FA1">
        <w:t xml:space="preserve"> clinical practice compared to </w:t>
      </w:r>
      <w:r w:rsidR="00CF7A65">
        <w:t xml:space="preserve">in </w:t>
      </w:r>
      <w:r w:rsidRPr="00BE7FA1">
        <w:t>trials</w:t>
      </w:r>
      <w:r w:rsidR="00CF7A65">
        <w:t>.</w:t>
      </w:r>
      <w:r w:rsidR="004D3A67" w:rsidRPr="00BE7FA1">
        <w:t xml:space="preserve"> </w:t>
      </w:r>
    </w:p>
    <w:p w:rsidR="00073FA9" w:rsidRPr="00BE7FA1" w:rsidRDefault="00732926" w:rsidP="00A832C9">
      <w:pPr>
        <w:pStyle w:val="ListParagraph"/>
        <w:numPr>
          <w:ilvl w:val="1"/>
          <w:numId w:val="4"/>
        </w:numPr>
      </w:pPr>
      <w:r w:rsidRPr="00BE7FA1">
        <w:t>The submission stated that the sponsor intends to enter into a special pricing arrangement for cabozantinib, but noted that the effective price could not be established until the effective prices for currently listed treatments are known.</w:t>
      </w:r>
    </w:p>
    <w:p w:rsidR="0056675F" w:rsidRPr="00BE7FA1" w:rsidRDefault="0056675F" w:rsidP="0056675F">
      <w:pPr>
        <w:pStyle w:val="PBACHeading1"/>
        <w:rPr>
          <w:rFonts w:asciiTheme="minorHAnsi" w:hAnsiTheme="minorHAnsi"/>
          <w:b w:val="0"/>
          <w:i/>
          <w:sz w:val="24"/>
        </w:rPr>
      </w:pPr>
      <w:r w:rsidRPr="00BE7FA1">
        <w:rPr>
          <w:rFonts w:asciiTheme="minorHAnsi" w:hAnsiTheme="minorHAnsi"/>
          <w:b w:val="0"/>
          <w:i/>
          <w:sz w:val="24"/>
        </w:rPr>
        <w:t>For more detail on PBAC’s view, see section 7 PBAC outcome.</w:t>
      </w:r>
    </w:p>
    <w:p w:rsidR="00C317F3" w:rsidRDefault="00C317F3" w:rsidP="00D810AA">
      <w:pPr>
        <w:pStyle w:val="Heading1"/>
        <w:spacing w:after="0"/>
        <w:ind w:left="709" w:hanging="709"/>
      </w:pPr>
      <w:bookmarkStart w:id="6" w:name="_Toc413139273"/>
      <w:bookmarkStart w:id="7" w:name="_Toc497314998"/>
      <w:r w:rsidRPr="00BE7FA1">
        <w:t>Background</w:t>
      </w:r>
      <w:bookmarkEnd w:id="6"/>
      <w:bookmarkEnd w:id="7"/>
    </w:p>
    <w:p w:rsidR="00D810AA" w:rsidRPr="00D810AA" w:rsidRDefault="00D810AA" w:rsidP="00D810AA">
      <w:pPr>
        <w:spacing w:before="0" w:after="0"/>
      </w:pPr>
    </w:p>
    <w:p w:rsidR="0017638E" w:rsidRPr="00BE7FA1" w:rsidRDefault="0017638E" w:rsidP="007E35B7">
      <w:pPr>
        <w:pStyle w:val="Heading2"/>
        <w:spacing w:before="0"/>
        <w:rPr>
          <w:i w:val="0"/>
        </w:rPr>
      </w:pPr>
      <w:bookmarkStart w:id="8" w:name="_Toc496534935"/>
      <w:bookmarkStart w:id="9" w:name="_Toc496535161"/>
      <w:bookmarkStart w:id="10" w:name="_Toc497314999"/>
      <w:r w:rsidRPr="00BE7FA1">
        <w:rPr>
          <w:i w:val="0"/>
        </w:rPr>
        <w:t>Registration status</w:t>
      </w:r>
      <w:bookmarkEnd w:id="8"/>
      <w:bookmarkEnd w:id="9"/>
      <w:bookmarkEnd w:id="10"/>
    </w:p>
    <w:p w:rsidR="00AC1607" w:rsidRPr="00BE7FA1" w:rsidRDefault="00C317F3" w:rsidP="00C01DA5">
      <w:pPr>
        <w:pStyle w:val="PBACHeading1"/>
        <w:numPr>
          <w:ilvl w:val="1"/>
          <w:numId w:val="4"/>
        </w:numPr>
        <w:spacing w:before="0" w:line="276" w:lineRule="auto"/>
        <w:rPr>
          <w:rFonts w:asciiTheme="minorHAnsi" w:hAnsiTheme="minorHAnsi"/>
          <w:b w:val="0"/>
          <w:sz w:val="24"/>
        </w:rPr>
      </w:pPr>
      <w:r w:rsidRPr="00BE7FA1">
        <w:rPr>
          <w:rFonts w:asciiTheme="minorHAnsi" w:hAnsiTheme="minorHAnsi"/>
          <w:b w:val="0"/>
          <w:sz w:val="24"/>
        </w:rPr>
        <w:t xml:space="preserve">The submission was made under TGA/PBAC Parallel Process.  At the time of </w:t>
      </w:r>
      <w:r w:rsidR="00C46AE5" w:rsidRPr="00BE7FA1">
        <w:rPr>
          <w:rFonts w:asciiTheme="minorHAnsi" w:hAnsiTheme="minorHAnsi"/>
          <w:b w:val="0"/>
          <w:sz w:val="24"/>
        </w:rPr>
        <w:t xml:space="preserve">evaluation for </w:t>
      </w:r>
      <w:r w:rsidRPr="00BE7FA1">
        <w:rPr>
          <w:rFonts w:asciiTheme="minorHAnsi" w:hAnsiTheme="minorHAnsi"/>
          <w:b w:val="0"/>
          <w:sz w:val="24"/>
        </w:rPr>
        <w:t xml:space="preserve">PBAC consideration, </w:t>
      </w:r>
      <w:r w:rsidR="00F77464" w:rsidRPr="00BE7FA1">
        <w:rPr>
          <w:rFonts w:asciiTheme="minorHAnsi" w:hAnsiTheme="minorHAnsi"/>
          <w:b w:val="0"/>
          <w:sz w:val="24"/>
        </w:rPr>
        <w:t>the TGA clinical evaluator’s report (Round 1) was available. The T</w:t>
      </w:r>
      <w:r w:rsidR="00411DD9" w:rsidRPr="00BE7FA1">
        <w:rPr>
          <w:rFonts w:asciiTheme="minorHAnsi" w:hAnsiTheme="minorHAnsi"/>
          <w:b w:val="0"/>
          <w:sz w:val="24"/>
        </w:rPr>
        <w:t>GA D</w:t>
      </w:r>
      <w:r w:rsidR="00F77464" w:rsidRPr="00BE7FA1">
        <w:rPr>
          <w:rFonts w:asciiTheme="minorHAnsi" w:hAnsiTheme="minorHAnsi"/>
          <w:b w:val="0"/>
          <w:sz w:val="24"/>
        </w:rPr>
        <w:t xml:space="preserve">elegate’s </w:t>
      </w:r>
      <w:r w:rsidR="00411DD9" w:rsidRPr="00BE7FA1">
        <w:rPr>
          <w:rFonts w:asciiTheme="minorHAnsi" w:hAnsiTheme="minorHAnsi"/>
          <w:b w:val="0"/>
          <w:sz w:val="24"/>
        </w:rPr>
        <w:t>Overview for</w:t>
      </w:r>
      <w:r w:rsidR="00F77464" w:rsidRPr="00BE7FA1">
        <w:rPr>
          <w:rFonts w:asciiTheme="minorHAnsi" w:hAnsiTheme="minorHAnsi"/>
          <w:b w:val="0"/>
          <w:sz w:val="24"/>
        </w:rPr>
        <w:t xml:space="preserve"> cabozantinib was </w:t>
      </w:r>
      <w:r w:rsidR="00411DD9" w:rsidRPr="00BE7FA1">
        <w:rPr>
          <w:rFonts w:asciiTheme="minorHAnsi" w:hAnsiTheme="minorHAnsi"/>
          <w:b w:val="0"/>
          <w:sz w:val="24"/>
        </w:rPr>
        <w:t>provided with the Pre-Sub-Committee Response (PSCR)</w:t>
      </w:r>
      <w:r w:rsidR="00F77464" w:rsidRPr="00BE7FA1">
        <w:rPr>
          <w:rFonts w:asciiTheme="minorHAnsi" w:hAnsiTheme="minorHAnsi"/>
          <w:b w:val="0"/>
          <w:sz w:val="24"/>
        </w:rPr>
        <w:t xml:space="preserve">, </w:t>
      </w:r>
      <w:r w:rsidR="00411DD9" w:rsidRPr="00BE7FA1">
        <w:rPr>
          <w:rFonts w:asciiTheme="minorHAnsi" w:hAnsiTheme="minorHAnsi"/>
          <w:b w:val="0"/>
          <w:sz w:val="24"/>
        </w:rPr>
        <w:t>while the delegate’s decision i</w:t>
      </w:r>
      <w:r w:rsidR="00F77464" w:rsidRPr="00BE7FA1">
        <w:rPr>
          <w:rFonts w:asciiTheme="minorHAnsi" w:hAnsiTheme="minorHAnsi"/>
          <w:b w:val="0"/>
          <w:sz w:val="24"/>
        </w:rPr>
        <w:t xml:space="preserve">s expected in January 2018. </w:t>
      </w:r>
    </w:p>
    <w:p w:rsidR="00AC1607" w:rsidRPr="00BE7FA1" w:rsidRDefault="00AC1607" w:rsidP="007E35B7">
      <w:pPr>
        <w:pStyle w:val="PBACHeading1"/>
        <w:numPr>
          <w:ilvl w:val="1"/>
          <w:numId w:val="4"/>
        </w:numPr>
        <w:spacing w:before="0" w:line="276" w:lineRule="auto"/>
        <w:rPr>
          <w:rFonts w:asciiTheme="minorHAnsi" w:hAnsiTheme="minorHAnsi"/>
          <w:b w:val="0"/>
          <w:sz w:val="24"/>
        </w:rPr>
      </w:pPr>
      <w:r w:rsidRPr="00BE7FA1">
        <w:rPr>
          <w:rFonts w:asciiTheme="minorHAnsi" w:hAnsiTheme="minorHAnsi"/>
          <w:b w:val="0"/>
          <w:sz w:val="24"/>
        </w:rPr>
        <w:t xml:space="preserve">The proposed TGA indication for cabozantinib was for treatment of advanced RCC in adults following prior therapy. The TGA evaluator recommended that the indication should be amended to: the treatment of advanced RCC in adults following prior treatment with </w:t>
      </w:r>
      <w:r w:rsidR="00694F55" w:rsidRPr="00BE7FA1">
        <w:rPr>
          <w:rFonts w:asciiTheme="minorHAnsi" w:hAnsiTheme="minorHAnsi"/>
          <w:b w:val="0"/>
          <w:sz w:val="24"/>
        </w:rPr>
        <w:t>vascular endothelial growth factor receptor (</w:t>
      </w:r>
      <w:r w:rsidRPr="00BE7FA1">
        <w:rPr>
          <w:rFonts w:asciiTheme="minorHAnsi" w:hAnsiTheme="minorHAnsi"/>
          <w:b w:val="0"/>
          <w:sz w:val="24"/>
        </w:rPr>
        <w:t>VEGF</w:t>
      </w:r>
      <w:r w:rsidR="00694F55" w:rsidRPr="00BE7FA1">
        <w:rPr>
          <w:rFonts w:asciiTheme="minorHAnsi" w:hAnsiTheme="minorHAnsi"/>
          <w:b w:val="0"/>
          <w:sz w:val="24"/>
        </w:rPr>
        <w:t>R)</w:t>
      </w:r>
      <w:r w:rsidRPr="00BE7FA1">
        <w:rPr>
          <w:rFonts w:asciiTheme="minorHAnsi" w:hAnsiTheme="minorHAnsi"/>
          <w:b w:val="0"/>
          <w:sz w:val="24"/>
        </w:rPr>
        <w:t>-targeted therapy (Section 11.1, p112 TGA Clinical Evaluation Report).</w:t>
      </w:r>
      <w:r w:rsidR="00411DD9" w:rsidRPr="00BE7FA1">
        <w:rPr>
          <w:rFonts w:asciiTheme="minorHAnsi" w:hAnsiTheme="minorHAnsi"/>
          <w:b w:val="0"/>
          <w:sz w:val="24"/>
        </w:rPr>
        <w:t xml:space="preserve"> The proposed indication presented in the Delegate’s Overview was consistent with this recommendation.</w:t>
      </w:r>
    </w:p>
    <w:p w:rsidR="00C317F3" w:rsidRPr="00BE7FA1" w:rsidRDefault="00C317F3" w:rsidP="00E17A8F">
      <w:pPr>
        <w:pStyle w:val="Heading1"/>
        <w:spacing w:before="0" w:after="0"/>
        <w:ind w:left="709" w:hanging="709"/>
      </w:pPr>
      <w:bookmarkStart w:id="11" w:name="_Toc497315000"/>
      <w:r w:rsidRPr="00BE7FA1">
        <w:t>Population and disease</w:t>
      </w:r>
      <w:bookmarkEnd w:id="11"/>
    </w:p>
    <w:p w:rsidR="005E7484" w:rsidRPr="00BE7FA1" w:rsidRDefault="005E7484" w:rsidP="007E35B7">
      <w:pPr>
        <w:pStyle w:val="ListParagraph"/>
        <w:numPr>
          <w:ilvl w:val="0"/>
          <w:numId w:val="4"/>
        </w:numPr>
        <w:spacing w:before="0" w:after="0"/>
        <w:jc w:val="left"/>
        <w:rPr>
          <w:rFonts w:ascii="Arial" w:eastAsia="Times New Roman" w:hAnsi="Arial" w:cs="Arial"/>
          <w:b/>
          <w:snapToGrid w:val="0"/>
          <w:vanish/>
          <w:sz w:val="22"/>
        </w:rPr>
      </w:pPr>
    </w:p>
    <w:p w:rsidR="00AC1607" w:rsidRPr="00BE7FA1" w:rsidRDefault="00FD5F95" w:rsidP="00BD4293">
      <w:pPr>
        <w:pStyle w:val="ListParagraph"/>
        <w:numPr>
          <w:ilvl w:val="1"/>
          <w:numId w:val="4"/>
        </w:numPr>
        <w:spacing w:before="0"/>
      </w:pPr>
      <w:r w:rsidRPr="00BE7FA1">
        <w:t xml:space="preserve">RCC is a type of cancer originating from the lining of renal tubules of the kidney. It is the most common form of </w:t>
      </w:r>
      <w:r w:rsidR="008B216C" w:rsidRPr="00BE7FA1">
        <w:t>kidney cancer accounting for 80</w:t>
      </w:r>
      <w:r w:rsidRPr="00BE7FA1">
        <w:t>-95% of all cases. Kidney cancer is more frequently reported in males than in females. In 2013, there were 2,256 cases of kidney cancer in males and 1,256 cases in females. Most RCC patients are diagnosed with advanced disease, and this is often resistant to systemic therapy.</w:t>
      </w:r>
    </w:p>
    <w:p w:rsidR="00FD5F95" w:rsidRPr="00BE7FA1" w:rsidRDefault="00FD5F95" w:rsidP="00FD5F95">
      <w:pPr>
        <w:pStyle w:val="ListParagraph"/>
        <w:numPr>
          <w:ilvl w:val="1"/>
          <w:numId w:val="4"/>
        </w:numPr>
      </w:pPr>
      <w:r w:rsidRPr="00BE7FA1">
        <w:lastRenderedPageBreak/>
        <w:t xml:space="preserve">First line treatment options for advanced RCC include the currently PBS listed tyrosine kinase inhibitors (TKIs), sunitinib and pazopanib. </w:t>
      </w:r>
      <w:r w:rsidR="00843DE0" w:rsidRPr="00BE7FA1">
        <w:t>At the time the submission was lodged,</w:t>
      </w:r>
      <w:r w:rsidRPr="00BE7FA1">
        <w:t xml:space="preserve"> PBS</w:t>
      </w:r>
      <w:r w:rsidR="00843DE0" w:rsidRPr="00BE7FA1">
        <w:t xml:space="preserve"> listed</w:t>
      </w:r>
      <w:r w:rsidRPr="00BE7FA1">
        <w:t xml:space="preserve"> items for second line therapy include</w:t>
      </w:r>
      <w:r w:rsidR="00843DE0" w:rsidRPr="00BE7FA1">
        <w:t>d</w:t>
      </w:r>
      <w:r w:rsidRPr="00BE7FA1">
        <w:t xml:space="preserve"> everolimus, axitinib and sorafenib. </w:t>
      </w:r>
    </w:p>
    <w:p w:rsidR="00FD5F95" w:rsidRPr="00BE7FA1" w:rsidRDefault="00FD5F95" w:rsidP="00FD5F95">
      <w:pPr>
        <w:pStyle w:val="ListParagraph"/>
        <w:numPr>
          <w:ilvl w:val="1"/>
          <w:numId w:val="4"/>
        </w:numPr>
        <w:rPr>
          <w:rFonts w:ascii="Arial" w:eastAsia="Times New Roman" w:hAnsi="Arial" w:cs="Arial"/>
          <w:bCs/>
          <w:snapToGrid w:val="0"/>
          <w:sz w:val="22"/>
          <w:szCs w:val="20"/>
        </w:rPr>
      </w:pPr>
      <w:r w:rsidRPr="00BE7FA1">
        <w:t>Most recently, in March 2017, the PBAC recommended the listing of nivolumab as a treatment option for patients with advanced RCC in a second line setting, as a potential alternative to the currently available drugs. The PBAC considered that for some patients nivolumab provided a significant improvement in efficacy and a reduction in toxicity over everolimus, which was the nominated comparat</w:t>
      </w:r>
      <w:r w:rsidR="00BD4293">
        <w:t xml:space="preserve">or (paragraph 7.1, nivolumab </w:t>
      </w:r>
      <w:r w:rsidR="00A713F0">
        <w:t>Public Summary Document</w:t>
      </w:r>
      <w:r w:rsidRPr="00BE7FA1">
        <w:t xml:space="preserve">, March 2017). </w:t>
      </w:r>
    </w:p>
    <w:p w:rsidR="00843DE0" w:rsidRPr="00BE7FA1" w:rsidRDefault="00843DE0" w:rsidP="00FD5F95">
      <w:pPr>
        <w:pStyle w:val="ListParagraph"/>
        <w:numPr>
          <w:ilvl w:val="1"/>
          <w:numId w:val="4"/>
        </w:numPr>
        <w:rPr>
          <w:rFonts w:ascii="Arial" w:eastAsia="Times New Roman" w:hAnsi="Arial" w:cs="Arial"/>
          <w:bCs/>
          <w:snapToGrid w:val="0"/>
          <w:sz w:val="22"/>
          <w:szCs w:val="20"/>
        </w:rPr>
      </w:pPr>
      <w:r w:rsidRPr="00BE7FA1">
        <w:t>The ESMO, National Comprehensive Cancer Network (NCCN) and European Association of Urology (EAU) guidelines for RCC all recommend the use of nivolumab or cabozantinib in preference to everolimus or axitinib in patients who have progressed following first-line treatment with a VEFG-targeted therapy</w:t>
      </w:r>
      <w:r w:rsidRPr="00BE7FA1">
        <w:rPr>
          <w:rStyle w:val="FootnoteReference"/>
        </w:rPr>
        <w:footnoteReference w:id="3"/>
      </w:r>
      <w:r w:rsidRPr="00BE7FA1">
        <w:t>.</w:t>
      </w:r>
    </w:p>
    <w:p w:rsidR="0056675F" w:rsidRPr="00BE7FA1" w:rsidRDefault="001C48D6" w:rsidP="0056675F">
      <w:pPr>
        <w:pStyle w:val="ListParagraph"/>
        <w:numPr>
          <w:ilvl w:val="1"/>
          <w:numId w:val="4"/>
        </w:numPr>
        <w:spacing w:before="0" w:line="259" w:lineRule="auto"/>
        <w:jc w:val="left"/>
        <w:rPr>
          <w:rFonts w:eastAsiaTheme="majorEastAsia" w:cstheme="majorBidi"/>
          <w:b/>
          <w:sz w:val="32"/>
          <w:szCs w:val="28"/>
        </w:rPr>
      </w:pPr>
      <w:r w:rsidRPr="00BE7FA1">
        <w:t xml:space="preserve">The submission </w:t>
      </w:r>
      <w:r w:rsidR="00897282" w:rsidRPr="00BE7FA1">
        <w:t xml:space="preserve">indicated that cabozantinib would be an alternative to nivolumab in the second-line setting, displacing everolimus, axitinib and sorafenib to third- and later-lines of therapy. </w:t>
      </w:r>
      <w:r w:rsidR="0037327E" w:rsidRPr="00BE7FA1">
        <w:t xml:space="preserve">The submission </w:t>
      </w:r>
      <w:r w:rsidR="00B8598C" w:rsidRPr="00BE7FA1">
        <w:t xml:space="preserve">also </w:t>
      </w:r>
      <w:r w:rsidR="0037327E" w:rsidRPr="00BE7FA1">
        <w:t>indicated that c</w:t>
      </w:r>
      <w:r w:rsidR="00897282" w:rsidRPr="00BE7FA1">
        <w:t>abozantinib may also be used as third-line therapy in patients with progressive disease following second-line nivolumab (and vice versa).</w:t>
      </w:r>
      <w:r w:rsidR="00DA230E" w:rsidRPr="00BE7FA1">
        <w:t xml:space="preserve"> </w:t>
      </w:r>
      <w:bookmarkStart w:id="12" w:name="_Toc413139275"/>
      <w:bookmarkStart w:id="13" w:name="_Toc497315001"/>
    </w:p>
    <w:p w:rsidR="00DD0C61" w:rsidRDefault="0056675F" w:rsidP="00D810AA">
      <w:pPr>
        <w:pStyle w:val="PBACHeading1"/>
        <w:rPr>
          <w:rFonts w:asciiTheme="minorHAnsi" w:hAnsiTheme="minorHAnsi"/>
          <w:b w:val="0"/>
          <w:i/>
          <w:sz w:val="24"/>
        </w:rPr>
      </w:pPr>
      <w:r w:rsidRPr="00BE7FA1">
        <w:rPr>
          <w:rFonts w:asciiTheme="minorHAnsi" w:hAnsiTheme="minorHAnsi"/>
          <w:b w:val="0"/>
          <w:i/>
          <w:sz w:val="24"/>
        </w:rPr>
        <w:t>For more detail on PBAC’s view, see section 7 PBAC outcome.</w:t>
      </w:r>
    </w:p>
    <w:p w:rsidR="00D810AA" w:rsidRPr="00BE7FA1" w:rsidRDefault="00D810AA" w:rsidP="00D810AA">
      <w:pPr>
        <w:pStyle w:val="PBACHeading1"/>
        <w:numPr>
          <w:ilvl w:val="0"/>
          <w:numId w:val="0"/>
        </w:numPr>
        <w:spacing w:before="0" w:after="0"/>
        <w:rPr>
          <w:rFonts w:asciiTheme="minorHAnsi" w:hAnsiTheme="minorHAnsi"/>
          <w:b w:val="0"/>
          <w:i/>
          <w:sz w:val="24"/>
        </w:rPr>
      </w:pPr>
    </w:p>
    <w:p w:rsidR="00D810AA" w:rsidRDefault="00C317F3" w:rsidP="00D810AA">
      <w:pPr>
        <w:pStyle w:val="Heading1"/>
        <w:spacing w:before="0" w:after="0"/>
        <w:ind w:left="709" w:hanging="709"/>
      </w:pPr>
      <w:r w:rsidRPr="00BE7FA1">
        <w:t>Comparator</w:t>
      </w:r>
      <w:bookmarkEnd w:id="12"/>
      <w:bookmarkEnd w:id="13"/>
    </w:p>
    <w:p w:rsidR="00D810AA" w:rsidRPr="00D810AA" w:rsidRDefault="00D810AA" w:rsidP="00D810AA">
      <w:pPr>
        <w:rPr>
          <w:sz w:val="6"/>
        </w:rPr>
      </w:pPr>
    </w:p>
    <w:p w:rsidR="006A14A0" w:rsidRPr="00BE7FA1" w:rsidRDefault="00BB1CED" w:rsidP="00D810AA">
      <w:pPr>
        <w:pStyle w:val="ListParagraph"/>
        <w:numPr>
          <w:ilvl w:val="1"/>
          <w:numId w:val="4"/>
        </w:numPr>
        <w:spacing w:before="0" w:line="259" w:lineRule="auto"/>
        <w:jc w:val="left"/>
      </w:pPr>
      <w:r w:rsidRPr="00BE7FA1">
        <w:t xml:space="preserve">The submission nominated everolimus as the main comparator, axitinib as a secondary comparator, and nivolumab as a near market comparator. </w:t>
      </w:r>
    </w:p>
    <w:p w:rsidR="000F3866" w:rsidRPr="00BE7FA1" w:rsidRDefault="00843DE0" w:rsidP="00A832C9">
      <w:pPr>
        <w:pStyle w:val="ListParagraph"/>
        <w:numPr>
          <w:ilvl w:val="1"/>
          <w:numId w:val="4"/>
        </w:numPr>
      </w:pPr>
      <w:r w:rsidRPr="00BE7FA1">
        <w:t xml:space="preserve">Given its recent PBS-listing, </w:t>
      </w:r>
      <w:r w:rsidR="000F3866" w:rsidRPr="00BE7FA1">
        <w:t xml:space="preserve">nivolumab was considered </w:t>
      </w:r>
      <w:r w:rsidR="00BE7FA1" w:rsidRPr="00BE7FA1">
        <w:t>the</w:t>
      </w:r>
      <w:r w:rsidR="000F3866" w:rsidRPr="00BE7FA1">
        <w:t xml:space="preserve"> most </w:t>
      </w:r>
      <w:r w:rsidR="0037327E" w:rsidRPr="00BE7FA1">
        <w:t>relevant</w:t>
      </w:r>
      <w:r w:rsidR="000F3866" w:rsidRPr="00BE7FA1">
        <w:t xml:space="preserve"> </w:t>
      </w:r>
      <w:r w:rsidR="006A14A0" w:rsidRPr="00BE7FA1">
        <w:t>comparator</w:t>
      </w:r>
      <w:r w:rsidR="000F3866" w:rsidRPr="00BE7FA1">
        <w:t xml:space="preserve"> in the second-line setting, following first-line treatment with a TKI.  </w:t>
      </w:r>
    </w:p>
    <w:p w:rsidR="00DD5E61" w:rsidRPr="00BE7FA1" w:rsidRDefault="009E4D4D" w:rsidP="00A832C9">
      <w:pPr>
        <w:pStyle w:val="ListParagraph"/>
        <w:numPr>
          <w:ilvl w:val="1"/>
          <w:numId w:val="4"/>
        </w:numPr>
      </w:pPr>
      <w:r w:rsidRPr="00BE7FA1">
        <w:t xml:space="preserve">Everolimus is an appropriate alternative comparator for cabozantinib in the second-line setting, especially for </w:t>
      </w:r>
      <w:proofErr w:type="gramStart"/>
      <w:r w:rsidRPr="00BE7FA1">
        <w:t>patients</w:t>
      </w:r>
      <w:proofErr w:type="gramEnd"/>
      <w:r w:rsidRPr="00BE7FA1">
        <w:t xml:space="preserve"> who prefer an oral, rather than an intravenous, </w:t>
      </w:r>
      <w:r w:rsidR="00FB1C6B" w:rsidRPr="00BE7FA1">
        <w:t>treatment</w:t>
      </w:r>
      <w:r w:rsidRPr="00BE7FA1">
        <w:t xml:space="preserve">. </w:t>
      </w:r>
      <w:r w:rsidR="00DD5E61" w:rsidRPr="00BE7FA1">
        <w:t xml:space="preserve">Everolimus </w:t>
      </w:r>
      <w:r w:rsidR="00DA230E" w:rsidRPr="00BE7FA1">
        <w:t xml:space="preserve">and axitinib </w:t>
      </w:r>
      <w:r w:rsidR="00DD5E61" w:rsidRPr="00BE7FA1">
        <w:t xml:space="preserve">would </w:t>
      </w:r>
      <w:r w:rsidR="00DA230E" w:rsidRPr="00BE7FA1">
        <w:t>be</w:t>
      </w:r>
      <w:r w:rsidR="00DD5E61" w:rsidRPr="00BE7FA1">
        <w:t xml:space="preserve"> appropriate comparator</w:t>
      </w:r>
      <w:r w:rsidR="00DA230E" w:rsidRPr="00BE7FA1">
        <w:t>s</w:t>
      </w:r>
      <w:r w:rsidR="00DD5E61" w:rsidRPr="00BE7FA1">
        <w:t xml:space="preserve"> for cabozantinib in the third-line setting, following prior treatment with a first-line TKI and second-line nivolumab. Only 5% of patients in the METEOR trial had previously received both a </w:t>
      </w:r>
      <w:r w:rsidR="00E64AF2" w:rsidRPr="00BE7FA1">
        <w:t>TKI</w:t>
      </w:r>
      <w:r w:rsidR="00DD5E61" w:rsidRPr="00BE7FA1">
        <w:t xml:space="preserve"> and nivolumab. </w:t>
      </w:r>
    </w:p>
    <w:p w:rsidR="00301538" w:rsidRPr="00BE7FA1" w:rsidRDefault="00301538" w:rsidP="00D810AA">
      <w:pPr>
        <w:pStyle w:val="ListParagraph"/>
        <w:numPr>
          <w:ilvl w:val="1"/>
          <w:numId w:val="4"/>
        </w:numPr>
        <w:spacing w:after="0"/>
      </w:pPr>
      <w:r w:rsidRPr="00BE7FA1">
        <w:t>The comparison of cabozantinib with axitinib</w:t>
      </w:r>
      <w:r w:rsidR="006A14A0" w:rsidRPr="00BE7FA1">
        <w:t xml:space="preserve">, based on an indirect comparison via an evidence network, </w:t>
      </w:r>
      <w:r w:rsidRPr="00BE7FA1">
        <w:t xml:space="preserve">was presented in Attachment 11 to the submission. The submission stated that this comparison was considered supportive information only. </w:t>
      </w:r>
    </w:p>
    <w:p w:rsidR="00D810AA" w:rsidRDefault="00D810AA" w:rsidP="00D810AA">
      <w:pPr>
        <w:pStyle w:val="PBACHeading1"/>
        <w:spacing w:before="0" w:after="0"/>
        <w:rPr>
          <w:rFonts w:asciiTheme="minorHAnsi" w:hAnsiTheme="minorHAnsi"/>
          <w:b w:val="0"/>
          <w:i/>
          <w:sz w:val="24"/>
        </w:rPr>
      </w:pPr>
    </w:p>
    <w:p w:rsidR="0056675F" w:rsidRPr="00BE7FA1" w:rsidRDefault="0056675F" w:rsidP="00D810AA">
      <w:pPr>
        <w:pStyle w:val="PBACHeading1"/>
        <w:numPr>
          <w:ilvl w:val="0"/>
          <w:numId w:val="0"/>
        </w:numPr>
        <w:spacing w:before="0"/>
        <w:ind w:firstLine="709"/>
        <w:rPr>
          <w:rFonts w:asciiTheme="minorHAnsi" w:hAnsiTheme="minorHAnsi"/>
          <w:b w:val="0"/>
          <w:i/>
          <w:sz w:val="24"/>
        </w:rPr>
      </w:pPr>
      <w:r w:rsidRPr="00BE7FA1">
        <w:rPr>
          <w:rFonts w:asciiTheme="minorHAnsi" w:hAnsiTheme="minorHAnsi"/>
          <w:b w:val="0"/>
          <w:i/>
          <w:sz w:val="24"/>
        </w:rPr>
        <w:t>For more detail on PBAC’s view, see section 7 PBAC outcome.</w:t>
      </w:r>
    </w:p>
    <w:p w:rsidR="00C317F3" w:rsidRPr="00BE7FA1" w:rsidRDefault="00C317F3" w:rsidP="002001C6">
      <w:pPr>
        <w:pStyle w:val="Heading1"/>
        <w:ind w:left="709" w:hanging="709"/>
      </w:pPr>
      <w:bookmarkStart w:id="14" w:name="_Toc413139276"/>
      <w:bookmarkStart w:id="15" w:name="_Toc497315002"/>
      <w:r w:rsidRPr="00BE7FA1">
        <w:t>Consideration of the evidence</w:t>
      </w:r>
      <w:bookmarkEnd w:id="14"/>
      <w:bookmarkEnd w:id="15"/>
    </w:p>
    <w:p w:rsidR="0056675F" w:rsidRPr="00653C98" w:rsidRDefault="0056675F" w:rsidP="00653C98">
      <w:pPr>
        <w:pStyle w:val="Heading2"/>
        <w:spacing w:before="120"/>
      </w:pPr>
      <w:bookmarkStart w:id="16" w:name="_Toc413139277"/>
      <w:bookmarkStart w:id="17" w:name="_Toc497315003"/>
      <w:r w:rsidRPr="00653C98">
        <w:t>Sponsor hearing</w:t>
      </w:r>
    </w:p>
    <w:p w:rsidR="00C01DA5" w:rsidRPr="00BE7FA1" w:rsidRDefault="0056675F" w:rsidP="00C01DA5">
      <w:pPr>
        <w:widowControl w:val="0"/>
        <w:numPr>
          <w:ilvl w:val="1"/>
          <w:numId w:val="4"/>
        </w:numPr>
        <w:spacing w:before="0" w:after="120"/>
        <w:rPr>
          <w:rFonts w:cs="Arial"/>
          <w:b/>
          <w:bCs/>
          <w:i/>
          <w:snapToGrid w:val="0"/>
          <w:sz w:val="28"/>
          <w:szCs w:val="28"/>
        </w:rPr>
      </w:pPr>
      <w:r w:rsidRPr="00BE7FA1">
        <w:rPr>
          <w:rFonts w:cs="Arial"/>
          <w:bCs/>
          <w:snapToGrid w:val="0"/>
        </w:rPr>
        <w:t xml:space="preserve">The sponsor requested a hearing for this item.  The clinician </w:t>
      </w:r>
      <w:r w:rsidR="00C01DA5" w:rsidRPr="00BE7FA1">
        <w:rPr>
          <w:rFonts w:cs="Arial"/>
          <w:bCs/>
          <w:snapToGrid w:val="0"/>
        </w:rPr>
        <w:t>discussed some of the relative benefits of immun</w:t>
      </w:r>
      <w:r w:rsidR="00387F57" w:rsidRPr="00BE7FA1">
        <w:rPr>
          <w:rFonts w:cs="Arial"/>
          <w:bCs/>
          <w:snapToGrid w:val="0"/>
        </w:rPr>
        <w:t>otherapies</w:t>
      </w:r>
      <w:r w:rsidR="00C01DA5" w:rsidRPr="00BE7FA1">
        <w:rPr>
          <w:rFonts w:cs="Arial"/>
          <w:bCs/>
          <w:snapToGrid w:val="0"/>
        </w:rPr>
        <w:t xml:space="preserve"> and other therapies, including circumstances under which one or the other might be used and also the importance of hav</w:t>
      </w:r>
      <w:r w:rsidR="007E35B7" w:rsidRPr="00BE7FA1">
        <w:rPr>
          <w:rFonts w:cs="Arial"/>
          <w:bCs/>
          <w:snapToGrid w:val="0"/>
        </w:rPr>
        <w:t>ing</w:t>
      </w:r>
      <w:r w:rsidR="00C01DA5" w:rsidRPr="00BE7FA1">
        <w:rPr>
          <w:rFonts w:cs="Arial"/>
          <w:bCs/>
          <w:snapToGrid w:val="0"/>
        </w:rPr>
        <w:t xml:space="preserve"> an option other than an immun</w:t>
      </w:r>
      <w:r w:rsidR="007E35B7" w:rsidRPr="00BE7FA1">
        <w:rPr>
          <w:rFonts w:cs="Arial"/>
          <w:bCs/>
          <w:snapToGrid w:val="0"/>
        </w:rPr>
        <w:t>o</w:t>
      </w:r>
      <w:r w:rsidR="00C01DA5" w:rsidRPr="00BE7FA1">
        <w:rPr>
          <w:rFonts w:cs="Arial"/>
          <w:bCs/>
          <w:snapToGrid w:val="0"/>
        </w:rPr>
        <w:t xml:space="preserve">therapy for these patients, </w:t>
      </w:r>
      <w:r w:rsidRPr="00BE7FA1">
        <w:rPr>
          <w:rFonts w:cs="Arial"/>
          <w:bCs/>
          <w:snapToGrid w:val="0"/>
        </w:rPr>
        <w:t>and addressed other matters in respons</w:t>
      </w:r>
      <w:r w:rsidR="00C01DA5" w:rsidRPr="00BE7FA1">
        <w:rPr>
          <w:rFonts w:cs="Arial"/>
          <w:bCs/>
          <w:snapToGrid w:val="0"/>
        </w:rPr>
        <w:t>e to the Committee’s questions.</w:t>
      </w:r>
      <w:r w:rsidRPr="00BE7FA1">
        <w:rPr>
          <w:rFonts w:cs="Arial"/>
          <w:bCs/>
          <w:snapToGrid w:val="0"/>
        </w:rPr>
        <w:t xml:space="preserve"> </w:t>
      </w:r>
      <w:r w:rsidR="00E31444" w:rsidRPr="00BE7FA1">
        <w:rPr>
          <w:rFonts w:cs="Arial"/>
          <w:bCs/>
          <w:snapToGrid w:val="0"/>
        </w:rPr>
        <w:t>The clinician highlighted that the toxicity profile of cabozantinib was manageable through dose reductions and similar to that of other TKIs. The PBAC considered that the hearing was informative as it assisted in determining the proportion of patients likely to receive cabozantinib and nivolumab in the 2</w:t>
      </w:r>
      <w:r w:rsidR="00E31444" w:rsidRPr="00BE7FA1">
        <w:rPr>
          <w:rFonts w:cs="Arial"/>
          <w:bCs/>
          <w:snapToGrid w:val="0"/>
          <w:vertAlign w:val="superscript"/>
        </w:rPr>
        <w:t>nd</w:t>
      </w:r>
      <w:r w:rsidR="00E31444" w:rsidRPr="00BE7FA1">
        <w:rPr>
          <w:rFonts w:cs="Arial"/>
          <w:bCs/>
          <w:snapToGrid w:val="0"/>
        </w:rPr>
        <w:t xml:space="preserve"> or 3</w:t>
      </w:r>
      <w:r w:rsidR="00E31444" w:rsidRPr="00BE7FA1">
        <w:rPr>
          <w:rFonts w:cs="Arial"/>
          <w:bCs/>
          <w:snapToGrid w:val="0"/>
          <w:vertAlign w:val="superscript"/>
        </w:rPr>
        <w:t>rd</w:t>
      </w:r>
      <w:r w:rsidR="00E31444" w:rsidRPr="00BE7FA1">
        <w:rPr>
          <w:rFonts w:cs="Arial"/>
          <w:bCs/>
          <w:snapToGrid w:val="0"/>
        </w:rPr>
        <w:t xml:space="preserve"> line setting. </w:t>
      </w:r>
    </w:p>
    <w:p w:rsidR="0056675F" w:rsidRPr="00653C98" w:rsidRDefault="0056675F" w:rsidP="00653C98">
      <w:pPr>
        <w:pStyle w:val="Heading2"/>
        <w:spacing w:before="120"/>
      </w:pPr>
      <w:r w:rsidRPr="00653C98">
        <w:t>Consumer comments</w:t>
      </w:r>
    </w:p>
    <w:p w:rsidR="0056675F" w:rsidRPr="00BE7FA1" w:rsidRDefault="0056675F" w:rsidP="0056675F">
      <w:pPr>
        <w:widowControl w:val="0"/>
        <w:numPr>
          <w:ilvl w:val="1"/>
          <w:numId w:val="4"/>
        </w:numPr>
        <w:spacing w:before="0" w:after="120"/>
        <w:rPr>
          <w:rFonts w:cs="Arial"/>
          <w:bCs/>
          <w:snapToGrid w:val="0"/>
        </w:rPr>
      </w:pPr>
      <w:r w:rsidRPr="00BE7FA1">
        <w:rPr>
          <w:rFonts w:cs="Arial"/>
          <w:bCs/>
          <w:snapToGrid w:val="0"/>
        </w:rPr>
        <w:t xml:space="preserve">The PBAC noted and welcomed the input from </w:t>
      </w:r>
      <w:r w:rsidR="004F363B" w:rsidRPr="00BE7FA1">
        <w:rPr>
          <w:rFonts w:cs="Arial"/>
          <w:bCs/>
          <w:snapToGrid w:val="0"/>
        </w:rPr>
        <w:t xml:space="preserve">an </w:t>
      </w:r>
      <w:r w:rsidRPr="00BE7FA1">
        <w:rPr>
          <w:rFonts w:cs="Arial"/>
          <w:bCs/>
          <w:snapToGrid w:val="0"/>
        </w:rPr>
        <w:t>individual (</w:t>
      </w:r>
      <w:r w:rsidR="004F363B" w:rsidRPr="00BE7FA1">
        <w:rPr>
          <w:rFonts w:cs="Arial"/>
          <w:bCs/>
          <w:snapToGrid w:val="0"/>
        </w:rPr>
        <w:t>1</w:t>
      </w:r>
      <w:r w:rsidRPr="00BE7FA1">
        <w:rPr>
          <w:rFonts w:cs="Arial"/>
          <w:bCs/>
          <w:snapToGrid w:val="0"/>
        </w:rPr>
        <w:t>), health care professional (1) and organisations (</w:t>
      </w:r>
      <w:r w:rsidR="004F363B" w:rsidRPr="00BE7FA1">
        <w:rPr>
          <w:rFonts w:cs="Arial"/>
          <w:bCs/>
          <w:snapToGrid w:val="0"/>
        </w:rPr>
        <w:t>2</w:t>
      </w:r>
      <w:r w:rsidRPr="00BE7FA1">
        <w:rPr>
          <w:rFonts w:cs="Arial"/>
          <w:bCs/>
          <w:snapToGrid w:val="0"/>
        </w:rPr>
        <w:t xml:space="preserve">) via the Consumer Comments facility on the PBS website.  The comments </w:t>
      </w:r>
      <w:r w:rsidR="004F363B" w:rsidRPr="00BE7FA1">
        <w:rPr>
          <w:rFonts w:cs="Arial"/>
          <w:bCs/>
          <w:snapToGrid w:val="0"/>
        </w:rPr>
        <w:t>discussed the importance of the availability of treatment options for this patient population, and the benefits and tolerability of cabozantinib.</w:t>
      </w:r>
      <w:r w:rsidRPr="00BE7FA1">
        <w:rPr>
          <w:rFonts w:cs="Arial"/>
          <w:bCs/>
          <w:snapToGrid w:val="0"/>
        </w:rPr>
        <w:t xml:space="preserve">  </w:t>
      </w:r>
    </w:p>
    <w:p w:rsidR="00C317F3" w:rsidRPr="00653C98" w:rsidRDefault="00C317F3" w:rsidP="00653C98">
      <w:pPr>
        <w:pStyle w:val="Heading2"/>
        <w:spacing w:before="120"/>
      </w:pPr>
      <w:r w:rsidRPr="00653C98">
        <w:t>Clinical trials</w:t>
      </w:r>
      <w:bookmarkEnd w:id="16"/>
      <w:bookmarkEnd w:id="17"/>
    </w:p>
    <w:p w:rsidR="00105FA3" w:rsidRPr="00BE7FA1" w:rsidRDefault="00105FA3" w:rsidP="00C56DF9">
      <w:pPr>
        <w:pStyle w:val="ListParagraph"/>
        <w:numPr>
          <w:ilvl w:val="1"/>
          <w:numId w:val="4"/>
        </w:numPr>
        <w:spacing w:before="0"/>
      </w:pPr>
      <w:r w:rsidRPr="00BE7FA1">
        <w:t>The submission was based on one head-to-head</w:t>
      </w:r>
      <w:r w:rsidR="00163E47" w:rsidRPr="00BE7FA1">
        <w:t xml:space="preserve">, open-label </w:t>
      </w:r>
      <w:r w:rsidRPr="00BE7FA1">
        <w:t xml:space="preserve">randomised </w:t>
      </w:r>
      <w:r w:rsidR="004D0AC8" w:rsidRPr="00BE7FA1">
        <w:t xml:space="preserve">controlled </w:t>
      </w:r>
      <w:r w:rsidRPr="00BE7FA1">
        <w:t xml:space="preserve">trial </w:t>
      </w:r>
      <w:r w:rsidR="004D0AC8" w:rsidRPr="00BE7FA1">
        <w:t xml:space="preserve">(RCT) </w:t>
      </w:r>
      <w:r w:rsidRPr="00BE7FA1">
        <w:t>comparing cabozantinib with everolimus in patients with advanced or metastatic clear cell variant RCC who had progressed after prior VEGFR-targeting TKI therapy (METEOR; N=658).</w:t>
      </w:r>
    </w:p>
    <w:p w:rsidR="00C317F3" w:rsidRPr="00BE7FA1" w:rsidRDefault="00105FA3" w:rsidP="00A832C9">
      <w:pPr>
        <w:pStyle w:val="ListParagraph"/>
        <w:numPr>
          <w:ilvl w:val="1"/>
          <w:numId w:val="4"/>
        </w:numPr>
      </w:pPr>
      <w:r w:rsidRPr="00BE7FA1">
        <w:t xml:space="preserve">The </w:t>
      </w:r>
      <w:r w:rsidR="004D0AC8" w:rsidRPr="00BE7FA1">
        <w:t xml:space="preserve">submission also presented an indirect comparison of </w:t>
      </w:r>
      <w:r w:rsidRPr="00BE7FA1">
        <w:t xml:space="preserve">cabozantinib </w:t>
      </w:r>
      <w:r w:rsidR="00DE001F" w:rsidRPr="00BE7FA1">
        <w:t>versus</w:t>
      </w:r>
      <w:r w:rsidRPr="00BE7FA1">
        <w:t xml:space="preserve"> nivolumab</w:t>
      </w:r>
      <w:r w:rsidR="004D0AC8" w:rsidRPr="00BE7FA1">
        <w:t xml:space="preserve">, </w:t>
      </w:r>
      <w:r w:rsidR="00AE432A" w:rsidRPr="00BE7FA1">
        <w:t xml:space="preserve">with everolimus as the common comparator, </w:t>
      </w:r>
      <w:r w:rsidR="00FE17CA" w:rsidRPr="00BE7FA1">
        <w:t>using</w:t>
      </w:r>
      <w:r w:rsidR="004D0AC8" w:rsidRPr="00BE7FA1">
        <w:t xml:space="preserve"> the METEOR trial</w:t>
      </w:r>
      <w:r w:rsidR="00FE17CA" w:rsidRPr="00BE7FA1">
        <w:t>,</w:t>
      </w:r>
      <w:r w:rsidR="004D0AC8" w:rsidRPr="00BE7FA1">
        <w:t xml:space="preserve"> and a</w:t>
      </w:r>
      <w:r w:rsidR="00163E47" w:rsidRPr="00BE7FA1">
        <w:t>n open-label</w:t>
      </w:r>
      <w:r w:rsidR="004D0AC8" w:rsidRPr="00BE7FA1">
        <w:t xml:space="preserve"> RCT comparing </w:t>
      </w:r>
      <w:r w:rsidR="00163E47" w:rsidRPr="00BE7FA1">
        <w:t xml:space="preserve">nivolumab with everolimus in patients with advanced or metastatic clear cell variant RCC who had received one or two previous regimens of antiangiogenic therapy (CheckMate 025; N=821). </w:t>
      </w:r>
      <w:r w:rsidR="00475EAA" w:rsidRPr="00BE7FA1">
        <w:t>The CheckMate study was presented in the nivolumab submission considered by PBAC at the March 2017 meeting.</w:t>
      </w:r>
    </w:p>
    <w:p w:rsidR="00D07A5B" w:rsidRPr="00BE7FA1" w:rsidRDefault="00C317F3" w:rsidP="00A832C9">
      <w:pPr>
        <w:pStyle w:val="ListParagraph"/>
        <w:numPr>
          <w:ilvl w:val="1"/>
          <w:numId w:val="4"/>
        </w:numPr>
        <w:spacing w:before="0" w:after="120"/>
      </w:pPr>
      <w:r w:rsidRPr="00BE7FA1">
        <w:t xml:space="preserve">Details of the trials presented in the submission are provided in the table below.  </w:t>
      </w:r>
    </w:p>
    <w:p w:rsidR="00653C98" w:rsidRPr="00653C98" w:rsidRDefault="00653C98" w:rsidP="00653C98">
      <w:pPr>
        <w:pStyle w:val="Caption"/>
        <w:rPr>
          <w:rFonts w:ascii="Arial Narrow" w:hAnsi="Arial Narrow"/>
        </w:rPr>
      </w:pPr>
      <w:r w:rsidRPr="00653C98">
        <w:rPr>
          <w:rFonts w:ascii="Arial Narrow" w:hAnsi="Arial Narrow"/>
        </w:rPr>
        <w:lastRenderedPageBreak/>
        <w:t xml:space="preserve">Table </w:t>
      </w:r>
      <w:r w:rsidRPr="00653C98">
        <w:rPr>
          <w:rFonts w:ascii="Arial Narrow" w:hAnsi="Arial Narrow"/>
        </w:rPr>
        <w:fldChar w:fldCharType="begin"/>
      </w:r>
      <w:r w:rsidRPr="00653C98">
        <w:rPr>
          <w:rFonts w:ascii="Arial Narrow" w:hAnsi="Arial Narrow"/>
        </w:rPr>
        <w:instrText xml:space="preserve"> SEQ Table \* ARABIC </w:instrText>
      </w:r>
      <w:r w:rsidRPr="00653C98">
        <w:rPr>
          <w:rFonts w:ascii="Arial Narrow" w:hAnsi="Arial Narrow"/>
        </w:rPr>
        <w:fldChar w:fldCharType="separate"/>
      </w:r>
      <w:r w:rsidR="00C73538">
        <w:rPr>
          <w:rFonts w:ascii="Arial Narrow" w:hAnsi="Arial Narrow"/>
          <w:noProof/>
        </w:rPr>
        <w:t>2</w:t>
      </w:r>
      <w:r w:rsidRPr="00653C98">
        <w:rPr>
          <w:rFonts w:ascii="Arial Narrow" w:hAnsi="Arial Narrow"/>
        </w:rPr>
        <w:fldChar w:fldCharType="end"/>
      </w:r>
      <w:r w:rsidRPr="00653C98">
        <w:rPr>
          <w:rFonts w:ascii="Arial Narrow" w:hAnsi="Arial Narrow"/>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43"/>
        <w:gridCol w:w="3587"/>
        <w:gridCol w:w="3810"/>
      </w:tblGrid>
      <w:tr w:rsidR="00D07A5B" w:rsidRPr="00BE7FA1" w:rsidTr="00847C64">
        <w:tc>
          <w:tcPr>
            <w:tcW w:w="954" w:type="pct"/>
          </w:tcPr>
          <w:p w:rsidR="00D07A5B" w:rsidRPr="00BE7FA1" w:rsidRDefault="00D07A5B" w:rsidP="00847C64">
            <w:pPr>
              <w:pStyle w:val="TableText"/>
              <w:rPr>
                <w:b/>
              </w:rPr>
            </w:pPr>
            <w:r w:rsidRPr="00BE7FA1">
              <w:rPr>
                <w:b/>
              </w:rPr>
              <w:t>Trial ID</w:t>
            </w:r>
          </w:p>
        </w:tc>
        <w:tc>
          <w:tcPr>
            <w:tcW w:w="1962" w:type="pct"/>
          </w:tcPr>
          <w:p w:rsidR="00D07A5B" w:rsidRPr="00BE7FA1" w:rsidRDefault="00D07A5B" w:rsidP="00847C64">
            <w:pPr>
              <w:pStyle w:val="TableText"/>
              <w:rPr>
                <w:b/>
              </w:rPr>
            </w:pPr>
            <w:r w:rsidRPr="00BE7FA1">
              <w:rPr>
                <w:b/>
              </w:rPr>
              <w:t>Protocol title/ Publication title</w:t>
            </w:r>
          </w:p>
        </w:tc>
        <w:tc>
          <w:tcPr>
            <w:tcW w:w="2084" w:type="pct"/>
          </w:tcPr>
          <w:p w:rsidR="00D07A5B" w:rsidRPr="00BE7FA1" w:rsidRDefault="00D07A5B" w:rsidP="00847C64">
            <w:pPr>
              <w:pStyle w:val="TableText"/>
              <w:rPr>
                <w:b/>
              </w:rPr>
            </w:pPr>
            <w:r w:rsidRPr="00BE7FA1">
              <w:rPr>
                <w:b/>
              </w:rPr>
              <w:t>Publication citation</w:t>
            </w:r>
          </w:p>
        </w:tc>
      </w:tr>
      <w:tr w:rsidR="00D07A5B" w:rsidRPr="00BE7FA1" w:rsidTr="00847C64">
        <w:tc>
          <w:tcPr>
            <w:tcW w:w="5000" w:type="pct"/>
            <w:gridSpan w:val="3"/>
            <w:tcBorders>
              <w:bottom w:val="single" w:sz="4" w:space="0" w:color="auto"/>
            </w:tcBorders>
          </w:tcPr>
          <w:p w:rsidR="00D07A5B" w:rsidRPr="00BE7FA1" w:rsidRDefault="00D07A5B" w:rsidP="00847C64">
            <w:pPr>
              <w:pStyle w:val="TableText"/>
              <w:rPr>
                <w:b/>
              </w:rPr>
            </w:pPr>
            <w:r w:rsidRPr="00BE7FA1">
              <w:rPr>
                <w:b/>
              </w:rPr>
              <w:t>Direct randomised trials</w:t>
            </w:r>
          </w:p>
        </w:tc>
      </w:tr>
      <w:tr w:rsidR="00D07A5B" w:rsidRPr="00BE7FA1" w:rsidTr="00D07A5B">
        <w:tc>
          <w:tcPr>
            <w:tcW w:w="954" w:type="pct"/>
            <w:tcBorders>
              <w:bottom w:val="nil"/>
            </w:tcBorders>
          </w:tcPr>
          <w:p w:rsidR="00D07A5B" w:rsidRPr="00BE7FA1" w:rsidRDefault="00D07A5B" w:rsidP="00D07A5B">
            <w:pPr>
              <w:pStyle w:val="TableText"/>
              <w:jc w:val="left"/>
            </w:pPr>
            <w:r w:rsidRPr="00BE7FA1">
              <w:t>METEOR</w:t>
            </w:r>
          </w:p>
          <w:p w:rsidR="00D07A5B" w:rsidRPr="00BE7FA1" w:rsidRDefault="00D07A5B" w:rsidP="00D07A5B">
            <w:pPr>
              <w:pStyle w:val="TableText"/>
              <w:jc w:val="left"/>
            </w:pPr>
            <w:r w:rsidRPr="00BE7FA1">
              <w:t>Cabozantinib versus everolimus</w:t>
            </w:r>
          </w:p>
        </w:tc>
        <w:tc>
          <w:tcPr>
            <w:tcW w:w="1962" w:type="pct"/>
            <w:tcBorders>
              <w:bottom w:val="nil"/>
            </w:tcBorders>
          </w:tcPr>
          <w:p w:rsidR="00D07A5B" w:rsidRPr="00BE7FA1" w:rsidRDefault="00D07A5B" w:rsidP="00847C64">
            <w:pPr>
              <w:pStyle w:val="TableText"/>
              <w:spacing w:after="0"/>
            </w:pPr>
            <w:r w:rsidRPr="00BE7FA1">
              <w:t>Clinical study report: A phase 3, randomised, controlled study of cabozantinib (XL184) vs. everolimus in patient</w:t>
            </w:r>
            <w:r w:rsidR="00301538" w:rsidRPr="00BE7FA1">
              <w:t>s with metastatic renal c</w:t>
            </w:r>
            <w:r w:rsidRPr="00BE7FA1">
              <w:t>ell carcinoma that has progressed after prior VEGFR tyrosine kinase inhibitor therapy.</w:t>
            </w:r>
          </w:p>
        </w:tc>
        <w:tc>
          <w:tcPr>
            <w:tcW w:w="2084" w:type="pct"/>
            <w:tcBorders>
              <w:bottom w:val="nil"/>
            </w:tcBorders>
          </w:tcPr>
          <w:p w:rsidR="00D07A5B" w:rsidRPr="00BE7FA1" w:rsidRDefault="00D07A5B" w:rsidP="00847C64">
            <w:pPr>
              <w:pStyle w:val="TableText"/>
            </w:pPr>
            <w:r w:rsidRPr="00BE7FA1">
              <w:t>December 2015.</w:t>
            </w:r>
          </w:p>
        </w:tc>
      </w:tr>
      <w:tr w:rsidR="00D07A5B" w:rsidRPr="00BE7FA1" w:rsidTr="00847C64">
        <w:tc>
          <w:tcPr>
            <w:tcW w:w="954" w:type="pct"/>
            <w:tcBorders>
              <w:top w:val="nil"/>
              <w:bottom w:val="nil"/>
            </w:tcBorders>
          </w:tcPr>
          <w:p w:rsidR="00D07A5B" w:rsidRPr="00BE7FA1" w:rsidRDefault="00D07A5B" w:rsidP="00847C64">
            <w:pPr>
              <w:pStyle w:val="TableText"/>
            </w:pPr>
          </w:p>
        </w:tc>
        <w:tc>
          <w:tcPr>
            <w:tcW w:w="1962" w:type="pct"/>
            <w:tcBorders>
              <w:top w:val="nil"/>
              <w:bottom w:val="nil"/>
            </w:tcBorders>
          </w:tcPr>
          <w:p w:rsidR="00D07A5B" w:rsidRPr="00BE7FA1" w:rsidRDefault="00D07A5B" w:rsidP="00847C64">
            <w:pPr>
              <w:pStyle w:val="TableText"/>
            </w:pPr>
            <w:r w:rsidRPr="00BE7FA1">
              <w:t>Clinical study report addendum.</w:t>
            </w:r>
          </w:p>
        </w:tc>
        <w:tc>
          <w:tcPr>
            <w:tcW w:w="2084" w:type="pct"/>
            <w:tcBorders>
              <w:top w:val="nil"/>
              <w:bottom w:val="nil"/>
            </w:tcBorders>
          </w:tcPr>
          <w:p w:rsidR="00D07A5B" w:rsidRPr="00BE7FA1" w:rsidRDefault="00D07A5B" w:rsidP="00847C64">
            <w:pPr>
              <w:pStyle w:val="TableText"/>
            </w:pPr>
            <w:r w:rsidRPr="00BE7FA1">
              <w:t>February 2016.</w:t>
            </w:r>
          </w:p>
        </w:tc>
      </w:tr>
      <w:tr w:rsidR="00D07A5B" w:rsidRPr="00BE7FA1" w:rsidTr="00847C64">
        <w:tc>
          <w:tcPr>
            <w:tcW w:w="954" w:type="pct"/>
            <w:tcBorders>
              <w:top w:val="nil"/>
              <w:bottom w:val="nil"/>
            </w:tcBorders>
          </w:tcPr>
          <w:p w:rsidR="00D07A5B" w:rsidRPr="00BE7FA1" w:rsidRDefault="00D07A5B" w:rsidP="00847C64">
            <w:pPr>
              <w:pStyle w:val="TableText"/>
            </w:pPr>
          </w:p>
        </w:tc>
        <w:tc>
          <w:tcPr>
            <w:tcW w:w="1962" w:type="pct"/>
            <w:tcBorders>
              <w:top w:val="nil"/>
              <w:bottom w:val="nil"/>
            </w:tcBorders>
          </w:tcPr>
          <w:p w:rsidR="00D07A5B" w:rsidRPr="00BE7FA1" w:rsidRDefault="00D07A5B" w:rsidP="00847C64">
            <w:pPr>
              <w:pStyle w:val="TableText"/>
            </w:pPr>
            <w:r w:rsidRPr="00BE7FA1">
              <w:t xml:space="preserve">Choueiri TK, </w:t>
            </w:r>
            <w:proofErr w:type="spellStart"/>
            <w:r w:rsidRPr="00BE7FA1">
              <w:t>Escudier</w:t>
            </w:r>
            <w:proofErr w:type="spellEnd"/>
            <w:r w:rsidRPr="00BE7FA1">
              <w:t xml:space="preserve"> B, et al. Cabozantinib versus everolimus in advanced renal-cell carcinoma.</w:t>
            </w:r>
          </w:p>
        </w:tc>
        <w:tc>
          <w:tcPr>
            <w:tcW w:w="2084" w:type="pct"/>
            <w:tcBorders>
              <w:top w:val="nil"/>
              <w:bottom w:val="nil"/>
            </w:tcBorders>
          </w:tcPr>
          <w:p w:rsidR="00D07A5B" w:rsidRPr="00BE7FA1" w:rsidRDefault="00D07A5B" w:rsidP="00847C64">
            <w:pPr>
              <w:pStyle w:val="TableText"/>
            </w:pPr>
            <w:r w:rsidRPr="00BE7FA1">
              <w:t>New England Journal of Medicine 2015; 373:1814-1823.</w:t>
            </w:r>
          </w:p>
        </w:tc>
      </w:tr>
      <w:tr w:rsidR="00D07A5B" w:rsidRPr="00BE7FA1" w:rsidTr="00847C64">
        <w:tc>
          <w:tcPr>
            <w:tcW w:w="954" w:type="pct"/>
            <w:tcBorders>
              <w:top w:val="nil"/>
              <w:bottom w:val="nil"/>
            </w:tcBorders>
          </w:tcPr>
          <w:p w:rsidR="00D07A5B" w:rsidRPr="00BE7FA1" w:rsidRDefault="00D07A5B" w:rsidP="00847C64">
            <w:pPr>
              <w:pStyle w:val="TableText"/>
            </w:pPr>
          </w:p>
        </w:tc>
        <w:tc>
          <w:tcPr>
            <w:tcW w:w="1962" w:type="pct"/>
            <w:tcBorders>
              <w:top w:val="nil"/>
              <w:bottom w:val="nil"/>
            </w:tcBorders>
          </w:tcPr>
          <w:p w:rsidR="00D07A5B" w:rsidRPr="00BE7FA1" w:rsidRDefault="00D07A5B" w:rsidP="00847C64">
            <w:pPr>
              <w:pStyle w:val="TableText"/>
            </w:pPr>
            <w:r w:rsidRPr="00BE7FA1">
              <w:t xml:space="preserve">Choueiri TK, </w:t>
            </w:r>
            <w:proofErr w:type="spellStart"/>
            <w:r w:rsidRPr="00BE7FA1">
              <w:t>Escudier</w:t>
            </w:r>
            <w:proofErr w:type="spellEnd"/>
            <w:r w:rsidRPr="00BE7FA1">
              <w:t xml:space="preserve"> B, et al. Cabozantinib versus everolimus in advanced renal cell carcinoma (METEOR): final results from a randomised, open-</w:t>
            </w:r>
            <w:proofErr w:type="gramStart"/>
            <w:r w:rsidRPr="00BE7FA1">
              <w:t>label,</w:t>
            </w:r>
            <w:proofErr w:type="gramEnd"/>
            <w:r w:rsidRPr="00BE7FA1">
              <w:t xml:space="preserve"> phase 3 trial.</w:t>
            </w:r>
          </w:p>
        </w:tc>
        <w:tc>
          <w:tcPr>
            <w:tcW w:w="2084" w:type="pct"/>
            <w:tcBorders>
              <w:top w:val="nil"/>
              <w:bottom w:val="nil"/>
            </w:tcBorders>
          </w:tcPr>
          <w:p w:rsidR="00D07A5B" w:rsidRPr="00BE7FA1" w:rsidRDefault="00D07A5B" w:rsidP="00847C64">
            <w:pPr>
              <w:pStyle w:val="TableText"/>
            </w:pPr>
            <w:r w:rsidRPr="00BE7FA1">
              <w:t>Lancet Oncology 2016; 17:917-927.</w:t>
            </w:r>
          </w:p>
        </w:tc>
      </w:tr>
      <w:tr w:rsidR="00D07A5B" w:rsidRPr="00BE7FA1" w:rsidTr="00847C64">
        <w:tc>
          <w:tcPr>
            <w:tcW w:w="954" w:type="pct"/>
            <w:tcBorders>
              <w:top w:val="nil"/>
              <w:bottom w:val="nil"/>
            </w:tcBorders>
          </w:tcPr>
          <w:p w:rsidR="00D07A5B" w:rsidRPr="00BE7FA1" w:rsidRDefault="00D07A5B" w:rsidP="00847C64">
            <w:pPr>
              <w:pStyle w:val="TableText"/>
            </w:pPr>
          </w:p>
        </w:tc>
        <w:tc>
          <w:tcPr>
            <w:tcW w:w="1962" w:type="pct"/>
            <w:tcBorders>
              <w:top w:val="nil"/>
              <w:bottom w:val="nil"/>
            </w:tcBorders>
          </w:tcPr>
          <w:p w:rsidR="00984A7E" w:rsidRPr="00BE7FA1" w:rsidRDefault="00984A7E" w:rsidP="00984A7E">
            <w:pPr>
              <w:pStyle w:val="TableText"/>
            </w:pPr>
            <w:r w:rsidRPr="00BE7FA1">
              <w:rPr>
                <w:u w:val="single"/>
              </w:rPr>
              <w:t>Abstracts</w:t>
            </w:r>
          </w:p>
          <w:p w:rsidR="00D07A5B" w:rsidRPr="00BE7FA1" w:rsidRDefault="00D07A5B" w:rsidP="00847C64">
            <w:pPr>
              <w:pStyle w:val="TableText"/>
            </w:pPr>
            <w:r w:rsidRPr="00BE7FA1">
              <w:t>Powles T, Motzer RJ, et al. Outcomes based on prior VEGFR TKI and PD-1 checkpoint inhibitor therapy in METEOR, a randomised Phase 3 trial of cabozantinib vs everolimus in advanced renal cell carcinoma.</w:t>
            </w:r>
          </w:p>
        </w:tc>
        <w:tc>
          <w:tcPr>
            <w:tcW w:w="2084" w:type="pct"/>
            <w:tcBorders>
              <w:top w:val="nil"/>
              <w:bottom w:val="nil"/>
            </w:tcBorders>
          </w:tcPr>
          <w:p w:rsidR="00D07A5B" w:rsidRPr="00BE7FA1" w:rsidRDefault="00D07A5B" w:rsidP="00847C64">
            <w:pPr>
              <w:pStyle w:val="TableText"/>
            </w:pPr>
            <w:r w:rsidRPr="00BE7FA1">
              <w:t>American Society of Clinical Oncology (ASCO) Meeting, Chicago, IL, USA, 3-7 June 2016.</w:t>
            </w:r>
          </w:p>
        </w:tc>
      </w:tr>
      <w:tr w:rsidR="00D07A5B" w:rsidRPr="00BE7FA1" w:rsidTr="00847C64">
        <w:tc>
          <w:tcPr>
            <w:tcW w:w="954" w:type="pct"/>
            <w:tcBorders>
              <w:top w:val="nil"/>
              <w:bottom w:val="single" w:sz="4" w:space="0" w:color="auto"/>
            </w:tcBorders>
          </w:tcPr>
          <w:p w:rsidR="00D07A5B" w:rsidRPr="00BE7FA1" w:rsidRDefault="00D07A5B" w:rsidP="00847C64">
            <w:pPr>
              <w:pStyle w:val="TableText"/>
            </w:pPr>
          </w:p>
        </w:tc>
        <w:tc>
          <w:tcPr>
            <w:tcW w:w="1962" w:type="pct"/>
            <w:tcBorders>
              <w:top w:val="nil"/>
              <w:bottom w:val="single" w:sz="4" w:space="0" w:color="auto"/>
            </w:tcBorders>
          </w:tcPr>
          <w:p w:rsidR="00D07A5B" w:rsidRPr="00BE7FA1" w:rsidRDefault="00D07A5B" w:rsidP="00847C64">
            <w:pPr>
              <w:pStyle w:val="TableText"/>
            </w:pPr>
            <w:proofErr w:type="spellStart"/>
            <w:r w:rsidRPr="00BE7FA1">
              <w:t>Escudier</w:t>
            </w:r>
            <w:proofErr w:type="spellEnd"/>
            <w:r w:rsidRPr="00BE7FA1">
              <w:t xml:space="preserve"> B, Powles T, et al. Efficacy of cabozantinib vs everolimus in patients with advanced renal cell carcinoma and bone metastases from the Phase 3 METEOR trial.</w:t>
            </w:r>
          </w:p>
        </w:tc>
        <w:tc>
          <w:tcPr>
            <w:tcW w:w="2084" w:type="pct"/>
            <w:tcBorders>
              <w:top w:val="nil"/>
              <w:bottom w:val="single" w:sz="4" w:space="0" w:color="auto"/>
            </w:tcBorders>
          </w:tcPr>
          <w:p w:rsidR="00D07A5B" w:rsidRPr="00BE7FA1" w:rsidRDefault="00D07A5B" w:rsidP="00847C64">
            <w:pPr>
              <w:pStyle w:val="TableText"/>
            </w:pPr>
            <w:r w:rsidRPr="00BE7FA1">
              <w:t>American Society of Clinical Oncology (ASCO) Meeting, Chicago, IL, USA, 3-7 June 2016.</w:t>
            </w:r>
          </w:p>
        </w:tc>
      </w:tr>
      <w:tr w:rsidR="00D07A5B" w:rsidRPr="00BE7FA1" w:rsidTr="00847C64">
        <w:tc>
          <w:tcPr>
            <w:tcW w:w="954" w:type="pct"/>
            <w:vMerge w:val="restart"/>
          </w:tcPr>
          <w:p w:rsidR="00D07A5B" w:rsidRPr="00BE7FA1" w:rsidRDefault="00D07A5B" w:rsidP="00D07A5B">
            <w:pPr>
              <w:pStyle w:val="TableText"/>
              <w:jc w:val="left"/>
            </w:pPr>
            <w:r w:rsidRPr="00BE7FA1">
              <w:t>CheckMate 025</w:t>
            </w:r>
          </w:p>
          <w:p w:rsidR="00D07A5B" w:rsidRPr="00BE7FA1" w:rsidRDefault="00D07A5B" w:rsidP="00D07A5B">
            <w:pPr>
              <w:pStyle w:val="TableText"/>
              <w:jc w:val="left"/>
            </w:pPr>
            <w:r w:rsidRPr="00BE7FA1">
              <w:t xml:space="preserve">Nivolumab versus everolimus </w:t>
            </w:r>
          </w:p>
        </w:tc>
        <w:tc>
          <w:tcPr>
            <w:tcW w:w="1962" w:type="pct"/>
            <w:tcBorders>
              <w:bottom w:val="nil"/>
            </w:tcBorders>
          </w:tcPr>
          <w:p w:rsidR="00D07A5B" w:rsidRPr="00BE7FA1" w:rsidRDefault="00D07A5B" w:rsidP="00847C64">
            <w:pPr>
              <w:pStyle w:val="TableText"/>
            </w:pPr>
            <w:r w:rsidRPr="00BE7FA1">
              <w:t xml:space="preserve">Motzer RJ, </w:t>
            </w:r>
            <w:proofErr w:type="spellStart"/>
            <w:r w:rsidRPr="00BE7FA1">
              <w:t>Escudier</w:t>
            </w:r>
            <w:proofErr w:type="spellEnd"/>
            <w:r w:rsidRPr="00BE7FA1">
              <w:t xml:space="preserve"> B, et al. Nivolumab versus everolimus in advanced renal-cell carcinoma.</w:t>
            </w:r>
          </w:p>
        </w:tc>
        <w:tc>
          <w:tcPr>
            <w:tcW w:w="2084" w:type="pct"/>
            <w:tcBorders>
              <w:bottom w:val="nil"/>
            </w:tcBorders>
          </w:tcPr>
          <w:p w:rsidR="00D07A5B" w:rsidRPr="00BE7FA1" w:rsidRDefault="00D07A5B" w:rsidP="00847C64">
            <w:pPr>
              <w:pStyle w:val="TableText"/>
            </w:pPr>
            <w:r w:rsidRPr="00BE7FA1">
              <w:t>New England Journal of Medicine 2015; 373:1803-1813.</w:t>
            </w:r>
          </w:p>
        </w:tc>
      </w:tr>
      <w:tr w:rsidR="00D07A5B" w:rsidRPr="00BE7FA1" w:rsidTr="00847C64">
        <w:tc>
          <w:tcPr>
            <w:tcW w:w="954" w:type="pct"/>
            <w:vMerge/>
            <w:tcBorders>
              <w:bottom w:val="nil"/>
            </w:tcBorders>
          </w:tcPr>
          <w:p w:rsidR="00D07A5B" w:rsidRPr="00BE7FA1" w:rsidRDefault="00D07A5B" w:rsidP="00847C64">
            <w:pPr>
              <w:pStyle w:val="TableText"/>
            </w:pPr>
          </w:p>
        </w:tc>
        <w:tc>
          <w:tcPr>
            <w:tcW w:w="1962" w:type="pct"/>
            <w:tcBorders>
              <w:top w:val="nil"/>
              <w:bottom w:val="nil"/>
            </w:tcBorders>
          </w:tcPr>
          <w:p w:rsidR="00D07A5B" w:rsidRPr="00BE7FA1" w:rsidRDefault="00D07A5B" w:rsidP="00847C64">
            <w:pPr>
              <w:pStyle w:val="TableText"/>
            </w:pPr>
            <w:proofErr w:type="spellStart"/>
            <w:r w:rsidRPr="00BE7FA1">
              <w:t>Escudier</w:t>
            </w:r>
            <w:proofErr w:type="spellEnd"/>
            <w:r w:rsidRPr="00BE7FA1">
              <w:t xml:space="preserve"> B, Sharma P, et al. CheckMate 025 randomized phase 3 study: Outcomes by key baseline factors and prior therapy for nivolumab versus everolimus in advanced renal cell carcinoma.*</w:t>
            </w:r>
          </w:p>
        </w:tc>
        <w:tc>
          <w:tcPr>
            <w:tcW w:w="2084" w:type="pct"/>
            <w:tcBorders>
              <w:top w:val="nil"/>
              <w:bottom w:val="nil"/>
            </w:tcBorders>
          </w:tcPr>
          <w:p w:rsidR="00D07A5B" w:rsidRPr="00BE7FA1" w:rsidRDefault="00D07A5B" w:rsidP="00847C64">
            <w:pPr>
              <w:pStyle w:val="TableText"/>
            </w:pPr>
            <w:r w:rsidRPr="00BE7FA1">
              <w:t>European Urology 2017; 72 (3): 368-376.</w:t>
            </w:r>
          </w:p>
        </w:tc>
      </w:tr>
      <w:tr w:rsidR="00D07A5B" w:rsidRPr="00BE7FA1" w:rsidTr="00847C64">
        <w:tc>
          <w:tcPr>
            <w:tcW w:w="954" w:type="pct"/>
            <w:tcBorders>
              <w:top w:val="nil"/>
              <w:bottom w:val="nil"/>
            </w:tcBorders>
          </w:tcPr>
          <w:p w:rsidR="00D07A5B" w:rsidRPr="00BE7FA1" w:rsidRDefault="00D07A5B" w:rsidP="00847C64">
            <w:pPr>
              <w:pStyle w:val="TableText"/>
            </w:pPr>
          </w:p>
        </w:tc>
        <w:tc>
          <w:tcPr>
            <w:tcW w:w="1962" w:type="pct"/>
            <w:tcBorders>
              <w:top w:val="nil"/>
              <w:bottom w:val="nil"/>
            </w:tcBorders>
          </w:tcPr>
          <w:p w:rsidR="00D07A5B" w:rsidRPr="00BE7FA1" w:rsidRDefault="00D07A5B" w:rsidP="00847C64">
            <w:pPr>
              <w:pStyle w:val="TableText"/>
            </w:pPr>
            <w:proofErr w:type="spellStart"/>
            <w:r w:rsidRPr="00BE7FA1">
              <w:t>Cella</w:t>
            </w:r>
            <w:proofErr w:type="spellEnd"/>
            <w:r w:rsidRPr="00BE7FA1">
              <w:t xml:space="preserve"> D, </w:t>
            </w:r>
            <w:proofErr w:type="spellStart"/>
            <w:r w:rsidRPr="00BE7FA1">
              <w:t>Grünwald</w:t>
            </w:r>
            <w:proofErr w:type="spellEnd"/>
            <w:r w:rsidRPr="00BE7FA1">
              <w:t xml:space="preserve"> V, et al. Quality of life in patients with advanced renal cell carcinoma given nivolumab versus everolimus in CheckMate 025: a randomised, open-label, phase 3 trial.</w:t>
            </w:r>
          </w:p>
        </w:tc>
        <w:tc>
          <w:tcPr>
            <w:tcW w:w="2084" w:type="pct"/>
            <w:tcBorders>
              <w:top w:val="nil"/>
              <w:bottom w:val="nil"/>
            </w:tcBorders>
          </w:tcPr>
          <w:p w:rsidR="00D07A5B" w:rsidRPr="00BE7FA1" w:rsidRDefault="00D07A5B" w:rsidP="00847C64">
            <w:pPr>
              <w:pStyle w:val="TableText"/>
            </w:pPr>
            <w:r w:rsidRPr="00BE7FA1">
              <w:t>Lancet Oncology 2016; 17:994-1003.</w:t>
            </w:r>
          </w:p>
        </w:tc>
      </w:tr>
      <w:tr w:rsidR="00D07A5B" w:rsidRPr="00BE7FA1" w:rsidTr="00847C64">
        <w:tc>
          <w:tcPr>
            <w:tcW w:w="954" w:type="pct"/>
            <w:tcBorders>
              <w:top w:val="nil"/>
            </w:tcBorders>
          </w:tcPr>
          <w:p w:rsidR="00D07A5B" w:rsidRPr="00BE7FA1" w:rsidRDefault="00D07A5B" w:rsidP="00847C64">
            <w:pPr>
              <w:pStyle w:val="TableText"/>
            </w:pPr>
          </w:p>
        </w:tc>
        <w:tc>
          <w:tcPr>
            <w:tcW w:w="1962" w:type="pct"/>
            <w:tcBorders>
              <w:top w:val="nil"/>
            </w:tcBorders>
          </w:tcPr>
          <w:p w:rsidR="00D07A5B" w:rsidRPr="00BE7FA1" w:rsidRDefault="00D07A5B" w:rsidP="00847C64">
            <w:pPr>
              <w:pStyle w:val="TableText"/>
              <w:rPr>
                <w:u w:val="single"/>
              </w:rPr>
            </w:pPr>
            <w:r w:rsidRPr="00BE7FA1">
              <w:rPr>
                <w:u w:val="single"/>
              </w:rPr>
              <w:t>Abstract</w:t>
            </w:r>
          </w:p>
          <w:p w:rsidR="00D07A5B" w:rsidRPr="00BE7FA1" w:rsidRDefault="00D07A5B" w:rsidP="00847C64">
            <w:pPr>
              <w:pStyle w:val="TableText"/>
              <w:rPr>
                <w:u w:val="single"/>
              </w:rPr>
            </w:pPr>
            <w:r w:rsidRPr="00BE7FA1">
              <w:t>Motzer RJ, Sharma P, et al. Correlation of response with overall survival (OS) for nivolumab vs everolimus in advanced renal cell carcinoma (</w:t>
            </w:r>
            <w:proofErr w:type="spellStart"/>
            <w:r w:rsidRPr="00BE7FA1">
              <w:t>aRCC</w:t>
            </w:r>
            <w:proofErr w:type="spellEnd"/>
            <w:r w:rsidRPr="00BE7FA1">
              <w:t>): Results from the phase III CheckMate 025 study.</w:t>
            </w:r>
          </w:p>
        </w:tc>
        <w:tc>
          <w:tcPr>
            <w:tcW w:w="2084" w:type="pct"/>
            <w:tcBorders>
              <w:top w:val="nil"/>
            </w:tcBorders>
          </w:tcPr>
          <w:p w:rsidR="00D07A5B" w:rsidRPr="00BE7FA1" w:rsidRDefault="00D07A5B" w:rsidP="00847C64">
            <w:pPr>
              <w:pStyle w:val="TableText"/>
            </w:pPr>
          </w:p>
          <w:p w:rsidR="00D07A5B" w:rsidRPr="00BE7FA1" w:rsidRDefault="00D07A5B" w:rsidP="00847C64">
            <w:pPr>
              <w:pStyle w:val="TableText"/>
            </w:pPr>
            <w:r w:rsidRPr="00BE7FA1">
              <w:t>Journal of Clinical Oncology 2016; 34 (</w:t>
            </w:r>
            <w:proofErr w:type="spellStart"/>
            <w:r w:rsidRPr="00BE7FA1">
              <w:t>suppl</w:t>
            </w:r>
            <w:proofErr w:type="spellEnd"/>
            <w:r w:rsidRPr="00BE7FA1">
              <w:t xml:space="preserve"> </w:t>
            </w:r>
            <w:proofErr w:type="spellStart"/>
            <w:r w:rsidRPr="00BE7FA1">
              <w:t>abstr</w:t>
            </w:r>
            <w:proofErr w:type="spellEnd"/>
            <w:r w:rsidRPr="00BE7FA1">
              <w:t xml:space="preserve"> 4552):1-2.</w:t>
            </w:r>
          </w:p>
        </w:tc>
      </w:tr>
    </w:tbl>
    <w:p w:rsidR="00D07A5B" w:rsidRPr="00BE7FA1" w:rsidRDefault="00D07A5B" w:rsidP="00D07A5B">
      <w:pPr>
        <w:pStyle w:val="TableFooter"/>
      </w:pPr>
      <w:proofErr w:type="spellStart"/>
      <w:proofErr w:type="gramStart"/>
      <w:r w:rsidRPr="00BE7FA1">
        <w:t>aRCC</w:t>
      </w:r>
      <w:proofErr w:type="spellEnd"/>
      <w:proofErr w:type="gramEnd"/>
      <w:r w:rsidRPr="00BE7FA1">
        <w:t xml:space="preserve"> = advanced renal cell carcinoma; PD-1 = programmed death 1; OS = overall survival; TKI = tyrosine kinase inhibitor; VEGFR = vascular endothelial growth factor receptor</w:t>
      </w:r>
    </w:p>
    <w:p w:rsidR="00D07A5B" w:rsidRPr="00BE7FA1" w:rsidRDefault="00D07A5B" w:rsidP="00D07A5B">
      <w:pPr>
        <w:pStyle w:val="TableFooter"/>
      </w:pPr>
      <w:r w:rsidRPr="00BE7FA1">
        <w:t xml:space="preserve">*The Clinical Protocol and the Statistical Analysis Plan for CheckMate 025 were provided as supplementary materials to </w:t>
      </w:r>
      <w:proofErr w:type="spellStart"/>
      <w:r w:rsidRPr="00BE7FA1">
        <w:t>Escudier</w:t>
      </w:r>
      <w:proofErr w:type="spellEnd"/>
      <w:r w:rsidRPr="00BE7FA1">
        <w:t xml:space="preserve"> 2017.</w:t>
      </w:r>
    </w:p>
    <w:p w:rsidR="00A73159" w:rsidRPr="00BE7FA1" w:rsidRDefault="00E01E21" w:rsidP="0056675F">
      <w:pPr>
        <w:pStyle w:val="TableFooter"/>
      </w:pPr>
      <w:r w:rsidRPr="00BE7FA1">
        <w:t>Source: Table 2-3, p62 of the submission</w:t>
      </w:r>
      <w:r w:rsidR="00A73159" w:rsidRPr="00BE7FA1">
        <w:br w:type="page"/>
      </w:r>
    </w:p>
    <w:p w:rsidR="00C317F3" w:rsidRPr="00BE7FA1" w:rsidRDefault="00C317F3" w:rsidP="00A832C9">
      <w:pPr>
        <w:pStyle w:val="ListParagraph"/>
        <w:numPr>
          <w:ilvl w:val="1"/>
          <w:numId w:val="4"/>
        </w:numPr>
        <w:spacing w:before="0" w:after="120"/>
      </w:pPr>
      <w:r w:rsidRPr="00BE7FA1">
        <w:lastRenderedPageBreak/>
        <w:t>The key features</w:t>
      </w:r>
      <w:r w:rsidR="00AE432A" w:rsidRPr="00BE7FA1">
        <w:t xml:space="preserve"> of the direct randomised trials</w:t>
      </w:r>
      <w:r w:rsidRPr="00BE7FA1">
        <w:t xml:space="preserve"> are summarised in the table below.  </w:t>
      </w:r>
    </w:p>
    <w:p w:rsidR="00653C98" w:rsidRPr="00653C98" w:rsidRDefault="00653C98" w:rsidP="00653C98">
      <w:pPr>
        <w:pStyle w:val="Caption"/>
        <w:rPr>
          <w:rFonts w:ascii="Arial Narrow" w:hAnsi="Arial Narrow"/>
        </w:rPr>
      </w:pPr>
      <w:r w:rsidRPr="00653C98">
        <w:rPr>
          <w:rFonts w:ascii="Arial Narrow" w:hAnsi="Arial Narrow"/>
        </w:rPr>
        <w:t xml:space="preserve">Table </w:t>
      </w:r>
      <w:r w:rsidRPr="00653C98">
        <w:rPr>
          <w:rFonts w:ascii="Arial Narrow" w:hAnsi="Arial Narrow"/>
        </w:rPr>
        <w:fldChar w:fldCharType="begin"/>
      </w:r>
      <w:r w:rsidRPr="00653C98">
        <w:rPr>
          <w:rFonts w:ascii="Arial Narrow" w:hAnsi="Arial Narrow"/>
        </w:rPr>
        <w:instrText xml:space="preserve"> SEQ Table \* ARABIC </w:instrText>
      </w:r>
      <w:r w:rsidRPr="00653C98">
        <w:rPr>
          <w:rFonts w:ascii="Arial Narrow" w:hAnsi="Arial Narrow"/>
        </w:rPr>
        <w:fldChar w:fldCharType="separate"/>
      </w:r>
      <w:r w:rsidR="00C73538">
        <w:rPr>
          <w:rFonts w:ascii="Arial Narrow" w:hAnsi="Arial Narrow"/>
          <w:noProof/>
        </w:rPr>
        <w:t>3</w:t>
      </w:r>
      <w:r w:rsidRPr="00653C98">
        <w:rPr>
          <w:rFonts w:ascii="Arial Narrow" w:hAnsi="Arial Narrow"/>
        </w:rPr>
        <w:fldChar w:fldCharType="end"/>
      </w:r>
      <w:r w:rsidRPr="00653C98">
        <w:rPr>
          <w:rFonts w:ascii="Arial Narrow" w:hAnsi="Arial Narrow"/>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0"/>
        <w:gridCol w:w="897"/>
        <w:gridCol w:w="2220"/>
        <w:gridCol w:w="912"/>
        <w:gridCol w:w="1579"/>
        <w:gridCol w:w="1201"/>
        <w:gridCol w:w="1273"/>
      </w:tblGrid>
      <w:tr w:rsidR="00804397" w:rsidRPr="00BE7FA1" w:rsidTr="00653C98">
        <w:tc>
          <w:tcPr>
            <w:tcW w:w="551" w:type="pct"/>
            <w:shd w:val="clear" w:color="auto" w:fill="auto"/>
            <w:vAlign w:val="center"/>
          </w:tcPr>
          <w:p w:rsidR="00C317F3" w:rsidRPr="00BE7FA1" w:rsidRDefault="00C317F3" w:rsidP="00772501">
            <w:pPr>
              <w:pStyle w:val="TableText"/>
              <w:rPr>
                <w:b/>
              </w:rPr>
            </w:pPr>
            <w:r w:rsidRPr="00BE7FA1">
              <w:rPr>
                <w:b/>
              </w:rPr>
              <w:t>Trial</w:t>
            </w:r>
          </w:p>
        </w:tc>
        <w:tc>
          <w:tcPr>
            <w:tcW w:w="494" w:type="pct"/>
            <w:shd w:val="clear" w:color="auto" w:fill="auto"/>
            <w:vAlign w:val="center"/>
          </w:tcPr>
          <w:p w:rsidR="00C317F3" w:rsidRPr="00BE7FA1" w:rsidRDefault="00C317F3" w:rsidP="0029275C">
            <w:pPr>
              <w:pStyle w:val="TableText"/>
              <w:jc w:val="center"/>
              <w:rPr>
                <w:b/>
              </w:rPr>
            </w:pPr>
            <w:r w:rsidRPr="00BE7FA1">
              <w:rPr>
                <w:b/>
              </w:rPr>
              <w:t>N</w:t>
            </w:r>
          </w:p>
        </w:tc>
        <w:tc>
          <w:tcPr>
            <w:tcW w:w="1222" w:type="pct"/>
            <w:shd w:val="clear" w:color="auto" w:fill="auto"/>
            <w:vAlign w:val="center"/>
          </w:tcPr>
          <w:p w:rsidR="00C317F3" w:rsidRPr="00BE7FA1" w:rsidRDefault="00C317F3" w:rsidP="0029275C">
            <w:pPr>
              <w:pStyle w:val="TableText"/>
              <w:jc w:val="center"/>
              <w:rPr>
                <w:b/>
              </w:rPr>
            </w:pPr>
            <w:r w:rsidRPr="00BE7FA1">
              <w:rPr>
                <w:b/>
              </w:rPr>
              <w:t xml:space="preserve">Design/ </w:t>
            </w:r>
            <w:r w:rsidR="0029275C" w:rsidRPr="00BE7FA1">
              <w:rPr>
                <w:b/>
              </w:rPr>
              <w:br/>
              <w:t xml:space="preserve">minimum </w:t>
            </w:r>
            <w:r w:rsidRPr="00BE7FA1">
              <w:rPr>
                <w:b/>
              </w:rPr>
              <w:t>duration</w:t>
            </w:r>
            <w:r w:rsidR="005F2A6B" w:rsidRPr="00BE7FA1">
              <w:rPr>
                <w:b/>
              </w:rPr>
              <w:t xml:space="preserve"> of follow-up</w:t>
            </w:r>
          </w:p>
        </w:tc>
        <w:tc>
          <w:tcPr>
            <w:tcW w:w="502" w:type="pct"/>
            <w:shd w:val="clear" w:color="auto" w:fill="auto"/>
            <w:vAlign w:val="center"/>
          </w:tcPr>
          <w:p w:rsidR="00C317F3" w:rsidRPr="00BE7FA1" w:rsidRDefault="00C317F3" w:rsidP="0029275C">
            <w:pPr>
              <w:pStyle w:val="TableText"/>
              <w:jc w:val="center"/>
              <w:rPr>
                <w:b/>
              </w:rPr>
            </w:pPr>
            <w:r w:rsidRPr="00BE7FA1">
              <w:rPr>
                <w:b/>
              </w:rPr>
              <w:t>Risk of bias</w:t>
            </w:r>
          </w:p>
        </w:tc>
        <w:tc>
          <w:tcPr>
            <w:tcW w:w="869" w:type="pct"/>
            <w:shd w:val="clear" w:color="auto" w:fill="auto"/>
            <w:vAlign w:val="center"/>
          </w:tcPr>
          <w:p w:rsidR="00C317F3" w:rsidRPr="00BE7FA1" w:rsidRDefault="00C317F3" w:rsidP="0029275C">
            <w:pPr>
              <w:pStyle w:val="TableText"/>
              <w:jc w:val="center"/>
              <w:rPr>
                <w:b/>
              </w:rPr>
            </w:pPr>
            <w:r w:rsidRPr="00BE7FA1">
              <w:rPr>
                <w:b/>
              </w:rPr>
              <w:t>Patient population</w:t>
            </w:r>
          </w:p>
        </w:tc>
        <w:tc>
          <w:tcPr>
            <w:tcW w:w="661" w:type="pct"/>
            <w:shd w:val="clear" w:color="auto" w:fill="auto"/>
            <w:vAlign w:val="center"/>
          </w:tcPr>
          <w:p w:rsidR="00C317F3" w:rsidRPr="00BE7FA1" w:rsidRDefault="00A765CB" w:rsidP="0029275C">
            <w:pPr>
              <w:pStyle w:val="TableText"/>
              <w:jc w:val="center"/>
              <w:rPr>
                <w:b/>
              </w:rPr>
            </w:pPr>
            <w:r w:rsidRPr="00BE7FA1">
              <w:rPr>
                <w:b/>
              </w:rPr>
              <w:t>Outcomes</w:t>
            </w:r>
          </w:p>
        </w:tc>
        <w:tc>
          <w:tcPr>
            <w:tcW w:w="702" w:type="pct"/>
            <w:shd w:val="clear" w:color="auto" w:fill="auto"/>
            <w:vAlign w:val="center"/>
          </w:tcPr>
          <w:p w:rsidR="00C317F3" w:rsidRPr="00BE7FA1" w:rsidRDefault="00C317F3" w:rsidP="0029275C">
            <w:pPr>
              <w:pStyle w:val="TableText"/>
              <w:jc w:val="center"/>
              <w:rPr>
                <w:b/>
              </w:rPr>
            </w:pPr>
            <w:r w:rsidRPr="00BE7FA1">
              <w:rPr>
                <w:b/>
              </w:rPr>
              <w:t>Use in modelled evaluation</w:t>
            </w:r>
          </w:p>
        </w:tc>
      </w:tr>
      <w:tr w:rsidR="00804397" w:rsidRPr="00BE7FA1" w:rsidTr="00804397">
        <w:tc>
          <w:tcPr>
            <w:tcW w:w="5000" w:type="pct"/>
            <w:gridSpan w:val="7"/>
            <w:shd w:val="clear" w:color="auto" w:fill="auto"/>
            <w:vAlign w:val="center"/>
          </w:tcPr>
          <w:p w:rsidR="00804397" w:rsidRPr="00BE7FA1" w:rsidRDefault="00804397" w:rsidP="00804397">
            <w:pPr>
              <w:pStyle w:val="TableText"/>
              <w:jc w:val="left"/>
              <w:rPr>
                <w:b/>
              </w:rPr>
            </w:pPr>
            <w:r w:rsidRPr="00BE7FA1">
              <w:rPr>
                <w:b/>
              </w:rPr>
              <w:t xml:space="preserve">Cabozantinib versus everolimus </w:t>
            </w:r>
          </w:p>
        </w:tc>
      </w:tr>
      <w:tr w:rsidR="00804397" w:rsidRPr="00BE7FA1" w:rsidTr="00653C98">
        <w:tc>
          <w:tcPr>
            <w:tcW w:w="551" w:type="pct"/>
            <w:shd w:val="clear" w:color="auto" w:fill="auto"/>
            <w:vAlign w:val="center"/>
          </w:tcPr>
          <w:p w:rsidR="00C317F3" w:rsidRPr="00BE7FA1" w:rsidRDefault="0029275C" w:rsidP="00772501">
            <w:pPr>
              <w:pStyle w:val="TableText"/>
            </w:pPr>
            <w:r w:rsidRPr="00BE7FA1">
              <w:t>METEOR</w:t>
            </w:r>
          </w:p>
        </w:tc>
        <w:tc>
          <w:tcPr>
            <w:tcW w:w="494" w:type="pct"/>
            <w:shd w:val="clear" w:color="auto" w:fill="auto"/>
            <w:vAlign w:val="center"/>
          </w:tcPr>
          <w:p w:rsidR="00C317F3" w:rsidRPr="00BE7FA1" w:rsidRDefault="00E661B6" w:rsidP="0029275C">
            <w:pPr>
              <w:pStyle w:val="TableText"/>
              <w:jc w:val="center"/>
            </w:pPr>
            <w:r w:rsidRPr="00BE7FA1">
              <w:t xml:space="preserve">ITT: </w:t>
            </w:r>
            <w:r w:rsidR="0029275C" w:rsidRPr="00BE7FA1">
              <w:t>658</w:t>
            </w:r>
          </w:p>
          <w:p w:rsidR="00E661B6" w:rsidRPr="00BE7FA1" w:rsidRDefault="00E661B6" w:rsidP="0029275C">
            <w:pPr>
              <w:pStyle w:val="TableText"/>
              <w:jc w:val="center"/>
              <w:rPr>
                <w:rFonts w:ascii="Times" w:eastAsia="Times New Roman" w:hAnsi="Times" w:cs="Times New Roman"/>
              </w:rPr>
            </w:pPr>
            <w:r w:rsidRPr="00BE7FA1">
              <w:t>PITT: 375</w:t>
            </w:r>
          </w:p>
        </w:tc>
        <w:tc>
          <w:tcPr>
            <w:tcW w:w="1222" w:type="pct"/>
            <w:shd w:val="clear" w:color="auto" w:fill="auto"/>
            <w:vAlign w:val="center"/>
          </w:tcPr>
          <w:p w:rsidR="00C317F3" w:rsidRPr="00BE7FA1" w:rsidRDefault="0029275C" w:rsidP="0029275C">
            <w:pPr>
              <w:pStyle w:val="TableText"/>
              <w:jc w:val="center"/>
              <w:rPr>
                <w:rFonts w:ascii="Times" w:eastAsia="Times New Roman" w:hAnsi="Times" w:cs="Times New Roman"/>
                <w:vertAlign w:val="superscript"/>
              </w:rPr>
            </w:pPr>
            <w:r w:rsidRPr="00BE7FA1">
              <w:t xml:space="preserve">R, </w:t>
            </w:r>
            <w:proofErr w:type="spellStart"/>
            <w:r w:rsidRPr="00BE7FA1">
              <w:t>OL</w:t>
            </w:r>
            <w:r w:rsidR="00804397" w:rsidRPr="00BE7FA1">
              <w:rPr>
                <w:vertAlign w:val="superscript"/>
              </w:rPr>
              <w:t>a</w:t>
            </w:r>
            <w:proofErr w:type="spellEnd"/>
            <w:r w:rsidR="00E661B6" w:rsidRPr="00BE7FA1">
              <w:t>, MC</w:t>
            </w:r>
          </w:p>
          <w:p w:rsidR="00E661B6" w:rsidRPr="00BE7FA1" w:rsidRDefault="00E661B6" w:rsidP="00E661B6">
            <w:pPr>
              <w:pStyle w:val="TableText"/>
              <w:tabs>
                <w:tab w:val="left" w:pos="830"/>
              </w:tabs>
              <w:jc w:val="center"/>
            </w:pPr>
            <w:r w:rsidRPr="00BE7FA1">
              <w:t>May 2015</w:t>
            </w:r>
            <w:r w:rsidR="00A765CB" w:rsidRPr="00BE7FA1">
              <w:t xml:space="preserve"> database lock</w:t>
            </w:r>
            <w:r w:rsidRPr="00BE7FA1">
              <w:t xml:space="preserve">: </w:t>
            </w:r>
            <w:r w:rsidR="00A765CB" w:rsidRPr="00BE7FA1">
              <w:br/>
              <w:t xml:space="preserve">ITT: </w:t>
            </w:r>
            <w:r w:rsidRPr="00BE7FA1">
              <w:t>5.9</w:t>
            </w:r>
            <w:r w:rsidR="00A765CB" w:rsidRPr="00BE7FA1">
              <w:t xml:space="preserve"> </w:t>
            </w:r>
            <w:proofErr w:type="spellStart"/>
            <w:r w:rsidR="00A765CB" w:rsidRPr="00BE7FA1">
              <w:t>mths</w:t>
            </w:r>
            <w:proofErr w:type="spellEnd"/>
            <w:r w:rsidR="00A765CB" w:rsidRPr="00BE7FA1">
              <w:rPr>
                <w:vertAlign w:val="superscript"/>
              </w:rPr>
              <w:br/>
            </w:r>
            <w:r w:rsidR="00A765CB" w:rsidRPr="00BE7FA1">
              <w:t>PITT</w:t>
            </w:r>
            <w:r w:rsidR="00804397" w:rsidRPr="00BE7FA1">
              <w:rPr>
                <w:vertAlign w:val="superscript"/>
              </w:rPr>
              <w:t>b</w:t>
            </w:r>
            <w:r w:rsidR="00A765CB" w:rsidRPr="00BE7FA1">
              <w:t>:</w:t>
            </w:r>
            <w:r w:rsidRPr="00BE7FA1">
              <w:t xml:space="preserve">10.7 </w:t>
            </w:r>
            <w:proofErr w:type="spellStart"/>
            <w:r w:rsidRPr="00BE7FA1">
              <w:t>mths</w:t>
            </w:r>
            <w:proofErr w:type="spellEnd"/>
          </w:p>
          <w:p w:rsidR="00E661B6" w:rsidRPr="00BE7FA1" w:rsidRDefault="00E661B6" w:rsidP="00E661B6">
            <w:pPr>
              <w:pStyle w:val="TableText"/>
              <w:tabs>
                <w:tab w:val="left" w:pos="680"/>
              </w:tabs>
              <w:jc w:val="center"/>
            </w:pPr>
            <w:r w:rsidRPr="00BE7FA1">
              <w:t>Dec 2015</w:t>
            </w:r>
            <w:r w:rsidR="00301538" w:rsidRPr="00BE7FA1">
              <w:t xml:space="preserve"> </w:t>
            </w:r>
            <w:r w:rsidR="00A765CB" w:rsidRPr="00BE7FA1">
              <w:t>database lock</w:t>
            </w:r>
            <w:r w:rsidRPr="00BE7FA1">
              <w:t>:</w:t>
            </w:r>
            <w:r w:rsidR="00A765CB" w:rsidRPr="00BE7FA1">
              <w:br/>
              <w:t>ITT:</w:t>
            </w:r>
            <w:r w:rsidRPr="00BE7FA1">
              <w:t xml:space="preserve"> 13.0 </w:t>
            </w:r>
            <w:proofErr w:type="spellStart"/>
            <w:r w:rsidRPr="00BE7FA1">
              <w:t>mths</w:t>
            </w:r>
            <w:proofErr w:type="spellEnd"/>
          </w:p>
        </w:tc>
        <w:tc>
          <w:tcPr>
            <w:tcW w:w="502" w:type="pct"/>
            <w:shd w:val="clear" w:color="auto" w:fill="auto"/>
            <w:vAlign w:val="center"/>
          </w:tcPr>
          <w:p w:rsidR="00C317F3" w:rsidRPr="00BE7FA1" w:rsidRDefault="00A765CB" w:rsidP="0029275C">
            <w:pPr>
              <w:pStyle w:val="TableText"/>
              <w:jc w:val="center"/>
              <w:rPr>
                <w:rFonts w:ascii="Times" w:eastAsia="Times New Roman" w:hAnsi="Times" w:cs="Times New Roman"/>
              </w:rPr>
            </w:pPr>
            <w:r w:rsidRPr="00BE7FA1">
              <w:t>Moderate</w:t>
            </w:r>
          </w:p>
        </w:tc>
        <w:tc>
          <w:tcPr>
            <w:tcW w:w="869" w:type="pct"/>
            <w:shd w:val="clear" w:color="auto" w:fill="auto"/>
            <w:vAlign w:val="center"/>
          </w:tcPr>
          <w:p w:rsidR="00C317F3" w:rsidRPr="00BE7FA1" w:rsidRDefault="00A765CB" w:rsidP="0029275C">
            <w:pPr>
              <w:pStyle w:val="TableText"/>
              <w:jc w:val="center"/>
              <w:rPr>
                <w:rFonts w:ascii="Times" w:eastAsia="Times New Roman" w:hAnsi="Times" w:cs="Times New Roman"/>
              </w:rPr>
            </w:pPr>
            <w:r w:rsidRPr="00BE7FA1">
              <w:t>Advanced/metastatic RCC following at least one prior VEGF</w:t>
            </w:r>
            <w:r w:rsidR="00825CE5" w:rsidRPr="00BE7FA1">
              <w:t>R</w:t>
            </w:r>
            <w:r w:rsidRPr="00BE7FA1">
              <w:t>-targeted treatment</w:t>
            </w:r>
          </w:p>
        </w:tc>
        <w:tc>
          <w:tcPr>
            <w:tcW w:w="661" w:type="pct"/>
            <w:shd w:val="clear" w:color="auto" w:fill="auto"/>
            <w:vAlign w:val="center"/>
          </w:tcPr>
          <w:p w:rsidR="00804397" w:rsidRPr="00BE7FA1" w:rsidRDefault="00E661B6" w:rsidP="0029275C">
            <w:pPr>
              <w:pStyle w:val="TableText"/>
              <w:jc w:val="center"/>
              <w:rPr>
                <w:vertAlign w:val="superscript"/>
              </w:rPr>
            </w:pPr>
            <w:r w:rsidRPr="00BE7FA1">
              <w:t>PF</w:t>
            </w:r>
            <w:r w:rsidR="00804397" w:rsidRPr="00BE7FA1">
              <w:t>S (primary)</w:t>
            </w:r>
            <w:r w:rsidR="00804397" w:rsidRPr="00BE7FA1">
              <w:rPr>
                <w:vertAlign w:val="superscript"/>
              </w:rPr>
              <w:t>b</w:t>
            </w:r>
          </w:p>
          <w:p w:rsidR="00C317F3" w:rsidRPr="00BE7FA1" w:rsidRDefault="00804397" w:rsidP="0029275C">
            <w:pPr>
              <w:pStyle w:val="TableText"/>
              <w:jc w:val="center"/>
              <w:rPr>
                <w:rFonts w:ascii="Times" w:eastAsia="Times New Roman" w:hAnsi="Times" w:cs="Times New Roman"/>
              </w:rPr>
            </w:pPr>
            <w:r w:rsidRPr="00BE7FA1">
              <w:t xml:space="preserve">OS, </w:t>
            </w:r>
            <w:r w:rsidR="00E661B6" w:rsidRPr="00BE7FA1">
              <w:t>ORR</w:t>
            </w:r>
            <w:r w:rsidR="00475EAA" w:rsidRPr="00BE7FA1">
              <w:t>, EQ5D</w:t>
            </w:r>
          </w:p>
        </w:tc>
        <w:tc>
          <w:tcPr>
            <w:tcW w:w="702" w:type="pct"/>
            <w:shd w:val="clear" w:color="auto" w:fill="auto"/>
            <w:vAlign w:val="center"/>
          </w:tcPr>
          <w:p w:rsidR="00C317F3" w:rsidRPr="00BE7FA1" w:rsidRDefault="00694F55" w:rsidP="00694F55">
            <w:pPr>
              <w:pStyle w:val="TableText"/>
              <w:jc w:val="center"/>
              <w:rPr>
                <w:rFonts w:ascii="Times" w:eastAsia="Times New Roman" w:hAnsi="Times" w:cs="Times New Roman"/>
              </w:rPr>
            </w:pPr>
            <w:r w:rsidRPr="00BE7FA1">
              <w:t>PFS, OS</w:t>
            </w:r>
            <w:r w:rsidR="00475EAA" w:rsidRPr="00BE7FA1">
              <w:t>, EQ5D</w:t>
            </w:r>
            <w:r w:rsidRPr="00BE7FA1">
              <w:t xml:space="preserve"> used</w:t>
            </w:r>
          </w:p>
        </w:tc>
      </w:tr>
      <w:tr w:rsidR="00804397" w:rsidRPr="00BE7FA1" w:rsidTr="00804397">
        <w:tc>
          <w:tcPr>
            <w:tcW w:w="5000" w:type="pct"/>
            <w:gridSpan w:val="7"/>
            <w:shd w:val="clear" w:color="auto" w:fill="auto"/>
            <w:vAlign w:val="center"/>
          </w:tcPr>
          <w:p w:rsidR="00804397" w:rsidRPr="00BE7FA1" w:rsidRDefault="00804397" w:rsidP="00804397">
            <w:pPr>
              <w:pStyle w:val="TableText"/>
              <w:jc w:val="left"/>
            </w:pPr>
            <w:r w:rsidRPr="00BE7FA1">
              <w:rPr>
                <w:b/>
              </w:rPr>
              <w:t xml:space="preserve">Nivolumab versus everolimus </w:t>
            </w:r>
          </w:p>
        </w:tc>
      </w:tr>
      <w:tr w:rsidR="00804397" w:rsidRPr="00BE7FA1" w:rsidTr="00653C98">
        <w:tc>
          <w:tcPr>
            <w:tcW w:w="551" w:type="pct"/>
            <w:shd w:val="clear" w:color="auto" w:fill="auto"/>
            <w:vAlign w:val="center"/>
          </w:tcPr>
          <w:p w:rsidR="00C317F3" w:rsidRPr="00BE7FA1" w:rsidRDefault="0029275C" w:rsidP="00772501">
            <w:pPr>
              <w:pStyle w:val="TableText"/>
              <w:rPr>
                <w:rFonts w:ascii="Times" w:eastAsia="Times New Roman" w:hAnsi="Times" w:cs="Times New Roman"/>
              </w:rPr>
            </w:pPr>
            <w:r w:rsidRPr="00BE7FA1">
              <w:t>CheckMate 025</w:t>
            </w:r>
          </w:p>
        </w:tc>
        <w:tc>
          <w:tcPr>
            <w:tcW w:w="494" w:type="pct"/>
            <w:shd w:val="clear" w:color="auto" w:fill="auto"/>
            <w:vAlign w:val="center"/>
          </w:tcPr>
          <w:p w:rsidR="00C317F3" w:rsidRPr="00BE7FA1" w:rsidRDefault="00E661B6" w:rsidP="0029275C">
            <w:pPr>
              <w:pStyle w:val="TableText"/>
              <w:jc w:val="center"/>
              <w:rPr>
                <w:rFonts w:ascii="Times" w:eastAsia="Times New Roman" w:hAnsi="Times" w:cs="Times New Roman"/>
              </w:rPr>
            </w:pPr>
            <w:r w:rsidRPr="00BE7FA1">
              <w:t xml:space="preserve">ITT: </w:t>
            </w:r>
            <w:r w:rsidR="0029275C" w:rsidRPr="00BE7FA1">
              <w:t>821</w:t>
            </w:r>
          </w:p>
        </w:tc>
        <w:tc>
          <w:tcPr>
            <w:tcW w:w="1222" w:type="pct"/>
            <w:shd w:val="clear" w:color="auto" w:fill="auto"/>
            <w:vAlign w:val="center"/>
          </w:tcPr>
          <w:p w:rsidR="00C317F3" w:rsidRPr="00BE7FA1" w:rsidRDefault="00C317F3" w:rsidP="0029275C">
            <w:pPr>
              <w:pStyle w:val="TableText"/>
              <w:jc w:val="center"/>
              <w:rPr>
                <w:rFonts w:ascii="Times" w:eastAsia="Times New Roman" w:hAnsi="Times" w:cs="Times New Roman"/>
              </w:rPr>
            </w:pPr>
            <w:r w:rsidRPr="00BE7FA1">
              <w:t>R, OL</w:t>
            </w:r>
            <w:r w:rsidR="00E661B6" w:rsidRPr="00BE7FA1">
              <w:t>, MC</w:t>
            </w:r>
          </w:p>
          <w:p w:rsidR="00C317F3" w:rsidRPr="00BE7FA1" w:rsidRDefault="00E661B6" w:rsidP="0029275C">
            <w:pPr>
              <w:pStyle w:val="TableText"/>
              <w:jc w:val="center"/>
              <w:rPr>
                <w:rFonts w:ascii="Times" w:eastAsia="Times New Roman" w:hAnsi="Times" w:cs="Times New Roman"/>
              </w:rPr>
            </w:pPr>
            <w:r w:rsidRPr="00BE7FA1">
              <w:t>14</w:t>
            </w:r>
            <w:r w:rsidR="00C317F3" w:rsidRPr="00BE7FA1">
              <w:t xml:space="preserve"> </w:t>
            </w:r>
            <w:proofErr w:type="spellStart"/>
            <w:r w:rsidR="00C317F3" w:rsidRPr="00BE7FA1">
              <w:t>mths</w:t>
            </w:r>
            <w:proofErr w:type="spellEnd"/>
          </w:p>
        </w:tc>
        <w:tc>
          <w:tcPr>
            <w:tcW w:w="502" w:type="pct"/>
            <w:shd w:val="clear" w:color="auto" w:fill="auto"/>
            <w:vAlign w:val="center"/>
          </w:tcPr>
          <w:p w:rsidR="00C317F3" w:rsidRPr="00BE7FA1" w:rsidRDefault="00A765CB" w:rsidP="0029275C">
            <w:pPr>
              <w:pStyle w:val="TableText"/>
              <w:jc w:val="center"/>
              <w:rPr>
                <w:rFonts w:ascii="Times" w:eastAsia="Times New Roman" w:hAnsi="Times" w:cs="Times New Roman"/>
              </w:rPr>
            </w:pPr>
            <w:r w:rsidRPr="00BE7FA1">
              <w:t>Moderate</w:t>
            </w:r>
          </w:p>
        </w:tc>
        <w:tc>
          <w:tcPr>
            <w:tcW w:w="869" w:type="pct"/>
            <w:shd w:val="clear" w:color="auto" w:fill="auto"/>
            <w:vAlign w:val="center"/>
          </w:tcPr>
          <w:p w:rsidR="00C317F3" w:rsidRPr="00BE7FA1" w:rsidRDefault="00A765CB" w:rsidP="00804397">
            <w:pPr>
              <w:pStyle w:val="TableText"/>
              <w:jc w:val="center"/>
              <w:rPr>
                <w:rFonts w:ascii="Times" w:eastAsia="Times New Roman" w:hAnsi="Times" w:cs="Times New Roman"/>
              </w:rPr>
            </w:pPr>
            <w:r w:rsidRPr="00BE7FA1">
              <w:t xml:space="preserve">Advanced/metastatic RCC following at least one prior </w:t>
            </w:r>
            <w:r w:rsidR="00804397" w:rsidRPr="00BE7FA1">
              <w:t>antiangiogenic</w:t>
            </w:r>
            <w:r w:rsidRPr="00BE7FA1">
              <w:t xml:space="preserve"> treatment</w:t>
            </w:r>
          </w:p>
        </w:tc>
        <w:tc>
          <w:tcPr>
            <w:tcW w:w="661" w:type="pct"/>
            <w:shd w:val="clear" w:color="auto" w:fill="auto"/>
            <w:vAlign w:val="center"/>
          </w:tcPr>
          <w:p w:rsidR="00C317F3" w:rsidRPr="00BE7FA1" w:rsidRDefault="00804397" w:rsidP="0029275C">
            <w:pPr>
              <w:pStyle w:val="TableText"/>
              <w:jc w:val="center"/>
            </w:pPr>
            <w:r w:rsidRPr="00BE7FA1">
              <w:t>OS (primary)</w:t>
            </w:r>
          </w:p>
          <w:p w:rsidR="00804397" w:rsidRPr="00BE7FA1" w:rsidRDefault="00804397" w:rsidP="0029275C">
            <w:pPr>
              <w:pStyle w:val="TableText"/>
              <w:jc w:val="center"/>
              <w:rPr>
                <w:rFonts w:ascii="Times" w:eastAsia="Times New Roman" w:hAnsi="Times" w:cs="Times New Roman"/>
              </w:rPr>
            </w:pPr>
            <w:r w:rsidRPr="00BE7FA1">
              <w:t>PFS, ORR</w:t>
            </w:r>
          </w:p>
        </w:tc>
        <w:tc>
          <w:tcPr>
            <w:tcW w:w="702" w:type="pct"/>
            <w:shd w:val="clear" w:color="auto" w:fill="auto"/>
            <w:vAlign w:val="center"/>
          </w:tcPr>
          <w:p w:rsidR="00C317F3" w:rsidRPr="00BE7FA1" w:rsidRDefault="00694F55" w:rsidP="0029275C">
            <w:pPr>
              <w:pStyle w:val="TableText"/>
              <w:jc w:val="center"/>
              <w:rPr>
                <w:rFonts w:ascii="Times" w:eastAsia="Times New Roman" w:hAnsi="Times" w:cs="Times New Roman"/>
              </w:rPr>
            </w:pPr>
            <w:r w:rsidRPr="00BE7FA1">
              <w:t>PFS, OS used</w:t>
            </w:r>
          </w:p>
        </w:tc>
      </w:tr>
    </w:tbl>
    <w:p w:rsidR="00C317F3" w:rsidRPr="00BE7FA1" w:rsidRDefault="00804397" w:rsidP="00772501">
      <w:pPr>
        <w:pStyle w:val="TableFooter"/>
      </w:pPr>
      <w:r w:rsidRPr="00BE7FA1">
        <w:t xml:space="preserve">ITT = intention to treat; </w:t>
      </w:r>
      <w:r w:rsidR="00C317F3" w:rsidRPr="00BE7FA1">
        <w:t>MC</w:t>
      </w:r>
      <w:r w:rsidRPr="00BE7FA1">
        <w:t xml:space="preserve"> </w:t>
      </w:r>
      <w:r w:rsidR="00C317F3" w:rsidRPr="00BE7FA1">
        <w:t>=</w:t>
      </w:r>
      <w:r w:rsidRPr="00BE7FA1">
        <w:t xml:space="preserve"> </w:t>
      </w:r>
      <w:r w:rsidR="00C317F3" w:rsidRPr="00BE7FA1">
        <w:t xml:space="preserve">multi-centre; </w:t>
      </w:r>
      <w:proofErr w:type="spellStart"/>
      <w:r w:rsidR="00854E77" w:rsidRPr="00BE7FA1">
        <w:t>mths</w:t>
      </w:r>
      <w:proofErr w:type="spellEnd"/>
      <w:r w:rsidR="00854E77" w:rsidRPr="00BE7FA1">
        <w:t xml:space="preserve"> = months; </w:t>
      </w:r>
      <w:r w:rsidR="00C317F3" w:rsidRPr="00BE7FA1">
        <w:t>OL</w:t>
      </w:r>
      <w:r w:rsidRPr="00BE7FA1">
        <w:t xml:space="preserve"> </w:t>
      </w:r>
      <w:r w:rsidR="00C317F3" w:rsidRPr="00BE7FA1">
        <w:t>=</w:t>
      </w:r>
      <w:r w:rsidRPr="00BE7FA1">
        <w:t xml:space="preserve"> </w:t>
      </w:r>
      <w:r w:rsidR="00C317F3" w:rsidRPr="00BE7FA1">
        <w:t>open label;</w:t>
      </w:r>
      <w:r w:rsidRPr="00BE7FA1">
        <w:t xml:space="preserve"> ORR = objective response rate;</w:t>
      </w:r>
      <w:r w:rsidR="00C317F3" w:rsidRPr="00BE7FA1">
        <w:t xml:space="preserve"> OS</w:t>
      </w:r>
      <w:r w:rsidRPr="00BE7FA1">
        <w:t xml:space="preserve"> </w:t>
      </w:r>
      <w:r w:rsidR="00C317F3" w:rsidRPr="00BE7FA1">
        <w:t>=</w:t>
      </w:r>
      <w:r w:rsidRPr="00BE7FA1">
        <w:t xml:space="preserve"> </w:t>
      </w:r>
      <w:r w:rsidR="00C317F3" w:rsidRPr="00BE7FA1">
        <w:t>overall survival; PFS</w:t>
      </w:r>
      <w:r w:rsidRPr="00BE7FA1">
        <w:t xml:space="preserve"> </w:t>
      </w:r>
      <w:r w:rsidR="00C317F3" w:rsidRPr="00BE7FA1">
        <w:t>=</w:t>
      </w:r>
      <w:r w:rsidRPr="00BE7FA1">
        <w:t xml:space="preserve"> </w:t>
      </w:r>
      <w:r w:rsidR="0082451D" w:rsidRPr="00BE7FA1">
        <w:t xml:space="preserve">progression </w:t>
      </w:r>
      <w:r w:rsidR="00C317F3" w:rsidRPr="00BE7FA1">
        <w:t>free survival;</w:t>
      </w:r>
      <w:r w:rsidRPr="00BE7FA1">
        <w:t xml:space="preserve"> PITT= primary intention to treat;</w:t>
      </w:r>
      <w:r w:rsidR="00C317F3" w:rsidRPr="00BE7FA1">
        <w:t xml:space="preserve"> R</w:t>
      </w:r>
      <w:r w:rsidRPr="00BE7FA1">
        <w:t xml:space="preserve"> </w:t>
      </w:r>
      <w:r w:rsidR="00C317F3" w:rsidRPr="00BE7FA1">
        <w:t>=</w:t>
      </w:r>
      <w:r w:rsidRPr="00BE7FA1">
        <w:t xml:space="preserve"> </w:t>
      </w:r>
      <w:r w:rsidR="00C317F3" w:rsidRPr="00BE7FA1">
        <w:t>randomised</w:t>
      </w:r>
      <w:r w:rsidR="009775C0" w:rsidRPr="00BE7FA1">
        <w:t>; RCC = renal cell carcinoma; VEGF</w:t>
      </w:r>
      <w:r w:rsidR="00825CE5" w:rsidRPr="00BE7FA1">
        <w:t>R</w:t>
      </w:r>
      <w:r w:rsidR="009775C0" w:rsidRPr="00BE7FA1">
        <w:t xml:space="preserve"> = vascular endothelial growth factor</w:t>
      </w:r>
      <w:r w:rsidR="00825CE5" w:rsidRPr="00BE7FA1">
        <w:t xml:space="preserve"> receptor</w:t>
      </w:r>
      <w:r w:rsidR="00C317F3" w:rsidRPr="00BE7FA1">
        <w:t>.</w:t>
      </w:r>
    </w:p>
    <w:p w:rsidR="00804397" w:rsidRPr="00BE7FA1" w:rsidRDefault="00804397" w:rsidP="00D87291">
      <w:pPr>
        <w:pStyle w:val="TableFooter"/>
        <w:ind w:left="142" w:hanging="142"/>
      </w:pPr>
      <w:proofErr w:type="gramStart"/>
      <w:r w:rsidRPr="00BE7FA1">
        <w:rPr>
          <w:vertAlign w:val="superscript"/>
        </w:rPr>
        <w:t>a</w:t>
      </w:r>
      <w:proofErr w:type="gramEnd"/>
      <w:r w:rsidRPr="00BE7FA1">
        <w:t> Tumour response and progression were assessed by a blinded centralised independent review committee</w:t>
      </w:r>
    </w:p>
    <w:p w:rsidR="00804397" w:rsidRPr="00BE7FA1" w:rsidRDefault="00804397" w:rsidP="00D87291">
      <w:pPr>
        <w:pStyle w:val="TableFooter"/>
        <w:ind w:left="142" w:hanging="142"/>
      </w:pPr>
      <w:proofErr w:type="gramStart"/>
      <w:r w:rsidRPr="00BE7FA1">
        <w:rPr>
          <w:vertAlign w:val="superscript"/>
        </w:rPr>
        <w:t>b</w:t>
      </w:r>
      <w:proofErr w:type="gramEnd"/>
      <w:r w:rsidRPr="00BE7FA1">
        <w:t xml:space="preserve"> The primary outcome was PFS in the primary intention to treat (PITT) population, </w:t>
      </w:r>
      <w:r w:rsidR="00B65334" w:rsidRPr="00BE7FA1">
        <w:t xml:space="preserve">which </w:t>
      </w:r>
      <w:r w:rsidR="008A71D0" w:rsidRPr="00BE7FA1">
        <w:t>was defined as</w:t>
      </w:r>
      <w:r w:rsidRPr="00BE7FA1">
        <w:t xml:space="preserve"> the first 375 randomised patients.</w:t>
      </w:r>
    </w:p>
    <w:p w:rsidR="00C317F3" w:rsidRPr="00BE7FA1" w:rsidRDefault="00C317F3" w:rsidP="00772501">
      <w:pPr>
        <w:pStyle w:val="TableFooter"/>
      </w:pPr>
      <w:r w:rsidRPr="00BE7FA1">
        <w:t>Source: compiled during the evaluation</w:t>
      </w:r>
      <w:r w:rsidR="00D87291" w:rsidRPr="00BE7FA1">
        <w:t>.</w:t>
      </w:r>
    </w:p>
    <w:p w:rsidR="00301538" w:rsidRPr="00BE7FA1" w:rsidRDefault="00301538" w:rsidP="00A832C9">
      <w:pPr>
        <w:pStyle w:val="ListParagraph"/>
        <w:numPr>
          <w:ilvl w:val="1"/>
          <w:numId w:val="4"/>
        </w:numPr>
      </w:pPr>
      <w:r w:rsidRPr="00BE7FA1">
        <w:t xml:space="preserve">Both trials included patients with advanced/metastatic RCC with a clear-cell component and with progressive disease following prior treatment. Patients in METEOR must have received at least one prior VEGFR-targeting TKI. Patients in CheckMate 025 were required to have received at least one, but no more than two, prior antiangiogenic treatments and must have received no more than three total prior systemic treatments in the advanced disease/metastatic setting. </w:t>
      </w:r>
      <w:r w:rsidR="00C80A5A" w:rsidRPr="00BE7FA1">
        <w:t>A considerable proportion of patients in both trials had previously received more than one prior TKI/antiangiogenic treatment.</w:t>
      </w:r>
    </w:p>
    <w:p w:rsidR="00EA6257" w:rsidRPr="00BE7FA1" w:rsidRDefault="00301538" w:rsidP="00A832C9">
      <w:pPr>
        <w:pStyle w:val="ListParagraph"/>
        <w:numPr>
          <w:ilvl w:val="1"/>
          <w:numId w:val="4"/>
        </w:numPr>
      </w:pPr>
      <w:r w:rsidRPr="00BE7FA1">
        <w:t>85% of patients in METEOR were confirmed to have Stage IV disease. Choueiri 2016</w:t>
      </w:r>
      <w:r w:rsidRPr="00BE7FA1">
        <w:rPr>
          <w:rStyle w:val="FootnoteReference"/>
        </w:rPr>
        <w:footnoteReference w:id="4"/>
      </w:r>
      <w:r w:rsidRPr="00BE7FA1">
        <w:t xml:space="preserve"> reported that all patients in METEOR had a WHO performance status of 0 or 1.</w:t>
      </w:r>
      <w:r w:rsidR="0053718C" w:rsidRPr="00BE7FA1">
        <w:t xml:space="preserve"> </w:t>
      </w:r>
      <w:r w:rsidRPr="00BE7FA1">
        <w:t>Baseline disease stage and WHO performance status were not reported for CheckMate 025.</w:t>
      </w:r>
    </w:p>
    <w:p w:rsidR="00EA6257" w:rsidRPr="00BE7FA1" w:rsidRDefault="00EA6257" w:rsidP="00A832C9">
      <w:pPr>
        <w:pStyle w:val="ListParagraph"/>
        <w:numPr>
          <w:ilvl w:val="1"/>
          <w:numId w:val="4"/>
        </w:numPr>
      </w:pPr>
      <w:r w:rsidRPr="00BE7FA1">
        <w:t xml:space="preserve">In </w:t>
      </w:r>
      <w:r w:rsidR="00EA21FA" w:rsidRPr="00BE7FA1">
        <w:t xml:space="preserve">both </w:t>
      </w:r>
      <w:r w:rsidRPr="00BE7FA1">
        <w:t xml:space="preserve">METEOR and CheckMate 025, patients were allowed to continue treatment beyond progression if the investigator believed that the patient was still receiving clinical benefit from the study drug. </w:t>
      </w:r>
      <w:r w:rsidR="00062DF0" w:rsidRPr="00BE7FA1">
        <w:t>Th</w:t>
      </w:r>
      <w:r w:rsidR="004D3A67" w:rsidRPr="00BE7FA1">
        <w:t>e ESC noted that this was not consistent with the restriction, which requires patients to have stable or responding disease, according to RECIST.</w:t>
      </w:r>
    </w:p>
    <w:p w:rsidR="00B25127" w:rsidRPr="00BE7FA1" w:rsidRDefault="00AE432A" w:rsidP="00A832C9">
      <w:pPr>
        <w:pStyle w:val="ListParagraph"/>
        <w:numPr>
          <w:ilvl w:val="1"/>
          <w:numId w:val="4"/>
        </w:numPr>
      </w:pPr>
      <w:r w:rsidRPr="00BE7FA1">
        <w:t>Given the open-label design of both trials, there was a high risk of performance bias, especially in regard to patient management decisions.</w:t>
      </w:r>
      <w:r w:rsidR="00B25127" w:rsidRPr="00BE7FA1">
        <w:t xml:space="preserve"> There was also </w:t>
      </w:r>
      <w:r w:rsidR="000B66B2" w:rsidRPr="00BE7FA1">
        <w:t>a risk of bias in</w:t>
      </w:r>
      <w:r w:rsidR="00B25127" w:rsidRPr="00BE7FA1">
        <w:t xml:space="preserve"> the assessment </w:t>
      </w:r>
      <w:r w:rsidR="00C61052">
        <w:t xml:space="preserve">of </w:t>
      </w:r>
      <w:r w:rsidR="00B25127" w:rsidRPr="00BE7FA1">
        <w:t xml:space="preserve">safety outcomes in terms of </w:t>
      </w:r>
      <w:r w:rsidR="006329D4" w:rsidRPr="00BE7FA1">
        <w:t xml:space="preserve">grading of </w:t>
      </w:r>
      <w:r w:rsidR="00B25127" w:rsidRPr="00BE7FA1">
        <w:t xml:space="preserve">severity and attribution </w:t>
      </w:r>
      <w:r w:rsidR="00795B51" w:rsidRPr="00BE7FA1">
        <w:t xml:space="preserve">of causality of </w:t>
      </w:r>
      <w:r w:rsidR="004071F7" w:rsidRPr="00BE7FA1">
        <w:t>adverse events (</w:t>
      </w:r>
      <w:r w:rsidR="00795B51" w:rsidRPr="00BE7FA1">
        <w:t>AEs</w:t>
      </w:r>
      <w:r w:rsidR="004071F7" w:rsidRPr="00BE7FA1">
        <w:t>)</w:t>
      </w:r>
      <w:r w:rsidR="00B25127" w:rsidRPr="00BE7FA1">
        <w:t xml:space="preserve">. </w:t>
      </w:r>
    </w:p>
    <w:p w:rsidR="00301538" w:rsidRPr="00BE7FA1" w:rsidRDefault="00301538" w:rsidP="00A832C9">
      <w:pPr>
        <w:pStyle w:val="ListParagraph"/>
        <w:numPr>
          <w:ilvl w:val="1"/>
          <w:numId w:val="4"/>
        </w:numPr>
      </w:pPr>
      <w:r w:rsidRPr="00BE7FA1">
        <w:lastRenderedPageBreak/>
        <w:t xml:space="preserve">In METEOR, tumour response and progression were assessed by a blinded centralised independent review committee, thereby reducing the risk of detection bias in the assessment of tumour response and progression free survival (PFS). In contrast, radiologic outcomes in CheckMate 025 were assessed by the investigator and were, therefore, potentially subject to bias. </w:t>
      </w:r>
    </w:p>
    <w:p w:rsidR="00A02606" w:rsidRPr="00BE7FA1" w:rsidRDefault="00A02606" w:rsidP="00A832C9">
      <w:pPr>
        <w:pStyle w:val="ListParagraph"/>
        <w:numPr>
          <w:ilvl w:val="1"/>
          <w:numId w:val="4"/>
        </w:numPr>
      </w:pPr>
      <w:r w:rsidRPr="00BE7FA1">
        <w:t>As tumour responses to immunotherapies can occur after conventional RECIST-defined progressive disease</w:t>
      </w:r>
      <w:r w:rsidR="007B7EA7" w:rsidRPr="00BE7FA1">
        <w:t xml:space="preserve"> </w:t>
      </w:r>
      <w:r w:rsidR="007B7EA7" w:rsidRPr="00BE7FA1">
        <w:rPr>
          <w:color w:val="000000" w:themeColor="text1"/>
        </w:rPr>
        <w:t>(i.e. the tumour flare effect),</w:t>
      </w:r>
      <w:r w:rsidRPr="00BE7FA1">
        <w:t xml:space="preserve"> RECIST-defined PFS is not a reliable measure of the clinical effectiveness of nivolumab</w:t>
      </w:r>
      <w:r w:rsidRPr="00BE7FA1">
        <w:rPr>
          <w:rStyle w:val="FootnoteReference"/>
        </w:rPr>
        <w:footnoteReference w:id="5"/>
      </w:r>
      <w:r w:rsidRPr="00BE7FA1">
        <w:t>.</w:t>
      </w:r>
    </w:p>
    <w:p w:rsidR="00EA21FA" w:rsidRPr="00BE7FA1" w:rsidRDefault="007B493B" w:rsidP="007A5391">
      <w:pPr>
        <w:pStyle w:val="ListParagraph"/>
        <w:numPr>
          <w:ilvl w:val="1"/>
          <w:numId w:val="4"/>
        </w:numPr>
        <w:spacing w:after="120"/>
      </w:pPr>
      <w:r w:rsidRPr="00BE7FA1">
        <w:t xml:space="preserve">Neither trial permitted patients in the everolimus arm to switch to the intervention after progression. </w:t>
      </w:r>
      <w:r w:rsidR="00EA21FA" w:rsidRPr="00BE7FA1">
        <w:t xml:space="preserve">At the December 2015 database lock for the second interim analysis of </w:t>
      </w:r>
      <w:r w:rsidR="00836882" w:rsidRPr="00BE7FA1">
        <w:t>overall survival (</w:t>
      </w:r>
      <w:r w:rsidR="00EA21FA" w:rsidRPr="00BE7FA1">
        <w:t>OS</w:t>
      </w:r>
      <w:r w:rsidR="00836882" w:rsidRPr="00BE7FA1">
        <w:t>)</w:t>
      </w:r>
      <w:r w:rsidR="00EA21FA" w:rsidRPr="00BE7FA1">
        <w:t xml:space="preserve"> in the METEOR trial, only 7/328 patients (2.1%) in the everolimus arm of METEOR had subsequently received cabozantinib. Similarly, at the June 2015 database lock in CheckMate 025, only 7/441 patients (1.8%) in the everolimus arm had subsequently received a programmed death 1 (PD-1) inhibitor. Therefore, there was minimal risk of confounding of OS due to treatment switching in either of the trials.</w:t>
      </w:r>
    </w:p>
    <w:p w:rsidR="00C317F3" w:rsidRPr="00653C98" w:rsidRDefault="00C317F3" w:rsidP="007A5391">
      <w:pPr>
        <w:pStyle w:val="Heading2"/>
        <w:spacing w:before="120"/>
      </w:pPr>
      <w:bookmarkStart w:id="18" w:name="_Toc413139278"/>
      <w:bookmarkStart w:id="19" w:name="_Toc497315004"/>
      <w:r w:rsidRPr="00653C98">
        <w:t>Comparative effectiveness</w:t>
      </w:r>
      <w:bookmarkEnd w:id="18"/>
      <w:bookmarkEnd w:id="19"/>
      <w:r w:rsidRPr="00653C98">
        <w:t xml:space="preserve"> </w:t>
      </w:r>
    </w:p>
    <w:p w:rsidR="009E01C8" w:rsidRPr="00BE7FA1" w:rsidRDefault="009E01C8" w:rsidP="009E01C8">
      <w:pPr>
        <w:rPr>
          <w:u w:val="single"/>
        </w:rPr>
      </w:pPr>
      <w:r w:rsidRPr="00BE7FA1">
        <w:rPr>
          <w:u w:val="single"/>
        </w:rPr>
        <w:t xml:space="preserve">Cabozantinib versus everolimus </w:t>
      </w:r>
    </w:p>
    <w:p w:rsidR="00045EED" w:rsidRPr="00BE7FA1" w:rsidRDefault="00045EED" w:rsidP="00A832C9">
      <w:pPr>
        <w:pStyle w:val="ListParagraph"/>
        <w:numPr>
          <w:ilvl w:val="1"/>
          <w:numId w:val="4"/>
        </w:numPr>
      </w:pPr>
      <w:r w:rsidRPr="00BE7FA1">
        <w:t xml:space="preserve">Overall survival was a secondary outcome in METEOR. An initial </w:t>
      </w:r>
      <w:proofErr w:type="spellStart"/>
      <w:r w:rsidRPr="00BE7FA1">
        <w:t>prespecified</w:t>
      </w:r>
      <w:proofErr w:type="spellEnd"/>
      <w:r w:rsidRPr="00BE7FA1">
        <w:t xml:space="preserve"> interim analysis was conducted at the May 2015 data cut-off for the primary analysis of PFS. As this interim analysis of OS failed to reach the pre-specified criteri</w:t>
      </w:r>
      <w:r w:rsidR="009E4D4D" w:rsidRPr="00BE7FA1">
        <w:t>on for statistical significance</w:t>
      </w:r>
      <w:r w:rsidRPr="00BE7FA1">
        <w:t xml:space="preserve">, a second, unplanned, interim analysis was performed, with a December 2015 cut-off date. </w:t>
      </w:r>
    </w:p>
    <w:p w:rsidR="00865BE4" w:rsidRPr="00BE7FA1" w:rsidRDefault="0074663E" w:rsidP="00A832C9">
      <w:pPr>
        <w:pStyle w:val="ListParagraph"/>
        <w:numPr>
          <w:ilvl w:val="1"/>
          <w:numId w:val="4"/>
        </w:numPr>
      </w:pPr>
      <w:r w:rsidRPr="00BE7FA1">
        <w:t>Table 4</w:t>
      </w:r>
      <w:r w:rsidR="00865BE4" w:rsidRPr="00BE7FA1">
        <w:t xml:space="preserve"> presents the OS results from METEOR. The Kaplan-Meier plot of OS for the December 2015 data </w:t>
      </w:r>
      <w:r w:rsidR="000C06EB" w:rsidRPr="00BE7FA1">
        <w:t>cut-off</w:t>
      </w:r>
      <w:r w:rsidR="00865BE4" w:rsidRPr="00BE7FA1">
        <w:t xml:space="preserve"> is presented in Figure 1.</w:t>
      </w:r>
    </w:p>
    <w:p w:rsidR="00653C98" w:rsidRPr="00653C98" w:rsidRDefault="00653C98" w:rsidP="00653C98">
      <w:pPr>
        <w:pStyle w:val="Caption"/>
        <w:rPr>
          <w:rFonts w:ascii="Arial Narrow" w:hAnsi="Arial Narrow"/>
        </w:rPr>
      </w:pPr>
      <w:r w:rsidRPr="00653C98">
        <w:rPr>
          <w:rFonts w:ascii="Arial Narrow" w:hAnsi="Arial Narrow"/>
        </w:rPr>
        <w:t xml:space="preserve">Table </w:t>
      </w:r>
      <w:r w:rsidRPr="00653C98">
        <w:rPr>
          <w:rFonts w:ascii="Arial Narrow" w:hAnsi="Arial Narrow"/>
        </w:rPr>
        <w:fldChar w:fldCharType="begin"/>
      </w:r>
      <w:r w:rsidRPr="00653C98">
        <w:rPr>
          <w:rFonts w:ascii="Arial Narrow" w:hAnsi="Arial Narrow"/>
        </w:rPr>
        <w:instrText xml:space="preserve"> SEQ Table \* ARABIC </w:instrText>
      </w:r>
      <w:r w:rsidRPr="00653C98">
        <w:rPr>
          <w:rFonts w:ascii="Arial Narrow" w:hAnsi="Arial Narrow"/>
        </w:rPr>
        <w:fldChar w:fldCharType="separate"/>
      </w:r>
      <w:r w:rsidR="00C73538">
        <w:rPr>
          <w:rFonts w:ascii="Arial Narrow" w:hAnsi="Arial Narrow"/>
          <w:noProof/>
        </w:rPr>
        <w:t>4</w:t>
      </w:r>
      <w:r w:rsidRPr="00653C98">
        <w:rPr>
          <w:rFonts w:ascii="Arial Narrow" w:hAnsi="Arial Narrow"/>
        </w:rPr>
        <w:fldChar w:fldCharType="end"/>
      </w:r>
      <w:r w:rsidRPr="00653C98">
        <w:rPr>
          <w:rFonts w:ascii="Arial Narrow" w:hAnsi="Arial Narrow"/>
        </w:rPr>
        <w:t>: OS results from METEOR (ITT population)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OS results from METEOR (ITT population)"/>
      </w:tblPr>
      <w:tblGrid>
        <w:gridCol w:w="3359"/>
        <w:gridCol w:w="1471"/>
        <w:gridCol w:w="1473"/>
        <w:gridCol w:w="1471"/>
        <w:gridCol w:w="1468"/>
      </w:tblGrid>
      <w:tr w:rsidR="00C129AE" w:rsidRPr="00BE7FA1" w:rsidTr="00EA49AB">
        <w:trPr>
          <w:cnfStyle w:val="100000000000" w:firstRow="1" w:lastRow="0" w:firstColumn="0" w:lastColumn="0" w:oddVBand="0" w:evenVBand="0" w:oddHBand="0" w:evenHBand="0" w:firstRowFirstColumn="0" w:firstRowLastColumn="0" w:lastRowFirstColumn="0" w:lastRowLastColumn="0"/>
          <w:tblHeader/>
        </w:trPr>
        <w:tc>
          <w:tcPr>
            <w:tcW w:w="1817" w:type="pct"/>
            <w:tcBorders>
              <w:bottom w:val="nil"/>
            </w:tcBorders>
            <w:shd w:val="clear" w:color="auto" w:fill="FFFFFF" w:themeFill="background1"/>
          </w:tcPr>
          <w:p w:rsidR="00C129AE" w:rsidRPr="00444991" w:rsidRDefault="00C129AE" w:rsidP="003B1D0C">
            <w:pPr>
              <w:pStyle w:val="TableText"/>
              <w:rPr>
                <w:b w:val="0"/>
                <w:lang w:val="en-AU"/>
              </w:rPr>
            </w:pPr>
          </w:p>
        </w:tc>
        <w:tc>
          <w:tcPr>
            <w:tcW w:w="1593" w:type="pct"/>
            <w:gridSpan w:val="2"/>
            <w:shd w:val="clear" w:color="auto" w:fill="FFFFFF" w:themeFill="background1"/>
            <w:vAlign w:val="center"/>
          </w:tcPr>
          <w:p w:rsidR="00C129AE" w:rsidRPr="00444991" w:rsidRDefault="00C129AE" w:rsidP="003B1D0C">
            <w:pPr>
              <w:pStyle w:val="TableText"/>
              <w:jc w:val="center"/>
              <w:rPr>
                <w:lang w:val="en-AU"/>
              </w:rPr>
            </w:pPr>
            <w:r w:rsidRPr="00BE7FA1">
              <w:t>May 2015 data cut-off</w:t>
            </w:r>
          </w:p>
        </w:tc>
        <w:tc>
          <w:tcPr>
            <w:tcW w:w="1590" w:type="pct"/>
            <w:gridSpan w:val="2"/>
            <w:shd w:val="clear" w:color="auto" w:fill="FFFFFF" w:themeFill="background1"/>
          </w:tcPr>
          <w:p w:rsidR="00C129AE" w:rsidRPr="00444991" w:rsidRDefault="00C129AE" w:rsidP="003B1D0C">
            <w:pPr>
              <w:pStyle w:val="TableText"/>
              <w:jc w:val="center"/>
              <w:rPr>
                <w:lang w:val="en-AU"/>
              </w:rPr>
            </w:pPr>
            <w:r w:rsidRPr="00BE7FA1">
              <w:t>December 2015 data cut-off</w:t>
            </w:r>
          </w:p>
        </w:tc>
      </w:tr>
      <w:tr w:rsidR="00C129AE" w:rsidRPr="00BE7FA1" w:rsidTr="00EA49AB">
        <w:trPr>
          <w:cnfStyle w:val="100000000000" w:firstRow="1" w:lastRow="0" w:firstColumn="0" w:lastColumn="0" w:oddVBand="0" w:evenVBand="0" w:oddHBand="0" w:evenHBand="0" w:firstRowFirstColumn="0" w:firstRowLastColumn="0" w:lastRowFirstColumn="0" w:lastRowLastColumn="0"/>
          <w:tblHeader/>
        </w:trPr>
        <w:tc>
          <w:tcPr>
            <w:tcW w:w="1817" w:type="pct"/>
            <w:tcBorders>
              <w:top w:val="nil"/>
            </w:tcBorders>
            <w:shd w:val="clear" w:color="auto" w:fill="FFFFFF" w:themeFill="background1"/>
          </w:tcPr>
          <w:p w:rsidR="00C129AE" w:rsidRPr="00444991" w:rsidRDefault="00C129AE" w:rsidP="003B1D0C">
            <w:pPr>
              <w:pStyle w:val="TableText"/>
              <w:rPr>
                <w:lang w:val="en-AU"/>
              </w:rPr>
            </w:pPr>
          </w:p>
        </w:tc>
        <w:tc>
          <w:tcPr>
            <w:tcW w:w="796" w:type="pct"/>
            <w:shd w:val="clear" w:color="auto" w:fill="FFFFFF" w:themeFill="background1"/>
          </w:tcPr>
          <w:p w:rsidR="00C129AE" w:rsidRPr="00444991" w:rsidRDefault="00C129AE" w:rsidP="003B1D0C">
            <w:pPr>
              <w:pStyle w:val="TableText"/>
              <w:jc w:val="center"/>
              <w:rPr>
                <w:b w:val="0"/>
                <w:lang w:val="en-AU"/>
              </w:rPr>
            </w:pPr>
            <w:r w:rsidRPr="00BE7FA1">
              <w:t>Cabozantinib</w:t>
            </w:r>
          </w:p>
          <w:p w:rsidR="00C129AE" w:rsidRPr="00444991" w:rsidRDefault="00C129AE" w:rsidP="003B1D0C">
            <w:pPr>
              <w:pStyle w:val="TableText"/>
              <w:jc w:val="center"/>
              <w:rPr>
                <w:b w:val="0"/>
                <w:lang w:val="en-AU"/>
              </w:rPr>
            </w:pPr>
            <w:r w:rsidRPr="00BE7FA1">
              <w:t>N=330</w:t>
            </w:r>
          </w:p>
        </w:tc>
        <w:tc>
          <w:tcPr>
            <w:tcW w:w="797" w:type="pct"/>
            <w:shd w:val="clear" w:color="auto" w:fill="FFFFFF" w:themeFill="background1"/>
          </w:tcPr>
          <w:p w:rsidR="00C129AE" w:rsidRPr="00444991" w:rsidRDefault="00C129AE" w:rsidP="003B1D0C">
            <w:pPr>
              <w:pStyle w:val="TableText"/>
              <w:jc w:val="center"/>
              <w:rPr>
                <w:b w:val="0"/>
                <w:lang w:val="en-AU"/>
              </w:rPr>
            </w:pPr>
            <w:r w:rsidRPr="00BE7FA1">
              <w:t>Everolimus</w:t>
            </w:r>
          </w:p>
          <w:p w:rsidR="00C129AE" w:rsidRPr="00444991" w:rsidRDefault="00C129AE" w:rsidP="003B1D0C">
            <w:pPr>
              <w:pStyle w:val="TableText"/>
              <w:jc w:val="center"/>
              <w:rPr>
                <w:b w:val="0"/>
                <w:lang w:val="en-AU"/>
              </w:rPr>
            </w:pPr>
            <w:r w:rsidRPr="00BE7FA1">
              <w:t>N=328</w:t>
            </w:r>
          </w:p>
        </w:tc>
        <w:tc>
          <w:tcPr>
            <w:tcW w:w="796" w:type="pct"/>
            <w:shd w:val="clear" w:color="auto" w:fill="FFFFFF" w:themeFill="background1"/>
          </w:tcPr>
          <w:p w:rsidR="00C129AE" w:rsidRPr="00444991" w:rsidRDefault="00C129AE" w:rsidP="003B1D0C">
            <w:pPr>
              <w:pStyle w:val="TableText"/>
              <w:jc w:val="center"/>
              <w:rPr>
                <w:b w:val="0"/>
                <w:lang w:val="en-AU"/>
              </w:rPr>
            </w:pPr>
            <w:r w:rsidRPr="00BE7FA1">
              <w:t>Cabozantinib</w:t>
            </w:r>
          </w:p>
          <w:p w:rsidR="00C129AE" w:rsidRPr="00444991" w:rsidRDefault="00C129AE" w:rsidP="003B1D0C">
            <w:pPr>
              <w:pStyle w:val="TableText"/>
              <w:jc w:val="center"/>
              <w:rPr>
                <w:b w:val="0"/>
                <w:lang w:val="en-AU"/>
              </w:rPr>
            </w:pPr>
            <w:r w:rsidRPr="00BE7FA1">
              <w:t>N=330</w:t>
            </w:r>
          </w:p>
        </w:tc>
        <w:tc>
          <w:tcPr>
            <w:tcW w:w="794" w:type="pct"/>
            <w:shd w:val="clear" w:color="auto" w:fill="FFFFFF" w:themeFill="background1"/>
          </w:tcPr>
          <w:p w:rsidR="00C129AE" w:rsidRPr="00444991" w:rsidRDefault="00C129AE" w:rsidP="003B1D0C">
            <w:pPr>
              <w:pStyle w:val="TableText"/>
              <w:jc w:val="center"/>
              <w:rPr>
                <w:b w:val="0"/>
                <w:lang w:val="en-AU"/>
              </w:rPr>
            </w:pPr>
            <w:r w:rsidRPr="00BE7FA1">
              <w:t>Everolimus</w:t>
            </w:r>
          </w:p>
          <w:p w:rsidR="00C129AE" w:rsidRPr="00444991" w:rsidRDefault="00C129AE" w:rsidP="003B1D0C">
            <w:pPr>
              <w:pStyle w:val="TableText"/>
              <w:jc w:val="center"/>
              <w:rPr>
                <w:b w:val="0"/>
                <w:lang w:val="en-AU"/>
              </w:rPr>
            </w:pPr>
            <w:r w:rsidRPr="00BE7FA1">
              <w:t>N=328</w:t>
            </w:r>
          </w:p>
        </w:tc>
      </w:tr>
      <w:tr w:rsidR="00865BE4" w:rsidRPr="00BE7FA1" w:rsidTr="00C129AE">
        <w:tc>
          <w:tcPr>
            <w:tcW w:w="1817" w:type="pct"/>
            <w:shd w:val="clear" w:color="auto" w:fill="FFFFFF" w:themeFill="background1"/>
          </w:tcPr>
          <w:p w:rsidR="00865BE4" w:rsidRPr="00444991" w:rsidRDefault="00865BE4" w:rsidP="003B1D0C">
            <w:pPr>
              <w:pStyle w:val="TableText"/>
              <w:jc w:val="left"/>
              <w:rPr>
                <w:lang w:val="en-AU"/>
              </w:rPr>
            </w:pPr>
            <w:r w:rsidRPr="00BE7FA1">
              <w:t>Minimum duration of follow-up, months</w:t>
            </w:r>
          </w:p>
        </w:tc>
        <w:tc>
          <w:tcPr>
            <w:tcW w:w="1593" w:type="pct"/>
            <w:gridSpan w:val="2"/>
            <w:shd w:val="clear" w:color="auto" w:fill="FFFFFF" w:themeFill="background1"/>
          </w:tcPr>
          <w:p w:rsidR="00865BE4" w:rsidRPr="00444991" w:rsidRDefault="00865BE4" w:rsidP="003B1D0C">
            <w:pPr>
              <w:pStyle w:val="TableText"/>
              <w:jc w:val="center"/>
              <w:rPr>
                <w:lang w:val="en-AU"/>
              </w:rPr>
            </w:pPr>
            <w:r w:rsidRPr="00BE7FA1">
              <w:t>5.9 months</w:t>
            </w:r>
          </w:p>
        </w:tc>
        <w:tc>
          <w:tcPr>
            <w:tcW w:w="1590" w:type="pct"/>
            <w:gridSpan w:val="2"/>
            <w:shd w:val="clear" w:color="auto" w:fill="FFFFFF" w:themeFill="background1"/>
          </w:tcPr>
          <w:p w:rsidR="00865BE4" w:rsidRPr="00444991" w:rsidRDefault="00865BE4" w:rsidP="003B1D0C">
            <w:pPr>
              <w:pStyle w:val="TableText"/>
              <w:jc w:val="center"/>
              <w:rPr>
                <w:lang w:val="en-AU"/>
              </w:rPr>
            </w:pPr>
            <w:r w:rsidRPr="00BE7FA1">
              <w:t>13 months</w:t>
            </w:r>
          </w:p>
        </w:tc>
      </w:tr>
      <w:tr w:rsidR="00865BE4" w:rsidRPr="00BE7FA1" w:rsidTr="00C129AE">
        <w:tc>
          <w:tcPr>
            <w:tcW w:w="1817" w:type="pct"/>
            <w:shd w:val="clear" w:color="auto" w:fill="FFFFFF" w:themeFill="background1"/>
          </w:tcPr>
          <w:p w:rsidR="00865BE4" w:rsidRPr="00444991" w:rsidRDefault="00865BE4" w:rsidP="003B1D0C">
            <w:pPr>
              <w:pStyle w:val="TableText"/>
              <w:rPr>
                <w:lang w:val="en-AU"/>
              </w:rPr>
            </w:pPr>
            <w:r w:rsidRPr="00BE7FA1">
              <w:t>Number of events, n (%)</w:t>
            </w:r>
          </w:p>
        </w:tc>
        <w:tc>
          <w:tcPr>
            <w:tcW w:w="796" w:type="pct"/>
            <w:shd w:val="clear" w:color="auto" w:fill="FFFFFF" w:themeFill="background1"/>
          </w:tcPr>
          <w:p w:rsidR="00865BE4" w:rsidRPr="00444991" w:rsidRDefault="00865BE4" w:rsidP="003B1D0C">
            <w:pPr>
              <w:pStyle w:val="TableText"/>
              <w:jc w:val="center"/>
              <w:rPr>
                <w:lang w:val="en-AU"/>
              </w:rPr>
            </w:pPr>
            <w:r w:rsidRPr="00BE7FA1">
              <w:t>89 (27%)</w:t>
            </w:r>
          </w:p>
        </w:tc>
        <w:tc>
          <w:tcPr>
            <w:tcW w:w="797" w:type="pct"/>
            <w:shd w:val="clear" w:color="auto" w:fill="FFFFFF" w:themeFill="background1"/>
          </w:tcPr>
          <w:p w:rsidR="00865BE4" w:rsidRPr="00444991" w:rsidRDefault="00865BE4" w:rsidP="003B1D0C">
            <w:pPr>
              <w:pStyle w:val="TableText"/>
              <w:jc w:val="center"/>
              <w:rPr>
                <w:lang w:val="en-AU"/>
              </w:rPr>
            </w:pPr>
            <w:r w:rsidRPr="00BE7FA1">
              <w:t>113 (34%)</w:t>
            </w:r>
          </w:p>
        </w:tc>
        <w:tc>
          <w:tcPr>
            <w:tcW w:w="796" w:type="pct"/>
            <w:shd w:val="clear" w:color="auto" w:fill="FFFFFF" w:themeFill="background1"/>
          </w:tcPr>
          <w:p w:rsidR="00865BE4" w:rsidRPr="00444991" w:rsidRDefault="00865BE4" w:rsidP="003B1D0C">
            <w:pPr>
              <w:pStyle w:val="TableText"/>
              <w:jc w:val="center"/>
              <w:rPr>
                <w:lang w:val="en-AU"/>
              </w:rPr>
            </w:pPr>
            <w:r w:rsidRPr="00BE7FA1">
              <w:t>140 (42%)</w:t>
            </w:r>
          </w:p>
        </w:tc>
        <w:tc>
          <w:tcPr>
            <w:tcW w:w="794" w:type="pct"/>
            <w:shd w:val="clear" w:color="auto" w:fill="FFFFFF" w:themeFill="background1"/>
          </w:tcPr>
          <w:p w:rsidR="00865BE4" w:rsidRPr="00444991" w:rsidRDefault="00865BE4" w:rsidP="003B1D0C">
            <w:pPr>
              <w:pStyle w:val="TableText"/>
              <w:jc w:val="center"/>
              <w:rPr>
                <w:lang w:val="en-AU"/>
              </w:rPr>
            </w:pPr>
            <w:r w:rsidRPr="00BE7FA1">
              <w:t>180 (55%)</w:t>
            </w:r>
          </w:p>
        </w:tc>
      </w:tr>
      <w:tr w:rsidR="00865BE4" w:rsidRPr="00BE7FA1" w:rsidTr="00C129AE">
        <w:tc>
          <w:tcPr>
            <w:tcW w:w="1817" w:type="pct"/>
            <w:shd w:val="clear" w:color="auto" w:fill="FFFFFF" w:themeFill="background1"/>
          </w:tcPr>
          <w:p w:rsidR="00865BE4" w:rsidRPr="00444991" w:rsidRDefault="00865BE4" w:rsidP="003B1D0C">
            <w:pPr>
              <w:pStyle w:val="TableText"/>
              <w:rPr>
                <w:lang w:val="en-AU"/>
              </w:rPr>
            </w:pPr>
            <w:r w:rsidRPr="00BE7FA1">
              <w:t>Median OS, months (95% CI)</w:t>
            </w:r>
          </w:p>
        </w:tc>
        <w:tc>
          <w:tcPr>
            <w:tcW w:w="796" w:type="pct"/>
            <w:shd w:val="clear" w:color="auto" w:fill="FFFFFF" w:themeFill="background1"/>
          </w:tcPr>
          <w:p w:rsidR="00865BE4" w:rsidRPr="00444991" w:rsidRDefault="00865BE4" w:rsidP="003B1D0C">
            <w:pPr>
              <w:pStyle w:val="TableText"/>
              <w:jc w:val="center"/>
              <w:rPr>
                <w:lang w:val="en-AU"/>
              </w:rPr>
            </w:pPr>
            <w:r w:rsidRPr="00BE7FA1">
              <w:t>NE</w:t>
            </w:r>
          </w:p>
        </w:tc>
        <w:tc>
          <w:tcPr>
            <w:tcW w:w="797" w:type="pct"/>
            <w:shd w:val="clear" w:color="auto" w:fill="FFFFFF" w:themeFill="background1"/>
          </w:tcPr>
          <w:p w:rsidR="00865BE4" w:rsidRPr="00444991" w:rsidRDefault="00865BE4" w:rsidP="003B1D0C">
            <w:pPr>
              <w:pStyle w:val="TableText"/>
              <w:jc w:val="center"/>
              <w:rPr>
                <w:lang w:val="en-AU"/>
              </w:rPr>
            </w:pPr>
            <w:r w:rsidRPr="00BE7FA1">
              <w:t>NE</w:t>
            </w:r>
          </w:p>
        </w:tc>
        <w:tc>
          <w:tcPr>
            <w:tcW w:w="796" w:type="pct"/>
            <w:shd w:val="clear" w:color="auto" w:fill="FFFFFF" w:themeFill="background1"/>
          </w:tcPr>
          <w:p w:rsidR="00865BE4" w:rsidRPr="00444991" w:rsidRDefault="00865BE4" w:rsidP="003B1D0C">
            <w:pPr>
              <w:pStyle w:val="TableText"/>
              <w:jc w:val="center"/>
              <w:rPr>
                <w:lang w:val="en-AU"/>
              </w:rPr>
            </w:pPr>
            <w:r w:rsidRPr="00BE7FA1">
              <w:t>21.4 (18.7, NE)</w:t>
            </w:r>
          </w:p>
        </w:tc>
        <w:tc>
          <w:tcPr>
            <w:tcW w:w="794" w:type="pct"/>
            <w:shd w:val="clear" w:color="auto" w:fill="FFFFFF" w:themeFill="background1"/>
          </w:tcPr>
          <w:p w:rsidR="00865BE4" w:rsidRPr="00444991" w:rsidRDefault="00865BE4" w:rsidP="003B1D0C">
            <w:pPr>
              <w:pStyle w:val="TableText"/>
              <w:jc w:val="center"/>
              <w:rPr>
                <w:lang w:val="en-AU"/>
              </w:rPr>
            </w:pPr>
            <w:r w:rsidRPr="00BE7FA1">
              <w:t>16.5 (14.7, 18.8)</w:t>
            </w:r>
          </w:p>
        </w:tc>
      </w:tr>
      <w:tr w:rsidR="00865BE4" w:rsidRPr="00BE7FA1" w:rsidTr="00C129AE">
        <w:tc>
          <w:tcPr>
            <w:tcW w:w="1817" w:type="pct"/>
            <w:shd w:val="clear" w:color="auto" w:fill="FFFFFF" w:themeFill="background1"/>
          </w:tcPr>
          <w:p w:rsidR="00865BE4" w:rsidRPr="00444991" w:rsidRDefault="00865BE4" w:rsidP="003B1D0C">
            <w:pPr>
              <w:pStyle w:val="TableText"/>
              <w:rPr>
                <w:vertAlign w:val="superscript"/>
                <w:lang w:val="en-AU"/>
              </w:rPr>
            </w:pPr>
            <w:r w:rsidRPr="00BE7FA1">
              <w:t>HR (95% CI, stratified)</w:t>
            </w:r>
            <w:r w:rsidRPr="00BE7FA1">
              <w:rPr>
                <w:vertAlign w:val="superscript"/>
              </w:rPr>
              <w:t>a</w:t>
            </w:r>
          </w:p>
        </w:tc>
        <w:tc>
          <w:tcPr>
            <w:tcW w:w="1593" w:type="pct"/>
            <w:gridSpan w:val="2"/>
            <w:shd w:val="clear" w:color="auto" w:fill="FFFFFF" w:themeFill="background1"/>
          </w:tcPr>
          <w:p w:rsidR="00865BE4" w:rsidRPr="00444991" w:rsidRDefault="00865BE4" w:rsidP="003B1D0C">
            <w:pPr>
              <w:pStyle w:val="TableText"/>
              <w:jc w:val="center"/>
              <w:rPr>
                <w:lang w:val="en-AU"/>
              </w:rPr>
            </w:pPr>
            <w:r w:rsidRPr="00BE7FA1">
              <w:t>0.68 (0.51, 0.90)</w:t>
            </w:r>
          </w:p>
        </w:tc>
        <w:tc>
          <w:tcPr>
            <w:tcW w:w="1590" w:type="pct"/>
            <w:gridSpan w:val="2"/>
            <w:shd w:val="clear" w:color="auto" w:fill="FFFFFF" w:themeFill="background1"/>
          </w:tcPr>
          <w:p w:rsidR="00865BE4" w:rsidRPr="00444991" w:rsidRDefault="00865BE4" w:rsidP="003B1D0C">
            <w:pPr>
              <w:pStyle w:val="TableText"/>
              <w:jc w:val="center"/>
              <w:rPr>
                <w:lang w:val="en-AU"/>
              </w:rPr>
            </w:pPr>
            <w:r w:rsidRPr="00BE7FA1">
              <w:t>0.67 (0.53, 0.83)</w:t>
            </w:r>
          </w:p>
        </w:tc>
      </w:tr>
      <w:tr w:rsidR="00865BE4" w:rsidRPr="00BE7FA1" w:rsidTr="00C129AE">
        <w:tc>
          <w:tcPr>
            <w:tcW w:w="1817" w:type="pct"/>
            <w:shd w:val="clear" w:color="auto" w:fill="FFFFFF" w:themeFill="background1"/>
          </w:tcPr>
          <w:p w:rsidR="00865BE4" w:rsidRPr="00444991" w:rsidRDefault="00865BE4" w:rsidP="003B1D0C">
            <w:pPr>
              <w:pStyle w:val="TableText"/>
              <w:rPr>
                <w:vertAlign w:val="superscript"/>
                <w:lang w:val="en-AU"/>
              </w:rPr>
            </w:pPr>
            <w:r w:rsidRPr="00BE7FA1">
              <w:t>p-value (stratified log-rank test)</w:t>
            </w:r>
            <w:r w:rsidRPr="00BE7FA1">
              <w:rPr>
                <w:vertAlign w:val="superscript"/>
              </w:rPr>
              <w:t>a</w:t>
            </w:r>
          </w:p>
        </w:tc>
        <w:tc>
          <w:tcPr>
            <w:tcW w:w="1593" w:type="pct"/>
            <w:gridSpan w:val="2"/>
            <w:shd w:val="clear" w:color="auto" w:fill="FFFFFF" w:themeFill="background1"/>
          </w:tcPr>
          <w:p w:rsidR="00865BE4" w:rsidRPr="00444991" w:rsidRDefault="00865BE4" w:rsidP="003B1D0C">
            <w:pPr>
              <w:pStyle w:val="TableText"/>
              <w:jc w:val="center"/>
              <w:rPr>
                <w:vertAlign w:val="superscript"/>
                <w:lang w:val="en-AU"/>
              </w:rPr>
            </w:pPr>
            <w:r w:rsidRPr="00BE7FA1">
              <w:t>0.006</w:t>
            </w:r>
            <w:r w:rsidR="007B7EA7" w:rsidRPr="00BE7FA1">
              <w:rPr>
                <w:vertAlign w:val="superscript"/>
              </w:rPr>
              <w:t>b</w:t>
            </w:r>
          </w:p>
        </w:tc>
        <w:tc>
          <w:tcPr>
            <w:tcW w:w="1590" w:type="pct"/>
            <w:gridSpan w:val="2"/>
            <w:shd w:val="clear" w:color="auto" w:fill="FFFFFF" w:themeFill="background1"/>
          </w:tcPr>
          <w:p w:rsidR="00865BE4" w:rsidRPr="00444991" w:rsidRDefault="00865BE4" w:rsidP="003B1D0C">
            <w:pPr>
              <w:pStyle w:val="TableText"/>
              <w:jc w:val="center"/>
              <w:rPr>
                <w:vertAlign w:val="superscript"/>
                <w:lang w:val="en-AU"/>
              </w:rPr>
            </w:pPr>
            <w:r w:rsidRPr="00BE7FA1">
              <w:t>0.0003</w:t>
            </w:r>
            <w:r w:rsidR="009E4D4D" w:rsidRPr="00BE7FA1">
              <w:rPr>
                <w:vertAlign w:val="superscript"/>
              </w:rPr>
              <w:t>c</w:t>
            </w:r>
          </w:p>
        </w:tc>
      </w:tr>
      <w:tr w:rsidR="00865BE4" w:rsidRPr="00BE7FA1" w:rsidTr="00C129AE">
        <w:tc>
          <w:tcPr>
            <w:tcW w:w="1817" w:type="pct"/>
            <w:shd w:val="clear" w:color="auto" w:fill="FFFFFF" w:themeFill="background1"/>
          </w:tcPr>
          <w:p w:rsidR="00865BE4" w:rsidRPr="00444991" w:rsidRDefault="00865BE4" w:rsidP="003B1D0C">
            <w:pPr>
              <w:pStyle w:val="TableText"/>
              <w:rPr>
                <w:lang w:val="en-AU"/>
              </w:rPr>
            </w:pPr>
            <w:r w:rsidRPr="00BE7FA1">
              <w:t xml:space="preserve">HR (95% CI, </w:t>
            </w:r>
            <w:proofErr w:type="spellStart"/>
            <w:r w:rsidRPr="00BE7FA1">
              <w:t>unstratified</w:t>
            </w:r>
            <w:proofErr w:type="spellEnd"/>
            <w:r w:rsidRPr="00BE7FA1">
              <w:t>)</w:t>
            </w:r>
          </w:p>
        </w:tc>
        <w:tc>
          <w:tcPr>
            <w:tcW w:w="1593" w:type="pct"/>
            <w:gridSpan w:val="2"/>
            <w:shd w:val="clear" w:color="auto" w:fill="FFFFFF" w:themeFill="background1"/>
          </w:tcPr>
          <w:p w:rsidR="00865BE4" w:rsidRPr="00444991" w:rsidRDefault="00865BE4" w:rsidP="003B1D0C">
            <w:pPr>
              <w:pStyle w:val="TableText"/>
              <w:jc w:val="center"/>
              <w:rPr>
                <w:lang w:val="en-AU"/>
              </w:rPr>
            </w:pPr>
            <w:r w:rsidRPr="00BE7FA1">
              <w:t>0.69 (0.53, 0.92)</w:t>
            </w:r>
          </w:p>
        </w:tc>
        <w:tc>
          <w:tcPr>
            <w:tcW w:w="1590" w:type="pct"/>
            <w:gridSpan w:val="2"/>
            <w:shd w:val="clear" w:color="auto" w:fill="FFFFFF" w:themeFill="background1"/>
          </w:tcPr>
          <w:p w:rsidR="00865BE4" w:rsidRPr="00444991" w:rsidRDefault="00865BE4" w:rsidP="003B1D0C">
            <w:pPr>
              <w:pStyle w:val="TableText"/>
              <w:jc w:val="center"/>
              <w:rPr>
                <w:vertAlign w:val="superscript"/>
                <w:lang w:val="en-AU"/>
              </w:rPr>
            </w:pPr>
            <w:r w:rsidRPr="00BE7FA1">
              <w:t>0.67 (0.54, 0.84)</w:t>
            </w:r>
          </w:p>
        </w:tc>
      </w:tr>
      <w:tr w:rsidR="00865BE4" w:rsidRPr="00BE7FA1" w:rsidTr="00C129AE">
        <w:tc>
          <w:tcPr>
            <w:tcW w:w="1817" w:type="pct"/>
            <w:shd w:val="clear" w:color="auto" w:fill="FFFFFF" w:themeFill="background1"/>
          </w:tcPr>
          <w:p w:rsidR="00865BE4" w:rsidRPr="00444991" w:rsidRDefault="00865BE4" w:rsidP="003B1D0C">
            <w:pPr>
              <w:pStyle w:val="TableText"/>
              <w:rPr>
                <w:lang w:val="en-AU"/>
              </w:rPr>
            </w:pPr>
            <w:r w:rsidRPr="00BE7FA1">
              <w:t>p-value (</w:t>
            </w:r>
            <w:proofErr w:type="spellStart"/>
            <w:r w:rsidRPr="00BE7FA1">
              <w:t>unstratified</w:t>
            </w:r>
            <w:proofErr w:type="spellEnd"/>
            <w:r w:rsidRPr="00BE7FA1">
              <w:t xml:space="preserve"> log-rank test)</w:t>
            </w:r>
          </w:p>
        </w:tc>
        <w:tc>
          <w:tcPr>
            <w:tcW w:w="1593" w:type="pct"/>
            <w:gridSpan w:val="2"/>
            <w:shd w:val="clear" w:color="auto" w:fill="FFFFFF" w:themeFill="background1"/>
          </w:tcPr>
          <w:p w:rsidR="00865BE4" w:rsidRPr="00444991" w:rsidRDefault="00865BE4" w:rsidP="003B1D0C">
            <w:pPr>
              <w:pStyle w:val="TableText"/>
              <w:jc w:val="center"/>
              <w:rPr>
                <w:lang w:val="en-AU"/>
              </w:rPr>
            </w:pPr>
            <w:r w:rsidRPr="00BE7FA1">
              <w:t>0.010</w:t>
            </w:r>
          </w:p>
        </w:tc>
        <w:tc>
          <w:tcPr>
            <w:tcW w:w="1590" w:type="pct"/>
            <w:gridSpan w:val="2"/>
            <w:shd w:val="clear" w:color="auto" w:fill="FFFFFF" w:themeFill="background1"/>
          </w:tcPr>
          <w:p w:rsidR="00865BE4" w:rsidRPr="00444991" w:rsidRDefault="00865BE4" w:rsidP="003B1D0C">
            <w:pPr>
              <w:pStyle w:val="TableText"/>
              <w:jc w:val="center"/>
              <w:rPr>
                <w:lang w:val="en-AU"/>
              </w:rPr>
            </w:pPr>
            <w:r w:rsidRPr="00BE7FA1">
              <w:t>0.0004</w:t>
            </w:r>
          </w:p>
        </w:tc>
      </w:tr>
    </w:tbl>
    <w:p w:rsidR="00865BE4" w:rsidRPr="00BE7FA1" w:rsidRDefault="00865BE4" w:rsidP="00865BE4">
      <w:pPr>
        <w:pStyle w:val="TableFooter"/>
      </w:pPr>
      <w:r w:rsidRPr="00BE7FA1">
        <w:t>CI = confidence interval; HR = hazard ratio; ITT = intention-to-treat; NE = not estimable; OS = overall survival</w:t>
      </w:r>
    </w:p>
    <w:p w:rsidR="00865BE4" w:rsidRPr="00BE7FA1" w:rsidRDefault="00865BE4" w:rsidP="00865BE4">
      <w:pPr>
        <w:pStyle w:val="TableFooter"/>
      </w:pPr>
      <w:proofErr w:type="gramStart"/>
      <w:r w:rsidRPr="00BE7FA1">
        <w:rPr>
          <w:vertAlign w:val="superscript"/>
        </w:rPr>
        <w:t>a</w:t>
      </w:r>
      <w:proofErr w:type="gramEnd"/>
      <w:r w:rsidRPr="00BE7FA1">
        <w:t xml:space="preserve"> Stratification factors include number of prior VEGFR-targeting TKI treatments (1 vs ≥2) and </w:t>
      </w:r>
      <w:r w:rsidR="009E436F" w:rsidRPr="00BE7FA1">
        <w:t>Memorial</w:t>
      </w:r>
      <w:r w:rsidRPr="00BE7FA1">
        <w:t xml:space="preserve"> Sloan-Kettering Cancer </w:t>
      </w:r>
      <w:proofErr w:type="spellStart"/>
      <w:r w:rsidRPr="00BE7FA1">
        <w:t>Center</w:t>
      </w:r>
      <w:proofErr w:type="spellEnd"/>
      <w:r w:rsidRPr="00BE7FA1">
        <w:t xml:space="preserve"> prognostic criteria (0 vs 1 vs 2).</w:t>
      </w:r>
    </w:p>
    <w:p w:rsidR="007B7EA7" w:rsidRPr="00BE7FA1" w:rsidRDefault="007B7EA7" w:rsidP="00865BE4">
      <w:pPr>
        <w:pStyle w:val="TableFooter"/>
      </w:pPr>
      <w:proofErr w:type="gramStart"/>
      <w:r w:rsidRPr="00BE7FA1">
        <w:rPr>
          <w:vertAlign w:val="superscript"/>
        </w:rPr>
        <w:t>b</w:t>
      </w:r>
      <w:proofErr w:type="gramEnd"/>
      <w:r w:rsidRPr="00BE7FA1">
        <w:t xml:space="preserve"> The p-value required to achie</w:t>
      </w:r>
      <w:r w:rsidR="009E4D4D" w:rsidRPr="00BE7FA1">
        <w:t>ve statistical significance at the</w:t>
      </w:r>
      <w:r w:rsidRPr="00BE7FA1">
        <w:t xml:space="preserve"> time of the interim analysis</w:t>
      </w:r>
      <w:r w:rsidR="009E4D4D" w:rsidRPr="00BE7FA1">
        <w:t xml:space="preserve"> was p ≤ 0.0019.</w:t>
      </w:r>
    </w:p>
    <w:p w:rsidR="007A5391" w:rsidRDefault="009E4D4D" w:rsidP="007A5391">
      <w:pPr>
        <w:pStyle w:val="TableFooter"/>
        <w:spacing w:after="0"/>
      </w:pPr>
      <w:proofErr w:type="gramStart"/>
      <w:r w:rsidRPr="00BE7FA1">
        <w:rPr>
          <w:vertAlign w:val="superscript"/>
        </w:rPr>
        <w:t>c</w:t>
      </w:r>
      <w:proofErr w:type="gramEnd"/>
      <w:r w:rsidRPr="00BE7FA1">
        <w:t xml:space="preserve"> The critical value for rejecting the null hypothesis at the second, unplanned, interim analysis was p &lt; 0.0163.</w:t>
      </w:r>
    </w:p>
    <w:p w:rsidR="00865BE4" w:rsidRPr="00BE7FA1" w:rsidRDefault="00865BE4" w:rsidP="00865BE4">
      <w:pPr>
        <w:pStyle w:val="TableFooter"/>
      </w:pPr>
      <w:r w:rsidRPr="00BE7FA1">
        <w:t>Source: Table 28, p123 of the METEOR CSR; Table 2 p10 METEOR CSR Addendum.</w:t>
      </w:r>
    </w:p>
    <w:p w:rsidR="00865BE4" w:rsidRPr="00BE7FA1" w:rsidRDefault="00865BE4" w:rsidP="00865BE4">
      <w:pPr>
        <w:pStyle w:val="TableHeading0"/>
      </w:pPr>
      <w:r w:rsidRPr="00BE7FA1">
        <w:lastRenderedPageBreak/>
        <w:t xml:space="preserve">Figure 1: Kaplan-Meier plot of OS, METEOR, ITT population (December 2015 data </w:t>
      </w:r>
      <w:r w:rsidR="00315BDC" w:rsidRPr="00BE7FA1">
        <w:t>cut-off</w:t>
      </w:r>
      <w:r w:rsidRPr="00BE7FA1">
        <w:t>)</w:t>
      </w:r>
    </w:p>
    <w:p w:rsidR="00865BE4" w:rsidRPr="00BE7FA1" w:rsidRDefault="00865BE4" w:rsidP="00865BE4">
      <w:pPr>
        <w:pStyle w:val="TableFooter"/>
      </w:pPr>
      <w:r w:rsidRPr="00444991">
        <w:rPr>
          <w:noProof/>
          <w:lang w:eastAsia="en-AU"/>
        </w:rPr>
        <w:drawing>
          <wp:inline distT="0" distB="0" distL="0" distR="0" wp14:anchorId="1007B62F" wp14:editId="12E4E385">
            <wp:extent cx="5731510" cy="2976880"/>
            <wp:effectExtent l="0" t="0" r="2540" b="0"/>
            <wp:docPr id="2" name="Picture 2" title="Kaplan-Meier plot of OS, METEOR, ITT population (December 2015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976880"/>
                    </a:xfrm>
                    <a:prstGeom prst="rect">
                      <a:avLst/>
                    </a:prstGeom>
                  </pic:spPr>
                </pic:pic>
              </a:graphicData>
            </a:graphic>
          </wp:inline>
        </w:drawing>
      </w:r>
    </w:p>
    <w:p w:rsidR="00865BE4" w:rsidRPr="00BE7FA1" w:rsidRDefault="00865BE4" w:rsidP="00865BE4">
      <w:pPr>
        <w:pStyle w:val="TableFooter"/>
      </w:pPr>
      <w:r w:rsidRPr="00BE7FA1">
        <w:t>CI = confidence interval; HR = hazard ratio; ITT = intention-to-treat; NE = not estimable; LR = log-rank</w:t>
      </w:r>
      <w:r w:rsidR="00A95312" w:rsidRPr="00BE7FA1">
        <w:t>; OS = overall survival.</w:t>
      </w:r>
    </w:p>
    <w:p w:rsidR="00A95312" w:rsidRPr="00BE7FA1" w:rsidRDefault="00A95312" w:rsidP="00865BE4">
      <w:pPr>
        <w:pStyle w:val="TableFooter"/>
      </w:pPr>
      <w:r w:rsidRPr="00BE7FA1">
        <w:t>Source: Figure 2-6, p106 of the submission.</w:t>
      </w:r>
    </w:p>
    <w:p w:rsidR="00865BE4" w:rsidRPr="00BE7FA1" w:rsidRDefault="00865BE4" w:rsidP="00A832C9">
      <w:pPr>
        <w:pStyle w:val="ListParagraph"/>
        <w:numPr>
          <w:ilvl w:val="1"/>
          <w:numId w:val="4"/>
        </w:numPr>
      </w:pPr>
      <w:r w:rsidRPr="00BE7FA1">
        <w:t xml:space="preserve">The critical value for rejecting the null hypothesis at the second, unplanned, interim analysis </w:t>
      </w:r>
      <w:r w:rsidR="00045EED" w:rsidRPr="00BE7FA1">
        <w:t xml:space="preserve">was </w:t>
      </w:r>
      <w:r w:rsidRPr="00BE7FA1">
        <w:t xml:space="preserve">p&lt;0.0163. Therefore, this analysis demonstrated a statistically significant difference in the duration of OS for cabozantinib compared with everolimus, with an estimated 4.9 months difference in median OS between the treatment arms, as of the December 2015 data </w:t>
      </w:r>
      <w:r w:rsidR="00315BDC" w:rsidRPr="00BE7FA1">
        <w:t>cut-off</w:t>
      </w:r>
      <w:r w:rsidRPr="00BE7FA1">
        <w:t>.</w:t>
      </w:r>
      <w:r w:rsidR="00C71C96" w:rsidRPr="00BE7FA1">
        <w:t xml:space="preserve"> </w:t>
      </w:r>
    </w:p>
    <w:p w:rsidR="009E5CD6" w:rsidRPr="00BE7FA1" w:rsidRDefault="009E5CD6" w:rsidP="00A832C9">
      <w:pPr>
        <w:pStyle w:val="ListParagraph"/>
        <w:numPr>
          <w:ilvl w:val="1"/>
          <w:numId w:val="4"/>
        </w:numPr>
      </w:pPr>
      <w:r w:rsidRPr="00BE7FA1">
        <w:t xml:space="preserve">The OS data at the December 2015 data </w:t>
      </w:r>
      <w:r w:rsidR="00315BDC" w:rsidRPr="00BE7FA1">
        <w:t>cut-off</w:t>
      </w:r>
      <w:r w:rsidRPr="00BE7FA1">
        <w:t xml:space="preserve"> were still relatively immature, with 78% (320/408) of the total deaths required for the planned final analysis of OS having occurred. Given this, it is possible that the extent of OS benefit observed in the unplanned interim analysis may not be observed in the clinical setting.</w:t>
      </w:r>
      <w:r w:rsidR="004D3A67" w:rsidRPr="00BE7FA1">
        <w:t xml:space="preserve"> The ESC requested that the sponsor provide any update to the safety data with their Pre-PBAC</w:t>
      </w:r>
      <w:r w:rsidR="004D3A67" w:rsidRPr="00BE7FA1">
        <w:rPr>
          <w:i/>
        </w:rPr>
        <w:t xml:space="preserve"> </w:t>
      </w:r>
      <w:r w:rsidR="004D3A67" w:rsidRPr="00BE7FA1">
        <w:t>Response</w:t>
      </w:r>
      <w:r w:rsidR="004D3A67" w:rsidRPr="00BE7FA1">
        <w:rPr>
          <w:i/>
        </w:rPr>
        <w:t>.</w:t>
      </w:r>
    </w:p>
    <w:p w:rsidR="009E5CD6" w:rsidRPr="00BE7FA1" w:rsidRDefault="009E5CD6" w:rsidP="00A832C9">
      <w:pPr>
        <w:pStyle w:val="ListParagraph"/>
        <w:numPr>
          <w:ilvl w:val="1"/>
          <w:numId w:val="4"/>
        </w:numPr>
      </w:pPr>
      <w:r w:rsidRPr="00BE7FA1">
        <w:t>In METEOR, the primary outcome</w:t>
      </w:r>
      <w:r w:rsidR="004071F7" w:rsidRPr="00BE7FA1">
        <w:t xml:space="preserve"> was PFS</w:t>
      </w:r>
      <w:r w:rsidRPr="00BE7FA1">
        <w:t xml:space="preserve"> in the primary intention-to-treat (PITT) population, which included the first 375 randomised patients, performed at the May 2015 data </w:t>
      </w:r>
      <w:r w:rsidR="00315BDC" w:rsidRPr="00BE7FA1">
        <w:t>cut-off</w:t>
      </w:r>
      <w:r w:rsidRPr="00BE7FA1">
        <w:t xml:space="preserve">. A sensitivity analysis of PFS based on the intention to treat (ITT) population (all randomised patients) was also performed at this time. </w:t>
      </w:r>
    </w:p>
    <w:p w:rsidR="00C71C96" w:rsidRPr="00BE7FA1" w:rsidRDefault="00C71C96" w:rsidP="00A832C9">
      <w:pPr>
        <w:pStyle w:val="ListParagraph"/>
        <w:numPr>
          <w:ilvl w:val="1"/>
          <w:numId w:val="4"/>
        </w:numPr>
      </w:pPr>
      <w:r w:rsidRPr="00BE7FA1">
        <w:t xml:space="preserve">The results of the primary analysis of PFS, based on the PITT population, and the ITT analysis, which was provided as sensitivity analysis, are summarised below. </w:t>
      </w:r>
    </w:p>
    <w:p w:rsidR="00A417AA" w:rsidRPr="00A417AA" w:rsidRDefault="00A417AA" w:rsidP="00A417AA">
      <w:pPr>
        <w:pStyle w:val="Caption"/>
        <w:rPr>
          <w:rFonts w:ascii="Arial Narrow" w:hAnsi="Arial Narrow"/>
        </w:rPr>
      </w:pPr>
      <w:r w:rsidRPr="00A417AA">
        <w:rPr>
          <w:rFonts w:ascii="Arial Narrow" w:hAnsi="Arial Narrow"/>
        </w:rPr>
        <w:lastRenderedPageBreak/>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5</w:t>
      </w:r>
      <w:r w:rsidRPr="00A417AA">
        <w:rPr>
          <w:rFonts w:ascii="Arial Narrow" w:hAnsi="Arial Narrow"/>
        </w:rPr>
        <w:fldChar w:fldCharType="end"/>
      </w:r>
      <w:r w:rsidRPr="00A417AA">
        <w:rPr>
          <w:rFonts w:ascii="Arial Narrow" w:hAnsi="Arial Narrow"/>
        </w:rPr>
        <w:t>: PFS results from METEOR (May 2015 data cut-off</w:t>
      </w:r>
      <w:proofErr w:type="gramStart"/>
      <w:r w:rsidRPr="00A417AA">
        <w:rPr>
          <w:rFonts w:ascii="Arial Narrow" w:hAnsi="Arial Narrow"/>
        </w:rPr>
        <w:t>)</w:t>
      </w:r>
      <w:r w:rsidRPr="00A417AA">
        <w:rPr>
          <w:rFonts w:ascii="Arial Narrow" w:hAnsi="Arial Narrow"/>
          <w:vertAlign w:val="superscript"/>
        </w:rPr>
        <w:t>a</w:t>
      </w:r>
      <w:proofErr w:type="gram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PFS results from METEOR (May 2015 data cut-off)"/>
      </w:tblPr>
      <w:tblGrid>
        <w:gridCol w:w="4325"/>
        <w:gridCol w:w="2335"/>
        <w:gridCol w:w="2582"/>
      </w:tblGrid>
      <w:tr w:rsidR="00C71C96" w:rsidRPr="00BE7FA1" w:rsidTr="00EA49AB">
        <w:trPr>
          <w:cnfStyle w:val="100000000000" w:firstRow="1" w:lastRow="0" w:firstColumn="0" w:lastColumn="0" w:oddVBand="0" w:evenVBand="0" w:oddHBand="0" w:evenHBand="0" w:firstRowFirstColumn="0" w:firstRowLastColumn="0" w:lastRowFirstColumn="0" w:lastRowLastColumn="0"/>
          <w:tblHeader/>
        </w:trPr>
        <w:tc>
          <w:tcPr>
            <w:tcW w:w="4325" w:type="dxa"/>
            <w:shd w:val="clear" w:color="auto" w:fill="FFFFFF" w:themeFill="background1"/>
          </w:tcPr>
          <w:p w:rsidR="00C71C96" w:rsidRPr="00BE7FA1" w:rsidRDefault="00C71C96" w:rsidP="003B1D0C">
            <w:pPr>
              <w:pStyle w:val="TableText"/>
              <w:jc w:val="left"/>
              <w:rPr>
                <w:rStyle w:val="SmallBold"/>
                <w:rFonts w:ascii="Arial Narrow" w:hAnsi="Arial Narrow"/>
                <w:b/>
                <w:szCs w:val="20"/>
              </w:rPr>
            </w:pPr>
          </w:p>
        </w:tc>
        <w:tc>
          <w:tcPr>
            <w:tcW w:w="2335" w:type="dxa"/>
            <w:shd w:val="clear" w:color="auto" w:fill="FFFFFF" w:themeFill="background1"/>
            <w:vAlign w:val="center"/>
          </w:tcPr>
          <w:p w:rsidR="00C71C96" w:rsidRPr="00BE7FA1" w:rsidRDefault="00C71C96" w:rsidP="003B1D0C">
            <w:pPr>
              <w:pStyle w:val="TableText"/>
              <w:jc w:val="center"/>
              <w:rPr>
                <w:rStyle w:val="SmallBold"/>
                <w:rFonts w:ascii="Arial Narrow" w:hAnsi="Arial Narrow"/>
                <w:b/>
                <w:szCs w:val="20"/>
              </w:rPr>
            </w:pPr>
            <w:r w:rsidRPr="00BE7FA1">
              <w:rPr>
                <w:rStyle w:val="SmallBold"/>
                <w:rFonts w:ascii="Arial Narrow" w:hAnsi="Arial Narrow"/>
                <w:szCs w:val="20"/>
              </w:rPr>
              <w:t>Cabozantinib</w:t>
            </w:r>
          </w:p>
        </w:tc>
        <w:tc>
          <w:tcPr>
            <w:tcW w:w="2582" w:type="dxa"/>
            <w:shd w:val="clear" w:color="auto" w:fill="FFFFFF" w:themeFill="background1"/>
            <w:vAlign w:val="center"/>
          </w:tcPr>
          <w:p w:rsidR="00C71C96" w:rsidRPr="00BE7FA1" w:rsidRDefault="00C71C96" w:rsidP="003B1D0C">
            <w:pPr>
              <w:pStyle w:val="TableText"/>
              <w:jc w:val="center"/>
              <w:rPr>
                <w:rStyle w:val="SmallBold"/>
                <w:rFonts w:ascii="Arial Narrow" w:hAnsi="Arial Narrow"/>
                <w:b/>
                <w:szCs w:val="20"/>
              </w:rPr>
            </w:pPr>
            <w:r w:rsidRPr="00BE7FA1">
              <w:rPr>
                <w:rStyle w:val="SmallBold"/>
                <w:rFonts w:ascii="Arial Narrow" w:hAnsi="Arial Narrow"/>
                <w:szCs w:val="20"/>
              </w:rPr>
              <w:t>Everolimus</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b/>
                <w:szCs w:val="20"/>
                <w:lang w:val="en-AU"/>
              </w:rPr>
            </w:pPr>
            <w:r w:rsidRPr="00BE7FA1">
              <w:rPr>
                <w:b/>
                <w:szCs w:val="20"/>
              </w:rPr>
              <w:t>Primary Endpoint (PITT population)</w:t>
            </w:r>
          </w:p>
        </w:tc>
        <w:tc>
          <w:tcPr>
            <w:tcW w:w="2335" w:type="dxa"/>
            <w:shd w:val="clear" w:color="auto" w:fill="FFFFFF" w:themeFill="background1"/>
          </w:tcPr>
          <w:p w:rsidR="00C71C96" w:rsidRPr="00444991" w:rsidRDefault="00C71C96" w:rsidP="003B1D0C">
            <w:pPr>
              <w:pStyle w:val="TableText"/>
              <w:jc w:val="center"/>
              <w:rPr>
                <w:szCs w:val="20"/>
                <w:lang w:val="en-AU"/>
              </w:rPr>
            </w:pPr>
            <w:r w:rsidRPr="00BE7FA1">
              <w:rPr>
                <w:rStyle w:val="SmallBold"/>
                <w:rFonts w:ascii="Arial Narrow" w:hAnsi="Arial Narrow"/>
                <w:szCs w:val="20"/>
              </w:rPr>
              <w:t>N=187</w:t>
            </w:r>
          </w:p>
        </w:tc>
        <w:tc>
          <w:tcPr>
            <w:tcW w:w="2582" w:type="dxa"/>
            <w:shd w:val="clear" w:color="auto" w:fill="FFFFFF" w:themeFill="background1"/>
          </w:tcPr>
          <w:p w:rsidR="00C71C96" w:rsidRPr="00444991" w:rsidRDefault="00C71C96" w:rsidP="003B1D0C">
            <w:pPr>
              <w:pStyle w:val="TableText"/>
              <w:jc w:val="center"/>
              <w:rPr>
                <w:szCs w:val="20"/>
                <w:lang w:val="en-AU"/>
              </w:rPr>
            </w:pPr>
            <w:r w:rsidRPr="00BE7FA1">
              <w:rPr>
                <w:rStyle w:val="SmallBold"/>
                <w:rFonts w:ascii="Arial Narrow" w:hAnsi="Arial Narrow"/>
                <w:szCs w:val="20"/>
              </w:rPr>
              <w:t>N=188</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Minimum duration of follow-up</w:t>
            </w:r>
          </w:p>
        </w:tc>
        <w:tc>
          <w:tcPr>
            <w:tcW w:w="4917" w:type="dxa"/>
            <w:gridSpan w:val="2"/>
            <w:shd w:val="clear" w:color="auto" w:fill="FFFFFF" w:themeFill="background1"/>
          </w:tcPr>
          <w:p w:rsidR="00C71C96" w:rsidRPr="00BE7FA1" w:rsidRDefault="00C71C96" w:rsidP="003B1D0C">
            <w:pPr>
              <w:pStyle w:val="TableText"/>
              <w:jc w:val="center"/>
              <w:rPr>
                <w:rStyle w:val="SmallBold"/>
                <w:rFonts w:ascii="Arial Narrow" w:hAnsi="Arial Narrow"/>
                <w:b w:val="0"/>
                <w:szCs w:val="20"/>
              </w:rPr>
            </w:pPr>
            <w:r w:rsidRPr="00BE7FA1">
              <w:rPr>
                <w:rStyle w:val="SmallBold"/>
                <w:rFonts w:ascii="Arial Narrow" w:hAnsi="Arial Narrow"/>
                <w:b w:val="0"/>
                <w:szCs w:val="20"/>
              </w:rPr>
              <w:t>10.7 months</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Number of events, n</w:t>
            </w:r>
            <w:r w:rsidR="00FE6F9B" w:rsidRPr="00BE7FA1">
              <w:rPr>
                <w:szCs w:val="20"/>
              </w:rPr>
              <w:t xml:space="preserve"> </w:t>
            </w:r>
            <w:r w:rsidRPr="00BE7FA1">
              <w:rPr>
                <w:szCs w:val="20"/>
              </w:rPr>
              <w:t>(%)</w:t>
            </w:r>
          </w:p>
        </w:tc>
        <w:tc>
          <w:tcPr>
            <w:tcW w:w="2335" w:type="dxa"/>
            <w:shd w:val="clear" w:color="auto" w:fill="FFFFFF" w:themeFill="background1"/>
          </w:tcPr>
          <w:p w:rsidR="00C71C96" w:rsidRPr="00444991" w:rsidRDefault="00C71C96" w:rsidP="003B1D0C">
            <w:pPr>
              <w:pStyle w:val="TableText"/>
              <w:jc w:val="center"/>
              <w:rPr>
                <w:szCs w:val="20"/>
                <w:lang w:val="en-AU"/>
              </w:rPr>
            </w:pPr>
            <w:r w:rsidRPr="00BE7FA1">
              <w:rPr>
                <w:szCs w:val="20"/>
              </w:rPr>
              <w:t>121 (65%)</w:t>
            </w:r>
          </w:p>
        </w:tc>
        <w:tc>
          <w:tcPr>
            <w:tcW w:w="2582" w:type="dxa"/>
            <w:shd w:val="clear" w:color="auto" w:fill="FFFFFF" w:themeFill="background1"/>
          </w:tcPr>
          <w:p w:rsidR="00C71C96" w:rsidRPr="00444991" w:rsidRDefault="00C71C96" w:rsidP="003B1D0C">
            <w:pPr>
              <w:pStyle w:val="TableText"/>
              <w:jc w:val="center"/>
              <w:rPr>
                <w:szCs w:val="20"/>
                <w:lang w:val="en-AU"/>
              </w:rPr>
            </w:pPr>
            <w:r w:rsidRPr="00BE7FA1">
              <w:rPr>
                <w:szCs w:val="20"/>
              </w:rPr>
              <w:t>126 (67%)</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Median PFS (95% CI)</w:t>
            </w:r>
          </w:p>
        </w:tc>
        <w:tc>
          <w:tcPr>
            <w:tcW w:w="2335" w:type="dxa"/>
            <w:shd w:val="clear" w:color="auto" w:fill="FFFFFF" w:themeFill="background1"/>
          </w:tcPr>
          <w:p w:rsidR="00C71C96" w:rsidRPr="00444991" w:rsidRDefault="00C71C96" w:rsidP="003B1D0C">
            <w:pPr>
              <w:pStyle w:val="TableText"/>
              <w:jc w:val="center"/>
              <w:rPr>
                <w:szCs w:val="20"/>
                <w:lang w:val="en-AU"/>
              </w:rPr>
            </w:pPr>
            <w:r w:rsidRPr="00BE7FA1">
              <w:rPr>
                <w:szCs w:val="20"/>
              </w:rPr>
              <w:t>7.4 (5.6, 9.1)</w:t>
            </w:r>
          </w:p>
        </w:tc>
        <w:tc>
          <w:tcPr>
            <w:tcW w:w="2582" w:type="dxa"/>
            <w:shd w:val="clear" w:color="auto" w:fill="FFFFFF" w:themeFill="background1"/>
          </w:tcPr>
          <w:p w:rsidR="00C71C96" w:rsidRPr="00444991" w:rsidRDefault="00C71C96" w:rsidP="003B1D0C">
            <w:pPr>
              <w:pStyle w:val="TableText"/>
              <w:jc w:val="center"/>
              <w:rPr>
                <w:szCs w:val="20"/>
                <w:lang w:val="en-AU"/>
              </w:rPr>
            </w:pPr>
            <w:r w:rsidRPr="00BE7FA1">
              <w:rPr>
                <w:szCs w:val="20"/>
              </w:rPr>
              <w:t>3.8 (3.7, 5.4)</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 xml:space="preserve">Hazard ratio (95% CI; </w:t>
            </w:r>
            <w:proofErr w:type="spellStart"/>
            <w:r w:rsidRPr="00BE7FA1">
              <w:rPr>
                <w:szCs w:val="20"/>
              </w:rPr>
              <w:t>stratified</w:t>
            </w:r>
            <w:r w:rsidRPr="00BE7FA1">
              <w:rPr>
                <w:szCs w:val="20"/>
                <w:vertAlign w:val="superscript"/>
              </w:rPr>
              <w:t>b</w:t>
            </w:r>
            <w:proofErr w:type="spellEnd"/>
            <w:r w:rsidRPr="00BE7FA1">
              <w:rPr>
                <w:szCs w:val="20"/>
                <w:vertAlign w:val="superscript"/>
              </w:rPr>
              <w:t xml:space="preserve"> </w:t>
            </w:r>
            <w:r w:rsidRPr="00BE7FA1">
              <w:rPr>
                <w:szCs w:val="20"/>
              </w:rPr>
              <w:t>/</w:t>
            </w:r>
            <w:proofErr w:type="spellStart"/>
            <w:r w:rsidRPr="00BE7FA1">
              <w:rPr>
                <w:szCs w:val="20"/>
              </w:rPr>
              <w:t>unstratified</w:t>
            </w:r>
            <w:proofErr w:type="spellEnd"/>
            <w:r w:rsidRPr="00BE7FA1">
              <w:rPr>
                <w:szCs w:val="20"/>
              </w:rPr>
              <w:t>)</w:t>
            </w:r>
          </w:p>
        </w:tc>
        <w:tc>
          <w:tcPr>
            <w:tcW w:w="4917" w:type="dxa"/>
            <w:gridSpan w:val="2"/>
            <w:shd w:val="clear" w:color="auto" w:fill="FFFFFF" w:themeFill="background1"/>
          </w:tcPr>
          <w:p w:rsidR="00C71C96" w:rsidRPr="00444991" w:rsidRDefault="00C71C96" w:rsidP="003B1D0C">
            <w:pPr>
              <w:pStyle w:val="TableText"/>
              <w:jc w:val="center"/>
              <w:rPr>
                <w:szCs w:val="20"/>
                <w:vertAlign w:val="superscript"/>
                <w:lang w:val="en-AU"/>
              </w:rPr>
            </w:pPr>
            <w:r w:rsidRPr="00BE7FA1">
              <w:rPr>
                <w:szCs w:val="20"/>
              </w:rPr>
              <w:t>0.59 (0.46, 0.76) / 0.59 (0.46, 0.76)</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Log-rank p-value (</w:t>
            </w:r>
            <w:proofErr w:type="spellStart"/>
            <w:r w:rsidRPr="00BE7FA1">
              <w:rPr>
                <w:szCs w:val="20"/>
              </w:rPr>
              <w:t>stratified</w:t>
            </w:r>
            <w:r w:rsidRPr="00BE7FA1">
              <w:rPr>
                <w:b/>
                <w:szCs w:val="20"/>
                <w:vertAlign w:val="superscript"/>
              </w:rPr>
              <w:t>b</w:t>
            </w:r>
            <w:proofErr w:type="spellEnd"/>
            <w:r w:rsidRPr="00BE7FA1">
              <w:rPr>
                <w:szCs w:val="20"/>
              </w:rPr>
              <w:t xml:space="preserve"> /</w:t>
            </w:r>
            <w:proofErr w:type="spellStart"/>
            <w:r w:rsidRPr="00BE7FA1">
              <w:rPr>
                <w:szCs w:val="20"/>
              </w:rPr>
              <w:t>unstratified</w:t>
            </w:r>
            <w:proofErr w:type="spellEnd"/>
            <w:r w:rsidRPr="00BE7FA1">
              <w:rPr>
                <w:szCs w:val="20"/>
              </w:rPr>
              <w:t>)</w:t>
            </w:r>
          </w:p>
        </w:tc>
        <w:tc>
          <w:tcPr>
            <w:tcW w:w="4917" w:type="dxa"/>
            <w:gridSpan w:val="2"/>
            <w:shd w:val="clear" w:color="auto" w:fill="FFFFFF" w:themeFill="background1"/>
          </w:tcPr>
          <w:p w:rsidR="00C71C96" w:rsidRPr="00444991" w:rsidRDefault="00C71C96" w:rsidP="003B1D0C">
            <w:pPr>
              <w:pStyle w:val="TableText"/>
              <w:jc w:val="center"/>
              <w:rPr>
                <w:szCs w:val="20"/>
                <w:lang w:val="en-AU"/>
              </w:rPr>
            </w:pPr>
            <w:r w:rsidRPr="00BE7FA1">
              <w:rPr>
                <w:szCs w:val="20"/>
              </w:rPr>
              <w:t>&lt; 0.001 / &lt; 0.001</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b/>
                <w:szCs w:val="20"/>
                <w:vertAlign w:val="superscript"/>
                <w:lang w:val="en-AU"/>
              </w:rPr>
            </w:pPr>
            <w:r w:rsidRPr="00BE7FA1">
              <w:rPr>
                <w:b/>
                <w:szCs w:val="20"/>
              </w:rPr>
              <w:t>Sensitivity Analysis (ITT Population)</w:t>
            </w:r>
          </w:p>
        </w:tc>
        <w:tc>
          <w:tcPr>
            <w:tcW w:w="2335" w:type="dxa"/>
            <w:shd w:val="clear" w:color="auto" w:fill="FFFFFF" w:themeFill="background1"/>
          </w:tcPr>
          <w:p w:rsidR="00C71C96" w:rsidRPr="00444991" w:rsidRDefault="00C71C96" w:rsidP="003B1D0C">
            <w:pPr>
              <w:pStyle w:val="TableText"/>
              <w:jc w:val="center"/>
              <w:rPr>
                <w:b/>
                <w:szCs w:val="20"/>
                <w:lang w:val="en-AU"/>
              </w:rPr>
            </w:pPr>
            <w:r w:rsidRPr="00BE7FA1">
              <w:rPr>
                <w:b/>
                <w:szCs w:val="20"/>
              </w:rPr>
              <w:t>N=330</w:t>
            </w:r>
          </w:p>
        </w:tc>
        <w:tc>
          <w:tcPr>
            <w:tcW w:w="2582" w:type="dxa"/>
            <w:shd w:val="clear" w:color="auto" w:fill="FFFFFF" w:themeFill="background1"/>
          </w:tcPr>
          <w:p w:rsidR="00C71C96" w:rsidRPr="00444991" w:rsidRDefault="00C71C96" w:rsidP="003B1D0C">
            <w:pPr>
              <w:pStyle w:val="TableText"/>
              <w:jc w:val="center"/>
              <w:rPr>
                <w:b/>
                <w:szCs w:val="20"/>
                <w:lang w:val="en-AU"/>
              </w:rPr>
            </w:pPr>
            <w:r w:rsidRPr="00BE7FA1">
              <w:rPr>
                <w:b/>
                <w:szCs w:val="20"/>
              </w:rPr>
              <w:t>N=328</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b/>
                <w:szCs w:val="20"/>
                <w:lang w:val="en-AU"/>
              </w:rPr>
            </w:pPr>
            <w:r w:rsidRPr="00BE7FA1">
              <w:rPr>
                <w:szCs w:val="20"/>
              </w:rPr>
              <w:t>Minimum duration of follow-up</w:t>
            </w:r>
          </w:p>
        </w:tc>
        <w:tc>
          <w:tcPr>
            <w:tcW w:w="4917" w:type="dxa"/>
            <w:gridSpan w:val="2"/>
            <w:shd w:val="clear" w:color="auto" w:fill="FFFFFF" w:themeFill="background1"/>
          </w:tcPr>
          <w:p w:rsidR="00C71C96" w:rsidRPr="00444991" w:rsidRDefault="00C71C96" w:rsidP="003B1D0C">
            <w:pPr>
              <w:pStyle w:val="TableText"/>
              <w:jc w:val="center"/>
              <w:rPr>
                <w:szCs w:val="20"/>
                <w:lang w:val="en-AU"/>
              </w:rPr>
            </w:pPr>
            <w:r w:rsidRPr="00BE7FA1">
              <w:rPr>
                <w:szCs w:val="20"/>
              </w:rPr>
              <w:t>5.9 months</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Number of events, n (%)</w:t>
            </w:r>
          </w:p>
        </w:tc>
        <w:tc>
          <w:tcPr>
            <w:tcW w:w="2335" w:type="dxa"/>
            <w:shd w:val="clear" w:color="auto" w:fill="FFFFFF" w:themeFill="background1"/>
          </w:tcPr>
          <w:p w:rsidR="00C71C96" w:rsidRPr="00444991" w:rsidRDefault="00C71C96" w:rsidP="003B1D0C">
            <w:pPr>
              <w:pStyle w:val="TableText"/>
              <w:jc w:val="center"/>
              <w:rPr>
                <w:szCs w:val="20"/>
                <w:lang w:val="en-AU"/>
              </w:rPr>
            </w:pPr>
            <w:r w:rsidRPr="00BE7FA1">
              <w:rPr>
                <w:szCs w:val="20"/>
              </w:rPr>
              <w:t>180 (55%)</w:t>
            </w:r>
          </w:p>
        </w:tc>
        <w:tc>
          <w:tcPr>
            <w:tcW w:w="2582" w:type="dxa"/>
            <w:shd w:val="clear" w:color="auto" w:fill="FFFFFF" w:themeFill="background1"/>
          </w:tcPr>
          <w:p w:rsidR="00C71C96" w:rsidRPr="00444991" w:rsidRDefault="00C71C96" w:rsidP="003B1D0C">
            <w:pPr>
              <w:pStyle w:val="TableText"/>
              <w:jc w:val="center"/>
              <w:rPr>
                <w:szCs w:val="20"/>
                <w:lang w:val="en-AU"/>
              </w:rPr>
            </w:pPr>
            <w:r w:rsidRPr="00BE7FA1">
              <w:rPr>
                <w:szCs w:val="20"/>
              </w:rPr>
              <w:t>214 (65%)</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Median PFS (months)</w:t>
            </w:r>
          </w:p>
        </w:tc>
        <w:tc>
          <w:tcPr>
            <w:tcW w:w="2335" w:type="dxa"/>
            <w:shd w:val="clear" w:color="auto" w:fill="FFFFFF" w:themeFill="background1"/>
          </w:tcPr>
          <w:p w:rsidR="00C71C96" w:rsidRPr="00444991" w:rsidRDefault="00C71C96" w:rsidP="003B1D0C">
            <w:pPr>
              <w:pStyle w:val="TableText"/>
              <w:jc w:val="center"/>
              <w:rPr>
                <w:szCs w:val="20"/>
                <w:lang w:val="en-AU"/>
              </w:rPr>
            </w:pPr>
            <w:r w:rsidRPr="00BE7FA1">
              <w:rPr>
                <w:szCs w:val="20"/>
              </w:rPr>
              <w:t>7.4 (6.6, 9.1)</w:t>
            </w:r>
          </w:p>
        </w:tc>
        <w:tc>
          <w:tcPr>
            <w:tcW w:w="2582" w:type="dxa"/>
            <w:shd w:val="clear" w:color="auto" w:fill="FFFFFF" w:themeFill="background1"/>
          </w:tcPr>
          <w:p w:rsidR="00C71C96" w:rsidRPr="00444991" w:rsidRDefault="00C71C96" w:rsidP="003B1D0C">
            <w:pPr>
              <w:pStyle w:val="TableText"/>
              <w:jc w:val="center"/>
              <w:rPr>
                <w:szCs w:val="20"/>
                <w:lang w:val="en-AU"/>
              </w:rPr>
            </w:pPr>
            <w:r w:rsidRPr="00BE7FA1">
              <w:rPr>
                <w:szCs w:val="20"/>
              </w:rPr>
              <w:t>3.9 (3.7, 5.1)</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 xml:space="preserve">Hazard ratio (95% CI; </w:t>
            </w:r>
            <w:proofErr w:type="spellStart"/>
            <w:r w:rsidRPr="00BE7FA1">
              <w:rPr>
                <w:szCs w:val="20"/>
              </w:rPr>
              <w:t>stratified</w:t>
            </w:r>
            <w:r w:rsidRPr="00BE7FA1">
              <w:rPr>
                <w:szCs w:val="20"/>
                <w:vertAlign w:val="superscript"/>
              </w:rPr>
              <w:t>b</w:t>
            </w:r>
            <w:proofErr w:type="spellEnd"/>
            <w:r w:rsidRPr="00BE7FA1">
              <w:rPr>
                <w:szCs w:val="20"/>
              </w:rPr>
              <w:t xml:space="preserve"> /</w:t>
            </w:r>
            <w:proofErr w:type="spellStart"/>
            <w:r w:rsidRPr="00BE7FA1">
              <w:rPr>
                <w:szCs w:val="20"/>
              </w:rPr>
              <w:t>unstratified</w:t>
            </w:r>
            <w:proofErr w:type="spellEnd"/>
            <w:r w:rsidRPr="00BE7FA1">
              <w:rPr>
                <w:szCs w:val="20"/>
              </w:rPr>
              <w:t>)</w:t>
            </w:r>
          </w:p>
        </w:tc>
        <w:tc>
          <w:tcPr>
            <w:tcW w:w="4917" w:type="dxa"/>
            <w:gridSpan w:val="2"/>
            <w:shd w:val="clear" w:color="auto" w:fill="FFFFFF" w:themeFill="background1"/>
          </w:tcPr>
          <w:p w:rsidR="00C71C96" w:rsidRPr="00444991" w:rsidRDefault="00C71C96" w:rsidP="003B1D0C">
            <w:pPr>
              <w:pStyle w:val="TableText"/>
              <w:jc w:val="center"/>
              <w:rPr>
                <w:szCs w:val="20"/>
                <w:vertAlign w:val="superscript"/>
                <w:lang w:val="en-AU"/>
              </w:rPr>
            </w:pPr>
            <w:r w:rsidRPr="00BE7FA1">
              <w:rPr>
                <w:szCs w:val="20"/>
              </w:rPr>
              <w:t>0.52 (0.43, 0.64) / 0.52 (0.42, 0.63)</w:t>
            </w:r>
          </w:p>
        </w:tc>
      </w:tr>
      <w:tr w:rsidR="00C71C96" w:rsidRPr="00BE7FA1" w:rsidTr="003B1D0C">
        <w:tc>
          <w:tcPr>
            <w:tcW w:w="4325" w:type="dxa"/>
            <w:shd w:val="clear" w:color="auto" w:fill="FFFFFF" w:themeFill="background1"/>
          </w:tcPr>
          <w:p w:rsidR="00C71C96" w:rsidRPr="00444991" w:rsidRDefault="00C71C96" w:rsidP="003B1D0C">
            <w:pPr>
              <w:pStyle w:val="TableText"/>
              <w:jc w:val="left"/>
              <w:rPr>
                <w:szCs w:val="20"/>
                <w:lang w:val="en-AU"/>
              </w:rPr>
            </w:pPr>
            <w:r w:rsidRPr="00BE7FA1">
              <w:rPr>
                <w:szCs w:val="20"/>
              </w:rPr>
              <w:t>Log-rank p-value (</w:t>
            </w:r>
            <w:proofErr w:type="spellStart"/>
            <w:r w:rsidRPr="00BE7FA1">
              <w:rPr>
                <w:szCs w:val="20"/>
              </w:rPr>
              <w:t>stratified</w:t>
            </w:r>
            <w:r w:rsidRPr="00BE7FA1">
              <w:rPr>
                <w:szCs w:val="20"/>
                <w:vertAlign w:val="superscript"/>
              </w:rPr>
              <w:t>b</w:t>
            </w:r>
            <w:proofErr w:type="spellEnd"/>
            <w:r w:rsidRPr="00BE7FA1">
              <w:rPr>
                <w:szCs w:val="20"/>
              </w:rPr>
              <w:t xml:space="preserve"> /</w:t>
            </w:r>
            <w:proofErr w:type="spellStart"/>
            <w:r w:rsidRPr="00BE7FA1">
              <w:rPr>
                <w:szCs w:val="20"/>
              </w:rPr>
              <w:t>unstratified</w:t>
            </w:r>
            <w:proofErr w:type="spellEnd"/>
            <w:r w:rsidRPr="00BE7FA1">
              <w:rPr>
                <w:szCs w:val="20"/>
              </w:rPr>
              <w:t>)</w:t>
            </w:r>
          </w:p>
        </w:tc>
        <w:tc>
          <w:tcPr>
            <w:tcW w:w="4917" w:type="dxa"/>
            <w:gridSpan w:val="2"/>
            <w:shd w:val="clear" w:color="auto" w:fill="FFFFFF" w:themeFill="background1"/>
          </w:tcPr>
          <w:p w:rsidR="00C71C96" w:rsidRPr="00444991" w:rsidRDefault="00C71C96" w:rsidP="003B1D0C">
            <w:pPr>
              <w:pStyle w:val="TableText"/>
              <w:jc w:val="center"/>
              <w:rPr>
                <w:szCs w:val="20"/>
                <w:lang w:val="en-AU"/>
              </w:rPr>
            </w:pPr>
            <w:r w:rsidRPr="00BE7FA1">
              <w:rPr>
                <w:szCs w:val="20"/>
              </w:rPr>
              <w:t>&lt;0.001 / &lt;0.001</w:t>
            </w:r>
          </w:p>
        </w:tc>
      </w:tr>
    </w:tbl>
    <w:p w:rsidR="00C71C96" w:rsidRPr="00BE7FA1" w:rsidRDefault="00C71C96" w:rsidP="00C71C96">
      <w:pPr>
        <w:pStyle w:val="TableFooter"/>
      </w:pPr>
      <w:r w:rsidRPr="00BE7FA1">
        <w:t xml:space="preserve">CI = confidence interval; ITT = intention-to-treat; PFS = progression free survival; PITT = primary intention-to-treat; </w:t>
      </w:r>
    </w:p>
    <w:p w:rsidR="00C71C96" w:rsidRPr="00BE7FA1" w:rsidRDefault="00C71C96" w:rsidP="00C71C96">
      <w:pPr>
        <w:pStyle w:val="TableFooter"/>
      </w:pPr>
      <w:proofErr w:type="gramStart"/>
      <w:r w:rsidRPr="00BE7FA1">
        <w:rPr>
          <w:vertAlign w:val="superscript"/>
        </w:rPr>
        <w:t>a</w:t>
      </w:r>
      <w:proofErr w:type="gramEnd"/>
      <w:r w:rsidRPr="00BE7FA1">
        <w:t xml:space="preserve"> As assessed by the blinded Independent Review Committee</w:t>
      </w:r>
    </w:p>
    <w:p w:rsidR="00C71C96" w:rsidRPr="00BE7FA1" w:rsidRDefault="00C71C96" w:rsidP="00C71C96">
      <w:pPr>
        <w:pStyle w:val="TableFooter"/>
      </w:pPr>
      <w:proofErr w:type="gramStart"/>
      <w:r w:rsidRPr="00BE7FA1">
        <w:rPr>
          <w:vertAlign w:val="superscript"/>
        </w:rPr>
        <w:t>b</w:t>
      </w:r>
      <w:proofErr w:type="gramEnd"/>
      <w:r w:rsidRPr="00BE7FA1">
        <w:t xml:space="preserve"> Stratification factors include number of prior VEGFR-targeting TKI treatments (1 vs ≥2) and Memorial Sloan-Kettering Cancer </w:t>
      </w:r>
      <w:proofErr w:type="spellStart"/>
      <w:r w:rsidRPr="00BE7FA1">
        <w:t>Center</w:t>
      </w:r>
      <w:proofErr w:type="spellEnd"/>
      <w:r w:rsidRPr="00BE7FA1">
        <w:t xml:space="preserve"> prognostic criteria (0 vs 1 vs 2).</w:t>
      </w:r>
    </w:p>
    <w:p w:rsidR="00C71C96" w:rsidRPr="00BE7FA1" w:rsidRDefault="00C71C96" w:rsidP="00C71C96">
      <w:pPr>
        <w:pStyle w:val="TableFooter"/>
      </w:pPr>
      <w:r w:rsidRPr="00BE7FA1">
        <w:t>Source: Table 2-14 p101 of the submission; Table 21 p112 and Table 23 p115 METEOR CSR</w:t>
      </w:r>
    </w:p>
    <w:p w:rsidR="00C71C96" w:rsidRPr="00BE7FA1" w:rsidRDefault="00C71C96" w:rsidP="00A832C9">
      <w:pPr>
        <w:pStyle w:val="ListParagraph"/>
        <w:numPr>
          <w:ilvl w:val="1"/>
          <w:numId w:val="4"/>
        </w:numPr>
      </w:pPr>
      <w:r w:rsidRPr="00BE7FA1">
        <w:t>Results for the PITT and ITT populations were similar. Cabozantinib was statistically superior to everolimus in terms of PFS, with an estimated 3.5 months difference in median PFS between the treatment arms, based on the ITT analysis.</w:t>
      </w:r>
    </w:p>
    <w:p w:rsidR="005759CC" w:rsidRPr="00BE7FA1" w:rsidRDefault="005759CC" w:rsidP="00D573EE">
      <w:r w:rsidRPr="00BE7FA1">
        <w:rPr>
          <w:u w:val="single"/>
        </w:rPr>
        <w:t>Indirect comparison of cabozantinib versus nivolumab</w:t>
      </w:r>
    </w:p>
    <w:p w:rsidR="005759CC" w:rsidRPr="00BE7FA1" w:rsidRDefault="005759CC" w:rsidP="00A832C9">
      <w:pPr>
        <w:pStyle w:val="ListParagraph"/>
        <w:numPr>
          <w:ilvl w:val="1"/>
          <w:numId w:val="4"/>
        </w:numPr>
      </w:pPr>
      <w:r w:rsidRPr="00BE7FA1">
        <w:t>The submission stated that METEOR and CheckMate 025 were of generally compa</w:t>
      </w:r>
      <w:r w:rsidR="00843DE0" w:rsidRPr="00BE7FA1">
        <w:t>ra</w:t>
      </w:r>
      <w:r w:rsidRPr="00BE7FA1">
        <w:t xml:space="preserve">ble design, with broadly consistent eligibility criteria, identical comparator treatment regimens and similar outcomes and methods of statistical analysis. The main demographic and disease characteristics of patients, and the event rates in the control group in the two trials were also considered to be generally similar. </w:t>
      </w:r>
    </w:p>
    <w:p w:rsidR="005759CC" w:rsidRPr="00BE7FA1" w:rsidRDefault="005759CC" w:rsidP="00A832C9">
      <w:pPr>
        <w:pStyle w:val="ListParagraph"/>
        <w:numPr>
          <w:ilvl w:val="1"/>
          <w:numId w:val="4"/>
        </w:numPr>
      </w:pPr>
      <w:r w:rsidRPr="00BE7FA1">
        <w:t xml:space="preserve">There </w:t>
      </w:r>
      <w:proofErr w:type="gramStart"/>
      <w:r w:rsidRPr="00BE7FA1">
        <w:t>was</w:t>
      </w:r>
      <w:proofErr w:type="gramEnd"/>
      <w:r w:rsidRPr="00BE7FA1">
        <w:t xml:space="preserve"> a slightly greater proportion of patients with a favourable </w:t>
      </w:r>
      <w:r w:rsidR="004071F7" w:rsidRPr="00BE7FA1">
        <w:t xml:space="preserve">Memorial Sloan-Kettering Cancer </w:t>
      </w:r>
      <w:proofErr w:type="spellStart"/>
      <w:r w:rsidR="004071F7" w:rsidRPr="00BE7FA1">
        <w:t>Center</w:t>
      </w:r>
      <w:proofErr w:type="spellEnd"/>
      <w:r w:rsidR="004071F7" w:rsidRPr="00BE7FA1">
        <w:t xml:space="preserve"> (</w:t>
      </w:r>
      <w:r w:rsidRPr="00BE7FA1">
        <w:t>MSKCC</w:t>
      </w:r>
      <w:r w:rsidR="004071F7" w:rsidRPr="00BE7FA1">
        <w:t>)</w:t>
      </w:r>
      <w:r w:rsidRPr="00BE7FA1">
        <w:t xml:space="preserve"> prognostic risk in METEOR compared to CheckMate 025. There were also some differences in prior and subsequent treatments received between the two trial populations. Given the lack of details available, it was not possible to assess the similarity of the two common comparator arms in terms of the extent of post-progression exposure to everolimus. The likely impact of these differences on the results of the indirect comparison was unclear. </w:t>
      </w:r>
    </w:p>
    <w:p w:rsidR="005759CC" w:rsidRPr="00BE7FA1" w:rsidRDefault="005759CC" w:rsidP="00A832C9">
      <w:pPr>
        <w:pStyle w:val="ListParagraph"/>
        <w:numPr>
          <w:ilvl w:val="1"/>
          <w:numId w:val="4"/>
        </w:numPr>
      </w:pPr>
      <w:r w:rsidRPr="00BE7FA1">
        <w:t xml:space="preserve">In any indirect comparison, there is potential for confounding due to imbalances in unobserved prognostic factors or treatment effect modifiers across the studies, or undocumented differences in study conduct. </w:t>
      </w:r>
    </w:p>
    <w:p w:rsidR="00B67B1E" w:rsidRPr="00BE7FA1" w:rsidRDefault="00B67B1E" w:rsidP="00A832C9">
      <w:pPr>
        <w:pStyle w:val="ListParagraph"/>
        <w:numPr>
          <w:ilvl w:val="1"/>
          <w:numId w:val="4"/>
        </w:numPr>
      </w:pPr>
      <w:r w:rsidRPr="00BE7FA1">
        <w:t xml:space="preserve">The results of the indirect comparison of OS at the latest data cut are presented in Table </w:t>
      </w:r>
      <w:r w:rsidR="0072599A" w:rsidRPr="00BE7FA1">
        <w:t>6</w:t>
      </w:r>
      <w:r w:rsidRPr="00BE7FA1">
        <w:t xml:space="preserve">. Given the immaturity of the OS data at the May 2015 data cut-off for METEOR, the indirect comparison based on these results have not been included in the </w:t>
      </w:r>
      <w:r w:rsidR="00F20E08" w:rsidRPr="00BE7FA1">
        <w:t>t</w:t>
      </w:r>
      <w:r w:rsidRPr="00BE7FA1">
        <w:t xml:space="preserve">able. The estimated indirect HR for OS based on these data was 0.93 (95% confidence interval (CI): 0.64, 1.36). </w:t>
      </w:r>
    </w:p>
    <w:p w:rsidR="00A417AA" w:rsidRPr="00A417AA" w:rsidRDefault="00A417AA" w:rsidP="00A417AA">
      <w:pPr>
        <w:pStyle w:val="Caption"/>
        <w:rPr>
          <w:rFonts w:ascii="Arial Narrow" w:hAnsi="Arial Narrow"/>
        </w:rPr>
      </w:pPr>
      <w:r w:rsidRPr="00A417AA">
        <w:rPr>
          <w:rFonts w:ascii="Arial Narrow" w:hAnsi="Arial Narrow"/>
        </w:rPr>
        <w:lastRenderedPageBreak/>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6</w:t>
      </w:r>
      <w:r w:rsidRPr="00A417AA">
        <w:rPr>
          <w:rFonts w:ascii="Arial Narrow" w:hAnsi="Arial Narrow"/>
        </w:rPr>
        <w:fldChar w:fldCharType="end"/>
      </w:r>
      <w:r w:rsidRPr="00A417AA">
        <w:rPr>
          <w:rFonts w:ascii="Arial Narrow" w:hAnsi="Arial Narrow"/>
        </w:rPr>
        <w:t>: Results of the indirect comparison of cabozantinib and nivolumab: overall survival</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Results of the indirect comparison of cabozantinib and nivolumab: overall survival"/>
      </w:tblPr>
      <w:tblGrid>
        <w:gridCol w:w="3253"/>
        <w:gridCol w:w="1427"/>
        <w:gridCol w:w="1569"/>
        <w:gridCol w:w="1431"/>
        <w:gridCol w:w="1562"/>
      </w:tblGrid>
      <w:tr w:rsidR="00EA49AB" w:rsidRPr="00BE7FA1" w:rsidTr="00EA49AB">
        <w:trPr>
          <w:cnfStyle w:val="100000000000" w:firstRow="1" w:lastRow="0" w:firstColumn="0" w:lastColumn="0" w:oddVBand="0" w:evenVBand="0" w:oddHBand="0" w:evenHBand="0" w:firstRowFirstColumn="0" w:firstRowLastColumn="0" w:lastRowFirstColumn="0" w:lastRowLastColumn="0"/>
          <w:tblHeader/>
        </w:trPr>
        <w:tc>
          <w:tcPr>
            <w:tcW w:w="1760" w:type="pct"/>
            <w:tcBorders>
              <w:bottom w:val="nil"/>
            </w:tcBorders>
            <w:shd w:val="clear" w:color="auto" w:fill="FFFFFF" w:themeFill="background1"/>
          </w:tcPr>
          <w:p w:rsidR="00EA49AB" w:rsidRPr="00444991" w:rsidRDefault="00EA49AB" w:rsidP="003B1D0C">
            <w:pPr>
              <w:pStyle w:val="TableText"/>
              <w:rPr>
                <w:b w:val="0"/>
                <w:lang w:val="en-AU"/>
              </w:rPr>
            </w:pPr>
          </w:p>
        </w:tc>
        <w:tc>
          <w:tcPr>
            <w:tcW w:w="1621" w:type="pct"/>
            <w:gridSpan w:val="2"/>
            <w:shd w:val="clear" w:color="auto" w:fill="FFFFFF" w:themeFill="background1"/>
            <w:vAlign w:val="center"/>
          </w:tcPr>
          <w:p w:rsidR="00EA49AB" w:rsidRPr="00444991" w:rsidRDefault="00EA49AB" w:rsidP="003B1D0C">
            <w:pPr>
              <w:pStyle w:val="TableText"/>
              <w:jc w:val="center"/>
              <w:rPr>
                <w:lang w:val="en-AU"/>
              </w:rPr>
            </w:pPr>
            <w:r w:rsidRPr="00BE7FA1">
              <w:t>METEOR (ITT)</w:t>
            </w:r>
          </w:p>
        </w:tc>
        <w:tc>
          <w:tcPr>
            <w:tcW w:w="1619" w:type="pct"/>
            <w:gridSpan w:val="2"/>
            <w:shd w:val="clear" w:color="auto" w:fill="FFFFFF" w:themeFill="background1"/>
            <w:vAlign w:val="center"/>
          </w:tcPr>
          <w:p w:rsidR="00EA49AB" w:rsidRPr="00444991" w:rsidRDefault="00EA49AB" w:rsidP="003B1D0C">
            <w:pPr>
              <w:pStyle w:val="TableText"/>
              <w:jc w:val="center"/>
              <w:rPr>
                <w:lang w:val="en-AU"/>
              </w:rPr>
            </w:pPr>
            <w:r w:rsidRPr="00BE7FA1">
              <w:t>CheckMate 025 (ITT)</w:t>
            </w:r>
          </w:p>
        </w:tc>
      </w:tr>
      <w:tr w:rsidR="00EA49AB" w:rsidRPr="00BE7FA1" w:rsidTr="00EA49AB">
        <w:trPr>
          <w:cnfStyle w:val="100000000000" w:firstRow="1" w:lastRow="0" w:firstColumn="0" w:lastColumn="0" w:oddVBand="0" w:evenVBand="0" w:oddHBand="0" w:evenHBand="0" w:firstRowFirstColumn="0" w:firstRowLastColumn="0" w:lastRowFirstColumn="0" w:lastRowLastColumn="0"/>
          <w:tblHeader/>
        </w:trPr>
        <w:tc>
          <w:tcPr>
            <w:tcW w:w="1760" w:type="pct"/>
            <w:tcBorders>
              <w:top w:val="nil"/>
              <w:bottom w:val="nil"/>
            </w:tcBorders>
            <w:shd w:val="clear" w:color="auto" w:fill="FFFFFF" w:themeFill="background1"/>
          </w:tcPr>
          <w:p w:rsidR="00EA49AB" w:rsidRPr="00444991" w:rsidRDefault="00EA49AB" w:rsidP="003B1D0C">
            <w:pPr>
              <w:pStyle w:val="TableText"/>
              <w:rPr>
                <w:lang w:val="en-AU"/>
              </w:rPr>
            </w:pPr>
          </w:p>
        </w:tc>
        <w:tc>
          <w:tcPr>
            <w:tcW w:w="772" w:type="pct"/>
            <w:shd w:val="clear" w:color="auto" w:fill="FFFFFF" w:themeFill="background1"/>
          </w:tcPr>
          <w:p w:rsidR="00EA49AB" w:rsidRPr="00444991" w:rsidRDefault="00EA49AB" w:rsidP="003B1D0C">
            <w:pPr>
              <w:pStyle w:val="TableText"/>
              <w:jc w:val="center"/>
              <w:rPr>
                <w:b w:val="0"/>
                <w:lang w:val="en-AU"/>
              </w:rPr>
            </w:pPr>
            <w:r w:rsidRPr="00BE7FA1">
              <w:t>Cabozantinib</w:t>
            </w:r>
          </w:p>
          <w:p w:rsidR="00EA49AB" w:rsidRPr="00444991" w:rsidRDefault="00EA49AB" w:rsidP="003B1D0C">
            <w:pPr>
              <w:pStyle w:val="TableText"/>
              <w:jc w:val="center"/>
              <w:rPr>
                <w:b w:val="0"/>
                <w:lang w:val="en-AU"/>
              </w:rPr>
            </w:pPr>
            <w:r w:rsidRPr="00BE7FA1">
              <w:t>N=330</w:t>
            </w:r>
          </w:p>
        </w:tc>
        <w:tc>
          <w:tcPr>
            <w:tcW w:w="849" w:type="pct"/>
            <w:shd w:val="clear" w:color="auto" w:fill="FFFFFF" w:themeFill="background1"/>
          </w:tcPr>
          <w:p w:rsidR="00EA49AB" w:rsidRPr="00444991" w:rsidRDefault="00EA49AB" w:rsidP="003B1D0C">
            <w:pPr>
              <w:pStyle w:val="TableText"/>
              <w:jc w:val="center"/>
              <w:rPr>
                <w:b w:val="0"/>
                <w:lang w:val="en-AU"/>
              </w:rPr>
            </w:pPr>
            <w:r w:rsidRPr="00BE7FA1">
              <w:t>Everolimus</w:t>
            </w:r>
          </w:p>
          <w:p w:rsidR="00EA49AB" w:rsidRPr="00444991" w:rsidRDefault="00EA49AB" w:rsidP="003B1D0C">
            <w:pPr>
              <w:pStyle w:val="TableText"/>
              <w:jc w:val="center"/>
              <w:rPr>
                <w:b w:val="0"/>
                <w:lang w:val="en-AU"/>
              </w:rPr>
            </w:pPr>
            <w:r w:rsidRPr="00BE7FA1">
              <w:t>N=328</w:t>
            </w:r>
          </w:p>
        </w:tc>
        <w:tc>
          <w:tcPr>
            <w:tcW w:w="774" w:type="pct"/>
            <w:shd w:val="clear" w:color="auto" w:fill="FFFFFF" w:themeFill="background1"/>
          </w:tcPr>
          <w:p w:rsidR="00EA49AB" w:rsidRPr="00444991" w:rsidRDefault="00EA49AB" w:rsidP="003B1D0C">
            <w:pPr>
              <w:pStyle w:val="TableText"/>
              <w:jc w:val="center"/>
              <w:rPr>
                <w:b w:val="0"/>
                <w:lang w:val="en-AU"/>
              </w:rPr>
            </w:pPr>
            <w:r w:rsidRPr="00BE7FA1">
              <w:t>Nivolumab</w:t>
            </w:r>
          </w:p>
          <w:p w:rsidR="00EA49AB" w:rsidRPr="00444991" w:rsidRDefault="00EA49AB" w:rsidP="003B1D0C">
            <w:pPr>
              <w:pStyle w:val="TableText"/>
              <w:jc w:val="center"/>
              <w:rPr>
                <w:b w:val="0"/>
                <w:lang w:val="en-AU"/>
              </w:rPr>
            </w:pPr>
            <w:r w:rsidRPr="00BE7FA1">
              <w:t>N=410</w:t>
            </w:r>
          </w:p>
        </w:tc>
        <w:tc>
          <w:tcPr>
            <w:tcW w:w="845" w:type="pct"/>
            <w:shd w:val="clear" w:color="auto" w:fill="FFFFFF" w:themeFill="background1"/>
          </w:tcPr>
          <w:p w:rsidR="00EA49AB" w:rsidRPr="00444991" w:rsidRDefault="00EA49AB" w:rsidP="003B1D0C">
            <w:pPr>
              <w:pStyle w:val="TableText"/>
              <w:jc w:val="center"/>
              <w:rPr>
                <w:b w:val="0"/>
                <w:lang w:val="en-AU"/>
              </w:rPr>
            </w:pPr>
            <w:r w:rsidRPr="00BE7FA1">
              <w:t>Everolimus</w:t>
            </w:r>
          </w:p>
          <w:p w:rsidR="00EA49AB" w:rsidRPr="00444991" w:rsidRDefault="00EA49AB" w:rsidP="003B1D0C">
            <w:pPr>
              <w:pStyle w:val="TableText"/>
              <w:jc w:val="center"/>
              <w:rPr>
                <w:b w:val="0"/>
                <w:lang w:val="en-AU"/>
              </w:rPr>
            </w:pPr>
            <w:r w:rsidRPr="00BE7FA1">
              <w:t>N=411</w:t>
            </w:r>
          </w:p>
        </w:tc>
      </w:tr>
      <w:tr w:rsidR="00EA49AB" w:rsidRPr="00BE7FA1" w:rsidTr="00EA49AB">
        <w:trPr>
          <w:cnfStyle w:val="100000000000" w:firstRow="1" w:lastRow="0" w:firstColumn="0" w:lastColumn="0" w:oddVBand="0" w:evenVBand="0" w:oddHBand="0" w:evenHBand="0" w:firstRowFirstColumn="0" w:firstRowLastColumn="0" w:lastRowFirstColumn="0" w:lastRowLastColumn="0"/>
          <w:tblHeader/>
        </w:trPr>
        <w:tc>
          <w:tcPr>
            <w:tcW w:w="1760" w:type="pct"/>
            <w:tcBorders>
              <w:top w:val="nil"/>
            </w:tcBorders>
            <w:shd w:val="clear" w:color="auto" w:fill="FFFFFF" w:themeFill="background1"/>
          </w:tcPr>
          <w:p w:rsidR="00EA49AB" w:rsidRPr="00444991" w:rsidRDefault="00EA49AB" w:rsidP="003B1D0C">
            <w:pPr>
              <w:pStyle w:val="TableText"/>
              <w:jc w:val="left"/>
              <w:rPr>
                <w:lang w:val="en-AU"/>
              </w:rPr>
            </w:pPr>
          </w:p>
        </w:tc>
        <w:tc>
          <w:tcPr>
            <w:tcW w:w="1621" w:type="pct"/>
            <w:gridSpan w:val="2"/>
            <w:shd w:val="clear" w:color="auto" w:fill="FFFFFF" w:themeFill="background1"/>
          </w:tcPr>
          <w:p w:rsidR="00EA49AB" w:rsidRPr="00444991" w:rsidRDefault="00EA49AB" w:rsidP="003B1D0C">
            <w:pPr>
              <w:pStyle w:val="TableText"/>
              <w:jc w:val="center"/>
              <w:rPr>
                <w:b w:val="0"/>
                <w:lang w:val="en-AU"/>
              </w:rPr>
            </w:pPr>
            <w:r w:rsidRPr="00BE7FA1">
              <w:t>December 2015 data cut-off</w:t>
            </w:r>
          </w:p>
        </w:tc>
        <w:tc>
          <w:tcPr>
            <w:tcW w:w="1619" w:type="pct"/>
            <w:gridSpan w:val="2"/>
            <w:shd w:val="clear" w:color="auto" w:fill="FFFFFF" w:themeFill="background1"/>
          </w:tcPr>
          <w:p w:rsidR="00EA49AB" w:rsidRPr="00444991" w:rsidRDefault="00EA49AB" w:rsidP="003B1D0C">
            <w:pPr>
              <w:pStyle w:val="TableText"/>
              <w:jc w:val="center"/>
              <w:rPr>
                <w:b w:val="0"/>
                <w:lang w:val="en-AU"/>
              </w:rPr>
            </w:pPr>
            <w:r w:rsidRPr="00BE7FA1">
              <w:t>June 2015 data cut-off</w:t>
            </w:r>
          </w:p>
        </w:tc>
      </w:tr>
      <w:tr w:rsidR="005759CC" w:rsidRPr="00BE7FA1" w:rsidTr="003B1D0C">
        <w:tc>
          <w:tcPr>
            <w:tcW w:w="1760" w:type="pct"/>
            <w:shd w:val="clear" w:color="auto" w:fill="FFFFFF" w:themeFill="background1"/>
          </w:tcPr>
          <w:p w:rsidR="005759CC" w:rsidRPr="00444991" w:rsidRDefault="005759CC" w:rsidP="003B1D0C">
            <w:pPr>
              <w:pStyle w:val="TableText"/>
              <w:jc w:val="left"/>
              <w:rPr>
                <w:lang w:val="en-AU"/>
              </w:rPr>
            </w:pPr>
            <w:r w:rsidRPr="00BE7FA1">
              <w:t>Minimum duration of follow-up, months</w:t>
            </w:r>
          </w:p>
        </w:tc>
        <w:tc>
          <w:tcPr>
            <w:tcW w:w="1621" w:type="pct"/>
            <w:gridSpan w:val="2"/>
            <w:shd w:val="clear" w:color="auto" w:fill="FFFFFF" w:themeFill="background1"/>
          </w:tcPr>
          <w:p w:rsidR="005759CC" w:rsidRPr="00444991" w:rsidRDefault="005759CC" w:rsidP="003B1D0C">
            <w:pPr>
              <w:pStyle w:val="TableText"/>
              <w:jc w:val="center"/>
              <w:rPr>
                <w:lang w:val="en-AU"/>
              </w:rPr>
            </w:pPr>
            <w:r w:rsidRPr="00BE7FA1">
              <w:t>13 months</w:t>
            </w:r>
          </w:p>
        </w:tc>
        <w:tc>
          <w:tcPr>
            <w:tcW w:w="1619" w:type="pct"/>
            <w:gridSpan w:val="2"/>
            <w:shd w:val="clear" w:color="auto" w:fill="FFFFFF" w:themeFill="background1"/>
          </w:tcPr>
          <w:p w:rsidR="005759CC" w:rsidRPr="00444991" w:rsidRDefault="005759CC" w:rsidP="003B1D0C">
            <w:pPr>
              <w:pStyle w:val="TableText"/>
              <w:jc w:val="center"/>
              <w:rPr>
                <w:lang w:val="en-AU"/>
              </w:rPr>
            </w:pPr>
            <w:r w:rsidRPr="00BE7FA1">
              <w:t>14 months</w:t>
            </w:r>
          </w:p>
        </w:tc>
      </w:tr>
      <w:tr w:rsidR="005759CC" w:rsidRPr="00BE7FA1" w:rsidTr="003B1D0C">
        <w:tc>
          <w:tcPr>
            <w:tcW w:w="1760" w:type="pct"/>
            <w:shd w:val="clear" w:color="auto" w:fill="FFFFFF" w:themeFill="background1"/>
          </w:tcPr>
          <w:p w:rsidR="005759CC" w:rsidRPr="00444991" w:rsidRDefault="005759CC" w:rsidP="003B1D0C">
            <w:pPr>
              <w:pStyle w:val="TableText"/>
              <w:rPr>
                <w:lang w:val="en-AU"/>
              </w:rPr>
            </w:pPr>
            <w:r w:rsidRPr="00BE7FA1">
              <w:t>Number of events, n (%)</w:t>
            </w:r>
          </w:p>
        </w:tc>
        <w:tc>
          <w:tcPr>
            <w:tcW w:w="772" w:type="pct"/>
            <w:shd w:val="clear" w:color="auto" w:fill="FFFFFF" w:themeFill="background1"/>
          </w:tcPr>
          <w:p w:rsidR="005759CC" w:rsidRPr="00444991" w:rsidRDefault="005759CC" w:rsidP="003B1D0C">
            <w:pPr>
              <w:pStyle w:val="TableText"/>
              <w:jc w:val="center"/>
              <w:rPr>
                <w:lang w:val="en-AU"/>
              </w:rPr>
            </w:pPr>
            <w:r w:rsidRPr="00BE7FA1">
              <w:t>140 (42.4%)</w:t>
            </w:r>
          </w:p>
        </w:tc>
        <w:tc>
          <w:tcPr>
            <w:tcW w:w="849" w:type="pct"/>
            <w:shd w:val="clear" w:color="auto" w:fill="FFFFFF" w:themeFill="background1"/>
          </w:tcPr>
          <w:p w:rsidR="005759CC" w:rsidRPr="00444991" w:rsidRDefault="005759CC" w:rsidP="003B1D0C">
            <w:pPr>
              <w:pStyle w:val="TableText"/>
              <w:jc w:val="center"/>
              <w:rPr>
                <w:lang w:val="en-AU"/>
              </w:rPr>
            </w:pPr>
            <w:r w:rsidRPr="00BE7FA1">
              <w:t>180 (54.9%)</w:t>
            </w:r>
          </w:p>
        </w:tc>
        <w:tc>
          <w:tcPr>
            <w:tcW w:w="774" w:type="pct"/>
            <w:shd w:val="clear" w:color="auto" w:fill="FFFFFF" w:themeFill="background1"/>
          </w:tcPr>
          <w:p w:rsidR="005759CC" w:rsidRPr="00444991" w:rsidRDefault="005759CC" w:rsidP="003B1D0C">
            <w:pPr>
              <w:pStyle w:val="TableText"/>
              <w:jc w:val="center"/>
              <w:rPr>
                <w:lang w:val="en-AU"/>
              </w:rPr>
            </w:pPr>
            <w:r w:rsidRPr="00BE7FA1">
              <w:t>183 (44.6%)</w:t>
            </w:r>
          </w:p>
        </w:tc>
        <w:tc>
          <w:tcPr>
            <w:tcW w:w="845" w:type="pct"/>
            <w:shd w:val="clear" w:color="auto" w:fill="FFFFFF" w:themeFill="background1"/>
          </w:tcPr>
          <w:p w:rsidR="005759CC" w:rsidRPr="00444991" w:rsidRDefault="005759CC" w:rsidP="003B1D0C">
            <w:pPr>
              <w:pStyle w:val="TableText"/>
              <w:jc w:val="center"/>
              <w:rPr>
                <w:lang w:val="en-AU"/>
              </w:rPr>
            </w:pPr>
            <w:r w:rsidRPr="00BE7FA1">
              <w:t>215 (52.3%)</w:t>
            </w:r>
          </w:p>
        </w:tc>
      </w:tr>
      <w:tr w:rsidR="005759CC" w:rsidRPr="00BE7FA1" w:rsidTr="003B1D0C">
        <w:tc>
          <w:tcPr>
            <w:tcW w:w="1760" w:type="pct"/>
            <w:shd w:val="clear" w:color="auto" w:fill="FFFFFF" w:themeFill="background1"/>
          </w:tcPr>
          <w:p w:rsidR="005759CC" w:rsidRPr="00444991" w:rsidRDefault="005759CC" w:rsidP="003B1D0C">
            <w:pPr>
              <w:pStyle w:val="TableText"/>
              <w:rPr>
                <w:lang w:val="en-AU"/>
              </w:rPr>
            </w:pPr>
            <w:r w:rsidRPr="00BE7FA1">
              <w:t>Median OS, months (95% CI)</w:t>
            </w:r>
          </w:p>
        </w:tc>
        <w:tc>
          <w:tcPr>
            <w:tcW w:w="772" w:type="pct"/>
            <w:shd w:val="clear" w:color="auto" w:fill="FFFFFF" w:themeFill="background1"/>
          </w:tcPr>
          <w:p w:rsidR="005759CC" w:rsidRPr="00444991" w:rsidRDefault="005759CC" w:rsidP="003B1D0C">
            <w:pPr>
              <w:pStyle w:val="TableText"/>
              <w:jc w:val="center"/>
              <w:rPr>
                <w:lang w:val="en-AU"/>
              </w:rPr>
            </w:pPr>
            <w:r w:rsidRPr="00BE7FA1">
              <w:t>21.4 (18.7, NE)</w:t>
            </w:r>
          </w:p>
        </w:tc>
        <w:tc>
          <w:tcPr>
            <w:tcW w:w="849" w:type="pct"/>
            <w:shd w:val="clear" w:color="auto" w:fill="FFFFFF" w:themeFill="background1"/>
          </w:tcPr>
          <w:p w:rsidR="005759CC" w:rsidRPr="00444991" w:rsidRDefault="005759CC" w:rsidP="003B1D0C">
            <w:pPr>
              <w:pStyle w:val="TableText"/>
              <w:jc w:val="center"/>
              <w:rPr>
                <w:lang w:val="en-AU"/>
              </w:rPr>
            </w:pPr>
            <w:r w:rsidRPr="00BE7FA1">
              <w:t>16.5 (14.7, 18.8)</w:t>
            </w:r>
          </w:p>
        </w:tc>
        <w:tc>
          <w:tcPr>
            <w:tcW w:w="774" w:type="pct"/>
            <w:shd w:val="clear" w:color="auto" w:fill="FFFFFF" w:themeFill="background1"/>
          </w:tcPr>
          <w:p w:rsidR="005759CC" w:rsidRPr="00444991" w:rsidRDefault="005759CC" w:rsidP="003B1D0C">
            <w:pPr>
              <w:pStyle w:val="TableText"/>
              <w:jc w:val="center"/>
              <w:rPr>
                <w:lang w:val="en-AU"/>
              </w:rPr>
            </w:pPr>
            <w:r w:rsidRPr="00BE7FA1">
              <w:t>25.0 (21.8, NE)</w:t>
            </w:r>
          </w:p>
        </w:tc>
        <w:tc>
          <w:tcPr>
            <w:tcW w:w="845" w:type="pct"/>
            <w:shd w:val="clear" w:color="auto" w:fill="FFFFFF" w:themeFill="background1"/>
          </w:tcPr>
          <w:p w:rsidR="005759CC" w:rsidRPr="00444991" w:rsidRDefault="005759CC" w:rsidP="003B1D0C">
            <w:pPr>
              <w:pStyle w:val="TableText"/>
              <w:jc w:val="center"/>
              <w:rPr>
                <w:lang w:val="en-AU"/>
              </w:rPr>
            </w:pPr>
            <w:r w:rsidRPr="00BE7FA1">
              <w:t>19.6 (17.6, 23.1)</w:t>
            </w:r>
          </w:p>
        </w:tc>
      </w:tr>
      <w:tr w:rsidR="005759CC" w:rsidRPr="00BE7FA1" w:rsidTr="003B1D0C">
        <w:tc>
          <w:tcPr>
            <w:tcW w:w="1760" w:type="pct"/>
            <w:shd w:val="clear" w:color="auto" w:fill="FFFFFF" w:themeFill="background1"/>
          </w:tcPr>
          <w:p w:rsidR="005759CC" w:rsidRPr="00444991" w:rsidRDefault="005759CC" w:rsidP="003B1D0C">
            <w:pPr>
              <w:pStyle w:val="TableText"/>
              <w:rPr>
                <w:vertAlign w:val="superscript"/>
                <w:lang w:val="en-AU"/>
              </w:rPr>
            </w:pPr>
            <w:r w:rsidRPr="00BE7FA1">
              <w:t>HR (95% CI, stratified)</w:t>
            </w:r>
          </w:p>
        </w:tc>
        <w:tc>
          <w:tcPr>
            <w:tcW w:w="1621" w:type="pct"/>
            <w:gridSpan w:val="2"/>
            <w:shd w:val="clear" w:color="auto" w:fill="FFFFFF" w:themeFill="background1"/>
          </w:tcPr>
          <w:p w:rsidR="005759CC" w:rsidRPr="00444991" w:rsidRDefault="005759CC" w:rsidP="003B1D0C">
            <w:pPr>
              <w:pStyle w:val="TableText"/>
              <w:jc w:val="center"/>
              <w:rPr>
                <w:vertAlign w:val="superscript"/>
                <w:lang w:val="en-AU"/>
              </w:rPr>
            </w:pPr>
            <w:r w:rsidRPr="00BE7FA1">
              <w:t>0.67 (0.53, 0.83)</w:t>
            </w:r>
            <w:r w:rsidRPr="00BE7FA1">
              <w:rPr>
                <w:vertAlign w:val="superscript"/>
              </w:rPr>
              <w:t>a</w:t>
            </w:r>
          </w:p>
        </w:tc>
        <w:tc>
          <w:tcPr>
            <w:tcW w:w="1619" w:type="pct"/>
            <w:gridSpan w:val="2"/>
            <w:shd w:val="clear" w:color="auto" w:fill="FFFFFF" w:themeFill="background1"/>
            <w:vAlign w:val="center"/>
          </w:tcPr>
          <w:p w:rsidR="005759CC" w:rsidRPr="00444991" w:rsidRDefault="005759CC" w:rsidP="003B1D0C">
            <w:pPr>
              <w:pStyle w:val="TableText"/>
              <w:jc w:val="center"/>
              <w:rPr>
                <w:vertAlign w:val="superscript"/>
                <w:lang w:val="en-AU"/>
              </w:rPr>
            </w:pPr>
            <w:r w:rsidRPr="00BE7FA1">
              <w:t>0.73 (0.57, 0.93)</w:t>
            </w:r>
            <w:r w:rsidRPr="00BE7FA1">
              <w:rPr>
                <w:vertAlign w:val="superscript"/>
              </w:rPr>
              <w:t>b</w:t>
            </w:r>
          </w:p>
        </w:tc>
      </w:tr>
      <w:tr w:rsidR="005759CC" w:rsidRPr="00BE7FA1" w:rsidTr="003B1D0C">
        <w:tc>
          <w:tcPr>
            <w:tcW w:w="1760" w:type="pct"/>
            <w:shd w:val="clear" w:color="auto" w:fill="FFFFFF" w:themeFill="background1"/>
          </w:tcPr>
          <w:p w:rsidR="005759CC" w:rsidRPr="00444991" w:rsidRDefault="005759CC" w:rsidP="003B1D0C">
            <w:pPr>
              <w:pStyle w:val="TableText"/>
              <w:rPr>
                <w:vertAlign w:val="superscript"/>
                <w:lang w:val="en-AU"/>
              </w:rPr>
            </w:pPr>
            <w:r w:rsidRPr="00BE7FA1">
              <w:t>p-value (stratified log-rank test)</w:t>
            </w:r>
          </w:p>
        </w:tc>
        <w:tc>
          <w:tcPr>
            <w:tcW w:w="1621" w:type="pct"/>
            <w:gridSpan w:val="2"/>
            <w:shd w:val="clear" w:color="auto" w:fill="FFFFFF" w:themeFill="background1"/>
          </w:tcPr>
          <w:p w:rsidR="005759CC" w:rsidRPr="00444991" w:rsidRDefault="005759CC" w:rsidP="003B1D0C">
            <w:pPr>
              <w:pStyle w:val="TableText"/>
              <w:jc w:val="center"/>
              <w:rPr>
                <w:vertAlign w:val="superscript"/>
                <w:lang w:val="en-AU"/>
              </w:rPr>
            </w:pPr>
            <w:r w:rsidRPr="00BE7FA1">
              <w:t>0.0003</w:t>
            </w:r>
            <w:r w:rsidRPr="00BE7FA1">
              <w:rPr>
                <w:vertAlign w:val="superscript"/>
              </w:rPr>
              <w:t>a</w:t>
            </w:r>
          </w:p>
        </w:tc>
        <w:tc>
          <w:tcPr>
            <w:tcW w:w="1619" w:type="pct"/>
            <w:gridSpan w:val="2"/>
            <w:shd w:val="clear" w:color="auto" w:fill="FFFFFF" w:themeFill="background1"/>
          </w:tcPr>
          <w:p w:rsidR="005759CC" w:rsidRPr="00444991" w:rsidRDefault="005759CC" w:rsidP="003B1D0C">
            <w:pPr>
              <w:pStyle w:val="TableText"/>
              <w:jc w:val="center"/>
              <w:rPr>
                <w:vertAlign w:val="superscript"/>
                <w:lang w:val="en-AU"/>
              </w:rPr>
            </w:pPr>
            <w:r w:rsidRPr="00BE7FA1">
              <w:t>0.002</w:t>
            </w:r>
            <w:r w:rsidRPr="00BE7FA1">
              <w:rPr>
                <w:vertAlign w:val="superscript"/>
              </w:rPr>
              <w:t>b</w:t>
            </w:r>
          </w:p>
        </w:tc>
      </w:tr>
      <w:tr w:rsidR="005759CC" w:rsidRPr="00BE7FA1" w:rsidTr="003B1D0C">
        <w:tc>
          <w:tcPr>
            <w:tcW w:w="1760" w:type="pct"/>
            <w:shd w:val="clear" w:color="auto" w:fill="FFFFFF" w:themeFill="background1"/>
          </w:tcPr>
          <w:p w:rsidR="005759CC" w:rsidRPr="00444991" w:rsidRDefault="005759CC" w:rsidP="003B1D0C">
            <w:pPr>
              <w:pStyle w:val="TableText"/>
              <w:rPr>
                <w:lang w:val="en-AU"/>
              </w:rPr>
            </w:pPr>
            <w:r w:rsidRPr="00BE7FA1">
              <w:t xml:space="preserve">Cabozantinib vs nivolumab, HR (95% CI) </w:t>
            </w:r>
          </w:p>
        </w:tc>
        <w:tc>
          <w:tcPr>
            <w:tcW w:w="3240" w:type="pct"/>
            <w:gridSpan w:val="4"/>
            <w:shd w:val="clear" w:color="auto" w:fill="FFFFFF" w:themeFill="background1"/>
          </w:tcPr>
          <w:p w:rsidR="005759CC" w:rsidRPr="00444991" w:rsidRDefault="005759CC" w:rsidP="003B1D0C">
            <w:pPr>
              <w:pStyle w:val="TableText"/>
              <w:jc w:val="center"/>
              <w:rPr>
                <w:lang w:val="en-AU"/>
              </w:rPr>
            </w:pPr>
            <w:r w:rsidRPr="00BE7FA1">
              <w:t>0.92 (0.66, 1.28)</w:t>
            </w:r>
          </w:p>
        </w:tc>
      </w:tr>
    </w:tbl>
    <w:p w:rsidR="005759CC" w:rsidRPr="00BE7FA1" w:rsidRDefault="005759CC" w:rsidP="005759CC">
      <w:pPr>
        <w:pStyle w:val="TableFooter"/>
      </w:pPr>
      <w:r w:rsidRPr="00BE7FA1">
        <w:t xml:space="preserve">CI = confidence interval; HR = hazard ratio; ITT = intention-to-treat; </w:t>
      </w:r>
      <w:r w:rsidR="009C7347" w:rsidRPr="00BE7FA1">
        <w:t xml:space="preserve">NE = not estimable; </w:t>
      </w:r>
      <w:r w:rsidRPr="00BE7FA1">
        <w:t>OS = overall survival</w:t>
      </w:r>
    </w:p>
    <w:p w:rsidR="005759CC" w:rsidRPr="00BE7FA1" w:rsidRDefault="005759CC" w:rsidP="005759CC">
      <w:pPr>
        <w:pStyle w:val="TableFooter"/>
      </w:pPr>
      <w:proofErr w:type="gramStart"/>
      <w:r w:rsidRPr="00BE7FA1">
        <w:rPr>
          <w:vertAlign w:val="superscript"/>
        </w:rPr>
        <w:t>a</w:t>
      </w:r>
      <w:proofErr w:type="gramEnd"/>
      <w:r w:rsidRPr="00BE7FA1">
        <w:t xml:space="preserve"> Stratification factors include prior VEGFR-targeting TKI therapy (1 vs ≥2) and MSKCC prognostic criteria (0 vs 1 vs 2).</w:t>
      </w:r>
    </w:p>
    <w:p w:rsidR="005759CC" w:rsidRPr="00BE7FA1" w:rsidRDefault="005759CC" w:rsidP="005759CC">
      <w:pPr>
        <w:pStyle w:val="TableFooter"/>
      </w:pPr>
      <w:proofErr w:type="gramStart"/>
      <w:r w:rsidRPr="00BE7FA1">
        <w:rPr>
          <w:vertAlign w:val="superscript"/>
        </w:rPr>
        <w:t>b</w:t>
      </w:r>
      <w:proofErr w:type="gramEnd"/>
      <w:r w:rsidRPr="00BE7FA1">
        <w:rPr>
          <w:vertAlign w:val="superscript"/>
        </w:rPr>
        <w:t xml:space="preserve"> </w:t>
      </w:r>
      <w:r w:rsidRPr="00BE7FA1">
        <w:t>Stratified by MSKCC prognostic criteria; number of prior antiangiogenic therapies in the advanced/metastatic setting and region.</w:t>
      </w:r>
    </w:p>
    <w:p w:rsidR="005759CC" w:rsidRPr="00BE7FA1" w:rsidRDefault="005759CC" w:rsidP="005759CC">
      <w:pPr>
        <w:pStyle w:val="TableFooter"/>
      </w:pPr>
      <w:r w:rsidRPr="00BE7FA1">
        <w:t>Source: Table 2-51 p143 of the submission; Table 28, p123 of the METEOR CSR; Table 2 p10 and Table 3 p11 METEOR CSR Addendum; Figure 1, Motzer 2015</w:t>
      </w:r>
      <w:r w:rsidRPr="00BE7FA1">
        <w:rPr>
          <w:rStyle w:val="FootnoteReference"/>
        </w:rPr>
        <w:footnoteReference w:id="6"/>
      </w:r>
      <w:r w:rsidRPr="00BE7FA1">
        <w:t>.</w:t>
      </w:r>
    </w:p>
    <w:p w:rsidR="00B67B1E" w:rsidRPr="00BE7FA1" w:rsidRDefault="00B67B1E" w:rsidP="00FF33C4">
      <w:pPr>
        <w:pStyle w:val="ListParagraph"/>
        <w:numPr>
          <w:ilvl w:val="1"/>
          <w:numId w:val="4"/>
        </w:numPr>
      </w:pPr>
      <w:r w:rsidRPr="00BE7FA1">
        <w:t xml:space="preserve">The submission stated that the hazard ratio for OS suggested a non-inferior health outcome for cabozantinib and nivolumab, although the precision of this estimate was relatively poor. The submission did not nominate a non-inferiority margin for this comparison. The indirect comparison lacked the statistical power to rule out an important difference in survival between patients receiving cabozantinib or nivolumab, with the 95% </w:t>
      </w:r>
      <w:r w:rsidR="00311E76" w:rsidRPr="00BE7FA1">
        <w:t>CI</w:t>
      </w:r>
      <w:r w:rsidRPr="00BE7FA1">
        <w:t xml:space="preserve"> for the indirect estimate of the HR ranging from 0.66 to 1.28 (based on the December 2015 cut-off for METEOR).</w:t>
      </w:r>
      <w:r w:rsidR="00FF33C4" w:rsidRPr="00BE7FA1">
        <w:t xml:space="preserve"> The ESC noted that the PSCR (p1) presented a follow-up analysis of overall survival from METEOR, based on data to October 2016, and that the results of the indirect comparison using this later cut-off were consistent with the analysis presented in the submission. However, the ESC remained concerned with the reliability of the indirect comparison, given that only HR point estimates and 95% CIs were provided, without further statistical support</w:t>
      </w:r>
      <w:r w:rsidR="00D81449" w:rsidRPr="00BE7FA1">
        <w:t>.</w:t>
      </w:r>
    </w:p>
    <w:p w:rsidR="005759CC" w:rsidRPr="00BE7FA1" w:rsidRDefault="008A62E8" w:rsidP="00A832C9">
      <w:pPr>
        <w:pStyle w:val="ListParagraph"/>
        <w:numPr>
          <w:ilvl w:val="1"/>
          <w:numId w:val="4"/>
        </w:numPr>
      </w:pPr>
      <w:r w:rsidRPr="00BE7FA1">
        <w:t>Given the issues regarding the reliability of RECIST-defined PFS as a measure of the clinical effectiveness of nivolumab, the indirect comparison of PFS for cabozantinib versus nivolumab is of limited clinical relevance</w:t>
      </w:r>
      <w:r w:rsidR="00DD162E" w:rsidRPr="00BE7FA1">
        <w:t>.</w:t>
      </w:r>
      <w:r w:rsidR="004D3A67" w:rsidRPr="00BE7FA1">
        <w:t xml:space="preserve"> The ESC additionally considered that the wide CIs and differences between the common comparator arms limited the reliability of these results.</w:t>
      </w:r>
    </w:p>
    <w:p w:rsidR="00C317F3" w:rsidRPr="00653C98" w:rsidRDefault="00C317F3" w:rsidP="00772501">
      <w:pPr>
        <w:pStyle w:val="Heading2"/>
      </w:pPr>
      <w:bookmarkStart w:id="20" w:name="_Toc413139279"/>
      <w:bookmarkStart w:id="21" w:name="_Toc497315005"/>
      <w:r w:rsidRPr="00653C98">
        <w:t>Comparative harms</w:t>
      </w:r>
      <w:bookmarkEnd w:id="20"/>
      <w:bookmarkEnd w:id="21"/>
    </w:p>
    <w:p w:rsidR="00030B4B" w:rsidRPr="00BE7FA1" w:rsidRDefault="00030B4B" w:rsidP="00030B4B">
      <w:pPr>
        <w:spacing w:before="0" w:after="120"/>
        <w:rPr>
          <w:color w:val="000000" w:themeColor="text1"/>
        </w:rPr>
      </w:pPr>
      <w:r w:rsidRPr="00BE7FA1">
        <w:rPr>
          <w:color w:val="000000" w:themeColor="text1"/>
          <w:u w:val="single"/>
        </w:rPr>
        <w:t xml:space="preserve">Cabozantinib versus everolimus </w:t>
      </w:r>
    </w:p>
    <w:p w:rsidR="00030B4B" w:rsidRPr="00BE7FA1" w:rsidRDefault="00030B4B" w:rsidP="00A832C9">
      <w:pPr>
        <w:pStyle w:val="ListParagraph"/>
        <w:numPr>
          <w:ilvl w:val="1"/>
          <w:numId w:val="4"/>
        </w:numPr>
        <w:spacing w:before="0" w:after="120"/>
        <w:rPr>
          <w:color w:val="000000" w:themeColor="text1"/>
        </w:rPr>
      </w:pPr>
      <w:r w:rsidRPr="00BE7FA1">
        <w:rPr>
          <w:color w:val="000000" w:themeColor="text1"/>
        </w:rPr>
        <w:t xml:space="preserve">The main safety outcomes in </w:t>
      </w:r>
      <w:r w:rsidR="0074663E" w:rsidRPr="00BE7FA1">
        <w:rPr>
          <w:color w:val="000000" w:themeColor="text1"/>
        </w:rPr>
        <w:t>METEOR are summarised</w:t>
      </w:r>
      <w:r w:rsidR="00DD162E" w:rsidRPr="00BE7FA1">
        <w:rPr>
          <w:color w:val="000000" w:themeColor="text1"/>
        </w:rPr>
        <w:t xml:space="preserve"> in Table </w:t>
      </w:r>
      <w:r w:rsidR="0072599A" w:rsidRPr="00BE7FA1">
        <w:rPr>
          <w:color w:val="000000" w:themeColor="text1"/>
        </w:rPr>
        <w:t>7</w:t>
      </w:r>
      <w:r w:rsidRPr="00BE7FA1">
        <w:rPr>
          <w:color w:val="000000" w:themeColor="text1"/>
        </w:rPr>
        <w:t>.</w:t>
      </w:r>
    </w:p>
    <w:p w:rsidR="00A417AA" w:rsidRPr="00A417AA" w:rsidRDefault="00A417AA" w:rsidP="00A417AA">
      <w:pPr>
        <w:pStyle w:val="Caption"/>
        <w:rPr>
          <w:rFonts w:ascii="Arial Narrow" w:hAnsi="Arial Narrow"/>
        </w:rPr>
      </w:pPr>
      <w:r w:rsidRPr="00A417AA">
        <w:rPr>
          <w:rFonts w:ascii="Arial Narrow" w:hAnsi="Arial Narrow"/>
        </w:rPr>
        <w:lastRenderedPageBreak/>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7</w:t>
      </w:r>
      <w:r w:rsidRPr="00A417AA">
        <w:rPr>
          <w:rFonts w:ascii="Arial Narrow" w:hAnsi="Arial Narrow"/>
        </w:rPr>
        <w:fldChar w:fldCharType="end"/>
      </w:r>
      <w:r w:rsidRPr="00A417AA">
        <w:rPr>
          <w:rFonts w:ascii="Arial Narrow" w:hAnsi="Arial Narrow"/>
        </w:rPr>
        <w:t>: Summary of key adverse events in METEOR (safety population)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Summary of key adverse events in METEOR (safety population)"/>
      </w:tblPr>
      <w:tblGrid>
        <w:gridCol w:w="4392"/>
        <w:gridCol w:w="2425"/>
        <w:gridCol w:w="2425"/>
      </w:tblGrid>
      <w:tr w:rsidR="00030B4B" w:rsidRPr="00BE7FA1" w:rsidTr="00EA49AB">
        <w:trPr>
          <w:cnfStyle w:val="100000000000" w:firstRow="1" w:lastRow="0" w:firstColumn="0" w:lastColumn="0" w:oddVBand="0" w:evenVBand="0" w:oddHBand="0" w:evenHBand="0" w:firstRowFirstColumn="0" w:firstRowLastColumn="0" w:lastRowFirstColumn="0" w:lastRowLastColumn="0"/>
          <w:tblHeader/>
        </w:trPr>
        <w:tc>
          <w:tcPr>
            <w:tcW w:w="2376" w:type="pct"/>
            <w:shd w:val="clear" w:color="auto" w:fill="FFFFFF" w:themeFill="background1"/>
          </w:tcPr>
          <w:p w:rsidR="00030B4B" w:rsidRPr="00BE7FA1" w:rsidRDefault="00030B4B" w:rsidP="003B1D0C">
            <w:pPr>
              <w:pStyle w:val="TableText"/>
              <w:rPr>
                <w:rStyle w:val="SmallBold"/>
                <w:rFonts w:ascii="Arial Narrow" w:hAnsi="Arial Narrow"/>
                <w:b/>
              </w:rPr>
            </w:pPr>
          </w:p>
        </w:tc>
        <w:tc>
          <w:tcPr>
            <w:tcW w:w="1312" w:type="pct"/>
            <w:shd w:val="clear" w:color="auto" w:fill="FFFFFF" w:themeFill="background1"/>
          </w:tcPr>
          <w:p w:rsidR="00030B4B" w:rsidRPr="00BE7FA1" w:rsidRDefault="00030B4B" w:rsidP="003B1D0C">
            <w:pPr>
              <w:pStyle w:val="TableText"/>
              <w:jc w:val="center"/>
              <w:rPr>
                <w:rStyle w:val="SmallBold"/>
                <w:rFonts w:ascii="Arial Narrow" w:hAnsi="Arial Narrow"/>
                <w:b/>
              </w:rPr>
            </w:pPr>
            <w:r w:rsidRPr="00BE7FA1">
              <w:rPr>
                <w:rStyle w:val="SmallBold"/>
                <w:rFonts w:ascii="Arial Narrow" w:hAnsi="Arial Narrow"/>
              </w:rPr>
              <w:t>Cabozantinib</w:t>
            </w:r>
          </w:p>
          <w:p w:rsidR="00030B4B" w:rsidRPr="00BE7FA1" w:rsidRDefault="00030B4B" w:rsidP="003B1D0C">
            <w:pPr>
              <w:pStyle w:val="TableText"/>
              <w:jc w:val="center"/>
              <w:rPr>
                <w:rStyle w:val="SmallBold"/>
                <w:rFonts w:ascii="Arial Narrow" w:hAnsi="Arial Narrow"/>
                <w:b/>
              </w:rPr>
            </w:pPr>
            <w:r w:rsidRPr="00BE7FA1">
              <w:rPr>
                <w:rStyle w:val="SmallBold"/>
                <w:rFonts w:ascii="Arial Narrow" w:hAnsi="Arial Narrow"/>
              </w:rPr>
              <w:t>N=331</w:t>
            </w:r>
          </w:p>
          <w:p w:rsidR="00030B4B" w:rsidRPr="00BE7FA1" w:rsidRDefault="00030B4B" w:rsidP="003B1D0C">
            <w:pPr>
              <w:pStyle w:val="TableText"/>
              <w:jc w:val="center"/>
              <w:rPr>
                <w:rStyle w:val="SmallBold"/>
                <w:rFonts w:ascii="Arial Narrow" w:hAnsi="Arial Narrow"/>
                <w:b/>
              </w:rPr>
            </w:pPr>
            <w:proofErr w:type="gramStart"/>
            <w:r w:rsidRPr="00BE7FA1">
              <w:rPr>
                <w:rStyle w:val="SmallBold"/>
                <w:rFonts w:ascii="Arial Narrow" w:hAnsi="Arial Narrow"/>
              </w:rPr>
              <w:t>n</w:t>
            </w:r>
            <w:proofErr w:type="gramEnd"/>
            <w:r w:rsidRPr="00BE7FA1">
              <w:rPr>
                <w:rStyle w:val="SmallBold"/>
                <w:rFonts w:ascii="Arial Narrow" w:hAnsi="Arial Narrow"/>
              </w:rPr>
              <w:t xml:space="preserve"> (%)</w:t>
            </w:r>
          </w:p>
        </w:tc>
        <w:tc>
          <w:tcPr>
            <w:tcW w:w="1312" w:type="pct"/>
            <w:shd w:val="clear" w:color="auto" w:fill="FFFFFF" w:themeFill="background1"/>
          </w:tcPr>
          <w:p w:rsidR="00030B4B" w:rsidRPr="00BE7FA1" w:rsidRDefault="00030B4B" w:rsidP="003B1D0C">
            <w:pPr>
              <w:pStyle w:val="TableText"/>
              <w:jc w:val="center"/>
              <w:rPr>
                <w:rStyle w:val="SmallBold"/>
                <w:rFonts w:ascii="Arial Narrow" w:hAnsi="Arial Narrow"/>
                <w:b/>
              </w:rPr>
            </w:pPr>
            <w:r w:rsidRPr="00BE7FA1">
              <w:rPr>
                <w:rStyle w:val="SmallBold"/>
                <w:rFonts w:ascii="Arial Narrow" w:hAnsi="Arial Narrow"/>
              </w:rPr>
              <w:t>Everolimus</w:t>
            </w:r>
          </w:p>
          <w:p w:rsidR="00030B4B" w:rsidRPr="00BE7FA1" w:rsidRDefault="00030B4B" w:rsidP="003B1D0C">
            <w:pPr>
              <w:pStyle w:val="TableText"/>
              <w:jc w:val="center"/>
              <w:rPr>
                <w:rStyle w:val="SmallBold"/>
                <w:rFonts w:ascii="Arial Narrow" w:hAnsi="Arial Narrow"/>
                <w:b/>
              </w:rPr>
            </w:pPr>
            <w:r w:rsidRPr="00BE7FA1">
              <w:rPr>
                <w:rStyle w:val="SmallBold"/>
                <w:rFonts w:ascii="Arial Narrow" w:hAnsi="Arial Narrow"/>
              </w:rPr>
              <w:t>N=322</w:t>
            </w:r>
          </w:p>
          <w:p w:rsidR="00030B4B" w:rsidRPr="00BE7FA1" w:rsidRDefault="00030B4B" w:rsidP="003B1D0C">
            <w:pPr>
              <w:pStyle w:val="TableText"/>
              <w:jc w:val="center"/>
              <w:rPr>
                <w:rStyle w:val="SmallBold"/>
                <w:rFonts w:ascii="Arial Narrow" w:hAnsi="Arial Narrow"/>
                <w:b/>
              </w:rPr>
            </w:pPr>
            <w:proofErr w:type="gramStart"/>
            <w:r w:rsidRPr="00BE7FA1">
              <w:rPr>
                <w:rStyle w:val="SmallBold"/>
                <w:rFonts w:ascii="Arial Narrow" w:hAnsi="Arial Narrow"/>
              </w:rPr>
              <w:t>n</w:t>
            </w:r>
            <w:proofErr w:type="gramEnd"/>
            <w:r w:rsidRPr="00BE7FA1">
              <w:rPr>
                <w:rStyle w:val="SmallBold"/>
                <w:rFonts w:ascii="Arial Narrow" w:hAnsi="Arial Narrow"/>
              </w:rPr>
              <w:t xml:space="preserve"> (%)</w:t>
            </w:r>
          </w:p>
        </w:tc>
      </w:tr>
      <w:tr w:rsidR="00030B4B" w:rsidRPr="00BE7FA1" w:rsidTr="003B1D0C">
        <w:tc>
          <w:tcPr>
            <w:tcW w:w="2376" w:type="pct"/>
            <w:shd w:val="clear" w:color="auto" w:fill="FFFFFF" w:themeFill="background1"/>
          </w:tcPr>
          <w:p w:rsidR="00030B4B" w:rsidRPr="00444991" w:rsidRDefault="00030B4B" w:rsidP="003B1D0C">
            <w:pPr>
              <w:pStyle w:val="TableText"/>
              <w:rPr>
                <w:lang w:val="en-AU"/>
              </w:rPr>
            </w:pPr>
            <w:r w:rsidRPr="00BE7FA1">
              <w:t>Median duration of exposure</w:t>
            </w:r>
          </w:p>
        </w:tc>
        <w:tc>
          <w:tcPr>
            <w:tcW w:w="1312" w:type="pct"/>
            <w:shd w:val="clear" w:color="auto" w:fill="FFFFFF" w:themeFill="background1"/>
          </w:tcPr>
          <w:p w:rsidR="00030B4B" w:rsidRPr="00444991" w:rsidRDefault="00030B4B" w:rsidP="003B1D0C">
            <w:pPr>
              <w:pStyle w:val="TableText"/>
              <w:jc w:val="center"/>
              <w:rPr>
                <w:vertAlign w:val="superscript"/>
                <w:lang w:val="en-AU"/>
              </w:rPr>
            </w:pPr>
            <w:r w:rsidRPr="00BE7FA1">
              <w:t xml:space="preserve">7.6 </w:t>
            </w:r>
            <w:proofErr w:type="spellStart"/>
            <w:r w:rsidRPr="00BE7FA1">
              <w:t>months</w:t>
            </w:r>
            <w:r w:rsidRPr="00BE7FA1">
              <w:rPr>
                <w:vertAlign w:val="superscript"/>
              </w:rPr>
              <w:t>a</w:t>
            </w:r>
            <w:proofErr w:type="spellEnd"/>
          </w:p>
        </w:tc>
        <w:tc>
          <w:tcPr>
            <w:tcW w:w="1312" w:type="pct"/>
            <w:shd w:val="clear" w:color="auto" w:fill="FFFFFF" w:themeFill="background1"/>
          </w:tcPr>
          <w:p w:rsidR="00030B4B" w:rsidRPr="00444991" w:rsidRDefault="00030B4B" w:rsidP="003B1D0C">
            <w:pPr>
              <w:pStyle w:val="TableText"/>
              <w:jc w:val="center"/>
              <w:rPr>
                <w:vertAlign w:val="superscript"/>
                <w:lang w:val="en-AU"/>
              </w:rPr>
            </w:pPr>
            <w:r w:rsidRPr="00BE7FA1">
              <w:t xml:space="preserve">4.4 </w:t>
            </w:r>
            <w:proofErr w:type="spellStart"/>
            <w:r w:rsidRPr="00BE7FA1">
              <w:t>months</w:t>
            </w:r>
            <w:r w:rsidRPr="00BE7FA1">
              <w:rPr>
                <w:vertAlign w:val="superscript"/>
              </w:rPr>
              <w:t>a</w:t>
            </w:r>
            <w:proofErr w:type="spellEnd"/>
          </w:p>
        </w:tc>
      </w:tr>
      <w:tr w:rsidR="004428DA" w:rsidRPr="00BE7FA1" w:rsidTr="003B1D0C">
        <w:tc>
          <w:tcPr>
            <w:tcW w:w="2376" w:type="pct"/>
            <w:shd w:val="clear" w:color="auto" w:fill="FFFFFF" w:themeFill="background1"/>
          </w:tcPr>
          <w:p w:rsidR="004428DA" w:rsidRPr="00444991" w:rsidRDefault="004428DA" w:rsidP="004428DA">
            <w:pPr>
              <w:pStyle w:val="TableText"/>
              <w:rPr>
                <w:lang w:val="en-AU"/>
              </w:rPr>
            </w:pPr>
            <w:r w:rsidRPr="00BE7FA1">
              <w:t>Any treatment related AE</w:t>
            </w:r>
          </w:p>
        </w:tc>
        <w:tc>
          <w:tcPr>
            <w:tcW w:w="1312" w:type="pct"/>
            <w:shd w:val="clear" w:color="auto" w:fill="FFFFFF" w:themeFill="background1"/>
          </w:tcPr>
          <w:p w:rsidR="004428DA" w:rsidRPr="00444991" w:rsidRDefault="004428DA" w:rsidP="004428DA">
            <w:pPr>
              <w:pStyle w:val="TableText"/>
              <w:jc w:val="center"/>
              <w:rPr>
                <w:lang w:val="en-AU"/>
              </w:rPr>
            </w:pPr>
            <w:r w:rsidRPr="00BE7FA1">
              <w:t>322 (97%)</w:t>
            </w:r>
          </w:p>
        </w:tc>
        <w:tc>
          <w:tcPr>
            <w:tcW w:w="1312" w:type="pct"/>
            <w:shd w:val="clear" w:color="auto" w:fill="FFFFFF" w:themeFill="background1"/>
          </w:tcPr>
          <w:p w:rsidR="004428DA" w:rsidRPr="00444991" w:rsidRDefault="004428DA" w:rsidP="004428DA">
            <w:pPr>
              <w:pStyle w:val="TableText"/>
              <w:jc w:val="center"/>
              <w:rPr>
                <w:lang w:val="en-AU"/>
              </w:rPr>
            </w:pPr>
            <w:r w:rsidRPr="00BE7FA1">
              <w:t>293 (91%)</w:t>
            </w:r>
          </w:p>
        </w:tc>
      </w:tr>
      <w:tr w:rsidR="004428DA" w:rsidRPr="00BE7FA1" w:rsidTr="003B1D0C">
        <w:tc>
          <w:tcPr>
            <w:tcW w:w="2376" w:type="pct"/>
            <w:shd w:val="clear" w:color="auto" w:fill="FFFFFF" w:themeFill="background1"/>
          </w:tcPr>
          <w:p w:rsidR="004428DA" w:rsidRPr="00444991" w:rsidRDefault="004428DA" w:rsidP="004428DA">
            <w:pPr>
              <w:pStyle w:val="TableText"/>
              <w:rPr>
                <w:lang w:val="en-AU"/>
              </w:rPr>
            </w:pPr>
            <w:r w:rsidRPr="00BE7FA1">
              <w:t>Treatment related Grade 3 or 4 AE</w:t>
            </w:r>
          </w:p>
        </w:tc>
        <w:tc>
          <w:tcPr>
            <w:tcW w:w="1312" w:type="pct"/>
            <w:shd w:val="clear" w:color="auto" w:fill="FFFFFF" w:themeFill="background1"/>
          </w:tcPr>
          <w:p w:rsidR="004428DA" w:rsidRPr="00444991" w:rsidRDefault="004428DA" w:rsidP="004428DA">
            <w:pPr>
              <w:pStyle w:val="TableText"/>
              <w:jc w:val="center"/>
              <w:rPr>
                <w:lang w:val="en-AU"/>
              </w:rPr>
            </w:pPr>
            <w:r w:rsidRPr="00BE7FA1">
              <w:t>195 (59%)</w:t>
            </w:r>
          </w:p>
        </w:tc>
        <w:tc>
          <w:tcPr>
            <w:tcW w:w="1312" w:type="pct"/>
            <w:shd w:val="clear" w:color="auto" w:fill="FFFFFF" w:themeFill="background1"/>
          </w:tcPr>
          <w:p w:rsidR="004428DA" w:rsidRPr="00444991" w:rsidRDefault="004428DA" w:rsidP="004428DA">
            <w:pPr>
              <w:pStyle w:val="TableText"/>
              <w:jc w:val="center"/>
              <w:rPr>
                <w:lang w:val="en-AU"/>
              </w:rPr>
            </w:pPr>
            <w:r w:rsidRPr="00BE7FA1">
              <w:t>131 (41%)</w:t>
            </w:r>
          </w:p>
        </w:tc>
      </w:tr>
      <w:tr w:rsidR="004428DA" w:rsidRPr="00BE7FA1" w:rsidTr="003B1D0C">
        <w:tc>
          <w:tcPr>
            <w:tcW w:w="2376" w:type="pct"/>
            <w:shd w:val="clear" w:color="auto" w:fill="FFFFFF" w:themeFill="background1"/>
          </w:tcPr>
          <w:p w:rsidR="004428DA" w:rsidRPr="00444991" w:rsidRDefault="004428DA" w:rsidP="004428DA">
            <w:pPr>
              <w:pStyle w:val="TableText"/>
              <w:rPr>
                <w:lang w:val="en-AU"/>
              </w:rPr>
            </w:pPr>
            <w:r w:rsidRPr="00BE7FA1">
              <w:t>Treatment related serious AE</w:t>
            </w:r>
          </w:p>
        </w:tc>
        <w:tc>
          <w:tcPr>
            <w:tcW w:w="1312" w:type="pct"/>
            <w:shd w:val="clear" w:color="auto" w:fill="FFFFFF" w:themeFill="background1"/>
          </w:tcPr>
          <w:p w:rsidR="004428DA" w:rsidRPr="00444991" w:rsidRDefault="004428DA" w:rsidP="004428DA">
            <w:pPr>
              <w:pStyle w:val="TableText"/>
              <w:jc w:val="center"/>
              <w:rPr>
                <w:lang w:val="en-AU"/>
              </w:rPr>
            </w:pPr>
            <w:r w:rsidRPr="00BE7FA1">
              <w:t>50 (15%)</w:t>
            </w:r>
          </w:p>
        </w:tc>
        <w:tc>
          <w:tcPr>
            <w:tcW w:w="1312" w:type="pct"/>
            <w:shd w:val="clear" w:color="auto" w:fill="FFFFFF" w:themeFill="background1"/>
          </w:tcPr>
          <w:p w:rsidR="004428DA" w:rsidRPr="00444991" w:rsidRDefault="004428DA" w:rsidP="004428DA">
            <w:pPr>
              <w:pStyle w:val="TableText"/>
              <w:jc w:val="center"/>
              <w:rPr>
                <w:lang w:val="en-AU"/>
              </w:rPr>
            </w:pPr>
            <w:r w:rsidRPr="00BE7FA1">
              <w:t>41 (13%)</w:t>
            </w:r>
          </w:p>
        </w:tc>
      </w:tr>
      <w:tr w:rsidR="004428DA" w:rsidRPr="00BE7FA1" w:rsidTr="003B1D0C">
        <w:tc>
          <w:tcPr>
            <w:tcW w:w="2376" w:type="pct"/>
            <w:shd w:val="clear" w:color="auto" w:fill="FFFFFF" w:themeFill="background1"/>
          </w:tcPr>
          <w:p w:rsidR="004428DA" w:rsidRPr="00444991" w:rsidRDefault="004428DA" w:rsidP="004428DA">
            <w:pPr>
              <w:pStyle w:val="TableText"/>
              <w:rPr>
                <w:lang w:val="en-AU"/>
              </w:rPr>
            </w:pPr>
            <w:r w:rsidRPr="00BE7FA1">
              <w:t>Treatment discontinuation due to AE not related to RCC</w:t>
            </w:r>
          </w:p>
        </w:tc>
        <w:tc>
          <w:tcPr>
            <w:tcW w:w="1312" w:type="pct"/>
            <w:shd w:val="clear" w:color="auto" w:fill="FFFFFF" w:themeFill="background1"/>
          </w:tcPr>
          <w:p w:rsidR="004428DA" w:rsidRPr="00444991" w:rsidRDefault="004428DA" w:rsidP="004428DA">
            <w:pPr>
              <w:pStyle w:val="TableText"/>
              <w:jc w:val="center"/>
              <w:rPr>
                <w:lang w:val="en-AU"/>
              </w:rPr>
            </w:pPr>
            <w:r w:rsidRPr="00BE7FA1">
              <w:t>34 (10%)</w:t>
            </w:r>
          </w:p>
        </w:tc>
        <w:tc>
          <w:tcPr>
            <w:tcW w:w="1312" w:type="pct"/>
            <w:shd w:val="clear" w:color="auto" w:fill="FFFFFF" w:themeFill="background1"/>
          </w:tcPr>
          <w:p w:rsidR="004428DA" w:rsidRPr="00444991" w:rsidRDefault="004428DA" w:rsidP="004428DA">
            <w:pPr>
              <w:pStyle w:val="TableText"/>
              <w:jc w:val="center"/>
              <w:rPr>
                <w:lang w:val="en-AU"/>
              </w:rPr>
            </w:pPr>
            <w:r w:rsidRPr="00BE7FA1">
              <w:t>31 (9.6%)</w:t>
            </w:r>
          </w:p>
        </w:tc>
      </w:tr>
      <w:tr w:rsidR="004428DA" w:rsidRPr="00BE7FA1" w:rsidTr="003B1D0C">
        <w:tc>
          <w:tcPr>
            <w:tcW w:w="2376" w:type="pct"/>
            <w:shd w:val="clear" w:color="auto" w:fill="FFFFFF" w:themeFill="background1"/>
          </w:tcPr>
          <w:p w:rsidR="004428DA" w:rsidRPr="00444991" w:rsidRDefault="004428DA" w:rsidP="004428DA">
            <w:pPr>
              <w:pStyle w:val="TableText"/>
              <w:rPr>
                <w:lang w:val="en-AU"/>
              </w:rPr>
            </w:pPr>
            <w:r w:rsidRPr="00BE7FA1">
              <w:t xml:space="preserve">Grade 5 AE at any time </w:t>
            </w:r>
            <w:r w:rsidRPr="00BE7FA1">
              <w:rPr>
                <w:vertAlign w:val="superscript"/>
              </w:rPr>
              <w:t>b</w:t>
            </w:r>
          </w:p>
        </w:tc>
        <w:tc>
          <w:tcPr>
            <w:tcW w:w="1312" w:type="pct"/>
            <w:shd w:val="clear" w:color="auto" w:fill="FFFFFF" w:themeFill="background1"/>
          </w:tcPr>
          <w:p w:rsidR="004428DA" w:rsidRPr="00444991" w:rsidRDefault="004428DA" w:rsidP="004428DA">
            <w:pPr>
              <w:pStyle w:val="TableText"/>
              <w:jc w:val="center"/>
              <w:rPr>
                <w:lang w:val="en-AU"/>
              </w:rPr>
            </w:pPr>
            <w:r w:rsidRPr="00BE7FA1">
              <w:t>23 (6.9%)</w:t>
            </w:r>
          </w:p>
        </w:tc>
        <w:tc>
          <w:tcPr>
            <w:tcW w:w="1312" w:type="pct"/>
            <w:shd w:val="clear" w:color="auto" w:fill="FFFFFF" w:themeFill="background1"/>
          </w:tcPr>
          <w:p w:rsidR="004428DA" w:rsidRPr="00444991" w:rsidRDefault="004428DA" w:rsidP="004428DA">
            <w:pPr>
              <w:pStyle w:val="TableText"/>
              <w:jc w:val="center"/>
              <w:rPr>
                <w:lang w:val="en-AU"/>
              </w:rPr>
            </w:pPr>
            <w:r w:rsidRPr="00BE7FA1">
              <w:t>28 (8.7%)</w:t>
            </w:r>
          </w:p>
        </w:tc>
      </w:tr>
      <w:tr w:rsidR="004428DA" w:rsidRPr="00BE7FA1" w:rsidTr="003B1D0C">
        <w:tc>
          <w:tcPr>
            <w:tcW w:w="2376" w:type="pct"/>
            <w:shd w:val="clear" w:color="auto" w:fill="FFFFFF" w:themeFill="background1"/>
          </w:tcPr>
          <w:p w:rsidR="004428DA" w:rsidRPr="00444991" w:rsidRDefault="004428DA" w:rsidP="004428DA">
            <w:pPr>
              <w:pStyle w:val="TableText"/>
              <w:rPr>
                <w:lang w:val="en-AU"/>
              </w:rPr>
            </w:pPr>
            <w:r w:rsidRPr="00BE7FA1">
              <w:t>Treatment related Grade 5 AE</w:t>
            </w:r>
          </w:p>
        </w:tc>
        <w:tc>
          <w:tcPr>
            <w:tcW w:w="1312" w:type="pct"/>
            <w:shd w:val="clear" w:color="auto" w:fill="FFFFFF" w:themeFill="background1"/>
          </w:tcPr>
          <w:p w:rsidR="004428DA" w:rsidRPr="00444991" w:rsidRDefault="004428DA" w:rsidP="004428DA">
            <w:pPr>
              <w:pStyle w:val="TableText"/>
              <w:jc w:val="center"/>
              <w:rPr>
                <w:lang w:val="en-AU"/>
              </w:rPr>
            </w:pPr>
            <w:r w:rsidRPr="00BE7FA1">
              <w:t>1 (0.3%)</w:t>
            </w:r>
          </w:p>
        </w:tc>
        <w:tc>
          <w:tcPr>
            <w:tcW w:w="1312" w:type="pct"/>
            <w:shd w:val="clear" w:color="auto" w:fill="FFFFFF" w:themeFill="background1"/>
          </w:tcPr>
          <w:p w:rsidR="004428DA" w:rsidRPr="00444991" w:rsidRDefault="004428DA" w:rsidP="004428DA">
            <w:pPr>
              <w:pStyle w:val="TableText"/>
              <w:jc w:val="center"/>
              <w:rPr>
                <w:lang w:val="en-AU"/>
              </w:rPr>
            </w:pPr>
            <w:r w:rsidRPr="00BE7FA1">
              <w:t>2 (0.6%)</w:t>
            </w:r>
          </w:p>
        </w:tc>
      </w:tr>
    </w:tbl>
    <w:p w:rsidR="00030B4B" w:rsidRPr="00BE7FA1" w:rsidRDefault="00030B4B" w:rsidP="00030B4B">
      <w:pPr>
        <w:pStyle w:val="TableFooter"/>
      </w:pPr>
      <w:r w:rsidRPr="00BE7FA1">
        <w:t>AE = adverse event; RCC = renal cell carcinoma</w:t>
      </w:r>
    </w:p>
    <w:p w:rsidR="00030B4B" w:rsidRPr="00BE7FA1" w:rsidRDefault="00030B4B" w:rsidP="00030B4B">
      <w:pPr>
        <w:pStyle w:val="TableFooter"/>
      </w:pPr>
      <w:proofErr w:type="gramStart"/>
      <w:r w:rsidRPr="00BE7FA1">
        <w:rPr>
          <w:vertAlign w:val="superscript"/>
        </w:rPr>
        <w:t>a</w:t>
      </w:r>
      <w:proofErr w:type="gramEnd"/>
      <w:r w:rsidRPr="00BE7FA1">
        <w:rPr>
          <w:vertAlign w:val="superscript"/>
        </w:rPr>
        <w:t xml:space="preserve"> </w:t>
      </w:r>
      <w:r w:rsidRPr="00BE7FA1">
        <w:t>Source: Choueiri 2015</w:t>
      </w:r>
      <w:r w:rsidR="00C918E9" w:rsidRPr="00444991">
        <w:rPr>
          <w:vertAlign w:val="superscript"/>
        </w:rPr>
        <w:t>1</w:t>
      </w:r>
      <w:r w:rsidRPr="00BE7FA1">
        <w:t xml:space="preserve"> </w:t>
      </w:r>
    </w:p>
    <w:p w:rsidR="00030B4B" w:rsidRPr="00BE7FA1" w:rsidRDefault="00030B4B" w:rsidP="00030B4B">
      <w:pPr>
        <w:pStyle w:val="TableFooter"/>
      </w:pPr>
      <w:proofErr w:type="gramStart"/>
      <w:r w:rsidRPr="00BE7FA1">
        <w:rPr>
          <w:vertAlign w:val="superscript"/>
        </w:rPr>
        <w:t>b</w:t>
      </w:r>
      <w:proofErr w:type="gramEnd"/>
      <w:r w:rsidRPr="00BE7FA1">
        <w:rPr>
          <w:vertAlign w:val="superscript"/>
        </w:rPr>
        <w:t xml:space="preserve"> </w:t>
      </w:r>
      <w:r w:rsidRPr="00BE7FA1">
        <w:t>Grade 5 AEs were not necessarily reported for subject deaths due to progressive disease.</w:t>
      </w:r>
    </w:p>
    <w:p w:rsidR="00030B4B" w:rsidRPr="00BE7FA1" w:rsidRDefault="00030B4B" w:rsidP="00030B4B">
      <w:pPr>
        <w:pStyle w:val="TableFooter"/>
      </w:pPr>
      <w:r w:rsidRPr="00BE7FA1">
        <w:t>Source: Table 2-26 p125 and Table 2-33 p131 of the submission; Table 51, p172 METEOR CSR.</w:t>
      </w:r>
    </w:p>
    <w:p w:rsidR="00966ADB" w:rsidRPr="00BE7FA1" w:rsidRDefault="00966ADB" w:rsidP="00A832C9">
      <w:pPr>
        <w:pStyle w:val="ListParagraph"/>
        <w:numPr>
          <w:ilvl w:val="1"/>
          <w:numId w:val="4"/>
        </w:numPr>
        <w:spacing w:before="0" w:after="120"/>
        <w:rPr>
          <w:color w:val="000000" w:themeColor="text1"/>
        </w:rPr>
      </w:pPr>
      <w:r w:rsidRPr="00BE7FA1">
        <w:rPr>
          <w:color w:val="000000" w:themeColor="text1"/>
        </w:rPr>
        <w:t xml:space="preserve">The most common treatment-related Grade 3 or 4 AEs with cabozantinib were hypertension (14%), diarrhoea (11%), </w:t>
      </w:r>
      <w:r w:rsidR="00F45263" w:rsidRPr="00BE7FA1">
        <w:t xml:space="preserve">palmar-plantar </w:t>
      </w:r>
      <w:proofErr w:type="spellStart"/>
      <w:r w:rsidR="00F45263" w:rsidRPr="00BE7FA1">
        <w:t>erythrodysaesthesia</w:t>
      </w:r>
      <w:proofErr w:type="spellEnd"/>
      <w:r w:rsidR="00F45263" w:rsidRPr="00BE7FA1">
        <w:t xml:space="preserve"> syndrome</w:t>
      </w:r>
      <w:r w:rsidRPr="00BE7FA1">
        <w:rPr>
          <w:color w:val="000000" w:themeColor="text1"/>
        </w:rPr>
        <w:t xml:space="preserve"> (8.2%), fatigue (7.9%), and hypomagnesaemia (3.3%), and with everolimus were anaemia (9.3%%), fatigue (4.3%), hyperglycaemia (3.4%), and mucosal inflammation (3.4%). A greater proportion of patients receiving cabozantinib experienced a treatment-related Grade 3-4 AE (59%) than patients receiving everolimus (41%)</w:t>
      </w:r>
      <w:r w:rsidR="000833E9" w:rsidRPr="00BE7FA1">
        <w:rPr>
          <w:color w:val="000000" w:themeColor="text1"/>
        </w:rPr>
        <w:t>. Th</w:t>
      </w:r>
      <w:r w:rsidR="0053718C" w:rsidRPr="00BE7FA1">
        <w:rPr>
          <w:color w:val="000000" w:themeColor="text1"/>
        </w:rPr>
        <w:t>e ESC noted there was a difference in median exposure between the treatment arms, with greater exposure in the cabozantinib arm</w:t>
      </w:r>
      <w:r w:rsidR="00D81449" w:rsidRPr="00BE7FA1">
        <w:rPr>
          <w:color w:val="000000" w:themeColor="text1"/>
        </w:rPr>
        <w:t xml:space="preserve"> and that the rate of serious AEs was similar</w:t>
      </w:r>
      <w:r w:rsidR="0053718C" w:rsidRPr="00BE7FA1">
        <w:rPr>
          <w:color w:val="000000" w:themeColor="text1"/>
        </w:rPr>
        <w:t xml:space="preserve">. </w:t>
      </w:r>
    </w:p>
    <w:p w:rsidR="00966ADB" w:rsidRPr="00BE7FA1" w:rsidRDefault="00966ADB" w:rsidP="00A832C9">
      <w:pPr>
        <w:pStyle w:val="ListParagraph"/>
        <w:numPr>
          <w:ilvl w:val="1"/>
          <w:numId w:val="4"/>
        </w:numPr>
        <w:spacing w:before="0" w:after="120"/>
        <w:rPr>
          <w:color w:val="000000" w:themeColor="text1"/>
        </w:rPr>
      </w:pPr>
      <w:r w:rsidRPr="00BE7FA1">
        <w:rPr>
          <w:color w:val="000000" w:themeColor="text1"/>
        </w:rPr>
        <w:t xml:space="preserve">Discontinuation due to AEs was reported for 34/331 patients (10.3%) who received cabozantinib and 31/322 patients (9.6%) of patients who received everolimus. A total of 59.8% of patients in the cabozantinib arm and 24.2% in the everolimus arm had a dose reduction due to an AE. A second dose reduction due to an AE occurred in 19.3% and 1.6% of patients in the cabozantinib and everolimus arms, respectively. The TGA </w:t>
      </w:r>
      <w:proofErr w:type="gramStart"/>
      <w:r w:rsidRPr="00BE7FA1">
        <w:rPr>
          <w:color w:val="000000" w:themeColor="text1"/>
        </w:rPr>
        <w:t>evaluator noted that dose reductions and interruptions were frequent and are</w:t>
      </w:r>
      <w:proofErr w:type="gramEnd"/>
      <w:r w:rsidRPr="00BE7FA1">
        <w:rPr>
          <w:color w:val="000000" w:themeColor="text1"/>
        </w:rPr>
        <w:t xml:space="preserve"> necessary to ameliorate AEs associated with cabozantinib treatment. Most AEs requiring dose modification or interruption </w:t>
      </w:r>
      <w:proofErr w:type="gramStart"/>
      <w:r w:rsidRPr="00BE7FA1">
        <w:rPr>
          <w:color w:val="000000" w:themeColor="text1"/>
        </w:rPr>
        <w:t>occurred</w:t>
      </w:r>
      <w:proofErr w:type="gramEnd"/>
      <w:r w:rsidRPr="00BE7FA1">
        <w:rPr>
          <w:color w:val="000000" w:themeColor="text1"/>
        </w:rPr>
        <w:t xml:space="preserve"> early on commencing cabozantinib treatment and the draft PI recommends that patients be closely evaluated over the first 8 weeks of treatment.</w:t>
      </w:r>
    </w:p>
    <w:p w:rsidR="00966ADB" w:rsidRPr="00BE7FA1" w:rsidRDefault="00966ADB" w:rsidP="00A832C9">
      <w:pPr>
        <w:pStyle w:val="ListParagraph"/>
        <w:numPr>
          <w:ilvl w:val="1"/>
          <w:numId w:val="4"/>
        </w:numPr>
        <w:spacing w:before="0" w:after="120"/>
        <w:rPr>
          <w:color w:val="000000" w:themeColor="text1"/>
        </w:rPr>
      </w:pPr>
      <w:r w:rsidRPr="00BE7FA1">
        <w:rPr>
          <w:color w:val="000000" w:themeColor="text1"/>
        </w:rPr>
        <w:t xml:space="preserve">The TGA evaluator concluded that the overall safety profile of cabozantinib was consistent with that of VEGFR-TKIs. </w:t>
      </w:r>
    </w:p>
    <w:p w:rsidR="00030B4B" w:rsidRPr="00BE7FA1" w:rsidRDefault="00030B4B" w:rsidP="00030B4B">
      <w:pPr>
        <w:spacing w:before="0" w:after="120"/>
        <w:rPr>
          <w:color w:val="000000" w:themeColor="text1"/>
          <w:u w:val="single"/>
        </w:rPr>
      </w:pPr>
      <w:r w:rsidRPr="00BE7FA1">
        <w:rPr>
          <w:color w:val="000000" w:themeColor="text1"/>
          <w:u w:val="single"/>
        </w:rPr>
        <w:t xml:space="preserve">Indirect comparison of cabozantinib and nivolumab </w:t>
      </w:r>
    </w:p>
    <w:p w:rsidR="00AF208B" w:rsidRPr="00BE7FA1" w:rsidRDefault="008C25BC" w:rsidP="00A832C9">
      <w:pPr>
        <w:pStyle w:val="ListParagraph"/>
        <w:numPr>
          <w:ilvl w:val="1"/>
          <w:numId w:val="4"/>
        </w:numPr>
        <w:spacing w:before="0" w:after="120"/>
        <w:rPr>
          <w:color w:val="000000" w:themeColor="text1"/>
        </w:rPr>
      </w:pPr>
      <w:r w:rsidRPr="00BE7FA1">
        <w:rPr>
          <w:color w:val="000000" w:themeColor="text1"/>
        </w:rPr>
        <w:t xml:space="preserve">The safety analysis in METEOR was performed at the May 2015 database </w:t>
      </w:r>
      <w:r w:rsidR="00315BDC" w:rsidRPr="00BE7FA1">
        <w:rPr>
          <w:color w:val="000000" w:themeColor="text1"/>
        </w:rPr>
        <w:t>cut-off</w:t>
      </w:r>
      <w:r w:rsidRPr="00BE7FA1">
        <w:rPr>
          <w:color w:val="000000" w:themeColor="text1"/>
        </w:rPr>
        <w:t xml:space="preserve"> (minimum duration of follow-up </w:t>
      </w:r>
      <w:r w:rsidR="00952B4A" w:rsidRPr="00BE7FA1">
        <w:rPr>
          <w:color w:val="000000" w:themeColor="text1"/>
        </w:rPr>
        <w:t>5.9 months in the ITT population)</w:t>
      </w:r>
      <w:r w:rsidR="00653AFF" w:rsidRPr="00BE7FA1">
        <w:rPr>
          <w:color w:val="000000" w:themeColor="text1"/>
        </w:rPr>
        <w:t>. At this time,</w:t>
      </w:r>
      <w:r w:rsidR="00A2554F" w:rsidRPr="00BE7FA1">
        <w:rPr>
          <w:color w:val="000000" w:themeColor="text1"/>
        </w:rPr>
        <w:t xml:space="preserve"> 40% of patients in the cabozantinib arm and 21% in the everolimus arm remained on treatment</w:t>
      </w:r>
      <w:r w:rsidR="00952B4A" w:rsidRPr="00BE7FA1">
        <w:rPr>
          <w:color w:val="000000" w:themeColor="text1"/>
        </w:rPr>
        <w:t>. The minimum duration of follow-up in CheckMate 025 was 14 months</w:t>
      </w:r>
      <w:r w:rsidR="00A2554F" w:rsidRPr="00BE7FA1">
        <w:rPr>
          <w:color w:val="000000" w:themeColor="text1"/>
        </w:rPr>
        <w:t xml:space="preserve">; 17% of patients in the nivolumab arm and 7% of patients in the everolimus arm </w:t>
      </w:r>
      <w:r w:rsidR="00653AFF" w:rsidRPr="00BE7FA1">
        <w:rPr>
          <w:color w:val="000000" w:themeColor="text1"/>
        </w:rPr>
        <w:t>remained on</w:t>
      </w:r>
      <w:r w:rsidR="00A2554F" w:rsidRPr="00BE7FA1">
        <w:rPr>
          <w:color w:val="000000" w:themeColor="text1"/>
        </w:rPr>
        <w:t xml:space="preserve"> treatment</w:t>
      </w:r>
      <w:r w:rsidR="00952B4A" w:rsidRPr="00BE7FA1">
        <w:rPr>
          <w:color w:val="000000" w:themeColor="text1"/>
        </w:rPr>
        <w:t xml:space="preserve">. </w:t>
      </w:r>
      <w:r w:rsidR="00AF208B" w:rsidRPr="00BE7FA1">
        <w:rPr>
          <w:color w:val="000000" w:themeColor="text1"/>
        </w:rPr>
        <w:t xml:space="preserve">The comparison of safety outcomes across the trials was likely to be confounded by the difference in the duration of follow-up between the two trials. </w:t>
      </w:r>
    </w:p>
    <w:p w:rsidR="00664618" w:rsidRPr="00BE7FA1" w:rsidRDefault="00664618" w:rsidP="00A832C9">
      <w:pPr>
        <w:pStyle w:val="ListParagraph"/>
        <w:numPr>
          <w:ilvl w:val="1"/>
          <w:numId w:val="4"/>
        </w:numPr>
        <w:spacing w:before="0" w:after="120"/>
        <w:rPr>
          <w:color w:val="000000" w:themeColor="text1"/>
        </w:rPr>
      </w:pPr>
      <w:r w:rsidRPr="00BE7FA1">
        <w:rPr>
          <w:color w:val="000000" w:themeColor="text1"/>
        </w:rPr>
        <w:lastRenderedPageBreak/>
        <w:t xml:space="preserve">In the comparison of ‘any AE’ the submission compared the all-cause AEs from METEOR with the treatment-related AEs from CheckMate 025. Similarly, for the comparison of ‘any </w:t>
      </w:r>
      <w:r w:rsidR="00326140" w:rsidRPr="00BE7FA1">
        <w:rPr>
          <w:color w:val="000000" w:themeColor="text1"/>
        </w:rPr>
        <w:t>S</w:t>
      </w:r>
      <w:r w:rsidRPr="00BE7FA1">
        <w:rPr>
          <w:color w:val="000000" w:themeColor="text1"/>
        </w:rPr>
        <w:t xml:space="preserve">AE’, the submission compared all-cause </w:t>
      </w:r>
      <w:r w:rsidR="00326140" w:rsidRPr="00BE7FA1">
        <w:rPr>
          <w:color w:val="000000" w:themeColor="text1"/>
        </w:rPr>
        <w:t>S</w:t>
      </w:r>
      <w:r w:rsidRPr="00BE7FA1">
        <w:rPr>
          <w:color w:val="000000" w:themeColor="text1"/>
        </w:rPr>
        <w:t xml:space="preserve">AEs from METEOR with treatment-related Grade 3-4 AEs from CheckMate 025. Comparisons between the comparable safety outcomes in each trial were performed during the evaluation. The results of the indirect comparison of safety outcomes are summarised in Table </w:t>
      </w:r>
      <w:r w:rsidR="0072599A" w:rsidRPr="00BE7FA1">
        <w:rPr>
          <w:color w:val="000000" w:themeColor="text1"/>
        </w:rPr>
        <w:t>8</w:t>
      </w:r>
      <w:r w:rsidRPr="00BE7FA1">
        <w:rPr>
          <w:color w:val="000000" w:themeColor="text1"/>
        </w:rPr>
        <w:t>.</w:t>
      </w:r>
    </w:p>
    <w:p w:rsidR="00A417AA" w:rsidRPr="00A417AA" w:rsidRDefault="00A417AA" w:rsidP="00A417AA">
      <w:pPr>
        <w:pStyle w:val="Caption"/>
        <w:rPr>
          <w:rFonts w:ascii="Arial Narrow" w:hAnsi="Arial Narrow"/>
        </w:rPr>
      </w:pPr>
      <w:r w:rsidRPr="00A417AA">
        <w:rPr>
          <w:rFonts w:ascii="Arial Narrow" w:hAnsi="Arial Narrow"/>
        </w:rPr>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8</w:t>
      </w:r>
      <w:r w:rsidRPr="00A417AA">
        <w:rPr>
          <w:rFonts w:ascii="Arial Narrow" w:hAnsi="Arial Narrow"/>
        </w:rPr>
        <w:fldChar w:fldCharType="end"/>
      </w:r>
      <w:r w:rsidRPr="00A417AA">
        <w:rPr>
          <w:rFonts w:ascii="Arial Narrow" w:hAnsi="Arial Narrow"/>
        </w:rPr>
        <w:t>: Indirect comparison of safety outcomes: cabozantinib vs nivolumab</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Indirect comparison of safety outcomes: cabozantinib vs nivolumab"/>
      </w:tblPr>
      <w:tblGrid>
        <w:gridCol w:w="1918"/>
        <w:gridCol w:w="1834"/>
        <w:gridCol w:w="1830"/>
        <w:gridCol w:w="1830"/>
        <w:gridCol w:w="1830"/>
      </w:tblGrid>
      <w:tr w:rsidR="004E2753" w:rsidRPr="00BE7FA1" w:rsidTr="00EA49AB">
        <w:trPr>
          <w:cnfStyle w:val="100000000000" w:firstRow="1" w:lastRow="0" w:firstColumn="0" w:lastColumn="0" w:oddVBand="0" w:evenVBand="0" w:oddHBand="0" w:evenHBand="0" w:firstRowFirstColumn="0" w:firstRowLastColumn="0" w:lastRowFirstColumn="0" w:lastRowLastColumn="0"/>
          <w:tblHeader/>
        </w:trPr>
        <w:tc>
          <w:tcPr>
            <w:tcW w:w="1038" w:type="pct"/>
            <w:shd w:val="clear" w:color="auto" w:fill="FFFFFF" w:themeFill="background1"/>
          </w:tcPr>
          <w:p w:rsidR="004E2753" w:rsidRPr="00444991" w:rsidRDefault="004E2753" w:rsidP="001E3FE1">
            <w:pPr>
              <w:pStyle w:val="TableText"/>
              <w:rPr>
                <w:lang w:val="en-AU"/>
              </w:rPr>
            </w:pPr>
          </w:p>
        </w:tc>
        <w:tc>
          <w:tcPr>
            <w:tcW w:w="992" w:type="pct"/>
            <w:shd w:val="clear" w:color="auto" w:fill="FFFFFF" w:themeFill="background1"/>
            <w:vAlign w:val="center"/>
          </w:tcPr>
          <w:p w:rsidR="004E2753" w:rsidRPr="00444991" w:rsidRDefault="004E2753" w:rsidP="001E3FE1">
            <w:pPr>
              <w:pStyle w:val="TableText"/>
              <w:jc w:val="center"/>
              <w:rPr>
                <w:lang w:val="en-AU"/>
              </w:rPr>
            </w:pPr>
            <w:r w:rsidRPr="00BE7FA1">
              <w:t>Intervention</w:t>
            </w:r>
          </w:p>
          <w:p w:rsidR="004E2753" w:rsidRPr="00444991" w:rsidRDefault="004E2753" w:rsidP="001E3FE1">
            <w:pPr>
              <w:pStyle w:val="TableText"/>
              <w:jc w:val="center"/>
              <w:rPr>
                <w:lang w:val="en-AU"/>
              </w:rPr>
            </w:pPr>
            <w:proofErr w:type="gramStart"/>
            <w:r w:rsidRPr="00BE7FA1">
              <w:t>n/N</w:t>
            </w:r>
            <w:proofErr w:type="gramEnd"/>
            <w:r w:rsidRPr="00BE7FA1">
              <w:t xml:space="preserve"> (%)</w:t>
            </w:r>
          </w:p>
        </w:tc>
        <w:tc>
          <w:tcPr>
            <w:tcW w:w="990" w:type="pct"/>
            <w:shd w:val="clear" w:color="auto" w:fill="FFFFFF" w:themeFill="background1"/>
            <w:vAlign w:val="center"/>
          </w:tcPr>
          <w:p w:rsidR="004E2753" w:rsidRPr="00444991" w:rsidRDefault="004E2753" w:rsidP="001E3FE1">
            <w:pPr>
              <w:pStyle w:val="TableText"/>
              <w:jc w:val="center"/>
              <w:rPr>
                <w:lang w:val="en-AU"/>
              </w:rPr>
            </w:pPr>
            <w:r w:rsidRPr="00BE7FA1">
              <w:t>Everolimus</w:t>
            </w:r>
          </w:p>
          <w:p w:rsidR="004E2753" w:rsidRPr="00444991" w:rsidRDefault="004E2753" w:rsidP="001E3FE1">
            <w:pPr>
              <w:pStyle w:val="TableText"/>
              <w:jc w:val="center"/>
              <w:rPr>
                <w:lang w:val="en-AU"/>
              </w:rPr>
            </w:pPr>
            <w:proofErr w:type="gramStart"/>
            <w:r w:rsidRPr="00BE7FA1">
              <w:t>n/N</w:t>
            </w:r>
            <w:proofErr w:type="gramEnd"/>
            <w:r w:rsidRPr="00BE7FA1">
              <w:t xml:space="preserve"> (%)</w:t>
            </w:r>
          </w:p>
        </w:tc>
        <w:tc>
          <w:tcPr>
            <w:tcW w:w="990" w:type="pct"/>
            <w:shd w:val="clear" w:color="auto" w:fill="FFFFFF" w:themeFill="background1"/>
          </w:tcPr>
          <w:p w:rsidR="004E2753" w:rsidRPr="00444991" w:rsidRDefault="004E2753" w:rsidP="001E3FE1">
            <w:pPr>
              <w:pStyle w:val="TableText"/>
              <w:jc w:val="center"/>
              <w:rPr>
                <w:lang w:val="en-AU"/>
              </w:rPr>
            </w:pPr>
            <w:r w:rsidRPr="00BE7FA1">
              <w:t>Indirect RR</w:t>
            </w:r>
          </w:p>
          <w:p w:rsidR="004E2753" w:rsidRPr="00444991" w:rsidRDefault="004E2753" w:rsidP="001E3FE1">
            <w:pPr>
              <w:pStyle w:val="TableText"/>
              <w:jc w:val="center"/>
              <w:rPr>
                <w:lang w:val="en-AU"/>
              </w:rPr>
            </w:pPr>
            <w:r w:rsidRPr="00BE7FA1">
              <w:t>(95% CI)</w:t>
            </w:r>
          </w:p>
        </w:tc>
        <w:tc>
          <w:tcPr>
            <w:tcW w:w="990" w:type="pct"/>
            <w:shd w:val="clear" w:color="auto" w:fill="FFFFFF" w:themeFill="background1"/>
            <w:vAlign w:val="center"/>
          </w:tcPr>
          <w:p w:rsidR="004E2753" w:rsidRPr="00444991" w:rsidRDefault="004E2753" w:rsidP="001E3FE1">
            <w:pPr>
              <w:pStyle w:val="TableText"/>
              <w:jc w:val="center"/>
              <w:rPr>
                <w:lang w:val="en-AU"/>
              </w:rPr>
            </w:pPr>
            <w:r w:rsidRPr="00BE7FA1">
              <w:t>Indirect OR</w:t>
            </w:r>
          </w:p>
          <w:p w:rsidR="004E2753" w:rsidRPr="00444991" w:rsidRDefault="004E2753" w:rsidP="001E3FE1">
            <w:pPr>
              <w:pStyle w:val="TableText"/>
              <w:jc w:val="center"/>
              <w:rPr>
                <w:lang w:val="en-AU"/>
              </w:rPr>
            </w:pPr>
            <w:r w:rsidRPr="00BE7FA1">
              <w:t>(95% CI)</w:t>
            </w:r>
          </w:p>
        </w:tc>
      </w:tr>
      <w:tr w:rsidR="004E2753" w:rsidRPr="00BE7FA1" w:rsidTr="001E3FE1">
        <w:tc>
          <w:tcPr>
            <w:tcW w:w="5000" w:type="pct"/>
            <w:gridSpan w:val="5"/>
            <w:shd w:val="clear" w:color="auto" w:fill="FFFFFF" w:themeFill="background1"/>
          </w:tcPr>
          <w:p w:rsidR="004E2753" w:rsidRPr="00444991" w:rsidRDefault="004E2753" w:rsidP="001E3FE1">
            <w:pPr>
              <w:pStyle w:val="TableText"/>
              <w:jc w:val="left"/>
              <w:rPr>
                <w:b/>
                <w:lang w:val="en-AU"/>
              </w:rPr>
            </w:pPr>
            <w:r w:rsidRPr="00BE7FA1">
              <w:rPr>
                <w:b/>
              </w:rPr>
              <w:t>Treatment-related AE</w:t>
            </w:r>
          </w:p>
        </w:tc>
      </w:tr>
      <w:tr w:rsidR="008C25BC" w:rsidRPr="00BE7FA1" w:rsidTr="001E3FE1">
        <w:tc>
          <w:tcPr>
            <w:tcW w:w="1038" w:type="pct"/>
            <w:shd w:val="clear" w:color="auto" w:fill="FFFFFF" w:themeFill="background1"/>
            <w:vAlign w:val="center"/>
          </w:tcPr>
          <w:p w:rsidR="008C25BC" w:rsidRPr="00444991" w:rsidRDefault="008C25BC" w:rsidP="008C25BC">
            <w:pPr>
              <w:pStyle w:val="TableText"/>
              <w:ind w:left="142"/>
              <w:jc w:val="left"/>
              <w:rPr>
                <w:lang w:val="en-AU"/>
              </w:rPr>
            </w:pPr>
            <w:r w:rsidRPr="00BE7FA1">
              <w:t>METEOR*</w:t>
            </w:r>
          </w:p>
        </w:tc>
        <w:tc>
          <w:tcPr>
            <w:tcW w:w="992" w:type="pct"/>
            <w:shd w:val="clear" w:color="auto" w:fill="FFFFFF" w:themeFill="background1"/>
            <w:vAlign w:val="center"/>
          </w:tcPr>
          <w:p w:rsidR="008C25BC" w:rsidRPr="00444991" w:rsidRDefault="008C25BC" w:rsidP="008C25BC">
            <w:pPr>
              <w:pStyle w:val="TableText"/>
              <w:jc w:val="center"/>
              <w:rPr>
                <w:vertAlign w:val="superscript"/>
                <w:lang w:val="en-AU"/>
              </w:rPr>
            </w:pPr>
            <w:r w:rsidRPr="00BE7FA1">
              <w:t>322/331 (97.3%)</w:t>
            </w:r>
          </w:p>
        </w:tc>
        <w:tc>
          <w:tcPr>
            <w:tcW w:w="990" w:type="pct"/>
            <w:shd w:val="clear" w:color="auto" w:fill="FFFFFF" w:themeFill="background1"/>
            <w:vAlign w:val="center"/>
          </w:tcPr>
          <w:p w:rsidR="008C25BC" w:rsidRPr="00444991" w:rsidRDefault="008C25BC" w:rsidP="008C25BC">
            <w:pPr>
              <w:pStyle w:val="TableText"/>
              <w:jc w:val="center"/>
              <w:rPr>
                <w:vertAlign w:val="superscript"/>
                <w:lang w:val="en-AU"/>
              </w:rPr>
            </w:pPr>
            <w:r w:rsidRPr="00BE7FA1">
              <w:t>293/322 (91.0%)</w:t>
            </w:r>
          </w:p>
        </w:tc>
        <w:tc>
          <w:tcPr>
            <w:tcW w:w="990" w:type="pct"/>
            <w:vMerge w:val="restart"/>
            <w:shd w:val="clear" w:color="auto" w:fill="FFFFFF" w:themeFill="background1"/>
            <w:vAlign w:val="center"/>
          </w:tcPr>
          <w:p w:rsidR="008C25BC" w:rsidRPr="00444991" w:rsidRDefault="008C25BC" w:rsidP="008C25BC">
            <w:pPr>
              <w:pStyle w:val="TableText"/>
              <w:jc w:val="center"/>
              <w:rPr>
                <w:b/>
                <w:lang w:val="en-AU"/>
              </w:rPr>
            </w:pPr>
            <w:r w:rsidRPr="00BE7FA1">
              <w:rPr>
                <w:b/>
              </w:rPr>
              <w:t>1.20 (1.11, 1.29)</w:t>
            </w:r>
          </w:p>
        </w:tc>
        <w:tc>
          <w:tcPr>
            <w:tcW w:w="990" w:type="pct"/>
            <w:vMerge w:val="restart"/>
            <w:shd w:val="clear" w:color="auto" w:fill="FFFFFF" w:themeFill="background1"/>
            <w:vAlign w:val="center"/>
          </w:tcPr>
          <w:p w:rsidR="008C25BC" w:rsidRPr="00444991" w:rsidRDefault="008C25BC" w:rsidP="008C25BC">
            <w:pPr>
              <w:pStyle w:val="TableText"/>
              <w:jc w:val="center"/>
              <w:rPr>
                <w:vertAlign w:val="superscript"/>
                <w:lang w:val="en-AU"/>
              </w:rPr>
            </w:pPr>
            <w:r w:rsidRPr="00BE7FA1">
              <w:rPr>
                <w:b/>
              </w:rPr>
              <w:t>7.02 (2.99, 16.5)</w:t>
            </w:r>
          </w:p>
        </w:tc>
      </w:tr>
      <w:tr w:rsidR="008C25BC" w:rsidRPr="00BE7FA1" w:rsidTr="001E3FE1">
        <w:tc>
          <w:tcPr>
            <w:tcW w:w="1038" w:type="pct"/>
            <w:shd w:val="clear" w:color="auto" w:fill="FFFFFF" w:themeFill="background1"/>
          </w:tcPr>
          <w:p w:rsidR="008C25BC" w:rsidRPr="00444991" w:rsidRDefault="008C25BC" w:rsidP="008C25BC">
            <w:pPr>
              <w:pStyle w:val="TableText"/>
              <w:ind w:left="142"/>
              <w:rPr>
                <w:lang w:val="en-AU"/>
              </w:rPr>
            </w:pPr>
            <w:r w:rsidRPr="00BE7FA1">
              <w:t>CheckMate 025**</w:t>
            </w:r>
          </w:p>
        </w:tc>
        <w:tc>
          <w:tcPr>
            <w:tcW w:w="992" w:type="pct"/>
            <w:shd w:val="clear" w:color="auto" w:fill="FFFFFF" w:themeFill="background1"/>
            <w:vAlign w:val="center"/>
          </w:tcPr>
          <w:p w:rsidR="008C25BC" w:rsidRPr="00444991" w:rsidRDefault="008C25BC" w:rsidP="008C25BC">
            <w:pPr>
              <w:pStyle w:val="TableText"/>
              <w:jc w:val="center"/>
              <w:rPr>
                <w:lang w:val="en-AU"/>
              </w:rPr>
            </w:pPr>
            <w:r w:rsidRPr="00BE7FA1">
              <w:t>319/406 (78.6%)</w:t>
            </w:r>
          </w:p>
        </w:tc>
        <w:tc>
          <w:tcPr>
            <w:tcW w:w="990" w:type="pct"/>
            <w:shd w:val="clear" w:color="auto" w:fill="FFFFFF" w:themeFill="background1"/>
            <w:vAlign w:val="center"/>
          </w:tcPr>
          <w:p w:rsidR="008C25BC" w:rsidRPr="00444991" w:rsidRDefault="008C25BC" w:rsidP="008C25BC">
            <w:pPr>
              <w:pStyle w:val="TableText"/>
              <w:jc w:val="center"/>
              <w:rPr>
                <w:lang w:val="en-AU"/>
              </w:rPr>
            </w:pPr>
            <w:r w:rsidRPr="00BE7FA1">
              <w:t>349/397 (87.9%)</w:t>
            </w: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r>
      <w:tr w:rsidR="004E2753" w:rsidRPr="00BE7FA1" w:rsidTr="001E3FE1">
        <w:tc>
          <w:tcPr>
            <w:tcW w:w="5000" w:type="pct"/>
            <w:gridSpan w:val="5"/>
            <w:shd w:val="clear" w:color="auto" w:fill="FFFFFF" w:themeFill="background1"/>
          </w:tcPr>
          <w:p w:rsidR="004E2753" w:rsidRPr="00444991" w:rsidRDefault="004E2753" w:rsidP="001E3FE1">
            <w:pPr>
              <w:pStyle w:val="TableText"/>
              <w:jc w:val="left"/>
              <w:rPr>
                <w:b/>
                <w:vertAlign w:val="superscript"/>
                <w:lang w:val="en-AU"/>
              </w:rPr>
            </w:pPr>
            <w:r w:rsidRPr="00BE7FA1">
              <w:rPr>
                <w:b/>
              </w:rPr>
              <w:t xml:space="preserve">SAE, any </w:t>
            </w:r>
            <w:proofErr w:type="spellStart"/>
            <w:r w:rsidRPr="00BE7FA1">
              <w:rPr>
                <w:b/>
              </w:rPr>
              <w:t>causality</w:t>
            </w:r>
            <w:r w:rsidRPr="00BE7FA1">
              <w:rPr>
                <w:b/>
                <w:vertAlign w:val="superscript"/>
              </w:rPr>
              <w:t>a</w:t>
            </w:r>
            <w:proofErr w:type="spellEnd"/>
          </w:p>
        </w:tc>
      </w:tr>
      <w:tr w:rsidR="008C25BC" w:rsidRPr="00BE7FA1" w:rsidTr="001E3FE1">
        <w:tc>
          <w:tcPr>
            <w:tcW w:w="1038" w:type="pct"/>
            <w:shd w:val="clear" w:color="auto" w:fill="FFFFFF" w:themeFill="background1"/>
            <w:vAlign w:val="center"/>
          </w:tcPr>
          <w:p w:rsidR="008C25BC" w:rsidRPr="00444991" w:rsidRDefault="008C25BC" w:rsidP="008C25BC">
            <w:pPr>
              <w:pStyle w:val="TableText"/>
              <w:ind w:left="142"/>
              <w:jc w:val="left"/>
              <w:rPr>
                <w:lang w:val="en-AU"/>
              </w:rPr>
            </w:pPr>
            <w:r w:rsidRPr="00BE7FA1">
              <w:t>METEOR*</w:t>
            </w:r>
          </w:p>
        </w:tc>
        <w:tc>
          <w:tcPr>
            <w:tcW w:w="992" w:type="pct"/>
            <w:shd w:val="clear" w:color="auto" w:fill="FFFFFF" w:themeFill="background1"/>
            <w:vAlign w:val="center"/>
          </w:tcPr>
          <w:p w:rsidR="008C25BC" w:rsidRPr="00444991" w:rsidRDefault="008C25BC" w:rsidP="008C25BC">
            <w:pPr>
              <w:pStyle w:val="TableText"/>
              <w:jc w:val="center"/>
              <w:rPr>
                <w:lang w:val="en-AU"/>
              </w:rPr>
            </w:pPr>
            <w:r w:rsidRPr="00BE7FA1">
              <w:t>131/331 (39.6%)</w:t>
            </w:r>
          </w:p>
        </w:tc>
        <w:tc>
          <w:tcPr>
            <w:tcW w:w="990" w:type="pct"/>
            <w:shd w:val="clear" w:color="auto" w:fill="FFFFFF" w:themeFill="background1"/>
            <w:vAlign w:val="center"/>
          </w:tcPr>
          <w:p w:rsidR="008C25BC" w:rsidRPr="00444991" w:rsidRDefault="008C25BC" w:rsidP="008C25BC">
            <w:pPr>
              <w:pStyle w:val="TableText"/>
              <w:jc w:val="center"/>
              <w:rPr>
                <w:lang w:val="en-AU"/>
              </w:rPr>
            </w:pPr>
            <w:r w:rsidRPr="00BE7FA1">
              <w:t>139/322 (43.2%)</w:t>
            </w:r>
          </w:p>
        </w:tc>
        <w:tc>
          <w:tcPr>
            <w:tcW w:w="990" w:type="pct"/>
            <w:vMerge w:val="restart"/>
            <w:shd w:val="clear" w:color="auto" w:fill="FFFFFF" w:themeFill="background1"/>
            <w:vAlign w:val="center"/>
          </w:tcPr>
          <w:p w:rsidR="008C25BC" w:rsidRPr="00444991" w:rsidRDefault="008C25BC" w:rsidP="008C25BC">
            <w:pPr>
              <w:pStyle w:val="TableText"/>
              <w:jc w:val="center"/>
              <w:rPr>
                <w:vertAlign w:val="superscript"/>
                <w:lang w:val="en-AU"/>
              </w:rPr>
            </w:pPr>
            <w:r w:rsidRPr="00BE7FA1">
              <w:t>0.84 (0.66, 1.06)</w:t>
            </w:r>
          </w:p>
        </w:tc>
        <w:tc>
          <w:tcPr>
            <w:tcW w:w="990" w:type="pct"/>
            <w:vMerge w:val="restart"/>
            <w:shd w:val="clear" w:color="auto" w:fill="FFFFFF" w:themeFill="background1"/>
            <w:vAlign w:val="center"/>
          </w:tcPr>
          <w:p w:rsidR="008C25BC" w:rsidRPr="00444991" w:rsidRDefault="008C25BC" w:rsidP="008C25BC">
            <w:pPr>
              <w:pStyle w:val="TableText"/>
              <w:jc w:val="center"/>
              <w:rPr>
                <w:vertAlign w:val="superscript"/>
                <w:lang w:val="en-AU"/>
              </w:rPr>
            </w:pPr>
            <w:r w:rsidRPr="00BE7FA1">
              <w:t>0.73 (0.48, 1.11)</w:t>
            </w:r>
          </w:p>
        </w:tc>
      </w:tr>
      <w:tr w:rsidR="008C25BC" w:rsidRPr="00BE7FA1" w:rsidTr="00110DD2">
        <w:tc>
          <w:tcPr>
            <w:tcW w:w="1038" w:type="pct"/>
            <w:shd w:val="clear" w:color="auto" w:fill="FFFFFF" w:themeFill="background1"/>
            <w:vAlign w:val="center"/>
          </w:tcPr>
          <w:p w:rsidR="008C25BC" w:rsidRPr="00444991" w:rsidRDefault="008C25BC" w:rsidP="00110DD2">
            <w:pPr>
              <w:pStyle w:val="TableText"/>
              <w:ind w:left="142"/>
              <w:jc w:val="left"/>
              <w:rPr>
                <w:lang w:val="en-AU"/>
              </w:rPr>
            </w:pPr>
            <w:r w:rsidRPr="00BE7FA1">
              <w:t>CheckMate 025**</w:t>
            </w:r>
          </w:p>
        </w:tc>
        <w:tc>
          <w:tcPr>
            <w:tcW w:w="992" w:type="pct"/>
            <w:shd w:val="clear" w:color="auto" w:fill="FFFFFF" w:themeFill="background1"/>
            <w:vAlign w:val="center"/>
          </w:tcPr>
          <w:p w:rsidR="008C25BC" w:rsidRPr="00444991" w:rsidRDefault="008C25BC" w:rsidP="008C25BC">
            <w:pPr>
              <w:pStyle w:val="TableText"/>
              <w:jc w:val="center"/>
              <w:rPr>
                <w:vertAlign w:val="superscript"/>
                <w:lang w:val="en-AU"/>
              </w:rPr>
            </w:pPr>
            <w:r w:rsidRPr="00BE7FA1">
              <w:t>194/406 (47.8%)</w:t>
            </w:r>
          </w:p>
        </w:tc>
        <w:tc>
          <w:tcPr>
            <w:tcW w:w="990" w:type="pct"/>
            <w:shd w:val="clear" w:color="auto" w:fill="FFFFFF" w:themeFill="background1"/>
            <w:vAlign w:val="center"/>
          </w:tcPr>
          <w:p w:rsidR="008C25BC" w:rsidRPr="00444991" w:rsidRDefault="008C25BC" w:rsidP="008C25BC">
            <w:pPr>
              <w:pStyle w:val="TableText"/>
              <w:jc w:val="center"/>
              <w:rPr>
                <w:vertAlign w:val="superscript"/>
                <w:lang w:val="en-AU"/>
              </w:rPr>
            </w:pPr>
            <w:r w:rsidRPr="00BE7FA1">
              <w:t>173/397 (43.6%)</w:t>
            </w: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r>
      <w:tr w:rsidR="004E2753" w:rsidRPr="00BE7FA1" w:rsidTr="001E3FE1">
        <w:tc>
          <w:tcPr>
            <w:tcW w:w="5000" w:type="pct"/>
            <w:gridSpan w:val="5"/>
            <w:shd w:val="clear" w:color="auto" w:fill="FFFFFF" w:themeFill="background1"/>
          </w:tcPr>
          <w:p w:rsidR="004E2753" w:rsidRPr="00444991" w:rsidRDefault="004E2753" w:rsidP="001E3FE1">
            <w:pPr>
              <w:pStyle w:val="TableText"/>
              <w:jc w:val="left"/>
              <w:rPr>
                <w:b/>
                <w:lang w:val="en-AU"/>
              </w:rPr>
            </w:pPr>
            <w:r w:rsidRPr="00BE7FA1">
              <w:rPr>
                <w:b/>
              </w:rPr>
              <w:t>Treatment-related Grade 3-4 AE</w:t>
            </w:r>
          </w:p>
        </w:tc>
      </w:tr>
      <w:tr w:rsidR="008C25BC" w:rsidRPr="00BE7FA1" w:rsidTr="001E3FE1">
        <w:tc>
          <w:tcPr>
            <w:tcW w:w="1038" w:type="pct"/>
            <w:shd w:val="clear" w:color="auto" w:fill="FFFFFF" w:themeFill="background1"/>
            <w:vAlign w:val="center"/>
          </w:tcPr>
          <w:p w:rsidR="008C25BC" w:rsidRPr="00444991" w:rsidRDefault="008C25BC" w:rsidP="008C25BC">
            <w:pPr>
              <w:pStyle w:val="TableText"/>
              <w:ind w:left="142"/>
              <w:jc w:val="left"/>
              <w:rPr>
                <w:lang w:val="en-AU"/>
              </w:rPr>
            </w:pPr>
            <w:r w:rsidRPr="00BE7FA1">
              <w:t>METEOR*</w:t>
            </w:r>
          </w:p>
        </w:tc>
        <w:tc>
          <w:tcPr>
            <w:tcW w:w="992" w:type="pct"/>
            <w:shd w:val="clear" w:color="auto" w:fill="FFFFFF" w:themeFill="background1"/>
            <w:vAlign w:val="center"/>
          </w:tcPr>
          <w:p w:rsidR="008C25BC" w:rsidRPr="00444991" w:rsidRDefault="008C25BC" w:rsidP="008C25BC">
            <w:pPr>
              <w:pStyle w:val="TableText"/>
              <w:jc w:val="center"/>
              <w:rPr>
                <w:lang w:val="en-AU"/>
              </w:rPr>
            </w:pPr>
            <w:r w:rsidRPr="00BE7FA1">
              <w:t>195/331 (58.9%)</w:t>
            </w:r>
          </w:p>
        </w:tc>
        <w:tc>
          <w:tcPr>
            <w:tcW w:w="990" w:type="pct"/>
            <w:shd w:val="clear" w:color="auto" w:fill="FFFFFF" w:themeFill="background1"/>
            <w:vAlign w:val="center"/>
          </w:tcPr>
          <w:p w:rsidR="008C25BC" w:rsidRPr="00444991" w:rsidRDefault="008C25BC" w:rsidP="008C25BC">
            <w:pPr>
              <w:pStyle w:val="TableText"/>
              <w:jc w:val="center"/>
              <w:rPr>
                <w:lang w:val="en-AU"/>
              </w:rPr>
            </w:pPr>
            <w:r w:rsidRPr="00BE7FA1">
              <w:t>131/322 (40.7%)</w:t>
            </w:r>
          </w:p>
        </w:tc>
        <w:tc>
          <w:tcPr>
            <w:tcW w:w="990" w:type="pct"/>
            <w:vMerge w:val="restart"/>
            <w:shd w:val="clear" w:color="auto" w:fill="FFFFFF" w:themeFill="background1"/>
            <w:vAlign w:val="center"/>
          </w:tcPr>
          <w:p w:rsidR="008C25BC" w:rsidRPr="00444991" w:rsidRDefault="008C25BC" w:rsidP="008C25BC">
            <w:pPr>
              <w:pStyle w:val="TableText"/>
              <w:jc w:val="center"/>
              <w:rPr>
                <w:b/>
                <w:lang w:val="en-AU"/>
              </w:rPr>
            </w:pPr>
            <w:r w:rsidRPr="00BE7FA1">
              <w:rPr>
                <w:b/>
              </w:rPr>
              <w:t>2.83 (2.12, 3.77)</w:t>
            </w:r>
          </w:p>
        </w:tc>
        <w:tc>
          <w:tcPr>
            <w:tcW w:w="990" w:type="pct"/>
            <w:vMerge w:val="restart"/>
            <w:shd w:val="clear" w:color="auto" w:fill="FFFFFF" w:themeFill="background1"/>
            <w:vAlign w:val="center"/>
          </w:tcPr>
          <w:p w:rsidR="008C25BC" w:rsidRPr="00444991" w:rsidRDefault="008C25BC" w:rsidP="008C25BC">
            <w:pPr>
              <w:pStyle w:val="TableText"/>
              <w:jc w:val="center"/>
              <w:rPr>
                <w:b/>
                <w:lang w:val="en-AU"/>
              </w:rPr>
            </w:pPr>
            <w:r w:rsidRPr="00BE7FA1">
              <w:rPr>
                <w:b/>
              </w:rPr>
              <w:t>5.22 (3.33, 8.18)</w:t>
            </w:r>
          </w:p>
        </w:tc>
      </w:tr>
      <w:tr w:rsidR="008C25BC" w:rsidRPr="00BE7FA1" w:rsidTr="001E3FE1">
        <w:tc>
          <w:tcPr>
            <w:tcW w:w="1038" w:type="pct"/>
            <w:shd w:val="clear" w:color="auto" w:fill="FFFFFF" w:themeFill="background1"/>
          </w:tcPr>
          <w:p w:rsidR="008C25BC" w:rsidRPr="00444991" w:rsidRDefault="008C25BC" w:rsidP="008C25BC">
            <w:pPr>
              <w:pStyle w:val="TableText"/>
              <w:ind w:left="142"/>
              <w:rPr>
                <w:lang w:val="en-AU"/>
              </w:rPr>
            </w:pPr>
            <w:r w:rsidRPr="00BE7FA1">
              <w:t>CheckMate 025**</w:t>
            </w:r>
          </w:p>
        </w:tc>
        <w:tc>
          <w:tcPr>
            <w:tcW w:w="992" w:type="pct"/>
            <w:shd w:val="clear" w:color="auto" w:fill="FFFFFF" w:themeFill="background1"/>
            <w:vAlign w:val="center"/>
          </w:tcPr>
          <w:p w:rsidR="008C25BC" w:rsidRPr="00444991" w:rsidRDefault="008C25BC" w:rsidP="008C25BC">
            <w:pPr>
              <w:pStyle w:val="TableText"/>
              <w:jc w:val="center"/>
              <w:rPr>
                <w:lang w:val="en-AU"/>
              </w:rPr>
            </w:pPr>
            <w:r w:rsidRPr="00BE7FA1">
              <w:t>76/406 (18.7%)</w:t>
            </w:r>
          </w:p>
        </w:tc>
        <w:tc>
          <w:tcPr>
            <w:tcW w:w="990" w:type="pct"/>
            <w:shd w:val="clear" w:color="auto" w:fill="FFFFFF" w:themeFill="background1"/>
            <w:vAlign w:val="center"/>
          </w:tcPr>
          <w:p w:rsidR="008C25BC" w:rsidRPr="00444991" w:rsidRDefault="008C25BC" w:rsidP="008C25BC">
            <w:pPr>
              <w:pStyle w:val="TableText"/>
              <w:jc w:val="center"/>
              <w:rPr>
                <w:lang w:val="en-AU"/>
              </w:rPr>
            </w:pPr>
            <w:r w:rsidRPr="00BE7FA1">
              <w:t>145/397 (36.5%)</w:t>
            </w: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r>
      <w:tr w:rsidR="004E2753" w:rsidRPr="00BE7FA1" w:rsidTr="001E3FE1">
        <w:tc>
          <w:tcPr>
            <w:tcW w:w="5000" w:type="pct"/>
            <w:gridSpan w:val="5"/>
            <w:shd w:val="clear" w:color="auto" w:fill="FFFFFF" w:themeFill="background1"/>
          </w:tcPr>
          <w:p w:rsidR="004E2753" w:rsidRPr="00444991" w:rsidRDefault="004E2753" w:rsidP="001E3FE1">
            <w:pPr>
              <w:pStyle w:val="TableText"/>
              <w:jc w:val="left"/>
              <w:rPr>
                <w:b/>
                <w:lang w:val="en-AU"/>
              </w:rPr>
            </w:pPr>
            <w:r w:rsidRPr="00BE7FA1">
              <w:rPr>
                <w:b/>
              </w:rPr>
              <w:t>Discontinuation due to AE</w:t>
            </w:r>
          </w:p>
        </w:tc>
      </w:tr>
      <w:tr w:rsidR="008C25BC" w:rsidRPr="00BE7FA1" w:rsidTr="00EF70D1">
        <w:tc>
          <w:tcPr>
            <w:tcW w:w="1038" w:type="pct"/>
            <w:shd w:val="clear" w:color="auto" w:fill="FFFFFF" w:themeFill="background1"/>
            <w:vAlign w:val="center"/>
          </w:tcPr>
          <w:p w:rsidR="008C25BC" w:rsidRPr="00444991" w:rsidRDefault="008C25BC" w:rsidP="008C25BC">
            <w:pPr>
              <w:pStyle w:val="TableText"/>
              <w:ind w:left="142"/>
              <w:rPr>
                <w:lang w:val="en-AU"/>
              </w:rPr>
            </w:pPr>
            <w:r w:rsidRPr="00BE7FA1">
              <w:t>METEOR*</w:t>
            </w:r>
          </w:p>
        </w:tc>
        <w:tc>
          <w:tcPr>
            <w:tcW w:w="992" w:type="pct"/>
            <w:shd w:val="clear" w:color="auto" w:fill="FFFFFF" w:themeFill="background1"/>
            <w:vAlign w:val="center"/>
          </w:tcPr>
          <w:p w:rsidR="008C25BC" w:rsidRPr="00444991" w:rsidRDefault="008C25BC" w:rsidP="008C25BC">
            <w:pPr>
              <w:pStyle w:val="TableText"/>
              <w:jc w:val="center"/>
              <w:rPr>
                <w:lang w:val="en-AU"/>
              </w:rPr>
            </w:pPr>
            <w:r w:rsidRPr="00BE7FA1">
              <w:t>34/331 (10%)</w:t>
            </w:r>
          </w:p>
        </w:tc>
        <w:tc>
          <w:tcPr>
            <w:tcW w:w="990" w:type="pct"/>
            <w:shd w:val="clear" w:color="auto" w:fill="FFFFFF" w:themeFill="background1"/>
            <w:vAlign w:val="center"/>
          </w:tcPr>
          <w:p w:rsidR="008C25BC" w:rsidRPr="00444991" w:rsidRDefault="008C25BC" w:rsidP="008C25BC">
            <w:pPr>
              <w:pStyle w:val="TableText"/>
              <w:jc w:val="center"/>
              <w:rPr>
                <w:lang w:val="en-AU"/>
              </w:rPr>
            </w:pPr>
            <w:r w:rsidRPr="00BE7FA1">
              <w:t>31/322 (9.6%)</w:t>
            </w:r>
          </w:p>
        </w:tc>
        <w:tc>
          <w:tcPr>
            <w:tcW w:w="990" w:type="pct"/>
            <w:vMerge w:val="restart"/>
            <w:shd w:val="clear" w:color="auto" w:fill="FFFFFF" w:themeFill="background1"/>
            <w:vAlign w:val="center"/>
          </w:tcPr>
          <w:p w:rsidR="008C25BC" w:rsidRPr="00444991" w:rsidRDefault="008C25BC" w:rsidP="008C25BC">
            <w:pPr>
              <w:pStyle w:val="TableText"/>
              <w:jc w:val="center"/>
              <w:rPr>
                <w:lang w:val="en-AU"/>
              </w:rPr>
            </w:pPr>
            <w:r w:rsidRPr="00BE7FA1">
              <w:t>1.83 (0.98, 3.42)</w:t>
            </w:r>
          </w:p>
        </w:tc>
        <w:tc>
          <w:tcPr>
            <w:tcW w:w="990" w:type="pct"/>
            <w:vMerge w:val="restart"/>
            <w:shd w:val="clear" w:color="auto" w:fill="FFFFFF" w:themeFill="background1"/>
            <w:vAlign w:val="center"/>
          </w:tcPr>
          <w:p w:rsidR="008C25BC" w:rsidRPr="00444991" w:rsidRDefault="008C25BC" w:rsidP="008C25BC">
            <w:pPr>
              <w:pStyle w:val="TableText"/>
              <w:jc w:val="center"/>
              <w:rPr>
                <w:lang w:val="en-AU"/>
              </w:rPr>
            </w:pPr>
            <w:r w:rsidRPr="00BE7FA1">
              <w:t>1.96 (0.98, 3.92)</w:t>
            </w:r>
          </w:p>
        </w:tc>
      </w:tr>
      <w:tr w:rsidR="008C25BC" w:rsidRPr="00BE7FA1" w:rsidTr="001E3FE1">
        <w:tc>
          <w:tcPr>
            <w:tcW w:w="1038" w:type="pct"/>
            <w:shd w:val="clear" w:color="auto" w:fill="FFFFFF" w:themeFill="background1"/>
          </w:tcPr>
          <w:p w:rsidR="008C25BC" w:rsidRPr="00444991" w:rsidRDefault="008C25BC" w:rsidP="008C25BC">
            <w:pPr>
              <w:pStyle w:val="TableText"/>
              <w:ind w:left="142"/>
              <w:rPr>
                <w:lang w:val="en-AU"/>
              </w:rPr>
            </w:pPr>
            <w:r w:rsidRPr="00BE7FA1">
              <w:t>CheckMate 025**</w:t>
            </w:r>
          </w:p>
        </w:tc>
        <w:tc>
          <w:tcPr>
            <w:tcW w:w="992" w:type="pct"/>
            <w:shd w:val="clear" w:color="auto" w:fill="FFFFFF" w:themeFill="background1"/>
            <w:vAlign w:val="center"/>
          </w:tcPr>
          <w:p w:rsidR="008C25BC" w:rsidRPr="00444991" w:rsidRDefault="008C25BC" w:rsidP="008C25BC">
            <w:pPr>
              <w:pStyle w:val="TableText"/>
              <w:jc w:val="center"/>
              <w:rPr>
                <w:lang w:val="en-AU"/>
              </w:rPr>
            </w:pPr>
            <w:r w:rsidRPr="00BE7FA1">
              <w:t>31/406 (7.6%)</w:t>
            </w:r>
          </w:p>
        </w:tc>
        <w:tc>
          <w:tcPr>
            <w:tcW w:w="990" w:type="pct"/>
            <w:shd w:val="clear" w:color="auto" w:fill="FFFFFF" w:themeFill="background1"/>
            <w:vAlign w:val="center"/>
          </w:tcPr>
          <w:p w:rsidR="008C25BC" w:rsidRPr="00444991" w:rsidRDefault="008C25BC" w:rsidP="008C25BC">
            <w:pPr>
              <w:pStyle w:val="TableText"/>
              <w:jc w:val="center"/>
              <w:rPr>
                <w:lang w:val="en-AU"/>
              </w:rPr>
            </w:pPr>
            <w:r w:rsidRPr="00BE7FA1">
              <w:t>52/397 (13.1%)</w:t>
            </w:r>
          </w:p>
        </w:tc>
        <w:tc>
          <w:tcPr>
            <w:tcW w:w="990" w:type="pct"/>
            <w:vMerge/>
            <w:shd w:val="clear" w:color="auto" w:fill="FFFFFF" w:themeFill="background1"/>
          </w:tcPr>
          <w:p w:rsidR="008C25BC" w:rsidRPr="00444991" w:rsidRDefault="008C25BC" w:rsidP="008C25BC">
            <w:pPr>
              <w:pStyle w:val="TableText"/>
              <w:jc w:val="center"/>
              <w:rPr>
                <w:lang w:val="en-AU"/>
              </w:rPr>
            </w:pPr>
          </w:p>
        </w:tc>
        <w:tc>
          <w:tcPr>
            <w:tcW w:w="990" w:type="pct"/>
            <w:vMerge/>
            <w:shd w:val="clear" w:color="auto" w:fill="FFFFFF" w:themeFill="background1"/>
            <w:vAlign w:val="center"/>
          </w:tcPr>
          <w:p w:rsidR="008C25BC" w:rsidRPr="00444991" w:rsidRDefault="008C25BC" w:rsidP="008C25BC">
            <w:pPr>
              <w:pStyle w:val="TableText"/>
              <w:jc w:val="center"/>
              <w:rPr>
                <w:lang w:val="en-AU"/>
              </w:rPr>
            </w:pPr>
          </w:p>
        </w:tc>
      </w:tr>
    </w:tbl>
    <w:p w:rsidR="004E2753" w:rsidRPr="00BE7FA1" w:rsidRDefault="004E2753" w:rsidP="004E2753">
      <w:pPr>
        <w:pStyle w:val="TableFooter"/>
      </w:pPr>
      <w:r w:rsidRPr="00BE7FA1">
        <w:t xml:space="preserve">AE = adverse event; </w:t>
      </w:r>
      <w:r w:rsidR="0074663E" w:rsidRPr="00BE7FA1">
        <w:t xml:space="preserve">CI = confidence interval; </w:t>
      </w:r>
      <w:r w:rsidRPr="00BE7FA1">
        <w:t xml:space="preserve">OR = odds ratio; </w:t>
      </w:r>
      <w:r w:rsidR="00373794" w:rsidRPr="00BE7FA1">
        <w:t xml:space="preserve">RR = relative risk; </w:t>
      </w:r>
      <w:r w:rsidR="00326140" w:rsidRPr="00BE7FA1">
        <w:t>SAE = serious adverse event</w:t>
      </w:r>
    </w:p>
    <w:p w:rsidR="004E2753" w:rsidRPr="00BE7FA1" w:rsidRDefault="004E2753" w:rsidP="004E2753">
      <w:pPr>
        <w:pStyle w:val="TableFooter"/>
      </w:pPr>
      <w:proofErr w:type="gramStart"/>
      <w:r w:rsidRPr="00BE7FA1">
        <w:rPr>
          <w:vertAlign w:val="superscript"/>
        </w:rPr>
        <w:t>a</w:t>
      </w:r>
      <w:proofErr w:type="gramEnd"/>
      <w:r w:rsidRPr="00BE7FA1">
        <w:t> Treatment-relate</w:t>
      </w:r>
      <w:r w:rsidR="008C25BC" w:rsidRPr="00BE7FA1">
        <w:t>d SAEs were not reported for Che</w:t>
      </w:r>
      <w:r w:rsidRPr="00BE7FA1">
        <w:t>ckMate 025.</w:t>
      </w:r>
    </w:p>
    <w:p w:rsidR="008C25BC" w:rsidRPr="00BE7FA1" w:rsidRDefault="008C25BC" w:rsidP="008C25BC">
      <w:pPr>
        <w:pStyle w:val="TableFooter"/>
        <w:ind w:left="142" w:hanging="142"/>
      </w:pPr>
      <w:r w:rsidRPr="00BE7FA1">
        <w:t>* METEOR: Minimum duration of follow-up in the ITT population 5.9 months. Median exposure to study drug: cabozantinib 7.6 months, everolimus 4.4 months.</w:t>
      </w:r>
    </w:p>
    <w:p w:rsidR="008C25BC" w:rsidRPr="00BE7FA1" w:rsidRDefault="009E436F" w:rsidP="008C25BC">
      <w:pPr>
        <w:pStyle w:val="TableFooter"/>
        <w:ind w:left="142" w:hanging="142"/>
      </w:pPr>
      <w:r w:rsidRPr="00BE7FA1">
        <w:t>** CheckMate 025: Mini</w:t>
      </w:r>
      <w:r w:rsidR="008C25BC" w:rsidRPr="00BE7FA1">
        <w:t>mum duration of follow-up 14 months. Median exposure to study drug: nivolumab 5.5 months, everolimus 3.7 months.</w:t>
      </w:r>
    </w:p>
    <w:p w:rsidR="004E2753" w:rsidRPr="00BE7FA1" w:rsidRDefault="004E2753" w:rsidP="004E2753">
      <w:pPr>
        <w:pStyle w:val="TableFooter"/>
      </w:pPr>
      <w:r w:rsidRPr="00BE7FA1">
        <w:t>Source: Table 2-26 p125, Table 2-34 p132, Table 2-47 p141, Table 2-48 p141, Table 2-50 p142 and Table 2-52 p 144 of the submission.</w:t>
      </w:r>
    </w:p>
    <w:p w:rsidR="00F20574" w:rsidRPr="00BE7FA1" w:rsidRDefault="00F20574" w:rsidP="00A832C9">
      <w:pPr>
        <w:pStyle w:val="ListParagraph"/>
        <w:numPr>
          <w:ilvl w:val="1"/>
          <w:numId w:val="4"/>
        </w:numPr>
        <w:spacing w:before="0" w:after="120"/>
        <w:rPr>
          <w:color w:val="000000" w:themeColor="text1"/>
        </w:rPr>
      </w:pPr>
      <w:r w:rsidRPr="00BE7FA1">
        <w:rPr>
          <w:color w:val="000000" w:themeColor="text1"/>
        </w:rPr>
        <w:t>There was no statistically significant difference between cabozantinib and nivolumab in the number of patients experiencing an AE of any causality, a Grade 3-4 AE of any causality</w:t>
      </w:r>
      <w:r w:rsidR="001D1AE1" w:rsidRPr="00BE7FA1">
        <w:rPr>
          <w:color w:val="000000" w:themeColor="text1"/>
        </w:rPr>
        <w:t xml:space="preserve">, </w:t>
      </w:r>
      <w:r w:rsidRPr="00BE7FA1">
        <w:rPr>
          <w:color w:val="000000" w:themeColor="text1"/>
        </w:rPr>
        <w:t>or the proportion of patients discontinuing treatment due to an AE.</w:t>
      </w:r>
    </w:p>
    <w:p w:rsidR="00664618" w:rsidRPr="00BE7FA1" w:rsidRDefault="00664618" w:rsidP="00A832C9">
      <w:pPr>
        <w:pStyle w:val="ListParagraph"/>
        <w:numPr>
          <w:ilvl w:val="1"/>
          <w:numId w:val="4"/>
        </w:numPr>
        <w:spacing w:before="0" w:after="120"/>
        <w:rPr>
          <w:color w:val="000000" w:themeColor="text1"/>
        </w:rPr>
      </w:pPr>
      <w:r w:rsidRPr="00BE7FA1">
        <w:rPr>
          <w:color w:val="000000" w:themeColor="text1"/>
        </w:rPr>
        <w:t xml:space="preserve">The submission stated that the odds of a SAE were estimated to be higher for cabozantinib than nivolumab, with a </w:t>
      </w:r>
      <w:r w:rsidR="00AB4291" w:rsidRPr="00BE7FA1">
        <w:rPr>
          <w:color w:val="000000" w:themeColor="text1"/>
        </w:rPr>
        <w:t>95% CI</w:t>
      </w:r>
      <w:r w:rsidRPr="00BE7FA1">
        <w:rPr>
          <w:color w:val="000000" w:themeColor="text1"/>
        </w:rPr>
        <w:t xml:space="preserve"> for the odds ratio of 1.4 to 3.4 and a reasonable degree of precision. This statement was based on the comparison of SAEs of any causality in METEOR and treatment-related Grade 3-4 AEs from CheckMate 025 presented in the submission. There was no significant difference in the rate of SAEs of any causality between cabozantinib and nivolumab. However, the indirect comparison indicated that the odds of experiencing a treatment-related AE of any grade, and of experiencing a treatment-related Grade 3-4 AE, may be higher with cabozantinib than with nivolumab.</w:t>
      </w:r>
    </w:p>
    <w:p w:rsidR="00664618" w:rsidRPr="00BE7FA1" w:rsidRDefault="00664618" w:rsidP="00A832C9">
      <w:pPr>
        <w:pStyle w:val="ListParagraph"/>
        <w:numPr>
          <w:ilvl w:val="1"/>
          <w:numId w:val="4"/>
        </w:numPr>
        <w:spacing w:before="0" w:after="120"/>
        <w:rPr>
          <w:color w:val="000000" w:themeColor="text1"/>
        </w:rPr>
      </w:pPr>
      <w:r w:rsidRPr="00BE7FA1">
        <w:rPr>
          <w:color w:val="000000" w:themeColor="text1"/>
        </w:rPr>
        <w:t xml:space="preserve">The submission concluded that, generally, the results of the indirect comparisons of safety outcomes suggested that cabozantinib was inferior to nivolumab in terms of safety. </w:t>
      </w:r>
      <w:r w:rsidR="00C30A25" w:rsidRPr="00BE7FA1">
        <w:rPr>
          <w:color w:val="000000" w:themeColor="text1"/>
        </w:rPr>
        <w:t xml:space="preserve">Given the differences in mechanism of action, and the nature of the comparison presented, </w:t>
      </w:r>
      <w:r w:rsidR="00EE1C0D" w:rsidRPr="00BE7FA1">
        <w:rPr>
          <w:color w:val="000000" w:themeColor="text1"/>
        </w:rPr>
        <w:t xml:space="preserve">the ESC agreed that it was </w:t>
      </w:r>
      <w:r w:rsidR="00C30A25" w:rsidRPr="00BE7FA1">
        <w:t>difficult to draw any firm conclusions regarding the comparative safety of the two drugs.</w:t>
      </w:r>
    </w:p>
    <w:p w:rsidR="00624315" w:rsidRPr="00653C98" w:rsidRDefault="00624315" w:rsidP="00772501">
      <w:pPr>
        <w:pStyle w:val="Heading2"/>
      </w:pPr>
      <w:bookmarkStart w:id="22" w:name="_Toc497315006"/>
      <w:bookmarkStart w:id="23" w:name="_Toc413139281"/>
      <w:r w:rsidRPr="00653C98">
        <w:lastRenderedPageBreak/>
        <w:t>Benefits and harms</w:t>
      </w:r>
      <w:bookmarkEnd w:id="22"/>
    </w:p>
    <w:p w:rsidR="00AD1BCD" w:rsidRPr="00BE7FA1" w:rsidRDefault="00AD1BCD" w:rsidP="00A832C9">
      <w:pPr>
        <w:pStyle w:val="ListParagraph"/>
        <w:numPr>
          <w:ilvl w:val="1"/>
          <w:numId w:val="4"/>
        </w:numPr>
        <w:spacing w:before="0" w:after="120"/>
      </w:pPr>
      <w:r w:rsidRPr="00BE7FA1">
        <w:t>Given that nivolumab was considered the most appropriate comparator for cabozantinib, the summary of benefits and harms against everolimus has not been presented here.</w:t>
      </w:r>
    </w:p>
    <w:p w:rsidR="00863915" w:rsidRPr="00BE7FA1" w:rsidRDefault="00863915" w:rsidP="00A832C9">
      <w:pPr>
        <w:pStyle w:val="ListParagraph"/>
        <w:numPr>
          <w:ilvl w:val="1"/>
          <w:numId w:val="4"/>
        </w:numPr>
        <w:spacing w:before="0" w:after="120"/>
      </w:pPr>
      <w:r w:rsidRPr="00BE7FA1">
        <w:t>A summary of the comparative benefits and harms fo</w:t>
      </w:r>
      <w:r w:rsidR="00B53700" w:rsidRPr="00BE7FA1">
        <w:t>r cabozantinib versus nivolumab</w:t>
      </w:r>
      <w:r w:rsidRPr="00BE7FA1">
        <w:t xml:space="preserve"> derive</w:t>
      </w:r>
      <w:r w:rsidR="00B53700" w:rsidRPr="00BE7FA1">
        <w:t xml:space="preserve">d from the indirect comparison </w:t>
      </w:r>
      <w:r w:rsidRPr="00BE7FA1">
        <w:t xml:space="preserve">has not been presented, given the submission did not claim superiority in terms of OS, RECIST-defined PFS is not considered to be a reliable measure of treatment effectiveness for immunotherapies, and the safety data are confounded by the difference in the duration of follow-up in the two trials. </w:t>
      </w:r>
    </w:p>
    <w:p w:rsidR="00C317F3" w:rsidRPr="00BE7FA1" w:rsidRDefault="008058E8" w:rsidP="00772501">
      <w:pPr>
        <w:pStyle w:val="Heading2"/>
      </w:pPr>
      <w:bookmarkStart w:id="24" w:name="_Toc497315007"/>
      <w:bookmarkEnd w:id="23"/>
      <w:r w:rsidRPr="00BE7FA1">
        <w:t>Interpretation of clinical evidence</w:t>
      </w:r>
      <w:bookmarkEnd w:id="24"/>
    </w:p>
    <w:p w:rsidR="000833E9" w:rsidRPr="00BE7FA1" w:rsidRDefault="000833E9" w:rsidP="000833E9">
      <w:pPr>
        <w:spacing w:before="0" w:after="120"/>
        <w:rPr>
          <w:u w:val="single"/>
        </w:rPr>
      </w:pPr>
      <w:r w:rsidRPr="00BE7FA1">
        <w:rPr>
          <w:u w:val="single"/>
        </w:rPr>
        <w:t>Indirect comparison of cabozantinib and nivolumab</w:t>
      </w:r>
    </w:p>
    <w:p w:rsidR="000833E9" w:rsidRPr="00BE7FA1" w:rsidRDefault="000833E9" w:rsidP="00A832C9">
      <w:pPr>
        <w:pStyle w:val="ListParagraph"/>
        <w:numPr>
          <w:ilvl w:val="1"/>
          <w:numId w:val="4"/>
        </w:numPr>
        <w:spacing w:before="0" w:after="120"/>
      </w:pPr>
      <w:r w:rsidRPr="00BE7FA1">
        <w:t xml:space="preserve">The submission claimed that cabozantinib is superior in terms of PFS, non-inferior in terms of OS and ORR, and inferior in terms of safety </w:t>
      </w:r>
      <w:r w:rsidR="00C30A25" w:rsidRPr="00BE7FA1">
        <w:t>compared to</w:t>
      </w:r>
      <w:r w:rsidRPr="00BE7FA1">
        <w:t xml:space="preserve"> nivolumab.</w:t>
      </w:r>
    </w:p>
    <w:p w:rsidR="00E918F8" w:rsidRPr="00BE7FA1" w:rsidRDefault="00E918F8" w:rsidP="00A832C9">
      <w:pPr>
        <w:pStyle w:val="ListParagraph"/>
        <w:numPr>
          <w:ilvl w:val="1"/>
          <w:numId w:val="4"/>
        </w:numPr>
        <w:spacing w:before="0" w:after="120"/>
      </w:pPr>
      <w:r w:rsidRPr="00BE7FA1">
        <w:t xml:space="preserve">The therapeutic conclusion presented in the submission regarding the comparative effectiveness of cabozantinib and nivolumab was not </w:t>
      </w:r>
      <w:r w:rsidR="00475EAA" w:rsidRPr="00BE7FA1">
        <w:t>well</w:t>
      </w:r>
      <w:r w:rsidRPr="00BE7FA1">
        <w:t xml:space="preserve"> supported by the evidence presented in the submission: </w:t>
      </w:r>
    </w:p>
    <w:p w:rsidR="00E918F8" w:rsidRPr="00BE7FA1" w:rsidRDefault="00E918F8" w:rsidP="00A832C9">
      <w:pPr>
        <w:pStyle w:val="ListParagraph"/>
        <w:numPr>
          <w:ilvl w:val="0"/>
          <w:numId w:val="3"/>
        </w:numPr>
        <w:spacing w:before="0" w:after="120"/>
        <w:ind w:left="993" w:hanging="284"/>
      </w:pPr>
      <w:r w:rsidRPr="00BE7FA1">
        <w:t>As RECIST-defined PFS is not a reliable measure of the clinical effectiveness of nivolumab, the indirect comparison of PFS for cabozantinib compared with nivolumab is of limited clinical relevance</w:t>
      </w:r>
      <w:r w:rsidR="00FF33C4" w:rsidRPr="00BE7FA1">
        <w:t>. The ESC noted the discussion in the PSCR (p2</w:t>
      </w:r>
      <w:r w:rsidR="0029318B" w:rsidRPr="00BE7FA1">
        <w:t>, p4</w:t>
      </w:r>
      <w:r w:rsidR="00FF33C4" w:rsidRPr="00BE7FA1">
        <w:t xml:space="preserve">) around progression and </w:t>
      </w:r>
      <w:r w:rsidR="00D81449" w:rsidRPr="00BE7FA1">
        <w:t xml:space="preserve">PFS, </w:t>
      </w:r>
      <w:r w:rsidR="00FF33C4" w:rsidRPr="00BE7FA1">
        <w:t>agree</w:t>
      </w:r>
      <w:r w:rsidR="00D81449" w:rsidRPr="00BE7FA1">
        <w:t>ing</w:t>
      </w:r>
      <w:r w:rsidR="00FF33C4" w:rsidRPr="00BE7FA1">
        <w:t xml:space="preserve"> that </w:t>
      </w:r>
      <w:r w:rsidR="0029318B" w:rsidRPr="00BE7FA1">
        <w:t>PFS is clinically important and that a delay in progression is likely to have “significant impacts to the patient’s activities of daily living and quality of life”</w:t>
      </w:r>
      <w:r w:rsidR="00FF33C4" w:rsidRPr="00BE7FA1">
        <w:t xml:space="preserve">. However, the ESC remained of the view that PFS, </w:t>
      </w:r>
      <w:r w:rsidR="00D81449" w:rsidRPr="00BE7FA1">
        <w:t>as determined by RECIST</w:t>
      </w:r>
      <w:r w:rsidR="00FF33C4" w:rsidRPr="00BE7FA1">
        <w:t>, was not a reliable outcome for the purpose of the efficacy comparison between cabozantinib and nivolumab, and determination of the relative cost-effectiveness of cabozantinib</w:t>
      </w:r>
      <w:r w:rsidR="0029318B" w:rsidRPr="00BE7FA1">
        <w:t xml:space="preserve"> in the context of the PBS</w:t>
      </w:r>
      <w:r w:rsidR="00FF33C4" w:rsidRPr="00BE7FA1">
        <w:t>. The ESC agreed with the commentary that the most relevant data for the comparison was the indirect comparison of OS</w:t>
      </w:r>
      <w:r w:rsidRPr="00BE7FA1">
        <w:t xml:space="preserve">; </w:t>
      </w:r>
    </w:p>
    <w:p w:rsidR="00E918F8" w:rsidRPr="00BE7FA1" w:rsidRDefault="00E918F8" w:rsidP="00A832C9">
      <w:pPr>
        <w:pStyle w:val="ListParagraph"/>
        <w:numPr>
          <w:ilvl w:val="0"/>
          <w:numId w:val="3"/>
        </w:numPr>
        <w:spacing w:before="0" w:after="120"/>
        <w:ind w:left="993" w:hanging="284"/>
      </w:pPr>
      <w:r w:rsidRPr="00BE7FA1">
        <w:t xml:space="preserve">The indirect comparison for the key patient relevant outcome of </w:t>
      </w:r>
      <w:proofErr w:type="gramStart"/>
      <w:r w:rsidRPr="00BE7FA1">
        <w:t>OS,</w:t>
      </w:r>
      <w:proofErr w:type="gramEnd"/>
      <w:r w:rsidRPr="00BE7FA1">
        <w:t xml:space="preserve"> lacked the statistical power to rule out a clinically meaningful difference in survival between patients receiving cabozantinib or nivolumab</w:t>
      </w:r>
      <w:r w:rsidR="00276195" w:rsidRPr="00BE7FA1">
        <w:t>. The ESC noted the CIs around the OS estimates were wide, and that there were differences between the comparator arms used in the indirect comparison</w:t>
      </w:r>
      <w:r w:rsidRPr="00BE7FA1">
        <w:t>;</w:t>
      </w:r>
    </w:p>
    <w:p w:rsidR="00E918F8" w:rsidRPr="00BE7FA1" w:rsidRDefault="00A063FD" w:rsidP="00A832C9">
      <w:pPr>
        <w:pStyle w:val="ListParagraph"/>
        <w:numPr>
          <w:ilvl w:val="0"/>
          <w:numId w:val="3"/>
        </w:numPr>
        <w:spacing w:before="0" w:after="120"/>
        <w:ind w:left="993" w:hanging="284"/>
      </w:pPr>
      <w:r w:rsidRPr="00BE7FA1">
        <w:t xml:space="preserve">The ESC considered that it was difficult to draw any firm conclusions regarding the comparative safety of cabozantinib and nivolumab given the </w:t>
      </w:r>
      <w:r w:rsidR="00276195" w:rsidRPr="00BE7FA1">
        <w:t xml:space="preserve">available information and their </w:t>
      </w:r>
      <w:r w:rsidR="00E918F8" w:rsidRPr="00BE7FA1">
        <w:t>distinctly different safety profiles</w:t>
      </w:r>
      <w:r w:rsidR="007B2C7B" w:rsidRPr="00BE7FA1">
        <w:t>;</w:t>
      </w:r>
    </w:p>
    <w:p w:rsidR="00E918F8" w:rsidRPr="00BE7FA1" w:rsidRDefault="00E918F8" w:rsidP="00A832C9">
      <w:pPr>
        <w:pStyle w:val="ListParagraph"/>
        <w:numPr>
          <w:ilvl w:val="0"/>
          <w:numId w:val="3"/>
        </w:numPr>
        <w:spacing w:before="0" w:after="120"/>
        <w:ind w:left="993" w:hanging="284"/>
      </w:pPr>
      <w:r w:rsidRPr="00BE7FA1">
        <w:t>There are methodological concerns regarding the indirect comparison:</w:t>
      </w:r>
    </w:p>
    <w:p w:rsidR="00E918F8" w:rsidRPr="00BE7FA1" w:rsidRDefault="00E918F8" w:rsidP="00A832C9">
      <w:pPr>
        <w:pStyle w:val="ListParagraph"/>
        <w:numPr>
          <w:ilvl w:val="1"/>
          <w:numId w:val="3"/>
        </w:numPr>
        <w:spacing w:before="0" w:after="120"/>
      </w:pPr>
      <w:r w:rsidRPr="00BE7FA1">
        <w:t>The claim was based on an indirect comparison with potential for confounding due to imbalances in unobserved prognostic factors or treatment effect modifiers across the studies, or undocumented differences in study conduct;</w:t>
      </w:r>
    </w:p>
    <w:p w:rsidR="00E918F8" w:rsidRPr="00BE7FA1" w:rsidRDefault="00E918F8" w:rsidP="00A832C9">
      <w:pPr>
        <w:pStyle w:val="ListParagraph"/>
        <w:numPr>
          <w:ilvl w:val="1"/>
          <w:numId w:val="3"/>
        </w:numPr>
        <w:spacing w:before="0" w:after="120"/>
      </w:pPr>
      <w:r w:rsidRPr="00BE7FA1">
        <w:lastRenderedPageBreak/>
        <w:t xml:space="preserve">The submission did not specify a non-inferiority margin for any of the outcomes </w:t>
      </w:r>
      <w:r w:rsidR="00013886" w:rsidRPr="00BE7FA1">
        <w:t xml:space="preserve">included </w:t>
      </w:r>
      <w:r w:rsidRPr="00BE7FA1">
        <w:t>in the indirect comparison;</w:t>
      </w:r>
      <w:r w:rsidR="007B2C7B" w:rsidRPr="00BE7FA1">
        <w:t xml:space="preserve"> and</w:t>
      </w:r>
    </w:p>
    <w:p w:rsidR="00E918F8" w:rsidRPr="00BE7FA1" w:rsidRDefault="00E918F8" w:rsidP="00A832C9">
      <w:pPr>
        <w:pStyle w:val="ListParagraph"/>
        <w:numPr>
          <w:ilvl w:val="1"/>
          <w:numId w:val="3"/>
        </w:numPr>
        <w:spacing w:before="0" w:after="120"/>
      </w:pPr>
      <w:r w:rsidRPr="00BE7FA1">
        <w:t xml:space="preserve">The extent of bias resulting from the early analysis of the OS data in each trial, and the resulting direction and extent of bias in the indirectly derived </w:t>
      </w:r>
      <w:proofErr w:type="gramStart"/>
      <w:r w:rsidRPr="00BE7FA1">
        <w:t>HR,</w:t>
      </w:r>
      <w:proofErr w:type="gramEnd"/>
      <w:r w:rsidRPr="00BE7FA1">
        <w:t xml:space="preserve"> was uncertain.</w:t>
      </w:r>
    </w:p>
    <w:p w:rsidR="00726C75" w:rsidRPr="00BE7FA1" w:rsidRDefault="00726C75" w:rsidP="00726C75">
      <w:pPr>
        <w:pStyle w:val="ListParagraph"/>
        <w:numPr>
          <w:ilvl w:val="1"/>
          <w:numId w:val="4"/>
        </w:numPr>
        <w:spacing w:before="0" w:after="120"/>
      </w:pPr>
      <w:r w:rsidRPr="00BE7FA1">
        <w:t xml:space="preserve">The PBAC considered that the claim of superior comparative effectiveness over nivolumab </w:t>
      </w:r>
      <w:r w:rsidR="00480887" w:rsidRPr="00BE7FA1">
        <w:t xml:space="preserve">in terms of PFS </w:t>
      </w:r>
      <w:r w:rsidRPr="00BE7FA1">
        <w:t>was not adequately supported by the data, as the committee agreed with the ESC that RECIST-defined PFS did not provide the most appropriate basis for the comparison between cabozantinib and nivolumab.</w:t>
      </w:r>
    </w:p>
    <w:p w:rsidR="0056675F" w:rsidRPr="00BE7FA1" w:rsidRDefault="0056675F" w:rsidP="0056675F">
      <w:pPr>
        <w:pStyle w:val="ListParagraph"/>
        <w:numPr>
          <w:ilvl w:val="1"/>
          <w:numId w:val="4"/>
        </w:numPr>
        <w:spacing w:before="0" w:after="120"/>
      </w:pPr>
      <w:r w:rsidRPr="00BE7FA1">
        <w:t xml:space="preserve">The PBAC considered that the claim of non-inferior comparative effectiveness </w:t>
      </w:r>
      <w:r w:rsidR="00726C75" w:rsidRPr="00BE7FA1">
        <w:t xml:space="preserve">with nivolumab on the basis of OS was </w:t>
      </w:r>
      <w:r w:rsidRPr="00BE7FA1">
        <w:t>reasonable.</w:t>
      </w:r>
    </w:p>
    <w:p w:rsidR="0056675F" w:rsidRPr="00BE7FA1" w:rsidRDefault="0056675F" w:rsidP="0056675F">
      <w:pPr>
        <w:pStyle w:val="ListParagraph"/>
        <w:numPr>
          <w:ilvl w:val="1"/>
          <w:numId w:val="4"/>
        </w:numPr>
        <w:spacing w:before="0" w:after="120"/>
      </w:pPr>
      <w:r w:rsidRPr="00BE7FA1">
        <w:t xml:space="preserve">The PBAC considered that the claim of inferior comparative safety </w:t>
      </w:r>
      <w:r w:rsidR="00726C75" w:rsidRPr="00BE7FA1">
        <w:t xml:space="preserve">with nivolumab </w:t>
      </w:r>
      <w:r w:rsidRPr="00BE7FA1">
        <w:t>was reasonable.</w:t>
      </w:r>
    </w:p>
    <w:p w:rsidR="005E7484" w:rsidRPr="00BE7FA1" w:rsidRDefault="005E7484" w:rsidP="005E7484">
      <w:pPr>
        <w:spacing w:before="0" w:after="120"/>
        <w:rPr>
          <w:color w:val="000000" w:themeColor="text1"/>
        </w:rPr>
      </w:pPr>
      <w:r w:rsidRPr="00BE7FA1">
        <w:rPr>
          <w:color w:val="000000" w:themeColor="text1"/>
          <w:u w:val="single"/>
        </w:rPr>
        <w:t xml:space="preserve">Cabozantinib versus everolimus </w:t>
      </w:r>
    </w:p>
    <w:p w:rsidR="005E7484" w:rsidRPr="00BE7FA1" w:rsidRDefault="005E7484" w:rsidP="005E7484">
      <w:pPr>
        <w:pStyle w:val="ListParagraph"/>
        <w:numPr>
          <w:ilvl w:val="1"/>
          <w:numId w:val="4"/>
        </w:numPr>
        <w:spacing w:before="0" w:after="120"/>
      </w:pPr>
      <w:r w:rsidRPr="00BE7FA1">
        <w:t>The submission claimed that cabozantinib is superior in terms of comparative effectiveness (PFS, OS and objective response rate) and non-inferior in terms of comparative safety over everolimus for the treatment of adult patients with clear cell variant RCC whose disease has progressed following prior TKI therapy.</w:t>
      </w:r>
    </w:p>
    <w:p w:rsidR="005E7484" w:rsidRPr="00BE7FA1" w:rsidRDefault="005E7484" w:rsidP="005E7484">
      <w:pPr>
        <w:pStyle w:val="ListParagraph"/>
        <w:numPr>
          <w:ilvl w:val="1"/>
          <w:numId w:val="4"/>
        </w:numPr>
        <w:spacing w:before="0" w:after="120"/>
      </w:pPr>
      <w:r w:rsidRPr="00BE7FA1">
        <w:t>The therapeutic conclusion presented in the submission regarding the comparative effectiveness of cabozantinib and everolimus was reasonable. However, the extent of OS benefit observed at the unplanned interim analysis in METEOR may have overestimated the degree of OS gain, given that the OS data were still relatively immature, and the PBAC has previously considered that hazard ratios tend to become less favourable over time (p</w:t>
      </w:r>
      <w:r w:rsidR="00281207">
        <w:t>aragraph 7.7, 6.03 nivolumab Public Summary Document</w:t>
      </w:r>
      <w:r w:rsidRPr="00BE7FA1">
        <w:t xml:space="preserve">, July 2016 PBAC meeting). </w:t>
      </w:r>
    </w:p>
    <w:p w:rsidR="005E7484" w:rsidRPr="00BE7FA1" w:rsidRDefault="005E7484" w:rsidP="005E7484">
      <w:pPr>
        <w:pStyle w:val="ListParagraph"/>
        <w:numPr>
          <w:ilvl w:val="1"/>
          <w:numId w:val="4"/>
        </w:numPr>
        <w:spacing w:before="0" w:after="120"/>
      </w:pPr>
      <w:r w:rsidRPr="00BE7FA1">
        <w:t>The claim that cabozantinib was non-inferior to everolimus in terms of safety was not well supported, given:</w:t>
      </w:r>
    </w:p>
    <w:p w:rsidR="005E7484" w:rsidRPr="00BE7FA1" w:rsidRDefault="005E7484" w:rsidP="005E7484">
      <w:pPr>
        <w:pStyle w:val="ListParagraph"/>
        <w:numPr>
          <w:ilvl w:val="0"/>
          <w:numId w:val="3"/>
        </w:numPr>
        <w:spacing w:before="0" w:after="120"/>
        <w:ind w:left="993" w:hanging="284"/>
      </w:pPr>
      <w:r w:rsidRPr="00BE7FA1">
        <w:t>A greater proportion of patients receiving cabozantinib experienced at least one Grade 3-4 AE (59%) compared to patients receiving everolimus (41%), although the ESC noted that patients in the cabozantinib arm had a higher duration of exposure to treatment than the patients receiving everolimus; and</w:t>
      </w:r>
    </w:p>
    <w:p w:rsidR="005E7484" w:rsidRPr="00BE7FA1" w:rsidRDefault="005E7484" w:rsidP="005E7484">
      <w:pPr>
        <w:pStyle w:val="ListParagraph"/>
        <w:numPr>
          <w:ilvl w:val="0"/>
          <w:numId w:val="3"/>
        </w:numPr>
        <w:spacing w:before="0" w:after="120"/>
        <w:ind w:left="993" w:hanging="284"/>
      </w:pPr>
      <w:r w:rsidRPr="00BE7FA1">
        <w:t xml:space="preserve">The proportion of patients who required at least one dose reduction due to an AE was considerably higher in patients receiving cabozantinib (60%) compared to those receiving everolimus (24%). </w:t>
      </w:r>
    </w:p>
    <w:p w:rsidR="005E7484" w:rsidRPr="00BE7FA1" w:rsidRDefault="005E7484" w:rsidP="005E7484">
      <w:pPr>
        <w:pStyle w:val="ListParagraph"/>
        <w:numPr>
          <w:ilvl w:val="1"/>
          <w:numId w:val="4"/>
        </w:numPr>
        <w:spacing w:before="0" w:after="120"/>
      </w:pPr>
      <w:r w:rsidRPr="00BE7FA1">
        <w:t xml:space="preserve">The PBAC considered that the claim of superior comparative effectiveness </w:t>
      </w:r>
      <w:r w:rsidR="00AD1BCD" w:rsidRPr="00BE7FA1">
        <w:t>and non-inferior safety versus</w:t>
      </w:r>
      <w:r w:rsidRPr="00BE7FA1">
        <w:t xml:space="preserve"> everolimus was reasonable.</w:t>
      </w:r>
    </w:p>
    <w:p w:rsidR="00690EFE" w:rsidRPr="00653C98" w:rsidRDefault="00690EFE" w:rsidP="00690EFE">
      <w:pPr>
        <w:pStyle w:val="Heading2"/>
      </w:pPr>
      <w:bookmarkStart w:id="25" w:name="_Toc413139282"/>
      <w:bookmarkStart w:id="26" w:name="_Toc476306892"/>
      <w:bookmarkStart w:id="27" w:name="_Toc497315008"/>
      <w:r w:rsidRPr="00653C98">
        <w:t>Economic analysis</w:t>
      </w:r>
      <w:bookmarkEnd w:id="25"/>
      <w:bookmarkEnd w:id="26"/>
      <w:bookmarkEnd w:id="27"/>
    </w:p>
    <w:p w:rsidR="006136BA" w:rsidRPr="00BE7FA1" w:rsidRDefault="006136BA" w:rsidP="00A832C9">
      <w:pPr>
        <w:pStyle w:val="ListParagraph"/>
        <w:numPr>
          <w:ilvl w:val="1"/>
          <w:numId w:val="4"/>
        </w:numPr>
        <w:spacing w:before="0" w:after="120"/>
      </w:pPr>
      <w:bookmarkStart w:id="28" w:name="_Toc413139283"/>
      <w:bookmarkStart w:id="29" w:name="_Toc413139284"/>
      <w:r w:rsidRPr="00BE7FA1">
        <w:t>The submission presented three economic evaluations:</w:t>
      </w:r>
    </w:p>
    <w:p w:rsidR="006136BA" w:rsidRPr="00BE7FA1" w:rsidRDefault="006136BA" w:rsidP="00A832C9">
      <w:pPr>
        <w:pStyle w:val="ListParagraph"/>
        <w:numPr>
          <w:ilvl w:val="0"/>
          <w:numId w:val="3"/>
        </w:numPr>
        <w:spacing w:before="0" w:after="0"/>
        <w:ind w:left="993"/>
      </w:pPr>
      <w:r w:rsidRPr="00BE7FA1">
        <w:t>Two cost-utility analyses:</w:t>
      </w:r>
    </w:p>
    <w:p w:rsidR="006136BA" w:rsidRPr="00BE7FA1" w:rsidRDefault="006136BA" w:rsidP="00A832C9">
      <w:pPr>
        <w:pStyle w:val="ListParagraph"/>
        <w:numPr>
          <w:ilvl w:val="1"/>
          <w:numId w:val="3"/>
        </w:numPr>
        <w:spacing w:before="0" w:after="0"/>
      </w:pPr>
      <w:r w:rsidRPr="00BE7FA1">
        <w:t>Cabozantinib vs everolimus; and</w:t>
      </w:r>
    </w:p>
    <w:p w:rsidR="006136BA" w:rsidRPr="00BE7FA1" w:rsidRDefault="006136BA" w:rsidP="00A832C9">
      <w:pPr>
        <w:pStyle w:val="ListParagraph"/>
        <w:numPr>
          <w:ilvl w:val="1"/>
          <w:numId w:val="3"/>
        </w:numPr>
        <w:spacing w:before="0" w:after="0"/>
      </w:pPr>
      <w:r w:rsidRPr="00BE7FA1">
        <w:t>Cabozantinib vs nivolumab.</w:t>
      </w:r>
    </w:p>
    <w:p w:rsidR="006136BA" w:rsidRPr="00BE7FA1" w:rsidRDefault="006136BA" w:rsidP="00A832C9">
      <w:pPr>
        <w:pStyle w:val="ListParagraph"/>
        <w:numPr>
          <w:ilvl w:val="0"/>
          <w:numId w:val="3"/>
        </w:numPr>
        <w:spacing w:before="0" w:after="0"/>
        <w:ind w:left="993"/>
      </w:pPr>
      <w:r w:rsidRPr="00BE7FA1">
        <w:lastRenderedPageBreak/>
        <w:t>A cost-minimisation analysis of cabozantinib vs nivolumab.</w:t>
      </w:r>
    </w:p>
    <w:p w:rsidR="006136BA" w:rsidRPr="00BE7FA1" w:rsidRDefault="006136BA" w:rsidP="006136BA">
      <w:pPr>
        <w:spacing w:before="0" w:after="0"/>
      </w:pPr>
    </w:p>
    <w:p w:rsidR="006136BA" w:rsidRPr="00BE7FA1" w:rsidRDefault="006136BA" w:rsidP="00281207">
      <w:pPr>
        <w:pStyle w:val="ListParagraph"/>
        <w:numPr>
          <w:ilvl w:val="1"/>
          <w:numId w:val="4"/>
        </w:numPr>
        <w:spacing w:before="0" w:after="120"/>
      </w:pPr>
      <w:r w:rsidRPr="00BE7FA1">
        <w:t xml:space="preserve">As highlighted above, given its recent PBS listing, nivolumab is considered the most relevant comparator. </w:t>
      </w:r>
      <w:r w:rsidR="00F25B32" w:rsidRPr="00BE7FA1">
        <w:t>T</w:t>
      </w:r>
      <w:r w:rsidRPr="00BE7FA1">
        <w:t>he</w:t>
      </w:r>
      <w:r w:rsidR="004D3A67" w:rsidRPr="00BE7FA1">
        <w:t xml:space="preserve"> ESC </w:t>
      </w:r>
      <w:r w:rsidR="00A063FD" w:rsidRPr="00BE7FA1">
        <w:t>considered</w:t>
      </w:r>
      <w:r w:rsidR="004D3A67" w:rsidRPr="00BE7FA1">
        <w:t xml:space="preserve"> that the</w:t>
      </w:r>
      <w:r w:rsidR="00A063FD" w:rsidRPr="00BE7FA1">
        <w:t xml:space="preserve"> evidence presented to support </w:t>
      </w:r>
      <w:r w:rsidRPr="00BE7FA1">
        <w:t xml:space="preserve">the superiority claim </w:t>
      </w:r>
      <w:r w:rsidR="00A063FD" w:rsidRPr="00BE7FA1">
        <w:t>for</w:t>
      </w:r>
      <w:r w:rsidRPr="00BE7FA1">
        <w:t xml:space="preserve"> cabozantinib vs nivolumab </w:t>
      </w:r>
      <w:r w:rsidR="00A063FD" w:rsidRPr="00BE7FA1">
        <w:t>did not provide a reliable basis for a cost-effectiveness model.</w:t>
      </w:r>
      <w:r w:rsidRPr="00BE7FA1">
        <w:t xml:space="preserve"> Therefore, the cost-minimisation approach </w:t>
      </w:r>
      <w:r w:rsidR="003E5F0F" w:rsidRPr="00BE7FA1">
        <w:t xml:space="preserve">was </w:t>
      </w:r>
      <w:r w:rsidRPr="00BE7FA1">
        <w:t>the most appropriate</w:t>
      </w:r>
      <w:r w:rsidR="003E5F0F" w:rsidRPr="00BE7FA1">
        <w:t>.</w:t>
      </w:r>
    </w:p>
    <w:p w:rsidR="006136BA" w:rsidRPr="00BE7FA1" w:rsidRDefault="006136BA" w:rsidP="006136BA">
      <w:pPr>
        <w:spacing w:before="0" w:after="120"/>
        <w:rPr>
          <w:u w:val="single"/>
        </w:rPr>
      </w:pPr>
      <w:r w:rsidRPr="00BE7FA1">
        <w:rPr>
          <w:u w:val="single"/>
        </w:rPr>
        <w:t>Cost-minimisation analysis</w:t>
      </w:r>
      <w:r w:rsidR="00AD1BCD" w:rsidRPr="00BE7FA1">
        <w:rPr>
          <w:u w:val="single"/>
        </w:rPr>
        <w:t xml:space="preserve"> vs nivolumab</w:t>
      </w:r>
    </w:p>
    <w:p w:rsidR="005E7484" w:rsidRPr="00BE7FA1" w:rsidRDefault="006136BA" w:rsidP="005E7484">
      <w:pPr>
        <w:pStyle w:val="ListParagraph"/>
        <w:numPr>
          <w:ilvl w:val="1"/>
          <w:numId w:val="4"/>
        </w:numPr>
        <w:spacing w:before="0" w:after="120"/>
      </w:pPr>
      <w:r w:rsidRPr="00BE7FA1">
        <w:t xml:space="preserve">The submission estimated the </w:t>
      </w:r>
      <w:proofErr w:type="spellStart"/>
      <w:r w:rsidRPr="00BE7FA1">
        <w:t>equi</w:t>
      </w:r>
      <w:proofErr w:type="spellEnd"/>
      <w:r w:rsidRPr="00BE7FA1">
        <w:t>-effective doses as cabozantinib 45.15mg daily and nivolumab 240.6mg (80.2kg x 3mg/kg) every 14 days, ass</w:t>
      </w:r>
      <w:r w:rsidR="00645D71" w:rsidRPr="00BE7FA1">
        <w:t>uming equal treatment durations.</w:t>
      </w:r>
    </w:p>
    <w:p w:rsidR="006136BA" w:rsidRPr="00BE7FA1" w:rsidRDefault="006136BA" w:rsidP="00A832C9">
      <w:pPr>
        <w:pStyle w:val="ListParagraph"/>
        <w:numPr>
          <w:ilvl w:val="1"/>
          <w:numId w:val="4"/>
        </w:numPr>
        <w:spacing w:before="0" w:after="120"/>
      </w:pPr>
      <w:r w:rsidRPr="00BE7FA1">
        <w:t>The average dose of cabozantinib was based on METEOR, while the average dose of nivolumab is based on the protocol dose in CheckMate 025 (3mg/kg every 14 days), using the average weight of patients in the METEOR trial. While dose-reductions of nivolumab were not allowed in CheckMate 025, a total of 207 of 406 patients treated with nivolumab (51%) had dose delays. The assumption that patients will receive 100% of the schedule dose is inappropriate and will bias the results of the cost-minimisation analysis in favour of cabozantinib.</w:t>
      </w:r>
    </w:p>
    <w:p w:rsidR="006136BA" w:rsidRPr="00BE7FA1" w:rsidRDefault="006136BA" w:rsidP="00A832C9">
      <w:pPr>
        <w:pStyle w:val="ListParagraph"/>
        <w:numPr>
          <w:ilvl w:val="1"/>
          <w:numId w:val="4"/>
        </w:numPr>
        <w:spacing w:before="0" w:after="120"/>
      </w:pPr>
      <w:r w:rsidRPr="00BE7FA1">
        <w:t xml:space="preserve">The submission stated that in both METEOR and CheckMate 025, treatment was provided until disease progression, occurrence of an adverse event that necessitated </w:t>
      </w:r>
      <w:r w:rsidR="00BE7FA1" w:rsidRPr="00BE7FA1">
        <w:t>discontinuation</w:t>
      </w:r>
      <w:r w:rsidRPr="00BE7FA1">
        <w:t xml:space="preserve"> or until treatment no longer provided clinical benefit (as determined by the investigator). Therefore, the </w:t>
      </w:r>
      <w:proofErr w:type="spellStart"/>
      <w:r w:rsidRPr="00BE7FA1">
        <w:t>equi</w:t>
      </w:r>
      <w:proofErr w:type="spellEnd"/>
      <w:r w:rsidRPr="00BE7FA1">
        <w:t>-effective doses were estimated assuming both agents are provided indefinitely, while still indicated, assuming equal treatment durations.</w:t>
      </w:r>
      <w:r w:rsidR="00A93F34" w:rsidRPr="00BE7FA1">
        <w:t xml:space="preserve"> The assumption of equal treatment duration in the cost-minimisation analysis </w:t>
      </w:r>
      <w:r w:rsidR="00D81449" w:rsidRPr="00BE7FA1">
        <w:t xml:space="preserve">was unlikely to </w:t>
      </w:r>
      <w:r w:rsidR="00A93F34" w:rsidRPr="00BE7FA1">
        <w:t xml:space="preserve">be appropriate. </w:t>
      </w:r>
      <w:r w:rsidR="0018453E" w:rsidRPr="00BE7FA1">
        <w:t xml:space="preserve">The </w:t>
      </w:r>
      <w:r w:rsidR="005E7484" w:rsidRPr="00BE7FA1">
        <w:t xml:space="preserve">ESC </w:t>
      </w:r>
      <w:r w:rsidR="00AD1BCD" w:rsidRPr="00BE7FA1">
        <w:t xml:space="preserve">considered </w:t>
      </w:r>
      <w:r w:rsidR="0018453E" w:rsidRPr="00BE7FA1">
        <w:t>that</w:t>
      </w:r>
      <w:r w:rsidR="00A93F34" w:rsidRPr="00BE7FA1">
        <w:t xml:space="preserve"> using the</w:t>
      </w:r>
      <w:r w:rsidR="00AD1BCD" w:rsidRPr="00BE7FA1">
        <w:t xml:space="preserve"> median</w:t>
      </w:r>
      <w:r w:rsidR="00A93F34" w:rsidRPr="00BE7FA1">
        <w:t xml:space="preserve"> treatment duration</w:t>
      </w:r>
      <w:r w:rsidR="00AD1BCD" w:rsidRPr="00BE7FA1">
        <w:t>s</w:t>
      </w:r>
      <w:r w:rsidR="00A93F34" w:rsidRPr="00BE7FA1">
        <w:t xml:space="preserve"> </w:t>
      </w:r>
      <w:r w:rsidR="00FA0041" w:rsidRPr="00BE7FA1">
        <w:t>from METEOR for cabozantinib</w:t>
      </w:r>
      <w:r w:rsidR="00D81449" w:rsidRPr="00BE7FA1">
        <w:t xml:space="preserve"> </w:t>
      </w:r>
      <w:r w:rsidR="00FA0041" w:rsidRPr="00BE7FA1">
        <w:t xml:space="preserve">and </w:t>
      </w:r>
      <w:r w:rsidR="00AD1BCD" w:rsidRPr="00BE7FA1">
        <w:t>CheckMate 025 for nivolumab wo</w:t>
      </w:r>
      <w:r w:rsidR="0018453E" w:rsidRPr="00BE7FA1">
        <w:t>uld be more appropriate</w:t>
      </w:r>
      <w:r w:rsidR="00A93F34" w:rsidRPr="00BE7FA1">
        <w:t>.</w:t>
      </w:r>
    </w:p>
    <w:p w:rsidR="006136BA" w:rsidRPr="00BE7FA1" w:rsidRDefault="006136BA" w:rsidP="00A832C9">
      <w:pPr>
        <w:pStyle w:val="ListParagraph"/>
        <w:numPr>
          <w:ilvl w:val="1"/>
          <w:numId w:val="4"/>
        </w:numPr>
        <w:spacing w:before="0" w:after="120"/>
      </w:pPr>
      <w:r w:rsidRPr="00BE7FA1">
        <w:t xml:space="preserve">The cost-minimisation analysis included costs associated with administration, and those related to the treatment of severe adverse events. </w:t>
      </w:r>
    </w:p>
    <w:p w:rsidR="006136BA" w:rsidRPr="00BE7FA1" w:rsidRDefault="006136BA" w:rsidP="00A832C9">
      <w:pPr>
        <w:pStyle w:val="ListParagraph"/>
        <w:numPr>
          <w:ilvl w:val="1"/>
          <w:numId w:val="4"/>
        </w:numPr>
        <w:spacing w:before="0" w:after="120"/>
      </w:pPr>
      <w:r w:rsidRPr="00BE7FA1">
        <w:t xml:space="preserve">Results of the cost-minimisation analysis are provided in the table below. </w:t>
      </w:r>
    </w:p>
    <w:p w:rsidR="00281207" w:rsidRDefault="00281207">
      <w:pPr>
        <w:spacing w:before="0" w:line="259" w:lineRule="auto"/>
        <w:jc w:val="left"/>
        <w:rPr>
          <w:rStyle w:val="FontBold"/>
        </w:rPr>
      </w:pPr>
      <w:bookmarkStart w:id="30" w:name="_Toc495683398"/>
      <w:r>
        <w:rPr>
          <w:rStyle w:val="FontBold"/>
          <w:b w:val="0"/>
        </w:rPr>
        <w:br w:type="page"/>
      </w:r>
    </w:p>
    <w:bookmarkEnd w:id="30"/>
    <w:p w:rsidR="00A417AA" w:rsidRPr="00A417AA" w:rsidRDefault="00A417AA" w:rsidP="00A417AA">
      <w:pPr>
        <w:pStyle w:val="Caption"/>
        <w:rPr>
          <w:rFonts w:ascii="Arial Narrow" w:hAnsi="Arial Narrow" w:cs="Vani"/>
        </w:rPr>
      </w:pPr>
      <w:r w:rsidRPr="00A417AA">
        <w:rPr>
          <w:rFonts w:ascii="Arial Narrow" w:hAnsi="Arial Narrow" w:cs="Vani"/>
        </w:rPr>
        <w:lastRenderedPageBreak/>
        <w:t xml:space="preserve">Table </w:t>
      </w:r>
      <w:r w:rsidRPr="00A417AA">
        <w:rPr>
          <w:rFonts w:ascii="Arial Narrow" w:hAnsi="Arial Narrow" w:cs="Vani"/>
        </w:rPr>
        <w:fldChar w:fldCharType="begin"/>
      </w:r>
      <w:r w:rsidRPr="00A417AA">
        <w:rPr>
          <w:rFonts w:ascii="Arial Narrow" w:hAnsi="Arial Narrow" w:cs="Vani"/>
        </w:rPr>
        <w:instrText xml:space="preserve"> SEQ Table \* ARABIC </w:instrText>
      </w:r>
      <w:r w:rsidRPr="00A417AA">
        <w:rPr>
          <w:rFonts w:ascii="Arial Narrow" w:hAnsi="Arial Narrow" w:cs="Vani"/>
        </w:rPr>
        <w:fldChar w:fldCharType="separate"/>
      </w:r>
      <w:r w:rsidR="00C73538">
        <w:rPr>
          <w:rFonts w:ascii="Arial Narrow" w:hAnsi="Arial Narrow" w:cs="Vani"/>
          <w:noProof/>
        </w:rPr>
        <w:t>9</w:t>
      </w:r>
      <w:r w:rsidRPr="00A417AA">
        <w:rPr>
          <w:rFonts w:ascii="Arial Narrow" w:hAnsi="Arial Narrow" w:cs="Vani"/>
        </w:rPr>
        <w:fldChar w:fldCharType="end"/>
      </w:r>
      <w:r w:rsidRPr="00A417AA">
        <w:rPr>
          <w:rFonts w:ascii="Arial Narrow" w:hAnsi="Arial Narrow" w:cs="Vani"/>
        </w:rPr>
        <w:t>: Cost-minimisation analysis at the list price, assuming equal treatment durations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minimisation analysis at the list price, assuming equal treatment durations"/>
      </w:tblPr>
      <w:tblGrid>
        <w:gridCol w:w="2399"/>
        <w:gridCol w:w="2222"/>
        <w:gridCol w:w="2314"/>
        <w:gridCol w:w="2307"/>
      </w:tblGrid>
      <w:tr w:rsidR="006136BA" w:rsidRPr="00D43C36" w:rsidTr="00EA49AB">
        <w:trPr>
          <w:cnfStyle w:val="100000000000" w:firstRow="1" w:lastRow="0" w:firstColumn="0" w:lastColumn="0" w:oddVBand="0" w:evenVBand="0" w:oddHBand="0" w:evenHBand="0" w:firstRowFirstColumn="0" w:firstRowLastColumn="0" w:lastRowFirstColumn="0" w:lastRowLastColumn="0"/>
          <w:tblHeader/>
        </w:trPr>
        <w:tc>
          <w:tcPr>
            <w:tcW w:w="9242" w:type="dxa"/>
            <w:gridSpan w:val="4"/>
            <w:shd w:val="clear" w:color="auto" w:fill="auto"/>
          </w:tcPr>
          <w:p w:rsidR="006136BA" w:rsidRPr="00D43C36" w:rsidRDefault="006136BA" w:rsidP="00F76796">
            <w:pPr>
              <w:pStyle w:val="TableText"/>
              <w:keepNext w:val="0"/>
              <w:spacing w:before="0" w:after="0"/>
              <w:rPr>
                <w:lang w:val="en-AU"/>
              </w:rPr>
            </w:pPr>
            <w:r w:rsidRPr="00D43C36">
              <w:t>Once daily cabozantinib at 45.15mg</w:t>
            </w:r>
            <w:r w:rsidR="00645D71" w:rsidRPr="00D43C36">
              <w:t xml:space="preserve"> (for 14 days)</w:t>
            </w:r>
            <w:r w:rsidRPr="00D43C36">
              <w:t xml:space="preserve"> is equivalent to nivolumab every 14 days at a dose of 3mg/kg</w:t>
            </w:r>
          </w:p>
        </w:tc>
      </w:tr>
      <w:tr w:rsidR="006136BA" w:rsidRPr="00D43C36" w:rsidTr="00F76796">
        <w:tc>
          <w:tcPr>
            <w:tcW w:w="4621" w:type="dxa"/>
            <w:gridSpan w:val="2"/>
            <w:shd w:val="clear" w:color="auto" w:fill="auto"/>
          </w:tcPr>
          <w:p w:rsidR="006136BA" w:rsidRPr="00D43C36" w:rsidRDefault="006136BA" w:rsidP="00F76796">
            <w:pPr>
              <w:pStyle w:val="TableText"/>
              <w:keepNext w:val="0"/>
              <w:spacing w:before="0" w:after="0"/>
              <w:rPr>
                <w:lang w:val="en-AU"/>
              </w:rPr>
            </w:pPr>
            <w:r w:rsidRPr="00D43C36">
              <w:t>Ex-manufacturer price for nivolumab</w:t>
            </w:r>
          </w:p>
        </w:tc>
        <w:tc>
          <w:tcPr>
            <w:tcW w:w="4621" w:type="dxa"/>
            <w:gridSpan w:val="2"/>
            <w:shd w:val="clear" w:color="auto" w:fill="auto"/>
          </w:tcPr>
          <w:p w:rsidR="006136BA" w:rsidRPr="00D43C36" w:rsidRDefault="006136BA" w:rsidP="00F76796">
            <w:pPr>
              <w:pStyle w:val="TableText"/>
              <w:keepNext w:val="0"/>
              <w:spacing w:before="0" w:after="0"/>
              <w:rPr>
                <w:lang w:val="en-AU"/>
              </w:rPr>
            </w:pPr>
            <w:r w:rsidRPr="00D43C36">
              <w:t>Ex-manufacturer price for cabozantinib</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 xml:space="preserve">   40mg/4mL, 1x4mL vial</w:t>
            </w:r>
          </w:p>
        </w:tc>
        <w:tc>
          <w:tcPr>
            <w:tcW w:w="2222" w:type="dxa"/>
            <w:shd w:val="clear" w:color="auto" w:fill="auto"/>
          </w:tcPr>
          <w:p w:rsidR="006136BA" w:rsidRPr="00D43C36" w:rsidRDefault="006136BA" w:rsidP="00F76796">
            <w:pPr>
              <w:pStyle w:val="TableText"/>
              <w:keepNext w:val="0"/>
              <w:spacing w:before="0" w:after="0"/>
              <w:rPr>
                <w:lang w:val="en-AU"/>
              </w:rPr>
            </w:pPr>
            <w:r w:rsidRPr="00D43C36">
              <w:t>$830.70</w:t>
            </w:r>
          </w:p>
        </w:tc>
        <w:tc>
          <w:tcPr>
            <w:tcW w:w="2314" w:type="dxa"/>
            <w:shd w:val="clear" w:color="auto" w:fill="auto"/>
          </w:tcPr>
          <w:p w:rsidR="006136BA" w:rsidRPr="00D43C36" w:rsidRDefault="006136BA" w:rsidP="00F76796">
            <w:pPr>
              <w:pStyle w:val="TableText"/>
              <w:keepNext w:val="0"/>
              <w:spacing w:before="0" w:after="0"/>
              <w:rPr>
                <w:lang w:val="en-AU"/>
              </w:rPr>
            </w:pPr>
            <w:r w:rsidRPr="00D43C36">
              <w:t xml:space="preserve">   60/40/20mg, 30 tablets</w:t>
            </w:r>
          </w:p>
        </w:tc>
        <w:tc>
          <w:tcPr>
            <w:tcW w:w="2307" w:type="dxa"/>
            <w:shd w:val="clear" w:color="auto" w:fill="auto"/>
          </w:tcPr>
          <w:p w:rsidR="006136BA" w:rsidRPr="00D43C36" w:rsidRDefault="006136BA" w:rsidP="00F76796">
            <w:pPr>
              <w:pStyle w:val="TableText"/>
              <w:keepNext w:val="0"/>
              <w:spacing w:before="0" w:after="0"/>
              <w:rPr>
                <w:lang w:val="en-AU"/>
              </w:rPr>
            </w:pPr>
            <w:r w:rsidRPr="00D43C36">
              <w:t>$</w:t>
            </w:r>
            <w:r w:rsidR="00653C98">
              <w:rPr>
                <w:noProof/>
                <w:color w:val="000000"/>
                <w:highlight w:val="black"/>
              </w:rPr>
              <w:t>'''''''''''''</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 xml:space="preserve">   100mg/10mL</w:t>
            </w:r>
          </w:p>
          <w:p w:rsidR="006136BA" w:rsidRPr="00D43C36" w:rsidRDefault="006136BA" w:rsidP="00F76796">
            <w:pPr>
              <w:pStyle w:val="TableText"/>
              <w:keepNext w:val="0"/>
              <w:spacing w:before="0" w:after="0"/>
              <w:rPr>
                <w:lang w:val="en-AU"/>
              </w:rPr>
            </w:pPr>
            <w:r w:rsidRPr="00D43C36">
              <w:t>1x10mL vial</w:t>
            </w:r>
          </w:p>
        </w:tc>
        <w:tc>
          <w:tcPr>
            <w:tcW w:w="2222" w:type="dxa"/>
            <w:shd w:val="clear" w:color="auto" w:fill="auto"/>
          </w:tcPr>
          <w:p w:rsidR="006136BA" w:rsidRPr="00D43C36" w:rsidRDefault="006136BA" w:rsidP="00F76796">
            <w:pPr>
              <w:pStyle w:val="TableText"/>
              <w:keepNext w:val="0"/>
              <w:spacing w:before="0" w:after="0"/>
              <w:rPr>
                <w:lang w:val="en-AU"/>
              </w:rPr>
            </w:pPr>
            <w:r w:rsidRPr="00D43C36">
              <w:t>$2,076.75</w:t>
            </w:r>
          </w:p>
        </w:tc>
        <w:tc>
          <w:tcPr>
            <w:tcW w:w="2314" w:type="dxa"/>
            <w:shd w:val="clear" w:color="auto" w:fill="auto"/>
          </w:tcPr>
          <w:p w:rsidR="006136BA" w:rsidRPr="00D43C36" w:rsidRDefault="006136BA" w:rsidP="00F76796">
            <w:pPr>
              <w:pStyle w:val="TableText"/>
              <w:keepNext w:val="0"/>
              <w:spacing w:before="0" w:after="0"/>
              <w:rPr>
                <w:lang w:val="en-AU"/>
              </w:rPr>
            </w:pPr>
          </w:p>
        </w:tc>
        <w:tc>
          <w:tcPr>
            <w:tcW w:w="2307" w:type="dxa"/>
            <w:shd w:val="clear" w:color="auto" w:fill="auto"/>
          </w:tcPr>
          <w:p w:rsidR="006136BA" w:rsidRPr="00D43C36" w:rsidRDefault="006136BA" w:rsidP="00F76796">
            <w:pPr>
              <w:pStyle w:val="TableText"/>
              <w:keepNext w:val="0"/>
              <w:spacing w:before="0" w:after="0"/>
              <w:rPr>
                <w:lang w:val="en-AU"/>
              </w:rPr>
            </w:pP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40mg/4mL, 1x4mL vial</w:t>
            </w:r>
          </w:p>
          <w:p w:rsidR="006136BA" w:rsidRPr="00D43C36" w:rsidRDefault="006136BA" w:rsidP="00F76796">
            <w:pPr>
              <w:pStyle w:val="TableText"/>
              <w:keepNext w:val="0"/>
              <w:spacing w:before="0" w:after="0"/>
              <w:rPr>
                <w:lang w:val="en-AU"/>
              </w:rPr>
            </w:pPr>
            <w:r w:rsidRPr="00D43C36">
              <w:t>Plus AHI Fee</w:t>
            </w:r>
          </w:p>
        </w:tc>
        <w:tc>
          <w:tcPr>
            <w:tcW w:w="2222" w:type="dxa"/>
            <w:shd w:val="clear" w:color="auto" w:fill="auto"/>
          </w:tcPr>
          <w:p w:rsidR="006136BA" w:rsidRPr="00D43C36" w:rsidRDefault="006136BA" w:rsidP="00F76796">
            <w:pPr>
              <w:pStyle w:val="TableText"/>
              <w:keepNext w:val="0"/>
              <w:spacing w:before="0" w:after="0"/>
              <w:rPr>
                <w:lang w:val="en-AU"/>
              </w:rPr>
            </w:pPr>
            <w:r w:rsidRPr="00D43C36">
              <w:t>$857.01</w:t>
            </w:r>
          </w:p>
        </w:tc>
        <w:tc>
          <w:tcPr>
            <w:tcW w:w="2314" w:type="dxa"/>
            <w:shd w:val="clear" w:color="auto" w:fill="auto"/>
          </w:tcPr>
          <w:p w:rsidR="006136BA" w:rsidRPr="00D43C36" w:rsidRDefault="006136BA" w:rsidP="00F76796">
            <w:pPr>
              <w:pStyle w:val="TableText"/>
              <w:keepNext w:val="0"/>
              <w:spacing w:before="0" w:after="0"/>
              <w:rPr>
                <w:lang w:val="en-AU"/>
              </w:rPr>
            </w:pPr>
            <w:r w:rsidRPr="00D43C36">
              <w:t>DPMQ</w:t>
            </w:r>
          </w:p>
          <w:p w:rsidR="006136BA" w:rsidRPr="00D43C36" w:rsidRDefault="006136BA" w:rsidP="00F76796">
            <w:pPr>
              <w:pStyle w:val="TableText"/>
              <w:keepNext w:val="0"/>
              <w:spacing w:before="0" w:after="0"/>
              <w:rPr>
                <w:lang w:val="en-AU"/>
              </w:rPr>
            </w:pPr>
            <w:r w:rsidRPr="00D43C36">
              <w:t xml:space="preserve">   60/40/20mg, 30 tablets</w:t>
            </w:r>
          </w:p>
        </w:tc>
        <w:tc>
          <w:tcPr>
            <w:tcW w:w="2307" w:type="dxa"/>
            <w:shd w:val="clear" w:color="auto" w:fill="auto"/>
          </w:tcPr>
          <w:p w:rsidR="006136BA" w:rsidRPr="00D43C36" w:rsidRDefault="006136BA" w:rsidP="00F76796">
            <w:pPr>
              <w:pStyle w:val="TableText"/>
              <w:keepNext w:val="0"/>
              <w:spacing w:before="0" w:after="0"/>
              <w:rPr>
                <w:lang w:val="en-AU"/>
              </w:rPr>
            </w:pPr>
            <w:r w:rsidRPr="00D43C36">
              <w:t>$</w:t>
            </w:r>
            <w:r w:rsidR="00653C98">
              <w:rPr>
                <w:noProof/>
                <w:color w:val="000000"/>
                <w:highlight w:val="black"/>
              </w:rPr>
              <w:t>'''''''''''''''''''</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100mg/10mL, 1x10mL vial</w:t>
            </w:r>
          </w:p>
          <w:p w:rsidR="006136BA" w:rsidRPr="00D43C36" w:rsidRDefault="006136BA" w:rsidP="00F76796">
            <w:pPr>
              <w:pStyle w:val="TableText"/>
              <w:keepNext w:val="0"/>
              <w:spacing w:before="0" w:after="0"/>
              <w:rPr>
                <w:lang w:val="en-AU"/>
              </w:rPr>
            </w:pPr>
            <w:r w:rsidRPr="00D43C36">
              <w:t>Plus AHI fee</w:t>
            </w:r>
          </w:p>
        </w:tc>
        <w:tc>
          <w:tcPr>
            <w:tcW w:w="2222" w:type="dxa"/>
            <w:shd w:val="clear" w:color="auto" w:fill="auto"/>
          </w:tcPr>
          <w:p w:rsidR="006136BA" w:rsidRPr="00D43C36" w:rsidRDefault="006136BA" w:rsidP="00F76796">
            <w:pPr>
              <w:pStyle w:val="TableText"/>
              <w:keepNext w:val="0"/>
              <w:spacing w:before="0" w:after="0"/>
              <w:rPr>
                <w:lang w:val="en-AU"/>
              </w:rPr>
            </w:pPr>
            <w:r w:rsidRPr="00D43C36">
              <w:t>$2,146.68</w:t>
            </w:r>
          </w:p>
        </w:tc>
        <w:tc>
          <w:tcPr>
            <w:tcW w:w="2314" w:type="dxa"/>
            <w:shd w:val="clear" w:color="auto" w:fill="auto"/>
          </w:tcPr>
          <w:p w:rsidR="006136BA" w:rsidRPr="00D43C36" w:rsidRDefault="006136BA" w:rsidP="00F76796">
            <w:pPr>
              <w:pStyle w:val="TableText"/>
              <w:keepNext w:val="0"/>
              <w:spacing w:before="0" w:after="0"/>
              <w:rPr>
                <w:lang w:val="en-AU"/>
              </w:rPr>
            </w:pPr>
          </w:p>
        </w:tc>
        <w:tc>
          <w:tcPr>
            <w:tcW w:w="2307" w:type="dxa"/>
            <w:shd w:val="clear" w:color="auto" w:fill="auto"/>
          </w:tcPr>
          <w:p w:rsidR="006136BA" w:rsidRPr="00D43C36" w:rsidRDefault="006136BA" w:rsidP="00F76796">
            <w:pPr>
              <w:pStyle w:val="TableText"/>
              <w:keepNext w:val="0"/>
              <w:spacing w:before="0" w:after="0"/>
              <w:rPr>
                <w:lang w:val="en-AU"/>
              </w:rPr>
            </w:pP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Target dose</w:t>
            </w:r>
          </w:p>
        </w:tc>
        <w:tc>
          <w:tcPr>
            <w:tcW w:w="2222" w:type="dxa"/>
            <w:shd w:val="clear" w:color="auto" w:fill="auto"/>
          </w:tcPr>
          <w:p w:rsidR="006136BA" w:rsidRPr="00D43C36" w:rsidRDefault="006136BA" w:rsidP="00F76796">
            <w:pPr>
              <w:pStyle w:val="TableText"/>
              <w:keepNext w:val="0"/>
              <w:spacing w:before="0" w:after="0"/>
              <w:rPr>
                <w:lang w:val="en-AU"/>
              </w:rPr>
            </w:pPr>
            <w:r w:rsidRPr="00D43C36">
              <w:t>240.6mg [3 x 80.2kg]</w:t>
            </w:r>
          </w:p>
        </w:tc>
        <w:tc>
          <w:tcPr>
            <w:tcW w:w="2314" w:type="dxa"/>
            <w:shd w:val="clear" w:color="auto" w:fill="auto"/>
          </w:tcPr>
          <w:p w:rsidR="006136BA" w:rsidRPr="00D43C36" w:rsidRDefault="006136BA" w:rsidP="00F76796">
            <w:pPr>
              <w:pStyle w:val="TableText"/>
              <w:keepNext w:val="0"/>
              <w:spacing w:before="0" w:after="0"/>
              <w:rPr>
                <w:lang w:val="en-AU"/>
              </w:rPr>
            </w:pPr>
          </w:p>
        </w:tc>
        <w:tc>
          <w:tcPr>
            <w:tcW w:w="2307" w:type="dxa"/>
            <w:shd w:val="clear" w:color="auto" w:fill="auto"/>
          </w:tcPr>
          <w:p w:rsidR="006136BA" w:rsidRPr="00D43C36" w:rsidRDefault="006136BA" w:rsidP="00F76796">
            <w:pPr>
              <w:pStyle w:val="TableText"/>
              <w:keepNext w:val="0"/>
              <w:spacing w:before="0" w:after="0"/>
              <w:rPr>
                <w:lang w:val="en-AU"/>
              </w:rPr>
            </w:pP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Drug cost every 14 days</w:t>
            </w:r>
          </w:p>
        </w:tc>
        <w:tc>
          <w:tcPr>
            <w:tcW w:w="2222" w:type="dxa"/>
            <w:shd w:val="clear" w:color="auto" w:fill="auto"/>
          </w:tcPr>
          <w:p w:rsidR="006136BA" w:rsidRPr="00D43C36" w:rsidRDefault="006136BA" w:rsidP="00F76796">
            <w:pPr>
              <w:pStyle w:val="TableText"/>
              <w:keepNext w:val="0"/>
              <w:spacing w:before="0" w:after="0"/>
              <w:rPr>
                <w:lang w:val="en-AU"/>
              </w:rPr>
            </w:pPr>
            <w:r w:rsidRPr="00D43C36">
              <w:t>$5,263.36†</w:t>
            </w:r>
          </w:p>
        </w:tc>
        <w:tc>
          <w:tcPr>
            <w:tcW w:w="2314" w:type="dxa"/>
            <w:shd w:val="clear" w:color="auto" w:fill="auto"/>
          </w:tcPr>
          <w:p w:rsidR="006136BA" w:rsidRPr="00D43C36" w:rsidRDefault="006136BA" w:rsidP="00F76796">
            <w:pPr>
              <w:pStyle w:val="TableText"/>
              <w:keepNext w:val="0"/>
              <w:spacing w:before="0" w:after="0"/>
              <w:rPr>
                <w:lang w:val="en-AU"/>
              </w:rPr>
            </w:pPr>
            <w:r w:rsidRPr="00D43C36">
              <w:t>Daily cost of therapy</w:t>
            </w:r>
          </w:p>
        </w:tc>
        <w:tc>
          <w:tcPr>
            <w:tcW w:w="2307" w:type="dxa"/>
            <w:shd w:val="clear" w:color="auto" w:fill="auto"/>
          </w:tcPr>
          <w:p w:rsidR="006136BA" w:rsidRPr="00D43C36" w:rsidRDefault="006136BA" w:rsidP="00F76796">
            <w:pPr>
              <w:pStyle w:val="TableText"/>
              <w:keepNext w:val="0"/>
              <w:spacing w:before="0" w:after="0"/>
              <w:rPr>
                <w:lang w:val="en-AU"/>
              </w:rPr>
            </w:pPr>
            <w:r w:rsidRPr="00D43C36">
              <w:t>$</w:t>
            </w:r>
            <w:r w:rsidR="00653C98">
              <w:rPr>
                <w:noProof/>
                <w:color w:val="000000"/>
                <w:highlight w:val="black"/>
              </w:rPr>
              <w:t>'''''''''''''''</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 xml:space="preserve">Administration </w:t>
            </w:r>
          </w:p>
          <w:p w:rsidR="006136BA" w:rsidRPr="00D43C36" w:rsidRDefault="006136BA" w:rsidP="00F76796">
            <w:pPr>
              <w:pStyle w:val="TableText"/>
              <w:keepNext w:val="0"/>
              <w:spacing w:before="0" w:after="0"/>
              <w:rPr>
                <w:lang w:val="en-AU"/>
              </w:rPr>
            </w:pPr>
            <w:r w:rsidRPr="00D43C36">
              <w:t>every 14 days</w:t>
            </w:r>
          </w:p>
        </w:tc>
        <w:tc>
          <w:tcPr>
            <w:tcW w:w="2222" w:type="dxa"/>
            <w:shd w:val="clear" w:color="auto" w:fill="auto"/>
          </w:tcPr>
          <w:p w:rsidR="006136BA" w:rsidRPr="00D43C36" w:rsidRDefault="006136BA" w:rsidP="00F76796">
            <w:pPr>
              <w:pStyle w:val="TableText"/>
              <w:keepNext w:val="0"/>
              <w:spacing w:before="0" w:after="0"/>
              <w:rPr>
                <w:lang w:val="en-AU"/>
              </w:rPr>
            </w:pPr>
            <w:r w:rsidRPr="00D43C36">
              <w:t>$97.95</w:t>
            </w:r>
          </w:p>
        </w:tc>
        <w:tc>
          <w:tcPr>
            <w:tcW w:w="2314" w:type="dxa"/>
            <w:shd w:val="clear" w:color="auto" w:fill="auto"/>
          </w:tcPr>
          <w:p w:rsidR="006136BA" w:rsidRPr="00D43C36" w:rsidRDefault="006136BA" w:rsidP="00F76796">
            <w:pPr>
              <w:pStyle w:val="TableText"/>
              <w:keepNext w:val="0"/>
              <w:spacing w:before="0" w:after="0"/>
              <w:rPr>
                <w:lang w:val="en-AU"/>
              </w:rPr>
            </w:pPr>
            <w:r w:rsidRPr="00D43C36">
              <w:t>Administration</w:t>
            </w:r>
          </w:p>
        </w:tc>
        <w:tc>
          <w:tcPr>
            <w:tcW w:w="2307" w:type="dxa"/>
            <w:shd w:val="clear" w:color="auto" w:fill="auto"/>
          </w:tcPr>
          <w:p w:rsidR="006136BA" w:rsidRPr="00D43C36" w:rsidRDefault="006136BA" w:rsidP="00F76796">
            <w:pPr>
              <w:pStyle w:val="TableText"/>
              <w:keepNext w:val="0"/>
              <w:spacing w:before="0" w:after="0"/>
              <w:rPr>
                <w:lang w:val="en-AU"/>
              </w:rPr>
            </w:pPr>
            <w:r w:rsidRPr="00D43C36">
              <w:t>$0.00</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SAE over 14 days</w:t>
            </w:r>
          </w:p>
        </w:tc>
        <w:tc>
          <w:tcPr>
            <w:tcW w:w="2222" w:type="dxa"/>
            <w:shd w:val="clear" w:color="auto" w:fill="auto"/>
          </w:tcPr>
          <w:p w:rsidR="006136BA" w:rsidRPr="00D43C36" w:rsidRDefault="006136BA" w:rsidP="00F76796">
            <w:pPr>
              <w:pStyle w:val="TableText"/>
              <w:keepNext w:val="0"/>
              <w:spacing w:before="0" w:after="0"/>
              <w:rPr>
                <w:lang w:val="en-AU"/>
              </w:rPr>
            </w:pPr>
            <w:r w:rsidRPr="00D43C36">
              <w:t>$8.95</w:t>
            </w:r>
          </w:p>
        </w:tc>
        <w:tc>
          <w:tcPr>
            <w:tcW w:w="2314" w:type="dxa"/>
            <w:shd w:val="clear" w:color="auto" w:fill="auto"/>
          </w:tcPr>
          <w:p w:rsidR="006136BA" w:rsidRPr="00D43C36" w:rsidRDefault="006136BA" w:rsidP="00F76796">
            <w:pPr>
              <w:pStyle w:val="TableText"/>
              <w:keepNext w:val="0"/>
              <w:spacing w:before="0" w:after="0"/>
              <w:rPr>
                <w:lang w:val="en-AU"/>
              </w:rPr>
            </w:pPr>
            <w:r w:rsidRPr="00D43C36">
              <w:t>Daily cost of SAE</w:t>
            </w:r>
          </w:p>
        </w:tc>
        <w:tc>
          <w:tcPr>
            <w:tcW w:w="2307" w:type="dxa"/>
            <w:shd w:val="clear" w:color="auto" w:fill="auto"/>
          </w:tcPr>
          <w:p w:rsidR="006136BA" w:rsidRPr="00D43C36" w:rsidRDefault="006136BA" w:rsidP="00F76796">
            <w:pPr>
              <w:pStyle w:val="TableText"/>
              <w:keepNext w:val="0"/>
              <w:spacing w:before="0" w:after="0"/>
              <w:rPr>
                <w:lang w:val="en-AU"/>
              </w:rPr>
            </w:pPr>
            <w:r w:rsidRPr="00D43C36">
              <w:t>$</w:t>
            </w:r>
            <w:r w:rsidR="00653C98">
              <w:rPr>
                <w:noProof/>
                <w:color w:val="000000"/>
                <w:highlight w:val="black"/>
              </w:rPr>
              <w:t>'''''''''''</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p>
        </w:tc>
        <w:tc>
          <w:tcPr>
            <w:tcW w:w="2222" w:type="dxa"/>
            <w:shd w:val="clear" w:color="auto" w:fill="auto"/>
          </w:tcPr>
          <w:p w:rsidR="006136BA" w:rsidRPr="00D43C36" w:rsidRDefault="006136BA" w:rsidP="00F76796">
            <w:pPr>
              <w:pStyle w:val="TableText"/>
              <w:keepNext w:val="0"/>
              <w:spacing w:before="0" w:after="0"/>
              <w:rPr>
                <w:lang w:val="en-AU"/>
              </w:rPr>
            </w:pPr>
          </w:p>
        </w:tc>
        <w:tc>
          <w:tcPr>
            <w:tcW w:w="2314" w:type="dxa"/>
            <w:shd w:val="clear" w:color="auto" w:fill="auto"/>
          </w:tcPr>
          <w:p w:rsidR="006136BA" w:rsidRPr="00D43C36" w:rsidRDefault="006136BA" w:rsidP="00F76796">
            <w:pPr>
              <w:pStyle w:val="TableText"/>
              <w:keepNext w:val="0"/>
              <w:spacing w:before="0" w:after="0"/>
              <w:rPr>
                <w:lang w:val="en-AU"/>
              </w:rPr>
            </w:pPr>
            <w:r w:rsidRPr="00D43C36">
              <w:t>Total cost per day</w:t>
            </w:r>
          </w:p>
        </w:tc>
        <w:tc>
          <w:tcPr>
            <w:tcW w:w="2307" w:type="dxa"/>
            <w:shd w:val="clear" w:color="auto" w:fill="auto"/>
          </w:tcPr>
          <w:p w:rsidR="006136BA" w:rsidRPr="00D43C36" w:rsidRDefault="006136BA" w:rsidP="00F76796">
            <w:pPr>
              <w:pStyle w:val="TableText"/>
              <w:keepNext w:val="0"/>
              <w:spacing w:before="0" w:after="0"/>
              <w:rPr>
                <w:lang w:val="en-AU"/>
              </w:rPr>
            </w:pPr>
            <w:r w:rsidRPr="00D43C36">
              <w:t>$</w:t>
            </w:r>
            <w:r w:rsidR="00653C98">
              <w:rPr>
                <w:noProof/>
                <w:color w:val="000000"/>
                <w:highlight w:val="black"/>
              </w:rPr>
              <w:t>'''''''''''''''</w:t>
            </w:r>
          </w:p>
        </w:tc>
      </w:tr>
      <w:tr w:rsidR="006136BA" w:rsidRPr="00D43C36" w:rsidTr="00F76796">
        <w:tc>
          <w:tcPr>
            <w:tcW w:w="2399" w:type="dxa"/>
            <w:shd w:val="clear" w:color="auto" w:fill="auto"/>
          </w:tcPr>
          <w:p w:rsidR="006136BA" w:rsidRPr="00D43C36" w:rsidRDefault="006136BA" w:rsidP="00F76796">
            <w:pPr>
              <w:pStyle w:val="TableText"/>
              <w:keepNext w:val="0"/>
              <w:spacing w:before="0" w:after="0"/>
              <w:rPr>
                <w:lang w:val="en-AU"/>
              </w:rPr>
            </w:pPr>
            <w:r w:rsidRPr="00D43C36">
              <w:t>Total Cost (over 14 days)</w:t>
            </w:r>
          </w:p>
        </w:tc>
        <w:tc>
          <w:tcPr>
            <w:tcW w:w="2222" w:type="dxa"/>
            <w:shd w:val="clear" w:color="auto" w:fill="auto"/>
          </w:tcPr>
          <w:p w:rsidR="006136BA" w:rsidRPr="00D43C36" w:rsidRDefault="006136BA" w:rsidP="00F76796">
            <w:pPr>
              <w:pStyle w:val="TableText"/>
              <w:keepNext w:val="0"/>
              <w:spacing w:before="0" w:after="0"/>
              <w:rPr>
                <w:lang w:val="en-AU"/>
              </w:rPr>
            </w:pPr>
            <w:r w:rsidRPr="00D43C36">
              <w:t>$5,370.26</w:t>
            </w:r>
          </w:p>
        </w:tc>
        <w:tc>
          <w:tcPr>
            <w:tcW w:w="2314" w:type="dxa"/>
            <w:shd w:val="clear" w:color="auto" w:fill="auto"/>
          </w:tcPr>
          <w:p w:rsidR="006136BA" w:rsidRPr="00D43C36" w:rsidRDefault="006136BA" w:rsidP="00F76796">
            <w:pPr>
              <w:pStyle w:val="TableText"/>
              <w:keepNext w:val="0"/>
              <w:spacing w:before="0" w:after="0"/>
              <w:rPr>
                <w:lang w:val="en-AU"/>
              </w:rPr>
            </w:pPr>
            <w:r w:rsidRPr="00D43C36">
              <w:t>Total Cost (over 14 days)</w:t>
            </w:r>
          </w:p>
        </w:tc>
        <w:tc>
          <w:tcPr>
            <w:tcW w:w="2307" w:type="dxa"/>
            <w:shd w:val="clear" w:color="auto" w:fill="auto"/>
          </w:tcPr>
          <w:p w:rsidR="006136BA" w:rsidRPr="00D43C36" w:rsidRDefault="006136BA" w:rsidP="00F76796">
            <w:pPr>
              <w:pStyle w:val="TableText"/>
              <w:keepNext w:val="0"/>
              <w:spacing w:before="0" w:after="0"/>
              <w:rPr>
                <w:lang w:val="en-AU"/>
              </w:rPr>
            </w:pPr>
            <w:r w:rsidRPr="00D43C36">
              <w:t>$</w:t>
            </w:r>
            <w:r w:rsidR="00653C98">
              <w:rPr>
                <w:noProof/>
                <w:color w:val="000000"/>
                <w:highlight w:val="black"/>
              </w:rPr>
              <w:t>''''''''''''''''''''''</w:t>
            </w:r>
          </w:p>
        </w:tc>
      </w:tr>
      <w:tr w:rsidR="006136BA" w:rsidRPr="00D43C36" w:rsidTr="00F76796">
        <w:tc>
          <w:tcPr>
            <w:tcW w:w="9242" w:type="dxa"/>
            <w:gridSpan w:val="4"/>
            <w:shd w:val="clear" w:color="auto" w:fill="auto"/>
          </w:tcPr>
          <w:p w:rsidR="006136BA" w:rsidRPr="00D43C36" w:rsidRDefault="006136BA" w:rsidP="00F76796">
            <w:pPr>
              <w:pStyle w:val="TableText"/>
              <w:keepNext w:val="0"/>
              <w:spacing w:before="0" w:after="0"/>
              <w:rPr>
                <w:lang w:val="en-AU"/>
              </w:rPr>
            </w:pPr>
            <w:r w:rsidRPr="00D43C36">
              <w:t>Cabozantinib is cost-saving by $</w:t>
            </w:r>
            <w:r w:rsidR="00653C98">
              <w:rPr>
                <w:noProof/>
                <w:color w:val="000000"/>
                <w:highlight w:val="black"/>
              </w:rPr>
              <w:t>'''''''''''''''</w:t>
            </w:r>
            <w:r w:rsidRPr="00D43C36">
              <w:t xml:space="preserve"> every 14 days, or saves the PBS $</w:t>
            </w:r>
            <w:r w:rsidR="00653C98">
              <w:rPr>
                <w:noProof/>
                <w:color w:val="000000"/>
                <w:highlight w:val="black"/>
              </w:rPr>
              <w:t>''''''''''''''</w:t>
            </w:r>
            <w:r w:rsidRPr="00D43C36">
              <w:t xml:space="preserve"> per day (at the list price)</w:t>
            </w:r>
          </w:p>
        </w:tc>
      </w:tr>
    </w:tbl>
    <w:p w:rsidR="006136BA" w:rsidRPr="00D43C36" w:rsidRDefault="006136BA" w:rsidP="006136BA">
      <w:pPr>
        <w:pStyle w:val="TableFooter"/>
      </w:pPr>
      <w:r w:rsidRPr="00D43C36">
        <w:t xml:space="preserve">SAE = serious adverse event; DPMQ = dispensed price per maximum quantity; AHI = administration, handling and infrastructure; </w:t>
      </w:r>
    </w:p>
    <w:p w:rsidR="006136BA" w:rsidRPr="00D43C36" w:rsidRDefault="006136BA" w:rsidP="006136BA">
      <w:pPr>
        <w:pStyle w:val="TableFooter"/>
      </w:pPr>
      <w:r w:rsidRPr="00D43C36">
        <w:t xml:space="preserve">† </w:t>
      </w:r>
      <w:proofErr w:type="gramStart"/>
      <w:r w:rsidRPr="00D43C36">
        <w:t>a</w:t>
      </w:r>
      <w:proofErr w:type="gramEnd"/>
      <w:r w:rsidRPr="00D43C36">
        <w:t xml:space="preserve"> distribution, diluent, preparation and ready prepared dispensing fee was added</w:t>
      </w:r>
    </w:p>
    <w:p w:rsidR="006136BA" w:rsidRPr="00BE7FA1" w:rsidRDefault="006136BA" w:rsidP="00931022">
      <w:pPr>
        <w:pStyle w:val="TableFooter"/>
        <w:spacing w:after="0"/>
      </w:pPr>
      <w:r w:rsidRPr="00D43C36">
        <w:t>Source: Table 3-46, Section 3[B] of the submission.</w:t>
      </w:r>
    </w:p>
    <w:p w:rsidR="006136BA" w:rsidRPr="00BE7FA1" w:rsidRDefault="006136BA" w:rsidP="006136BA">
      <w:pPr>
        <w:spacing w:before="0" w:after="0"/>
      </w:pPr>
    </w:p>
    <w:p w:rsidR="006136BA" w:rsidRPr="00BE7FA1" w:rsidRDefault="006136BA" w:rsidP="006136BA">
      <w:pPr>
        <w:spacing w:before="0" w:after="0"/>
        <w:rPr>
          <w:u w:val="single"/>
        </w:rPr>
      </w:pPr>
      <w:r w:rsidRPr="00BE7FA1">
        <w:rPr>
          <w:u w:val="single"/>
        </w:rPr>
        <w:t>Cost-Utility Analysis</w:t>
      </w:r>
      <w:r w:rsidR="0089704A" w:rsidRPr="00BE7FA1">
        <w:rPr>
          <w:u w:val="single"/>
        </w:rPr>
        <w:t xml:space="preserve"> vs everolimus</w:t>
      </w:r>
    </w:p>
    <w:p w:rsidR="006136BA" w:rsidRPr="00BE7FA1" w:rsidRDefault="006136BA" w:rsidP="006136BA">
      <w:pPr>
        <w:spacing w:before="0" w:after="0"/>
        <w:rPr>
          <w:u w:val="single"/>
        </w:rPr>
      </w:pPr>
    </w:p>
    <w:p w:rsidR="006136BA" w:rsidRPr="00BE7FA1" w:rsidRDefault="006136BA" w:rsidP="00A832C9">
      <w:pPr>
        <w:pStyle w:val="ListParagraph"/>
        <w:numPr>
          <w:ilvl w:val="1"/>
          <w:numId w:val="4"/>
        </w:numPr>
        <w:spacing w:before="0" w:after="120"/>
      </w:pPr>
      <w:r w:rsidRPr="00BE7FA1">
        <w:t xml:space="preserve">The submission presented a partitioned survival model, with three mutually-exclusive health states: progression-free/stable disease, post-progressive disease and death. </w:t>
      </w:r>
    </w:p>
    <w:p w:rsidR="006136BA" w:rsidRPr="00BE7FA1" w:rsidRDefault="006136BA" w:rsidP="00A832C9">
      <w:pPr>
        <w:pStyle w:val="ListParagraph"/>
        <w:numPr>
          <w:ilvl w:val="1"/>
          <w:numId w:val="4"/>
        </w:numPr>
        <w:spacing w:before="0" w:after="120"/>
      </w:pPr>
      <w:r w:rsidRPr="00BE7FA1">
        <w:t>A summary of the model structure and rational is provided in the table below.</w:t>
      </w:r>
    </w:p>
    <w:p w:rsidR="00A417AA" w:rsidRPr="00A417AA" w:rsidRDefault="00A417AA" w:rsidP="00A417AA">
      <w:pPr>
        <w:pStyle w:val="Caption"/>
        <w:rPr>
          <w:rFonts w:ascii="Arial Narrow" w:hAnsi="Arial Narrow"/>
        </w:rPr>
      </w:pPr>
      <w:r w:rsidRPr="00A417AA">
        <w:rPr>
          <w:rFonts w:ascii="Arial Narrow" w:hAnsi="Arial Narrow"/>
        </w:rPr>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10</w:t>
      </w:r>
      <w:r w:rsidRPr="00A417AA">
        <w:rPr>
          <w:rFonts w:ascii="Arial Narrow" w:hAnsi="Arial Narrow"/>
        </w:rPr>
        <w:fldChar w:fldCharType="end"/>
      </w:r>
      <w:r w:rsidRPr="00A417AA">
        <w:rPr>
          <w:rFonts w:ascii="Arial Narrow" w:hAnsi="Arial Narrow"/>
        </w:rPr>
        <w:t>: Summary of the model structure</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model structure"/>
      </w:tblPr>
      <w:tblGrid>
        <w:gridCol w:w="2667"/>
        <w:gridCol w:w="6575"/>
      </w:tblGrid>
      <w:tr w:rsidR="006136BA" w:rsidRPr="00BE7FA1" w:rsidTr="00EA49AB">
        <w:trPr>
          <w:tblHeader/>
        </w:trPr>
        <w:tc>
          <w:tcPr>
            <w:tcW w:w="1443" w:type="pct"/>
          </w:tcPr>
          <w:p w:rsidR="006136BA" w:rsidRPr="00BE7FA1" w:rsidRDefault="006136BA" w:rsidP="00F76796">
            <w:pPr>
              <w:pStyle w:val="TableText"/>
              <w:keepNext w:val="0"/>
              <w:spacing w:before="0" w:after="0"/>
              <w:rPr>
                <w:b/>
              </w:rPr>
            </w:pPr>
            <w:r w:rsidRPr="00BE7FA1">
              <w:rPr>
                <w:b/>
              </w:rPr>
              <w:t>Component</w:t>
            </w:r>
          </w:p>
        </w:tc>
        <w:tc>
          <w:tcPr>
            <w:tcW w:w="3557" w:type="pct"/>
          </w:tcPr>
          <w:p w:rsidR="006136BA" w:rsidRPr="00BE7FA1" w:rsidRDefault="006136BA" w:rsidP="00F76796">
            <w:pPr>
              <w:pStyle w:val="TableText"/>
              <w:keepNext w:val="0"/>
              <w:spacing w:before="0" w:after="0"/>
              <w:rPr>
                <w:b/>
              </w:rPr>
            </w:pPr>
            <w:r w:rsidRPr="00BE7FA1">
              <w:rPr>
                <w:b/>
              </w:rPr>
              <w:t>Description</w:t>
            </w:r>
          </w:p>
        </w:tc>
      </w:tr>
      <w:tr w:rsidR="006136BA" w:rsidRPr="00BE7FA1" w:rsidTr="00F76796">
        <w:tc>
          <w:tcPr>
            <w:tcW w:w="1443" w:type="pct"/>
          </w:tcPr>
          <w:p w:rsidR="006136BA" w:rsidRPr="00BE7FA1" w:rsidRDefault="006136BA" w:rsidP="00F76796">
            <w:pPr>
              <w:pStyle w:val="TableText"/>
              <w:keepNext w:val="0"/>
              <w:spacing w:before="0" w:after="0"/>
            </w:pPr>
            <w:r w:rsidRPr="00BE7FA1">
              <w:t>Type(s) of analysis</w:t>
            </w:r>
          </w:p>
        </w:tc>
        <w:tc>
          <w:tcPr>
            <w:tcW w:w="3557" w:type="pct"/>
          </w:tcPr>
          <w:p w:rsidR="006136BA" w:rsidRPr="00BE7FA1" w:rsidRDefault="006136BA" w:rsidP="00F76796">
            <w:pPr>
              <w:pStyle w:val="TableText"/>
              <w:keepNext w:val="0"/>
              <w:spacing w:before="0" w:after="0"/>
            </w:pPr>
            <w:r w:rsidRPr="00BE7FA1">
              <w:t>Cost-utility analysis and cost-effectiveness analyses</w:t>
            </w:r>
          </w:p>
        </w:tc>
      </w:tr>
      <w:tr w:rsidR="006136BA" w:rsidRPr="00BE7FA1" w:rsidTr="00F76796">
        <w:tc>
          <w:tcPr>
            <w:tcW w:w="1443" w:type="pct"/>
          </w:tcPr>
          <w:p w:rsidR="006136BA" w:rsidRPr="00BE7FA1" w:rsidRDefault="006136BA" w:rsidP="00F76796">
            <w:pPr>
              <w:pStyle w:val="TableText"/>
              <w:keepNext w:val="0"/>
              <w:spacing w:before="0" w:after="0"/>
            </w:pPr>
            <w:r w:rsidRPr="00BE7FA1">
              <w:t>Outcomes</w:t>
            </w:r>
          </w:p>
        </w:tc>
        <w:tc>
          <w:tcPr>
            <w:tcW w:w="3557" w:type="pct"/>
          </w:tcPr>
          <w:p w:rsidR="006136BA" w:rsidRPr="00BE7FA1" w:rsidRDefault="006136BA" w:rsidP="00F76796">
            <w:pPr>
              <w:pStyle w:val="TableText"/>
              <w:keepNext w:val="0"/>
              <w:spacing w:before="0" w:after="0"/>
            </w:pPr>
            <w:r w:rsidRPr="00BE7FA1">
              <w:t>Cost per QALY gained and cost per LY gained</w:t>
            </w:r>
          </w:p>
        </w:tc>
      </w:tr>
      <w:tr w:rsidR="006136BA" w:rsidRPr="00BE7FA1" w:rsidTr="00F76796">
        <w:tc>
          <w:tcPr>
            <w:tcW w:w="1443" w:type="pct"/>
          </w:tcPr>
          <w:p w:rsidR="006136BA" w:rsidRPr="00BE7FA1" w:rsidRDefault="006136BA" w:rsidP="00F76796">
            <w:pPr>
              <w:pStyle w:val="TableText"/>
              <w:keepNext w:val="0"/>
              <w:spacing w:before="0" w:after="0"/>
            </w:pPr>
            <w:r w:rsidRPr="00BE7FA1">
              <w:t>Time horizon</w:t>
            </w:r>
          </w:p>
        </w:tc>
        <w:tc>
          <w:tcPr>
            <w:tcW w:w="3557" w:type="pct"/>
          </w:tcPr>
          <w:p w:rsidR="006136BA" w:rsidRPr="00BE7FA1" w:rsidRDefault="006136BA" w:rsidP="00F76796">
            <w:pPr>
              <w:pStyle w:val="TableText"/>
              <w:keepNext w:val="0"/>
              <w:spacing w:before="0" w:after="0"/>
            </w:pPr>
            <w:r w:rsidRPr="00BE7FA1">
              <w:t>5 years (10 years in sensitivity analysis)</w:t>
            </w:r>
          </w:p>
        </w:tc>
      </w:tr>
      <w:tr w:rsidR="006136BA" w:rsidRPr="00BE7FA1" w:rsidTr="00F76796">
        <w:tc>
          <w:tcPr>
            <w:tcW w:w="1443" w:type="pct"/>
          </w:tcPr>
          <w:p w:rsidR="006136BA" w:rsidRPr="00BE7FA1" w:rsidRDefault="006136BA" w:rsidP="00F76796">
            <w:pPr>
              <w:pStyle w:val="TableText"/>
              <w:keepNext w:val="0"/>
              <w:spacing w:before="0" w:after="0"/>
            </w:pPr>
            <w:r w:rsidRPr="00BE7FA1">
              <w:t>Method(s) used to generate results</w:t>
            </w:r>
          </w:p>
        </w:tc>
        <w:tc>
          <w:tcPr>
            <w:tcW w:w="3557" w:type="pct"/>
          </w:tcPr>
          <w:p w:rsidR="006136BA" w:rsidRPr="00BE7FA1" w:rsidRDefault="006136BA" w:rsidP="00F76796">
            <w:pPr>
              <w:pStyle w:val="TableText"/>
              <w:keepNext w:val="0"/>
              <w:spacing w:before="0" w:after="0"/>
            </w:pPr>
            <w:r w:rsidRPr="00BE7FA1">
              <w:t>Markov model (partitioned survival model)</w:t>
            </w:r>
          </w:p>
        </w:tc>
      </w:tr>
      <w:tr w:rsidR="006136BA" w:rsidRPr="00BE7FA1" w:rsidTr="00F76796">
        <w:tc>
          <w:tcPr>
            <w:tcW w:w="1443" w:type="pct"/>
          </w:tcPr>
          <w:p w:rsidR="006136BA" w:rsidRPr="00BE7FA1" w:rsidRDefault="006136BA" w:rsidP="00F76796">
            <w:pPr>
              <w:pStyle w:val="TableText"/>
              <w:keepNext w:val="0"/>
              <w:spacing w:before="0" w:after="0"/>
            </w:pPr>
            <w:r w:rsidRPr="00BE7FA1">
              <w:t>Health states</w:t>
            </w:r>
          </w:p>
        </w:tc>
        <w:tc>
          <w:tcPr>
            <w:tcW w:w="3557" w:type="pct"/>
          </w:tcPr>
          <w:p w:rsidR="006136BA" w:rsidRPr="00BE7FA1" w:rsidRDefault="006136BA" w:rsidP="00F76796">
            <w:pPr>
              <w:pStyle w:val="TableText"/>
              <w:keepNext w:val="0"/>
              <w:spacing w:before="0" w:after="0"/>
            </w:pPr>
            <w:r w:rsidRPr="00BE7FA1">
              <w:t>Stable disease, progressive disease, death. Time to treatment discontinuation (TTD) also modelled to account for the costing of study treatments.</w:t>
            </w:r>
          </w:p>
        </w:tc>
      </w:tr>
      <w:tr w:rsidR="006136BA" w:rsidRPr="00BE7FA1" w:rsidTr="00F76796">
        <w:tc>
          <w:tcPr>
            <w:tcW w:w="1443" w:type="pct"/>
          </w:tcPr>
          <w:p w:rsidR="006136BA" w:rsidRPr="00BE7FA1" w:rsidRDefault="006136BA" w:rsidP="00F76796">
            <w:pPr>
              <w:pStyle w:val="TableText"/>
              <w:keepNext w:val="0"/>
              <w:spacing w:before="0" w:after="0"/>
            </w:pPr>
            <w:r w:rsidRPr="00BE7FA1">
              <w:t>Cycle length</w:t>
            </w:r>
          </w:p>
        </w:tc>
        <w:tc>
          <w:tcPr>
            <w:tcW w:w="3557" w:type="pct"/>
          </w:tcPr>
          <w:p w:rsidR="006136BA" w:rsidRPr="00BE7FA1" w:rsidRDefault="006136BA" w:rsidP="00F76796">
            <w:pPr>
              <w:pStyle w:val="TableText"/>
              <w:keepNext w:val="0"/>
              <w:spacing w:before="0" w:after="0"/>
            </w:pPr>
            <w:r w:rsidRPr="00BE7FA1">
              <w:t>Four weeks (28 days), half cycle corrected</w:t>
            </w:r>
          </w:p>
        </w:tc>
      </w:tr>
      <w:tr w:rsidR="006136BA" w:rsidRPr="00BE7FA1" w:rsidTr="00F76796">
        <w:tc>
          <w:tcPr>
            <w:tcW w:w="1443" w:type="pct"/>
          </w:tcPr>
          <w:p w:rsidR="006136BA" w:rsidRPr="00BE7FA1" w:rsidRDefault="006136BA" w:rsidP="00F76796">
            <w:pPr>
              <w:pStyle w:val="TableText"/>
              <w:keepNext w:val="0"/>
              <w:spacing w:before="0" w:after="0"/>
            </w:pPr>
            <w:r w:rsidRPr="00BE7FA1">
              <w:t>Transition probabilities</w:t>
            </w:r>
          </w:p>
        </w:tc>
        <w:tc>
          <w:tcPr>
            <w:tcW w:w="3557" w:type="pct"/>
          </w:tcPr>
          <w:p w:rsidR="006136BA" w:rsidRPr="00BE7FA1" w:rsidRDefault="006136BA" w:rsidP="00F76796">
            <w:pPr>
              <w:pStyle w:val="TableText"/>
              <w:keepNext w:val="0"/>
              <w:spacing w:before="0" w:after="0"/>
            </w:pPr>
            <w:r w:rsidRPr="00BE7FA1">
              <w:t xml:space="preserve">The submission stated that survival curves for PFS and OS estimates from METEOR trial individual patient data were used. However, the submission applied the parametric curves based on this data for the entirety of the time horizon. Time to treatment discontinuation estimates applied to determine treatment-related costs and adverse events for the cabozantinib and everolimus arms. </w:t>
            </w:r>
          </w:p>
        </w:tc>
      </w:tr>
      <w:tr w:rsidR="006136BA" w:rsidRPr="00BE7FA1" w:rsidTr="00F76796">
        <w:tc>
          <w:tcPr>
            <w:tcW w:w="1443" w:type="pct"/>
          </w:tcPr>
          <w:p w:rsidR="006136BA" w:rsidRPr="00BE7FA1" w:rsidRDefault="006136BA" w:rsidP="00F76796">
            <w:pPr>
              <w:pStyle w:val="TableText"/>
              <w:keepNext w:val="0"/>
              <w:spacing w:before="0" w:after="0"/>
            </w:pPr>
            <w:r w:rsidRPr="00BE7FA1">
              <w:t>Quality of life</w:t>
            </w:r>
          </w:p>
        </w:tc>
        <w:tc>
          <w:tcPr>
            <w:tcW w:w="3557" w:type="pct"/>
          </w:tcPr>
          <w:p w:rsidR="006136BA" w:rsidRPr="00BE7FA1" w:rsidRDefault="006136BA" w:rsidP="00F76796">
            <w:pPr>
              <w:pStyle w:val="TableText"/>
              <w:keepNext w:val="0"/>
              <w:spacing w:before="0" w:after="0"/>
            </w:pPr>
            <w:r w:rsidRPr="00BE7FA1">
              <w:t xml:space="preserve">Based on EQ-5D-5L estimates from pooled arms of METEOR (assuming no difference in utilities between treatment arms). </w:t>
            </w:r>
          </w:p>
          <w:p w:rsidR="006136BA" w:rsidRPr="00BE7FA1" w:rsidRDefault="006136BA" w:rsidP="00F76796">
            <w:pPr>
              <w:pStyle w:val="TableText"/>
              <w:keepNext w:val="0"/>
              <w:spacing w:before="0" w:after="0"/>
            </w:pPr>
            <w:r w:rsidRPr="00BE7FA1">
              <w:t xml:space="preserve">Disutility adjustments associated with adverse events based on data from EQ-5D-5L METEOR. Incidence of AEs from METEOR. </w:t>
            </w:r>
          </w:p>
        </w:tc>
      </w:tr>
      <w:tr w:rsidR="006136BA" w:rsidRPr="00BE7FA1" w:rsidTr="00F76796">
        <w:tc>
          <w:tcPr>
            <w:tcW w:w="1443" w:type="pct"/>
          </w:tcPr>
          <w:p w:rsidR="006136BA" w:rsidRPr="00BE7FA1" w:rsidRDefault="006136BA" w:rsidP="00F76796">
            <w:pPr>
              <w:pStyle w:val="TableText"/>
              <w:keepNext w:val="0"/>
              <w:spacing w:before="0" w:after="0"/>
            </w:pPr>
            <w:r w:rsidRPr="00BE7FA1">
              <w:t>Resource utilisation</w:t>
            </w:r>
          </w:p>
        </w:tc>
        <w:tc>
          <w:tcPr>
            <w:tcW w:w="3557" w:type="pct"/>
          </w:tcPr>
          <w:p w:rsidR="006136BA" w:rsidRPr="00BE7FA1" w:rsidRDefault="006136BA" w:rsidP="00F76796">
            <w:pPr>
              <w:pStyle w:val="TableText"/>
              <w:keepNext w:val="0"/>
              <w:spacing w:before="0" w:after="0"/>
            </w:pPr>
            <w:r w:rsidRPr="00BE7FA1">
              <w:t xml:space="preserve">Based on the available literature, review of published economic models </w:t>
            </w:r>
          </w:p>
        </w:tc>
      </w:tr>
      <w:tr w:rsidR="006136BA" w:rsidRPr="00BE7FA1" w:rsidTr="00F76796">
        <w:tc>
          <w:tcPr>
            <w:tcW w:w="1443" w:type="pct"/>
          </w:tcPr>
          <w:p w:rsidR="006136BA" w:rsidRPr="00BE7FA1" w:rsidRDefault="006136BA" w:rsidP="00F76796">
            <w:pPr>
              <w:pStyle w:val="TableText"/>
              <w:keepNext w:val="0"/>
              <w:spacing w:before="0" w:after="0"/>
            </w:pPr>
            <w:r w:rsidRPr="00BE7FA1">
              <w:t>Post-progression disease costs</w:t>
            </w:r>
          </w:p>
        </w:tc>
        <w:tc>
          <w:tcPr>
            <w:tcW w:w="3557" w:type="pct"/>
          </w:tcPr>
          <w:p w:rsidR="006136BA" w:rsidRPr="00BE7FA1" w:rsidRDefault="006136BA" w:rsidP="00F76796">
            <w:pPr>
              <w:pStyle w:val="TableText"/>
              <w:keepNext w:val="0"/>
              <w:spacing w:before="0" w:after="0"/>
            </w:pPr>
            <w:r w:rsidRPr="00BE7FA1">
              <w:t>Subsequent therapies, based on subsequent therapies as reported in the METEOR trial</w:t>
            </w:r>
          </w:p>
        </w:tc>
      </w:tr>
      <w:tr w:rsidR="006136BA" w:rsidRPr="00BE7FA1" w:rsidTr="00F76796">
        <w:tc>
          <w:tcPr>
            <w:tcW w:w="1443" w:type="pct"/>
          </w:tcPr>
          <w:p w:rsidR="006136BA" w:rsidRPr="00BE7FA1" w:rsidRDefault="006136BA" w:rsidP="00F76796">
            <w:pPr>
              <w:pStyle w:val="TableText"/>
              <w:keepNext w:val="0"/>
              <w:spacing w:before="0" w:after="0"/>
            </w:pPr>
            <w:r w:rsidRPr="00BE7FA1">
              <w:t>Software</w:t>
            </w:r>
          </w:p>
        </w:tc>
        <w:tc>
          <w:tcPr>
            <w:tcW w:w="3557" w:type="pct"/>
          </w:tcPr>
          <w:p w:rsidR="006136BA" w:rsidRPr="00BE7FA1" w:rsidRDefault="006136BA" w:rsidP="00F76796">
            <w:pPr>
              <w:pStyle w:val="TableText"/>
              <w:keepNext w:val="0"/>
              <w:spacing w:before="0" w:after="0"/>
            </w:pPr>
            <w:r w:rsidRPr="00BE7FA1">
              <w:t>Microsoft Excel 2010</w:t>
            </w:r>
          </w:p>
        </w:tc>
      </w:tr>
    </w:tbl>
    <w:p w:rsidR="00E9787F" w:rsidRPr="00BE7FA1" w:rsidRDefault="00E9787F" w:rsidP="00645D71">
      <w:pPr>
        <w:pStyle w:val="TableFooter"/>
      </w:pPr>
      <w:r w:rsidRPr="00BE7FA1">
        <w:t>OS = overall survival; PFS = progression free survival; IPD = individual patient data; TTD = time to treatment discontinuation; AEs = adverse events; QALY = quality adjusted life years; LY = life years</w:t>
      </w:r>
    </w:p>
    <w:p w:rsidR="006136BA" w:rsidRPr="00BE7FA1" w:rsidRDefault="006136BA" w:rsidP="00645D71">
      <w:pPr>
        <w:pStyle w:val="TableFooter"/>
      </w:pPr>
      <w:r w:rsidRPr="00BE7FA1">
        <w:t>Source: Table 3-2, Section 3 of the submission</w:t>
      </w:r>
    </w:p>
    <w:p w:rsidR="006136BA" w:rsidRPr="00BE7FA1" w:rsidRDefault="006136BA" w:rsidP="00A832C9">
      <w:pPr>
        <w:pStyle w:val="ListParagraph"/>
        <w:numPr>
          <w:ilvl w:val="1"/>
          <w:numId w:val="4"/>
        </w:numPr>
      </w:pPr>
      <w:r w:rsidRPr="00BE7FA1">
        <w:t xml:space="preserve">The base case economic analysis allowed for treatment beyond progression, consistent with the METEOR trial. This is inconsistent with the proposed listing of </w:t>
      </w:r>
      <w:r w:rsidRPr="00BE7FA1">
        <w:lastRenderedPageBreak/>
        <w:t>cabozantinib and the PBS listing of everolimus, which do not allow use after RECIST-defined progression.</w:t>
      </w:r>
    </w:p>
    <w:p w:rsidR="006136BA" w:rsidRPr="00BE7FA1" w:rsidRDefault="006136BA" w:rsidP="00A832C9">
      <w:pPr>
        <w:pStyle w:val="ListParagraph"/>
        <w:numPr>
          <w:ilvl w:val="1"/>
          <w:numId w:val="4"/>
        </w:numPr>
        <w:spacing w:before="0" w:after="120"/>
      </w:pPr>
      <w:r w:rsidRPr="00BE7FA1">
        <w:t>PFS, OS and time to treatment discontinuation (TTD) curves applied in the model were based on</w:t>
      </w:r>
      <w:r w:rsidR="00645D71" w:rsidRPr="00BE7FA1">
        <w:t xml:space="preserve"> a</w:t>
      </w:r>
      <w:r w:rsidRPr="00BE7FA1">
        <w:t xml:space="preserve"> jointly estimated log-logistic parametric function estimated from IPD data from the METEOR trial, for both the cabozantinib and everolimus arms. The choice of parametric function was based on a number of factors, including model fit for the observed data (AIC and BIC), and an assessment of quantile-quantile plots to assess whether a proportional hazards or accelerated failure time models were most appropriate. </w:t>
      </w:r>
    </w:p>
    <w:p w:rsidR="006136BA" w:rsidRPr="00BE7FA1" w:rsidRDefault="006136BA" w:rsidP="00A832C9">
      <w:pPr>
        <w:pStyle w:val="ListParagraph"/>
        <w:numPr>
          <w:ilvl w:val="1"/>
          <w:numId w:val="4"/>
        </w:numPr>
        <w:spacing w:before="0" w:after="120"/>
      </w:pPr>
      <w:r w:rsidRPr="00BE7FA1">
        <w:t xml:space="preserve">Utilities for the progression-free health state, post-progression health state and the disutility associated with adverse events were based on EQ-5D data from the METEOR trial. </w:t>
      </w:r>
    </w:p>
    <w:p w:rsidR="006136BA" w:rsidRPr="00BE7FA1" w:rsidRDefault="006136BA" w:rsidP="00A832C9">
      <w:pPr>
        <w:pStyle w:val="ListParagraph"/>
        <w:numPr>
          <w:ilvl w:val="1"/>
          <w:numId w:val="4"/>
        </w:numPr>
        <w:spacing w:before="0" w:after="120"/>
      </w:pPr>
      <w:r w:rsidRPr="00BE7FA1">
        <w:t xml:space="preserve">Subsequent treatments were determined based on the anti-cancer therapies received in the METEOR trial for the cabozantinib and everolimus arms. </w:t>
      </w:r>
      <w:r w:rsidR="00D12B31" w:rsidRPr="00BE7FA1">
        <w:t xml:space="preserve">The question used to derive the data was unclear in the paper </w:t>
      </w:r>
      <w:r w:rsidR="00D81449" w:rsidRPr="00BE7FA1">
        <w:t xml:space="preserve">and accompanying appendix </w:t>
      </w:r>
      <w:r w:rsidR="00D12B31" w:rsidRPr="00BE7FA1">
        <w:t xml:space="preserve">(Choueiri et al, 2016) and therefore the ESC considered that it was not possible to ascertain if the translation was appropriate. </w:t>
      </w:r>
      <w:r w:rsidRPr="00BE7FA1">
        <w:t xml:space="preserve">The submission has incorrectly and unreasonably assumed that patients will receive active treatment for each subsequent cycle (until death), </w:t>
      </w:r>
      <w:r w:rsidR="00D12B31" w:rsidRPr="00BE7FA1">
        <w:t>and the ESC considered that it was unlikely that this reflected the Choueiri et al data reasonably. Additionally,</w:t>
      </w:r>
      <w:r w:rsidRPr="00BE7FA1">
        <w:t xml:space="preserve"> an average of 12% of patients in the everolimus arm received two (concurrent) active systemic therapies in each cycle until they die (</w:t>
      </w:r>
      <w:r w:rsidR="00DD0C61" w:rsidRPr="00BE7FA1">
        <w:t>i.e.</w:t>
      </w:r>
      <w:r w:rsidRPr="00BE7FA1">
        <w:t xml:space="preserve"> the number of subsequent treatments received was greater than the number of patients). </w:t>
      </w:r>
    </w:p>
    <w:p w:rsidR="006136BA" w:rsidRPr="00BE7FA1" w:rsidRDefault="006136BA" w:rsidP="00A832C9">
      <w:pPr>
        <w:pStyle w:val="ListParagraph"/>
        <w:numPr>
          <w:ilvl w:val="1"/>
          <w:numId w:val="4"/>
        </w:numPr>
        <w:spacing w:before="0" w:after="120"/>
      </w:pPr>
      <w:r w:rsidRPr="00BE7FA1">
        <w:t>The key drivers of the model as they relate to the comparison of cabozantinib vs everolimus are provided in the table below.</w:t>
      </w:r>
    </w:p>
    <w:p w:rsidR="00A417AA" w:rsidRPr="00A417AA" w:rsidRDefault="00A417AA" w:rsidP="00A417AA">
      <w:pPr>
        <w:pStyle w:val="Caption"/>
        <w:rPr>
          <w:rFonts w:ascii="Arial Narrow" w:hAnsi="Arial Narrow"/>
        </w:rPr>
      </w:pPr>
      <w:r w:rsidRPr="00A417AA">
        <w:rPr>
          <w:rFonts w:ascii="Arial Narrow" w:hAnsi="Arial Narrow"/>
        </w:rPr>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11</w:t>
      </w:r>
      <w:r w:rsidRPr="00A417AA">
        <w:rPr>
          <w:rFonts w:ascii="Arial Narrow" w:hAnsi="Arial Narrow"/>
        </w:rPr>
        <w:fldChar w:fldCharType="end"/>
      </w:r>
      <w:r w:rsidRPr="00A417AA">
        <w:rPr>
          <w:rFonts w:ascii="Arial Narrow" w:hAnsi="Arial Narrow"/>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2777"/>
        <w:gridCol w:w="3856"/>
        <w:gridCol w:w="2449"/>
      </w:tblGrid>
      <w:tr w:rsidR="006136BA" w:rsidRPr="00BE7FA1" w:rsidTr="00F76796">
        <w:trPr>
          <w:tblHeader/>
        </w:trPr>
        <w:tc>
          <w:tcPr>
            <w:tcW w:w="1529" w:type="pct"/>
            <w:shd w:val="clear" w:color="auto" w:fill="auto"/>
            <w:vAlign w:val="center"/>
          </w:tcPr>
          <w:p w:rsidR="006136BA" w:rsidRPr="00BE7FA1" w:rsidRDefault="006136BA" w:rsidP="00F76796">
            <w:pPr>
              <w:pStyle w:val="TableText"/>
              <w:rPr>
                <w:b/>
              </w:rPr>
            </w:pPr>
            <w:r w:rsidRPr="00BE7FA1">
              <w:rPr>
                <w:b/>
              </w:rPr>
              <w:t>Description</w:t>
            </w:r>
          </w:p>
        </w:tc>
        <w:tc>
          <w:tcPr>
            <w:tcW w:w="2123" w:type="pct"/>
            <w:shd w:val="clear" w:color="auto" w:fill="auto"/>
            <w:vAlign w:val="center"/>
          </w:tcPr>
          <w:p w:rsidR="006136BA" w:rsidRPr="00BE7FA1" w:rsidRDefault="006136BA" w:rsidP="00F76796">
            <w:pPr>
              <w:pStyle w:val="TableText"/>
              <w:rPr>
                <w:b/>
              </w:rPr>
            </w:pPr>
            <w:r w:rsidRPr="00BE7FA1">
              <w:rPr>
                <w:b/>
              </w:rPr>
              <w:t>Method/Value</w:t>
            </w:r>
          </w:p>
        </w:tc>
        <w:tc>
          <w:tcPr>
            <w:tcW w:w="1348" w:type="pct"/>
            <w:shd w:val="clear" w:color="auto" w:fill="auto"/>
            <w:vAlign w:val="center"/>
          </w:tcPr>
          <w:p w:rsidR="006136BA" w:rsidRPr="00BE7FA1" w:rsidRDefault="006136BA" w:rsidP="00F76796">
            <w:pPr>
              <w:pStyle w:val="TableText"/>
              <w:rPr>
                <w:b/>
              </w:rPr>
            </w:pPr>
            <w:r w:rsidRPr="00BE7FA1">
              <w:rPr>
                <w:b/>
              </w:rPr>
              <w:t>Impact</w:t>
            </w:r>
          </w:p>
        </w:tc>
      </w:tr>
      <w:tr w:rsidR="006136BA" w:rsidRPr="00BE7FA1" w:rsidTr="00F76796">
        <w:tc>
          <w:tcPr>
            <w:tcW w:w="1529" w:type="pct"/>
            <w:shd w:val="clear" w:color="auto" w:fill="auto"/>
            <w:vAlign w:val="center"/>
          </w:tcPr>
          <w:p w:rsidR="006136BA" w:rsidRPr="00BE7FA1" w:rsidRDefault="006136BA" w:rsidP="00F76796">
            <w:pPr>
              <w:pStyle w:val="TableText"/>
            </w:pPr>
            <w:r w:rsidRPr="00BE7FA1">
              <w:t>Subsequent therapy costs</w:t>
            </w:r>
          </w:p>
        </w:tc>
        <w:tc>
          <w:tcPr>
            <w:tcW w:w="2123" w:type="pct"/>
            <w:shd w:val="clear" w:color="auto" w:fill="auto"/>
            <w:vAlign w:val="center"/>
          </w:tcPr>
          <w:p w:rsidR="006136BA" w:rsidRPr="00BE7FA1" w:rsidRDefault="006136BA" w:rsidP="00196A5C">
            <w:pPr>
              <w:pStyle w:val="TableText"/>
            </w:pPr>
            <w:r w:rsidRPr="00BE7FA1">
              <w:t xml:space="preserve">The submission assumed that all patients will receive an active treatment upon progression until death and that the composition of treatments will mirror those in the METEOR trial. The model is also sensitive to the </w:t>
            </w:r>
            <w:r w:rsidR="00196A5C" w:rsidRPr="00BE7FA1">
              <w:t>issue that</w:t>
            </w:r>
            <w:r w:rsidRPr="00BE7FA1">
              <w:t xml:space="preserve"> the number of (concurrent) subsequent active anti-cancer therapies received was more than the number of patients alive (</w:t>
            </w:r>
            <w:proofErr w:type="spellStart"/>
            <w:r w:rsidRPr="00BE7FA1">
              <w:t>eg</w:t>
            </w:r>
            <w:proofErr w:type="spellEnd"/>
            <w:r w:rsidRPr="00BE7FA1">
              <w:t xml:space="preserve"> 12% of patients received 2 concurrent active anti-cancer therapies). </w:t>
            </w:r>
          </w:p>
        </w:tc>
        <w:tc>
          <w:tcPr>
            <w:tcW w:w="1348" w:type="pct"/>
            <w:shd w:val="clear" w:color="auto" w:fill="auto"/>
            <w:vAlign w:val="center"/>
          </w:tcPr>
          <w:p w:rsidR="006136BA" w:rsidRPr="00BE7FA1" w:rsidRDefault="006136BA" w:rsidP="00F76796">
            <w:pPr>
              <w:pStyle w:val="TableText"/>
            </w:pPr>
            <w:r w:rsidRPr="00BE7FA1">
              <w:t>High, favours cabozantinib</w:t>
            </w:r>
          </w:p>
        </w:tc>
      </w:tr>
      <w:tr w:rsidR="006136BA" w:rsidRPr="00BE7FA1" w:rsidTr="00F76796">
        <w:tc>
          <w:tcPr>
            <w:tcW w:w="1529" w:type="pct"/>
            <w:shd w:val="clear" w:color="auto" w:fill="auto"/>
            <w:vAlign w:val="center"/>
          </w:tcPr>
          <w:p w:rsidR="006136BA" w:rsidRPr="00BE7FA1" w:rsidRDefault="006136BA" w:rsidP="00F76796">
            <w:pPr>
              <w:pStyle w:val="TableText"/>
            </w:pPr>
            <w:r w:rsidRPr="00BE7FA1">
              <w:t>Method of extrapolation: choice in parametric function</w:t>
            </w:r>
          </w:p>
        </w:tc>
        <w:tc>
          <w:tcPr>
            <w:tcW w:w="2123" w:type="pct"/>
            <w:shd w:val="clear" w:color="auto" w:fill="auto"/>
            <w:vAlign w:val="center"/>
          </w:tcPr>
          <w:p w:rsidR="006136BA" w:rsidRPr="00BE7FA1" w:rsidRDefault="006136BA" w:rsidP="00F76796">
            <w:pPr>
              <w:pStyle w:val="TableText"/>
            </w:pPr>
            <w:r w:rsidRPr="00BE7FA1">
              <w:t xml:space="preserve">The submission used the jointly estimated log-logistic function to model PFS, OS and TTD in the submission base case. </w:t>
            </w:r>
          </w:p>
        </w:tc>
        <w:tc>
          <w:tcPr>
            <w:tcW w:w="1348" w:type="pct"/>
            <w:shd w:val="clear" w:color="auto" w:fill="auto"/>
            <w:vAlign w:val="center"/>
          </w:tcPr>
          <w:p w:rsidR="006136BA" w:rsidRPr="00BE7FA1" w:rsidRDefault="006136BA" w:rsidP="00F76796">
            <w:pPr>
              <w:pStyle w:val="TableText"/>
            </w:pPr>
            <w:r w:rsidRPr="00BE7FA1">
              <w:t>Moderate, favours for or against cabozantinib depending on parametric function</w:t>
            </w:r>
          </w:p>
        </w:tc>
      </w:tr>
    </w:tbl>
    <w:p w:rsidR="00645D71" w:rsidRPr="00BE7FA1" w:rsidRDefault="00645D71" w:rsidP="006136BA">
      <w:pPr>
        <w:pStyle w:val="TableFooter"/>
      </w:pPr>
      <w:r w:rsidRPr="00BE7FA1">
        <w:t>PFS = progression free survival; OS = overall survival; TTD = time to treatment discontinuation</w:t>
      </w:r>
    </w:p>
    <w:p w:rsidR="006136BA" w:rsidRPr="00BE7FA1" w:rsidRDefault="006136BA" w:rsidP="006136BA">
      <w:pPr>
        <w:pStyle w:val="TableFooter"/>
      </w:pPr>
      <w:r w:rsidRPr="00BE7FA1">
        <w:t>Source: Compiled during the evaluation based on information presented in ‘9.Cabozantinib Section 3 PBAC economic evaluation.xlsx’</w:t>
      </w:r>
      <w:r w:rsidRPr="00BE7FA1" w:rsidDel="000519FC">
        <w:t xml:space="preserve"> </w:t>
      </w:r>
    </w:p>
    <w:p w:rsidR="006136BA" w:rsidRPr="00BE7FA1" w:rsidRDefault="006136BA" w:rsidP="00A832C9">
      <w:pPr>
        <w:pStyle w:val="ListParagraph"/>
        <w:numPr>
          <w:ilvl w:val="1"/>
          <w:numId w:val="4"/>
        </w:numPr>
        <w:spacing w:before="0" w:after="120"/>
      </w:pPr>
      <w:r w:rsidRPr="00BE7FA1">
        <w:t>The results of the economic evaluation for the comparison of cabozantinib vs everolimus are provided below</w:t>
      </w:r>
    </w:p>
    <w:p w:rsidR="00EA49AB" w:rsidRDefault="00EA49AB">
      <w:pPr>
        <w:spacing w:before="0" w:line="259" w:lineRule="auto"/>
        <w:jc w:val="left"/>
        <w:rPr>
          <w:rFonts w:ascii="Arial Narrow" w:hAnsi="Arial Narrow"/>
          <w:b/>
          <w:iCs/>
          <w:sz w:val="20"/>
          <w:szCs w:val="18"/>
        </w:rPr>
      </w:pPr>
      <w:r>
        <w:rPr>
          <w:rFonts w:ascii="Arial Narrow" w:hAnsi="Arial Narrow"/>
        </w:rPr>
        <w:br w:type="page"/>
      </w:r>
    </w:p>
    <w:p w:rsidR="00A417AA" w:rsidRPr="00A417AA" w:rsidRDefault="00A417AA" w:rsidP="00A417AA">
      <w:pPr>
        <w:pStyle w:val="Caption"/>
        <w:rPr>
          <w:rFonts w:ascii="Arial Narrow" w:hAnsi="Arial Narrow"/>
        </w:rPr>
      </w:pPr>
      <w:r w:rsidRPr="00A417AA">
        <w:rPr>
          <w:rFonts w:ascii="Arial Narrow" w:hAnsi="Arial Narrow"/>
        </w:rPr>
        <w:lastRenderedPageBreak/>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12</w:t>
      </w:r>
      <w:r w:rsidRPr="00A417AA">
        <w:rPr>
          <w:rFonts w:ascii="Arial Narrow" w:hAnsi="Arial Narrow"/>
        </w:rPr>
        <w:fldChar w:fldCharType="end"/>
      </w:r>
      <w:r w:rsidRPr="00A417AA">
        <w:rPr>
          <w:rFonts w:ascii="Arial Narrow" w:hAnsi="Arial Narrow"/>
        </w:rPr>
        <w:t>: Incremental cost-effectiveness ratio for cabozantinib vs everolimus (five-year time horizon)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cremental cost-effectiveness ratio for cabozantinib vs everolimus (five-year time horizon)"/>
      </w:tblPr>
      <w:tblGrid>
        <w:gridCol w:w="2305"/>
        <w:gridCol w:w="2313"/>
        <w:gridCol w:w="2312"/>
        <w:gridCol w:w="2312"/>
      </w:tblGrid>
      <w:tr w:rsidR="006136BA" w:rsidRPr="00BE7FA1" w:rsidTr="00EA49AB">
        <w:trPr>
          <w:cnfStyle w:val="100000000000" w:firstRow="1" w:lastRow="0" w:firstColumn="0" w:lastColumn="0" w:oddVBand="0" w:evenVBand="0" w:oddHBand="0" w:evenHBand="0" w:firstRowFirstColumn="0" w:firstRowLastColumn="0" w:lastRowFirstColumn="0" w:lastRowLastColumn="0"/>
          <w:tblHeader/>
        </w:trPr>
        <w:tc>
          <w:tcPr>
            <w:tcW w:w="2305" w:type="dxa"/>
            <w:shd w:val="clear" w:color="auto" w:fill="auto"/>
          </w:tcPr>
          <w:p w:rsidR="006136BA" w:rsidRPr="00BE7FA1" w:rsidRDefault="006136BA" w:rsidP="00F76796">
            <w:pPr>
              <w:pStyle w:val="TableText"/>
              <w:spacing w:before="0" w:after="0"/>
              <w:rPr>
                <w:rStyle w:val="SmallBold"/>
                <w:rFonts w:ascii="Arial Narrow" w:hAnsi="Arial Narrow"/>
                <w:b/>
              </w:rPr>
            </w:pPr>
          </w:p>
        </w:tc>
        <w:tc>
          <w:tcPr>
            <w:tcW w:w="2313" w:type="dxa"/>
            <w:shd w:val="clear" w:color="auto" w:fill="auto"/>
          </w:tcPr>
          <w:p w:rsidR="006136BA" w:rsidRPr="00BE7FA1" w:rsidRDefault="006136BA" w:rsidP="00F76796">
            <w:pPr>
              <w:pStyle w:val="TableText"/>
              <w:spacing w:before="0" w:after="0"/>
              <w:rPr>
                <w:rStyle w:val="SmallBold"/>
                <w:rFonts w:ascii="Arial Narrow" w:hAnsi="Arial Narrow"/>
                <w:b/>
              </w:rPr>
            </w:pPr>
            <w:r w:rsidRPr="00BE7FA1">
              <w:rPr>
                <w:rStyle w:val="SmallBold"/>
                <w:rFonts w:ascii="Arial Narrow" w:hAnsi="Arial Narrow"/>
              </w:rPr>
              <w:t>Cabozantinib</w:t>
            </w:r>
          </w:p>
        </w:tc>
        <w:tc>
          <w:tcPr>
            <w:tcW w:w="2312" w:type="dxa"/>
            <w:shd w:val="clear" w:color="auto" w:fill="auto"/>
          </w:tcPr>
          <w:p w:rsidR="006136BA" w:rsidRPr="00BE7FA1" w:rsidRDefault="006136BA" w:rsidP="00F76796">
            <w:pPr>
              <w:pStyle w:val="TableText"/>
              <w:spacing w:before="0" w:after="0"/>
              <w:rPr>
                <w:rStyle w:val="SmallBold"/>
                <w:rFonts w:ascii="Arial Narrow" w:hAnsi="Arial Narrow"/>
                <w:b/>
              </w:rPr>
            </w:pPr>
            <w:r w:rsidRPr="00BE7FA1">
              <w:rPr>
                <w:rStyle w:val="SmallBold"/>
                <w:rFonts w:ascii="Arial Narrow" w:hAnsi="Arial Narrow"/>
              </w:rPr>
              <w:t>Everolimus</w:t>
            </w:r>
          </w:p>
        </w:tc>
        <w:tc>
          <w:tcPr>
            <w:tcW w:w="2312" w:type="dxa"/>
            <w:shd w:val="clear" w:color="auto" w:fill="auto"/>
          </w:tcPr>
          <w:p w:rsidR="006136BA" w:rsidRPr="00BE7FA1" w:rsidRDefault="006136BA" w:rsidP="00F76796">
            <w:pPr>
              <w:pStyle w:val="TableText"/>
              <w:spacing w:before="0" w:after="0"/>
              <w:rPr>
                <w:rStyle w:val="SmallBold"/>
                <w:rFonts w:ascii="Arial Narrow" w:hAnsi="Arial Narrow"/>
                <w:b/>
              </w:rPr>
            </w:pPr>
            <w:r w:rsidRPr="00BE7FA1">
              <w:rPr>
                <w:rStyle w:val="SmallBold"/>
                <w:rFonts w:ascii="Arial Narrow" w:hAnsi="Arial Narrow"/>
              </w:rPr>
              <w:t>Incremental</w:t>
            </w:r>
          </w:p>
        </w:tc>
      </w:tr>
      <w:tr w:rsidR="006136BA" w:rsidRPr="00BE7FA1" w:rsidTr="00A417AA">
        <w:trPr>
          <w:trHeight w:val="269"/>
        </w:trPr>
        <w:tc>
          <w:tcPr>
            <w:tcW w:w="2305" w:type="dxa"/>
            <w:shd w:val="clear" w:color="auto" w:fill="auto"/>
          </w:tcPr>
          <w:p w:rsidR="006136BA" w:rsidRPr="00444991" w:rsidRDefault="006136BA" w:rsidP="00F76796">
            <w:pPr>
              <w:pStyle w:val="TableText"/>
              <w:keepNext w:val="0"/>
              <w:widowControl w:val="0"/>
              <w:spacing w:before="0" w:after="0"/>
              <w:jc w:val="left"/>
              <w:rPr>
                <w:lang w:val="en-AU"/>
              </w:rPr>
            </w:pPr>
            <w:r w:rsidRPr="00BE7FA1">
              <w:t>Life Years</w:t>
            </w:r>
          </w:p>
        </w:tc>
        <w:tc>
          <w:tcPr>
            <w:tcW w:w="2313" w:type="dxa"/>
            <w:shd w:val="clear" w:color="auto" w:fill="auto"/>
          </w:tcPr>
          <w:p w:rsidR="006136BA" w:rsidRPr="00444991" w:rsidRDefault="006136BA" w:rsidP="00F76796">
            <w:pPr>
              <w:pStyle w:val="TableText"/>
              <w:keepNext w:val="0"/>
              <w:widowControl w:val="0"/>
              <w:spacing w:before="0" w:after="0"/>
              <w:jc w:val="center"/>
              <w:rPr>
                <w:lang w:val="en-AU"/>
              </w:rPr>
            </w:pPr>
            <w:r w:rsidRPr="00BE7FA1">
              <w:t>2.37</w:t>
            </w:r>
          </w:p>
        </w:tc>
        <w:tc>
          <w:tcPr>
            <w:tcW w:w="2312" w:type="dxa"/>
            <w:shd w:val="clear" w:color="auto" w:fill="auto"/>
          </w:tcPr>
          <w:p w:rsidR="006136BA" w:rsidRPr="00444991" w:rsidRDefault="006136BA" w:rsidP="00F76796">
            <w:pPr>
              <w:pStyle w:val="TableText"/>
              <w:keepNext w:val="0"/>
              <w:widowControl w:val="0"/>
              <w:spacing w:before="0" w:after="0"/>
              <w:jc w:val="center"/>
              <w:rPr>
                <w:lang w:val="en-AU"/>
              </w:rPr>
            </w:pPr>
            <w:r w:rsidRPr="00BE7FA1">
              <w:t>1.92</w:t>
            </w:r>
          </w:p>
        </w:tc>
        <w:tc>
          <w:tcPr>
            <w:tcW w:w="2312" w:type="dxa"/>
            <w:shd w:val="clear" w:color="auto" w:fill="auto"/>
          </w:tcPr>
          <w:p w:rsidR="006136BA" w:rsidRPr="00444991" w:rsidRDefault="006136BA" w:rsidP="00F76796">
            <w:pPr>
              <w:pStyle w:val="TableText"/>
              <w:keepNext w:val="0"/>
              <w:widowControl w:val="0"/>
              <w:spacing w:before="0" w:after="0"/>
              <w:jc w:val="center"/>
              <w:rPr>
                <w:lang w:val="en-AU"/>
              </w:rPr>
            </w:pPr>
            <w:r w:rsidRPr="00BE7FA1">
              <w:t>0.45</w:t>
            </w:r>
          </w:p>
        </w:tc>
      </w:tr>
      <w:tr w:rsidR="006136BA" w:rsidRPr="00BE7FA1" w:rsidTr="00A417AA">
        <w:tc>
          <w:tcPr>
            <w:tcW w:w="2305" w:type="dxa"/>
            <w:shd w:val="clear" w:color="auto" w:fill="auto"/>
          </w:tcPr>
          <w:p w:rsidR="006136BA" w:rsidRPr="00444991" w:rsidRDefault="006136BA" w:rsidP="00F76796">
            <w:pPr>
              <w:pStyle w:val="TableText"/>
              <w:keepNext w:val="0"/>
              <w:widowControl w:val="0"/>
              <w:spacing w:before="0" w:after="0"/>
              <w:jc w:val="left"/>
              <w:rPr>
                <w:lang w:val="en-AU"/>
              </w:rPr>
            </w:pPr>
            <w:r w:rsidRPr="00BE7FA1">
              <w:t>QALYs</w:t>
            </w:r>
          </w:p>
        </w:tc>
        <w:tc>
          <w:tcPr>
            <w:tcW w:w="2313"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1.64</w:t>
            </w:r>
          </w:p>
        </w:tc>
        <w:tc>
          <w:tcPr>
            <w:tcW w:w="2312"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1.33</w:t>
            </w:r>
          </w:p>
        </w:tc>
        <w:tc>
          <w:tcPr>
            <w:tcW w:w="2312"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0.31</w:t>
            </w:r>
          </w:p>
        </w:tc>
      </w:tr>
      <w:tr w:rsidR="006136BA" w:rsidRPr="00BE7FA1" w:rsidTr="00A417AA">
        <w:tc>
          <w:tcPr>
            <w:tcW w:w="2305" w:type="dxa"/>
            <w:shd w:val="clear" w:color="auto" w:fill="auto"/>
          </w:tcPr>
          <w:p w:rsidR="006136BA" w:rsidRPr="00444991" w:rsidRDefault="006136BA" w:rsidP="00F76796">
            <w:pPr>
              <w:pStyle w:val="TableText"/>
              <w:keepNext w:val="0"/>
              <w:widowControl w:val="0"/>
              <w:spacing w:before="0" w:after="0"/>
              <w:jc w:val="left"/>
              <w:rPr>
                <w:lang w:val="en-AU"/>
              </w:rPr>
            </w:pPr>
            <w:r w:rsidRPr="00BE7FA1">
              <w:t>Total Costs</w:t>
            </w:r>
          </w:p>
        </w:tc>
        <w:tc>
          <w:tcPr>
            <w:tcW w:w="2313"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w:t>
            </w:r>
            <w:r w:rsidR="00653C98">
              <w:rPr>
                <w:noProof/>
                <w:color w:val="000000"/>
                <w:highlight w:val="black"/>
              </w:rPr>
              <w:t>'''''''''''''''''''''</w:t>
            </w:r>
          </w:p>
        </w:tc>
        <w:tc>
          <w:tcPr>
            <w:tcW w:w="2312"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$128,503</w:t>
            </w:r>
          </w:p>
        </w:tc>
        <w:tc>
          <w:tcPr>
            <w:tcW w:w="2312"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w:t>
            </w:r>
            <w:r w:rsidR="00653C98">
              <w:rPr>
                <w:noProof/>
                <w:color w:val="000000"/>
                <w:highlight w:val="black"/>
              </w:rPr>
              <w:t>''''''''''''''''</w:t>
            </w:r>
          </w:p>
        </w:tc>
      </w:tr>
      <w:tr w:rsidR="006136BA" w:rsidRPr="00BE7FA1" w:rsidTr="00A417AA">
        <w:tc>
          <w:tcPr>
            <w:tcW w:w="6930" w:type="dxa"/>
            <w:gridSpan w:val="3"/>
            <w:shd w:val="clear" w:color="auto" w:fill="auto"/>
          </w:tcPr>
          <w:p w:rsidR="006136BA" w:rsidRPr="00D43C36" w:rsidRDefault="006136BA" w:rsidP="00F76796">
            <w:pPr>
              <w:pStyle w:val="TableText"/>
              <w:keepNext w:val="0"/>
              <w:widowControl w:val="0"/>
              <w:spacing w:before="0" w:after="0"/>
              <w:jc w:val="left"/>
              <w:rPr>
                <w:lang w:val="en-AU"/>
              </w:rPr>
            </w:pPr>
            <w:r w:rsidRPr="00D43C36">
              <w:t>ICER (cost per LYG)</w:t>
            </w:r>
          </w:p>
        </w:tc>
        <w:tc>
          <w:tcPr>
            <w:tcW w:w="2312"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w:t>
            </w:r>
            <w:r w:rsidR="00653C98">
              <w:rPr>
                <w:noProof/>
                <w:color w:val="000000"/>
                <w:highlight w:val="black"/>
              </w:rPr>
              <w:t>'''''''''''''''''</w:t>
            </w:r>
          </w:p>
        </w:tc>
      </w:tr>
      <w:tr w:rsidR="006136BA" w:rsidRPr="00BE7FA1" w:rsidTr="00A417AA">
        <w:tc>
          <w:tcPr>
            <w:tcW w:w="6930" w:type="dxa"/>
            <w:gridSpan w:val="3"/>
            <w:shd w:val="clear" w:color="auto" w:fill="auto"/>
          </w:tcPr>
          <w:p w:rsidR="006136BA" w:rsidRPr="00D43C36" w:rsidRDefault="006136BA" w:rsidP="00F76796">
            <w:pPr>
              <w:pStyle w:val="TableText"/>
              <w:keepNext w:val="0"/>
              <w:widowControl w:val="0"/>
              <w:spacing w:before="0" w:after="0"/>
              <w:jc w:val="left"/>
              <w:rPr>
                <w:lang w:val="en-AU"/>
              </w:rPr>
            </w:pPr>
            <w:r w:rsidRPr="00D43C36">
              <w:t>ICER (cost per QALY gained)</w:t>
            </w:r>
          </w:p>
        </w:tc>
        <w:tc>
          <w:tcPr>
            <w:tcW w:w="2312" w:type="dxa"/>
            <w:shd w:val="clear" w:color="auto" w:fill="auto"/>
          </w:tcPr>
          <w:p w:rsidR="006136BA" w:rsidRPr="00D43C36" w:rsidRDefault="006136BA" w:rsidP="00F76796">
            <w:pPr>
              <w:pStyle w:val="TableText"/>
              <w:keepNext w:val="0"/>
              <w:widowControl w:val="0"/>
              <w:spacing w:before="0" w:after="0"/>
              <w:jc w:val="center"/>
              <w:rPr>
                <w:lang w:val="en-AU"/>
              </w:rPr>
            </w:pPr>
            <w:r w:rsidRPr="00D43C36">
              <w:t>$</w:t>
            </w:r>
            <w:r w:rsidR="00653C98">
              <w:rPr>
                <w:noProof/>
                <w:color w:val="000000"/>
                <w:highlight w:val="black"/>
              </w:rPr>
              <w:t>'''''''''''''''''''</w:t>
            </w:r>
          </w:p>
        </w:tc>
      </w:tr>
    </w:tbl>
    <w:p w:rsidR="00645D71" w:rsidRPr="00BE7FA1" w:rsidRDefault="00645D71" w:rsidP="006136BA">
      <w:pPr>
        <w:pStyle w:val="TableFooter"/>
      </w:pPr>
      <w:r w:rsidRPr="00BE7FA1">
        <w:t>ICER = incremental cost effectiveness ratio; QALYs = quality adjusted life years</w:t>
      </w:r>
    </w:p>
    <w:p w:rsidR="006136BA" w:rsidRPr="00BE7FA1" w:rsidRDefault="006136BA" w:rsidP="006136BA">
      <w:pPr>
        <w:pStyle w:val="TableFooter"/>
      </w:pPr>
      <w:r w:rsidRPr="00BE7FA1">
        <w:t>Source: Table 3-35, Section 3[A] of the submission</w:t>
      </w:r>
    </w:p>
    <w:p w:rsidR="00261DF1" w:rsidRPr="00437927" w:rsidRDefault="00261DF1" w:rsidP="00261DF1">
      <w:pPr>
        <w:autoSpaceDE w:val="0"/>
        <w:autoSpaceDN w:val="0"/>
        <w:spacing w:after="0"/>
        <w:rPr>
          <w:i/>
          <w:color w:val="000000" w:themeColor="text1"/>
        </w:rPr>
      </w:pPr>
      <w:r w:rsidRPr="00437927">
        <w:rPr>
          <w:i/>
          <w:color w:val="000000" w:themeColor="text1"/>
        </w:rPr>
        <w:t>The redacted table above shows a</w:t>
      </w:r>
      <w:r w:rsidR="00D43C36" w:rsidRPr="00437927">
        <w:rPr>
          <w:i/>
          <w:color w:val="000000" w:themeColor="text1"/>
        </w:rPr>
        <w:t>n incremental</w:t>
      </w:r>
      <w:r w:rsidRPr="00437927">
        <w:rPr>
          <w:i/>
          <w:color w:val="000000" w:themeColor="text1"/>
        </w:rPr>
        <w:t xml:space="preserve"> cost </w:t>
      </w:r>
      <w:r w:rsidR="00437927" w:rsidRPr="00437927">
        <w:rPr>
          <w:i/>
          <w:color w:val="000000" w:themeColor="text1"/>
        </w:rPr>
        <w:t>of cabozantinib compared to everolimus of $105,000 - $200,000 per life year gained and more than $200,000 per</w:t>
      </w:r>
      <w:r w:rsidRPr="00437927">
        <w:rPr>
          <w:i/>
          <w:color w:val="000000" w:themeColor="text1"/>
        </w:rPr>
        <w:t xml:space="preserve"> QALY </w:t>
      </w:r>
      <w:r w:rsidR="00437927" w:rsidRPr="00437927">
        <w:rPr>
          <w:i/>
          <w:color w:val="000000" w:themeColor="text1"/>
        </w:rPr>
        <w:t xml:space="preserve">gained. </w:t>
      </w:r>
    </w:p>
    <w:p w:rsidR="00A3209A" w:rsidRDefault="00A3209A" w:rsidP="0089704A">
      <w:pPr>
        <w:spacing w:before="0" w:after="0"/>
        <w:rPr>
          <w:u w:val="single"/>
        </w:rPr>
      </w:pPr>
    </w:p>
    <w:p w:rsidR="0089704A" w:rsidRPr="00BE7FA1" w:rsidRDefault="0089704A" w:rsidP="0089704A">
      <w:pPr>
        <w:spacing w:before="0" w:after="0"/>
        <w:rPr>
          <w:u w:val="single"/>
        </w:rPr>
      </w:pPr>
      <w:r w:rsidRPr="00BE7FA1">
        <w:rPr>
          <w:u w:val="single"/>
        </w:rPr>
        <w:t>Cost-Utility Analysis vs nivolumab</w:t>
      </w:r>
    </w:p>
    <w:p w:rsidR="0089704A" w:rsidRPr="00BE7FA1" w:rsidRDefault="0089704A" w:rsidP="00AA7041">
      <w:pPr>
        <w:pStyle w:val="TableFooter"/>
        <w:spacing w:after="0"/>
      </w:pPr>
    </w:p>
    <w:bookmarkEnd w:id="28"/>
    <w:p w:rsidR="0089704A" w:rsidRPr="00BE7FA1" w:rsidRDefault="0064634B" w:rsidP="00A832C9">
      <w:pPr>
        <w:pStyle w:val="ListParagraph"/>
        <w:numPr>
          <w:ilvl w:val="1"/>
          <w:numId w:val="4"/>
        </w:numPr>
        <w:spacing w:before="0" w:after="120"/>
        <w:rPr>
          <w:color w:val="000000" w:themeColor="text1"/>
        </w:rPr>
      </w:pPr>
      <w:r w:rsidRPr="00BE7FA1">
        <w:t>The results of the economic evaluation for the comparison of cabozantinib vs nivolumab are provided below.</w:t>
      </w:r>
    </w:p>
    <w:p w:rsidR="00A417AA" w:rsidRPr="00A417AA" w:rsidRDefault="00A417AA" w:rsidP="00A417AA">
      <w:pPr>
        <w:pStyle w:val="Caption"/>
        <w:rPr>
          <w:rFonts w:ascii="Arial Narrow" w:hAnsi="Arial Narrow"/>
        </w:rPr>
      </w:pPr>
      <w:r w:rsidRPr="00A417AA">
        <w:rPr>
          <w:rFonts w:ascii="Arial Narrow" w:hAnsi="Arial Narrow"/>
        </w:rPr>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13</w:t>
      </w:r>
      <w:r w:rsidRPr="00A417AA">
        <w:rPr>
          <w:rFonts w:ascii="Arial Narrow" w:hAnsi="Arial Narrow"/>
        </w:rPr>
        <w:fldChar w:fldCharType="end"/>
      </w:r>
      <w:r w:rsidRPr="00A417AA">
        <w:rPr>
          <w:rFonts w:ascii="Arial Narrow" w:hAnsi="Arial Narrow"/>
        </w:rPr>
        <w:t>: Incremental cost-effectiveness ratio for cabozantinib versus nivolumab (five-year time horizon)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cremental cost-effectiveness ratio for cabozantinib versus nivolumab (five-year time horizon)"/>
      </w:tblPr>
      <w:tblGrid>
        <w:gridCol w:w="2304"/>
        <w:gridCol w:w="2314"/>
        <w:gridCol w:w="2311"/>
        <w:gridCol w:w="2313"/>
      </w:tblGrid>
      <w:tr w:rsidR="0064634B" w:rsidRPr="00BE7FA1" w:rsidTr="00EA49AB">
        <w:trPr>
          <w:cnfStyle w:val="100000000000" w:firstRow="1" w:lastRow="0" w:firstColumn="0" w:lastColumn="0" w:oddVBand="0" w:evenVBand="0" w:oddHBand="0" w:evenHBand="0" w:firstRowFirstColumn="0" w:firstRowLastColumn="0" w:lastRowFirstColumn="0" w:lastRowLastColumn="0"/>
          <w:tblHeader/>
        </w:trPr>
        <w:tc>
          <w:tcPr>
            <w:tcW w:w="2304" w:type="dxa"/>
            <w:shd w:val="clear" w:color="auto" w:fill="auto"/>
          </w:tcPr>
          <w:p w:rsidR="0064634B" w:rsidRPr="00BE7FA1" w:rsidRDefault="0064634B" w:rsidP="008B216C">
            <w:pPr>
              <w:pStyle w:val="TableText"/>
              <w:spacing w:before="0" w:after="0"/>
              <w:rPr>
                <w:rStyle w:val="SmallBold"/>
                <w:rFonts w:ascii="Arial Narrow" w:hAnsi="Arial Narrow"/>
                <w:b/>
              </w:rPr>
            </w:pPr>
          </w:p>
        </w:tc>
        <w:tc>
          <w:tcPr>
            <w:tcW w:w="2314" w:type="dxa"/>
            <w:shd w:val="clear" w:color="auto" w:fill="auto"/>
          </w:tcPr>
          <w:p w:rsidR="0064634B" w:rsidRPr="00BE7FA1" w:rsidRDefault="0064634B" w:rsidP="008B216C">
            <w:pPr>
              <w:pStyle w:val="TableText"/>
              <w:spacing w:before="0" w:after="0"/>
              <w:jc w:val="center"/>
              <w:rPr>
                <w:rStyle w:val="SmallBold"/>
                <w:rFonts w:ascii="Arial Narrow" w:hAnsi="Arial Narrow"/>
                <w:b/>
              </w:rPr>
            </w:pPr>
            <w:r w:rsidRPr="00BE7FA1">
              <w:rPr>
                <w:rStyle w:val="SmallBold"/>
                <w:rFonts w:ascii="Arial Narrow" w:hAnsi="Arial Narrow"/>
              </w:rPr>
              <w:t>Cabozantinib</w:t>
            </w:r>
          </w:p>
        </w:tc>
        <w:tc>
          <w:tcPr>
            <w:tcW w:w="2311" w:type="dxa"/>
            <w:shd w:val="clear" w:color="auto" w:fill="auto"/>
          </w:tcPr>
          <w:p w:rsidR="0064634B" w:rsidRPr="00BE7FA1" w:rsidRDefault="0064634B" w:rsidP="008B216C">
            <w:pPr>
              <w:pStyle w:val="TableText"/>
              <w:spacing w:before="0" w:after="0"/>
              <w:jc w:val="center"/>
              <w:rPr>
                <w:rStyle w:val="SmallBold"/>
                <w:rFonts w:ascii="Arial Narrow" w:hAnsi="Arial Narrow"/>
                <w:b/>
              </w:rPr>
            </w:pPr>
            <w:r w:rsidRPr="00BE7FA1">
              <w:rPr>
                <w:rStyle w:val="SmallBold"/>
                <w:rFonts w:ascii="Arial Narrow" w:hAnsi="Arial Narrow"/>
              </w:rPr>
              <w:t>Nivolumab</w:t>
            </w:r>
          </w:p>
        </w:tc>
        <w:tc>
          <w:tcPr>
            <w:tcW w:w="2313" w:type="dxa"/>
            <w:shd w:val="clear" w:color="auto" w:fill="auto"/>
          </w:tcPr>
          <w:p w:rsidR="0064634B" w:rsidRPr="00BE7FA1" w:rsidRDefault="0064634B" w:rsidP="008B216C">
            <w:pPr>
              <w:pStyle w:val="TableText"/>
              <w:spacing w:before="0" w:after="0"/>
              <w:jc w:val="center"/>
              <w:rPr>
                <w:rStyle w:val="SmallBold"/>
                <w:rFonts w:ascii="Arial Narrow" w:hAnsi="Arial Narrow"/>
                <w:b/>
              </w:rPr>
            </w:pPr>
            <w:r w:rsidRPr="00BE7FA1">
              <w:rPr>
                <w:rStyle w:val="SmallBold"/>
                <w:rFonts w:ascii="Arial Narrow" w:hAnsi="Arial Narrow"/>
              </w:rPr>
              <w:t>Incremental</w:t>
            </w:r>
          </w:p>
        </w:tc>
      </w:tr>
      <w:tr w:rsidR="0064634B" w:rsidRPr="00BE7FA1" w:rsidTr="00A417AA">
        <w:tc>
          <w:tcPr>
            <w:tcW w:w="2304" w:type="dxa"/>
            <w:shd w:val="clear" w:color="auto" w:fill="auto"/>
          </w:tcPr>
          <w:p w:rsidR="0064634B" w:rsidRPr="00444991" w:rsidRDefault="0064634B" w:rsidP="008B216C">
            <w:pPr>
              <w:pStyle w:val="TableText"/>
              <w:spacing w:before="0" w:after="0"/>
              <w:rPr>
                <w:lang w:val="en-AU"/>
              </w:rPr>
            </w:pPr>
            <w:r w:rsidRPr="00BE7FA1">
              <w:t>Life Years</w:t>
            </w:r>
          </w:p>
        </w:tc>
        <w:tc>
          <w:tcPr>
            <w:tcW w:w="2314" w:type="dxa"/>
            <w:shd w:val="clear" w:color="auto" w:fill="auto"/>
          </w:tcPr>
          <w:p w:rsidR="0064634B" w:rsidRPr="00444991" w:rsidRDefault="0064634B" w:rsidP="008B216C">
            <w:pPr>
              <w:pStyle w:val="TableText"/>
              <w:spacing w:before="0" w:after="0"/>
              <w:jc w:val="center"/>
              <w:rPr>
                <w:lang w:val="en-AU"/>
              </w:rPr>
            </w:pPr>
            <w:r w:rsidRPr="00BE7FA1">
              <w:t>2.37</w:t>
            </w:r>
          </w:p>
        </w:tc>
        <w:tc>
          <w:tcPr>
            <w:tcW w:w="2311" w:type="dxa"/>
            <w:shd w:val="clear" w:color="auto" w:fill="auto"/>
          </w:tcPr>
          <w:p w:rsidR="0064634B" w:rsidRPr="00444991" w:rsidRDefault="0064634B" w:rsidP="008B216C">
            <w:pPr>
              <w:pStyle w:val="TableText"/>
              <w:spacing w:before="0" w:after="0"/>
              <w:jc w:val="center"/>
              <w:rPr>
                <w:lang w:val="en-AU"/>
              </w:rPr>
            </w:pPr>
            <w:r w:rsidRPr="00BE7FA1">
              <w:t>2.27</w:t>
            </w:r>
          </w:p>
        </w:tc>
        <w:tc>
          <w:tcPr>
            <w:tcW w:w="2313" w:type="dxa"/>
            <w:shd w:val="clear" w:color="auto" w:fill="auto"/>
          </w:tcPr>
          <w:p w:rsidR="0064634B" w:rsidRPr="00444991" w:rsidRDefault="0064634B" w:rsidP="008B216C">
            <w:pPr>
              <w:pStyle w:val="TableText"/>
              <w:spacing w:before="0" w:after="0"/>
              <w:jc w:val="center"/>
              <w:rPr>
                <w:lang w:val="en-AU"/>
              </w:rPr>
            </w:pPr>
            <w:r w:rsidRPr="00BE7FA1">
              <w:t>0.11</w:t>
            </w:r>
          </w:p>
        </w:tc>
      </w:tr>
      <w:tr w:rsidR="0064634B" w:rsidRPr="00BE7FA1" w:rsidTr="00A417AA">
        <w:tc>
          <w:tcPr>
            <w:tcW w:w="2304" w:type="dxa"/>
            <w:shd w:val="clear" w:color="auto" w:fill="auto"/>
          </w:tcPr>
          <w:p w:rsidR="0064634B" w:rsidRPr="00444991" w:rsidRDefault="0064634B" w:rsidP="008B216C">
            <w:pPr>
              <w:pStyle w:val="TableText"/>
              <w:spacing w:before="0" w:after="0"/>
              <w:rPr>
                <w:lang w:val="en-AU"/>
              </w:rPr>
            </w:pPr>
            <w:r w:rsidRPr="00BE7FA1">
              <w:t>QALYs</w:t>
            </w:r>
          </w:p>
        </w:tc>
        <w:tc>
          <w:tcPr>
            <w:tcW w:w="2314" w:type="dxa"/>
            <w:shd w:val="clear" w:color="auto" w:fill="auto"/>
          </w:tcPr>
          <w:p w:rsidR="0064634B" w:rsidRPr="00CD72E3" w:rsidRDefault="0064634B" w:rsidP="008B216C">
            <w:pPr>
              <w:pStyle w:val="TableText"/>
              <w:spacing w:before="0" w:after="0"/>
              <w:jc w:val="center"/>
              <w:rPr>
                <w:lang w:val="en-AU"/>
              </w:rPr>
            </w:pPr>
            <w:r w:rsidRPr="00CD72E3">
              <w:t>1.64</w:t>
            </w:r>
          </w:p>
        </w:tc>
        <w:tc>
          <w:tcPr>
            <w:tcW w:w="2311" w:type="dxa"/>
            <w:shd w:val="clear" w:color="auto" w:fill="auto"/>
          </w:tcPr>
          <w:p w:rsidR="0064634B" w:rsidRPr="00CD72E3" w:rsidRDefault="0064634B" w:rsidP="008B216C">
            <w:pPr>
              <w:pStyle w:val="TableText"/>
              <w:spacing w:before="0" w:after="0"/>
              <w:jc w:val="center"/>
              <w:rPr>
                <w:lang w:val="en-AU"/>
              </w:rPr>
            </w:pPr>
            <w:r w:rsidRPr="00CD72E3">
              <w:t>1.56</w:t>
            </w:r>
          </w:p>
        </w:tc>
        <w:tc>
          <w:tcPr>
            <w:tcW w:w="2313" w:type="dxa"/>
            <w:shd w:val="clear" w:color="auto" w:fill="auto"/>
          </w:tcPr>
          <w:p w:rsidR="0064634B" w:rsidRPr="00CD72E3" w:rsidRDefault="0064634B" w:rsidP="008B216C">
            <w:pPr>
              <w:pStyle w:val="TableText"/>
              <w:spacing w:before="0" w:after="0"/>
              <w:jc w:val="center"/>
              <w:rPr>
                <w:lang w:val="en-AU"/>
              </w:rPr>
            </w:pPr>
            <w:r w:rsidRPr="00CD72E3">
              <w:t>0.08</w:t>
            </w:r>
          </w:p>
        </w:tc>
      </w:tr>
      <w:tr w:rsidR="0064634B" w:rsidRPr="00BE7FA1" w:rsidTr="00A417AA">
        <w:tc>
          <w:tcPr>
            <w:tcW w:w="2304" w:type="dxa"/>
            <w:shd w:val="clear" w:color="auto" w:fill="auto"/>
          </w:tcPr>
          <w:p w:rsidR="0064634B" w:rsidRPr="00444991" w:rsidRDefault="0064634B" w:rsidP="008B216C">
            <w:pPr>
              <w:pStyle w:val="TableText"/>
              <w:spacing w:before="0" w:after="0"/>
              <w:rPr>
                <w:lang w:val="en-AU"/>
              </w:rPr>
            </w:pPr>
            <w:r w:rsidRPr="00BE7FA1">
              <w:t>Total Costs</w:t>
            </w:r>
          </w:p>
        </w:tc>
        <w:tc>
          <w:tcPr>
            <w:tcW w:w="2314" w:type="dxa"/>
            <w:shd w:val="clear" w:color="auto" w:fill="auto"/>
          </w:tcPr>
          <w:p w:rsidR="0064634B" w:rsidRPr="00CD72E3" w:rsidRDefault="0064634B" w:rsidP="008B216C">
            <w:pPr>
              <w:pStyle w:val="TableText"/>
              <w:spacing w:before="0" w:after="0"/>
              <w:jc w:val="center"/>
              <w:rPr>
                <w:lang w:val="en-AU"/>
              </w:rPr>
            </w:pPr>
            <w:r w:rsidRPr="00CD72E3">
              <w:t>$</w:t>
            </w:r>
            <w:r w:rsidR="00653C98">
              <w:rPr>
                <w:noProof/>
                <w:color w:val="000000"/>
                <w:highlight w:val="black"/>
              </w:rPr>
              <w:t>''''''''''''''''''''''</w:t>
            </w:r>
          </w:p>
        </w:tc>
        <w:tc>
          <w:tcPr>
            <w:tcW w:w="2311" w:type="dxa"/>
            <w:shd w:val="clear" w:color="auto" w:fill="auto"/>
          </w:tcPr>
          <w:p w:rsidR="0064634B" w:rsidRPr="00CD72E3" w:rsidRDefault="0064634B" w:rsidP="008B216C">
            <w:pPr>
              <w:pStyle w:val="TableText"/>
              <w:spacing w:before="0" w:after="0"/>
              <w:jc w:val="center"/>
              <w:rPr>
                <w:lang w:val="en-AU"/>
              </w:rPr>
            </w:pPr>
            <w:r w:rsidRPr="00CD72E3">
              <w:t>$196,100</w:t>
            </w:r>
          </w:p>
        </w:tc>
        <w:tc>
          <w:tcPr>
            <w:tcW w:w="2313" w:type="dxa"/>
            <w:shd w:val="clear" w:color="auto" w:fill="auto"/>
          </w:tcPr>
          <w:p w:rsidR="0064634B" w:rsidRPr="00CD72E3" w:rsidRDefault="0064634B" w:rsidP="008B216C">
            <w:pPr>
              <w:pStyle w:val="TableText"/>
              <w:spacing w:before="0" w:after="0"/>
              <w:jc w:val="center"/>
              <w:rPr>
                <w:lang w:val="en-AU"/>
              </w:rPr>
            </w:pPr>
            <w:r w:rsidRPr="00CD72E3">
              <w:t>$</w:t>
            </w:r>
            <w:r w:rsidR="00653C98">
              <w:rPr>
                <w:noProof/>
                <w:color w:val="000000"/>
                <w:highlight w:val="black"/>
              </w:rPr>
              <w:t>''''''''''''''</w:t>
            </w:r>
          </w:p>
        </w:tc>
      </w:tr>
      <w:tr w:rsidR="0064634B" w:rsidRPr="00BE7FA1" w:rsidTr="00A417AA">
        <w:tc>
          <w:tcPr>
            <w:tcW w:w="6929" w:type="dxa"/>
            <w:gridSpan w:val="3"/>
            <w:shd w:val="clear" w:color="auto" w:fill="auto"/>
          </w:tcPr>
          <w:p w:rsidR="0064634B" w:rsidRPr="00CD72E3" w:rsidRDefault="0064634B" w:rsidP="008B216C">
            <w:pPr>
              <w:pStyle w:val="TableText"/>
              <w:spacing w:before="0" w:after="0"/>
              <w:rPr>
                <w:lang w:val="en-AU"/>
              </w:rPr>
            </w:pPr>
            <w:r w:rsidRPr="00CD72E3">
              <w:t>ICER (cost per LYG)</w:t>
            </w:r>
          </w:p>
        </w:tc>
        <w:tc>
          <w:tcPr>
            <w:tcW w:w="2313" w:type="dxa"/>
            <w:shd w:val="clear" w:color="auto" w:fill="auto"/>
          </w:tcPr>
          <w:p w:rsidR="0064634B" w:rsidRPr="00CD72E3" w:rsidRDefault="0064634B" w:rsidP="008B216C">
            <w:pPr>
              <w:pStyle w:val="TableText"/>
              <w:spacing w:before="0" w:after="0"/>
              <w:jc w:val="center"/>
              <w:rPr>
                <w:lang w:val="en-AU"/>
              </w:rPr>
            </w:pPr>
            <w:r w:rsidRPr="00CD72E3">
              <w:t>$</w:t>
            </w:r>
            <w:r w:rsidR="00653C98">
              <w:rPr>
                <w:noProof/>
                <w:color w:val="000000"/>
                <w:highlight w:val="black"/>
              </w:rPr>
              <w:t>'''''''''''''''</w:t>
            </w:r>
          </w:p>
        </w:tc>
      </w:tr>
      <w:tr w:rsidR="0064634B" w:rsidRPr="00BE7FA1" w:rsidTr="00A417AA">
        <w:tc>
          <w:tcPr>
            <w:tcW w:w="6929" w:type="dxa"/>
            <w:gridSpan w:val="3"/>
            <w:shd w:val="clear" w:color="auto" w:fill="auto"/>
          </w:tcPr>
          <w:p w:rsidR="0064634B" w:rsidRPr="00CD72E3" w:rsidRDefault="0064634B" w:rsidP="008B216C">
            <w:pPr>
              <w:pStyle w:val="TableText"/>
              <w:spacing w:before="0" w:after="0"/>
              <w:rPr>
                <w:lang w:val="en-AU"/>
              </w:rPr>
            </w:pPr>
            <w:r w:rsidRPr="00CD72E3">
              <w:t>ICER (cost per QALY gained)</w:t>
            </w:r>
          </w:p>
        </w:tc>
        <w:tc>
          <w:tcPr>
            <w:tcW w:w="2313" w:type="dxa"/>
            <w:shd w:val="clear" w:color="auto" w:fill="auto"/>
          </w:tcPr>
          <w:p w:rsidR="0064634B" w:rsidRPr="00CD72E3" w:rsidRDefault="0064634B" w:rsidP="008B216C">
            <w:pPr>
              <w:pStyle w:val="TableText"/>
              <w:spacing w:before="0" w:after="0"/>
              <w:jc w:val="center"/>
              <w:rPr>
                <w:lang w:val="en-AU"/>
              </w:rPr>
            </w:pPr>
            <w:r w:rsidRPr="00CD72E3">
              <w:t>$</w:t>
            </w:r>
            <w:r w:rsidR="00653C98">
              <w:rPr>
                <w:noProof/>
                <w:color w:val="000000"/>
                <w:highlight w:val="black"/>
              </w:rPr>
              <w:t>'''''''''''''''</w:t>
            </w:r>
          </w:p>
        </w:tc>
      </w:tr>
    </w:tbl>
    <w:p w:rsidR="0064634B" w:rsidRDefault="0064634B" w:rsidP="0064634B">
      <w:pPr>
        <w:pStyle w:val="TableFooter"/>
      </w:pPr>
      <w:r w:rsidRPr="00BE7FA1">
        <w:t>Source: Table 3-40, Section 3[A] of the submission</w:t>
      </w:r>
    </w:p>
    <w:p w:rsidR="00806862" w:rsidRDefault="00806862" w:rsidP="0064634B">
      <w:pPr>
        <w:pStyle w:val="TableFooter"/>
      </w:pPr>
    </w:p>
    <w:p w:rsidR="00806862" w:rsidRPr="00CD72E3" w:rsidRDefault="00806862" w:rsidP="0064634B">
      <w:pPr>
        <w:pStyle w:val="TableFooter"/>
        <w:rPr>
          <w:rFonts w:asciiTheme="minorHAnsi" w:hAnsiTheme="minorHAnsi"/>
          <w:i/>
          <w:sz w:val="24"/>
          <w:szCs w:val="24"/>
        </w:rPr>
      </w:pPr>
      <w:r w:rsidRPr="00CD72E3">
        <w:rPr>
          <w:rFonts w:asciiTheme="minorHAnsi" w:hAnsiTheme="minorHAnsi"/>
          <w:i/>
          <w:sz w:val="24"/>
          <w:szCs w:val="24"/>
        </w:rPr>
        <w:t xml:space="preserve">The redacted table above shows a cost </w:t>
      </w:r>
      <w:r w:rsidR="00CD72E3" w:rsidRPr="00CD72E3">
        <w:rPr>
          <w:rFonts w:asciiTheme="minorHAnsi" w:hAnsiTheme="minorHAnsi"/>
          <w:i/>
          <w:sz w:val="24"/>
          <w:szCs w:val="24"/>
        </w:rPr>
        <w:t xml:space="preserve">of cabozantinib compared to nivolumab of $45,000 - $75,000 </w:t>
      </w:r>
      <w:r w:rsidRPr="00CD72E3">
        <w:rPr>
          <w:rFonts w:asciiTheme="minorHAnsi" w:hAnsiTheme="minorHAnsi"/>
          <w:i/>
          <w:sz w:val="24"/>
          <w:szCs w:val="24"/>
        </w:rPr>
        <w:t>per QALY gained and per life year gained</w:t>
      </w:r>
      <w:r w:rsidR="00CD72E3" w:rsidRPr="00CD72E3">
        <w:rPr>
          <w:rFonts w:asciiTheme="minorHAnsi" w:hAnsiTheme="minorHAnsi"/>
          <w:i/>
          <w:sz w:val="24"/>
          <w:szCs w:val="24"/>
        </w:rPr>
        <w:t xml:space="preserve">. </w:t>
      </w:r>
    </w:p>
    <w:p w:rsidR="0064634B" w:rsidRPr="00BE7FA1" w:rsidRDefault="0064634B" w:rsidP="00281207">
      <w:pPr>
        <w:pStyle w:val="ListParagraph"/>
        <w:numPr>
          <w:ilvl w:val="1"/>
          <w:numId w:val="4"/>
        </w:numPr>
        <w:spacing w:after="0"/>
        <w:rPr>
          <w:color w:val="000000" w:themeColor="text1"/>
        </w:rPr>
      </w:pPr>
      <w:r w:rsidRPr="00BE7FA1">
        <w:rPr>
          <w:color w:val="000000" w:themeColor="text1"/>
        </w:rPr>
        <w:t xml:space="preserve">The submission modelled an average overall survival benefit of 0.107 years (approximately 1.3 months; 2.374 years vs 2.267 years in cabozantinib and nivolumab arm respectively), despite presenting a clinical claim of non-inferiority of cabozantinib vs nivolumab in terms of overall survival. The </w:t>
      </w:r>
      <w:r w:rsidR="00937FA9" w:rsidRPr="00BE7FA1">
        <w:rPr>
          <w:color w:val="000000" w:themeColor="text1"/>
        </w:rPr>
        <w:t xml:space="preserve">non-significant </w:t>
      </w:r>
      <w:r w:rsidRPr="00BE7FA1">
        <w:rPr>
          <w:color w:val="000000" w:themeColor="text1"/>
        </w:rPr>
        <w:t xml:space="preserve">point estimates of HR </w:t>
      </w:r>
      <w:r w:rsidR="00937FA9" w:rsidRPr="00BE7FA1">
        <w:rPr>
          <w:color w:val="000000" w:themeColor="text1"/>
        </w:rPr>
        <w:t xml:space="preserve">from the indirect comparison </w:t>
      </w:r>
      <w:r w:rsidRPr="00BE7FA1">
        <w:rPr>
          <w:color w:val="000000" w:themeColor="text1"/>
        </w:rPr>
        <w:t xml:space="preserve">for both OS (0.93) and PFS (0.59) were used in the model without considering wide confidence intervals. </w:t>
      </w:r>
    </w:p>
    <w:p w:rsidR="0089704A" w:rsidRPr="00653C98" w:rsidRDefault="0089704A" w:rsidP="00653C98">
      <w:pPr>
        <w:pStyle w:val="Heading2"/>
      </w:pPr>
      <w:bookmarkStart w:id="31" w:name="_Toc497315009"/>
      <w:r w:rsidRPr="00653C98">
        <w:t>Drug cost/patient/course: $</w:t>
      </w:r>
      <w:bookmarkEnd w:id="31"/>
      <w:r w:rsidR="00653C98" w:rsidRPr="00653C98">
        <w:rPr>
          <w:highlight w:val="black"/>
        </w:rPr>
        <w:t>''''''''''''''</w:t>
      </w:r>
    </w:p>
    <w:p w:rsidR="006136BA" w:rsidRPr="00BE7FA1" w:rsidRDefault="006136BA" w:rsidP="00A832C9">
      <w:pPr>
        <w:pStyle w:val="ListParagraph"/>
        <w:numPr>
          <w:ilvl w:val="1"/>
          <w:numId w:val="4"/>
        </w:numPr>
        <w:spacing w:before="0" w:after="120"/>
        <w:rPr>
          <w:color w:val="000000" w:themeColor="text1"/>
        </w:rPr>
      </w:pPr>
      <w:r w:rsidRPr="00BE7FA1">
        <w:rPr>
          <w:color w:val="000000" w:themeColor="text1"/>
        </w:rPr>
        <w:t xml:space="preserve">This calculation is based on the economic evaluation presented in the submission, assuming a cost per 28 days </w:t>
      </w:r>
      <w:r w:rsidRPr="00CD72E3">
        <w:rPr>
          <w:color w:val="000000" w:themeColor="text1"/>
        </w:rPr>
        <w:t xml:space="preserve">of </w:t>
      </w:r>
      <w:r w:rsidRPr="00CD72E3">
        <w:rPr>
          <w:color w:val="000000" w:themeColor="text1"/>
          <w:szCs w:val="20"/>
        </w:rPr>
        <w:t>$</w:t>
      </w:r>
      <w:r w:rsidR="00653C98">
        <w:rPr>
          <w:noProof/>
          <w:color w:val="000000"/>
          <w:szCs w:val="20"/>
          <w:highlight w:val="black"/>
        </w:rPr>
        <w:t>''''''''''''''''''</w:t>
      </w:r>
      <w:r w:rsidR="003248F4" w:rsidRPr="00CD72E3">
        <w:rPr>
          <w:color w:val="000000" w:themeColor="text1"/>
        </w:rPr>
        <w:t xml:space="preserve">, and an </w:t>
      </w:r>
      <w:r w:rsidRPr="00CD72E3">
        <w:rPr>
          <w:color w:val="000000" w:themeColor="text1"/>
        </w:rPr>
        <w:t>average treatment duration of approximately 11.2 months (as determined by the mean time spent in the pre-progression health state). Assuming equal treatment durations as per the submission’s cost-minimisation analysis the cost/patient/course for the main comparator, nivolumab, is $128,220. However, there is no evidence for the treatment duration of nivolumab. If the duration of nivolumab in clinical practice is shorter than that for cabozantinib, the cost of cabozantinib per treatment course per patient would be higher than that for nivolumab.</w:t>
      </w:r>
    </w:p>
    <w:p w:rsidR="00C317F3" w:rsidRPr="00653C98" w:rsidRDefault="00C317F3" w:rsidP="00772501">
      <w:pPr>
        <w:pStyle w:val="Heading2"/>
      </w:pPr>
      <w:bookmarkStart w:id="32" w:name="_Toc497315010"/>
      <w:r w:rsidRPr="00653C98">
        <w:t>Estimated PBS usage &amp; financial implications</w:t>
      </w:r>
      <w:bookmarkEnd w:id="29"/>
      <w:bookmarkEnd w:id="32"/>
    </w:p>
    <w:p w:rsidR="00C17BF3" w:rsidRPr="00BE7FA1" w:rsidRDefault="00C317F3" w:rsidP="00A832C9">
      <w:pPr>
        <w:pStyle w:val="ListParagraph"/>
        <w:numPr>
          <w:ilvl w:val="1"/>
          <w:numId w:val="4"/>
        </w:numPr>
        <w:spacing w:before="0" w:after="120"/>
      </w:pPr>
      <w:r w:rsidRPr="00BE7FA1">
        <w:t xml:space="preserve">This submission </w:t>
      </w:r>
      <w:r w:rsidR="004C7C2B" w:rsidRPr="00BE7FA1">
        <w:t>was</w:t>
      </w:r>
      <w:r w:rsidR="00454493" w:rsidRPr="00BE7FA1">
        <w:t xml:space="preserve"> </w:t>
      </w:r>
      <w:r w:rsidR="00F93D34" w:rsidRPr="00BE7FA1">
        <w:t>not</w:t>
      </w:r>
      <w:r w:rsidRPr="00BE7FA1">
        <w:t xml:space="preserve"> considered by DUSC</w:t>
      </w:r>
      <w:r w:rsidR="00AC4D7C" w:rsidRPr="00BE7FA1">
        <w:t xml:space="preserve">. </w:t>
      </w:r>
    </w:p>
    <w:p w:rsidR="00AD1BCD" w:rsidRPr="00731453" w:rsidRDefault="00C17BF3" w:rsidP="00AD1BCD">
      <w:pPr>
        <w:pStyle w:val="ListParagraph"/>
        <w:numPr>
          <w:ilvl w:val="1"/>
          <w:numId w:val="4"/>
        </w:numPr>
        <w:spacing w:before="0" w:after="120"/>
      </w:pPr>
      <w:r w:rsidRPr="00BE7FA1">
        <w:lastRenderedPageBreak/>
        <w:t xml:space="preserve">The submission used a market share approach, based on Medicare Australia PBS/RPBS item reports, to estimate the use and financial impact of listing cabozantinib on the PBS for the treatment of patients with Stage IV clear cell variant RCC following first-line treatment with a TKI. </w:t>
      </w:r>
      <w:r w:rsidR="004D47B7" w:rsidRPr="00BE7FA1">
        <w:t>The submission assumed that listing of cabozantinib would not alter the estimated total second- and later-line market for treatment of Stage IV clear cell variant RCC. However, as cabozantinib and nivolumab are recommended in preference to other available second- and later-line treatment options, it is likely that cabozantinib will be used sequentially with, rather than substituting for, nivolumab, increasing the overall second- and later-line market.</w:t>
      </w:r>
      <w:r w:rsidR="00AD1BCD" w:rsidRPr="00BE7FA1">
        <w:t xml:space="preserve"> </w:t>
      </w:r>
      <w:r w:rsidR="00666B3E" w:rsidRPr="00BE7FA1">
        <w:t xml:space="preserve">Based on the results of METEOR and CheckMate 025, over 50% of patients in these studies </w:t>
      </w:r>
      <w:r w:rsidR="00666B3E" w:rsidRPr="00731453">
        <w:t>received</w:t>
      </w:r>
      <w:r w:rsidR="00444991">
        <w:t xml:space="preserve"> </w:t>
      </w:r>
      <w:r w:rsidR="00666B3E" w:rsidRPr="00731453">
        <w:t xml:space="preserve">further systemic treatment subsequent to treatment with </w:t>
      </w:r>
      <w:r w:rsidR="00347876">
        <w:t>nivolumab or cabozantinib. The evaluation considered it was</w:t>
      </w:r>
      <w:r w:rsidR="00666B3E" w:rsidRPr="00731453">
        <w:t xml:space="preserve"> unclear what proportion of patients would use nivolumab and cabozantinib sequentially in clinical practice.</w:t>
      </w:r>
    </w:p>
    <w:p w:rsidR="004D47B7" w:rsidRPr="00BE7FA1" w:rsidRDefault="004D47B7" w:rsidP="00A832C9">
      <w:pPr>
        <w:pStyle w:val="ListParagraph"/>
        <w:numPr>
          <w:ilvl w:val="1"/>
          <w:numId w:val="4"/>
        </w:numPr>
        <w:spacing w:before="0" w:after="120"/>
      </w:pPr>
      <w:r w:rsidRPr="00BE7FA1">
        <w:t xml:space="preserve">The submission derived the recent utilisation of second-and later-line therapies by calculating the combined number of monthly PBS services for sunitinib and pazopanib, and then assuming that the total utilisation of second-line treatments would be 80% of the total first-line services, based on the assumption that 80% of patients treated with a first-line TKI would be eligible for second-line treatment. </w:t>
      </w:r>
    </w:p>
    <w:p w:rsidR="004D47B7" w:rsidRPr="00BE7FA1" w:rsidRDefault="004D47B7" w:rsidP="00A832C9">
      <w:pPr>
        <w:pStyle w:val="ListParagraph"/>
        <w:numPr>
          <w:ilvl w:val="1"/>
          <w:numId w:val="4"/>
        </w:numPr>
        <w:spacing w:before="0" w:after="120"/>
      </w:pPr>
      <w:r w:rsidRPr="00BE7FA1">
        <w:t xml:space="preserve">The assumption that 80% of patients treated with first-line sunitinib or pazopanib would be eligible for a second-line treatment was sourced from the previous submission for nivolumab for treatment of RCC. The PBAC noted </w:t>
      </w:r>
      <w:r w:rsidR="00347876">
        <w:t xml:space="preserve">at that time </w:t>
      </w:r>
      <w:r w:rsidRPr="00BE7FA1">
        <w:t>that recent PBS data indicated that approximately 16.0% (in 2013) to 24.8% (in 2014) of patients initiating on a TKI for RCC went on to be prescribed a second-line therapy, which suggested that the nivolumab submission’s assumed uptakes (of 80% for current second-line therapy and 90% for nivolumab once listed) were substantial overestimates (paragraph 7.11, 6.03 nivolumab PSD, July 2016 PBAC meeting).</w:t>
      </w:r>
    </w:p>
    <w:p w:rsidR="004D47B7" w:rsidRPr="00BE7FA1" w:rsidRDefault="004D47B7" w:rsidP="00A832C9">
      <w:pPr>
        <w:pStyle w:val="ListParagraph"/>
        <w:numPr>
          <w:ilvl w:val="1"/>
          <w:numId w:val="4"/>
        </w:numPr>
        <w:spacing w:before="0" w:after="120"/>
      </w:pPr>
      <w:r w:rsidRPr="00BE7FA1">
        <w:t xml:space="preserve">The market share of everolimus, axitinib and sorafenib, in the absence of nivolumab and </w:t>
      </w:r>
      <w:proofErr w:type="gramStart"/>
      <w:r w:rsidRPr="00BE7FA1">
        <w:t>cabozantinib,</w:t>
      </w:r>
      <w:proofErr w:type="gramEnd"/>
      <w:r w:rsidRPr="00BE7FA1">
        <w:t xml:space="preserve"> was determined from PBS item reports. </w:t>
      </w:r>
      <w:r w:rsidR="00BC5A30" w:rsidRPr="00BE7FA1">
        <w:t>The total number of second-line services per month, derived by the method outlined above, was considerably higher than the combined number of services for everolimus, axitinib and sorafenib per month</w:t>
      </w:r>
      <w:r w:rsidRPr="00BE7FA1">
        <w:t>. The submission assumed that the balance was accounted for by the use of ‘off-PBS’ therapies.</w:t>
      </w:r>
    </w:p>
    <w:p w:rsidR="004D47B7" w:rsidRPr="00BE7FA1" w:rsidRDefault="004D47B7" w:rsidP="00A832C9">
      <w:pPr>
        <w:pStyle w:val="ListParagraph"/>
        <w:numPr>
          <w:ilvl w:val="1"/>
          <w:numId w:val="4"/>
        </w:numPr>
        <w:spacing w:before="0" w:after="120"/>
      </w:pPr>
      <w:r w:rsidRPr="00BE7FA1">
        <w:t>The market share of everolimus, sorafenib and ‘</w:t>
      </w:r>
      <w:r w:rsidR="00731453" w:rsidRPr="00BE7FA1">
        <w:t>off</w:t>
      </w:r>
      <w:r w:rsidR="00731453">
        <w:t>-</w:t>
      </w:r>
      <w:r w:rsidRPr="00731453">
        <w:t>PBS’ treatments, were extrapolated over th</w:t>
      </w:r>
      <w:r w:rsidRPr="00BE7FA1">
        <w:t xml:space="preserve">e first six years of listing. As the extrapolation of axitinib resulted in market share estimates over 100%, the market share of axitinib was assumed to be the residual of all other agents and ‘off-PBS’ treatment use. Given the limited data on which these extrapolations were based, and the marked changes in the market due to listing of new treatments, these projections were highly uncertain.  </w:t>
      </w:r>
    </w:p>
    <w:p w:rsidR="004D47B7" w:rsidRPr="00BE7FA1" w:rsidRDefault="004D47B7" w:rsidP="00A832C9">
      <w:pPr>
        <w:pStyle w:val="ListParagraph"/>
        <w:numPr>
          <w:ilvl w:val="1"/>
          <w:numId w:val="4"/>
        </w:numPr>
        <w:spacing w:before="0" w:after="120"/>
      </w:pPr>
      <w:r w:rsidRPr="00BE7FA1">
        <w:t>The submission assumed that, with listing on the PBS</w:t>
      </w:r>
      <w:r w:rsidR="004342EA" w:rsidRPr="00BE7FA1">
        <w:t xml:space="preserve"> and in the absence of cabozantinib</w:t>
      </w:r>
      <w:r w:rsidRPr="00BE7FA1">
        <w:t xml:space="preserve">, nivolumab would account for </w:t>
      </w:r>
      <w:r w:rsidR="00653C98">
        <w:rPr>
          <w:noProof/>
          <w:color w:val="000000"/>
          <w:highlight w:val="black"/>
        </w:rPr>
        <w:t>'''''</w:t>
      </w:r>
      <w:r w:rsidRPr="00BE7FA1">
        <w:t>% of the second- and later-line market.</w:t>
      </w:r>
      <w:r w:rsidR="004342EA" w:rsidRPr="00BE7FA1">
        <w:t xml:space="preserve"> Cabozantinib was subsequently assumed to gain 17% market share in the first year of listing, increasing to </w:t>
      </w:r>
      <w:r w:rsidR="00653C98">
        <w:rPr>
          <w:noProof/>
          <w:color w:val="000000"/>
          <w:highlight w:val="black"/>
        </w:rPr>
        <w:t>'''''</w:t>
      </w:r>
      <w:r w:rsidR="004342EA" w:rsidRPr="00BE7FA1">
        <w:t xml:space="preserve">% in Years 4-6. No justification was given for these assumed uptake rates. The balance of the market was assumed to be </w:t>
      </w:r>
      <w:r w:rsidR="004342EA" w:rsidRPr="00BE7FA1">
        <w:lastRenderedPageBreak/>
        <w:t>distributed between the alternative treatment options in the same proportions as in the absence of cabozantinib.</w:t>
      </w:r>
    </w:p>
    <w:p w:rsidR="00EF3EBD" w:rsidRPr="00BE7FA1" w:rsidRDefault="004342EA" w:rsidP="00A832C9">
      <w:pPr>
        <w:pStyle w:val="ListParagraph"/>
        <w:numPr>
          <w:ilvl w:val="1"/>
          <w:numId w:val="4"/>
        </w:numPr>
        <w:spacing w:before="0" w:after="120"/>
      </w:pPr>
      <w:r w:rsidRPr="00BE7FA1">
        <w:t xml:space="preserve">The submission calculated a single average </w:t>
      </w:r>
      <w:r w:rsidR="00981886">
        <w:t>pre</w:t>
      </w:r>
      <w:r w:rsidRPr="00BE7FA1">
        <w:t>script</w:t>
      </w:r>
      <w:r w:rsidR="00981886">
        <w:t>ion</w:t>
      </w:r>
      <w:r w:rsidRPr="00BE7FA1">
        <w:t xml:space="preserve"> equivalence rate between cabozantinib and all other therapies for the respective PBS and RPBS settings, for each year of the analysis. </w:t>
      </w:r>
    </w:p>
    <w:p w:rsidR="00EF2E32" w:rsidRPr="00BE7FA1" w:rsidRDefault="00EF2E32" w:rsidP="00A832C9">
      <w:pPr>
        <w:pStyle w:val="ListParagraph"/>
        <w:numPr>
          <w:ilvl w:val="1"/>
          <w:numId w:val="4"/>
        </w:numPr>
        <w:spacing w:before="0" w:after="120"/>
      </w:pPr>
      <w:r w:rsidRPr="00BE7FA1">
        <w:t xml:space="preserve">The submission used the number of </w:t>
      </w:r>
      <w:r w:rsidR="00981886">
        <w:t>pre</w:t>
      </w:r>
      <w:r w:rsidRPr="00BE7FA1">
        <w:t>script</w:t>
      </w:r>
      <w:r w:rsidR="00981886">
        <w:t>ion</w:t>
      </w:r>
      <w:r w:rsidRPr="00BE7FA1">
        <w:t xml:space="preserve">s per year to calculate the average </w:t>
      </w:r>
      <w:r w:rsidR="00981886">
        <w:t>pre</w:t>
      </w:r>
      <w:r w:rsidRPr="00BE7FA1">
        <w:t>script</w:t>
      </w:r>
      <w:r w:rsidR="00981886">
        <w:t>ion</w:t>
      </w:r>
      <w:r w:rsidRPr="00BE7FA1">
        <w:t xml:space="preserve"> equivalence rate, implicitly assuming that the mean duration of treatment with each alternative therapy was the same. </w:t>
      </w:r>
      <w:r w:rsidR="000C1F96" w:rsidRPr="00BE7FA1">
        <w:t>As discussed in the economics section</w:t>
      </w:r>
      <w:r w:rsidR="00347876">
        <w:t xml:space="preserve"> of the evaluation</w:t>
      </w:r>
      <w:r w:rsidR="000C1F96" w:rsidRPr="00BE7FA1">
        <w:t xml:space="preserve">, this is not appropriate. </w:t>
      </w:r>
      <w:r w:rsidR="00BC5A30" w:rsidRPr="00BE7FA1">
        <w:t>The assumption of a similar duration of treatment is likely to have overestimated the cost-offsets resulting from substitution for other drugs.</w:t>
      </w:r>
    </w:p>
    <w:p w:rsidR="00C317F3" w:rsidRPr="00BE7FA1" w:rsidRDefault="002E1601" w:rsidP="00A832C9">
      <w:pPr>
        <w:pStyle w:val="ListParagraph"/>
        <w:numPr>
          <w:ilvl w:val="1"/>
          <w:numId w:val="4"/>
        </w:numPr>
        <w:spacing w:before="0" w:after="120"/>
      </w:pPr>
      <w:r w:rsidRPr="00BE7FA1">
        <w:t>The</w:t>
      </w:r>
      <w:r w:rsidR="004342EA" w:rsidRPr="00BE7FA1">
        <w:t xml:space="preserve"> </w:t>
      </w:r>
      <w:r w:rsidRPr="00BE7FA1">
        <w:t>submission’s estimate of the net</w:t>
      </w:r>
      <w:r w:rsidR="004342EA" w:rsidRPr="00BE7FA1">
        <w:t xml:space="preserve"> financial impact of listing cabozantinib for the PBS/RPBS</w:t>
      </w:r>
      <w:r w:rsidRPr="00BE7FA1">
        <w:t xml:space="preserve"> is summarised in </w:t>
      </w:r>
      <w:r w:rsidR="00B8095D" w:rsidRPr="00BE7FA1">
        <w:t>Table 1</w:t>
      </w:r>
      <w:r w:rsidR="0072599A" w:rsidRPr="00BE7FA1">
        <w:t>4</w:t>
      </w:r>
      <w:r w:rsidR="004342EA" w:rsidRPr="00BE7FA1">
        <w:t xml:space="preserve">. </w:t>
      </w:r>
      <w:r w:rsidR="001941BD" w:rsidRPr="00BE7FA1">
        <w:t>All pharmaceutical costs were based on the published prices.</w:t>
      </w:r>
    </w:p>
    <w:p w:rsidR="00A417AA" w:rsidRPr="00A417AA" w:rsidRDefault="00A417AA" w:rsidP="00A417AA">
      <w:pPr>
        <w:pStyle w:val="Caption"/>
        <w:rPr>
          <w:rFonts w:ascii="Arial Narrow" w:hAnsi="Arial Narrow"/>
        </w:rPr>
      </w:pPr>
      <w:r w:rsidRPr="00A417AA">
        <w:rPr>
          <w:rFonts w:ascii="Arial Narrow" w:hAnsi="Arial Narrow"/>
        </w:rPr>
        <w:t xml:space="preserve">Table </w:t>
      </w:r>
      <w:r w:rsidRPr="00A417AA">
        <w:rPr>
          <w:rFonts w:ascii="Arial Narrow" w:hAnsi="Arial Narrow"/>
        </w:rPr>
        <w:fldChar w:fldCharType="begin"/>
      </w:r>
      <w:r w:rsidRPr="00A417AA">
        <w:rPr>
          <w:rFonts w:ascii="Arial Narrow" w:hAnsi="Arial Narrow"/>
        </w:rPr>
        <w:instrText xml:space="preserve"> SEQ Table \* ARABIC </w:instrText>
      </w:r>
      <w:r w:rsidRPr="00A417AA">
        <w:rPr>
          <w:rFonts w:ascii="Arial Narrow" w:hAnsi="Arial Narrow"/>
        </w:rPr>
        <w:fldChar w:fldCharType="separate"/>
      </w:r>
      <w:r w:rsidR="00C73538">
        <w:rPr>
          <w:rFonts w:ascii="Arial Narrow" w:hAnsi="Arial Narrow"/>
          <w:noProof/>
        </w:rPr>
        <w:t>14</w:t>
      </w:r>
      <w:r w:rsidRPr="00A417AA">
        <w:rPr>
          <w:rFonts w:ascii="Arial Narrow" w:hAnsi="Arial Narrow"/>
        </w:rPr>
        <w:fldChar w:fldCharType="end"/>
      </w:r>
      <w:r w:rsidRPr="00A417AA">
        <w:rPr>
          <w:rFonts w:ascii="Arial Narrow" w:hAnsi="Arial Narrow"/>
        </w:rPr>
        <w:t>: Financial impact allowing for some sequential use of cabozantinib and nivolumab</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impact allowing for some sequential use of cabozantinib and nivolumab"/>
      </w:tblPr>
      <w:tblGrid>
        <w:gridCol w:w="1474"/>
        <w:gridCol w:w="1226"/>
        <w:gridCol w:w="1321"/>
        <w:gridCol w:w="1321"/>
        <w:gridCol w:w="1289"/>
        <w:gridCol w:w="1289"/>
        <w:gridCol w:w="1322"/>
      </w:tblGrid>
      <w:tr w:rsidR="00E46E50" w:rsidRPr="00716084" w:rsidTr="00EA49AB">
        <w:trPr>
          <w:tblHeader/>
        </w:trPr>
        <w:tc>
          <w:tcPr>
            <w:tcW w:w="798" w:type="pct"/>
            <w:shd w:val="clear" w:color="auto" w:fill="auto"/>
          </w:tcPr>
          <w:p w:rsidR="00E46E50" w:rsidRPr="00BE7FA1" w:rsidRDefault="00E46E50" w:rsidP="00EC5398">
            <w:pPr>
              <w:ind w:right="101"/>
              <w:rPr>
                <w:rFonts w:ascii="Arial Narrow" w:hAnsi="Arial Narrow" w:cstheme="minorHAnsi"/>
                <w:b/>
                <w:color w:val="000000" w:themeColor="text1"/>
                <w:sz w:val="20"/>
                <w:szCs w:val="20"/>
              </w:rPr>
            </w:pPr>
          </w:p>
        </w:tc>
        <w:tc>
          <w:tcPr>
            <w:tcW w:w="663" w:type="pct"/>
            <w:shd w:val="clear" w:color="auto" w:fill="auto"/>
          </w:tcPr>
          <w:p w:rsidR="00E46E50" w:rsidRPr="00716084" w:rsidRDefault="00E46E50" w:rsidP="00EC5398">
            <w:pPr>
              <w:ind w:right="101"/>
              <w:jc w:val="center"/>
              <w:rPr>
                <w:rFonts w:ascii="Arial Narrow" w:hAnsi="Arial Narrow" w:cstheme="minorHAnsi"/>
                <w:b/>
                <w:color w:val="000000" w:themeColor="text1"/>
                <w:sz w:val="20"/>
                <w:szCs w:val="20"/>
              </w:rPr>
            </w:pPr>
            <w:r w:rsidRPr="00716084">
              <w:rPr>
                <w:rFonts w:ascii="Arial Narrow" w:hAnsi="Arial Narrow" w:cstheme="minorHAnsi"/>
                <w:b/>
                <w:color w:val="000000" w:themeColor="text1"/>
                <w:sz w:val="20"/>
                <w:szCs w:val="20"/>
              </w:rPr>
              <w:t>Year 1</w:t>
            </w:r>
          </w:p>
        </w:tc>
        <w:tc>
          <w:tcPr>
            <w:tcW w:w="715" w:type="pct"/>
            <w:shd w:val="clear" w:color="auto" w:fill="auto"/>
          </w:tcPr>
          <w:p w:rsidR="00E46E50" w:rsidRPr="00716084" w:rsidRDefault="00E46E50" w:rsidP="00EC5398">
            <w:pPr>
              <w:ind w:right="101"/>
              <w:rPr>
                <w:rFonts w:ascii="Arial Narrow" w:hAnsi="Arial Narrow" w:cstheme="minorHAnsi"/>
                <w:b/>
                <w:color w:val="000000" w:themeColor="text1"/>
                <w:sz w:val="20"/>
                <w:szCs w:val="20"/>
              </w:rPr>
            </w:pPr>
            <w:r w:rsidRPr="00716084">
              <w:rPr>
                <w:rFonts w:ascii="Arial Narrow" w:hAnsi="Arial Narrow" w:cstheme="minorHAnsi"/>
                <w:b/>
                <w:color w:val="000000" w:themeColor="text1"/>
                <w:sz w:val="20"/>
                <w:szCs w:val="20"/>
              </w:rPr>
              <w:t>Year 2</w:t>
            </w:r>
          </w:p>
        </w:tc>
        <w:tc>
          <w:tcPr>
            <w:tcW w:w="715" w:type="pct"/>
            <w:shd w:val="clear" w:color="auto" w:fill="auto"/>
          </w:tcPr>
          <w:p w:rsidR="00E46E50" w:rsidRPr="00716084" w:rsidRDefault="00E46E50" w:rsidP="00EC5398">
            <w:pPr>
              <w:ind w:right="101"/>
              <w:rPr>
                <w:rFonts w:ascii="Arial Narrow" w:hAnsi="Arial Narrow" w:cstheme="minorHAnsi"/>
                <w:b/>
                <w:color w:val="000000" w:themeColor="text1"/>
                <w:sz w:val="20"/>
                <w:szCs w:val="20"/>
              </w:rPr>
            </w:pPr>
            <w:r w:rsidRPr="00716084">
              <w:rPr>
                <w:rFonts w:ascii="Arial Narrow" w:hAnsi="Arial Narrow" w:cstheme="minorHAnsi"/>
                <w:b/>
                <w:color w:val="000000" w:themeColor="text1"/>
                <w:sz w:val="20"/>
                <w:szCs w:val="20"/>
              </w:rPr>
              <w:t>Year 3</w:t>
            </w:r>
          </w:p>
        </w:tc>
        <w:tc>
          <w:tcPr>
            <w:tcW w:w="697" w:type="pct"/>
            <w:shd w:val="clear" w:color="auto" w:fill="auto"/>
          </w:tcPr>
          <w:p w:rsidR="00E46E50" w:rsidRPr="00716084" w:rsidRDefault="00E46E50" w:rsidP="00EC5398">
            <w:pPr>
              <w:ind w:right="101"/>
              <w:rPr>
                <w:rFonts w:ascii="Arial Narrow" w:hAnsi="Arial Narrow" w:cstheme="minorHAnsi"/>
                <w:b/>
                <w:color w:val="000000" w:themeColor="text1"/>
                <w:sz w:val="20"/>
                <w:szCs w:val="20"/>
              </w:rPr>
            </w:pPr>
            <w:r w:rsidRPr="00716084">
              <w:rPr>
                <w:rFonts w:ascii="Arial Narrow" w:hAnsi="Arial Narrow" w:cstheme="minorHAnsi"/>
                <w:b/>
                <w:color w:val="000000" w:themeColor="text1"/>
                <w:sz w:val="20"/>
                <w:szCs w:val="20"/>
              </w:rPr>
              <w:t>Year 4</w:t>
            </w:r>
          </w:p>
        </w:tc>
        <w:tc>
          <w:tcPr>
            <w:tcW w:w="697" w:type="pct"/>
            <w:shd w:val="clear" w:color="auto" w:fill="auto"/>
          </w:tcPr>
          <w:p w:rsidR="00E46E50" w:rsidRPr="00716084" w:rsidRDefault="00E46E50" w:rsidP="00EC5398">
            <w:pPr>
              <w:ind w:right="101"/>
              <w:rPr>
                <w:rFonts w:ascii="Arial Narrow" w:hAnsi="Arial Narrow" w:cstheme="minorHAnsi"/>
                <w:b/>
                <w:color w:val="000000" w:themeColor="text1"/>
                <w:sz w:val="20"/>
                <w:szCs w:val="20"/>
              </w:rPr>
            </w:pPr>
            <w:r w:rsidRPr="00716084">
              <w:rPr>
                <w:rFonts w:ascii="Arial Narrow" w:hAnsi="Arial Narrow" w:cstheme="minorHAnsi"/>
                <w:b/>
                <w:color w:val="000000" w:themeColor="text1"/>
                <w:sz w:val="20"/>
                <w:szCs w:val="20"/>
              </w:rPr>
              <w:t>Year 5</w:t>
            </w:r>
          </w:p>
        </w:tc>
        <w:tc>
          <w:tcPr>
            <w:tcW w:w="715" w:type="pct"/>
            <w:shd w:val="clear" w:color="auto" w:fill="auto"/>
          </w:tcPr>
          <w:p w:rsidR="00E46E50" w:rsidRPr="00716084" w:rsidRDefault="00E46E50" w:rsidP="00EC5398">
            <w:pPr>
              <w:ind w:right="101"/>
              <w:rPr>
                <w:rFonts w:ascii="Arial Narrow" w:hAnsi="Arial Narrow" w:cstheme="minorHAnsi"/>
                <w:b/>
                <w:color w:val="000000" w:themeColor="text1"/>
                <w:sz w:val="20"/>
                <w:szCs w:val="20"/>
              </w:rPr>
            </w:pPr>
            <w:r w:rsidRPr="00716084">
              <w:rPr>
                <w:rFonts w:ascii="Arial Narrow" w:hAnsi="Arial Narrow" w:cstheme="minorHAnsi"/>
                <w:b/>
                <w:color w:val="000000" w:themeColor="text1"/>
                <w:sz w:val="20"/>
                <w:szCs w:val="20"/>
              </w:rPr>
              <w:t>Year 6</w:t>
            </w:r>
          </w:p>
        </w:tc>
      </w:tr>
      <w:tr w:rsidR="00E46E50" w:rsidRPr="00716084" w:rsidTr="00E46E50">
        <w:tc>
          <w:tcPr>
            <w:tcW w:w="5000" w:type="pct"/>
            <w:gridSpan w:val="7"/>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Submission: per the Cabozantinib Section 4 model</w:t>
            </w:r>
          </w:p>
        </w:tc>
      </w:tr>
      <w:tr w:rsidR="00E46E50" w:rsidRPr="00716084" w:rsidTr="00A417AA">
        <w:tc>
          <w:tcPr>
            <w:tcW w:w="798" w:type="pct"/>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Cost of cabozantinib</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r>
      <w:tr w:rsidR="00E46E50" w:rsidRPr="00716084" w:rsidTr="00A417AA">
        <w:tc>
          <w:tcPr>
            <w:tcW w:w="798" w:type="pct"/>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Cost offsets</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r>
      <w:tr w:rsidR="00E46E50" w:rsidRPr="00716084" w:rsidTr="00A417AA">
        <w:tc>
          <w:tcPr>
            <w:tcW w:w="798" w:type="pct"/>
            <w:shd w:val="clear" w:color="auto" w:fill="auto"/>
          </w:tcPr>
          <w:p w:rsidR="00E46E50" w:rsidRPr="00716084" w:rsidRDefault="00E46E50" w:rsidP="00E46E50">
            <w:pPr>
              <w:ind w:right="-55"/>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Net cost to PBS/RPBS</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r>
      <w:tr w:rsidR="00E46E50" w:rsidRPr="00716084" w:rsidTr="00E46E50">
        <w:tc>
          <w:tcPr>
            <w:tcW w:w="5000" w:type="pct"/>
            <w:gridSpan w:val="7"/>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With sequential use of cabozantinib in poor risk patients (based on METEOR population 12.8%)</w:t>
            </w:r>
          </w:p>
        </w:tc>
      </w:tr>
      <w:tr w:rsidR="00E46E50" w:rsidRPr="00716084" w:rsidTr="00A417AA">
        <w:tc>
          <w:tcPr>
            <w:tcW w:w="798" w:type="pct"/>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Cost offsets</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r>
      <w:tr w:rsidR="00E46E50" w:rsidRPr="00716084" w:rsidTr="00A417AA">
        <w:tc>
          <w:tcPr>
            <w:tcW w:w="798" w:type="pct"/>
            <w:shd w:val="clear" w:color="auto" w:fill="auto"/>
          </w:tcPr>
          <w:p w:rsidR="00E46E50" w:rsidRPr="00716084" w:rsidRDefault="00E46E50" w:rsidP="00E46E50">
            <w:pPr>
              <w:ind w:right="-55"/>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Net cost to PBS/RPBS</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r>
      <w:tr w:rsidR="00E46E50" w:rsidRPr="00716084" w:rsidTr="00E46E50">
        <w:tc>
          <w:tcPr>
            <w:tcW w:w="5000" w:type="pct"/>
            <w:gridSpan w:val="7"/>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With sequential use of cabozantinib in poor risk patients (based on METEOR population 15.4%)</w:t>
            </w:r>
          </w:p>
        </w:tc>
      </w:tr>
      <w:tr w:rsidR="00E46E50" w:rsidRPr="00716084" w:rsidTr="00A417AA">
        <w:tc>
          <w:tcPr>
            <w:tcW w:w="798" w:type="pct"/>
            <w:shd w:val="clear" w:color="auto" w:fill="auto"/>
          </w:tcPr>
          <w:p w:rsidR="00E46E50" w:rsidRPr="00716084" w:rsidRDefault="00E46E50" w:rsidP="00EC5398">
            <w:pPr>
              <w:ind w:right="101"/>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Cost offsets</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color w:val="000000"/>
                <w:sz w:val="20"/>
                <w:szCs w:val="20"/>
              </w:rPr>
              <w:t>$</w:t>
            </w:r>
            <w:r w:rsidR="00653C98">
              <w:rPr>
                <w:rFonts w:ascii="Arial Narrow" w:hAnsi="Arial Narrow" w:cstheme="minorHAnsi"/>
                <w:noProof/>
                <w:color w:val="000000"/>
                <w:sz w:val="20"/>
                <w:szCs w:val="20"/>
                <w:highlight w:val="black"/>
              </w:rPr>
              <w:t>''''''''''''''''''''''''''</w:t>
            </w:r>
          </w:p>
        </w:tc>
      </w:tr>
      <w:tr w:rsidR="00E46E50" w:rsidRPr="00716084" w:rsidTr="00A417AA">
        <w:tc>
          <w:tcPr>
            <w:tcW w:w="798" w:type="pct"/>
            <w:shd w:val="clear" w:color="auto" w:fill="auto"/>
          </w:tcPr>
          <w:p w:rsidR="00E46E50" w:rsidRPr="00716084" w:rsidRDefault="00E46E50" w:rsidP="00E46E50">
            <w:pPr>
              <w:ind w:right="-55"/>
              <w:rPr>
                <w:rFonts w:ascii="Arial Narrow" w:hAnsi="Arial Narrow" w:cstheme="minorHAnsi"/>
                <w:color w:val="000000" w:themeColor="text1"/>
                <w:sz w:val="20"/>
                <w:szCs w:val="20"/>
              </w:rPr>
            </w:pPr>
            <w:r w:rsidRPr="00716084">
              <w:rPr>
                <w:rFonts w:ascii="Arial Narrow" w:hAnsi="Arial Narrow" w:cstheme="minorHAnsi"/>
                <w:color w:val="000000" w:themeColor="text1"/>
                <w:sz w:val="20"/>
                <w:szCs w:val="20"/>
              </w:rPr>
              <w:t>Net cost to PBS/RPBS</w:t>
            </w:r>
          </w:p>
        </w:tc>
        <w:tc>
          <w:tcPr>
            <w:tcW w:w="663"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697"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c>
          <w:tcPr>
            <w:tcW w:w="715" w:type="pct"/>
            <w:shd w:val="clear" w:color="auto" w:fill="auto"/>
            <w:vAlign w:val="bottom"/>
          </w:tcPr>
          <w:p w:rsidR="00E46E50" w:rsidRPr="00716084" w:rsidRDefault="00E46E50" w:rsidP="00EC5398">
            <w:pPr>
              <w:ind w:right="101"/>
              <w:jc w:val="center"/>
              <w:rPr>
                <w:rFonts w:ascii="Arial Narrow" w:hAnsi="Arial Narrow" w:cstheme="minorHAnsi"/>
                <w:color w:val="000000" w:themeColor="text1"/>
                <w:sz w:val="20"/>
                <w:szCs w:val="20"/>
              </w:rPr>
            </w:pPr>
            <w:r w:rsidRPr="00716084">
              <w:rPr>
                <w:rFonts w:ascii="Arial Narrow" w:hAnsi="Arial Narrow" w:cstheme="minorHAnsi"/>
                <w:b/>
                <w:bCs/>
                <w:color w:val="000000"/>
                <w:sz w:val="20"/>
                <w:szCs w:val="20"/>
              </w:rPr>
              <w:t>$</w:t>
            </w:r>
            <w:r w:rsidR="00653C98">
              <w:rPr>
                <w:rFonts w:ascii="Arial Narrow" w:hAnsi="Arial Narrow" w:cstheme="minorHAnsi"/>
                <w:b/>
                <w:bCs/>
                <w:noProof/>
                <w:color w:val="000000"/>
                <w:sz w:val="20"/>
                <w:szCs w:val="20"/>
                <w:highlight w:val="black"/>
              </w:rPr>
              <w:t>''''''''''''''''''</w:t>
            </w:r>
          </w:p>
        </w:tc>
      </w:tr>
    </w:tbl>
    <w:p w:rsidR="004342EA" w:rsidRDefault="004342EA" w:rsidP="004342EA">
      <w:pPr>
        <w:pStyle w:val="TableFooter"/>
      </w:pPr>
      <w:r w:rsidRPr="00716084">
        <w:t xml:space="preserve">Source: </w:t>
      </w:r>
      <w:r w:rsidR="00E46E50" w:rsidRPr="00716084">
        <w:t>Table 5, p5 of the Sponsor’s Pre-PBAC response</w:t>
      </w:r>
      <w:r w:rsidRPr="00716084">
        <w:t>.</w:t>
      </w:r>
    </w:p>
    <w:p w:rsidR="00981886" w:rsidRDefault="00981886" w:rsidP="004342EA">
      <w:pPr>
        <w:pStyle w:val="TableFooter"/>
      </w:pPr>
    </w:p>
    <w:p w:rsidR="00981886" w:rsidRPr="00E72822" w:rsidRDefault="00981886" w:rsidP="004342EA">
      <w:pPr>
        <w:pStyle w:val="TableFooter"/>
        <w:rPr>
          <w:rFonts w:asciiTheme="minorHAnsi" w:hAnsiTheme="minorHAnsi"/>
          <w:i/>
          <w:sz w:val="24"/>
          <w:szCs w:val="24"/>
        </w:rPr>
      </w:pPr>
      <w:r w:rsidRPr="00E72822">
        <w:rPr>
          <w:rFonts w:asciiTheme="minorHAnsi" w:hAnsiTheme="minorHAnsi"/>
          <w:i/>
          <w:sz w:val="24"/>
          <w:szCs w:val="24"/>
        </w:rPr>
        <w:t>The redacted table above shows the estimated net cost to the PBS/RPBS for cabozantinib of less than $10 million per year.</w:t>
      </w:r>
    </w:p>
    <w:p w:rsidR="002E1601" w:rsidRPr="00BE7FA1" w:rsidRDefault="002E1601" w:rsidP="00A832C9">
      <w:pPr>
        <w:pStyle w:val="ListParagraph"/>
        <w:numPr>
          <w:ilvl w:val="1"/>
          <w:numId w:val="4"/>
        </w:numPr>
        <w:spacing w:before="0" w:after="120"/>
      </w:pPr>
      <w:r w:rsidRPr="00BE7FA1">
        <w:t>The</w:t>
      </w:r>
      <w:r w:rsidR="00347876">
        <w:t xml:space="preserve"> evaluation considered there</w:t>
      </w:r>
      <w:r w:rsidRPr="00BE7FA1">
        <w:t xml:space="preserve"> is potential for the net cost/year for the PBS/RPBS to be either greater than or less that the estimate in the submission given that:</w:t>
      </w:r>
    </w:p>
    <w:p w:rsidR="008155BB" w:rsidRPr="00BE7FA1" w:rsidRDefault="002E1601" w:rsidP="00A832C9">
      <w:pPr>
        <w:pStyle w:val="ListParagraph"/>
        <w:numPr>
          <w:ilvl w:val="0"/>
          <w:numId w:val="22"/>
        </w:numPr>
        <w:ind w:left="1276" w:hanging="425"/>
      </w:pPr>
      <w:r w:rsidRPr="00BE7FA1">
        <w:t>The submission assumed that listing of cabozantinib would not alter the estimated utilisation of second- and later-line treatments. However, if cabozantinib is used sequentially with nivolumab</w:t>
      </w:r>
      <w:r w:rsidR="00E46E50" w:rsidRPr="00BE7FA1">
        <w:t xml:space="preserve"> to a greater extent than predicted by the estimates</w:t>
      </w:r>
      <w:r w:rsidRPr="00BE7FA1">
        <w:t>, rather than substituting for it</w:t>
      </w:r>
      <w:r w:rsidR="008155BB" w:rsidRPr="00BE7FA1">
        <w:t>:</w:t>
      </w:r>
    </w:p>
    <w:p w:rsidR="002E1601" w:rsidRPr="00BE7FA1" w:rsidRDefault="008155BB" w:rsidP="0064611B">
      <w:pPr>
        <w:pStyle w:val="ListParagraph"/>
        <w:numPr>
          <w:ilvl w:val="1"/>
          <w:numId w:val="22"/>
        </w:numPr>
      </w:pPr>
      <w:r w:rsidRPr="00BE7FA1">
        <w:t>T</w:t>
      </w:r>
      <w:r w:rsidR="002E1601" w:rsidRPr="00BE7FA1">
        <w:t>he total second- and later-line market for treatment of Stage IV clear cell variant RCC is likely to increase; and</w:t>
      </w:r>
    </w:p>
    <w:p w:rsidR="002E1601" w:rsidRPr="00BE7FA1" w:rsidRDefault="008155BB" w:rsidP="00A832C9">
      <w:pPr>
        <w:pStyle w:val="ListParagraph"/>
        <w:numPr>
          <w:ilvl w:val="1"/>
          <w:numId w:val="22"/>
        </w:numPr>
      </w:pPr>
      <w:r w:rsidRPr="00BE7FA1">
        <w:lastRenderedPageBreak/>
        <w:t>The</w:t>
      </w:r>
      <w:r w:rsidR="002E1601" w:rsidRPr="00BE7FA1">
        <w:t xml:space="preserve"> submission’s estimates of the cost-offsets resulting from substitution for nivolumab, which represented approximately 80% of the estimated total cost offsets, are unlikely </w:t>
      </w:r>
      <w:r w:rsidR="00EF2E32" w:rsidRPr="00BE7FA1">
        <w:t>to be fully realised</w:t>
      </w:r>
      <w:r w:rsidR="002E1601" w:rsidRPr="00BE7FA1">
        <w:t>.</w:t>
      </w:r>
    </w:p>
    <w:p w:rsidR="0056675F" w:rsidRPr="00BE7FA1" w:rsidRDefault="0056675F" w:rsidP="00AA4740">
      <w:pPr>
        <w:ind w:firstLine="709"/>
        <w:rPr>
          <w:i/>
        </w:rPr>
      </w:pPr>
      <w:r w:rsidRPr="00BE7FA1">
        <w:rPr>
          <w:i/>
        </w:rPr>
        <w:t>For more detail on PBAC’s view, see section 7 PBAC outcome.</w:t>
      </w:r>
    </w:p>
    <w:p w:rsidR="0015573E" w:rsidRPr="00BE7FA1" w:rsidRDefault="0015573E" w:rsidP="006F19D1">
      <w:pPr>
        <w:pStyle w:val="Heading1"/>
        <w:spacing w:after="0"/>
        <w:ind w:left="709" w:hanging="709"/>
      </w:pPr>
      <w:r w:rsidRPr="00BE7FA1">
        <w:t>PBAC Outcome</w:t>
      </w:r>
    </w:p>
    <w:p w:rsidR="0086165D" w:rsidRPr="00444991" w:rsidRDefault="0086165D" w:rsidP="006F19D1">
      <w:pPr>
        <w:pStyle w:val="ListParagraph"/>
        <w:numPr>
          <w:ilvl w:val="0"/>
          <w:numId w:val="4"/>
        </w:numPr>
        <w:spacing w:before="0" w:after="0"/>
        <w:jc w:val="left"/>
        <w:rPr>
          <w:rFonts w:ascii="Arial" w:eastAsia="Times New Roman" w:hAnsi="Arial" w:cs="Arial"/>
          <w:b/>
          <w:snapToGrid w:val="0"/>
          <w:vanish/>
          <w:sz w:val="22"/>
        </w:rPr>
      </w:pPr>
    </w:p>
    <w:p w:rsidR="0015573E" w:rsidRPr="00444991" w:rsidRDefault="007E2907" w:rsidP="006F19D1">
      <w:pPr>
        <w:pStyle w:val="ListParagraph"/>
        <w:numPr>
          <w:ilvl w:val="1"/>
          <w:numId w:val="4"/>
        </w:numPr>
        <w:spacing w:before="0"/>
        <w:rPr>
          <w:snapToGrid w:val="0"/>
        </w:rPr>
      </w:pPr>
      <w:r w:rsidRPr="00444991">
        <w:rPr>
          <w:snapToGrid w:val="0"/>
        </w:rPr>
        <w:t xml:space="preserve">The PBAC recommended </w:t>
      </w:r>
      <w:r w:rsidR="00726C75" w:rsidRPr="00444991">
        <w:rPr>
          <w:snapToGrid w:val="0"/>
        </w:rPr>
        <w:t xml:space="preserve">listing </w:t>
      </w:r>
      <w:r w:rsidRPr="00444991">
        <w:rPr>
          <w:snapToGrid w:val="0"/>
        </w:rPr>
        <w:t>cabozantinib for the treatment of Stage IV clear cell variant renal cell carcinoma</w:t>
      </w:r>
      <w:r w:rsidR="00726C75" w:rsidRPr="00444991">
        <w:rPr>
          <w:snapToGrid w:val="0"/>
        </w:rPr>
        <w:t>, on a cost-minimisation basis against nivolumab</w:t>
      </w:r>
      <w:r w:rsidRPr="00444991">
        <w:rPr>
          <w:snapToGrid w:val="0"/>
        </w:rPr>
        <w:t xml:space="preserve">. The PBAC considered that cabozantinib had non-inferior efficacy compared to nivolumab and whilst there was possibly increased toxicity </w:t>
      </w:r>
      <w:proofErr w:type="gramStart"/>
      <w:r w:rsidRPr="00444991">
        <w:rPr>
          <w:snapToGrid w:val="0"/>
        </w:rPr>
        <w:t>associated,</w:t>
      </w:r>
      <w:proofErr w:type="gramEnd"/>
      <w:r w:rsidRPr="00444991">
        <w:rPr>
          <w:snapToGrid w:val="0"/>
        </w:rPr>
        <w:t xml:space="preserve"> this was manageable and balanced against a clinical need for an alternative to immunotherapy in this patient population.</w:t>
      </w:r>
    </w:p>
    <w:p w:rsidR="007141E0" w:rsidRPr="00444991" w:rsidRDefault="00726C75" w:rsidP="0015573E">
      <w:pPr>
        <w:widowControl w:val="0"/>
        <w:numPr>
          <w:ilvl w:val="1"/>
          <w:numId w:val="4"/>
        </w:numPr>
        <w:spacing w:before="0" w:after="120"/>
        <w:rPr>
          <w:rFonts w:cs="Arial"/>
          <w:bCs/>
          <w:snapToGrid w:val="0"/>
        </w:rPr>
      </w:pPr>
      <w:r w:rsidRPr="00444991">
        <w:rPr>
          <w:rFonts w:cs="Arial"/>
          <w:bCs/>
          <w:snapToGrid w:val="0"/>
        </w:rPr>
        <w:t xml:space="preserve">The PBAC considered that </w:t>
      </w:r>
      <w:r w:rsidR="007141E0" w:rsidRPr="00444991">
        <w:rPr>
          <w:rFonts w:cs="Arial"/>
          <w:bCs/>
          <w:snapToGrid w:val="0"/>
        </w:rPr>
        <w:t>the cost-minimisation should be calculated on the basis that the average cost per patient for cabozantinib is the sa</w:t>
      </w:r>
      <w:r w:rsidR="0086165D" w:rsidRPr="00444991">
        <w:rPr>
          <w:rFonts w:cs="Arial"/>
          <w:bCs/>
          <w:snapToGrid w:val="0"/>
        </w:rPr>
        <w:t>me</w:t>
      </w:r>
      <w:r w:rsidR="007141E0" w:rsidRPr="00444991">
        <w:rPr>
          <w:rFonts w:cs="Arial"/>
          <w:bCs/>
          <w:snapToGrid w:val="0"/>
        </w:rPr>
        <w:t xml:space="preserve"> as that for nivolumab</w:t>
      </w:r>
      <w:r w:rsidRPr="00444991">
        <w:rPr>
          <w:rFonts w:cs="Arial"/>
          <w:bCs/>
          <w:snapToGrid w:val="0"/>
        </w:rPr>
        <w:t xml:space="preserve">. The PBAC noted the submission’s proposal to calculate the cost-minimisation on the assumption of equal treatment duration for cabozantinib and nivolumab, but </w:t>
      </w:r>
      <w:r w:rsidR="007141E0" w:rsidRPr="00444991">
        <w:rPr>
          <w:rFonts w:cs="Arial"/>
          <w:bCs/>
          <w:snapToGrid w:val="0"/>
        </w:rPr>
        <w:t xml:space="preserve">considered that this approach was not well supported and favoured cabozantinib. The PBAC recommended that in the absence of further directly comparable data </w:t>
      </w:r>
      <w:r w:rsidRPr="00444991">
        <w:rPr>
          <w:rFonts w:cs="Arial"/>
          <w:bCs/>
          <w:snapToGrid w:val="0"/>
        </w:rPr>
        <w:t>the most appropriate approach for the cost-minimisati</w:t>
      </w:r>
      <w:r w:rsidR="007141E0" w:rsidRPr="00444991">
        <w:rPr>
          <w:rFonts w:cs="Arial"/>
          <w:bCs/>
          <w:snapToGrid w:val="0"/>
        </w:rPr>
        <w:t>on would be</w:t>
      </w:r>
      <w:r w:rsidRPr="00444991">
        <w:rPr>
          <w:rFonts w:cs="Arial"/>
          <w:bCs/>
          <w:snapToGrid w:val="0"/>
        </w:rPr>
        <w:t xml:space="preserve"> to use </w:t>
      </w:r>
      <w:r w:rsidR="007141E0" w:rsidRPr="00444991">
        <w:rPr>
          <w:rFonts w:cs="Arial"/>
          <w:bCs/>
          <w:snapToGrid w:val="0"/>
        </w:rPr>
        <w:t>the median durations of each trea</w:t>
      </w:r>
      <w:r w:rsidR="001B042C">
        <w:rPr>
          <w:rFonts w:cs="Arial"/>
          <w:bCs/>
          <w:snapToGrid w:val="0"/>
        </w:rPr>
        <w:t>t</w:t>
      </w:r>
      <w:r w:rsidR="007141E0" w:rsidRPr="00444991">
        <w:rPr>
          <w:rFonts w:cs="Arial"/>
          <w:bCs/>
          <w:snapToGrid w:val="0"/>
        </w:rPr>
        <w:t>me</w:t>
      </w:r>
      <w:r w:rsidR="0086165D" w:rsidRPr="00444991">
        <w:rPr>
          <w:rFonts w:cs="Arial"/>
          <w:bCs/>
          <w:snapToGrid w:val="0"/>
        </w:rPr>
        <w:t>n</w:t>
      </w:r>
      <w:r w:rsidR="007141E0" w:rsidRPr="00444991">
        <w:rPr>
          <w:rFonts w:cs="Arial"/>
          <w:bCs/>
          <w:snapToGrid w:val="0"/>
        </w:rPr>
        <w:t xml:space="preserve">t from the METEOR and Checkmate 025 studies. </w:t>
      </w:r>
    </w:p>
    <w:p w:rsidR="0015573E" w:rsidRPr="00444991" w:rsidRDefault="001E7A9F" w:rsidP="0015573E">
      <w:pPr>
        <w:widowControl w:val="0"/>
        <w:numPr>
          <w:ilvl w:val="1"/>
          <w:numId w:val="4"/>
        </w:numPr>
        <w:spacing w:before="0" w:after="120"/>
        <w:rPr>
          <w:rFonts w:cs="Arial"/>
          <w:bCs/>
          <w:snapToGrid w:val="0"/>
        </w:rPr>
      </w:pPr>
      <w:r w:rsidRPr="00444991">
        <w:rPr>
          <w:rFonts w:cs="Arial"/>
          <w:bCs/>
          <w:snapToGrid w:val="0"/>
        </w:rPr>
        <w:t xml:space="preserve">The </w:t>
      </w:r>
      <w:r w:rsidR="007E2907" w:rsidRPr="00444991">
        <w:rPr>
          <w:rFonts w:cs="Arial"/>
          <w:bCs/>
          <w:snapToGrid w:val="0"/>
        </w:rPr>
        <w:t>PBAC</w:t>
      </w:r>
      <w:r w:rsidR="0086165D" w:rsidRPr="00444991">
        <w:rPr>
          <w:rFonts w:cs="Arial"/>
          <w:bCs/>
          <w:snapToGrid w:val="0"/>
        </w:rPr>
        <w:t xml:space="preserve"> noted that nivolumab, which was presented in the submission as a near to market comparator, had been listed for this patient population in the time</w:t>
      </w:r>
      <w:r w:rsidR="002633B4" w:rsidRPr="00444991">
        <w:rPr>
          <w:rFonts w:cs="Arial"/>
          <w:bCs/>
          <w:snapToGrid w:val="0"/>
        </w:rPr>
        <w:t xml:space="preserve"> since</w:t>
      </w:r>
      <w:r w:rsidR="0086165D" w:rsidRPr="00444991">
        <w:rPr>
          <w:rFonts w:cs="Arial"/>
          <w:bCs/>
          <w:snapToGrid w:val="0"/>
        </w:rPr>
        <w:t xml:space="preserve"> the submission was lodged, and agreed that this was now the most relevant main comparator.</w:t>
      </w:r>
    </w:p>
    <w:p w:rsidR="0086165D" w:rsidRPr="00444991" w:rsidRDefault="0086165D" w:rsidP="0086165D">
      <w:pPr>
        <w:widowControl w:val="0"/>
        <w:numPr>
          <w:ilvl w:val="1"/>
          <w:numId w:val="4"/>
        </w:numPr>
        <w:spacing w:before="0" w:after="120"/>
        <w:rPr>
          <w:rFonts w:cs="Arial"/>
          <w:bCs/>
          <w:snapToGrid w:val="0"/>
        </w:rPr>
      </w:pPr>
      <w:r w:rsidRPr="00444991">
        <w:rPr>
          <w:rFonts w:cs="Arial"/>
          <w:bCs/>
          <w:snapToGrid w:val="0"/>
        </w:rPr>
        <w:t xml:space="preserve">The PBAC considered that, for patients with clear cell variant metastatic RCC, the appropriate clinical place in therapy for cabozantinib would be as </w:t>
      </w:r>
      <w:r w:rsidR="00CF7A65">
        <w:rPr>
          <w:rFonts w:cs="Arial"/>
          <w:bCs/>
          <w:snapToGrid w:val="0"/>
        </w:rPr>
        <w:t>a second line</w:t>
      </w:r>
      <w:r w:rsidRPr="00444991">
        <w:rPr>
          <w:rFonts w:cs="Arial"/>
          <w:bCs/>
          <w:snapToGrid w:val="0"/>
        </w:rPr>
        <w:t xml:space="preserve"> alternative to nivolumab in patients who have failed treatment with a TKI</w:t>
      </w:r>
      <w:r w:rsidR="00CF7A65">
        <w:rPr>
          <w:rFonts w:cs="Arial"/>
          <w:bCs/>
          <w:snapToGrid w:val="0"/>
        </w:rPr>
        <w:t>, however acknowledged cabozantinib would also be used as third line therapy following second line nivolumab</w:t>
      </w:r>
      <w:r w:rsidRPr="00444991">
        <w:rPr>
          <w:rFonts w:cs="Arial"/>
          <w:bCs/>
          <w:snapToGrid w:val="0"/>
        </w:rPr>
        <w:t xml:space="preserve">. </w:t>
      </w:r>
    </w:p>
    <w:p w:rsidR="004F363B" w:rsidRPr="00444991" w:rsidRDefault="004F363B" w:rsidP="004F363B">
      <w:pPr>
        <w:widowControl w:val="0"/>
        <w:numPr>
          <w:ilvl w:val="1"/>
          <w:numId w:val="4"/>
        </w:numPr>
        <w:spacing w:before="0" w:after="120"/>
        <w:rPr>
          <w:rFonts w:cs="Arial"/>
          <w:bCs/>
          <w:snapToGrid w:val="0"/>
        </w:rPr>
      </w:pPr>
      <w:r w:rsidRPr="00444991">
        <w:rPr>
          <w:rFonts w:cs="Arial"/>
          <w:bCs/>
          <w:snapToGrid w:val="0"/>
        </w:rPr>
        <w:t>The PBAC noted that the restriction for nivolumab includes</w:t>
      </w:r>
      <w:r w:rsidRPr="00BE7FA1">
        <w:t xml:space="preserve"> </w:t>
      </w:r>
      <w:r w:rsidR="0086165D" w:rsidRPr="00731453">
        <w:t>use in both patients who have failed treatment with a TKI and patients who “</w:t>
      </w:r>
      <w:r w:rsidRPr="00444991">
        <w:rPr>
          <w:rFonts w:cs="Arial"/>
          <w:bCs/>
          <w:snapToGrid w:val="0"/>
        </w:rPr>
        <w:t xml:space="preserve">have developed intolerance to a tyrosine kinase inhibitor of a severity necessitating permanent treatment withdrawal.”  </w:t>
      </w:r>
      <w:r w:rsidR="0086165D" w:rsidRPr="00444991">
        <w:rPr>
          <w:rFonts w:cs="Arial"/>
          <w:bCs/>
          <w:snapToGrid w:val="0"/>
        </w:rPr>
        <w:t xml:space="preserve">Given the likelihood of patients who have developed </w:t>
      </w:r>
      <w:proofErr w:type="gramStart"/>
      <w:r w:rsidR="0086165D" w:rsidRPr="00444991">
        <w:rPr>
          <w:rFonts w:cs="Arial"/>
          <w:bCs/>
          <w:snapToGrid w:val="0"/>
        </w:rPr>
        <w:t>an intolerance</w:t>
      </w:r>
      <w:proofErr w:type="gramEnd"/>
      <w:r w:rsidR="0086165D" w:rsidRPr="00444991">
        <w:rPr>
          <w:rFonts w:cs="Arial"/>
          <w:bCs/>
          <w:snapToGrid w:val="0"/>
        </w:rPr>
        <w:t xml:space="preserve"> to </w:t>
      </w:r>
      <w:r w:rsidR="00CF7A65">
        <w:rPr>
          <w:rFonts w:cs="Arial"/>
          <w:bCs/>
          <w:snapToGrid w:val="0"/>
        </w:rPr>
        <w:t xml:space="preserve">first line </w:t>
      </w:r>
      <w:r w:rsidR="0086165D" w:rsidRPr="00444991">
        <w:rPr>
          <w:rFonts w:cs="Arial"/>
          <w:bCs/>
          <w:snapToGrid w:val="0"/>
        </w:rPr>
        <w:t xml:space="preserve">TKIs also having tolerability issues with cabozantinib, the PBAC did not think this </w:t>
      </w:r>
      <w:r w:rsidR="00AC0214">
        <w:rPr>
          <w:rFonts w:cs="Arial"/>
          <w:bCs/>
          <w:snapToGrid w:val="0"/>
        </w:rPr>
        <w:t xml:space="preserve">criterion </w:t>
      </w:r>
      <w:r w:rsidR="0086165D" w:rsidRPr="00444991">
        <w:rPr>
          <w:rFonts w:cs="Arial"/>
          <w:bCs/>
          <w:snapToGrid w:val="0"/>
        </w:rPr>
        <w:t>would be appropriate to include in the cabozantinib restriction.</w:t>
      </w:r>
    </w:p>
    <w:p w:rsidR="0015573E" w:rsidRPr="00444991" w:rsidRDefault="0074621D" w:rsidP="0074621D">
      <w:pPr>
        <w:widowControl w:val="0"/>
        <w:numPr>
          <w:ilvl w:val="1"/>
          <w:numId w:val="4"/>
        </w:numPr>
        <w:spacing w:before="0" w:after="120"/>
        <w:rPr>
          <w:rFonts w:cs="Arial"/>
          <w:bCs/>
          <w:snapToGrid w:val="0"/>
        </w:rPr>
      </w:pPr>
      <w:r w:rsidRPr="00444991">
        <w:rPr>
          <w:rFonts w:cs="Arial"/>
          <w:bCs/>
          <w:snapToGrid w:val="0"/>
        </w:rPr>
        <w:t>The clinical claim against nivolumab was based on an indirect comparison of two open-label randomised controlled trials comparing cabozantinib and nivol</w:t>
      </w:r>
      <w:r w:rsidR="00B62568">
        <w:rPr>
          <w:rFonts w:cs="Arial"/>
          <w:bCs/>
          <w:snapToGrid w:val="0"/>
        </w:rPr>
        <w:t>u</w:t>
      </w:r>
      <w:r w:rsidRPr="00444991">
        <w:rPr>
          <w:rFonts w:cs="Arial"/>
          <w:bCs/>
          <w:snapToGrid w:val="0"/>
        </w:rPr>
        <w:t>mab with everolimus (METEOR and CheckMate 025, respectively)</w:t>
      </w:r>
      <w:r w:rsidR="0015573E" w:rsidRPr="00444991">
        <w:rPr>
          <w:rFonts w:cs="Arial"/>
          <w:bCs/>
          <w:snapToGrid w:val="0"/>
        </w:rPr>
        <w:t>.</w:t>
      </w:r>
      <w:r w:rsidRPr="00444991">
        <w:rPr>
          <w:rFonts w:cs="Arial"/>
          <w:bCs/>
          <w:snapToGrid w:val="0"/>
        </w:rPr>
        <w:t xml:space="preserve"> The PBAC noted that there was considerable uncertainty around the results of the comparison, given </w:t>
      </w:r>
      <w:r w:rsidR="001E7A9F" w:rsidRPr="00444991">
        <w:rPr>
          <w:rFonts w:cs="Arial"/>
          <w:bCs/>
          <w:snapToGrid w:val="0"/>
        </w:rPr>
        <w:t>its</w:t>
      </w:r>
      <w:r w:rsidRPr="00444991">
        <w:rPr>
          <w:rFonts w:cs="Arial"/>
          <w:bCs/>
          <w:snapToGrid w:val="0"/>
        </w:rPr>
        <w:t xml:space="preserve"> indirect nature, as well as the risk of bias associated with both studies being open-label. The PBAC also noted the ESC’s concerns around the lack of statistical support provided for the comparison. </w:t>
      </w:r>
      <w:r w:rsidR="0015573E" w:rsidRPr="00444991">
        <w:rPr>
          <w:rFonts w:cs="Arial"/>
          <w:bCs/>
          <w:snapToGrid w:val="0"/>
        </w:rPr>
        <w:t xml:space="preserve"> </w:t>
      </w:r>
    </w:p>
    <w:p w:rsidR="0015573E" w:rsidRPr="00444991" w:rsidRDefault="00870B86" w:rsidP="0015573E">
      <w:pPr>
        <w:widowControl w:val="0"/>
        <w:numPr>
          <w:ilvl w:val="1"/>
          <w:numId w:val="4"/>
        </w:numPr>
        <w:spacing w:before="0" w:after="120"/>
        <w:rPr>
          <w:rFonts w:cs="Arial"/>
          <w:bCs/>
          <w:snapToGrid w:val="0"/>
        </w:rPr>
      </w:pPr>
      <w:r w:rsidRPr="00444991">
        <w:rPr>
          <w:rFonts w:cs="Arial"/>
          <w:bCs/>
          <w:snapToGrid w:val="0"/>
        </w:rPr>
        <w:t xml:space="preserve">The PBAC </w:t>
      </w:r>
      <w:r w:rsidR="0074621D" w:rsidRPr="00444991">
        <w:rPr>
          <w:rFonts w:cs="Arial"/>
          <w:bCs/>
          <w:snapToGrid w:val="0"/>
        </w:rPr>
        <w:t>noted the discussion in the submission and sponsor responses aroun</w:t>
      </w:r>
      <w:r w:rsidR="001E7A9F" w:rsidRPr="00444991">
        <w:rPr>
          <w:rFonts w:cs="Arial"/>
          <w:bCs/>
          <w:snapToGrid w:val="0"/>
        </w:rPr>
        <w:t>d</w:t>
      </w:r>
      <w:r w:rsidR="0074621D" w:rsidRPr="00444991">
        <w:rPr>
          <w:rFonts w:cs="Arial"/>
          <w:bCs/>
          <w:snapToGrid w:val="0"/>
        </w:rPr>
        <w:t xml:space="preserve"> the importance of </w:t>
      </w:r>
      <w:r w:rsidRPr="00444991">
        <w:rPr>
          <w:rFonts w:cs="Arial"/>
          <w:bCs/>
          <w:snapToGrid w:val="0"/>
        </w:rPr>
        <w:t xml:space="preserve">PFS </w:t>
      </w:r>
      <w:r w:rsidR="0074621D" w:rsidRPr="00444991">
        <w:rPr>
          <w:rFonts w:cs="Arial"/>
          <w:bCs/>
          <w:snapToGrid w:val="0"/>
        </w:rPr>
        <w:t xml:space="preserve">for patients with RCC, but agreed with the ESC that this outcome </w:t>
      </w:r>
      <w:r w:rsidR="0074621D" w:rsidRPr="00444991">
        <w:rPr>
          <w:rFonts w:cs="Arial"/>
          <w:bCs/>
          <w:snapToGrid w:val="0"/>
        </w:rPr>
        <w:lastRenderedPageBreak/>
        <w:t>did not provide an appropriate basis to support the claim of superior efficacy of cabozantinib over nivolumab</w:t>
      </w:r>
      <w:r w:rsidR="001E68E5" w:rsidRPr="00444991">
        <w:rPr>
          <w:rFonts w:cs="Arial"/>
          <w:bCs/>
          <w:snapToGrid w:val="0"/>
        </w:rPr>
        <w:t>. Therefore, the PBAC was of the view that the claim of non-inferior efficacy, based on OS, was the most relevant comparison for determin</w:t>
      </w:r>
      <w:r w:rsidR="00B62568">
        <w:rPr>
          <w:rFonts w:cs="Arial"/>
          <w:bCs/>
          <w:snapToGrid w:val="0"/>
        </w:rPr>
        <w:t>in</w:t>
      </w:r>
      <w:r w:rsidR="001E68E5" w:rsidRPr="00444991">
        <w:rPr>
          <w:rFonts w:cs="Arial"/>
          <w:bCs/>
          <w:snapToGrid w:val="0"/>
        </w:rPr>
        <w:t>g the</w:t>
      </w:r>
      <w:r w:rsidR="00B62568">
        <w:rPr>
          <w:rFonts w:cs="Arial"/>
          <w:bCs/>
          <w:snapToGrid w:val="0"/>
        </w:rPr>
        <w:t xml:space="preserve"> cost-effectiveness of cabozanti</w:t>
      </w:r>
      <w:r w:rsidR="001E68E5" w:rsidRPr="00444991">
        <w:rPr>
          <w:rFonts w:cs="Arial"/>
          <w:bCs/>
          <w:snapToGrid w:val="0"/>
        </w:rPr>
        <w:t>nib for listing on the PBS.</w:t>
      </w:r>
    </w:p>
    <w:p w:rsidR="0015573E" w:rsidRPr="00444991" w:rsidRDefault="00870B86" w:rsidP="0015573E">
      <w:pPr>
        <w:widowControl w:val="0"/>
        <w:numPr>
          <w:ilvl w:val="1"/>
          <w:numId w:val="4"/>
        </w:numPr>
        <w:spacing w:before="0" w:after="120"/>
        <w:rPr>
          <w:rFonts w:cs="Arial"/>
          <w:bCs/>
          <w:snapToGrid w:val="0"/>
        </w:rPr>
      </w:pPr>
      <w:r w:rsidRPr="00444991">
        <w:rPr>
          <w:rFonts w:cs="Arial"/>
          <w:bCs/>
          <w:snapToGrid w:val="0"/>
        </w:rPr>
        <w:t>The PBAC noted that there were some differences in the safety profiles, and that the submission had claimed inferior safety. Overall, the PBAC considered that any increased toxicity was likely to be manageable</w:t>
      </w:r>
      <w:r w:rsidR="003B3F4C" w:rsidRPr="00444991">
        <w:rPr>
          <w:rFonts w:cs="Arial"/>
          <w:bCs/>
          <w:snapToGrid w:val="0"/>
        </w:rPr>
        <w:t xml:space="preserve"> for the majority of patients</w:t>
      </w:r>
      <w:r w:rsidRPr="00444991">
        <w:rPr>
          <w:rFonts w:cs="Arial"/>
          <w:bCs/>
          <w:snapToGrid w:val="0"/>
        </w:rPr>
        <w:t>.</w:t>
      </w:r>
    </w:p>
    <w:p w:rsidR="00B97296" w:rsidRPr="00444991" w:rsidRDefault="00427545" w:rsidP="00D60BB8">
      <w:pPr>
        <w:widowControl w:val="0"/>
        <w:numPr>
          <w:ilvl w:val="1"/>
          <w:numId w:val="4"/>
        </w:numPr>
        <w:spacing w:before="0" w:after="120"/>
        <w:rPr>
          <w:rFonts w:cs="Arial"/>
          <w:bCs/>
          <w:snapToGrid w:val="0"/>
        </w:rPr>
      </w:pPr>
      <w:r w:rsidRPr="00444991">
        <w:rPr>
          <w:rFonts w:cs="Arial"/>
          <w:bCs/>
          <w:snapToGrid w:val="0"/>
        </w:rPr>
        <w:t xml:space="preserve">The PBAC considered that cabozantinib was non-inferior </w:t>
      </w:r>
      <w:r w:rsidR="001E68E5" w:rsidRPr="00444991">
        <w:rPr>
          <w:rFonts w:cs="Arial"/>
          <w:bCs/>
          <w:snapToGrid w:val="0"/>
        </w:rPr>
        <w:t xml:space="preserve">to nivolumab </w:t>
      </w:r>
      <w:r w:rsidRPr="00444991">
        <w:rPr>
          <w:rFonts w:cs="Arial"/>
          <w:bCs/>
          <w:snapToGrid w:val="0"/>
        </w:rPr>
        <w:t xml:space="preserve">in terms of efficacy, and </w:t>
      </w:r>
      <w:r w:rsidR="001E68E5" w:rsidRPr="00444991">
        <w:rPr>
          <w:rFonts w:cs="Arial"/>
          <w:bCs/>
          <w:snapToGrid w:val="0"/>
        </w:rPr>
        <w:t xml:space="preserve">that </w:t>
      </w:r>
      <w:r w:rsidRPr="00444991">
        <w:rPr>
          <w:rFonts w:cs="Arial"/>
          <w:bCs/>
          <w:snapToGrid w:val="0"/>
        </w:rPr>
        <w:t>the cost minimisation approach was appropriate. The PBAC considered that it was appropriate to</w:t>
      </w:r>
      <w:r w:rsidR="001E68E5" w:rsidRPr="00444991">
        <w:rPr>
          <w:rFonts w:cs="Arial"/>
          <w:bCs/>
          <w:snapToGrid w:val="0"/>
        </w:rPr>
        <w:t xml:space="preserve"> use different durations of use in calculating the cost-minimisation analysis, as described above (paragraph 7.2)</w:t>
      </w:r>
      <w:r w:rsidR="0015573E" w:rsidRPr="00444991">
        <w:rPr>
          <w:rFonts w:cs="Arial"/>
          <w:bCs/>
          <w:snapToGrid w:val="0"/>
        </w:rPr>
        <w:t xml:space="preserve">. </w:t>
      </w:r>
    </w:p>
    <w:p w:rsidR="005E7484" w:rsidRPr="00444991" w:rsidRDefault="005E7484" w:rsidP="0015573E">
      <w:pPr>
        <w:widowControl w:val="0"/>
        <w:numPr>
          <w:ilvl w:val="1"/>
          <w:numId w:val="4"/>
        </w:numPr>
        <w:spacing w:before="0" w:after="120"/>
        <w:rPr>
          <w:rFonts w:cs="Arial"/>
          <w:bCs/>
          <w:snapToGrid w:val="0"/>
        </w:rPr>
      </w:pPr>
      <w:r w:rsidRPr="00444991">
        <w:rPr>
          <w:rFonts w:cs="Arial"/>
          <w:bCs/>
          <w:snapToGrid w:val="0"/>
        </w:rPr>
        <w:t xml:space="preserve">The PBAC noted that the submission estimated uptake of cabozantinib would represent a </w:t>
      </w:r>
      <w:r w:rsidR="00653C98">
        <w:rPr>
          <w:rFonts w:cs="Arial"/>
          <w:bCs/>
          <w:noProof/>
          <w:snapToGrid w:val="0"/>
          <w:color w:val="000000"/>
          <w:highlight w:val="black"/>
        </w:rPr>
        <w:t>''''''</w:t>
      </w:r>
      <w:r w:rsidRPr="00444991">
        <w:rPr>
          <w:rFonts w:cs="Arial"/>
          <w:bCs/>
          <w:snapToGrid w:val="0"/>
        </w:rPr>
        <w:t xml:space="preserve">% share of the second-line market, and considered this to be reasonable.  </w:t>
      </w:r>
    </w:p>
    <w:p w:rsidR="00EE2C14" w:rsidRPr="00444991" w:rsidRDefault="00E46E50" w:rsidP="00EE2C14">
      <w:pPr>
        <w:widowControl w:val="0"/>
        <w:numPr>
          <w:ilvl w:val="1"/>
          <w:numId w:val="4"/>
        </w:numPr>
        <w:spacing w:before="0" w:after="120"/>
        <w:rPr>
          <w:rFonts w:cs="Arial"/>
          <w:bCs/>
          <w:snapToGrid w:val="0"/>
        </w:rPr>
      </w:pPr>
      <w:r w:rsidRPr="00444991">
        <w:rPr>
          <w:rFonts w:cs="Arial"/>
          <w:bCs/>
          <w:snapToGrid w:val="0"/>
        </w:rPr>
        <w:t xml:space="preserve">However, the PBAC considered that the financial impact of listing cabozantinib remained uncertain. </w:t>
      </w:r>
      <w:r w:rsidR="00427545" w:rsidRPr="00444991">
        <w:rPr>
          <w:rFonts w:cs="Arial"/>
          <w:bCs/>
          <w:snapToGrid w:val="0"/>
        </w:rPr>
        <w:t xml:space="preserve">The PBAC </w:t>
      </w:r>
      <w:r w:rsidR="001E68E5" w:rsidRPr="00444991">
        <w:rPr>
          <w:rFonts w:cs="Arial"/>
          <w:bCs/>
          <w:snapToGrid w:val="0"/>
        </w:rPr>
        <w:t xml:space="preserve">considered that PBS listing of cabozantinib would result in sequential </w:t>
      </w:r>
      <w:r w:rsidR="00427545" w:rsidRPr="00444991">
        <w:rPr>
          <w:rFonts w:cs="Arial"/>
          <w:bCs/>
          <w:snapToGrid w:val="0"/>
        </w:rPr>
        <w:t xml:space="preserve">use </w:t>
      </w:r>
      <w:r w:rsidR="00D60BB8" w:rsidRPr="00444991">
        <w:rPr>
          <w:rFonts w:cs="Arial"/>
          <w:bCs/>
          <w:snapToGrid w:val="0"/>
        </w:rPr>
        <w:t>of cabozantinib</w:t>
      </w:r>
      <w:r w:rsidR="001E68E5" w:rsidRPr="00444991">
        <w:rPr>
          <w:rFonts w:cs="Arial"/>
          <w:bCs/>
          <w:snapToGrid w:val="0"/>
        </w:rPr>
        <w:t xml:space="preserve"> and nivolumab</w:t>
      </w:r>
      <w:r w:rsidR="00D60BB8" w:rsidRPr="00444991">
        <w:rPr>
          <w:rFonts w:cs="Arial"/>
          <w:bCs/>
          <w:snapToGrid w:val="0"/>
        </w:rPr>
        <w:t>, and were of the view that this had not been adequately addressed in the submission</w:t>
      </w:r>
      <w:r w:rsidR="001E68E5" w:rsidRPr="00444991">
        <w:rPr>
          <w:rFonts w:cs="Arial"/>
          <w:bCs/>
          <w:snapToGrid w:val="0"/>
        </w:rPr>
        <w:t xml:space="preserve">. </w:t>
      </w:r>
      <w:r w:rsidR="00D60BB8" w:rsidRPr="00444991">
        <w:rPr>
          <w:rFonts w:cs="Arial"/>
          <w:bCs/>
          <w:snapToGrid w:val="0"/>
        </w:rPr>
        <w:t xml:space="preserve"> The PBAC acknowledged that re-estimated financial implications were provided in the PSCR to account for sequential use in approximately 15% of patients, but considered that the extent of sequential use was likely to be </w:t>
      </w:r>
      <w:r w:rsidR="00D60BB8" w:rsidRPr="005A47C4">
        <w:rPr>
          <w:rFonts w:cs="Arial"/>
          <w:bCs/>
          <w:snapToGrid w:val="0"/>
        </w:rPr>
        <w:t xml:space="preserve">higher than this, effectively growing the </w:t>
      </w:r>
      <w:r w:rsidR="001E7A9F" w:rsidRPr="005A47C4">
        <w:rPr>
          <w:rFonts w:cs="Arial"/>
          <w:bCs/>
          <w:snapToGrid w:val="0"/>
        </w:rPr>
        <w:t xml:space="preserve">second and later line </w:t>
      </w:r>
      <w:r w:rsidR="00D60BB8" w:rsidRPr="005A47C4">
        <w:rPr>
          <w:rFonts w:cs="Arial"/>
          <w:bCs/>
          <w:snapToGrid w:val="0"/>
        </w:rPr>
        <w:t>market at significant additional cost to Government. The PBAC con</w:t>
      </w:r>
      <w:r w:rsidR="00DD7D92" w:rsidRPr="005A47C4">
        <w:rPr>
          <w:rFonts w:cs="Arial"/>
          <w:bCs/>
          <w:snapToGrid w:val="0"/>
        </w:rPr>
        <w:t xml:space="preserve">sidered that it would be appropriate </w:t>
      </w:r>
      <w:r w:rsidR="00F86FE3" w:rsidRPr="005A47C4">
        <w:rPr>
          <w:rFonts w:cs="Arial"/>
          <w:bCs/>
          <w:snapToGrid w:val="0"/>
        </w:rPr>
        <w:t>for the Department to establish a new</w:t>
      </w:r>
      <w:r w:rsidR="005B6974" w:rsidRPr="005A47C4">
        <w:rPr>
          <w:rFonts w:cs="Arial"/>
          <w:bCs/>
          <w:snapToGrid w:val="0"/>
        </w:rPr>
        <w:t xml:space="preserve"> risk sharing arrangement</w:t>
      </w:r>
      <w:r w:rsidR="00DD7D92" w:rsidRPr="005A47C4">
        <w:rPr>
          <w:rFonts w:cs="Arial"/>
          <w:bCs/>
          <w:snapToGrid w:val="0"/>
        </w:rPr>
        <w:t xml:space="preserve"> </w:t>
      </w:r>
      <w:r w:rsidR="00F86FE3" w:rsidRPr="005A47C4">
        <w:rPr>
          <w:rFonts w:cs="Arial"/>
          <w:bCs/>
          <w:snapToGrid w:val="0"/>
        </w:rPr>
        <w:t xml:space="preserve">for cabozantinib, where use is capped at </w:t>
      </w:r>
      <w:r w:rsidR="00653C98">
        <w:rPr>
          <w:rFonts w:cs="Arial"/>
          <w:bCs/>
          <w:noProof/>
          <w:snapToGrid w:val="0"/>
          <w:color w:val="000000"/>
          <w:highlight w:val="black"/>
        </w:rPr>
        <w:t>''''''</w:t>
      </w:r>
      <w:r w:rsidR="00F86FE3" w:rsidRPr="005A47C4">
        <w:rPr>
          <w:rFonts w:cs="Arial"/>
          <w:bCs/>
          <w:snapToGrid w:val="0"/>
        </w:rPr>
        <w:t xml:space="preserve">% of the agreed market for this population, </w:t>
      </w:r>
      <w:r w:rsidR="00DD7D92" w:rsidRPr="005A47C4">
        <w:rPr>
          <w:rFonts w:cs="Arial"/>
          <w:bCs/>
          <w:snapToGrid w:val="0"/>
        </w:rPr>
        <w:t>with a 100% rebate over the set cap to manage the risk of additional cost associate</w:t>
      </w:r>
      <w:r w:rsidR="00F06C5C" w:rsidRPr="005A47C4">
        <w:rPr>
          <w:rFonts w:cs="Arial"/>
          <w:bCs/>
          <w:snapToGrid w:val="0"/>
        </w:rPr>
        <w:t>d</w:t>
      </w:r>
      <w:r w:rsidR="00DD7D92" w:rsidRPr="005A47C4">
        <w:rPr>
          <w:rFonts w:cs="Arial"/>
          <w:bCs/>
          <w:snapToGrid w:val="0"/>
        </w:rPr>
        <w:t xml:space="preserve"> with sequential use.</w:t>
      </w:r>
    </w:p>
    <w:p w:rsidR="00EE2C14" w:rsidRPr="00444991" w:rsidRDefault="00EE2C14" w:rsidP="00EE2C14">
      <w:pPr>
        <w:widowControl w:val="0"/>
        <w:numPr>
          <w:ilvl w:val="1"/>
          <w:numId w:val="4"/>
        </w:numPr>
        <w:spacing w:before="0" w:after="120"/>
        <w:rPr>
          <w:rFonts w:cs="Arial"/>
          <w:bCs/>
          <w:snapToGrid w:val="0"/>
        </w:rPr>
      </w:pPr>
      <w:r w:rsidRPr="00444991">
        <w:rPr>
          <w:rFonts w:cs="Arial"/>
          <w:bCs/>
          <w:snapToGrid w:val="0"/>
        </w:rPr>
        <w:t>The submission requested flat pricing a</w:t>
      </w:r>
      <w:r w:rsidR="00B62568">
        <w:rPr>
          <w:rFonts w:cs="Arial"/>
          <w:bCs/>
          <w:snapToGrid w:val="0"/>
        </w:rPr>
        <w:t>c</w:t>
      </w:r>
      <w:r w:rsidRPr="00444991">
        <w:rPr>
          <w:rFonts w:cs="Arial"/>
          <w:bCs/>
          <w:snapToGrid w:val="0"/>
        </w:rPr>
        <w:t>ross the three strengths of cabozantinib. The PBAC noted that patients may receive prescription</w:t>
      </w:r>
      <w:r w:rsidR="001E7A9F" w:rsidRPr="00444991">
        <w:rPr>
          <w:rFonts w:cs="Arial"/>
          <w:bCs/>
          <w:snapToGrid w:val="0"/>
        </w:rPr>
        <w:t>s of varying strengths</w:t>
      </w:r>
      <w:r w:rsidRPr="00444991">
        <w:rPr>
          <w:rFonts w:cs="Arial"/>
          <w:bCs/>
          <w:snapToGrid w:val="0"/>
        </w:rPr>
        <w:t xml:space="preserve"> to assist with dose titration, and this may impact the overall cost of cabozantinib to the PBS. </w:t>
      </w:r>
    </w:p>
    <w:p w:rsidR="00870B86" w:rsidRPr="00444991" w:rsidRDefault="0015573E" w:rsidP="0015573E">
      <w:pPr>
        <w:widowControl w:val="0"/>
        <w:numPr>
          <w:ilvl w:val="1"/>
          <w:numId w:val="4"/>
        </w:numPr>
        <w:spacing w:before="0" w:after="120"/>
        <w:rPr>
          <w:rFonts w:cs="Arial"/>
          <w:bCs/>
          <w:snapToGrid w:val="0"/>
        </w:rPr>
      </w:pPr>
      <w:r w:rsidRPr="00444991">
        <w:rPr>
          <w:rFonts w:cs="Arial"/>
          <w:bCs/>
          <w:snapToGrid w:val="0"/>
        </w:rPr>
        <w:t xml:space="preserve">The PBAC advised that </w:t>
      </w:r>
      <w:r w:rsidR="00427545" w:rsidRPr="00444991">
        <w:rPr>
          <w:rFonts w:cs="Arial"/>
          <w:bCs/>
          <w:snapToGrid w:val="0"/>
        </w:rPr>
        <w:t>cabozantinib</w:t>
      </w:r>
      <w:r w:rsidRPr="00444991">
        <w:rPr>
          <w:rFonts w:cs="Arial"/>
          <w:bCs/>
          <w:snapToGrid w:val="0"/>
        </w:rPr>
        <w:t xml:space="preserve"> is not suitable for prescribing by nurse practitioners</w:t>
      </w:r>
      <w:r w:rsidR="00427545" w:rsidRPr="00444991">
        <w:rPr>
          <w:rFonts w:cs="Arial"/>
          <w:bCs/>
          <w:snapToGrid w:val="0"/>
        </w:rPr>
        <w:t>, as antineoplastic agents are currently out of scope</w:t>
      </w:r>
      <w:r w:rsidRPr="00444991">
        <w:rPr>
          <w:rFonts w:cs="Arial"/>
          <w:bCs/>
          <w:snapToGrid w:val="0"/>
        </w:rPr>
        <w:t xml:space="preserve">. </w:t>
      </w:r>
    </w:p>
    <w:p w:rsidR="0015573E" w:rsidRPr="00BE7FA1" w:rsidRDefault="00870B86" w:rsidP="00870B86">
      <w:pPr>
        <w:pStyle w:val="ListParagraph"/>
        <w:numPr>
          <w:ilvl w:val="1"/>
          <w:numId w:val="4"/>
        </w:numPr>
        <w:rPr>
          <w:rFonts w:cs="Arial"/>
          <w:bCs/>
          <w:snapToGrid w:val="0"/>
        </w:rPr>
      </w:pPr>
      <w:r w:rsidRPr="00BE7FA1">
        <w:rPr>
          <w:rFonts w:cs="Arial"/>
          <w:bCs/>
          <w:snapToGrid w:val="0"/>
        </w:rPr>
        <w:t>The PBAC recommended that cabozantinib</w:t>
      </w:r>
      <w:r w:rsidRPr="00731453">
        <w:rPr>
          <w:rFonts w:cs="Arial"/>
          <w:bCs/>
          <w:snapToGrid w:val="0"/>
        </w:rPr>
        <w:t xml:space="preserve"> should not be treated as interchangeable on an individual patient basis with any other drugs.</w:t>
      </w:r>
      <w:r w:rsidR="0015573E" w:rsidRPr="00444991">
        <w:rPr>
          <w:rFonts w:cs="Arial"/>
          <w:bCs/>
          <w:snapToGrid w:val="0"/>
        </w:rPr>
        <w:t xml:space="preserve"> </w:t>
      </w:r>
    </w:p>
    <w:p w:rsidR="0015573E" w:rsidRPr="00444991" w:rsidRDefault="0015573E" w:rsidP="0015573E">
      <w:pPr>
        <w:widowControl w:val="0"/>
        <w:numPr>
          <w:ilvl w:val="1"/>
          <w:numId w:val="4"/>
        </w:numPr>
        <w:spacing w:before="0" w:after="120"/>
        <w:rPr>
          <w:rFonts w:cs="Arial"/>
          <w:bCs/>
          <w:snapToGrid w:val="0"/>
        </w:rPr>
      </w:pPr>
      <w:r w:rsidRPr="00444991">
        <w:rPr>
          <w:rFonts w:cs="Arial"/>
          <w:bCs/>
          <w:snapToGrid w:val="0"/>
        </w:rPr>
        <w:t>T</w:t>
      </w:r>
      <w:r w:rsidR="00666B3E" w:rsidRPr="00444991">
        <w:rPr>
          <w:rFonts w:cs="Arial"/>
          <w:bCs/>
          <w:snapToGrid w:val="0"/>
        </w:rPr>
        <w:t>he PBAC recommended that the E</w:t>
      </w:r>
      <w:r w:rsidRPr="00444991">
        <w:rPr>
          <w:rFonts w:cs="Arial"/>
          <w:bCs/>
          <w:snapToGrid w:val="0"/>
        </w:rPr>
        <w:t>arly Supply Rule should apply</w:t>
      </w:r>
      <w:r w:rsidR="00651526">
        <w:rPr>
          <w:rFonts w:cs="Arial"/>
          <w:bCs/>
          <w:snapToGrid w:val="0"/>
        </w:rPr>
        <w:t>.</w:t>
      </w:r>
    </w:p>
    <w:p w:rsidR="0015573E" w:rsidRPr="00444991" w:rsidRDefault="0015573E" w:rsidP="00427545">
      <w:pPr>
        <w:widowControl w:val="0"/>
        <w:numPr>
          <w:ilvl w:val="1"/>
          <w:numId w:val="4"/>
        </w:numPr>
        <w:spacing w:before="0" w:after="120"/>
        <w:rPr>
          <w:rFonts w:cs="Arial"/>
          <w:bCs/>
          <w:i/>
          <w:snapToGrid w:val="0"/>
        </w:rPr>
      </w:pPr>
      <w:r w:rsidRPr="00444991">
        <w:rPr>
          <w:rFonts w:cs="Arial"/>
          <w:bCs/>
          <w:snapToGrid w:val="0"/>
        </w:rPr>
        <w:t>The PBAC noted that this subm</w:t>
      </w:r>
      <w:r w:rsidR="00427545" w:rsidRPr="00444991">
        <w:rPr>
          <w:rFonts w:cs="Arial"/>
          <w:bCs/>
          <w:snapToGrid w:val="0"/>
        </w:rPr>
        <w:t>ission is</w:t>
      </w:r>
      <w:r w:rsidRPr="00444991">
        <w:rPr>
          <w:rFonts w:cs="Arial"/>
          <w:bCs/>
          <w:snapToGrid w:val="0"/>
        </w:rPr>
        <w:t xml:space="preserve"> not eligible for an Independent Review</w:t>
      </w:r>
      <w:r w:rsidR="00427545" w:rsidRPr="00444991">
        <w:rPr>
          <w:rFonts w:cs="Arial"/>
          <w:bCs/>
          <w:snapToGrid w:val="0"/>
        </w:rPr>
        <w:t xml:space="preserve"> as it received a positive recommendation.</w:t>
      </w:r>
    </w:p>
    <w:p w:rsidR="0015573E" w:rsidRPr="00444991" w:rsidRDefault="0015573E" w:rsidP="0015573E">
      <w:pPr>
        <w:spacing w:before="240"/>
        <w:rPr>
          <w:rFonts w:cs="Arial"/>
          <w:b/>
          <w:bCs/>
          <w:snapToGrid w:val="0"/>
        </w:rPr>
      </w:pPr>
      <w:r w:rsidRPr="00444991">
        <w:rPr>
          <w:rFonts w:cs="Arial"/>
          <w:b/>
          <w:bCs/>
          <w:snapToGrid w:val="0"/>
        </w:rPr>
        <w:t>Outcome:</w:t>
      </w:r>
    </w:p>
    <w:p w:rsidR="0015573E" w:rsidRPr="00444991" w:rsidRDefault="0015573E" w:rsidP="0015573E">
      <w:pPr>
        <w:rPr>
          <w:rFonts w:cs="Arial"/>
          <w:bCs/>
          <w:snapToGrid w:val="0"/>
        </w:rPr>
      </w:pPr>
      <w:r w:rsidRPr="00444991">
        <w:rPr>
          <w:rFonts w:cs="Arial"/>
          <w:bCs/>
          <w:snapToGrid w:val="0"/>
        </w:rPr>
        <w:t xml:space="preserve">Recommended </w:t>
      </w:r>
    </w:p>
    <w:p w:rsidR="005B6974" w:rsidRDefault="005B6974">
      <w:pPr>
        <w:spacing w:before="0" w:line="259" w:lineRule="auto"/>
        <w:jc w:val="left"/>
        <w:rPr>
          <w:rFonts w:cs="Arial"/>
          <w:b/>
          <w:bCs/>
          <w:snapToGrid w:val="0"/>
          <w:sz w:val="32"/>
        </w:rPr>
      </w:pPr>
      <w:r>
        <w:rPr>
          <w:rFonts w:cs="Arial"/>
          <w:b/>
          <w:bCs/>
          <w:snapToGrid w:val="0"/>
          <w:sz w:val="32"/>
        </w:rPr>
        <w:br w:type="page"/>
      </w:r>
    </w:p>
    <w:p w:rsidR="0015573E" w:rsidRPr="00653C98" w:rsidRDefault="0015573E" w:rsidP="00653C98">
      <w:pPr>
        <w:pStyle w:val="Heading1"/>
        <w:spacing w:after="0"/>
        <w:ind w:left="709" w:hanging="709"/>
      </w:pPr>
      <w:r w:rsidRPr="00653C98">
        <w:lastRenderedPageBreak/>
        <w:t>Recommended listing</w:t>
      </w:r>
    </w:p>
    <w:p w:rsidR="00653C98" w:rsidRPr="00653C98" w:rsidRDefault="00653C98" w:rsidP="00653C98">
      <w:pPr>
        <w:pStyle w:val="ListParagraph"/>
        <w:numPr>
          <w:ilvl w:val="0"/>
          <w:numId w:val="4"/>
        </w:numPr>
        <w:spacing w:before="200" w:after="120"/>
        <w:jc w:val="left"/>
        <w:rPr>
          <w:rFonts w:ascii="Arial" w:eastAsia="Times New Roman" w:hAnsi="Arial" w:cs="Arial"/>
          <w:b/>
          <w:snapToGrid w:val="0"/>
          <w:vanish/>
          <w:sz w:val="22"/>
        </w:rPr>
      </w:pPr>
    </w:p>
    <w:p w:rsidR="0015573E" w:rsidRPr="00653C98" w:rsidRDefault="00C01DA5" w:rsidP="00653C98">
      <w:pPr>
        <w:pStyle w:val="ListParagraph"/>
        <w:numPr>
          <w:ilvl w:val="1"/>
          <w:numId w:val="4"/>
        </w:numPr>
        <w:rPr>
          <w:snapToGrid w:val="0"/>
        </w:rPr>
      </w:pPr>
      <w:r w:rsidRPr="00653C98">
        <w:rPr>
          <w:snapToGrid w:val="0"/>
        </w:rPr>
        <w:t>Add new item:</w:t>
      </w:r>
    </w:p>
    <w:tbl>
      <w:tblPr>
        <w:tblW w:w="9072" w:type="dxa"/>
        <w:tblInd w:w="108" w:type="dxa"/>
        <w:tblLayout w:type="fixed"/>
        <w:tblLook w:val="0000" w:firstRow="0" w:lastRow="0" w:firstColumn="0" w:lastColumn="0" w:noHBand="0" w:noVBand="0"/>
      </w:tblPr>
      <w:tblGrid>
        <w:gridCol w:w="2302"/>
        <w:gridCol w:w="992"/>
        <w:gridCol w:w="709"/>
        <w:gridCol w:w="851"/>
        <w:gridCol w:w="1842"/>
        <w:gridCol w:w="2376"/>
      </w:tblGrid>
      <w:tr w:rsidR="00C01DA5" w:rsidRPr="00BE7FA1" w:rsidTr="00387F57">
        <w:trPr>
          <w:cantSplit/>
          <w:trHeight w:val="471"/>
        </w:trPr>
        <w:tc>
          <w:tcPr>
            <w:tcW w:w="3294" w:type="dxa"/>
            <w:gridSpan w:val="2"/>
            <w:tcBorders>
              <w:bottom w:val="single" w:sz="4" w:space="0" w:color="auto"/>
            </w:tcBorders>
          </w:tcPr>
          <w:p w:rsidR="00C01DA5" w:rsidRPr="00731453" w:rsidRDefault="00C01DA5" w:rsidP="00387F57">
            <w:pPr>
              <w:pStyle w:val="PBACHeading1"/>
              <w:numPr>
                <w:ilvl w:val="0"/>
                <w:numId w:val="0"/>
              </w:numPr>
              <w:spacing w:before="0" w:after="0"/>
              <w:jc w:val="both"/>
              <w:rPr>
                <w:rStyle w:val="SmallBold"/>
                <w:rFonts w:asciiTheme="minorHAnsi" w:hAnsiTheme="minorHAnsi"/>
                <w:szCs w:val="20"/>
              </w:rPr>
            </w:pPr>
            <w:r w:rsidRPr="00731453">
              <w:rPr>
                <w:rStyle w:val="SmallBold"/>
                <w:rFonts w:asciiTheme="minorHAnsi" w:hAnsiTheme="minorHAnsi"/>
                <w:szCs w:val="20"/>
              </w:rPr>
              <w:t xml:space="preserve">Name, Restriction, </w:t>
            </w:r>
          </w:p>
          <w:p w:rsidR="00C01DA5" w:rsidRPr="00BE7FA1" w:rsidRDefault="00C01DA5" w:rsidP="00387F57">
            <w:pPr>
              <w:pStyle w:val="PBACHeading1"/>
              <w:numPr>
                <w:ilvl w:val="0"/>
                <w:numId w:val="0"/>
              </w:numPr>
              <w:spacing w:before="0" w:after="0"/>
              <w:jc w:val="both"/>
              <w:rPr>
                <w:rStyle w:val="SmallBold"/>
                <w:rFonts w:asciiTheme="minorHAnsi" w:hAnsiTheme="minorHAnsi"/>
                <w:szCs w:val="20"/>
              </w:rPr>
            </w:pPr>
            <w:r w:rsidRPr="00BE7FA1">
              <w:rPr>
                <w:rStyle w:val="SmallBold"/>
                <w:rFonts w:asciiTheme="minorHAnsi" w:hAnsiTheme="minorHAnsi"/>
                <w:szCs w:val="20"/>
              </w:rPr>
              <w:t>Manner of administration and form</w:t>
            </w:r>
          </w:p>
        </w:tc>
        <w:tc>
          <w:tcPr>
            <w:tcW w:w="709" w:type="dxa"/>
            <w:tcBorders>
              <w:bottom w:val="single" w:sz="4" w:space="0" w:color="auto"/>
            </w:tcBorders>
            <w:vAlign w:val="bottom"/>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Max.</w:t>
            </w:r>
          </w:p>
          <w:p w:rsidR="00C01DA5" w:rsidRPr="00BE7FA1" w:rsidRDefault="00C01DA5" w:rsidP="00387F57">
            <w:pPr>
              <w:pStyle w:val="TableLeft"/>
              <w:rPr>
                <w:rStyle w:val="SmallBold"/>
                <w:rFonts w:asciiTheme="minorHAnsi" w:hAnsiTheme="minorHAnsi"/>
                <w:szCs w:val="20"/>
              </w:rPr>
            </w:pPr>
            <w:proofErr w:type="spellStart"/>
            <w:r w:rsidRPr="00BE7FA1">
              <w:rPr>
                <w:rStyle w:val="SmallBold"/>
                <w:rFonts w:asciiTheme="minorHAnsi" w:hAnsiTheme="minorHAnsi"/>
                <w:szCs w:val="20"/>
              </w:rPr>
              <w:t>Qty</w:t>
            </w:r>
            <w:proofErr w:type="spellEnd"/>
          </w:p>
        </w:tc>
        <w:tc>
          <w:tcPr>
            <w:tcW w:w="851" w:type="dxa"/>
            <w:tcBorders>
              <w:bottom w:val="single" w:sz="4" w:space="0" w:color="auto"/>
            </w:tcBorders>
            <w:vAlign w:val="bottom"/>
          </w:tcPr>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№.of</w:t>
            </w:r>
          </w:p>
          <w:p w:rsidR="00C01DA5" w:rsidRPr="00BE7FA1" w:rsidRDefault="00C01DA5" w:rsidP="00387F57">
            <w:pPr>
              <w:pStyle w:val="TableLeft"/>
              <w:rPr>
                <w:rStyle w:val="SmallBold"/>
                <w:rFonts w:asciiTheme="minorHAnsi" w:hAnsiTheme="minorHAnsi"/>
                <w:szCs w:val="20"/>
              </w:rPr>
            </w:pPr>
            <w:proofErr w:type="spellStart"/>
            <w:r w:rsidRPr="00BE7FA1">
              <w:rPr>
                <w:rStyle w:val="SmallBold"/>
                <w:rFonts w:asciiTheme="minorHAnsi" w:hAnsiTheme="minorHAnsi"/>
                <w:szCs w:val="20"/>
              </w:rPr>
              <w:t>Rpts</w:t>
            </w:r>
            <w:proofErr w:type="spellEnd"/>
          </w:p>
        </w:tc>
        <w:tc>
          <w:tcPr>
            <w:tcW w:w="4218" w:type="dxa"/>
            <w:gridSpan w:val="2"/>
            <w:tcBorders>
              <w:bottom w:val="single" w:sz="4" w:space="0" w:color="auto"/>
            </w:tcBorders>
            <w:vAlign w:val="bottom"/>
          </w:tcPr>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Proprietary Name and Manufacturer</w:t>
            </w:r>
          </w:p>
          <w:p w:rsidR="00C01DA5" w:rsidRPr="00BE7FA1" w:rsidRDefault="00C01DA5" w:rsidP="00387F57">
            <w:pPr>
              <w:pStyle w:val="TableLeft"/>
              <w:rPr>
                <w:rStyle w:val="SmallBold"/>
                <w:rFonts w:asciiTheme="minorHAnsi" w:hAnsiTheme="minorHAnsi"/>
                <w:szCs w:val="20"/>
              </w:rPr>
            </w:pPr>
          </w:p>
        </w:tc>
      </w:tr>
      <w:tr w:rsidR="00C01DA5" w:rsidRPr="00BE7FA1" w:rsidTr="00387F57">
        <w:trPr>
          <w:cantSplit/>
          <w:trHeight w:val="577"/>
        </w:trPr>
        <w:tc>
          <w:tcPr>
            <w:tcW w:w="3294" w:type="dxa"/>
            <w:gridSpan w:val="2"/>
            <w:tcBorders>
              <w:top w:val="single" w:sz="4" w:space="0" w:color="auto"/>
              <w:bottom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t>CABOZANTINIB</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Cabozantinib, 60 mg tablet, 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Cabozantinib, 40 mg tablet, 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Cabozantinib, 20 mg tablet, 30</w:t>
            </w:r>
          </w:p>
          <w:p w:rsidR="00C01DA5" w:rsidRPr="00BE7FA1" w:rsidRDefault="00C01DA5" w:rsidP="00387F57">
            <w:pPr>
              <w:pStyle w:val="TableLeft"/>
              <w:rPr>
                <w:rFonts w:asciiTheme="minorHAnsi" w:hAnsiTheme="minorHAnsi"/>
                <w:szCs w:val="20"/>
              </w:rPr>
            </w:pPr>
          </w:p>
        </w:tc>
        <w:tc>
          <w:tcPr>
            <w:tcW w:w="709" w:type="dxa"/>
            <w:tcBorders>
              <w:top w:val="single" w:sz="4" w:space="0" w:color="auto"/>
              <w:bottom w:val="single" w:sz="4" w:space="0" w:color="auto"/>
            </w:tcBorders>
          </w:tcPr>
          <w:p w:rsidR="00C01DA5" w:rsidRPr="00BE7FA1" w:rsidRDefault="00C01DA5" w:rsidP="00387F57">
            <w:pPr>
              <w:pStyle w:val="TableLeft"/>
              <w:rPr>
                <w:rFonts w:asciiTheme="minorHAnsi" w:hAnsiTheme="minorHAnsi"/>
                <w:szCs w:val="20"/>
              </w:rPr>
            </w:pP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30</w:t>
            </w:r>
          </w:p>
        </w:tc>
        <w:tc>
          <w:tcPr>
            <w:tcW w:w="851" w:type="dxa"/>
            <w:tcBorders>
              <w:top w:val="single" w:sz="4" w:space="0" w:color="auto"/>
              <w:bottom w:val="single" w:sz="4" w:space="0" w:color="auto"/>
            </w:tcBorders>
          </w:tcPr>
          <w:p w:rsidR="00C01DA5" w:rsidRPr="00BE7FA1" w:rsidRDefault="00C01DA5" w:rsidP="00387F57">
            <w:pPr>
              <w:pStyle w:val="TableLeft"/>
              <w:rPr>
                <w:rFonts w:asciiTheme="minorHAnsi" w:hAnsiTheme="minorHAnsi"/>
                <w:szCs w:val="20"/>
              </w:rPr>
            </w:pP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2</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2</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2</w:t>
            </w:r>
          </w:p>
        </w:tc>
        <w:tc>
          <w:tcPr>
            <w:tcW w:w="1842" w:type="dxa"/>
            <w:tcBorders>
              <w:top w:val="single" w:sz="4" w:space="0" w:color="auto"/>
              <w:bottom w:val="single" w:sz="4" w:space="0" w:color="auto"/>
            </w:tcBorders>
          </w:tcPr>
          <w:p w:rsidR="00C01DA5" w:rsidRPr="00BE7FA1" w:rsidRDefault="00C01DA5" w:rsidP="00387F57">
            <w:pPr>
              <w:pStyle w:val="TableLeft"/>
              <w:rPr>
                <w:rFonts w:asciiTheme="minorHAnsi" w:hAnsiTheme="minorHAnsi"/>
                <w:szCs w:val="20"/>
              </w:rPr>
            </w:pPr>
            <w:proofErr w:type="spellStart"/>
            <w:r w:rsidRPr="00BE7FA1">
              <w:rPr>
                <w:rFonts w:asciiTheme="minorHAnsi" w:hAnsiTheme="minorHAnsi"/>
                <w:szCs w:val="20"/>
              </w:rPr>
              <w:t>Cabometyx</w:t>
            </w:r>
            <w:proofErr w:type="spellEnd"/>
          </w:p>
        </w:tc>
        <w:tc>
          <w:tcPr>
            <w:tcW w:w="2376" w:type="dxa"/>
            <w:tcBorders>
              <w:top w:val="single" w:sz="4" w:space="0" w:color="auto"/>
              <w:bottom w:val="single" w:sz="4" w:space="0" w:color="auto"/>
            </w:tcBorders>
          </w:tcPr>
          <w:p w:rsidR="00C01DA5" w:rsidRPr="00BE7FA1" w:rsidRDefault="00C01DA5" w:rsidP="00387F57">
            <w:pPr>
              <w:pStyle w:val="TableLeft"/>
              <w:rPr>
                <w:rFonts w:asciiTheme="minorHAnsi" w:hAnsiTheme="minorHAnsi"/>
                <w:szCs w:val="20"/>
              </w:rPr>
            </w:pPr>
            <w:proofErr w:type="spellStart"/>
            <w:r w:rsidRPr="00BE7FA1">
              <w:rPr>
                <w:rFonts w:asciiTheme="minorHAnsi" w:hAnsiTheme="minorHAnsi"/>
                <w:szCs w:val="20"/>
              </w:rPr>
              <w:t>Ipsen</w:t>
            </w:r>
            <w:proofErr w:type="spellEnd"/>
            <w:r w:rsidRPr="00BE7FA1">
              <w:rPr>
                <w:rFonts w:asciiTheme="minorHAnsi" w:hAnsiTheme="minorHAnsi"/>
                <w:szCs w:val="20"/>
              </w:rPr>
              <w:t xml:space="preserve"> Australia Pty Ltd</w:t>
            </w:r>
          </w:p>
        </w:tc>
      </w:tr>
      <w:tr w:rsidR="00C01DA5" w:rsidRPr="00BE7FA1" w:rsidTr="00387F57">
        <w:trPr>
          <w:cantSplit/>
          <w:trHeight w:val="199"/>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Category / program</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General Schedule</w:t>
            </w:r>
          </w:p>
        </w:tc>
      </w:tr>
      <w:tr w:rsidR="00C01DA5" w:rsidRPr="00BE7FA1" w:rsidTr="00387F57">
        <w:trPr>
          <w:cantSplit/>
          <w:trHeight w:val="487"/>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Prescriber type</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Dental  </w:t>
            </w: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Medical Practitioners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Nurse Practitioners</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Optometrists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Midwives</w:t>
            </w:r>
          </w:p>
        </w:tc>
      </w:tr>
      <w:tr w:rsidR="00434A22" w:rsidRPr="00BE7FA1" w:rsidTr="00387F57">
        <w:trPr>
          <w:cantSplit/>
          <w:trHeight w:val="190"/>
        </w:trPr>
        <w:tc>
          <w:tcPr>
            <w:tcW w:w="2302" w:type="dxa"/>
            <w:tcBorders>
              <w:top w:val="single" w:sz="4" w:space="0" w:color="auto"/>
              <w:left w:val="single" w:sz="4" w:space="0" w:color="auto"/>
              <w:bottom w:val="single" w:sz="4" w:space="0" w:color="auto"/>
              <w:right w:val="single" w:sz="4" w:space="0" w:color="auto"/>
            </w:tcBorders>
          </w:tcPr>
          <w:p w:rsidR="00434A22" w:rsidRPr="00444991" w:rsidRDefault="00434A22" w:rsidP="00387F57">
            <w:pPr>
              <w:pStyle w:val="TableLeft"/>
              <w:rPr>
                <w:rStyle w:val="SmallBold"/>
                <w:rFonts w:asciiTheme="minorHAnsi" w:hAnsiTheme="minorHAnsi"/>
                <w:szCs w:val="20"/>
              </w:rPr>
            </w:pPr>
            <w:proofErr w:type="spellStart"/>
            <w:r w:rsidRPr="00BE7FA1">
              <w:rPr>
                <w:rStyle w:val="SmallBold"/>
                <w:rFonts w:asciiTheme="minorHAnsi" w:hAnsiTheme="minorHAnsi"/>
                <w:szCs w:val="20"/>
              </w:rPr>
              <w:t>Episodicity</w:t>
            </w:r>
            <w:proofErr w:type="spellEnd"/>
            <w:r w:rsidRPr="00BE7FA1">
              <w:rPr>
                <w:rStyle w:val="SmallBold"/>
                <w:rFonts w:asciiTheme="minorHAnsi" w:hAnsiTheme="minorHAnsi"/>
                <w:szCs w:val="20"/>
              </w:rPr>
              <w:t>:</w:t>
            </w:r>
          </w:p>
        </w:tc>
        <w:tc>
          <w:tcPr>
            <w:tcW w:w="6770" w:type="dxa"/>
            <w:gridSpan w:val="5"/>
            <w:tcBorders>
              <w:top w:val="single" w:sz="4" w:space="0" w:color="auto"/>
              <w:left w:val="single" w:sz="4" w:space="0" w:color="auto"/>
              <w:bottom w:val="single" w:sz="4" w:space="0" w:color="auto"/>
              <w:right w:val="single" w:sz="4" w:space="0" w:color="auto"/>
            </w:tcBorders>
          </w:tcPr>
          <w:p w:rsidR="00434A22" w:rsidRPr="00BE7FA1" w:rsidRDefault="00076233" w:rsidP="00387F57">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19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Severity:</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Stage IV</w:t>
            </w:r>
          </w:p>
        </w:tc>
      </w:tr>
      <w:tr w:rsidR="00C01DA5" w:rsidRPr="00BE7FA1" w:rsidTr="00387F57">
        <w:trPr>
          <w:cantSplit/>
          <w:trHeight w:val="163"/>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Condition:</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Clear cell variant renal cell carcinoma (RCC)</w:t>
            </w:r>
          </w:p>
        </w:tc>
      </w:tr>
      <w:tr w:rsidR="00C01DA5" w:rsidRPr="00BE7FA1" w:rsidTr="00387F57">
        <w:trPr>
          <w:cantSplit/>
          <w:trHeight w:val="208"/>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PBS Indication:</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Stage IV clear cell variant renal cell carcinoma (RCC)</w:t>
            </w:r>
          </w:p>
        </w:tc>
      </w:tr>
      <w:tr w:rsidR="00C01DA5" w:rsidRPr="00BE7FA1" w:rsidTr="00387F57">
        <w:trPr>
          <w:cantSplit/>
          <w:trHeight w:val="253"/>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Treatment phase:</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Initial treatment</w:t>
            </w:r>
          </w:p>
        </w:tc>
      </w:tr>
      <w:tr w:rsidR="00C01DA5" w:rsidRPr="00BE7FA1" w:rsidTr="00387F57">
        <w:trPr>
          <w:cantSplit/>
          <w:trHeight w:val="1378"/>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Restriction:</w:t>
            </w:r>
          </w:p>
          <w:p w:rsidR="00C01DA5" w:rsidRPr="00BE7FA1" w:rsidRDefault="00C01DA5" w:rsidP="00387F57">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Restricted benefit</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In Writing</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3"/>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Telephone</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Emergency</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Electronic</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Streamlined</w:t>
            </w:r>
          </w:p>
        </w:tc>
      </w:tr>
      <w:tr w:rsidR="00C01DA5" w:rsidRPr="00BE7FA1" w:rsidTr="00387F57">
        <w:trPr>
          <w:cantSplit/>
          <w:trHeight w:val="19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Treatment criteria:</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AF6633" w:rsidP="00387F57">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36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Clinical criteria:</w:t>
            </w:r>
          </w:p>
          <w:p w:rsidR="00C01DA5" w:rsidRPr="00BE7FA1" w:rsidRDefault="00C01DA5" w:rsidP="00387F57">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t xml:space="preserve">Patient must have progressive disease according to Response Evaluation Criteria in Solid Tumours (RECIST) following first line treatment with a Tyrosine Kinase Inhibitor (TKI);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AND</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 xml:space="preserve">Patient must have disease which is WHO performance status of 2 or less;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AND</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Treatment must be the sole PBS-subsidised therapy for this condition</w:t>
            </w:r>
          </w:p>
        </w:tc>
      </w:tr>
      <w:tr w:rsidR="00C01DA5" w:rsidRPr="00BE7FA1" w:rsidTr="00387F57">
        <w:trPr>
          <w:cantSplit/>
          <w:trHeight w:val="217"/>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Population criteria:</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AF6633" w:rsidP="00387F57">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235"/>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Prescriber Instructions</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AF6633" w:rsidP="00C01DA5">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208"/>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Administrative Advice</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AF6633" w:rsidP="00387F57">
            <w:pPr>
              <w:pStyle w:val="TableLeft"/>
              <w:rPr>
                <w:rFonts w:asciiTheme="minorHAnsi" w:hAnsiTheme="minorHAnsi"/>
                <w:i/>
                <w:szCs w:val="20"/>
              </w:rPr>
            </w:pPr>
            <w:r w:rsidRPr="00BE7FA1">
              <w:rPr>
                <w:rFonts w:asciiTheme="minorHAnsi" w:hAnsiTheme="minorHAnsi"/>
                <w:i/>
                <w:szCs w:val="20"/>
              </w:rPr>
              <w:t>-</w:t>
            </w:r>
          </w:p>
        </w:tc>
      </w:tr>
      <w:tr w:rsidR="00C01DA5" w:rsidRPr="00BE7FA1" w:rsidTr="00387F57">
        <w:trPr>
          <w:cantSplit/>
          <w:trHeight w:val="36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 xml:space="preserve">Definitions </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RECIST is defined as follows:</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Complete response (CR) is disappearance of all target lesions.</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 xml:space="preserve">Partial response (PR) is a 30% decrease in the sum of the longest diameter of target lesions.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 xml:space="preserve">Progressive disease (PD) is a 20% increase in the sum of the longest diameter of target lesions.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Stable disease (SD) is small changes that do not meet above criteria.</w:t>
            </w:r>
          </w:p>
        </w:tc>
      </w:tr>
    </w:tbl>
    <w:p w:rsidR="00EA49AB" w:rsidRDefault="00EA49AB">
      <w:r>
        <w:br w:type="page"/>
      </w:r>
    </w:p>
    <w:tbl>
      <w:tblPr>
        <w:tblW w:w="9072" w:type="dxa"/>
        <w:tblInd w:w="108" w:type="dxa"/>
        <w:tblLayout w:type="fixed"/>
        <w:tblLook w:val="0000" w:firstRow="0" w:lastRow="0" w:firstColumn="0" w:lastColumn="0" w:noHBand="0" w:noVBand="0"/>
      </w:tblPr>
      <w:tblGrid>
        <w:gridCol w:w="2302"/>
        <w:gridCol w:w="992"/>
        <w:gridCol w:w="851"/>
        <w:gridCol w:w="709"/>
        <w:gridCol w:w="1842"/>
        <w:gridCol w:w="2376"/>
      </w:tblGrid>
      <w:tr w:rsidR="00C01DA5" w:rsidRPr="00BE7FA1" w:rsidTr="00387F57">
        <w:trPr>
          <w:cantSplit/>
          <w:trHeight w:val="471"/>
        </w:trPr>
        <w:tc>
          <w:tcPr>
            <w:tcW w:w="3294" w:type="dxa"/>
            <w:gridSpan w:val="2"/>
            <w:tcBorders>
              <w:bottom w:val="single" w:sz="4" w:space="0" w:color="auto"/>
            </w:tcBorders>
          </w:tcPr>
          <w:p w:rsidR="00C01DA5" w:rsidRPr="00444991" w:rsidRDefault="00C01DA5" w:rsidP="00387F57">
            <w:pPr>
              <w:pStyle w:val="TableLeft"/>
              <w:rPr>
                <w:rStyle w:val="SmallBold"/>
                <w:rFonts w:asciiTheme="minorHAnsi" w:hAnsiTheme="minorHAnsi"/>
                <w:szCs w:val="20"/>
              </w:rPr>
            </w:pPr>
          </w:p>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Name, Restriction,</w:t>
            </w:r>
          </w:p>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Manner of administration and form</w:t>
            </w:r>
          </w:p>
        </w:tc>
        <w:tc>
          <w:tcPr>
            <w:tcW w:w="851" w:type="dxa"/>
            <w:tcBorders>
              <w:bottom w:val="single" w:sz="4" w:space="0" w:color="auto"/>
            </w:tcBorders>
          </w:tcPr>
          <w:p w:rsidR="00C01DA5" w:rsidRPr="00BE7FA1" w:rsidRDefault="00C01DA5" w:rsidP="00387F57">
            <w:pPr>
              <w:pStyle w:val="TableLeft"/>
              <w:rPr>
                <w:rStyle w:val="SmallBold"/>
                <w:rFonts w:asciiTheme="minorHAnsi" w:hAnsiTheme="minorHAnsi"/>
                <w:szCs w:val="20"/>
              </w:rPr>
            </w:pPr>
          </w:p>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Max.</w:t>
            </w:r>
          </w:p>
          <w:p w:rsidR="00C01DA5" w:rsidRPr="00BE7FA1" w:rsidRDefault="00C01DA5" w:rsidP="00387F57">
            <w:pPr>
              <w:pStyle w:val="TableLeft"/>
              <w:rPr>
                <w:rStyle w:val="SmallBold"/>
                <w:rFonts w:asciiTheme="minorHAnsi" w:hAnsiTheme="minorHAnsi"/>
                <w:szCs w:val="20"/>
              </w:rPr>
            </w:pPr>
            <w:proofErr w:type="spellStart"/>
            <w:r w:rsidRPr="00BE7FA1">
              <w:rPr>
                <w:rStyle w:val="SmallBold"/>
                <w:rFonts w:asciiTheme="minorHAnsi" w:hAnsiTheme="minorHAnsi"/>
                <w:szCs w:val="20"/>
              </w:rPr>
              <w:t>Qty</w:t>
            </w:r>
            <w:proofErr w:type="spellEnd"/>
          </w:p>
        </w:tc>
        <w:tc>
          <w:tcPr>
            <w:tcW w:w="709" w:type="dxa"/>
            <w:tcBorders>
              <w:bottom w:val="single" w:sz="4" w:space="0" w:color="auto"/>
            </w:tcBorders>
          </w:tcPr>
          <w:p w:rsidR="00C01DA5" w:rsidRPr="00BE7FA1" w:rsidRDefault="00C01DA5" w:rsidP="00387F57">
            <w:pPr>
              <w:pStyle w:val="TableLeft"/>
              <w:rPr>
                <w:rStyle w:val="SmallBold"/>
                <w:rFonts w:asciiTheme="minorHAnsi" w:hAnsiTheme="minorHAnsi"/>
                <w:szCs w:val="20"/>
              </w:rPr>
            </w:pPr>
          </w:p>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№.of</w:t>
            </w:r>
          </w:p>
          <w:p w:rsidR="00C01DA5" w:rsidRPr="00BE7FA1" w:rsidRDefault="00C01DA5" w:rsidP="00387F57">
            <w:pPr>
              <w:pStyle w:val="TableLeft"/>
              <w:rPr>
                <w:rStyle w:val="SmallBold"/>
                <w:rFonts w:asciiTheme="minorHAnsi" w:hAnsiTheme="minorHAnsi"/>
                <w:szCs w:val="20"/>
              </w:rPr>
            </w:pPr>
            <w:proofErr w:type="spellStart"/>
            <w:r w:rsidRPr="00BE7FA1">
              <w:rPr>
                <w:rStyle w:val="SmallBold"/>
                <w:rFonts w:asciiTheme="minorHAnsi" w:hAnsiTheme="minorHAnsi"/>
                <w:szCs w:val="20"/>
              </w:rPr>
              <w:t>Rpts</w:t>
            </w:r>
            <w:proofErr w:type="spellEnd"/>
          </w:p>
        </w:tc>
        <w:tc>
          <w:tcPr>
            <w:tcW w:w="4218" w:type="dxa"/>
            <w:gridSpan w:val="2"/>
            <w:tcBorders>
              <w:bottom w:val="single" w:sz="4" w:space="0" w:color="auto"/>
            </w:tcBorders>
          </w:tcPr>
          <w:p w:rsidR="00C01DA5" w:rsidRPr="00BE7FA1" w:rsidRDefault="00C01DA5" w:rsidP="00387F57">
            <w:pPr>
              <w:pStyle w:val="TableLeft"/>
              <w:rPr>
                <w:rStyle w:val="SmallBold"/>
                <w:rFonts w:asciiTheme="minorHAnsi" w:hAnsiTheme="minorHAnsi"/>
                <w:szCs w:val="20"/>
              </w:rPr>
            </w:pPr>
          </w:p>
          <w:p w:rsidR="00C01DA5" w:rsidRPr="00BE7FA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Proprietary Name and Manufacturer</w:t>
            </w:r>
          </w:p>
          <w:p w:rsidR="00C01DA5" w:rsidRPr="00BE7FA1" w:rsidRDefault="00C01DA5" w:rsidP="00387F57">
            <w:pPr>
              <w:pStyle w:val="TableLeft"/>
              <w:rPr>
                <w:rStyle w:val="SmallBold"/>
                <w:rFonts w:asciiTheme="minorHAnsi" w:hAnsiTheme="minorHAnsi"/>
                <w:szCs w:val="20"/>
              </w:rPr>
            </w:pPr>
          </w:p>
        </w:tc>
      </w:tr>
      <w:tr w:rsidR="00C01DA5" w:rsidRPr="00BE7FA1" w:rsidTr="00387F57">
        <w:trPr>
          <w:cantSplit/>
          <w:trHeight w:val="577"/>
        </w:trPr>
        <w:tc>
          <w:tcPr>
            <w:tcW w:w="3294" w:type="dxa"/>
            <w:gridSpan w:val="2"/>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t>CABOZANTINIB</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Cabozantinib, 60 mg tablet, 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Cabozantinib, 40 mg tablet, 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Cabozantinib, 20 mg tablet, 30</w:t>
            </w:r>
          </w:p>
          <w:p w:rsidR="00C01DA5" w:rsidRPr="00BE7FA1" w:rsidRDefault="00C01DA5" w:rsidP="00387F57">
            <w:pPr>
              <w:pStyle w:val="TableLeft"/>
              <w:rPr>
                <w:rFonts w:asciiTheme="minorHAnsi" w:hAnsiTheme="minorHAnsi"/>
                <w:szCs w:val="20"/>
              </w:rPr>
            </w:pPr>
          </w:p>
        </w:tc>
        <w:tc>
          <w:tcPr>
            <w:tcW w:w="851" w:type="dxa"/>
          </w:tcPr>
          <w:p w:rsidR="00C01DA5" w:rsidRPr="00BE7FA1" w:rsidRDefault="00C01DA5" w:rsidP="00387F57">
            <w:pPr>
              <w:pStyle w:val="TableLeft"/>
              <w:rPr>
                <w:rFonts w:asciiTheme="minorHAnsi" w:hAnsiTheme="minorHAnsi"/>
                <w:szCs w:val="20"/>
              </w:rPr>
            </w:pP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30</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30</w:t>
            </w:r>
          </w:p>
        </w:tc>
        <w:tc>
          <w:tcPr>
            <w:tcW w:w="709" w:type="dxa"/>
          </w:tcPr>
          <w:p w:rsidR="00C01DA5" w:rsidRPr="00BE7FA1" w:rsidRDefault="00C01DA5" w:rsidP="00387F57">
            <w:pPr>
              <w:pStyle w:val="TableLeft"/>
              <w:rPr>
                <w:rFonts w:asciiTheme="minorHAnsi" w:hAnsiTheme="minorHAnsi"/>
                <w:szCs w:val="20"/>
              </w:rPr>
            </w:pP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5</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5</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5</w:t>
            </w:r>
          </w:p>
        </w:tc>
        <w:tc>
          <w:tcPr>
            <w:tcW w:w="1842" w:type="dxa"/>
          </w:tcPr>
          <w:p w:rsidR="00C01DA5" w:rsidRPr="00BE7FA1" w:rsidRDefault="00C01DA5" w:rsidP="00387F57">
            <w:pPr>
              <w:pStyle w:val="TableLeft"/>
              <w:rPr>
                <w:rFonts w:asciiTheme="minorHAnsi" w:hAnsiTheme="minorHAnsi"/>
                <w:szCs w:val="20"/>
              </w:rPr>
            </w:pPr>
            <w:proofErr w:type="spellStart"/>
            <w:r w:rsidRPr="00BE7FA1">
              <w:rPr>
                <w:rFonts w:asciiTheme="minorHAnsi" w:hAnsiTheme="minorHAnsi"/>
                <w:szCs w:val="20"/>
              </w:rPr>
              <w:t>Cabometyx</w:t>
            </w:r>
            <w:proofErr w:type="spellEnd"/>
          </w:p>
        </w:tc>
        <w:tc>
          <w:tcPr>
            <w:tcW w:w="2376" w:type="dxa"/>
          </w:tcPr>
          <w:p w:rsidR="00C01DA5" w:rsidRPr="00BE7FA1" w:rsidRDefault="00C01DA5" w:rsidP="00387F57">
            <w:pPr>
              <w:pStyle w:val="TableLeft"/>
              <w:rPr>
                <w:rFonts w:asciiTheme="minorHAnsi" w:hAnsiTheme="minorHAnsi"/>
                <w:szCs w:val="20"/>
              </w:rPr>
            </w:pPr>
            <w:proofErr w:type="spellStart"/>
            <w:r w:rsidRPr="00BE7FA1">
              <w:rPr>
                <w:rFonts w:asciiTheme="minorHAnsi" w:hAnsiTheme="minorHAnsi"/>
                <w:szCs w:val="20"/>
              </w:rPr>
              <w:t>Ipsen</w:t>
            </w:r>
            <w:proofErr w:type="spellEnd"/>
            <w:r w:rsidRPr="00BE7FA1">
              <w:rPr>
                <w:rFonts w:asciiTheme="minorHAnsi" w:hAnsiTheme="minorHAnsi"/>
                <w:szCs w:val="20"/>
              </w:rPr>
              <w:t xml:space="preserve"> Australia Pty Ltd</w:t>
            </w:r>
          </w:p>
        </w:tc>
      </w:tr>
      <w:tr w:rsidR="00C01DA5" w:rsidRPr="00BE7FA1" w:rsidTr="00387F57">
        <w:trPr>
          <w:cantSplit/>
          <w:trHeight w:val="199"/>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Category / program</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General Schedule</w:t>
            </w:r>
          </w:p>
        </w:tc>
      </w:tr>
      <w:tr w:rsidR="00C01DA5" w:rsidRPr="00BE7FA1" w:rsidTr="00387F57">
        <w:trPr>
          <w:cantSplit/>
          <w:trHeight w:val="487"/>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Prescriber type</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Dental  </w:t>
            </w: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Medical Practitioners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Nurse Practitioners</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 xml:space="preserve">Optometrists  </w:t>
            </w: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Midwives</w:t>
            </w:r>
          </w:p>
        </w:tc>
      </w:tr>
      <w:tr w:rsidR="00C01DA5" w:rsidRPr="00BE7FA1" w:rsidTr="00387F57">
        <w:trPr>
          <w:cantSplit/>
          <w:trHeight w:val="199"/>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proofErr w:type="spellStart"/>
            <w:r w:rsidRPr="00BE7FA1">
              <w:rPr>
                <w:rStyle w:val="SmallBold"/>
                <w:rFonts w:asciiTheme="minorHAnsi" w:hAnsiTheme="minorHAnsi"/>
                <w:szCs w:val="20"/>
              </w:rPr>
              <w:t>Episodicity</w:t>
            </w:r>
            <w:proofErr w:type="spellEnd"/>
            <w:r w:rsidRPr="00BE7FA1">
              <w:rPr>
                <w:rStyle w:val="SmallBold"/>
                <w:rFonts w:asciiTheme="minorHAnsi" w:hAnsiTheme="minorHAnsi"/>
                <w:szCs w:val="20"/>
              </w:rPr>
              <w:t>:</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trike/>
                <w:szCs w:val="20"/>
              </w:rPr>
            </w:pPr>
            <w:r w:rsidRPr="00BE7FA1">
              <w:rPr>
                <w:rFonts w:asciiTheme="minorHAnsi" w:hAnsiTheme="minorHAnsi"/>
                <w:strike/>
                <w:szCs w:val="20"/>
              </w:rPr>
              <w:t>-</w:t>
            </w:r>
          </w:p>
        </w:tc>
      </w:tr>
      <w:tr w:rsidR="00C01DA5" w:rsidRPr="00BE7FA1" w:rsidTr="00387F57">
        <w:trPr>
          <w:cantSplit/>
          <w:trHeight w:val="19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Severity:</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Stage IV</w:t>
            </w:r>
          </w:p>
        </w:tc>
      </w:tr>
      <w:tr w:rsidR="00C01DA5" w:rsidRPr="00BE7FA1" w:rsidTr="00387F57">
        <w:trPr>
          <w:cantSplit/>
          <w:trHeight w:val="163"/>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Condition:</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Clear cell variant renal cell carcinoma (RCC)</w:t>
            </w:r>
          </w:p>
        </w:tc>
      </w:tr>
      <w:tr w:rsidR="00C01DA5" w:rsidRPr="00BE7FA1" w:rsidTr="00387F57">
        <w:trPr>
          <w:cantSplit/>
          <w:trHeight w:val="208"/>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PBS Indication:</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Stage IV clear cell variant renal cell carcinoma (RCC)</w:t>
            </w:r>
          </w:p>
        </w:tc>
      </w:tr>
      <w:tr w:rsidR="00C01DA5" w:rsidRPr="00BE7FA1" w:rsidTr="00387F57">
        <w:trPr>
          <w:cantSplit/>
          <w:trHeight w:val="55"/>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Treatment phase:</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Continuing treatment</w:t>
            </w:r>
          </w:p>
        </w:tc>
      </w:tr>
      <w:tr w:rsidR="00C01DA5" w:rsidRPr="00BE7FA1" w:rsidTr="00387F57">
        <w:trPr>
          <w:cantSplit/>
          <w:trHeight w:val="136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Restriction:</w:t>
            </w:r>
          </w:p>
          <w:p w:rsidR="00C01DA5" w:rsidRPr="00BE7FA1" w:rsidRDefault="00C01DA5" w:rsidP="00387F57">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1"/>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Restricted benefit</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In Writing</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3"/>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Telephone</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Emergency</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Check5"/>
                  <w:enabled/>
                  <w:calcOnExit w:val="0"/>
                  <w:checkBox>
                    <w:sizeAuto/>
                    <w:default w:val="0"/>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Authority Required - Electronic</w:t>
            </w:r>
          </w:p>
          <w:p w:rsidR="00C01DA5" w:rsidRPr="00BE7FA1" w:rsidRDefault="00C01DA5" w:rsidP="00387F57">
            <w:pPr>
              <w:pStyle w:val="TableLeft"/>
              <w:rPr>
                <w:rFonts w:asciiTheme="minorHAnsi" w:hAnsiTheme="minorHAnsi"/>
                <w:szCs w:val="20"/>
              </w:rPr>
            </w:pPr>
            <w:r w:rsidRPr="00444991">
              <w:rPr>
                <w:rFonts w:asciiTheme="minorHAnsi" w:hAnsiTheme="minorHAnsi"/>
                <w:szCs w:val="20"/>
              </w:rPr>
              <w:fldChar w:fldCharType="begin">
                <w:ffData>
                  <w:name w:val=""/>
                  <w:enabled/>
                  <w:calcOnExit w:val="0"/>
                  <w:checkBox>
                    <w:sizeAuto/>
                    <w:default w:val="1"/>
                  </w:checkBox>
                </w:ffData>
              </w:fldChar>
            </w:r>
            <w:r w:rsidRPr="00BE7FA1">
              <w:rPr>
                <w:rFonts w:asciiTheme="minorHAnsi" w:hAnsiTheme="minorHAnsi"/>
                <w:szCs w:val="20"/>
              </w:rPr>
              <w:instrText xml:space="preserve"> FORMCHECKBOX </w:instrText>
            </w:r>
            <w:r w:rsidR="00C73538">
              <w:rPr>
                <w:rFonts w:asciiTheme="minorHAnsi" w:hAnsiTheme="minorHAnsi"/>
                <w:szCs w:val="20"/>
              </w:rPr>
            </w:r>
            <w:r w:rsidR="00C73538">
              <w:rPr>
                <w:rFonts w:asciiTheme="minorHAnsi" w:hAnsiTheme="minorHAnsi"/>
                <w:szCs w:val="20"/>
              </w:rPr>
              <w:fldChar w:fldCharType="separate"/>
            </w:r>
            <w:r w:rsidRPr="00444991">
              <w:rPr>
                <w:rFonts w:asciiTheme="minorHAnsi" w:hAnsiTheme="minorHAnsi"/>
                <w:szCs w:val="20"/>
              </w:rPr>
              <w:fldChar w:fldCharType="end"/>
            </w:r>
            <w:r w:rsidRPr="00BE7FA1">
              <w:rPr>
                <w:rFonts w:asciiTheme="minorHAnsi" w:hAnsiTheme="minorHAnsi"/>
                <w:szCs w:val="20"/>
              </w:rPr>
              <w:t>Streamlined</w:t>
            </w:r>
          </w:p>
        </w:tc>
      </w:tr>
      <w:tr w:rsidR="00C01DA5" w:rsidRPr="00BE7FA1" w:rsidTr="00387F57">
        <w:trPr>
          <w:cantSplit/>
          <w:trHeight w:val="19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Treatment criteria:</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36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Clinical criteria:</w:t>
            </w:r>
          </w:p>
          <w:p w:rsidR="00C01DA5" w:rsidRPr="00BE7FA1" w:rsidRDefault="00C01DA5" w:rsidP="00387F57">
            <w:pPr>
              <w:pStyle w:val="TableLeft"/>
              <w:rPr>
                <w:rStyle w:val="SmallBold"/>
                <w:rFonts w:asciiTheme="minorHAnsi" w:hAnsiTheme="minorHAnsi"/>
                <w:szCs w:val="20"/>
              </w:rPr>
            </w:pPr>
          </w:p>
          <w:p w:rsidR="00C01DA5" w:rsidRPr="00BE7FA1" w:rsidRDefault="00C01DA5" w:rsidP="00387F57">
            <w:pPr>
              <w:pStyle w:val="TableLeft"/>
              <w:rPr>
                <w:rStyle w:val="SmallBold"/>
                <w:rFonts w:asciiTheme="minorHAnsi" w:hAnsiTheme="minorHAnsi"/>
                <w:szCs w:val="20"/>
              </w:rPr>
            </w:pP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444991">
              <w:rPr>
                <w:rFonts w:asciiTheme="minorHAnsi" w:hAnsiTheme="minorHAnsi"/>
                <w:szCs w:val="20"/>
              </w:rPr>
              <w:t xml:space="preserve">Patient must have previously received PBS-subsidised treatment with this drug for this condition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AND</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Patient must have stable or responding disease according to the Response Evaluation Criteria in Solid Tumours (RECIST),</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AND</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Treatment must be the sole PBS-subsidised therapy for this condition.</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AND</w:t>
            </w:r>
          </w:p>
          <w:p w:rsidR="00C01DA5" w:rsidRPr="00BE7FA1" w:rsidRDefault="00C01DA5" w:rsidP="0083789C">
            <w:pPr>
              <w:pStyle w:val="TableLeft"/>
              <w:rPr>
                <w:rFonts w:asciiTheme="minorHAnsi" w:hAnsiTheme="minorHAnsi"/>
                <w:szCs w:val="20"/>
              </w:rPr>
            </w:pPr>
            <w:r w:rsidRPr="00BE7FA1">
              <w:rPr>
                <w:rFonts w:asciiTheme="minorHAnsi" w:hAnsiTheme="minorHAnsi"/>
                <w:szCs w:val="20"/>
              </w:rPr>
              <w:t xml:space="preserve">Patient must not receive PBS-subsidised treatment with this drug if progressive disease develops while on this drug. </w:t>
            </w:r>
          </w:p>
        </w:tc>
      </w:tr>
      <w:tr w:rsidR="00C01DA5" w:rsidRPr="00BE7FA1" w:rsidTr="00387F57">
        <w:trPr>
          <w:cantSplit/>
          <w:trHeight w:val="217"/>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Population criteria:</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163"/>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Prescriber Instructions</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b/>
                <w:szCs w:val="20"/>
              </w:rPr>
            </w:pPr>
            <w:r w:rsidRPr="00BE7FA1">
              <w:rPr>
                <w:rFonts w:asciiTheme="minorHAnsi" w:hAnsiTheme="minorHAnsi"/>
                <w:b/>
                <w:strike/>
                <w:szCs w:val="20"/>
              </w:rPr>
              <w:t>-</w:t>
            </w:r>
          </w:p>
        </w:tc>
      </w:tr>
      <w:tr w:rsidR="00C01DA5" w:rsidRPr="00BE7FA1" w:rsidTr="00387F57">
        <w:trPr>
          <w:cantSplit/>
          <w:trHeight w:val="208"/>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Administrative Advice</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w:t>
            </w:r>
          </w:p>
        </w:tc>
      </w:tr>
      <w:tr w:rsidR="00C01DA5" w:rsidRPr="00BE7FA1" w:rsidTr="00387F57">
        <w:trPr>
          <w:cantSplit/>
          <w:trHeight w:val="360"/>
        </w:trPr>
        <w:tc>
          <w:tcPr>
            <w:tcW w:w="2302" w:type="dxa"/>
            <w:tcBorders>
              <w:top w:val="single" w:sz="4" w:space="0" w:color="auto"/>
              <w:left w:val="single" w:sz="4" w:space="0" w:color="auto"/>
              <w:bottom w:val="single" w:sz="4" w:space="0" w:color="auto"/>
              <w:right w:val="single" w:sz="4" w:space="0" w:color="auto"/>
            </w:tcBorders>
          </w:tcPr>
          <w:p w:rsidR="00C01DA5" w:rsidRPr="00444991" w:rsidRDefault="00C01DA5" w:rsidP="00387F57">
            <w:pPr>
              <w:pStyle w:val="TableLeft"/>
              <w:rPr>
                <w:rStyle w:val="SmallBold"/>
                <w:rFonts w:asciiTheme="minorHAnsi" w:hAnsiTheme="minorHAnsi"/>
                <w:szCs w:val="20"/>
              </w:rPr>
            </w:pPr>
            <w:r w:rsidRPr="00BE7FA1">
              <w:rPr>
                <w:rStyle w:val="SmallBold"/>
                <w:rFonts w:asciiTheme="minorHAnsi" w:hAnsiTheme="minorHAnsi"/>
                <w:szCs w:val="20"/>
              </w:rPr>
              <w:t xml:space="preserve">Definitions </w:t>
            </w:r>
          </w:p>
        </w:tc>
        <w:tc>
          <w:tcPr>
            <w:tcW w:w="6770" w:type="dxa"/>
            <w:gridSpan w:val="5"/>
            <w:tcBorders>
              <w:top w:val="single" w:sz="4" w:space="0" w:color="auto"/>
              <w:left w:val="single" w:sz="4" w:space="0" w:color="auto"/>
              <w:bottom w:val="single" w:sz="4" w:space="0" w:color="auto"/>
              <w:right w:val="single" w:sz="4" w:space="0" w:color="auto"/>
            </w:tcBorders>
          </w:tcPr>
          <w:p w:rsidR="00C01DA5" w:rsidRPr="00BE7FA1" w:rsidRDefault="00C01DA5" w:rsidP="00387F57">
            <w:pPr>
              <w:pStyle w:val="TableLeft"/>
              <w:rPr>
                <w:rFonts w:asciiTheme="minorHAnsi" w:hAnsiTheme="minorHAnsi"/>
                <w:szCs w:val="20"/>
              </w:rPr>
            </w:pPr>
            <w:r w:rsidRPr="00BE7FA1">
              <w:rPr>
                <w:rFonts w:asciiTheme="minorHAnsi" w:hAnsiTheme="minorHAnsi"/>
                <w:szCs w:val="20"/>
              </w:rPr>
              <w:t>RECIST is defined as follows:</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Complete response (CR) is disappearance of all target lesions.</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 xml:space="preserve">Partial response (PR) is a 30% decrease in the sum of the longest diameter of target lesions.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 xml:space="preserve">Progressive disease (PD) is a 20% increase in the sum of the longest diameter of target lesions. </w:t>
            </w:r>
          </w:p>
          <w:p w:rsidR="00C01DA5" w:rsidRPr="00BE7FA1" w:rsidRDefault="00C01DA5" w:rsidP="00387F57">
            <w:pPr>
              <w:pStyle w:val="TableLeft"/>
              <w:rPr>
                <w:rFonts w:asciiTheme="minorHAnsi" w:hAnsiTheme="minorHAnsi"/>
                <w:szCs w:val="20"/>
              </w:rPr>
            </w:pPr>
            <w:r w:rsidRPr="00BE7FA1">
              <w:rPr>
                <w:rFonts w:asciiTheme="minorHAnsi" w:hAnsiTheme="minorHAnsi"/>
                <w:szCs w:val="20"/>
              </w:rPr>
              <w:t>Stable disease (SD) is small changes that do not meet above criteria.</w:t>
            </w:r>
          </w:p>
        </w:tc>
      </w:tr>
    </w:tbl>
    <w:p w:rsidR="0015573E" w:rsidRPr="00BE7FA1" w:rsidRDefault="0015573E" w:rsidP="00444991">
      <w:pPr>
        <w:widowControl w:val="0"/>
        <w:rPr>
          <w:rFonts w:ascii="Arial" w:hAnsi="Arial" w:cs="Arial"/>
          <w:bCs/>
          <w:sz w:val="22"/>
        </w:rPr>
      </w:pPr>
      <w:r w:rsidRPr="00BE7FA1">
        <w:rPr>
          <w:rFonts w:cs="Arial"/>
          <w:bCs/>
          <w:snapToGrid w:val="0"/>
        </w:rPr>
        <w:t xml:space="preserve"> </w:t>
      </w:r>
    </w:p>
    <w:p w:rsidR="00DF3D79" w:rsidRDefault="00DA2B7A" w:rsidP="00DA2B7A">
      <w:pPr>
        <w:pStyle w:val="Heading1"/>
        <w:spacing w:after="0"/>
        <w:ind w:left="709" w:hanging="709"/>
      </w:pPr>
      <w:r>
        <w:t>Context for Decision</w:t>
      </w:r>
    </w:p>
    <w:p w:rsidR="00DA2B7A" w:rsidRPr="00C07617" w:rsidRDefault="00DA2B7A" w:rsidP="00DA2B7A">
      <w:pPr>
        <w:spacing w:after="0"/>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A2B7A" w:rsidRDefault="00DA2B7A" w:rsidP="00653C98">
      <w:pPr>
        <w:pStyle w:val="Heading1"/>
        <w:spacing w:after="0"/>
        <w:ind w:left="709" w:hanging="709"/>
      </w:pPr>
      <w:r>
        <w:lastRenderedPageBreak/>
        <w:t>Sponsor’s Comment</w:t>
      </w:r>
    </w:p>
    <w:p w:rsidR="0090182D" w:rsidRPr="0090182D" w:rsidRDefault="0090182D" w:rsidP="0090182D">
      <w:pPr>
        <w:rPr>
          <w:iCs/>
          <w:lang w:val="en-US"/>
        </w:rPr>
      </w:pPr>
      <w:r w:rsidRPr="0090182D">
        <w:rPr>
          <w:iCs/>
          <w:lang w:val="en-US"/>
        </w:rPr>
        <w:t xml:space="preserve">For Australians with advanced clear-cell RCC, there is still a serious medical need for access to new treatments that may help to slow progression of the disease, increase the speed at which they derive benefit from treatment and extend overall survival. </w:t>
      </w:r>
      <w:proofErr w:type="spellStart"/>
      <w:r w:rsidRPr="0090182D">
        <w:rPr>
          <w:iCs/>
          <w:lang w:val="en-US"/>
        </w:rPr>
        <w:t>Ipsen</w:t>
      </w:r>
      <w:proofErr w:type="spellEnd"/>
      <w:r w:rsidRPr="0090182D">
        <w:rPr>
          <w:iCs/>
          <w:lang w:val="en-US"/>
        </w:rPr>
        <w:t xml:space="preserve"> is extremely pleased with the PBAC’s decision to positively recommend CABOMETYX (cabozantinib) for listing on the PBS. </w:t>
      </w:r>
    </w:p>
    <w:p w:rsidR="00DA2B7A" w:rsidRPr="00DA2B7A" w:rsidRDefault="0090182D" w:rsidP="00DA2B7A">
      <w:proofErr w:type="spellStart"/>
      <w:r w:rsidRPr="0090182D">
        <w:rPr>
          <w:iCs/>
          <w:lang w:val="en-US"/>
        </w:rPr>
        <w:t>Ipsen</w:t>
      </w:r>
      <w:proofErr w:type="spellEnd"/>
      <w:r w:rsidRPr="0090182D">
        <w:rPr>
          <w:iCs/>
          <w:lang w:val="en-US"/>
        </w:rPr>
        <w:t xml:space="preserve"> is committed to working with the Australian Government and the Department of Health over the coming weeks to ensure expedited listing of CABOMETYX (cabozantinib) on the PBS for patients with advanced RCC</w:t>
      </w:r>
      <w:r w:rsidRPr="0090182D">
        <w:rPr>
          <w:lang w:val="en-US"/>
        </w:rPr>
        <w:t>”.</w:t>
      </w:r>
    </w:p>
    <w:sectPr w:rsidR="00DA2B7A" w:rsidRPr="00DA2B7A">
      <w:headerReference w:type="default" r:id="rId10"/>
      <w:footerReference w:type="default" r:id="rId11"/>
      <w:footnotePr>
        <w:numFmt w:val="chicago"/>
      </w:foot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0C1F8" w15:done="0"/>
  <w15:commentEx w15:paraId="7682FB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C98" w:rsidRDefault="00653C98" w:rsidP="00BA3306">
      <w:pPr>
        <w:spacing w:before="0" w:after="0"/>
      </w:pPr>
      <w:r>
        <w:separator/>
      </w:r>
    </w:p>
  </w:endnote>
  <w:endnote w:type="continuationSeparator" w:id="0">
    <w:p w:rsidR="00653C98" w:rsidRDefault="00653C98"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891187"/>
      <w:docPartObj>
        <w:docPartGallery w:val="Page Numbers (Bottom of Page)"/>
        <w:docPartUnique/>
      </w:docPartObj>
    </w:sdtPr>
    <w:sdtEndPr>
      <w:rPr>
        <w:noProof/>
      </w:rPr>
    </w:sdtEndPr>
    <w:sdtContent>
      <w:p w:rsidR="00653C98" w:rsidRDefault="00653C98">
        <w:pPr>
          <w:pStyle w:val="Footer"/>
          <w:jc w:val="center"/>
        </w:pPr>
        <w:r>
          <w:fldChar w:fldCharType="begin"/>
        </w:r>
        <w:r>
          <w:instrText xml:space="preserve"> PAGE   \* MERGEFORMAT </w:instrText>
        </w:r>
        <w:r>
          <w:fldChar w:fldCharType="separate"/>
        </w:r>
        <w:r w:rsidR="00C73538">
          <w:rPr>
            <w:noProof/>
          </w:rPr>
          <w:t>1</w:t>
        </w:r>
        <w:r>
          <w:rPr>
            <w:noProof/>
          </w:rPr>
          <w:fldChar w:fldCharType="end"/>
        </w:r>
      </w:p>
    </w:sdtContent>
  </w:sdt>
  <w:p w:rsidR="00653C98" w:rsidRDefault="00653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98" w:rsidRDefault="00653C98" w:rsidP="00BA3306">
      <w:pPr>
        <w:spacing w:before="0" w:after="0"/>
      </w:pPr>
      <w:r>
        <w:separator/>
      </w:r>
    </w:p>
  </w:footnote>
  <w:footnote w:type="continuationSeparator" w:id="0">
    <w:p w:rsidR="00653C98" w:rsidRDefault="00653C98" w:rsidP="00BA3306">
      <w:pPr>
        <w:spacing w:before="0" w:after="0"/>
      </w:pPr>
      <w:r>
        <w:continuationSeparator/>
      </w:r>
    </w:p>
  </w:footnote>
  <w:footnote w:id="1">
    <w:p w:rsidR="00653C98" w:rsidRDefault="00653C98" w:rsidP="001721D0">
      <w:pPr>
        <w:pStyle w:val="FootnoteText"/>
        <w:rPr>
          <w:noProof/>
        </w:rPr>
      </w:pPr>
      <w:r>
        <w:rPr>
          <w:rStyle w:val="FootnoteReference"/>
        </w:rPr>
        <w:footnoteRef/>
      </w:r>
      <w:r>
        <w:t xml:space="preserve"> </w:t>
      </w:r>
      <w:r w:rsidRPr="0040499F">
        <w:rPr>
          <w:noProof/>
        </w:rPr>
        <w:t>Escudier B, Porta C</w:t>
      </w:r>
      <w:r w:rsidRPr="0040499F">
        <w:rPr>
          <w:i/>
          <w:noProof/>
        </w:rPr>
        <w:t>, et al.</w:t>
      </w:r>
      <w:r w:rsidRPr="0040499F">
        <w:rPr>
          <w:noProof/>
        </w:rPr>
        <w:t xml:space="preserve"> Renal cell carcinoma: ESMO Clinical Practice Guidelines for diagnosis, treatment and follow-up. </w:t>
      </w:r>
      <w:r w:rsidRPr="0040499F">
        <w:rPr>
          <w:i/>
          <w:noProof/>
        </w:rPr>
        <w:t>Ann Oncol</w:t>
      </w:r>
      <w:r w:rsidRPr="0040499F">
        <w:rPr>
          <w:noProof/>
        </w:rPr>
        <w:t>. 2016; 27 (suppl 5):v58-v68.</w:t>
      </w:r>
    </w:p>
  </w:footnote>
  <w:footnote w:id="2">
    <w:p w:rsidR="00653C98" w:rsidRDefault="00653C98" w:rsidP="00301538">
      <w:pPr>
        <w:pStyle w:val="FootnoteText"/>
      </w:pPr>
      <w:r>
        <w:rPr>
          <w:rStyle w:val="FootnoteReference"/>
        </w:rPr>
        <w:footnoteRef/>
      </w:r>
      <w:r>
        <w:t xml:space="preserve"> </w:t>
      </w:r>
      <w:r w:rsidRPr="0040499F">
        <w:rPr>
          <w:noProof/>
        </w:rPr>
        <w:t>Choueiri TK, Escudier B</w:t>
      </w:r>
      <w:r w:rsidRPr="0040499F">
        <w:rPr>
          <w:i/>
          <w:noProof/>
        </w:rPr>
        <w:t>, et al.</w:t>
      </w:r>
      <w:r w:rsidRPr="0040499F">
        <w:rPr>
          <w:noProof/>
        </w:rPr>
        <w:t xml:space="preserve"> Cabozantinib versus everolimus in advanced renal cell carcinoma (METEOR): final results from a randomised, open-label, phase 3 trial. </w:t>
      </w:r>
      <w:r w:rsidRPr="0040499F">
        <w:rPr>
          <w:i/>
          <w:noProof/>
        </w:rPr>
        <w:t>Lancet Oncol</w:t>
      </w:r>
      <w:r w:rsidRPr="0040499F">
        <w:rPr>
          <w:noProof/>
        </w:rPr>
        <w:t>. 2016; 17 (7):917-27.</w:t>
      </w:r>
    </w:p>
  </w:footnote>
  <w:footnote w:id="3">
    <w:p w:rsidR="00653C98" w:rsidRDefault="00653C98" w:rsidP="00843DE0">
      <w:pPr>
        <w:pStyle w:val="FootnoteText"/>
        <w:rPr>
          <w:noProof/>
        </w:rPr>
      </w:pPr>
      <w:r>
        <w:rPr>
          <w:rStyle w:val="FootnoteReference"/>
        </w:rPr>
        <w:footnoteRef/>
      </w:r>
      <w:r>
        <w:t xml:space="preserve"> </w:t>
      </w:r>
      <w:r w:rsidRPr="0040499F">
        <w:rPr>
          <w:noProof/>
        </w:rPr>
        <w:t>Escudier B, Porta C</w:t>
      </w:r>
      <w:r w:rsidRPr="0040499F">
        <w:rPr>
          <w:i/>
          <w:noProof/>
        </w:rPr>
        <w:t>, et al.</w:t>
      </w:r>
      <w:r w:rsidRPr="0040499F">
        <w:rPr>
          <w:noProof/>
        </w:rPr>
        <w:t xml:space="preserve"> Renal cell carcinoma: ESMO Clinical Practice Guidelines for diagnosis, treatment and follow-up. </w:t>
      </w:r>
      <w:r w:rsidRPr="0040499F">
        <w:rPr>
          <w:i/>
          <w:noProof/>
        </w:rPr>
        <w:t>Ann Oncol</w:t>
      </w:r>
      <w:r w:rsidRPr="0040499F">
        <w:rPr>
          <w:noProof/>
        </w:rPr>
        <w:t>. 2016; 27 (suppl 5):v58-v68</w:t>
      </w:r>
    </w:p>
    <w:p w:rsidR="00653C98" w:rsidRDefault="00653C98" w:rsidP="00843DE0">
      <w:pPr>
        <w:pStyle w:val="FootnoteText"/>
        <w:rPr>
          <w:noProof/>
        </w:rPr>
      </w:pPr>
      <w:r w:rsidRPr="0040499F">
        <w:rPr>
          <w:noProof/>
        </w:rPr>
        <w:t>Motzer RJ, Jonasch E</w:t>
      </w:r>
      <w:r w:rsidRPr="0040499F">
        <w:rPr>
          <w:i/>
          <w:noProof/>
        </w:rPr>
        <w:t>, et al.</w:t>
      </w:r>
      <w:r w:rsidRPr="0040499F">
        <w:rPr>
          <w:noProof/>
        </w:rPr>
        <w:t xml:space="preserve"> NCCN Clinical practice guidelines on oncology: Kidney cancer. Version 2.2017 2017 [updated 31 October, 2016; cited 11 September 2017]. Available from: </w:t>
      </w:r>
      <w:hyperlink r:id="rId1" w:history="1">
        <w:r w:rsidRPr="0040499F">
          <w:rPr>
            <w:rStyle w:val="Hyperlink"/>
            <w:noProof/>
          </w:rPr>
          <w:t>www.nccn.org</w:t>
        </w:r>
      </w:hyperlink>
      <w:r w:rsidRPr="0040499F">
        <w:rPr>
          <w:noProof/>
        </w:rPr>
        <w:t>.</w:t>
      </w:r>
    </w:p>
    <w:p w:rsidR="00653C98" w:rsidRDefault="00653C98" w:rsidP="00843DE0">
      <w:pPr>
        <w:pStyle w:val="FootnoteText"/>
      </w:pPr>
      <w:r w:rsidRPr="0040499F">
        <w:rPr>
          <w:noProof/>
        </w:rPr>
        <w:t>Ljungberg B, Albiges L</w:t>
      </w:r>
      <w:r w:rsidRPr="0040499F">
        <w:rPr>
          <w:i/>
          <w:noProof/>
        </w:rPr>
        <w:t>, et al.</w:t>
      </w:r>
      <w:r w:rsidRPr="0040499F">
        <w:rPr>
          <w:noProof/>
        </w:rPr>
        <w:t xml:space="preserve"> EUA Guidelines on renal cell carcinoma 2017 [cited 11 September 2017]. Available from: </w:t>
      </w:r>
      <w:hyperlink r:id="rId2" w:history="1">
        <w:r w:rsidRPr="0040499F">
          <w:rPr>
            <w:rStyle w:val="Hyperlink"/>
            <w:noProof/>
          </w:rPr>
          <w:t>https://uroweb.org/guideline/prostate-cancer/</w:t>
        </w:r>
      </w:hyperlink>
      <w:r w:rsidRPr="0040499F">
        <w:rPr>
          <w:noProof/>
        </w:rPr>
        <w:t>.</w:t>
      </w:r>
    </w:p>
  </w:footnote>
  <w:footnote w:id="4">
    <w:p w:rsidR="00653C98" w:rsidRDefault="00653C98" w:rsidP="00301538">
      <w:pPr>
        <w:pStyle w:val="FootnoteText"/>
      </w:pPr>
      <w:r>
        <w:rPr>
          <w:rStyle w:val="FootnoteReference"/>
        </w:rPr>
        <w:footnoteRef/>
      </w:r>
      <w:r>
        <w:t xml:space="preserve"> </w:t>
      </w:r>
      <w:r w:rsidRPr="0040499F">
        <w:t xml:space="preserve">Choueiri TK, </w:t>
      </w:r>
      <w:proofErr w:type="spellStart"/>
      <w:r w:rsidRPr="0040499F">
        <w:t>Escudier</w:t>
      </w:r>
      <w:proofErr w:type="spellEnd"/>
      <w:r w:rsidRPr="0040499F">
        <w:t xml:space="preserve"> B</w:t>
      </w:r>
      <w:r w:rsidRPr="0040499F">
        <w:rPr>
          <w:i/>
        </w:rPr>
        <w:t>, et al.</w:t>
      </w:r>
      <w:r w:rsidRPr="0040499F">
        <w:t xml:space="preserve"> Cabozantinib versus everolimus in advanced renal cell carcinoma (METEOR): final results from a randomised, open-</w:t>
      </w:r>
      <w:proofErr w:type="gramStart"/>
      <w:r w:rsidRPr="0040499F">
        <w:t>label,</w:t>
      </w:r>
      <w:proofErr w:type="gramEnd"/>
      <w:r w:rsidRPr="0040499F">
        <w:t xml:space="preserve"> phase 3 trial. </w:t>
      </w:r>
      <w:proofErr w:type="gramStart"/>
      <w:r w:rsidRPr="0040499F">
        <w:rPr>
          <w:i/>
        </w:rPr>
        <w:t xml:space="preserve">Lancet </w:t>
      </w:r>
      <w:proofErr w:type="spellStart"/>
      <w:r w:rsidRPr="0040499F">
        <w:rPr>
          <w:i/>
        </w:rPr>
        <w:t>Oncol</w:t>
      </w:r>
      <w:proofErr w:type="spellEnd"/>
      <w:r w:rsidRPr="0040499F">
        <w:t>.</w:t>
      </w:r>
      <w:proofErr w:type="gramEnd"/>
      <w:r w:rsidRPr="0040499F">
        <w:t xml:space="preserve"> 2016; 17 (7):917-27.</w:t>
      </w:r>
    </w:p>
  </w:footnote>
  <w:footnote w:id="5">
    <w:p w:rsidR="00653C98" w:rsidRDefault="00653C98" w:rsidP="00A02606">
      <w:pPr>
        <w:pStyle w:val="FootnoteText"/>
      </w:pPr>
      <w:r>
        <w:rPr>
          <w:rStyle w:val="FootnoteReference"/>
        </w:rPr>
        <w:footnoteRef/>
      </w:r>
      <w:r>
        <w:t xml:space="preserve"> </w:t>
      </w:r>
      <w:r w:rsidRPr="00B517DC">
        <w:rPr>
          <w:noProof/>
        </w:rPr>
        <w:t>Wolchok JD, Hoos A</w:t>
      </w:r>
      <w:r w:rsidRPr="00B517DC">
        <w:rPr>
          <w:i/>
          <w:noProof/>
        </w:rPr>
        <w:t>, et al.</w:t>
      </w:r>
      <w:r w:rsidRPr="00B517DC">
        <w:rPr>
          <w:noProof/>
        </w:rPr>
        <w:t xml:space="preserve"> Guidelines for the Evaluation of Immune Therapy Activity in Solid Tumors: Immune-Related Response Criteria. </w:t>
      </w:r>
      <w:r w:rsidRPr="00B517DC">
        <w:rPr>
          <w:i/>
          <w:noProof/>
        </w:rPr>
        <w:t>Clinical Cancer Research</w:t>
      </w:r>
      <w:r w:rsidRPr="00B517DC">
        <w:rPr>
          <w:noProof/>
        </w:rPr>
        <w:t>. 2009; 15 (23):7412-20</w:t>
      </w:r>
    </w:p>
  </w:footnote>
  <w:footnote w:id="6">
    <w:p w:rsidR="00653C98" w:rsidRDefault="00653C98">
      <w:pPr>
        <w:pStyle w:val="FootnoteText"/>
      </w:pPr>
      <w:r>
        <w:rPr>
          <w:rStyle w:val="FootnoteReference"/>
        </w:rPr>
        <w:footnoteRef/>
      </w:r>
      <w:r>
        <w:t xml:space="preserve"> </w:t>
      </w:r>
      <w:r w:rsidRPr="0040499F">
        <w:t xml:space="preserve">Motzer RJ, </w:t>
      </w:r>
      <w:proofErr w:type="spellStart"/>
      <w:r w:rsidRPr="0040499F">
        <w:t>Escudier</w:t>
      </w:r>
      <w:proofErr w:type="spellEnd"/>
      <w:r w:rsidRPr="0040499F">
        <w:t xml:space="preserve"> B</w:t>
      </w:r>
      <w:r w:rsidRPr="0040499F">
        <w:rPr>
          <w:i/>
        </w:rPr>
        <w:t>, et al.</w:t>
      </w:r>
      <w:r w:rsidRPr="0040499F">
        <w:t xml:space="preserve"> Nivolumab versus Everolimus in Advanced Renal-Cell Carcinoma. </w:t>
      </w:r>
      <w:r w:rsidRPr="0040499F">
        <w:rPr>
          <w:i/>
        </w:rPr>
        <w:t xml:space="preserve">N </w:t>
      </w:r>
      <w:proofErr w:type="spellStart"/>
      <w:r w:rsidRPr="0040499F">
        <w:rPr>
          <w:i/>
        </w:rPr>
        <w:t>Engl</w:t>
      </w:r>
      <w:proofErr w:type="spellEnd"/>
      <w:r w:rsidRPr="0040499F">
        <w:rPr>
          <w:i/>
        </w:rPr>
        <w:t xml:space="preserve"> J Med</w:t>
      </w:r>
      <w:r w:rsidRPr="0040499F">
        <w:t>. 2015; 373 (19):1803-13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C98" w:rsidRPr="00F90A91" w:rsidRDefault="00653C98" w:rsidP="0056675F">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December 2017</w:t>
    </w:r>
    <w:r w:rsidRPr="00F90A91">
      <w:rPr>
        <w:rFonts w:cs="Arial"/>
        <w:i/>
        <w:color w:val="808080"/>
        <w:sz w:val="22"/>
      </w:rPr>
      <w:t xml:space="preserve"> PBAC Meeting</w:t>
    </w:r>
  </w:p>
  <w:p w:rsidR="00653C98" w:rsidRPr="0056675F" w:rsidRDefault="00653C98" w:rsidP="00566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E7C6F"/>
    <w:multiLevelType w:val="hybridMultilevel"/>
    <w:tmpl w:val="116495D0"/>
    <w:lvl w:ilvl="0" w:tplc="D3CCF4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80C70"/>
    <w:multiLevelType w:val="multilevel"/>
    <w:tmpl w:val="8AB4C15E"/>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BB502E"/>
    <w:multiLevelType w:val="hybridMultilevel"/>
    <w:tmpl w:val="500C2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A605F4"/>
    <w:multiLevelType w:val="hybridMultilevel"/>
    <w:tmpl w:val="0CC67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042FAC"/>
    <w:multiLevelType w:val="hybridMultilevel"/>
    <w:tmpl w:val="2B967A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nsid w:val="22D33F43"/>
    <w:multiLevelType w:val="hybridMultilevel"/>
    <w:tmpl w:val="38208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B42F81"/>
    <w:multiLevelType w:val="multilevel"/>
    <w:tmpl w:val="6456B03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20B6ECC"/>
    <w:multiLevelType w:val="hybridMultilevel"/>
    <w:tmpl w:val="0374C18E"/>
    <w:lvl w:ilvl="0" w:tplc="7B6E8760">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4">
    <w:nsid w:val="423B01EA"/>
    <w:multiLevelType w:val="hybridMultilevel"/>
    <w:tmpl w:val="4D82FF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F167F3"/>
    <w:multiLevelType w:val="hybridMultilevel"/>
    <w:tmpl w:val="3704F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7362EE1"/>
    <w:multiLevelType w:val="hybridMultilevel"/>
    <w:tmpl w:val="32C65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4B52CB"/>
    <w:multiLevelType w:val="hybridMultilevel"/>
    <w:tmpl w:val="DCFA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B56875"/>
    <w:multiLevelType w:val="multilevel"/>
    <w:tmpl w:val="1FDEF2A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15D6C9B"/>
    <w:multiLevelType w:val="hybridMultilevel"/>
    <w:tmpl w:val="A17EF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934443"/>
    <w:multiLevelType w:val="hybridMultilevel"/>
    <w:tmpl w:val="BD7CCA44"/>
    <w:lvl w:ilvl="0" w:tplc="7BDE63D0">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F485F14"/>
    <w:multiLevelType w:val="hybridMultilevel"/>
    <w:tmpl w:val="92CC2CD6"/>
    <w:lvl w:ilvl="0" w:tplc="0C090003">
      <w:start w:val="1"/>
      <w:numFmt w:val="bullet"/>
      <w:lvlText w:val="o"/>
      <w:lvlJc w:val="left"/>
      <w:pPr>
        <w:ind w:left="720" w:hanging="360"/>
      </w:pPr>
      <w:rPr>
        <w:rFonts w:ascii="Courier New" w:hAnsi="Courier New" w:cs="Courier New" w:hint="default"/>
      </w:rPr>
    </w:lvl>
    <w:lvl w:ilvl="1" w:tplc="D3CCF494">
      <w:start w:val="1"/>
      <w:numFmt w:val="bullet"/>
      <w:lvlText w:val=""/>
      <w:lvlJc w:val="left"/>
      <w:pPr>
        <w:ind w:left="1440" w:hanging="360"/>
      </w:pPr>
      <w:rPr>
        <w:rFonts w:ascii="Symbol" w:hAnsi="Symbol" w:hint="default"/>
      </w:rPr>
    </w:lvl>
    <w:lvl w:ilvl="2" w:tplc="7F74F2F2">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756EDB"/>
    <w:multiLevelType w:val="hybridMultilevel"/>
    <w:tmpl w:val="23584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7D2077D"/>
    <w:multiLevelType w:val="hybridMultilevel"/>
    <w:tmpl w:val="D60AB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4D033C"/>
    <w:multiLevelType w:val="multilevel"/>
    <w:tmpl w:val="6AF6D546"/>
    <w:lvl w:ilvl="0">
      <w:start w:val="1"/>
      <w:numFmt w:val="decimal"/>
      <w:pStyle w:val="PBACHeading1"/>
      <w:lvlText w:val="%1"/>
      <w:lvlJc w:val="left"/>
      <w:pPr>
        <w:ind w:left="720" w:hanging="720"/>
      </w:pPr>
      <w:rPr>
        <w:rFonts w:hint="default"/>
        <w:b w:val="0"/>
        <w:i w:val="0"/>
        <w:color w:val="FFFFFF" w:themeColor="background1"/>
        <w:sz w:val="16"/>
        <w:szCs w:val="16"/>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94356EE"/>
    <w:multiLevelType w:val="multilevel"/>
    <w:tmpl w:val="6CD4A244"/>
    <w:lvl w:ilvl="0">
      <w:start w:val="4"/>
      <w:numFmt w:val="decimal"/>
      <w:lvlText w:val="%1."/>
      <w:lvlJc w:val="left"/>
      <w:pPr>
        <w:ind w:left="360" w:hanging="360"/>
      </w:pPr>
      <w:rPr>
        <w:rFonts w:hint="default"/>
        <w:color w:val="FFFFFF" w:themeColor="background1"/>
        <w:sz w:val="10"/>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AC12EB"/>
    <w:multiLevelType w:val="hybridMultilevel"/>
    <w:tmpl w:val="E890814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F3F6323"/>
    <w:multiLevelType w:val="hybridMultilevel"/>
    <w:tmpl w:val="1AA47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
  </w:num>
  <w:num w:numId="4">
    <w:abstractNumId w:val="28"/>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2"/>
  </w:num>
  <w:num w:numId="9">
    <w:abstractNumId w:val="31"/>
  </w:num>
  <w:num w:numId="10">
    <w:abstractNumId w:val="22"/>
  </w:num>
  <w:num w:numId="11">
    <w:abstractNumId w:val="29"/>
  </w:num>
  <w:num w:numId="12">
    <w:abstractNumId w:val="34"/>
  </w:num>
  <w:num w:numId="13">
    <w:abstractNumId w:val="23"/>
  </w:num>
  <w:num w:numId="14">
    <w:abstractNumId w:val="7"/>
  </w:num>
  <w:num w:numId="15">
    <w:abstractNumId w:val="17"/>
  </w:num>
  <w:num w:numId="16">
    <w:abstractNumId w:val="8"/>
  </w:num>
  <w:num w:numId="17">
    <w:abstractNumId w:val="16"/>
  </w:num>
  <w:num w:numId="18">
    <w:abstractNumId w:val="6"/>
  </w:num>
  <w:num w:numId="19">
    <w:abstractNumId w:val="15"/>
  </w:num>
  <w:num w:numId="20">
    <w:abstractNumId w:val="4"/>
  </w:num>
  <w:num w:numId="21">
    <w:abstractNumId w:val="25"/>
  </w:num>
  <w:num w:numId="22">
    <w:abstractNumId w:val="26"/>
  </w:num>
  <w:num w:numId="23">
    <w:abstractNumId w:val="13"/>
  </w:num>
  <w:num w:numId="24">
    <w:abstractNumId w:val="27"/>
  </w:num>
  <w:num w:numId="25">
    <w:abstractNumId w:val="14"/>
  </w:num>
  <w:num w:numId="26">
    <w:abstractNumId w:val="2"/>
  </w:num>
  <w:num w:numId="27">
    <w:abstractNumId w:val="12"/>
  </w:num>
  <w:num w:numId="28">
    <w:abstractNumId w:val="13"/>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4"/>
  </w:num>
  <w:num w:numId="33">
    <w:abstractNumId w:val="10"/>
  </w:num>
  <w:num w:numId="34">
    <w:abstractNumId w:val="19"/>
  </w:num>
  <w:num w:numId="35">
    <w:abstractNumId w:val="20"/>
  </w:num>
  <w:num w:numId="36">
    <w:abstractNumId w:val="5"/>
  </w:num>
  <w:num w:numId="37">
    <w:abstractNumId w:val="0"/>
  </w:num>
  <w:num w:numId="38">
    <w:abstractNumId w:val="9"/>
  </w:num>
  <w:num w:numId="39">
    <w:abstractNumId w:val="10"/>
  </w:num>
  <w:num w:numId="40">
    <w:abstractNumId w:val="33"/>
  </w:num>
  <w:num w:numId="41">
    <w:abstractNumId w:val="28"/>
  </w:num>
  <w:num w:numId="42">
    <w:abstractNumId w:val="10"/>
  </w:num>
  <w:num w:numId="43">
    <w:abstractNumId w:val="10"/>
  </w:num>
  <w:num w:numId="44">
    <w:abstractNumId w:val="10"/>
  </w:num>
  <w:num w:numId="45">
    <w:abstractNumId w:val="1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
    <w15:presenceInfo w15:providerId="None" w15:userId="DG"/>
  </w15:person>
  <w15:person w15:author="Leesa Lerrel Pridham">
    <w15:presenceInfo w15:providerId="AD" w15:userId="S-1-5-21-1390582872-192029990-4074164785-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Lees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2x950sxdtdtiezr5ax0tdizw5zxpfppzea&quot;&gt;Cabozantinib&lt;record-ids&gt;&lt;item&gt;2&lt;/item&gt;&lt;item&gt;3&lt;/item&gt;&lt;item&gt;16&lt;/item&gt;&lt;item&gt;31&lt;/item&gt;&lt;item&gt;32&lt;/item&gt;&lt;item&gt;35&lt;/item&gt;&lt;item&gt;36&lt;/item&gt;&lt;item&gt;38&lt;/item&gt;&lt;item&gt;39&lt;/item&gt;&lt;item&gt;40&lt;/item&gt;&lt;item&gt;42&lt;/item&gt;&lt;item&gt;43&lt;/item&gt;&lt;item&gt;44&lt;/item&gt;&lt;item&gt;45&lt;/item&gt;&lt;/record-ids&gt;&lt;/item&gt;&lt;/Libraries&gt;"/>
  </w:docVars>
  <w:rsids>
    <w:rsidRoot w:val="00821A29"/>
    <w:rsid w:val="000000D9"/>
    <w:rsid w:val="00001374"/>
    <w:rsid w:val="00001AB4"/>
    <w:rsid w:val="00002C53"/>
    <w:rsid w:val="0000352B"/>
    <w:rsid w:val="000045F4"/>
    <w:rsid w:val="00006C3E"/>
    <w:rsid w:val="00006D94"/>
    <w:rsid w:val="0001066F"/>
    <w:rsid w:val="0001199C"/>
    <w:rsid w:val="00012212"/>
    <w:rsid w:val="00012FA8"/>
    <w:rsid w:val="00013222"/>
    <w:rsid w:val="00013886"/>
    <w:rsid w:val="00013FB3"/>
    <w:rsid w:val="00014C1E"/>
    <w:rsid w:val="00017010"/>
    <w:rsid w:val="00017D9C"/>
    <w:rsid w:val="0002095B"/>
    <w:rsid w:val="000212DA"/>
    <w:rsid w:val="00021D4D"/>
    <w:rsid w:val="000232CE"/>
    <w:rsid w:val="00023874"/>
    <w:rsid w:val="00025C7C"/>
    <w:rsid w:val="0002705E"/>
    <w:rsid w:val="0002757C"/>
    <w:rsid w:val="00030B4B"/>
    <w:rsid w:val="000319F5"/>
    <w:rsid w:val="00033543"/>
    <w:rsid w:val="00033F01"/>
    <w:rsid w:val="00034404"/>
    <w:rsid w:val="0003448E"/>
    <w:rsid w:val="00034BA7"/>
    <w:rsid w:val="00035832"/>
    <w:rsid w:val="00035FE8"/>
    <w:rsid w:val="00036B63"/>
    <w:rsid w:val="00040369"/>
    <w:rsid w:val="000404F1"/>
    <w:rsid w:val="00042B57"/>
    <w:rsid w:val="0004599D"/>
    <w:rsid w:val="00045EED"/>
    <w:rsid w:val="000461CF"/>
    <w:rsid w:val="00050C83"/>
    <w:rsid w:val="000512F9"/>
    <w:rsid w:val="00051308"/>
    <w:rsid w:val="00051DB0"/>
    <w:rsid w:val="000521DE"/>
    <w:rsid w:val="00052621"/>
    <w:rsid w:val="00052788"/>
    <w:rsid w:val="00056053"/>
    <w:rsid w:val="000576C5"/>
    <w:rsid w:val="00057F71"/>
    <w:rsid w:val="000604D5"/>
    <w:rsid w:val="00062067"/>
    <w:rsid w:val="00062DF0"/>
    <w:rsid w:val="00062E3F"/>
    <w:rsid w:val="00063E23"/>
    <w:rsid w:val="00064489"/>
    <w:rsid w:val="0006561B"/>
    <w:rsid w:val="00065C62"/>
    <w:rsid w:val="00065CDE"/>
    <w:rsid w:val="00065DAF"/>
    <w:rsid w:val="00065F4A"/>
    <w:rsid w:val="0007158D"/>
    <w:rsid w:val="00073FA9"/>
    <w:rsid w:val="000747B7"/>
    <w:rsid w:val="00076233"/>
    <w:rsid w:val="00076B87"/>
    <w:rsid w:val="000773C6"/>
    <w:rsid w:val="000808C0"/>
    <w:rsid w:val="00080FF3"/>
    <w:rsid w:val="0008255F"/>
    <w:rsid w:val="000833E9"/>
    <w:rsid w:val="00084675"/>
    <w:rsid w:val="000847FE"/>
    <w:rsid w:val="000858E1"/>
    <w:rsid w:val="00086133"/>
    <w:rsid w:val="000872E7"/>
    <w:rsid w:val="00090C3C"/>
    <w:rsid w:val="000913CC"/>
    <w:rsid w:val="0009233D"/>
    <w:rsid w:val="00092DC5"/>
    <w:rsid w:val="000964AB"/>
    <w:rsid w:val="00096B8C"/>
    <w:rsid w:val="000A00B1"/>
    <w:rsid w:val="000A2232"/>
    <w:rsid w:val="000A2694"/>
    <w:rsid w:val="000A27CD"/>
    <w:rsid w:val="000A2EF1"/>
    <w:rsid w:val="000A335E"/>
    <w:rsid w:val="000A6466"/>
    <w:rsid w:val="000A6FBD"/>
    <w:rsid w:val="000A728F"/>
    <w:rsid w:val="000A773A"/>
    <w:rsid w:val="000A7BD3"/>
    <w:rsid w:val="000A7C68"/>
    <w:rsid w:val="000B0B84"/>
    <w:rsid w:val="000B252F"/>
    <w:rsid w:val="000B3161"/>
    <w:rsid w:val="000B3468"/>
    <w:rsid w:val="000B4219"/>
    <w:rsid w:val="000B54EC"/>
    <w:rsid w:val="000B56CD"/>
    <w:rsid w:val="000B66B2"/>
    <w:rsid w:val="000B6B69"/>
    <w:rsid w:val="000B6C19"/>
    <w:rsid w:val="000B6C5D"/>
    <w:rsid w:val="000C0107"/>
    <w:rsid w:val="000C0142"/>
    <w:rsid w:val="000C06EB"/>
    <w:rsid w:val="000C0EBE"/>
    <w:rsid w:val="000C1F96"/>
    <w:rsid w:val="000C6A40"/>
    <w:rsid w:val="000C6A75"/>
    <w:rsid w:val="000D0023"/>
    <w:rsid w:val="000D2E92"/>
    <w:rsid w:val="000D3DE5"/>
    <w:rsid w:val="000D5AE8"/>
    <w:rsid w:val="000E0A3B"/>
    <w:rsid w:val="000E18DC"/>
    <w:rsid w:val="000E1F3B"/>
    <w:rsid w:val="000E4E10"/>
    <w:rsid w:val="000E7394"/>
    <w:rsid w:val="000E7AAD"/>
    <w:rsid w:val="000F068D"/>
    <w:rsid w:val="000F06F1"/>
    <w:rsid w:val="000F17DC"/>
    <w:rsid w:val="000F197A"/>
    <w:rsid w:val="000F2534"/>
    <w:rsid w:val="000F3652"/>
    <w:rsid w:val="000F3866"/>
    <w:rsid w:val="000F3BF6"/>
    <w:rsid w:val="000F4572"/>
    <w:rsid w:val="000F4B1C"/>
    <w:rsid w:val="000F6AAD"/>
    <w:rsid w:val="000F6DC3"/>
    <w:rsid w:val="00101038"/>
    <w:rsid w:val="001022BC"/>
    <w:rsid w:val="0010255F"/>
    <w:rsid w:val="00103A06"/>
    <w:rsid w:val="00104111"/>
    <w:rsid w:val="00105FA3"/>
    <w:rsid w:val="00106980"/>
    <w:rsid w:val="00110B10"/>
    <w:rsid w:val="00110DD2"/>
    <w:rsid w:val="00111E51"/>
    <w:rsid w:val="00112573"/>
    <w:rsid w:val="0011273D"/>
    <w:rsid w:val="00113128"/>
    <w:rsid w:val="00117614"/>
    <w:rsid w:val="001251E3"/>
    <w:rsid w:val="00125A7C"/>
    <w:rsid w:val="0012701F"/>
    <w:rsid w:val="001279AE"/>
    <w:rsid w:val="00127C33"/>
    <w:rsid w:val="0013092C"/>
    <w:rsid w:val="0013181B"/>
    <w:rsid w:val="0013244C"/>
    <w:rsid w:val="00134D72"/>
    <w:rsid w:val="0013537C"/>
    <w:rsid w:val="00136E76"/>
    <w:rsid w:val="001418C5"/>
    <w:rsid w:val="001426FC"/>
    <w:rsid w:val="00143424"/>
    <w:rsid w:val="0014683C"/>
    <w:rsid w:val="001468C6"/>
    <w:rsid w:val="00146C47"/>
    <w:rsid w:val="00147D8D"/>
    <w:rsid w:val="001500FA"/>
    <w:rsid w:val="00151A3C"/>
    <w:rsid w:val="001522F0"/>
    <w:rsid w:val="00153523"/>
    <w:rsid w:val="0015459F"/>
    <w:rsid w:val="0015573E"/>
    <w:rsid w:val="001578AA"/>
    <w:rsid w:val="0016050E"/>
    <w:rsid w:val="00160CEE"/>
    <w:rsid w:val="001613ED"/>
    <w:rsid w:val="00163DEF"/>
    <w:rsid w:val="00163E47"/>
    <w:rsid w:val="00164B98"/>
    <w:rsid w:val="0016550D"/>
    <w:rsid w:val="00165A0D"/>
    <w:rsid w:val="00165A49"/>
    <w:rsid w:val="00167CCD"/>
    <w:rsid w:val="0017017D"/>
    <w:rsid w:val="0017042D"/>
    <w:rsid w:val="00170E8A"/>
    <w:rsid w:val="001721D0"/>
    <w:rsid w:val="001721FE"/>
    <w:rsid w:val="001722AD"/>
    <w:rsid w:val="0017239C"/>
    <w:rsid w:val="00173577"/>
    <w:rsid w:val="00173A68"/>
    <w:rsid w:val="001740C5"/>
    <w:rsid w:val="00175824"/>
    <w:rsid w:val="0017638E"/>
    <w:rsid w:val="00176AA5"/>
    <w:rsid w:val="00176D32"/>
    <w:rsid w:val="0017720E"/>
    <w:rsid w:val="00177893"/>
    <w:rsid w:val="00177E6C"/>
    <w:rsid w:val="001819B0"/>
    <w:rsid w:val="00182A6B"/>
    <w:rsid w:val="00184221"/>
    <w:rsid w:val="0018453E"/>
    <w:rsid w:val="0018486F"/>
    <w:rsid w:val="00185889"/>
    <w:rsid w:val="00186307"/>
    <w:rsid w:val="00186EBC"/>
    <w:rsid w:val="001876FE"/>
    <w:rsid w:val="00190070"/>
    <w:rsid w:val="0019142C"/>
    <w:rsid w:val="001941BD"/>
    <w:rsid w:val="00195DA4"/>
    <w:rsid w:val="00196A5C"/>
    <w:rsid w:val="001A0142"/>
    <w:rsid w:val="001A02B2"/>
    <w:rsid w:val="001A3ED4"/>
    <w:rsid w:val="001A5A63"/>
    <w:rsid w:val="001A7BCA"/>
    <w:rsid w:val="001A7F07"/>
    <w:rsid w:val="001B00CE"/>
    <w:rsid w:val="001B042C"/>
    <w:rsid w:val="001B0AF1"/>
    <w:rsid w:val="001B16F0"/>
    <w:rsid w:val="001B1892"/>
    <w:rsid w:val="001B6389"/>
    <w:rsid w:val="001B68F6"/>
    <w:rsid w:val="001C04CC"/>
    <w:rsid w:val="001C051E"/>
    <w:rsid w:val="001C24BA"/>
    <w:rsid w:val="001C2623"/>
    <w:rsid w:val="001C38C7"/>
    <w:rsid w:val="001C48D6"/>
    <w:rsid w:val="001C4FE5"/>
    <w:rsid w:val="001C5F8B"/>
    <w:rsid w:val="001C60CD"/>
    <w:rsid w:val="001C69D8"/>
    <w:rsid w:val="001C6AFA"/>
    <w:rsid w:val="001D0847"/>
    <w:rsid w:val="001D1AE1"/>
    <w:rsid w:val="001D24C5"/>
    <w:rsid w:val="001D2FFA"/>
    <w:rsid w:val="001D437B"/>
    <w:rsid w:val="001D474F"/>
    <w:rsid w:val="001D5849"/>
    <w:rsid w:val="001D5DE3"/>
    <w:rsid w:val="001D66AE"/>
    <w:rsid w:val="001D7F2F"/>
    <w:rsid w:val="001E05A4"/>
    <w:rsid w:val="001E3FE1"/>
    <w:rsid w:val="001E4361"/>
    <w:rsid w:val="001E5918"/>
    <w:rsid w:val="001E5C00"/>
    <w:rsid w:val="001E62AE"/>
    <w:rsid w:val="001E62D1"/>
    <w:rsid w:val="001E68E5"/>
    <w:rsid w:val="001E7A9F"/>
    <w:rsid w:val="001E7EF0"/>
    <w:rsid w:val="001F073C"/>
    <w:rsid w:val="001F15BB"/>
    <w:rsid w:val="001F1A50"/>
    <w:rsid w:val="001F2912"/>
    <w:rsid w:val="001F2ADB"/>
    <w:rsid w:val="001F2D64"/>
    <w:rsid w:val="001F327C"/>
    <w:rsid w:val="001F3728"/>
    <w:rsid w:val="001F3E4F"/>
    <w:rsid w:val="001F4135"/>
    <w:rsid w:val="001F43FF"/>
    <w:rsid w:val="001F5F6C"/>
    <w:rsid w:val="001F7056"/>
    <w:rsid w:val="002001C6"/>
    <w:rsid w:val="00200296"/>
    <w:rsid w:val="00201A57"/>
    <w:rsid w:val="00201ADB"/>
    <w:rsid w:val="0020214A"/>
    <w:rsid w:val="00202444"/>
    <w:rsid w:val="00202537"/>
    <w:rsid w:val="00204480"/>
    <w:rsid w:val="002045CB"/>
    <w:rsid w:val="002058E5"/>
    <w:rsid w:val="002075D1"/>
    <w:rsid w:val="002102FC"/>
    <w:rsid w:val="00210FAA"/>
    <w:rsid w:val="00211023"/>
    <w:rsid w:val="00211520"/>
    <w:rsid w:val="002126CB"/>
    <w:rsid w:val="00213448"/>
    <w:rsid w:val="0021556C"/>
    <w:rsid w:val="002158B0"/>
    <w:rsid w:val="00215C7C"/>
    <w:rsid w:val="002169B8"/>
    <w:rsid w:val="0021758F"/>
    <w:rsid w:val="0022102B"/>
    <w:rsid w:val="00221AC7"/>
    <w:rsid w:val="00222698"/>
    <w:rsid w:val="00222B7F"/>
    <w:rsid w:val="002234A6"/>
    <w:rsid w:val="002240EA"/>
    <w:rsid w:val="002244F5"/>
    <w:rsid w:val="00224A6F"/>
    <w:rsid w:val="00224BB1"/>
    <w:rsid w:val="00225836"/>
    <w:rsid w:val="002258B9"/>
    <w:rsid w:val="00225EFC"/>
    <w:rsid w:val="00226FBA"/>
    <w:rsid w:val="00227F2E"/>
    <w:rsid w:val="002341B6"/>
    <w:rsid w:val="0023456F"/>
    <w:rsid w:val="00237306"/>
    <w:rsid w:val="00237D31"/>
    <w:rsid w:val="00240353"/>
    <w:rsid w:val="00241228"/>
    <w:rsid w:val="00241392"/>
    <w:rsid w:val="002425EA"/>
    <w:rsid w:val="00242EA0"/>
    <w:rsid w:val="0024341A"/>
    <w:rsid w:val="00243685"/>
    <w:rsid w:val="002442AD"/>
    <w:rsid w:val="0024489B"/>
    <w:rsid w:val="00244F55"/>
    <w:rsid w:val="00247CCC"/>
    <w:rsid w:val="002515EC"/>
    <w:rsid w:val="00252AAB"/>
    <w:rsid w:val="00252BA4"/>
    <w:rsid w:val="00254A96"/>
    <w:rsid w:val="00254BE1"/>
    <w:rsid w:val="00255980"/>
    <w:rsid w:val="00255CE0"/>
    <w:rsid w:val="0025613F"/>
    <w:rsid w:val="00256A2F"/>
    <w:rsid w:val="00256D62"/>
    <w:rsid w:val="00257AB6"/>
    <w:rsid w:val="00260413"/>
    <w:rsid w:val="00260C5D"/>
    <w:rsid w:val="00261318"/>
    <w:rsid w:val="002613BB"/>
    <w:rsid w:val="00261DC6"/>
    <w:rsid w:val="00261DF1"/>
    <w:rsid w:val="002633B4"/>
    <w:rsid w:val="00264623"/>
    <w:rsid w:val="00265E3E"/>
    <w:rsid w:val="002668F4"/>
    <w:rsid w:val="00270E84"/>
    <w:rsid w:val="00273475"/>
    <w:rsid w:val="002736D1"/>
    <w:rsid w:val="00273C92"/>
    <w:rsid w:val="00275FED"/>
    <w:rsid w:val="00276195"/>
    <w:rsid w:val="0027703A"/>
    <w:rsid w:val="00277324"/>
    <w:rsid w:val="00277816"/>
    <w:rsid w:val="00280B5B"/>
    <w:rsid w:val="00281207"/>
    <w:rsid w:val="00281662"/>
    <w:rsid w:val="00282D1F"/>
    <w:rsid w:val="002836DF"/>
    <w:rsid w:val="0028650D"/>
    <w:rsid w:val="0028694A"/>
    <w:rsid w:val="00290881"/>
    <w:rsid w:val="0029160F"/>
    <w:rsid w:val="00292496"/>
    <w:rsid w:val="0029275C"/>
    <w:rsid w:val="002928F4"/>
    <w:rsid w:val="0029318B"/>
    <w:rsid w:val="00293414"/>
    <w:rsid w:val="00296EE8"/>
    <w:rsid w:val="002973C4"/>
    <w:rsid w:val="002A0465"/>
    <w:rsid w:val="002A18AF"/>
    <w:rsid w:val="002A24C1"/>
    <w:rsid w:val="002A33E3"/>
    <w:rsid w:val="002A4503"/>
    <w:rsid w:val="002A4B60"/>
    <w:rsid w:val="002A55D8"/>
    <w:rsid w:val="002A6A20"/>
    <w:rsid w:val="002A7AF5"/>
    <w:rsid w:val="002A7C67"/>
    <w:rsid w:val="002B2D8B"/>
    <w:rsid w:val="002B4941"/>
    <w:rsid w:val="002B533C"/>
    <w:rsid w:val="002B5D74"/>
    <w:rsid w:val="002B6301"/>
    <w:rsid w:val="002B7017"/>
    <w:rsid w:val="002B7ADB"/>
    <w:rsid w:val="002C03EE"/>
    <w:rsid w:val="002C07E7"/>
    <w:rsid w:val="002C07E8"/>
    <w:rsid w:val="002C1C68"/>
    <w:rsid w:val="002C1D2F"/>
    <w:rsid w:val="002C215F"/>
    <w:rsid w:val="002C2767"/>
    <w:rsid w:val="002C353F"/>
    <w:rsid w:val="002C3A30"/>
    <w:rsid w:val="002C733D"/>
    <w:rsid w:val="002C7F1A"/>
    <w:rsid w:val="002D0444"/>
    <w:rsid w:val="002D0C1C"/>
    <w:rsid w:val="002D0CA3"/>
    <w:rsid w:val="002D13C2"/>
    <w:rsid w:val="002D1FB1"/>
    <w:rsid w:val="002D2FCA"/>
    <w:rsid w:val="002D34C2"/>
    <w:rsid w:val="002D39F2"/>
    <w:rsid w:val="002D3CB6"/>
    <w:rsid w:val="002D4583"/>
    <w:rsid w:val="002D7434"/>
    <w:rsid w:val="002D7733"/>
    <w:rsid w:val="002D7823"/>
    <w:rsid w:val="002E03D2"/>
    <w:rsid w:val="002E1601"/>
    <w:rsid w:val="002E42FD"/>
    <w:rsid w:val="002E4C2D"/>
    <w:rsid w:val="002E5A07"/>
    <w:rsid w:val="002E5DEA"/>
    <w:rsid w:val="002E724A"/>
    <w:rsid w:val="002E764C"/>
    <w:rsid w:val="002E7E39"/>
    <w:rsid w:val="002F0CC4"/>
    <w:rsid w:val="002F0F43"/>
    <w:rsid w:val="002F1951"/>
    <w:rsid w:val="002F1C61"/>
    <w:rsid w:val="002F311E"/>
    <w:rsid w:val="002F3DA9"/>
    <w:rsid w:val="002F422E"/>
    <w:rsid w:val="002F44AB"/>
    <w:rsid w:val="002F6C67"/>
    <w:rsid w:val="002F71B8"/>
    <w:rsid w:val="0030057F"/>
    <w:rsid w:val="00301538"/>
    <w:rsid w:val="00301965"/>
    <w:rsid w:val="00301EA1"/>
    <w:rsid w:val="00302AFF"/>
    <w:rsid w:val="00302FCC"/>
    <w:rsid w:val="003062AE"/>
    <w:rsid w:val="003069BD"/>
    <w:rsid w:val="003104A4"/>
    <w:rsid w:val="00311E76"/>
    <w:rsid w:val="00313637"/>
    <w:rsid w:val="00314247"/>
    <w:rsid w:val="00315514"/>
    <w:rsid w:val="003155D2"/>
    <w:rsid w:val="00315BDC"/>
    <w:rsid w:val="0031731D"/>
    <w:rsid w:val="00317B40"/>
    <w:rsid w:val="00317BD3"/>
    <w:rsid w:val="00320FBC"/>
    <w:rsid w:val="00321B4E"/>
    <w:rsid w:val="00321E18"/>
    <w:rsid w:val="003248F4"/>
    <w:rsid w:val="00326140"/>
    <w:rsid w:val="00330E4C"/>
    <w:rsid w:val="00331085"/>
    <w:rsid w:val="00331800"/>
    <w:rsid w:val="00332251"/>
    <w:rsid w:val="003322DC"/>
    <w:rsid w:val="003340D7"/>
    <w:rsid w:val="00334ACF"/>
    <w:rsid w:val="00335404"/>
    <w:rsid w:val="00335926"/>
    <w:rsid w:val="00341431"/>
    <w:rsid w:val="00341A14"/>
    <w:rsid w:val="00343EF2"/>
    <w:rsid w:val="00344402"/>
    <w:rsid w:val="00346856"/>
    <w:rsid w:val="003473B0"/>
    <w:rsid w:val="00347876"/>
    <w:rsid w:val="00351381"/>
    <w:rsid w:val="00352441"/>
    <w:rsid w:val="003530A6"/>
    <w:rsid w:val="00353627"/>
    <w:rsid w:val="00353A1B"/>
    <w:rsid w:val="003548FD"/>
    <w:rsid w:val="00355F72"/>
    <w:rsid w:val="00357657"/>
    <w:rsid w:val="0036057A"/>
    <w:rsid w:val="00360617"/>
    <w:rsid w:val="00360F2F"/>
    <w:rsid w:val="0036112F"/>
    <w:rsid w:val="00361B3C"/>
    <w:rsid w:val="00361D30"/>
    <w:rsid w:val="003639A6"/>
    <w:rsid w:val="003666AC"/>
    <w:rsid w:val="0036689E"/>
    <w:rsid w:val="00366DA4"/>
    <w:rsid w:val="003678DE"/>
    <w:rsid w:val="003679AE"/>
    <w:rsid w:val="003718DC"/>
    <w:rsid w:val="0037327E"/>
    <w:rsid w:val="00373794"/>
    <w:rsid w:val="00373C39"/>
    <w:rsid w:val="00376E85"/>
    <w:rsid w:val="003772BB"/>
    <w:rsid w:val="00381A3F"/>
    <w:rsid w:val="0038281C"/>
    <w:rsid w:val="00382AF6"/>
    <w:rsid w:val="003851FE"/>
    <w:rsid w:val="003859EA"/>
    <w:rsid w:val="00385A64"/>
    <w:rsid w:val="00385E2A"/>
    <w:rsid w:val="00386D1A"/>
    <w:rsid w:val="00387B9D"/>
    <w:rsid w:val="00387F57"/>
    <w:rsid w:val="0039035C"/>
    <w:rsid w:val="0039039F"/>
    <w:rsid w:val="0039073D"/>
    <w:rsid w:val="00391AC1"/>
    <w:rsid w:val="00392324"/>
    <w:rsid w:val="0039369F"/>
    <w:rsid w:val="0039499D"/>
    <w:rsid w:val="00395BD1"/>
    <w:rsid w:val="0039614C"/>
    <w:rsid w:val="00396712"/>
    <w:rsid w:val="00396835"/>
    <w:rsid w:val="0039701F"/>
    <w:rsid w:val="00397170"/>
    <w:rsid w:val="003A0307"/>
    <w:rsid w:val="003A13DA"/>
    <w:rsid w:val="003A19DF"/>
    <w:rsid w:val="003A1AD6"/>
    <w:rsid w:val="003A3433"/>
    <w:rsid w:val="003A4298"/>
    <w:rsid w:val="003A4C5F"/>
    <w:rsid w:val="003A52E3"/>
    <w:rsid w:val="003A537E"/>
    <w:rsid w:val="003A5CE0"/>
    <w:rsid w:val="003A660F"/>
    <w:rsid w:val="003A695D"/>
    <w:rsid w:val="003A7ACB"/>
    <w:rsid w:val="003A7C4F"/>
    <w:rsid w:val="003B095E"/>
    <w:rsid w:val="003B1D0C"/>
    <w:rsid w:val="003B1E94"/>
    <w:rsid w:val="003B2779"/>
    <w:rsid w:val="003B2ACB"/>
    <w:rsid w:val="003B392B"/>
    <w:rsid w:val="003B3F4C"/>
    <w:rsid w:val="003B55F0"/>
    <w:rsid w:val="003B6F98"/>
    <w:rsid w:val="003C0BF9"/>
    <w:rsid w:val="003C0EAF"/>
    <w:rsid w:val="003C1A9F"/>
    <w:rsid w:val="003C53B9"/>
    <w:rsid w:val="003C5F28"/>
    <w:rsid w:val="003C6790"/>
    <w:rsid w:val="003D096E"/>
    <w:rsid w:val="003D11A9"/>
    <w:rsid w:val="003D22B6"/>
    <w:rsid w:val="003D2A37"/>
    <w:rsid w:val="003D3041"/>
    <w:rsid w:val="003D3A74"/>
    <w:rsid w:val="003D475A"/>
    <w:rsid w:val="003D69EF"/>
    <w:rsid w:val="003D6B73"/>
    <w:rsid w:val="003D7F8C"/>
    <w:rsid w:val="003E0011"/>
    <w:rsid w:val="003E05A3"/>
    <w:rsid w:val="003E0EDB"/>
    <w:rsid w:val="003E173A"/>
    <w:rsid w:val="003E51D2"/>
    <w:rsid w:val="003E5F0F"/>
    <w:rsid w:val="003E6475"/>
    <w:rsid w:val="003E7FEA"/>
    <w:rsid w:val="003F105A"/>
    <w:rsid w:val="003F112C"/>
    <w:rsid w:val="003F283D"/>
    <w:rsid w:val="003F2CE6"/>
    <w:rsid w:val="003F50B5"/>
    <w:rsid w:val="003F58A5"/>
    <w:rsid w:val="003F6199"/>
    <w:rsid w:val="003F6B8A"/>
    <w:rsid w:val="003F7881"/>
    <w:rsid w:val="003F7C93"/>
    <w:rsid w:val="00400A79"/>
    <w:rsid w:val="00401C0B"/>
    <w:rsid w:val="00401DB0"/>
    <w:rsid w:val="004033BF"/>
    <w:rsid w:val="0040499F"/>
    <w:rsid w:val="004053BB"/>
    <w:rsid w:val="00405896"/>
    <w:rsid w:val="004071F7"/>
    <w:rsid w:val="0041005C"/>
    <w:rsid w:val="00411DD9"/>
    <w:rsid w:val="00411EF0"/>
    <w:rsid w:val="0041441F"/>
    <w:rsid w:val="004155C0"/>
    <w:rsid w:val="00416343"/>
    <w:rsid w:val="00417305"/>
    <w:rsid w:val="00421450"/>
    <w:rsid w:val="004216CC"/>
    <w:rsid w:val="0042246E"/>
    <w:rsid w:val="00422CC6"/>
    <w:rsid w:val="0042376E"/>
    <w:rsid w:val="00425E58"/>
    <w:rsid w:val="004261C5"/>
    <w:rsid w:val="00427545"/>
    <w:rsid w:val="00427E0F"/>
    <w:rsid w:val="00427E55"/>
    <w:rsid w:val="00430CC1"/>
    <w:rsid w:val="00430E48"/>
    <w:rsid w:val="004312AA"/>
    <w:rsid w:val="004340B5"/>
    <w:rsid w:val="004342EA"/>
    <w:rsid w:val="00434A22"/>
    <w:rsid w:val="00436793"/>
    <w:rsid w:val="0043777A"/>
    <w:rsid w:val="00437927"/>
    <w:rsid w:val="004379CE"/>
    <w:rsid w:val="00437BB5"/>
    <w:rsid w:val="00440399"/>
    <w:rsid w:val="004412FC"/>
    <w:rsid w:val="004428DA"/>
    <w:rsid w:val="00442FEB"/>
    <w:rsid w:val="00444991"/>
    <w:rsid w:val="004450EE"/>
    <w:rsid w:val="00453ACC"/>
    <w:rsid w:val="00453BAE"/>
    <w:rsid w:val="00453D59"/>
    <w:rsid w:val="00453F2C"/>
    <w:rsid w:val="00454493"/>
    <w:rsid w:val="0045796D"/>
    <w:rsid w:val="0046115B"/>
    <w:rsid w:val="004619BB"/>
    <w:rsid w:val="00461F50"/>
    <w:rsid w:val="00461F80"/>
    <w:rsid w:val="004633F0"/>
    <w:rsid w:val="00465D3F"/>
    <w:rsid w:val="004660B4"/>
    <w:rsid w:val="0046621E"/>
    <w:rsid w:val="00467BEF"/>
    <w:rsid w:val="0047086F"/>
    <w:rsid w:val="004726F3"/>
    <w:rsid w:val="00472D4D"/>
    <w:rsid w:val="0047316F"/>
    <w:rsid w:val="00475EAA"/>
    <w:rsid w:val="00477F53"/>
    <w:rsid w:val="00480887"/>
    <w:rsid w:val="00482439"/>
    <w:rsid w:val="0048259D"/>
    <w:rsid w:val="004827B8"/>
    <w:rsid w:val="00484974"/>
    <w:rsid w:val="00485D39"/>
    <w:rsid w:val="004865C5"/>
    <w:rsid w:val="00487E4B"/>
    <w:rsid w:val="004919DD"/>
    <w:rsid w:val="00493CC2"/>
    <w:rsid w:val="00494F7C"/>
    <w:rsid w:val="0049751C"/>
    <w:rsid w:val="004A2DF5"/>
    <w:rsid w:val="004A41C2"/>
    <w:rsid w:val="004A4A58"/>
    <w:rsid w:val="004A4EF3"/>
    <w:rsid w:val="004A52D5"/>
    <w:rsid w:val="004A7F83"/>
    <w:rsid w:val="004B3C00"/>
    <w:rsid w:val="004B3CEE"/>
    <w:rsid w:val="004B429A"/>
    <w:rsid w:val="004B4678"/>
    <w:rsid w:val="004B4CC6"/>
    <w:rsid w:val="004B5EB4"/>
    <w:rsid w:val="004B7AF5"/>
    <w:rsid w:val="004C03E8"/>
    <w:rsid w:val="004C07E2"/>
    <w:rsid w:val="004C142C"/>
    <w:rsid w:val="004C1705"/>
    <w:rsid w:val="004C4B22"/>
    <w:rsid w:val="004C7C2B"/>
    <w:rsid w:val="004D0AC8"/>
    <w:rsid w:val="004D0BC4"/>
    <w:rsid w:val="004D1006"/>
    <w:rsid w:val="004D3A67"/>
    <w:rsid w:val="004D4176"/>
    <w:rsid w:val="004D45DF"/>
    <w:rsid w:val="004D47B7"/>
    <w:rsid w:val="004D5EFC"/>
    <w:rsid w:val="004D632A"/>
    <w:rsid w:val="004E01A3"/>
    <w:rsid w:val="004E0C0B"/>
    <w:rsid w:val="004E1218"/>
    <w:rsid w:val="004E2125"/>
    <w:rsid w:val="004E2753"/>
    <w:rsid w:val="004E2E98"/>
    <w:rsid w:val="004E7B63"/>
    <w:rsid w:val="004F0871"/>
    <w:rsid w:val="004F0ABC"/>
    <w:rsid w:val="004F363B"/>
    <w:rsid w:val="004F3688"/>
    <w:rsid w:val="004F3AAE"/>
    <w:rsid w:val="004F3DD7"/>
    <w:rsid w:val="004F4415"/>
    <w:rsid w:val="004F46C3"/>
    <w:rsid w:val="004F4BDE"/>
    <w:rsid w:val="004F6163"/>
    <w:rsid w:val="004F64FC"/>
    <w:rsid w:val="004F728C"/>
    <w:rsid w:val="004F7CAC"/>
    <w:rsid w:val="00500FFE"/>
    <w:rsid w:val="0050336F"/>
    <w:rsid w:val="00503BAE"/>
    <w:rsid w:val="005047D0"/>
    <w:rsid w:val="00506B80"/>
    <w:rsid w:val="0050770F"/>
    <w:rsid w:val="00507713"/>
    <w:rsid w:val="00511320"/>
    <w:rsid w:val="00512861"/>
    <w:rsid w:val="005143F9"/>
    <w:rsid w:val="00515498"/>
    <w:rsid w:val="0051562B"/>
    <w:rsid w:val="0051632B"/>
    <w:rsid w:val="00516566"/>
    <w:rsid w:val="005165F3"/>
    <w:rsid w:val="00516A51"/>
    <w:rsid w:val="00520135"/>
    <w:rsid w:val="005218C3"/>
    <w:rsid w:val="00521C48"/>
    <w:rsid w:val="005241D6"/>
    <w:rsid w:val="00525BD1"/>
    <w:rsid w:val="00525F31"/>
    <w:rsid w:val="00526090"/>
    <w:rsid w:val="00526A12"/>
    <w:rsid w:val="00530085"/>
    <w:rsid w:val="00531C11"/>
    <w:rsid w:val="00532554"/>
    <w:rsid w:val="00535C74"/>
    <w:rsid w:val="005361AB"/>
    <w:rsid w:val="005364C5"/>
    <w:rsid w:val="0053718C"/>
    <w:rsid w:val="0054193D"/>
    <w:rsid w:val="00541D43"/>
    <w:rsid w:val="00542068"/>
    <w:rsid w:val="00542306"/>
    <w:rsid w:val="00543AF9"/>
    <w:rsid w:val="00546706"/>
    <w:rsid w:val="00546733"/>
    <w:rsid w:val="0054747A"/>
    <w:rsid w:val="00550F1D"/>
    <w:rsid w:val="005510F3"/>
    <w:rsid w:val="00551468"/>
    <w:rsid w:val="00551CC4"/>
    <w:rsid w:val="0055214B"/>
    <w:rsid w:val="00552B4D"/>
    <w:rsid w:val="00553C21"/>
    <w:rsid w:val="005550B9"/>
    <w:rsid w:val="0055532F"/>
    <w:rsid w:val="005558A9"/>
    <w:rsid w:val="005566F0"/>
    <w:rsid w:val="005571D1"/>
    <w:rsid w:val="00557496"/>
    <w:rsid w:val="00557F5C"/>
    <w:rsid w:val="00561BB9"/>
    <w:rsid w:val="00561D24"/>
    <w:rsid w:val="005626F9"/>
    <w:rsid w:val="0056381B"/>
    <w:rsid w:val="00565C86"/>
    <w:rsid w:val="0056675F"/>
    <w:rsid w:val="00567AAF"/>
    <w:rsid w:val="0057508C"/>
    <w:rsid w:val="005759CC"/>
    <w:rsid w:val="005763F3"/>
    <w:rsid w:val="00576ADE"/>
    <w:rsid w:val="00576C54"/>
    <w:rsid w:val="00577CFD"/>
    <w:rsid w:val="00577DEF"/>
    <w:rsid w:val="00577FC9"/>
    <w:rsid w:val="005825AF"/>
    <w:rsid w:val="00584813"/>
    <w:rsid w:val="00586B8C"/>
    <w:rsid w:val="00587023"/>
    <w:rsid w:val="00590862"/>
    <w:rsid w:val="0059143A"/>
    <w:rsid w:val="005924A7"/>
    <w:rsid w:val="005948F6"/>
    <w:rsid w:val="00596009"/>
    <w:rsid w:val="00597972"/>
    <w:rsid w:val="005A0836"/>
    <w:rsid w:val="005A47C4"/>
    <w:rsid w:val="005A4D2D"/>
    <w:rsid w:val="005A57A4"/>
    <w:rsid w:val="005B07A4"/>
    <w:rsid w:val="005B165B"/>
    <w:rsid w:val="005B3654"/>
    <w:rsid w:val="005B374C"/>
    <w:rsid w:val="005B3AD1"/>
    <w:rsid w:val="005B6974"/>
    <w:rsid w:val="005C06C1"/>
    <w:rsid w:val="005C1C1E"/>
    <w:rsid w:val="005C1D4D"/>
    <w:rsid w:val="005C279A"/>
    <w:rsid w:val="005C29D7"/>
    <w:rsid w:val="005C3BD2"/>
    <w:rsid w:val="005C5286"/>
    <w:rsid w:val="005C6285"/>
    <w:rsid w:val="005D179E"/>
    <w:rsid w:val="005D2D0E"/>
    <w:rsid w:val="005D473D"/>
    <w:rsid w:val="005D499B"/>
    <w:rsid w:val="005D5BA1"/>
    <w:rsid w:val="005D622E"/>
    <w:rsid w:val="005D797C"/>
    <w:rsid w:val="005E13F2"/>
    <w:rsid w:val="005E285D"/>
    <w:rsid w:val="005E30F8"/>
    <w:rsid w:val="005E374F"/>
    <w:rsid w:val="005E3DDC"/>
    <w:rsid w:val="005E3FA7"/>
    <w:rsid w:val="005E4100"/>
    <w:rsid w:val="005E49B2"/>
    <w:rsid w:val="005E7484"/>
    <w:rsid w:val="005F0AE8"/>
    <w:rsid w:val="005F2A6B"/>
    <w:rsid w:val="005F2A6D"/>
    <w:rsid w:val="005F3106"/>
    <w:rsid w:val="005F3865"/>
    <w:rsid w:val="005F3BF5"/>
    <w:rsid w:val="005F3DB1"/>
    <w:rsid w:val="005F4083"/>
    <w:rsid w:val="005F40C1"/>
    <w:rsid w:val="00600233"/>
    <w:rsid w:val="00601EB7"/>
    <w:rsid w:val="006024D3"/>
    <w:rsid w:val="00603025"/>
    <w:rsid w:val="00603C47"/>
    <w:rsid w:val="00604104"/>
    <w:rsid w:val="006042A1"/>
    <w:rsid w:val="00605407"/>
    <w:rsid w:val="00606EF9"/>
    <w:rsid w:val="0060706A"/>
    <w:rsid w:val="006070C4"/>
    <w:rsid w:val="00607714"/>
    <w:rsid w:val="00607758"/>
    <w:rsid w:val="00607F94"/>
    <w:rsid w:val="00610D5E"/>
    <w:rsid w:val="006110E8"/>
    <w:rsid w:val="006113F0"/>
    <w:rsid w:val="00611F14"/>
    <w:rsid w:val="006124B8"/>
    <w:rsid w:val="00612836"/>
    <w:rsid w:val="0061319E"/>
    <w:rsid w:val="00613467"/>
    <w:rsid w:val="006136BA"/>
    <w:rsid w:val="00614048"/>
    <w:rsid w:val="00615DF4"/>
    <w:rsid w:val="00616B6B"/>
    <w:rsid w:val="00616E2A"/>
    <w:rsid w:val="00620369"/>
    <w:rsid w:val="0062077C"/>
    <w:rsid w:val="0062333A"/>
    <w:rsid w:val="006240B8"/>
    <w:rsid w:val="00624315"/>
    <w:rsid w:val="00624BF5"/>
    <w:rsid w:val="00625216"/>
    <w:rsid w:val="0062545B"/>
    <w:rsid w:val="0062552A"/>
    <w:rsid w:val="00626F96"/>
    <w:rsid w:val="006279D1"/>
    <w:rsid w:val="00630B8B"/>
    <w:rsid w:val="00630F2F"/>
    <w:rsid w:val="006315CA"/>
    <w:rsid w:val="00632238"/>
    <w:rsid w:val="006329D4"/>
    <w:rsid w:val="006332BE"/>
    <w:rsid w:val="0063413F"/>
    <w:rsid w:val="00634B21"/>
    <w:rsid w:val="00634BCA"/>
    <w:rsid w:val="006408C3"/>
    <w:rsid w:val="006432DA"/>
    <w:rsid w:val="00643C3E"/>
    <w:rsid w:val="00644377"/>
    <w:rsid w:val="00644FC9"/>
    <w:rsid w:val="00645D71"/>
    <w:rsid w:val="0064611B"/>
    <w:rsid w:val="0064620D"/>
    <w:rsid w:val="0064634B"/>
    <w:rsid w:val="00647A88"/>
    <w:rsid w:val="00651526"/>
    <w:rsid w:val="006527FE"/>
    <w:rsid w:val="00653310"/>
    <w:rsid w:val="00653AFF"/>
    <w:rsid w:val="00653C98"/>
    <w:rsid w:val="00655496"/>
    <w:rsid w:val="0065685C"/>
    <w:rsid w:val="006568F8"/>
    <w:rsid w:val="00657754"/>
    <w:rsid w:val="00660593"/>
    <w:rsid w:val="0066071A"/>
    <w:rsid w:val="00660D15"/>
    <w:rsid w:val="00661286"/>
    <w:rsid w:val="006613E8"/>
    <w:rsid w:val="00662DFF"/>
    <w:rsid w:val="00664356"/>
    <w:rsid w:val="00664618"/>
    <w:rsid w:val="00665724"/>
    <w:rsid w:val="00666B3E"/>
    <w:rsid w:val="00667E52"/>
    <w:rsid w:val="006711B9"/>
    <w:rsid w:val="00671983"/>
    <w:rsid w:val="00672120"/>
    <w:rsid w:val="00676F11"/>
    <w:rsid w:val="006822C9"/>
    <w:rsid w:val="006852B8"/>
    <w:rsid w:val="00686768"/>
    <w:rsid w:val="00690DDB"/>
    <w:rsid w:val="00690EFE"/>
    <w:rsid w:val="00691913"/>
    <w:rsid w:val="00692562"/>
    <w:rsid w:val="0069264D"/>
    <w:rsid w:val="00692FB3"/>
    <w:rsid w:val="00694652"/>
    <w:rsid w:val="00694C3E"/>
    <w:rsid w:val="00694D7D"/>
    <w:rsid w:val="00694F55"/>
    <w:rsid w:val="0069600E"/>
    <w:rsid w:val="006A0752"/>
    <w:rsid w:val="006A138B"/>
    <w:rsid w:val="006A14A0"/>
    <w:rsid w:val="006A1C36"/>
    <w:rsid w:val="006A2F86"/>
    <w:rsid w:val="006B03EB"/>
    <w:rsid w:val="006B0F5E"/>
    <w:rsid w:val="006B140A"/>
    <w:rsid w:val="006B31CA"/>
    <w:rsid w:val="006B3A60"/>
    <w:rsid w:val="006B3CFB"/>
    <w:rsid w:val="006B451A"/>
    <w:rsid w:val="006B7627"/>
    <w:rsid w:val="006C09D6"/>
    <w:rsid w:val="006C1C48"/>
    <w:rsid w:val="006C3D14"/>
    <w:rsid w:val="006C4906"/>
    <w:rsid w:val="006C56B7"/>
    <w:rsid w:val="006C672B"/>
    <w:rsid w:val="006C6B2A"/>
    <w:rsid w:val="006C6C09"/>
    <w:rsid w:val="006D0244"/>
    <w:rsid w:val="006D0958"/>
    <w:rsid w:val="006D0C65"/>
    <w:rsid w:val="006D3271"/>
    <w:rsid w:val="006D38CB"/>
    <w:rsid w:val="006D3EAF"/>
    <w:rsid w:val="006D47FC"/>
    <w:rsid w:val="006D4AEB"/>
    <w:rsid w:val="006D559B"/>
    <w:rsid w:val="006D5AEB"/>
    <w:rsid w:val="006D7A67"/>
    <w:rsid w:val="006D7D0F"/>
    <w:rsid w:val="006E00C0"/>
    <w:rsid w:val="006E0351"/>
    <w:rsid w:val="006E31E1"/>
    <w:rsid w:val="006E7302"/>
    <w:rsid w:val="006E7705"/>
    <w:rsid w:val="006F161E"/>
    <w:rsid w:val="006F19D1"/>
    <w:rsid w:val="006F21CC"/>
    <w:rsid w:val="006F2DED"/>
    <w:rsid w:val="006F2E34"/>
    <w:rsid w:val="006F5533"/>
    <w:rsid w:val="006F65FD"/>
    <w:rsid w:val="006F6BF8"/>
    <w:rsid w:val="006F7939"/>
    <w:rsid w:val="006F7C44"/>
    <w:rsid w:val="007015CE"/>
    <w:rsid w:val="0070335A"/>
    <w:rsid w:val="00703C9B"/>
    <w:rsid w:val="00704C6E"/>
    <w:rsid w:val="00705858"/>
    <w:rsid w:val="00707082"/>
    <w:rsid w:val="007078FF"/>
    <w:rsid w:val="00710D50"/>
    <w:rsid w:val="0071100B"/>
    <w:rsid w:val="00711042"/>
    <w:rsid w:val="0071153C"/>
    <w:rsid w:val="00711E7B"/>
    <w:rsid w:val="00712156"/>
    <w:rsid w:val="00712C73"/>
    <w:rsid w:val="007141E0"/>
    <w:rsid w:val="007143D9"/>
    <w:rsid w:val="0071523F"/>
    <w:rsid w:val="00716084"/>
    <w:rsid w:val="007176D6"/>
    <w:rsid w:val="00721177"/>
    <w:rsid w:val="00723AB1"/>
    <w:rsid w:val="00723E1E"/>
    <w:rsid w:val="0072599A"/>
    <w:rsid w:val="00726C75"/>
    <w:rsid w:val="00731453"/>
    <w:rsid w:val="00731D51"/>
    <w:rsid w:val="00732926"/>
    <w:rsid w:val="0073304C"/>
    <w:rsid w:val="00734934"/>
    <w:rsid w:val="00735DC0"/>
    <w:rsid w:val="0073647A"/>
    <w:rsid w:val="0074026F"/>
    <w:rsid w:val="0074088B"/>
    <w:rsid w:val="00740994"/>
    <w:rsid w:val="00741640"/>
    <w:rsid w:val="007450B7"/>
    <w:rsid w:val="00745FE2"/>
    <w:rsid w:val="0074621D"/>
    <w:rsid w:val="0074663E"/>
    <w:rsid w:val="0074716B"/>
    <w:rsid w:val="0074721B"/>
    <w:rsid w:val="00747333"/>
    <w:rsid w:val="007509A6"/>
    <w:rsid w:val="00750B5A"/>
    <w:rsid w:val="007514A9"/>
    <w:rsid w:val="00751984"/>
    <w:rsid w:val="00751EC6"/>
    <w:rsid w:val="007520AE"/>
    <w:rsid w:val="00752CDD"/>
    <w:rsid w:val="00755583"/>
    <w:rsid w:val="0075581F"/>
    <w:rsid w:val="007572FB"/>
    <w:rsid w:val="007607CC"/>
    <w:rsid w:val="007613A2"/>
    <w:rsid w:val="007633B0"/>
    <w:rsid w:val="007639F1"/>
    <w:rsid w:val="00764FCB"/>
    <w:rsid w:val="00765EE3"/>
    <w:rsid w:val="0076619B"/>
    <w:rsid w:val="007679A6"/>
    <w:rsid w:val="007715D2"/>
    <w:rsid w:val="00772501"/>
    <w:rsid w:val="00772C70"/>
    <w:rsid w:val="00774B90"/>
    <w:rsid w:val="0077656E"/>
    <w:rsid w:val="0078182C"/>
    <w:rsid w:val="00782932"/>
    <w:rsid w:val="007847FA"/>
    <w:rsid w:val="00784CED"/>
    <w:rsid w:val="00785549"/>
    <w:rsid w:val="007862BF"/>
    <w:rsid w:val="00790910"/>
    <w:rsid w:val="00790C60"/>
    <w:rsid w:val="00791D9D"/>
    <w:rsid w:val="00791DE1"/>
    <w:rsid w:val="0079282D"/>
    <w:rsid w:val="00793B3A"/>
    <w:rsid w:val="007951DF"/>
    <w:rsid w:val="00795A13"/>
    <w:rsid w:val="00795B51"/>
    <w:rsid w:val="007960D8"/>
    <w:rsid w:val="00797C2A"/>
    <w:rsid w:val="007A1398"/>
    <w:rsid w:val="007A364E"/>
    <w:rsid w:val="007A3A8C"/>
    <w:rsid w:val="007A3F37"/>
    <w:rsid w:val="007A5391"/>
    <w:rsid w:val="007B040B"/>
    <w:rsid w:val="007B0E0C"/>
    <w:rsid w:val="007B14FC"/>
    <w:rsid w:val="007B2C7B"/>
    <w:rsid w:val="007B493B"/>
    <w:rsid w:val="007B57D3"/>
    <w:rsid w:val="007B7EA7"/>
    <w:rsid w:val="007B7F38"/>
    <w:rsid w:val="007B7F6D"/>
    <w:rsid w:val="007C096D"/>
    <w:rsid w:val="007C1E3E"/>
    <w:rsid w:val="007C26E5"/>
    <w:rsid w:val="007C3F2B"/>
    <w:rsid w:val="007C46D0"/>
    <w:rsid w:val="007C55E9"/>
    <w:rsid w:val="007C5ACB"/>
    <w:rsid w:val="007C6BC4"/>
    <w:rsid w:val="007C720A"/>
    <w:rsid w:val="007D1092"/>
    <w:rsid w:val="007D2621"/>
    <w:rsid w:val="007D352A"/>
    <w:rsid w:val="007E05EC"/>
    <w:rsid w:val="007E0B2C"/>
    <w:rsid w:val="007E0BB6"/>
    <w:rsid w:val="007E1971"/>
    <w:rsid w:val="007E1A97"/>
    <w:rsid w:val="007E2907"/>
    <w:rsid w:val="007E3562"/>
    <w:rsid w:val="007E35B7"/>
    <w:rsid w:val="007E4778"/>
    <w:rsid w:val="007E5071"/>
    <w:rsid w:val="007E5B07"/>
    <w:rsid w:val="007E5B7C"/>
    <w:rsid w:val="007E66D4"/>
    <w:rsid w:val="007F08CA"/>
    <w:rsid w:val="007F0CB6"/>
    <w:rsid w:val="007F2443"/>
    <w:rsid w:val="007F3B6E"/>
    <w:rsid w:val="00800609"/>
    <w:rsid w:val="00802626"/>
    <w:rsid w:val="00803172"/>
    <w:rsid w:val="0080422F"/>
    <w:rsid w:val="00804397"/>
    <w:rsid w:val="008058E8"/>
    <w:rsid w:val="00806434"/>
    <w:rsid w:val="00806862"/>
    <w:rsid w:val="00807E55"/>
    <w:rsid w:val="00810443"/>
    <w:rsid w:val="00811823"/>
    <w:rsid w:val="00813288"/>
    <w:rsid w:val="00813BF3"/>
    <w:rsid w:val="008155BB"/>
    <w:rsid w:val="0082059C"/>
    <w:rsid w:val="00821A29"/>
    <w:rsid w:val="00821DBF"/>
    <w:rsid w:val="008223FA"/>
    <w:rsid w:val="008230F6"/>
    <w:rsid w:val="00823233"/>
    <w:rsid w:val="008235C5"/>
    <w:rsid w:val="00824426"/>
    <w:rsid w:val="0082451D"/>
    <w:rsid w:val="00825CE5"/>
    <w:rsid w:val="008274DB"/>
    <w:rsid w:val="00827D44"/>
    <w:rsid w:val="00830B25"/>
    <w:rsid w:val="00830E52"/>
    <w:rsid w:val="00831CA2"/>
    <w:rsid w:val="008324E3"/>
    <w:rsid w:val="008339FF"/>
    <w:rsid w:val="00834DD9"/>
    <w:rsid w:val="00834F48"/>
    <w:rsid w:val="00836882"/>
    <w:rsid w:val="00836E8D"/>
    <w:rsid w:val="008370C2"/>
    <w:rsid w:val="0083789C"/>
    <w:rsid w:val="008423C1"/>
    <w:rsid w:val="00842AEA"/>
    <w:rsid w:val="00843DE0"/>
    <w:rsid w:val="008445B4"/>
    <w:rsid w:val="0084515A"/>
    <w:rsid w:val="00845946"/>
    <w:rsid w:val="008466CD"/>
    <w:rsid w:val="00846F6B"/>
    <w:rsid w:val="008475A1"/>
    <w:rsid w:val="008476A0"/>
    <w:rsid w:val="00847C64"/>
    <w:rsid w:val="00852F38"/>
    <w:rsid w:val="00854324"/>
    <w:rsid w:val="00854C36"/>
    <w:rsid w:val="00854E77"/>
    <w:rsid w:val="00855F1B"/>
    <w:rsid w:val="008560CD"/>
    <w:rsid w:val="00856B20"/>
    <w:rsid w:val="00856C34"/>
    <w:rsid w:val="00857087"/>
    <w:rsid w:val="0085775F"/>
    <w:rsid w:val="00857AAF"/>
    <w:rsid w:val="00857DD6"/>
    <w:rsid w:val="00861611"/>
    <w:rsid w:val="0086165D"/>
    <w:rsid w:val="00863287"/>
    <w:rsid w:val="00863915"/>
    <w:rsid w:val="00864564"/>
    <w:rsid w:val="00864A20"/>
    <w:rsid w:val="00864BCC"/>
    <w:rsid w:val="00865BE4"/>
    <w:rsid w:val="00865DC1"/>
    <w:rsid w:val="00870089"/>
    <w:rsid w:val="0087031E"/>
    <w:rsid w:val="00870B86"/>
    <w:rsid w:val="0087212E"/>
    <w:rsid w:val="00873F2A"/>
    <w:rsid w:val="008750F0"/>
    <w:rsid w:val="008750F9"/>
    <w:rsid w:val="00875341"/>
    <w:rsid w:val="0087536F"/>
    <w:rsid w:val="008765B6"/>
    <w:rsid w:val="00876831"/>
    <w:rsid w:val="00880A1D"/>
    <w:rsid w:val="00880A40"/>
    <w:rsid w:val="00880EAE"/>
    <w:rsid w:val="00881536"/>
    <w:rsid w:val="008844F4"/>
    <w:rsid w:val="0088549F"/>
    <w:rsid w:val="00885772"/>
    <w:rsid w:val="00886795"/>
    <w:rsid w:val="008869F4"/>
    <w:rsid w:val="00886BE9"/>
    <w:rsid w:val="00893EEF"/>
    <w:rsid w:val="00894FCC"/>
    <w:rsid w:val="008964BE"/>
    <w:rsid w:val="00896D25"/>
    <w:rsid w:val="0089704A"/>
    <w:rsid w:val="00897282"/>
    <w:rsid w:val="008A0361"/>
    <w:rsid w:val="008A0C50"/>
    <w:rsid w:val="008A15BB"/>
    <w:rsid w:val="008A3C58"/>
    <w:rsid w:val="008A4880"/>
    <w:rsid w:val="008A52B1"/>
    <w:rsid w:val="008A61F6"/>
    <w:rsid w:val="008A62E8"/>
    <w:rsid w:val="008A71D0"/>
    <w:rsid w:val="008B0244"/>
    <w:rsid w:val="008B111F"/>
    <w:rsid w:val="008B216C"/>
    <w:rsid w:val="008B286C"/>
    <w:rsid w:val="008B3C6B"/>
    <w:rsid w:val="008B425C"/>
    <w:rsid w:val="008B474E"/>
    <w:rsid w:val="008B5B32"/>
    <w:rsid w:val="008C1230"/>
    <w:rsid w:val="008C18B0"/>
    <w:rsid w:val="008C18F0"/>
    <w:rsid w:val="008C25BC"/>
    <w:rsid w:val="008C26E0"/>
    <w:rsid w:val="008C2DCC"/>
    <w:rsid w:val="008C3241"/>
    <w:rsid w:val="008C570E"/>
    <w:rsid w:val="008C78F6"/>
    <w:rsid w:val="008D28AD"/>
    <w:rsid w:val="008D3028"/>
    <w:rsid w:val="008D32CB"/>
    <w:rsid w:val="008D385E"/>
    <w:rsid w:val="008D41D5"/>
    <w:rsid w:val="008D5BC4"/>
    <w:rsid w:val="008D6F01"/>
    <w:rsid w:val="008D78FF"/>
    <w:rsid w:val="008E03AC"/>
    <w:rsid w:val="008E233A"/>
    <w:rsid w:val="008E2CB8"/>
    <w:rsid w:val="008E37DD"/>
    <w:rsid w:val="008E445B"/>
    <w:rsid w:val="008E446C"/>
    <w:rsid w:val="008E710C"/>
    <w:rsid w:val="008F103C"/>
    <w:rsid w:val="008F1143"/>
    <w:rsid w:val="008F188B"/>
    <w:rsid w:val="008F2068"/>
    <w:rsid w:val="008F381A"/>
    <w:rsid w:val="008F6964"/>
    <w:rsid w:val="00900B8B"/>
    <w:rsid w:val="0090182D"/>
    <w:rsid w:val="00901938"/>
    <w:rsid w:val="00903D62"/>
    <w:rsid w:val="009042F4"/>
    <w:rsid w:val="009047D2"/>
    <w:rsid w:val="00911E20"/>
    <w:rsid w:val="0091236D"/>
    <w:rsid w:val="00912BF6"/>
    <w:rsid w:val="00914D28"/>
    <w:rsid w:val="00914DA7"/>
    <w:rsid w:val="00914E00"/>
    <w:rsid w:val="00915913"/>
    <w:rsid w:val="00915F63"/>
    <w:rsid w:val="00916CAF"/>
    <w:rsid w:val="009177E9"/>
    <w:rsid w:val="00917B7E"/>
    <w:rsid w:val="0092175B"/>
    <w:rsid w:val="0092278E"/>
    <w:rsid w:val="00923BF3"/>
    <w:rsid w:val="009246DC"/>
    <w:rsid w:val="00924F9D"/>
    <w:rsid w:val="0092561B"/>
    <w:rsid w:val="0092606A"/>
    <w:rsid w:val="009268F5"/>
    <w:rsid w:val="009300B9"/>
    <w:rsid w:val="00931022"/>
    <w:rsid w:val="00932ED6"/>
    <w:rsid w:val="009331CF"/>
    <w:rsid w:val="009334AC"/>
    <w:rsid w:val="00934585"/>
    <w:rsid w:val="009351BA"/>
    <w:rsid w:val="00936DEE"/>
    <w:rsid w:val="00937BB7"/>
    <w:rsid w:val="00937FA9"/>
    <w:rsid w:val="009410AB"/>
    <w:rsid w:val="00941497"/>
    <w:rsid w:val="00941B0E"/>
    <w:rsid w:val="00941DDE"/>
    <w:rsid w:val="00942010"/>
    <w:rsid w:val="0094320A"/>
    <w:rsid w:val="009432C8"/>
    <w:rsid w:val="009453FA"/>
    <w:rsid w:val="00946B54"/>
    <w:rsid w:val="009479A4"/>
    <w:rsid w:val="009516B8"/>
    <w:rsid w:val="0095170D"/>
    <w:rsid w:val="009523C1"/>
    <w:rsid w:val="00952B4A"/>
    <w:rsid w:val="00952C61"/>
    <w:rsid w:val="00952F91"/>
    <w:rsid w:val="0095307F"/>
    <w:rsid w:val="00953543"/>
    <w:rsid w:val="0095451D"/>
    <w:rsid w:val="00954572"/>
    <w:rsid w:val="00955526"/>
    <w:rsid w:val="009627FB"/>
    <w:rsid w:val="009650A8"/>
    <w:rsid w:val="00966ADB"/>
    <w:rsid w:val="00966B12"/>
    <w:rsid w:val="00966C09"/>
    <w:rsid w:val="00971612"/>
    <w:rsid w:val="00971C6F"/>
    <w:rsid w:val="00972A27"/>
    <w:rsid w:val="00972A97"/>
    <w:rsid w:val="0097372E"/>
    <w:rsid w:val="00974421"/>
    <w:rsid w:val="009759E0"/>
    <w:rsid w:val="00975D60"/>
    <w:rsid w:val="00976DE8"/>
    <w:rsid w:val="009775C0"/>
    <w:rsid w:val="009813A5"/>
    <w:rsid w:val="00981886"/>
    <w:rsid w:val="00981EB9"/>
    <w:rsid w:val="00981EF5"/>
    <w:rsid w:val="00982460"/>
    <w:rsid w:val="00982B96"/>
    <w:rsid w:val="00984441"/>
    <w:rsid w:val="009844CF"/>
    <w:rsid w:val="0098479D"/>
    <w:rsid w:val="00984A7E"/>
    <w:rsid w:val="00984DD8"/>
    <w:rsid w:val="00987C10"/>
    <w:rsid w:val="0099085F"/>
    <w:rsid w:val="00991122"/>
    <w:rsid w:val="009912F0"/>
    <w:rsid w:val="009913BB"/>
    <w:rsid w:val="00991CC0"/>
    <w:rsid w:val="00992489"/>
    <w:rsid w:val="009925DB"/>
    <w:rsid w:val="00993CC9"/>
    <w:rsid w:val="0099578A"/>
    <w:rsid w:val="009A0CB3"/>
    <w:rsid w:val="009A1C3E"/>
    <w:rsid w:val="009A2605"/>
    <w:rsid w:val="009A3023"/>
    <w:rsid w:val="009A3A4B"/>
    <w:rsid w:val="009A6F74"/>
    <w:rsid w:val="009B0CD8"/>
    <w:rsid w:val="009B0FB5"/>
    <w:rsid w:val="009B0FEE"/>
    <w:rsid w:val="009B376D"/>
    <w:rsid w:val="009B5D40"/>
    <w:rsid w:val="009B73E9"/>
    <w:rsid w:val="009B7AB6"/>
    <w:rsid w:val="009C03AC"/>
    <w:rsid w:val="009C1288"/>
    <w:rsid w:val="009C21D7"/>
    <w:rsid w:val="009C2EE7"/>
    <w:rsid w:val="009C7347"/>
    <w:rsid w:val="009D0BBF"/>
    <w:rsid w:val="009D11AD"/>
    <w:rsid w:val="009D2FA1"/>
    <w:rsid w:val="009D3628"/>
    <w:rsid w:val="009D4626"/>
    <w:rsid w:val="009D4C2A"/>
    <w:rsid w:val="009D6914"/>
    <w:rsid w:val="009D76BA"/>
    <w:rsid w:val="009E01C8"/>
    <w:rsid w:val="009E038E"/>
    <w:rsid w:val="009E1C22"/>
    <w:rsid w:val="009E22BD"/>
    <w:rsid w:val="009E2481"/>
    <w:rsid w:val="009E2DE8"/>
    <w:rsid w:val="009E4218"/>
    <w:rsid w:val="009E436F"/>
    <w:rsid w:val="009E4D4D"/>
    <w:rsid w:val="009E54BA"/>
    <w:rsid w:val="009E5CCF"/>
    <w:rsid w:val="009E5CD6"/>
    <w:rsid w:val="009E7A80"/>
    <w:rsid w:val="009F1BC5"/>
    <w:rsid w:val="009F3087"/>
    <w:rsid w:val="009F3258"/>
    <w:rsid w:val="009F33A3"/>
    <w:rsid w:val="009F35D5"/>
    <w:rsid w:val="009F3631"/>
    <w:rsid w:val="009F3790"/>
    <w:rsid w:val="009F42E0"/>
    <w:rsid w:val="009F540B"/>
    <w:rsid w:val="009F7778"/>
    <w:rsid w:val="009F7CEB"/>
    <w:rsid w:val="00A0197F"/>
    <w:rsid w:val="00A02425"/>
    <w:rsid w:val="00A02606"/>
    <w:rsid w:val="00A02E46"/>
    <w:rsid w:val="00A02F91"/>
    <w:rsid w:val="00A040FD"/>
    <w:rsid w:val="00A0426A"/>
    <w:rsid w:val="00A04C0D"/>
    <w:rsid w:val="00A060D0"/>
    <w:rsid w:val="00A063FD"/>
    <w:rsid w:val="00A07155"/>
    <w:rsid w:val="00A07482"/>
    <w:rsid w:val="00A07A7F"/>
    <w:rsid w:val="00A07B8D"/>
    <w:rsid w:val="00A07F51"/>
    <w:rsid w:val="00A116A7"/>
    <w:rsid w:val="00A11B96"/>
    <w:rsid w:val="00A120EC"/>
    <w:rsid w:val="00A12983"/>
    <w:rsid w:val="00A136BC"/>
    <w:rsid w:val="00A150DF"/>
    <w:rsid w:val="00A16891"/>
    <w:rsid w:val="00A1734F"/>
    <w:rsid w:val="00A178E8"/>
    <w:rsid w:val="00A17C76"/>
    <w:rsid w:val="00A17DA7"/>
    <w:rsid w:val="00A203C7"/>
    <w:rsid w:val="00A20B1A"/>
    <w:rsid w:val="00A2112F"/>
    <w:rsid w:val="00A216FA"/>
    <w:rsid w:val="00A22460"/>
    <w:rsid w:val="00A2268F"/>
    <w:rsid w:val="00A226DF"/>
    <w:rsid w:val="00A22A39"/>
    <w:rsid w:val="00A23C2C"/>
    <w:rsid w:val="00A245EB"/>
    <w:rsid w:val="00A24EA9"/>
    <w:rsid w:val="00A2554F"/>
    <w:rsid w:val="00A26968"/>
    <w:rsid w:val="00A27EE4"/>
    <w:rsid w:val="00A3209A"/>
    <w:rsid w:val="00A329F8"/>
    <w:rsid w:val="00A3662E"/>
    <w:rsid w:val="00A37F3D"/>
    <w:rsid w:val="00A40FF6"/>
    <w:rsid w:val="00A417AA"/>
    <w:rsid w:val="00A41E5D"/>
    <w:rsid w:val="00A4411A"/>
    <w:rsid w:val="00A44ECE"/>
    <w:rsid w:val="00A46981"/>
    <w:rsid w:val="00A47BCE"/>
    <w:rsid w:val="00A50CDB"/>
    <w:rsid w:val="00A52973"/>
    <w:rsid w:val="00A535FB"/>
    <w:rsid w:val="00A53EAE"/>
    <w:rsid w:val="00A549B3"/>
    <w:rsid w:val="00A5658B"/>
    <w:rsid w:val="00A565BD"/>
    <w:rsid w:val="00A5663A"/>
    <w:rsid w:val="00A6039C"/>
    <w:rsid w:val="00A6074F"/>
    <w:rsid w:val="00A60770"/>
    <w:rsid w:val="00A61D8F"/>
    <w:rsid w:val="00A62DEC"/>
    <w:rsid w:val="00A6374D"/>
    <w:rsid w:val="00A643E7"/>
    <w:rsid w:val="00A652C8"/>
    <w:rsid w:val="00A66687"/>
    <w:rsid w:val="00A7059D"/>
    <w:rsid w:val="00A7080F"/>
    <w:rsid w:val="00A713F0"/>
    <w:rsid w:val="00A72441"/>
    <w:rsid w:val="00A73159"/>
    <w:rsid w:val="00A74511"/>
    <w:rsid w:val="00A765CB"/>
    <w:rsid w:val="00A768B9"/>
    <w:rsid w:val="00A81904"/>
    <w:rsid w:val="00A81F82"/>
    <w:rsid w:val="00A81FCE"/>
    <w:rsid w:val="00A82DDF"/>
    <w:rsid w:val="00A832C9"/>
    <w:rsid w:val="00A841B0"/>
    <w:rsid w:val="00A84411"/>
    <w:rsid w:val="00A855DE"/>
    <w:rsid w:val="00A85A2B"/>
    <w:rsid w:val="00A8608C"/>
    <w:rsid w:val="00A86F6B"/>
    <w:rsid w:val="00A90648"/>
    <w:rsid w:val="00A91316"/>
    <w:rsid w:val="00A9186B"/>
    <w:rsid w:val="00A92D43"/>
    <w:rsid w:val="00A93528"/>
    <w:rsid w:val="00A93543"/>
    <w:rsid w:val="00A93F34"/>
    <w:rsid w:val="00A94C55"/>
    <w:rsid w:val="00A94EFC"/>
    <w:rsid w:val="00A95312"/>
    <w:rsid w:val="00A962D8"/>
    <w:rsid w:val="00AA00B3"/>
    <w:rsid w:val="00AA0B73"/>
    <w:rsid w:val="00AA1426"/>
    <w:rsid w:val="00AA1681"/>
    <w:rsid w:val="00AA1D37"/>
    <w:rsid w:val="00AA2FA1"/>
    <w:rsid w:val="00AA322A"/>
    <w:rsid w:val="00AA4740"/>
    <w:rsid w:val="00AA47EA"/>
    <w:rsid w:val="00AA51C1"/>
    <w:rsid w:val="00AA5FAD"/>
    <w:rsid w:val="00AA6156"/>
    <w:rsid w:val="00AA6CDF"/>
    <w:rsid w:val="00AA6FBC"/>
    <w:rsid w:val="00AA7041"/>
    <w:rsid w:val="00AA73AC"/>
    <w:rsid w:val="00AA7B01"/>
    <w:rsid w:val="00AA7B77"/>
    <w:rsid w:val="00AB09A4"/>
    <w:rsid w:val="00AB09E1"/>
    <w:rsid w:val="00AB187A"/>
    <w:rsid w:val="00AB2E00"/>
    <w:rsid w:val="00AB31DF"/>
    <w:rsid w:val="00AB3276"/>
    <w:rsid w:val="00AB4291"/>
    <w:rsid w:val="00AB514A"/>
    <w:rsid w:val="00AB52EE"/>
    <w:rsid w:val="00AB6A3A"/>
    <w:rsid w:val="00AB6CD5"/>
    <w:rsid w:val="00AB7386"/>
    <w:rsid w:val="00AC0214"/>
    <w:rsid w:val="00AC0646"/>
    <w:rsid w:val="00AC1607"/>
    <w:rsid w:val="00AC4D7C"/>
    <w:rsid w:val="00AC4EF3"/>
    <w:rsid w:val="00AC50E3"/>
    <w:rsid w:val="00AC5101"/>
    <w:rsid w:val="00AC72D7"/>
    <w:rsid w:val="00AC74A9"/>
    <w:rsid w:val="00AD041B"/>
    <w:rsid w:val="00AD1BCD"/>
    <w:rsid w:val="00AD3CD8"/>
    <w:rsid w:val="00AD4162"/>
    <w:rsid w:val="00AD51C9"/>
    <w:rsid w:val="00AD5F1C"/>
    <w:rsid w:val="00AD7B35"/>
    <w:rsid w:val="00AE0FCE"/>
    <w:rsid w:val="00AE1B2A"/>
    <w:rsid w:val="00AE274C"/>
    <w:rsid w:val="00AE2A1C"/>
    <w:rsid w:val="00AE2A68"/>
    <w:rsid w:val="00AE3739"/>
    <w:rsid w:val="00AE432A"/>
    <w:rsid w:val="00AE436A"/>
    <w:rsid w:val="00AE513E"/>
    <w:rsid w:val="00AE5DB3"/>
    <w:rsid w:val="00AE6DCF"/>
    <w:rsid w:val="00AE7AA8"/>
    <w:rsid w:val="00AF0DF9"/>
    <w:rsid w:val="00AF208B"/>
    <w:rsid w:val="00AF2147"/>
    <w:rsid w:val="00AF4BE4"/>
    <w:rsid w:val="00AF5125"/>
    <w:rsid w:val="00AF5FF1"/>
    <w:rsid w:val="00AF6633"/>
    <w:rsid w:val="00B000E6"/>
    <w:rsid w:val="00B0211E"/>
    <w:rsid w:val="00B038AE"/>
    <w:rsid w:val="00B05A6C"/>
    <w:rsid w:val="00B05C9A"/>
    <w:rsid w:val="00B0666F"/>
    <w:rsid w:val="00B102B4"/>
    <w:rsid w:val="00B11EA0"/>
    <w:rsid w:val="00B12110"/>
    <w:rsid w:val="00B12D76"/>
    <w:rsid w:val="00B137D2"/>
    <w:rsid w:val="00B14908"/>
    <w:rsid w:val="00B15A25"/>
    <w:rsid w:val="00B160F2"/>
    <w:rsid w:val="00B16DE5"/>
    <w:rsid w:val="00B17520"/>
    <w:rsid w:val="00B17FDB"/>
    <w:rsid w:val="00B20315"/>
    <w:rsid w:val="00B20836"/>
    <w:rsid w:val="00B20E80"/>
    <w:rsid w:val="00B21418"/>
    <w:rsid w:val="00B21BB1"/>
    <w:rsid w:val="00B21CE6"/>
    <w:rsid w:val="00B2272E"/>
    <w:rsid w:val="00B2281F"/>
    <w:rsid w:val="00B24B5E"/>
    <w:rsid w:val="00B25127"/>
    <w:rsid w:val="00B254C1"/>
    <w:rsid w:val="00B25C6E"/>
    <w:rsid w:val="00B25D68"/>
    <w:rsid w:val="00B26204"/>
    <w:rsid w:val="00B2777B"/>
    <w:rsid w:val="00B27C43"/>
    <w:rsid w:val="00B30131"/>
    <w:rsid w:val="00B31689"/>
    <w:rsid w:val="00B31890"/>
    <w:rsid w:val="00B3638B"/>
    <w:rsid w:val="00B3689B"/>
    <w:rsid w:val="00B37DF6"/>
    <w:rsid w:val="00B40EDD"/>
    <w:rsid w:val="00B41919"/>
    <w:rsid w:val="00B41A79"/>
    <w:rsid w:val="00B4256F"/>
    <w:rsid w:val="00B4423D"/>
    <w:rsid w:val="00B45315"/>
    <w:rsid w:val="00B4596C"/>
    <w:rsid w:val="00B45CFA"/>
    <w:rsid w:val="00B47512"/>
    <w:rsid w:val="00B50C1F"/>
    <w:rsid w:val="00B517DC"/>
    <w:rsid w:val="00B523B5"/>
    <w:rsid w:val="00B52C3F"/>
    <w:rsid w:val="00B53700"/>
    <w:rsid w:val="00B539FB"/>
    <w:rsid w:val="00B567AD"/>
    <w:rsid w:val="00B56DCA"/>
    <w:rsid w:val="00B570A1"/>
    <w:rsid w:val="00B57D08"/>
    <w:rsid w:val="00B6040F"/>
    <w:rsid w:val="00B60C85"/>
    <w:rsid w:val="00B60CF9"/>
    <w:rsid w:val="00B62568"/>
    <w:rsid w:val="00B6367E"/>
    <w:rsid w:val="00B63B06"/>
    <w:rsid w:val="00B64316"/>
    <w:rsid w:val="00B64717"/>
    <w:rsid w:val="00B65334"/>
    <w:rsid w:val="00B66C37"/>
    <w:rsid w:val="00B67119"/>
    <w:rsid w:val="00B67B1E"/>
    <w:rsid w:val="00B712C1"/>
    <w:rsid w:val="00B71675"/>
    <w:rsid w:val="00B71B62"/>
    <w:rsid w:val="00B72AC6"/>
    <w:rsid w:val="00B73F71"/>
    <w:rsid w:val="00B74F45"/>
    <w:rsid w:val="00B7581B"/>
    <w:rsid w:val="00B75BC0"/>
    <w:rsid w:val="00B77462"/>
    <w:rsid w:val="00B7796D"/>
    <w:rsid w:val="00B801F6"/>
    <w:rsid w:val="00B8095D"/>
    <w:rsid w:val="00B80B83"/>
    <w:rsid w:val="00B81A5A"/>
    <w:rsid w:val="00B8316C"/>
    <w:rsid w:val="00B83195"/>
    <w:rsid w:val="00B847FC"/>
    <w:rsid w:val="00B84DCB"/>
    <w:rsid w:val="00B84F11"/>
    <w:rsid w:val="00B8598C"/>
    <w:rsid w:val="00B863A0"/>
    <w:rsid w:val="00B915D3"/>
    <w:rsid w:val="00B9175F"/>
    <w:rsid w:val="00B917F5"/>
    <w:rsid w:val="00B91A4E"/>
    <w:rsid w:val="00B91D61"/>
    <w:rsid w:val="00B9292D"/>
    <w:rsid w:val="00B9305A"/>
    <w:rsid w:val="00B93A63"/>
    <w:rsid w:val="00B94155"/>
    <w:rsid w:val="00B941A8"/>
    <w:rsid w:val="00B97296"/>
    <w:rsid w:val="00B97D2B"/>
    <w:rsid w:val="00BA01AB"/>
    <w:rsid w:val="00BA2DB2"/>
    <w:rsid w:val="00BA3306"/>
    <w:rsid w:val="00BA33ED"/>
    <w:rsid w:val="00BA3742"/>
    <w:rsid w:val="00BA3AD7"/>
    <w:rsid w:val="00BA59AC"/>
    <w:rsid w:val="00BA68A8"/>
    <w:rsid w:val="00BA73EE"/>
    <w:rsid w:val="00BA7BE4"/>
    <w:rsid w:val="00BB101B"/>
    <w:rsid w:val="00BB1CED"/>
    <w:rsid w:val="00BB26F0"/>
    <w:rsid w:val="00BB3B28"/>
    <w:rsid w:val="00BB5F96"/>
    <w:rsid w:val="00BC16B2"/>
    <w:rsid w:val="00BC19A4"/>
    <w:rsid w:val="00BC479F"/>
    <w:rsid w:val="00BC523F"/>
    <w:rsid w:val="00BC52E8"/>
    <w:rsid w:val="00BC5A30"/>
    <w:rsid w:val="00BC7370"/>
    <w:rsid w:val="00BC7FCB"/>
    <w:rsid w:val="00BD03EC"/>
    <w:rsid w:val="00BD10C3"/>
    <w:rsid w:val="00BD4293"/>
    <w:rsid w:val="00BD4B15"/>
    <w:rsid w:val="00BE0DA6"/>
    <w:rsid w:val="00BE0E97"/>
    <w:rsid w:val="00BE3CAA"/>
    <w:rsid w:val="00BE3E5F"/>
    <w:rsid w:val="00BE4B73"/>
    <w:rsid w:val="00BE50E6"/>
    <w:rsid w:val="00BE583A"/>
    <w:rsid w:val="00BE5EE6"/>
    <w:rsid w:val="00BE74EE"/>
    <w:rsid w:val="00BE7FA1"/>
    <w:rsid w:val="00BF0174"/>
    <w:rsid w:val="00BF18CE"/>
    <w:rsid w:val="00BF1BE2"/>
    <w:rsid w:val="00C01AD7"/>
    <w:rsid w:val="00C01DA5"/>
    <w:rsid w:val="00C0312F"/>
    <w:rsid w:val="00C06418"/>
    <w:rsid w:val="00C06695"/>
    <w:rsid w:val="00C07417"/>
    <w:rsid w:val="00C07BBA"/>
    <w:rsid w:val="00C104C2"/>
    <w:rsid w:val="00C10D8D"/>
    <w:rsid w:val="00C11033"/>
    <w:rsid w:val="00C110D1"/>
    <w:rsid w:val="00C110D9"/>
    <w:rsid w:val="00C12369"/>
    <w:rsid w:val="00C12762"/>
    <w:rsid w:val="00C12798"/>
    <w:rsid w:val="00C129AE"/>
    <w:rsid w:val="00C12AB4"/>
    <w:rsid w:val="00C138CF"/>
    <w:rsid w:val="00C13D68"/>
    <w:rsid w:val="00C140A3"/>
    <w:rsid w:val="00C155F7"/>
    <w:rsid w:val="00C168C8"/>
    <w:rsid w:val="00C16EDE"/>
    <w:rsid w:val="00C17BF3"/>
    <w:rsid w:val="00C210D3"/>
    <w:rsid w:val="00C21871"/>
    <w:rsid w:val="00C227A3"/>
    <w:rsid w:val="00C232CC"/>
    <w:rsid w:val="00C232DA"/>
    <w:rsid w:val="00C23FEA"/>
    <w:rsid w:val="00C24327"/>
    <w:rsid w:val="00C24C46"/>
    <w:rsid w:val="00C27671"/>
    <w:rsid w:val="00C27FD0"/>
    <w:rsid w:val="00C30A11"/>
    <w:rsid w:val="00C30A25"/>
    <w:rsid w:val="00C317F3"/>
    <w:rsid w:val="00C32642"/>
    <w:rsid w:val="00C33A93"/>
    <w:rsid w:val="00C376C1"/>
    <w:rsid w:val="00C4160D"/>
    <w:rsid w:val="00C42287"/>
    <w:rsid w:val="00C42CC9"/>
    <w:rsid w:val="00C43D3D"/>
    <w:rsid w:val="00C44572"/>
    <w:rsid w:val="00C449E8"/>
    <w:rsid w:val="00C44B60"/>
    <w:rsid w:val="00C44C37"/>
    <w:rsid w:val="00C44CA3"/>
    <w:rsid w:val="00C4617A"/>
    <w:rsid w:val="00C46AE5"/>
    <w:rsid w:val="00C47306"/>
    <w:rsid w:val="00C47654"/>
    <w:rsid w:val="00C517F1"/>
    <w:rsid w:val="00C51DFC"/>
    <w:rsid w:val="00C52ACA"/>
    <w:rsid w:val="00C52ACF"/>
    <w:rsid w:val="00C53042"/>
    <w:rsid w:val="00C5395E"/>
    <w:rsid w:val="00C563F3"/>
    <w:rsid w:val="00C568FA"/>
    <w:rsid w:val="00C56DF9"/>
    <w:rsid w:val="00C56F59"/>
    <w:rsid w:val="00C57E4D"/>
    <w:rsid w:val="00C602EC"/>
    <w:rsid w:val="00C60B71"/>
    <w:rsid w:val="00C61052"/>
    <w:rsid w:val="00C626E2"/>
    <w:rsid w:val="00C628C8"/>
    <w:rsid w:val="00C62BF7"/>
    <w:rsid w:val="00C63198"/>
    <w:rsid w:val="00C65A7A"/>
    <w:rsid w:val="00C6644E"/>
    <w:rsid w:val="00C67288"/>
    <w:rsid w:val="00C70A41"/>
    <w:rsid w:val="00C70C1F"/>
    <w:rsid w:val="00C71C96"/>
    <w:rsid w:val="00C72C64"/>
    <w:rsid w:val="00C73538"/>
    <w:rsid w:val="00C73D98"/>
    <w:rsid w:val="00C74F45"/>
    <w:rsid w:val="00C750B2"/>
    <w:rsid w:val="00C7519E"/>
    <w:rsid w:val="00C751C3"/>
    <w:rsid w:val="00C75261"/>
    <w:rsid w:val="00C7553A"/>
    <w:rsid w:val="00C75578"/>
    <w:rsid w:val="00C75DD8"/>
    <w:rsid w:val="00C762B7"/>
    <w:rsid w:val="00C7750B"/>
    <w:rsid w:val="00C8036B"/>
    <w:rsid w:val="00C80A5A"/>
    <w:rsid w:val="00C81A12"/>
    <w:rsid w:val="00C83404"/>
    <w:rsid w:val="00C841B0"/>
    <w:rsid w:val="00C846BE"/>
    <w:rsid w:val="00C918E9"/>
    <w:rsid w:val="00C92E01"/>
    <w:rsid w:val="00C93419"/>
    <w:rsid w:val="00C9375E"/>
    <w:rsid w:val="00C93B27"/>
    <w:rsid w:val="00C9483D"/>
    <w:rsid w:val="00C950CB"/>
    <w:rsid w:val="00C9570F"/>
    <w:rsid w:val="00C95AD8"/>
    <w:rsid w:val="00C963DE"/>
    <w:rsid w:val="00C969E5"/>
    <w:rsid w:val="00CA0158"/>
    <w:rsid w:val="00CA0C26"/>
    <w:rsid w:val="00CA1774"/>
    <w:rsid w:val="00CA1C64"/>
    <w:rsid w:val="00CA267C"/>
    <w:rsid w:val="00CA2FD3"/>
    <w:rsid w:val="00CA57C7"/>
    <w:rsid w:val="00CA70D5"/>
    <w:rsid w:val="00CB07A8"/>
    <w:rsid w:val="00CB14A1"/>
    <w:rsid w:val="00CB3EC6"/>
    <w:rsid w:val="00CB5389"/>
    <w:rsid w:val="00CB5AB4"/>
    <w:rsid w:val="00CB7233"/>
    <w:rsid w:val="00CC03CC"/>
    <w:rsid w:val="00CC10E1"/>
    <w:rsid w:val="00CC198F"/>
    <w:rsid w:val="00CD0C7E"/>
    <w:rsid w:val="00CD12E3"/>
    <w:rsid w:val="00CD1C80"/>
    <w:rsid w:val="00CD1EB6"/>
    <w:rsid w:val="00CD2717"/>
    <w:rsid w:val="00CD277B"/>
    <w:rsid w:val="00CD319D"/>
    <w:rsid w:val="00CD3718"/>
    <w:rsid w:val="00CD3FF9"/>
    <w:rsid w:val="00CD44A2"/>
    <w:rsid w:val="00CD5B88"/>
    <w:rsid w:val="00CD5F1E"/>
    <w:rsid w:val="00CD6327"/>
    <w:rsid w:val="00CD72E3"/>
    <w:rsid w:val="00CD78A6"/>
    <w:rsid w:val="00CD7928"/>
    <w:rsid w:val="00CE0952"/>
    <w:rsid w:val="00CE1CF9"/>
    <w:rsid w:val="00CE2B78"/>
    <w:rsid w:val="00CE361C"/>
    <w:rsid w:val="00CE3957"/>
    <w:rsid w:val="00CE4209"/>
    <w:rsid w:val="00CE5C05"/>
    <w:rsid w:val="00CE74A3"/>
    <w:rsid w:val="00CF277E"/>
    <w:rsid w:val="00CF37B7"/>
    <w:rsid w:val="00CF399F"/>
    <w:rsid w:val="00CF5318"/>
    <w:rsid w:val="00CF64AC"/>
    <w:rsid w:val="00CF72BE"/>
    <w:rsid w:val="00CF7999"/>
    <w:rsid w:val="00CF7A65"/>
    <w:rsid w:val="00D0003A"/>
    <w:rsid w:val="00D00F3E"/>
    <w:rsid w:val="00D01DBB"/>
    <w:rsid w:val="00D03170"/>
    <w:rsid w:val="00D034DD"/>
    <w:rsid w:val="00D03D0C"/>
    <w:rsid w:val="00D04952"/>
    <w:rsid w:val="00D04F06"/>
    <w:rsid w:val="00D054D6"/>
    <w:rsid w:val="00D0589E"/>
    <w:rsid w:val="00D06A16"/>
    <w:rsid w:val="00D07A5B"/>
    <w:rsid w:val="00D1078F"/>
    <w:rsid w:val="00D10E60"/>
    <w:rsid w:val="00D11EB2"/>
    <w:rsid w:val="00D12B31"/>
    <w:rsid w:val="00D12CD2"/>
    <w:rsid w:val="00D13794"/>
    <w:rsid w:val="00D137EF"/>
    <w:rsid w:val="00D14D23"/>
    <w:rsid w:val="00D15627"/>
    <w:rsid w:val="00D15D8B"/>
    <w:rsid w:val="00D16143"/>
    <w:rsid w:val="00D1743B"/>
    <w:rsid w:val="00D17984"/>
    <w:rsid w:val="00D22B2B"/>
    <w:rsid w:val="00D24DAD"/>
    <w:rsid w:val="00D25151"/>
    <w:rsid w:val="00D25916"/>
    <w:rsid w:val="00D2654A"/>
    <w:rsid w:val="00D31207"/>
    <w:rsid w:val="00D314CD"/>
    <w:rsid w:val="00D31EF6"/>
    <w:rsid w:val="00D329E6"/>
    <w:rsid w:val="00D32DA3"/>
    <w:rsid w:val="00D3679F"/>
    <w:rsid w:val="00D36ABB"/>
    <w:rsid w:val="00D3740E"/>
    <w:rsid w:val="00D37939"/>
    <w:rsid w:val="00D37972"/>
    <w:rsid w:val="00D40808"/>
    <w:rsid w:val="00D40896"/>
    <w:rsid w:val="00D4096F"/>
    <w:rsid w:val="00D41534"/>
    <w:rsid w:val="00D43C36"/>
    <w:rsid w:val="00D43E62"/>
    <w:rsid w:val="00D44E94"/>
    <w:rsid w:val="00D45176"/>
    <w:rsid w:val="00D451FC"/>
    <w:rsid w:val="00D46E16"/>
    <w:rsid w:val="00D47C83"/>
    <w:rsid w:val="00D47F04"/>
    <w:rsid w:val="00D50263"/>
    <w:rsid w:val="00D50616"/>
    <w:rsid w:val="00D50D56"/>
    <w:rsid w:val="00D523B1"/>
    <w:rsid w:val="00D5277C"/>
    <w:rsid w:val="00D52A28"/>
    <w:rsid w:val="00D5373E"/>
    <w:rsid w:val="00D55734"/>
    <w:rsid w:val="00D56842"/>
    <w:rsid w:val="00D573EE"/>
    <w:rsid w:val="00D60918"/>
    <w:rsid w:val="00D60BB8"/>
    <w:rsid w:val="00D617BA"/>
    <w:rsid w:val="00D62CC8"/>
    <w:rsid w:val="00D632C3"/>
    <w:rsid w:val="00D63C48"/>
    <w:rsid w:val="00D64289"/>
    <w:rsid w:val="00D6453C"/>
    <w:rsid w:val="00D64B6E"/>
    <w:rsid w:val="00D64F70"/>
    <w:rsid w:val="00D661E0"/>
    <w:rsid w:val="00D66202"/>
    <w:rsid w:val="00D6667B"/>
    <w:rsid w:val="00D71400"/>
    <w:rsid w:val="00D72C23"/>
    <w:rsid w:val="00D743E8"/>
    <w:rsid w:val="00D74B0F"/>
    <w:rsid w:val="00D74B4D"/>
    <w:rsid w:val="00D74FF9"/>
    <w:rsid w:val="00D762D7"/>
    <w:rsid w:val="00D76323"/>
    <w:rsid w:val="00D810AA"/>
    <w:rsid w:val="00D81253"/>
    <w:rsid w:val="00D81449"/>
    <w:rsid w:val="00D8182E"/>
    <w:rsid w:val="00D81A01"/>
    <w:rsid w:val="00D8356A"/>
    <w:rsid w:val="00D84180"/>
    <w:rsid w:val="00D8435D"/>
    <w:rsid w:val="00D84DB7"/>
    <w:rsid w:val="00D853B3"/>
    <w:rsid w:val="00D86FEC"/>
    <w:rsid w:val="00D87291"/>
    <w:rsid w:val="00D87818"/>
    <w:rsid w:val="00D87ABF"/>
    <w:rsid w:val="00D87C89"/>
    <w:rsid w:val="00D87E89"/>
    <w:rsid w:val="00D9008A"/>
    <w:rsid w:val="00D90524"/>
    <w:rsid w:val="00D908DB"/>
    <w:rsid w:val="00D9286D"/>
    <w:rsid w:val="00D92D3D"/>
    <w:rsid w:val="00D94A3B"/>
    <w:rsid w:val="00D95394"/>
    <w:rsid w:val="00D95B5D"/>
    <w:rsid w:val="00D96C47"/>
    <w:rsid w:val="00D970E7"/>
    <w:rsid w:val="00D97E4D"/>
    <w:rsid w:val="00D97FF2"/>
    <w:rsid w:val="00DA032B"/>
    <w:rsid w:val="00DA042C"/>
    <w:rsid w:val="00DA0456"/>
    <w:rsid w:val="00DA0E7D"/>
    <w:rsid w:val="00DA11E0"/>
    <w:rsid w:val="00DA1B5D"/>
    <w:rsid w:val="00DA230E"/>
    <w:rsid w:val="00DA2B7A"/>
    <w:rsid w:val="00DA5189"/>
    <w:rsid w:val="00DA55BB"/>
    <w:rsid w:val="00DA5BD6"/>
    <w:rsid w:val="00DA6E3D"/>
    <w:rsid w:val="00DA73EE"/>
    <w:rsid w:val="00DA7982"/>
    <w:rsid w:val="00DB11FA"/>
    <w:rsid w:val="00DB35F9"/>
    <w:rsid w:val="00DB3C5D"/>
    <w:rsid w:val="00DC1743"/>
    <w:rsid w:val="00DC17E0"/>
    <w:rsid w:val="00DC1F73"/>
    <w:rsid w:val="00DC34D0"/>
    <w:rsid w:val="00DC4A2D"/>
    <w:rsid w:val="00DC4CC9"/>
    <w:rsid w:val="00DC7746"/>
    <w:rsid w:val="00DD0A7E"/>
    <w:rsid w:val="00DD0C61"/>
    <w:rsid w:val="00DD162E"/>
    <w:rsid w:val="00DD1D05"/>
    <w:rsid w:val="00DD20DF"/>
    <w:rsid w:val="00DD2663"/>
    <w:rsid w:val="00DD3049"/>
    <w:rsid w:val="00DD5DB9"/>
    <w:rsid w:val="00DD5E61"/>
    <w:rsid w:val="00DD640C"/>
    <w:rsid w:val="00DD7D92"/>
    <w:rsid w:val="00DE001F"/>
    <w:rsid w:val="00DE1156"/>
    <w:rsid w:val="00DE30E2"/>
    <w:rsid w:val="00DE3A9A"/>
    <w:rsid w:val="00DE6421"/>
    <w:rsid w:val="00DE64AF"/>
    <w:rsid w:val="00DE6B96"/>
    <w:rsid w:val="00DF0223"/>
    <w:rsid w:val="00DF16C0"/>
    <w:rsid w:val="00DF200B"/>
    <w:rsid w:val="00DF3D79"/>
    <w:rsid w:val="00DF5255"/>
    <w:rsid w:val="00DF548B"/>
    <w:rsid w:val="00DF63E0"/>
    <w:rsid w:val="00DF6E80"/>
    <w:rsid w:val="00E00EFC"/>
    <w:rsid w:val="00E0172D"/>
    <w:rsid w:val="00E01B87"/>
    <w:rsid w:val="00E01E21"/>
    <w:rsid w:val="00E024A7"/>
    <w:rsid w:val="00E03AF7"/>
    <w:rsid w:val="00E05D35"/>
    <w:rsid w:val="00E05FBC"/>
    <w:rsid w:val="00E10B7D"/>
    <w:rsid w:val="00E11360"/>
    <w:rsid w:val="00E12577"/>
    <w:rsid w:val="00E12F80"/>
    <w:rsid w:val="00E1493E"/>
    <w:rsid w:val="00E14B97"/>
    <w:rsid w:val="00E16EBF"/>
    <w:rsid w:val="00E171F1"/>
    <w:rsid w:val="00E172E8"/>
    <w:rsid w:val="00E173F8"/>
    <w:rsid w:val="00E17A8F"/>
    <w:rsid w:val="00E17B8E"/>
    <w:rsid w:val="00E227EA"/>
    <w:rsid w:val="00E23660"/>
    <w:rsid w:val="00E236E7"/>
    <w:rsid w:val="00E25EE5"/>
    <w:rsid w:val="00E2761D"/>
    <w:rsid w:val="00E30D60"/>
    <w:rsid w:val="00E31444"/>
    <w:rsid w:val="00E319D8"/>
    <w:rsid w:val="00E31A1E"/>
    <w:rsid w:val="00E32455"/>
    <w:rsid w:val="00E32460"/>
    <w:rsid w:val="00E331AA"/>
    <w:rsid w:val="00E34484"/>
    <w:rsid w:val="00E35188"/>
    <w:rsid w:val="00E35232"/>
    <w:rsid w:val="00E354A7"/>
    <w:rsid w:val="00E362FF"/>
    <w:rsid w:val="00E37424"/>
    <w:rsid w:val="00E37911"/>
    <w:rsid w:val="00E4041E"/>
    <w:rsid w:val="00E4413B"/>
    <w:rsid w:val="00E44D4B"/>
    <w:rsid w:val="00E45180"/>
    <w:rsid w:val="00E45305"/>
    <w:rsid w:val="00E4634C"/>
    <w:rsid w:val="00E46AC9"/>
    <w:rsid w:val="00E46E50"/>
    <w:rsid w:val="00E50381"/>
    <w:rsid w:val="00E512B8"/>
    <w:rsid w:val="00E52B14"/>
    <w:rsid w:val="00E53DB6"/>
    <w:rsid w:val="00E54FB3"/>
    <w:rsid w:val="00E55904"/>
    <w:rsid w:val="00E55B1E"/>
    <w:rsid w:val="00E55E72"/>
    <w:rsid w:val="00E561F0"/>
    <w:rsid w:val="00E61311"/>
    <w:rsid w:val="00E61B0C"/>
    <w:rsid w:val="00E62531"/>
    <w:rsid w:val="00E63819"/>
    <w:rsid w:val="00E63B64"/>
    <w:rsid w:val="00E649E3"/>
    <w:rsid w:val="00E64AF2"/>
    <w:rsid w:val="00E64EC7"/>
    <w:rsid w:val="00E651A6"/>
    <w:rsid w:val="00E661B6"/>
    <w:rsid w:val="00E66614"/>
    <w:rsid w:val="00E6692E"/>
    <w:rsid w:val="00E70F78"/>
    <w:rsid w:val="00E71452"/>
    <w:rsid w:val="00E72822"/>
    <w:rsid w:val="00E72A78"/>
    <w:rsid w:val="00E72FFF"/>
    <w:rsid w:val="00E73FBF"/>
    <w:rsid w:val="00E7489B"/>
    <w:rsid w:val="00E7516F"/>
    <w:rsid w:val="00E75E31"/>
    <w:rsid w:val="00E75E5E"/>
    <w:rsid w:val="00E773DF"/>
    <w:rsid w:val="00E77DEB"/>
    <w:rsid w:val="00E80F64"/>
    <w:rsid w:val="00E8269B"/>
    <w:rsid w:val="00E83BFE"/>
    <w:rsid w:val="00E846E8"/>
    <w:rsid w:val="00E86C18"/>
    <w:rsid w:val="00E86C25"/>
    <w:rsid w:val="00E86F69"/>
    <w:rsid w:val="00E910E1"/>
    <w:rsid w:val="00E918F8"/>
    <w:rsid w:val="00E91DDC"/>
    <w:rsid w:val="00E927BD"/>
    <w:rsid w:val="00E930FA"/>
    <w:rsid w:val="00E96E14"/>
    <w:rsid w:val="00E9787F"/>
    <w:rsid w:val="00E97CDD"/>
    <w:rsid w:val="00EA0A6E"/>
    <w:rsid w:val="00EA0D06"/>
    <w:rsid w:val="00EA0EA8"/>
    <w:rsid w:val="00EA1A27"/>
    <w:rsid w:val="00EA1B29"/>
    <w:rsid w:val="00EA1F53"/>
    <w:rsid w:val="00EA21CF"/>
    <w:rsid w:val="00EA21FA"/>
    <w:rsid w:val="00EA2211"/>
    <w:rsid w:val="00EA49AB"/>
    <w:rsid w:val="00EA50CD"/>
    <w:rsid w:val="00EA59AA"/>
    <w:rsid w:val="00EA6257"/>
    <w:rsid w:val="00EA66E6"/>
    <w:rsid w:val="00EA69E3"/>
    <w:rsid w:val="00EB0769"/>
    <w:rsid w:val="00EB106E"/>
    <w:rsid w:val="00EB1A7A"/>
    <w:rsid w:val="00EB1E70"/>
    <w:rsid w:val="00EB2855"/>
    <w:rsid w:val="00EB31A9"/>
    <w:rsid w:val="00EB31B6"/>
    <w:rsid w:val="00EB34E8"/>
    <w:rsid w:val="00EB3F3E"/>
    <w:rsid w:val="00EB426B"/>
    <w:rsid w:val="00EB5E6D"/>
    <w:rsid w:val="00EC04F5"/>
    <w:rsid w:val="00EC0CE0"/>
    <w:rsid w:val="00EC1F08"/>
    <w:rsid w:val="00EC1FE7"/>
    <w:rsid w:val="00EC20B5"/>
    <w:rsid w:val="00EC4F47"/>
    <w:rsid w:val="00EC5398"/>
    <w:rsid w:val="00EC5FE5"/>
    <w:rsid w:val="00ED3886"/>
    <w:rsid w:val="00ED41C0"/>
    <w:rsid w:val="00ED4E30"/>
    <w:rsid w:val="00ED5102"/>
    <w:rsid w:val="00ED5545"/>
    <w:rsid w:val="00ED621B"/>
    <w:rsid w:val="00ED69AA"/>
    <w:rsid w:val="00ED7BCB"/>
    <w:rsid w:val="00EE1C0D"/>
    <w:rsid w:val="00EE23D1"/>
    <w:rsid w:val="00EE2C14"/>
    <w:rsid w:val="00EE38A6"/>
    <w:rsid w:val="00EE4699"/>
    <w:rsid w:val="00EE625B"/>
    <w:rsid w:val="00EF1EA9"/>
    <w:rsid w:val="00EF2285"/>
    <w:rsid w:val="00EF2E32"/>
    <w:rsid w:val="00EF3278"/>
    <w:rsid w:val="00EF378C"/>
    <w:rsid w:val="00EF3EBD"/>
    <w:rsid w:val="00EF59AD"/>
    <w:rsid w:val="00EF6823"/>
    <w:rsid w:val="00EF6E4D"/>
    <w:rsid w:val="00EF70D1"/>
    <w:rsid w:val="00F000A6"/>
    <w:rsid w:val="00F0350B"/>
    <w:rsid w:val="00F049EC"/>
    <w:rsid w:val="00F0649C"/>
    <w:rsid w:val="00F064F3"/>
    <w:rsid w:val="00F06C5C"/>
    <w:rsid w:val="00F075DB"/>
    <w:rsid w:val="00F11808"/>
    <w:rsid w:val="00F120AA"/>
    <w:rsid w:val="00F12179"/>
    <w:rsid w:val="00F12219"/>
    <w:rsid w:val="00F1644A"/>
    <w:rsid w:val="00F16DA9"/>
    <w:rsid w:val="00F20335"/>
    <w:rsid w:val="00F20574"/>
    <w:rsid w:val="00F20E08"/>
    <w:rsid w:val="00F22951"/>
    <w:rsid w:val="00F2465A"/>
    <w:rsid w:val="00F25452"/>
    <w:rsid w:val="00F2561D"/>
    <w:rsid w:val="00F25902"/>
    <w:rsid w:val="00F25B32"/>
    <w:rsid w:val="00F25C9D"/>
    <w:rsid w:val="00F26B4B"/>
    <w:rsid w:val="00F2706C"/>
    <w:rsid w:val="00F27454"/>
    <w:rsid w:val="00F30254"/>
    <w:rsid w:val="00F3067C"/>
    <w:rsid w:val="00F3094A"/>
    <w:rsid w:val="00F31328"/>
    <w:rsid w:val="00F31957"/>
    <w:rsid w:val="00F32465"/>
    <w:rsid w:val="00F32A5A"/>
    <w:rsid w:val="00F32A6B"/>
    <w:rsid w:val="00F32D23"/>
    <w:rsid w:val="00F34B0F"/>
    <w:rsid w:val="00F419C5"/>
    <w:rsid w:val="00F41EC0"/>
    <w:rsid w:val="00F425C4"/>
    <w:rsid w:val="00F44EFB"/>
    <w:rsid w:val="00F45263"/>
    <w:rsid w:val="00F47535"/>
    <w:rsid w:val="00F47CBD"/>
    <w:rsid w:val="00F50995"/>
    <w:rsid w:val="00F54CE8"/>
    <w:rsid w:val="00F56314"/>
    <w:rsid w:val="00F5718E"/>
    <w:rsid w:val="00F57CF8"/>
    <w:rsid w:val="00F60FCF"/>
    <w:rsid w:val="00F613E2"/>
    <w:rsid w:val="00F61621"/>
    <w:rsid w:val="00F65BDB"/>
    <w:rsid w:val="00F7023C"/>
    <w:rsid w:val="00F71995"/>
    <w:rsid w:val="00F72A6A"/>
    <w:rsid w:val="00F72B42"/>
    <w:rsid w:val="00F733F3"/>
    <w:rsid w:val="00F73A39"/>
    <w:rsid w:val="00F7501B"/>
    <w:rsid w:val="00F75238"/>
    <w:rsid w:val="00F75D3A"/>
    <w:rsid w:val="00F762D3"/>
    <w:rsid w:val="00F76796"/>
    <w:rsid w:val="00F77464"/>
    <w:rsid w:val="00F77840"/>
    <w:rsid w:val="00F80139"/>
    <w:rsid w:val="00F80C37"/>
    <w:rsid w:val="00F80DFD"/>
    <w:rsid w:val="00F83D75"/>
    <w:rsid w:val="00F84069"/>
    <w:rsid w:val="00F84BD1"/>
    <w:rsid w:val="00F86C6A"/>
    <w:rsid w:val="00F86FE3"/>
    <w:rsid w:val="00F87191"/>
    <w:rsid w:val="00F87C31"/>
    <w:rsid w:val="00F91162"/>
    <w:rsid w:val="00F9212E"/>
    <w:rsid w:val="00F921FC"/>
    <w:rsid w:val="00F93D34"/>
    <w:rsid w:val="00F965DC"/>
    <w:rsid w:val="00F9688A"/>
    <w:rsid w:val="00F9783F"/>
    <w:rsid w:val="00FA0041"/>
    <w:rsid w:val="00FA0329"/>
    <w:rsid w:val="00FA0B42"/>
    <w:rsid w:val="00FA18BA"/>
    <w:rsid w:val="00FA1E60"/>
    <w:rsid w:val="00FA2C86"/>
    <w:rsid w:val="00FA43D0"/>
    <w:rsid w:val="00FA5634"/>
    <w:rsid w:val="00FA572C"/>
    <w:rsid w:val="00FA5CA2"/>
    <w:rsid w:val="00FA6B8A"/>
    <w:rsid w:val="00FB1C6B"/>
    <w:rsid w:val="00FB1CC9"/>
    <w:rsid w:val="00FB2DB6"/>
    <w:rsid w:val="00FB2FAF"/>
    <w:rsid w:val="00FB366A"/>
    <w:rsid w:val="00FB4397"/>
    <w:rsid w:val="00FB4408"/>
    <w:rsid w:val="00FB57DB"/>
    <w:rsid w:val="00FB58D3"/>
    <w:rsid w:val="00FB6238"/>
    <w:rsid w:val="00FC06E3"/>
    <w:rsid w:val="00FC0A19"/>
    <w:rsid w:val="00FC15F7"/>
    <w:rsid w:val="00FC1FF9"/>
    <w:rsid w:val="00FC22AB"/>
    <w:rsid w:val="00FC42DB"/>
    <w:rsid w:val="00FC44E6"/>
    <w:rsid w:val="00FC45B6"/>
    <w:rsid w:val="00FC45C4"/>
    <w:rsid w:val="00FC594B"/>
    <w:rsid w:val="00FC6819"/>
    <w:rsid w:val="00FC6C2E"/>
    <w:rsid w:val="00FD058C"/>
    <w:rsid w:val="00FD0DA5"/>
    <w:rsid w:val="00FD18FE"/>
    <w:rsid w:val="00FD1CC6"/>
    <w:rsid w:val="00FD39D3"/>
    <w:rsid w:val="00FD3A75"/>
    <w:rsid w:val="00FD55DD"/>
    <w:rsid w:val="00FD5F95"/>
    <w:rsid w:val="00FD72A5"/>
    <w:rsid w:val="00FD7841"/>
    <w:rsid w:val="00FE0003"/>
    <w:rsid w:val="00FE0225"/>
    <w:rsid w:val="00FE033D"/>
    <w:rsid w:val="00FE0D6E"/>
    <w:rsid w:val="00FE0F98"/>
    <w:rsid w:val="00FE109A"/>
    <w:rsid w:val="00FE17CA"/>
    <w:rsid w:val="00FE2431"/>
    <w:rsid w:val="00FE4C58"/>
    <w:rsid w:val="00FE5C1E"/>
    <w:rsid w:val="00FE6746"/>
    <w:rsid w:val="00FE6F9B"/>
    <w:rsid w:val="00FE78A7"/>
    <w:rsid w:val="00FF06EA"/>
    <w:rsid w:val="00FF0D09"/>
    <w:rsid w:val="00FF2550"/>
    <w:rsid w:val="00FF30DC"/>
    <w:rsid w:val="00FF33C4"/>
    <w:rsid w:val="00FF49AB"/>
    <w:rsid w:val="00FF5DF6"/>
    <w:rsid w:val="00FF610D"/>
    <w:rsid w:val="00FF7550"/>
    <w:rsid w:val="00FF77A8"/>
    <w:rsid w:val="00FF7C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35" w:qFormat="1"/>
    <w:lsdException w:name="annotation reference" w:uiPriority="0"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5A"/>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0"/>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character" w:customStyle="1" w:styleId="Small">
    <w:name w:val="Small"/>
    <w:basedOn w:val="DefaultParagraphFont"/>
    <w:uiPriority w:val="4"/>
    <w:qFormat/>
    <w:rsid w:val="004B3CEE"/>
    <w:rPr>
      <w:rFonts w:ascii="Calibri" w:hAnsi="Calibri"/>
      <w:sz w:val="20"/>
    </w:rPr>
  </w:style>
  <w:style w:type="character" w:customStyle="1" w:styleId="TableTextChar">
    <w:name w:val="Table Text Char"/>
    <w:link w:val="TableText"/>
    <w:rsid w:val="00C72C64"/>
    <w:rPr>
      <w:rFonts w:ascii="Arial Narrow" w:hAnsi="Arial Narrow"/>
      <w:sz w:val="20"/>
    </w:rPr>
  </w:style>
  <w:style w:type="paragraph" w:customStyle="1" w:styleId="Tablenotes1">
    <w:name w:val="Table notes"/>
    <w:basedOn w:val="Normal"/>
    <w:qFormat/>
    <w:rsid w:val="00C72C64"/>
    <w:pPr>
      <w:keepNext/>
      <w:spacing w:before="0" w:after="240"/>
    </w:pPr>
    <w:rPr>
      <w:rFonts w:ascii="Arial" w:eastAsia="Times New Roman" w:hAnsi="Arial" w:cs="Arial"/>
      <w:sz w:val="18"/>
      <w:lang w:eastAsia="en-AU"/>
    </w:rPr>
  </w:style>
  <w:style w:type="character" w:customStyle="1" w:styleId="SmallBold">
    <w:name w:val="Small Bold"/>
    <w:basedOn w:val="Small"/>
    <w:uiPriority w:val="4"/>
    <w:qFormat/>
    <w:rsid w:val="00BE0DA6"/>
    <w:rPr>
      <w:rFonts w:ascii="Calibri" w:hAnsi="Calibri"/>
      <w:b/>
      <w:sz w:val="20"/>
      <w:lang w:val="en-AU"/>
    </w:rPr>
  </w:style>
  <w:style w:type="paragraph" w:customStyle="1" w:styleId="TableCentre">
    <w:name w:val="Table Centre"/>
    <w:basedOn w:val="Normal"/>
    <w:qFormat/>
    <w:rsid w:val="00BE0DA6"/>
    <w:pPr>
      <w:spacing w:before="0" w:after="0"/>
      <w:jc w:val="center"/>
    </w:pPr>
    <w:rPr>
      <w:rFonts w:ascii="Calibri" w:eastAsiaTheme="majorEastAsia" w:hAnsi="Calibri" w:cstheme="majorBidi"/>
      <w:sz w:val="20"/>
      <w:lang w:bidi="en-US"/>
    </w:rPr>
  </w:style>
  <w:style w:type="paragraph" w:customStyle="1" w:styleId="TableLeft">
    <w:name w:val="Table Left"/>
    <w:basedOn w:val="Normal"/>
    <w:link w:val="TableLeftChar"/>
    <w:uiPriority w:val="99"/>
    <w:qFormat/>
    <w:rsid w:val="00BE0DA6"/>
    <w:pPr>
      <w:spacing w:before="0" w:after="0"/>
      <w:jc w:val="left"/>
    </w:pPr>
    <w:rPr>
      <w:rFonts w:ascii="Calibri" w:eastAsia="Times New Roman" w:hAnsi="Calibri" w:cs="Times New Roman"/>
      <w:sz w:val="20"/>
    </w:rPr>
  </w:style>
  <w:style w:type="character" w:customStyle="1" w:styleId="TableLeftChar">
    <w:name w:val="Table Left Char"/>
    <w:basedOn w:val="DefaultParagraphFont"/>
    <w:link w:val="TableLeft"/>
    <w:uiPriority w:val="99"/>
    <w:locked/>
    <w:rsid w:val="00BE0DA6"/>
    <w:rPr>
      <w:rFonts w:ascii="Calibri" w:eastAsia="Times New Roman" w:hAnsi="Calibri" w:cs="Times New Roman"/>
      <w:sz w:val="20"/>
    </w:rPr>
  </w:style>
  <w:style w:type="table" w:customStyle="1" w:styleId="TableGridbeth2">
    <w:name w:val="Table Gridbeth2"/>
    <w:basedOn w:val="TableNormal"/>
    <w:next w:val="TableGrid"/>
    <w:rsid w:val="00846F6B"/>
    <w:pPr>
      <w:spacing w:after="0" w:line="36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
    <w:name w:val="Font"/>
    <w:basedOn w:val="DefaultParagraphFont"/>
    <w:uiPriority w:val="1"/>
    <w:qFormat/>
    <w:rsid w:val="001F5F6C"/>
    <w:rPr>
      <w:rFonts w:ascii="Calibri" w:hAnsi="Calibri"/>
      <w:sz w:val="24"/>
    </w:rPr>
  </w:style>
  <w:style w:type="paragraph" w:customStyle="1" w:styleId="EndNoteBibliographyTitle">
    <w:name w:val="EndNote Bibliography Title"/>
    <w:basedOn w:val="Normal"/>
    <w:link w:val="EndNoteBibliographyTitleChar"/>
    <w:rsid w:val="0040499F"/>
    <w:pPr>
      <w:spacing w:after="0"/>
      <w:jc w:val="center"/>
    </w:pPr>
    <w:rPr>
      <w:rFonts w:ascii="Calibri" w:hAnsi="Calibri"/>
      <w:noProof/>
      <w:lang w:val="en-US"/>
    </w:rPr>
  </w:style>
  <w:style w:type="character" w:customStyle="1" w:styleId="EndNoteBibliographyTitleChar">
    <w:name w:val="EndNote Bibliography Title Char"/>
    <w:basedOn w:val="TableTextChar"/>
    <w:link w:val="EndNoteBibliographyTitle"/>
    <w:rsid w:val="0040499F"/>
    <w:rPr>
      <w:rFonts w:ascii="Calibri" w:hAnsi="Calibri"/>
      <w:noProof/>
      <w:sz w:val="24"/>
      <w:lang w:val="en-US"/>
    </w:rPr>
  </w:style>
  <w:style w:type="paragraph" w:customStyle="1" w:styleId="EndNoteBibliography">
    <w:name w:val="EndNote Bibliography"/>
    <w:basedOn w:val="Normal"/>
    <w:link w:val="EndNoteBibliographyChar"/>
    <w:rsid w:val="0040499F"/>
    <w:rPr>
      <w:rFonts w:ascii="Calibri" w:hAnsi="Calibri"/>
      <w:noProof/>
      <w:lang w:val="en-US"/>
    </w:rPr>
  </w:style>
  <w:style w:type="character" w:customStyle="1" w:styleId="EndNoteBibliographyChar">
    <w:name w:val="EndNote Bibliography Char"/>
    <w:basedOn w:val="TableTextChar"/>
    <w:link w:val="EndNoteBibliography"/>
    <w:rsid w:val="0040499F"/>
    <w:rPr>
      <w:rFonts w:ascii="Calibri" w:hAnsi="Calibri"/>
      <w:noProof/>
      <w:sz w:val="24"/>
      <w:lang w:val="en-US"/>
    </w:rPr>
  </w:style>
  <w:style w:type="paragraph" w:customStyle="1" w:styleId="Table">
    <w:name w:val="Table"/>
    <w:aliases w:val="10 pt  Bold,9 pt"/>
    <w:basedOn w:val="Normal"/>
    <w:link w:val="TableChar"/>
    <w:qFormat/>
    <w:rsid w:val="00630F2F"/>
    <w:pPr>
      <w:spacing w:before="0" w:after="0"/>
      <w:jc w:val="left"/>
    </w:pPr>
    <w:rPr>
      <w:rFonts w:ascii="Calibri" w:eastAsiaTheme="majorEastAsia" w:hAnsi="Calibri" w:cstheme="majorBidi"/>
      <w:sz w:val="20"/>
      <w:lang w:bidi="en-US"/>
    </w:rPr>
  </w:style>
  <w:style w:type="character" w:customStyle="1" w:styleId="TableChar">
    <w:name w:val="Table Char"/>
    <w:basedOn w:val="DefaultParagraphFont"/>
    <w:link w:val="Table"/>
    <w:locked/>
    <w:rsid w:val="00630F2F"/>
    <w:rPr>
      <w:rFonts w:ascii="Calibri" w:eastAsiaTheme="majorEastAsia" w:hAnsi="Calibri" w:cstheme="majorBidi"/>
      <w:sz w:val="20"/>
      <w:lang w:bidi="en-US"/>
    </w:rPr>
  </w:style>
  <w:style w:type="table" w:customStyle="1" w:styleId="GridTableLight">
    <w:name w:val="Grid Table Light"/>
    <w:basedOn w:val="TableNormal"/>
    <w:uiPriority w:val="40"/>
    <w:rsid w:val="00690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ulletList">
    <w:name w:val="Normal Bullet List"/>
    <w:basedOn w:val="Normal"/>
    <w:uiPriority w:val="3"/>
    <w:qFormat/>
    <w:rsid w:val="00690EFE"/>
    <w:pPr>
      <w:numPr>
        <w:numId w:val="23"/>
      </w:numPr>
      <w:spacing w:before="0" w:after="240" w:line="276" w:lineRule="auto"/>
      <w:contextualSpacing/>
      <w:jc w:val="left"/>
    </w:pPr>
    <w:rPr>
      <w:rFonts w:ascii="Calibri" w:eastAsiaTheme="majorEastAsia" w:hAnsi="Calibri" w:cstheme="majorBidi"/>
      <w:lang w:bidi="en-US"/>
    </w:rPr>
  </w:style>
  <w:style w:type="paragraph" w:customStyle="1" w:styleId="NormalBulletList2">
    <w:name w:val="Normal Bullet List 2"/>
    <w:basedOn w:val="NormalBulletList"/>
    <w:qFormat/>
    <w:rsid w:val="00690EFE"/>
    <w:pPr>
      <w:numPr>
        <w:ilvl w:val="1"/>
      </w:numPr>
      <w:spacing w:after="0"/>
      <w:ind w:left="709" w:hanging="357"/>
    </w:pPr>
  </w:style>
  <w:style w:type="character" w:customStyle="1" w:styleId="FontBold">
    <w:name w:val="Font Bold"/>
    <w:basedOn w:val="DefaultParagraphFont"/>
    <w:uiPriority w:val="1"/>
    <w:qFormat/>
    <w:rsid w:val="00482439"/>
    <w:rPr>
      <w:rFonts w:ascii="Arial Narrow" w:hAnsi="Arial Narrow"/>
      <w:b/>
      <w:sz w:val="20"/>
    </w:rPr>
  </w:style>
  <w:style w:type="paragraph" w:customStyle="1" w:styleId="Citationnospacefollowing">
    <w:name w:val="Citation (no space following)"/>
    <w:basedOn w:val="Normal"/>
    <w:qFormat/>
    <w:rsid w:val="00690EFE"/>
    <w:pPr>
      <w:spacing w:before="0" w:after="0"/>
      <w:jc w:val="left"/>
    </w:pPr>
    <w:rPr>
      <w:rFonts w:ascii="Calibri" w:eastAsiaTheme="majorEastAsia" w:hAnsi="Calibri" w:cstheme="majorBidi"/>
      <w:sz w:val="16"/>
      <w:lang w:bidi="en-US"/>
    </w:rPr>
  </w:style>
  <w:style w:type="character" w:customStyle="1" w:styleId="SmallItalics">
    <w:name w:val="Small Italics"/>
    <w:basedOn w:val="DefaultParagraphFont"/>
    <w:uiPriority w:val="4"/>
    <w:qFormat/>
    <w:rsid w:val="00690EFE"/>
    <w:rPr>
      <w:rFonts w:ascii="Calibri" w:hAnsi="Calibri"/>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35" w:qFormat="1"/>
    <w:lsdException w:name="annotation reference" w:uiPriority="0"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5A"/>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0"/>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character" w:customStyle="1" w:styleId="Small">
    <w:name w:val="Small"/>
    <w:basedOn w:val="DefaultParagraphFont"/>
    <w:uiPriority w:val="4"/>
    <w:qFormat/>
    <w:rsid w:val="004B3CEE"/>
    <w:rPr>
      <w:rFonts w:ascii="Calibri" w:hAnsi="Calibri"/>
      <w:sz w:val="20"/>
    </w:rPr>
  </w:style>
  <w:style w:type="character" w:customStyle="1" w:styleId="TableTextChar">
    <w:name w:val="Table Text Char"/>
    <w:link w:val="TableText"/>
    <w:rsid w:val="00C72C64"/>
    <w:rPr>
      <w:rFonts w:ascii="Arial Narrow" w:hAnsi="Arial Narrow"/>
      <w:sz w:val="20"/>
    </w:rPr>
  </w:style>
  <w:style w:type="paragraph" w:customStyle="1" w:styleId="Tablenotes1">
    <w:name w:val="Table notes"/>
    <w:basedOn w:val="Normal"/>
    <w:qFormat/>
    <w:rsid w:val="00C72C64"/>
    <w:pPr>
      <w:keepNext/>
      <w:spacing w:before="0" w:after="240"/>
    </w:pPr>
    <w:rPr>
      <w:rFonts w:ascii="Arial" w:eastAsia="Times New Roman" w:hAnsi="Arial" w:cs="Arial"/>
      <w:sz w:val="18"/>
      <w:lang w:eastAsia="en-AU"/>
    </w:rPr>
  </w:style>
  <w:style w:type="character" w:customStyle="1" w:styleId="SmallBold">
    <w:name w:val="Small Bold"/>
    <w:basedOn w:val="Small"/>
    <w:uiPriority w:val="4"/>
    <w:qFormat/>
    <w:rsid w:val="00BE0DA6"/>
    <w:rPr>
      <w:rFonts w:ascii="Calibri" w:hAnsi="Calibri"/>
      <w:b/>
      <w:sz w:val="20"/>
      <w:lang w:val="en-AU"/>
    </w:rPr>
  </w:style>
  <w:style w:type="paragraph" w:customStyle="1" w:styleId="TableCentre">
    <w:name w:val="Table Centre"/>
    <w:basedOn w:val="Normal"/>
    <w:qFormat/>
    <w:rsid w:val="00BE0DA6"/>
    <w:pPr>
      <w:spacing w:before="0" w:after="0"/>
      <w:jc w:val="center"/>
    </w:pPr>
    <w:rPr>
      <w:rFonts w:ascii="Calibri" w:eastAsiaTheme="majorEastAsia" w:hAnsi="Calibri" w:cstheme="majorBidi"/>
      <w:sz w:val="20"/>
      <w:lang w:bidi="en-US"/>
    </w:rPr>
  </w:style>
  <w:style w:type="paragraph" w:customStyle="1" w:styleId="TableLeft">
    <w:name w:val="Table Left"/>
    <w:basedOn w:val="Normal"/>
    <w:link w:val="TableLeftChar"/>
    <w:uiPriority w:val="99"/>
    <w:qFormat/>
    <w:rsid w:val="00BE0DA6"/>
    <w:pPr>
      <w:spacing w:before="0" w:after="0"/>
      <w:jc w:val="left"/>
    </w:pPr>
    <w:rPr>
      <w:rFonts w:ascii="Calibri" w:eastAsia="Times New Roman" w:hAnsi="Calibri" w:cs="Times New Roman"/>
      <w:sz w:val="20"/>
    </w:rPr>
  </w:style>
  <w:style w:type="character" w:customStyle="1" w:styleId="TableLeftChar">
    <w:name w:val="Table Left Char"/>
    <w:basedOn w:val="DefaultParagraphFont"/>
    <w:link w:val="TableLeft"/>
    <w:uiPriority w:val="99"/>
    <w:locked/>
    <w:rsid w:val="00BE0DA6"/>
    <w:rPr>
      <w:rFonts w:ascii="Calibri" w:eastAsia="Times New Roman" w:hAnsi="Calibri" w:cs="Times New Roman"/>
      <w:sz w:val="20"/>
    </w:rPr>
  </w:style>
  <w:style w:type="table" w:customStyle="1" w:styleId="TableGridbeth2">
    <w:name w:val="Table Gridbeth2"/>
    <w:basedOn w:val="TableNormal"/>
    <w:next w:val="TableGrid"/>
    <w:rsid w:val="00846F6B"/>
    <w:pPr>
      <w:spacing w:after="0" w:line="36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
    <w:name w:val="Font"/>
    <w:basedOn w:val="DefaultParagraphFont"/>
    <w:uiPriority w:val="1"/>
    <w:qFormat/>
    <w:rsid w:val="001F5F6C"/>
    <w:rPr>
      <w:rFonts w:ascii="Calibri" w:hAnsi="Calibri"/>
      <w:sz w:val="24"/>
    </w:rPr>
  </w:style>
  <w:style w:type="paragraph" w:customStyle="1" w:styleId="EndNoteBibliographyTitle">
    <w:name w:val="EndNote Bibliography Title"/>
    <w:basedOn w:val="Normal"/>
    <w:link w:val="EndNoteBibliographyTitleChar"/>
    <w:rsid w:val="0040499F"/>
    <w:pPr>
      <w:spacing w:after="0"/>
      <w:jc w:val="center"/>
    </w:pPr>
    <w:rPr>
      <w:rFonts w:ascii="Calibri" w:hAnsi="Calibri"/>
      <w:noProof/>
      <w:lang w:val="en-US"/>
    </w:rPr>
  </w:style>
  <w:style w:type="character" w:customStyle="1" w:styleId="EndNoteBibliographyTitleChar">
    <w:name w:val="EndNote Bibliography Title Char"/>
    <w:basedOn w:val="TableTextChar"/>
    <w:link w:val="EndNoteBibliographyTitle"/>
    <w:rsid w:val="0040499F"/>
    <w:rPr>
      <w:rFonts w:ascii="Calibri" w:hAnsi="Calibri"/>
      <w:noProof/>
      <w:sz w:val="24"/>
      <w:lang w:val="en-US"/>
    </w:rPr>
  </w:style>
  <w:style w:type="paragraph" w:customStyle="1" w:styleId="EndNoteBibliography">
    <w:name w:val="EndNote Bibliography"/>
    <w:basedOn w:val="Normal"/>
    <w:link w:val="EndNoteBibliographyChar"/>
    <w:rsid w:val="0040499F"/>
    <w:rPr>
      <w:rFonts w:ascii="Calibri" w:hAnsi="Calibri"/>
      <w:noProof/>
      <w:lang w:val="en-US"/>
    </w:rPr>
  </w:style>
  <w:style w:type="character" w:customStyle="1" w:styleId="EndNoteBibliographyChar">
    <w:name w:val="EndNote Bibliography Char"/>
    <w:basedOn w:val="TableTextChar"/>
    <w:link w:val="EndNoteBibliography"/>
    <w:rsid w:val="0040499F"/>
    <w:rPr>
      <w:rFonts w:ascii="Calibri" w:hAnsi="Calibri"/>
      <w:noProof/>
      <w:sz w:val="24"/>
      <w:lang w:val="en-US"/>
    </w:rPr>
  </w:style>
  <w:style w:type="paragraph" w:customStyle="1" w:styleId="Table">
    <w:name w:val="Table"/>
    <w:aliases w:val="10 pt  Bold,9 pt"/>
    <w:basedOn w:val="Normal"/>
    <w:link w:val="TableChar"/>
    <w:qFormat/>
    <w:rsid w:val="00630F2F"/>
    <w:pPr>
      <w:spacing w:before="0" w:after="0"/>
      <w:jc w:val="left"/>
    </w:pPr>
    <w:rPr>
      <w:rFonts w:ascii="Calibri" w:eastAsiaTheme="majorEastAsia" w:hAnsi="Calibri" w:cstheme="majorBidi"/>
      <w:sz w:val="20"/>
      <w:lang w:bidi="en-US"/>
    </w:rPr>
  </w:style>
  <w:style w:type="character" w:customStyle="1" w:styleId="TableChar">
    <w:name w:val="Table Char"/>
    <w:basedOn w:val="DefaultParagraphFont"/>
    <w:link w:val="Table"/>
    <w:locked/>
    <w:rsid w:val="00630F2F"/>
    <w:rPr>
      <w:rFonts w:ascii="Calibri" w:eastAsiaTheme="majorEastAsia" w:hAnsi="Calibri" w:cstheme="majorBidi"/>
      <w:sz w:val="20"/>
      <w:lang w:bidi="en-US"/>
    </w:rPr>
  </w:style>
  <w:style w:type="table" w:customStyle="1" w:styleId="GridTableLight">
    <w:name w:val="Grid Table Light"/>
    <w:basedOn w:val="TableNormal"/>
    <w:uiPriority w:val="40"/>
    <w:rsid w:val="00690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ulletList">
    <w:name w:val="Normal Bullet List"/>
    <w:basedOn w:val="Normal"/>
    <w:uiPriority w:val="3"/>
    <w:qFormat/>
    <w:rsid w:val="00690EFE"/>
    <w:pPr>
      <w:numPr>
        <w:numId w:val="23"/>
      </w:numPr>
      <w:spacing w:before="0" w:after="240" w:line="276" w:lineRule="auto"/>
      <w:contextualSpacing/>
      <w:jc w:val="left"/>
    </w:pPr>
    <w:rPr>
      <w:rFonts w:ascii="Calibri" w:eastAsiaTheme="majorEastAsia" w:hAnsi="Calibri" w:cstheme="majorBidi"/>
      <w:lang w:bidi="en-US"/>
    </w:rPr>
  </w:style>
  <w:style w:type="paragraph" w:customStyle="1" w:styleId="NormalBulletList2">
    <w:name w:val="Normal Bullet List 2"/>
    <w:basedOn w:val="NormalBulletList"/>
    <w:qFormat/>
    <w:rsid w:val="00690EFE"/>
    <w:pPr>
      <w:numPr>
        <w:ilvl w:val="1"/>
      </w:numPr>
      <w:spacing w:after="0"/>
      <w:ind w:left="709" w:hanging="357"/>
    </w:pPr>
  </w:style>
  <w:style w:type="character" w:customStyle="1" w:styleId="FontBold">
    <w:name w:val="Font Bold"/>
    <w:basedOn w:val="DefaultParagraphFont"/>
    <w:uiPriority w:val="1"/>
    <w:qFormat/>
    <w:rsid w:val="00482439"/>
    <w:rPr>
      <w:rFonts w:ascii="Arial Narrow" w:hAnsi="Arial Narrow"/>
      <w:b/>
      <w:sz w:val="20"/>
    </w:rPr>
  </w:style>
  <w:style w:type="paragraph" w:customStyle="1" w:styleId="Citationnospacefollowing">
    <w:name w:val="Citation (no space following)"/>
    <w:basedOn w:val="Normal"/>
    <w:qFormat/>
    <w:rsid w:val="00690EFE"/>
    <w:pPr>
      <w:spacing w:before="0" w:after="0"/>
      <w:jc w:val="left"/>
    </w:pPr>
    <w:rPr>
      <w:rFonts w:ascii="Calibri" w:eastAsiaTheme="majorEastAsia" w:hAnsi="Calibri" w:cstheme="majorBidi"/>
      <w:sz w:val="16"/>
      <w:lang w:bidi="en-US"/>
    </w:rPr>
  </w:style>
  <w:style w:type="character" w:customStyle="1" w:styleId="SmallItalics">
    <w:name w:val="Small Italics"/>
    <w:basedOn w:val="DefaultParagraphFont"/>
    <w:uiPriority w:val="4"/>
    <w:qFormat/>
    <w:rsid w:val="00690EF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88835931">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75786849">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695160096">
      <w:bodyDiv w:val="1"/>
      <w:marLeft w:val="0"/>
      <w:marRight w:val="0"/>
      <w:marTop w:val="0"/>
      <w:marBottom w:val="0"/>
      <w:divBdr>
        <w:top w:val="none" w:sz="0" w:space="0" w:color="auto"/>
        <w:left w:val="none" w:sz="0" w:space="0" w:color="auto"/>
        <w:bottom w:val="none" w:sz="0" w:space="0" w:color="auto"/>
        <w:right w:val="none" w:sz="0" w:space="0" w:color="auto"/>
      </w:divBdr>
    </w:div>
    <w:div w:id="697660323">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05239702">
      <w:bodyDiv w:val="1"/>
      <w:marLeft w:val="0"/>
      <w:marRight w:val="0"/>
      <w:marTop w:val="0"/>
      <w:marBottom w:val="0"/>
      <w:divBdr>
        <w:top w:val="none" w:sz="0" w:space="0" w:color="auto"/>
        <w:left w:val="none" w:sz="0" w:space="0" w:color="auto"/>
        <w:bottom w:val="none" w:sz="0" w:space="0" w:color="auto"/>
        <w:right w:val="none" w:sz="0" w:space="0" w:color="auto"/>
      </w:divBdr>
    </w:div>
    <w:div w:id="1333098257">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88320727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305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48"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uroweb.org/guideline/prostate-cancer/" TargetMode="External"/><Relationship Id="rId1" Type="http://schemas.openxmlformats.org/officeDocument/2006/relationships/hyperlink" Target="http://www.nc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990B1-396F-435D-BC5A-8F34BFEA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10343</Words>
  <Characters>58961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2018-04-04T01:52:00Z</dcterms:created>
  <dcterms:modified xsi:type="dcterms:W3CDTF">2018-04-04T02:23:00Z</dcterms:modified>
</cp:coreProperties>
</file>