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CC4303" w:rsidRDefault="007C3678" w:rsidP="001027AC">
      <w:pPr>
        <w:pStyle w:val="V50Heading1nonumbers"/>
        <w:spacing w:before="120"/>
        <w:ind w:left="709" w:hanging="709"/>
        <w:rPr>
          <w:rFonts w:ascii="Calibri" w:hAnsi="Calibri"/>
          <w:sz w:val="36"/>
        </w:rPr>
      </w:pPr>
      <w:r w:rsidRPr="00CC4303">
        <w:rPr>
          <w:sz w:val="36"/>
        </w:rPr>
        <w:t>5</w:t>
      </w:r>
      <w:r w:rsidR="00C317F3" w:rsidRPr="00CC4303">
        <w:rPr>
          <w:sz w:val="36"/>
        </w:rPr>
        <w:t>.</w:t>
      </w:r>
      <w:r w:rsidRPr="00CC4303">
        <w:rPr>
          <w:sz w:val="36"/>
        </w:rPr>
        <w:t>01</w:t>
      </w:r>
      <w:r w:rsidR="00C317F3" w:rsidRPr="00CC4303">
        <w:rPr>
          <w:sz w:val="36"/>
        </w:rPr>
        <w:tab/>
      </w:r>
      <w:r w:rsidR="00734660" w:rsidRPr="00CC4303">
        <w:rPr>
          <w:sz w:val="36"/>
        </w:rPr>
        <w:t>ADALIMUMAB</w:t>
      </w:r>
      <w:proofErr w:type="gramStart"/>
      <w:r w:rsidR="00C317F3" w:rsidRPr="00CC4303">
        <w:rPr>
          <w:sz w:val="36"/>
        </w:rPr>
        <w:t>,</w:t>
      </w:r>
      <w:proofErr w:type="gramEnd"/>
      <w:r w:rsidR="009D4C2A" w:rsidRPr="00CC4303">
        <w:rPr>
          <w:sz w:val="36"/>
        </w:rPr>
        <w:br/>
      </w:r>
      <w:r w:rsidR="00734660" w:rsidRPr="00CC4303">
        <w:rPr>
          <w:sz w:val="36"/>
        </w:rPr>
        <w:t>40</w:t>
      </w:r>
      <w:r w:rsidR="00606E35" w:rsidRPr="00CC4303">
        <w:rPr>
          <w:sz w:val="36"/>
        </w:rPr>
        <w:t xml:space="preserve"> </w:t>
      </w:r>
      <w:r w:rsidR="00734660" w:rsidRPr="00CC4303">
        <w:rPr>
          <w:sz w:val="36"/>
        </w:rPr>
        <w:t>mg/</w:t>
      </w:r>
      <w:r w:rsidR="000A6309" w:rsidRPr="00CC4303">
        <w:rPr>
          <w:sz w:val="36"/>
        </w:rPr>
        <w:t>0.4</w:t>
      </w:r>
      <w:r w:rsidR="00606E35" w:rsidRPr="00CC4303">
        <w:rPr>
          <w:sz w:val="36"/>
        </w:rPr>
        <w:t xml:space="preserve"> </w:t>
      </w:r>
      <w:r w:rsidR="000A6309" w:rsidRPr="00CC4303">
        <w:rPr>
          <w:sz w:val="36"/>
        </w:rPr>
        <w:t>mL pre-filled syringes</w:t>
      </w:r>
      <w:r w:rsidR="00C317F3" w:rsidRPr="00CC4303">
        <w:rPr>
          <w:sz w:val="36"/>
        </w:rPr>
        <w:t xml:space="preserve">, </w:t>
      </w:r>
      <w:r w:rsidR="000A6309" w:rsidRPr="00CC4303">
        <w:rPr>
          <w:sz w:val="36"/>
        </w:rPr>
        <w:br/>
        <w:t>40</w:t>
      </w:r>
      <w:r w:rsidR="00606E35" w:rsidRPr="00CC4303">
        <w:rPr>
          <w:sz w:val="36"/>
        </w:rPr>
        <w:t xml:space="preserve"> </w:t>
      </w:r>
      <w:r w:rsidR="000A6309" w:rsidRPr="00CC4303">
        <w:rPr>
          <w:sz w:val="36"/>
        </w:rPr>
        <w:t>mg/0.4</w:t>
      </w:r>
      <w:r w:rsidR="00606E35" w:rsidRPr="00CC4303">
        <w:rPr>
          <w:sz w:val="36"/>
        </w:rPr>
        <w:t xml:space="preserve"> </w:t>
      </w:r>
      <w:r w:rsidR="000A6309" w:rsidRPr="00CC4303">
        <w:rPr>
          <w:sz w:val="36"/>
        </w:rPr>
        <w:t>mL pen (cartridge)</w:t>
      </w:r>
      <w:r w:rsidR="009D4C2A" w:rsidRPr="00CC4303">
        <w:rPr>
          <w:sz w:val="36"/>
        </w:rPr>
        <w:br/>
      </w:r>
      <w:r w:rsidR="000A6309" w:rsidRPr="00CC4303">
        <w:rPr>
          <w:sz w:val="36"/>
        </w:rPr>
        <w:t>Humira</w:t>
      </w:r>
      <w:r w:rsidR="00C317F3" w:rsidRPr="00CC4303">
        <w:rPr>
          <w:sz w:val="36"/>
        </w:rPr>
        <w:t xml:space="preserve">®, </w:t>
      </w:r>
      <w:r w:rsidR="000A6309" w:rsidRPr="00CC4303">
        <w:rPr>
          <w:sz w:val="36"/>
        </w:rPr>
        <w:t>Abbvie</w:t>
      </w:r>
      <w:r w:rsidR="000A6309" w:rsidRPr="00CC4303">
        <w:rPr>
          <w:rFonts w:ascii="Calibri" w:hAnsi="Calibri"/>
          <w:sz w:val="36"/>
        </w:rPr>
        <w:t>®</w:t>
      </w:r>
    </w:p>
    <w:p w:rsidR="00C317F3" w:rsidRPr="000F4356" w:rsidRDefault="00C317F3" w:rsidP="002001C6">
      <w:pPr>
        <w:pStyle w:val="Heading1"/>
        <w:ind w:left="709" w:hanging="709"/>
      </w:pPr>
      <w:bookmarkStart w:id="0" w:name="_Toc413139271"/>
      <w:bookmarkStart w:id="1" w:name="_Toc497379027"/>
      <w:r w:rsidRPr="000F4356">
        <w:t xml:space="preserve">Purpose of </w:t>
      </w:r>
      <w:r w:rsidR="00661286" w:rsidRPr="000F4356">
        <w:t>a</w:t>
      </w:r>
      <w:r w:rsidRPr="000F4356">
        <w:t>pplication</w:t>
      </w:r>
      <w:bookmarkEnd w:id="0"/>
      <w:bookmarkEnd w:id="1"/>
    </w:p>
    <w:p w:rsidR="00C317F3" w:rsidRPr="000F4356" w:rsidRDefault="000D7D60" w:rsidP="00EB7056">
      <w:pPr>
        <w:pStyle w:val="ListParagraph"/>
        <w:numPr>
          <w:ilvl w:val="1"/>
          <w:numId w:val="1"/>
        </w:numPr>
        <w:spacing w:before="0" w:after="120"/>
        <w:jc w:val="both"/>
      </w:pPr>
      <w:r w:rsidRPr="000F4356">
        <w:t xml:space="preserve">The submission requested an </w:t>
      </w:r>
      <w:r w:rsidR="00C317F3" w:rsidRPr="000F4356">
        <w:t>Authori</w:t>
      </w:r>
      <w:r w:rsidR="000A6309" w:rsidRPr="000F4356">
        <w:t xml:space="preserve">ty Required, </w:t>
      </w:r>
      <w:r w:rsidR="00CE42EC" w:rsidRPr="000F4356">
        <w:t>General Schedule</w:t>
      </w:r>
      <w:r w:rsidR="00FA4C58" w:rsidRPr="000F4356">
        <w:t xml:space="preserve"> and </w:t>
      </w:r>
      <w:r w:rsidR="00E35F26" w:rsidRPr="000F4356">
        <w:t>Section 100</w:t>
      </w:r>
      <w:r w:rsidR="00CE42EC" w:rsidRPr="000F4356">
        <w:t xml:space="preserve"> (Highly Specialised Drugs Program)</w:t>
      </w:r>
      <w:r w:rsidR="00E35F26" w:rsidRPr="000F4356">
        <w:t xml:space="preserve"> </w:t>
      </w:r>
      <w:r w:rsidR="007D3FDF" w:rsidRPr="000F4356">
        <w:t>listing</w:t>
      </w:r>
      <w:r w:rsidR="00C317F3" w:rsidRPr="000F4356">
        <w:t xml:space="preserve"> for </w:t>
      </w:r>
      <w:r w:rsidR="00FA4C58" w:rsidRPr="000F4356">
        <w:t>adalimumab 40</w:t>
      </w:r>
      <w:r w:rsidR="00EB7056" w:rsidRPr="000F4356">
        <w:t xml:space="preserve"> </w:t>
      </w:r>
      <w:r w:rsidR="00FA4C58" w:rsidRPr="000F4356">
        <w:t>mg/0.4</w:t>
      </w:r>
      <w:r w:rsidR="00EB7056" w:rsidRPr="000F4356">
        <w:t xml:space="preserve"> </w:t>
      </w:r>
      <w:r w:rsidR="00FA4C58" w:rsidRPr="000F4356">
        <w:t>m</w:t>
      </w:r>
      <w:r w:rsidR="00EB7056" w:rsidRPr="000F4356">
        <w:t>L</w:t>
      </w:r>
      <w:r w:rsidR="00C317F3" w:rsidRPr="000F4356">
        <w:t xml:space="preserve"> </w:t>
      </w:r>
      <w:r w:rsidR="00CE42EC" w:rsidRPr="000F4356">
        <w:t>for</w:t>
      </w:r>
      <w:r w:rsidR="00FA4C58" w:rsidRPr="000F4356">
        <w:t xml:space="preserve"> all currently PBS listed adalimumab indications.</w:t>
      </w:r>
    </w:p>
    <w:p w:rsidR="00FA4C58" w:rsidRPr="000F4356" w:rsidRDefault="00FA4C58" w:rsidP="00EB7056">
      <w:pPr>
        <w:pStyle w:val="ListParagraph"/>
        <w:numPr>
          <w:ilvl w:val="1"/>
          <w:numId w:val="1"/>
        </w:numPr>
        <w:spacing w:before="0" w:after="120"/>
        <w:jc w:val="both"/>
      </w:pPr>
      <w:r w:rsidRPr="000F4356">
        <w:t xml:space="preserve">The proposed new formulation of </w:t>
      </w:r>
      <w:r w:rsidR="00EB7056" w:rsidRPr="000F4356">
        <w:t xml:space="preserve">40 </w:t>
      </w:r>
      <w:r w:rsidRPr="000F4356">
        <w:t>mg/0.4</w:t>
      </w:r>
      <w:r w:rsidR="00EB7056" w:rsidRPr="000F4356">
        <w:t xml:space="preserve"> </w:t>
      </w:r>
      <w:r w:rsidRPr="000F4356">
        <w:t xml:space="preserve">mL is a higher concentration of adalimumab </w:t>
      </w:r>
      <w:r w:rsidR="000D7D60" w:rsidRPr="000F4356">
        <w:t>which will replace</w:t>
      </w:r>
      <w:r w:rsidRPr="000F4356">
        <w:t xml:space="preserve"> the currently listed formulation (</w:t>
      </w:r>
      <w:r w:rsidR="00EB7056" w:rsidRPr="000F4356">
        <w:t>40 mg/</w:t>
      </w:r>
      <w:r w:rsidRPr="000F4356">
        <w:t>0.8</w:t>
      </w:r>
      <w:r w:rsidR="00EB7056" w:rsidRPr="000F4356">
        <w:t xml:space="preserve"> </w:t>
      </w:r>
      <w:r w:rsidRPr="000F4356">
        <w:t xml:space="preserve">mL). </w:t>
      </w:r>
      <w:r w:rsidR="009074E3" w:rsidRPr="000F4356">
        <w:t>T</w:t>
      </w:r>
      <w:r w:rsidRPr="000F4356">
        <w:t>he new formulation retains the same dose of the active ingredient</w:t>
      </w:r>
      <w:r w:rsidR="009074E3" w:rsidRPr="000F4356">
        <w:t xml:space="preserve">, adalimumab, and has </w:t>
      </w:r>
      <w:r w:rsidRPr="000F4356">
        <w:t xml:space="preserve">also reduced and removed specific excipients. </w:t>
      </w:r>
      <w:r w:rsidR="00883CC9" w:rsidRPr="000F4356">
        <w:t>Table 1</w:t>
      </w:r>
      <w:r w:rsidRPr="000F4356">
        <w:t xml:space="preserve"> presents the specific differences between the two formulations</w:t>
      </w:r>
      <w:r w:rsidR="00883CC9" w:rsidRPr="000F4356">
        <w:t xml:space="preserve"> in terms of excipients</w:t>
      </w:r>
      <w:r w:rsidRPr="000F4356">
        <w:t xml:space="preserve">. </w:t>
      </w:r>
    </w:p>
    <w:p w:rsidR="00CC4303" w:rsidRPr="00CC4303" w:rsidRDefault="00CC4303" w:rsidP="00CC4303">
      <w:pPr>
        <w:pStyle w:val="Caption"/>
        <w:rPr>
          <w:rFonts w:ascii="Arial Narrow" w:hAnsi="Arial Narrow"/>
        </w:rPr>
      </w:pPr>
      <w:r w:rsidRPr="00CC4303">
        <w:rPr>
          <w:rFonts w:ascii="Arial Narrow" w:hAnsi="Arial Narrow"/>
        </w:rPr>
        <w:t xml:space="preserve">Table </w:t>
      </w:r>
      <w:r w:rsidRPr="00CC4303">
        <w:rPr>
          <w:rFonts w:ascii="Arial Narrow" w:hAnsi="Arial Narrow"/>
        </w:rPr>
        <w:fldChar w:fldCharType="begin"/>
      </w:r>
      <w:r w:rsidRPr="00CC4303">
        <w:rPr>
          <w:rFonts w:ascii="Arial Narrow" w:hAnsi="Arial Narrow"/>
        </w:rPr>
        <w:instrText xml:space="preserve"> SEQ Table \* ARABIC </w:instrText>
      </w:r>
      <w:r w:rsidRPr="00CC4303">
        <w:rPr>
          <w:rFonts w:ascii="Arial Narrow" w:hAnsi="Arial Narrow"/>
        </w:rPr>
        <w:fldChar w:fldCharType="separate"/>
      </w:r>
      <w:r w:rsidR="008B02EB">
        <w:rPr>
          <w:rFonts w:ascii="Arial Narrow" w:hAnsi="Arial Narrow"/>
          <w:noProof/>
        </w:rPr>
        <w:t>1</w:t>
      </w:r>
      <w:r w:rsidRPr="00CC4303">
        <w:rPr>
          <w:rFonts w:ascii="Arial Narrow" w:hAnsi="Arial Narrow"/>
        </w:rPr>
        <w:fldChar w:fldCharType="end"/>
      </w:r>
      <w:r>
        <w:rPr>
          <w:rFonts w:ascii="Arial Narrow" w:hAnsi="Arial Narrow"/>
        </w:rPr>
        <w:t>:</w:t>
      </w:r>
      <w:r w:rsidRPr="00CC4303">
        <w:rPr>
          <w:rFonts w:ascii="Arial Narrow" w:hAnsi="Arial Narrow"/>
        </w:rPr>
        <w:t xml:space="preserve"> Current and proposed adalimumab formulation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rrent and proposed adalimumab formulation details"/>
      </w:tblPr>
      <w:tblGrid>
        <w:gridCol w:w="4338"/>
        <w:gridCol w:w="4904"/>
      </w:tblGrid>
      <w:tr w:rsidR="00FA4C58" w:rsidRPr="000F4356" w:rsidTr="00CC4303">
        <w:trPr>
          <w:cnfStyle w:val="100000000000" w:firstRow="1" w:lastRow="0" w:firstColumn="0" w:lastColumn="0" w:oddVBand="0" w:evenVBand="0" w:oddHBand="0" w:evenHBand="0" w:firstRowFirstColumn="0" w:firstRowLastColumn="0" w:lastRowFirstColumn="0" w:lastRowLastColumn="0"/>
          <w:tblHeader/>
        </w:trPr>
        <w:tc>
          <w:tcPr>
            <w:tcW w:w="4338" w:type="dxa"/>
            <w:shd w:val="clear" w:color="auto" w:fill="auto"/>
          </w:tcPr>
          <w:p w:rsidR="00FA4C58" w:rsidRPr="00FC71BA" w:rsidRDefault="00FA4C58" w:rsidP="00FA4C58">
            <w:pPr>
              <w:jc w:val="both"/>
              <w:rPr>
                <w:rFonts w:ascii="Arial Narrow" w:hAnsi="Arial Narrow"/>
                <w:sz w:val="20"/>
                <w:szCs w:val="20"/>
                <w:lang w:val="en-AU"/>
              </w:rPr>
            </w:pPr>
            <w:r w:rsidRPr="000F4356">
              <w:rPr>
                <w:rFonts w:ascii="Arial Narrow" w:hAnsi="Arial Narrow"/>
                <w:sz w:val="20"/>
                <w:szCs w:val="20"/>
              </w:rPr>
              <w:t>Currently listed formulation (0.4mg/0.8mL)</w:t>
            </w:r>
          </w:p>
        </w:tc>
        <w:tc>
          <w:tcPr>
            <w:tcW w:w="4904" w:type="dxa"/>
            <w:shd w:val="clear" w:color="auto" w:fill="auto"/>
          </w:tcPr>
          <w:p w:rsidR="00FA4C58" w:rsidRPr="00FC71BA" w:rsidRDefault="00FA4C58" w:rsidP="00FA4C58">
            <w:pPr>
              <w:jc w:val="both"/>
              <w:rPr>
                <w:rFonts w:ascii="Arial Narrow" w:hAnsi="Arial Narrow"/>
                <w:sz w:val="20"/>
                <w:szCs w:val="20"/>
                <w:lang w:val="en-AU"/>
              </w:rPr>
            </w:pPr>
            <w:r w:rsidRPr="000F4356">
              <w:rPr>
                <w:rFonts w:ascii="Arial Narrow" w:hAnsi="Arial Narrow"/>
                <w:sz w:val="20"/>
                <w:szCs w:val="20"/>
              </w:rPr>
              <w:t>Proposed higher concentration formulation (0.4mg/0.4mL)</w:t>
            </w:r>
          </w:p>
        </w:tc>
      </w:tr>
      <w:tr w:rsidR="00FA4C58" w:rsidRPr="000F4356" w:rsidTr="00CC4303">
        <w:tc>
          <w:tcPr>
            <w:tcW w:w="4338" w:type="dxa"/>
            <w:shd w:val="clear" w:color="auto" w:fill="auto"/>
          </w:tcPr>
          <w:p w:rsidR="00FA4C58" w:rsidRPr="00FC71BA" w:rsidRDefault="00FA4C58" w:rsidP="00566C0C">
            <w:pPr>
              <w:pStyle w:val="ListParagraph"/>
              <w:numPr>
                <w:ilvl w:val="0"/>
                <w:numId w:val="3"/>
              </w:numPr>
              <w:spacing w:before="0"/>
              <w:ind w:left="274" w:hanging="274"/>
              <w:jc w:val="both"/>
              <w:rPr>
                <w:rFonts w:ascii="Arial Narrow" w:hAnsi="Arial Narrow"/>
                <w:sz w:val="20"/>
                <w:szCs w:val="20"/>
                <w:lang w:val="en-AU"/>
              </w:rPr>
            </w:pPr>
            <w:r w:rsidRPr="000F4356">
              <w:rPr>
                <w:rFonts w:ascii="Arial Narrow" w:hAnsi="Arial Narrow"/>
                <w:sz w:val="20"/>
                <w:szCs w:val="20"/>
              </w:rPr>
              <w:t>Mannitol</w:t>
            </w:r>
          </w:p>
          <w:p w:rsidR="00FA4C58" w:rsidRPr="00FC71BA" w:rsidRDefault="00FA4C58" w:rsidP="00566C0C">
            <w:pPr>
              <w:pStyle w:val="ListParagraph"/>
              <w:numPr>
                <w:ilvl w:val="0"/>
                <w:numId w:val="3"/>
              </w:numPr>
              <w:spacing w:before="0"/>
              <w:ind w:left="274" w:hanging="274"/>
              <w:jc w:val="both"/>
              <w:rPr>
                <w:rFonts w:ascii="Arial Narrow" w:hAnsi="Arial Narrow"/>
                <w:sz w:val="20"/>
                <w:szCs w:val="20"/>
                <w:lang w:val="en-AU"/>
              </w:rPr>
            </w:pPr>
            <w:r w:rsidRPr="000F4356">
              <w:rPr>
                <w:rFonts w:ascii="Arial Narrow" w:hAnsi="Arial Narrow"/>
                <w:sz w:val="20"/>
                <w:szCs w:val="20"/>
              </w:rPr>
              <w:t>Polysorbate 80</w:t>
            </w:r>
          </w:p>
          <w:p w:rsidR="00FA4C58" w:rsidRPr="00FC71BA" w:rsidRDefault="00FA4C58" w:rsidP="00566C0C">
            <w:pPr>
              <w:pStyle w:val="ListParagraph"/>
              <w:numPr>
                <w:ilvl w:val="0"/>
                <w:numId w:val="3"/>
              </w:numPr>
              <w:spacing w:before="0"/>
              <w:ind w:left="274" w:hanging="274"/>
              <w:jc w:val="both"/>
              <w:rPr>
                <w:rFonts w:ascii="Arial Narrow" w:hAnsi="Arial Narrow"/>
                <w:sz w:val="20"/>
                <w:szCs w:val="20"/>
                <w:lang w:val="en-AU"/>
              </w:rPr>
            </w:pPr>
            <w:r w:rsidRPr="000F4356">
              <w:rPr>
                <w:rFonts w:ascii="Arial Narrow" w:hAnsi="Arial Narrow"/>
                <w:sz w:val="20"/>
                <w:szCs w:val="20"/>
              </w:rPr>
              <w:t>Water for injection</w:t>
            </w:r>
          </w:p>
          <w:p w:rsidR="00FA4C58" w:rsidRPr="00FC71BA" w:rsidRDefault="00FA4C58" w:rsidP="00566C0C">
            <w:pPr>
              <w:pStyle w:val="ListParagraph"/>
              <w:numPr>
                <w:ilvl w:val="0"/>
                <w:numId w:val="3"/>
              </w:numPr>
              <w:spacing w:before="0"/>
              <w:ind w:left="274" w:hanging="274"/>
              <w:jc w:val="both"/>
              <w:rPr>
                <w:rFonts w:ascii="Arial Narrow" w:hAnsi="Arial Narrow"/>
                <w:sz w:val="20"/>
                <w:szCs w:val="20"/>
                <w:lang w:val="en-AU"/>
              </w:rPr>
            </w:pPr>
            <w:r w:rsidRPr="000F4356">
              <w:rPr>
                <w:rFonts w:ascii="Arial Narrow" w:hAnsi="Arial Narrow"/>
                <w:sz w:val="20"/>
                <w:szCs w:val="20"/>
              </w:rPr>
              <w:t>Citric acid monohydrate</w:t>
            </w:r>
          </w:p>
          <w:p w:rsidR="00FA4C58" w:rsidRPr="00FC71BA" w:rsidRDefault="00FA4C58" w:rsidP="00566C0C">
            <w:pPr>
              <w:pStyle w:val="ListParagraph"/>
              <w:numPr>
                <w:ilvl w:val="0"/>
                <w:numId w:val="3"/>
              </w:numPr>
              <w:spacing w:before="0"/>
              <w:ind w:left="274" w:hanging="274"/>
              <w:jc w:val="both"/>
              <w:rPr>
                <w:rFonts w:ascii="Arial Narrow" w:hAnsi="Arial Narrow"/>
                <w:sz w:val="20"/>
                <w:szCs w:val="20"/>
                <w:lang w:val="en-AU"/>
              </w:rPr>
            </w:pPr>
            <w:r w:rsidRPr="000F4356">
              <w:rPr>
                <w:rFonts w:ascii="Arial Narrow" w:hAnsi="Arial Narrow"/>
                <w:sz w:val="20"/>
                <w:szCs w:val="20"/>
              </w:rPr>
              <w:t>Sodium citrate</w:t>
            </w:r>
          </w:p>
          <w:p w:rsidR="00FA4C58" w:rsidRPr="00FC71BA" w:rsidRDefault="00FA4C58" w:rsidP="00566C0C">
            <w:pPr>
              <w:pStyle w:val="ListParagraph"/>
              <w:numPr>
                <w:ilvl w:val="0"/>
                <w:numId w:val="3"/>
              </w:numPr>
              <w:spacing w:before="0"/>
              <w:ind w:left="274" w:hanging="274"/>
              <w:jc w:val="both"/>
              <w:rPr>
                <w:rFonts w:ascii="Arial Narrow" w:hAnsi="Arial Narrow"/>
                <w:sz w:val="20"/>
                <w:szCs w:val="20"/>
                <w:lang w:val="en-AU"/>
              </w:rPr>
            </w:pPr>
            <w:r w:rsidRPr="000F4356">
              <w:rPr>
                <w:rFonts w:ascii="Arial Narrow" w:hAnsi="Arial Narrow"/>
                <w:sz w:val="20"/>
                <w:szCs w:val="20"/>
              </w:rPr>
              <w:t>Monobasic sodium phosphate dehydrate</w:t>
            </w:r>
          </w:p>
          <w:p w:rsidR="00FA4C58" w:rsidRPr="00FC71BA" w:rsidRDefault="00FA4C58" w:rsidP="00566C0C">
            <w:pPr>
              <w:pStyle w:val="ListParagraph"/>
              <w:numPr>
                <w:ilvl w:val="0"/>
                <w:numId w:val="3"/>
              </w:numPr>
              <w:spacing w:before="0"/>
              <w:ind w:left="274" w:hanging="274"/>
              <w:jc w:val="both"/>
              <w:rPr>
                <w:rFonts w:ascii="Arial Narrow" w:hAnsi="Arial Narrow"/>
                <w:sz w:val="20"/>
                <w:szCs w:val="20"/>
                <w:lang w:val="en-AU"/>
              </w:rPr>
            </w:pPr>
            <w:r w:rsidRPr="000F4356">
              <w:rPr>
                <w:rFonts w:ascii="Arial Narrow" w:hAnsi="Arial Narrow"/>
                <w:sz w:val="20"/>
                <w:szCs w:val="20"/>
              </w:rPr>
              <w:t>Dibasic sodium phosphate dehydrate</w:t>
            </w:r>
          </w:p>
          <w:p w:rsidR="00FA4C58" w:rsidRPr="00FC71BA" w:rsidRDefault="00FA4C58" w:rsidP="00566C0C">
            <w:pPr>
              <w:pStyle w:val="ListParagraph"/>
              <w:numPr>
                <w:ilvl w:val="0"/>
                <w:numId w:val="3"/>
              </w:numPr>
              <w:spacing w:before="0"/>
              <w:ind w:left="274" w:hanging="274"/>
              <w:jc w:val="both"/>
              <w:rPr>
                <w:rFonts w:ascii="Arial Narrow" w:hAnsi="Arial Narrow"/>
                <w:sz w:val="20"/>
                <w:szCs w:val="20"/>
                <w:lang w:val="en-AU"/>
              </w:rPr>
            </w:pPr>
            <w:r w:rsidRPr="000F4356">
              <w:rPr>
                <w:rFonts w:ascii="Arial Narrow" w:hAnsi="Arial Narrow"/>
                <w:sz w:val="20"/>
                <w:szCs w:val="20"/>
              </w:rPr>
              <w:t>Sodium chloride</w:t>
            </w:r>
          </w:p>
        </w:tc>
        <w:tc>
          <w:tcPr>
            <w:tcW w:w="4904" w:type="dxa"/>
            <w:shd w:val="clear" w:color="auto" w:fill="auto"/>
          </w:tcPr>
          <w:p w:rsidR="00FA4C58" w:rsidRPr="00FC71BA" w:rsidRDefault="00FA4C58" w:rsidP="00566C0C">
            <w:pPr>
              <w:pStyle w:val="ListParagraph"/>
              <w:numPr>
                <w:ilvl w:val="0"/>
                <w:numId w:val="3"/>
              </w:numPr>
              <w:spacing w:before="0"/>
              <w:ind w:left="274" w:hanging="274"/>
              <w:jc w:val="both"/>
              <w:rPr>
                <w:rFonts w:ascii="Arial Narrow" w:hAnsi="Arial Narrow"/>
                <w:sz w:val="20"/>
                <w:szCs w:val="20"/>
                <w:lang w:val="en-AU"/>
              </w:rPr>
            </w:pPr>
            <w:r w:rsidRPr="000F4356">
              <w:rPr>
                <w:rFonts w:ascii="Arial Narrow" w:hAnsi="Arial Narrow"/>
                <w:sz w:val="20"/>
                <w:szCs w:val="20"/>
              </w:rPr>
              <w:t>Mannitol</w:t>
            </w:r>
          </w:p>
          <w:p w:rsidR="00FA4C58" w:rsidRPr="00FC71BA" w:rsidRDefault="00FA4C58" w:rsidP="00566C0C">
            <w:pPr>
              <w:pStyle w:val="ListParagraph"/>
              <w:numPr>
                <w:ilvl w:val="0"/>
                <w:numId w:val="3"/>
              </w:numPr>
              <w:spacing w:before="0"/>
              <w:ind w:left="274" w:hanging="274"/>
              <w:jc w:val="both"/>
              <w:rPr>
                <w:rFonts w:ascii="Arial Narrow" w:hAnsi="Arial Narrow"/>
                <w:sz w:val="20"/>
                <w:szCs w:val="20"/>
                <w:lang w:val="en-AU"/>
              </w:rPr>
            </w:pPr>
            <w:r w:rsidRPr="000F4356">
              <w:rPr>
                <w:rFonts w:ascii="Arial Narrow" w:hAnsi="Arial Narrow"/>
                <w:sz w:val="20"/>
                <w:szCs w:val="20"/>
              </w:rPr>
              <w:t>Polysorbate 80</w:t>
            </w:r>
          </w:p>
          <w:p w:rsidR="00FA4C58" w:rsidRPr="00FC71BA" w:rsidRDefault="00FA4C58" w:rsidP="003F0574">
            <w:pPr>
              <w:pStyle w:val="ListParagraph"/>
              <w:numPr>
                <w:ilvl w:val="0"/>
                <w:numId w:val="3"/>
              </w:numPr>
              <w:spacing w:before="0"/>
              <w:ind w:left="274" w:hanging="274"/>
              <w:jc w:val="both"/>
              <w:rPr>
                <w:rFonts w:ascii="Arial Narrow" w:hAnsi="Arial Narrow"/>
                <w:sz w:val="20"/>
                <w:szCs w:val="20"/>
                <w:lang w:val="en-AU"/>
              </w:rPr>
            </w:pPr>
            <w:r w:rsidRPr="000F4356">
              <w:rPr>
                <w:rFonts w:ascii="Arial Narrow" w:hAnsi="Arial Narrow"/>
                <w:sz w:val="20"/>
                <w:szCs w:val="20"/>
              </w:rPr>
              <w:t>Water for injection</w:t>
            </w:r>
          </w:p>
        </w:tc>
      </w:tr>
    </w:tbl>
    <w:p w:rsidR="00FA4C58" w:rsidRPr="000F4356" w:rsidRDefault="00FA4C58" w:rsidP="00542201">
      <w:pPr>
        <w:pStyle w:val="TableFooter"/>
      </w:pPr>
      <w:r w:rsidRPr="000F4356">
        <w:t xml:space="preserve">Source: Table 1.1, p 9 of the submission.  </w:t>
      </w:r>
      <w:proofErr w:type="gramStart"/>
      <w:r w:rsidRPr="000F4356">
        <w:t>mg</w:t>
      </w:r>
      <w:proofErr w:type="gramEnd"/>
      <w:r w:rsidRPr="000F4356">
        <w:t xml:space="preserve"> = milligram; mL = </w:t>
      </w:r>
      <w:r w:rsidR="007D3FDF" w:rsidRPr="000F4356">
        <w:t>millilitre</w:t>
      </w:r>
    </w:p>
    <w:p w:rsidR="00FA4C58" w:rsidRPr="000F4356" w:rsidRDefault="00FA4C58" w:rsidP="00EB7056">
      <w:pPr>
        <w:pStyle w:val="ListParagraph"/>
        <w:numPr>
          <w:ilvl w:val="1"/>
          <w:numId w:val="1"/>
        </w:numPr>
        <w:spacing w:before="0" w:after="120"/>
        <w:jc w:val="both"/>
      </w:pPr>
      <w:r w:rsidRPr="000F4356">
        <w:t>T</w:t>
      </w:r>
      <w:r w:rsidR="00883CC9" w:rsidRPr="000F4356">
        <w:t>able 2</w:t>
      </w:r>
      <w:r w:rsidRPr="000F4356">
        <w:t xml:space="preserve"> presents key components of the clinical issue addressed by the submission</w:t>
      </w:r>
      <w:r w:rsidR="000D7D60" w:rsidRPr="000F4356">
        <w:t xml:space="preserve">. </w:t>
      </w:r>
    </w:p>
    <w:p w:rsidR="00CC4303" w:rsidRPr="00CC4303" w:rsidRDefault="00CC4303" w:rsidP="00CC4303">
      <w:pPr>
        <w:pStyle w:val="Caption"/>
        <w:rPr>
          <w:rFonts w:ascii="Arial Narrow" w:hAnsi="Arial Narrow"/>
        </w:rPr>
      </w:pPr>
      <w:r w:rsidRPr="00CC4303">
        <w:rPr>
          <w:rFonts w:ascii="Arial Narrow" w:hAnsi="Arial Narrow"/>
        </w:rPr>
        <w:t xml:space="preserve">Table </w:t>
      </w:r>
      <w:r w:rsidRPr="00CC4303">
        <w:rPr>
          <w:rFonts w:ascii="Arial Narrow" w:hAnsi="Arial Narrow"/>
        </w:rPr>
        <w:fldChar w:fldCharType="begin"/>
      </w:r>
      <w:r w:rsidRPr="00CC4303">
        <w:rPr>
          <w:rFonts w:ascii="Arial Narrow" w:hAnsi="Arial Narrow"/>
        </w:rPr>
        <w:instrText xml:space="preserve"> SEQ Table \* ARABIC </w:instrText>
      </w:r>
      <w:r w:rsidRPr="00CC4303">
        <w:rPr>
          <w:rFonts w:ascii="Arial Narrow" w:hAnsi="Arial Narrow"/>
        </w:rPr>
        <w:fldChar w:fldCharType="separate"/>
      </w:r>
      <w:r w:rsidR="008B02EB">
        <w:rPr>
          <w:rFonts w:ascii="Arial Narrow" w:hAnsi="Arial Narrow"/>
          <w:noProof/>
        </w:rPr>
        <w:t>2</w:t>
      </w:r>
      <w:r w:rsidRPr="00CC4303">
        <w:rPr>
          <w:rFonts w:ascii="Arial Narrow" w:hAnsi="Arial Narrow"/>
        </w:rPr>
        <w:fldChar w:fldCharType="end"/>
      </w:r>
      <w:r w:rsidRPr="00CC4303">
        <w:rPr>
          <w:rFonts w:ascii="Arial Narrow" w:hAnsi="Arial Narrow"/>
        </w:rPr>
        <w:t>: Key components of the clinical issue addressed by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components of the clinical issue addressed by the submission"/>
        <w:tblDescription w:val="Population, Intervention, Comparator, Outcomes, Clinical claim"/>
      </w:tblPr>
      <w:tblGrid>
        <w:gridCol w:w="1696"/>
        <w:gridCol w:w="7320"/>
      </w:tblGrid>
      <w:tr w:rsidR="00FA4C58" w:rsidRPr="000F4356" w:rsidTr="00EB7056">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FA4C58" w:rsidRPr="00FC71BA" w:rsidRDefault="00FA4C58" w:rsidP="00FA4C58">
            <w:pPr>
              <w:pStyle w:val="TableText"/>
              <w:rPr>
                <w:szCs w:val="20"/>
                <w:lang w:val="en-AU"/>
              </w:rPr>
            </w:pPr>
            <w:r w:rsidRPr="000F4356">
              <w:t>Component</w:t>
            </w:r>
          </w:p>
        </w:tc>
        <w:tc>
          <w:tcPr>
            <w:tcW w:w="7320" w:type="dxa"/>
            <w:shd w:val="clear" w:color="auto" w:fill="auto"/>
          </w:tcPr>
          <w:p w:rsidR="00FA4C58" w:rsidRPr="00FC71BA" w:rsidRDefault="00FA4C58" w:rsidP="00FA4C58">
            <w:pPr>
              <w:pStyle w:val="TableText"/>
              <w:rPr>
                <w:lang w:val="en-AU"/>
              </w:rPr>
            </w:pPr>
            <w:r w:rsidRPr="000F4356">
              <w:t>Description</w:t>
            </w:r>
          </w:p>
        </w:tc>
      </w:tr>
      <w:tr w:rsidR="00FA4C58" w:rsidRPr="000F4356" w:rsidTr="00EB7056">
        <w:trPr>
          <w:cantSplit/>
        </w:trPr>
        <w:tc>
          <w:tcPr>
            <w:tcW w:w="1696" w:type="dxa"/>
            <w:shd w:val="clear" w:color="auto" w:fill="auto"/>
          </w:tcPr>
          <w:p w:rsidR="00FA4C58" w:rsidRPr="00FC71BA" w:rsidRDefault="00FA4C58" w:rsidP="00FA4C58">
            <w:pPr>
              <w:pStyle w:val="TableText"/>
              <w:rPr>
                <w:lang w:val="en-AU"/>
              </w:rPr>
            </w:pPr>
            <w:r w:rsidRPr="000F4356">
              <w:t>Population</w:t>
            </w:r>
          </w:p>
        </w:tc>
        <w:tc>
          <w:tcPr>
            <w:tcW w:w="7320" w:type="dxa"/>
            <w:shd w:val="clear" w:color="auto" w:fill="auto"/>
          </w:tcPr>
          <w:p w:rsidR="00FA4C58" w:rsidRPr="00FC71BA" w:rsidRDefault="007D3FDF" w:rsidP="003623BD">
            <w:pPr>
              <w:pStyle w:val="TableText"/>
              <w:rPr>
                <w:lang w:val="en-AU"/>
              </w:rPr>
            </w:pPr>
            <w:r w:rsidRPr="000F4356">
              <w:t>All adult and juvenile indications for which adalimumab 40mg/0.8m</w:t>
            </w:r>
            <w:r w:rsidR="00CE42EC" w:rsidRPr="000F4356">
              <w:t>L</w:t>
            </w:r>
            <w:r w:rsidRPr="000F4356">
              <w:t xml:space="preserve"> is currently PBS-listed, which include: severe Crohn’s disease, moderate to severe ulcera</w:t>
            </w:r>
            <w:r w:rsidR="003623BD">
              <w:t>tive colitis,</w:t>
            </w:r>
            <w:r w:rsidRPr="000F4356">
              <w:t xml:space="preserve"> severe active juvenile idiopathic arthritis, complex refractory fistulising Crohn’s disease, severe active rheumatoid arthritis, severe psoriatic arthritis, active</w:t>
            </w:r>
            <w:r w:rsidR="003623BD">
              <w:t xml:space="preserve"> ankylosing spondylitis, severe</w:t>
            </w:r>
            <w:r w:rsidRPr="000F4356">
              <w:t xml:space="preserve"> chronic plaque psoriasis, and moderate to seve</w:t>
            </w:r>
            <w:r w:rsidR="003623BD">
              <w:t xml:space="preserve">re hidradenitis </w:t>
            </w:r>
            <w:r w:rsidRPr="000F4356">
              <w:t>suppurativa</w:t>
            </w:r>
            <w:r w:rsidR="003F0574" w:rsidRPr="000F4356">
              <w:t>.</w:t>
            </w:r>
          </w:p>
        </w:tc>
      </w:tr>
      <w:tr w:rsidR="003F0574" w:rsidRPr="000F4356" w:rsidTr="00EB7056">
        <w:trPr>
          <w:cantSplit/>
        </w:trPr>
        <w:tc>
          <w:tcPr>
            <w:tcW w:w="1696" w:type="dxa"/>
            <w:shd w:val="clear" w:color="auto" w:fill="auto"/>
          </w:tcPr>
          <w:p w:rsidR="003F0574" w:rsidRPr="00FC71BA" w:rsidRDefault="003F0574" w:rsidP="003F0574">
            <w:pPr>
              <w:pStyle w:val="TableText"/>
              <w:rPr>
                <w:lang w:val="en-AU"/>
              </w:rPr>
            </w:pPr>
            <w:r w:rsidRPr="000F4356">
              <w:t>Intervention</w:t>
            </w:r>
          </w:p>
        </w:tc>
        <w:tc>
          <w:tcPr>
            <w:tcW w:w="7320" w:type="dxa"/>
            <w:shd w:val="clear" w:color="auto" w:fill="auto"/>
          </w:tcPr>
          <w:p w:rsidR="003F0574" w:rsidRPr="00FC71BA" w:rsidRDefault="003F0574" w:rsidP="003F0574">
            <w:pPr>
              <w:pStyle w:val="TableText"/>
              <w:rPr>
                <w:lang w:val="en-AU"/>
              </w:rPr>
            </w:pPr>
            <w:r w:rsidRPr="000F4356">
              <w:t>Adalimumab 40 mg/0.4 mL with or without methotrexate</w:t>
            </w:r>
          </w:p>
        </w:tc>
      </w:tr>
      <w:tr w:rsidR="003F0574" w:rsidRPr="000F4356" w:rsidTr="00EB7056">
        <w:trPr>
          <w:cantSplit/>
        </w:trPr>
        <w:tc>
          <w:tcPr>
            <w:tcW w:w="1696" w:type="dxa"/>
            <w:shd w:val="clear" w:color="auto" w:fill="auto"/>
          </w:tcPr>
          <w:p w:rsidR="003F0574" w:rsidRPr="00FC71BA" w:rsidRDefault="003F0574" w:rsidP="003F0574">
            <w:pPr>
              <w:pStyle w:val="TableText"/>
              <w:rPr>
                <w:lang w:val="en-AU"/>
              </w:rPr>
            </w:pPr>
            <w:r w:rsidRPr="000F4356">
              <w:t>Comparator</w:t>
            </w:r>
          </w:p>
        </w:tc>
        <w:tc>
          <w:tcPr>
            <w:tcW w:w="7320" w:type="dxa"/>
            <w:shd w:val="clear" w:color="auto" w:fill="auto"/>
          </w:tcPr>
          <w:p w:rsidR="003F0574" w:rsidRPr="00FC71BA" w:rsidRDefault="003F0574" w:rsidP="003F0574">
            <w:pPr>
              <w:pStyle w:val="TableText"/>
              <w:rPr>
                <w:lang w:val="en-AU"/>
              </w:rPr>
            </w:pPr>
            <w:r w:rsidRPr="000F4356">
              <w:t>Adalimumab 40 mg/0.8 mL with or without methotrexate</w:t>
            </w:r>
          </w:p>
        </w:tc>
      </w:tr>
      <w:tr w:rsidR="00FA4C58" w:rsidRPr="000F4356" w:rsidTr="00EB7056">
        <w:trPr>
          <w:cantSplit/>
        </w:trPr>
        <w:tc>
          <w:tcPr>
            <w:tcW w:w="1696" w:type="dxa"/>
            <w:shd w:val="clear" w:color="auto" w:fill="auto"/>
          </w:tcPr>
          <w:p w:rsidR="00FA4C58" w:rsidRPr="00FC71BA" w:rsidRDefault="00FA4C58" w:rsidP="00FA4C58">
            <w:pPr>
              <w:pStyle w:val="TableText"/>
              <w:rPr>
                <w:lang w:val="en-AU"/>
              </w:rPr>
            </w:pPr>
            <w:r w:rsidRPr="000F4356">
              <w:t>Outcomes</w:t>
            </w:r>
          </w:p>
        </w:tc>
        <w:tc>
          <w:tcPr>
            <w:tcW w:w="7320" w:type="dxa"/>
            <w:shd w:val="clear" w:color="auto" w:fill="auto"/>
          </w:tcPr>
          <w:p w:rsidR="00FA4C58" w:rsidRPr="00FC71BA" w:rsidRDefault="00FA4C58" w:rsidP="00FA4C58">
            <w:pPr>
              <w:pStyle w:val="TableText"/>
              <w:rPr>
                <w:lang w:val="en-AU"/>
              </w:rPr>
            </w:pPr>
            <w:r w:rsidRPr="000F4356">
              <w:t>DAS28-CRP; ACR response; HAQ-DI and SF36 at weeks 12 and 24; injection related pain assessment module (0-cm VAS) immediately after injection</w:t>
            </w:r>
          </w:p>
        </w:tc>
      </w:tr>
      <w:tr w:rsidR="00FA4C58" w:rsidRPr="000F4356" w:rsidTr="00EB7056">
        <w:trPr>
          <w:cantSplit/>
        </w:trPr>
        <w:tc>
          <w:tcPr>
            <w:tcW w:w="1696" w:type="dxa"/>
            <w:shd w:val="clear" w:color="auto" w:fill="auto"/>
          </w:tcPr>
          <w:p w:rsidR="00FA4C58" w:rsidRPr="00FC71BA" w:rsidRDefault="00FA4C58" w:rsidP="00FA4C58">
            <w:pPr>
              <w:pStyle w:val="TableText"/>
              <w:rPr>
                <w:lang w:val="en-AU"/>
              </w:rPr>
            </w:pPr>
            <w:r w:rsidRPr="000F4356">
              <w:t>Clinical claim</w:t>
            </w:r>
          </w:p>
        </w:tc>
        <w:tc>
          <w:tcPr>
            <w:tcW w:w="7320" w:type="dxa"/>
            <w:shd w:val="clear" w:color="auto" w:fill="auto"/>
          </w:tcPr>
          <w:p w:rsidR="00FA4C58" w:rsidRPr="00FC71BA" w:rsidRDefault="003F0574" w:rsidP="009074E3">
            <w:pPr>
              <w:pStyle w:val="TableText"/>
              <w:rPr>
                <w:lang w:val="en-AU"/>
              </w:rPr>
            </w:pPr>
            <w:r w:rsidRPr="000F4356">
              <w:t>Adalimumab 40 mg/0.4 mL is equivalent in terms of comparative effectiveness and equivalent in terms of comparative safety to adalimumab 40 mg/0.8 mL. The trial included as the main evidence base of the submission (Trial M13-390) indicated that “Efficacy was assessed based on the pharmacodynamic variables”, and thus no equivalence or non-inferiority margins were reported. In addition, the proposed formulation reduces pain on injection. The strength of the evidence regarding reduction of pain on injection is debatable, but the submission did not request any price premium over the currently listed formulation, which is appropriate.</w:t>
            </w:r>
            <w:r w:rsidRPr="000F4356">
              <w:rPr>
                <w:i/>
              </w:rPr>
              <w:t xml:space="preserve">  </w:t>
            </w:r>
          </w:p>
        </w:tc>
      </w:tr>
    </w:tbl>
    <w:p w:rsidR="008F4372" w:rsidRPr="000F4356" w:rsidRDefault="00FA4C58" w:rsidP="00542201">
      <w:pPr>
        <w:pStyle w:val="TableFooter"/>
      </w:pPr>
      <w:r w:rsidRPr="000F4356">
        <w:t xml:space="preserve">Source: Table 1.2, p9 of the submission. ACR = American College of Rheumatology; cm = centimetre; DAS-28 = disease activity </w:t>
      </w:r>
      <w:r w:rsidR="009074E3" w:rsidRPr="000F4356">
        <w:t>score</w:t>
      </w:r>
      <w:r w:rsidRPr="000F4356">
        <w:t>;  HAQ-DI = health assessment questionnaire –disability index; mg = milligram; mL = millilitre; PBS = Pharmaceutical Benefit’s Scheme; SF36 = short form 36; VAS = visual analogue scale;</w:t>
      </w:r>
    </w:p>
    <w:p w:rsidR="002001C6" w:rsidRPr="000F4356" w:rsidRDefault="00C317F3" w:rsidP="00CE42EC">
      <w:pPr>
        <w:pStyle w:val="Heading1"/>
        <w:ind w:left="709" w:hanging="709"/>
      </w:pPr>
      <w:bookmarkStart w:id="2" w:name="_Toc413139272"/>
      <w:bookmarkStart w:id="3" w:name="_Toc497379028"/>
      <w:r w:rsidRPr="000F4356">
        <w:lastRenderedPageBreak/>
        <w:t>Requested listing</w:t>
      </w:r>
      <w:bookmarkEnd w:id="2"/>
      <w:bookmarkEnd w:id="3"/>
      <w:r w:rsidR="005C6285" w:rsidRPr="000F4356">
        <w:t xml:space="preserve"> </w:t>
      </w:r>
    </w:p>
    <w:p w:rsidR="009170D7" w:rsidRPr="000F4356" w:rsidRDefault="00FA4C58" w:rsidP="008F4372">
      <w:pPr>
        <w:pStyle w:val="ListParagraph"/>
        <w:numPr>
          <w:ilvl w:val="1"/>
          <w:numId w:val="1"/>
        </w:numPr>
        <w:jc w:val="both"/>
        <w:rPr>
          <w:i/>
        </w:rPr>
      </w:pPr>
      <w:r w:rsidRPr="000F4356">
        <w:t>The requested restrictions for adalimumab 40</w:t>
      </w:r>
      <w:r w:rsidR="00EB7056" w:rsidRPr="000F4356">
        <w:t xml:space="preserve"> </w:t>
      </w:r>
      <w:r w:rsidRPr="000F4356">
        <w:t>m</w:t>
      </w:r>
      <w:r w:rsidR="00EB7056" w:rsidRPr="000F4356">
        <w:t>g</w:t>
      </w:r>
      <w:r w:rsidRPr="000F4356">
        <w:t>/0.4</w:t>
      </w:r>
      <w:r w:rsidR="00EB7056" w:rsidRPr="000F4356">
        <w:t xml:space="preserve"> </w:t>
      </w:r>
      <w:r w:rsidRPr="000F4356">
        <w:t>m</w:t>
      </w:r>
      <w:r w:rsidR="00EB7056" w:rsidRPr="000F4356">
        <w:t>L</w:t>
      </w:r>
      <w:r w:rsidRPr="000F4356">
        <w:t xml:space="preserve"> are identical to those of the 40</w:t>
      </w:r>
      <w:r w:rsidR="00EB7056" w:rsidRPr="000F4356">
        <w:t xml:space="preserve"> </w:t>
      </w:r>
      <w:r w:rsidRPr="000F4356">
        <w:t>m</w:t>
      </w:r>
      <w:r w:rsidR="00EB7056" w:rsidRPr="000F4356">
        <w:t>g</w:t>
      </w:r>
      <w:r w:rsidRPr="000F4356">
        <w:t>/0.8</w:t>
      </w:r>
      <w:r w:rsidR="00EB7056" w:rsidRPr="000F4356">
        <w:t xml:space="preserve"> </w:t>
      </w:r>
      <w:r w:rsidRPr="000F4356">
        <w:t>m</w:t>
      </w:r>
      <w:r w:rsidR="00EB7056" w:rsidRPr="000F4356">
        <w:t>L</w:t>
      </w:r>
      <w:r w:rsidR="002561AB" w:rsidRPr="000F4356">
        <w:t xml:space="preserve"> presentation. </w:t>
      </w:r>
    </w:p>
    <w:p w:rsidR="008F4372" w:rsidRPr="000F4356" w:rsidRDefault="008F4372" w:rsidP="009170D7">
      <w:pPr>
        <w:pStyle w:val="ListParagraph"/>
        <w:ind w:left="576"/>
        <w:jc w:val="both"/>
        <w:rPr>
          <w:i/>
        </w:rPr>
      </w:pPr>
      <w:r w:rsidRPr="000F4356">
        <w:rPr>
          <w:i/>
        </w:rPr>
        <w:t>For more detail on PBAC’s view, see section 7 PBAC outcome.</w:t>
      </w:r>
    </w:p>
    <w:p w:rsidR="00C317F3" w:rsidRPr="000F4356" w:rsidRDefault="00C317F3" w:rsidP="002001C6">
      <w:pPr>
        <w:pStyle w:val="Heading1"/>
        <w:ind w:left="709" w:hanging="709"/>
      </w:pPr>
      <w:bookmarkStart w:id="4" w:name="_Toc413139273"/>
      <w:bookmarkStart w:id="5" w:name="_Toc497379029"/>
      <w:r w:rsidRPr="000F4356">
        <w:t>Background</w:t>
      </w:r>
      <w:bookmarkEnd w:id="4"/>
      <w:bookmarkEnd w:id="5"/>
    </w:p>
    <w:p w:rsidR="0017638E" w:rsidRPr="000F4356" w:rsidRDefault="0017638E" w:rsidP="00DC4850">
      <w:pPr>
        <w:pStyle w:val="BodyText"/>
        <w:rPr>
          <w:rFonts w:asciiTheme="minorHAnsi" w:hAnsiTheme="minorHAnsi"/>
          <w:b/>
          <w:sz w:val="28"/>
        </w:rPr>
      </w:pPr>
      <w:r w:rsidRPr="000F4356">
        <w:rPr>
          <w:rFonts w:asciiTheme="minorHAnsi" w:hAnsiTheme="minorHAnsi"/>
          <w:b/>
          <w:sz w:val="28"/>
        </w:rPr>
        <w:t>Registration status</w:t>
      </w:r>
    </w:p>
    <w:p w:rsidR="008F4372" w:rsidRPr="000F4356" w:rsidRDefault="006F3B63" w:rsidP="009170D7">
      <w:pPr>
        <w:pStyle w:val="ListParagraph"/>
        <w:numPr>
          <w:ilvl w:val="1"/>
          <w:numId w:val="1"/>
        </w:numPr>
        <w:jc w:val="both"/>
      </w:pPr>
      <w:r w:rsidRPr="000F4356">
        <w:t xml:space="preserve">The submission was made under the TGA/PBAC Parallel process. </w:t>
      </w:r>
      <w:r w:rsidR="00CE42EC" w:rsidRPr="000F4356">
        <w:t xml:space="preserve">The </w:t>
      </w:r>
      <w:r w:rsidR="000D7D60" w:rsidRPr="000F4356">
        <w:t xml:space="preserve">product was listed on the ARTG on 16 November 2017. </w:t>
      </w:r>
    </w:p>
    <w:p w:rsidR="00C317F3" w:rsidRPr="000F4356" w:rsidRDefault="00C317F3" w:rsidP="002001C6">
      <w:pPr>
        <w:pStyle w:val="Heading1"/>
        <w:ind w:left="709" w:hanging="709"/>
      </w:pPr>
      <w:bookmarkStart w:id="6" w:name="_Toc497379030"/>
      <w:r w:rsidRPr="000F4356">
        <w:t>Population and disease</w:t>
      </w:r>
      <w:bookmarkEnd w:id="6"/>
    </w:p>
    <w:p w:rsidR="006F3B63" w:rsidRPr="000F4356" w:rsidRDefault="009074E3" w:rsidP="00EB7056">
      <w:pPr>
        <w:pStyle w:val="ListParagraph"/>
        <w:numPr>
          <w:ilvl w:val="1"/>
          <w:numId w:val="1"/>
        </w:numPr>
        <w:jc w:val="both"/>
      </w:pPr>
      <w:r w:rsidRPr="000F4356">
        <w:t>The submission sought listing</w:t>
      </w:r>
      <w:r w:rsidR="006F3B63" w:rsidRPr="000F4356">
        <w:t xml:space="preserve"> of the </w:t>
      </w:r>
      <w:r w:rsidRPr="000F4356">
        <w:t>40</w:t>
      </w:r>
      <w:r w:rsidR="00EB7056" w:rsidRPr="000F4356">
        <w:t xml:space="preserve"> </w:t>
      </w:r>
      <w:r w:rsidRPr="000F4356">
        <w:t>mg/0.4</w:t>
      </w:r>
      <w:r w:rsidR="00EB7056" w:rsidRPr="000F4356">
        <w:t xml:space="preserve"> </w:t>
      </w:r>
      <w:r w:rsidRPr="000F4356">
        <w:t xml:space="preserve">mL </w:t>
      </w:r>
      <w:r w:rsidR="006F3B63" w:rsidRPr="000F4356">
        <w:t xml:space="preserve">formulation </w:t>
      </w:r>
      <w:r w:rsidRPr="000F4356">
        <w:t xml:space="preserve">for all currently PBS listed </w:t>
      </w:r>
      <w:r w:rsidR="006F3B63" w:rsidRPr="000F4356">
        <w:t>indications</w:t>
      </w:r>
      <w:r w:rsidRPr="000F4356">
        <w:t xml:space="preserve"> of adalimumab</w:t>
      </w:r>
      <w:r w:rsidR="00DC4850" w:rsidRPr="000F4356">
        <w:t xml:space="preserve"> 40 mg/0.8 mL</w:t>
      </w:r>
      <w:r w:rsidRPr="000F4356">
        <w:t>.</w:t>
      </w:r>
      <w:r w:rsidR="006F3B63" w:rsidRPr="000F4356">
        <w:t xml:space="preserve"> These include: severe Crohn’s disease; moderate to severe ulcerative colitis; severe active juvenile idiopathic arthritis; complex refractory fistulising Crohn’s disease; severe active rheumatoid arthritis; severe psoriatic arthritis; active ankylosing spondylitis; severe chronic plaque psoriasis; and moderate to severe hidradenitis suppurativa</w:t>
      </w:r>
      <w:r w:rsidR="003F0574" w:rsidRPr="000F4356">
        <w:t>.</w:t>
      </w:r>
      <w:r w:rsidR="007D13A1" w:rsidRPr="000F4356">
        <w:t xml:space="preserve"> </w:t>
      </w:r>
    </w:p>
    <w:p w:rsidR="004B02BA" w:rsidRPr="000F4356" w:rsidRDefault="004B02BA" w:rsidP="00EB7056">
      <w:pPr>
        <w:pStyle w:val="ListParagraph"/>
        <w:numPr>
          <w:ilvl w:val="1"/>
          <w:numId w:val="1"/>
        </w:numPr>
        <w:jc w:val="both"/>
      </w:pPr>
      <w:r w:rsidRPr="000F4356">
        <w:t xml:space="preserve">The submission did not provide evidence of clinical need for a higher concentration formulation of adalimumab. </w:t>
      </w:r>
    </w:p>
    <w:p w:rsidR="008F4372" w:rsidRPr="000F4356" w:rsidRDefault="008F4372" w:rsidP="008F4372">
      <w:pPr>
        <w:pStyle w:val="ListParagraph"/>
        <w:ind w:left="576"/>
        <w:jc w:val="both"/>
        <w:rPr>
          <w:i/>
        </w:rPr>
      </w:pPr>
      <w:r w:rsidRPr="000F4356">
        <w:rPr>
          <w:i/>
        </w:rPr>
        <w:t>For more detail on PBAC’s view, see section 7 PBAC outcome.</w:t>
      </w:r>
    </w:p>
    <w:p w:rsidR="00C317F3" w:rsidRPr="000F4356" w:rsidRDefault="00C317F3" w:rsidP="002001C6">
      <w:pPr>
        <w:pStyle w:val="Heading1"/>
        <w:ind w:left="709" w:hanging="709"/>
      </w:pPr>
      <w:bookmarkStart w:id="7" w:name="_Toc413139275"/>
      <w:bookmarkStart w:id="8" w:name="_Toc497379031"/>
      <w:r w:rsidRPr="000F4356">
        <w:t>Comparator</w:t>
      </w:r>
      <w:bookmarkEnd w:id="7"/>
      <w:bookmarkEnd w:id="8"/>
    </w:p>
    <w:p w:rsidR="0095170D" w:rsidRPr="00FC71BA" w:rsidRDefault="006F3B63" w:rsidP="00883CC9">
      <w:pPr>
        <w:pStyle w:val="ListParagraph"/>
        <w:numPr>
          <w:ilvl w:val="1"/>
          <w:numId w:val="1"/>
        </w:numPr>
        <w:jc w:val="both"/>
      </w:pPr>
      <w:r w:rsidRPr="000F4356">
        <w:t xml:space="preserve">The submission nominated </w:t>
      </w:r>
      <w:r w:rsidR="009074E3" w:rsidRPr="000F4356">
        <w:t>adalimumab 40</w:t>
      </w:r>
      <w:r w:rsidR="00883CC9" w:rsidRPr="000F4356">
        <w:t xml:space="preserve"> </w:t>
      </w:r>
      <w:r w:rsidR="009074E3" w:rsidRPr="000F4356">
        <w:t>mg/0.8</w:t>
      </w:r>
      <w:r w:rsidR="00883CC9" w:rsidRPr="000F4356">
        <w:t xml:space="preserve"> </w:t>
      </w:r>
      <w:r w:rsidR="009074E3" w:rsidRPr="000F4356">
        <w:t xml:space="preserve">mL </w:t>
      </w:r>
      <w:r w:rsidRPr="000F4356">
        <w:t xml:space="preserve">as the comparator. As this is the same active ingredient and the same dose of active ingredient with the only difference being the concentration, and the removal of certain excipients, this is reasonable. </w:t>
      </w:r>
      <w:r w:rsidR="009925DB" w:rsidRPr="000F4356">
        <w:t xml:space="preserve"> </w:t>
      </w:r>
    </w:p>
    <w:p w:rsidR="00C317F3" w:rsidRPr="000F4356" w:rsidRDefault="00C317F3" w:rsidP="002001C6">
      <w:pPr>
        <w:pStyle w:val="Heading1"/>
        <w:ind w:left="709" w:hanging="709"/>
      </w:pPr>
      <w:bookmarkStart w:id="9" w:name="_Toc413139276"/>
      <w:bookmarkStart w:id="10" w:name="_Toc497379032"/>
      <w:r w:rsidRPr="000F4356">
        <w:t>Consideration of the evidence</w:t>
      </w:r>
      <w:bookmarkEnd w:id="9"/>
      <w:bookmarkEnd w:id="10"/>
    </w:p>
    <w:p w:rsidR="008F4372" w:rsidRPr="00CC4303" w:rsidRDefault="008F4372" w:rsidP="00CC4303">
      <w:pPr>
        <w:pStyle w:val="Heading2"/>
      </w:pPr>
      <w:bookmarkStart w:id="11" w:name="_Toc413139277"/>
      <w:bookmarkStart w:id="12" w:name="_Toc497379033"/>
      <w:r w:rsidRPr="00CC4303">
        <w:t>Sponsor hearing</w:t>
      </w:r>
    </w:p>
    <w:p w:rsidR="008F4372" w:rsidRPr="000F4356" w:rsidRDefault="008F4372" w:rsidP="00552D6B">
      <w:pPr>
        <w:pStyle w:val="ListParagraph"/>
        <w:numPr>
          <w:ilvl w:val="1"/>
          <w:numId w:val="1"/>
        </w:numPr>
        <w:jc w:val="both"/>
        <w:rPr>
          <w:rFonts w:cs="Arial"/>
          <w:bCs/>
          <w:snapToGrid w:val="0"/>
        </w:rPr>
      </w:pPr>
      <w:r w:rsidRPr="000F4356">
        <w:rPr>
          <w:rFonts w:cs="Arial"/>
          <w:bCs/>
          <w:snapToGrid w:val="0"/>
        </w:rPr>
        <w:t>There was no hearing for this item.</w:t>
      </w:r>
    </w:p>
    <w:p w:rsidR="008F4372" w:rsidRPr="00CC4303" w:rsidRDefault="008F4372" w:rsidP="00CC4303">
      <w:pPr>
        <w:pStyle w:val="Heading2"/>
      </w:pPr>
      <w:r w:rsidRPr="00CC4303">
        <w:t>Consumer comments</w:t>
      </w:r>
    </w:p>
    <w:p w:rsidR="008F4372" w:rsidRPr="000F4356" w:rsidRDefault="008F4372" w:rsidP="00552D6B">
      <w:pPr>
        <w:pStyle w:val="ListParagraph"/>
        <w:numPr>
          <w:ilvl w:val="1"/>
          <w:numId w:val="1"/>
        </w:numPr>
        <w:jc w:val="both"/>
        <w:rPr>
          <w:rFonts w:cs="Arial"/>
          <w:bCs/>
          <w:snapToGrid w:val="0"/>
        </w:rPr>
      </w:pPr>
      <w:r w:rsidRPr="000F4356">
        <w:rPr>
          <w:rFonts w:cs="Arial"/>
          <w:bCs/>
          <w:snapToGrid w:val="0"/>
        </w:rPr>
        <w:t>The PBAC noted that no consumer comments were received f</w:t>
      </w:r>
      <w:r w:rsidR="000D7D60" w:rsidRPr="000F4356">
        <w:rPr>
          <w:rFonts w:cs="Arial"/>
          <w:bCs/>
          <w:snapToGrid w:val="0"/>
        </w:rPr>
        <w:t>or this item</w:t>
      </w:r>
      <w:r w:rsidRPr="000F4356">
        <w:rPr>
          <w:rFonts w:cs="Arial"/>
          <w:bCs/>
          <w:snapToGrid w:val="0"/>
        </w:rPr>
        <w:t>.</w:t>
      </w:r>
    </w:p>
    <w:p w:rsidR="00C317F3" w:rsidRPr="000F4356" w:rsidRDefault="00C317F3" w:rsidP="00772501">
      <w:pPr>
        <w:pStyle w:val="Heading2"/>
      </w:pPr>
      <w:r w:rsidRPr="000F4356">
        <w:t>Clinical trials</w:t>
      </w:r>
      <w:bookmarkEnd w:id="11"/>
      <w:bookmarkEnd w:id="12"/>
    </w:p>
    <w:p w:rsidR="006F3B63" w:rsidRPr="000F4356" w:rsidRDefault="00C317F3" w:rsidP="00552D6B">
      <w:pPr>
        <w:pStyle w:val="ListParagraph"/>
        <w:numPr>
          <w:ilvl w:val="1"/>
          <w:numId w:val="1"/>
        </w:numPr>
        <w:jc w:val="both"/>
      </w:pPr>
      <w:r w:rsidRPr="000F4356">
        <w:t>The submission</w:t>
      </w:r>
      <w:r w:rsidR="006F3B63" w:rsidRPr="000F4356">
        <w:t xml:space="preserve"> is based on three randomised trials of adalimumab 40</w:t>
      </w:r>
      <w:r w:rsidR="00883CC9" w:rsidRPr="000F4356">
        <w:t xml:space="preserve"> </w:t>
      </w:r>
      <w:r w:rsidR="006F3B63" w:rsidRPr="000F4356">
        <w:t>mg/0.4</w:t>
      </w:r>
      <w:r w:rsidR="00883CC9" w:rsidRPr="000F4356">
        <w:t xml:space="preserve"> </w:t>
      </w:r>
      <w:r w:rsidR="006F3B63" w:rsidRPr="000F4356">
        <w:t>mL versus adalimumab 40</w:t>
      </w:r>
      <w:r w:rsidR="00883CC9" w:rsidRPr="000F4356">
        <w:t xml:space="preserve"> </w:t>
      </w:r>
      <w:r w:rsidR="006F3B63" w:rsidRPr="000F4356">
        <w:t>mg/0.8</w:t>
      </w:r>
      <w:r w:rsidR="00883CC9" w:rsidRPr="000F4356">
        <w:t xml:space="preserve"> </w:t>
      </w:r>
      <w:r w:rsidR="006F3B63" w:rsidRPr="000F4356">
        <w:t xml:space="preserve">mL in patients with rheumatoid arthritis (RA): </w:t>
      </w:r>
    </w:p>
    <w:p w:rsidR="006F3B63" w:rsidRPr="000F4356" w:rsidRDefault="00BA1134" w:rsidP="00883CC9">
      <w:pPr>
        <w:pStyle w:val="ListParagraph"/>
        <w:numPr>
          <w:ilvl w:val="0"/>
          <w:numId w:val="11"/>
        </w:numPr>
        <w:spacing w:before="0" w:after="0"/>
        <w:ind w:left="851" w:hanging="284"/>
        <w:jc w:val="both"/>
      </w:pPr>
      <w:r w:rsidRPr="000F4356">
        <w:t>M13-390 (n=100)</w:t>
      </w:r>
      <w:r w:rsidR="006F3B63" w:rsidRPr="000F4356">
        <w:t>, a double blind, 24 week trial</w:t>
      </w:r>
      <w:r w:rsidRPr="000F4356">
        <w:t xml:space="preserve"> (the submission considered M13-390 and its open extension study</w:t>
      </w:r>
      <w:r w:rsidR="00540B50" w:rsidRPr="000F4356">
        <w:t xml:space="preserve"> (</w:t>
      </w:r>
      <w:r w:rsidRPr="000F4356">
        <w:t>M13-6</w:t>
      </w:r>
      <w:r w:rsidR="00DE21E4" w:rsidRPr="000F4356">
        <w:t>92</w:t>
      </w:r>
      <w:r w:rsidR="00540B50" w:rsidRPr="000F4356">
        <w:t>)</w:t>
      </w:r>
      <w:r w:rsidRPr="000F4356">
        <w:t xml:space="preserve"> to be the same trial)</w:t>
      </w:r>
      <w:r w:rsidR="006F3B63" w:rsidRPr="000F4356">
        <w:t xml:space="preserve"> and;</w:t>
      </w:r>
    </w:p>
    <w:p w:rsidR="006F3B63" w:rsidRPr="000F4356" w:rsidRDefault="006F3B63" w:rsidP="00883CC9">
      <w:pPr>
        <w:pStyle w:val="ListParagraph"/>
        <w:numPr>
          <w:ilvl w:val="0"/>
          <w:numId w:val="11"/>
        </w:numPr>
        <w:spacing w:before="0"/>
        <w:ind w:left="851" w:hanging="284"/>
        <w:jc w:val="both"/>
      </w:pPr>
      <w:r w:rsidRPr="000F4356">
        <w:t>M12-783 (n=</w:t>
      </w:r>
      <w:r w:rsidR="00BA1134" w:rsidRPr="000F4356">
        <w:t>62)</w:t>
      </w:r>
      <w:r w:rsidRPr="000F4356">
        <w:t xml:space="preserve"> and M11-964 </w:t>
      </w:r>
      <w:r w:rsidR="00833A99" w:rsidRPr="000F4356">
        <w:t>(</w:t>
      </w:r>
      <w:r w:rsidRPr="000F4356">
        <w:t>n=</w:t>
      </w:r>
      <w:r w:rsidR="00BA1134" w:rsidRPr="000F4356">
        <w:t>60</w:t>
      </w:r>
      <w:r w:rsidR="00E23360" w:rsidRPr="000F4356">
        <w:t>)</w:t>
      </w:r>
      <w:r w:rsidRPr="000F4356">
        <w:t>, two short t</w:t>
      </w:r>
      <w:r w:rsidR="00883CC9" w:rsidRPr="000F4356">
        <w:t>erm cross over single blind tria</w:t>
      </w:r>
      <w:r w:rsidRPr="000F4356">
        <w:t xml:space="preserve">ls. </w:t>
      </w:r>
    </w:p>
    <w:p w:rsidR="006F3B63" w:rsidRPr="000F4356" w:rsidRDefault="00C317F3" w:rsidP="00552D6B">
      <w:pPr>
        <w:pStyle w:val="ListParagraph"/>
        <w:numPr>
          <w:ilvl w:val="1"/>
          <w:numId w:val="1"/>
        </w:numPr>
        <w:jc w:val="both"/>
      </w:pPr>
      <w:r w:rsidRPr="000F4356">
        <w:lastRenderedPageBreak/>
        <w:t xml:space="preserve">Details of the trials presented in the submission are provided in </w:t>
      </w:r>
      <w:r w:rsidR="00883CC9" w:rsidRPr="000F4356">
        <w:t>Table 3</w:t>
      </w:r>
      <w:r w:rsidRPr="000F4356">
        <w:t xml:space="preserve">.  </w:t>
      </w:r>
    </w:p>
    <w:p w:rsidR="00CC4303" w:rsidRPr="00CC4303" w:rsidRDefault="00CC4303" w:rsidP="00CC4303">
      <w:pPr>
        <w:pStyle w:val="Caption"/>
        <w:rPr>
          <w:rFonts w:ascii="Arial Narrow" w:hAnsi="Arial Narrow"/>
        </w:rPr>
      </w:pPr>
      <w:r w:rsidRPr="00CC4303">
        <w:rPr>
          <w:rFonts w:ascii="Arial Narrow" w:hAnsi="Arial Narrow"/>
        </w:rPr>
        <w:t xml:space="preserve">Table </w:t>
      </w:r>
      <w:r w:rsidRPr="00CC4303">
        <w:rPr>
          <w:rFonts w:ascii="Arial Narrow" w:hAnsi="Arial Narrow"/>
        </w:rPr>
        <w:fldChar w:fldCharType="begin"/>
      </w:r>
      <w:r w:rsidRPr="00CC4303">
        <w:rPr>
          <w:rFonts w:ascii="Arial Narrow" w:hAnsi="Arial Narrow"/>
        </w:rPr>
        <w:instrText xml:space="preserve"> SEQ Table \* ARABIC </w:instrText>
      </w:r>
      <w:r w:rsidRPr="00CC4303">
        <w:rPr>
          <w:rFonts w:ascii="Arial Narrow" w:hAnsi="Arial Narrow"/>
        </w:rPr>
        <w:fldChar w:fldCharType="separate"/>
      </w:r>
      <w:r w:rsidR="008B02EB">
        <w:rPr>
          <w:rFonts w:ascii="Arial Narrow" w:hAnsi="Arial Narrow"/>
          <w:noProof/>
        </w:rPr>
        <w:t>3</w:t>
      </w:r>
      <w:r w:rsidRPr="00CC4303">
        <w:rPr>
          <w:rFonts w:ascii="Arial Narrow" w:hAnsi="Arial Narrow"/>
        </w:rPr>
        <w:fldChar w:fldCharType="end"/>
      </w:r>
      <w:r w:rsidRPr="00CC4303">
        <w:rPr>
          <w:rFonts w:ascii="Arial Narrow" w:hAnsi="Arial Narrow"/>
        </w:rPr>
        <w:t>: Trials and associated reports presented in the submission</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7"/>
        <w:gridCol w:w="6300"/>
        <w:gridCol w:w="1622"/>
      </w:tblGrid>
      <w:tr w:rsidR="006F3B63" w:rsidRPr="000F4356" w:rsidTr="00540B50">
        <w:tc>
          <w:tcPr>
            <w:tcW w:w="569" w:type="pct"/>
            <w:vAlign w:val="center"/>
          </w:tcPr>
          <w:p w:rsidR="006F3B63" w:rsidRPr="000F4356" w:rsidRDefault="006F3B63" w:rsidP="00540B50">
            <w:pPr>
              <w:pStyle w:val="TableText"/>
              <w:rPr>
                <w:b/>
              </w:rPr>
            </w:pPr>
            <w:r w:rsidRPr="000F4356">
              <w:rPr>
                <w:b/>
              </w:rPr>
              <w:t>Trial ID</w:t>
            </w:r>
          </w:p>
        </w:tc>
        <w:tc>
          <w:tcPr>
            <w:tcW w:w="3524" w:type="pct"/>
          </w:tcPr>
          <w:p w:rsidR="006F3B63" w:rsidRPr="000F4356" w:rsidRDefault="006F3B63" w:rsidP="006F3B63">
            <w:pPr>
              <w:pStyle w:val="TableText"/>
              <w:rPr>
                <w:b/>
              </w:rPr>
            </w:pPr>
            <w:r w:rsidRPr="000F4356">
              <w:rPr>
                <w:b/>
              </w:rPr>
              <w:t>Protocol title/ Publication title</w:t>
            </w:r>
          </w:p>
        </w:tc>
        <w:tc>
          <w:tcPr>
            <w:tcW w:w="907" w:type="pct"/>
          </w:tcPr>
          <w:p w:rsidR="006F3B63" w:rsidRPr="000F4356" w:rsidRDefault="006F3B63" w:rsidP="006F3B63">
            <w:pPr>
              <w:pStyle w:val="TableText"/>
              <w:rPr>
                <w:b/>
              </w:rPr>
            </w:pPr>
            <w:r w:rsidRPr="000F4356">
              <w:rPr>
                <w:b/>
              </w:rPr>
              <w:t>Publication citation</w:t>
            </w:r>
          </w:p>
        </w:tc>
      </w:tr>
      <w:tr w:rsidR="006F3B63" w:rsidRPr="000F4356" w:rsidTr="00540B50">
        <w:tc>
          <w:tcPr>
            <w:tcW w:w="5000" w:type="pct"/>
            <w:gridSpan w:val="3"/>
            <w:vAlign w:val="center"/>
          </w:tcPr>
          <w:p w:rsidR="006F3B63" w:rsidRPr="000F4356" w:rsidRDefault="006F3B63" w:rsidP="00540B50">
            <w:pPr>
              <w:pStyle w:val="TableText"/>
              <w:rPr>
                <w:b/>
              </w:rPr>
            </w:pPr>
            <w:r w:rsidRPr="000F4356">
              <w:rPr>
                <w:b/>
              </w:rPr>
              <w:t>Direct randomised trials</w:t>
            </w:r>
          </w:p>
        </w:tc>
      </w:tr>
      <w:tr w:rsidR="006F3B63" w:rsidRPr="000F4356" w:rsidTr="00540B50">
        <w:tc>
          <w:tcPr>
            <w:tcW w:w="569" w:type="pct"/>
            <w:vAlign w:val="center"/>
          </w:tcPr>
          <w:p w:rsidR="006F3B63" w:rsidRPr="000F4356" w:rsidRDefault="006F3B63" w:rsidP="00540B50">
            <w:pPr>
              <w:pStyle w:val="TableText"/>
            </w:pPr>
            <w:r w:rsidRPr="000F4356">
              <w:t>M11-964</w:t>
            </w:r>
          </w:p>
        </w:tc>
        <w:tc>
          <w:tcPr>
            <w:tcW w:w="3524" w:type="pct"/>
          </w:tcPr>
          <w:p w:rsidR="006F3B63" w:rsidRPr="000F4356" w:rsidRDefault="006F3B63" w:rsidP="00540B50">
            <w:pPr>
              <w:pStyle w:val="TableText"/>
            </w:pPr>
            <w:r w:rsidRPr="000F4356">
              <w:t xml:space="preserve">A Multicenter, Randomized, Single-Blind Crossover Study of the Safety and Tolerability of Two Adalimumab Formulations in Adult Subjects with Rheumatoid Arthritis. </w:t>
            </w:r>
          </w:p>
        </w:tc>
        <w:tc>
          <w:tcPr>
            <w:tcW w:w="907" w:type="pct"/>
          </w:tcPr>
          <w:p w:rsidR="006F3B63" w:rsidRPr="000F4356" w:rsidRDefault="006F3B63" w:rsidP="006F3B63">
            <w:pPr>
              <w:pStyle w:val="TableText"/>
            </w:pPr>
            <w:r w:rsidRPr="000F4356">
              <w:t>24 April 2013</w:t>
            </w:r>
          </w:p>
        </w:tc>
      </w:tr>
      <w:tr w:rsidR="006F3B63" w:rsidRPr="000F4356" w:rsidTr="00540B50">
        <w:tc>
          <w:tcPr>
            <w:tcW w:w="569" w:type="pct"/>
            <w:vAlign w:val="center"/>
          </w:tcPr>
          <w:p w:rsidR="006F3B63" w:rsidRPr="000F4356" w:rsidRDefault="006F3B63" w:rsidP="00540B50">
            <w:pPr>
              <w:pStyle w:val="TableText"/>
            </w:pPr>
            <w:r w:rsidRPr="000F4356">
              <w:t xml:space="preserve">M12-783 </w:t>
            </w:r>
          </w:p>
        </w:tc>
        <w:tc>
          <w:tcPr>
            <w:tcW w:w="3524" w:type="pct"/>
          </w:tcPr>
          <w:p w:rsidR="006F3B63" w:rsidRPr="000F4356" w:rsidRDefault="006F3B63" w:rsidP="006F3B63">
            <w:pPr>
              <w:pStyle w:val="TableText"/>
            </w:pPr>
            <w:r w:rsidRPr="000F4356">
              <w:t xml:space="preserve">Multicenter, Randomized, Single-Blind Crossover Study of the Safety and Tolerability of Two Adalimumab Formulations in Adult Subjects with Rheumatoid Arthritis. </w:t>
            </w:r>
          </w:p>
        </w:tc>
        <w:tc>
          <w:tcPr>
            <w:tcW w:w="907" w:type="pct"/>
          </w:tcPr>
          <w:p w:rsidR="006F3B63" w:rsidRPr="000F4356" w:rsidRDefault="006F3B63" w:rsidP="006F3B63">
            <w:pPr>
              <w:pStyle w:val="TableText"/>
            </w:pPr>
            <w:r w:rsidRPr="000F4356">
              <w:t>17 May 2013.</w:t>
            </w:r>
          </w:p>
        </w:tc>
      </w:tr>
      <w:tr w:rsidR="006F3B63" w:rsidRPr="000F4356" w:rsidTr="00540B50">
        <w:tc>
          <w:tcPr>
            <w:tcW w:w="569" w:type="pct"/>
            <w:vAlign w:val="center"/>
          </w:tcPr>
          <w:p w:rsidR="006F3B63" w:rsidRPr="000F4356" w:rsidRDefault="006F3B63" w:rsidP="00540B50">
            <w:pPr>
              <w:pStyle w:val="TableText"/>
            </w:pPr>
            <w:r w:rsidRPr="000F4356">
              <w:t>M13-390</w:t>
            </w:r>
          </w:p>
        </w:tc>
        <w:tc>
          <w:tcPr>
            <w:tcW w:w="3524" w:type="pct"/>
          </w:tcPr>
          <w:p w:rsidR="006F3B63" w:rsidRPr="000F4356" w:rsidRDefault="006F3B63" w:rsidP="006F3B63">
            <w:pPr>
              <w:pStyle w:val="TableText"/>
            </w:pPr>
            <w:r w:rsidRPr="000F4356">
              <w:t xml:space="preserve">Study to Assess Pharmacokinetic, Pharmacodynamic, Safety and Immunogenicity of a New Adalimumab Formulation in Subjects with Active Rheumatoid Arthritis. </w:t>
            </w:r>
          </w:p>
        </w:tc>
        <w:tc>
          <w:tcPr>
            <w:tcW w:w="907" w:type="pct"/>
          </w:tcPr>
          <w:p w:rsidR="006F3B63" w:rsidRPr="000F4356" w:rsidRDefault="006F3B63" w:rsidP="006F3B63">
            <w:pPr>
              <w:pStyle w:val="TableText"/>
            </w:pPr>
            <w:r w:rsidRPr="000F4356">
              <w:t>21 Nov 2014</w:t>
            </w:r>
          </w:p>
        </w:tc>
      </w:tr>
      <w:tr w:rsidR="006F3B63" w:rsidRPr="000F4356" w:rsidTr="00540B50">
        <w:tc>
          <w:tcPr>
            <w:tcW w:w="569" w:type="pct"/>
            <w:vAlign w:val="center"/>
          </w:tcPr>
          <w:p w:rsidR="006F3B63" w:rsidRPr="000F4356" w:rsidRDefault="006F3B63" w:rsidP="00DE21E4">
            <w:pPr>
              <w:pStyle w:val="TableText"/>
            </w:pPr>
            <w:r w:rsidRPr="000F4356">
              <w:t>M13-6</w:t>
            </w:r>
            <w:r w:rsidR="00DE21E4" w:rsidRPr="000F4356">
              <w:t>92</w:t>
            </w:r>
          </w:p>
        </w:tc>
        <w:tc>
          <w:tcPr>
            <w:tcW w:w="3524" w:type="pct"/>
          </w:tcPr>
          <w:p w:rsidR="006F3B63" w:rsidRPr="000F4356" w:rsidRDefault="006F3B63" w:rsidP="00540B50">
            <w:pPr>
              <w:pStyle w:val="TableText"/>
            </w:pPr>
            <w:r w:rsidRPr="000F4356">
              <w:t>A Phase 2b, Multicenter, Open-Label Study in</w:t>
            </w:r>
            <w:r w:rsidR="00540B50" w:rsidRPr="000F4356">
              <w:t xml:space="preserve"> </w:t>
            </w:r>
            <w:r w:rsidRPr="000F4356">
              <w:t>Rheumatoid Arthritis Subjects Who Completed</w:t>
            </w:r>
            <w:r w:rsidR="00540B50" w:rsidRPr="000F4356">
              <w:t xml:space="preserve"> </w:t>
            </w:r>
            <w:r w:rsidRPr="000F4356">
              <w:t xml:space="preserve">Preceding Study M13-390 with Adalimumab. </w:t>
            </w:r>
            <w:r w:rsidR="00540B50" w:rsidRPr="000F4356">
              <w:t xml:space="preserve"> </w:t>
            </w:r>
          </w:p>
        </w:tc>
        <w:tc>
          <w:tcPr>
            <w:tcW w:w="907" w:type="pct"/>
          </w:tcPr>
          <w:p w:rsidR="006F3B63" w:rsidRPr="000F4356" w:rsidRDefault="006F3B63" w:rsidP="006F3B63">
            <w:pPr>
              <w:pStyle w:val="TableText"/>
            </w:pPr>
            <w:r w:rsidRPr="000F4356">
              <w:t>21 Nov 2014</w:t>
            </w:r>
          </w:p>
        </w:tc>
      </w:tr>
      <w:tr w:rsidR="006F3B63" w:rsidRPr="000F4356" w:rsidTr="00540B50">
        <w:tc>
          <w:tcPr>
            <w:tcW w:w="5000" w:type="pct"/>
            <w:gridSpan w:val="3"/>
            <w:vAlign w:val="center"/>
          </w:tcPr>
          <w:p w:rsidR="006F3B63" w:rsidRPr="000F4356" w:rsidRDefault="006F3B63" w:rsidP="00540B50">
            <w:pPr>
              <w:pStyle w:val="TableText"/>
              <w:rPr>
                <w:b/>
              </w:rPr>
            </w:pPr>
            <w:r w:rsidRPr="000F4356">
              <w:rPr>
                <w:b/>
              </w:rPr>
              <w:t>Meta-analyses of direct randomised trials</w:t>
            </w:r>
          </w:p>
        </w:tc>
      </w:tr>
      <w:tr w:rsidR="006F3B63" w:rsidRPr="000F4356" w:rsidTr="00540B50">
        <w:tc>
          <w:tcPr>
            <w:tcW w:w="569" w:type="pct"/>
            <w:vMerge w:val="restart"/>
            <w:vAlign w:val="center"/>
          </w:tcPr>
          <w:p w:rsidR="006F3B63" w:rsidRPr="000F4356" w:rsidRDefault="006F3B63" w:rsidP="00540B50">
            <w:pPr>
              <w:pStyle w:val="TableText"/>
            </w:pPr>
            <w:r w:rsidRPr="000F4356">
              <w:t>Pooled analysis of M12-783 &amp; M11-964</w:t>
            </w:r>
          </w:p>
        </w:tc>
        <w:tc>
          <w:tcPr>
            <w:tcW w:w="3524" w:type="pct"/>
          </w:tcPr>
          <w:p w:rsidR="006F3B63" w:rsidRPr="000F4356" w:rsidRDefault="006F3B63" w:rsidP="006F3B63">
            <w:pPr>
              <w:pStyle w:val="TableText"/>
            </w:pPr>
            <w:r w:rsidRPr="000F4356">
              <w:t>Nash P, Vanhoof J, Hall S, Arulmani U, Tarzynski-Potempa R, Unnebrink K, Payne AN, Alfred Cividino Randomized crossover comparison of injection site pain with 40 mg/0.4 or 0.8mL formulations of adalimumab in patients with rheumatoid arthritis</w:t>
            </w:r>
          </w:p>
        </w:tc>
        <w:tc>
          <w:tcPr>
            <w:tcW w:w="907" w:type="pct"/>
          </w:tcPr>
          <w:p w:rsidR="006F3B63" w:rsidRPr="000F4356" w:rsidRDefault="006F3B63" w:rsidP="00540B50">
            <w:pPr>
              <w:pStyle w:val="TableText"/>
            </w:pPr>
            <w:r w:rsidRPr="000F4356">
              <w:t>Rheum Ther; 2016; 3: 257-498 (abstract)</w:t>
            </w:r>
          </w:p>
        </w:tc>
      </w:tr>
      <w:tr w:rsidR="006F3B63" w:rsidRPr="000F4356" w:rsidTr="00540B50">
        <w:tc>
          <w:tcPr>
            <w:tcW w:w="569" w:type="pct"/>
            <w:vMerge/>
            <w:vAlign w:val="center"/>
          </w:tcPr>
          <w:p w:rsidR="006F3B63" w:rsidRPr="000F4356" w:rsidRDefault="006F3B63" w:rsidP="00540B50">
            <w:pPr>
              <w:pStyle w:val="TableText"/>
            </w:pPr>
          </w:p>
        </w:tc>
        <w:tc>
          <w:tcPr>
            <w:tcW w:w="3524" w:type="pct"/>
          </w:tcPr>
          <w:p w:rsidR="006F3B63" w:rsidRPr="000F4356" w:rsidRDefault="006F3B63" w:rsidP="006F3B63">
            <w:pPr>
              <w:pStyle w:val="TableText"/>
            </w:pPr>
            <w:r w:rsidRPr="000F4356">
              <w:t>Nash, P., Vanhoof, J., Hall, S., Tarzynski-Potempa, R., Unnebrink, K. &amp; Cividino, A. 2016b. A randomized crossover comparison of injection site pain with 40 mg/0.8 mL and 40 mg/0.4 mL formulations of adalimumab in patients with rheumatoid arthritis</w:t>
            </w:r>
          </w:p>
        </w:tc>
        <w:tc>
          <w:tcPr>
            <w:tcW w:w="907" w:type="pct"/>
          </w:tcPr>
          <w:p w:rsidR="006F3B63" w:rsidRPr="000F4356" w:rsidRDefault="006F3B63" w:rsidP="006F3B63">
            <w:pPr>
              <w:pStyle w:val="TableText"/>
            </w:pPr>
            <w:r w:rsidRPr="000F4356">
              <w:t>Annals of Rheum Dis 2016; 75: 4970498 (abstract)</w:t>
            </w:r>
          </w:p>
        </w:tc>
      </w:tr>
    </w:tbl>
    <w:p w:rsidR="006F3B63" w:rsidRPr="000F4356" w:rsidRDefault="006F3B63" w:rsidP="006F3B63">
      <w:pPr>
        <w:pStyle w:val="TableFooter"/>
      </w:pPr>
      <w:r w:rsidRPr="000F4356">
        <w:t xml:space="preserve">Source: Table 2.4, p31 of the submission. </w:t>
      </w:r>
    </w:p>
    <w:p w:rsidR="00C317F3" w:rsidRPr="000F4356" w:rsidRDefault="00C317F3" w:rsidP="00552D6B">
      <w:pPr>
        <w:pStyle w:val="ListParagraph"/>
        <w:numPr>
          <w:ilvl w:val="1"/>
          <w:numId w:val="1"/>
        </w:numPr>
        <w:jc w:val="both"/>
      </w:pPr>
      <w:r w:rsidRPr="000F4356">
        <w:t>The key features</w:t>
      </w:r>
      <w:r w:rsidR="00E23360" w:rsidRPr="000F4356">
        <w:t xml:space="preserve"> of the direct randomised trials</w:t>
      </w:r>
      <w:r w:rsidRPr="000F4356">
        <w:t xml:space="preserve"> are summarised in </w:t>
      </w:r>
      <w:r w:rsidR="00883CC9" w:rsidRPr="000F4356">
        <w:t>Table 4</w:t>
      </w:r>
      <w:r w:rsidRPr="000F4356">
        <w:t xml:space="preserve">.  </w:t>
      </w:r>
    </w:p>
    <w:p w:rsidR="00CC4303" w:rsidRPr="00CC4303" w:rsidRDefault="00CC4303" w:rsidP="00CC4303">
      <w:pPr>
        <w:pStyle w:val="Caption"/>
        <w:rPr>
          <w:rFonts w:ascii="Arial Narrow" w:hAnsi="Arial Narrow"/>
        </w:rPr>
      </w:pPr>
      <w:r w:rsidRPr="00CC4303">
        <w:rPr>
          <w:rFonts w:ascii="Arial Narrow" w:hAnsi="Arial Narrow"/>
        </w:rPr>
        <w:t xml:space="preserve">Table </w:t>
      </w:r>
      <w:r w:rsidRPr="00CC4303">
        <w:rPr>
          <w:rFonts w:ascii="Arial Narrow" w:hAnsi="Arial Narrow"/>
        </w:rPr>
        <w:fldChar w:fldCharType="begin"/>
      </w:r>
      <w:r w:rsidRPr="00CC4303">
        <w:rPr>
          <w:rFonts w:ascii="Arial Narrow" w:hAnsi="Arial Narrow"/>
        </w:rPr>
        <w:instrText xml:space="preserve"> SEQ Table \* ARABIC </w:instrText>
      </w:r>
      <w:r w:rsidRPr="00CC4303">
        <w:rPr>
          <w:rFonts w:ascii="Arial Narrow" w:hAnsi="Arial Narrow"/>
        </w:rPr>
        <w:fldChar w:fldCharType="separate"/>
      </w:r>
      <w:r w:rsidR="008B02EB">
        <w:rPr>
          <w:rFonts w:ascii="Arial Narrow" w:hAnsi="Arial Narrow"/>
          <w:noProof/>
        </w:rPr>
        <w:t>4</w:t>
      </w:r>
      <w:r w:rsidRPr="00CC4303">
        <w:rPr>
          <w:rFonts w:ascii="Arial Narrow" w:hAnsi="Arial Narrow"/>
        </w:rPr>
        <w:fldChar w:fldCharType="end"/>
      </w:r>
      <w:r w:rsidRPr="00CC4303">
        <w:rPr>
          <w:rFonts w:ascii="Arial Narrow" w:hAnsi="Arial Narrow"/>
        </w:rPr>
        <w:t>: Key features of the included evidence, adalimumab 40mg/0.4mL versus 40mg/0.8mL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1"/>
        <w:gridCol w:w="330"/>
        <w:gridCol w:w="1670"/>
        <w:gridCol w:w="818"/>
        <w:gridCol w:w="1222"/>
        <w:gridCol w:w="4461"/>
      </w:tblGrid>
      <w:tr w:rsidR="00E23360" w:rsidRPr="000F4356" w:rsidTr="002561AB">
        <w:tc>
          <w:tcPr>
            <w:tcW w:w="0" w:type="auto"/>
            <w:shd w:val="clear" w:color="auto" w:fill="auto"/>
            <w:vAlign w:val="center"/>
          </w:tcPr>
          <w:p w:rsidR="00E23360" w:rsidRPr="000F4356" w:rsidRDefault="00E23360" w:rsidP="00E23360">
            <w:pPr>
              <w:pStyle w:val="TableText"/>
              <w:rPr>
                <w:b/>
              </w:rPr>
            </w:pPr>
            <w:r w:rsidRPr="000F4356">
              <w:rPr>
                <w:b/>
              </w:rPr>
              <w:t>Trial</w:t>
            </w:r>
          </w:p>
        </w:tc>
        <w:tc>
          <w:tcPr>
            <w:tcW w:w="0" w:type="auto"/>
            <w:shd w:val="clear" w:color="auto" w:fill="auto"/>
            <w:vAlign w:val="center"/>
          </w:tcPr>
          <w:p w:rsidR="00E23360" w:rsidRPr="000F4356" w:rsidRDefault="00E23360" w:rsidP="00883CC9">
            <w:pPr>
              <w:pStyle w:val="TableText"/>
              <w:jc w:val="center"/>
              <w:rPr>
                <w:b/>
              </w:rPr>
            </w:pPr>
            <w:r w:rsidRPr="000F4356">
              <w:rPr>
                <w:b/>
              </w:rPr>
              <w:t>N</w:t>
            </w:r>
          </w:p>
        </w:tc>
        <w:tc>
          <w:tcPr>
            <w:tcW w:w="0" w:type="auto"/>
            <w:shd w:val="clear" w:color="auto" w:fill="auto"/>
            <w:vAlign w:val="center"/>
          </w:tcPr>
          <w:p w:rsidR="00E23360" w:rsidRPr="000F4356" w:rsidRDefault="00E23360" w:rsidP="00883CC9">
            <w:pPr>
              <w:pStyle w:val="TableText"/>
              <w:jc w:val="center"/>
              <w:rPr>
                <w:b/>
              </w:rPr>
            </w:pPr>
            <w:r w:rsidRPr="000F4356">
              <w:rPr>
                <w:b/>
              </w:rPr>
              <w:t>Design/ duration of follow-up</w:t>
            </w:r>
          </w:p>
        </w:tc>
        <w:tc>
          <w:tcPr>
            <w:tcW w:w="0" w:type="auto"/>
            <w:shd w:val="clear" w:color="auto" w:fill="auto"/>
            <w:vAlign w:val="center"/>
          </w:tcPr>
          <w:p w:rsidR="00E23360" w:rsidRPr="000F4356" w:rsidRDefault="00E23360" w:rsidP="00883CC9">
            <w:pPr>
              <w:pStyle w:val="TableText"/>
              <w:jc w:val="center"/>
              <w:rPr>
                <w:b/>
              </w:rPr>
            </w:pPr>
            <w:r w:rsidRPr="000F4356">
              <w:rPr>
                <w:b/>
              </w:rPr>
              <w:t>Risk of bias</w:t>
            </w:r>
          </w:p>
        </w:tc>
        <w:tc>
          <w:tcPr>
            <w:tcW w:w="0" w:type="auto"/>
            <w:shd w:val="clear" w:color="auto" w:fill="auto"/>
            <w:vAlign w:val="center"/>
          </w:tcPr>
          <w:p w:rsidR="00E23360" w:rsidRPr="000F4356" w:rsidRDefault="00E23360" w:rsidP="00883CC9">
            <w:pPr>
              <w:pStyle w:val="TableText"/>
              <w:jc w:val="center"/>
              <w:rPr>
                <w:b/>
              </w:rPr>
            </w:pPr>
            <w:r w:rsidRPr="000F4356">
              <w:rPr>
                <w:b/>
              </w:rPr>
              <w:t>Patient population</w:t>
            </w:r>
          </w:p>
        </w:tc>
        <w:tc>
          <w:tcPr>
            <w:tcW w:w="0" w:type="auto"/>
            <w:shd w:val="clear" w:color="auto" w:fill="auto"/>
            <w:vAlign w:val="center"/>
          </w:tcPr>
          <w:p w:rsidR="00E23360" w:rsidRPr="000F4356" w:rsidRDefault="00E23360" w:rsidP="00883CC9">
            <w:pPr>
              <w:pStyle w:val="TableText"/>
              <w:jc w:val="center"/>
              <w:rPr>
                <w:b/>
              </w:rPr>
            </w:pPr>
            <w:r w:rsidRPr="000F4356">
              <w:rPr>
                <w:b/>
              </w:rPr>
              <w:t>Outcomes</w:t>
            </w:r>
          </w:p>
        </w:tc>
      </w:tr>
      <w:tr w:rsidR="00E23360" w:rsidRPr="000F4356" w:rsidTr="002561AB">
        <w:tc>
          <w:tcPr>
            <w:tcW w:w="0" w:type="auto"/>
            <w:shd w:val="clear" w:color="auto" w:fill="auto"/>
            <w:vAlign w:val="center"/>
          </w:tcPr>
          <w:p w:rsidR="00E23360" w:rsidRPr="000F4356" w:rsidRDefault="00E23360" w:rsidP="00E23360">
            <w:pPr>
              <w:pStyle w:val="TableText"/>
            </w:pPr>
            <w:r w:rsidRPr="000F4356">
              <w:t>M13-390</w:t>
            </w:r>
          </w:p>
        </w:tc>
        <w:tc>
          <w:tcPr>
            <w:tcW w:w="0" w:type="auto"/>
            <w:shd w:val="clear" w:color="auto" w:fill="auto"/>
            <w:vAlign w:val="center"/>
          </w:tcPr>
          <w:p w:rsidR="00E23360" w:rsidRPr="000F4356" w:rsidRDefault="00E23360" w:rsidP="00883CC9">
            <w:pPr>
              <w:pStyle w:val="TableText"/>
              <w:jc w:val="center"/>
              <w:rPr>
                <w:rFonts w:ascii="Times" w:eastAsia="Times New Roman" w:hAnsi="Times" w:cs="Times New Roman"/>
              </w:rPr>
            </w:pPr>
            <w:r w:rsidRPr="000F4356">
              <w:t>100</w:t>
            </w:r>
          </w:p>
        </w:tc>
        <w:tc>
          <w:tcPr>
            <w:tcW w:w="0" w:type="auto"/>
            <w:shd w:val="clear" w:color="auto" w:fill="auto"/>
            <w:vAlign w:val="center"/>
          </w:tcPr>
          <w:p w:rsidR="00E23360" w:rsidRPr="000F4356" w:rsidRDefault="00E23360" w:rsidP="00883CC9">
            <w:pPr>
              <w:pStyle w:val="TableText"/>
              <w:jc w:val="center"/>
              <w:rPr>
                <w:rFonts w:ascii="Times" w:eastAsia="Times New Roman" w:hAnsi="Times" w:cs="Times New Roman"/>
              </w:rPr>
            </w:pPr>
            <w:r w:rsidRPr="000F4356">
              <w:t>R, DB</w:t>
            </w:r>
          </w:p>
          <w:p w:rsidR="00E23360" w:rsidRPr="000F4356" w:rsidRDefault="00E23360" w:rsidP="00883CC9">
            <w:pPr>
              <w:pStyle w:val="TableText"/>
              <w:jc w:val="center"/>
              <w:rPr>
                <w:rFonts w:ascii="Times" w:eastAsia="Times New Roman" w:hAnsi="Times" w:cs="Times New Roman"/>
              </w:rPr>
            </w:pPr>
            <w:r w:rsidRPr="000F4356">
              <w:t>24 weeks</w:t>
            </w:r>
          </w:p>
        </w:tc>
        <w:tc>
          <w:tcPr>
            <w:tcW w:w="0" w:type="auto"/>
            <w:shd w:val="clear" w:color="auto" w:fill="auto"/>
            <w:vAlign w:val="center"/>
          </w:tcPr>
          <w:p w:rsidR="00E23360" w:rsidRPr="000F4356" w:rsidRDefault="00E23360" w:rsidP="00883CC9">
            <w:pPr>
              <w:pStyle w:val="TableText"/>
              <w:jc w:val="center"/>
              <w:rPr>
                <w:rFonts w:ascii="Times" w:eastAsia="Times New Roman" w:hAnsi="Times" w:cs="Times New Roman"/>
              </w:rPr>
            </w:pPr>
            <w:r w:rsidRPr="000F4356">
              <w:t>Low</w:t>
            </w:r>
          </w:p>
        </w:tc>
        <w:tc>
          <w:tcPr>
            <w:tcW w:w="0" w:type="auto"/>
            <w:vMerge w:val="restart"/>
            <w:shd w:val="clear" w:color="auto" w:fill="auto"/>
            <w:vAlign w:val="center"/>
          </w:tcPr>
          <w:p w:rsidR="00E23360" w:rsidRPr="000F4356" w:rsidRDefault="00E23360" w:rsidP="00883CC9">
            <w:pPr>
              <w:pStyle w:val="TableText"/>
              <w:jc w:val="center"/>
              <w:rPr>
                <w:rFonts w:ascii="Times" w:eastAsia="Times New Roman" w:hAnsi="Times" w:cs="Times New Roman"/>
              </w:rPr>
            </w:pPr>
            <w:r w:rsidRPr="000F4356">
              <w:t>RA</w:t>
            </w:r>
          </w:p>
        </w:tc>
        <w:tc>
          <w:tcPr>
            <w:tcW w:w="0" w:type="auto"/>
            <w:shd w:val="clear" w:color="auto" w:fill="auto"/>
            <w:vAlign w:val="center"/>
          </w:tcPr>
          <w:p w:rsidR="00E23360" w:rsidRPr="000F4356" w:rsidRDefault="00E23360" w:rsidP="00883CC9">
            <w:pPr>
              <w:pStyle w:val="TableText"/>
              <w:jc w:val="center"/>
              <w:rPr>
                <w:rFonts w:ascii="Times" w:eastAsia="Times New Roman" w:hAnsi="Times" w:cs="Times New Roman"/>
              </w:rPr>
            </w:pPr>
            <w:r w:rsidRPr="000F4356">
              <w:t>ACR; DAS28-CRP; HAQ-DI; SF-36; injection site related pain; PK/immunogenicity; PD; safety</w:t>
            </w:r>
          </w:p>
        </w:tc>
      </w:tr>
      <w:tr w:rsidR="00E23360" w:rsidRPr="000F4356" w:rsidTr="002561AB">
        <w:tc>
          <w:tcPr>
            <w:tcW w:w="0" w:type="auto"/>
            <w:shd w:val="clear" w:color="auto" w:fill="auto"/>
            <w:vAlign w:val="center"/>
          </w:tcPr>
          <w:p w:rsidR="00E23360" w:rsidRPr="000F4356" w:rsidRDefault="00E23360" w:rsidP="00E23360">
            <w:pPr>
              <w:pStyle w:val="TableText"/>
              <w:rPr>
                <w:rFonts w:ascii="Times" w:eastAsia="Times New Roman" w:hAnsi="Times" w:cs="Times New Roman"/>
              </w:rPr>
            </w:pPr>
            <w:r w:rsidRPr="000F4356">
              <w:t>M12-783</w:t>
            </w:r>
          </w:p>
        </w:tc>
        <w:tc>
          <w:tcPr>
            <w:tcW w:w="0" w:type="auto"/>
            <w:shd w:val="clear" w:color="auto" w:fill="auto"/>
            <w:vAlign w:val="center"/>
          </w:tcPr>
          <w:p w:rsidR="00E23360" w:rsidRPr="000F4356" w:rsidRDefault="00E23360" w:rsidP="00883CC9">
            <w:pPr>
              <w:pStyle w:val="TableText"/>
              <w:jc w:val="center"/>
              <w:rPr>
                <w:rFonts w:ascii="Times" w:eastAsia="Times New Roman" w:hAnsi="Times" w:cs="Times New Roman"/>
              </w:rPr>
            </w:pPr>
            <w:r w:rsidRPr="000F4356">
              <w:t>62</w:t>
            </w:r>
          </w:p>
        </w:tc>
        <w:tc>
          <w:tcPr>
            <w:tcW w:w="0" w:type="auto"/>
            <w:vMerge w:val="restart"/>
            <w:shd w:val="clear" w:color="auto" w:fill="auto"/>
            <w:vAlign w:val="center"/>
          </w:tcPr>
          <w:p w:rsidR="00E23360" w:rsidRPr="000F4356" w:rsidRDefault="00E23360" w:rsidP="00883CC9">
            <w:pPr>
              <w:pStyle w:val="TableText"/>
              <w:jc w:val="center"/>
              <w:rPr>
                <w:rFonts w:ascii="Times" w:eastAsia="Times New Roman" w:hAnsi="Times" w:cs="Times New Roman"/>
              </w:rPr>
            </w:pPr>
            <w:r w:rsidRPr="000F4356">
              <w:t>R, SB</w:t>
            </w:r>
          </w:p>
          <w:p w:rsidR="00E23360" w:rsidRPr="000F4356" w:rsidRDefault="00E23360" w:rsidP="00883CC9">
            <w:pPr>
              <w:pStyle w:val="TableText"/>
              <w:jc w:val="center"/>
              <w:rPr>
                <w:rFonts w:ascii="Times" w:eastAsia="Times New Roman" w:hAnsi="Times" w:cs="Times New Roman"/>
              </w:rPr>
            </w:pPr>
            <w:r w:rsidRPr="000F4356">
              <w:t>70 days after study drug stopped</w:t>
            </w:r>
          </w:p>
        </w:tc>
        <w:tc>
          <w:tcPr>
            <w:tcW w:w="0" w:type="auto"/>
            <w:vMerge w:val="restart"/>
            <w:shd w:val="clear" w:color="auto" w:fill="auto"/>
            <w:vAlign w:val="center"/>
          </w:tcPr>
          <w:p w:rsidR="00E23360" w:rsidRPr="000F4356" w:rsidRDefault="00E23360" w:rsidP="00883CC9">
            <w:pPr>
              <w:pStyle w:val="TableText"/>
              <w:jc w:val="center"/>
              <w:rPr>
                <w:rFonts w:ascii="Times" w:eastAsia="Times New Roman" w:hAnsi="Times" w:cs="Times New Roman"/>
              </w:rPr>
            </w:pPr>
            <w:r w:rsidRPr="000F4356">
              <w:t>Unclear</w:t>
            </w:r>
          </w:p>
        </w:tc>
        <w:tc>
          <w:tcPr>
            <w:tcW w:w="0" w:type="auto"/>
            <w:vMerge/>
            <w:shd w:val="clear" w:color="auto" w:fill="auto"/>
            <w:vAlign w:val="center"/>
          </w:tcPr>
          <w:p w:rsidR="00E23360" w:rsidRPr="000F4356" w:rsidRDefault="00E23360" w:rsidP="00883CC9">
            <w:pPr>
              <w:pStyle w:val="TableText"/>
              <w:jc w:val="center"/>
              <w:rPr>
                <w:rFonts w:ascii="Times" w:eastAsia="Times New Roman" w:hAnsi="Times" w:cs="Times New Roman"/>
              </w:rPr>
            </w:pPr>
          </w:p>
        </w:tc>
        <w:tc>
          <w:tcPr>
            <w:tcW w:w="0" w:type="auto"/>
            <w:vMerge w:val="restart"/>
            <w:shd w:val="clear" w:color="auto" w:fill="auto"/>
            <w:vAlign w:val="center"/>
          </w:tcPr>
          <w:p w:rsidR="00E23360" w:rsidRPr="000F4356" w:rsidRDefault="00E23360" w:rsidP="00883CC9">
            <w:pPr>
              <w:pStyle w:val="TableText"/>
              <w:jc w:val="center"/>
              <w:rPr>
                <w:rFonts w:ascii="Times" w:eastAsia="Times New Roman" w:hAnsi="Times" w:cs="Times New Roman"/>
              </w:rPr>
            </w:pPr>
            <w:r w:rsidRPr="000F4356">
              <w:t>Immediate pain of injection on a VAS; safety</w:t>
            </w:r>
          </w:p>
        </w:tc>
      </w:tr>
      <w:tr w:rsidR="00E23360" w:rsidRPr="000F4356" w:rsidTr="002561AB">
        <w:tc>
          <w:tcPr>
            <w:tcW w:w="0" w:type="auto"/>
            <w:shd w:val="clear" w:color="auto" w:fill="auto"/>
            <w:vAlign w:val="center"/>
          </w:tcPr>
          <w:p w:rsidR="00E23360" w:rsidRPr="000F4356" w:rsidRDefault="00E23360" w:rsidP="00E23360">
            <w:pPr>
              <w:pStyle w:val="TableText"/>
              <w:rPr>
                <w:rFonts w:ascii="Times" w:eastAsia="Times New Roman" w:hAnsi="Times" w:cs="Times New Roman"/>
              </w:rPr>
            </w:pPr>
            <w:r w:rsidRPr="000F4356">
              <w:t>M11-964</w:t>
            </w:r>
          </w:p>
        </w:tc>
        <w:tc>
          <w:tcPr>
            <w:tcW w:w="0" w:type="auto"/>
            <w:shd w:val="clear" w:color="auto" w:fill="auto"/>
            <w:vAlign w:val="center"/>
          </w:tcPr>
          <w:p w:rsidR="00E23360" w:rsidRPr="000F4356" w:rsidRDefault="00E23360" w:rsidP="003F0574">
            <w:pPr>
              <w:pStyle w:val="TableText"/>
              <w:jc w:val="center"/>
              <w:rPr>
                <w:rFonts w:ascii="Times" w:eastAsia="Times New Roman" w:hAnsi="Times" w:cs="Times New Roman"/>
              </w:rPr>
            </w:pPr>
            <w:r w:rsidRPr="000F4356">
              <w:t>60</w:t>
            </w:r>
          </w:p>
        </w:tc>
        <w:tc>
          <w:tcPr>
            <w:tcW w:w="0" w:type="auto"/>
            <w:vMerge/>
            <w:shd w:val="clear" w:color="auto" w:fill="auto"/>
            <w:vAlign w:val="center"/>
          </w:tcPr>
          <w:p w:rsidR="00E23360" w:rsidRPr="000F4356" w:rsidRDefault="00E23360" w:rsidP="00E23360">
            <w:pPr>
              <w:pStyle w:val="TableText"/>
              <w:rPr>
                <w:rFonts w:ascii="Times" w:eastAsia="Times New Roman" w:hAnsi="Times" w:cs="Times New Roman"/>
              </w:rPr>
            </w:pPr>
          </w:p>
        </w:tc>
        <w:tc>
          <w:tcPr>
            <w:tcW w:w="0" w:type="auto"/>
            <w:vMerge/>
            <w:shd w:val="clear" w:color="auto" w:fill="auto"/>
            <w:vAlign w:val="center"/>
          </w:tcPr>
          <w:p w:rsidR="00E23360" w:rsidRPr="000F4356" w:rsidRDefault="00E23360" w:rsidP="00E23360">
            <w:pPr>
              <w:pStyle w:val="TableText"/>
              <w:rPr>
                <w:rFonts w:ascii="Times" w:eastAsia="Times New Roman" w:hAnsi="Times" w:cs="Times New Roman"/>
              </w:rPr>
            </w:pPr>
          </w:p>
        </w:tc>
        <w:tc>
          <w:tcPr>
            <w:tcW w:w="0" w:type="auto"/>
            <w:vMerge/>
            <w:shd w:val="clear" w:color="auto" w:fill="auto"/>
            <w:vAlign w:val="center"/>
          </w:tcPr>
          <w:p w:rsidR="00E23360" w:rsidRPr="000F4356" w:rsidRDefault="00E23360" w:rsidP="00E23360">
            <w:pPr>
              <w:pStyle w:val="TableText"/>
              <w:rPr>
                <w:rFonts w:ascii="Times" w:eastAsia="Times New Roman" w:hAnsi="Times" w:cs="Times New Roman"/>
              </w:rPr>
            </w:pPr>
          </w:p>
        </w:tc>
        <w:tc>
          <w:tcPr>
            <w:tcW w:w="0" w:type="auto"/>
            <w:vMerge/>
            <w:shd w:val="clear" w:color="auto" w:fill="auto"/>
            <w:vAlign w:val="center"/>
          </w:tcPr>
          <w:p w:rsidR="00E23360" w:rsidRPr="000F4356" w:rsidRDefault="00E23360" w:rsidP="00E23360">
            <w:pPr>
              <w:pStyle w:val="TableText"/>
              <w:rPr>
                <w:rFonts w:ascii="Times" w:eastAsia="Times New Roman" w:hAnsi="Times" w:cs="Times New Roman"/>
              </w:rPr>
            </w:pPr>
          </w:p>
        </w:tc>
      </w:tr>
    </w:tbl>
    <w:p w:rsidR="002561AB" w:rsidRPr="000F4356" w:rsidRDefault="003F0574" w:rsidP="00E23360">
      <w:pPr>
        <w:pStyle w:val="TableFooter"/>
      </w:pPr>
      <w:r w:rsidRPr="000F4356">
        <w:t>Source: compiled during the evaluation</w:t>
      </w:r>
    </w:p>
    <w:p w:rsidR="00E23360" w:rsidRPr="000F4356" w:rsidRDefault="00E23360" w:rsidP="00E23360">
      <w:pPr>
        <w:pStyle w:val="TableFooter"/>
      </w:pPr>
      <w:r w:rsidRPr="000F4356">
        <w:t>DB=double blind; PD=</w:t>
      </w:r>
      <w:r w:rsidR="00883CC9" w:rsidRPr="000F4356">
        <w:t>pharmacodynamics; PK</w:t>
      </w:r>
      <w:r w:rsidRPr="000F4356">
        <w:t xml:space="preserve">=pharmacokinetics </w:t>
      </w:r>
      <w:r w:rsidR="00883CC9" w:rsidRPr="000F4356">
        <w:t>R=randomised; RA=</w:t>
      </w:r>
      <w:r w:rsidRPr="000F4356">
        <w:t>rheumatoid arthritis; SB=single blind</w:t>
      </w:r>
    </w:p>
    <w:p w:rsidR="00E23360" w:rsidRPr="000F4356" w:rsidRDefault="00E23360" w:rsidP="00552D6B">
      <w:pPr>
        <w:pStyle w:val="ListParagraph"/>
        <w:numPr>
          <w:ilvl w:val="1"/>
          <w:numId w:val="1"/>
        </w:numPr>
        <w:jc w:val="both"/>
      </w:pPr>
      <w:r w:rsidRPr="000F4356">
        <w:t>Though no evidence was presented for other indications outside of rheumatoid arthritis, the TGA evaluator considered that the development program was appropriate for the development of a new, higher concentration formulation of an existing strength (40 mg) of adalimumab for all approved adalimumab indications (p20 of CER).</w:t>
      </w:r>
    </w:p>
    <w:p w:rsidR="00C317F3" w:rsidRPr="000F4356" w:rsidRDefault="00C317F3" w:rsidP="00772501">
      <w:pPr>
        <w:pStyle w:val="Heading2"/>
      </w:pPr>
      <w:bookmarkStart w:id="13" w:name="_Toc413139278"/>
      <w:bookmarkStart w:id="14" w:name="_Toc497379034"/>
      <w:r w:rsidRPr="000F4356">
        <w:t>Comparative effectiveness</w:t>
      </w:r>
      <w:bookmarkEnd w:id="13"/>
      <w:bookmarkEnd w:id="14"/>
      <w:r w:rsidRPr="000F4356">
        <w:t xml:space="preserve"> </w:t>
      </w:r>
    </w:p>
    <w:p w:rsidR="00B66EA2" w:rsidRPr="000F4356" w:rsidRDefault="00B66EA2" w:rsidP="00552D6B">
      <w:pPr>
        <w:pStyle w:val="ListParagraph"/>
        <w:numPr>
          <w:ilvl w:val="1"/>
          <w:numId w:val="1"/>
        </w:numPr>
        <w:jc w:val="both"/>
      </w:pPr>
      <w:r w:rsidRPr="000F4356">
        <w:t xml:space="preserve">The TGA evaluator concluded that the efficacy of the higher concentration formulation can be considered comparable to the efficacy of the current formulation </w:t>
      </w:r>
      <w:r w:rsidR="00E23360" w:rsidRPr="000F4356">
        <w:t>(p</w:t>
      </w:r>
      <w:r w:rsidR="0035277D" w:rsidRPr="000F4356">
        <w:t>29</w:t>
      </w:r>
      <w:r w:rsidR="00E23360" w:rsidRPr="000F4356">
        <w:t xml:space="preserve"> of CER) </w:t>
      </w:r>
      <w:r w:rsidRPr="000F4356">
        <w:t>based on:</w:t>
      </w:r>
    </w:p>
    <w:p w:rsidR="006153F0" w:rsidRPr="000F4356" w:rsidRDefault="006153F0" w:rsidP="00883CC9">
      <w:pPr>
        <w:pStyle w:val="ListParagraph"/>
        <w:numPr>
          <w:ilvl w:val="0"/>
          <w:numId w:val="10"/>
        </w:numPr>
        <w:tabs>
          <w:tab w:val="left" w:pos="720"/>
        </w:tabs>
        <w:spacing w:before="0" w:after="0"/>
        <w:ind w:left="709" w:hanging="142"/>
        <w:jc w:val="both"/>
      </w:pPr>
      <w:r w:rsidRPr="000F4356">
        <w:t>comparable DAS28-CRP responses at Weeks 12</w:t>
      </w:r>
      <w:r w:rsidR="00540B50" w:rsidRPr="000F4356">
        <w:t xml:space="preserve"> and 24</w:t>
      </w:r>
      <w:r w:rsidRPr="000F4356">
        <w:t xml:space="preserve"> in Study M13-390</w:t>
      </w:r>
      <w:r w:rsidR="00883CC9" w:rsidRPr="000F4356">
        <w:t>;</w:t>
      </w:r>
    </w:p>
    <w:p w:rsidR="006153F0" w:rsidRPr="000F4356" w:rsidRDefault="006153F0" w:rsidP="00883CC9">
      <w:pPr>
        <w:pStyle w:val="ListParagraph"/>
        <w:numPr>
          <w:ilvl w:val="0"/>
          <w:numId w:val="10"/>
        </w:numPr>
        <w:tabs>
          <w:tab w:val="left" w:pos="720"/>
        </w:tabs>
        <w:spacing w:before="0" w:after="0"/>
        <w:ind w:left="709" w:hanging="142"/>
        <w:jc w:val="both"/>
      </w:pPr>
      <w:r w:rsidRPr="000F4356">
        <w:t>comparable mean cha</w:t>
      </w:r>
      <w:r w:rsidR="00540B50" w:rsidRPr="000F4356">
        <w:t>nge from baseline DAS28-CRP at W</w:t>
      </w:r>
      <w:r w:rsidRPr="000F4356">
        <w:t>eeks 36 and 48 in Study M13-692 (open label extension to M13-390)</w:t>
      </w:r>
      <w:r w:rsidR="00883CC9" w:rsidRPr="000F4356">
        <w:t>;</w:t>
      </w:r>
    </w:p>
    <w:p w:rsidR="006153F0" w:rsidRPr="000F4356" w:rsidRDefault="006153F0" w:rsidP="00883CC9">
      <w:pPr>
        <w:pStyle w:val="ListParagraph"/>
        <w:numPr>
          <w:ilvl w:val="0"/>
          <w:numId w:val="10"/>
        </w:numPr>
        <w:tabs>
          <w:tab w:val="left" w:pos="720"/>
        </w:tabs>
        <w:spacing w:before="0" w:after="0"/>
        <w:ind w:left="709" w:hanging="142"/>
        <w:jc w:val="both"/>
      </w:pPr>
      <w:r w:rsidRPr="000F4356">
        <w:lastRenderedPageBreak/>
        <w:t>similar HAQ-DI, ACR20/50/70/90/100 responses, and SF-36 in Studies M13-390 and M13-692</w:t>
      </w:r>
      <w:r w:rsidR="00883CC9" w:rsidRPr="000F4356">
        <w:t>; and</w:t>
      </w:r>
    </w:p>
    <w:p w:rsidR="00B66EA2" w:rsidRPr="000F4356" w:rsidRDefault="006153F0" w:rsidP="00883CC9">
      <w:pPr>
        <w:pStyle w:val="ListParagraph"/>
        <w:numPr>
          <w:ilvl w:val="0"/>
          <w:numId w:val="10"/>
        </w:numPr>
        <w:tabs>
          <w:tab w:val="left" w:pos="720"/>
        </w:tabs>
        <w:spacing w:before="0" w:after="0"/>
        <w:ind w:left="709" w:hanging="142"/>
        <w:jc w:val="both"/>
      </w:pPr>
      <w:r w:rsidRPr="000F4356">
        <w:t>simulations of a potential increase in exposure did not have clinically meaningful impact on DAS28-CRP</w:t>
      </w:r>
      <w:r w:rsidR="00883CC9" w:rsidRPr="000F4356">
        <w:t>.</w:t>
      </w:r>
    </w:p>
    <w:p w:rsidR="00C317F3" w:rsidRPr="000F4356" w:rsidRDefault="00C317F3" w:rsidP="006153F0">
      <w:pPr>
        <w:pStyle w:val="Heading2"/>
      </w:pPr>
      <w:bookmarkStart w:id="15" w:name="_Toc413139279"/>
      <w:bookmarkStart w:id="16" w:name="_Toc497379035"/>
      <w:r w:rsidRPr="000F4356">
        <w:t>Comparative harms</w:t>
      </w:r>
      <w:bookmarkEnd w:id="15"/>
      <w:bookmarkEnd w:id="16"/>
    </w:p>
    <w:p w:rsidR="000A6309" w:rsidRPr="000F4356" w:rsidRDefault="006153F0" w:rsidP="00552D6B">
      <w:pPr>
        <w:pStyle w:val="ListParagraph"/>
        <w:numPr>
          <w:ilvl w:val="1"/>
          <w:numId w:val="1"/>
        </w:numPr>
        <w:jc w:val="both"/>
      </w:pPr>
      <w:r w:rsidRPr="000F4356">
        <w:t>The TGA evaluator noted that</w:t>
      </w:r>
      <w:r w:rsidR="00411814" w:rsidRPr="000F4356">
        <w:t xml:space="preserve"> all studies showed a reduction in injection site pain with the new formulation</w:t>
      </w:r>
      <w:r w:rsidRPr="000F4356">
        <w:t xml:space="preserve"> (p</w:t>
      </w:r>
      <w:r w:rsidR="00411814" w:rsidRPr="000F4356">
        <w:t>9</w:t>
      </w:r>
      <w:r w:rsidRPr="000F4356">
        <w:t xml:space="preserve">, </w:t>
      </w:r>
      <w:r w:rsidR="00411814" w:rsidRPr="000F4356">
        <w:t>TGA Delegate’s file note</w:t>
      </w:r>
      <w:r w:rsidRPr="000F4356">
        <w:t>)</w:t>
      </w:r>
      <w:r w:rsidR="00883CC9" w:rsidRPr="000F4356">
        <w:t>.</w:t>
      </w:r>
      <w:r w:rsidR="007D13A1" w:rsidRPr="000F4356">
        <w:t xml:space="preserve"> However, the data used to support this were potentially unreliable given they were derived from the single (patient)-blind cross-over trials and the risk of bias in VAS injection site pain was potentially high.</w:t>
      </w:r>
    </w:p>
    <w:p w:rsidR="00C317F3" w:rsidRPr="000F4356" w:rsidRDefault="008058E8" w:rsidP="00772501">
      <w:pPr>
        <w:pStyle w:val="Heading2"/>
      </w:pPr>
      <w:bookmarkStart w:id="17" w:name="_Toc497379036"/>
      <w:r w:rsidRPr="000F4356">
        <w:t>Interpretation of clinical evidence</w:t>
      </w:r>
      <w:bookmarkEnd w:id="17"/>
    </w:p>
    <w:p w:rsidR="00833A99" w:rsidRPr="000F4356" w:rsidRDefault="00833A99" w:rsidP="00552D6B">
      <w:pPr>
        <w:pStyle w:val="ListParagraph"/>
        <w:numPr>
          <w:ilvl w:val="1"/>
          <w:numId w:val="1"/>
        </w:numPr>
        <w:jc w:val="both"/>
      </w:pPr>
      <w:r w:rsidRPr="000F4356">
        <w:t>The first- and second- round evaluators considered the benefit risk profile to be acceptable (p32 and p36, respectively).</w:t>
      </w:r>
      <w:r w:rsidR="00411814" w:rsidRPr="000F4356">
        <w:t xml:space="preserve"> </w:t>
      </w:r>
      <w:r w:rsidR="00662F3B" w:rsidRPr="000F4356">
        <w:t>The TGA delegate’s file note considered that the new formulation demonstrated bioequivalence to the current formulation.</w:t>
      </w:r>
    </w:p>
    <w:p w:rsidR="00C317F3" w:rsidRPr="000F4356" w:rsidRDefault="00C317F3" w:rsidP="00772501">
      <w:pPr>
        <w:pStyle w:val="Heading2"/>
      </w:pPr>
      <w:bookmarkStart w:id="18" w:name="_Toc413139282"/>
      <w:bookmarkStart w:id="19" w:name="_Toc497379037"/>
      <w:r w:rsidRPr="000F4356">
        <w:t>Economic analysis</w:t>
      </w:r>
      <w:bookmarkEnd w:id="18"/>
      <w:bookmarkEnd w:id="19"/>
    </w:p>
    <w:p w:rsidR="00C317F3" w:rsidRPr="000F4356" w:rsidRDefault="006B288D" w:rsidP="00552D6B">
      <w:pPr>
        <w:pStyle w:val="ListParagraph"/>
        <w:numPr>
          <w:ilvl w:val="1"/>
          <w:numId w:val="1"/>
        </w:numPr>
        <w:jc w:val="both"/>
      </w:pPr>
      <w:r w:rsidRPr="000F4356">
        <w:t>Based on the claim of therapeutic equivalence, the submission conducted a cost minimisation analysis</w:t>
      </w:r>
      <w:r w:rsidR="00883CC9" w:rsidRPr="000F4356">
        <w:t>.</w:t>
      </w:r>
    </w:p>
    <w:p w:rsidR="006B288D" w:rsidRPr="000F4356" w:rsidRDefault="000A6309" w:rsidP="00552D6B">
      <w:pPr>
        <w:pStyle w:val="ListParagraph"/>
        <w:numPr>
          <w:ilvl w:val="1"/>
          <w:numId w:val="1"/>
        </w:numPr>
        <w:jc w:val="both"/>
      </w:pPr>
      <w:r w:rsidRPr="000F4356">
        <w:t>A</w:t>
      </w:r>
      <w:r w:rsidR="006B288D" w:rsidRPr="000F4356">
        <w:t>dalimumab 40</w:t>
      </w:r>
      <w:r w:rsidR="00883CC9" w:rsidRPr="000F4356">
        <w:t xml:space="preserve"> </w:t>
      </w:r>
      <w:r w:rsidR="006B288D" w:rsidRPr="000F4356">
        <w:t>mg/0.4</w:t>
      </w:r>
      <w:r w:rsidR="00883CC9" w:rsidRPr="000F4356">
        <w:t xml:space="preserve"> </w:t>
      </w:r>
      <w:r w:rsidR="006B288D" w:rsidRPr="000F4356">
        <w:t xml:space="preserve">mL </w:t>
      </w:r>
      <w:r w:rsidRPr="000F4356">
        <w:t xml:space="preserve">was considered </w:t>
      </w:r>
      <w:r w:rsidR="006B288D" w:rsidRPr="000F4356">
        <w:t>equivalent to 40</w:t>
      </w:r>
      <w:r w:rsidR="00883CC9" w:rsidRPr="000F4356">
        <w:t xml:space="preserve"> </w:t>
      </w:r>
      <w:r w:rsidR="006B288D" w:rsidRPr="000F4356">
        <w:t>mg/0.8</w:t>
      </w:r>
      <w:r w:rsidR="00883CC9" w:rsidRPr="000F4356">
        <w:t xml:space="preserve"> </w:t>
      </w:r>
      <w:r w:rsidR="006B288D" w:rsidRPr="000F4356">
        <w:t>mL.</w:t>
      </w:r>
      <w:r w:rsidR="00883CC9" w:rsidRPr="000F4356">
        <w:t xml:space="preserve"> </w:t>
      </w:r>
      <w:r w:rsidR="006B288D" w:rsidRPr="000F4356">
        <w:t>The submission stated that</w:t>
      </w:r>
      <w:r w:rsidR="006B288D" w:rsidRPr="000F4356">
        <w:rPr>
          <w:color w:val="4472C4" w:themeColor="accent5"/>
        </w:rPr>
        <w:t xml:space="preserve"> </w:t>
      </w:r>
      <w:r w:rsidR="006B288D" w:rsidRPr="000F4356">
        <w:t>the requested price of adalimumab 40</w:t>
      </w:r>
      <w:r w:rsidR="00883CC9" w:rsidRPr="000F4356">
        <w:t xml:space="preserve"> </w:t>
      </w:r>
      <w:r w:rsidR="006B288D" w:rsidRPr="000F4356">
        <w:t>mg/0.4</w:t>
      </w:r>
      <w:r w:rsidR="00883CC9" w:rsidRPr="000F4356">
        <w:t xml:space="preserve"> </w:t>
      </w:r>
      <w:r w:rsidR="006B288D" w:rsidRPr="000F4356">
        <w:t xml:space="preserve">mL </w:t>
      </w:r>
      <w:r w:rsidRPr="000F4356">
        <w:t xml:space="preserve">was </w:t>
      </w:r>
      <w:r w:rsidR="006B288D" w:rsidRPr="000F4356">
        <w:t>the same as that of 40</w:t>
      </w:r>
      <w:r w:rsidR="00883CC9" w:rsidRPr="000F4356">
        <w:t xml:space="preserve"> </w:t>
      </w:r>
      <w:r w:rsidR="006B288D" w:rsidRPr="000F4356">
        <w:t>mg/0.8</w:t>
      </w:r>
      <w:r w:rsidR="00883CC9" w:rsidRPr="000F4356">
        <w:t xml:space="preserve"> </w:t>
      </w:r>
      <w:r w:rsidR="006B288D" w:rsidRPr="000F4356">
        <w:t xml:space="preserve">mL, and no cost offsets were assessed. </w:t>
      </w:r>
    </w:p>
    <w:p w:rsidR="006B288D" w:rsidRPr="000F4356" w:rsidRDefault="006B288D" w:rsidP="00552D6B">
      <w:pPr>
        <w:pStyle w:val="ListParagraph"/>
        <w:numPr>
          <w:ilvl w:val="1"/>
          <w:numId w:val="1"/>
        </w:numPr>
        <w:jc w:val="both"/>
      </w:pPr>
      <w:r w:rsidRPr="000F4356">
        <w:t xml:space="preserve">The submission stated that, as at 1 June 2017, the dispensed price for maximum quantity for a 2 pack, 4 pack and 6 pack </w:t>
      </w:r>
      <w:r w:rsidR="00883CC9" w:rsidRPr="000F4356">
        <w:t>pre-filled syringe</w:t>
      </w:r>
      <w:r w:rsidRPr="000F4356">
        <w:t xml:space="preserve"> or pen (cartridge) is $1,401.30, $2,709.24 and $3,987.46 respectively. </w:t>
      </w:r>
      <w:r w:rsidR="00DF1844" w:rsidRPr="000F4356">
        <w:t>The submission noted</w:t>
      </w:r>
      <w:r w:rsidRPr="000F4356">
        <w:t xml:space="preserve"> that the 4 pack was not listed on 1 June; the DPMQ for the 4 pack was obtained from the Schedule of Pharmaceutical Benefits, Summary of Changes effective 1 July 2017.  </w:t>
      </w:r>
    </w:p>
    <w:p w:rsidR="00C317F3" w:rsidRPr="000F4356" w:rsidRDefault="006B288D" w:rsidP="00552D6B">
      <w:pPr>
        <w:pStyle w:val="ListParagraph"/>
        <w:numPr>
          <w:ilvl w:val="1"/>
          <w:numId w:val="1"/>
        </w:numPr>
        <w:jc w:val="both"/>
      </w:pPr>
      <w:r w:rsidRPr="000F4356">
        <w:t>The submission’s cost-minimisation analysis was reasonable.</w:t>
      </w:r>
    </w:p>
    <w:p w:rsidR="00C317F3" w:rsidRPr="000F4356" w:rsidRDefault="00C317F3" w:rsidP="00772501">
      <w:pPr>
        <w:pStyle w:val="Heading2"/>
      </w:pPr>
      <w:bookmarkStart w:id="20" w:name="_Toc413139284"/>
      <w:bookmarkStart w:id="21" w:name="_Toc497379038"/>
      <w:r w:rsidRPr="000F4356">
        <w:t>Estimated PBS usage &amp; financial implications</w:t>
      </w:r>
      <w:bookmarkEnd w:id="20"/>
      <w:bookmarkEnd w:id="21"/>
    </w:p>
    <w:p w:rsidR="00C317F3" w:rsidRPr="000F4356" w:rsidRDefault="00C317F3" w:rsidP="00552D6B">
      <w:pPr>
        <w:pStyle w:val="ListParagraph"/>
        <w:numPr>
          <w:ilvl w:val="1"/>
          <w:numId w:val="1"/>
        </w:numPr>
        <w:jc w:val="both"/>
      </w:pPr>
      <w:r w:rsidRPr="000F4356">
        <w:t xml:space="preserve">This submission </w:t>
      </w:r>
      <w:r w:rsidR="009170D7" w:rsidRPr="000F4356">
        <w:t xml:space="preserve">was </w:t>
      </w:r>
      <w:r w:rsidR="006B288D" w:rsidRPr="000F4356">
        <w:t>not</w:t>
      </w:r>
      <w:r w:rsidRPr="000F4356">
        <w:t xml:space="preserve"> considered by DUSC</w:t>
      </w:r>
      <w:r w:rsidR="00883CC9" w:rsidRPr="000F4356">
        <w:t xml:space="preserve">. </w:t>
      </w:r>
      <w:r w:rsidR="006B288D" w:rsidRPr="000F4356">
        <w:t>The submission took a market share approach to estimate use and financial impact of listing the higher concentration formulation of adalimumab.</w:t>
      </w:r>
    </w:p>
    <w:p w:rsidR="006B288D" w:rsidRPr="000F4356" w:rsidRDefault="006B288D" w:rsidP="00552D6B">
      <w:pPr>
        <w:pStyle w:val="ListParagraph"/>
        <w:numPr>
          <w:ilvl w:val="1"/>
          <w:numId w:val="1"/>
        </w:numPr>
        <w:jc w:val="both"/>
      </w:pPr>
      <w:r w:rsidRPr="000F4356">
        <w:t>The submission considered that the estimated financial implications for the health budget of adalimumab 40</w:t>
      </w:r>
      <w:r w:rsidR="00883CC9" w:rsidRPr="000F4356">
        <w:t xml:space="preserve"> mg/</w:t>
      </w:r>
      <w:r w:rsidRPr="000F4356">
        <w:t>0.4</w:t>
      </w:r>
      <w:r w:rsidR="00883CC9" w:rsidRPr="000F4356">
        <w:t xml:space="preserve"> </w:t>
      </w:r>
      <w:r w:rsidRPr="000F4356">
        <w:t>mL were nil because the proposed medicine was expected to replace the currently PBS-listed adalimumab 40</w:t>
      </w:r>
      <w:r w:rsidR="00883CC9" w:rsidRPr="000F4356">
        <w:t xml:space="preserve"> </w:t>
      </w:r>
      <w:r w:rsidRPr="000F4356">
        <w:t>mg/0.8</w:t>
      </w:r>
      <w:r w:rsidR="00883CC9" w:rsidRPr="000F4356">
        <w:t xml:space="preserve"> </w:t>
      </w:r>
      <w:r w:rsidRPr="000F4356">
        <w:t xml:space="preserve">mL, the prices </w:t>
      </w:r>
      <w:r w:rsidR="009074E3" w:rsidRPr="000F4356">
        <w:t xml:space="preserve">were </w:t>
      </w:r>
      <w:r w:rsidR="000F4356" w:rsidRPr="000F4356">
        <w:t>identical</w:t>
      </w:r>
      <w:r w:rsidR="009074E3" w:rsidRPr="000F4356">
        <w:t xml:space="preserve"> and </w:t>
      </w:r>
      <w:r w:rsidRPr="000F4356">
        <w:t xml:space="preserve">no additional costs or cost offsets are expected. This </w:t>
      </w:r>
      <w:r w:rsidR="009074E3" w:rsidRPr="000F4356">
        <w:t>was</w:t>
      </w:r>
      <w:r w:rsidRPr="000F4356">
        <w:t xml:space="preserve"> reasonable. </w:t>
      </w:r>
    </w:p>
    <w:p w:rsidR="006B288D" w:rsidRPr="000F4356" w:rsidRDefault="006B288D" w:rsidP="00552D6B">
      <w:pPr>
        <w:pStyle w:val="ListParagraph"/>
        <w:numPr>
          <w:ilvl w:val="1"/>
          <w:numId w:val="1"/>
        </w:numPr>
        <w:jc w:val="both"/>
      </w:pPr>
      <w:r w:rsidRPr="000F4356">
        <w:t xml:space="preserve">It </w:t>
      </w:r>
      <w:r w:rsidR="009074E3" w:rsidRPr="000F4356">
        <w:t>was</w:t>
      </w:r>
      <w:r w:rsidRPr="000F4356">
        <w:t xml:space="preserve"> possible that perceived benefits in the higher concentration </w:t>
      </w:r>
      <w:r w:rsidR="000F4356" w:rsidRPr="000F4356">
        <w:t>concerning</w:t>
      </w:r>
      <w:r w:rsidRPr="000F4356">
        <w:t xml:space="preserve"> injection site pain could attract patients who </w:t>
      </w:r>
      <w:r w:rsidR="000F4356">
        <w:t xml:space="preserve">would </w:t>
      </w:r>
      <w:r w:rsidRPr="000F4356">
        <w:t xml:space="preserve">otherwise been treated with agents other than adalimumab in some indications. However, this </w:t>
      </w:r>
      <w:r w:rsidR="00AB2F64" w:rsidRPr="000F4356">
        <w:t>is likely to</w:t>
      </w:r>
      <w:r w:rsidRPr="000F4356">
        <w:t xml:space="preserve"> be a small number.</w:t>
      </w:r>
    </w:p>
    <w:p w:rsidR="006B288D" w:rsidRPr="000F4356" w:rsidRDefault="006B288D" w:rsidP="00552D6B">
      <w:pPr>
        <w:pStyle w:val="ListParagraph"/>
        <w:numPr>
          <w:ilvl w:val="1"/>
          <w:numId w:val="1"/>
        </w:numPr>
        <w:jc w:val="both"/>
        <w:rPr>
          <w:i/>
        </w:rPr>
      </w:pPr>
      <w:r w:rsidRPr="000F4356">
        <w:lastRenderedPageBreak/>
        <w:t>The sub</w:t>
      </w:r>
      <w:r w:rsidR="009074E3" w:rsidRPr="000F4356">
        <w:t xml:space="preserve">mission based its estimates on </w:t>
      </w:r>
      <w:r w:rsidRPr="000F4356">
        <w:t xml:space="preserve">PBS item reports </w:t>
      </w:r>
      <w:r w:rsidR="000F4356">
        <w:t xml:space="preserve">from </w:t>
      </w:r>
      <w:r w:rsidRPr="000F4356">
        <w:t>Medicare Statistics for total services of all PBS-listed item numbers for adalimumab 40</w:t>
      </w:r>
      <w:r w:rsidR="00883CC9" w:rsidRPr="000F4356">
        <w:t xml:space="preserve"> </w:t>
      </w:r>
      <w:r w:rsidRPr="000F4356">
        <w:t>mg/0.8</w:t>
      </w:r>
      <w:r w:rsidR="00883CC9" w:rsidRPr="000F4356">
        <w:t xml:space="preserve"> </w:t>
      </w:r>
      <w:r w:rsidRPr="000F4356">
        <w:t xml:space="preserve">mL. Total sales of </w:t>
      </w:r>
      <w:r w:rsidRPr="00940427">
        <w:t xml:space="preserve">adalimumab were projected for </w:t>
      </w:r>
      <w:r w:rsidR="000F4356" w:rsidRPr="00940427">
        <w:t xml:space="preserve">six </w:t>
      </w:r>
      <w:r w:rsidRPr="00940427">
        <w:t xml:space="preserve">future years of listing using a logarithmic trend line. An uptake rate of 50% in the first full year of listing (2018) </w:t>
      </w:r>
      <w:r w:rsidR="009074E3" w:rsidRPr="00940427">
        <w:t>was</w:t>
      </w:r>
      <w:r w:rsidRPr="00940427">
        <w:t xml:space="preserve"> assumed followed by a 100% upta</w:t>
      </w:r>
      <w:r w:rsidR="00883CC9" w:rsidRPr="00940427">
        <w:t>ke rate in the following year</w:t>
      </w:r>
      <w:r w:rsidR="00883CC9" w:rsidRPr="00940427">
        <w:rPr>
          <w:i/>
        </w:rPr>
        <w:t xml:space="preserve">. </w:t>
      </w:r>
      <w:r w:rsidR="00883CC9" w:rsidRPr="00940427">
        <w:t>As</w:t>
      </w:r>
      <w:r w:rsidRPr="00940427">
        <w:t xml:space="preserve"> the costs associated with each formulation are identical, alternate</w:t>
      </w:r>
      <w:r w:rsidRPr="000F4356">
        <w:t xml:space="preserve"> assumptions on u</w:t>
      </w:r>
      <w:r w:rsidR="009074E3" w:rsidRPr="000F4356">
        <w:t>ptake rates and use projections</w:t>
      </w:r>
      <w:r w:rsidRPr="000F4356">
        <w:t xml:space="preserve"> ha</w:t>
      </w:r>
      <w:r w:rsidR="00883CC9" w:rsidRPr="000F4356">
        <w:t>d</w:t>
      </w:r>
      <w:r w:rsidRPr="000F4356">
        <w:t xml:space="preserve"> no effect on financial estimates.</w:t>
      </w:r>
      <w:r w:rsidRPr="000F4356">
        <w:rPr>
          <w:i/>
        </w:rPr>
        <w:t xml:space="preserve"> </w:t>
      </w:r>
    </w:p>
    <w:p w:rsidR="008F4372" w:rsidRPr="000F4356" w:rsidRDefault="004B02BA" w:rsidP="00552D6B">
      <w:pPr>
        <w:pStyle w:val="ListParagraph"/>
        <w:numPr>
          <w:ilvl w:val="1"/>
          <w:numId w:val="1"/>
        </w:numPr>
        <w:jc w:val="both"/>
      </w:pPr>
      <w:r w:rsidRPr="000F4356">
        <w:t xml:space="preserve">Although not a matter for the PBAC, </w:t>
      </w:r>
      <w:r w:rsidR="00662F3B" w:rsidRPr="000F4356">
        <w:t>as</w:t>
      </w:r>
      <w:r w:rsidR="003923DF" w:rsidRPr="000F4356">
        <w:t xml:space="preserve"> </w:t>
      </w:r>
      <w:r w:rsidRPr="000F4356">
        <w:t>the TGA determine</w:t>
      </w:r>
      <w:r w:rsidR="00662F3B" w:rsidRPr="000F4356">
        <w:t>d</w:t>
      </w:r>
      <w:r w:rsidRPr="000F4356">
        <w:t xml:space="preserve"> that the new formulation is bioequivalent to the existing formulation, the PBS listing of high concentration product would move adalimumab into the F2 formulary and would trigger a statutory price reduction under s99ACB of the National Health Act 1953. This has the potential to result in the loss of some of the savings to Government that would have occurred under Section 5 of the 2017 Strategic Agreement between the Commonwealth and Medicines Australia. </w:t>
      </w:r>
    </w:p>
    <w:p w:rsidR="004630C0" w:rsidRPr="000F4356" w:rsidRDefault="004630C0" w:rsidP="004630C0">
      <w:pPr>
        <w:pStyle w:val="Heading1"/>
        <w:ind w:left="709" w:hanging="709"/>
      </w:pPr>
      <w:r w:rsidRPr="000F4356">
        <w:t>PBAC Outcome</w:t>
      </w:r>
    </w:p>
    <w:p w:rsidR="002E710D" w:rsidRDefault="00E511FB" w:rsidP="00552D6B">
      <w:pPr>
        <w:pStyle w:val="ListParagraph"/>
        <w:numPr>
          <w:ilvl w:val="1"/>
          <w:numId w:val="1"/>
        </w:numPr>
        <w:jc w:val="both"/>
      </w:pPr>
      <w:r w:rsidRPr="00FC71BA">
        <w:rPr>
          <w:rFonts w:cs="Arial"/>
          <w:bCs/>
          <w:snapToGrid w:val="0"/>
        </w:rPr>
        <w:t>The PBAC recommended the listing of adalimumab injection (40 mg/0.4 mL) with the same restrictions as the currently listed forms of ad</w:t>
      </w:r>
      <w:r w:rsidR="009170D7" w:rsidRPr="00FC71BA">
        <w:rPr>
          <w:rFonts w:cs="Arial"/>
          <w:bCs/>
          <w:snapToGrid w:val="0"/>
        </w:rPr>
        <w:t>alimumab 40 mg/0.8 mL on a cost-</w:t>
      </w:r>
      <w:r w:rsidRPr="00FC71BA">
        <w:rPr>
          <w:rFonts w:cs="Arial"/>
          <w:bCs/>
          <w:snapToGrid w:val="0"/>
        </w:rPr>
        <w:t>minimisation basis.</w:t>
      </w:r>
    </w:p>
    <w:p w:rsidR="00E511FB" w:rsidRPr="002E710D" w:rsidRDefault="00E511FB" w:rsidP="00552D6B">
      <w:pPr>
        <w:pStyle w:val="ListParagraph"/>
        <w:numPr>
          <w:ilvl w:val="1"/>
          <w:numId w:val="1"/>
        </w:numPr>
        <w:jc w:val="both"/>
      </w:pPr>
      <w:r w:rsidRPr="002E710D">
        <w:rPr>
          <w:rFonts w:cs="Arial"/>
          <w:bCs/>
          <w:snapToGrid w:val="0"/>
        </w:rPr>
        <w:t xml:space="preserve">In making this recommendation, the PBAC noted that although the application for a higher concentration form of adalimumab met the requirements for a positive PBAC recommendation, the evidence that there is a clinical need for this </w:t>
      </w:r>
      <w:r w:rsidR="001B1D1B" w:rsidRPr="002E710D">
        <w:rPr>
          <w:rFonts w:cs="Arial"/>
          <w:bCs/>
          <w:snapToGrid w:val="0"/>
        </w:rPr>
        <w:t xml:space="preserve">formulation </w:t>
      </w:r>
      <w:r w:rsidRPr="002E710D">
        <w:rPr>
          <w:rFonts w:cs="Arial"/>
          <w:bCs/>
          <w:snapToGrid w:val="0"/>
        </w:rPr>
        <w:t>was not convincing, and there is potential for this listing to result in a considerable loss of savings to government. The PBAC considered that the Minister may wish to take these matters into account in</w:t>
      </w:r>
      <w:r w:rsidR="002E710D" w:rsidRPr="002E710D">
        <w:rPr>
          <w:rFonts w:cs="Arial"/>
          <w:bCs/>
          <w:snapToGrid w:val="0"/>
        </w:rPr>
        <w:t xml:space="preserve"> progressing with this listing, and </w:t>
      </w:r>
      <w:r w:rsidR="002E710D">
        <w:t xml:space="preserve">may wish to seek further advice from the Department on any other implications of the listing, particularly in relation to the terms of the Strategic Agreement between the Commonwealth and Medicines Australia. </w:t>
      </w:r>
    </w:p>
    <w:p w:rsidR="00E511FB" w:rsidRPr="000F4356" w:rsidRDefault="00E511FB" w:rsidP="00552D6B">
      <w:pPr>
        <w:pStyle w:val="ListParagraph"/>
        <w:numPr>
          <w:ilvl w:val="1"/>
          <w:numId w:val="1"/>
        </w:numPr>
        <w:jc w:val="both"/>
      </w:pPr>
      <w:r w:rsidRPr="00FC71BA">
        <w:rPr>
          <w:rFonts w:cs="Arial"/>
          <w:bCs/>
          <w:snapToGrid w:val="0"/>
        </w:rPr>
        <w:t xml:space="preserve">The PBAC considered that adalimumab 40 mg/0.4 mL should be considered equivalent for the purposes </w:t>
      </w:r>
      <w:r w:rsidR="00DD5AF4" w:rsidRPr="00FC71BA">
        <w:rPr>
          <w:rFonts w:cs="Arial"/>
          <w:bCs/>
          <w:snapToGrid w:val="0"/>
        </w:rPr>
        <w:t>of substitute (i.e. ‘a’ flagged in the schedule)</w:t>
      </w:r>
      <w:r w:rsidRPr="00FC71BA">
        <w:rPr>
          <w:rFonts w:cs="Arial"/>
          <w:bCs/>
          <w:snapToGrid w:val="0"/>
        </w:rPr>
        <w:t xml:space="preserve"> with adalimumab 40 mg/0.8 mL. </w:t>
      </w:r>
    </w:p>
    <w:p w:rsidR="00DD5AF4" w:rsidRPr="000F4356" w:rsidRDefault="00DD5AF4" w:rsidP="00552D6B">
      <w:pPr>
        <w:pStyle w:val="ListParagraph"/>
        <w:numPr>
          <w:ilvl w:val="1"/>
          <w:numId w:val="1"/>
        </w:numPr>
        <w:jc w:val="both"/>
      </w:pPr>
      <w:r w:rsidRPr="000F4356">
        <w:t>The PBAC noted that the sponsor intends to delist the existing 40 mg/0.8 mL strength from the PBS upon listing of the 40 mg/0.4mL strength. The PBAC h</w:t>
      </w:r>
      <w:r w:rsidR="001B1D1B" w:rsidRPr="000F4356">
        <w:t>ad no objection to the deletion, but noted that there should be</w:t>
      </w:r>
      <w:r w:rsidRPr="000F4356">
        <w:t xml:space="preserve"> no gap in access to subsidised adalimumab. </w:t>
      </w:r>
    </w:p>
    <w:p w:rsidR="009170D7" w:rsidRPr="00552D6B" w:rsidRDefault="00DD5AF4" w:rsidP="00552D6B">
      <w:pPr>
        <w:pStyle w:val="ListParagraph"/>
        <w:numPr>
          <w:ilvl w:val="1"/>
          <w:numId w:val="1"/>
        </w:numPr>
        <w:jc w:val="both"/>
        <w:rPr>
          <w:szCs w:val="24"/>
        </w:rPr>
      </w:pPr>
      <w:r w:rsidRPr="000F4356">
        <w:rPr>
          <w:szCs w:val="24"/>
        </w:rPr>
        <w:t>Consistent with the existing arrangements, the PBAC advised that adalimumab is not suitable for prescribing by nurse practitioners.</w:t>
      </w:r>
    </w:p>
    <w:p w:rsidR="00DD5AF4" w:rsidRPr="00552D6B" w:rsidRDefault="00DD5AF4" w:rsidP="00552D6B">
      <w:pPr>
        <w:pStyle w:val="ListParagraph"/>
        <w:numPr>
          <w:ilvl w:val="1"/>
          <w:numId w:val="1"/>
        </w:numPr>
        <w:jc w:val="both"/>
        <w:rPr>
          <w:szCs w:val="24"/>
        </w:rPr>
      </w:pPr>
      <w:r w:rsidRPr="000F4356">
        <w:rPr>
          <w:szCs w:val="24"/>
        </w:rPr>
        <w:t xml:space="preserve">The PBAC </w:t>
      </w:r>
      <w:r w:rsidR="009170D7" w:rsidRPr="000F4356">
        <w:rPr>
          <w:szCs w:val="24"/>
        </w:rPr>
        <w:t>has</w:t>
      </w:r>
      <w:r w:rsidRPr="000F4356">
        <w:rPr>
          <w:szCs w:val="24"/>
        </w:rPr>
        <w:t xml:space="preserve"> previously considered that adalimumab should not be exempt from the early supply rule. </w:t>
      </w:r>
    </w:p>
    <w:p w:rsidR="00DD5AF4" w:rsidRPr="000F4356" w:rsidRDefault="00DD5AF4" w:rsidP="00552D6B">
      <w:pPr>
        <w:pStyle w:val="ListParagraph"/>
        <w:numPr>
          <w:ilvl w:val="1"/>
          <w:numId w:val="1"/>
        </w:numPr>
        <w:jc w:val="both"/>
        <w:rPr>
          <w:color w:val="FF0000"/>
          <w:szCs w:val="24"/>
        </w:rPr>
      </w:pPr>
      <w:r w:rsidRPr="000F4356">
        <w:rPr>
          <w:szCs w:val="24"/>
        </w:rPr>
        <w:t>The PBAC noted that this submission is not eligible for Independent Review as it received a positive recommendation.</w:t>
      </w:r>
    </w:p>
    <w:p w:rsidR="00E23717" w:rsidRDefault="00E23717">
      <w:pPr>
        <w:spacing w:before="0" w:line="259" w:lineRule="auto"/>
        <w:rPr>
          <w:rFonts w:cs="Arial"/>
          <w:b/>
          <w:bCs/>
          <w:snapToGrid w:val="0"/>
        </w:rPr>
      </w:pPr>
      <w:r>
        <w:rPr>
          <w:rFonts w:cs="Arial"/>
          <w:b/>
          <w:bCs/>
          <w:snapToGrid w:val="0"/>
        </w:rPr>
        <w:br w:type="page"/>
      </w:r>
    </w:p>
    <w:p w:rsidR="008F4372" w:rsidRPr="00FC71BA" w:rsidRDefault="008F4372" w:rsidP="008F4372">
      <w:pPr>
        <w:spacing w:before="240"/>
        <w:jc w:val="both"/>
        <w:rPr>
          <w:rFonts w:cs="Arial"/>
          <w:b/>
          <w:bCs/>
          <w:snapToGrid w:val="0"/>
        </w:rPr>
      </w:pPr>
      <w:r w:rsidRPr="00FC71BA">
        <w:rPr>
          <w:rFonts w:cs="Arial"/>
          <w:b/>
          <w:bCs/>
          <w:snapToGrid w:val="0"/>
        </w:rPr>
        <w:lastRenderedPageBreak/>
        <w:t>Outcome:</w:t>
      </w:r>
    </w:p>
    <w:p w:rsidR="00DD5AF4" w:rsidRPr="00FC71BA" w:rsidRDefault="008F4372" w:rsidP="009170D7">
      <w:pPr>
        <w:jc w:val="both"/>
        <w:rPr>
          <w:rFonts w:cs="Arial"/>
          <w:bCs/>
          <w:snapToGrid w:val="0"/>
        </w:rPr>
      </w:pPr>
      <w:r w:rsidRPr="00FC71BA">
        <w:rPr>
          <w:rFonts w:cs="Arial"/>
          <w:bCs/>
          <w:snapToGrid w:val="0"/>
        </w:rPr>
        <w:t xml:space="preserve">Recommended </w:t>
      </w:r>
    </w:p>
    <w:p w:rsidR="008F4372" w:rsidRPr="00FC71BA" w:rsidRDefault="008F4372" w:rsidP="00165FFC">
      <w:pPr>
        <w:pStyle w:val="Heading1"/>
        <w:ind w:left="709" w:hanging="709"/>
        <w:rPr>
          <w:rFonts w:cs="Arial"/>
          <w:b w:val="0"/>
          <w:bCs/>
          <w:i/>
          <w:snapToGrid w:val="0"/>
        </w:rPr>
      </w:pPr>
      <w:r w:rsidRPr="00FC71BA">
        <w:rPr>
          <w:rFonts w:cs="Arial"/>
          <w:bCs/>
          <w:snapToGrid w:val="0"/>
        </w:rPr>
        <w:t>Recommended listing</w:t>
      </w:r>
    </w:p>
    <w:p w:rsidR="00576C07" w:rsidRPr="000F4356" w:rsidRDefault="004D5B85" w:rsidP="00DD5AF4">
      <w:pPr>
        <w:widowControl w:val="0"/>
        <w:jc w:val="both"/>
        <w:rPr>
          <w:rFonts w:cs="Arial"/>
          <w:bCs/>
          <w:snapToGrid w:val="0"/>
        </w:rPr>
      </w:pPr>
      <w:r w:rsidRPr="000F4356">
        <w:rPr>
          <w:rFonts w:cs="Arial"/>
          <w:bCs/>
          <w:snapToGrid w:val="0"/>
        </w:rPr>
        <w:t>Add new item</w:t>
      </w:r>
      <w:r w:rsidR="00576C07" w:rsidRPr="000F4356">
        <w:rPr>
          <w:rFonts w:cs="Arial"/>
          <w:bCs/>
          <w:snapToGrid w:val="0"/>
        </w:rPr>
        <w:t>:</w:t>
      </w:r>
    </w:p>
    <w:p w:rsidR="008F4372" w:rsidRPr="000F4356" w:rsidRDefault="00576C07" w:rsidP="00DD5AF4">
      <w:pPr>
        <w:widowControl w:val="0"/>
        <w:jc w:val="both"/>
        <w:rPr>
          <w:rFonts w:cs="Arial"/>
          <w:bCs/>
          <w:snapToGrid w:val="0"/>
        </w:rPr>
      </w:pPr>
      <w:r w:rsidRPr="000F4356">
        <w:rPr>
          <w:rFonts w:cs="Arial"/>
          <w:bCs/>
          <w:snapToGrid w:val="0"/>
        </w:rPr>
        <w:t>Adalimumab (Humira</w:t>
      </w:r>
      <w:r w:rsidRPr="000F4356">
        <w:rPr>
          <w:bCs/>
        </w:rPr>
        <w:t>®</w:t>
      </w:r>
      <w:r w:rsidRPr="000F4356">
        <w:rPr>
          <w:rFonts w:cs="Arial"/>
          <w:bCs/>
          <w:snapToGrid w:val="0"/>
        </w:rPr>
        <w:t xml:space="preserve">) 40 mg/0.4 mL </w:t>
      </w:r>
      <w:r w:rsidR="00366695" w:rsidRPr="000F4356">
        <w:rPr>
          <w:rFonts w:cs="Arial"/>
          <w:bCs/>
          <w:snapToGrid w:val="0"/>
        </w:rPr>
        <w:t xml:space="preserve">pre-filled syringe and cartridge </w:t>
      </w:r>
      <w:r w:rsidR="004D5B85" w:rsidRPr="000F4356">
        <w:rPr>
          <w:rFonts w:cs="Arial"/>
          <w:bCs/>
          <w:snapToGrid w:val="0"/>
        </w:rPr>
        <w:t>with same restrictions as 40 mg/0.8 mL formulation</w:t>
      </w:r>
      <w:r w:rsidRPr="000F4356">
        <w:rPr>
          <w:rFonts w:cs="Arial"/>
          <w:bCs/>
          <w:snapToGrid w:val="0"/>
        </w:rPr>
        <w:t>s.</w:t>
      </w:r>
    </w:p>
    <w:p w:rsidR="009170D7" w:rsidRPr="000F4356" w:rsidRDefault="009170D7" w:rsidP="009170D7">
      <w:pPr>
        <w:rPr>
          <w:bCs/>
        </w:rPr>
      </w:pPr>
      <w:r w:rsidRPr="000F4356">
        <w:rPr>
          <w:bCs/>
        </w:rPr>
        <w:t>Delete item:</w:t>
      </w:r>
    </w:p>
    <w:p w:rsidR="001468C6" w:rsidRDefault="00576C07" w:rsidP="00165FFC">
      <w:pPr>
        <w:rPr>
          <w:bCs/>
        </w:rPr>
      </w:pPr>
      <w:r w:rsidRPr="000F4356">
        <w:rPr>
          <w:bCs/>
        </w:rPr>
        <w:t>Delete adalimumab (Humira®) 40 mg/0.8 mL pre-filled syringe and cartridge</w:t>
      </w:r>
      <w:r w:rsidR="00227F56">
        <w:rPr>
          <w:bCs/>
        </w:rPr>
        <w:t>.</w:t>
      </w:r>
      <w:r w:rsidRPr="000F4356">
        <w:rPr>
          <w:bCs/>
        </w:rPr>
        <w:t xml:space="preserve"> </w:t>
      </w:r>
    </w:p>
    <w:p w:rsidR="008667B5" w:rsidRDefault="008667B5" w:rsidP="008667B5">
      <w:pPr>
        <w:pStyle w:val="Heading1"/>
        <w:spacing w:after="0"/>
        <w:ind w:left="709" w:hanging="709"/>
        <w:jc w:val="both"/>
      </w:pPr>
      <w:r>
        <w:t>Context for Decision</w:t>
      </w:r>
    </w:p>
    <w:p w:rsidR="008667B5" w:rsidRPr="00C07617" w:rsidRDefault="008667B5" w:rsidP="008667B5">
      <w:pPr>
        <w:spacing w:after="0"/>
        <w:rPr>
          <w:rFonts w:cs="Arial"/>
        </w:rPr>
      </w:pPr>
      <w:r w:rsidRPr="00C07617">
        <w:rPr>
          <w:rFonts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667B5" w:rsidRDefault="008667B5" w:rsidP="00414D00">
      <w:pPr>
        <w:pStyle w:val="Heading1"/>
      </w:pPr>
      <w:r>
        <w:t>Sponsor’s Comment</w:t>
      </w:r>
    </w:p>
    <w:p w:rsidR="008C0DAF" w:rsidRPr="006C4114" w:rsidRDefault="008C0DAF" w:rsidP="008C0DAF">
      <w:pPr>
        <w:rPr>
          <w:rFonts w:cs="Arial"/>
        </w:rPr>
      </w:pPr>
      <w:r w:rsidRPr="006C4114">
        <w:rPr>
          <w:rFonts w:cs="Arial"/>
        </w:rPr>
        <w:t xml:space="preserve">AbbVie welcomes the PBAC recommendation for the PBS listing of </w:t>
      </w:r>
      <w:proofErr w:type="spellStart"/>
      <w:r w:rsidRPr="006C4114">
        <w:rPr>
          <w:rFonts w:cs="Arial"/>
        </w:rPr>
        <w:t>Humira</w:t>
      </w:r>
      <w:proofErr w:type="spellEnd"/>
      <w:r w:rsidRPr="006C4114">
        <w:rPr>
          <w:rFonts w:cs="Arial"/>
        </w:rPr>
        <w:t xml:space="preserve"> 40mg/0.4mL </w:t>
      </w:r>
    </w:p>
    <w:p w:rsidR="008667B5" w:rsidRPr="00165FFC" w:rsidRDefault="008667B5" w:rsidP="00165FFC">
      <w:pPr>
        <w:rPr>
          <w:bCs/>
          <w:highlight w:val="yellow"/>
        </w:rPr>
      </w:pPr>
      <w:bookmarkStart w:id="22" w:name="_GoBack"/>
      <w:bookmarkEnd w:id="22"/>
    </w:p>
    <w:sectPr w:rsidR="008667B5" w:rsidRPr="00165FF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303" w:rsidRDefault="00CC4303" w:rsidP="00BA3306">
      <w:pPr>
        <w:spacing w:before="0" w:after="0"/>
      </w:pPr>
      <w:r>
        <w:separator/>
      </w:r>
    </w:p>
  </w:endnote>
  <w:endnote w:type="continuationSeparator" w:id="0">
    <w:p w:rsidR="00CC4303" w:rsidRDefault="00CC4303"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7AC" w:rsidRDefault="001027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04323"/>
      <w:docPartObj>
        <w:docPartGallery w:val="Page Numbers (Bottom of Page)"/>
        <w:docPartUnique/>
      </w:docPartObj>
    </w:sdtPr>
    <w:sdtEndPr>
      <w:rPr>
        <w:noProof/>
      </w:rPr>
    </w:sdtEndPr>
    <w:sdtContent>
      <w:p w:rsidR="004630C0" w:rsidRDefault="004630C0">
        <w:pPr>
          <w:pStyle w:val="Footer"/>
          <w:jc w:val="center"/>
        </w:pPr>
        <w:r>
          <w:fldChar w:fldCharType="begin"/>
        </w:r>
        <w:r>
          <w:instrText xml:space="preserve"> PAGE   \* MERGEFORMAT </w:instrText>
        </w:r>
        <w:r>
          <w:fldChar w:fldCharType="separate"/>
        </w:r>
        <w:r w:rsidR="008B02EB">
          <w:rPr>
            <w:noProof/>
          </w:rPr>
          <w:t>1</w:t>
        </w:r>
        <w:r>
          <w:rPr>
            <w:noProof/>
          </w:rPr>
          <w:fldChar w:fldCharType="end"/>
        </w:r>
      </w:p>
    </w:sdtContent>
  </w:sdt>
  <w:p w:rsidR="00A51A1B" w:rsidRDefault="00A51A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7AC" w:rsidRDefault="00102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303" w:rsidRDefault="00CC4303" w:rsidP="00BA3306">
      <w:pPr>
        <w:spacing w:before="0" w:after="0"/>
      </w:pPr>
      <w:r>
        <w:separator/>
      </w:r>
    </w:p>
  </w:footnote>
  <w:footnote w:type="continuationSeparator" w:id="0">
    <w:p w:rsidR="00CC4303" w:rsidRDefault="00CC4303" w:rsidP="00BA33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7AC" w:rsidRDefault="001027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FD" w:rsidRPr="004630C0" w:rsidRDefault="00382292" w:rsidP="004630C0">
    <w:pPr>
      <w:pStyle w:val="Header"/>
      <w:tabs>
        <w:tab w:val="left" w:pos="1725"/>
        <w:tab w:val="left" w:pos="7725"/>
      </w:tabs>
      <w:jc w:val="center"/>
      <w:rPr>
        <w:i/>
      </w:rPr>
    </w:pPr>
    <w:r>
      <w:rPr>
        <w:i/>
      </w:rPr>
      <w:t>Public Summary Document</w:t>
    </w:r>
    <w:r w:rsidR="004630C0" w:rsidRPr="004630C0">
      <w:rPr>
        <w:i/>
      </w:rPr>
      <w:t xml:space="preserve"> – December 2017 PBAC Meeting</w:t>
    </w:r>
  </w:p>
  <w:p w:rsidR="004630C0" w:rsidRPr="004630C0" w:rsidRDefault="004630C0" w:rsidP="004630C0">
    <w:pPr>
      <w:pStyle w:val="Header"/>
      <w:tabs>
        <w:tab w:val="left" w:pos="1725"/>
        <w:tab w:val="left" w:pos="7725"/>
      </w:tabs>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7AC" w:rsidRDefault="001027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3B30D4D"/>
    <w:multiLevelType w:val="multilevel"/>
    <w:tmpl w:val="EF04009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DB6EC1"/>
    <w:multiLevelType w:val="hybridMultilevel"/>
    <w:tmpl w:val="915013F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9434E"/>
    <w:multiLevelType w:val="hybridMultilevel"/>
    <w:tmpl w:val="FD4AC2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095957"/>
    <w:multiLevelType w:val="multilevel"/>
    <w:tmpl w:val="E2B831C8"/>
    <w:lvl w:ilvl="0">
      <w:start w:val="1"/>
      <w:numFmt w:val="decimal"/>
      <w:lvlText w:val="%1"/>
      <w:lvlJc w:val="left"/>
      <w:pPr>
        <w:ind w:left="720" w:hanging="720"/>
      </w:pPr>
      <w:rPr>
        <w:rFonts w:hint="default"/>
        <w:b/>
      </w:rPr>
    </w:lvl>
    <w:lvl w:ilvl="1">
      <w:start w:val="1"/>
      <w:numFmt w:val="decimal"/>
      <w:lvlText w:val="4.%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7DE5F63"/>
    <w:multiLevelType w:val="hybridMultilevel"/>
    <w:tmpl w:val="43EC376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ED0AE8"/>
    <w:multiLevelType w:val="multilevel"/>
    <w:tmpl w:val="04D4714E"/>
    <w:lvl w:ilvl="0">
      <w:start w:val="1"/>
      <w:numFmt w:val="decimal"/>
      <w:lvlText w:val="%1"/>
      <w:lvlJc w:val="left"/>
      <w:pPr>
        <w:ind w:left="720" w:hanging="720"/>
      </w:pPr>
      <w:rPr>
        <w:rFonts w:hint="default"/>
        <w:b/>
      </w:rPr>
    </w:lvl>
    <w:lvl w:ilvl="1">
      <w:start w:val="1"/>
      <w:numFmt w:val="decimal"/>
      <w:lvlText w:val="3.%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4E6825"/>
    <w:multiLevelType w:val="multilevel"/>
    <w:tmpl w:val="12CED758"/>
    <w:lvl w:ilvl="0">
      <w:start w:val="1"/>
      <w:numFmt w:val="decimal"/>
      <w:pStyle w:val="Heading1"/>
      <w:lvlText w:val="%1"/>
      <w:lvlJc w:val="left"/>
      <w:pPr>
        <w:ind w:left="432" w:hanging="432"/>
      </w:pPr>
      <w:rPr>
        <w:rFonts w:hint="default"/>
        <w:b/>
        <w:i w:val="0"/>
      </w:rPr>
    </w:lvl>
    <w:lvl w:ilvl="1">
      <w:start w:val="1"/>
      <w:numFmt w:val="decimal"/>
      <w:lvlText w:val="%1.%2"/>
      <w:lvlJc w:val="left"/>
      <w:pPr>
        <w:ind w:left="576" w:hanging="576"/>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DF66841"/>
    <w:multiLevelType w:val="hybridMultilevel"/>
    <w:tmpl w:val="C980B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DD511E"/>
    <w:multiLevelType w:val="hybridMultilevel"/>
    <w:tmpl w:val="53EC07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3891910"/>
    <w:multiLevelType w:val="hybridMultilevel"/>
    <w:tmpl w:val="9C8C3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7157FEB"/>
    <w:multiLevelType w:val="multilevel"/>
    <w:tmpl w:val="873EB5C6"/>
    <w:lvl w:ilvl="0">
      <w:start w:val="1"/>
      <w:numFmt w:val="decimal"/>
      <w:lvlText w:val="%1"/>
      <w:lvlJc w:val="left"/>
      <w:pPr>
        <w:ind w:left="720" w:hanging="720"/>
      </w:pPr>
      <w:rPr>
        <w:rFonts w:hint="default"/>
        <w:b/>
      </w:rPr>
    </w:lvl>
    <w:lvl w:ilvl="1">
      <w:start w:val="1"/>
      <w:numFmt w:val="decimal"/>
      <w:lvlText w:val="5.%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967027C"/>
    <w:multiLevelType w:val="hybridMultilevel"/>
    <w:tmpl w:val="F802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BB568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84369D8A"/>
    <w:lvl w:ilvl="0">
      <w:start w:val="1"/>
      <w:numFmt w:val="decimal"/>
      <w:pStyle w:val="PBACHeading1"/>
      <w:lvlText w:val="%1"/>
      <w:lvlJc w:val="left"/>
      <w:pPr>
        <w:ind w:left="720" w:hanging="720"/>
      </w:pPr>
      <w:rPr>
        <w:rFonts w:hint="default"/>
        <w:b/>
      </w:rPr>
    </w:lvl>
    <w:lvl w:ilvl="1">
      <w:start w:val="1"/>
      <w:numFmt w:val="decimal"/>
      <w:lvlText w:val="6.%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9A61D06"/>
    <w:multiLevelType w:val="hybridMultilevel"/>
    <w:tmpl w:val="3F586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3"/>
  </w:num>
  <w:num w:numId="4">
    <w:abstractNumId w:val="22"/>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1"/>
  </w:num>
  <w:num w:numId="9">
    <w:abstractNumId w:val="2"/>
  </w:num>
  <w:num w:numId="10">
    <w:abstractNumId w:val="7"/>
  </w:num>
  <w:num w:numId="11">
    <w:abstractNumId w:val="2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8"/>
  </w:num>
  <w:num w:numId="23">
    <w:abstractNumId w:val="22"/>
  </w:num>
  <w:num w:numId="24">
    <w:abstractNumId w:val="12"/>
  </w:num>
  <w:num w:numId="25">
    <w:abstractNumId w:val="19"/>
  </w:num>
  <w:num w:numId="26">
    <w:abstractNumId w:val="4"/>
  </w:num>
  <w:num w:numId="27">
    <w:abstractNumId w:val="1"/>
  </w:num>
  <w:num w:numId="28">
    <w:abstractNumId w:val="13"/>
  </w:num>
  <w:num w:numId="29">
    <w:abstractNumId w:val="14"/>
  </w:num>
  <w:num w:numId="30">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6"/>
  </w:num>
  <w:num w:numId="33">
    <w:abstractNumId w:val="17"/>
  </w:num>
  <w:num w:numId="34">
    <w:abstractNumId w:val="5"/>
  </w:num>
  <w:num w:numId="35">
    <w:abstractNumId w:val="0"/>
  </w:num>
  <w:num w:numId="36">
    <w:abstractNumId w:val="9"/>
  </w:num>
  <w:num w:numId="3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B4"/>
    <w:rsid w:val="0001066F"/>
    <w:rsid w:val="0001116A"/>
    <w:rsid w:val="000123CF"/>
    <w:rsid w:val="00012F95"/>
    <w:rsid w:val="00013222"/>
    <w:rsid w:val="0002095B"/>
    <w:rsid w:val="00034404"/>
    <w:rsid w:val="000461CF"/>
    <w:rsid w:val="00057F71"/>
    <w:rsid w:val="00062067"/>
    <w:rsid w:val="00065C62"/>
    <w:rsid w:val="00065CDE"/>
    <w:rsid w:val="00065F4A"/>
    <w:rsid w:val="000700FA"/>
    <w:rsid w:val="00080FF3"/>
    <w:rsid w:val="000847FE"/>
    <w:rsid w:val="00086133"/>
    <w:rsid w:val="00096AA5"/>
    <w:rsid w:val="000A2694"/>
    <w:rsid w:val="000A2EF1"/>
    <w:rsid w:val="000A6309"/>
    <w:rsid w:val="000A6FBD"/>
    <w:rsid w:val="000B56CD"/>
    <w:rsid w:val="000B6B69"/>
    <w:rsid w:val="000C0142"/>
    <w:rsid w:val="000C6033"/>
    <w:rsid w:val="000C66ED"/>
    <w:rsid w:val="000C6A40"/>
    <w:rsid w:val="000C6A75"/>
    <w:rsid w:val="000D0023"/>
    <w:rsid w:val="000D2E92"/>
    <w:rsid w:val="000D7D60"/>
    <w:rsid w:val="000F2534"/>
    <w:rsid w:val="000F3652"/>
    <w:rsid w:val="000F4356"/>
    <w:rsid w:val="001027AC"/>
    <w:rsid w:val="0011039E"/>
    <w:rsid w:val="00123FE3"/>
    <w:rsid w:val="0012437B"/>
    <w:rsid w:val="0012701F"/>
    <w:rsid w:val="001279AE"/>
    <w:rsid w:val="0013092C"/>
    <w:rsid w:val="00136E76"/>
    <w:rsid w:val="001468C6"/>
    <w:rsid w:val="00146C47"/>
    <w:rsid w:val="00162879"/>
    <w:rsid w:val="00165A49"/>
    <w:rsid w:val="00165FFC"/>
    <w:rsid w:val="001722AD"/>
    <w:rsid w:val="00173577"/>
    <w:rsid w:val="00175563"/>
    <w:rsid w:val="0017638E"/>
    <w:rsid w:val="00176AA5"/>
    <w:rsid w:val="0017720E"/>
    <w:rsid w:val="00177893"/>
    <w:rsid w:val="00184221"/>
    <w:rsid w:val="00186307"/>
    <w:rsid w:val="00186EBC"/>
    <w:rsid w:val="00195DA4"/>
    <w:rsid w:val="001A0142"/>
    <w:rsid w:val="001A02B2"/>
    <w:rsid w:val="001B00CE"/>
    <w:rsid w:val="001B1D1B"/>
    <w:rsid w:val="001B6389"/>
    <w:rsid w:val="001C04CC"/>
    <w:rsid w:val="001C051E"/>
    <w:rsid w:val="001D5DE3"/>
    <w:rsid w:val="001E4361"/>
    <w:rsid w:val="001E5918"/>
    <w:rsid w:val="001F073C"/>
    <w:rsid w:val="001F2912"/>
    <w:rsid w:val="002001C6"/>
    <w:rsid w:val="00200296"/>
    <w:rsid w:val="00201ADB"/>
    <w:rsid w:val="002058E5"/>
    <w:rsid w:val="00207FFC"/>
    <w:rsid w:val="00210FAA"/>
    <w:rsid w:val="00217585"/>
    <w:rsid w:val="002234A6"/>
    <w:rsid w:val="002248C2"/>
    <w:rsid w:val="00227F56"/>
    <w:rsid w:val="00235F10"/>
    <w:rsid w:val="002372EA"/>
    <w:rsid w:val="002425EA"/>
    <w:rsid w:val="00242EA0"/>
    <w:rsid w:val="00243685"/>
    <w:rsid w:val="0025613F"/>
    <w:rsid w:val="002561AB"/>
    <w:rsid w:val="00261DC6"/>
    <w:rsid w:val="00264623"/>
    <w:rsid w:val="00273C92"/>
    <w:rsid w:val="00280B5B"/>
    <w:rsid w:val="00282D1F"/>
    <w:rsid w:val="002836DF"/>
    <w:rsid w:val="002928F4"/>
    <w:rsid w:val="0029602D"/>
    <w:rsid w:val="002A4503"/>
    <w:rsid w:val="002B109D"/>
    <w:rsid w:val="002B4941"/>
    <w:rsid w:val="002B5D74"/>
    <w:rsid w:val="002B7ADB"/>
    <w:rsid w:val="002C1D2F"/>
    <w:rsid w:val="002D1068"/>
    <w:rsid w:val="002D2FCA"/>
    <w:rsid w:val="002D34C2"/>
    <w:rsid w:val="002D7823"/>
    <w:rsid w:val="002E42FD"/>
    <w:rsid w:val="002E4C2D"/>
    <w:rsid w:val="002E5DEA"/>
    <w:rsid w:val="002E710D"/>
    <w:rsid w:val="002E724A"/>
    <w:rsid w:val="002F0CC4"/>
    <w:rsid w:val="002F311E"/>
    <w:rsid w:val="002F68D0"/>
    <w:rsid w:val="002F71B8"/>
    <w:rsid w:val="003000F3"/>
    <w:rsid w:val="0030057F"/>
    <w:rsid w:val="00301EA1"/>
    <w:rsid w:val="00302FCC"/>
    <w:rsid w:val="003062AE"/>
    <w:rsid w:val="00315514"/>
    <w:rsid w:val="00334ACF"/>
    <w:rsid w:val="00341A14"/>
    <w:rsid w:val="00351381"/>
    <w:rsid w:val="0035277D"/>
    <w:rsid w:val="003530A6"/>
    <w:rsid w:val="00353627"/>
    <w:rsid w:val="00355F72"/>
    <w:rsid w:val="00357657"/>
    <w:rsid w:val="003623BD"/>
    <w:rsid w:val="003639A6"/>
    <w:rsid w:val="00366695"/>
    <w:rsid w:val="003679AE"/>
    <w:rsid w:val="003757F6"/>
    <w:rsid w:val="00382292"/>
    <w:rsid w:val="0038281C"/>
    <w:rsid w:val="003851FE"/>
    <w:rsid w:val="00385A64"/>
    <w:rsid w:val="00386D1A"/>
    <w:rsid w:val="003923DF"/>
    <w:rsid w:val="00397170"/>
    <w:rsid w:val="003A3433"/>
    <w:rsid w:val="003A537E"/>
    <w:rsid w:val="003A660F"/>
    <w:rsid w:val="003B095E"/>
    <w:rsid w:val="003C0BF9"/>
    <w:rsid w:val="003C0EAF"/>
    <w:rsid w:val="003C1A9F"/>
    <w:rsid w:val="003C5F28"/>
    <w:rsid w:val="003D11A9"/>
    <w:rsid w:val="003D2A37"/>
    <w:rsid w:val="003D69EF"/>
    <w:rsid w:val="003D7F8C"/>
    <w:rsid w:val="003E0EDB"/>
    <w:rsid w:val="003E44EA"/>
    <w:rsid w:val="003E6475"/>
    <w:rsid w:val="003F0574"/>
    <w:rsid w:val="003F105A"/>
    <w:rsid w:val="003F283D"/>
    <w:rsid w:val="003F6199"/>
    <w:rsid w:val="00400EFD"/>
    <w:rsid w:val="004033BF"/>
    <w:rsid w:val="00411682"/>
    <w:rsid w:val="00411814"/>
    <w:rsid w:val="00414D00"/>
    <w:rsid w:val="004175C7"/>
    <w:rsid w:val="00421450"/>
    <w:rsid w:val="004218E1"/>
    <w:rsid w:val="00427E55"/>
    <w:rsid w:val="00433B21"/>
    <w:rsid w:val="00437BB5"/>
    <w:rsid w:val="00453BAE"/>
    <w:rsid w:val="00453D59"/>
    <w:rsid w:val="00454493"/>
    <w:rsid w:val="004619BB"/>
    <w:rsid w:val="004630C0"/>
    <w:rsid w:val="00465D3F"/>
    <w:rsid w:val="0046621E"/>
    <w:rsid w:val="00472D4D"/>
    <w:rsid w:val="00484911"/>
    <w:rsid w:val="00487D97"/>
    <w:rsid w:val="004919DD"/>
    <w:rsid w:val="00494F7C"/>
    <w:rsid w:val="004A2DF5"/>
    <w:rsid w:val="004A4EF3"/>
    <w:rsid w:val="004A5494"/>
    <w:rsid w:val="004B02BA"/>
    <w:rsid w:val="004B3C00"/>
    <w:rsid w:val="004C37D3"/>
    <w:rsid w:val="004C65FF"/>
    <w:rsid w:val="004D1006"/>
    <w:rsid w:val="004D45DF"/>
    <w:rsid w:val="004D5B85"/>
    <w:rsid w:val="004E0C0B"/>
    <w:rsid w:val="004E2125"/>
    <w:rsid w:val="004F2DA1"/>
    <w:rsid w:val="004F3688"/>
    <w:rsid w:val="004F3AAE"/>
    <w:rsid w:val="004F4415"/>
    <w:rsid w:val="004F4BDE"/>
    <w:rsid w:val="004F6163"/>
    <w:rsid w:val="004F7CAC"/>
    <w:rsid w:val="00507713"/>
    <w:rsid w:val="00511320"/>
    <w:rsid w:val="005143F9"/>
    <w:rsid w:val="00516566"/>
    <w:rsid w:val="005218C3"/>
    <w:rsid w:val="00531C11"/>
    <w:rsid w:val="00535C74"/>
    <w:rsid w:val="005361AB"/>
    <w:rsid w:val="00540B50"/>
    <w:rsid w:val="00541D43"/>
    <w:rsid w:val="00542068"/>
    <w:rsid w:val="00542201"/>
    <w:rsid w:val="00543AF9"/>
    <w:rsid w:val="00552D6B"/>
    <w:rsid w:val="0055532F"/>
    <w:rsid w:val="005558A9"/>
    <w:rsid w:val="00561D24"/>
    <w:rsid w:val="00566C0C"/>
    <w:rsid w:val="00576ADE"/>
    <w:rsid w:val="00576C07"/>
    <w:rsid w:val="00577CFD"/>
    <w:rsid w:val="00577DEF"/>
    <w:rsid w:val="005846A0"/>
    <w:rsid w:val="00587023"/>
    <w:rsid w:val="005924A7"/>
    <w:rsid w:val="005948F6"/>
    <w:rsid w:val="00597972"/>
    <w:rsid w:val="005B1A7B"/>
    <w:rsid w:val="005B2147"/>
    <w:rsid w:val="005C3BD2"/>
    <w:rsid w:val="005C6285"/>
    <w:rsid w:val="005D5BA1"/>
    <w:rsid w:val="005D622E"/>
    <w:rsid w:val="005E34E3"/>
    <w:rsid w:val="005E49B2"/>
    <w:rsid w:val="005F0AE8"/>
    <w:rsid w:val="005F2A6B"/>
    <w:rsid w:val="005F40C1"/>
    <w:rsid w:val="006024D3"/>
    <w:rsid w:val="00604104"/>
    <w:rsid w:val="00606E35"/>
    <w:rsid w:val="00606EF9"/>
    <w:rsid w:val="0060706A"/>
    <w:rsid w:val="006070C4"/>
    <w:rsid w:val="00607758"/>
    <w:rsid w:val="00610D5E"/>
    <w:rsid w:val="006110E8"/>
    <w:rsid w:val="00613467"/>
    <w:rsid w:val="006153F0"/>
    <w:rsid w:val="00616E2A"/>
    <w:rsid w:val="00624315"/>
    <w:rsid w:val="0062545B"/>
    <w:rsid w:val="0062552A"/>
    <w:rsid w:val="00626183"/>
    <w:rsid w:val="006332BE"/>
    <w:rsid w:val="00635831"/>
    <w:rsid w:val="006408C3"/>
    <w:rsid w:val="0064620D"/>
    <w:rsid w:val="006478EE"/>
    <w:rsid w:val="00657754"/>
    <w:rsid w:val="00661286"/>
    <w:rsid w:val="00662DFF"/>
    <w:rsid w:val="00662F3B"/>
    <w:rsid w:val="00664356"/>
    <w:rsid w:val="00672120"/>
    <w:rsid w:val="00691913"/>
    <w:rsid w:val="00692FB3"/>
    <w:rsid w:val="00693A04"/>
    <w:rsid w:val="006A138B"/>
    <w:rsid w:val="006B140A"/>
    <w:rsid w:val="006B288D"/>
    <w:rsid w:val="006B3F7E"/>
    <w:rsid w:val="006C4906"/>
    <w:rsid w:val="006C528E"/>
    <w:rsid w:val="006D3271"/>
    <w:rsid w:val="006E7302"/>
    <w:rsid w:val="006F161E"/>
    <w:rsid w:val="006F21CC"/>
    <w:rsid w:val="006F3B63"/>
    <w:rsid w:val="006F5815"/>
    <w:rsid w:val="00707082"/>
    <w:rsid w:val="00712C73"/>
    <w:rsid w:val="00723AB1"/>
    <w:rsid w:val="00723E1E"/>
    <w:rsid w:val="00734542"/>
    <w:rsid w:val="00734660"/>
    <w:rsid w:val="00747333"/>
    <w:rsid w:val="007509A6"/>
    <w:rsid w:val="00750B5A"/>
    <w:rsid w:val="00751984"/>
    <w:rsid w:val="007633B0"/>
    <w:rsid w:val="007715D2"/>
    <w:rsid w:val="00772501"/>
    <w:rsid w:val="00772C70"/>
    <w:rsid w:val="007847FA"/>
    <w:rsid w:val="00790910"/>
    <w:rsid w:val="00791DE1"/>
    <w:rsid w:val="00795B29"/>
    <w:rsid w:val="007A3A8C"/>
    <w:rsid w:val="007A4EAD"/>
    <w:rsid w:val="007B0E0C"/>
    <w:rsid w:val="007B2E4A"/>
    <w:rsid w:val="007B735A"/>
    <w:rsid w:val="007C26E5"/>
    <w:rsid w:val="007C3678"/>
    <w:rsid w:val="007C720A"/>
    <w:rsid w:val="007D1092"/>
    <w:rsid w:val="007D13A1"/>
    <w:rsid w:val="007D2621"/>
    <w:rsid w:val="007D3FDF"/>
    <w:rsid w:val="007E3562"/>
    <w:rsid w:val="007F08CA"/>
    <w:rsid w:val="007F3B6E"/>
    <w:rsid w:val="008058E8"/>
    <w:rsid w:val="00806434"/>
    <w:rsid w:val="00813288"/>
    <w:rsid w:val="00821A29"/>
    <w:rsid w:val="00823233"/>
    <w:rsid w:val="00824426"/>
    <w:rsid w:val="00830E52"/>
    <w:rsid w:val="008324E3"/>
    <w:rsid w:val="00833A99"/>
    <w:rsid w:val="00834DD9"/>
    <w:rsid w:val="00836E8D"/>
    <w:rsid w:val="00845946"/>
    <w:rsid w:val="008476A0"/>
    <w:rsid w:val="00852F38"/>
    <w:rsid w:val="00854C36"/>
    <w:rsid w:val="00856C34"/>
    <w:rsid w:val="00864BCC"/>
    <w:rsid w:val="00865DC1"/>
    <w:rsid w:val="008667B5"/>
    <w:rsid w:val="00870089"/>
    <w:rsid w:val="008750F9"/>
    <w:rsid w:val="00875341"/>
    <w:rsid w:val="0087536F"/>
    <w:rsid w:val="00880A40"/>
    <w:rsid w:val="00883CC9"/>
    <w:rsid w:val="008869F4"/>
    <w:rsid w:val="00893EEF"/>
    <w:rsid w:val="008A0D15"/>
    <w:rsid w:val="008A3C58"/>
    <w:rsid w:val="008A4880"/>
    <w:rsid w:val="008A52B1"/>
    <w:rsid w:val="008B02EB"/>
    <w:rsid w:val="008B5B32"/>
    <w:rsid w:val="008C0DAF"/>
    <w:rsid w:val="008D0205"/>
    <w:rsid w:val="008D78FF"/>
    <w:rsid w:val="008F4372"/>
    <w:rsid w:val="008F6ACA"/>
    <w:rsid w:val="009074E3"/>
    <w:rsid w:val="00914DA7"/>
    <w:rsid w:val="00915137"/>
    <w:rsid w:val="00915F63"/>
    <w:rsid w:val="009170D7"/>
    <w:rsid w:val="009177E9"/>
    <w:rsid w:val="0092606A"/>
    <w:rsid w:val="009331CF"/>
    <w:rsid w:val="009334AC"/>
    <w:rsid w:val="00940427"/>
    <w:rsid w:val="00942010"/>
    <w:rsid w:val="0094320A"/>
    <w:rsid w:val="0095170D"/>
    <w:rsid w:val="0095307F"/>
    <w:rsid w:val="00955526"/>
    <w:rsid w:val="00966C09"/>
    <w:rsid w:val="009813A5"/>
    <w:rsid w:val="00981EB9"/>
    <w:rsid w:val="00984441"/>
    <w:rsid w:val="009844CF"/>
    <w:rsid w:val="00984DD8"/>
    <w:rsid w:val="0099085F"/>
    <w:rsid w:val="009925DB"/>
    <w:rsid w:val="00993CC9"/>
    <w:rsid w:val="00995222"/>
    <w:rsid w:val="009A6F74"/>
    <w:rsid w:val="009B376D"/>
    <w:rsid w:val="009D3628"/>
    <w:rsid w:val="009D4C2A"/>
    <w:rsid w:val="009D6914"/>
    <w:rsid w:val="009E1C22"/>
    <w:rsid w:val="009E2481"/>
    <w:rsid w:val="009E6ED2"/>
    <w:rsid w:val="009F3631"/>
    <w:rsid w:val="009F3790"/>
    <w:rsid w:val="009F7CEB"/>
    <w:rsid w:val="00A040FD"/>
    <w:rsid w:val="00A0426A"/>
    <w:rsid w:val="00A04C0D"/>
    <w:rsid w:val="00A07A7F"/>
    <w:rsid w:val="00A12983"/>
    <w:rsid w:val="00A20B1A"/>
    <w:rsid w:val="00A22A39"/>
    <w:rsid w:val="00A41E5D"/>
    <w:rsid w:val="00A51A1B"/>
    <w:rsid w:val="00A535FB"/>
    <w:rsid w:val="00A56935"/>
    <w:rsid w:val="00A6374D"/>
    <w:rsid w:val="00A81F82"/>
    <w:rsid w:val="00A841B0"/>
    <w:rsid w:val="00A85A2B"/>
    <w:rsid w:val="00A93543"/>
    <w:rsid w:val="00A94EFC"/>
    <w:rsid w:val="00AA1681"/>
    <w:rsid w:val="00AA2157"/>
    <w:rsid w:val="00AA2FA1"/>
    <w:rsid w:val="00AA51C1"/>
    <w:rsid w:val="00AA6156"/>
    <w:rsid w:val="00AA73AC"/>
    <w:rsid w:val="00AA7B77"/>
    <w:rsid w:val="00AB187A"/>
    <w:rsid w:val="00AB2F64"/>
    <w:rsid w:val="00AB514A"/>
    <w:rsid w:val="00AC50E3"/>
    <w:rsid w:val="00AD51C9"/>
    <w:rsid w:val="00AE2A68"/>
    <w:rsid w:val="00AE513E"/>
    <w:rsid w:val="00AE7AA8"/>
    <w:rsid w:val="00AF0DF9"/>
    <w:rsid w:val="00AF4BE4"/>
    <w:rsid w:val="00B05A6C"/>
    <w:rsid w:val="00B11EA0"/>
    <w:rsid w:val="00B17FDB"/>
    <w:rsid w:val="00B21BB1"/>
    <w:rsid w:val="00B25D68"/>
    <w:rsid w:val="00B26BBF"/>
    <w:rsid w:val="00B2777B"/>
    <w:rsid w:val="00B32F0A"/>
    <w:rsid w:val="00B539FB"/>
    <w:rsid w:val="00B6367E"/>
    <w:rsid w:val="00B63B06"/>
    <w:rsid w:val="00B66C37"/>
    <w:rsid w:val="00B66EA2"/>
    <w:rsid w:val="00B67119"/>
    <w:rsid w:val="00B71675"/>
    <w:rsid w:val="00B71B62"/>
    <w:rsid w:val="00B75BC0"/>
    <w:rsid w:val="00B7796D"/>
    <w:rsid w:val="00B80B83"/>
    <w:rsid w:val="00B81A5A"/>
    <w:rsid w:val="00B863A0"/>
    <w:rsid w:val="00B915D3"/>
    <w:rsid w:val="00BA01AB"/>
    <w:rsid w:val="00BA1134"/>
    <w:rsid w:val="00BA21E8"/>
    <w:rsid w:val="00BA3306"/>
    <w:rsid w:val="00BA73EE"/>
    <w:rsid w:val="00BC7C1B"/>
    <w:rsid w:val="00BC7FCB"/>
    <w:rsid w:val="00BD03EC"/>
    <w:rsid w:val="00BE3CAA"/>
    <w:rsid w:val="00BE3E5F"/>
    <w:rsid w:val="00BE583A"/>
    <w:rsid w:val="00C06418"/>
    <w:rsid w:val="00C07417"/>
    <w:rsid w:val="00C07BBA"/>
    <w:rsid w:val="00C104C2"/>
    <w:rsid w:val="00C11033"/>
    <w:rsid w:val="00C23FEA"/>
    <w:rsid w:val="00C317F3"/>
    <w:rsid w:val="00C44C37"/>
    <w:rsid w:val="00C46AE5"/>
    <w:rsid w:val="00C47654"/>
    <w:rsid w:val="00C52ACF"/>
    <w:rsid w:val="00C54D80"/>
    <w:rsid w:val="00C57E4D"/>
    <w:rsid w:val="00C626E2"/>
    <w:rsid w:val="00C628C8"/>
    <w:rsid w:val="00C7519E"/>
    <w:rsid w:val="00C81A12"/>
    <w:rsid w:val="00C846BE"/>
    <w:rsid w:val="00C963DE"/>
    <w:rsid w:val="00CA0C26"/>
    <w:rsid w:val="00CB07A8"/>
    <w:rsid w:val="00CB14A1"/>
    <w:rsid w:val="00CB5389"/>
    <w:rsid w:val="00CC10E1"/>
    <w:rsid w:val="00CC4303"/>
    <w:rsid w:val="00CD12E3"/>
    <w:rsid w:val="00CD6327"/>
    <w:rsid w:val="00CE2B78"/>
    <w:rsid w:val="00CE42EC"/>
    <w:rsid w:val="00CE6AC3"/>
    <w:rsid w:val="00CE74A3"/>
    <w:rsid w:val="00D034DD"/>
    <w:rsid w:val="00D03D0C"/>
    <w:rsid w:val="00D04952"/>
    <w:rsid w:val="00D06A16"/>
    <w:rsid w:val="00D1078F"/>
    <w:rsid w:val="00D10E60"/>
    <w:rsid w:val="00D12CD2"/>
    <w:rsid w:val="00D14D23"/>
    <w:rsid w:val="00D15D8B"/>
    <w:rsid w:val="00D17984"/>
    <w:rsid w:val="00D238C1"/>
    <w:rsid w:val="00D24DAD"/>
    <w:rsid w:val="00D25916"/>
    <w:rsid w:val="00D329E6"/>
    <w:rsid w:val="00D3720C"/>
    <w:rsid w:val="00D37972"/>
    <w:rsid w:val="00D40896"/>
    <w:rsid w:val="00D41534"/>
    <w:rsid w:val="00D451FC"/>
    <w:rsid w:val="00D50D56"/>
    <w:rsid w:val="00D63C48"/>
    <w:rsid w:val="00D64289"/>
    <w:rsid w:val="00D6667B"/>
    <w:rsid w:val="00D71400"/>
    <w:rsid w:val="00D72C23"/>
    <w:rsid w:val="00D8435D"/>
    <w:rsid w:val="00D95394"/>
    <w:rsid w:val="00D970E7"/>
    <w:rsid w:val="00D97D92"/>
    <w:rsid w:val="00DA032B"/>
    <w:rsid w:val="00DA0456"/>
    <w:rsid w:val="00DA55BB"/>
    <w:rsid w:val="00DA73EE"/>
    <w:rsid w:val="00DC1743"/>
    <w:rsid w:val="00DC1F73"/>
    <w:rsid w:val="00DC34D0"/>
    <w:rsid w:val="00DC4850"/>
    <w:rsid w:val="00DC4CC9"/>
    <w:rsid w:val="00DC7746"/>
    <w:rsid w:val="00DD26DF"/>
    <w:rsid w:val="00DD3049"/>
    <w:rsid w:val="00DD32F3"/>
    <w:rsid w:val="00DD5AF4"/>
    <w:rsid w:val="00DE1A69"/>
    <w:rsid w:val="00DE21E4"/>
    <w:rsid w:val="00DE2A7C"/>
    <w:rsid w:val="00DE30E2"/>
    <w:rsid w:val="00DE3A9A"/>
    <w:rsid w:val="00DE6421"/>
    <w:rsid w:val="00DF16C0"/>
    <w:rsid w:val="00DF1844"/>
    <w:rsid w:val="00DF53C6"/>
    <w:rsid w:val="00DF548B"/>
    <w:rsid w:val="00E05FBC"/>
    <w:rsid w:val="00E10B7D"/>
    <w:rsid w:val="00E227EA"/>
    <w:rsid w:val="00E23360"/>
    <w:rsid w:val="00E23660"/>
    <w:rsid w:val="00E23717"/>
    <w:rsid w:val="00E2761D"/>
    <w:rsid w:val="00E31A1E"/>
    <w:rsid w:val="00E31D4B"/>
    <w:rsid w:val="00E34484"/>
    <w:rsid w:val="00E35F26"/>
    <w:rsid w:val="00E37424"/>
    <w:rsid w:val="00E4041E"/>
    <w:rsid w:val="00E43AF5"/>
    <w:rsid w:val="00E45180"/>
    <w:rsid w:val="00E45305"/>
    <w:rsid w:val="00E4634C"/>
    <w:rsid w:val="00E46AC9"/>
    <w:rsid w:val="00E511FB"/>
    <w:rsid w:val="00E53DB6"/>
    <w:rsid w:val="00E54FB3"/>
    <w:rsid w:val="00E55904"/>
    <w:rsid w:val="00E55E72"/>
    <w:rsid w:val="00E66614"/>
    <w:rsid w:val="00E773DF"/>
    <w:rsid w:val="00E8269B"/>
    <w:rsid w:val="00E930FA"/>
    <w:rsid w:val="00E97407"/>
    <w:rsid w:val="00EA1B29"/>
    <w:rsid w:val="00EA66E6"/>
    <w:rsid w:val="00EB3F3E"/>
    <w:rsid w:val="00EB426B"/>
    <w:rsid w:val="00EB445E"/>
    <w:rsid w:val="00EB5E6D"/>
    <w:rsid w:val="00EB7056"/>
    <w:rsid w:val="00EC4F90"/>
    <w:rsid w:val="00EF3278"/>
    <w:rsid w:val="00F03198"/>
    <w:rsid w:val="00F049EC"/>
    <w:rsid w:val="00F26B4B"/>
    <w:rsid w:val="00F2706C"/>
    <w:rsid w:val="00F3094A"/>
    <w:rsid w:val="00F32D23"/>
    <w:rsid w:val="00F419C5"/>
    <w:rsid w:val="00F42557"/>
    <w:rsid w:val="00F44EFB"/>
    <w:rsid w:val="00F44F75"/>
    <w:rsid w:val="00F56314"/>
    <w:rsid w:val="00F703E1"/>
    <w:rsid w:val="00F70790"/>
    <w:rsid w:val="00F72B42"/>
    <w:rsid w:val="00F733F3"/>
    <w:rsid w:val="00F73A39"/>
    <w:rsid w:val="00F75D3A"/>
    <w:rsid w:val="00F80139"/>
    <w:rsid w:val="00F87C31"/>
    <w:rsid w:val="00F9212E"/>
    <w:rsid w:val="00F9783F"/>
    <w:rsid w:val="00FA0329"/>
    <w:rsid w:val="00FA0F40"/>
    <w:rsid w:val="00FA4C58"/>
    <w:rsid w:val="00FB366A"/>
    <w:rsid w:val="00FB57DB"/>
    <w:rsid w:val="00FB6238"/>
    <w:rsid w:val="00FC06E3"/>
    <w:rsid w:val="00FC22AB"/>
    <w:rsid w:val="00FC594B"/>
    <w:rsid w:val="00FC71BA"/>
    <w:rsid w:val="00FD0DA5"/>
    <w:rsid w:val="00FD7841"/>
    <w:rsid w:val="00FE2431"/>
    <w:rsid w:val="00FE4C58"/>
    <w:rsid w:val="00FE6746"/>
    <w:rsid w:val="00FF2550"/>
    <w:rsid w:val="00FF610D"/>
    <w:rsid w:val="00FF75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2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34"/>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8"/>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styleId="DocumentMap">
    <w:name w:val="Document Map"/>
    <w:basedOn w:val="Normal"/>
    <w:link w:val="DocumentMapChar"/>
    <w:uiPriority w:val="99"/>
    <w:semiHidden/>
    <w:unhideWhenUsed/>
    <w:rsid w:val="00D238C1"/>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238C1"/>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2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34"/>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8"/>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styleId="DocumentMap">
    <w:name w:val="Document Map"/>
    <w:basedOn w:val="Normal"/>
    <w:link w:val="DocumentMapChar"/>
    <w:uiPriority w:val="99"/>
    <w:semiHidden/>
    <w:unhideWhenUsed/>
    <w:rsid w:val="00D238C1"/>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238C1"/>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858933840">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600141737">
      <w:bodyDiv w:val="1"/>
      <w:marLeft w:val="0"/>
      <w:marRight w:val="0"/>
      <w:marTop w:val="0"/>
      <w:marBottom w:val="0"/>
      <w:divBdr>
        <w:top w:val="none" w:sz="0" w:space="0" w:color="auto"/>
        <w:left w:val="none" w:sz="0" w:space="0" w:color="auto"/>
        <w:bottom w:val="none" w:sz="0" w:space="0" w:color="auto"/>
        <w:right w:val="none" w:sz="0" w:space="0" w:color="auto"/>
      </w:divBdr>
    </w:div>
    <w:div w:id="1913080509">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13420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AC602-4B4D-45C1-94CF-56594EAA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2018-04-04T01:37:00Z</dcterms:created>
  <dcterms:modified xsi:type="dcterms:W3CDTF">2018-04-05T07:16:00Z</dcterms:modified>
</cp:coreProperties>
</file>