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577C4D" w:rsidRDefault="003943F2" w:rsidP="004D2080">
      <w:pPr>
        <w:pStyle w:val="Title"/>
        <w:spacing w:before="120" w:after="160"/>
        <w:ind w:left="720" w:hanging="720"/>
        <w:rPr>
          <w:rFonts w:asciiTheme="minorHAnsi" w:hAnsiTheme="minorHAnsi"/>
          <w:sz w:val="36"/>
          <w:szCs w:val="36"/>
        </w:rPr>
      </w:pPr>
      <w:bookmarkStart w:id="0" w:name="_GoBack"/>
      <w:bookmarkEnd w:id="0"/>
      <w:r>
        <w:rPr>
          <w:rFonts w:asciiTheme="minorHAnsi" w:hAnsiTheme="minorHAnsi"/>
          <w:sz w:val="36"/>
          <w:szCs w:val="36"/>
        </w:rPr>
        <w:t>7.15</w:t>
      </w:r>
      <w:r w:rsidR="007C0F57" w:rsidRPr="002B5596">
        <w:rPr>
          <w:rFonts w:asciiTheme="minorHAnsi" w:hAnsiTheme="minorHAnsi"/>
          <w:sz w:val="36"/>
          <w:szCs w:val="36"/>
        </w:rPr>
        <w:tab/>
      </w:r>
      <w:r w:rsidRPr="003943F2">
        <w:rPr>
          <w:rFonts w:asciiTheme="minorHAnsi" w:hAnsiTheme="minorHAnsi"/>
          <w:sz w:val="36"/>
          <w:szCs w:val="36"/>
        </w:rPr>
        <w:t>TRIFLURIDINE with TIPIRACIL</w:t>
      </w:r>
      <w:r w:rsidR="008A50F1" w:rsidRPr="002B5596">
        <w:rPr>
          <w:rFonts w:asciiTheme="minorHAnsi" w:hAnsiTheme="minorHAnsi"/>
          <w:sz w:val="36"/>
          <w:szCs w:val="36"/>
        </w:rPr>
        <w:br/>
      </w:r>
      <w:r w:rsidR="00C70B20">
        <w:rPr>
          <w:rFonts w:asciiTheme="minorHAnsi" w:hAnsiTheme="minorHAnsi"/>
          <w:sz w:val="36"/>
          <w:szCs w:val="36"/>
        </w:rPr>
        <w:t>T</w:t>
      </w:r>
      <w:r w:rsidRPr="003943F2">
        <w:rPr>
          <w:rFonts w:asciiTheme="minorHAnsi" w:hAnsiTheme="minorHAnsi"/>
          <w:sz w:val="36"/>
          <w:szCs w:val="36"/>
        </w:rPr>
        <w:t>ablet, 15 mg trifluridine with 6.14 mg tipiracil, 20 mg</w:t>
      </w:r>
      <w:r w:rsidR="004D2080">
        <w:rPr>
          <w:rFonts w:asciiTheme="minorHAnsi" w:hAnsiTheme="minorHAnsi"/>
          <w:sz w:val="36"/>
          <w:szCs w:val="36"/>
        </w:rPr>
        <w:br/>
      </w:r>
      <w:r w:rsidRPr="005A2ED8">
        <w:rPr>
          <w:rFonts w:asciiTheme="minorHAnsi" w:hAnsiTheme="minorHAnsi"/>
          <w:sz w:val="36"/>
          <w:szCs w:val="36"/>
        </w:rPr>
        <w:t>trifluridine with 8.19 mg tipiracil,</w:t>
      </w:r>
      <w:r w:rsidR="008A50F1" w:rsidRPr="002B5596">
        <w:rPr>
          <w:rFonts w:asciiTheme="minorHAnsi" w:hAnsiTheme="minorHAnsi"/>
          <w:sz w:val="36"/>
          <w:szCs w:val="36"/>
        </w:rPr>
        <w:br/>
      </w:r>
      <w:r w:rsidRPr="003943F2">
        <w:rPr>
          <w:rFonts w:asciiTheme="minorHAnsi" w:hAnsiTheme="minorHAnsi"/>
          <w:sz w:val="36"/>
          <w:szCs w:val="36"/>
        </w:rPr>
        <w:t>LONSURF®, Servier Laboratories (Australia) Pty Ltd</w:t>
      </w:r>
    </w:p>
    <w:p w:rsidR="008A50F1" w:rsidRPr="00D4572C" w:rsidRDefault="00CE10C4"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 xml:space="preserve">Purpose of </w:t>
      </w:r>
      <w:r w:rsidR="0004240E" w:rsidRPr="002B5596">
        <w:rPr>
          <w:rFonts w:asciiTheme="minorHAnsi" w:hAnsiTheme="minorHAnsi"/>
          <w:sz w:val="32"/>
          <w:szCs w:val="32"/>
        </w:rPr>
        <w:t>Application</w:t>
      </w:r>
    </w:p>
    <w:p w:rsidR="00956B0A" w:rsidRPr="00956B0A" w:rsidRDefault="00956B0A" w:rsidP="00956B0A">
      <w:pPr>
        <w:pStyle w:val="ListParagraph"/>
        <w:numPr>
          <w:ilvl w:val="1"/>
          <w:numId w:val="14"/>
        </w:numPr>
        <w:rPr>
          <w:rFonts w:asciiTheme="minorHAnsi" w:hAnsiTheme="minorHAnsi"/>
          <w:sz w:val="24"/>
          <w:szCs w:val="22"/>
        </w:rPr>
      </w:pPr>
      <w:r w:rsidRPr="00956B0A">
        <w:rPr>
          <w:rFonts w:asciiTheme="minorHAnsi" w:hAnsiTheme="minorHAnsi"/>
          <w:sz w:val="24"/>
          <w:szCs w:val="22"/>
        </w:rPr>
        <w:t xml:space="preserve">The minor submission sought an Authority Required (STREAMLINED) listing for trifluridine with tipiracil (thereafter referred to as trifluridine/tipiracil) for the treatment of patients with metastatic colorectal cancer (mCRC) who have been previously treated with, or are not considered candidates for, available therapies including fluoropyrimidine, oxaliplatin and irinotecan-based chemotherapy, anti-VEGF therapy and anti-EGFR therapy. </w:t>
      </w:r>
    </w:p>
    <w:p w:rsidR="006A12A5" w:rsidRPr="00577C4D" w:rsidRDefault="006A12A5"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Requested listing</w:t>
      </w:r>
    </w:p>
    <w:p w:rsidR="00826F6D" w:rsidRPr="00F72317" w:rsidRDefault="00EF44A0" w:rsidP="00EB0B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 xml:space="preserve">The submission </w:t>
      </w:r>
      <w:r w:rsidR="00FF2801" w:rsidRPr="001B2BBC">
        <w:rPr>
          <w:rFonts w:asciiTheme="minorHAnsi" w:eastAsiaTheme="minorHAnsi" w:hAnsiTheme="minorHAnsi" w:cstheme="minorBidi"/>
          <w:snapToGrid/>
          <w:sz w:val="24"/>
          <w:szCs w:val="22"/>
        </w:rPr>
        <w:t>requested</w:t>
      </w:r>
      <w:r w:rsidRPr="001B2BBC">
        <w:rPr>
          <w:rFonts w:asciiTheme="minorHAnsi" w:eastAsiaTheme="minorHAnsi" w:hAnsiTheme="minorHAnsi" w:cstheme="minorBidi"/>
          <w:snapToGrid/>
          <w:sz w:val="24"/>
          <w:szCs w:val="22"/>
        </w:rPr>
        <w:t xml:space="preserve"> the following </w:t>
      </w:r>
      <w:r w:rsidR="0076420C" w:rsidRPr="001B2BBC">
        <w:rPr>
          <w:rFonts w:asciiTheme="minorHAnsi" w:eastAsiaTheme="minorHAnsi" w:hAnsiTheme="minorHAnsi" w:cstheme="minorBidi"/>
          <w:snapToGrid/>
          <w:sz w:val="24"/>
          <w:szCs w:val="22"/>
        </w:rPr>
        <w:t xml:space="preserve">new </w:t>
      </w:r>
      <w:r w:rsidRPr="001B2BBC">
        <w:rPr>
          <w:rFonts w:asciiTheme="minorHAnsi" w:eastAsiaTheme="minorHAnsi" w:hAnsiTheme="minorHAnsi" w:cstheme="minorBidi"/>
          <w:snapToGrid/>
          <w:sz w:val="24"/>
          <w:szCs w:val="22"/>
        </w:rPr>
        <w:t>listing</w:t>
      </w:r>
      <w:r w:rsidR="007B58A5">
        <w:rPr>
          <w:rFonts w:asciiTheme="minorHAnsi" w:eastAsiaTheme="minorHAnsi" w:hAnsiTheme="minorHAnsi" w:cstheme="minorBidi"/>
          <w:snapToGrid/>
          <w:sz w:val="24"/>
          <w:szCs w:val="22"/>
        </w:rPr>
        <w:t>:</w:t>
      </w:r>
    </w:p>
    <w:tbl>
      <w:tblPr>
        <w:tblW w:w="4915" w:type="pct"/>
        <w:tblLook w:val="0000" w:firstRow="0" w:lastRow="0" w:firstColumn="0" w:lastColumn="0" w:noHBand="0" w:noVBand="0"/>
      </w:tblPr>
      <w:tblGrid>
        <w:gridCol w:w="1942"/>
        <w:gridCol w:w="1514"/>
        <w:gridCol w:w="581"/>
        <w:gridCol w:w="881"/>
        <w:gridCol w:w="1621"/>
        <w:gridCol w:w="1001"/>
        <w:gridCol w:w="1534"/>
        <w:gridCol w:w="11"/>
      </w:tblGrid>
      <w:tr w:rsidR="00163329" w:rsidRPr="0039782C" w:rsidTr="00DF7278">
        <w:trPr>
          <w:cantSplit/>
          <w:trHeight w:val="465"/>
        </w:trPr>
        <w:tc>
          <w:tcPr>
            <w:tcW w:w="1902" w:type="pct"/>
            <w:gridSpan w:val="2"/>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320"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Qty</w:t>
            </w:r>
          </w:p>
        </w:tc>
        <w:tc>
          <w:tcPr>
            <w:tcW w:w="485"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892"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1401" w:type="pct"/>
            <w:gridSpan w:val="3"/>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163329" w:rsidRPr="00260CE3" w:rsidTr="00DF7278">
        <w:trPr>
          <w:cantSplit/>
          <w:trHeight w:val="567"/>
        </w:trPr>
        <w:tc>
          <w:tcPr>
            <w:tcW w:w="1902" w:type="pct"/>
            <w:gridSpan w:val="2"/>
          </w:tcPr>
          <w:p w:rsidR="00F24BC2" w:rsidRDefault="00F24BC2" w:rsidP="00F24BC2">
            <w:pPr>
              <w:keepNext/>
              <w:ind w:left="-108"/>
              <w:jc w:val="both"/>
              <w:rPr>
                <w:rFonts w:ascii="Arial Narrow" w:hAnsi="Arial Narrow" w:cs="Arial"/>
                <w:smallCaps/>
                <w:sz w:val="20"/>
                <w:szCs w:val="20"/>
              </w:rPr>
            </w:pPr>
            <w:r w:rsidRPr="00003EDD">
              <w:rPr>
                <w:rFonts w:ascii="Arial Narrow" w:hAnsi="Arial Narrow" w:cs="Arial"/>
                <w:smallCaps/>
                <w:sz w:val="20"/>
                <w:szCs w:val="20"/>
              </w:rPr>
              <w:t>TRIFLURIDINE + TIPIRACIL</w:t>
            </w:r>
          </w:p>
          <w:p w:rsidR="00F24BC2" w:rsidRDefault="00F24BC2" w:rsidP="000C7AA5">
            <w:pPr>
              <w:keepNext/>
              <w:ind w:left="-108"/>
              <w:jc w:val="both"/>
              <w:rPr>
                <w:rFonts w:ascii="Arial Narrow" w:hAnsi="Arial Narrow" w:cs="Arial"/>
                <w:sz w:val="20"/>
                <w:szCs w:val="20"/>
              </w:rPr>
            </w:pPr>
            <w:r w:rsidRPr="00003EDD">
              <w:rPr>
                <w:rFonts w:ascii="Arial Narrow" w:hAnsi="Arial Narrow" w:cs="Arial"/>
                <w:sz w:val="20"/>
                <w:szCs w:val="20"/>
              </w:rPr>
              <w:t>Trifluridine 15 mg + tipiracil 6.14 mg tablet, 20</w:t>
            </w:r>
          </w:p>
          <w:p w:rsidR="00F24BC2" w:rsidRPr="00260CE3" w:rsidRDefault="00F24BC2" w:rsidP="00F24BC2">
            <w:pPr>
              <w:keepNext/>
              <w:ind w:left="-108"/>
              <w:jc w:val="both"/>
              <w:rPr>
                <w:rFonts w:ascii="Arial Narrow" w:hAnsi="Arial Narrow" w:cs="Arial"/>
                <w:sz w:val="20"/>
                <w:szCs w:val="20"/>
              </w:rPr>
            </w:pPr>
            <w:r w:rsidRPr="00003EDD">
              <w:rPr>
                <w:rFonts w:ascii="Arial Narrow" w:hAnsi="Arial Narrow" w:cs="Arial"/>
                <w:sz w:val="20"/>
                <w:szCs w:val="20"/>
              </w:rPr>
              <w:t>Trifluridine 20 mg + tipiracil 8.19 mg tablet, 20</w:t>
            </w:r>
          </w:p>
        </w:tc>
        <w:tc>
          <w:tcPr>
            <w:tcW w:w="320" w:type="pct"/>
          </w:tcPr>
          <w:p w:rsidR="00DF7278" w:rsidRDefault="00DF7278" w:rsidP="00DF7278">
            <w:pPr>
              <w:keepNext/>
              <w:jc w:val="center"/>
              <w:rPr>
                <w:rFonts w:ascii="Arial Narrow" w:hAnsi="Arial Narrow" w:cs="Arial"/>
                <w:sz w:val="20"/>
                <w:szCs w:val="20"/>
              </w:rPr>
            </w:pPr>
          </w:p>
          <w:p w:rsidR="00826F6D" w:rsidRDefault="00F24BC2" w:rsidP="00DF7278">
            <w:pPr>
              <w:keepNext/>
              <w:spacing w:after="40"/>
              <w:jc w:val="center"/>
              <w:rPr>
                <w:rFonts w:ascii="Arial Narrow" w:hAnsi="Arial Narrow" w:cs="Arial"/>
                <w:sz w:val="20"/>
                <w:szCs w:val="20"/>
              </w:rPr>
            </w:pPr>
            <w:r>
              <w:rPr>
                <w:rFonts w:ascii="Arial Narrow" w:hAnsi="Arial Narrow" w:cs="Arial"/>
                <w:sz w:val="20"/>
                <w:szCs w:val="20"/>
              </w:rPr>
              <w:t>3</w:t>
            </w:r>
          </w:p>
          <w:p w:rsidR="00F24BC2" w:rsidRPr="00260CE3" w:rsidRDefault="000C7AA5" w:rsidP="00DF7278">
            <w:pPr>
              <w:keepNext/>
              <w:spacing w:after="40"/>
              <w:jc w:val="center"/>
              <w:rPr>
                <w:rFonts w:ascii="Arial Narrow" w:hAnsi="Arial Narrow" w:cs="Arial"/>
                <w:sz w:val="20"/>
                <w:szCs w:val="20"/>
              </w:rPr>
            </w:pPr>
            <w:r>
              <w:rPr>
                <w:rFonts w:ascii="Arial Narrow" w:hAnsi="Arial Narrow" w:cs="Arial"/>
                <w:sz w:val="20"/>
                <w:szCs w:val="20"/>
              </w:rPr>
              <w:t>4</w:t>
            </w:r>
          </w:p>
        </w:tc>
        <w:tc>
          <w:tcPr>
            <w:tcW w:w="485" w:type="pct"/>
          </w:tcPr>
          <w:p w:rsidR="00826F6D" w:rsidRPr="00260CE3" w:rsidRDefault="00826F6D" w:rsidP="00DF7278">
            <w:pPr>
              <w:keepNext/>
              <w:jc w:val="center"/>
              <w:rPr>
                <w:rFonts w:ascii="Arial Narrow" w:hAnsi="Arial Narrow" w:cs="Arial"/>
                <w:sz w:val="20"/>
                <w:szCs w:val="20"/>
              </w:rPr>
            </w:pPr>
          </w:p>
          <w:p w:rsidR="00826F6D" w:rsidRDefault="00F24BC2" w:rsidP="00DF7278">
            <w:pPr>
              <w:keepNext/>
              <w:jc w:val="center"/>
              <w:rPr>
                <w:rFonts w:ascii="Arial Narrow" w:hAnsi="Arial Narrow" w:cs="Arial"/>
                <w:sz w:val="20"/>
                <w:szCs w:val="20"/>
              </w:rPr>
            </w:pPr>
            <w:r>
              <w:rPr>
                <w:rFonts w:ascii="Arial Narrow" w:hAnsi="Arial Narrow" w:cs="Arial"/>
                <w:sz w:val="20"/>
                <w:szCs w:val="20"/>
              </w:rPr>
              <w:t>2</w:t>
            </w:r>
          </w:p>
          <w:p w:rsidR="000C7AA5" w:rsidRDefault="000C7AA5" w:rsidP="00DF7278">
            <w:pPr>
              <w:keepNext/>
              <w:jc w:val="center"/>
              <w:rPr>
                <w:rFonts w:ascii="Arial Narrow" w:hAnsi="Arial Narrow" w:cs="Arial"/>
                <w:sz w:val="20"/>
                <w:szCs w:val="20"/>
              </w:rPr>
            </w:pPr>
            <w:r>
              <w:rPr>
                <w:rFonts w:ascii="Arial Narrow" w:hAnsi="Arial Narrow" w:cs="Arial"/>
                <w:sz w:val="20"/>
                <w:szCs w:val="20"/>
              </w:rPr>
              <w:t>2</w:t>
            </w:r>
          </w:p>
          <w:p w:rsidR="00F24BC2" w:rsidRPr="00260CE3" w:rsidRDefault="00F24BC2" w:rsidP="00DF7278">
            <w:pPr>
              <w:keepNext/>
              <w:jc w:val="center"/>
              <w:rPr>
                <w:rFonts w:ascii="Arial Narrow" w:hAnsi="Arial Narrow" w:cs="Arial"/>
                <w:sz w:val="20"/>
                <w:szCs w:val="20"/>
              </w:rPr>
            </w:pPr>
          </w:p>
        </w:tc>
        <w:tc>
          <w:tcPr>
            <w:tcW w:w="892" w:type="pct"/>
          </w:tcPr>
          <w:p w:rsidR="00826F6D" w:rsidRPr="00260CE3" w:rsidRDefault="00826F6D" w:rsidP="00DF7278">
            <w:pPr>
              <w:keepNext/>
              <w:jc w:val="center"/>
              <w:rPr>
                <w:rFonts w:ascii="Arial Narrow" w:hAnsi="Arial Narrow" w:cs="Arial"/>
                <w:sz w:val="20"/>
                <w:szCs w:val="20"/>
              </w:rPr>
            </w:pPr>
          </w:p>
          <w:p w:rsidR="000C7AA5" w:rsidRDefault="00F24BC2" w:rsidP="00DF7278">
            <w:pPr>
              <w:keepNext/>
              <w:ind w:left="-108"/>
              <w:jc w:val="center"/>
              <w:rPr>
                <w:rFonts w:ascii="Arial Narrow" w:hAnsi="Arial Narrow" w:cs="Arial"/>
                <w:sz w:val="20"/>
                <w:szCs w:val="20"/>
                <w:lang w:eastAsia="en-US" w:bidi="en-US"/>
              </w:rPr>
            </w:pPr>
            <w:r w:rsidRPr="00F24BC2">
              <w:rPr>
                <w:rFonts w:ascii="Arial Narrow" w:hAnsi="Arial Narrow" w:cs="Arial"/>
                <w:sz w:val="20"/>
                <w:szCs w:val="20"/>
                <w:lang w:eastAsia="en-US" w:bidi="en-US"/>
              </w:rPr>
              <w:t>$</w:t>
            </w:r>
            <w:r w:rsidR="00D161DB">
              <w:rPr>
                <w:rFonts w:ascii="Arial Narrow" w:hAnsi="Arial Narrow" w:cs="Arial"/>
                <w:noProof/>
                <w:color w:val="000000"/>
                <w:sz w:val="20"/>
                <w:szCs w:val="20"/>
                <w:highlight w:val="black"/>
                <w:lang w:eastAsia="en-US" w:bidi="en-US"/>
              </w:rPr>
              <w:t>''''''''''''''''''''''</w:t>
            </w:r>
            <w:r>
              <w:rPr>
                <w:rFonts w:ascii="Arial Narrow" w:hAnsi="Arial Narrow" w:cs="Arial"/>
                <w:sz w:val="20"/>
                <w:szCs w:val="20"/>
                <w:vertAlign w:val="superscript"/>
                <w:lang w:eastAsia="en-US" w:bidi="en-US"/>
              </w:rPr>
              <w:t>a</w:t>
            </w:r>
          </w:p>
          <w:p w:rsidR="00F24BC2" w:rsidRPr="00F24BC2" w:rsidRDefault="00F24BC2" w:rsidP="00DF7278">
            <w:pPr>
              <w:keepNext/>
              <w:ind w:left="-108"/>
              <w:jc w:val="center"/>
              <w:rPr>
                <w:rFonts w:ascii="Arial Narrow" w:hAnsi="Arial Narrow" w:cs="Arial"/>
                <w:sz w:val="20"/>
                <w:szCs w:val="20"/>
                <w:lang w:eastAsia="en-US" w:bidi="en-US"/>
              </w:rPr>
            </w:pPr>
            <w:r w:rsidRPr="00F24BC2">
              <w:rPr>
                <w:rFonts w:ascii="Arial Narrow" w:hAnsi="Arial Narrow" w:cs="Arial"/>
                <w:sz w:val="20"/>
                <w:szCs w:val="20"/>
                <w:lang w:eastAsia="en-US" w:bidi="en-US"/>
              </w:rPr>
              <w:t>$</w:t>
            </w:r>
            <w:r w:rsidR="00D161DB">
              <w:rPr>
                <w:rFonts w:ascii="Arial Narrow" w:hAnsi="Arial Narrow" w:cs="Arial"/>
                <w:noProof/>
                <w:color w:val="000000"/>
                <w:sz w:val="20"/>
                <w:szCs w:val="20"/>
                <w:highlight w:val="black"/>
                <w:lang w:eastAsia="en-US" w:bidi="en-US"/>
              </w:rPr>
              <w:t>'''''''''''''''''''''''</w:t>
            </w:r>
            <w:r>
              <w:rPr>
                <w:rFonts w:ascii="Arial Narrow" w:hAnsi="Arial Narrow" w:cs="Arial"/>
                <w:sz w:val="20"/>
                <w:szCs w:val="20"/>
                <w:vertAlign w:val="superscript"/>
                <w:lang w:eastAsia="en-US" w:bidi="en-US"/>
              </w:rPr>
              <w:t>b</w:t>
            </w:r>
          </w:p>
          <w:p w:rsidR="00826F6D" w:rsidRPr="00F24BC2" w:rsidRDefault="00826F6D" w:rsidP="00DF7278">
            <w:pPr>
              <w:jc w:val="center"/>
              <w:rPr>
                <w:rFonts w:ascii="Arial Narrow" w:hAnsi="Arial Narrow" w:cs="Arial"/>
                <w:sz w:val="20"/>
                <w:szCs w:val="20"/>
              </w:rPr>
            </w:pPr>
          </w:p>
        </w:tc>
        <w:tc>
          <w:tcPr>
            <w:tcW w:w="551" w:type="pct"/>
          </w:tcPr>
          <w:p w:rsidR="00C27B58" w:rsidRDefault="00C27B58" w:rsidP="00DF7278">
            <w:pPr>
              <w:keepNext/>
              <w:jc w:val="center"/>
              <w:rPr>
                <w:rFonts w:ascii="Arial Narrow" w:hAnsi="Arial Narrow" w:cs="Arial"/>
                <w:sz w:val="20"/>
                <w:szCs w:val="20"/>
              </w:rPr>
            </w:pPr>
          </w:p>
          <w:p w:rsidR="00826F6D" w:rsidRPr="00260CE3" w:rsidRDefault="00F24BC2" w:rsidP="00DF7278">
            <w:pPr>
              <w:keepNext/>
              <w:jc w:val="center"/>
              <w:rPr>
                <w:rFonts w:ascii="Arial Narrow" w:hAnsi="Arial Narrow" w:cs="Arial"/>
                <w:sz w:val="20"/>
                <w:szCs w:val="20"/>
              </w:rPr>
            </w:pPr>
            <w:r>
              <w:rPr>
                <w:rFonts w:ascii="Arial Narrow" w:hAnsi="Arial Narrow" w:cs="Arial"/>
                <w:sz w:val="20"/>
                <w:szCs w:val="20"/>
              </w:rPr>
              <w:t>LONSURF</w:t>
            </w:r>
          </w:p>
        </w:tc>
        <w:tc>
          <w:tcPr>
            <w:tcW w:w="850" w:type="pct"/>
            <w:gridSpan w:val="2"/>
          </w:tcPr>
          <w:p w:rsidR="00C27B58" w:rsidRDefault="00C27B58" w:rsidP="00DF7278">
            <w:pPr>
              <w:keepNext/>
              <w:jc w:val="center"/>
              <w:rPr>
                <w:rFonts w:ascii="Arial Narrow" w:hAnsi="Arial Narrow" w:cs="Arial"/>
                <w:sz w:val="20"/>
                <w:szCs w:val="20"/>
              </w:rPr>
            </w:pPr>
          </w:p>
          <w:p w:rsidR="00826F6D" w:rsidRPr="00260CE3" w:rsidRDefault="00F24BC2" w:rsidP="00DF7278">
            <w:pPr>
              <w:keepNext/>
              <w:jc w:val="center"/>
              <w:rPr>
                <w:rFonts w:ascii="Arial Narrow" w:hAnsi="Arial Narrow" w:cs="Arial"/>
                <w:sz w:val="20"/>
                <w:szCs w:val="20"/>
              </w:rPr>
            </w:pPr>
            <w:r w:rsidRPr="00F24BC2">
              <w:rPr>
                <w:rFonts w:ascii="Arial Narrow" w:hAnsi="Arial Narrow" w:cs="Arial"/>
                <w:sz w:val="20"/>
                <w:szCs w:val="20"/>
                <w:lang w:eastAsia="en-US" w:bidi="en-US"/>
              </w:rPr>
              <w:t>Servier Laboratories</w:t>
            </w:r>
          </w:p>
        </w:tc>
      </w:tr>
      <w:tr w:rsidR="00826F6D" w:rsidRPr="00260CE3" w:rsidTr="00F7715F">
        <w:trPr>
          <w:gridAfter w:val="1"/>
          <w:wAfter w:w="6" w:type="pct"/>
          <w:cantSplit/>
          <w:trHeight w:val="360"/>
        </w:trPr>
        <w:tc>
          <w:tcPr>
            <w:tcW w:w="1069" w:type="pct"/>
            <w:tcBorders>
              <w:top w:val="single" w:sz="4" w:space="0" w:color="auto"/>
              <w:left w:val="single" w:sz="4" w:space="0" w:color="auto"/>
              <w:bottom w:val="single" w:sz="4" w:space="0" w:color="auto"/>
              <w:right w:val="single" w:sz="4" w:space="0" w:color="auto"/>
            </w:tcBorders>
          </w:tcPr>
          <w:p w:rsidR="00826F6D" w:rsidRPr="009C19D2" w:rsidRDefault="00826F6D" w:rsidP="00DF7278">
            <w:pPr>
              <w:spacing w:before="40" w:after="40"/>
              <w:jc w:val="both"/>
              <w:rPr>
                <w:rFonts w:ascii="Arial Narrow" w:hAnsi="Arial Narrow" w:cs="Arial"/>
                <w:b/>
                <w:sz w:val="20"/>
                <w:szCs w:val="20"/>
              </w:rPr>
            </w:pPr>
            <w:r w:rsidRPr="009C19D2">
              <w:rPr>
                <w:rFonts w:ascii="Arial Narrow" w:hAnsi="Arial Narrow" w:cs="Arial"/>
                <w:b/>
                <w:sz w:val="20"/>
                <w:szCs w:val="20"/>
              </w:rPr>
              <w:t>Category / Program</w:t>
            </w:r>
          </w:p>
        </w:tc>
        <w:tc>
          <w:tcPr>
            <w:tcW w:w="3925" w:type="pct"/>
            <w:gridSpan w:val="6"/>
            <w:tcBorders>
              <w:top w:val="single" w:sz="4" w:space="0" w:color="auto"/>
              <w:left w:val="single" w:sz="4" w:space="0" w:color="auto"/>
              <w:bottom w:val="single" w:sz="4" w:space="0" w:color="auto"/>
              <w:right w:val="single" w:sz="4" w:space="0" w:color="auto"/>
            </w:tcBorders>
          </w:tcPr>
          <w:p w:rsidR="00826F6D" w:rsidRPr="00260CE3" w:rsidRDefault="00826F6D" w:rsidP="00DF7278">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tc>
      </w:tr>
      <w:tr w:rsidR="00826F6D" w:rsidRPr="00260CE3" w:rsidTr="00F7715F">
        <w:trPr>
          <w:gridAfter w:val="1"/>
          <w:wAfter w:w="6" w:type="pct"/>
          <w:cantSplit/>
          <w:trHeight w:val="360"/>
        </w:trPr>
        <w:tc>
          <w:tcPr>
            <w:tcW w:w="1069"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25" w:type="pct"/>
            <w:gridSpan w:val="6"/>
            <w:tcBorders>
              <w:top w:val="single" w:sz="4" w:space="0" w:color="auto"/>
              <w:left w:val="single" w:sz="4" w:space="0" w:color="auto"/>
              <w:bottom w:val="single" w:sz="4" w:space="0" w:color="auto"/>
              <w:right w:val="single" w:sz="4" w:space="0" w:color="auto"/>
            </w:tcBorders>
          </w:tcPr>
          <w:p w:rsidR="00826F6D" w:rsidRPr="00260CE3" w:rsidRDefault="00826F6D" w:rsidP="00DF7278">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D161DB">
              <w:rPr>
                <w:rFonts w:ascii="Arial Narrow" w:hAnsi="Arial Narrow" w:cs="Arial"/>
                <w:sz w:val="20"/>
                <w:szCs w:val="20"/>
              </w:rPr>
            </w:r>
            <w:r w:rsidR="00D161D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F7715F">
              <w:rPr>
                <w:rFonts w:ascii="Arial Narrow" w:hAnsi="Arial Narrow" w:cs="Arial"/>
                <w:sz w:val="20"/>
                <w:szCs w:val="20"/>
              </w:rPr>
              <w:fldChar w:fldCharType="begin">
                <w:ffData>
                  <w:name w:val=""/>
                  <w:enabled/>
                  <w:calcOnExit w:val="0"/>
                  <w:checkBox>
                    <w:sizeAuto/>
                    <w:default w:val="1"/>
                  </w:checkBox>
                </w:ffData>
              </w:fldChar>
            </w:r>
            <w:r w:rsidR="00F7715F">
              <w:rPr>
                <w:rFonts w:ascii="Arial Narrow" w:hAnsi="Arial Narrow" w:cs="Arial"/>
                <w:sz w:val="20"/>
                <w:szCs w:val="20"/>
              </w:rPr>
              <w:instrText xml:space="preserve"> FORMCHECKBOX </w:instrText>
            </w:r>
            <w:r w:rsidR="00D161DB">
              <w:rPr>
                <w:rFonts w:ascii="Arial Narrow" w:hAnsi="Arial Narrow" w:cs="Arial"/>
                <w:sz w:val="20"/>
                <w:szCs w:val="20"/>
              </w:rPr>
            </w:r>
            <w:r w:rsidR="00D161DB">
              <w:rPr>
                <w:rFonts w:ascii="Arial Narrow" w:hAnsi="Arial Narrow" w:cs="Arial"/>
                <w:sz w:val="20"/>
                <w:szCs w:val="20"/>
              </w:rPr>
              <w:fldChar w:fldCharType="separate"/>
            </w:r>
            <w:r w:rsidR="00F7715F">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D161DB">
              <w:rPr>
                <w:rFonts w:ascii="Arial Narrow" w:hAnsi="Arial Narrow" w:cs="Arial"/>
                <w:sz w:val="20"/>
                <w:szCs w:val="20"/>
              </w:rPr>
            </w:r>
            <w:r w:rsidR="00D161D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D161DB">
              <w:rPr>
                <w:rFonts w:ascii="Arial Narrow" w:hAnsi="Arial Narrow" w:cs="Arial"/>
                <w:sz w:val="20"/>
                <w:szCs w:val="20"/>
              </w:rPr>
            </w:r>
            <w:r w:rsidR="00D161D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r w:rsidR="00DF7278">
              <w:rPr>
                <w:rFonts w:ascii="Arial Narrow" w:hAnsi="Arial Narrow" w:cs="Arial"/>
                <w:sz w:val="20"/>
                <w:szCs w:val="20"/>
              </w:rPr>
              <w:t xml:space="preserve"> </w:t>
            </w: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D161DB">
              <w:rPr>
                <w:rFonts w:ascii="Arial Narrow" w:hAnsi="Arial Narrow" w:cs="Arial"/>
                <w:sz w:val="20"/>
                <w:szCs w:val="20"/>
              </w:rPr>
            </w:r>
            <w:r w:rsidR="00D161D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F7715F">
        <w:trPr>
          <w:gridAfter w:val="1"/>
          <w:wAfter w:w="6" w:type="pct"/>
          <w:cantSplit/>
          <w:trHeight w:val="360"/>
        </w:trPr>
        <w:tc>
          <w:tcPr>
            <w:tcW w:w="1069"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Severity:</w:t>
            </w:r>
          </w:p>
        </w:tc>
        <w:tc>
          <w:tcPr>
            <w:tcW w:w="3925" w:type="pct"/>
            <w:gridSpan w:val="6"/>
            <w:tcBorders>
              <w:top w:val="single" w:sz="4" w:space="0" w:color="auto"/>
              <w:left w:val="single" w:sz="4" w:space="0" w:color="auto"/>
              <w:bottom w:val="single" w:sz="4" w:space="0" w:color="auto"/>
              <w:right w:val="single" w:sz="4" w:space="0" w:color="auto"/>
            </w:tcBorders>
          </w:tcPr>
          <w:p w:rsidR="00826F6D" w:rsidRPr="00260CE3" w:rsidRDefault="00F7715F" w:rsidP="00EB0B63">
            <w:pPr>
              <w:spacing w:before="40" w:after="40"/>
              <w:rPr>
                <w:rFonts w:ascii="Arial Narrow" w:hAnsi="Arial Narrow" w:cs="Arial"/>
                <w:sz w:val="20"/>
                <w:szCs w:val="20"/>
              </w:rPr>
            </w:pPr>
            <w:r>
              <w:rPr>
                <w:rFonts w:ascii="Arial Narrow" w:hAnsi="Arial Narrow" w:cs="Arial"/>
                <w:sz w:val="20"/>
                <w:szCs w:val="20"/>
              </w:rPr>
              <w:t>Metastatic</w:t>
            </w:r>
          </w:p>
        </w:tc>
      </w:tr>
      <w:tr w:rsidR="00826F6D" w:rsidRPr="00260CE3" w:rsidTr="00F7715F">
        <w:trPr>
          <w:gridAfter w:val="1"/>
          <w:wAfter w:w="6" w:type="pct"/>
          <w:cantSplit/>
          <w:trHeight w:val="360"/>
        </w:trPr>
        <w:tc>
          <w:tcPr>
            <w:tcW w:w="1069"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25" w:type="pct"/>
            <w:gridSpan w:val="6"/>
            <w:tcBorders>
              <w:top w:val="single" w:sz="4" w:space="0" w:color="auto"/>
              <w:left w:val="single" w:sz="4" w:space="0" w:color="auto"/>
              <w:bottom w:val="single" w:sz="4" w:space="0" w:color="auto"/>
              <w:right w:val="single" w:sz="4" w:space="0" w:color="auto"/>
            </w:tcBorders>
          </w:tcPr>
          <w:p w:rsidR="00826F6D" w:rsidRPr="00260CE3" w:rsidRDefault="00F7715F" w:rsidP="00EB0B63">
            <w:pPr>
              <w:spacing w:before="40" w:after="40"/>
              <w:rPr>
                <w:rFonts w:ascii="Arial Narrow" w:hAnsi="Arial Narrow" w:cs="Arial"/>
                <w:sz w:val="20"/>
                <w:szCs w:val="20"/>
              </w:rPr>
            </w:pPr>
            <w:r>
              <w:rPr>
                <w:rFonts w:ascii="Arial Narrow" w:hAnsi="Arial Narrow" w:cs="Arial"/>
                <w:sz w:val="20"/>
                <w:szCs w:val="20"/>
              </w:rPr>
              <w:t>Metastatic colorectal cancer</w:t>
            </w:r>
          </w:p>
        </w:tc>
      </w:tr>
      <w:tr w:rsidR="00826F6D" w:rsidRPr="00260CE3" w:rsidTr="00F7715F">
        <w:trPr>
          <w:gridAfter w:val="1"/>
          <w:wAfter w:w="6" w:type="pct"/>
          <w:cantSplit/>
          <w:trHeight w:val="360"/>
        </w:trPr>
        <w:tc>
          <w:tcPr>
            <w:tcW w:w="1069"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25" w:type="pct"/>
            <w:gridSpan w:val="6"/>
            <w:tcBorders>
              <w:top w:val="single" w:sz="4" w:space="0" w:color="auto"/>
              <w:left w:val="single" w:sz="4" w:space="0" w:color="auto"/>
              <w:bottom w:val="single" w:sz="4" w:space="0" w:color="auto"/>
              <w:right w:val="single" w:sz="4" w:space="0" w:color="auto"/>
            </w:tcBorders>
          </w:tcPr>
          <w:p w:rsidR="00826F6D" w:rsidRPr="00260CE3" w:rsidRDefault="00F7715F" w:rsidP="00EB0B63">
            <w:pPr>
              <w:spacing w:before="40" w:after="40"/>
              <w:rPr>
                <w:rFonts w:ascii="Arial Narrow" w:hAnsi="Arial Narrow" w:cs="Arial"/>
                <w:sz w:val="20"/>
                <w:szCs w:val="20"/>
              </w:rPr>
            </w:pPr>
            <w:r>
              <w:rPr>
                <w:rFonts w:ascii="Arial Narrow" w:hAnsi="Arial Narrow" w:cs="Arial"/>
                <w:sz w:val="20"/>
                <w:szCs w:val="20"/>
              </w:rPr>
              <w:t xml:space="preserve">Metastatic colorectal cancer </w:t>
            </w:r>
          </w:p>
        </w:tc>
      </w:tr>
      <w:tr w:rsidR="00826F6D" w:rsidRPr="00260CE3" w:rsidTr="00F7715F">
        <w:trPr>
          <w:gridAfter w:val="1"/>
          <w:wAfter w:w="6" w:type="pct"/>
          <w:cantSplit/>
          <w:trHeight w:val="360"/>
        </w:trPr>
        <w:tc>
          <w:tcPr>
            <w:tcW w:w="1069" w:type="pct"/>
            <w:tcBorders>
              <w:top w:val="single" w:sz="4" w:space="0" w:color="auto"/>
              <w:left w:val="single" w:sz="4" w:space="0" w:color="auto"/>
              <w:bottom w:val="single" w:sz="4" w:space="0" w:color="auto"/>
              <w:right w:val="single" w:sz="4" w:space="0" w:color="auto"/>
            </w:tcBorders>
          </w:tcPr>
          <w:p w:rsidR="00826F6D" w:rsidRPr="00F7715F"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Treatment phase:</w:t>
            </w:r>
          </w:p>
        </w:tc>
        <w:tc>
          <w:tcPr>
            <w:tcW w:w="3925" w:type="pct"/>
            <w:gridSpan w:val="6"/>
            <w:tcBorders>
              <w:top w:val="single" w:sz="4" w:space="0" w:color="auto"/>
              <w:left w:val="single" w:sz="4" w:space="0" w:color="auto"/>
              <w:bottom w:val="single" w:sz="4" w:space="0" w:color="auto"/>
              <w:right w:val="single" w:sz="4" w:space="0" w:color="auto"/>
            </w:tcBorders>
          </w:tcPr>
          <w:p w:rsidR="00826F6D" w:rsidRPr="00260CE3" w:rsidRDefault="00F7715F" w:rsidP="00EB0B63">
            <w:pPr>
              <w:spacing w:before="40" w:after="40"/>
              <w:rPr>
                <w:rFonts w:ascii="Arial Narrow" w:hAnsi="Arial Narrow" w:cs="Arial"/>
                <w:sz w:val="20"/>
                <w:szCs w:val="20"/>
              </w:rPr>
            </w:pPr>
            <w:r>
              <w:rPr>
                <w:rFonts w:ascii="Arial Narrow" w:hAnsi="Arial Narrow" w:cs="Arial"/>
                <w:sz w:val="20"/>
                <w:szCs w:val="20"/>
              </w:rPr>
              <w:t xml:space="preserve">Initial treatment </w:t>
            </w:r>
          </w:p>
        </w:tc>
      </w:tr>
      <w:tr w:rsidR="00826F6D" w:rsidRPr="00260CE3" w:rsidTr="00F7715F">
        <w:trPr>
          <w:gridAfter w:val="1"/>
          <w:wAfter w:w="6" w:type="pct"/>
          <w:cantSplit/>
          <w:trHeight w:val="360"/>
        </w:trPr>
        <w:tc>
          <w:tcPr>
            <w:tcW w:w="1069"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EB0B63">
            <w:pPr>
              <w:spacing w:before="40" w:after="40"/>
              <w:rPr>
                <w:rFonts w:ascii="Arial Narrow" w:hAnsi="Arial Narrow" w:cs="Arial"/>
                <w:sz w:val="20"/>
                <w:szCs w:val="20"/>
              </w:rPr>
            </w:pPr>
          </w:p>
        </w:tc>
        <w:tc>
          <w:tcPr>
            <w:tcW w:w="3925" w:type="pct"/>
            <w:gridSpan w:val="6"/>
            <w:tcBorders>
              <w:top w:val="single" w:sz="4" w:space="0" w:color="auto"/>
              <w:left w:val="single" w:sz="4" w:space="0" w:color="auto"/>
              <w:bottom w:val="single" w:sz="4" w:space="0" w:color="auto"/>
              <w:right w:val="single" w:sz="4" w:space="0" w:color="auto"/>
            </w:tcBorders>
          </w:tcPr>
          <w:p w:rsidR="00826F6D" w:rsidRPr="00106BCF" w:rsidRDefault="00826F6D" w:rsidP="00EB0B63">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D161DB">
              <w:rPr>
                <w:rFonts w:ascii="Arial Narrow" w:hAnsi="Arial Narrow" w:cs="Arial"/>
                <w:sz w:val="20"/>
                <w:szCs w:val="20"/>
              </w:rPr>
            </w:r>
            <w:r w:rsidR="00D161D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C70B20" w:rsidRDefault="00826F6D" w:rsidP="00C70B20">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D161DB">
              <w:rPr>
                <w:rFonts w:ascii="Arial Narrow" w:hAnsi="Arial Narrow" w:cs="Arial"/>
                <w:sz w:val="20"/>
                <w:szCs w:val="20"/>
              </w:rPr>
            </w:r>
            <w:r w:rsidR="00D161D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w:t>
            </w:r>
          </w:p>
          <w:p w:rsidR="00826F6D" w:rsidRPr="00260CE3" w:rsidRDefault="00F7715F" w:rsidP="00C70B20">
            <w:pPr>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1" w:name="Check5"/>
            <w:r>
              <w:rPr>
                <w:rFonts w:ascii="Arial Narrow" w:hAnsi="Arial Narrow" w:cs="Arial"/>
                <w:sz w:val="20"/>
                <w:szCs w:val="20"/>
              </w:rPr>
              <w:instrText xml:space="preserve"> FORMCHECKBOX </w:instrText>
            </w:r>
            <w:r w:rsidR="00D161DB">
              <w:rPr>
                <w:rFonts w:ascii="Arial Narrow" w:hAnsi="Arial Narrow" w:cs="Arial"/>
                <w:sz w:val="20"/>
                <w:szCs w:val="20"/>
              </w:rPr>
            </w:r>
            <w:r w:rsidR="00D161DB">
              <w:rPr>
                <w:rFonts w:ascii="Arial Narrow" w:hAnsi="Arial Narrow" w:cs="Arial"/>
                <w:sz w:val="20"/>
                <w:szCs w:val="20"/>
              </w:rPr>
              <w:fldChar w:fldCharType="separate"/>
            </w:r>
            <w:r>
              <w:rPr>
                <w:rFonts w:ascii="Arial Narrow" w:hAnsi="Arial Narrow" w:cs="Arial"/>
                <w:sz w:val="20"/>
                <w:szCs w:val="20"/>
              </w:rPr>
              <w:fldChar w:fldCharType="end"/>
            </w:r>
            <w:bookmarkEnd w:id="1"/>
            <w:r w:rsidR="00826F6D" w:rsidRPr="00106BCF">
              <w:rPr>
                <w:rFonts w:ascii="Arial Narrow" w:hAnsi="Arial Narrow" w:cs="Arial"/>
                <w:sz w:val="20"/>
                <w:szCs w:val="20"/>
              </w:rPr>
              <w:t>Streamlined</w:t>
            </w:r>
          </w:p>
        </w:tc>
      </w:tr>
      <w:tr w:rsidR="00826F6D" w:rsidRPr="00260CE3" w:rsidTr="00F7715F">
        <w:trPr>
          <w:gridAfter w:val="1"/>
          <w:wAfter w:w="6" w:type="pct"/>
          <w:cantSplit/>
          <w:trHeight w:val="360"/>
        </w:trPr>
        <w:tc>
          <w:tcPr>
            <w:tcW w:w="1069" w:type="pct"/>
            <w:tcBorders>
              <w:top w:val="single" w:sz="4" w:space="0" w:color="auto"/>
              <w:left w:val="single" w:sz="4" w:space="0" w:color="auto"/>
              <w:bottom w:val="single" w:sz="4" w:space="0" w:color="auto"/>
              <w:right w:val="single" w:sz="4" w:space="0" w:color="auto"/>
            </w:tcBorders>
          </w:tcPr>
          <w:p w:rsidR="00826F6D" w:rsidRPr="00F7715F" w:rsidRDefault="00826F6D" w:rsidP="00F7715F">
            <w:pPr>
              <w:spacing w:before="40" w:after="40"/>
              <w:jc w:val="both"/>
              <w:rPr>
                <w:rFonts w:ascii="Arial Narrow" w:hAnsi="Arial Narrow" w:cs="Arial"/>
                <w:b/>
                <w:sz w:val="20"/>
                <w:szCs w:val="20"/>
              </w:rPr>
            </w:pPr>
            <w:r w:rsidRPr="00260CE3">
              <w:rPr>
                <w:rFonts w:ascii="Arial Narrow" w:hAnsi="Arial Narrow" w:cs="Arial"/>
                <w:b/>
                <w:sz w:val="20"/>
                <w:szCs w:val="20"/>
              </w:rPr>
              <w:t>Clinical criteria:</w:t>
            </w:r>
          </w:p>
        </w:tc>
        <w:tc>
          <w:tcPr>
            <w:tcW w:w="3925" w:type="pct"/>
            <w:gridSpan w:val="6"/>
            <w:tcBorders>
              <w:top w:val="single" w:sz="4" w:space="0" w:color="auto"/>
              <w:left w:val="single" w:sz="4" w:space="0" w:color="auto"/>
              <w:bottom w:val="single" w:sz="4" w:space="0" w:color="auto"/>
              <w:right w:val="single" w:sz="4" w:space="0" w:color="auto"/>
            </w:tcBorders>
          </w:tcPr>
          <w:p w:rsidR="00F7715F" w:rsidRPr="00026DDD" w:rsidRDefault="00F7715F" w:rsidP="00F7715F">
            <w:pPr>
              <w:rPr>
                <w:rFonts w:ascii="Arial Narrow" w:hAnsi="Arial Narrow" w:cs="Arial"/>
                <w:sz w:val="20"/>
                <w:szCs w:val="20"/>
                <w:lang w:eastAsia="en-US" w:bidi="en-US"/>
              </w:rPr>
            </w:pPr>
            <w:r w:rsidRPr="00026DDD">
              <w:rPr>
                <w:rFonts w:ascii="Arial Narrow" w:hAnsi="Arial Narrow" w:cs="Arial"/>
                <w:sz w:val="20"/>
                <w:szCs w:val="20"/>
                <w:lang w:eastAsia="en-US" w:bidi="en-US"/>
              </w:rPr>
              <w:t>Patient must have a WHO performance status of 1 or less,</w:t>
            </w:r>
          </w:p>
          <w:p w:rsidR="00F7715F" w:rsidRPr="00026DDD" w:rsidRDefault="00F7715F" w:rsidP="00F7715F">
            <w:pPr>
              <w:rPr>
                <w:rFonts w:ascii="Arial Narrow" w:hAnsi="Arial Narrow" w:cs="Arial"/>
                <w:sz w:val="20"/>
                <w:szCs w:val="20"/>
                <w:lang w:eastAsia="en-US" w:bidi="en-US"/>
              </w:rPr>
            </w:pPr>
          </w:p>
          <w:p w:rsidR="00F7715F" w:rsidRPr="00026DDD" w:rsidRDefault="00F7715F" w:rsidP="00F7715F">
            <w:pPr>
              <w:rPr>
                <w:rFonts w:ascii="Arial Narrow" w:hAnsi="Arial Narrow" w:cs="Arial"/>
                <w:sz w:val="20"/>
                <w:szCs w:val="20"/>
                <w:lang w:eastAsia="en-US" w:bidi="en-US"/>
              </w:rPr>
            </w:pPr>
            <w:r w:rsidRPr="00026DDD">
              <w:rPr>
                <w:rFonts w:ascii="Arial Narrow" w:hAnsi="Arial Narrow" w:cs="Arial"/>
                <w:sz w:val="20"/>
                <w:szCs w:val="20"/>
                <w:lang w:eastAsia="en-US" w:bidi="en-US"/>
              </w:rPr>
              <w:t>AND</w:t>
            </w:r>
          </w:p>
          <w:p w:rsidR="00F7715F" w:rsidRPr="00026DDD" w:rsidRDefault="00F7715F" w:rsidP="00F7715F">
            <w:pPr>
              <w:jc w:val="both"/>
              <w:rPr>
                <w:rFonts w:ascii="Arial Narrow" w:hAnsi="Arial Narrow" w:cs="Arial"/>
                <w:snapToGrid w:val="0"/>
                <w:sz w:val="20"/>
                <w:szCs w:val="20"/>
                <w:lang w:eastAsia="en-US" w:bidi="en-US"/>
              </w:rPr>
            </w:pPr>
          </w:p>
          <w:p w:rsidR="00F7715F" w:rsidRPr="00026DDD" w:rsidRDefault="00F7715F" w:rsidP="00F7715F">
            <w:pPr>
              <w:jc w:val="both"/>
              <w:rPr>
                <w:rFonts w:ascii="Arial Narrow" w:hAnsi="Arial Narrow" w:cs="Arial"/>
                <w:snapToGrid w:val="0"/>
                <w:sz w:val="20"/>
                <w:szCs w:val="20"/>
                <w:lang w:eastAsia="en-US" w:bidi="en-US"/>
              </w:rPr>
            </w:pPr>
            <w:r w:rsidRPr="00026DDD">
              <w:rPr>
                <w:rFonts w:ascii="Arial Narrow" w:hAnsi="Arial Narrow" w:cs="Arial"/>
                <w:snapToGrid w:val="0"/>
                <w:sz w:val="20"/>
                <w:szCs w:val="20"/>
                <w:lang w:eastAsia="en-US" w:bidi="en-US"/>
              </w:rPr>
              <w:t>Patient must have previously received treatment with fluoropyrimidine, oxaliplatin, irinotecan-based chemotherapies, an anti-VEGF agent and an anti-EGFR agent, OR</w:t>
            </w:r>
          </w:p>
          <w:p w:rsidR="00F7715F" w:rsidRPr="00026DDD" w:rsidRDefault="00F7715F" w:rsidP="00F7715F">
            <w:pPr>
              <w:jc w:val="both"/>
              <w:rPr>
                <w:rFonts w:ascii="Arial Narrow" w:hAnsi="Arial Narrow" w:cs="Arial"/>
                <w:snapToGrid w:val="0"/>
                <w:sz w:val="20"/>
                <w:szCs w:val="20"/>
                <w:lang w:eastAsia="en-US" w:bidi="en-US"/>
              </w:rPr>
            </w:pPr>
          </w:p>
          <w:p w:rsidR="00826F6D" w:rsidRPr="00260CE3" w:rsidRDefault="00F7715F" w:rsidP="00F7715F">
            <w:pPr>
              <w:spacing w:before="40" w:after="40"/>
              <w:rPr>
                <w:rFonts w:ascii="Arial Narrow" w:hAnsi="Arial Narrow" w:cs="Arial"/>
                <w:sz w:val="20"/>
                <w:szCs w:val="20"/>
              </w:rPr>
            </w:pPr>
            <w:r w:rsidRPr="00026DDD">
              <w:rPr>
                <w:rFonts w:ascii="Arial Narrow" w:hAnsi="Arial Narrow" w:cs="Arial"/>
                <w:snapToGrid w:val="0"/>
                <w:sz w:val="20"/>
                <w:szCs w:val="20"/>
                <w:lang w:eastAsia="en-US" w:bidi="en-US"/>
              </w:rPr>
              <w:t>Patient must not be a candidate for treatment with fluoropyrimidine, oxaliplatin, and irinotecan-based chemotherapies, anti-VEGF agents and anti-EGFR agents.</w:t>
            </w:r>
          </w:p>
        </w:tc>
      </w:tr>
      <w:tr w:rsidR="00826F6D" w:rsidRPr="00260CE3" w:rsidTr="00F7715F">
        <w:trPr>
          <w:gridAfter w:val="1"/>
          <w:wAfter w:w="6" w:type="pct"/>
          <w:cantSplit/>
          <w:trHeight w:val="360"/>
        </w:trPr>
        <w:tc>
          <w:tcPr>
            <w:tcW w:w="1069"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Administrative Advice</w:t>
            </w:r>
          </w:p>
          <w:p w:rsidR="00826F6D" w:rsidRPr="00260CE3" w:rsidRDefault="00826F6D" w:rsidP="00EB0B63">
            <w:pPr>
              <w:spacing w:before="40" w:after="40"/>
              <w:jc w:val="both"/>
              <w:rPr>
                <w:rFonts w:ascii="Arial Narrow" w:hAnsi="Arial Narrow" w:cs="Arial"/>
                <w:i/>
                <w:sz w:val="20"/>
                <w:szCs w:val="20"/>
              </w:rPr>
            </w:pPr>
          </w:p>
          <w:p w:rsidR="00826F6D" w:rsidRPr="00260CE3" w:rsidRDefault="00826F6D" w:rsidP="00EB0B63">
            <w:pPr>
              <w:spacing w:before="40" w:after="40"/>
              <w:jc w:val="both"/>
              <w:rPr>
                <w:rFonts w:ascii="Arial Narrow" w:hAnsi="Arial Narrow" w:cs="Arial"/>
                <w:i/>
                <w:sz w:val="20"/>
                <w:szCs w:val="20"/>
              </w:rPr>
            </w:pPr>
          </w:p>
        </w:tc>
        <w:tc>
          <w:tcPr>
            <w:tcW w:w="3925" w:type="pct"/>
            <w:gridSpan w:val="6"/>
            <w:tcBorders>
              <w:top w:val="single" w:sz="4" w:space="0" w:color="auto"/>
              <w:left w:val="single" w:sz="4" w:space="0" w:color="auto"/>
              <w:bottom w:val="single" w:sz="4" w:space="0" w:color="auto"/>
              <w:right w:val="single" w:sz="4" w:space="0" w:color="auto"/>
            </w:tcBorders>
          </w:tcPr>
          <w:p w:rsidR="00F7715F" w:rsidRPr="00F7715F" w:rsidRDefault="00F7715F" w:rsidP="00F7715F">
            <w:pPr>
              <w:spacing w:before="40" w:after="40"/>
              <w:rPr>
                <w:rFonts w:ascii="Arial Narrow" w:hAnsi="Arial Narrow" w:cs="Arial"/>
                <w:sz w:val="20"/>
                <w:szCs w:val="20"/>
              </w:rPr>
            </w:pPr>
            <w:r w:rsidRPr="00F7715F">
              <w:rPr>
                <w:rFonts w:ascii="Arial Narrow" w:hAnsi="Arial Narrow" w:cs="Arial"/>
                <w:sz w:val="20"/>
                <w:szCs w:val="20"/>
              </w:rPr>
              <w:t>The prescribed dose is not permitted to be increased once it has been reduced.</w:t>
            </w:r>
          </w:p>
          <w:p w:rsidR="00F7715F" w:rsidRPr="00F7715F" w:rsidRDefault="00F7715F" w:rsidP="00F7715F">
            <w:pPr>
              <w:spacing w:before="40" w:after="40"/>
              <w:rPr>
                <w:rFonts w:ascii="Arial Narrow" w:hAnsi="Arial Narrow" w:cs="Arial"/>
                <w:sz w:val="20"/>
                <w:szCs w:val="20"/>
              </w:rPr>
            </w:pPr>
          </w:p>
          <w:p w:rsidR="00F7715F" w:rsidRDefault="00F7715F" w:rsidP="00F7715F">
            <w:pPr>
              <w:spacing w:before="40" w:after="40"/>
              <w:rPr>
                <w:rFonts w:ascii="Arial Narrow" w:hAnsi="Arial Narrow" w:cs="Arial"/>
                <w:sz w:val="20"/>
                <w:szCs w:val="20"/>
              </w:rPr>
            </w:pPr>
            <w:r w:rsidRPr="00F7715F">
              <w:rPr>
                <w:rFonts w:ascii="Arial Narrow" w:hAnsi="Arial Narrow" w:cs="Arial"/>
                <w:sz w:val="20"/>
                <w:szCs w:val="20"/>
              </w:rPr>
              <w:t>No increase in maximum quantity or number of units may be autho</w:t>
            </w:r>
            <w:r w:rsidR="000C7AA5">
              <w:rPr>
                <w:rFonts w:ascii="Arial Narrow" w:hAnsi="Arial Narrow" w:cs="Arial"/>
                <w:sz w:val="20"/>
                <w:szCs w:val="20"/>
              </w:rPr>
              <w:t xml:space="preserve">rised. </w:t>
            </w:r>
          </w:p>
          <w:p w:rsidR="000C7AA5" w:rsidRPr="00F7715F" w:rsidRDefault="000C7AA5" w:rsidP="00F7715F">
            <w:pPr>
              <w:spacing w:before="40" w:after="40"/>
              <w:rPr>
                <w:rFonts w:ascii="Arial Narrow" w:hAnsi="Arial Narrow" w:cs="Arial"/>
                <w:sz w:val="20"/>
                <w:szCs w:val="20"/>
              </w:rPr>
            </w:pPr>
          </w:p>
          <w:p w:rsidR="00826F6D" w:rsidRPr="00260CE3" w:rsidRDefault="00F7715F" w:rsidP="00F7715F">
            <w:pPr>
              <w:spacing w:before="40" w:after="40"/>
              <w:rPr>
                <w:rFonts w:ascii="Arial Narrow" w:hAnsi="Arial Narrow" w:cs="Arial"/>
                <w:sz w:val="20"/>
                <w:szCs w:val="20"/>
              </w:rPr>
            </w:pPr>
            <w:r w:rsidRPr="00F7715F">
              <w:rPr>
                <w:rFonts w:ascii="Arial Narrow" w:hAnsi="Arial Narrow" w:cs="Arial"/>
                <w:sz w:val="20"/>
                <w:szCs w:val="20"/>
              </w:rPr>
              <w:t>No increase in the maximum number of repeats may be authorised.</w:t>
            </w:r>
          </w:p>
        </w:tc>
      </w:tr>
    </w:tbl>
    <w:p w:rsidR="00826F6D" w:rsidRDefault="00826F6D" w:rsidP="002D4543">
      <w:pPr>
        <w:rPr>
          <w:szCs w:val="22"/>
        </w:rPr>
      </w:pPr>
    </w:p>
    <w:tbl>
      <w:tblPr>
        <w:tblW w:w="4915" w:type="pct"/>
        <w:tblLook w:val="0000" w:firstRow="0" w:lastRow="0" w:firstColumn="0" w:lastColumn="0" w:noHBand="0" w:noVBand="0"/>
      </w:tblPr>
      <w:tblGrid>
        <w:gridCol w:w="1944"/>
        <w:gridCol w:w="7141"/>
      </w:tblGrid>
      <w:tr w:rsidR="003D552A" w:rsidRPr="00260CE3" w:rsidTr="000C7AA5">
        <w:trPr>
          <w:cantSplit/>
          <w:trHeight w:val="360"/>
        </w:trPr>
        <w:tc>
          <w:tcPr>
            <w:tcW w:w="1070" w:type="pct"/>
            <w:tcBorders>
              <w:top w:val="single" w:sz="4" w:space="0" w:color="auto"/>
              <w:left w:val="single" w:sz="4" w:space="0" w:color="auto"/>
              <w:bottom w:val="single" w:sz="4" w:space="0" w:color="auto"/>
              <w:right w:val="single" w:sz="4" w:space="0" w:color="auto"/>
            </w:tcBorders>
          </w:tcPr>
          <w:p w:rsidR="003D552A" w:rsidRPr="009C19D2" w:rsidRDefault="003D552A" w:rsidP="00DF7278">
            <w:pPr>
              <w:spacing w:before="40" w:after="40"/>
              <w:jc w:val="both"/>
              <w:rPr>
                <w:rFonts w:ascii="Arial Narrow" w:hAnsi="Arial Narrow" w:cs="Arial"/>
                <w:b/>
                <w:sz w:val="20"/>
                <w:szCs w:val="20"/>
              </w:rPr>
            </w:pPr>
            <w:r w:rsidRPr="009C19D2">
              <w:rPr>
                <w:rFonts w:ascii="Arial Narrow" w:hAnsi="Arial Narrow" w:cs="Arial"/>
                <w:b/>
                <w:sz w:val="20"/>
                <w:szCs w:val="20"/>
              </w:rPr>
              <w:t>Category / Program</w:t>
            </w:r>
          </w:p>
        </w:tc>
        <w:tc>
          <w:tcPr>
            <w:tcW w:w="3930" w:type="pct"/>
            <w:tcBorders>
              <w:top w:val="single" w:sz="4" w:space="0" w:color="auto"/>
              <w:left w:val="single" w:sz="4" w:space="0" w:color="auto"/>
              <w:bottom w:val="single" w:sz="4" w:space="0" w:color="auto"/>
              <w:right w:val="single" w:sz="4" w:space="0" w:color="auto"/>
            </w:tcBorders>
          </w:tcPr>
          <w:p w:rsidR="003D552A" w:rsidRPr="00260CE3" w:rsidRDefault="003D552A" w:rsidP="00ED6C0E">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tc>
      </w:tr>
      <w:tr w:rsidR="003D552A" w:rsidRPr="00260CE3" w:rsidTr="000C7AA5">
        <w:trPr>
          <w:cantSplit/>
          <w:trHeight w:val="360"/>
        </w:trPr>
        <w:tc>
          <w:tcPr>
            <w:tcW w:w="1070" w:type="pct"/>
            <w:tcBorders>
              <w:top w:val="single" w:sz="4" w:space="0" w:color="auto"/>
              <w:left w:val="single" w:sz="4" w:space="0" w:color="auto"/>
              <w:bottom w:val="single" w:sz="4" w:space="0" w:color="auto"/>
              <w:right w:val="single" w:sz="4" w:space="0" w:color="auto"/>
            </w:tcBorders>
          </w:tcPr>
          <w:p w:rsidR="003D552A" w:rsidRPr="00260CE3" w:rsidRDefault="003D552A" w:rsidP="00ED6C0E">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30" w:type="pct"/>
            <w:tcBorders>
              <w:top w:val="single" w:sz="4" w:space="0" w:color="auto"/>
              <w:left w:val="single" w:sz="4" w:space="0" w:color="auto"/>
              <w:bottom w:val="single" w:sz="4" w:space="0" w:color="auto"/>
              <w:right w:val="single" w:sz="4" w:space="0" w:color="auto"/>
            </w:tcBorders>
          </w:tcPr>
          <w:p w:rsidR="003D552A" w:rsidRPr="00260CE3" w:rsidRDefault="003D552A" w:rsidP="00DF7278">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D161DB">
              <w:rPr>
                <w:rFonts w:ascii="Arial Narrow" w:hAnsi="Arial Narrow" w:cs="Arial"/>
                <w:sz w:val="20"/>
                <w:szCs w:val="20"/>
              </w:rPr>
            </w:r>
            <w:r w:rsidR="00D161D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D161DB">
              <w:rPr>
                <w:rFonts w:ascii="Arial Narrow" w:hAnsi="Arial Narrow" w:cs="Arial"/>
                <w:sz w:val="20"/>
                <w:szCs w:val="20"/>
              </w:rPr>
            </w:r>
            <w:r w:rsidR="00D161DB">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D161DB">
              <w:rPr>
                <w:rFonts w:ascii="Arial Narrow" w:hAnsi="Arial Narrow" w:cs="Arial"/>
                <w:sz w:val="20"/>
                <w:szCs w:val="20"/>
              </w:rPr>
            </w:r>
            <w:r w:rsidR="00D161D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D161DB">
              <w:rPr>
                <w:rFonts w:ascii="Arial Narrow" w:hAnsi="Arial Narrow" w:cs="Arial"/>
                <w:sz w:val="20"/>
                <w:szCs w:val="20"/>
              </w:rPr>
            </w:r>
            <w:r w:rsidR="00D161D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r w:rsidR="00DF7278">
              <w:rPr>
                <w:rFonts w:ascii="Arial Narrow" w:hAnsi="Arial Narrow" w:cs="Arial"/>
                <w:sz w:val="20"/>
                <w:szCs w:val="20"/>
              </w:rPr>
              <w:t xml:space="preserve"> </w:t>
            </w: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D161DB">
              <w:rPr>
                <w:rFonts w:ascii="Arial Narrow" w:hAnsi="Arial Narrow" w:cs="Arial"/>
                <w:sz w:val="20"/>
                <w:szCs w:val="20"/>
              </w:rPr>
            </w:r>
            <w:r w:rsidR="00D161D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3D552A" w:rsidRPr="00260CE3" w:rsidTr="000C7AA5">
        <w:trPr>
          <w:cantSplit/>
          <w:trHeight w:val="360"/>
        </w:trPr>
        <w:tc>
          <w:tcPr>
            <w:tcW w:w="1070" w:type="pct"/>
            <w:tcBorders>
              <w:top w:val="single" w:sz="4" w:space="0" w:color="auto"/>
              <w:left w:val="single" w:sz="4" w:space="0" w:color="auto"/>
              <w:bottom w:val="single" w:sz="4" w:space="0" w:color="auto"/>
              <w:right w:val="single" w:sz="4" w:space="0" w:color="auto"/>
            </w:tcBorders>
          </w:tcPr>
          <w:p w:rsidR="003D552A" w:rsidRPr="00260CE3" w:rsidRDefault="003D552A" w:rsidP="00ED6C0E">
            <w:pPr>
              <w:spacing w:before="40" w:after="40"/>
              <w:jc w:val="both"/>
              <w:rPr>
                <w:rFonts w:ascii="Arial Narrow" w:hAnsi="Arial Narrow" w:cs="Arial"/>
                <w:b/>
                <w:sz w:val="20"/>
                <w:szCs w:val="20"/>
              </w:rPr>
            </w:pPr>
            <w:r w:rsidRPr="00260CE3">
              <w:rPr>
                <w:rFonts w:ascii="Arial Narrow" w:hAnsi="Arial Narrow" w:cs="Arial"/>
                <w:b/>
                <w:sz w:val="20"/>
                <w:szCs w:val="20"/>
              </w:rPr>
              <w:t>Severity:</w:t>
            </w:r>
          </w:p>
        </w:tc>
        <w:tc>
          <w:tcPr>
            <w:tcW w:w="3930" w:type="pct"/>
            <w:tcBorders>
              <w:top w:val="single" w:sz="4" w:space="0" w:color="auto"/>
              <w:left w:val="single" w:sz="4" w:space="0" w:color="auto"/>
              <w:bottom w:val="single" w:sz="4" w:space="0" w:color="auto"/>
              <w:right w:val="single" w:sz="4" w:space="0" w:color="auto"/>
            </w:tcBorders>
          </w:tcPr>
          <w:p w:rsidR="003D552A" w:rsidRPr="00260CE3" w:rsidRDefault="003D552A" w:rsidP="00ED6C0E">
            <w:pPr>
              <w:spacing w:before="40" w:after="40"/>
              <w:rPr>
                <w:rFonts w:ascii="Arial Narrow" w:hAnsi="Arial Narrow" w:cs="Arial"/>
                <w:sz w:val="20"/>
                <w:szCs w:val="20"/>
              </w:rPr>
            </w:pPr>
            <w:r>
              <w:rPr>
                <w:rFonts w:ascii="Arial Narrow" w:hAnsi="Arial Narrow" w:cs="Arial"/>
                <w:sz w:val="20"/>
                <w:szCs w:val="20"/>
              </w:rPr>
              <w:t>Metastatic</w:t>
            </w:r>
          </w:p>
        </w:tc>
      </w:tr>
      <w:tr w:rsidR="003D552A" w:rsidRPr="00260CE3" w:rsidTr="000C7AA5">
        <w:trPr>
          <w:cantSplit/>
          <w:trHeight w:val="360"/>
        </w:trPr>
        <w:tc>
          <w:tcPr>
            <w:tcW w:w="1070" w:type="pct"/>
            <w:tcBorders>
              <w:top w:val="single" w:sz="4" w:space="0" w:color="auto"/>
              <w:left w:val="single" w:sz="4" w:space="0" w:color="auto"/>
              <w:bottom w:val="single" w:sz="4" w:space="0" w:color="auto"/>
              <w:right w:val="single" w:sz="4" w:space="0" w:color="auto"/>
            </w:tcBorders>
          </w:tcPr>
          <w:p w:rsidR="003D552A" w:rsidRPr="00260CE3" w:rsidRDefault="003D552A" w:rsidP="00ED6C0E">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30" w:type="pct"/>
            <w:tcBorders>
              <w:top w:val="single" w:sz="4" w:space="0" w:color="auto"/>
              <w:left w:val="single" w:sz="4" w:space="0" w:color="auto"/>
              <w:bottom w:val="single" w:sz="4" w:space="0" w:color="auto"/>
              <w:right w:val="single" w:sz="4" w:space="0" w:color="auto"/>
            </w:tcBorders>
          </w:tcPr>
          <w:p w:rsidR="003D552A" w:rsidRPr="00260CE3" w:rsidRDefault="003D552A" w:rsidP="00ED6C0E">
            <w:pPr>
              <w:spacing w:before="40" w:after="40"/>
              <w:rPr>
                <w:rFonts w:ascii="Arial Narrow" w:hAnsi="Arial Narrow" w:cs="Arial"/>
                <w:sz w:val="20"/>
                <w:szCs w:val="20"/>
              </w:rPr>
            </w:pPr>
            <w:r>
              <w:rPr>
                <w:rFonts w:ascii="Arial Narrow" w:hAnsi="Arial Narrow" w:cs="Arial"/>
                <w:sz w:val="20"/>
                <w:szCs w:val="20"/>
              </w:rPr>
              <w:t>Metastatic colorectal cancer</w:t>
            </w:r>
          </w:p>
        </w:tc>
      </w:tr>
      <w:tr w:rsidR="003D552A" w:rsidRPr="00260CE3" w:rsidTr="000C7AA5">
        <w:trPr>
          <w:cantSplit/>
          <w:trHeight w:val="360"/>
        </w:trPr>
        <w:tc>
          <w:tcPr>
            <w:tcW w:w="1070" w:type="pct"/>
            <w:tcBorders>
              <w:top w:val="single" w:sz="4" w:space="0" w:color="auto"/>
              <w:left w:val="single" w:sz="4" w:space="0" w:color="auto"/>
              <w:bottom w:val="single" w:sz="4" w:space="0" w:color="auto"/>
              <w:right w:val="single" w:sz="4" w:space="0" w:color="auto"/>
            </w:tcBorders>
          </w:tcPr>
          <w:p w:rsidR="003D552A" w:rsidRPr="00260CE3" w:rsidRDefault="003D552A" w:rsidP="00ED6C0E">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30" w:type="pct"/>
            <w:tcBorders>
              <w:top w:val="single" w:sz="4" w:space="0" w:color="auto"/>
              <w:left w:val="single" w:sz="4" w:space="0" w:color="auto"/>
              <w:bottom w:val="single" w:sz="4" w:space="0" w:color="auto"/>
              <w:right w:val="single" w:sz="4" w:space="0" w:color="auto"/>
            </w:tcBorders>
          </w:tcPr>
          <w:p w:rsidR="003D552A" w:rsidRPr="00260CE3" w:rsidRDefault="003D552A" w:rsidP="00ED6C0E">
            <w:pPr>
              <w:spacing w:before="40" w:after="40"/>
              <w:rPr>
                <w:rFonts w:ascii="Arial Narrow" w:hAnsi="Arial Narrow" w:cs="Arial"/>
                <w:sz w:val="20"/>
                <w:szCs w:val="20"/>
              </w:rPr>
            </w:pPr>
            <w:r>
              <w:rPr>
                <w:rFonts w:ascii="Arial Narrow" w:hAnsi="Arial Narrow" w:cs="Arial"/>
                <w:sz w:val="20"/>
                <w:szCs w:val="20"/>
              </w:rPr>
              <w:t xml:space="preserve">Metastatic colorectal cancer </w:t>
            </w:r>
          </w:p>
        </w:tc>
      </w:tr>
      <w:tr w:rsidR="003D552A" w:rsidRPr="00260CE3" w:rsidTr="000C7AA5">
        <w:trPr>
          <w:cantSplit/>
          <w:trHeight w:val="360"/>
        </w:trPr>
        <w:tc>
          <w:tcPr>
            <w:tcW w:w="1070" w:type="pct"/>
            <w:tcBorders>
              <w:top w:val="single" w:sz="4" w:space="0" w:color="auto"/>
              <w:left w:val="single" w:sz="4" w:space="0" w:color="auto"/>
              <w:bottom w:val="single" w:sz="4" w:space="0" w:color="auto"/>
              <w:right w:val="single" w:sz="4" w:space="0" w:color="auto"/>
            </w:tcBorders>
          </w:tcPr>
          <w:p w:rsidR="003D552A" w:rsidRPr="00F7715F" w:rsidRDefault="003D552A" w:rsidP="00ED6C0E">
            <w:pPr>
              <w:spacing w:before="40" w:after="40"/>
              <w:jc w:val="both"/>
              <w:rPr>
                <w:rFonts w:ascii="Arial Narrow" w:hAnsi="Arial Narrow" w:cs="Arial"/>
                <w:b/>
                <w:sz w:val="20"/>
                <w:szCs w:val="20"/>
              </w:rPr>
            </w:pPr>
            <w:r w:rsidRPr="00260CE3">
              <w:rPr>
                <w:rFonts w:ascii="Arial Narrow" w:hAnsi="Arial Narrow" w:cs="Arial"/>
                <w:b/>
                <w:sz w:val="20"/>
                <w:szCs w:val="20"/>
              </w:rPr>
              <w:t>Treatment phase:</w:t>
            </w:r>
          </w:p>
        </w:tc>
        <w:tc>
          <w:tcPr>
            <w:tcW w:w="3930" w:type="pct"/>
            <w:tcBorders>
              <w:top w:val="single" w:sz="4" w:space="0" w:color="auto"/>
              <w:left w:val="single" w:sz="4" w:space="0" w:color="auto"/>
              <w:bottom w:val="single" w:sz="4" w:space="0" w:color="auto"/>
              <w:right w:val="single" w:sz="4" w:space="0" w:color="auto"/>
            </w:tcBorders>
          </w:tcPr>
          <w:p w:rsidR="003D552A" w:rsidRPr="00260CE3" w:rsidRDefault="003D552A" w:rsidP="00ED6C0E">
            <w:pPr>
              <w:spacing w:before="40" w:after="40"/>
              <w:rPr>
                <w:rFonts w:ascii="Arial Narrow" w:hAnsi="Arial Narrow" w:cs="Arial"/>
                <w:sz w:val="20"/>
                <w:szCs w:val="20"/>
              </w:rPr>
            </w:pPr>
            <w:r>
              <w:rPr>
                <w:rFonts w:ascii="Arial Narrow" w:hAnsi="Arial Narrow" w:cs="Arial"/>
                <w:sz w:val="20"/>
                <w:szCs w:val="20"/>
              </w:rPr>
              <w:t xml:space="preserve">Continuing treatment  </w:t>
            </w:r>
          </w:p>
        </w:tc>
      </w:tr>
      <w:tr w:rsidR="003D552A" w:rsidRPr="00260CE3" w:rsidTr="000C7AA5">
        <w:trPr>
          <w:cantSplit/>
          <w:trHeight w:val="360"/>
        </w:trPr>
        <w:tc>
          <w:tcPr>
            <w:tcW w:w="1070" w:type="pct"/>
            <w:tcBorders>
              <w:top w:val="single" w:sz="4" w:space="0" w:color="auto"/>
              <w:left w:val="single" w:sz="4" w:space="0" w:color="auto"/>
              <w:bottom w:val="single" w:sz="4" w:space="0" w:color="auto"/>
              <w:right w:val="single" w:sz="4" w:space="0" w:color="auto"/>
            </w:tcBorders>
          </w:tcPr>
          <w:p w:rsidR="003D552A" w:rsidRPr="00260CE3" w:rsidRDefault="003D552A" w:rsidP="00ED6C0E">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3D552A" w:rsidRPr="00260CE3" w:rsidRDefault="003D552A" w:rsidP="00ED6C0E">
            <w:pPr>
              <w:spacing w:before="40" w:after="40"/>
              <w:rPr>
                <w:rFonts w:ascii="Arial Narrow" w:hAnsi="Arial Narrow" w:cs="Arial"/>
                <w:sz w:val="20"/>
                <w:szCs w:val="20"/>
              </w:rPr>
            </w:pPr>
          </w:p>
        </w:tc>
        <w:tc>
          <w:tcPr>
            <w:tcW w:w="3930" w:type="pct"/>
            <w:tcBorders>
              <w:top w:val="single" w:sz="4" w:space="0" w:color="auto"/>
              <w:left w:val="single" w:sz="4" w:space="0" w:color="auto"/>
              <w:bottom w:val="single" w:sz="4" w:space="0" w:color="auto"/>
              <w:right w:val="single" w:sz="4" w:space="0" w:color="auto"/>
            </w:tcBorders>
          </w:tcPr>
          <w:p w:rsidR="003D552A" w:rsidRPr="00106BCF" w:rsidRDefault="003D552A" w:rsidP="00ED6C0E">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D161DB">
              <w:rPr>
                <w:rFonts w:ascii="Arial Narrow" w:hAnsi="Arial Narrow" w:cs="Arial"/>
                <w:sz w:val="20"/>
                <w:szCs w:val="20"/>
              </w:rPr>
            </w:r>
            <w:r w:rsidR="00D161D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3D552A" w:rsidRPr="00106BCF" w:rsidRDefault="003D552A" w:rsidP="00ED6C0E">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D161DB">
              <w:rPr>
                <w:rFonts w:ascii="Arial Narrow" w:hAnsi="Arial Narrow" w:cs="Arial"/>
                <w:sz w:val="20"/>
                <w:szCs w:val="20"/>
              </w:rPr>
            </w:r>
            <w:r w:rsidR="00D161D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w:t>
            </w:r>
          </w:p>
          <w:p w:rsidR="003D552A" w:rsidRPr="00260CE3" w:rsidRDefault="003D552A" w:rsidP="00ED6C0E">
            <w:pPr>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D161DB">
              <w:rPr>
                <w:rFonts w:ascii="Arial Narrow" w:hAnsi="Arial Narrow" w:cs="Arial"/>
                <w:sz w:val="20"/>
                <w:szCs w:val="20"/>
              </w:rPr>
            </w:r>
            <w:r w:rsidR="00D161DB">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3D552A" w:rsidRPr="00260CE3" w:rsidTr="000C7AA5">
        <w:trPr>
          <w:cantSplit/>
          <w:trHeight w:val="360"/>
        </w:trPr>
        <w:tc>
          <w:tcPr>
            <w:tcW w:w="1070" w:type="pct"/>
            <w:tcBorders>
              <w:top w:val="single" w:sz="4" w:space="0" w:color="auto"/>
              <w:left w:val="single" w:sz="4" w:space="0" w:color="auto"/>
              <w:bottom w:val="single" w:sz="4" w:space="0" w:color="auto"/>
              <w:right w:val="single" w:sz="4" w:space="0" w:color="auto"/>
            </w:tcBorders>
          </w:tcPr>
          <w:p w:rsidR="003D552A" w:rsidRPr="00F7715F" w:rsidRDefault="003D552A" w:rsidP="00ED6C0E">
            <w:pPr>
              <w:spacing w:before="40" w:after="40"/>
              <w:jc w:val="both"/>
              <w:rPr>
                <w:rFonts w:ascii="Arial Narrow" w:hAnsi="Arial Narrow" w:cs="Arial"/>
                <w:b/>
                <w:sz w:val="20"/>
                <w:szCs w:val="20"/>
              </w:rPr>
            </w:pPr>
            <w:r w:rsidRPr="00260CE3">
              <w:rPr>
                <w:rFonts w:ascii="Arial Narrow" w:hAnsi="Arial Narrow" w:cs="Arial"/>
                <w:b/>
                <w:sz w:val="20"/>
                <w:szCs w:val="20"/>
              </w:rPr>
              <w:t>Clinical criteria:</w:t>
            </w:r>
          </w:p>
        </w:tc>
        <w:tc>
          <w:tcPr>
            <w:tcW w:w="3930" w:type="pct"/>
            <w:tcBorders>
              <w:top w:val="single" w:sz="4" w:space="0" w:color="auto"/>
              <w:left w:val="single" w:sz="4" w:space="0" w:color="auto"/>
              <w:bottom w:val="single" w:sz="4" w:space="0" w:color="auto"/>
              <w:right w:val="single" w:sz="4" w:space="0" w:color="auto"/>
            </w:tcBorders>
          </w:tcPr>
          <w:p w:rsidR="003D552A" w:rsidRPr="00026DDD" w:rsidRDefault="003D552A" w:rsidP="003D552A">
            <w:pPr>
              <w:rPr>
                <w:rFonts w:ascii="Arial Narrow" w:hAnsi="Arial Narrow" w:cs="Arial"/>
                <w:sz w:val="20"/>
                <w:szCs w:val="20"/>
                <w:lang w:eastAsia="en-US" w:bidi="en-US"/>
              </w:rPr>
            </w:pPr>
            <w:r w:rsidRPr="00026DDD">
              <w:rPr>
                <w:rFonts w:ascii="Arial Narrow" w:hAnsi="Arial Narrow" w:cs="Arial"/>
                <w:sz w:val="20"/>
                <w:szCs w:val="20"/>
                <w:lang w:eastAsia="en-US" w:bidi="en-US"/>
              </w:rPr>
              <w:t>Patient must have previously been issued with an authority prescription for this drug for this condition,</w:t>
            </w:r>
          </w:p>
          <w:p w:rsidR="003D552A" w:rsidRPr="00026DDD" w:rsidRDefault="003D552A" w:rsidP="003D552A">
            <w:pPr>
              <w:rPr>
                <w:rFonts w:ascii="Arial Narrow" w:hAnsi="Arial Narrow" w:cs="Arial"/>
                <w:sz w:val="20"/>
                <w:szCs w:val="20"/>
                <w:lang w:eastAsia="en-US" w:bidi="en-US"/>
              </w:rPr>
            </w:pPr>
          </w:p>
          <w:p w:rsidR="003D552A" w:rsidRPr="00026DDD" w:rsidRDefault="003D552A" w:rsidP="003D552A">
            <w:pPr>
              <w:rPr>
                <w:rFonts w:ascii="Arial Narrow" w:hAnsi="Arial Narrow" w:cs="Arial"/>
                <w:sz w:val="20"/>
                <w:szCs w:val="20"/>
                <w:lang w:eastAsia="en-US" w:bidi="en-US"/>
              </w:rPr>
            </w:pPr>
            <w:r w:rsidRPr="00026DDD">
              <w:rPr>
                <w:rFonts w:ascii="Arial Narrow" w:hAnsi="Arial Narrow" w:cs="Arial"/>
                <w:sz w:val="20"/>
                <w:szCs w:val="20"/>
                <w:lang w:eastAsia="en-US" w:bidi="en-US"/>
              </w:rPr>
              <w:t>AND</w:t>
            </w:r>
          </w:p>
          <w:p w:rsidR="003D552A" w:rsidRPr="00026DDD" w:rsidRDefault="003D552A" w:rsidP="003D552A">
            <w:pPr>
              <w:rPr>
                <w:rFonts w:ascii="Arial Narrow" w:hAnsi="Arial Narrow" w:cs="Arial"/>
                <w:sz w:val="20"/>
                <w:szCs w:val="20"/>
                <w:lang w:eastAsia="en-US" w:bidi="en-US"/>
              </w:rPr>
            </w:pPr>
          </w:p>
          <w:p w:rsidR="003D552A" w:rsidRPr="00026DDD" w:rsidRDefault="003D552A" w:rsidP="003D552A">
            <w:pPr>
              <w:jc w:val="both"/>
              <w:rPr>
                <w:rFonts w:ascii="Arial Narrow" w:hAnsi="Arial Narrow" w:cs="Arial"/>
                <w:snapToGrid w:val="0"/>
                <w:sz w:val="20"/>
                <w:szCs w:val="20"/>
                <w:lang w:eastAsia="en-US" w:bidi="en-US"/>
              </w:rPr>
            </w:pPr>
            <w:r w:rsidRPr="00026DDD">
              <w:rPr>
                <w:rFonts w:ascii="Arial Narrow" w:hAnsi="Arial Narrow" w:cs="Arial"/>
                <w:snapToGrid w:val="0"/>
                <w:sz w:val="20"/>
                <w:szCs w:val="20"/>
                <w:lang w:eastAsia="en-US" w:bidi="en-US"/>
              </w:rPr>
              <w:t>Patient must not have progressive disease while on this drug,</w:t>
            </w:r>
          </w:p>
          <w:p w:rsidR="003D552A" w:rsidRPr="00026DDD" w:rsidRDefault="003D552A" w:rsidP="003D552A">
            <w:pPr>
              <w:jc w:val="both"/>
              <w:rPr>
                <w:rFonts w:ascii="Arial Narrow" w:hAnsi="Arial Narrow" w:cs="Arial"/>
                <w:snapToGrid w:val="0"/>
                <w:sz w:val="20"/>
                <w:szCs w:val="20"/>
                <w:lang w:eastAsia="en-US" w:bidi="en-US"/>
              </w:rPr>
            </w:pPr>
          </w:p>
          <w:p w:rsidR="003D552A" w:rsidRPr="00026DDD" w:rsidRDefault="003D552A" w:rsidP="003D552A">
            <w:pPr>
              <w:jc w:val="both"/>
              <w:rPr>
                <w:rFonts w:ascii="Arial Narrow" w:hAnsi="Arial Narrow" w:cs="Arial"/>
                <w:snapToGrid w:val="0"/>
                <w:sz w:val="20"/>
                <w:szCs w:val="20"/>
                <w:lang w:eastAsia="en-US" w:bidi="en-US"/>
              </w:rPr>
            </w:pPr>
            <w:r w:rsidRPr="00026DDD">
              <w:rPr>
                <w:rFonts w:ascii="Arial Narrow" w:hAnsi="Arial Narrow" w:cs="Arial"/>
                <w:snapToGrid w:val="0"/>
                <w:sz w:val="20"/>
                <w:szCs w:val="20"/>
                <w:lang w:eastAsia="en-US" w:bidi="en-US"/>
              </w:rPr>
              <w:t>AND</w:t>
            </w:r>
          </w:p>
          <w:p w:rsidR="003D552A" w:rsidRPr="00026DDD" w:rsidRDefault="003D552A" w:rsidP="003D552A">
            <w:pPr>
              <w:jc w:val="both"/>
              <w:rPr>
                <w:rFonts w:ascii="Arial Narrow" w:hAnsi="Arial Narrow" w:cs="Arial"/>
                <w:snapToGrid w:val="0"/>
                <w:sz w:val="20"/>
                <w:szCs w:val="20"/>
                <w:lang w:eastAsia="en-US" w:bidi="en-US"/>
              </w:rPr>
            </w:pPr>
          </w:p>
          <w:p w:rsidR="003D552A" w:rsidRPr="00260CE3" w:rsidRDefault="003D552A" w:rsidP="003D552A">
            <w:pPr>
              <w:spacing w:before="40" w:after="40"/>
              <w:rPr>
                <w:rFonts w:ascii="Arial Narrow" w:hAnsi="Arial Narrow" w:cs="Arial"/>
                <w:sz w:val="20"/>
                <w:szCs w:val="20"/>
              </w:rPr>
            </w:pPr>
            <w:r w:rsidRPr="00026DDD">
              <w:rPr>
                <w:rFonts w:ascii="Arial Narrow" w:hAnsi="Arial Narrow" w:cs="Arial"/>
                <w:snapToGrid w:val="0"/>
                <w:sz w:val="20"/>
                <w:szCs w:val="20"/>
                <w:lang w:eastAsia="en-US" w:bidi="en-US"/>
              </w:rPr>
              <w:t xml:space="preserve">The treatment must be the sole PBS-subsidised therapy for this condition. </w:t>
            </w:r>
            <w:r>
              <w:rPr>
                <w:rFonts w:ascii="Arial Narrow" w:hAnsi="Arial Narrow" w:cs="Arial"/>
                <w:snapToGrid w:val="0"/>
                <w:sz w:val="20"/>
                <w:szCs w:val="20"/>
                <w:lang w:eastAsia="en-US" w:bidi="en-US"/>
              </w:rPr>
              <w:t xml:space="preserve">  </w:t>
            </w:r>
          </w:p>
        </w:tc>
      </w:tr>
      <w:tr w:rsidR="003D552A" w:rsidRPr="00260CE3" w:rsidTr="000C7AA5">
        <w:trPr>
          <w:cantSplit/>
          <w:trHeight w:val="360"/>
        </w:trPr>
        <w:tc>
          <w:tcPr>
            <w:tcW w:w="1070" w:type="pct"/>
            <w:tcBorders>
              <w:top w:val="single" w:sz="4" w:space="0" w:color="auto"/>
              <w:left w:val="single" w:sz="4" w:space="0" w:color="auto"/>
              <w:bottom w:val="single" w:sz="4" w:space="0" w:color="auto"/>
              <w:right w:val="single" w:sz="4" w:space="0" w:color="auto"/>
            </w:tcBorders>
          </w:tcPr>
          <w:p w:rsidR="003D552A" w:rsidRPr="00260CE3" w:rsidRDefault="003D552A" w:rsidP="00ED6C0E">
            <w:pPr>
              <w:spacing w:before="40" w:after="40"/>
              <w:jc w:val="both"/>
              <w:rPr>
                <w:rFonts w:ascii="Arial Narrow" w:hAnsi="Arial Narrow" w:cs="Arial"/>
                <w:b/>
                <w:sz w:val="20"/>
                <w:szCs w:val="20"/>
              </w:rPr>
            </w:pPr>
            <w:r>
              <w:rPr>
                <w:rFonts w:ascii="Arial Narrow" w:hAnsi="Arial Narrow" w:cs="Arial"/>
                <w:b/>
                <w:sz w:val="20"/>
                <w:szCs w:val="20"/>
              </w:rPr>
              <w:t>Prescriber Instructions</w:t>
            </w:r>
          </w:p>
        </w:tc>
        <w:tc>
          <w:tcPr>
            <w:tcW w:w="3930" w:type="pct"/>
            <w:tcBorders>
              <w:top w:val="single" w:sz="4" w:space="0" w:color="auto"/>
              <w:left w:val="single" w:sz="4" w:space="0" w:color="auto"/>
              <w:bottom w:val="single" w:sz="4" w:space="0" w:color="auto"/>
              <w:right w:val="single" w:sz="4" w:space="0" w:color="auto"/>
            </w:tcBorders>
          </w:tcPr>
          <w:p w:rsidR="003D552A" w:rsidRPr="00026DDD" w:rsidRDefault="003D552A" w:rsidP="003D552A">
            <w:pPr>
              <w:rPr>
                <w:rFonts w:ascii="Arial Narrow" w:hAnsi="Arial Narrow" w:cs="Arial"/>
                <w:sz w:val="20"/>
                <w:szCs w:val="20"/>
                <w:lang w:eastAsia="en-US" w:bidi="en-US"/>
              </w:rPr>
            </w:pPr>
            <w:r w:rsidRPr="003D552A">
              <w:rPr>
                <w:rFonts w:ascii="Arial Narrow" w:hAnsi="Arial Narrow" w:cs="Arial"/>
                <w:sz w:val="20"/>
                <w:szCs w:val="20"/>
                <w:lang w:eastAsia="en-US" w:bidi="en-US"/>
              </w:rPr>
              <w:t>A patient who has progressive disease when treated with this drug is no longer eligible for PBS-subsidised treatment with this drug.</w:t>
            </w:r>
            <w:r w:rsidR="000C7AA5">
              <w:rPr>
                <w:rFonts w:ascii="Arial Narrow" w:hAnsi="Arial Narrow" w:cs="Arial"/>
                <w:sz w:val="20"/>
                <w:szCs w:val="20"/>
                <w:lang w:eastAsia="en-US" w:bidi="en-US"/>
              </w:rPr>
              <w:t xml:space="preserve"> </w:t>
            </w:r>
          </w:p>
        </w:tc>
      </w:tr>
      <w:tr w:rsidR="003D552A" w:rsidRPr="00260CE3" w:rsidTr="000C7AA5">
        <w:trPr>
          <w:cantSplit/>
          <w:trHeight w:val="360"/>
        </w:trPr>
        <w:tc>
          <w:tcPr>
            <w:tcW w:w="1070" w:type="pct"/>
            <w:tcBorders>
              <w:top w:val="single" w:sz="4" w:space="0" w:color="auto"/>
              <w:left w:val="single" w:sz="4" w:space="0" w:color="auto"/>
              <w:bottom w:val="single" w:sz="4" w:space="0" w:color="auto"/>
              <w:right w:val="single" w:sz="4" w:space="0" w:color="auto"/>
            </w:tcBorders>
          </w:tcPr>
          <w:p w:rsidR="003D552A" w:rsidRPr="00260CE3" w:rsidRDefault="003D552A" w:rsidP="00ED6C0E">
            <w:pPr>
              <w:spacing w:before="40" w:after="40"/>
              <w:jc w:val="both"/>
              <w:rPr>
                <w:rFonts w:ascii="Arial Narrow" w:hAnsi="Arial Narrow" w:cs="Arial"/>
                <w:b/>
                <w:sz w:val="20"/>
                <w:szCs w:val="20"/>
              </w:rPr>
            </w:pPr>
            <w:r w:rsidRPr="00260CE3">
              <w:rPr>
                <w:rFonts w:ascii="Arial Narrow" w:hAnsi="Arial Narrow" w:cs="Arial"/>
                <w:b/>
                <w:sz w:val="20"/>
                <w:szCs w:val="20"/>
              </w:rPr>
              <w:t>Administrative Advice</w:t>
            </w:r>
          </w:p>
          <w:p w:rsidR="003D552A" w:rsidRPr="00260CE3" w:rsidRDefault="003D552A" w:rsidP="00ED6C0E">
            <w:pPr>
              <w:spacing w:before="40" w:after="40"/>
              <w:jc w:val="both"/>
              <w:rPr>
                <w:rFonts w:ascii="Arial Narrow" w:hAnsi="Arial Narrow" w:cs="Arial"/>
                <w:i/>
                <w:sz w:val="20"/>
                <w:szCs w:val="20"/>
              </w:rPr>
            </w:pPr>
          </w:p>
          <w:p w:rsidR="003D552A" w:rsidRPr="00260CE3" w:rsidRDefault="003D552A" w:rsidP="00ED6C0E">
            <w:pPr>
              <w:spacing w:before="40" w:after="40"/>
              <w:jc w:val="both"/>
              <w:rPr>
                <w:rFonts w:ascii="Arial Narrow" w:hAnsi="Arial Narrow" w:cs="Arial"/>
                <w:i/>
                <w:sz w:val="20"/>
                <w:szCs w:val="20"/>
              </w:rPr>
            </w:pPr>
          </w:p>
        </w:tc>
        <w:tc>
          <w:tcPr>
            <w:tcW w:w="3930" w:type="pct"/>
            <w:tcBorders>
              <w:top w:val="single" w:sz="4" w:space="0" w:color="auto"/>
              <w:left w:val="single" w:sz="4" w:space="0" w:color="auto"/>
              <w:bottom w:val="single" w:sz="4" w:space="0" w:color="auto"/>
              <w:right w:val="single" w:sz="4" w:space="0" w:color="auto"/>
            </w:tcBorders>
          </w:tcPr>
          <w:p w:rsidR="003D552A" w:rsidRPr="00F7715F" w:rsidRDefault="003D552A" w:rsidP="00ED6C0E">
            <w:pPr>
              <w:spacing w:before="40" w:after="40"/>
              <w:rPr>
                <w:rFonts w:ascii="Arial Narrow" w:hAnsi="Arial Narrow" w:cs="Arial"/>
                <w:sz w:val="20"/>
                <w:szCs w:val="20"/>
              </w:rPr>
            </w:pPr>
            <w:r w:rsidRPr="00F7715F">
              <w:rPr>
                <w:rFonts w:ascii="Arial Narrow" w:hAnsi="Arial Narrow" w:cs="Arial"/>
                <w:sz w:val="20"/>
                <w:szCs w:val="20"/>
              </w:rPr>
              <w:t>The prescribed dose is not permitted to be increased once it has been reduced.</w:t>
            </w:r>
          </w:p>
          <w:p w:rsidR="003D552A" w:rsidRPr="00F7715F" w:rsidRDefault="003D552A" w:rsidP="00ED6C0E">
            <w:pPr>
              <w:spacing w:before="40" w:after="40"/>
              <w:rPr>
                <w:rFonts w:ascii="Arial Narrow" w:hAnsi="Arial Narrow" w:cs="Arial"/>
                <w:sz w:val="20"/>
                <w:szCs w:val="20"/>
              </w:rPr>
            </w:pPr>
          </w:p>
          <w:p w:rsidR="003D552A" w:rsidRPr="00F7715F" w:rsidRDefault="003D552A" w:rsidP="00ED6C0E">
            <w:pPr>
              <w:spacing w:before="40" w:after="40"/>
              <w:rPr>
                <w:rFonts w:ascii="Arial Narrow" w:hAnsi="Arial Narrow" w:cs="Arial"/>
                <w:sz w:val="20"/>
                <w:szCs w:val="20"/>
              </w:rPr>
            </w:pPr>
            <w:r w:rsidRPr="00F7715F">
              <w:rPr>
                <w:rFonts w:ascii="Arial Narrow" w:hAnsi="Arial Narrow" w:cs="Arial"/>
                <w:sz w:val="20"/>
                <w:szCs w:val="20"/>
              </w:rPr>
              <w:t xml:space="preserve">No increase in maximum quantity or number of units may be authorised. </w:t>
            </w:r>
          </w:p>
          <w:p w:rsidR="003D552A" w:rsidRPr="00F7715F" w:rsidRDefault="003D552A" w:rsidP="00ED6C0E">
            <w:pPr>
              <w:spacing w:before="40" w:after="40"/>
              <w:rPr>
                <w:rFonts w:ascii="Arial Narrow" w:hAnsi="Arial Narrow" w:cs="Arial"/>
                <w:sz w:val="20"/>
                <w:szCs w:val="20"/>
              </w:rPr>
            </w:pPr>
          </w:p>
          <w:p w:rsidR="003D552A" w:rsidRPr="00260CE3" w:rsidRDefault="003D552A" w:rsidP="00ED6C0E">
            <w:pPr>
              <w:spacing w:before="40" w:after="40"/>
              <w:rPr>
                <w:rFonts w:ascii="Arial Narrow" w:hAnsi="Arial Narrow" w:cs="Arial"/>
                <w:sz w:val="20"/>
                <w:szCs w:val="20"/>
              </w:rPr>
            </w:pPr>
            <w:r w:rsidRPr="00F7715F">
              <w:rPr>
                <w:rFonts w:ascii="Arial Narrow" w:hAnsi="Arial Narrow" w:cs="Arial"/>
                <w:sz w:val="20"/>
                <w:szCs w:val="20"/>
              </w:rPr>
              <w:t>No increase in the maximum number of repeats may be authorised.</w:t>
            </w:r>
          </w:p>
        </w:tc>
      </w:tr>
    </w:tbl>
    <w:p w:rsidR="000C7AA5" w:rsidRPr="000C7AA5" w:rsidRDefault="000C7AA5" w:rsidP="000C7AA5">
      <w:pPr>
        <w:widowControl w:val="0"/>
        <w:contextualSpacing/>
        <w:jc w:val="both"/>
        <w:rPr>
          <w:rFonts w:ascii="Arial Narrow" w:hAnsi="Arial Narrow" w:cs="Arial"/>
          <w:snapToGrid w:val="0"/>
          <w:sz w:val="20"/>
          <w:szCs w:val="20"/>
          <w:lang w:eastAsia="en-US"/>
        </w:rPr>
      </w:pPr>
      <w:r w:rsidRPr="000C7AA5">
        <w:rPr>
          <w:rFonts w:ascii="Arial Narrow" w:hAnsi="Arial Narrow" w:cs="Arial"/>
          <w:snapToGrid w:val="0"/>
          <w:sz w:val="20"/>
          <w:szCs w:val="20"/>
          <w:vertAlign w:val="superscript"/>
          <w:lang w:eastAsia="en-US"/>
        </w:rPr>
        <w:t xml:space="preserve">a </w:t>
      </w:r>
      <w:r w:rsidRPr="000C7AA5">
        <w:rPr>
          <w:rFonts w:ascii="Arial Narrow" w:hAnsi="Arial Narrow" w:cs="Arial"/>
          <w:snapToGrid w:val="0"/>
          <w:sz w:val="20"/>
          <w:szCs w:val="20"/>
          <w:lang w:eastAsia="en-US"/>
        </w:rPr>
        <w:t>Effective price = $</w:t>
      </w:r>
      <w:r w:rsidR="00D161DB">
        <w:rPr>
          <w:rFonts w:ascii="Arial Narrow" w:hAnsi="Arial Narrow" w:cs="Arial"/>
          <w:noProof/>
          <w:snapToGrid w:val="0"/>
          <w:color w:val="000000"/>
          <w:sz w:val="20"/>
          <w:szCs w:val="20"/>
          <w:highlight w:val="black"/>
          <w:lang w:eastAsia="en-US"/>
        </w:rPr>
        <w:t>''''''''''''''''''''''</w:t>
      </w:r>
      <w:r w:rsidRPr="000C7AA5">
        <w:rPr>
          <w:rFonts w:ascii="Arial Narrow" w:hAnsi="Arial Narrow" w:cs="Arial"/>
          <w:snapToGrid w:val="0"/>
          <w:sz w:val="20"/>
          <w:szCs w:val="20"/>
          <w:lang w:eastAsia="en-US"/>
        </w:rPr>
        <w:t xml:space="preserve"> (including </w:t>
      </w:r>
      <w:r w:rsidR="00D161DB">
        <w:rPr>
          <w:rFonts w:ascii="Arial Narrow" w:hAnsi="Arial Narrow" w:cs="Arial"/>
          <w:noProof/>
          <w:snapToGrid w:val="0"/>
          <w:color w:val="000000"/>
          <w:sz w:val="20"/>
          <w:szCs w:val="20"/>
          <w:highlight w:val="black"/>
          <w:lang w:eastAsia="en-US"/>
        </w:rPr>
        <w:t>''''''''''''</w:t>
      </w:r>
      <w:r w:rsidRPr="000C7AA5">
        <w:rPr>
          <w:rFonts w:ascii="Arial Narrow" w:hAnsi="Arial Narrow" w:cs="Arial"/>
          <w:snapToGrid w:val="0"/>
          <w:sz w:val="20"/>
          <w:szCs w:val="20"/>
          <w:lang w:eastAsia="en-US"/>
        </w:rPr>
        <w:t>% rebate)</w:t>
      </w:r>
      <w:r>
        <w:rPr>
          <w:rFonts w:ascii="Arial Narrow" w:hAnsi="Arial Narrow" w:cs="Arial"/>
          <w:snapToGrid w:val="0"/>
          <w:sz w:val="20"/>
          <w:szCs w:val="20"/>
          <w:lang w:eastAsia="en-US"/>
        </w:rPr>
        <w:t xml:space="preserve"> </w:t>
      </w:r>
      <w:r w:rsidRPr="000C7AA5">
        <w:rPr>
          <w:rFonts w:ascii="Arial Narrow" w:hAnsi="Arial Narrow" w:cs="Arial"/>
          <w:snapToGrid w:val="0"/>
          <w:sz w:val="20"/>
          <w:szCs w:val="20"/>
          <w:vertAlign w:val="superscript"/>
          <w:lang w:eastAsia="en-US"/>
        </w:rPr>
        <w:t>b</w:t>
      </w:r>
      <w:r w:rsidRPr="000C7AA5">
        <w:rPr>
          <w:rFonts w:ascii="Arial Narrow" w:hAnsi="Arial Narrow" w:cs="Arial"/>
          <w:snapToGrid w:val="0"/>
          <w:sz w:val="20"/>
          <w:szCs w:val="20"/>
          <w:lang w:eastAsia="en-US"/>
        </w:rPr>
        <w:t xml:space="preserve"> Effective price = $</w:t>
      </w:r>
      <w:r w:rsidR="00D161DB">
        <w:rPr>
          <w:rFonts w:ascii="Arial Narrow" w:hAnsi="Arial Narrow" w:cs="Arial"/>
          <w:noProof/>
          <w:snapToGrid w:val="0"/>
          <w:color w:val="000000"/>
          <w:sz w:val="20"/>
          <w:szCs w:val="20"/>
          <w:highlight w:val="black"/>
          <w:lang w:eastAsia="en-US"/>
        </w:rPr>
        <w:t>'''''''''''''''''''''</w:t>
      </w:r>
      <w:r w:rsidRPr="000C7AA5">
        <w:rPr>
          <w:rFonts w:ascii="Arial Narrow" w:hAnsi="Arial Narrow" w:cs="Arial"/>
          <w:snapToGrid w:val="0"/>
          <w:sz w:val="20"/>
          <w:szCs w:val="20"/>
          <w:lang w:eastAsia="en-US"/>
        </w:rPr>
        <w:t xml:space="preserve"> (including </w:t>
      </w:r>
      <w:r w:rsidR="00D161DB">
        <w:rPr>
          <w:rFonts w:ascii="Arial Narrow" w:hAnsi="Arial Narrow" w:cs="Arial"/>
          <w:noProof/>
          <w:snapToGrid w:val="0"/>
          <w:color w:val="000000"/>
          <w:sz w:val="20"/>
          <w:szCs w:val="20"/>
          <w:highlight w:val="black"/>
          <w:lang w:eastAsia="en-US"/>
        </w:rPr>
        <w:t>''''''''''</w:t>
      </w:r>
      <w:r w:rsidRPr="000C7AA5">
        <w:rPr>
          <w:rFonts w:ascii="Arial Narrow" w:hAnsi="Arial Narrow" w:cs="Arial"/>
          <w:snapToGrid w:val="0"/>
          <w:sz w:val="20"/>
          <w:szCs w:val="20"/>
          <w:lang w:eastAsia="en-US"/>
        </w:rPr>
        <w:t>% rebate)</w:t>
      </w:r>
    </w:p>
    <w:p w:rsidR="00BE76AD" w:rsidRDefault="00644572" w:rsidP="00BE76AD">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At its July 2017 meeting, the PBAC</w:t>
      </w:r>
      <w:r w:rsidR="00ED6C0E">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 xml:space="preserve">considered the </w:t>
      </w:r>
      <w:r w:rsidR="00F43FCB">
        <w:rPr>
          <w:rFonts w:asciiTheme="minorHAnsi" w:eastAsiaTheme="minorHAnsi" w:hAnsiTheme="minorHAnsi" w:cstheme="minorBidi"/>
          <w:snapToGrid/>
          <w:sz w:val="24"/>
          <w:szCs w:val="22"/>
        </w:rPr>
        <w:t>request for no repeats</w:t>
      </w:r>
      <w:r w:rsidR="00ED6C0E" w:rsidRPr="00ED6C0E">
        <w:rPr>
          <w:rFonts w:asciiTheme="minorHAnsi" w:eastAsiaTheme="minorHAnsi" w:hAnsiTheme="minorHAnsi" w:cstheme="minorBidi"/>
          <w:snapToGrid/>
          <w:sz w:val="24"/>
          <w:szCs w:val="22"/>
        </w:rPr>
        <w:t xml:space="preserve"> in the proposed listing for trifluridine with tipiracil </w:t>
      </w:r>
      <w:r>
        <w:rPr>
          <w:rFonts w:asciiTheme="minorHAnsi" w:eastAsiaTheme="minorHAnsi" w:hAnsiTheme="minorHAnsi" w:cstheme="minorBidi"/>
          <w:snapToGrid/>
          <w:sz w:val="24"/>
          <w:szCs w:val="22"/>
        </w:rPr>
        <w:t>to be</w:t>
      </w:r>
      <w:r w:rsidRPr="00ED6C0E">
        <w:rPr>
          <w:rFonts w:asciiTheme="minorHAnsi" w:eastAsiaTheme="minorHAnsi" w:hAnsiTheme="minorHAnsi" w:cstheme="minorBidi"/>
          <w:snapToGrid/>
          <w:sz w:val="24"/>
          <w:szCs w:val="22"/>
        </w:rPr>
        <w:t xml:space="preserve"> </w:t>
      </w:r>
      <w:r w:rsidR="00ED6C0E" w:rsidRPr="00ED6C0E">
        <w:rPr>
          <w:rFonts w:asciiTheme="minorHAnsi" w:eastAsiaTheme="minorHAnsi" w:hAnsiTheme="minorHAnsi" w:cstheme="minorBidi"/>
          <w:snapToGrid/>
          <w:sz w:val="24"/>
          <w:szCs w:val="22"/>
        </w:rPr>
        <w:t>inappropriate</w:t>
      </w:r>
      <w:r w:rsidR="00F43FCB">
        <w:rPr>
          <w:rFonts w:asciiTheme="minorHAnsi" w:eastAsiaTheme="minorHAnsi" w:hAnsiTheme="minorHAnsi" w:cstheme="minorBidi"/>
          <w:snapToGrid/>
          <w:sz w:val="24"/>
          <w:szCs w:val="22"/>
        </w:rPr>
        <w:t>,</w:t>
      </w:r>
      <w:r w:rsidR="00ED6C0E" w:rsidRPr="00ED6C0E">
        <w:rPr>
          <w:rFonts w:asciiTheme="minorHAnsi" w:eastAsiaTheme="minorHAnsi" w:hAnsiTheme="minorHAnsi" w:cstheme="minorBidi"/>
          <w:snapToGrid/>
          <w:sz w:val="24"/>
          <w:szCs w:val="22"/>
        </w:rPr>
        <w:t xml:space="preserve"> noting that this would impose undue burden on clinicians and lacks precedent for other PBS-listed oral antineoplastic agents with similar toxicity profiles.</w:t>
      </w:r>
      <w:r>
        <w:rPr>
          <w:rFonts w:asciiTheme="minorHAnsi" w:eastAsiaTheme="minorHAnsi" w:hAnsiTheme="minorHAnsi" w:cstheme="minorBidi"/>
          <w:snapToGrid/>
          <w:sz w:val="24"/>
          <w:szCs w:val="22"/>
        </w:rPr>
        <w:t xml:space="preserve"> In response to the PBAC advice, the </w:t>
      </w:r>
      <w:r w:rsidR="00F43FCB">
        <w:rPr>
          <w:rFonts w:asciiTheme="minorHAnsi" w:eastAsiaTheme="minorHAnsi" w:hAnsiTheme="minorHAnsi" w:cstheme="minorBidi"/>
          <w:snapToGrid/>
          <w:sz w:val="24"/>
          <w:szCs w:val="22"/>
        </w:rPr>
        <w:t>minor re</w:t>
      </w:r>
      <w:r>
        <w:rPr>
          <w:rFonts w:asciiTheme="minorHAnsi" w:eastAsiaTheme="minorHAnsi" w:hAnsiTheme="minorHAnsi" w:cstheme="minorBidi"/>
          <w:snapToGrid/>
          <w:sz w:val="24"/>
          <w:szCs w:val="22"/>
        </w:rPr>
        <w:t>submission requested two repeats in the proposed listing.</w:t>
      </w:r>
    </w:p>
    <w:p w:rsidR="00BE76AD" w:rsidRDefault="00BE76AD">
      <w:pPr>
        <w:rPr>
          <w:rFonts w:asciiTheme="minorHAnsi" w:eastAsiaTheme="minorHAnsi" w:hAnsiTheme="minorHAnsi" w:cstheme="minorBidi"/>
          <w:szCs w:val="22"/>
          <w:lang w:eastAsia="en-US"/>
        </w:rPr>
      </w:pPr>
      <w:r>
        <w:rPr>
          <w:rFonts w:asciiTheme="minorHAnsi" w:eastAsiaTheme="minorHAnsi" w:hAnsiTheme="minorHAnsi" w:cstheme="minorBidi"/>
          <w:szCs w:val="22"/>
        </w:rPr>
        <w:br w:type="page"/>
      </w:r>
    </w:p>
    <w:p w:rsidR="00C603D4" w:rsidRPr="00FD6D8E" w:rsidRDefault="00CE10C4" w:rsidP="00696129">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lastRenderedPageBreak/>
        <w:t>Background</w:t>
      </w:r>
    </w:p>
    <w:p w:rsidR="009D525E" w:rsidRDefault="009C19D2" w:rsidP="00D45200">
      <w:pPr>
        <w:pStyle w:val="ListParagraph"/>
        <w:numPr>
          <w:ilvl w:val="1"/>
          <w:numId w:val="14"/>
        </w:numPr>
        <w:spacing w:after="120"/>
        <w:contextualSpacing w:val="0"/>
        <w:rPr>
          <w:rFonts w:asciiTheme="minorHAnsi" w:hAnsiTheme="minorHAnsi"/>
          <w:sz w:val="24"/>
          <w:szCs w:val="22"/>
        </w:rPr>
      </w:pPr>
      <w:r>
        <w:rPr>
          <w:rFonts w:asciiTheme="minorHAnsi" w:hAnsiTheme="minorHAnsi"/>
          <w:sz w:val="24"/>
          <w:szCs w:val="22"/>
        </w:rPr>
        <w:t>The PBAC first considered trifluridine/tipiracil as a major submission at its November 2016 meeting. T</w:t>
      </w:r>
      <w:r w:rsidR="009D525E" w:rsidRPr="009D525E">
        <w:rPr>
          <w:rFonts w:asciiTheme="minorHAnsi" w:hAnsiTheme="minorHAnsi"/>
          <w:sz w:val="24"/>
          <w:szCs w:val="22"/>
        </w:rPr>
        <w:t>rifluridine/tipiracil was not recommended for listing on the basis of a modest clinical benefit, high and uncertain incremental cost-effectiveness ratio, and concern that the extent of benefit as observed in the clinical trial would not be realised in c</w:t>
      </w:r>
      <w:r w:rsidR="0093056F">
        <w:rPr>
          <w:rFonts w:asciiTheme="minorHAnsi" w:hAnsiTheme="minorHAnsi"/>
          <w:sz w:val="24"/>
          <w:szCs w:val="22"/>
        </w:rPr>
        <w:t xml:space="preserve">linical practice (paragraph 7.1, </w:t>
      </w:r>
      <w:r w:rsidR="009D525E" w:rsidRPr="009D525E">
        <w:rPr>
          <w:rFonts w:asciiTheme="minorHAnsi" w:hAnsiTheme="minorHAnsi"/>
          <w:sz w:val="24"/>
          <w:szCs w:val="22"/>
        </w:rPr>
        <w:t xml:space="preserve">November 2016 </w:t>
      </w:r>
      <w:r w:rsidR="00B64F64">
        <w:rPr>
          <w:rFonts w:asciiTheme="minorHAnsi" w:hAnsiTheme="minorHAnsi"/>
          <w:sz w:val="24"/>
          <w:szCs w:val="22"/>
        </w:rPr>
        <w:t>Public Summary Document</w:t>
      </w:r>
      <w:r w:rsidR="009D525E" w:rsidRPr="009D525E">
        <w:rPr>
          <w:rFonts w:asciiTheme="minorHAnsi" w:hAnsiTheme="minorHAnsi"/>
          <w:sz w:val="24"/>
          <w:szCs w:val="22"/>
        </w:rPr>
        <w:t>).</w:t>
      </w:r>
    </w:p>
    <w:p w:rsidR="00C30DDA" w:rsidRDefault="0093056F" w:rsidP="00D45200">
      <w:pPr>
        <w:pStyle w:val="ListParagraph"/>
        <w:numPr>
          <w:ilvl w:val="1"/>
          <w:numId w:val="14"/>
        </w:numPr>
        <w:spacing w:after="120"/>
        <w:contextualSpacing w:val="0"/>
        <w:rPr>
          <w:rFonts w:asciiTheme="minorHAnsi" w:hAnsiTheme="minorHAnsi"/>
          <w:sz w:val="24"/>
          <w:szCs w:val="22"/>
        </w:rPr>
      </w:pPr>
      <w:r>
        <w:rPr>
          <w:rFonts w:asciiTheme="minorHAnsi" w:hAnsiTheme="minorHAnsi"/>
          <w:sz w:val="24"/>
          <w:szCs w:val="22"/>
        </w:rPr>
        <w:t>A minor resubmission for t</w:t>
      </w:r>
      <w:r w:rsidR="00C30DDA" w:rsidRPr="00C30DDA">
        <w:rPr>
          <w:rFonts w:asciiTheme="minorHAnsi" w:hAnsiTheme="minorHAnsi"/>
          <w:sz w:val="24"/>
          <w:szCs w:val="22"/>
        </w:rPr>
        <w:t>rifluridine/tipiracil was considered at the March 2017 PBAC meeting where it was</w:t>
      </w:r>
      <w:r w:rsidR="004E52B4">
        <w:rPr>
          <w:rFonts w:asciiTheme="minorHAnsi" w:hAnsiTheme="minorHAnsi"/>
          <w:sz w:val="24"/>
          <w:szCs w:val="22"/>
        </w:rPr>
        <w:t xml:space="preserve"> again</w:t>
      </w:r>
      <w:r w:rsidR="00C30DDA" w:rsidRPr="00C30DDA">
        <w:rPr>
          <w:rFonts w:asciiTheme="minorHAnsi" w:hAnsiTheme="minorHAnsi"/>
          <w:sz w:val="24"/>
          <w:szCs w:val="22"/>
        </w:rPr>
        <w:t xml:space="preserve"> not recommended for listing. While the PBAC noted the revised lower incremental-cost effectiveness ratio (ICER) presented, it considered that the ICER remained high and uncertain</w:t>
      </w:r>
      <w:r w:rsidR="004E52B4">
        <w:rPr>
          <w:rFonts w:asciiTheme="minorHAnsi" w:hAnsiTheme="minorHAnsi"/>
          <w:sz w:val="24"/>
          <w:szCs w:val="22"/>
        </w:rPr>
        <w:t xml:space="preserve">, and remained </w:t>
      </w:r>
      <w:r w:rsidR="00C30DDA" w:rsidRPr="00C30DDA">
        <w:rPr>
          <w:rFonts w:asciiTheme="minorHAnsi" w:hAnsiTheme="minorHAnsi"/>
          <w:sz w:val="24"/>
          <w:szCs w:val="22"/>
        </w:rPr>
        <w:t xml:space="preserve"> concern</w:t>
      </w:r>
      <w:r w:rsidR="004E52B4">
        <w:rPr>
          <w:rFonts w:asciiTheme="minorHAnsi" w:hAnsiTheme="minorHAnsi"/>
          <w:sz w:val="24"/>
          <w:szCs w:val="22"/>
        </w:rPr>
        <w:t>ed</w:t>
      </w:r>
      <w:r w:rsidR="00C30DDA" w:rsidRPr="00C30DDA">
        <w:rPr>
          <w:rFonts w:asciiTheme="minorHAnsi" w:hAnsiTheme="minorHAnsi"/>
          <w:sz w:val="24"/>
          <w:szCs w:val="22"/>
        </w:rPr>
        <w:t xml:space="preserve"> regarding the modest benefits observed in clinical practice</w:t>
      </w:r>
      <w:r>
        <w:rPr>
          <w:rFonts w:asciiTheme="minorHAnsi" w:hAnsiTheme="minorHAnsi"/>
          <w:sz w:val="24"/>
          <w:szCs w:val="22"/>
        </w:rPr>
        <w:t xml:space="preserve"> remained (paragraph 5.1, </w:t>
      </w:r>
      <w:r w:rsidR="00C30DDA" w:rsidRPr="00C30DDA">
        <w:rPr>
          <w:rFonts w:asciiTheme="minorHAnsi" w:hAnsiTheme="minorHAnsi"/>
          <w:sz w:val="24"/>
          <w:szCs w:val="22"/>
        </w:rPr>
        <w:t xml:space="preserve">March 2017 </w:t>
      </w:r>
      <w:r w:rsidR="00F23E82">
        <w:rPr>
          <w:rFonts w:asciiTheme="minorHAnsi" w:hAnsiTheme="minorHAnsi"/>
          <w:sz w:val="24"/>
          <w:szCs w:val="22"/>
        </w:rPr>
        <w:t>Public Summary Document (PSD)</w:t>
      </w:r>
      <w:r w:rsidR="00C30DDA" w:rsidRPr="00C30DDA">
        <w:rPr>
          <w:rFonts w:asciiTheme="minorHAnsi" w:hAnsiTheme="minorHAnsi"/>
          <w:sz w:val="24"/>
          <w:szCs w:val="22"/>
        </w:rPr>
        <w:t xml:space="preserve">). Further, the PBAC considered that the proposed rebates of </w:t>
      </w:r>
      <w:r w:rsidR="00D161DB">
        <w:rPr>
          <w:rFonts w:asciiTheme="minorHAnsi" w:hAnsiTheme="minorHAnsi"/>
          <w:noProof/>
          <w:color w:val="000000"/>
          <w:sz w:val="24"/>
          <w:szCs w:val="22"/>
          <w:highlight w:val="black"/>
        </w:rPr>
        <w:t>'''''</w:t>
      </w:r>
      <w:r w:rsidR="00C30DDA" w:rsidRPr="00C30DDA">
        <w:rPr>
          <w:rFonts w:asciiTheme="minorHAnsi" w:hAnsiTheme="minorHAnsi"/>
          <w:sz w:val="24"/>
          <w:szCs w:val="22"/>
        </w:rPr>
        <w:t xml:space="preserve">% and </w:t>
      </w:r>
      <w:r w:rsidR="00D161DB">
        <w:rPr>
          <w:rFonts w:asciiTheme="minorHAnsi" w:hAnsiTheme="minorHAnsi"/>
          <w:noProof/>
          <w:color w:val="000000"/>
          <w:sz w:val="24"/>
          <w:szCs w:val="22"/>
          <w:highlight w:val="black"/>
        </w:rPr>
        <w:t>'''''</w:t>
      </w:r>
      <w:r w:rsidR="00C30DDA" w:rsidRPr="00C30DDA">
        <w:rPr>
          <w:rFonts w:asciiTheme="minorHAnsi" w:hAnsiTheme="minorHAnsi"/>
          <w:sz w:val="24"/>
          <w:szCs w:val="22"/>
        </w:rPr>
        <w:t xml:space="preserve">% for utilisation over the financial caps were insufficient to address the significant financial impact </w:t>
      </w:r>
      <w:r>
        <w:rPr>
          <w:rFonts w:asciiTheme="minorHAnsi" w:hAnsiTheme="minorHAnsi"/>
          <w:sz w:val="24"/>
          <w:szCs w:val="22"/>
        </w:rPr>
        <w:t>to the PBS (paragraph 5.8,</w:t>
      </w:r>
      <w:r w:rsidR="00C30DDA" w:rsidRPr="00C30DDA">
        <w:rPr>
          <w:rFonts w:asciiTheme="minorHAnsi" w:hAnsiTheme="minorHAnsi"/>
          <w:sz w:val="24"/>
          <w:szCs w:val="22"/>
        </w:rPr>
        <w:t xml:space="preserve"> March 2017 </w:t>
      </w:r>
      <w:r w:rsidR="00B64F64">
        <w:rPr>
          <w:rFonts w:asciiTheme="minorHAnsi" w:hAnsiTheme="minorHAnsi"/>
          <w:sz w:val="24"/>
          <w:szCs w:val="22"/>
        </w:rPr>
        <w:t>Public Summary Document</w:t>
      </w:r>
      <w:r w:rsidR="00C30DDA" w:rsidRPr="00C30DDA">
        <w:rPr>
          <w:rFonts w:asciiTheme="minorHAnsi" w:hAnsiTheme="minorHAnsi"/>
          <w:sz w:val="24"/>
          <w:szCs w:val="22"/>
        </w:rPr>
        <w:t>).</w:t>
      </w:r>
      <w:r w:rsidR="00C91362">
        <w:rPr>
          <w:rFonts w:asciiTheme="minorHAnsi" w:hAnsiTheme="minorHAnsi"/>
          <w:sz w:val="24"/>
          <w:szCs w:val="22"/>
        </w:rPr>
        <w:t xml:space="preserve"> </w:t>
      </w:r>
    </w:p>
    <w:p w:rsidR="00C30DDA" w:rsidRDefault="00C64F6A" w:rsidP="00D45200">
      <w:pPr>
        <w:pStyle w:val="ListParagraph"/>
        <w:numPr>
          <w:ilvl w:val="1"/>
          <w:numId w:val="14"/>
        </w:numPr>
        <w:tabs>
          <w:tab w:val="left" w:pos="2127"/>
        </w:tabs>
        <w:spacing w:after="120"/>
        <w:contextualSpacing w:val="0"/>
        <w:rPr>
          <w:rFonts w:asciiTheme="minorHAnsi" w:hAnsiTheme="minorHAnsi"/>
          <w:sz w:val="24"/>
          <w:szCs w:val="24"/>
        </w:rPr>
      </w:pPr>
      <w:r w:rsidRPr="00404BBD">
        <w:rPr>
          <w:rFonts w:asciiTheme="minorHAnsi" w:hAnsiTheme="minorHAnsi"/>
          <w:sz w:val="24"/>
          <w:szCs w:val="24"/>
        </w:rPr>
        <w:t xml:space="preserve">A </w:t>
      </w:r>
      <w:r w:rsidR="0093056F">
        <w:rPr>
          <w:rFonts w:asciiTheme="minorHAnsi" w:hAnsiTheme="minorHAnsi"/>
          <w:sz w:val="24"/>
          <w:szCs w:val="24"/>
        </w:rPr>
        <w:t>minor resubmission for</w:t>
      </w:r>
      <w:r w:rsidR="00A247FA" w:rsidRPr="00404BBD">
        <w:rPr>
          <w:rFonts w:asciiTheme="minorHAnsi" w:hAnsiTheme="minorHAnsi"/>
          <w:sz w:val="24"/>
          <w:szCs w:val="24"/>
        </w:rPr>
        <w:t xml:space="preserve"> trifluridine/tipiracil</w:t>
      </w:r>
      <w:r w:rsidR="00BA2237" w:rsidRPr="00404BBD">
        <w:rPr>
          <w:rFonts w:asciiTheme="minorHAnsi" w:hAnsiTheme="minorHAnsi"/>
          <w:sz w:val="24"/>
          <w:szCs w:val="24"/>
        </w:rPr>
        <w:t xml:space="preserve"> was considered </w:t>
      </w:r>
      <w:r w:rsidR="0093056F">
        <w:rPr>
          <w:rFonts w:asciiTheme="minorHAnsi" w:hAnsiTheme="minorHAnsi"/>
          <w:sz w:val="24"/>
          <w:szCs w:val="24"/>
        </w:rPr>
        <w:t>again at the</w:t>
      </w:r>
      <w:r w:rsidR="00B560B8" w:rsidRPr="00404BBD">
        <w:rPr>
          <w:rFonts w:asciiTheme="minorHAnsi" w:hAnsiTheme="minorHAnsi"/>
          <w:sz w:val="24"/>
          <w:szCs w:val="24"/>
        </w:rPr>
        <w:t xml:space="preserve"> July 2017</w:t>
      </w:r>
      <w:r w:rsidR="0093056F">
        <w:rPr>
          <w:rFonts w:asciiTheme="minorHAnsi" w:hAnsiTheme="minorHAnsi"/>
          <w:sz w:val="24"/>
          <w:szCs w:val="24"/>
        </w:rPr>
        <w:t xml:space="preserve"> PBAC</w:t>
      </w:r>
      <w:r w:rsidR="00B560B8" w:rsidRPr="00404BBD">
        <w:rPr>
          <w:rFonts w:asciiTheme="minorHAnsi" w:hAnsiTheme="minorHAnsi"/>
          <w:sz w:val="24"/>
          <w:szCs w:val="24"/>
        </w:rPr>
        <w:t xml:space="preserve"> meeting. The PBAC did not recommend the listing of trifluridine/tipiracil based on a modest clinical benefit in the context of substantial toxicity, and high and uncertain </w:t>
      </w:r>
      <w:r w:rsidR="0093056F">
        <w:rPr>
          <w:rFonts w:asciiTheme="minorHAnsi" w:hAnsiTheme="minorHAnsi"/>
          <w:sz w:val="24"/>
          <w:szCs w:val="24"/>
        </w:rPr>
        <w:t>ICER</w:t>
      </w:r>
      <w:r w:rsidR="00B560B8" w:rsidRPr="00404BBD">
        <w:rPr>
          <w:rFonts w:asciiTheme="minorHAnsi" w:hAnsiTheme="minorHAnsi"/>
          <w:sz w:val="24"/>
          <w:szCs w:val="24"/>
        </w:rPr>
        <w:t xml:space="preserve"> given the extent of benefit observed in the trial and model may not be realised in clinica</w:t>
      </w:r>
      <w:r w:rsidR="0093056F">
        <w:rPr>
          <w:rFonts w:asciiTheme="minorHAnsi" w:hAnsiTheme="minorHAnsi"/>
          <w:sz w:val="24"/>
          <w:szCs w:val="24"/>
        </w:rPr>
        <w:t>l practice (paragraph 5.1,</w:t>
      </w:r>
      <w:r w:rsidR="00B560B8" w:rsidRPr="00404BBD">
        <w:rPr>
          <w:rFonts w:asciiTheme="minorHAnsi" w:hAnsiTheme="minorHAnsi"/>
          <w:sz w:val="24"/>
          <w:szCs w:val="24"/>
        </w:rPr>
        <w:t xml:space="preserve"> July 2017 </w:t>
      </w:r>
      <w:r w:rsidR="00F23E82">
        <w:rPr>
          <w:rFonts w:asciiTheme="minorHAnsi" w:hAnsiTheme="minorHAnsi"/>
          <w:sz w:val="24"/>
          <w:szCs w:val="24"/>
        </w:rPr>
        <w:t>PSD</w:t>
      </w:r>
      <w:r w:rsidR="00B560B8" w:rsidRPr="00404BBD">
        <w:rPr>
          <w:rFonts w:asciiTheme="minorHAnsi" w:hAnsiTheme="minorHAnsi"/>
          <w:sz w:val="24"/>
          <w:szCs w:val="24"/>
        </w:rPr>
        <w:t>).</w:t>
      </w:r>
      <w:r w:rsidR="00404BBD" w:rsidRPr="00404BBD">
        <w:rPr>
          <w:rFonts w:asciiTheme="minorHAnsi" w:hAnsiTheme="minorHAnsi"/>
          <w:sz w:val="24"/>
          <w:szCs w:val="24"/>
        </w:rPr>
        <w:t xml:space="preserve"> The PBAC noted that the</w:t>
      </w:r>
      <w:r w:rsidR="009D6148">
        <w:rPr>
          <w:rFonts w:asciiTheme="minorHAnsi" w:hAnsiTheme="minorHAnsi"/>
          <w:sz w:val="24"/>
          <w:szCs w:val="24"/>
        </w:rPr>
        <w:t xml:space="preserve"> increase in the</w:t>
      </w:r>
      <w:r w:rsidR="00404BBD" w:rsidRPr="00404BBD">
        <w:rPr>
          <w:rFonts w:asciiTheme="minorHAnsi" w:hAnsiTheme="minorHAnsi"/>
          <w:sz w:val="24"/>
          <w:szCs w:val="24"/>
        </w:rPr>
        <w:t xml:space="preserve"> proposed rebate </w:t>
      </w:r>
      <w:r w:rsidR="00200A57">
        <w:rPr>
          <w:rFonts w:asciiTheme="minorHAnsi" w:hAnsiTheme="minorHAnsi"/>
          <w:sz w:val="24"/>
          <w:szCs w:val="24"/>
        </w:rPr>
        <w:t>(</w:t>
      </w:r>
      <w:r w:rsidR="00D161DB">
        <w:rPr>
          <w:rFonts w:asciiTheme="minorHAnsi" w:hAnsiTheme="minorHAnsi"/>
          <w:noProof/>
          <w:color w:val="000000"/>
          <w:sz w:val="24"/>
          <w:szCs w:val="24"/>
          <w:highlight w:val="black"/>
        </w:rPr>
        <w:t>'''''''''</w:t>
      </w:r>
      <w:r w:rsidR="00200A57">
        <w:rPr>
          <w:rFonts w:asciiTheme="minorHAnsi" w:hAnsiTheme="minorHAnsi"/>
          <w:sz w:val="24"/>
          <w:szCs w:val="24"/>
        </w:rPr>
        <w:t xml:space="preserve">%) </w:t>
      </w:r>
      <w:r w:rsidR="00404BBD" w:rsidRPr="00404BBD">
        <w:rPr>
          <w:rFonts w:asciiTheme="minorHAnsi" w:hAnsiTheme="minorHAnsi"/>
          <w:sz w:val="24"/>
          <w:szCs w:val="24"/>
        </w:rPr>
        <w:t xml:space="preserve">decreased the ICER from </w:t>
      </w:r>
      <w:r w:rsidR="004D2080">
        <w:rPr>
          <w:rFonts w:asciiTheme="minorHAnsi" w:hAnsiTheme="minorHAnsi"/>
          <w:sz w:val="24"/>
          <w:szCs w:val="24"/>
        </w:rPr>
        <w:t>$45,000/QALY - $75,000/QALY</w:t>
      </w:r>
      <w:r w:rsidR="00404BBD" w:rsidRPr="00404BBD">
        <w:rPr>
          <w:rFonts w:asciiTheme="minorHAnsi" w:hAnsiTheme="minorHAnsi"/>
          <w:sz w:val="24"/>
          <w:szCs w:val="24"/>
        </w:rPr>
        <w:t xml:space="preserve"> to </w:t>
      </w:r>
      <w:r w:rsidR="004D2080">
        <w:rPr>
          <w:rFonts w:asciiTheme="minorHAnsi" w:hAnsiTheme="minorHAnsi"/>
          <w:sz w:val="24"/>
          <w:szCs w:val="24"/>
        </w:rPr>
        <w:t>$45,000/QALY - $75,000/QALY</w:t>
      </w:r>
      <w:r w:rsidR="00200A57">
        <w:rPr>
          <w:rFonts w:asciiTheme="minorHAnsi" w:hAnsiTheme="minorHAnsi"/>
          <w:sz w:val="24"/>
          <w:szCs w:val="24"/>
        </w:rPr>
        <w:t>. However, t</w:t>
      </w:r>
      <w:r w:rsidR="00404BBD" w:rsidRPr="00404BBD">
        <w:rPr>
          <w:rFonts w:asciiTheme="minorHAnsi" w:hAnsiTheme="minorHAnsi"/>
          <w:sz w:val="24"/>
          <w:szCs w:val="24"/>
        </w:rPr>
        <w:t>he PBAC considered that the base case ICER presented in the submission likely repr</w:t>
      </w:r>
      <w:r w:rsidR="00200A57">
        <w:rPr>
          <w:rFonts w:asciiTheme="minorHAnsi" w:hAnsiTheme="minorHAnsi"/>
          <w:sz w:val="24"/>
          <w:szCs w:val="24"/>
        </w:rPr>
        <w:t>esented</w:t>
      </w:r>
      <w:r w:rsidR="00404BBD" w:rsidRPr="00404BBD">
        <w:rPr>
          <w:rFonts w:asciiTheme="minorHAnsi" w:hAnsiTheme="minorHAnsi"/>
          <w:sz w:val="24"/>
          <w:szCs w:val="24"/>
        </w:rPr>
        <w:t xml:space="preserve"> a best case scenario where the benefit observed in the trial setting is reflected in clinical practice and the true ICER would be higher than </w:t>
      </w:r>
      <w:r w:rsidR="004D2080">
        <w:rPr>
          <w:rFonts w:asciiTheme="minorHAnsi" w:hAnsiTheme="minorHAnsi"/>
          <w:sz w:val="24"/>
          <w:szCs w:val="24"/>
        </w:rPr>
        <w:t>$45,000/QALY - $75,000/QALY</w:t>
      </w:r>
      <w:r w:rsidR="004D2080" w:rsidRPr="00404BBD">
        <w:rPr>
          <w:rFonts w:asciiTheme="minorHAnsi" w:hAnsiTheme="minorHAnsi"/>
          <w:sz w:val="24"/>
          <w:szCs w:val="24"/>
        </w:rPr>
        <w:t xml:space="preserve"> </w:t>
      </w:r>
      <w:r w:rsidR="00404BBD" w:rsidRPr="00404BBD">
        <w:rPr>
          <w:rFonts w:asciiTheme="minorHAnsi" w:hAnsiTheme="minorHAnsi"/>
          <w:sz w:val="24"/>
          <w:szCs w:val="24"/>
        </w:rPr>
        <w:t>and therefore not cost-effective at the price proposed</w:t>
      </w:r>
      <w:r w:rsidR="0093056F">
        <w:rPr>
          <w:rFonts w:asciiTheme="minorHAnsi" w:hAnsiTheme="minorHAnsi"/>
          <w:sz w:val="24"/>
          <w:szCs w:val="24"/>
        </w:rPr>
        <w:t xml:space="preserve"> (paragraph 5.6, </w:t>
      </w:r>
      <w:r w:rsidR="00CC013B">
        <w:rPr>
          <w:rFonts w:asciiTheme="minorHAnsi" w:hAnsiTheme="minorHAnsi"/>
          <w:sz w:val="24"/>
          <w:szCs w:val="24"/>
        </w:rPr>
        <w:t xml:space="preserve">July 2017 </w:t>
      </w:r>
      <w:r w:rsidR="006E0953">
        <w:rPr>
          <w:rFonts w:asciiTheme="minorHAnsi" w:hAnsiTheme="minorHAnsi"/>
          <w:sz w:val="24"/>
          <w:szCs w:val="24"/>
        </w:rPr>
        <w:t>Public Summary Document</w:t>
      </w:r>
      <w:r w:rsidR="00CC013B">
        <w:rPr>
          <w:rFonts w:asciiTheme="minorHAnsi" w:hAnsiTheme="minorHAnsi"/>
          <w:sz w:val="24"/>
          <w:szCs w:val="24"/>
        </w:rPr>
        <w:t xml:space="preserve">). </w:t>
      </w:r>
    </w:p>
    <w:p w:rsidR="000B558D" w:rsidRPr="003C2FB5"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3C2FB5">
        <w:rPr>
          <w:rFonts w:asciiTheme="minorHAnsi" w:hAnsiTheme="minorHAnsi"/>
          <w:sz w:val="32"/>
          <w:szCs w:val="32"/>
        </w:rPr>
        <w:t>C</w:t>
      </w:r>
      <w:r w:rsidR="00D84934" w:rsidRPr="003C2FB5">
        <w:rPr>
          <w:rFonts w:asciiTheme="minorHAnsi" w:hAnsiTheme="minorHAnsi"/>
          <w:sz w:val="32"/>
          <w:szCs w:val="32"/>
        </w:rPr>
        <w:t>onsideration of the evidence</w:t>
      </w:r>
    </w:p>
    <w:p w:rsidR="002D177E" w:rsidRPr="00937958" w:rsidRDefault="002D177E" w:rsidP="002D177E">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Sponsor hearing</w:t>
      </w:r>
    </w:p>
    <w:p w:rsidR="002D177E" w:rsidRDefault="002D177E" w:rsidP="002D177E">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There was no hearing for this item as it was a minor submission. </w:t>
      </w:r>
    </w:p>
    <w:p w:rsidR="002D177E" w:rsidRDefault="002D177E" w:rsidP="002D177E">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Consumer comments</w:t>
      </w:r>
    </w:p>
    <w:p w:rsidR="00A86038" w:rsidRDefault="004F3B57" w:rsidP="009F4426">
      <w:pPr>
        <w:widowControl w:val="0"/>
        <w:numPr>
          <w:ilvl w:val="1"/>
          <w:numId w:val="5"/>
        </w:numPr>
        <w:spacing w:after="120"/>
        <w:jc w:val="both"/>
        <w:rPr>
          <w:rFonts w:asciiTheme="minorHAnsi" w:hAnsiTheme="minorHAnsi" w:cs="Arial"/>
          <w:snapToGrid w:val="0"/>
          <w:szCs w:val="20"/>
          <w:lang w:eastAsia="en-US"/>
        </w:rPr>
      </w:pPr>
      <w:r>
        <w:rPr>
          <w:rFonts w:asciiTheme="minorHAnsi" w:hAnsiTheme="minorHAnsi" w:cs="Arial"/>
          <w:snapToGrid w:val="0"/>
          <w:szCs w:val="20"/>
          <w:lang w:eastAsia="en-US"/>
        </w:rPr>
        <w:t>The PBAC noted and welcomed the input from health care professionals (2)</w:t>
      </w:r>
      <w:r w:rsidR="00A86038">
        <w:rPr>
          <w:rFonts w:asciiTheme="minorHAnsi" w:hAnsiTheme="minorHAnsi" w:cs="Arial"/>
          <w:snapToGrid w:val="0"/>
          <w:szCs w:val="20"/>
          <w:lang w:eastAsia="en-US"/>
        </w:rPr>
        <w:t xml:space="preserve"> and one organisation</w:t>
      </w:r>
      <w:r>
        <w:rPr>
          <w:rFonts w:asciiTheme="minorHAnsi" w:hAnsiTheme="minorHAnsi" w:cs="Arial"/>
          <w:snapToGrid w:val="0"/>
          <w:szCs w:val="20"/>
          <w:lang w:eastAsia="en-US"/>
        </w:rPr>
        <w:t xml:space="preserve"> via the Consumer Comments facility on the PBS website.</w:t>
      </w:r>
      <w:r w:rsidR="00FC3B5F">
        <w:rPr>
          <w:rFonts w:asciiTheme="minorHAnsi" w:hAnsiTheme="minorHAnsi" w:cs="Arial"/>
          <w:snapToGrid w:val="0"/>
          <w:szCs w:val="20"/>
          <w:lang w:eastAsia="en-US"/>
        </w:rPr>
        <w:t xml:space="preserve"> The health care professionals </w:t>
      </w:r>
      <w:r w:rsidR="00A86038">
        <w:rPr>
          <w:rFonts w:asciiTheme="minorHAnsi" w:hAnsiTheme="minorHAnsi" w:cs="Arial"/>
          <w:snapToGrid w:val="0"/>
          <w:szCs w:val="20"/>
          <w:lang w:eastAsia="en-US"/>
        </w:rPr>
        <w:t xml:space="preserve">commented on the modest </w:t>
      </w:r>
      <w:r w:rsidR="009D6148">
        <w:rPr>
          <w:rFonts w:asciiTheme="minorHAnsi" w:hAnsiTheme="minorHAnsi" w:cs="Arial"/>
          <w:snapToGrid w:val="0"/>
          <w:szCs w:val="20"/>
          <w:lang w:eastAsia="en-US"/>
        </w:rPr>
        <w:t>survival advantage</w:t>
      </w:r>
      <w:r w:rsidR="00A86038">
        <w:rPr>
          <w:rFonts w:asciiTheme="minorHAnsi" w:hAnsiTheme="minorHAnsi" w:cs="Arial"/>
          <w:snapToGrid w:val="0"/>
          <w:szCs w:val="20"/>
          <w:lang w:eastAsia="en-US"/>
        </w:rPr>
        <w:t xml:space="preserve"> and manageable toxicity profile of trifluridine/tipiracil and noted that it is currently the only option for third line treatment in mCRC. </w:t>
      </w:r>
    </w:p>
    <w:p w:rsidR="00DB0A4E" w:rsidRPr="004606B4" w:rsidRDefault="009F4426" w:rsidP="009F4426">
      <w:pPr>
        <w:widowControl w:val="0"/>
        <w:numPr>
          <w:ilvl w:val="1"/>
          <w:numId w:val="5"/>
        </w:numPr>
        <w:spacing w:after="120"/>
        <w:jc w:val="both"/>
        <w:rPr>
          <w:rFonts w:asciiTheme="minorHAnsi" w:hAnsiTheme="minorHAnsi" w:cs="Arial"/>
          <w:snapToGrid w:val="0"/>
          <w:szCs w:val="20"/>
          <w:lang w:eastAsia="en-US"/>
        </w:rPr>
      </w:pPr>
      <w:r w:rsidRPr="004606B4">
        <w:rPr>
          <w:rFonts w:asciiTheme="minorHAnsi" w:hAnsiTheme="minorHAnsi" w:cs="Arial"/>
          <w:snapToGrid w:val="0"/>
          <w:szCs w:val="20"/>
          <w:lang w:eastAsia="en-US"/>
        </w:rPr>
        <w:t>Bowel Cancer Australia</w:t>
      </w:r>
      <w:r w:rsidR="0008164A" w:rsidRPr="004606B4">
        <w:rPr>
          <w:rFonts w:asciiTheme="minorHAnsi" w:hAnsiTheme="minorHAnsi" w:cs="Arial"/>
          <w:snapToGrid w:val="0"/>
          <w:szCs w:val="20"/>
          <w:lang w:eastAsia="en-US"/>
        </w:rPr>
        <w:t xml:space="preserve"> described the impact of, and treatment options for, bowel cancer on patients’ quality of life. </w:t>
      </w:r>
      <w:r w:rsidR="004606B4" w:rsidRPr="004606B4">
        <w:rPr>
          <w:rFonts w:asciiTheme="minorHAnsi" w:hAnsiTheme="minorHAnsi" w:cs="Arial"/>
          <w:snapToGrid w:val="0"/>
          <w:szCs w:val="20"/>
          <w:lang w:eastAsia="en-US"/>
        </w:rPr>
        <w:t>Bowel Cancer Australia emphasised the importance of prolonging quality life for individuals and their families, and expressed their support</w:t>
      </w:r>
      <w:r w:rsidRPr="004606B4">
        <w:rPr>
          <w:rFonts w:asciiTheme="minorHAnsi" w:hAnsiTheme="minorHAnsi" w:cs="Arial"/>
          <w:snapToGrid w:val="0"/>
          <w:szCs w:val="20"/>
          <w:lang w:eastAsia="en-US"/>
        </w:rPr>
        <w:t xml:space="preserve"> for greater availability of treatment options for metastatic bowel cancer such as trifluridine/tipiracil</w:t>
      </w:r>
      <w:r w:rsidR="00B26164" w:rsidRPr="004606B4">
        <w:rPr>
          <w:rFonts w:asciiTheme="minorHAnsi" w:hAnsiTheme="minorHAnsi" w:cs="Arial"/>
          <w:snapToGrid w:val="0"/>
          <w:szCs w:val="20"/>
          <w:lang w:eastAsia="en-US"/>
        </w:rPr>
        <w:t xml:space="preserve">. The </w:t>
      </w:r>
      <w:r w:rsidR="004606B4">
        <w:rPr>
          <w:rFonts w:asciiTheme="minorHAnsi" w:hAnsiTheme="minorHAnsi" w:cs="Arial"/>
          <w:snapToGrid w:val="0"/>
          <w:szCs w:val="20"/>
          <w:lang w:eastAsia="en-US"/>
        </w:rPr>
        <w:t>statement</w:t>
      </w:r>
      <w:r w:rsidR="00B26164" w:rsidRPr="004606B4">
        <w:rPr>
          <w:rFonts w:asciiTheme="minorHAnsi" w:hAnsiTheme="minorHAnsi" w:cs="Arial"/>
          <w:snapToGrid w:val="0"/>
          <w:szCs w:val="20"/>
          <w:lang w:eastAsia="en-US"/>
        </w:rPr>
        <w:t xml:space="preserve"> </w:t>
      </w:r>
      <w:r w:rsidR="004606B4">
        <w:rPr>
          <w:rFonts w:asciiTheme="minorHAnsi" w:hAnsiTheme="minorHAnsi" w:cs="Arial"/>
          <w:snapToGrid w:val="0"/>
          <w:szCs w:val="20"/>
          <w:lang w:eastAsia="en-US"/>
        </w:rPr>
        <w:t xml:space="preserve">also </w:t>
      </w:r>
      <w:r w:rsidR="00B26164" w:rsidRPr="004606B4">
        <w:rPr>
          <w:rFonts w:asciiTheme="minorHAnsi" w:hAnsiTheme="minorHAnsi" w:cs="Arial"/>
          <w:snapToGrid w:val="0"/>
          <w:szCs w:val="20"/>
          <w:lang w:eastAsia="en-US"/>
        </w:rPr>
        <w:t xml:space="preserve">included </w:t>
      </w:r>
      <w:r w:rsidR="00F224A4" w:rsidRPr="004606B4">
        <w:rPr>
          <w:rFonts w:asciiTheme="minorHAnsi" w:hAnsiTheme="minorHAnsi" w:cs="Arial"/>
          <w:snapToGrid w:val="0"/>
          <w:szCs w:val="20"/>
          <w:lang w:eastAsia="en-US"/>
        </w:rPr>
        <w:t>a</w:t>
      </w:r>
      <w:r w:rsidR="004606B4">
        <w:rPr>
          <w:rFonts w:asciiTheme="minorHAnsi" w:hAnsiTheme="minorHAnsi" w:cs="Arial"/>
          <w:snapToGrid w:val="0"/>
          <w:szCs w:val="20"/>
          <w:lang w:eastAsia="en-US"/>
        </w:rPr>
        <w:t xml:space="preserve"> case </w:t>
      </w:r>
      <w:r w:rsidR="00F224A4" w:rsidRPr="004606B4">
        <w:rPr>
          <w:rFonts w:asciiTheme="minorHAnsi" w:hAnsiTheme="minorHAnsi" w:cs="Arial"/>
          <w:snapToGrid w:val="0"/>
          <w:szCs w:val="20"/>
          <w:lang w:eastAsia="en-US"/>
        </w:rPr>
        <w:t>summary of</w:t>
      </w:r>
      <w:r w:rsidR="00B26164" w:rsidRPr="004606B4">
        <w:rPr>
          <w:rFonts w:asciiTheme="minorHAnsi" w:hAnsiTheme="minorHAnsi" w:cs="Arial"/>
          <w:snapToGrid w:val="0"/>
          <w:szCs w:val="20"/>
          <w:lang w:eastAsia="en-US"/>
        </w:rPr>
        <w:t xml:space="preserve"> one patient’s experience with </w:t>
      </w:r>
      <w:r w:rsidR="004E52B4">
        <w:rPr>
          <w:rFonts w:asciiTheme="minorHAnsi" w:hAnsiTheme="minorHAnsi" w:cs="Arial"/>
          <w:snapToGrid w:val="0"/>
          <w:szCs w:val="20"/>
          <w:lang w:eastAsia="en-US"/>
        </w:rPr>
        <w:t>trifluridine/tipiracil for advanced bowel cancer, who experienced a number of toxicities but did not appear to derive direct clinical benefit from the drug combination.</w:t>
      </w:r>
      <w:r w:rsidR="004606B4">
        <w:rPr>
          <w:rFonts w:asciiTheme="minorHAnsi" w:hAnsiTheme="minorHAnsi" w:cs="Arial"/>
          <w:snapToGrid w:val="0"/>
          <w:szCs w:val="20"/>
          <w:lang w:eastAsia="en-US"/>
        </w:rPr>
        <w:t xml:space="preserve"> </w:t>
      </w:r>
    </w:p>
    <w:p w:rsidR="00B059AC" w:rsidRPr="00B059AC" w:rsidRDefault="00B059AC" w:rsidP="009F4426">
      <w:pPr>
        <w:widowControl w:val="0"/>
        <w:numPr>
          <w:ilvl w:val="1"/>
          <w:numId w:val="5"/>
        </w:numPr>
        <w:spacing w:after="120"/>
        <w:jc w:val="both"/>
        <w:rPr>
          <w:rFonts w:asciiTheme="minorHAnsi" w:hAnsiTheme="minorHAnsi" w:cs="Arial"/>
          <w:snapToGrid w:val="0"/>
          <w:szCs w:val="20"/>
          <w:lang w:eastAsia="en-US"/>
        </w:rPr>
      </w:pPr>
      <w:r w:rsidRPr="00B059AC">
        <w:rPr>
          <w:rFonts w:asciiTheme="minorHAnsi" w:hAnsiTheme="minorHAnsi" w:cs="Arial"/>
          <w:snapToGrid w:val="0"/>
          <w:szCs w:val="22"/>
          <w:lang w:eastAsia="en-US"/>
        </w:rPr>
        <w:t>The Medical Oncology Group of Australi</w:t>
      </w:r>
      <w:r w:rsidR="00910EB0">
        <w:rPr>
          <w:rFonts w:asciiTheme="minorHAnsi" w:hAnsiTheme="minorHAnsi" w:cs="Arial"/>
          <w:snapToGrid w:val="0"/>
          <w:szCs w:val="22"/>
          <w:lang w:eastAsia="en-US"/>
        </w:rPr>
        <w:t>a (MOGA) reiterated its</w:t>
      </w:r>
      <w:r w:rsidRPr="00B059AC">
        <w:rPr>
          <w:rFonts w:asciiTheme="minorHAnsi" w:hAnsiTheme="minorHAnsi" w:cs="Arial"/>
          <w:snapToGrid w:val="0"/>
          <w:szCs w:val="22"/>
          <w:lang w:eastAsia="en-US"/>
        </w:rPr>
        <w:t xml:space="preserve"> support for the trifluridine/tipiracil </w:t>
      </w:r>
      <w:r w:rsidR="00910EB0">
        <w:rPr>
          <w:rFonts w:asciiTheme="minorHAnsi" w:hAnsiTheme="minorHAnsi" w:cs="Arial"/>
          <w:snapToGrid w:val="0"/>
          <w:szCs w:val="22"/>
          <w:lang w:eastAsia="en-US"/>
        </w:rPr>
        <w:t xml:space="preserve">minor </w:t>
      </w:r>
      <w:r w:rsidRPr="00B059AC">
        <w:rPr>
          <w:rFonts w:asciiTheme="minorHAnsi" w:hAnsiTheme="minorHAnsi" w:cs="Arial"/>
          <w:snapToGrid w:val="0"/>
          <w:szCs w:val="22"/>
          <w:lang w:eastAsia="en-US"/>
        </w:rPr>
        <w:t>submission. It was noted that the indication for this item represents an area of unmet need after failure of standard prior therapies and trifluridine/tipiracil has a proven survival benefit in a phase 3 trial. The PBAC noted that the MOGA presented the European Society for Medical Oncology Magnitude of Clinical Benefit Scale (ESMO-MCBS) for trifluridine/tipiracil, which was limited to 2 (out of a maximum of 5, where 5 and 4 represent the grades with substantial improvement)</w:t>
      </w:r>
      <w:r w:rsidR="00910EB0">
        <w:rPr>
          <w:rStyle w:val="FootnoteReference"/>
          <w:rFonts w:asciiTheme="minorHAnsi" w:hAnsiTheme="minorHAnsi" w:cs="Arial"/>
          <w:snapToGrid w:val="0"/>
          <w:szCs w:val="22"/>
          <w:lang w:eastAsia="en-US"/>
        </w:rPr>
        <w:footnoteReference w:id="1"/>
      </w:r>
      <w:r w:rsidRPr="00B059AC">
        <w:rPr>
          <w:rFonts w:asciiTheme="minorHAnsi" w:hAnsiTheme="minorHAnsi" w:cs="Arial"/>
          <w:snapToGrid w:val="0"/>
          <w:szCs w:val="22"/>
          <w:lang w:eastAsia="en-US"/>
        </w:rPr>
        <w:t>, based on a comparison with placebo.</w:t>
      </w:r>
      <w:r>
        <w:rPr>
          <w:rFonts w:asciiTheme="minorHAnsi" w:hAnsiTheme="minorHAnsi" w:cs="Arial"/>
          <w:snapToGrid w:val="0"/>
          <w:szCs w:val="22"/>
          <w:lang w:eastAsia="en-US"/>
        </w:rPr>
        <w:t xml:space="preserve"> </w:t>
      </w:r>
    </w:p>
    <w:p w:rsidR="00D84934" w:rsidRPr="00937958" w:rsidRDefault="00D84934" w:rsidP="00937958">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Clinical trials</w:t>
      </w:r>
    </w:p>
    <w:p w:rsidR="0076420C" w:rsidRDefault="00AB2A0A"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As a minor submission, no </w:t>
      </w:r>
      <w:r w:rsidR="0076420C" w:rsidRPr="001B2BBC">
        <w:rPr>
          <w:rFonts w:asciiTheme="minorHAnsi" w:eastAsiaTheme="minorHAnsi" w:hAnsiTheme="minorHAnsi" w:cstheme="minorBidi"/>
          <w:snapToGrid/>
          <w:sz w:val="24"/>
          <w:szCs w:val="22"/>
        </w:rPr>
        <w:t xml:space="preserve">clinical trials </w:t>
      </w:r>
      <w:r w:rsidR="00FF2801" w:rsidRPr="001B2BBC">
        <w:rPr>
          <w:rFonts w:asciiTheme="minorHAnsi" w:eastAsiaTheme="minorHAnsi" w:hAnsiTheme="minorHAnsi" w:cstheme="minorBidi"/>
          <w:snapToGrid/>
          <w:sz w:val="24"/>
          <w:szCs w:val="22"/>
        </w:rPr>
        <w:t>were</w:t>
      </w:r>
      <w:r>
        <w:rPr>
          <w:rFonts w:asciiTheme="minorHAnsi" w:eastAsiaTheme="minorHAnsi" w:hAnsiTheme="minorHAnsi" w:cstheme="minorBidi"/>
          <w:snapToGrid/>
          <w:sz w:val="24"/>
          <w:szCs w:val="22"/>
        </w:rPr>
        <w:t xml:space="preserve"> presented in the re</w:t>
      </w:r>
      <w:r w:rsidR="0076420C" w:rsidRPr="001B2BBC">
        <w:rPr>
          <w:rFonts w:asciiTheme="minorHAnsi" w:eastAsiaTheme="minorHAnsi" w:hAnsiTheme="minorHAnsi" w:cstheme="minorBidi"/>
          <w:snapToGrid/>
          <w:sz w:val="24"/>
          <w:szCs w:val="22"/>
        </w:rPr>
        <w:t>submission.</w:t>
      </w:r>
    </w:p>
    <w:p w:rsidR="001A0DD3" w:rsidRPr="00937958" w:rsidRDefault="001A0DD3" w:rsidP="001A0DD3">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Comparative effectiveness</w:t>
      </w:r>
    </w:p>
    <w:p w:rsidR="001A0DD3" w:rsidRDefault="006E1BEE" w:rsidP="006E1BEE">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At its July 2017 meeting, t</w:t>
      </w:r>
      <w:r w:rsidRPr="006E1BEE">
        <w:rPr>
          <w:rFonts w:asciiTheme="minorHAnsi" w:eastAsiaTheme="minorHAnsi" w:hAnsiTheme="minorHAnsi" w:cstheme="minorBidi"/>
          <w:snapToGrid/>
          <w:sz w:val="24"/>
          <w:szCs w:val="22"/>
        </w:rPr>
        <w:t>he PBAC recalled that the median increase in PFS of 0.3 months (HR 0.49; CI: 0.42, 0.58) compared with best supportive care in the RECOURSE trial (n=800) was small and that the majority of patients (i.e. 53% of patients in the trifluridine/tipiracil treatment arm and 79% of patients in the best supportive care arm) had progressed by week 8. The PBAC also recalled that the median gain in OS was 2.0 months (HR 0.69; CI: 0.59, 0.81) in the RECOURSE trial was modest, and that a substantial proportion of the estimated gain in overall survival was in the post-progression state associated with poorer quality of life. The PBAC also recalled that the results of the J003 trial (n=169) were similar to those of the RECOURSE trial.</w:t>
      </w:r>
    </w:p>
    <w:p w:rsidR="00FA3A6E" w:rsidRPr="00FA3A6E" w:rsidRDefault="00FA3A6E" w:rsidP="00FA3A6E">
      <w:pPr>
        <w:pStyle w:val="ListParagraph"/>
        <w:numPr>
          <w:ilvl w:val="1"/>
          <w:numId w:val="14"/>
        </w:numPr>
        <w:rPr>
          <w:rFonts w:asciiTheme="minorHAnsi" w:eastAsiaTheme="minorHAnsi" w:hAnsiTheme="minorHAnsi" w:cstheme="minorBidi"/>
          <w:snapToGrid/>
          <w:sz w:val="24"/>
          <w:szCs w:val="22"/>
        </w:rPr>
      </w:pPr>
      <w:r w:rsidRPr="00FA3A6E">
        <w:rPr>
          <w:rFonts w:asciiTheme="minorHAnsi" w:eastAsiaTheme="minorHAnsi" w:hAnsiTheme="minorHAnsi" w:cstheme="minorBidi"/>
          <w:snapToGrid/>
          <w:sz w:val="24"/>
          <w:szCs w:val="22"/>
        </w:rPr>
        <w:t>The PBAC previously considered that the mean increase in OS is informative because at the end of the trial follow-up period most patients had died (87% of patients randomised to trifluridine/tipiracil and 94% of patients randomised to placebo) and hence the survival data were near complete (paragraph 7.5</w:t>
      </w:r>
      <w:r w:rsidR="006E0953">
        <w:rPr>
          <w:rFonts w:asciiTheme="minorHAnsi" w:eastAsiaTheme="minorHAnsi" w:hAnsiTheme="minorHAnsi" w:cstheme="minorBidi"/>
          <w:snapToGrid/>
          <w:sz w:val="24"/>
          <w:szCs w:val="22"/>
        </w:rPr>
        <w:t>,</w:t>
      </w:r>
      <w:r w:rsidRPr="00FA3A6E">
        <w:rPr>
          <w:rFonts w:asciiTheme="minorHAnsi" w:eastAsiaTheme="minorHAnsi" w:hAnsiTheme="minorHAnsi" w:cstheme="minorBidi"/>
          <w:snapToGrid/>
          <w:sz w:val="24"/>
          <w:szCs w:val="22"/>
        </w:rPr>
        <w:t xml:space="preserve"> November 2016 </w:t>
      </w:r>
      <w:r w:rsidR="00A75F3B">
        <w:rPr>
          <w:rFonts w:asciiTheme="minorHAnsi" w:eastAsiaTheme="minorHAnsi" w:hAnsiTheme="minorHAnsi" w:cstheme="minorBidi"/>
          <w:snapToGrid/>
          <w:sz w:val="24"/>
          <w:szCs w:val="22"/>
        </w:rPr>
        <w:t>Public Summary Document</w:t>
      </w:r>
      <w:r w:rsidRPr="00FA3A6E">
        <w:rPr>
          <w:rFonts w:asciiTheme="minorHAnsi" w:eastAsiaTheme="minorHAnsi" w:hAnsiTheme="minorHAnsi" w:cstheme="minorBidi"/>
          <w:snapToGrid/>
          <w:sz w:val="24"/>
          <w:szCs w:val="22"/>
        </w:rPr>
        <w:t xml:space="preserve">). </w:t>
      </w:r>
    </w:p>
    <w:p w:rsidR="006E1BEE" w:rsidRDefault="00886354" w:rsidP="00263422">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w:t>
      </w:r>
      <w:r w:rsidR="003A151B">
        <w:rPr>
          <w:rFonts w:asciiTheme="minorHAnsi" w:eastAsiaTheme="minorHAnsi" w:hAnsiTheme="minorHAnsi" w:cstheme="minorBidi"/>
          <w:snapToGrid/>
          <w:sz w:val="24"/>
          <w:szCs w:val="22"/>
        </w:rPr>
        <w:t>minor re</w:t>
      </w:r>
      <w:r>
        <w:rPr>
          <w:rFonts w:asciiTheme="minorHAnsi" w:eastAsiaTheme="minorHAnsi" w:hAnsiTheme="minorHAnsi" w:cstheme="minorBidi"/>
          <w:snapToGrid/>
          <w:sz w:val="24"/>
          <w:szCs w:val="22"/>
        </w:rPr>
        <w:t>submission</w:t>
      </w:r>
      <w:r w:rsidR="003A151B">
        <w:rPr>
          <w:rFonts w:asciiTheme="minorHAnsi" w:eastAsiaTheme="minorHAnsi" w:hAnsiTheme="minorHAnsi" w:cstheme="minorBidi"/>
          <w:snapToGrid/>
          <w:sz w:val="24"/>
          <w:szCs w:val="22"/>
        </w:rPr>
        <w:t xml:space="preserve"> (p9-10)</w:t>
      </w:r>
      <w:r>
        <w:rPr>
          <w:rFonts w:asciiTheme="minorHAnsi" w:eastAsiaTheme="minorHAnsi" w:hAnsiTheme="minorHAnsi" w:cstheme="minorBidi"/>
          <w:snapToGrid/>
          <w:sz w:val="24"/>
          <w:szCs w:val="22"/>
        </w:rPr>
        <w:t xml:space="preserve"> argued that </w:t>
      </w:r>
      <w:r w:rsidR="003A151B">
        <w:rPr>
          <w:rFonts w:asciiTheme="minorHAnsi" w:eastAsiaTheme="minorHAnsi" w:hAnsiTheme="minorHAnsi" w:cstheme="minorBidi"/>
          <w:snapToGrid/>
          <w:sz w:val="24"/>
          <w:szCs w:val="22"/>
        </w:rPr>
        <w:t xml:space="preserve">differences in </w:t>
      </w:r>
      <w:r>
        <w:rPr>
          <w:rFonts w:asciiTheme="minorHAnsi" w:eastAsiaTheme="minorHAnsi" w:hAnsiTheme="minorHAnsi" w:cstheme="minorBidi"/>
          <w:snapToGrid/>
          <w:sz w:val="24"/>
          <w:szCs w:val="22"/>
        </w:rPr>
        <w:t>mean PFS and mean OS are more relevant to consider in relation to the magnitude of benefit associated with</w:t>
      </w:r>
      <w:r w:rsidR="00CA1A05">
        <w:rPr>
          <w:rFonts w:asciiTheme="minorHAnsi" w:eastAsiaTheme="minorHAnsi" w:hAnsiTheme="minorHAnsi" w:cstheme="minorBidi"/>
          <w:snapToGrid/>
          <w:sz w:val="24"/>
          <w:szCs w:val="22"/>
        </w:rPr>
        <w:t xml:space="preserve"> trifluridine/tipiracil compared with placebo</w:t>
      </w:r>
      <w:r w:rsidR="003A151B">
        <w:rPr>
          <w:rFonts w:asciiTheme="minorHAnsi" w:eastAsiaTheme="minorHAnsi" w:hAnsiTheme="minorHAnsi" w:cstheme="minorBidi"/>
          <w:snapToGrid/>
          <w:sz w:val="24"/>
          <w:szCs w:val="22"/>
        </w:rPr>
        <w:t>, rather than the median, which is a single point on the Kaplan-Meier curve</w:t>
      </w:r>
      <w:r w:rsidR="00CA1A05">
        <w:rPr>
          <w:rFonts w:asciiTheme="minorHAnsi" w:eastAsiaTheme="minorHAnsi" w:hAnsiTheme="minorHAnsi" w:cstheme="minorBidi"/>
          <w:snapToGrid/>
          <w:sz w:val="24"/>
          <w:szCs w:val="22"/>
        </w:rPr>
        <w:t xml:space="preserve">. </w:t>
      </w:r>
      <w:r w:rsidR="003A151B">
        <w:rPr>
          <w:rFonts w:asciiTheme="minorHAnsi" w:eastAsiaTheme="minorHAnsi" w:hAnsiTheme="minorHAnsi" w:cstheme="minorBidi"/>
          <w:snapToGrid/>
          <w:sz w:val="24"/>
          <w:szCs w:val="22"/>
        </w:rPr>
        <w:t>Based on means, t</w:t>
      </w:r>
      <w:r w:rsidR="00CA1A05">
        <w:rPr>
          <w:rFonts w:asciiTheme="minorHAnsi" w:eastAsiaTheme="minorHAnsi" w:hAnsiTheme="minorHAnsi" w:cstheme="minorBidi"/>
          <w:snapToGrid/>
          <w:sz w:val="24"/>
          <w:szCs w:val="22"/>
        </w:rPr>
        <w:t xml:space="preserve">he </w:t>
      </w:r>
      <w:r w:rsidR="003A151B">
        <w:rPr>
          <w:rFonts w:asciiTheme="minorHAnsi" w:eastAsiaTheme="minorHAnsi" w:hAnsiTheme="minorHAnsi" w:cstheme="minorBidi"/>
          <w:snapToGrid/>
          <w:sz w:val="24"/>
          <w:szCs w:val="22"/>
        </w:rPr>
        <w:t>minor re</w:t>
      </w:r>
      <w:r w:rsidR="00CA1A05">
        <w:rPr>
          <w:rFonts w:asciiTheme="minorHAnsi" w:eastAsiaTheme="minorHAnsi" w:hAnsiTheme="minorHAnsi" w:cstheme="minorBidi"/>
          <w:snapToGrid/>
          <w:sz w:val="24"/>
          <w:szCs w:val="22"/>
        </w:rPr>
        <w:t xml:space="preserve">submission </w:t>
      </w:r>
      <w:r w:rsidR="003A151B">
        <w:rPr>
          <w:rFonts w:asciiTheme="minorHAnsi" w:eastAsiaTheme="minorHAnsi" w:hAnsiTheme="minorHAnsi" w:cstheme="minorBidi"/>
          <w:snapToGrid/>
          <w:sz w:val="24"/>
          <w:szCs w:val="22"/>
        </w:rPr>
        <w:t>argued that the majority of survival gain in the trials was in the progression free health state (with</w:t>
      </w:r>
      <w:r w:rsidR="00CA1A05">
        <w:rPr>
          <w:rFonts w:asciiTheme="minorHAnsi" w:eastAsiaTheme="minorHAnsi" w:hAnsiTheme="minorHAnsi" w:cstheme="minorBidi"/>
          <w:snapToGrid/>
          <w:sz w:val="24"/>
          <w:szCs w:val="22"/>
        </w:rPr>
        <w:t xml:space="preserve"> </w:t>
      </w:r>
      <w:r w:rsidR="00A806D4" w:rsidRPr="00263422">
        <w:rPr>
          <w:rFonts w:asciiTheme="minorHAnsi" w:eastAsiaTheme="minorHAnsi" w:hAnsiTheme="minorHAnsi" w:cstheme="minorBidi"/>
          <w:snapToGrid/>
          <w:sz w:val="24"/>
          <w:szCs w:val="22"/>
        </w:rPr>
        <w:t xml:space="preserve">1.8 months </w:t>
      </w:r>
      <w:r w:rsidR="003A151B">
        <w:rPr>
          <w:rFonts w:asciiTheme="minorHAnsi" w:eastAsiaTheme="minorHAnsi" w:hAnsiTheme="minorHAnsi" w:cstheme="minorBidi"/>
          <w:snapToGrid/>
          <w:sz w:val="24"/>
          <w:szCs w:val="22"/>
        </w:rPr>
        <w:t>[</w:t>
      </w:r>
      <w:r w:rsidR="00A806D4" w:rsidRPr="00263422">
        <w:rPr>
          <w:rFonts w:asciiTheme="minorHAnsi" w:eastAsiaTheme="minorHAnsi" w:hAnsiTheme="minorHAnsi" w:cstheme="minorBidi"/>
          <w:snapToGrid/>
          <w:sz w:val="24"/>
          <w:szCs w:val="22"/>
        </w:rPr>
        <w:t>70%</w:t>
      </w:r>
      <w:r w:rsidR="003A151B">
        <w:rPr>
          <w:rFonts w:asciiTheme="minorHAnsi" w:eastAsiaTheme="minorHAnsi" w:hAnsiTheme="minorHAnsi" w:cstheme="minorBidi"/>
          <w:snapToGrid/>
          <w:sz w:val="24"/>
          <w:szCs w:val="22"/>
        </w:rPr>
        <w:t>]</w:t>
      </w:r>
      <w:r w:rsidR="00A806D4" w:rsidRPr="00263422">
        <w:rPr>
          <w:rFonts w:asciiTheme="minorHAnsi" w:eastAsiaTheme="minorHAnsi" w:hAnsiTheme="minorHAnsi" w:cstheme="minorBidi"/>
          <w:snapToGrid/>
          <w:sz w:val="24"/>
          <w:szCs w:val="22"/>
        </w:rPr>
        <w:t xml:space="preserve"> of the</w:t>
      </w:r>
      <w:r w:rsidR="003A151B">
        <w:rPr>
          <w:rFonts w:asciiTheme="minorHAnsi" w:eastAsiaTheme="minorHAnsi" w:hAnsiTheme="minorHAnsi" w:cstheme="minorBidi"/>
          <w:snapToGrid/>
          <w:sz w:val="24"/>
          <w:szCs w:val="22"/>
        </w:rPr>
        <w:t xml:space="preserve"> </w:t>
      </w:r>
      <w:r w:rsidR="00A806D4" w:rsidRPr="00263422">
        <w:rPr>
          <w:rFonts w:asciiTheme="minorHAnsi" w:eastAsiaTheme="minorHAnsi" w:hAnsiTheme="minorHAnsi" w:cstheme="minorBidi"/>
          <w:snapToGrid/>
          <w:sz w:val="24"/>
          <w:szCs w:val="22"/>
        </w:rPr>
        <w:t>2.6 month gain in OS (pooled RECOURSE and J003 OS survival gain) in the progression-free health state</w:t>
      </w:r>
      <w:r w:rsidR="003A151B">
        <w:rPr>
          <w:rFonts w:asciiTheme="minorHAnsi" w:eastAsiaTheme="minorHAnsi" w:hAnsiTheme="minorHAnsi" w:cstheme="minorBidi"/>
          <w:snapToGrid/>
          <w:sz w:val="24"/>
          <w:szCs w:val="22"/>
        </w:rPr>
        <w:t>)</w:t>
      </w:r>
      <w:r w:rsidR="00A806D4" w:rsidRPr="00263422">
        <w:rPr>
          <w:rFonts w:asciiTheme="minorHAnsi" w:eastAsiaTheme="minorHAnsi" w:hAnsiTheme="minorHAnsi" w:cstheme="minorBidi"/>
          <w:snapToGrid/>
          <w:sz w:val="24"/>
          <w:szCs w:val="22"/>
        </w:rPr>
        <w:t>.</w:t>
      </w:r>
      <w:r w:rsidR="00C91362">
        <w:rPr>
          <w:rFonts w:asciiTheme="minorHAnsi" w:eastAsiaTheme="minorHAnsi" w:hAnsiTheme="minorHAnsi" w:cstheme="minorBidi"/>
          <w:snapToGrid/>
          <w:sz w:val="24"/>
          <w:szCs w:val="22"/>
        </w:rPr>
        <w:t xml:space="preserve"> </w:t>
      </w:r>
    </w:p>
    <w:p w:rsidR="00803CEC" w:rsidRPr="00937958" w:rsidRDefault="00803CEC" w:rsidP="00803CEC">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 xml:space="preserve">Special pricing arrangement </w:t>
      </w:r>
    </w:p>
    <w:p w:rsidR="00B14964" w:rsidRDefault="000268DE" w:rsidP="00B14964">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submission proposed a special pricing arrangement (SPA) where the sponsor would rebate the Commonwealth </w:t>
      </w:r>
      <w:r w:rsidR="00D161DB">
        <w:rPr>
          <w:rFonts w:asciiTheme="minorHAnsi" w:eastAsiaTheme="minorHAnsi" w:hAnsiTheme="minorHAnsi" w:cstheme="minorBidi"/>
          <w:noProof/>
          <w:snapToGrid/>
          <w:color w:val="000000"/>
          <w:sz w:val="24"/>
          <w:szCs w:val="22"/>
          <w:highlight w:val="black"/>
        </w:rPr>
        <w:t>'''''''''</w:t>
      </w:r>
      <w:r w:rsidR="00DF30F5">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 xml:space="preserve">of the published </w:t>
      </w:r>
      <w:r w:rsidR="00065C0C">
        <w:rPr>
          <w:rFonts w:asciiTheme="minorHAnsi" w:eastAsiaTheme="minorHAnsi" w:hAnsiTheme="minorHAnsi" w:cstheme="minorBidi"/>
          <w:snapToGrid/>
          <w:sz w:val="24"/>
          <w:szCs w:val="22"/>
        </w:rPr>
        <w:t>dispensed price for maximum quantity (</w:t>
      </w:r>
      <w:r>
        <w:rPr>
          <w:rFonts w:asciiTheme="minorHAnsi" w:eastAsiaTheme="minorHAnsi" w:hAnsiTheme="minorHAnsi" w:cstheme="minorBidi"/>
          <w:snapToGrid/>
          <w:sz w:val="24"/>
          <w:szCs w:val="22"/>
        </w:rPr>
        <w:t>DPMQ</w:t>
      </w:r>
      <w:r w:rsidR="00065C0C">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w:t>
      </w:r>
      <w:r w:rsidR="00DF30F5">
        <w:rPr>
          <w:rFonts w:asciiTheme="minorHAnsi" w:eastAsiaTheme="minorHAnsi" w:hAnsiTheme="minorHAnsi" w:cstheme="minorBidi"/>
          <w:snapToGrid/>
          <w:sz w:val="24"/>
          <w:szCs w:val="22"/>
        </w:rPr>
        <w:t xml:space="preserve"> The submission noted that while the proposed rebate was less than the </w:t>
      </w:r>
      <w:r w:rsidR="00D161DB">
        <w:rPr>
          <w:rFonts w:asciiTheme="minorHAnsi" w:eastAsiaTheme="minorHAnsi" w:hAnsiTheme="minorHAnsi" w:cstheme="minorBidi"/>
          <w:noProof/>
          <w:snapToGrid/>
          <w:color w:val="000000"/>
          <w:sz w:val="24"/>
          <w:szCs w:val="22"/>
          <w:highlight w:val="black"/>
        </w:rPr>
        <w:t>''''''''</w:t>
      </w:r>
      <w:r w:rsidR="00DF30F5">
        <w:rPr>
          <w:rFonts w:asciiTheme="minorHAnsi" w:eastAsiaTheme="minorHAnsi" w:hAnsiTheme="minorHAnsi" w:cstheme="minorBidi"/>
          <w:snapToGrid/>
          <w:sz w:val="24"/>
          <w:szCs w:val="22"/>
        </w:rPr>
        <w:t xml:space="preserve">% rebate proposed in the July 2017 submission, a </w:t>
      </w:r>
      <w:r w:rsidR="00D161DB">
        <w:rPr>
          <w:rFonts w:asciiTheme="minorHAnsi" w:eastAsiaTheme="minorHAnsi" w:hAnsiTheme="minorHAnsi" w:cstheme="minorBidi"/>
          <w:noProof/>
          <w:snapToGrid/>
          <w:color w:val="000000"/>
          <w:sz w:val="24"/>
          <w:szCs w:val="22"/>
          <w:highlight w:val="black"/>
        </w:rPr>
        <w:t>''''''''</w:t>
      </w:r>
      <w:r w:rsidR="00DF30F5">
        <w:rPr>
          <w:rFonts w:asciiTheme="minorHAnsi" w:eastAsiaTheme="minorHAnsi" w:hAnsiTheme="minorHAnsi" w:cstheme="minorBidi"/>
          <w:snapToGrid/>
          <w:sz w:val="24"/>
          <w:szCs w:val="22"/>
        </w:rPr>
        <w:t xml:space="preserve">% reduction in the published </w:t>
      </w:r>
      <w:r w:rsidR="00065C0C">
        <w:rPr>
          <w:rFonts w:asciiTheme="minorHAnsi" w:eastAsiaTheme="minorHAnsi" w:hAnsiTheme="minorHAnsi" w:cstheme="minorBidi"/>
          <w:snapToGrid/>
          <w:sz w:val="24"/>
          <w:szCs w:val="22"/>
        </w:rPr>
        <w:t>approved ex-manufacturer price (</w:t>
      </w:r>
      <w:r w:rsidR="00DF30F5">
        <w:rPr>
          <w:rFonts w:asciiTheme="minorHAnsi" w:eastAsiaTheme="minorHAnsi" w:hAnsiTheme="minorHAnsi" w:cstheme="minorBidi"/>
          <w:snapToGrid/>
          <w:sz w:val="24"/>
          <w:szCs w:val="22"/>
        </w:rPr>
        <w:t>AEMP</w:t>
      </w:r>
      <w:r w:rsidR="00065C0C">
        <w:rPr>
          <w:rFonts w:asciiTheme="minorHAnsi" w:eastAsiaTheme="minorHAnsi" w:hAnsiTheme="minorHAnsi" w:cstheme="minorBidi"/>
          <w:snapToGrid/>
          <w:sz w:val="24"/>
          <w:szCs w:val="22"/>
        </w:rPr>
        <w:t>)</w:t>
      </w:r>
      <w:r w:rsidR="00DF30F5">
        <w:rPr>
          <w:rFonts w:asciiTheme="minorHAnsi" w:eastAsiaTheme="minorHAnsi" w:hAnsiTheme="minorHAnsi" w:cstheme="minorBidi"/>
          <w:snapToGrid/>
          <w:sz w:val="24"/>
          <w:szCs w:val="22"/>
        </w:rPr>
        <w:t xml:space="preserve"> is also proposed. </w:t>
      </w:r>
      <w:r w:rsidR="0038718F">
        <w:rPr>
          <w:rFonts w:asciiTheme="minorHAnsi" w:eastAsiaTheme="minorHAnsi" w:hAnsiTheme="minorHAnsi" w:cstheme="minorBidi"/>
          <w:snapToGrid/>
          <w:sz w:val="24"/>
          <w:szCs w:val="22"/>
        </w:rPr>
        <w:t>A summary of the special pricing arrangement</w:t>
      </w:r>
      <w:r w:rsidR="00D33416">
        <w:rPr>
          <w:rFonts w:asciiTheme="minorHAnsi" w:eastAsiaTheme="minorHAnsi" w:hAnsiTheme="minorHAnsi" w:cstheme="minorBidi"/>
          <w:snapToGrid/>
          <w:sz w:val="24"/>
          <w:szCs w:val="22"/>
        </w:rPr>
        <w:t>s</w:t>
      </w:r>
      <w:r w:rsidR="0038718F">
        <w:rPr>
          <w:rFonts w:asciiTheme="minorHAnsi" w:eastAsiaTheme="minorHAnsi" w:hAnsiTheme="minorHAnsi" w:cstheme="minorBidi"/>
          <w:snapToGrid/>
          <w:sz w:val="24"/>
          <w:szCs w:val="22"/>
        </w:rPr>
        <w:t xml:space="preserve"> proposed in the July 2017 and current submission are presented below in Table 1.</w:t>
      </w:r>
      <w:r w:rsidR="00C91362">
        <w:rPr>
          <w:rFonts w:asciiTheme="minorHAnsi" w:eastAsiaTheme="minorHAnsi" w:hAnsiTheme="minorHAnsi" w:cstheme="minorBidi"/>
          <w:snapToGrid/>
          <w:sz w:val="24"/>
          <w:szCs w:val="22"/>
        </w:rPr>
        <w:t xml:space="preserve"> </w:t>
      </w:r>
    </w:p>
    <w:p w:rsidR="00D33416" w:rsidRPr="00D33416" w:rsidRDefault="00D33416" w:rsidP="00B14964">
      <w:pPr>
        <w:rPr>
          <w:rFonts w:ascii="Arial Narrow" w:eastAsiaTheme="minorHAnsi" w:hAnsi="Arial Narrow"/>
          <w:b/>
          <w:sz w:val="20"/>
        </w:rPr>
      </w:pPr>
      <w:r>
        <w:rPr>
          <w:rFonts w:ascii="Arial Narrow" w:eastAsiaTheme="minorHAnsi" w:hAnsi="Arial Narrow"/>
          <w:b/>
          <w:sz w:val="20"/>
        </w:rPr>
        <w:t xml:space="preserve">Table 1: Summary of July 2017 and November 2017 special pricing arrangements </w:t>
      </w:r>
    </w:p>
    <w:tbl>
      <w:tblPr>
        <w:tblStyle w:val="TableGrid"/>
        <w:tblW w:w="5000" w:type="pct"/>
        <w:tblLook w:val="04A0" w:firstRow="1" w:lastRow="0" w:firstColumn="1" w:lastColumn="0" w:noHBand="0" w:noVBand="1"/>
        <w:tblCaption w:val="Table 1: Summary of July 2017 and November 2017 special pricing arrangements "/>
      </w:tblPr>
      <w:tblGrid>
        <w:gridCol w:w="2760"/>
        <w:gridCol w:w="1192"/>
        <w:gridCol w:w="1148"/>
        <w:gridCol w:w="1205"/>
        <w:gridCol w:w="1161"/>
        <w:gridCol w:w="1776"/>
      </w:tblGrid>
      <w:tr w:rsidR="00CA2D8E" w:rsidRPr="00B14964" w:rsidTr="00A67415">
        <w:trPr>
          <w:tblHeader/>
        </w:trPr>
        <w:tc>
          <w:tcPr>
            <w:tcW w:w="1493" w:type="pct"/>
          </w:tcPr>
          <w:p w:rsidR="00CA2D8E" w:rsidRPr="00B14964" w:rsidRDefault="00CA2D8E" w:rsidP="00B14964">
            <w:pPr>
              <w:pStyle w:val="ListParagraph"/>
              <w:widowControl/>
              <w:spacing w:before="40" w:after="40"/>
              <w:ind w:left="0"/>
              <w:contextualSpacing w:val="0"/>
              <w:rPr>
                <w:rFonts w:ascii="Arial Narrow" w:eastAsiaTheme="minorHAnsi" w:hAnsi="Arial Narrow" w:cstheme="minorBidi"/>
                <w:snapToGrid/>
                <w:sz w:val="20"/>
              </w:rPr>
            </w:pPr>
            <w:r w:rsidRPr="00B14964">
              <w:rPr>
                <w:rFonts w:ascii="Arial Narrow" w:eastAsiaTheme="minorHAnsi" w:hAnsi="Arial Narrow" w:cstheme="minorBidi"/>
                <w:snapToGrid/>
                <w:sz w:val="20"/>
              </w:rPr>
              <w:t>Presentation</w:t>
            </w:r>
          </w:p>
        </w:tc>
        <w:tc>
          <w:tcPr>
            <w:tcW w:w="645" w:type="pct"/>
          </w:tcPr>
          <w:p w:rsidR="00CA2D8E" w:rsidRPr="00B14964" w:rsidRDefault="00CA2D8E" w:rsidP="00B14964">
            <w:pPr>
              <w:pStyle w:val="ListParagraph"/>
              <w:widowControl/>
              <w:spacing w:before="40" w:after="40"/>
              <w:ind w:left="0"/>
              <w:contextualSpacing w:val="0"/>
              <w:rPr>
                <w:rFonts w:ascii="Arial Narrow" w:eastAsiaTheme="minorHAnsi" w:hAnsi="Arial Narrow" w:cstheme="minorBidi"/>
                <w:snapToGrid/>
                <w:sz w:val="20"/>
              </w:rPr>
            </w:pPr>
            <w:r w:rsidRPr="00B14964">
              <w:rPr>
                <w:rFonts w:ascii="Arial Narrow" w:eastAsiaTheme="minorHAnsi" w:hAnsi="Arial Narrow" w:cstheme="minorBidi"/>
                <w:snapToGrid/>
                <w:sz w:val="20"/>
              </w:rPr>
              <w:t>Published AEMP</w:t>
            </w:r>
          </w:p>
        </w:tc>
        <w:tc>
          <w:tcPr>
            <w:tcW w:w="621" w:type="pct"/>
          </w:tcPr>
          <w:p w:rsidR="00CA2D8E" w:rsidRPr="00B14964" w:rsidRDefault="00CA2D8E" w:rsidP="00B14964">
            <w:pPr>
              <w:pStyle w:val="ListParagraph"/>
              <w:widowControl/>
              <w:spacing w:before="40" w:after="40"/>
              <w:ind w:left="0"/>
              <w:contextualSpacing w:val="0"/>
              <w:rPr>
                <w:rFonts w:ascii="Arial Narrow" w:eastAsiaTheme="minorHAnsi" w:hAnsi="Arial Narrow" w:cstheme="minorBidi"/>
                <w:snapToGrid/>
                <w:sz w:val="20"/>
              </w:rPr>
            </w:pPr>
            <w:r w:rsidRPr="00B14964">
              <w:rPr>
                <w:rFonts w:ascii="Arial Narrow" w:eastAsiaTheme="minorHAnsi" w:hAnsi="Arial Narrow" w:cstheme="minorBidi"/>
                <w:snapToGrid/>
                <w:sz w:val="20"/>
              </w:rPr>
              <w:t>Effective AEMP</w:t>
            </w:r>
          </w:p>
        </w:tc>
        <w:tc>
          <w:tcPr>
            <w:tcW w:w="652" w:type="pct"/>
          </w:tcPr>
          <w:p w:rsidR="00CA2D8E" w:rsidRPr="00B14964" w:rsidRDefault="00CA2D8E" w:rsidP="00B14964">
            <w:pPr>
              <w:pStyle w:val="ListParagraph"/>
              <w:widowControl/>
              <w:spacing w:before="40" w:after="40"/>
              <w:ind w:left="0"/>
              <w:contextualSpacing w:val="0"/>
              <w:rPr>
                <w:rFonts w:ascii="Arial Narrow" w:eastAsiaTheme="minorHAnsi" w:hAnsi="Arial Narrow" w:cstheme="minorBidi"/>
                <w:snapToGrid/>
                <w:sz w:val="20"/>
              </w:rPr>
            </w:pPr>
            <w:r w:rsidRPr="00B14964">
              <w:rPr>
                <w:rFonts w:ascii="Arial Narrow" w:eastAsiaTheme="minorHAnsi" w:hAnsi="Arial Narrow" w:cstheme="minorBidi"/>
                <w:snapToGrid/>
                <w:sz w:val="20"/>
              </w:rPr>
              <w:t>Published DPMQ</w:t>
            </w:r>
          </w:p>
        </w:tc>
        <w:tc>
          <w:tcPr>
            <w:tcW w:w="628" w:type="pct"/>
          </w:tcPr>
          <w:p w:rsidR="00CA2D8E" w:rsidRPr="00B14964" w:rsidRDefault="00CA2D8E" w:rsidP="00B14964">
            <w:pPr>
              <w:pStyle w:val="ListParagraph"/>
              <w:widowControl/>
              <w:spacing w:before="40" w:after="40"/>
              <w:ind w:left="0"/>
              <w:contextualSpacing w:val="0"/>
              <w:rPr>
                <w:rFonts w:ascii="Arial Narrow" w:eastAsiaTheme="minorHAnsi" w:hAnsi="Arial Narrow" w:cstheme="minorBidi"/>
                <w:snapToGrid/>
                <w:sz w:val="20"/>
              </w:rPr>
            </w:pPr>
            <w:r w:rsidRPr="00B14964">
              <w:rPr>
                <w:rFonts w:ascii="Arial Narrow" w:eastAsiaTheme="minorHAnsi" w:hAnsi="Arial Narrow" w:cstheme="minorBidi"/>
                <w:snapToGrid/>
                <w:sz w:val="20"/>
              </w:rPr>
              <w:t>Effective DPMQ</w:t>
            </w:r>
          </w:p>
        </w:tc>
        <w:tc>
          <w:tcPr>
            <w:tcW w:w="962" w:type="pct"/>
          </w:tcPr>
          <w:p w:rsidR="00CA2D8E" w:rsidRPr="00B14964" w:rsidRDefault="00CA2D8E" w:rsidP="00B14964">
            <w:pPr>
              <w:pStyle w:val="ListParagraph"/>
              <w:widowControl/>
              <w:spacing w:before="40" w:after="40"/>
              <w:ind w:left="0"/>
              <w:contextualSpacing w:val="0"/>
              <w:rPr>
                <w:rFonts w:ascii="Arial Narrow" w:eastAsiaTheme="minorHAnsi" w:hAnsi="Arial Narrow" w:cstheme="minorBidi"/>
                <w:snapToGrid/>
                <w:sz w:val="20"/>
              </w:rPr>
            </w:pPr>
            <w:r>
              <w:rPr>
                <w:rFonts w:ascii="Arial Narrow" w:eastAsiaTheme="minorHAnsi" w:hAnsi="Arial Narrow" w:cstheme="minorBidi"/>
                <w:snapToGrid/>
                <w:sz w:val="20"/>
              </w:rPr>
              <w:t>% Rebate</w:t>
            </w:r>
            <w:r w:rsidR="004F25E9">
              <w:rPr>
                <w:rFonts w:ascii="Arial Narrow" w:eastAsiaTheme="minorHAnsi" w:hAnsi="Arial Narrow" w:cstheme="minorBidi"/>
                <w:snapToGrid/>
                <w:sz w:val="20"/>
              </w:rPr>
              <w:t xml:space="preserve"> on DPMQ (published)</w:t>
            </w:r>
          </w:p>
        </w:tc>
      </w:tr>
      <w:tr w:rsidR="00CA2D8E" w:rsidRPr="00B14964" w:rsidTr="00775407">
        <w:tc>
          <w:tcPr>
            <w:tcW w:w="5000" w:type="pct"/>
            <w:gridSpan w:val="6"/>
          </w:tcPr>
          <w:p w:rsidR="00CA2D8E" w:rsidRPr="00775407" w:rsidRDefault="00CA2D8E" w:rsidP="00B14964">
            <w:pPr>
              <w:pStyle w:val="ListParagraph"/>
              <w:widowControl/>
              <w:spacing w:before="40" w:after="40"/>
              <w:ind w:left="0"/>
              <w:contextualSpacing w:val="0"/>
              <w:rPr>
                <w:rFonts w:ascii="Arial Narrow" w:eastAsiaTheme="minorHAnsi" w:hAnsi="Arial Narrow" w:cstheme="minorBidi"/>
                <w:b/>
                <w:snapToGrid/>
                <w:sz w:val="20"/>
              </w:rPr>
            </w:pPr>
            <w:r w:rsidRPr="00775407">
              <w:rPr>
                <w:rFonts w:ascii="Arial Narrow" w:eastAsiaTheme="minorHAnsi" w:hAnsi="Arial Narrow" w:cstheme="minorBidi"/>
                <w:b/>
                <w:snapToGrid/>
                <w:sz w:val="20"/>
              </w:rPr>
              <w:t xml:space="preserve">July 2017 Submission </w:t>
            </w:r>
          </w:p>
        </w:tc>
      </w:tr>
      <w:tr w:rsidR="004F25E9" w:rsidRPr="00B14964" w:rsidTr="00775407">
        <w:trPr>
          <w:trHeight w:val="454"/>
        </w:trPr>
        <w:tc>
          <w:tcPr>
            <w:tcW w:w="1493" w:type="pct"/>
            <w:vAlign w:val="center"/>
          </w:tcPr>
          <w:p w:rsidR="004F25E9" w:rsidRPr="00B14964" w:rsidRDefault="004F25E9" w:rsidP="005601EE">
            <w:pPr>
              <w:keepNext/>
              <w:spacing w:before="40" w:after="40"/>
              <w:rPr>
                <w:rFonts w:ascii="Arial Narrow" w:hAnsi="Arial Narrow" w:cs="Arial"/>
                <w:sz w:val="20"/>
                <w:szCs w:val="20"/>
              </w:rPr>
            </w:pPr>
            <w:r w:rsidRPr="00B14964">
              <w:rPr>
                <w:rFonts w:ascii="Arial Narrow" w:hAnsi="Arial Narrow" w:cs="Arial"/>
                <w:sz w:val="20"/>
                <w:szCs w:val="20"/>
              </w:rPr>
              <w:t>Trifluridine 15 mg + tipiracil 6.14 mg tablet, 20</w:t>
            </w:r>
            <w:r>
              <w:rPr>
                <w:rFonts w:ascii="Arial Narrow" w:hAnsi="Arial Narrow" w:cs="Arial"/>
                <w:sz w:val="20"/>
                <w:szCs w:val="20"/>
              </w:rPr>
              <w:t xml:space="preserve"> (Max Qty 3)</w:t>
            </w:r>
          </w:p>
        </w:tc>
        <w:tc>
          <w:tcPr>
            <w:tcW w:w="645" w:type="pct"/>
          </w:tcPr>
          <w:p w:rsidR="004F25E9" w:rsidRPr="00D161DB" w:rsidRDefault="00D161DB" w:rsidP="00B14964">
            <w:pPr>
              <w:keepNext/>
              <w:spacing w:before="40" w:after="40" w:line="264" w:lineRule="auto"/>
              <w:rPr>
                <w:rFonts w:ascii="Arial Narrow" w:hAnsi="Arial Narrow" w:cs="Arial Narrow"/>
                <w:sz w:val="20"/>
                <w:szCs w:val="20"/>
                <w:highlight w:val="black"/>
                <w:lang w:eastAsia="en-US" w:bidi="en-US"/>
              </w:rPr>
            </w:pPr>
            <w:r>
              <w:rPr>
                <w:rFonts w:ascii="Arial Narrow" w:hAnsi="Arial Narrow" w:cs="Arial Narrow"/>
                <w:noProof/>
                <w:color w:val="000000"/>
                <w:sz w:val="20"/>
                <w:szCs w:val="20"/>
                <w:highlight w:val="black"/>
                <w:lang w:eastAsia="en-US" w:bidi="en-US"/>
              </w:rPr>
              <w:t>''''''''''''''''''''</w:t>
            </w:r>
          </w:p>
          <w:p w:rsidR="004F25E9" w:rsidRPr="00D161DB" w:rsidRDefault="004F25E9" w:rsidP="00B14964">
            <w:pPr>
              <w:pStyle w:val="ListParagraph"/>
              <w:widowControl/>
              <w:spacing w:before="40" w:after="40"/>
              <w:ind w:left="0"/>
              <w:contextualSpacing w:val="0"/>
              <w:jc w:val="left"/>
              <w:rPr>
                <w:rFonts w:ascii="Arial Narrow" w:eastAsiaTheme="minorHAnsi" w:hAnsi="Arial Narrow" w:cstheme="minorBidi"/>
                <w:snapToGrid/>
                <w:sz w:val="20"/>
              </w:rPr>
            </w:pPr>
          </w:p>
        </w:tc>
        <w:tc>
          <w:tcPr>
            <w:tcW w:w="621" w:type="pct"/>
          </w:tcPr>
          <w:p w:rsidR="004F25E9" w:rsidRPr="00D161DB" w:rsidRDefault="00D161DB" w:rsidP="00B14964">
            <w:pPr>
              <w:pStyle w:val="ListParagraph"/>
              <w:widowControl/>
              <w:spacing w:before="40" w:after="40"/>
              <w:ind w:left="0"/>
              <w:contextualSpacing w:val="0"/>
              <w:jc w:val="left"/>
              <w:rPr>
                <w:rFonts w:ascii="Arial Narrow" w:eastAsiaTheme="minorHAnsi" w:hAnsi="Arial Narrow" w:cstheme="minorBidi"/>
                <w:snapToGrid/>
                <w:sz w:val="20"/>
                <w:highlight w:val="black"/>
              </w:rPr>
            </w:pPr>
            <w:r>
              <w:rPr>
                <w:rFonts w:ascii="Arial Narrow" w:eastAsiaTheme="minorHAnsi" w:hAnsi="Arial Narrow" w:cstheme="minorBidi"/>
                <w:noProof/>
                <w:snapToGrid/>
                <w:color w:val="000000"/>
                <w:sz w:val="20"/>
                <w:highlight w:val="black"/>
              </w:rPr>
              <w:t>'''''''''''''''''''''</w:t>
            </w:r>
          </w:p>
        </w:tc>
        <w:tc>
          <w:tcPr>
            <w:tcW w:w="652" w:type="pct"/>
          </w:tcPr>
          <w:p w:rsidR="004F25E9" w:rsidRPr="00D161DB" w:rsidRDefault="00D161DB" w:rsidP="00B14964">
            <w:pPr>
              <w:pStyle w:val="ListParagraph"/>
              <w:widowControl/>
              <w:spacing w:before="40" w:after="40"/>
              <w:ind w:left="0"/>
              <w:contextualSpacing w:val="0"/>
              <w:jc w:val="left"/>
              <w:rPr>
                <w:rFonts w:ascii="Arial Narrow" w:eastAsiaTheme="minorHAnsi" w:hAnsi="Arial Narrow" w:cstheme="minorBidi"/>
                <w:snapToGrid/>
                <w:sz w:val="20"/>
                <w:highlight w:val="black"/>
              </w:rPr>
            </w:pPr>
            <w:r>
              <w:rPr>
                <w:rFonts w:ascii="Arial Narrow" w:eastAsiaTheme="minorHAnsi" w:hAnsi="Arial Narrow" w:cstheme="minorBidi"/>
                <w:noProof/>
                <w:snapToGrid/>
                <w:color w:val="000000"/>
                <w:sz w:val="20"/>
                <w:highlight w:val="black"/>
              </w:rPr>
              <w:t>'''''''''''''''''''''''</w:t>
            </w:r>
          </w:p>
        </w:tc>
        <w:tc>
          <w:tcPr>
            <w:tcW w:w="628" w:type="pct"/>
          </w:tcPr>
          <w:p w:rsidR="004F25E9" w:rsidRPr="00D161DB" w:rsidRDefault="00D161DB" w:rsidP="00B14964">
            <w:pPr>
              <w:keepNext/>
              <w:spacing w:before="40" w:after="40" w:line="264" w:lineRule="auto"/>
              <w:rPr>
                <w:rFonts w:ascii="Arial Narrow" w:hAnsi="Arial Narrow" w:cs="Arial Narrow"/>
                <w:sz w:val="20"/>
                <w:szCs w:val="20"/>
                <w:highlight w:val="black"/>
                <w:lang w:eastAsia="en-US" w:bidi="en-US"/>
              </w:rPr>
            </w:pPr>
            <w:r>
              <w:rPr>
                <w:rFonts w:ascii="Arial Narrow" w:hAnsi="Arial Narrow" w:cs="Arial Narrow"/>
                <w:noProof/>
                <w:color w:val="000000"/>
                <w:sz w:val="20"/>
                <w:szCs w:val="20"/>
                <w:highlight w:val="black"/>
                <w:lang w:eastAsia="en-US" w:bidi="en-US"/>
              </w:rPr>
              <w:t>''''''''''''''''''''''''</w:t>
            </w:r>
          </w:p>
          <w:p w:rsidR="004F25E9" w:rsidRPr="00D161DB" w:rsidRDefault="004F25E9" w:rsidP="00B14964">
            <w:pPr>
              <w:pStyle w:val="ListParagraph"/>
              <w:widowControl/>
              <w:spacing w:before="40" w:after="40"/>
              <w:ind w:left="0"/>
              <w:contextualSpacing w:val="0"/>
              <w:jc w:val="left"/>
              <w:rPr>
                <w:rFonts w:ascii="Arial Narrow" w:eastAsiaTheme="minorHAnsi" w:hAnsi="Arial Narrow" w:cstheme="minorBidi"/>
                <w:snapToGrid/>
                <w:sz w:val="20"/>
              </w:rPr>
            </w:pPr>
          </w:p>
        </w:tc>
        <w:tc>
          <w:tcPr>
            <w:tcW w:w="962" w:type="pct"/>
            <w:vMerge w:val="restart"/>
            <w:vAlign w:val="center"/>
          </w:tcPr>
          <w:p w:rsidR="004F25E9" w:rsidRPr="00D161DB" w:rsidRDefault="00D161DB" w:rsidP="004F25E9">
            <w:pPr>
              <w:keepNext/>
              <w:spacing w:before="40" w:after="40" w:line="264" w:lineRule="auto"/>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r>
      <w:tr w:rsidR="004F25E9" w:rsidRPr="00B14964" w:rsidTr="00775407">
        <w:tc>
          <w:tcPr>
            <w:tcW w:w="1493" w:type="pct"/>
            <w:vAlign w:val="center"/>
          </w:tcPr>
          <w:p w:rsidR="004F25E9" w:rsidRPr="00B14964" w:rsidRDefault="004F25E9" w:rsidP="005601EE">
            <w:pPr>
              <w:pStyle w:val="ListParagraph"/>
              <w:widowControl/>
              <w:spacing w:before="40" w:after="40"/>
              <w:ind w:left="0"/>
              <w:contextualSpacing w:val="0"/>
              <w:jc w:val="left"/>
              <w:rPr>
                <w:rFonts w:ascii="Arial Narrow" w:eastAsiaTheme="minorHAnsi" w:hAnsi="Arial Narrow" w:cstheme="minorBidi"/>
                <w:snapToGrid/>
                <w:sz w:val="20"/>
              </w:rPr>
            </w:pPr>
            <w:r w:rsidRPr="00B14964">
              <w:rPr>
                <w:rFonts w:ascii="Arial Narrow" w:hAnsi="Arial Narrow"/>
                <w:sz w:val="20"/>
              </w:rPr>
              <w:t>Trifluridine 20 mg + tipiracil 8.19 mg tablet, 20</w:t>
            </w:r>
            <w:r>
              <w:rPr>
                <w:rFonts w:ascii="Arial Narrow" w:hAnsi="Arial Narrow"/>
                <w:sz w:val="20"/>
              </w:rPr>
              <w:t xml:space="preserve"> (Max Qty 4)</w:t>
            </w:r>
          </w:p>
        </w:tc>
        <w:tc>
          <w:tcPr>
            <w:tcW w:w="645" w:type="pct"/>
          </w:tcPr>
          <w:p w:rsidR="004F25E9" w:rsidRPr="00D161DB" w:rsidRDefault="00D161DB" w:rsidP="00B14964">
            <w:pPr>
              <w:pStyle w:val="ListParagraph"/>
              <w:widowControl/>
              <w:spacing w:before="40" w:after="40"/>
              <w:ind w:left="0"/>
              <w:contextualSpacing w:val="0"/>
              <w:jc w:val="left"/>
              <w:rPr>
                <w:rFonts w:ascii="Arial Narrow" w:eastAsiaTheme="minorHAnsi" w:hAnsi="Arial Narrow" w:cstheme="minorBidi"/>
                <w:snapToGrid/>
                <w:sz w:val="20"/>
                <w:highlight w:val="black"/>
              </w:rPr>
            </w:pPr>
            <w:r>
              <w:rPr>
                <w:rFonts w:ascii="Arial Narrow" w:hAnsi="Arial Narrow"/>
                <w:noProof/>
                <w:snapToGrid/>
                <w:color w:val="000000"/>
                <w:sz w:val="20"/>
                <w:highlight w:val="black"/>
                <w:lang w:bidi="en-US"/>
              </w:rPr>
              <w:t>''''''''''''''''''''''</w:t>
            </w:r>
          </w:p>
        </w:tc>
        <w:tc>
          <w:tcPr>
            <w:tcW w:w="621" w:type="pct"/>
          </w:tcPr>
          <w:p w:rsidR="004F25E9" w:rsidRPr="00D161DB" w:rsidRDefault="00D161DB" w:rsidP="00B14964">
            <w:pPr>
              <w:pStyle w:val="ListParagraph"/>
              <w:widowControl/>
              <w:spacing w:before="40" w:after="40"/>
              <w:ind w:left="0"/>
              <w:contextualSpacing w:val="0"/>
              <w:jc w:val="left"/>
              <w:rPr>
                <w:rFonts w:ascii="Arial Narrow" w:eastAsiaTheme="minorHAnsi" w:hAnsi="Arial Narrow" w:cstheme="minorBidi"/>
                <w:snapToGrid/>
                <w:sz w:val="20"/>
                <w:highlight w:val="black"/>
              </w:rPr>
            </w:pPr>
            <w:r>
              <w:rPr>
                <w:rFonts w:ascii="Arial Narrow" w:eastAsiaTheme="minorHAnsi" w:hAnsi="Arial Narrow" w:cstheme="minorBidi"/>
                <w:noProof/>
                <w:snapToGrid/>
                <w:color w:val="000000"/>
                <w:sz w:val="20"/>
                <w:highlight w:val="black"/>
              </w:rPr>
              <w:t>'''''''''''''''''''''</w:t>
            </w:r>
          </w:p>
        </w:tc>
        <w:tc>
          <w:tcPr>
            <w:tcW w:w="652" w:type="pct"/>
          </w:tcPr>
          <w:p w:rsidR="004F25E9" w:rsidRPr="00D161DB" w:rsidRDefault="00D161DB" w:rsidP="00B14964">
            <w:pPr>
              <w:pStyle w:val="ListParagraph"/>
              <w:widowControl/>
              <w:spacing w:before="40" w:after="40"/>
              <w:ind w:left="0"/>
              <w:contextualSpacing w:val="0"/>
              <w:jc w:val="left"/>
              <w:rPr>
                <w:rFonts w:ascii="Arial Narrow" w:eastAsiaTheme="minorHAnsi" w:hAnsi="Arial Narrow" w:cstheme="minorBidi"/>
                <w:snapToGrid/>
                <w:sz w:val="20"/>
                <w:highlight w:val="black"/>
              </w:rPr>
            </w:pPr>
            <w:r>
              <w:rPr>
                <w:rFonts w:ascii="Arial Narrow" w:eastAsiaTheme="minorHAnsi" w:hAnsi="Arial Narrow" w:cstheme="minorBidi"/>
                <w:noProof/>
                <w:snapToGrid/>
                <w:color w:val="000000"/>
                <w:sz w:val="20"/>
                <w:highlight w:val="black"/>
              </w:rPr>
              <w:t>''''''''''''''''''''''''</w:t>
            </w:r>
          </w:p>
        </w:tc>
        <w:tc>
          <w:tcPr>
            <w:tcW w:w="628" w:type="pct"/>
          </w:tcPr>
          <w:p w:rsidR="004F25E9" w:rsidRPr="00D161DB" w:rsidRDefault="00D161DB" w:rsidP="00B14964">
            <w:pPr>
              <w:pStyle w:val="ListParagraph"/>
              <w:widowControl/>
              <w:spacing w:before="40" w:after="40"/>
              <w:ind w:left="0"/>
              <w:contextualSpacing w:val="0"/>
              <w:jc w:val="left"/>
              <w:rPr>
                <w:rFonts w:ascii="Arial Narrow" w:eastAsiaTheme="minorHAnsi" w:hAnsi="Arial Narrow" w:cstheme="minorBidi"/>
                <w:snapToGrid/>
                <w:sz w:val="20"/>
                <w:highlight w:val="black"/>
              </w:rPr>
            </w:pPr>
            <w:r>
              <w:rPr>
                <w:rFonts w:ascii="Arial Narrow" w:hAnsi="Arial Narrow"/>
                <w:noProof/>
                <w:snapToGrid/>
                <w:color w:val="000000"/>
                <w:sz w:val="20"/>
                <w:highlight w:val="black"/>
                <w:lang w:bidi="en-US"/>
              </w:rPr>
              <w:t>''''''''''''''''''''''</w:t>
            </w:r>
          </w:p>
        </w:tc>
        <w:tc>
          <w:tcPr>
            <w:tcW w:w="962" w:type="pct"/>
            <w:vMerge/>
          </w:tcPr>
          <w:p w:rsidR="004F25E9" w:rsidRPr="00B14964" w:rsidRDefault="004F25E9" w:rsidP="00B14964">
            <w:pPr>
              <w:pStyle w:val="ListParagraph"/>
              <w:widowControl/>
              <w:spacing w:before="40" w:after="40"/>
              <w:ind w:left="0"/>
              <w:contextualSpacing w:val="0"/>
              <w:jc w:val="left"/>
              <w:rPr>
                <w:rFonts w:ascii="Arial Narrow" w:eastAsiaTheme="minorHAnsi" w:hAnsi="Arial Narrow" w:cstheme="minorBidi"/>
                <w:snapToGrid/>
                <w:sz w:val="20"/>
              </w:rPr>
            </w:pPr>
          </w:p>
        </w:tc>
      </w:tr>
      <w:tr w:rsidR="00CA2D8E" w:rsidRPr="00B14964" w:rsidTr="00775407">
        <w:tc>
          <w:tcPr>
            <w:tcW w:w="5000" w:type="pct"/>
            <w:gridSpan w:val="6"/>
          </w:tcPr>
          <w:p w:rsidR="00CA2D8E" w:rsidRPr="00775407" w:rsidRDefault="00CA2D8E" w:rsidP="00B14964">
            <w:pPr>
              <w:pStyle w:val="ListParagraph"/>
              <w:widowControl/>
              <w:spacing w:before="40" w:after="40"/>
              <w:ind w:left="0"/>
              <w:contextualSpacing w:val="0"/>
              <w:rPr>
                <w:rFonts w:ascii="Arial Narrow" w:eastAsiaTheme="minorHAnsi" w:hAnsi="Arial Narrow" w:cstheme="minorBidi"/>
                <w:b/>
                <w:snapToGrid/>
                <w:sz w:val="20"/>
              </w:rPr>
            </w:pPr>
            <w:r w:rsidRPr="00775407">
              <w:rPr>
                <w:rFonts w:ascii="Arial Narrow" w:eastAsiaTheme="minorHAnsi" w:hAnsi="Arial Narrow" w:cstheme="minorBidi"/>
                <w:b/>
                <w:snapToGrid/>
                <w:sz w:val="20"/>
              </w:rPr>
              <w:t>November 201</w:t>
            </w:r>
            <w:r w:rsidR="001C28EC" w:rsidRPr="00775407">
              <w:rPr>
                <w:rFonts w:ascii="Arial Narrow" w:eastAsiaTheme="minorHAnsi" w:hAnsi="Arial Narrow" w:cstheme="minorBidi"/>
                <w:b/>
                <w:snapToGrid/>
                <w:sz w:val="20"/>
              </w:rPr>
              <w:t>7 Submission</w:t>
            </w:r>
          </w:p>
        </w:tc>
      </w:tr>
      <w:tr w:rsidR="004F25E9" w:rsidRPr="00B14964" w:rsidTr="00775407">
        <w:tc>
          <w:tcPr>
            <w:tcW w:w="1493" w:type="pct"/>
          </w:tcPr>
          <w:p w:rsidR="004F25E9" w:rsidRPr="00B14964" w:rsidRDefault="004F25E9" w:rsidP="00B14964">
            <w:pPr>
              <w:pStyle w:val="ListParagraph"/>
              <w:widowControl/>
              <w:spacing w:before="40" w:after="40"/>
              <w:ind w:left="0"/>
              <w:contextualSpacing w:val="0"/>
              <w:rPr>
                <w:rFonts w:ascii="Arial Narrow" w:eastAsiaTheme="minorHAnsi" w:hAnsi="Arial Narrow" w:cstheme="minorBidi"/>
                <w:snapToGrid/>
                <w:sz w:val="20"/>
              </w:rPr>
            </w:pPr>
            <w:r w:rsidRPr="00B14964">
              <w:rPr>
                <w:rFonts w:ascii="Arial Narrow" w:hAnsi="Arial Narrow"/>
                <w:sz w:val="20"/>
              </w:rPr>
              <w:t>Trifluridine 15 mg + tipiracil 6.14 mg tablet, 20</w:t>
            </w:r>
            <w:r>
              <w:rPr>
                <w:rFonts w:ascii="Arial Narrow" w:hAnsi="Arial Narrow"/>
                <w:sz w:val="20"/>
              </w:rPr>
              <w:t xml:space="preserve"> (Max Qty 3)</w:t>
            </w:r>
          </w:p>
        </w:tc>
        <w:tc>
          <w:tcPr>
            <w:tcW w:w="645" w:type="pct"/>
          </w:tcPr>
          <w:p w:rsidR="004F25E9" w:rsidRPr="00D161DB" w:rsidRDefault="00D161DB" w:rsidP="00B14964">
            <w:pPr>
              <w:pStyle w:val="ListParagraph"/>
              <w:widowControl/>
              <w:spacing w:before="40" w:after="40"/>
              <w:ind w:left="0"/>
              <w:contextualSpacing w:val="0"/>
              <w:rPr>
                <w:rFonts w:ascii="Arial Narrow" w:eastAsiaTheme="minorHAnsi" w:hAnsi="Arial Narrow" w:cstheme="minorBidi"/>
                <w:snapToGrid/>
                <w:sz w:val="20"/>
                <w:highlight w:val="black"/>
              </w:rPr>
            </w:pPr>
            <w:r>
              <w:rPr>
                <w:rFonts w:ascii="Arial Narrow" w:eastAsiaTheme="minorHAnsi" w:hAnsi="Arial Narrow" w:cstheme="minorBidi"/>
                <w:noProof/>
                <w:snapToGrid/>
                <w:color w:val="000000"/>
                <w:sz w:val="20"/>
                <w:highlight w:val="black"/>
              </w:rPr>
              <w:t>'''''''''''''''''</w:t>
            </w:r>
          </w:p>
        </w:tc>
        <w:tc>
          <w:tcPr>
            <w:tcW w:w="621" w:type="pct"/>
          </w:tcPr>
          <w:p w:rsidR="004F25E9" w:rsidRPr="00D161DB" w:rsidRDefault="00D161DB" w:rsidP="00B14964">
            <w:pPr>
              <w:pStyle w:val="ListParagraph"/>
              <w:widowControl/>
              <w:spacing w:before="40" w:after="40"/>
              <w:ind w:left="0"/>
              <w:contextualSpacing w:val="0"/>
              <w:rPr>
                <w:rFonts w:ascii="Arial Narrow" w:eastAsiaTheme="minorHAnsi" w:hAnsi="Arial Narrow" w:cstheme="minorBidi"/>
                <w:snapToGrid/>
                <w:sz w:val="20"/>
                <w:highlight w:val="black"/>
              </w:rPr>
            </w:pPr>
            <w:r>
              <w:rPr>
                <w:rFonts w:ascii="Arial Narrow" w:eastAsiaTheme="minorHAnsi" w:hAnsi="Arial Narrow" w:cstheme="minorBidi"/>
                <w:noProof/>
                <w:snapToGrid/>
                <w:color w:val="000000"/>
                <w:sz w:val="20"/>
                <w:highlight w:val="black"/>
              </w:rPr>
              <w:t>''''''''''''''''''</w:t>
            </w:r>
          </w:p>
        </w:tc>
        <w:tc>
          <w:tcPr>
            <w:tcW w:w="652" w:type="pct"/>
          </w:tcPr>
          <w:p w:rsidR="004F25E9" w:rsidRPr="00D161DB" w:rsidRDefault="00D161DB" w:rsidP="00B14964">
            <w:pPr>
              <w:pStyle w:val="ListParagraph"/>
              <w:widowControl/>
              <w:spacing w:before="40" w:after="40"/>
              <w:ind w:left="0"/>
              <w:contextualSpacing w:val="0"/>
              <w:rPr>
                <w:rFonts w:ascii="Arial Narrow" w:eastAsiaTheme="minorHAnsi" w:hAnsi="Arial Narrow" w:cstheme="minorBidi"/>
                <w:snapToGrid/>
                <w:sz w:val="20"/>
                <w:highlight w:val="black"/>
              </w:rPr>
            </w:pPr>
            <w:r>
              <w:rPr>
                <w:rFonts w:ascii="Arial Narrow" w:eastAsiaTheme="minorHAnsi" w:hAnsi="Arial Narrow" w:cstheme="minorBidi"/>
                <w:noProof/>
                <w:snapToGrid/>
                <w:color w:val="000000"/>
                <w:sz w:val="20"/>
                <w:highlight w:val="black"/>
              </w:rPr>
              <w:t>'''''''''''''''''''''''''</w:t>
            </w:r>
          </w:p>
        </w:tc>
        <w:tc>
          <w:tcPr>
            <w:tcW w:w="628" w:type="pct"/>
          </w:tcPr>
          <w:p w:rsidR="004F25E9" w:rsidRPr="00D161DB" w:rsidRDefault="00D161DB" w:rsidP="00B14964">
            <w:pPr>
              <w:pStyle w:val="ListParagraph"/>
              <w:widowControl/>
              <w:spacing w:before="40" w:after="40"/>
              <w:ind w:left="0"/>
              <w:contextualSpacing w:val="0"/>
              <w:rPr>
                <w:rFonts w:ascii="Arial Narrow" w:eastAsiaTheme="minorHAnsi" w:hAnsi="Arial Narrow" w:cstheme="minorBidi"/>
                <w:snapToGrid/>
                <w:sz w:val="20"/>
                <w:highlight w:val="black"/>
              </w:rPr>
            </w:pPr>
            <w:r>
              <w:rPr>
                <w:rFonts w:ascii="Arial Narrow" w:eastAsiaTheme="minorHAnsi" w:hAnsi="Arial Narrow" w:cstheme="minorBidi"/>
                <w:noProof/>
                <w:snapToGrid/>
                <w:color w:val="000000"/>
                <w:sz w:val="20"/>
                <w:highlight w:val="black"/>
              </w:rPr>
              <w:t>'''''''''''''''''''''''</w:t>
            </w:r>
          </w:p>
        </w:tc>
        <w:tc>
          <w:tcPr>
            <w:tcW w:w="962" w:type="pct"/>
            <w:vMerge w:val="restart"/>
            <w:vAlign w:val="center"/>
          </w:tcPr>
          <w:p w:rsidR="004F25E9" w:rsidRPr="00D161DB" w:rsidRDefault="00D161DB" w:rsidP="004F25E9">
            <w:pPr>
              <w:pStyle w:val="ListParagraph"/>
              <w:widowControl/>
              <w:spacing w:before="40" w:after="40"/>
              <w:ind w:left="0"/>
              <w:contextualSpacing w:val="0"/>
              <w:jc w:val="left"/>
              <w:rPr>
                <w:rFonts w:ascii="Arial Narrow" w:eastAsiaTheme="minorHAnsi" w:hAnsi="Arial Narrow" w:cstheme="minorBidi"/>
                <w:snapToGrid/>
                <w:sz w:val="20"/>
                <w:highlight w:val="black"/>
              </w:rPr>
            </w:pPr>
            <w:r>
              <w:rPr>
                <w:rFonts w:ascii="Arial Narrow" w:eastAsiaTheme="minorHAnsi" w:hAnsi="Arial Narrow" w:cstheme="minorBidi"/>
                <w:noProof/>
                <w:snapToGrid/>
                <w:color w:val="000000"/>
                <w:sz w:val="20"/>
                <w:highlight w:val="black"/>
              </w:rPr>
              <w:t>'''''''''''''''</w:t>
            </w:r>
            <w:r w:rsidR="00073150" w:rsidRPr="00D161DB">
              <w:rPr>
                <w:rFonts w:ascii="Arial Narrow" w:eastAsiaTheme="minorHAnsi" w:hAnsi="Arial Narrow" w:cstheme="minorBidi"/>
                <w:snapToGrid/>
                <w:sz w:val="20"/>
                <w:highlight w:val="black"/>
              </w:rPr>
              <w:t xml:space="preserve"> </w:t>
            </w:r>
          </w:p>
        </w:tc>
      </w:tr>
      <w:tr w:rsidR="004F25E9" w:rsidRPr="00B14964" w:rsidTr="00775407">
        <w:tc>
          <w:tcPr>
            <w:tcW w:w="1493" w:type="pct"/>
          </w:tcPr>
          <w:p w:rsidR="004F25E9" w:rsidRPr="00B14964" w:rsidRDefault="004F25E9" w:rsidP="00B14964">
            <w:pPr>
              <w:pStyle w:val="ListParagraph"/>
              <w:widowControl/>
              <w:spacing w:before="40" w:after="40"/>
              <w:ind w:left="0"/>
              <w:contextualSpacing w:val="0"/>
              <w:rPr>
                <w:rFonts w:ascii="Arial Narrow" w:eastAsiaTheme="minorHAnsi" w:hAnsi="Arial Narrow" w:cstheme="minorBidi"/>
                <w:snapToGrid/>
                <w:sz w:val="20"/>
              </w:rPr>
            </w:pPr>
            <w:r w:rsidRPr="00B14964">
              <w:rPr>
                <w:rFonts w:ascii="Arial Narrow" w:hAnsi="Arial Narrow"/>
                <w:sz w:val="20"/>
              </w:rPr>
              <w:t>Trifluridine 20 mg + tipiracil 8.19 mg tablet, 20</w:t>
            </w:r>
            <w:r>
              <w:rPr>
                <w:rFonts w:ascii="Arial Narrow" w:hAnsi="Arial Narrow"/>
                <w:sz w:val="20"/>
              </w:rPr>
              <w:t xml:space="preserve"> (Max Qty 4)</w:t>
            </w:r>
          </w:p>
        </w:tc>
        <w:tc>
          <w:tcPr>
            <w:tcW w:w="645" w:type="pct"/>
          </w:tcPr>
          <w:p w:rsidR="004F25E9" w:rsidRPr="00D161DB" w:rsidRDefault="00D161DB" w:rsidP="00B14964">
            <w:pPr>
              <w:pStyle w:val="ListParagraph"/>
              <w:widowControl/>
              <w:spacing w:before="40" w:after="40"/>
              <w:ind w:left="0"/>
              <w:contextualSpacing w:val="0"/>
              <w:rPr>
                <w:rFonts w:ascii="Arial Narrow" w:eastAsiaTheme="minorHAnsi" w:hAnsi="Arial Narrow" w:cstheme="minorBidi"/>
                <w:snapToGrid/>
                <w:sz w:val="20"/>
                <w:highlight w:val="black"/>
              </w:rPr>
            </w:pPr>
            <w:r>
              <w:rPr>
                <w:rFonts w:ascii="Arial Narrow" w:eastAsiaTheme="minorHAnsi" w:hAnsi="Arial Narrow" w:cstheme="minorBidi"/>
                <w:noProof/>
                <w:snapToGrid/>
                <w:color w:val="000000"/>
                <w:sz w:val="20"/>
                <w:highlight w:val="black"/>
              </w:rPr>
              <w:t>'''''''''''''''''''</w:t>
            </w:r>
          </w:p>
        </w:tc>
        <w:tc>
          <w:tcPr>
            <w:tcW w:w="621" w:type="pct"/>
          </w:tcPr>
          <w:p w:rsidR="004F25E9" w:rsidRPr="00D161DB" w:rsidRDefault="00D161DB" w:rsidP="00B14964">
            <w:pPr>
              <w:pStyle w:val="ListParagraph"/>
              <w:widowControl/>
              <w:spacing w:before="40" w:after="40"/>
              <w:ind w:left="0"/>
              <w:contextualSpacing w:val="0"/>
              <w:rPr>
                <w:rFonts w:ascii="Arial Narrow" w:eastAsiaTheme="minorHAnsi" w:hAnsi="Arial Narrow" w:cstheme="minorBidi"/>
                <w:snapToGrid/>
                <w:sz w:val="20"/>
                <w:highlight w:val="black"/>
              </w:rPr>
            </w:pPr>
            <w:r>
              <w:rPr>
                <w:rFonts w:ascii="Arial Narrow" w:eastAsiaTheme="minorHAnsi" w:hAnsi="Arial Narrow" w:cstheme="minorBidi"/>
                <w:noProof/>
                <w:snapToGrid/>
                <w:color w:val="000000"/>
                <w:sz w:val="20"/>
                <w:highlight w:val="black"/>
              </w:rPr>
              <w:t>'''''''''''''''''</w:t>
            </w:r>
          </w:p>
        </w:tc>
        <w:tc>
          <w:tcPr>
            <w:tcW w:w="652" w:type="pct"/>
          </w:tcPr>
          <w:p w:rsidR="004F25E9" w:rsidRPr="00D161DB" w:rsidRDefault="00D161DB" w:rsidP="00B14964">
            <w:pPr>
              <w:pStyle w:val="ListParagraph"/>
              <w:widowControl/>
              <w:spacing w:before="40" w:after="40"/>
              <w:ind w:left="0"/>
              <w:contextualSpacing w:val="0"/>
              <w:rPr>
                <w:rFonts w:ascii="Arial Narrow" w:eastAsiaTheme="minorHAnsi" w:hAnsi="Arial Narrow" w:cstheme="minorBidi"/>
                <w:snapToGrid/>
                <w:sz w:val="20"/>
                <w:highlight w:val="black"/>
              </w:rPr>
            </w:pPr>
            <w:r>
              <w:rPr>
                <w:rFonts w:ascii="Arial Narrow" w:eastAsiaTheme="minorHAnsi" w:hAnsi="Arial Narrow" w:cstheme="minorBidi"/>
                <w:noProof/>
                <w:snapToGrid/>
                <w:color w:val="000000"/>
                <w:sz w:val="20"/>
                <w:highlight w:val="black"/>
              </w:rPr>
              <w:t>'''''''''''''''''''''''''</w:t>
            </w:r>
          </w:p>
        </w:tc>
        <w:tc>
          <w:tcPr>
            <w:tcW w:w="628" w:type="pct"/>
          </w:tcPr>
          <w:p w:rsidR="004F25E9" w:rsidRPr="00D161DB" w:rsidRDefault="00D161DB" w:rsidP="00B14964">
            <w:pPr>
              <w:pStyle w:val="ListParagraph"/>
              <w:widowControl/>
              <w:spacing w:before="40" w:after="40"/>
              <w:ind w:left="0"/>
              <w:contextualSpacing w:val="0"/>
              <w:rPr>
                <w:rFonts w:ascii="Arial Narrow" w:eastAsiaTheme="minorHAnsi" w:hAnsi="Arial Narrow" w:cstheme="minorBidi"/>
                <w:snapToGrid/>
                <w:sz w:val="20"/>
                <w:highlight w:val="black"/>
              </w:rPr>
            </w:pPr>
            <w:r>
              <w:rPr>
                <w:rFonts w:ascii="Arial Narrow" w:eastAsiaTheme="minorHAnsi" w:hAnsi="Arial Narrow" w:cstheme="minorBidi"/>
                <w:noProof/>
                <w:snapToGrid/>
                <w:color w:val="000000"/>
                <w:sz w:val="20"/>
                <w:highlight w:val="black"/>
              </w:rPr>
              <w:t>'''''''''''''''''''''''</w:t>
            </w:r>
          </w:p>
        </w:tc>
        <w:tc>
          <w:tcPr>
            <w:tcW w:w="962" w:type="pct"/>
            <w:vMerge/>
          </w:tcPr>
          <w:p w:rsidR="004F25E9" w:rsidRPr="00B14964" w:rsidRDefault="004F25E9" w:rsidP="00B14964">
            <w:pPr>
              <w:pStyle w:val="ListParagraph"/>
              <w:widowControl/>
              <w:spacing w:before="40" w:after="40"/>
              <w:ind w:left="0"/>
              <w:contextualSpacing w:val="0"/>
              <w:rPr>
                <w:rFonts w:ascii="Arial Narrow" w:eastAsiaTheme="minorHAnsi" w:hAnsi="Arial Narrow" w:cstheme="minorBidi"/>
                <w:snapToGrid/>
                <w:sz w:val="20"/>
              </w:rPr>
            </w:pPr>
          </w:p>
        </w:tc>
      </w:tr>
    </w:tbl>
    <w:p w:rsidR="00EC673C" w:rsidRDefault="00EC673C" w:rsidP="00775407">
      <w:pPr>
        <w:rPr>
          <w:rFonts w:ascii="Arial Narrow" w:eastAsiaTheme="minorHAnsi" w:hAnsi="Arial Narrow" w:cstheme="minorBidi"/>
          <w:sz w:val="20"/>
          <w:szCs w:val="22"/>
        </w:rPr>
      </w:pPr>
      <w:r>
        <w:rPr>
          <w:rFonts w:ascii="Arial Narrow" w:eastAsiaTheme="minorHAnsi" w:hAnsi="Arial Narrow" w:cstheme="minorBidi"/>
          <w:sz w:val="20"/>
          <w:szCs w:val="22"/>
        </w:rPr>
        <w:t xml:space="preserve">Abbreviations: AEMP= </w:t>
      </w:r>
      <w:r w:rsidR="00D33416">
        <w:rPr>
          <w:rFonts w:ascii="Arial Narrow" w:eastAsiaTheme="minorHAnsi" w:hAnsi="Arial Narrow" w:cstheme="minorBidi"/>
          <w:sz w:val="20"/>
          <w:szCs w:val="22"/>
        </w:rPr>
        <w:t>approved ex-manufacturer price; DPMQ=dispensed price for maximum quantity</w:t>
      </w:r>
    </w:p>
    <w:p w:rsidR="0038718F" w:rsidRDefault="00775407" w:rsidP="00775407">
      <w:pPr>
        <w:rPr>
          <w:rFonts w:ascii="Arial Narrow" w:eastAsiaTheme="minorHAnsi" w:hAnsi="Arial Narrow" w:cstheme="minorBidi"/>
          <w:sz w:val="20"/>
          <w:szCs w:val="22"/>
        </w:rPr>
      </w:pPr>
      <w:r>
        <w:rPr>
          <w:rFonts w:ascii="Arial Narrow" w:eastAsiaTheme="minorHAnsi" w:hAnsi="Arial Narrow" w:cstheme="minorBidi"/>
          <w:sz w:val="20"/>
          <w:szCs w:val="22"/>
        </w:rPr>
        <w:t xml:space="preserve">Source: </w:t>
      </w:r>
      <w:r w:rsidR="00EC673C">
        <w:rPr>
          <w:rFonts w:ascii="Arial Narrow" w:eastAsiaTheme="minorHAnsi" w:hAnsi="Arial Narrow" w:cstheme="minorBidi"/>
          <w:sz w:val="20"/>
          <w:szCs w:val="22"/>
        </w:rPr>
        <w:t>Table 1 &amp; Table 2, page 7 of the submission</w:t>
      </w:r>
    </w:p>
    <w:p w:rsidR="00D33416" w:rsidRPr="00D33416" w:rsidRDefault="00073150" w:rsidP="00775407">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proposed </w:t>
      </w:r>
      <w:r w:rsidR="00D161DB">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 xml:space="preserve">% rebate on the published DPMQ (consisting of </w:t>
      </w:r>
      <w:r w:rsidR="00D161DB">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 xml:space="preserve">% reduction in the published AEMP from July 2017) equates to a further </w:t>
      </w:r>
      <w:r w:rsidR="00D161DB">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w:t>
      </w:r>
      <w:r w:rsidR="002124F6">
        <w:rPr>
          <w:rFonts w:asciiTheme="minorHAnsi" w:eastAsiaTheme="minorHAnsi" w:hAnsiTheme="minorHAnsi" w:cstheme="minorBidi"/>
          <w:snapToGrid/>
          <w:sz w:val="24"/>
          <w:szCs w:val="22"/>
        </w:rPr>
        <w:t xml:space="preserve"> and </w:t>
      </w:r>
      <w:r w:rsidR="00D161DB">
        <w:rPr>
          <w:rFonts w:asciiTheme="minorHAnsi" w:eastAsiaTheme="minorHAnsi" w:hAnsiTheme="minorHAnsi" w:cstheme="minorBidi"/>
          <w:noProof/>
          <w:snapToGrid/>
          <w:color w:val="000000"/>
          <w:sz w:val="24"/>
          <w:szCs w:val="22"/>
          <w:highlight w:val="black"/>
        </w:rPr>
        <w:t>'''''''''</w:t>
      </w:r>
      <w:r w:rsidR="002124F6">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 xml:space="preserve"> reduction in the effective AEMP</w:t>
      </w:r>
      <w:r w:rsidR="002124F6">
        <w:rPr>
          <w:rFonts w:asciiTheme="minorHAnsi" w:eastAsiaTheme="minorHAnsi" w:hAnsiTheme="minorHAnsi" w:cstheme="minorBidi"/>
          <w:snapToGrid/>
          <w:sz w:val="24"/>
          <w:szCs w:val="22"/>
        </w:rPr>
        <w:t xml:space="preserve"> proposed in the July 2017 submission</w:t>
      </w:r>
      <w:r w:rsidR="006B6785">
        <w:rPr>
          <w:rFonts w:asciiTheme="minorHAnsi" w:eastAsiaTheme="minorHAnsi" w:hAnsiTheme="minorHAnsi" w:cstheme="minorBidi"/>
          <w:snapToGrid/>
          <w:sz w:val="24"/>
          <w:szCs w:val="22"/>
        </w:rPr>
        <w:t xml:space="preserve"> for trifluridine 20 mg + tipiracil 8.19 mg tablet and tipiracil 15</w:t>
      </w:r>
      <w:r>
        <w:rPr>
          <w:rFonts w:asciiTheme="minorHAnsi" w:eastAsiaTheme="minorHAnsi" w:hAnsiTheme="minorHAnsi" w:cstheme="minorBidi"/>
          <w:snapToGrid/>
          <w:sz w:val="24"/>
          <w:szCs w:val="22"/>
        </w:rPr>
        <w:t xml:space="preserve"> mg</w:t>
      </w:r>
      <w:r w:rsidR="006B6785">
        <w:rPr>
          <w:rFonts w:asciiTheme="minorHAnsi" w:eastAsiaTheme="minorHAnsi" w:hAnsiTheme="minorHAnsi" w:cstheme="minorBidi"/>
          <w:snapToGrid/>
          <w:sz w:val="24"/>
          <w:szCs w:val="22"/>
        </w:rPr>
        <w:t xml:space="preserve"> + tipiracil 6.14 mg</w:t>
      </w:r>
      <w:r>
        <w:rPr>
          <w:rFonts w:asciiTheme="minorHAnsi" w:eastAsiaTheme="minorHAnsi" w:hAnsiTheme="minorHAnsi" w:cstheme="minorBidi"/>
          <w:snapToGrid/>
          <w:sz w:val="24"/>
          <w:szCs w:val="22"/>
        </w:rPr>
        <w:t xml:space="preserve"> </w:t>
      </w:r>
      <w:r w:rsidR="009749CF">
        <w:rPr>
          <w:rFonts w:asciiTheme="minorHAnsi" w:eastAsiaTheme="minorHAnsi" w:hAnsiTheme="minorHAnsi" w:cstheme="minorBidi"/>
          <w:snapToGrid/>
          <w:sz w:val="24"/>
          <w:szCs w:val="22"/>
        </w:rPr>
        <w:t>tablet respectively</w:t>
      </w:r>
      <w:r w:rsidR="002124F6">
        <w:rPr>
          <w:rFonts w:asciiTheme="minorHAnsi" w:eastAsiaTheme="minorHAnsi" w:hAnsiTheme="minorHAnsi" w:cstheme="minorBidi"/>
          <w:snapToGrid/>
          <w:sz w:val="24"/>
          <w:szCs w:val="22"/>
        </w:rPr>
        <w:t xml:space="preserve">. </w:t>
      </w:r>
      <w:r w:rsidR="00274F03">
        <w:rPr>
          <w:rFonts w:asciiTheme="minorHAnsi" w:eastAsiaTheme="minorHAnsi" w:hAnsiTheme="minorHAnsi" w:cstheme="minorBidi"/>
          <w:snapToGrid/>
          <w:sz w:val="24"/>
          <w:szCs w:val="22"/>
        </w:rPr>
        <w:t xml:space="preserve">The </w:t>
      </w:r>
      <w:r w:rsidR="003A151B">
        <w:rPr>
          <w:rFonts w:asciiTheme="minorHAnsi" w:eastAsiaTheme="minorHAnsi" w:hAnsiTheme="minorHAnsi" w:cstheme="minorBidi"/>
          <w:snapToGrid/>
          <w:sz w:val="24"/>
          <w:szCs w:val="22"/>
        </w:rPr>
        <w:t>minor re</w:t>
      </w:r>
      <w:r w:rsidR="00274F03">
        <w:rPr>
          <w:rFonts w:asciiTheme="minorHAnsi" w:eastAsiaTheme="minorHAnsi" w:hAnsiTheme="minorHAnsi" w:cstheme="minorBidi"/>
          <w:snapToGrid/>
          <w:sz w:val="24"/>
          <w:szCs w:val="22"/>
        </w:rPr>
        <w:t>submission</w:t>
      </w:r>
      <w:r w:rsidR="00B64F64">
        <w:rPr>
          <w:rFonts w:asciiTheme="minorHAnsi" w:eastAsiaTheme="minorHAnsi" w:hAnsiTheme="minorHAnsi" w:cstheme="minorBidi"/>
          <w:snapToGrid/>
          <w:sz w:val="24"/>
          <w:szCs w:val="22"/>
        </w:rPr>
        <w:t xml:space="preserve"> (p5)</w:t>
      </w:r>
      <w:r w:rsidR="00274F03">
        <w:rPr>
          <w:rFonts w:asciiTheme="minorHAnsi" w:eastAsiaTheme="minorHAnsi" w:hAnsiTheme="minorHAnsi" w:cstheme="minorBidi"/>
          <w:snapToGrid/>
          <w:sz w:val="24"/>
          <w:szCs w:val="22"/>
        </w:rPr>
        <w:t xml:space="preserve"> explained that the </w:t>
      </w:r>
      <w:r w:rsidR="00445B0B">
        <w:rPr>
          <w:rFonts w:asciiTheme="minorHAnsi" w:eastAsiaTheme="minorHAnsi" w:hAnsiTheme="minorHAnsi" w:cstheme="minorBidi"/>
          <w:snapToGrid/>
          <w:sz w:val="24"/>
          <w:szCs w:val="22"/>
        </w:rPr>
        <w:t xml:space="preserve">percentage reduction in effective AEMP for trifluridine/tipiracil 15 mg is less because wholesaler margin and dispensing fee are not affected by price reductions and changes in rebates. </w:t>
      </w:r>
    </w:p>
    <w:p w:rsidR="005A3173" w:rsidRPr="00966D0D" w:rsidRDefault="005A3173" w:rsidP="00966D0D">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Economic analysis</w:t>
      </w:r>
    </w:p>
    <w:p w:rsidR="00B35FB6" w:rsidRPr="00B35FB6" w:rsidRDefault="004A3846" w:rsidP="00B84D5C">
      <w:pPr>
        <w:pStyle w:val="ListParagraph"/>
        <w:widowControl/>
        <w:numPr>
          <w:ilvl w:val="1"/>
          <w:numId w:val="14"/>
        </w:numPr>
        <w:spacing w:after="120"/>
        <w:contextualSpacing w:val="0"/>
        <w:rPr>
          <w:rFonts w:asciiTheme="minorHAnsi" w:eastAsiaTheme="minorHAnsi" w:hAnsiTheme="minorHAnsi" w:cstheme="minorBidi"/>
          <w:snapToGrid/>
          <w:color w:val="FF00FF"/>
          <w:sz w:val="24"/>
          <w:szCs w:val="22"/>
        </w:rPr>
      </w:pPr>
      <w:r w:rsidRPr="00B35FB6">
        <w:rPr>
          <w:rFonts w:asciiTheme="minorHAnsi" w:eastAsiaTheme="minorHAnsi" w:hAnsiTheme="minorHAnsi" w:cstheme="minorBidi"/>
          <w:snapToGrid/>
          <w:sz w:val="24"/>
          <w:szCs w:val="22"/>
        </w:rPr>
        <w:t>As per the</w:t>
      </w:r>
      <w:r w:rsidR="00661D60" w:rsidRPr="00B35FB6">
        <w:rPr>
          <w:rFonts w:asciiTheme="minorHAnsi" w:eastAsiaTheme="minorHAnsi" w:hAnsiTheme="minorHAnsi" w:cstheme="minorBidi"/>
          <w:snapToGrid/>
          <w:sz w:val="24"/>
          <w:szCs w:val="22"/>
        </w:rPr>
        <w:t xml:space="preserve"> March 2017 and July 2017 </w:t>
      </w:r>
      <w:r w:rsidRPr="00B35FB6">
        <w:rPr>
          <w:rFonts w:asciiTheme="minorHAnsi" w:eastAsiaTheme="minorHAnsi" w:hAnsiTheme="minorHAnsi" w:cstheme="minorBidi"/>
          <w:snapToGrid/>
          <w:sz w:val="24"/>
          <w:szCs w:val="22"/>
        </w:rPr>
        <w:t>re</w:t>
      </w:r>
      <w:r w:rsidR="00661D60" w:rsidRPr="00B35FB6">
        <w:rPr>
          <w:rFonts w:asciiTheme="minorHAnsi" w:eastAsiaTheme="minorHAnsi" w:hAnsiTheme="minorHAnsi" w:cstheme="minorBidi"/>
          <w:snapToGrid/>
          <w:sz w:val="24"/>
          <w:szCs w:val="22"/>
        </w:rPr>
        <w:t xml:space="preserve">submissions, the </w:t>
      </w:r>
      <w:r w:rsidRPr="00B35FB6">
        <w:rPr>
          <w:rFonts w:asciiTheme="minorHAnsi" w:eastAsiaTheme="minorHAnsi" w:hAnsiTheme="minorHAnsi" w:cstheme="minorBidi"/>
          <w:snapToGrid/>
          <w:sz w:val="24"/>
          <w:szCs w:val="22"/>
        </w:rPr>
        <w:t>minor re</w:t>
      </w:r>
      <w:r w:rsidR="00661D60" w:rsidRPr="00B35FB6">
        <w:rPr>
          <w:rFonts w:asciiTheme="minorHAnsi" w:eastAsiaTheme="minorHAnsi" w:hAnsiTheme="minorHAnsi" w:cstheme="minorBidi"/>
          <w:snapToGrid/>
          <w:sz w:val="24"/>
          <w:szCs w:val="22"/>
        </w:rPr>
        <w:t xml:space="preserve">submission presented a trial-based economic evaluation. There were no structural changes to the economic model presented in the </w:t>
      </w:r>
      <w:r w:rsidRPr="00B35FB6">
        <w:rPr>
          <w:rFonts w:asciiTheme="minorHAnsi" w:eastAsiaTheme="minorHAnsi" w:hAnsiTheme="minorHAnsi" w:cstheme="minorBidi"/>
          <w:snapToGrid/>
          <w:sz w:val="24"/>
          <w:szCs w:val="22"/>
        </w:rPr>
        <w:t>previous</w:t>
      </w:r>
      <w:r w:rsidR="00661D60" w:rsidRPr="00B35FB6">
        <w:rPr>
          <w:rFonts w:asciiTheme="minorHAnsi" w:eastAsiaTheme="minorHAnsi" w:hAnsiTheme="minorHAnsi" w:cstheme="minorBidi"/>
          <w:snapToGrid/>
          <w:sz w:val="24"/>
          <w:szCs w:val="22"/>
        </w:rPr>
        <w:t xml:space="preserve"> submission</w:t>
      </w:r>
      <w:r w:rsidRPr="00B35FB6">
        <w:rPr>
          <w:rFonts w:asciiTheme="minorHAnsi" w:eastAsiaTheme="minorHAnsi" w:hAnsiTheme="minorHAnsi" w:cstheme="minorBidi"/>
          <w:snapToGrid/>
          <w:sz w:val="24"/>
          <w:szCs w:val="22"/>
        </w:rPr>
        <w:t>s</w:t>
      </w:r>
      <w:r w:rsidR="00661D60" w:rsidRPr="00B35FB6">
        <w:rPr>
          <w:rFonts w:asciiTheme="minorHAnsi" w:eastAsiaTheme="minorHAnsi" w:hAnsiTheme="minorHAnsi" w:cstheme="minorBidi"/>
          <w:snapToGrid/>
          <w:sz w:val="24"/>
          <w:szCs w:val="22"/>
        </w:rPr>
        <w:t>.</w:t>
      </w:r>
    </w:p>
    <w:p w:rsidR="00FA331A" w:rsidRPr="00B35FB6" w:rsidRDefault="00FA331A" w:rsidP="00B84D5C">
      <w:pPr>
        <w:pStyle w:val="ListParagraph"/>
        <w:widowControl/>
        <w:numPr>
          <w:ilvl w:val="1"/>
          <w:numId w:val="14"/>
        </w:numPr>
        <w:spacing w:after="120"/>
        <w:contextualSpacing w:val="0"/>
        <w:rPr>
          <w:rFonts w:asciiTheme="minorHAnsi" w:eastAsiaTheme="minorHAnsi" w:hAnsiTheme="minorHAnsi" w:cstheme="minorBidi"/>
          <w:snapToGrid/>
          <w:color w:val="FF00FF"/>
          <w:sz w:val="24"/>
          <w:szCs w:val="22"/>
        </w:rPr>
      </w:pPr>
      <w:r w:rsidRPr="00B35FB6">
        <w:rPr>
          <w:rFonts w:asciiTheme="minorHAnsi" w:eastAsiaTheme="minorHAnsi" w:hAnsiTheme="minorHAnsi" w:cstheme="minorBidi"/>
          <w:snapToGrid/>
          <w:sz w:val="24"/>
          <w:szCs w:val="22"/>
        </w:rPr>
        <w:t xml:space="preserve">The </w:t>
      </w:r>
      <w:r w:rsidR="004A3846" w:rsidRPr="00B35FB6">
        <w:rPr>
          <w:rFonts w:asciiTheme="minorHAnsi" w:eastAsiaTheme="minorHAnsi" w:hAnsiTheme="minorHAnsi" w:cstheme="minorBidi"/>
          <w:snapToGrid/>
          <w:sz w:val="24"/>
          <w:szCs w:val="22"/>
        </w:rPr>
        <w:t>minor re</w:t>
      </w:r>
      <w:r w:rsidRPr="00B35FB6">
        <w:rPr>
          <w:rFonts w:asciiTheme="minorHAnsi" w:eastAsiaTheme="minorHAnsi" w:hAnsiTheme="minorHAnsi" w:cstheme="minorBidi"/>
          <w:snapToGrid/>
          <w:sz w:val="24"/>
          <w:szCs w:val="22"/>
        </w:rPr>
        <w:t xml:space="preserve">submission made the following </w:t>
      </w:r>
      <w:r w:rsidR="00591099" w:rsidRPr="00B35FB6">
        <w:rPr>
          <w:rFonts w:asciiTheme="minorHAnsi" w:eastAsiaTheme="minorHAnsi" w:hAnsiTheme="minorHAnsi" w:cstheme="minorBidi"/>
          <w:snapToGrid/>
          <w:sz w:val="24"/>
          <w:szCs w:val="22"/>
        </w:rPr>
        <w:t xml:space="preserve">changes </w:t>
      </w:r>
      <w:r w:rsidRPr="00B35FB6">
        <w:rPr>
          <w:rFonts w:asciiTheme="minorHAnsi" w:eastAsiaTheme="minorHAnsi" w:hAnsiTheme="minorHAnsi" w:cstheme="minorBidi"/>
          <w:snapToGrid/>
          <w:sz w:val="24"/>
          <w:szCs w:val="22"/>
        </w:rPr>
        <w:t>to the</w:t>
      </w:r>
      <w:r w:rsidR="00591099" w:rsidRPr="00B35FB6">
        <w:rPr>
          <w:rFonts w:asciiTheme="minorHAnsi" w:eastAsiaTheme="minorHAnsi" w:hAnsiTheme="minorHAnsi" w:cstheme="minorBidi"/>
          <w:snapToGrid/>
          <w:sz w:val="24"/>
          <w:szCs w:val="22"/>
        </w:rPr>
        <w:t xml:space="preserve"> base case</w:t>
      </w:r>
      <w:r w:rsidRPr="00B35FB6">
        <w:rPr>
          <w:rFonts w:asciiTheme="minorHAnsi" w:eastAsiaTheme="minorHAnsi" w:hAnsiTheme="minorHAnsi" w:cstheme="minorBidi"/>
          <w:snapToGrid/>
          <w:sz w:val="24"/>
          <w:szCs w:val="22"/>
        </w:rPr>
        <w:t xml:space="preserve"> economic evaluation presented in the July 2017 submission:</w:t>
      </w:r>
    </w:p>
    <w:p w:rsidR="00FD35BB" w:rsidRDefault="00DA72CF" w:rsidP="00FD35BB">
      <w:pPr>
        <w:pStyle w:val="ListParagraph"/>
        <w:widowControl/>
        <w:numPr>
          <w:ilvl w:val="0"/>
          <w:numId w:val="15"/>
        </w:numPr>
        <w:spacing w:after="120"/>
        <w:contextualSpacing w:val="0"/>
        <w:rPr>
          <w:rFonts w:asciiTheme="minorHAnsi" w:eastAsiaTheme="minorHAnsi" w:hAnsiTheme="minorHAnsi" w:cstheme="minorBidi"/>
          <w:snapToGrid/>
          <w:sz w:val="24"/>
          <w:szCs w:val="22"/>
        </w:rPr>
      </w:pPr>
      <w:r w:rsidRPr="00DA72CF">
        <w:rPr>
          <w:rFonts w:asciiTheme="minorHAnsi" w:eastAsiaTheme="minorHAnsi" w:hAnsiTheme="minorHAnsi" w:cstheme="minorBidi"/>
          <w:snapToGrid/>
          <w:sz w:val="24"/>
          <w:szCs w:val="22"/>
        </w:rPr>
        <w:t>The up</w:t>
      </w:r>
      <w:r>
        <w:rPr>
          <w:rFonts w:asciiTheme="minorHAnsi" w:eastAsiaTheme="minorHAnsi" w:hAnsiTheme="minorHAnsi" w:cstheme="minorBidi"/>
          <w:snapToGrid/>
          <w:sz w:val="24"/>
          <w:szCs w:val="22"/>
        </w:rPr>
        <w:t xml:space="preserve">dated dispensing fee of $7.15 </w:t>
      </w:r>
      <w:r w:rsidR="00591099">
        <w:rPr>
          <w:rFonts w:asciiTheme="minorHAnsi" w:eastAsiaTheme="minorHAnsi" w:hAnsiTheme="minorHAnsi" w:cstheme="minorBidi"/>
          <w:snapToGrid/>
          <w:sz w:val="24"/>
          <w:szCs w:val="22"/>
        </w:rPr>
        <w:t xml:space="preserve">as at 1 July 2017 </w:t>
      </w:r>
      <w:r>
        <w:rPr>
          <w:rFonts w:asciiTheme="minorHAnsi" w:eastAsiaTheme="minorHAnsi" w:hAnsiTheme="minorHAnsi" w:cstheme="minorBidi"/>
          <w:snapToGrid/>
          <w:sz w:val="24"/>
          <w:szCs w:val="22"/>
        </w:rPr>
        <w:t xml:space="preserve">was applied. </w:t>
      </w:r>
    </w:p>
    <w:p w:rsidR="00DA72CF" w:rsidRDefault="00E966FD" w:rsidP="00FD35BB">
      <w:pPr>
        <w:pStyle w:val="ListParagraph"/>
        <w:widowControl/>
        <w:numPr>
          <w:ilvl w:val="0"/>
          <w:numId w:val="1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Updated the proposed rebate on the DPMQ</w:t>
      </w:r>
      <w:r w:rsidR="008B4F6C">
        <w:rPr>
          <w:rFonts w:asciiTheme="minorHAnsi" w:eastAsiaTheme="minorHAnsi" w:hAnsiTheme="minorHAnsi" w:cstheme="minorBidi"/>
          <w:snapToGrid/>
          <w:sz w:val="24"/>
          <w:szCs w:val="22"/>
        </w:rPr>
        <w:t>s</w:t>
      </w:r>
      <w:r>
        <w:rPr>
          <w:rFonts w:asciiTheme="minorHAnsi" w:eastAsiaTheme="minorHAnsi" w:hAnsiTheme="minorHAnsi" w:cstheme="minorBidi"/>
          <w:snapToGrid/>
          <w:sz w:val="24"/>
          <w:szCs w:val="22"/>
        </w:rPr>
        <w:t xml:space="preserve"> to </w:t>
      </w:r>
      <w:r w:rsidR="00D161DB">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 xml:space="preserve">% from </w:t>
      </w:r>
      <w:r w:rsidR="00D161DB">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w:t>
      </w:r>
    </w:p>
    <w:p w:rsidR="00E966FD" w:rsidRDefault="00E966FD" w:rsidP="00FD35BB">
      <w:pPr>
        <w:pStyle w:val="ListParagraph"/>
        <w:widowControl/>
        <w:numPr>
          <w:ilvl w:val="0"/>
          <w:numId w:val="1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revised </w:t>
      </w:r>
      <w:r w:rsidR="00CA7220">
        <w:rPr>
          <w:rFonts w:asciiTheme="minorHAnsi" w:eastAsiaTheme="minorHAnsi" w:hAnsiTheme="minorHAnsi" w:cstheme="minorBidi"/>
          <w:snapToGrid/>
          <w:sz w:val="24"/>
          <w:szCs w:val="22"/>
        </w:rPr>
        <w:t>effective AEMPs are applied.</w:t>
      </w:r>
    </w:p>
    <w:p w:rsidR="00CD591E" w:rsidRPr="00CD591E" w:rsidRDefault="00C26906" w:rsidP="00CD591E">
      <w:pPr>
        <w:pStyle w:val="ListParagraph"/>
        <w:numPr>
          <w:ilvl w:val="1"/>
          <w:numId w:val="5"/>
        </w:numPr>
        <w:spacing w:after="120"/>
        <w:rPr>
          <w:rFonts w:asciiTheme="minorHAnsi" w:hAnsiTheme="minorHAnsi"/>
          <w:sz w:val="24"/>
          <w:szCs w:val="22"/>
        </w:rPr>
      </w:pPr>
      <w:r>
        <w:rPr>
          <w:rFonts w:asciiTheme="minorHAnsi" w:hAnsiTheme="minorHAnsi"/>
          <w:sz w:val="24"/>
          <w:szCs w:val="22"/>
        </w:rPr>
        <w:t>Results</w:t>
      </w:r>
      <w:r w:rsidR="00CA7220" w:rsidRPr="00CA7220">
        <w:rPr>
          <w:rFonts w:asciiTheme="minorHAnsi" w:hAnsiTheme="minorHAnsi"/>
          <w:sz w:val="24"/>
          <w:szCs w:val="22"/>
        </w:rPr>
        <w:t xml:space="preserve"> of the revised economic analysi</w:t>
      </w:r>
      <w:r>
        <w:rPr>
          <w:rFonts w:asciiTheme="minorHAnsi" w:hAnsiTheme="minorHAnsi"/>
          <w:sz w:val="24"/>
          <w:szCs w:val="22"/>
        </w:rPr>
        <w:t>s are presented in Table 2</w:t>
      </w:r>
      <w:r w:rsidR="00CA7220" w:rsidRPr="00CA7220">
        <w:rPr>
          <w:rFonts w:asciiTheme="minorHAnsi" w:hAnsiTheme="minorHAnsi"/>
          <w:sz w:val="24"/>
          <w:szCs w:val="22"/>
        </w:rPr>
        <w:t>.</w:t>
      </w:r>
    </w:p>
    <w:p w:rsidR="00CA7220" w:rsidRPr="007B28E7" w:rsidRDefault="00CA7220" w:rsidP="00CA7220">
      <w:pPr>
        <w:keepNext/>
        <w:rPr>
          <w:rFonts w:ascii="Arial Narrow" w:hAnsi="Arial Narrow"/>
          <w:b/>
          <w:sz w:val="20"/>
          <w:szCs w:val="22"/>
        </w:rPr>
      </w:pPr>
      <w:r w:rsidRPr="007B28E7">
        <w:rPr>
          <w:rFonts w:ascii="Arial Narrow" w:hAnsi="Arial Narrow"/>
          <w:b/>
          <w:sz w:val="20"/>
          <w:szCs w:val="22"/>
        </w:rPr>
        <w:t xml:space="preserve">Table </w:t>
      </w:r>
      <w:r>
        <w:rPr>
          <w:rFonts w:ascii="Arial Narrow" w:hAnsi="Arial Narrow"/>
          <w:b/>
          <w:sz w:val="20"/>
          <w:szCs w:val="22"/>
        </w:rPr>
        <w:t>2</w:t>
      </w:r>
      <w:r w:rsidRPr="007B28E7">
        <w:rPr>
          <w:rFonts w:ascii="Arial Narrow" w:hAnsi="Arial Narrow"/>
          <w:b/>
          <w:sz w:val="20"/>
          <w:szCs w:val="22"/>
        </w:rPr>
        <w:t xml:space="preserve">: Results of the economic analysis </w:t>
      </w:r>
    </w:p>
    <w:tbl>
      <w:tblPr>
        <w:tblStyle w:val="TableGrid"/>
        <w:tblW w:w="5000" w:type="pct"/>
        <w:tblCellMar>
          <w:top w:w="28" w:type="dxa"/>
          <w:left w:w="28" w:type="dxa"/>
          <w:bottom w:w="28" w:type="dxa"/>
          <w:right w:w="28" w:type="dxa"/>
        </w:tblCellMar>
        <w:tblLook w:val="04A0" w:firstRow="1" w:lastRow="0" w:firstColumn="1" w:lastColumn="0" w:noHBand="0" w:noVBand="1"/>
        <w:tblCaption w:val="Table 2: Results of the economic analysis "/>
      </w:tblPr>
      <w:tblGrid>
        <w:gridCol w:w="4032"/>
        <w:gridCol w:w="2536"/>
        <w:gridCol w:w="1386"/>
        <w:gridCol w:w="1128"/>
      </w:tblGrid>
      <w:tr w:rsidR="00CA7220" w:rsidRPr="007B28E7" w:rsidTr="00A67415">
        <w:trPr>
          <w:trHeight w:val="186"/>
          <w:tblHeader/>
        </w:trPr>
        <w:tc>
          <w:tcPr>
            <w:tcW w:w="2220" w:type="pct"/>
            <w:shd w:val="clear" w:color="auto" w:fill="FFFFFF" w:themeFill="background1"/>
          </w:tcPr>
          <w:p w:rsidR="00CA7220" w:rsidRPr="007B28E7" w:rsidRDefault="00CA7220" w:rsidP="00926F39">
            <w:pPr>
              <w:pStyle w:val="TableText0"/>
              <w:spacing w:before="40" w:after="40" w:line="240" w:lineRule="auto"/>
              <w:contextualSpacing/>
              <w:rPr>
                <w:b/>
                <w:sz w:val="20"/>
                <w:szCs w:val="20"/>
              </w:rPr>
            </w:pPr>
          </w:p>
        </w:tc>
        <w:tc>
          <w:tcPr>
            <w:tcW w:w="1396" w:type="pct"/>
            <w:shd w:val="clear" w:color="auto" w:fill="FFFFFF" w:themeFill="background1"/>
            <w:vAlign w:val="center"/>
          </w:tcPr>
          <w:p w:rsidR="00CA7220" w:rsidRPr="007B28E7" w:rsidRDefault="00CA7220" w:rsidP="00926F39">
            <w:pPr>
              <w:pStyle w:val="TableText0"/>
              <w:spacing w:before="40" w:after="40" w:line="240" w:lineRule="auto"/>
              <w:contextualSpacing/>
              <w:jc w:val="center"/>
              <w:rPr>
                <w:b/>
                <w:sz w:val="20"/>
                <w:szCs w:val="20"/>
              </w:rPr>
            </w:pPr>
            <w:r w:rsidRPr="007B28E7">
              <w:rPr>
                <w:b/>
                <w:sz w:val="20"/>
                <w:szCs w:val="20"/>
              </w:rPr>
              <w:t>Trifluridine/tipiracil arm</w:t>
            </w:r>
          </w:p>
        </w:tc>
        <w:tc>
          <w:tcPr>
            <w:tcW w:w="763" w:type="pct"/>
            <w:shd w:val="clear" w:color="auto" w:fill="FFFFFF" w:themeFill="background1"/>
            <w:vAlign w:val="center"/>
          </w:tcPr>
          <w:p w:rsidR="00CA7220" w:rsidRPr="007B28E7" w:rsidRDefault="00CA7220" w:rsidP="00926F39">
            <w:pPr>
              <w:pStyle w:val="TableText0"/>
              <w:spacing w:before="40" w:after="40" w:line="240" w:lineRule="auto"/>
              <w:contextualSpacing/>
              <w:jc w:val="center"/>
              <w:rPr>
                <w:b/>
                <w:sz w:val="20"/>
                <w:szCs w:val="20"/>
              </w:rPr>
            </w:pPr>
            <w:r w:rsidRPr="007B28E7">
              <w:rPr>
                <w:b/>
                <w:sz w:val="20"/>
                <w:szCs w:val="20"/>
              </w:rPr>
              <w:t>Placebo arm</w:t>
            </w:r>
          </w:p>
        </w:tc>
        <w:tc>
          <w:tcPr>
            <w:tcW w:w="621" w:type="pct"/>
            <w:shd w:val="clear" w:color="auto" w:fill="FFFFFF" w:themeFill="background1"/>
            <w:vAlign w:val="center"/>
          </w:tcPr>
          <w:p w:rsidR="00CA7220" w:rsidRPr="007B28E7" w:rsidRDefault="00CA7220" w:rsidP="00926F39">
            <w:pPr>
              <w:pStyle w:val="TableText0"/>
              <w:spacing w:before="40" w:after="40" w:line="240" w:lineRule="auto"/>
              <w:contextualSpacing/>
              <w:jc w:val="center"/>
              <w:rPr>
                <w:b/>
                <w:sz w:val="20"/>
                <w:szCs w:val="20"/>
              </w:rPr>
            </w:pPr>
            <w:r w:rsidRPr="007B28E7">
              <w:rPr>
                <w:b/>
                <w:sz w:val="20"/>
                <w:szCs w:val="20"/>
              </w:rPr>
              <w:t>Increment</w:t>
            </w:r>
          </w:p>
        </w:tc>
      </w:tr>
      <w:tr w:rsidR="00CA7220" w:rsidRPr="007B28E7" w:rsidTr="00CA7220">
        <w:trPr>
          <w:trHeight w:val="48"/>
        </w:trPr>
        <w:tc>
          <w:tcPr>
            <w:tcW w:w="2220" w:type="pct"/>
            <w:vAlign w:val="bottom"/>
          </w:tcPr>
          <w:p w:rsidR="00CA7220" w:rsidRPr="007B28E7" w:rsidRDefault="00CA7220" w:rsidP="00926F39">
            <w:pPr>
              <w:pStyle w:val="TableText0"/>
              <w:spacing w:before="40" w:after="40" w:line="240" w:lineRule="auto"/>
              <w:contextualSpacing/>
              <w:rPr>
                <w:b/>
                <w:sz w:val="20"/>
                <w:szCs w:val="20"/>
              </w:rPr>
            </w:pPr>
            <w:r w:rsidRPr="007B28E7">
              <w:rPr>
                <w:b/>
                <w:sz w:val="20"/>
                <w:szCs w:val="20"/>
              </w:rPr>
              <w:t>Costs</w:t>
            </w:r>
          </w:p>
        </w:tc>
        <w:tc>
          <w:tcPr>
            <w:tcW w:w="1396" w:type="pct"/>
            <w:vAlign w:val="center"/>
          </w:tcPr>
          <w:p w:rsidR="00CA7220" w:rsidRPr="007B28E7" w:rsidRDefault="00CA7220" w:rsidP="00926F39">
            <w:pPr>
              <w:pStyle w:val="TableText0"/>
              <w:spacing w:before="40" w:after="40" w:line="240" w:lineRule="auto"/>
              <w:contextualSpacing/>
              <w:jc w:val="center"/>
              <w:rPr>
                <w:sz w:val="20"/>
                <w:szCs w:val="20"/>
              </w:rPr>
            </w:pPr>
          </w:p>
        </w:tc>
        <w:tc>
          <w:tcPr>
            <w:tcW w:w="763" w:type="pct"/>
            <w:vAlign w:val="center"/>
          </w:tcPr>
          <w:p w:rsidR="00CA7220" w:rsidRPr="007B28E7" w:rsidRDefault="00CA7220" w:rsidP="00926F39">
            <w:pPr>
              <w:pStyle w:val="TableText0"/>
              <w:spacing w:before="40" w:after="40" w:line="240" w:lineRule="auto"/>
              <w:contextualSpacing/>
              <w:jc w:val="center"/>
              <w:rPr>
                <w:sz w:val="20"/>
                <w:szCs w:val="20"/>
              </w:rPr>
            </w:pPr>
          </w:p>
        </w:tc>
        <w:tc>
          <w:tcPr>
            <w:tcW w:w="621" w:type="pct"/>
            <w:vAlign w:val="center"/>
          </w:tcPr>
          <w:p w:rsidR="00CA7220" w:rsidRPr="007B28E7" w:rsidRDefault="00CA7220" w:rsidP="00926F39">
            <w:pPr>
              <w:pStyle w:val="TableText0"/>
              <w:spacing w:before="40" w:after="40" w:line="240" w:lineRule="auto"/>
              <w:contextualSpacing/>
              <w:jc w:val="center"/>
              <w:rPr>
                <w:sz w:val="20"/>
                <w:szCs w:val="20"/>
              </w:rPr>
            </w:pPr>
          </w:p>
        </w:tc>
      </w:tr>
      <w:tr w:rsidR="00CA7220" w:rsidRPr="007B28E7" w:rsidTr="00CA7220">
        <w:trPr>
          <w:trHeight w:val="166"/>
        </w:trPr>
        <w:tc>
          <w:tcPr>
            <w:tcW w:w="2220" w:type="pct"/>
          </w:tcPr>
          <w:p w:rsidR="00CA7220" w:rsidRPr="007B28E7" w:rsidRDefault="00CA7220" w:rsidP="00926F39">
            <w:pPr>
              <w:pStyle w:val="TableText0"/>
              <w:spacing w:before="40" w:after="40" w:line="240" w:lineRule="auto"/>
              <w:contextualSpacing/>
              <w:rPr>
                <w:sz w:val="20"/>
                <w:szCs w:val="20"/>
              </w:rPr>
            </w:pPr>
            <w:r w:rsidRPr="007B28E7">
              <w:rPr>
                <w:sz w:val="20"/>
                <w:szCs w:val="20"/>
              </w:rPr>
              <w:t>Average total drug costs</w:t>
            </w:r>
          </w:p>
        </w:tc>
        <w:tc>
          <w:tcPr>
            <w:tcW w:w="1396" w:type="pct"/>
            <w:vAlign w:val="center"/>
          </w:tcPr>
          <w:p w:rsidR="00CA7220" w:rsidRPr="00D161DB" w:rsidRDefault="00D161DB" w:rsidP="00926F39">
            <w:pPr>
              <w:pStyle w:val="TableText0"/>
              <w:spacing w:before="40" w:after="40" w:line="240" w:lineRule="auto"/>
              <w:contextualSpacing/>
              <w:jc w:val="center"/>
              <w:rPr>
                <w:sz w:val="20"/>
                <w:szCs w:val="20"/>
                <w:highlight w:val="black"/>
              </w:rPr>
            </w:pPr>
            <w:r>
              <w:rPr>
                <w:noProof/>
                <w:color w:val="000000"/>
                <w:sz w:val="20"/>
                <w:szCs w:val="20"/>
                <w:highlight w:val="black"/>
              </w:rPr>
              <w:t xml:space="preserve">''''''''''''''''''''' </w:t>
            </w:r>
          </w:p>
        </w:tc>
        <w:tc>
          <w:tcPr>
            <w:tcW w:w="763" w:type="pct"/>
            <w:vAlign w:val="center"/>
          </w:tcPr>
          <w:p w:rsidR="00CA7220" w:rsidRPr="00D161DB" w:rsidRDefault="00D161DB" w:rsidP="00926F39">
            <w:pPr>
              <w:pStyle w:val="TableText0"/>
              <w:spacing w:before="40" w:after="40" w:line="240" w:lineRule="auto"/>
              <w:contextualSpacing/>
              <w:jc w:val="center"/>
              <w:rPr>
                <w:sz w:val="20"/>
                <w:szCs w:val="20"/>
                <w:highlight w:val="black"/>
              </w:rPr>
            </w:pPr>
            <w:r>
              <w:rPr>
                <w:noProof/>
                <w:color w:val="000000"/>
                <w:sz w:val="20"/>
                <w:szCs w:val="20"/>
                <w:highlight w:val="black"/>
              </w:rPr>
              <w:t>''''''''''''</w:t>
            </w:r>
          </w:p>
        </w:tc>
        <w:tc>
          <w:tcPr>
            <w:tcW w:w="621" w:type="pct"/>
            <w:vAlign w:val="center"/>
          </w:tcPr>
          <w:p w:rsidR="00CA7220" w:rsidRPr="00D161DB" w:rsidRDefault="00D161DB" w:rsidP="00926F39">
            <w:pPr>
              <w:pStyle w:val="TableText0"/>
              <w:spacing w:before="40" w:after="40" w:line="240" w:lineRule="auto"/>
              <w:contextualSpacing/>
              <w:jc w:val="center"/>
              <w:rPr>
                <w:sz w:val="20"/>
                <w:szCs w:val="20"/>
                <w:highlight w:val="black"/>
              </w:rPr>
            </w:pPr>
            <w:r>
              <w:rPr>
                <w:noProof/>
                <w:color w:val="000000"/>
                <w:sz w:val="20"/>
                <w:szCs w:val="20"/>
                <w:highlight w:val="black"/>
              </w:rPr>
              <w:t>'''''''''''''''''''''''</w:t>
            </w:r>
          </w:p>
        </w:tc>
      </w:tr>
      <w:tr w:rsidR="00CA7220" w:rsidRPr="007B28E7" w:rsidTr="00CA7220">
        <w:trPr>
          <w:trHeight w:val="32"/>
        </w:trPr>
        <w:tc>
          <w:tcPr>
            <w:tcW w:w="2220" w:type="pct"/>
          </w:tcPr>
          <w:p w:rsidR="00CA7220" w:rsidRPr="007B28E7" w:rsidRDefault="00CA7220" w:rsidP="00926F39">
            <w:pPr>
              <w:pStyle w:val="TableText0"/>
              <w:spacing w:before="40" w:after="40" w:line="240" w:lineRule="auto"/>
              <w:contextualSpacing/>
              <w:rPr>
                <w:sz w:val="20"/>
                <w:szCs w:val="20"/>
              </w:rPr>
            </w:pPr>
            <w:r w:rsidRPr="007B28E7">
              <w:rPr>
                <w:sz w:val="20"/>
                <w:szCs w:val="20"/>
              </w:rPr>
              <w:t>Average cost per patient to manage AEs</w:t>
            </w:r>
          </w:p>
        </w:tc>
        <w:tc>
          <w:tcPr>
            <w:tcW w:w="1396" w:type="pct"/>
            <w:vAlign w:val="center"/>
          </w:tcPr>
          <w:p w:rsidR="00CA7220" w:rsidRPr="00D161DB" w:rsidRDefault="00D161DB" w:rsidP="00926F39">
            <w:pPr>
              <w:pStyle w:val="TableText0"/>
              <w:spacing w:before="40" w:after="40" w:line="240" w:lineRule="auto"/>
              <w:contextualSpacing/>
              <w:jc w:val="center"/>
              <w:rPr>
                <w:sz w:val="20"/>
                <w:szCs w:val="20"/>
                <w:highlight w:val="black"/>
              </w:rPr>
            </w:pPr>
            <w:r>
              <w:rPr>
                <w:noProof/>
                <w:color w:val="000000"/>
                <w:sz w:val="20"/>
                <w:szCs w:val="20"/>
                <w:highlight w:val="black"/>
              </w:rPr>
              <w:t xml:space="preserve">'''''''''''''''''' </w:t>
            </w:r>
          </w:p>
        </w:tc>
        <w:tc>
          <w:tcPr>
            <w:tcW w:w="763" w:type="pct"/>
            <w:vAlign w:val="center"/>
          </w:tcPr>
          <w:p w:rsidR="00CA7220" w:rsidRPr="00D161DB" w:rsidRDefault="00D161DB" w:rsidP="00926F39">
            <w:pPr>
              <w:pStyle w:val="TableText0"/>
              <w:spacing w:before="40" w:after="40" w:line="240" w:lineRule="auto"/>
              <w:contextualSpacing/>
              <w:jc w:val="center"/>
              <w:rPr>
                <w:sz w:val="20"/>
                <w:szCs w:val="20"/>
                <w:highlight w:val="black"/>
              </w:rPr>
            </w:pPr>
            <w:r>
              <w:rPr>
                <w:noProof/>
                <w:color w:val="000000"/>
                <w:sz w:val="20"/>
                <w:szCs w:val="20"/>
                <w:highlight w:val="black"/>
              </w:rPr>
              <w:t>'''''''''''''</w:t>
            </w:r>
          </w:p>
        </w:tc>
        <w:tc>
          <w:tcPr>
            <w:tcW w:w="621" w:type="pct"/>
            <w:vAlign w:val="center"/>
          </w:tcPr>
          <w:p w:rsidR="00CA7220" w:rsidRPr="00D161DB" w:rsidRDefault="00D161DB" w:rsidP="00926F39">
            <w:pPr>
              <w:pStyle w:val="TableText0"/>
              <w:spacing w:before="40" w:after="40" w:line="240" w:lineRule="auto"/>
              <w:contextualSpacing/>
              <w:jc w:val="center"/>
              <w:rPr>
                <w:sz w:val="20"/>
                <w:szCs w:val="20"/>
                <w:highlight w:val="black"/>
              </w:rPr>
            </w:pPr>
            <w:r>
              <w:rPr>
                <w:noProof/>
                <w:color w:val="000000"/>
                <w:sz w:val="20"/>
                <w:szCs w:val="20"/>
                <w:highlight w:val="black"/>
              </w:rPr>
              <w:t>''''''''''''''''''''</w:t>
            </w:r>
          </w:p>
        </w:tc>
      </w:tr>
      <w:tr w:rsidR="00CA7220" w:rsidRPr="007B28E7" w:rsidTr="00CA7220">
        <w:trPr>
          <w:trHeight w:val="145"/>
        </w:trPr>
        <w:tc>
          <w:tcPr>
            <w:tcW w:w="2220" w:type="pct"/>
          </w:tcPr>
          <w:p w:rsidR="00CA7220" w:rsidRPr="007B28E7" w:rsidRDefault="00CA7220" w:rsidP="00926F39">
            <w:pPr>
              <w:pStyle w:val="TableText0"/>
              <w:spacing w:before="40" w:after="40" w:line="240" w:lineRule="auto"/>
              <w:contextualSpacing/>
              <w:rPr>
                <w:sz w:val="20"/>
                <w:szCs w:val="20"/>
              </w:rPr>
            </w:pPr>
            <w:r w:rsidRPr="007B28E7">
              <w:rPr>
                <w:sz w:val="20"/>
                <w:szCs w:val="20"/>
              </w:rPr>
              <w:t>Clinician visits</w:t>
            </w:r>
          </w:p>
        </w:tc>
        <w:tc>
          <w:tcPr>
            <w:tcW w:w="1396" w:type="pct"/>
            <w:vAlign w:val="center"/>
          </w:tcPr>
          <w:p w:rsidR="00CA7220" w:rsidRPr="00D161DB" w:rsidRDefault="00D161DB" w:rsidP="00926F39">
            <w:pPr>
              <w:pStyle w:val="TableText0"/>
              <w:spacing w:before="40" w:after="40" w:line="240" w:lineRule="auto"/>
              <w:contextualSpacing/>
              <w:jc w:val="center"/>
              <w:rPr>
                <w:sz w:val="20"/>
                <w:szCs w:val="20"/>
                <w:highlight w:val="black"/>
              </w:rPr>
            </w:pPr>
            <w:r>
              <w:rPr>
                <w:noProof/>
                <w:color w:val="000000"/>
                <w:sz w:val="20"/>
                <w:szCs w:val="20"/>
                <w:highlight w:val="black"/>
              </w:rPr>
              <w:t>'''''''''''''''''''''</w:t>
            </w:r>
          </w:p>
        </w:tc>
        <w:tc>
          <w:tcPr>
            <w:tcW w:w="763" w:type="pct"/>
            <w:vAlign w:val="center"/>
          </w:tcPr>
          <w:p w:rsidR="00CA7220" w:rsidRPr="00D161DB" w:rsidRDefault="00D161DB" w:rsidP="00926F39">
            <w:pPr>
              <w:pStyle w:val="TableText0"/>
              <w:spacing w:before="40" w:after="40" w:line="240" w:lineRule="auto"/>
              <w:contextualSpacing/>
              <w:jc w:val="center"/>
              <w:rPr>
                <w:sz w:val="20"/>
                <w:szCs w:val="20"/>
                <w:highlight w:val="black"/>
              </w:rPr>
            </w:pPr>
            <w:r>
              <w:rPr>
                <w:noProof/>
                <w:color w:val="000000"/>
                <w:sz w:val="20"/>
                <w:szCs w:val="20"/>
                <w:highlight w:val="black"/>
              </w:rPr>
              <w:t>''''''''''''''''''''</w:t>
            </w:r>
          </w:p>
        </w:tc>
        <w:tc>
          <w:tcPr>
            <w:tcW w:w="621" w:type="pct"/>
            <w:vAlign w:val="center"/>
          </w:tcPr>
          <w:p w:rsidR="00CA7220" w:rsidRPr="00D161DB" w:rsidRDefault="00D161DB" w:rsidP="00926F39">
            <w:pPr>
              <w:pStyle w:val="TableText0"/>
              <w:spacing w:before="40" w:after="40" w:line="240" w:lineRule="auto"/>
              <w:contextualSpacing/>
              <w:jc w:val="center"/>
              <w:rPr>
                <w:sz w:val="20"/>
                <w:szCs w:val="20"/>
                <w:highlight w:val="black"/>
              </w:rPr>
            </w:pPr>
            <w:r>
              <w:rPr>
                <w:noProof/>
                <w:color w:val="000000"/>
                <w:sz w:val="20"/>
                <w:szCs w:val="20"/>
                <w:highlight w:val="black"/>
              </w:rPr>
              <w:t>'''''''''''''''''''</w:t>
            </w:r>
          </w:p>
        </w:tc>
      </w:tr>
      <w:tr w:rsidR="00CA7220" w:rsidRPr="007B28E7" w:rsidTr="00CA7220">
        <w:trPr>
          <w:trHeight w:val="135"/>
        </w:trPr>
        <w:tc>
          <w:tcPr>
            <w:tcW w:w="2220" w:type="pct"/>
          </w:tcPr>
          <w:p w:rsidR="00CA7220" w:rsidRPr="007B28E7" w:rsidRDefault="00CA7220" w:rsidP="00926F39">
            <w:pPr>
              <w:pStyle w:val="TableText0"/>
              <w:spacing w:before="40" w:after="40" w:line="240" w:lineRule="auto"/>
              <w:contextualSpacing/>
              <w:rPr>
                <w:sz w:val="20"/>
                <w:szCs w:val="20"/>
              </w:rPr>
            </w:pPr>
            <w:r w:rsidRPr="007B28E7">
              <w:rPr>
                <w:sz w:val="20"/>
                <w:szCs w:val="20"/>
              </w:rPr>
              <w:t>Monitoring costs</w:t>
            </w:r>
          </w:p>
        </w:tc>
        <w:tc>
          <w:tcPr>
            <w:tcW w:w="1396" w:type="pct"/>
            <w:vAlign w:val="center"/>
          </w:tcPr>
          <w:p w:rsidR="00CA7220" w:rsidRPr="00D161DB" w:rsidRDefault="00D161DB" w:rsidP="00926F39">
            <w:pPr>
              <w:pStyle w:val="TableText0"/>
              <w:spacing w:before="40" w:after="40" w:line="240" w:lineRule="auto"/>
              <w:contextualSpacing/>
              <w:jc w:val="center"/>
              <w:rPr>
                <w:sz w:val="20"/>
                <w:szCs w:val="20"/>
                <w:highlight w:val="black"/>
              </w:rPr>
            </w:pPr>
            <w:r>
              <w:rPr>
                <w:noProof/>
                <w:color w:val="000000"/>
                <w:sz w:val="20"/>
                <w:szCs w:val="20"/>
                <w:highlight w:val="black"/>
              </w:rPr>
              <w:t>'''''''''''''''</w:t>
            </w:r>
          </w:p>
        </w:tc>
        <w:tc>
          <w:tcPr>
            <w:tcW w:w="763" w:type="pct"/>
            <w:vAlign w:val="center"/>
          </w:tcPr>
          <w:p w:rsidR="00CA7220" w:rsidRPr="00D161DB" w:rsidRDefault="00D161DB" w:rsidP="00926F39">
            <w:pPr>
              <w:pStyle w:val="TableText0"/>
              <w:spacing w:before="40" w:after="40" w:line="240" w:lineRule="auto"/>
              <w:contextualSpacing/>
              <w:jc w:val="center"/>
              <w:rPr>
                <w:sz w:val="20"/>
                <w:szCs w:val="20"/>
                <w:highlight w:val="black"/>
              </w:rPr>
            </w:pPr>
            <w:r>
              <w:rPr>
                <w:noProof/>
                <w:color w:val="000000"/>
                <w:sz w:val="20"/>
                <w:szCs w:val="20"/>
                <w:highlight w:val="black"/>
              </w:rPr>
              <w:t>'''''''''''''''</w:t>
            </w:r>
          </w:p>
        </w:tc>
        <w:tc>
          <w:tcPr>
            <w:tcW w:w="621" w:type="pct"/>
            <w:vAlign w:val="center"/>
          </w:tcPr>
          <w:p w:rsidR="00CA7220" w:rsidRPr="00D161DB" w:rsidRDefault="00D161DB" w:rsidP="00926F39">
            <w:pPr>
              <w:pStyle w:val="TableText0"/>
              <w:spacing w:before="40" w:after="40" w:line="240" w:lineRule="auto"/>
              <w:contextualSpacing/>
              <w:jc w:val="center"/>
              <w:rPr>
                <w:sz w:val="20"/>
                <w:szCs w:val="20"/>
                <w:highlight w:val="black"/>
              </w:rPr>
            </w:pPr>
            <w:r>
              <w:rPr>
                <w:noProof/>
                <w:color w:val="000000"/>
                <w:sz w:val="20"/>
                <w:szCs w:val="20"/>
                <w:highlight w:val="black"/>
              </w:rPr>
              <w:t>''''''''''''''''</w:t>
            </w:r>
          </w:p>
        </w:tc>
      </w:tr>
      <w:tr w:rsidR="00CA7220" w:rsidRPr="007B28E7" w:rsidTr="00CA7220">
        <w:trPr>
          <w:trHeight w:val="125"/>
        </w:trPr>
        <w:tc>
          <w:tcPr>
            <w:tcW w:w="2220" w:type="pct"/>
            <w:tcBorders>
              <w:bottom w:val="double" w:sz="4" w:space="0" w:color="auto"/>
            </w:tcBorders>
            <w:vAlign w:val="bottom"/>
          </w:tcPr>
          <w:p w:rsidR="00CA7220" w:rsidRPr="007B28E7" w:rsidRDefault="00CA7220" w:rsidP="00926F39">
            <w:pPr>
              <w:pStyle w:val="TableText0"/>
              <w:spacing w:before="40" w:after="40" w:line="240" w:lineRule="auto"/>
              <w:contextualSpacing/>
              <w:rPr>
                <w:b/>
                <w:sz w:val="20"/>
                <w:szCs w:val="20"/>
              </w:rPr>
            </w:pPr>
            <w:r w:rsidRPr="007B28E7">
              <w:rPr>
                <w:b/>
                <w:sz w:val="20"/>
                <w:szCs w:val="20"/>
              </w:rPr>
              <w:t>Total costs</w:t>
            </w:r>
          </w:p>
        </w:tc>
        <w:tc>
          <w:tcPr>
            <w:tcW w:w="1396" w:type="pct"/>
            <w:tcBorders>
              <w:bottom w:val="double" w:sz="4" w:space="0" w:color="auto"/>
            </w:tcBorders>
            <w:vAlign w:val="center"/>
          </w:tcPr>
          <w:p w:rsidR="00CA7220" w:rsidRPr="00D161DB" w:rsidRDefault="00D161DB" w:rsidP="00926F39">
            <w:pPr>
              <w:pStyle w:val="TableText0"/>
              <w:spacing w:before="40" w:after="40" w:line="240" w:lineRule="auto"/>
              <w:contextualSpacing/>
              <w:jc w:val="center"/>
              <w:rPr>
                <w:sz w:val="20"/>
                <w:szCs w:val="20"/>
                <w:highlight w:val="black"/>
              </w:rPr>
            </w:pPr>
            <w:r>
              <w:rPr>
                <w:noProof/>
                <w:color w:val="000000"/>
                <w:sz w:val="20"/>
                <w:szCs w:val="20"/>
                <w:highlight w:val="black"/>
              </w:rPr>
              <w:t>''''''''''''''''''''''</w:t>
            </w:r>
          </w:p>
        </w:tc>
        <w:tc>
          <w:tcPr>
            <w:tcW w:w="763" w:type="pct"/>
            <w:tcBorders>
              <w:bottom w:val="double" w:sz="4" w:space="0" w:color="auto"/>
            </w:tcBorders>
            <w:vAlign w:val="center"/>
          </w:tcPr>
          <w:p w:rsidR="00CA7220" w:rsidRPr="00D161DB" w:rsidRDefault="00D161DB" w:rsidP="00926F39">
            <w:pPr>
              <w:pStyle w:val="TableText0"/>
              <w:spacing w:before="40" w:after="40" w:line="240" w:lineRule="auto"/>
              <w:contextualSpacing/>
              <w:jc w:val="center"/>
              <w:rPr>
                <w:sz w:val="20"/>
                <w:szCs w:val="20"/>
                <w:highlight w:val="black"/>
              </w:rPr>
            </w:pPr>
            <w:r>
              <w:rPr>
                <w:noProof/>
                <w:color w:val="000000"/>
                <w:sz w:val="20"/>
                <w:szCs w:val="20"/>
                <w:highlight w:val="black"/>
              </w:rPr>
              <w:t>'''''''''''''''''</w:t>
            </w:r>
          </w:p>
        </w:tc>
        <w:tc>
          <w:tcPr>
            <w:tcW w:w="621" w:type="pct"/>
            <w:tcBorders>
              <w:bottom w:val="double" w:sz="4" w:space="0" w:color="auto"/>
            </w:tcBorders>
            <w:vAlign w:val="center"/>
          </w:tcPr>
          <w:p w:rsidR="00CA7220" w:rsidRPr="00D161DB" w:rsidRDefault="00D161DB" w:rsidP="00926F39">
            <w:pPr>
              <w:pStyle w:val="TableText0"/>
              <w:spacing w:before="40" w:after="40" w:line="240" w:lineRule="auto"/>
              <w:contextualSpacing/>
              <w:jc w:val="center"/>
              <w:rPr>
                <w:sz w:val="20"/>
                <w:szCs w:val="20"/>
                <w:highlight w:val="black"/>
              </w:rPr>
            </w:pPr>
            <w:r>
              <w:rPr>
                <w:noProof/>
                <w:color w:val="000000"/>
                <w:sz w:val="20"/>
                <w:szCs w:val="20"/>
                <w:highlight w:val="black"/>
              </w:rPr>
              <w:t>''''''''''''''''''''''</w:t>
            </w:r>
          </w:p>
        </w:tc>
      </w:tr>
      <w:tr w:rsidR="00CA7220" w:rsidRPr="007B28E7" w:rsidTr="00CA7220">
        <w:trPr>
          <w:trHeight w:val="95"/>
        </w:trPr>
        <w:tc>
          <w:tcPr>
            <w:tcW w:w="2220" w:type="pct"/>
            <w:tcBorders>
              <w:top w:val="double" w:sz="4" w:space="0" w:color="auto"/>
            </w:tcBorders>
            <w:vAlign w:val="bottom"/>
          </w:tcPr>
          <w:p w:rsidR="00CA7220" w:rsidRPr="007B28E7" w:rsidRDefault="00CA7220" w:rsidP="00926F39">
            <w:pPr>
              <w:pStyle w:val="TableText0"/>
              <w:spacing w:before="40" w:after="40" w:line="240" w:lineRule="auto"/>
              <w:contextualSpacing/>
              <w:rPr>
                <w:b/>
                <w:sz w:val="20"/>
                <w:szCs w:val="20"/>
              </w:rPr>
            </w:pPr>
            <w:r w:rsidRPr="007B28E7">
              <w:rPr>
                <w:b/>
                <w:sz w:val="20"/>
                <w:szCs w:val="20"/>
              </w:rPr>
              <w:t>Outcomes</w:t>
            </w:r>
          </w:p>
        </w:tc>
        <w:tc>
          <w:tcPr>
            <w:tcW w:w="1396" w:type="pct"/>
            <w:tcBorders>
              <w:top w:val="double" w:sz="4" w:space="0" w:color="auto"/>
            </w:tcBorders>
            <w:vAlign w:val="center"/>
          </w:tcPr>
          <w:p w:rsidR="00CA7220" w:rsidRPr="007B28E7" w:rsidRDefault="00CA7220" w:rsidP="00926F39">
            <w:pPr>
              <w:pStyle w:val="TableText0"/>
              <w:spacing w:before="40" w:after="40" w:line="240" w:lineRule="auto"/>
              <w:contextualSpacing/>
              <w:jc w:val="center"/>
              <w:rPr>
                <w:sz w:val="20"/>
                <w:szCs w:val="20"/>
              </w:rPr>
            </w:pPr>
          </w:p>
        </w:tc>
        <w:tc>
          <w:tcPr>
            <w:tcW w:w="763" w:type="pct"/>
            <w:tcBorders>
              <w:top w:val="double" w:sz="4" w:space="0" w:color="auto"/>
            </w:tcBorders>
            <w:vAlign w:val="center"/>
          </w:tcPr>
          <w:p w:rsidR="00CA7220" w:rsidRPr="007B28E7" w:rsidRDefault="00CA7220" w:rsidP="00926F39">
            <w:pPr>
              <w:pStyle w:val="TableText0"/>
              <w:spacing w:before="40" w:after="40" w:line="240" w:lineRule="auto"/>
              <w:contextualSpacing/>
              <w:jc w:val="center"/>
              <w:rPr>
                <w:sz w:val="20"/>
                <w:szCs w:val="20"/>
              </w:rPr>
            </w:pPr>
          </w:p>
        </w:tc>
        <w:tc>
          <w:tcPr>
            <w:tcW w:w="621" w:type="pct"/>
            <w:tcBorders>
              <w:top w:val="double" w:sz="4" w:space="0" w:color="auto"/>
            </w:tcBorders>
            <w:vAlign w:val="center"/>
          </w:tcPr>
          <w:p w:rsidR="00CA7220" w:rsidRPr="007B28E7" w:rsidRDefault="00CA7220" w:rsidP="00926F39">
            <w:pPr>
              <w:pStyle w:val="TableText0"/>
              <w:spacing w:before="40" w:after="40" w:line="240" w:lineRule="auto"/>
              <w:contextualSpacing/>
              <w:jc w:val="center"/>
              <w:rPr>
                <w:sz w:val="20"/>
                <w:szCs w:val="20"/>
              </w:rPr>
            </w:pPr>
          </w:p>
        </w:tc>
      </w:tr>
      <w:tr w:rsidR="00CA7220" w:rsidRPr="007B28E7" w:rsidTr="00CA7220">
        <w:trPr>
          <w:trHeight w:val="78"/>
        </w:trPr>
        <w:tc>
          <w:tcPr>
            <w:tcW w:w="2220" w:type="pct"/>
            <w:vAlign w:val="bottom"/>
          </w:tcPr>
          <w:p w:rsidR="00CA7220" w:rsidRPr="007B28E7" w:rsidRDefault="00CA7220" w:rsidP="00926F39">
            <w:pPr>
              <w:pStyle w:val="TableText0"/>
              <w:spacing w:before="40" w:after="40" w:line="240" w:lineRule="auto"/>
              <w:contextualSpacing/>
              <w:rPr>
                <w:sz w:val="20"/>
                <w:szCs w:val="20"/>
              </w:rPr>
            </w:pPr>
            <w:r w:rsidRPr="007B28E7">
              <w:rPr>
                <w:sz w:val="20"/>
                <w:szCs w:val="20"/>
              </w:rPr>
              <w:t>Mean OS (in months)</w:t>
            </w:r>
          </w:p>
        </w:tc>
        <w:tc>
          <w:tcPr>
            <w:tcW w:w="1396" w:type="pct"/>
            <w:vAlign w:val="center"/>
          </w:tcPr>
          <w:p w:rsidR="00CA7220" w:rsidRPr="007B28E7" w:rsidRDefault="00CA7220" w:rsidP="00926F39">
            <w:pPr>
              <w:pStyle w:val="TableText0"/>
              <w:spacing w:before="40" w:after="40" w:line="240" w:lineRule="auto"/>
              <w:contextualSpacing/>
              <w:jc w:val="center"/>
              <w:rPr>
                <w:sz w:val="20"/>
                <w:szCs w:val="20"/>
              </w:rPr>
            </w:pPr>
            <w:r w:rsidRPr="007B28E7">
              <w:rPr>
                <w:sz w:val="20"/>
                <w:szCs w:val="20"/>
              </w:rPr>
              <w:t>10.0</w:t>
            </w:r>
          </w:p>
        </w:tc>
        <w:tc>
          <w:tcPr>
            <w:tcW w:w="763" w:type="pct"/>
            <w:vAlign w:val="center"/>
          </w:tcPr>
          <w:p w:rsidR="00CA7220" w:rsidRPr="007B28E7" w:rsidRDefault="00CA7220" w:rsidP="00926F39">
            <w:pPr>
              <w:pStyle w:val="TableText0"/>
              <w:spacing w:before="40" w:after="40" w:line="240" w:lineRule="auto"/>
              <w:contextualSpacing/>
              <w:jc w:val="center"/>
              <w:rPr>
                <w:sz w:val="20"/>
                <w:szCs w:val="20"/>
              </w:rPr>
            </w:pPr>
            <w:r w:rsidRPr="007B28E7">
              <w:rPr>
                <w:sz w:val="20"/>
                <w:szCs w:val="20"/>
              </w:rPr>
              <w:t>7.4</w:t>
            </w:r>
          </w:p>
        </w:tc>
        <w:tc>
          <w:tcPr>
            <w:tcW w:w="621" w:type="pct"/>
            <w:vAlign w:val="center"/>
          </w:tcPr>
          <w:p w:rsidR="00CA7220" w:rsidRPr="007B28E7" w:rsidRDefault="00CA7220" w:rsidP="00926F39">
            <w:pPr>
              <w:pStyle w:val="TableText0"/>
              <w:spacing w:before="40" w:after="40" w:line="240" w:lineRule="auto"/>
              <w:contextualSpacing/>
              <w:jc w:val="center"/>
              <w:rPr>
                <w:sz w:val="20"/>
                <w:szCs w:val="20"/>
              </w:rPr>
            </w:pPr>
            <w:r w:rsidRPr="007B28E7">
              <w:rPr>
                <w:sz w:val="20"/>
                <w:szCs w:val="20"/>
              </w:rPr>
              <w:t>2.6</w:t>
            </w:r>
          </w:p>
        </w:tc>
      </w:tr>
      <w:tr w:rsidR="00CA7220" w:rsidRPr="007B28E7" w:rsidTr="00CA7220">
        <w:trPr>
          <w:trHeight w:val="67"/>
        </w:trPr>
        <w:tc>
          <w:tcPr>
            <w:tcW w:w="2220" w:type="pct"/>
            <w:vAlign w:val="bottom"/>
          </w:tcPr>
          <w:p w:rsidR="00CA7220" w:rsidRPr="007B28E7" w:rsidRDefault="00CA7220" w:rsidP="00926F39">
            <w:pPr>
              <w:pStyle w:val="TableText0"/>
              <w:spacing w:before="40" w:after="40" w:line="240" w:lineRule="auto"/>
              <w:contextualSpacing/>
              <w:rPr>
                <w:sz w:val="20"/>
                <w:szCs w:val="20"/>
              </w:rPr>
            </w:pPr>
            <w:r w:rsidRPr="007B28E7">
              <w:rPr>
                <w:sz w:val="20"/>
                <w:szCs w:val="20"/>
              </w:rPr>
              <w:t>Mean OS (in years)</w:t>
            </w:r>
          </w:p>
        </w:tc>
        <w:tc>
          <w:tcPr>
            <w:tcW w:w="1396" w:type="pct"/>
            <w:vAlign w:val="center"/>
          </w:tcPr>
          <w:p w:rsidR="00CA7220" w:rsidRPr="007B28E7" w:rsidRDefault="00CA7220" w:rsidP="00926F39">
            <w:pPr>
              <w:pStyle w:val="TableText0"/>
              <w:spacing w:before="40" w:after="40" w:line="240" w:lineRule="auto"/>
              <w:contextualSpacing/>
              <w:jc w:val="center"/>
              <w:rPr>
                <w:sz w:val="20"/>
                <w:szCs w:val="20"/>
              </w:rPr>
            </w:pPr>
            <w:r w:rsidRPr="007B28E7">
              <w:rPr>
                <w:sz w:val="20"/>
                <w:szCs w:val="20"/>
              </w:rPr>
              <w:t>0.84</w:t>
            </w:r>
          </w:p>
        </w:tc>
        <w:tc>
          <w:tcPr>
            <w:tcW w:w="763" w:type="pct"/>
            <w:vAlign w:val="center"/>
          </w:tcPr>
          <w:p w:rsidR="00CA7220" w:rsidRPr="007B28E7" w:rsidRDefault="00CA7220" w:rsidP="00926F39">
            <w:pPr>
              <w:pStyle w:val="TableText0"/>
              <w:spacing w:before="40" w:after="40" w:line="240" w:lineRule="auto"/>
              <w:contextualSpacing/>
              <w:jc w:val="center"/>
              <w:rPr>
                <w:sz w:val="20"/>
                <w:szCs w:val="20"/>
              </w:rPr>
            </w:pPr>
            <w:r w:rsidRPr="007B28E7">
              <w:rPr>
                <w:sz w:val="20"/>
                <w:szCs w:val="20"/>
              </w:rPr>
              <w:t>0.62</w:t>
            </w:r>
          </w:p>
        </w:tc>
        <w:tc>
          <w:tcPr>
            <w:tcW w:w="621" w:type="pct"/>
            <w:vAlign w:val="center"/>
          </w:tcPr>
          <w:p w:rsidR="00CA7220" w:rsidRPr="007B28E7" w:rsidRDefault="00CA7220" w:rsidP="00926F39">
            <w:pPr>
              <w:pStyle w:val="TableText0"/>
              <w:spacing w:before="40" w:after="40" w:line="240" w:lineRule="auto"/>
              <w:contextualSpacing/>
              <w:jc w:val="center"/>
              <w:rPr>
                <w:sz w:val="20"/>
                <w:szCs w:val="20"/>
              </w:rPr>
            </w:pPr>
            <w:r w:rsidRPr="007B28E7">
              <w:rPr>
                <w:sz w:val="20"/>
                <w:szCs w:val="20"/>
              </w:rPr>
              <w:t>0.22</w:t>
            </w:r>
          </w:p>
        </w:tc>
      </w:tr>
      <w:tr w:rsidR="00CA7220" w:rsidRPr="007B28E7" w:rsidTr="00CA7220">
        <w:trPr>
          <w:trHeight w:val="200"/>
        </w:trPr>
        <w:tc>
          <w:tcPr>
            <w:tcW w:w="2220" w:type="pct"/>
            <w:tcBorders>
              <w:bottom w:val="double" w:sz="4" w:space="0" w:color="auto"/>
            </w:tcBorders>
            <w:vAlign w:val="bottom"/>
          </w:tcPr>
          <w:p w:rsidR="00CA7220" w:rsidRPr="007B28E7" w:rsidRDefault="00CA7220" w:rsidP="00926F39">
            <w:pPr>
              <w:pStyle w:val="TableText0"/>
              <w:spacing w:before="40" w:after="40" w:line="240" w:lineRule="auto"/>
              <w:contextualSpacing/>
              <w:rPr>
                <w:sz w:val="20"/>
                <w:szCs w:val="20"/>
              </w:rPr>
            </w:pPr>
            <w:r w:rsidRPr="007B28E7">
              <w:rPr>
                <w:sz w:val="20"/>
                <w:szCs w:val="20"/>
              </w:rPr>
              <w:t>Mean QALYs</w:t>
            </w:r>
          </w:p>
        </w:tc>
        <w:tc>
          <w:tcPr>
            <w:tcW w:w="1396" w:type="pct"/>
            <w:tcBorders>
              <w:bottom w:val="double" w:sz="4" w:space="0" w:color="auto"/>
            </w:tcBorders>
            <w:vAlign w:val="center"/>
          </w:tcPr>
          <w:p w:rsidR="00CA7220" w:rsidRPr="007B28E7" w:rsidRDefault="00CA7220" w:rsidP="00926F39">
            <w:pPr>
              <w:pStyle w:val="TableText0"/>
              <w:spacing w:before="40" w:after="40" w:line="240" w:lineRule="auto"/>
              <w:contextualSpacing/>
              <w:jc w:val="center"/>
              <w:rPr>
                <w:sz w:val="20"/>
                <w:szCs w:val="20"/>
              </w:rPr>
            </w:pPr>
            <w:r w:rsidRPr="007B28E7">
              <w:rPr>
                <w:sz w:val="20"/>
                <w:szCs w:val="20"/>
              </w:rPr>
              <w:t>0.54</w:t>
            </w:r>
          </w:p>
        </w:tc>
        <w:tc>
          <w:tcPr>
            <w:tcW w:w="763" w:type="pct"/>
            <w:tcBorders>
              <w:bottom w:val="double" w:sz="4" w:space="0" w:color="auto"/>
            </w:tcBorders>
            <w:vAlign w:val="center"/>
          </w:tcPr>
          <w:p w:rsidR="00CA7220" w:rsidRPr="007B28E7" w:rsidRDefault="00CA7220" w:rsidP="00926F39">
            <w:pPr>
              <w:pStyle w:val="TableText0"/>
              <w:spacing w:before="40" w:after="40" w:line="240" w:lineRule="auto"/>
              <w:contextualSpacing/>
              <w:jc w:val="center"/>
              <w:rPr>
                <w:sz w:val="20"/>
                <w:szCs w:val="20"/>
              </w:rPr>
            </w:pPr>
            <w:r w:rsidRPr="007B28E7">
              <w:rPr>
                <w:sz w:val="20"/>
                <w:szCs w:val="20"/>
              </w:rPr>
              <w:t>0.39</w:t>
            </w:r>
          </w:p>
        </w:tc>
        <w:tc>
          <w:tcPr>
            <w:tcW w:w="621" w:type="pct"/>
            <w:tcBorders>
              <w:bottom w:val="double" w:sz="4" w:space="0" w:color="auto"/>
            </w:tcBorders>
            <w:vAlign w:val="center"/>
          </w:tcPr>
          <w:p w:rsidR="00CA7220" w:rsidRPr="007B28E7" w:rsidRDefault="00CA7220" w:rsidP="00926F39">
            <w:pPr>
              <w:pStyle w:val="TableText0"/>
              <w:spacing w:before="40" w:after="40" w:line="240" w:lineRule="auto"/>
              <w:contextualSpacing/>
              <w:jc w:val="center"/>
              <w:rPr>
                <w:sz w:val="20"/>
                <w:szCs w:val="20"/>
              </w:rPr>
            </w:pPr>
            <w:r w:rsidRPr="007B28E7">
              <w:rPr>
                <w:sz w:val="20"/>
                <w:szCs w:val="20"/>
              </w:rPr>
              <w:t>0.15</w:t>
            </w:r>
          </w:p>
        </w:tc>
      </w:tr>
      <w:tr w:rsidR="00CA7220" w:rsidRPr="007B28E7" w:rsidTr="00CA7220">
        <w:trPr>
          <w:trHeight w:val="227"/>
        </w:trPr>
        <w:tc>
          <w:tcPr>
            <w:tcW w:w="4379" w:type="pct"/>
            <w:gridSpan w:val="3"/>
            <w:tcBorders>
              <w:top w:val="double" w:sz="4" w:space="0" w:color="auto"/>
            </w:tcBorders>
            <w:vAlign w:val="center"/>
          </w:tcPr>
          <w:p w:rsidR="00CA7220" w:rsidRPr="007B28E7" w:rsidRDefault="00CA7220" w:rsidP="00926F39">
            <w:pPr>
              <w:pStyle w:val="TableText0"/>
              <w:spacing w:before="40" w:after="40" w:line="240" w:lineRule="auto"/>
              <w:contextualSpacing/>
              <w:jc w:val="right"/>
              <w:rPr>
                <w:sz w:val="20"/>
                <w:szCs w:val="20"/>
              </w:rPr>
            </w:pPr>
            <w:r w:rsidRPr="007B28E7">
              <w:rPr>
                <w:sz w:val="20"/>
                <w:szCs w:val="20"/>
              </w:rPr>
              <w:t>Incremental cost of trifluridine/tipiracil vs placebo per LY gained:</w:t>
            </w:r>
          </w:p>
        </w:tc>
        <w:tc>
          <w:tcPr>
            <w:tcW w:w="621" w:type="pct"/>
            <w:tcBorders>
              <w:top w:val="double" w:sz="4" w:space="0" w:color="auto"/>
            </w:tcBorders>
            <w:vAlign w:val="center"/>
          </w:tcPr>
          <w:p w:rsidR="00CA7220" w:rsidRPr="00D161DB" w:rsidRDefault="00D161DB" w:rsidP="00926F39">
            <w:pPr>
              <w:pStyle w:val="TableText0"/>
              <w:spacing w:before="40" w:after="40" w:line="240" w:lineRule="auto"/>
              <w:contextualSpacing/>
              <w:jc w:val="center"/>
              <w:rPr>
                <w:sz w:val="20"/>
                <w:szCs w:val="20"/>
                <w:highlight w:val="black"/>
              </w:rPr>
            </w:pPr>
            <w:r>
              <w:rPr>
                <w:noProof/>
                <w:color w:val="000000"/>
                <w:sz w:val="20"/>
                <w:szCs w:val="20"/>
                <w:highlight w:val="black"/>
              </w:rPr>
              <w:t>'''''''''''''''''''</w:t>
            </w:r>
          </w:p>
        </w:tc>
      </w:tr>
      <w:tr w:rsidR="00CA7220" w:rsidRPr="007B28E7" w:rsidTr="00CA7220">
        <w:trPr>
          <w:trHeight w:val="227"/>
        </w:trPr>
        <w:tc>
          <w:tcPr>
            <w:tcW w:w="4379" w:type="pct"/>
            <w:gridSpan w:val="3"/>
            <w:vAlign w:val="center"/>
          </w:tcPr>
          <w:p w:rsidR="00CA7220" w:rsidRPr="007B28E7" w:rsidRDefault="00CA7220" w:rsidP="00926F39">
            <w:pPr>
              <w:pStyle w:val="TableText0"/>
              <w:spacing w:before="40" w:after="40" w:line="240" w:lineRule="auto"/>
              <w:contextualSpacing/>
              <w:jc w:val="right"/>
              <w:rPr>
                <w:sz w:val="20"/>
                <w:szCs w:val="20"/>
              </w:rPr>
            </w:pPr>
            <w:r w:rsidRPr="007B28E7">
              <w:rPr>
                <w:sz w:val="20"/>
                <w:szCs w:val="20"/>
              </w:rPr>
              <w:t>Incremental cost of trifluridine/tipiracil vs placebo per QALY gained:</w:t>
            </w:r>
          </w:p>
        </w:tc>
        <w:tc>
          <w:tcPr>
            <w:tcW w:w="621" w:type="pct"/>
            <w:vAlign w:val="center"/>
          </w:tcPr>
          <w:p w:rsidR="00CA7220" w:rsidRPr="00D161DB" w:rsidRDefault="00D161DB" w:rsidP="00926F39">
            <w:pPr>
              <w:pStyle w:val="TableText0"/>
              <w:spacing w:before="40" w:after="40" w:line="240" w:lineRule="auto"/>
              <w:contextualSpacing/>
              <w:jc w:val="center"/>
              <w:rPr>
                <w:sz w:val="20"/>
                <w:szCs w:val="20"/>
                <w:highlight w:val="black"/>
              </w:rPr>
            </w:pPr>
            <w:r>
              <w:rPr>
                <w:noProof/>
                <w:color w:val="000000"/>
                <w:sz w:val="20"/>
                <w:szCs w:val="20"/>
                <w:highlight w:val="black"/>
              </w:rPr>
              <w:t>''''''''''''''''''</w:t>
            </w:r>
          </w:p>
        </w:tc>
      </w:tr>
    </w:tbl>
    <w:p w:rsidR="00CA7220" w:rsidRPr="0023111F" w:rsidRDefault="00CA7220" w:rsidP="00CA7220">
      <w:pPr>
        <w:pStyle w:val="TableFooter"/>
        <w:widowControl/>
        <w:rPr>
          <w:szCs w:val="18"/>
        </w:rPr>
      </w:pPr>
      <w:r w:rsidRPr="0023111F">
        <w:rPr>
          <w:szCs w:val="18"/>
        </w:rPr>
        <w:t>Abbreviations: AE = adverse event; OS = overall survival; QALY = quality adjusted life year</w:t>
      </w:r>
    </w:p>
    <w:p w:rsidR="00CA7220" w:rsidRPr="0023111F" w:rsidRDefault="00CA7220" w:rsidP="004E3D71">
      <w:pPr>
        <w:spacing w:after="120"/>
        <w:jc w:val="both"/>
        <w:rPr>
          <w:rFonts w:ascii="Arial Narrow" w:hAnsi="Arial Narrow"/>
          <w:sz w:val="18"/>
          <w:szCs w:val="18"/>
        </w:rPr>
      </w:pPr>
      <w:r>
        <w:rPr>
          <w:rFonts w:ascii="Arial Narrow" w:hAnsi="Arial Narrow"/>
          <w:sz w:val="18"/>
          <w:szCs w:val="18"/>
        </w:rPr>
        <w:t>Source: Table 3, page 14</w:t>
      </w:r>
      <w:r w:rsidRPr="0023111F">
        <w:rPr>
          <w:rFonts w:ascii="Arial Narrow" w:hAnsi="Arial Narrow"/>
          <w:sz w:val="18"/>
          <w:szCs w:val="18"/>
        </w:rPr>
        <w:t xml:space="preserve"> of </w:t>
      </w:r>
      <w:r>
        <w:rPr>
          <w:rFonts w:ascii="Arial Narrow" w:hAnsi="Arial Narrow"/>
          <w:sz w:val="18"/>
          <w:szCs w:val="18"/>
        </w:rPr>
        <w:t xml:space="preserve">the submission </w:t>
      </w:r>
    </w:p>
    <w:p w:rsidR="008F1FD3" w:rsidRPr="00D46F0B" w:rsidRDefault="008F1FD3" w:rsidP="00D46F0B">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D46F0B">
        <w:rPr>
          <w:rFonts w:asciiTheme="minorHAnsi" w:eastAsiaTheme="minorHAnsi" w:hAnsiTheme="minorHAnsi" w:cstheme="minorBidi"/>
          <w:snapToGrid/>
          <w:sz w:val="24"/>
          <w:szCs w:val="22"/>
        </w:rPr>
        <w:t xml:space="preserve">The revised economic analysis, which incorporates the proposed </w:t>
      </w:r>
      <w:r w:rsidR="00D161DB">
        <w:rPr>
          <w:rFonts w:asciiTheme="minorHAnsi" w:eastAsiaTheme="minorHAnsi" w:hAnsiTheme="minorHAnsi" w:cstheme="minorBidi"/>
          <w:noProof/>
          <w:snapToGrid/>
          <w:color w:val="000000"/>
          <w:sz w:val="24"/>
          <w:szCs w:val="22"/>
          <w:highlight w:val="black"/>
        </w:rPr>
        <w:t>''''''''</w:t>
      </w:r>
      <w:r w:rsidRPr="00D46F0B">
        <w:rPr>
          <w:rFonts w:asciiTheme="minorHAnsi" w:eastAsiaTheme="minorHAnsi" w:hAnsiTheme="minorHAnsi" w:cstheme="minorBidi"/>
          <w:snapToGrid/>
          <w:sz w:val="24"/>
          <w:szCs w:val="22"/>
        </w:rPr>
        <w:t xml:space="preserve">% rebate, resulted in a base case ICER of </w:t>
      </w:r>
      <w:r w:rsidR="00112447">
        <w:rPr>
          <w:rFonts w:asciiTheme="minorHAnsi" w:eastAsiaTheme="minorHAnsi" w:hAnsiTheme="minorHAnsi" w:cstheme="minorBidi"/>
          <w:snapToGrid/>
          <w:sz w:val="24"/>
          <w:szCs w:val="22"/>
        </w:rPr>
        <w:t>$45,000/QALY - $75,000/QALY</w:t>
      </w:r>
      <w:r w:rsidRPr="00D46F0B">
        <w:rPr>
          <w:rFonts w:asciiTheme="minorHAnsi" w:eastAsiaTheme="minorHAnsi" w:hAnsiTheme="minorHAnsi" w:cstheme="minorBidi"/>
          <w:snapToGrid/>
          <w:sz w:val="24"/>
          <w:szCs w:val="22"/>
        </w:rPr>
        <w:t>.</w:t>
      </w:r>
    </w:p>
    <w:p w:rsidR="00047540" w:rsidRPr="00D46F0B" w:rsidRDefault="00AC6C6F" w:rsidP="00D46F0B">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D46F0B">
        <w:rPr>
          <w:rFonts w:asciiTheme="minorHAnsi" w:eastAsiaTheme="minorHAnsi" w:hAnsiTheme="minorHAnsi" w:cstheme="minorBidi"/>
          <w:snapToGrid/>
          <w:sz w:val="24"/>
          <w:szCs w:val="22"/>
        </w:rPr>
        <w:t xml:space="preserve">At its </w:t>
      </w:r>
      <w:r w:rsidR="00B64F64" w:rsidRPr="00D46F0B">
        <w:rPr>
          <w:rFonts w:asciiTheme="minorHAnsi" w:eastAsiaTheme="minorHAnsi" w:hAnsiTheme="minorHAnsi" w:cstheme="minorBidi"/>
          <w:snapToGrid/>
          <w:sz w:val="24"/>
          <w:szCs w:val="22"/>
        </w:rPr>
        <w:t>November</w:t>
      </w:r>
      <w:r w:rsidRPr="00D46F0B">
        <w:rPr>
          <w:rFonts w:asciiTheme="minorHAnsi" w:eastAsiaTheme="minorHAnsi" w:hAnsiTheme="minorHAnsi" w:cstheme="minorBidi"/>
          <w:snapToGrid/>
          <w:sz w:val="24"/>
          <w:szCs w:val="22"/>
        </w:rPr>
        <w:t xml:space="preserve"> 2017 meeting, the PBAC noted that 9.4% of patients in the RECOURSE trial received granulocyte colony stimulating factors (G-CSF) which would not be routinely used in Australian clinical practice. The PBAC considered that in clinical practice, neutropenia would likely lead to dose reductions and delays which would impact on efficacy (</w:t>
      </w:r>
      <w:r w:rsidR="006E0953" w:rsidRPr="00D46F0B">
        <w:rPr>
          <w:rFonts w:asciiTheme="minorHAnsi" w:eastAsiaTheme="minorHAnsi" w:hAnsiTheme="minorHAnsi" w:cstheme="minorBidi"/>
          <w:snapToGrid/>
          <w:sz w:val="24"/>
          <w:szCs w:val="22"/>
        </w:rPr>
        <w:t xml:space="preserve">paragraph </w:t>
      </w:r>
      <w:r w:rsidRPr="00D46F0B">
        <w:rPr>
          <w:rFonts w:asciiTheme="minorHAnsi" w:eastAsiaTheme="minorHAnsi" w:hAnsiTheme="minorHAnsi" w:cstheme="minorBidi"/>
          <w:snapToGrid/>
          <w:sz w:val="24"/>
          <w:szCs w:val="22"/>
        </w:rPr>
        <w:t>7.8 November</w:t>
      </w:r>
      <w:r w:rsidR="006E0953" w:rsidRPr="00D46F0B">
        <w:rPr>
          <w:rFonts w:asciiTheme="minorHAnsi" w:eastAsiaTheme="minorHAnsi" w:hAnsiTheme="minorHAnsi" w:cstheme="minorBidi"/>
          <w:snapToGrid/>
          <w:sz w:val="24"/>
          <w:szCs w:val="22"/>
        </w:rPr>
        <w:t>,</w:t>
      </w:r>
      <w:r w:rsidRPr="00D46F0B">
        <w:rPr>
          <w:rFonts w:asciiTheme="minorHAnsi" w:eastAsiaTheme="minorHAnsi" w:hAnsiTheme="minorHAnsi" w:cstheme="minorBidi"/>
          <w:snapToGrid/>
          <w:sz w:val="24"/>
          <w:szCs w:val="22"/>
        </w:rPr>
        <w:t xml:space="preserve"> 2016 </w:t>
      </w:r>
      <w:r w:rsidR="006E0953" w:rsidRPr="00D46F0B">
        <w:rPr>
          <w:rFonts w:asciiTheme="minorHAnsi" w:eastAsiaTheme="minorHAnsi" w:hAnsiTheme="minorHAnsi" w:cstheme="minorBidi"/>
          <w:snapToGrid/>
          <w:sz w:val="24"/>
          <w:szCs w:val="22"/>
        </w:rPr>
        <w:t>Public Summary Document</w:t>
      </w:r>
      <w:r w:rsidRPr="00D46F0B">
        <w:rPr>
          <w:rFonts w:asciiTheme="minorHAnsi" w:eastAsiaTheme="minorHAnsi" w:hAnsiTheme="minorHAnsi" w:cstheme="minorBidi"/>
          <w:snapToGrid/>
          <w:sz w:val="24"/>
          <w:szCs w:val="22"/>
        </w:rPr>
        <w:t>).</w:t>
      </w:r>
    </w:p>
    <w:p w:rsidR="00274309" w:rsidRPr="00B35FB6" w:rsidRDefault="00AC6C6F" w:rsidP="00D46F0B">
      <w:pPr>
        <w:pStyle w:val="ListParagraph"/>
        <w:widowControl/>
        <w:numPr>
          <w:ilvl w:val="1"/>
          <w:numId w:val="14"/>
        </w:numPr>
        <w:spacing w:after="120"/>
        <w:contextualSpacing w:val="0"/>
        <w:rPr>
          <w:rFonts w:asciiTheme="minorHAnsi" w:eastAsiaTheme="minorHAnsi" w:hAnsiTheme="minorHAnsi" w:cstheme="minorBidi"/>
          <w:snapToGrid/>
          <w:sz w:val="24"/>
          <w:szCs w:val="24"/>
        </w:rPr>
      </w:pPr>
      <w:r w:rsidRPr="00B35FB6">
        <w:rPr>
          <w:rFonts w:asciiTheme="minorHAnsi" w:eastAsiaTheme="minorHAnsi" w:hAnsiTheme="minorHAnsi" w:cstheme="minorBidi"/>
          <w:snapToGrid/>
          <w:sz w:val="24"/>
          <w:szCs w:val="24"/>
        </w:rPr>
        <w:t xml:space="preserve">The </w:t>
      </w:r>
      <w:r w:rsidR="00806EE4" w:rsidRPr="00B35FB6">
        <w:rPr>
          <w:rFonts w:asciiTheme="minorHAnsi" w:eastAsiaTheme="minorHAnsi" w:hAnsiTheme="minorHAnsi" w:cstheme="minorBidi"/>
          <w:snapToGrid/>
          <w:sz w:val="24"/>
          <w:szCs w:val="24"/>
        </w:rPr>
        <w:t>re</w:t>
      </w:r>
      <w:r w:rsidRPr="00B35FB6">
        <w:rPr>
          <w:rFonts w:asciiTheme="minorHAnsi" w:eastAsiaTheme="minorHAnsi" w:hAnsiTheme="minorHAnsi" w:cstheme="minorBidi"/>
          <w:snapToGrid/>
          <w:sz w:val="24"/>
          <w:szCs w:val="24"/>
        </w:rPr>
        <w:t>submission attempted to address the PBAC’s concerns regarding the use of G</w:t>
      </w:r>
      <w:r w:rsidR="006E0953" w:rsidRPr="00B35FB6">
        <w:rPr>
          <w:rFonts w:asciiTheme="minorHAnsi" w:eastAsiaTheme="minorHAnsi" w:hAnsiTheme="minorHAnsi" w:cstheme="minorBidi"/>
          <w:snapToGrid/>
          <w:sz w:val="24"/>
          <w:szCs w:val="24"/>
        </w:rPr>
        <w:t>-</w:t>
      </w:r>
      <w:r w:rsidRPr="00B35FB6">
        <w:rPr>
          <w:rFonts w:asciiTheme="minorHAnsi" w:eastAsiaTheme="minorHAnsi" w:hAnsiTheme="minorHAnsi" w:cstheme="minorBidi"/>
          <w:snapToGrid/>
          <w:sz w:val="24"/>
          <w:szCs w:val="24"/>
        </w:rPr>
        <w:t xml:space="preserve">CSF in the RECOURSE trial and its impact on the applicability of the clinical data to Australian clinical practice with a sensitivity analysis. </w:t>
      </w:r>
      <w:r w:rsidR="001C2475" w:rsidRPr="00B35FB6">
        <w:rPr>
          <w:rFonts w:asciiTheme="minorHAnsi" w:eastAsiaTheme="minorHAnsi" w:hAnsiTheme="minorHAnsi" w:cstheme="minorBidi"/>
          <w:snapToGrid/>
          <w:sz w:val="24"/>
          <w:szCs w:val="24"/>
        </w:rPr>
        <w:t xml:space="preserve">The sensitivity analysis attempted to simulate a ‘worst case’ scenario assuming: </w:t>
      </w:r>
    </w:p>
    <w:p w:rsidR="00274309" w:rsidRPr="00B35FB6" w:rsidRDefault="00274309" w:rsidP="00AF361F">
      <w:pPr>
        <w:pStyle w:val="ListParagraph"/>
        <w:numPr>
          <w:ilvl w:val="0"/>
          <w:numId w:val="16"/>
        </w:numPr>
        <w:spacing w:after="120"/>
        <w:ind w:left="1434" w:hanging="357"/>
        <w:rPr>
          <w:rFonts w:asciiTheme="minorHAnsi" w:hAnsiTheme="minorHAnsi"/>
          <w:sz w:val="24"/>
          <w:szCs w:val="24"/>
        </w:rPr>
      </w:pPr>
      <w:r w:rsidRPr="00B35FB6">
        <w:rPr>
          <w:rFonts w:asciiTheme="minorHAnsi" w:hAnsiTheme="minorHAnsi"/>
          <w:sz w:val="24"/>
          <w:szCs w:val="24"/>
        </w:rPr>
        <w:t>N</w:t>
      </w:r>
      <w:r w:rsidR="005C5712" w:rsidRPr="00B35FB6">
        <w:rPr>
          <w:rFonts w:asciiTheme="minorHAnsi" w:hAnsiTheme="minorHAnsi"/>
          <w:sz w:val="24"/>
          <w:szCs w:val="24"/>
        </w:rPr>
        <w:t>o benefit of treatment in patients who received granulocyte colony stimulating factors (G-CSF)</w:t>
      </w:r>
      <w:r w:rsidRPr="00B35FB6">
        <w:rPr>
          <w:rFonts w:asciiTheme="minorHAnsi" w:hAnsiTheme="minorHAnsi"/>
          <w:sz w:val="24"/>
          <w:szCs w:val="24"/>
        </w:rPr>
        <w:t>. Placebo outcomes were applied for the 9.4% of patients in the trifluridine/tipiracil arm treated with G-CSF, and the costs for G-CSF were also removed.</w:t>
      </w:r>
    </w:p>
    <w:p w:rsidR="005C5712" w:rsidRPr="00B35FB6" w:rsidRDefault="00274309" w:rsidP="00CD591E">
      <w:pPr>
        <w:pStyle w:val="ListParagraph"/>
        <w:numPr>
          <w:ilvl w:val="0"/>
          <w:numId w:val="16"/>
        </w:numPr>
        <w:spacing w:after="120"/>
        <w:ind w:left="1434" w:hanging="357"/>
        <w:rPr>
          <w:rFonts w:asciiTheme="minorHAnsi" w:hAnsiTheme="minorHAnsi"/>
          <w:sz w:val="24"/>
          <w:szCs w:val="24"/>
        </w:rPr>
      </w:pPr>
      <w:r w:rsidRPr="00B35FB6">
        <w:rPr>
          <w:rFonts w:asciiTheme="minorHAnsi" w:hAnsiTheme="minorHAnsi"/>
          <w:sz w:val="24"/>
          <w:szCs w:val="24"/>
        </w:rPr>
        <w:t xml:space="preserve">Quality of life for patients treated with trifluridine/tipiracil is considered to be no better than for patients treated with regorafenib. </w:t>
      </w:r>
      <w:r w:rsidR="007C1450" w:rsidRPr="00B35FB6">
        <w:rPr>
          <w:rFonts w:asciiTheme="minorHAnsi" w:hAnsiTheme="minorHAnsi"/>
          <w:sz w:val="24"/>
          <w:szCs w:val="24"/>
        </w:rPr>
        <w:t>The u</w:t>
      </w:r>
      <w:r w:rsidRPr="00B35FB6">
        <w:rPr>
          <w:rFonts w:asciiTheme="minorHAnsi" w:hAnsiTheme="minorHAnsi"/>
          <w:sz w:val="24"/>
          <w:szCs w:val="24"/>
        </w:rPr>
        <w:t>tilit</w:t>
      </w:r>
      <w:r w:rsidR="00A37C94" w:rsidRPr="00B35FB6">
        <w:rPr>
          <w:rFonts w:asciiTheme="minorHAnsi" w:hAnsiTheme="minorHAnsi"/>
          <w:sz w:val="24"/>
          <w:szCs w:val="24"/>
        </w:rPr>
        <w:t>y value</w:t>
      </w:r>
      <w:r w:rsidRPr="00B35FB6">
        <w:rPr>
          <w:rFonts w:asciiTheme="minorHAnsi" w:hAnsiTheme="minorHAnsi"/>
          <w:sz w:val="24"/>
          <w:szCs w:val="24"/>
        </w:rPr>
        <w:t xml:space="preserve"> applied to patients in the progression-free health state </w:t>
      </w:r>
      <w:r w:rsidR="007C1450" w:rsidRPr="00B35FB6">
        <w:rPr>
          <w:rFonts w:asciiTheme="minorHAnsi" w:hAnsiTheme="minorHAnsi"/>
          <w:sz w:val="24"/>
          <w:szCs w:val="24"/>
        </w:rPr>
        <w:t>is the unadjusted</w:t>
      </w:r>
      <w:r w:rsidRPr="00B35FB6">
        <w:rPr>
          <w:rFonts w:asciiTheme="minorHAnsi" w:hAnsiTheme="minorHAnsi"/>
          <w:sz w:val="24"/>
          <w:szCs w:val="24"/>
        </w:rPr>
        <w:t xml:space="preserve"> regorafenib</w:t>
      </w:r>
      <w:r w:rsidR="000660CF" w:rsidRPr="00B35FB6">
        <w:rPr>
          <w:rFonts w:asciiTheme="minorHAnsi" w:hAnsiTheme="minorHAnsi"/>
          <w:sz w:val="24"/>
          <w:szCs w:val="24"/>
        </w:rPr>
        <w:t xml:space="preserve"> trial</w:t>
      </w:r>
      <w:r w:rsidRPr="00B35FB6">
        <w:rPr>
          <w:rFonts w:asciiTheme="minorHAnsi" w:hAnsiTheme="minorHAnsi"/>
          <w:sz w:val="24"/>
          <w:szCs w:val="24"/>
        </w:rPr>
        <w:t xml:space="preserve"> </w:t>
      </w:r>
      <w:r w:rsidR="007C1450" w:rsidRPr="00B35FB6">
        <w:rPr>
          <w:rFonts w:asciiTheme="minorHAnsi" w:hAnsiTheme="minorHAnsi"/>
          <w:sz w:val="24"/>
          <w:szCs w:val="24"/>
        </w:rPr>
        <w:t>utility value for the progression-</w:t>
      </w:r>
      <w:r w:rsidR="000660CF" w:rsidRPr="00B35FB6">
        <w:rPr>
          <w:rFonts w:asciiTheme="minorHAnsi" w:hAnsiTheme="minorHAnsi"/>
          <w:sz w:val="24"/>
          <w:szCs w:val="24"/>
        </w:rPr>
        <w:t>f</w:t>
      </w:r>
      <w:r w:rsidR="007C1450" w:rsidRPr="00B35FB6">
        <w:rPr>
          <w:rFonts w:asciiTheme="minorHAnsi" w:hAnsiTheme="minorHAnsi"/>
          <w:sz w:val="24"/>
          <w:szCs w:val="24"/>
        </w:rPr>
        <w:t xml:space="preserve">ree health state of </w:t>
      </w:r>
      <w:r w:rsidRPr="00B35FB6">
        <w:rPr>
          <w:rFonts w:asciiTheme="minorHAnsi" w:hAnsiTheme="minorHAnsi"/>
          <w:sz w:val="24"/>
          <w:szCs w:val="24"/>
        </w:rPr>
        <w:t>0.73</w:t>
      </w:r>
      <w:r w:rsidR="00A37C94" w:rsidRPr="00B35FB6">
        <w:rPr>
          <w:rFonts w:asciiTheme="minorHAnsi" w:hAnsiTheme="minorHAnsi"/>
          <w:sz w:val="24"/>
          <w:szCs w:val="24"/>
        </w:rPr>
        <w:t xml:space="preserve"> without</w:t>
      </w:r>
      <w:r w:rsidR="00185832" w:rsidRPr="00B35FB6">
        <w:rPr>
          <w:rFonts w:asciiTheme="minorHAnsi" w:hAnsiTheme="minorHAnsi"/>
          <w:sz w:val="24"/>
          <w:szCs w:val="24"/>
        </w:rPr>
        <w:t xml:space="preserve"> the</w:t>
      </w:r>
      <w:r w:rsidR="00A37C94" w:rsidRPr="00B35FB6">
        <w:rPr>
          <w:rFonts w:asciiTheme="minorHAnsi" w:hAnsiTheme="minorHAnsi"/>
          <w:sz w:val="24"/>
          <w:szCs w:val="24"/>
        </w:rPr>
        <w:t xml:space="preserve"> adjustment of </w:t>
      </w:r>
      <w:r w:rsidR="00185832" w:rsidRPr="00B35FB6">
        <w:rPr>
          <w:rFonts w:asciiTheme="minorHAnsi" w:hAnsiTheme="minorHAnsi"/>
          <w:sz w:val="24"/>
          <w:szCs w:val="24"/>
        </w:rPr>
        <w:t xml:space="preserve">a </w:t>
      </w:r>
      <w:r w:rsidR="00A37C94" w:rsidRPr="00B35FB6">
        <w:rPr>
          <w:rFonts w:asciiTheme="minorHAnsi" w:hAnsiTheme="minorHAnsi"/>
          <w:sz w:val="24"/>
          <w:szCs w:val="24"/>
        </w:rPr>
        <w:t>2.5% increase</w:t>
      </w:r>
      <w:r w:rsidR="000660CF" w:rsidRPr="00B35FB6">
        <w:rPr>
          <w:rFonts w:asciiTheme="minorHAnsi" w:hAnsiTheme="minorHAnsi"/>
          <w:sz w:val="24"/>
          <w:szCs w:val="24"/>
        </w:rPr>
        <w:t xml:space="preserve"> (utility value for progression-free health state in the base-case analysis is 0.75)</w:t>
      </w:r>
      <w:r w:rsidRPr="00B35FB6">
        <w:rPr>
          <w:rFonts w:asciiTheme="minorHAnsi" w:hAnsiTheme="minorHAnsi"/>
          <w:sz w:val="24"/>
          <w:szCs w:val="24"/>
        </w:rPr>
        <w:t xml:space="preserve">. </w:t>
      </w:r>
    </w:p>
    <w:p w:rsidR="00043563" w:rsidRDefault="00043563" w:rsidP="00CD591E">
      <w:pPr>
        <w:widowControl w:val="0"/>
        <w:numPr>
          <w:ilvl w:val="1"/>
          <w:numId w:val="5"/>
        </w:numPr>
        <w:spacing w:after="120"/>
        <w:contextualSpacing/>
        <w:jc w:val="both"/>
        <w:rPr>
          <w:rFonts w:asciiTheme="minorHAnsi" w:hAnsiTheme="minorHAnsi" w:cs="Arial"/>
          <w:snapToGrid w:val="0"/>
          <w:szCs w:val="22"/>
          <w:lang w:eastAsia="en-US"/>
        </w:rPr>
      </w:pPr>
      <w:r>
        <w:rPr>
          <w:rFonts w:asciiTheme="minorHAnsi" w:hAnsiTheme="minorHAnsi" w:cs="Arial"/>
          <w:snapToGrid w:val="0"/>
          <w:szCs w:val="22"/>
          <w:lang w:eastAsia="en-US"/>
        </w:rPr>
        <w:t xml:space="preserve">The results of the sensitivity analysis are presented below in Table 3. </w:t>
      </w:r>
    </w:p>
    <w:p w:rsidR="000A1E88" w:rsidRPr="007B28E7" w:rsidRDefault="000A1E88" w:rsidP="000A1E88">
      <w:pPr>
        <w:keepNext/>
        <w:rPr>
          <w:rFonts w:ascii="Arial Narrow" w:hAnsi="Arial Narrow"/>
          <w:b/>
          <w:sz w:val="20"/>
          <w:szCs w:val="22"/>
        </w:rPr>
      </w:pPr>
      <w:r w:rsidRPr="007B28E7">
        <w:rPr>
          <w:rFonts w:ascii="Arial Narrow" w:hAnsi="Arial Narrow"/>
          <w:b/>
          <w:sz w:val="20"/>
          <w:szCs w:val="22"/>
        </w:rPr>
        <w:t xml:space="preserve">Table </w:t>
      </w:r>
      <w:r>
        <w:rPr>
          <w:rFonts w:ascii="Arial Narrow" w:hAnsi="Arial Narrow"/>
          <w:b/>
          <w:sz w:val="20"/>
          <w:szCs w:val="22"/>
        </w:rPr>
        <w:t>3</w:t>
      </w:r>
      <w:r w:rsidRPr="007B28E7">
        <w:rPr>
          <w:rFonts w:ascii="Arial Narrow" w:hAnsi="Arial Narrow"/>
          <w:b/>
          <w:sz w:val="20"/>
          <w:szCs w:val="22"/>
        </w:rPr>
        <w:t xml:space="preserve">: Results of the </w:t>
      </w:r>
      <w:r>
        <w:rPr>
          <w:rFonts w:ascii="Arial Narrow" w:hAnsi="Arial Narrow"/>
          <w:b/>
          <w:sz w:val="20"/>
          <w:szCs w:val="22"/>
        </w:rPr>
        <w:t xml:space="preserve">sensitivity analysis </w:t>
      </w:r>
    </w:p>
    <w:tbl>
      <w:tblPr>
        <w:tblStyle w:val="TableGrid"/>
        <w:tblW w:w="5000" w:type="pct"/>
        <w:tblCellMar>
          <w:top w:w="28" w:type="dxa"/>
          <w:left w:w="28" w:type="dxa"/>
          <w:bottom w:w="28" w:type="dxa"/>
          <w:right w:w="28" w:type="dxa"/>
        </w:tblCellMar>
        <w:tblLook w:val="04A0" w:firstRow="1" w:lastRow="0" w:firstColumn="1" w:lastColumn="0" w:noHBand="0" w:noVBand="1"/>
        <w:tblCaption w:val="Table 3: Results of the sensitivity analysis "/>
      </w:tblPr>
      <w:tblGrid>
        <w:gridCol w:w="4032"/>
        <w:gridCol w:w="2536"/>
        <w:gridCol w:w="1386"/>
        <w:gridCol w:w="1128"/>
      </w:tblGrid>
      <w:tr w:rsidR="000A1E88" w:rsidRPr="007B28E7" w:rsidTr="00A67415">
        <w:trPr>
          <w:trHeight w:val="186"/>
          <w:tblHeader/>
        </w:trPr>
        <w:tc>
          <w:tcPr>
            <w:tcW w:w="2220" w:type="pct"/>
            <w:shd w:val="clear" w:color="auto" w:fill="FFFFFF" w:themeFill="background1"/>
          </w:tcPr>
          <w:p w:rsidR="000A1E88" w:rsidRPr="007B28E7" w:rsidRDefault="000A1E88" w:rsidP="00F0579E">
            <w:pPr>
              <w:pStyle w:val="TableText0"/>
              <w:spacing w:before="40" w:after="40" w:line="240" w:lineRule="auto"/>
              <w:contextualSpacing/>
              <w:rPr>
                <w:b/>
                <w:sz w:val="20"/>
                <w:szCs w:val="20"/>
              </w:rPr>
            </w:pPr>
          </w:p>
        </w:tc>
        <w:tc>
          <w:tcPr>
            <w:tcW w:w="1396" w:type="pct"/>
            <w:shd w:val="clear" w:color="auto" w:fill="FFFFFF" w:themeFill="background1"/>
            <w:vAlign w:val="center"/>
          </w:tcPr>
          <w:p w:rsidR="000A1E88" w:rsidRPr="007B28E7" w:rsidRDefault="000A1E88" w:rsidP="00F0579E">
            <w:pPr>
              <w:pStyle w:val="TableText0"/>
              <w:spacing w:before="40" w:after="40" w:line="240" w:lineRule="auto"/>
              <w:contextualSpacing/>
              <w:jc w:val="center"/>
              <w:rPr>
                <w:b/>
                <w:sz w:val="20"/>
                <w:szCs w:val="20"/>
              </w:rPr>
            </w:pPr>
            <w:r w:rsidRPr="007B28E7">
              <w:rPr>
                <w:b/>
                <w:sz w:val="20"/>
                <w:szCs w:val="20"/>
              </w:rPr>
              <w:t>Trifluridine/tipiracil arm</w:t>
            </w:r>
          </w:p>
        </w:tc>
        <w:tc>
          <w:tcPr>
            <w:tcW w:w="763" w:type="pct"/>
            <w:shd w:val="clear" w:color="auto" w:fill="FFFFFF" w:themeFill="background1"/>
            <w:vAlign w:val="center"/>
          </w:tcPr>
          <w:p w:rsidR="000A1E88" w:rsidRPr="007B28E7" w:rsidRDefault="000A1E88" w:rsidP="00F0579E">
            <w:pPr>
              <w:pStyle w:val="TableText0"/>
              <w:spacing w:before="40" w:after="40" w:line="240" w:lineRule="auto"/>
              <w:contextualSpacing/>
              <w:jc w:val="center"/>
              <w:rPr>
                <w:b/>
                <w:sz w:val="20"/>
                <w:szCs w:val="20"/>
              </w:rPr>
            </w:pPr>
            <w:r w:rsidRPr="007B28E7">
              <w:rPr>
                <w:b/>
                <w:sz w:val="20"/>
                <w:szCs w:val="20"/>
              </w:rPr>
              <w:t>Placebo arm</w:t>
            </w:r>
          </w:p>
        </w:tc>
        <w:tc>
          <w:tcPr>
            <w:tcW w:w="621" w:type="pct"/>
            <w:shd w:val="clear" w:color="auto" w:fill="FFFFFF" w:themeFill="background1"/>
            <w:vAlign w:val="center"/>
          </w:tcPr>
          <w:p w:rsidR="000A1E88" w:rsidRPr="007B28E7" w:rsidRDefault="000A1E88" w:rsidP="00F0579E">
            <w:pPr>
              <w:pStyle w:val="TableText0"/>
              <w:spacing w:before="40" w:after="40" w:line="240" w:lineRule="auto"/>
              <w:contextualSpacing/>
              <w:jc w:val="center"/>
              <w:rPr>
                <w:b/>
                <w:sz w:val="20"/>
                <w:szCs w:val="20"/>
              </w:rPr>
            </w:pPr>
            <w:r w:rsidRPr="007B28E7">
              <w:rPr>
                <w:b/>
                <w:sz w:val="20"/>
                <w:szCs w:val="20"/>
              </w:rPr>
              <w:t>Increment</w:t>
            </w:r>
          </w:p>
        </w:tc>
      </w:tr>
      <w:tr w:rsidR="000A1E88" w:rsidRPr="007B28E7" w:rsidTr="00F0579E">
        <w:trPr>
          <w:trHeight w:val="48"/>
        </w:trPr>
        <w:tc>
          <w:tcPr>
            <w:tcW w:w="2220" w:type="pct"/>
            <w:vAlign w:val="bottom"/>
          </w:tcPr>
          <w:p w:rsidR="000A1E88" w:rsidRPr="007B28E7" w:rsidRDefault="000A1E88" w:rsidP="00F0579E">
            <w:pPr>
              <w:pStyle w:val="TableText0"/>
              <w:spacing w:before="40" w:after="40" w:line="240" w:lineRule="auto"/>
              <w:contextualSpacing/>
              <w:rPr>
                <w:b/>
                <w:sz w:val="20"/>
                <w:szCs w:val="20"/>
              </w:rPr>
            </w:pPr>
            <w:r w:rsidRPr="007B28E7">
              <w:rPr>
                <w:b/>
                <w:sz w:val="20"/>
                <w:szCs w:val="20"/>
              </w:rPr>
              <w:t>Costs</w:t>
            </w:r>
          </w:p>
        </w:tc>
        <w:tc>
          <w:tcPr>
            <w:tcW w:w="1396" w:type="pct"/>
            <w:vAlign w:val="center"/>
          </w:tcPr>
          <w:p w:rsidR="000A1E88" w:rsidRPr="007B28E7" w:rsidRDefault="000A1E88" w:rsidP="00F0579E">
            <w:pPr>
              <w:pStyle w:val="TableText0"/>
              <w:spacing w:before="40" w:after="40" w:line="240" w:lineRule="auto"/>
              <w:contextualSpacing/>
              <w:jc w:val="center"/>
              <w:rPr>
                <w:sz w:val="20"/>
                <w:szCs w:val="20"/>
              </w:rPr>
            </w:pPr>
          </w:p>
        </w:tc>
        <w:tc>
          <w:tcPr>
            <w:tcW w:w="763" w:type="pct"/>
            <w:vAlign w:val="center"/>
          </w:tcPr>
          <w:p w:rsidR="000A1E88" w:rsidRPr="007B28E7" w:rsidRDefault="000A1E88" w:rsidP="00F0579E">
            <w:pPr>
              <w:pStyle w:val="TableText0"/>
              <w:spacing w:before="40" w:after="40" w:line="240" w:lineRule="auto"/>
              <w:contextualSpacing/>
              <w:jc w:val="center"/>
              <w:rPr>
                <w:sz w:val="20"/>
                <w:szCs w:val="20"/>
              </w:rPr>
            </w:pPr>
          </w:p>
        </w:tc>
        <w:tc>
          <w:tcPr>
            <w:tcW w:w="621" w:type="pct"/>
            <w:vAlign w:val="center"/>
          </w:tcPr>
          <w:p w:rsidR="000A1E88" w:rsidRPr="007B28E7" w:rsidRDefault="000A1E88" w:rsidP="00F0579E">
            <w:pPr>
              <w:pStyle w:val="TableText0"/>
              <w:spacing w:before="40" w:after="40" w:line="240" w:lineRule="auto"/>
              <w:contextualSpacing/>
              <w:jc w:val="center"/>
              <w:rPr>
                <w:sz w:val="20"/>
                <w:szCs w:val="20"/>
              </w:rPr>
            </w:pPr>
          </w:p>
        </w:tc>
      </w:tr>
      <w:tr w:rsidR="000A1E88" w:rsidRPr="007B28E7" w:rsidTr="00F0579E">
        <w:trPr>
          <w:trHeight w:val="166"/>
        </w:trPr>
        <w:tc>
          <w:tcPr>
            <w:tcW w:w="2220" w:type="pct"/>
          </w:tcPr>
          <w:p w:rsidR="000A1E88" w:rsidRPr="007B28E7" w:rsidRDefault="000A1E88" w:rsidP="00F0579E">
            <w:pPr>
              <w:pStyle w:val="TableText0"/>
              <w:spacing w:before="40" w:after="40" w:line="240" w:lineRule="auto"/>
              <w:contextualSpacing/>
              <w:rPr>
                <w:sz w:val="20"/>
                <w:szCs w:val="20"/>
              </w:rPr>
            </w:pPr>
            <w:r w:rsidRPr="007B28E7">
              <w:rPr>
                <w:sz w:val="20"/>
                <w:szCs w:val="20"/>
              </w:rPr>
              <w:t>Average total drug costs</w:t>
            </w:r>
          </w:p>
        </w:tc>
        <w:tc>
          <w:tcPr>
            <w:tcW w:w="1396" w:type="pct"/>
            <w:vAlign w:val="center"/>
          </w:tcPr>
          <w:p w:rsidR="000A1E88" w:rsidRPr="00D161DB" w:rsidRDefault="00D161DB" w:rsidP="00F0579E">
            <w:pPr>
              <w:pStyle w:val="TableText0"/>
              <w:spacing w:before="40" w:after="40" w:line="240" w:lineRule="auto"/>
              <w:contextualSpacing/>
              <w:jc w:val="center"/>
              <w:rPr>
                <w:sz w:val="20"/>
                <w:szCs w:val="20"/>
                <w:highlight w:val="black"/>
              </w:rPr>
            </w:pPr>
            <w:r>
              <w:rPr>
                <w:noProof/>
                <w:color w:val="000000"/>
                <w:sz w:val="20"/>
                <w:szCs w:val="20"/>
                <w:highlight w:val="black"/>
              </w:rPr>
              <w:t xml:space="preserve">''''''''''''''''''''''''' </w:t>
            </w:r>
          </w:p>
        </w:tc>
        <w:tc>
          <w:tcPr>
            <w:tcW w:w="763" w:type="pct"/>
            <w:vAlign w:val="center"/>
          </w:tcPr>
          <w:p w:rsidR="000A1E88" w:rsidRPr="00D161DB" w:rsidRDefault="00D161DB" w:rsidP="00F0579E">
            <w:pPr>
              <w:pStyle w:val="TableText0"/>
              <w:spacing w:before="40" w:after="40" w:line="240" w:lineRule="auto"/>
              <w:contextualSpacing/>
              <w:jc w:val="center"/>
              <w:rPr>
                <w:sz w:val="20"/>
                <w:szCs w:val="20"/>
                <w:highlight w:val="black"/>
              </w:rPr>
            </w:pPr>
            <w:r>
              <w:rPr>
                <w:noProof/>
                <w:color w:val="000000"/>
                <w:sz w:val="20"/>
                <w:szCs w:val="20"/>
                <w:highlight w:val="black"/>
              </w:rPr>
              <w:t>''''''''''''''</w:t>
            </w:r>
          </w:p>
        </w:tc>
        <w:tc>
          <w:tcPr>
            <w:tcW w:w="621" w:type="pct"/>
            <w:vAlign w:val="center"/>
          </w:tcPr>
          <w:p w:rsidR="000A1E88" w:rsidRPr="00D161DB" w:rsidRDefault="00D161DB" w:rsidP="00F0579E">
            <w:pPr>
              <w:pStyle w:val="TableText0"/>
              <w:spacing w:before="40" w:after="40" w:line="240" w:lineRule="auto"/>
              <w:contextualSpacing/>
              <w:jc w:val="center"/>
              <w:rPr>
                <w:sz w:val="20"/>
                <w:szCs w:val="20"/>
                <w:highlight w:val="black"/>
              </w:rPr>
            </w:pPr>
            <w:r>
              <w:rPr>
                <w:noProof/>
                <w:color w:val="000000"/>
                <w:sz w:val="20"/>
                <w:szCs w:val="20"/>
                <w:highlight w:val="black"/>
              </w:rPr>
              <w:t>'''''''''''''''''''''''</w:t>
            </w:r>
          </w:p>
        </w:tc>
      </w:tr>
      <w:tr w:rsidR="000A1E88" w:rsidRPr="007B28E7" w:rsidTr="00F0579E">
        <w:trPr>
          <w:trHeight w:val="32"/>
        </w:trPr>
        <w:tc>
          <w:tcPr>
            <w:tcW w:w="2220" w:type="pct"/>
          </w:tcPr>
          <w:p w:rsidR="000A1E88" w:rsidRPr="007B28E7" w:rsidRDefault="000A1E88" w:rsidP="00F0579E">
            <w:pPr>
              <w:pStyle w:val="TableText0"/>
              <w:spacing w:before="40" w:after="40" w:line="240" w:lineRule="auto"/>
              <w:contextualSpacing/>
              <w:rPr>
                <w:sz w:val="20"/>
                <w:szCs w:val="20"/>
              </w:rPr>
            </w:pPr>
            <w:r w:rsidRPr="007B28E7">
              <w:rPr>
                <w:sz w:val="20"/>
                <w:szCs w:val="20"/>
              </w:rPr>
              <w:t>Average cost per patient to manage AEs</w:t>
            </w:r>
          </w:p>
        </w:tc>
        <w:tc>
          <w:tcPr>
            <w:tcW w:w="1396" w:type="pct"/>
            <w:vAlign w:val="center"/>
          </w:tcPr>
          <w:p w:rsidR="000A1E88" w:rsidRPr="00D161DB" w:rsidRDefault="00D161DB" w:rsidP="00F0579E">
            <w:pPr>
              <w:pStyle w:val="TableText0"/>
              <w:spacing w:before="40" w:after="40" w:line="240" w:lineRule="auto"/>
              <w:contextualSpacing/>
              <w:jc w:val="center"/>
              <w:rPr>
                <w:sz w:val="20"/>
                <w:szCs w:val="20"/>
                <w:highlight w:val="black"/>
              </w:rPr>
            </w:pPr>
            <w:r>
              <w:rPr>
                <w:noProof/>
                <w:color w:val="000000"/>
                <w:sz w:val="20"/>
                <w:szCs w:val="20"/>
                <w:highlight w:val="black"/>
              </w:rPr>
              <w:t>''''''''''''''''''</w:t>
            </w:r>
          </w:p>
        </w:tc>
        <w:tc>
          <w:tcPr>
            <w:tcW w:w="763" w:type="pct"/>
            <w:vAlign w:val="center"/>
          </w:tcPr>
          <w:p w:rsidR="000A1E88" w:rsidRPr="00D161DB" w:rsidRDefault="00D161DB" w:rsidP="00F0579E">
            <w:pPr>
              <w:pStyle w:val="TableText0"/>
              <w:spacing w:before="40" w:after="40" w:line="240" w:lineRule="auto"/>
              <w:contextualSpacing/>
              <w:jc w:val="center"/>
              <w:rPr>
                <w:sz w:val="20"/>
                <w:szCs w:val="20"/>
                <w:highlight w:val="black"/>
              </w:rPr>
            </w:pPr>
            <w:r>
              <w:rPr>
                <w:noProof/>
                <w:color w:val="000000"/>
                <w:sz w:val="20"/>
                <w:szCs w:val="20"/>
                <w:highlight w:val="black"/>
              </w:rPr>
              <w:t>''''''''''''''</w:t>
            </w:r>
          </w:p>
        </w:tc>
        <w:tc>
          <w:tcPr>
            <w:tcW w:w="621" w:type="pct"/>
            <w:vAlign w:val="center"/>
          </w:tcPr>
          <w:p w:rsidR="000A1E88" w:rsidRPr="00D161DB" w:rsidRDefault="00D161DB" w:rsidP="00F0579E">
            <w:pPr>
              <w:pStyle w:val="TableText0"/>
              <w:spacing w:before="40" w:after="40" w:line="240" w:lineRule="auto"/>
              <w:contextualSpacing/>
              <w:jc w:val="center"/>
              <w:rPr>
                <w:sz w:val="20"/>
                <w:szCs w:val="20"/>
                <w:highlight w:val="black"/>
              </w:rPr>
            </w:pPr>
            <w:r>
              <w:rPr>
                <w:noProof/>
                <w:color w:val="000000"/>
                <w:sz w:val="20"/>
                <w:szCs w:val="20"/>
                <w:highlight w:val="black"/>
              </w:rPr>
              <w:t>''''''''''''''''''''</w:t>
            </w:r>
          </w:p>
        </w:tc>
      </w:tr>
      <w:tr w:rsidR="000A1E88" w:rsidRPr="007B28E7" w:rsidTr="00F0579E">
        <w:trPr>
          <w:trHeight w:val="145"/>
        </w:trPr>
        <w:tc>
          <w:tcPr>
            <w:tcW w:w="2220" w:type="pct"/>
          </w:tcPr>
          <w:p w:rsidR="000A1E88" w:rsidRPr="007B28E7" w:rsidRDefault="000A1E88" w:rsidP="00F0579E">
            <w:pPr>
              <w:pStyle w:val="TableText0"/>
              <w:spacing w:before="40" w:after="40" w:line="240" w:lineRule="auto"/>
              <w:contextualSpacing/>
              <w:rPr>
                <w:sz w:val="20"/>
                <w:szCs w:val="20"/>
              </w:rPr>
            </w:pPr>
            <w:r w:rsidRPr="007B28E7">
              <w:rPr>
                <w:sz w:val="20"/>
                <w:szCs w:val="20"/>
              </w:rPr>
              <w:t>Clinician visits</w:t>
            </w:r>
          </w:p>
        </w:tc>
        <w:tc>
          <w:tcPr>
            <w:tcW w:w="1396" w:type="pct"/>
            <w:vAlign w:val="center"/>
          </w:tcPr>
          <w:p w:rsidR="000A1E88" w:rsidRPr="00D161DB" w:rsidRDefault="00D161DB" w:rsidP="00F0579E">
            <w:pPr>
              <w:pStyle w:val="TableText0"/>
              <w:spacing w:before="40" w:after="40" w:line="240" w:lineRule="auto"/>
              <w:contextualSpacing/>
              <w:jc w:val="center"/>
              <w:rPr>
                <w:sz w:val="20"/>
                <w:szCs w:val="20"/>
                <w:highlight w:val="black"/>
              </w:rPr>
            </w:pPr>
            <w:r>
              <w:rPr>
                <w:noProof/>
                <w:color w:val="000000"/>
                <w:sz w:val="20"/>
                <w:szCs w:val="20"/>
                <w:highlight w:val="black"/>
              </w:rPr>
              <w:t>'''''''''''''''''''</w:t>
            </w:r>
          </w:p>
        </w:tc>
        <w:tc>
          <w:tcPr>
            <w:tcW w:w="763" w:type="pct"/>
            <w:vAlign w:val="center"/>
          </w:tcPr>
          <w:p w:rsidR="000A1E88" w:rsidRPr="00D161DB" w:rsidRDefault="00D161DB" w:rsidP="00F0579E">
            <w:pPr>
              <w:pStyle w:val="TableText0"/>
              <w:spacing w:before="40" w:after="40" w:line="240" w:lineRule="auto"/>
              <w:contextualSpacing/>
              <w:jc w:val="center"/>
              <w:rPr>
                <w:sz w:val="20"/>
                <w:szCs w:val="20"/>
                <w:highlight w:val="black"/>
              </w:rPr>
            </w:pPr>
            <w:r>
              <w:rPr>
                <w:noProof/>
                <w:color w:val="000000"/>
                <w:sz w:val="20"/>
                <w:szCs w:val="20"/>
                <w:highlight w:val="black"/>
              </w:rPr>
              <w:t>''''''''''''''''''</w:t>
            </w:r>
          </w:p>
        </w:tc>
        <w:tc>
          <w:tcPr>
            <w:tcW w:w="621" w:type="pct"/>
            <w:vAlign w:val="center"/>
          </w:tcPr>
          <w:p w:rsidR="000A1E88" w:rsidRPr="00D161DB" w:rsidRDefault="00D161DB" w:rsidP="00F0579E">
            <w:pPr>
              <w:pStyle w:val="TableText0"/>
              <w:spacing w:before="40" w:after="40" w:line="240" w:lineRule="auto"/>
              <w:contextualSpacing/>
              <w:jc w:val="center"/>
              <w:rPr>
                <w:sz w:val="20"/>
                <w:szCs w:val="20"/>
                <w:highlight w:val="black"/>
              </w:rPr>
            </w:pPr>
            <w:r>
              <w:rPr>
                <w:noProof/>
                <w:color w:val="000000"/>
                <w:sz w:val="20"/>
                <w:szCs w:val="20"/>
                <w:highlight w:val="black"/>
              </w:rPr>
              <w:t>'''''''''''''''''''''</w:t>
            </w:r>
          </w:p>
        </w:tc>
      </w:tr>
      <w:tr w:rsidR="000A1E88" w:rsidRPr="007B28E7" w:rsidTr="00F0579E">
        <w:trPr>
          <w:trHeight w:val="135"/>
        </w:trPr>
        <w:tc>
          <w:tcPr>
            <w:tcW w:w="2220" w:type="pct"/>
          </w:tcPr>
          <w:p w:rsidR="000A1E88" w:rsidRPr="007B28E7" w:rsidRDefault="000A1E88" w:rsidP="00F0579E">
            <w:pPr>
              <w:pStyle w:val="TableText0"/>
              <w:spacing w:before="40" w:after="40" w:line="240" w:lineRule="auto"/>
              <w:contextualSpacing/>
              <w:rPr>
                <w:sz w:val="20"/>
                <w:szCs w:val="20"/>
              </w:rPr>
            </w:pPr>
            <w:r w:rsidRPr="007B28E7">
              <w:rPr>
                <w:sz w:val="20"/>
                <w:szCs w:val="20"/>
              </w:rPr>
              <w:t>Monitoring costs</w:t>
            </w:r>
          </w:p>
        </w:tc>
        <w:tc>
          <w:tcPr>
            <w:tcW w:w="1396" w:type="pct"/>
            <w:vAlign w:val="center"/>
          </w:tcPr>
          <w:p w:rsidR="000A1E88" w:rsidRPr="00D161DB" w:rsidRDefault="00D161DB" w:rsidP="00F0579E">
            <w:pPr>
              <w:pStyle w:val="TableText0"/>
              <w:spacing w:before="40" w:after="40" w:line="240" w:lineRule="auto"/>
              <w:contextualSpacing/>
              <w:jc w:val="center"/>
              <w:rPr>
                <w:sz w:val="20"/>
                <w:szCs w:val="20"/>
                <w:highlight w:val="black"/>
              </w:rPr>
            </w:pPr>
            <w:r>
              <w:rPr>
                <w:noProof/>
                <w:color w:val="000000"/>
                <w:sz w:val="20"/>
                <w:szCs w:val="20"/>
                <w:highlight w:val="black"/>
              </w:rPr>
              <w:t>''''''''''''''''</w:t>
            </w:r>
          </w:p>
        </w:tc>
        <w:tc>
          <w:tcPr>
            <w:tcW w:w="763" w:type="pct"/>
            <w:vAlign w:val="center"/>
          </w:tcPr>
          <w:p w:rsidR="000A1E88" w:rsidRPr="00D161DB" w:rsidRDefault="00D161DB" w:rsidP="00F0579E">
            <w:pPr>
              <w:pStyle w:val="TableText0"/>
              <w:spacing w:before="40" w:after="40" w:line="240" w:lineRule="auto"/>
              <w:contextualSpacing/>
              <w:jc w:val="center"/>
              <w:rPr>
                <w:sz w:val="20"/>
                <w:szCs w:val="20"/>
                <w:highlight w:val="black"/>
              </w:rPr>
            </w:pPr>
            <w:r>
              <w:rPr>
                <w:noProof/>
                <w:color w:val="000000"/>
                <w:sz w:val="20"/>
                <w:szCs w:val="20"/>
                <w:highlight w:val="black"/>
              </w:rPr>
              <w:t>'''''''''''''</w:t>
            </w:r>
          </w:p>
        </w:tc>
        <w:tc>
          <w:tcPr>
            <w:tcW w:w="621" w:type="pct"/>
            <w:vAlign w:val="center"/>
          </w:tcPr>
          <w:p w:rsidR="000A1E88" w:rsidRPr="00D161DB" w:rsidRDefault="00D161DB" w:rsidP="00F0579E">
            <w:pPr>
              <w:pStyle w:val="TableText0"/>
              <w:spacing w:before="40" w:after="40" w:line="240" w:lineRule="auto"/>
              <w:contextualSpacing/>
              <w:jc w:val="center"/>
              <w:rPr>
                <w:sz w:val="20"/>
                <w:szCs w:val="20"/>
                <w:highlight w:val="black"/>
              </w:rPr>
            </w:pPr>
            <w:r>
              <w:rPr>
                <w:noProof/>
                <w:color w:val="000000"/>
                <w:sz w:val="20"/>
                <w:szCs w:val="20"/>
                <w:highlight w:val="black"/>
              </w:rPr>
              <w:t>'''''''''''''''</w:t>
            </w:r>
          </w:p>
        </w:tc>
      </w:tr>
      <w:tr w:rsidR="000A1E88" w:rsidRPr="007B28E7" w:rsidTr="00F0579E">
        <w:trPr>
          <w:trHeight w:val="125"/>
        </w:trPr>
        <w:tc>
          <w:tcPr>
            <w:tcW w:w="2220" w:type="pct"/>
            <w:tcBorders>
              <w:bottom w:val="double" w:sz="4" w:space="0" w:color="auto"/>
            </w:tcBorders>
            <w:vAlign w:val="bottom"/>
          </w:tcPr>
          <w:p w:rsidR="000A1E88" w:rsidRPr="007B28E7" w:rsidRDefault="000A1E88" w:rsidP="00F0579E">
            <w:pPr>
              <w:pStyle w:val="TableText0"/>
              <w:spacing w:before="40" w:after="40" w:line="240" w:lineRule="auto"/>
              <w:contextualSpacing/>
              <w:rPr>
                <w:b/>
                <w:sz w:val="20"/>
                <w:szCs w:val="20"/>
              </w:rPr>
            </w:pPr>
            <w:r w:rsidRPr="007B28E7">
              <w:rPr>
                <w:b/>
                <w:sz w:val="20"/>
                <w:szCs w:val="20"/>
              </w:rPr>
              <w:t>Total costs</w:t>
            </w:r>
          </w:p>
        </w:tc>
        <w:tc>
          <w:tcPr>
            <w:tcW w:w="1396" w:type="pct"/>
            <w:tcBorders>
              <w:bottom w:val="double" w:sz="4" w:space="0" w:color="auto"/>
            </w:tcBorders>
            <w:vAlign w:val="center"/>
          </w:tcPr>
          <w:p w:rsidR="000A1E88" w:rsidRPr="00D161DB" w:rsidRDefault="00D161DB" w:rsidP="00F0579E">
            <w:pPr>
              <w:pStyle w:val="TableText0"/>
              <w:spacing w:before="40" w:after="40" w:line="240" w:lineRule="auto"/>
              <w:contextualSpacing/>
              <w:jc w:val="center"/>
              <w:rPr>
                <w:sz w:val="20"/>
                <w:szCs w:val="20"/>
                <w:highlight w:val="black"/>
              </w:rPr>
            </w:pPr>
            <w:r>
              <w:rPr>
                <w:noProof/>
                <w:color w:val="000000"/>
                <w:sz w:val="20"/>
                <w:szCs w:val="20"/>
                <w:highlight w:val="black"/>
              </w:rPr>
              <w:t>''''''''''''''''''''''''''</w:t>
            </w:r>
          </w:p>
        </w:tc>
        <w:tc>
          <w:tcPr>
            <w:tcW w:w="763" w:type="pct"/>
            <w:tcBorders>
              <w:bottom w:val="double" w:sz="4" w:space="0" w:color="auto"/>
            </w:tcBorders>
            <w:vAlign w:val="center"/>
          </w:tcPr>
          <w:p w:rsidR="000A1E88" w:rsidRPr="00D161DB" w:rsidRDefault="00D161DB" w:rsidP="00F0579E">
            <w:pPr>
              <w:pStyle w:val="TableText0"/>
              <w:spacing w:before="40" w:after="40" w:line="240" w:lineRule="auto"/>
              <w:contextualSpacing/>
              <w:jc w:val="center"/>
              <w:rPr>
                <w:sz w:val="20"/>
                <w:szCs w:val="20"/>
                <w:highlight w:val="black"/>
              </w:rPr>
            </w:pPr>
            <w:r>
              <w:rPr>
                <w:noProof/>
                <w:color w:val="000000"/>
                <w:sz w:val="20"/>
                <w:szCs w:val="20"/>
                <w:highlight w:val="black"/>
              </w:rPr>
              <w:t>'''''''''''''''''''</w:t>
            </w:r>
          </w:p>
        </w:tc>
        <w:tc>
          <w:tcPr>
            <w:tcW w:w="621" w:type="pct"/>
            <w:tcBorders>
              <w:bottom w:val="double" w:sz="4" w:space="0" w:color="auto"/>
            </w:tcBorders>
            <w:vAlign w:val="center"/>
          </w:tcPr>
          <w:p w:rsidR="000A1E88" w:rsidRPr="00D161DB" w:rsidRDefault="00D161DB" w:rsidP="00F0579E">
            <w:pPr>
              <w:pStyle w:val="TableText0"/>
              <w:spacing w:before="40" w:after="40" w:line="240" w:lineRule="auto"/>
              <w:contextualSpacing/>
              <w:jc w:val="center"/>
              <w:rPr>
                <w:sz w:val="20"/>
                <w:szCs w:val="20"/>
                <w:highlight w:val="black"/>
              </w:rPr>
            </w:pPr>
            <w:r>
              <w:rPr>
                <w:noProof/>
                <w:color w:val="000000"/>
                <w:sz w:val="20"/>
                <w:szCs w:val="20"/>
                <w:highlight w:val="black"/>
              </w:rPr>
              <w:t>'''''''''''''''''''''''''</w:t>
            </w:r>
          </w:p>
        </w:tc>
      </w:tr>
      <w:tr w:rsidR="000A1E88" w:rsidRPr="007B28E7" w:rsidTr="00F0579E">
        <w:trPr>
          <w:trHeight w:val="95"/>
        </w:trPr>
        <w:tc>
          <w:tcPr>
            <w:tcW w:w="2220" w:type="pct"/>
            <w:tcBorders>
              <w:top w:val="double" w:sz="4" w:space="0" w:color="auto"/>
            </w:tcBorders>
            <w:vAlign w:val="bottom"/>
          </w:tcPr>
          <w:p w:rsidR="000A1E88" w:rsidRPr="007B28E7" w:rsidRDefault="000A1E88" w:rsidP="00F0579E">
            <w:pPr>
              <w:pStyle w:val="TableText0"/>
              <w:spacing w:before="40" w:after="40" w:line="240" w:lineRule="auto"/>
              <w:contextualSpacing/>
              <w:rPr>
                <w:b/>
                <w:sz w:val="20"/>
                <w:szCs w:val="20"/>
              </w:rPr>
            </w:pPr>
            <w:r w:rsidRPr="007B28E7">
              <w:rPr>
                <w:b/>
                <w:sz w:val="20"/>
                <w:szCs w:val="20"/>
              </w:rPr>
              <w:t>Outcomes</w:t>
            </w:r>
          </w:p>
        </w:tc>
        <w:tc>
          <w:tcPr>
            <w:tcW w:w="1396" w:type="pct"/>
            <w:tcBorders>
              <w:top w:val="double" w:sz="4" w:space="0" w:color="auto"/>
            </w:tcBorders>
            <w:vAlign w:val="center"/>
          </w:tcPr>
          <w:p w:rsidR="000A1E88" w:rsidRPr="007B28E7" w:rsidRDefault="000A1E88" w:rsidP="00F0579E">
            <w:pPr>
              <w:pStyle w:val="TableText0"/>
              <w:spacing w:before="40" w:after="40" w:line="240" w:lineRule="auto"/>
              <w:contextualSpacing/>
              <w:jc w:val="center"/>
              <w:rPr>
                <w:sz w:val="20"/>
                <w:szCs w:val="20"/>
              </w:rPr>
            </w:pPr>
          </w:p>
        </w:tc>
        <w:tc>
          <w:tcPr>
            <w:tcW w:w="763" w:type="pct"/>
            <w:tcBorders>
              <w:top w:val="double" w:sz="4" w:space="0" w:color="auto"/>
            </w:tcBorders>
            <w:vAlign w:val="center"/>
          </w:tcPr>
          <w:p w:rsidR="000A1E88" w:rsidRPr="007B28E7" w:rsidRDefault="000A1E88" w:rsidP="00F0579E">
            <w:pPr>
              <w:pStyle w:val="TableText0"/>
              <w:spacing w:before="40" w:after="40" w:line="240" w:lineRule="auto"/>
              <w:contextualSpacing/>
              <w:jc w:val="center"/>
              <w:rPr>
                <w:sz w:val="20"/>
                <w:szCs w:val="20"/>
              </w:rPr>
            </w:pPr>
          </w:p>
        </w:tc>
        <w:tc>
          <w:tcPr>
            <w:tcW w:w="621" w:type="pct"/>
            <w:tcBorders>
              <w:top w:val="double" w:sz="4" w:space="0" w:color="auto"/>
            </w:tcBorders>
            <w:vAlign w:val="center"/>
          </w:tcPr>
          <w:p w:rsidR="000A1E88" w:rsidRPr="007B28E7" w:rsidRDefault="000A1E88" w:rsidP="00F0579E">
            <w:pPr>
              <w:pStyle w:val="TableText0"/>
              <w:spacing w:before="40" w:after="40" w:line="240" w:lineRule="auto"/>
              <w:contextualSpacing/>
              <w:jc w:val="center"/>
              <w:rPr>
                <w:sz w:val="20"/>
                <w:szCs w:val="20"/>
              </w:rPr>
            </w:pPr>
          </w:p>
        </w:tc>
      </w:tr>
      <w:tr w:rsidR="000A1E88" w:rsidRPr="007B28E7" w:rsidTr="00F0579E">
        <w:trPr>
          <w:trHeight w:val="78"/>
        </w:trPr>
        <w:tc>
          <w:tcPr>
            <w:tcW w:w="2220" w:type="pct"/>
            <w:vAlign w:val="bottom"/>
          </w:tcPr>
          <w:p w:rsidR="000A1E88" w:rsidRPr="007B28E7" w:rsidRDefault="000A1E88" w:rsidP="00F0579E">
            <w:pPr>
              <w:pStyle w:val="TableText0"/>
              <w:spacing w:before="40" w:after="40" w:line="240" w:lineRule="auto"/>
              <w:contextualSpacing/>
              <w:rPr>
                <w:sz w:val="20"/>
                <w:szCs w:val="20"/>
              </w:rPr>
            </w:pPr>
            <w:r w:rsidRPr="007B28E7">
              <w:rPr>
                <w:sz w:val="20"/>
                <w:szCs w:val="20"/>
              </w:rPr>
              <w:t>Mean OS (in months)</w:t>
            </w:r>
          </w:p>
        </w:tc>
        <w:tc>
          <w:tcPr>
            <w:tcW w:w="1396" w:type="pct"/>
            <w:vAlign w:val="center"/>
          </w:tcPr>
          <w:p w:rsidR="000A1E88" w:rsidRPr="007B28E7" w:rsidRDefault="000A1E88" w:rsidP="00F0579E">
            <w:pPr>
              <w:pStyle w:val="TableText0"/>
              <w:spacing w:before="40" w:after="40" w:line="240" w:lineRule="auto"/>
              <w:contextualSpacing/>
              <w:jc w:val="center"/>
              <w:rPr>
                <w:sz w:val="20"/>
                <w:szCs w:val="20"/>
              </w:rPr>
            </w:pPr>
            <w:r w:rsidRPr="007B28E7">
              <w:rPr>
                <w:sz w:val="20"/>
                <w:szCs w:val="20"/>
              </w:rPr>
              <w:t>10.0</w:t>
            </w:r>
          </w:p>
        </w:tc>
        <w:tc>
          <w:tcPr>
            <w:tcW w:w="763" w:type="pct"/>
            <w:vAlign w:val="center"/>
          </w:tcPr>
          <w:p w:rsidR="000A1E88" w:rsidRPr="007B28E7" w:rsidRDefault="000A1E88" w:rsidP="00F0579E">
            <w:pPr>
              <w:pStyle w:val="TableText0"/>
              <w:spacing w:before="40" w:after="40" w:line="240" w:lineRule="auto"/>
              <w:contextualSpacing/>
              <w:jc w:val="center"/>
              <w:rPr>
                <w:sz w:val="20"/>
                <w:szCs w:val="20"/>
              </w:rPr>
            </w:pPr>
            <w:r w:rsidRPr="007B28E7">
              <w:rPr>
                <w:sz w:val="20"/>
                <w:szCs w:val="20"/>
              </w:rPr>
              <w:t>7.4</w:t>
            </w:r>
          </w:p>
        </w:tc>
        <w:tc>
          <w:tcPr>
            <w:tcW w:w="621" w:type="pct"/>
            <w:vAlign w:val="center"/>
          </w:tcPr>
          <w:p w:rsidR="000A1E88" w:rsidRPr="007B28E7" w:rsidRDefault="000A1E88" w:rsidP="00F0579E">
            <w:pPr>
              <w:pStyle w:val="TableText0"/>
              <w:spacing w:before="40" w:after="40" w:line="240" w:lineRule="auto"/>
              <w:contextualSpacing/>
              <w:jc w:val="center"/>
              <w:rPr>
                <w:sz w:val="20"/>
                <w:szCs w:val="20"/>
              </w:rPr>
            </w:pPr>
            <w:r w:rsidRPr="007B28E7">
              <w:rPr>
                <w:sz w:val="20"/>
                <w:szCs w:val="20"/>
              </w:rPr>
              <w:t>2.6</w:t>
            </w:r>
          </w:p>
        </w:tc>
      </w:tr>
      <w:tr w:rsidR="000A1E88" w:rsidRPr="007B28E7" w:rsidTr="00F0579E">
        <w:trPr>
          <w:trHeight w:val="67"/>
        </w:trPr>
        <w:tc>
          <w:tcPr>
            <w:tcW w:w="2220" w:type="pct"/>
            <w:vAlign w:val="bottom"/>
          </w:tcPr>
          <w:p w:rsidR="000A1E88" w:rsidRPr="007B28E7" w:rsidRDefault="000A1E88" w:rsidP="00F0579E">
            <w:pPr>
              <w:pStyle w:val="TableText0"/>
              <w:spacing w:before="40" w:after="40" w:line="240" w:lineRule="auto"/>
              <w:contextualSpacing/>
              <w:rPr>
                <w:sz w:val="20"/>
                <w:szCs w:val="20"/>
              </w:rPr>
            </w:pPr>
            <w:r w:rsidRPr="007B28E7">
              <w:rPr>
                <w:sz w:val="20"/>
                <w:szCs w:val="20"/>
              </w:rPr>
              <w:t>Mean OS (in years)</w:t>
            </w:r>
          </w:p>
        </w:tc>
        <w:tc>
          <w:tcPr>
            <w:tcW w:w="1396" w:type="pct"/>
            <w:vAlign w:val="center"/>
          </w:tcPr>
          <w:p w:rsidR="000A1E88" w:rsidRPr="007B28E7" w:rsidRDefault="000A1E88" w:rsidP="00F0579E">
            <w:pPr>
              <w:pStyle w:val="TableText0"/>
              <w:spacing w:before="40" w:after="40" w:line="240" w:lineRule="auto"/>
              <w:contextualSpacing/>
              <w:jc w:val="center"/>
              <w:rPr>
                <w:sz w:val="20"/>
                <w:szCs w:val="20"/>
              </w:rPr>
            </w:pPr>
            <w:r w:rsidRPr="007B28E7">
              <w:rPr>
                <w:sz w:val="20"/>
                <w:szCs w:val="20"/>
              </w:rPr>
              <w:t>0.8</w:t>
            </w:r>
            <w:r w:rsidR="00FC109B">
              <w:rPr>
                <w:sz w:val="20"/>
                <w:szCs w:val="20"/>
              </w:rPr>
              <w:t>2</w:t>
            </w:r>
          </w:p>
        </w:tc>
        <w:tc>
          <w:tcPr>
            <w:tcW w:w="763" w:type="pct"/>
            <w:vAlign w:val="center"/>
          </w:tcPr>
          <w:p w:rsidR="000A1E88" w:rsidRPr="007B28E7" w:rsidRDefault="000A1E88" w:rsidP="00F0579E">
            <w:pPr>
              <w:pStyle w:val="TableText0"/>
              <w:spacing w:before="40" w:after="40" w:line="240" w:lineRule="auto"/>
              <w:contextualSpacing/>
              <w:jc w:val="center"/>
              <w:rPr>
                <w:sz w:val="20"/>
                <w:szCs w:val="20"/>
              </w:rPr>
            </w:pPr>
            <w:r w:rsidRPr="007B28E7">
              <w:rPr>
                <w:sz w:val="20"/>
                <w:szCs w:val="20"/>
              </w:rPr>
              <w:t>0.62</w:t>
            </w:r>
          </w:p>
        </w:tc>
        <w:tc>
          <w:tcPr>
            <w:tcW w:w="621" w:type="pct"/>
            <w:vAlign w:val="center"/>
          </w:tcPr>
          <w:p w:rsidR="000A1E88" w:rsidRPr="007B28E7" w:rsidRDefault="000A1E88" w:rsidP="00F0579E">
            <w:pPr>
              <w:pStyle w:val="TableText0"/>
              <w:spacing w:before="40" w:after="40" w:line="240" w:lineRule="auto"/>
              <w:contextualSpacing/>
              <w:jc w:val="center"/>
              <w:rPr>
                <w:sz w:val="20"/>
                <w:szCs w:val="20"/>
              </w:rPr>
            </w:pPr>
            <w:r w:rsidRPr="007B28E7">
              <w:rPr>
                <w:sz w:val="20"/>
                <w:szCs w:val="20"/>
              </w:rPr>
              <w:t>0.2</w:t>
            </w:r>
            <w:r w:rsidR="00FC109B">
              <w:rPr>
                <w:sz w:val="20"/>
                <w:szCs w:val="20"/>
              </w:rPr>
              <w:t>0</w:t>
            </w:r>
          </w:p>
        </w:tc>
      </w:tr>
      <w:tr w:rsidR="000A1E88" w:rsidRPr="007B28E7" w:rsidTr="00F0579E">
        <w:trPr>
          <w:trHeight w:val="200"/>
        </w:trPr>
        <w:tc>
          <w:tcPr>
            <w:tcW w:w="2220" w:type="pct"/>
            <w:tcBorders>
              <w:bottom w:val="double" w:sz="4" w:space="0" w:color="auto"/>
            </w:tcBorders>
            <w:vAlign w:val="bottom"/>
          </w:tcPr>
          <w:p w:rsidR="000A1E88" w:rsidRPr="007B28E7" w:rsidRDefault="000A1E88" w:rsidP="00F0579E">
            <w:pPr>
              <w:pStyle w:val="TableText0"/>
              <w:spacing w:before="40" w:after="40" w:line="240" w:lineRule="auto"/>
              <w:contextualSpacing/>
              <w:rPr>
                <w:sz w:val="20"/>
                <w:szCs w:val="20"/>
              </w:rPr>
            </w:pPr>
            <w:r w:rsidRPr="007B28E7">
              <w:rPr>
                <w:sz w:val="20"/>
                <w:szCs w:val="20"/>
              </w:rPr>
              <w:t>Mean QALYs</w:t>
            </w:r>
          </w:p>
        </w:tc>
        <w:tc>
          <w:tcPr>
            <w:tcW w:w="1396" w:type="pct"/>
            <w:tcBorders>
              <w:bottom w:val="double" w:sz="4" w:space="0" w:color="auto"/>
            </w:tcBorders>
            <w:vAlign w:val="center"/>
          </w:tcPr>
          <w:p w:rsidR="000A1E88" w:rsidRPr="007B28E7" w:rsidRDefault="000A1E88" w:rsidP="00F0579E">
            <w:pPr>
              <w:pStyle w:val="TableText0"/>
              <w:spacing w:before="40" w:after="40" w:line="240" w:lineRule="auto"/>
              <w:contextualSpacing/>
              <w:jc w:val="center"/>
              <w:rPr>
                <w:sz w:val="20"/>
                <w:szCs w:val="20"/>
              </w:rPr>
            </w:pPr>
            <w:r w:rsidRPr="007B28E7">
              <w:rPr>
                <w:sz w:val="20"/>
                <w:szCs w:val="20"/>
              </w:rPr>
              <w:t>0.5</w:t>
            </w:r>
            <w:r w:rsidR="00FC109B">
              <w:rPr>
                <w:sz w:val="20"/>
                <w:szCs w:val="20"/>
              </w:rPr>
              <w:t>2</w:t>
            </w:r>
          </w:p>
        </w:tc>
        <w:tc>
          <w:tcPr>
            <w:tcW w:w="763" w:type="pct"/>
            <w:tcBorders>
              <w:bottom w:val="double" w:sz="4" w:space="0" w:color="auto"/>
            </w:tcBorders>
            <w:vAlign w:val="center"/>
          </w:tcPr>
          <w:p w:rsidR="000A1E88" w:rsidRPr="007B28E7" w:rsidRDefault="000A1E88" w:rsidP="00F0579E">
            <w:pPr>
              <w:pStyle w:val="TableText0"/>
              <w:spacing w:before="40" w:after="40" w:line="240" w:lineRule="auto"/>
              <w:contextualSpacing/>
              <w:jc w:val="center"/>
              <w:rPr>
                <w:sz w:val="20"/>
                <w:szCs w:val="20"/>
              </w:rPr>
            </w:pPr>
            <w:r w:rsidRPr="007B28E7">
              <w:rPr>
                <w:sz w:val="20"/>
                <w:szCs w:val="20"/>
              </w:rPr>
              <w:t>0.39</w:t>
            </w:r>
          </w:p>
        </w:tc>
        <w:tc>
          <w:tcPr>
            <w:tcW w:w="621" w:type="pct"/>
            <w:tcBorders>
              <w:bottom w:val="double" w:sz="4" w:space="0" w:color="auto"/>
            </w:tcBorders>
            <w:vAlign w:val="center"/>
          </w:tcPr>
          <w:p w:rsidR="000A1E88" w:rsidRPr="007B28E7" w:rsidRDefault="000A1E88" w:rsidP="00F0579E">
            <w:pPr>
              <w:pStyle w:val="TableText0"/>
              <w:spacing w:before="40" w:after="40" w:line="240" w:lineRule="auto"/>
              <w:contextualSpacing/>
              <w:jc w:val="center"/>
              <w:rPr>
                <w:sz w:val="20"/>
                <w:szCs w:val="20"/>
              </w:rPr>
            </w:pPr>
            <w:r w:rsidRPr="007B28E7">
              <w:rPr>
                <w:sz w:val="20"/>
                <w:szCs w:val="20"/>
              </w:rPr>
              <w:t>0.1</w:t>
            </w:r>
            <w:r w:rsidR="00FC109B">
              <w:rPr>
                <w:sz w:val="20"/>
                <w:szCs w:val="20"/>
              </w:rPr>
              <w:t>4</w:t>
            </w:r>
          </w:p>
        </w:tc>
      </w:tr>
      <w:tr w:rsidR="000A1E88" w:rsidRPr="007B28E7" w:rsidTr="00F0579E">
        <w:trPr>
          <w:trHeight w:val="227"/>
        </w:trPr>
        <w:tc>
          <w:tcPr>
            <w:tcW w:w="4379" w:type="pct"/>
            <w:gridSpan w:val="3"/>
            <w:tcBorders>
              <w:top w:val="double" w:sz="4" w:space="0" w:color="auto"/>
            </w:tcBorders>
            <w:vAlign w:val="center"/>
          </w:tcPr>
          <w:p w:rsidR="000A1E88" w:rsidRPr="007B28E7" w:rsidRDefault="000A1E88" w:rsidP="00F0579E">
            <w:pPr>
              <w:pStyle w:val="TableText0"/>
              <w:spacing w:before="40" w:after="40" w:line="240" w:lineRule="auto"/>
              <w:contextualSpacing/>
              <w:jc w:val="right"/>
              <w:rPr>
                <w:sz w:val="20"/>
                <w:szCs w:val="20"/>
              </w:rPr>
            </w:pPr>
            <w:r w:rsidRPr="007B28E7">
              <w:rPr>
                <w:sz w:val="20"/>
                <w:szCs w:val="20"/>
              </w:rPr>
              <w:t>Incremental cost of trifluridine/tipiracil vs placebo per LY gained:</w:t>
            </w:r>
          </w:p>
        </w:tc>
        <w:tc>
          <w:tcPr>
            <w:tcW w:w="621" w:type="pct"/>
            <w:tcBorders>
              <w:top w:val="double" w:sz="4" w:space="0" w:color="auto"/>
            </w:tcBorders>
            <w:vAlign w:val="center"/>
          </w:tcPr>
          <w:p w:rsidR="000A1E88" w:rsidRPr="00D161DB" w:rsidRDefault="00D161DB" w:rsidP="00F0579E">
            <w:pPr>
              <w:pStyle w:val="TableText0"/>
              <w:spacing w:before="40" w:after="40" w:line="240" w:lineRule="auto"/>
              <w:contextualSpacing/>
              <w:jc w:val="center"/>
              <w:rPr>
                <w:sz w:val="20"/>
                <w:szCs w:val="20"/>
                <w:highlight w:val="black"/>
              </w:rPr>
            </w:pPr>
            <w:r>
              <w:rPr>
                <w:noProof/>
                <w:color w:val="000000"/>
                <w:sz w:val="20"/>
                <w:szCs w:val="20"/>
                <w:highlight w:val="black"/>
              </w:rPr>
              <w:t>''''''''''''''''''''''</w:t>
            </w:r>
          </w:p>
        </w:tc>
      </w:tr>
      <w:tr w:rsidR="000A1E88" w:rsidRPr="007B28E7" w:rsidTr="00F0579E">
        <w:trPr>
          <w:trHeight w:val="227"/>
        </w:trPr>
        <w:tc>
          <w:tcPr>
            <w:tcW w:w="4379" w:type="pct"/>
            <w:gridSpan w:val="3"/>
            <w:vAlign w:val="center"/>
          </w:tcPr>
          <w:p w:rsidR="000A1E88" w:rsidRPr="007B28E7" w:rsidRDefault="000A1E88" w:rsidP="00F0579E">
            <w:pPr>
              <w:pStyle w:val="TableText0"/>
              <w:spacing w:before="40" w:after="40" w:line="240" w:lineRule="auto"/>
              <w:contextualSpacing/>
              <w:jc w:val="right"/>
              <w:rPr>
                <w:sz w:val="20"/>
                <w:szCs w:val="20"/>
              </w:rPr>
            </w:pPr>
            <w:r w:rsidRPr="007B28E7">
              <w:rPr>
                <w:sz w:val="20"/>
                <w:szCs w:val="20"/>
              </w:rPr>
              <w:t>Incremental cost of trifluridine/tipiracil vs placebo per QALY gained:</w:t>
            </w:r>
          </w:p>
        </w:tc>
        <w:tc>
          <w:tcPr>
            <w:tcW w:w="621" w:type="pct"/>
            <w:vAlign w:val="center"/>
          </w:tcPr>
          <w:p w:rsidR="000A1E88" w:rsidRPr="00D161DB" w:rsidRDefault="00D161DB" w:rsidP="00F0579E">
            <w:pPr>
              <w:pStyle w:val="TableText0"/>
              <w:spacing w:before="40" w:after="40" w:line="240" w:lineRule="auto"/>
              <w:contextualSpacing/>
              <w:jc w:val="center"/>
              <w:rPr>
                <w:sz w:val="20"/>
                <w:szCs w:val="20"/>
                <w:highlight w:val="black"/>
              </w:rPr>
            </w:pPr>
            <w:r>
              <w:rPr>
                <w:noProof/>
                <w:color w:val="000000"/>
                <w:sz w:val="20"/>
                <w:szCs w:val="20"/>
                <w:highlight w:val="black"/>
              </w:rPr>
              <w:t>'''''''''''''''''''''</w:t>
            </w:r>
          </w:p>
        </w:tc>
      </w:tr>
    </w:tbl>
    <w:p w:rsidR="000A1E88" w:rsidRPr="0023111F" w:rsidRDefault="000A1E88" w:rsidP="000A1E88">
      <w:pPr>
        <w:pStyle w:val="TableFooter"/>
        <w:widowControl/>
        <w:rPr>
          <w:szCs w:val="18"/>
        </w:rPr>
      </w:pPr>
      <w:r w:rsidRPr="0023111F">
        <w:rPr>
          <w:szCs w:val="18"/>
        </w:rPr>
        <w:t>Abbreviations: AE = adverse event; OS = overall survival; QALY = quality adjusted life year</w:t>
      </w:r>
    </w:p>
    <w:p w:rsidR="000A1E88" w:rsidRDefault="000A1E88" w:rsidP="00B35FB6">
      <w:pPr>
        <w:spacing w:after="120"/>
        <w:jc w:val="both"/>
        <w:rPr>
          <w:rFonts w:ascii="Arial Narrow" w:hAnsi="Arial Narrow"/>
          <w:sz w:val="18"/>
          <w:szCs w:val="18"/>
        </w:rPr>
      </w:pPr>
      <w:r>
        <w:rPr>
          <w:rFonts w:ascii="Arial Narrow" w:hAnsi="Arial Narrow"/>
          <w:sz w:val="18"/>
          <w:szCs w:val="18"/>
        </w:rPr>
        <w:t xml:space="preserve">Source: Table </w:t>
      </w:r>
      <w:r w:rsidR="00FC109B">
        <w:rPr>
          <w:rFonts w:ascii="Arial Narrow" w:hAnsi="Arial Narrow"/>
          <w:sz w:val="18"/>
          <w:szCs w:val="18"/>
        </w:rPr>
        <w:t>4</w:t>
      </w:r>
      <w:r>
        <w:rPr>
          <w:rFonts w:ascii="Arial Narrow" w:hAnsi="Arial Narrow"/>
          <w:sz w:val="18"/>
          <w:szCs w:val="18"/>
        </w:rPr>
        <w:t>, page 1</w:t>
      </w:r>
      <w:r w:rsidR="00FC109B">
        <w:rPr>
          <w:rFonts w:ascii="Arial Narrow" w:hAnsi="Arial Narrow"/>
          <w:sz w:val="18"/>
          <w:szCs w:val="18"/>
        </w:rPr>
        <w:t>5</w:t>
      </w:r>
      <w:r w:rsidRPr="0023111F">
        <w:rPr>
          <w:rFonts w:ascii="Arial Narrow" w:hAnsi="Arial Narrow"/>
          <w:sz w:val="18"/>
          <w:szCs w:val="18"/>
        </w:rPr>
        <w:t xml:space="preserve"> of </w:t>
      </w:r>
      <w:r>
        <w:rPr>
          <w:rFonts w:ascii="Arial Narrow" w:hAnsi="Arial Narrow"/>
          <w:sz w:val="18"/>
          <w:szCs w:val="18"/>
        </w:rPr>
        <w:t xml:space="preserve">the submission </w:t>
      </w:r>
    </w:p>
    <w:p w:rsidR="00C84B40" w:rsidRPr="00C84B40" w:rsidRDefault="00C84B40" w:rsidP="00B35FB6">
      <w:pPr>
        <w:widowControl w:val="0"/>
        <w:numPr>
          <w:ilvl w:val="1"/>
          <w:numId w:val="5"/>
        </w:numPr>
        <w:spacing w:before="120" w:after="120"/>
        <w:contextualSpacing/>
        <w:jc w:val="both"/>
        <w:rPr>
          <w:rFonts w:asciiTheme="minorHAnsi" w:hAnsiTheme="minorHAnsi" w:cs="Arial"/>
          <w:snapToGrid w:val="0"/>
          <w:szCs w:val="22"/>
          <w:lang w:eastAsia="en-US"/>
        </w:rPr>
      </w:pPr>
      <w:r w:rsidRPr="00C84B40">
        <w:rPr>
          <w:rFonts w:asciiTheme="minorHAnsi" w:hAnsiTheme="minorHAnsi" w:cs="Arial"/>
          <w:snapToGrid w:val="0"/>
          <w:szCs w:val="22"/>
          <w:lang w:eastAsia="en-US"/>
        </w:rPr>
        <w:t xml:space="preserve">When the unadjusted utility value </w:t>
      </w:r>
      <w:r w:rsidR="000C4BFD">
        <w:rPr>
          <w:rFonts w:asciiTheme="minorHAnsi" w:hAnsiTheme="minorHAnsi" w:cs="Arial"/>
          <w:snapToGrid w:val="0"/>
          <w:szCs w:val="22"/>
          <w:lang w:eastAsia="en-US"/>
        </w:rPr>
        <w:t xml:space="preserve">(0.73) </w:t>
      </w:r>
      <w:r w:rsidRPr="00C84B40">
        <w:rPr>
          <w:rFonts w:asciiTheme="minorHAnsi" w:hAnsiTheme="minorHAnsi" w:cs="Arial"/>
          <w:snapToGrid w:val="0"/>
          <w:szCs w:val="22"/>
          <w:lang w:eastAsia="en-US"/>
        </w:rPr>
        <w:t>for the progression free health state from the CORRECT (regorafenib) tria</w:t>
      </w:r>
      <w:r w:rsidR="000C4BFD">
        <w:rPr>
          <w:rFonts w:asciiTheme="minorHAnsi" w:hAnsiTheme="minorHAnsi" w:cs="Arial"/>
          <w:snapToGrid w:val="0"/>
          <w:szCs w:val="22"/>
          <w:lang w:eastAsia="en-US"/>
        </w:rPr>
        <w:t>l was applied in the model</w:t>
      </w:r>
      <w:r>
        <w:rPr>
          <w:rFonts w:asciiTheme="minorHAnsi" w:hAnsiTheme="minorHAnsi" w:cs="Arial"/>
          <w:snapToGrid w:val="0"/>
          <w:szCs w:val="22"/>
          <w:lang w:eastAsia="en-US"/>
        </w:rPr>
        <w:t xml:space="preserve"> and</w:t>
      </w:r>
      <w:r w:rsidR="00DD6276">
        <w:rPr>
          <w:rFonts w:asciiTheme="minorHAnsi" w:hAnsiTheme="minorHAnsi" w:cs="Arial"/>
          <w:snapToGrid w:val="0"/>
          <w:szCs w:val="22"/>
          <w:lang w:eastAsia="en-US"/>
        </w:rPr>
        <w:t xml:space="preserve"> the benefit of treatment removed for 9.4% of patients in the trifluridine/tipiracil arm,</w:t>
      </w:r>
      <w:r>
        <w:rPr>
          <w:rFonts w:asciiTheme="minorHAnsi" w:hAnsiTheme="minorHAnsi" w:cs="Arial"/>
          <w:snapToGrid w:val="0"/>
          <w:szCs w:val="22"/>
          <w:lang w:eastAsia="en-US"/>
        </w:rPr>
        <w:t xml:space="preserve"> the ICER increased to </w:t>
      </w:r>
      <w:r w:rsidR="00112447">
        <w:rPr>
          <w:rFonts w:asciiTheme="minorHAnsi" w:hAnsiTheme="minorHAnsi" w:cs="Arial"/>
          <w:snapToGrid w:val="0"/>
          <w:szCs w:val="22"/>
          <w:lang w:eastAsia="en-US"/>
        </w:rPr>
        <w:t>$45,000/QALY - $75,000/QALY</w:t>
      </w:r>
      <w:r w:rsidR="00CD591E">
        <w:rPr>
          <w:rFonts w:asciiTheme="minorHAnsi" w:hAnsiTheme="minorHAnsi" w:cs="Arial"/>
          <w:snapToGrid w:val="0"/>
          <w:szCs w:val="22"/>
          <w:lang w:eastAsia="en-US"/>
        </w:rPr>
        <w:t xml:space="preserve"> from </w:t>
      </w:r>
      <w:r w:rsidR="00112447">
        <w:rPr>
          <w:rFonts w:asciiTheme="minorHAnsi" w:hAnsiTheme="minorHAnsi" w:cs="Arial"/>
          <w:snapToGrid w:val="0"/>
          <w:szCs w:val="22"/>
          <w:lang w:eastAsia="en-US"/>
        </w:rPr>
        <w:t>$45,000/QALY - $75,000/QALY</w:t>
      </w:r>
      <w:r>
        <w:rPr>
          <w:rFonts w:asciiTheme="minorHAnsi" w:hAnsiTheme="minorHAnsi" w:cs="Arial"/>
          <w:snapToGrid w:val="0"/>
          <w:szCs w:val="22"/>
          <w:lang w:eastAsia="en-US"/>
        </w:rPr>
        <w:t>.</w:t>
      </w:r>
    </w:p>
    <w:p w:rsidR="003C2FB5" w:rsidRPr="008306F3" w:rsidRDefault="00953CAA" w:rsidP="008306F3">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Drug cost/patient/course</w:t>
      </w:r>
      <w:r w:rsidR="007F3C98">
        <w:rPr>
          <w:rFonts w:asciiTheme="minorHAnsi" w:eastAsiaTheme="majorEastAsia" w:hAnsiTheme="minorHAnsi" w:cstheme="majorBidi"/>
          <w:sz w:val="28"/>
          <w:szCs w:val="28"/>
          <w:lang w:eastAsia="en-US"/>
        </w:rPr>
        <w:t>: $</w:t>
      </w:r>
      <w:r w:rsidR="00D161DB">
        <w:rPr>
          <w:rFonts w:asciiTheme="minorHAnsi" w:eastAsiaTheme="majorEastAsia" w:hAnsiTheme="minorHAnsi" w:cstheme="majorBidi"/>
          <w:noProof/>
          <w:color w:val="000000"/>
          <w:sz w:val="28"/>
          <w:szCs w:val="28"/>
          <w:highlight w:val="black"/>
          <w:lang w:eastAsia="en-US"/>
        </w:rPr>
        <w:t>''''''''''</w:t>
      </w:r>
    </w:p>
    <w:p w:rsidR="00E73F26" w:rsidRPr="00E73F26" w:rsidRDefault="00E73F26" w:rsidP="0017166E">
      <w:pPr>
        <w:widowControl w:val="0"/>
        <w:numPr>
          <w:ilvl w:val="1"/>
          <w:numId w:val="5"/>
        </w:numPr>
        <w:contextualSpacing/>
        <w:jc w:val="both"/>
        <w:rPr>
          <w:rFonts w:asciiTheme="minorHAnsi" w:hAnsiTheme="minorHAnsi" w:cs="Arial"/>
          <w:snapToGrid w:val="0"/>
          <w:szCs w:val="22"/>
          <w:lang w:eastAsia="en-US"/>
        </w:rPr>
      </w:pPr>
      <w:r w:rsidRPr="00E73F26">
        <w:rPr>
          <w:rFonts w:asciiTheme="minorHAnsi" w:hAnsiTheme="minorHAnsi" w:cs="Arial"/>
          <w:snapToGrid w:val="0"/>
          <w:szCs w:val="22"/>
          <w:lang w:eastAsia="en-US"/>
        </w:rPr>
        <w:t xml:space="preserve">The </w:t>
      </w:r>
      <w:r w:rsidR="000D12A7">
        <w:rPr>
          <w:rFonts w:asciiTheme="minorHAnsi" w:hAnsiTheme="minorHAnsi" w:cs="Arial"/>
          <w:snapToGrid w:val="0"/>
          <w:szCs w:val="22"/>
          <w:lang w:eastAsia="en-US"/>
        </w:rPr>
        <w:t>minor re</w:t>
      </w:r>
      <w:r w:rsidRPr="00E73F26">
        <w:rPr>
          <w:rFonts w:asciiTheme="minorHAnsi" w:hAnsiTheme="minorHAnsi" w:cs="Arial"/>
          <w:snapToGrid w:val="0"/>
          <w:szCs w:val="22"/>
          <w:lang w:eastAsia="en-US"/>
        </w:rPr>
        <w:t>submission sta</w:t>
      </w:r>
      <w:r>
        <w:rPr>
          <w:rFonts w:asciiTheme="minorHAnsi" w:hAnsiTheme="minorHAnsi" w:cs="Arial"/>
          <w:snapToGrid w:val="0"/>
          <w:szCs w:val="22"/>
          <w:lang w:eastAsia="en-US"/>
        </w:rPr>
        <w:t>ted (p14</w:t>
      </w:r>
      <w:r w:rsidRPr="00E73F26">
        <w:rPr>
          <w:rFonts w:asciiTheme="minorHAnsi" w:hAnsiTheme="minorHAnsi" w:cs="Arial"/>
          <w:snapToGrid w:val="0"/>
          <w:szCs w:val="22"/>
          <w:lang w:eastAsia="en-US"/>
        </w:rPr>
        <w:t xml:space="preserve">) that the average effective dispensed cost per patient per cycle (one month) is </w:t>
      </w:r>
      <w:r w:rsidR="00953CAA" w:rsidRPr="00953CAA">
        <w:rPr>
          <w:rFonts w:asciiTheme="minorHAnsi" w:hAnsiTheme="minorHAnsi" w:cs="Arial"/>
          <w:snapToGrid w:val="0"/>
          <w:szCs w:val="22"/>
          <w:lang w:eastAsia="en-US"/>
        </w:rPr>
        <w:t>$</w:t>
      </w:r>
      <w:r w:rsidR="00D161DB">
        <w:rPr>
          <w:rFonts w:asciiTheme="minorHAnsi" w:hAnsiTheme="minorHAnsi" w:cs="Arial"/>
          <w:noProof/>
          <w:snapToGrid w:val="0"/>
          <w:color w:val="000000"/>
          <w:szCs w:val="22"/>
          <w:highlight w:val="black"/>
          <w:lang w:eastAsia="en-US"/>
        </w:rPr>
        <w:t>''''''''''''''''</w:t>
      </w:r>
      <w:r w:rsidR="000660CF">
        <w:rPr>
          <w:rFonts w:asciiTheme="minorHAnsi" w:hAnsiTheme="minorHAnsi" w:cs="Arial"/>
          <w:snapToGrid w:val="0"/>
          <w:szCs w:val="22"/>
          <w:lang w:eastAsia="en-US"/>
        </w:rPr>
        <w:t xml:space="preserve">. This </w:t>
      </w:r>
      <w:r w:rsidRPr="00E73F26">
        <w:rPr>
          <w:rFonts w:asciiTheme="minorHAnsi" w:hAnsiTheme="minorHAnsi" w:cs="Arial"/>
          <w:snapToGrid w:val="0"/>
          <w:szCs w:val="22"/>
          <w:lang w:eastAsia="en-US"/>
        </w:rPr>
        <w:t xml:space="preserve">estimate </w:t>
      </w:r>
      <w:r w:rsidR="000660CF">
        <w:rPr>
          <w:rFonts w:asciiTheme="minorHAnsi" w:hAnsiTheme="minorHAnsi" w:cs="Arial"/>
          <w:snapToGrid w:val="0"/>
          <w:szCs w:val="22"/>
          <w:lang w:eastAsia="en-US"/>
        </w:rPr>
        <w:t xml:space="preserve">is </w:t>
      </w:r>
      <w:r w:rsidRPr="00E73F26">
        <w:rPr>
          <w:rFonts w:asciiTheme="minorHAnsi" w:hAnsiTheme="minorHAnsi" w:cs="Arial"/>
          <w:snapToGrid w:val="0"/>
          <w:szCs w:val="22"/>
          <w:lang w:eastAsia="en-US"/>
        </w:rPr>
        <w:t xml:space="preserve">based on an average dose of 60 mg, and the effective dispensed price for 3 packs of 20 tablets of the 20 mg strength. The submission stated that based on a per cycle cost of </w:t>
      </w:r>
      <w:r w:rsidR="0017166E" w:rsidRPr="0017166E">
        <w:rPr>
          <w:rFonts w:asciiTheme="minorHAnsi" w:hAnsiTheme="minorHAnsi" w:cs="Arial"/>
          <w:snapToGrid w:val="0"/>
          <w:szCs w:val="22"/>
          <w:lang w:eastAsia="en-US"/>
        </w:rPr>
        <w:t>$</w:t>
      </w:r>
      <w:r w:rsidR="00D161DB">
        <w:rPr>
          <w:rFonts w:asciiTheme="minorHAnsi" w:hAnsiTheme="minorHAnsi" w:cs="Arial"/>
          <w:noProof/>
          <w:snapToGrid w:val="0"/>
          <w:color w:val="000000"/>
          <w:szCs w:val="22"/>
          <w:highlight w:val="black"/>
          <w:lang w:eastAsia="en-US"/>
        </w:rPr>
        <w:t>''''''''''''''''</w:t>
      </w:r>
      <w:r w:rsidRPr="00E73F26">
        <w:rPr>
          <w:rFonts w:asciiTheme="minorHAnsi" w:hAnsiTheme="minorHAnsi" w:cs="Arial"/>
          <w:snapToGrid w:val="0"/>
          <w:szCs w:val="22"/>
          <w:lang w:eastAsia="en-US"/>
        </w:rPr>
        <w:t xml:space="preserve"> and an average 3.42 cycles of treatment per patient, the total effective dispensed cost would be </w:t>
      </w:r>
      <w:r w:rsidR="0017166E" w:rsidRPr="0017166E">
        <w:rPr>
          <w:rFonts w:asciiTheme="minorHAnsi" w:hAnsiTheme="minorHAnsi" w:cs="Arial"/>
          <w:snapToGrid w:val="0"/>
          <w:szCs w:val="22"/>
          <w:lang w:eastAsia="en-US"/>
        </w:rPr>
        <w:t>$</w:t>
      </w:r>
      <w:r w:rsidR="00D161DB">
        <w:rPr>
          <w:rFonts w:asciiTheme="minorHAnsi" w:hAnsiTheme="minorHAnsi" w:cs="Arial"/>
          <w:noProof/>
          <w:snapToGrid w:val="0"/>
          <w:color w:val="000000"/>
          <w:szCs w:val="22"/>
          <w:highlight w:val="black"/>
          <w:lang w:eastAsia="en-US"/>
        </w:rPr>
        <w:t>''''''''''''''''</w:t>
      </w:r>
      <w:r w:rsidR="0017166E" w:rsidRPr="0017166E">
        <w:rPr>
          <w:rFonts w:asciiTheme="minorHAnsi" w:hAnsiTheme="minorHAnsi" w:cs="Arial"/>
          <w:snapToGrid w:val="0"/>
          <w:szCs w:val="22"/>
          <w:lang w:eastAsia="en-US"/>
        </w:rPr>
        <w:t>.</w:t>
      </w:r>
      <w:r w:rsidR="0017166E">
        <w:rPr>
          <w:rFonts w:asciiTheme="minorHAnsi" w:hAnsiTheme="minorHAnsi" w:cs="Arial"/>
          <w:snapToGrid w:val="0"/>
          <w:szCs w:val="22"/>
          <w:lang w:eastAsia="en-US"/>
        </w:rPr>
        <w:t xml:space="preserve"> </w:t>
      </w:r>
    </w:p>
    <w:p w:rsidR="005A3173" w:rsidRPr="008306F3" w:rsidRDefault="005A3173" w:rsidP="008306F3">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Estimated PBS usage &amp; financial implications</w:t>
      </w:r>
    </w:p>
    <w:p w:rsidR="00C00DA7" w:rsidRPr="000660CF" w:rsidRDefault="00FF2801" w:rsidP="000660CF">
      <w:pPr>
        <w:pStyle w:val="ListParagraph"/>
        <w:widowControl/>
        <w:numPr>
          <w:ilvl w:val="1"/>
          <w:numId w:val="14"/>
        </w:numPr>
        <w:spacing w:after="120"/>
        <w:contextualSpacing w:val="0"/>
        <w:rPr>
          <w:rFonts w:asciiTheme="minorHAnsi" w:eastAsiaTheme="minorHAnsi" w:hAnsiTheme="minorHAnsi" w:cstheme="minorBidi"/>
          <w:snapToGrid/>
          <w:color w:val="FF00FF"/>
          <w:sz w:val="24"/>
          <w:szCs w:val="22"/>
        </w:rPr>
      </w:pPr>
      <w:r w:rsidRPr="0031572C">
        <w:rPr>
          <w:rFonts w:asciiTheme="minorHAnsi" w:hAnsiTheme="minorHAnsi"/>
          <w:sz w:val="24"/>
          <w:szCs w:val="24"/>
        </w:rPr>
        <w:t xml:space="preserve">The minor </w:t>
      </w:r>
      <w:r w:rsidR="00734B9F">
        <w:rPr>
          <w:rFonts w:asciiTheme="minorHAnsi" w:hAnsiTheme="minorHAnsi"/>
          <w:sz w:val="24"/>
          <w:szCs w:val="24"/>
        </w:rPr>
        <w:t>re</w:t>
      </w:r>
      <w:r w:rsidRPr="0031572C">
        <w:rPr>
          <w:rFonts w:asciiTheme="minorHAnsi" w:hAnsiTheme="minorHAnsi"/>
          <w:sz w:val="24"/>
          <w:szCs w:val="24"/>
        </w:rPr>
        <w:t>submission estimated</w:t>
      </w:r>
      <w:r w:rsidR="00C00DA7" w:rsidRPr="0031572C">
        <w:rPr>
          <w:rFonts w:asciiTheme="minorHAnsi" w:hAnsiTheme="minorHAnsi"/>
          <w:sz w:val="24"/>
          <w:szCs w:val="24"/>
        </w:rPr>
        <w:t xml:space="preserve"> a net cost</w:t>
      </w:r>
      <w:r w:rsidR="00F0579E">
        <w:rPr>
          <w:rFonts w:asciiTheme="minorHAnsi" w:hAnsiTheme="minorHAnsi"/>
          <w:sz w:val="24"/>
          <w:szCs w:val="24"/>
        </w:rPr>
        <w:t xml:space="preserve"> to the PBS of </w:t>
      </w:r>
      <w:r w:rsidR="00112447">
        <w:rPr>
          <w:rFonts w:asciiTheme="minorHAnsi" w:hAnsiTheme="minorHAnsi"/>
          <w:sz w:val="24"/>
          <w:szCs w:val="24"/>
        </w:rPr>
        <w:t>$10 - $20 million</w:t>
      </w:r>
      <w:r w:rsidR="00F0579E">
        <w:rPr>
          <w:rFonts w:asciiTheme="minorHAnsi" w:hAnsiTheme="minorHAnsi"/>
          <w:sz w:val="24"/>
          <w:szCs w:val="24"/>
        </w:rPr>
        <w:t xml:space="preserve"> in Year 6</w:t>
      </w:r>
      <w:r w:rsidR="00C00DA7" w:rsidRPr="0031572C">
        <w:rPr>
          <w:rFonts w:asciiTheme="minorHAnsi" w:hAnsiTheme="minorHAnsi"/>
          <w:sz w:val="24"/>
          <w:szCs w:val="24"/>
        </w:rPr>
        <w:t xml:space="preserve"> of listing, with a total net cost</w:t>
      </w:r>
      <w:r w:rsidR="00F0579E">
        <w:rPr>
          <w:rFonts w:asciiTheme="minorHAnsi" w:hAnsiTheme="minorHAnsi"/>
          <w:sz w:val="24"/>
          <w:szCs w:val="24"/>
        </w:rPr>
        <w:t xml:space="preserve"> to the PBS of </w:t>
      </w:r>
      <w:r w:rsidR="00112447">
        <w:rPr>
          <w:rFonts w:asciiTheme="minorHAnsi" w:hAnsiTheme="minorHAnsi"/>
          <w:sz w:val="24"/>
          <w:szCs w:val="24"/>
        </w:rPr>
        <w:t>$60 -$100 million</w:t>
      </w:r>
      <w:r w:rsidR="00F0579E">
        <w:rPr>
          <w:rFonts w:asciiTheme="minorHAnsi" w:hAnsiTheme="minorHAnsi"/>
          <w:sz w:val="24"/>
          <w:szCs w:val="24"/>
        </w:rPr>
        <w:t xml:space="preserve"> over the first 6</w:t>
      </w:r>
      <w:r w:rsidR="008E36AF">
        <w:rPr>
          <w:rFonts w:asciiTheme="minorHAnsi" w:hAnsiTheme="minorHAnsi"/>
          <w:sz w:val="24"/>
          <w:szCs w:val="24"/>
        </w:rPr>
        <w:t xml:space="preserve"> years of listing. The revised financial estimates incorporated the proposed </w:t>
      </w:r>
      <w:r w:rsidR="00D161DB">
        <w:rPr>
          <w:rFonts w:asciiTheme="minorHAnsi" w:hAnsiTheme="minorHAnsi"/>
          <w:noProof/>
          <w:color w:val="000000"/>
          <w:sz w:val="24"/>
          <w:szCs w:val="24"/>
          <w:highlight w:val="black"/>
        </w:rPr>
        <w:t>'''''''''</w:t>
      </w:r>
      <w:r w:rsidR="008E36AF">
        <w:rPr>
          <w:rFonts w:asciiTheme="minorHAnsi" w:hAnsiTheme="minorHAnsi"/>
          <w:sz w:val="24"/>
          <w:szCs w:val="24"/>
        </w:rPr>
        <w:t>% rebate</w:t>
      </w:r>
      <w:r w:rsidR="00620C93">
        <w:rPr>
          <w:rFonts w:asciiTheme="minorHAnsi" w:hAnsiTheme="minorHAnsi"/>
          <w:sz w:val="24"/>
          <w:szCs w:val="24"/>
        </w:rPr>
        <w:t xml:space="preserve"> </w:t>
      </w:r>
      <w:r w:rsidR="008E36AF">
        <w:rPr>
          <w:rFonts w:asciiTheme="minorHAnsi" w:hAnsiTheme="minorHAnsi"/>
          <w:sz w:val="24"/>
          <w:szCs w:val="24"/>
        </w:rPr>
        <w:t>on the DPMQ</w:t>
      </w:r>
      <w:r w:rsidR="00620C93">
        <w:rPr>
          <w:rFonts w:asciiTheme="minorHAnsi" w:hAnsiTheme="minorHAnsi"/>
          <w:sz w:val="24"/>
          <w:szCs w:val="24"/>
        </w:rPr>
        <w:t>s</w:t>
      </w:r>
      <w:r w:rsidR="008E36AF">
        <w:rPr>
          <w:rFonts w:asciiTheme="minorHAnsi" w:hAnsiTheme="minorHAnsi"/>
          <w:sz w:val="24"/>
          <w:szCs w:val="24"/>
        </w:rPr>
        <w:t xml:space="preserve">. </w:t>
      </w:r>
      <w:r w:rsidR="00F0579E">
        <w:rPr>
          <w:rFonts w:asciiTheme="minorHAnsi" w:hAnsiTheme="minorHAnsi"/>
          <w:sz w:val="24"/>
          <w:szCs w:val="24"/>
        </w:rPr>
        <w:t xml:space="preserve">The submission’s revised estimated PBS usage and financial implications are shown below in Table 4. </w:t>
      </w:r>
    </w:p>
    <w:p w:rsidR="000660CF" w:rsidRPr="000660CF" w:rsidRDefault="000660CF" w:rsidP="000660CF">
      <w:pPr>
        <w:pStyle w:val="ListParagraph"/>
        <w:numPr>
          <w:ilvl w:val="1"/>
          <w:numId w:val="14"/>
        </w:numPr>
        <w:spacing w:after="120"/>
        <w:rPr>
          <w:rFonts w:asciiTheme="minorHAnsi" w:eastAsiaTheme="minorHAnsi" w:hAnsiTheme="minorHAnsi" w:cstheme="minorBidi"/>
          <w:snapToGrid/>
          <w:color w:val="000000" w:themeColor="text1"/>
          <w:sz w:val="24"/>
          <w:szCs w:val="22"/>
        </w:rPr>
      </w:pPr>
      <w:r w:rsidRPr="000660CF">
        <w:rPr>
          <w:rFonts w:asciiTheme="minorHAnsi" w:eastAsiaTheme="minorHAnsi" w:hAnsiTheme="minorHAnsi" w:cstheme="minorBidi"/>
          <w:snapToGrid/>
          <w:color w:val="000000" w:themeColor="text1"/>
          <w:sz w:val="24"/>
          <w:szCs w:val="22"/>
        </w:rPr>
        <w:t>The estimated PBS usage and financial implications presented in the minor resubmission have not been evaluated.</w:t>
      </w:r>
      <w:r w:rsidR="00994E3F">
        <w:rPr>
          <w:rFonts w:asciiTheme="minorHAnsi" w:eastAsiaTheme="minorHAnsi" w:hAnsiTheme="minorHAnsi" w:cstheme="minorBidi"/>
          <w:snapToGrid/>
          <w:color w:val="000000" w:themeColor="text1"/>
          <w:sz w:val="24"/>
          <w:szCs w:val="22"/>
        </w:rPr>
        <w:t xml:space="preserve"> The estimated net cost to the PBS in the July 2017 submission was </w:t>
      </w:r>
      <w:r w:rsidR="00112447">
        <w:rPr>
          <w:rFonts w:asciiTheme="minorHAnsi" w:hAnsiTheme="minorHAnsi"/>
          <w:sz w:val="24"/>
          <w:szCs w:val="24"/>
        </w:rPr>
        <w:t xml:space="preserve">$60 -$100 million </w:t>
      </w:r>
      <w:r w:rsidR="00994E3F">
        <w:rPr>
          <w:rFonts w:asciiTheme="minorHAnsi" w:eastAsiaTheme="minorHAnsi" w:hAnsiTheme="minorHAnsi" w:cstheme="minorBidi"/>
          <w:snapToGrid/>
          <w:color w:val="000000" w:themeColor="text1"/>
          <w:sz w:val="24"/>
          <w:szCs w:val="22"/>
        </w:rPr>
        <w:t>over the first 6 years of listing.</w:t>
      </w:r>
      <w:r w:rsidR="00DD002A">
        <w:rPr>
          <w:rFonts w:asciiTheme="minorHAnsi" w:eastAsiaTheme="minorHAnsi" w:hAnsiTheme="minorHAnsi" w:cstheme="minorBidi"/>
          <w:snapToGrid/>
          <w:color w:val="000000" w:themeColor="text1"/>
          <w:sz w:val="24"/>
          <w:szCs w:val="22"/>
        </w:rPr>
        <w:t xml:space="preserve"> </w:t>
      </w:r>
    </w:p>
    <w:p w:rsidR="004E3D71" w:rsidRDefault="004E3D71">
      <w:pPr>
        <w:rPr>
          <w:rFonts w:ascii="Arial Narrow" w:hAnsi="Arial Narrow"/>
          <w:b/>
          <w:sz w:val="20"/>
          <w:szCs w:val="22"/>
        </w:rPr>
      </w:pPr>
      <w:r>
        <w:rPr>
          <w:rFonts w:ascii="Arial Narrow" w:hAnsi="Arial Narrow"/>
          <w:b/>
          <w:sz w:val="20"/>
          <w:szCs w:val="22"/>
        </w:rPr>
        <w:br w:type="page"/>
      </w:r>
    </w:p>
    <w:p w:rsidR="00B641C7" w:rsidRPr="007B28E7" w:rsidRDefault="00B641C7" w:rsidP="00B641C7">
      <w:pPr>
        <w:keepNext/>
        <w:rPr>
          <w:rFonts w:ascii="Arial Narrow" w:hAnsi="Arial Narrow"/>
          <w:b/>
          <w:sz w:val="20"/>
          <w:szCs w:val="22"/>
        </w:rPr>
      </w:pPr>
      <w:r w:rsidRPr="007B28E7">
        <w:rPr>
          <w:rFonts w:ascii="Arial Narrow" w:hAnsi="Arial Narrow"/>
          <w:b/>
          <w:sz w:val="20"/>
          <w:szCs w:val="22"/>
        </w:rPr>
        <w:t xml:space="preserve">Table </w:t>
      </w:r>
      <w:r>
        <w:rPr>
          <w:rFonts w:ascii="Arial Narrow" w:hAnsi="Arial Narrow"/>
          <w:b/>
          <w:sz w:val="20"/>
          <w:szCs w:val="22"/>
        </w:rPr>
        <w:t>4</w:t>
      </w:r>
      <w:r w:rsidRPr="007B28E7">
        <w:rPr>
          <w:rFonts w:ascii="Arial Narrow" w:hAnsi="Arial Narrow"/>
          <w:b/>
          <w:sz w:val="20"/>
          <w:szCs w:val="22"/>
        </w:rPr>
        <w:t xml:space="preserve">: </w:t>
      </w:r>
      <w:r>
        <w:rPr>
          <w:rFonts w:ascii="Arial Narrow" w:hAnsi="Arial Narrow"/>
          <w:b/>
          <w:sz w:val="20"/>
          <w:szCs w:val="22"/>
        </w:rPr>
        <w:t>Estimated use and financial implications</w:t>
      </w:r>
      <w:r w:rsidRPr="007B28E7">
        <w:rPr>
          <w:rFonts w:ascii="Arial Narrow" w:hAnsi="Arial Narrow"/>
          <w:b/>
          <w:sz w:val="20"/>
          <w:szCs w:val="22"/>
        </w:rPr>
        <w:t xml:space="preserve"> </w:t>
      </w:r>
    </w:p>
    <w:tbl>
      <w:tblPr>
        <w:tblStyle w:val="TableGrid"/>
        <w:tblW w:w="5000" w:type="pct"/>
        <w:tblCellMar>
          <w:left w:w="28" w:type="dxa"/>
          <w:right w:w="28" w:type="dxa"/>
        </w:tblCellMar>
        <w:tblLook w:val="04A0" w:firstRow="1" w:lastRow="0" w:firstColumn="1" w:lastColumn="0" w:noHBand="0" w:noVBand="1"/>
        <w:tblCaption w:val="Table 4: Estimated use and financial implications "/>
      </w:tblPr>
      <w:tblGrid>
        <w:gridCol w:w="2559"/>
        <w:gridCol w:w="978"/>
        <w:gridCol w:w="898"/>
        <w:gridCol w:w="962"/>
        <w:gridCol w:w="934"/>
        <w:gridCol w:w="849"/>
        <w:gridCol w:w="934"/>
        <w:gridCol w:w="968"/>
      </w:tblGrid>
      <w:tr w:rsidR="00C91362" w:rsidRPr="00A76D14" w:rsidTr="00112447">
        <w:trPr>
          <w:tblHeader/>
        </w:trPr>
        <w:tc>
          <w:tcPr>
            <w:tcW w:w="1521" w:type="pct"/>
            <w:shd w:val="clear" w:color="auto" w:fill="auto"/>
          </w:tcPr>
          <w:p w:rsidR="00C91362" w:rsidRPr="00A76D14" w:rsidRDefault="00C91362" w:rsidP="00C91362">
            <w:pPr>
              <w:pStyle w:val="TableText0"/>
              <w:spacing w:before="40" w:after="40"/>
              <w:rPr>
                <w:b/>
                <w:sz w:val="18"/>
                <w:szCs w:val="18"/>
              </w:rPr>
            </w:pPr>
          </w:p>
        </w:tc>
        <w:tc>
          <w:tcPr>
            <w:tcW w:w="650" w:type="pct"/>
            <w:shd w:val="clear" w:color="auto" w:fill="auto"/>
            <w:vAlign w:val="center"/>
          </w:tcPr>
          <w:p w:rsidR="00C91362" w:rsidRPr="00A76D14" w:rsidRDefault="00C91362" w:rsidP="00620C93">
            <w:pPr>
              <w:pStyle w:val="TableText0"/>
              <w:spacing w:before="40" w:after="40"/>
              <w:jc w:val="center"/>
              <w:rPr>
                <w:b/>
                <w:sz w:val="18"/>
                <w:szCs w:val="18"/>
              </w:rPr>
            </w:pPr>
            <w:r w:rsidRPr="00A76D14">
              <w:rPr>
                <w:b/>
                <w:sz w:val="18"/>
                <w:szCs w:val="18"/>
              </w:rPr>
              <w:t>Year 1</w:t>
            </w:r>
          </w:p>
        </w:tc>
        <w:tc>
          <w:tcPr>
            <w:tcW w:w="483" w:type="pct"/>
            <w:shd w:val="clear" w:color="auto" w:fill="auto"/>
            <w:vAlign w:val="center"/>
          </w:tcPr>
          <w:p w:rsidR="00C91362" w:rsidRPr="00A76D14" w:rsidRDefault="00C91362" w:rsidP="00620C93">
            <w:pPr>
              <w:pStyle w:val="TableText0"/>
              <w:spacing w:before="40" w:after="40"/>
              <w:jc w:val="center"/>
              <w:rPr>
                <w:b/>
                <w:sz w:val="18"/>
                <w:szCs w:val="18"/>
              </w:rPr>
            </w:pPr>
            <w:r w:rsidRPr="00A76D14">
              <w:rPr>
                <w:b/>
                <w:sz w:val="18"/>
                <w:szCs w:val="18"/>
              </w:rPr>
              <w:t>Year 2</w:t>
            </w:r>
          </w:p>
        </w:tc>
        <w:tc>
          <w:tcPr>
            <w:tcW w:w="483" w:type="pct"/>
            <w:shd w:val="clear" w:color="auto" w:fill="auto"/>
            <w:vAlign w:val="center"/>
          </w:tcPr>
          <w:p w:rsidR="00C91362" w:rsidRPr="00A76D14" w:rsidRDefault="00C91362">
            <w:pPr>
              <w:pStyle w:val="TableText0"/>
              <w:spacing w:before="40" w:after="40"/>
              <w:jc w:val="center"/>
              <w:rPr>
                <w:b/>
                <w:sz w:val="18"/>
                <w:szCs w:val="18"/>
              </w:rPr>
            </w:pPr>
            <w:r w:rsidRPr="00A76D14">
              <w:rPr>
                <w:b/>
                <w:sz w:val="18"/>
                <w:szCs w:val="18"/>
              </w:rPr>
              <w:t>Year 3</w:t>
            </w:r>
          </w:p>
        </w:tc>
        <w:tc>
          <w:tcPr>
            <w:tcW w:w="483" w:type="pct"/>
            <w:shd w:val="clear" w:color="auto" w:fill="auto"/>
            <w:vAlign w:val="center"/>
          </w:tcPr>
          <w:p w:rsidR="00C91362" w:rsidRPr="00A76D14" w:rsidRDefault="00C91362">
            <w:pPr>
              <w:pStyle w:val="TableText0"/>
              <w:spacing w:before="40" w:after="40"/>
              <w:jc w:val="center"/>
              <w:rPr>
                <w:b/>
                <w:sz w:val="18"/>
                <w:szCs w:val="18"/>
              </w:rPr>
            </w:pPr>
            <w:r w:rsidRPr="00A76D14">
              <w:rPr>
                <w:b/>
                <w:sz w:val="18"/>
                <w:szCs w:val="18"/>
              </w:rPr>
              <w:t>Year 4</w:t>
            </w:r>
          </w:p>
        </w:tc>
        <w:tc>
          <w:tcPr>
            <w:tcW w:w="483" w:type="pct"/>
            <w:shd w:val="clear" w:color="auto" w:fill="auto"/>
            <w:vAlign w:val="center"/>
          </w:tcPr>
          <w:p w:rsidR="00C91362" w:rsidRPr="00A76D14" w:rsidRDefault="00C91362">
            <w:pPr>
              <w:pStyle w:val="TableText0"/>
              <w:spacing w:before="40" w:after="40"/>
              <w:jc w:val="center"/>
              <w:rPr>
                <w:b/>
                <w:sz w:val="18"/>
                <w:szCs w:val="18"/>
              </w:rPr>
            </w:pPr>
            <w:r w:rsidRPr="00A76D14">
              <w:rPr>
                <w:b/>
                <w:sz w:val="18"/>
                <w:szCs w:val="18"/>
              </w:rPr>
              <w:t>Year 5</w:t>
            </w:r>
          </w:p>
        </w:tc>
        <w:tc>
          <w:tcPr>
            <w:tcW w:w="483" w:type="pct"/>
            <w:shd w:val="clear" w:color="auto" w:fill="auto"/>
            <w:vAlign w:val="center"/>
          </w:tcPr>
          <w:p w:rsidR="00C91362" w:rsidRPr="00A76D14" w:rsidRDefault="00C91362">
            <w:pPr>
              <w:pStyle w:val="TableText0"/>
              <w:spacing w:before="40" w:after="40"/>
              <w:jc w:val="center"/>
              <w:rPr>
                <w:b/>
                <w:sz w:val="18"/>
                <w:szCs w:val="18"/>
              </w:rPr>
            </w:pPr>
            <w:r w:rsidRPr="00A76D14">
              <w:rPr>
                <w:b/>
                <w:sz w:val="18"/>
                <w:szCs w:val="18"/>
              </w:rPr>
              <w:t>Year 6</w:t>
            </w:r>
          </w:p>
        </w:tc>
        <w:tc>
          <w:tcPr>
            <w:tcW w:w="415" w:type="pct"/>
            <w:shd w:val="clear" w:color="auto" w:fill="auto"/>
          </w:tcPr>
          <w:p w:rsidR="00C91362" w:rsidRPr="00A76D14" w:rsidRDefault="00C91362">
            <w:pPr>
              <w:pStyle w:val="TableText0"/>
              <w:spacing w:before="40" w:after="40"/>
              <w:jc w:val="center"/>
              <w:rPr>
                <w:b/>
                <w:sz w:val="18"/>
                <w:szCs w:val="18"/>
              </w:rPr>
            </w:pPr>
            <w:r>
              <w:rPr>
                <w:b/>
                <w:sz w:val="18"/>
                <w:szCs w:val="18"/>
              </w:rPr>
              <w:t>Total</w:t>
            </w:r>
          </w:p>
        </w:tc>
      </w:tr>
      <w:tr w:rsidR="00C91362" w:rsidRPr="00A76D14" w:rsidTr="00C91362">
        <w:tc>
          <w:tcPr>
            <w:tcW w:w="1521" w:type="pct"/>
          </w:tcPr>
          <w:p w:rsidR="00C91362" w:rsidRPr="000660CF" w:rsidRDefault="00C91362" w:rsidP="00C91362">
            <w:pPr>
              <w:pStyle w:val="TableText0"/>
              <w:spacing w:before="40" w:after="40"/>
              <w:rPr>
                <w:sz w:val="18"/>
                <w:szCs w:val="18"/>
              </w:rPr>
            </w:pPr>
            <w:r w:rsidRPr="000660CF">
              <w:rPr>
                <w:sz w:val="18"/>
                <w:szCs w:val="18"/>
              </w:rPr>
              <w:t>Likely number of patients in each year</w:t>
            </w:r>
          </w:p>
        </w:tc>
        <w:tc>
          <w:tcPr>
            <w:tcW w:w="650" w:type="pct"/>
            <w:vAlign w:val="center"/>
          </w:tcPr>
          <w:p w:rsidR="00C91362" w:rsidRPr="00D161DB" w:rsidRDefault="00D161DB" w:rsidP="00620C93">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rsidP="00620C93">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15" w:type="pct"/>
          </w:tcPr>
          <w:p w:rsidR="00C91362" w:rsidRPr="00620C93" w:rsidRDefault="00C91362">
            <w:pPr>
              <w:autoSpaceDE w:val="0"/>
              <w:autoSpaceDN w:val="0"/>
              <w:adjustRightInd w:val="0"/>
              <w:spacing w:before="40" w:after="40"/>
              <w:jc w:val="center"/>
              <w:rPr>
                <w:rFonts w:ascii="Arial Narrow" w:hAnsi="Arial Narrow"/>
                <w:sz w:val="18"/>
                <w:szCs w:val="18"/>
              </w:rPr>
            </w:pPr>
          </w:p>
        </w:tc>
      </w:tr>
      <w:tr w:rsidR="00C91362" w:rsidRPr="00A76D14" w:rsidTr="00C91362">
        <w:trPr>
          <w:trHeight w:val="319"/>
        </w:trPr>
        <w:tc>
          <w:tcPr>
            <w:tcW w:w="1521" w:type="pct"/>
          </w:tcPr>
          <w:p w:rsidR="00C91362" w:rsidRPr="000660CF" w:rsidRDefault="00C91362" w:rsidP="00C91362">
            <w:pPr>
              <w:autoSpaceDE w:val="0"/>
              <w:autoSpaceDN w:val="0"/>
              <w:adjustRightInd w:val="0"/>
              <w:spacing w:before="40" w:after="40"/>
              <w:rPr>
                <w:rFonts w:ascii="Arial Narrow" w:hAnsi="Arial Narrow" w:cs="Arial Narrow"/>
                <w:color w:val="000000"/>
                <w:sz w:val="18"/>
                <w:szCs w:val="18"/>
              </w:rPr>
            </w:pPr>
            <w:r w:rsidRPr="000660CF">
              <w:rPr>
                <w:rFonts w:ascii="Arial Narrow" w:hAnsi="Arial Narrow" w:cs="Arial Narrow"/>
                <w:color w:val="000000"/>
                <w:sz w:val="18"/>
                <w:szCs w:val="18"/>
              </w:rPr>
              <w:t>Number of patients receiving 15 mg x 20 x 1 pack per cycle</w:t>
            </w:r>
          </w:p>
        </w:tc>
        <w:tc>
          <w:tcPr>
            <w:tcW w:w="650" w:type="pct"/>
            <w:vAlign w:val="center"/>
          </w:tcPr>
          <w:p w:rsidR="00C91362" w:rsidRPr="00D161DB" w:rsidRDefault="00D161DB" w:rsidP="00620C93">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rsidP="00620C93">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15" w:type="pct"/>
          </w:tcPr>
          <w:p w:rsidR="00C91362" w:rsidRPr="00620C93" w:rsidRDefault="00C91362">
            <w:pPr>
              <w:autoSpaceDE w:val="0"/>
              <w:autoSpaceDN w:val="0"/>
              <w:adjustRightInd w:val="0"/>
              <w:spacing w:before="40" w:after="40"/>
              <w:jc w:val="center"/>
              <w:rPr>
                <w:rFonts w:ascii="Arial Narrow" w:hAnsi="Arial Narrow"/>
                <w:sz w:val="18"/>
                <w:szCs w:val="18"/>
              </w:rPr>
            </w:pPr>
          </w:p>
        </w:tc>
      </w:tr>
      <w:tr w:rsidR="00C91362" w:rsidRPr="00A76D14" w:rsidTr="00C91362">
        <w:trPr>
          <w:trHeight w:val="319"/>
        </w:trPr>
        <w:tc>
          <w:tcPr>
            <w:tcW w:w="1521" w:type="pct"/>
          </w:tcPr>
          <w:p w:rsidR="00C91362" w:rsidRPr="000660CF" w:rsidRDefault="00C91362" w:rsidP="00C91362">
            <w:pPr>
              <w:autoSpaceDE w:val="0"/>
              <w:autoSpaceDN w:val="0"/>
              <w:adjustRightInd w:val="0"/>
              <w:spacing w:before="40" w:after="40"/>
              <w:rPr>
                <w:rFonts w:ascii="Arial Narrow" w:hAnsi="Arial Narrow" w:cs="Arial Narrow"/>
                <w:color w:val="000000"/>
                <w:sz w:val="18"/>
                <w:szCs w:val="18"/>
              </w:rPr>
            </w:pPr>
            <w:r w:rsidRPr="000660CF">
              <w:rPr>
                <w:rFonts w:ascii="Arial Narrow" w:hAnsi="Arial Narrow" w:cs="Arial Narrow"/>
                <w:color w:val="000000"/>
                <w:sz w:val="18"/>
                <w:szCs w:val="18"/>
              </w:rPr>
              <w:t>Number of patients receiving 15 mg x 20 x 2 packs per cycle</w:t>
            </w:r>
          </w:p>
        </w:tc>
        <w:tc>
          <w:tcPr>
            <w:tcW w:w="650" w:type="pct"/>
            <w:vAlign w:val="center"/>
          </w:tcPr>
          <w:p w:rsidR="00C91362" w:rsidRPr="00D161DB" w:rsidRDefault="00D161DB" w:rsidP="00620C93">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rsidP="00620C93">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15" w:type="pct"/>
          </w:tcPr>
          <w:p w:rsidR="00C91362" w:rsidRPr="00620C93" w:rsidRDefault="00C91362">
            <w:pPr>
              <w:autoSpaceDE w:val="0"/>
              <w:autoSpaceDN w:val="0"/>
              <w:adjustRightInd w:val="0"/>
              <w:spacing w:before="40" w:after="40"/>
              <w:jc w:val="center"/>
              <w:rPr>
                <w:rFonts w:ascii="Arial Narrow" w:hAnsi="Arial Narrow"/>
                <w:sz w:val="18"/>
                <w:szCs w:val="18"/>
              </w:rPr>
            </w:pPr>
          </w:p>
        </w:tc>
      </w:tr>
      <w:tr w:rsidR="00C91362" w:rsidRPr="00A76D14" w:rsidTr="00C91362">
        <w:trPr>
          <w:trHeight w:val="319"/>
        </w:trPr>
        <w:tc>
          <w:tcPr>
            <w:tcW w:w="1521" w:type="pct"/>
          </w:tcPr>
          <w:p w:rsidR="00C91362" w:rsidRPr="000660CF" w:rsidRDefault="00C91362" w:rsidP="00C91362">
            <w:pPr>
              <w:autoSpaceDE w:val="0"/>
              <w:autoSpaceDN w:val="0"/>
              <w:adjustRightInd w:val="0"/>
              <w:spacing w:before="40" w:after="40"/>
              <w:rPr>
                <w:rFonts w:ascii="Arial Narrow" w:hAnsi="Arial Narrow" w:cs="Arial Narrow"/>
                <w:color w:val="000000"/>
                <w:sz w:val="18"/>
                <w:szCs w:val="18"/>
              </w:rPr>
            </w:pPr>
            <w:r w:rsidRPr="000660CF">
              <w:rPr>
                <w:rFonts w:ascii="Arial Narrow" w:hAnsi="Arial Narrow" w:cs="Arial Narrow"/>
                <w:color w:val="000000"/>
                <w:sz w:val="18"/>
                <w:szCs w:val="18"/>
              </w:rPr>
              <w:t>Number of patients receiving 15 mg x 20 x 3 packs per cycle</w:t>
            </w:r>
          </w:p>
        </w:tc>
        <w:tc>
          <w:tcPr>
            <w:tcW w:w="650" w:type="pct"/>
            <w:vAlign w:val="center"/>
          </w:tcPr>
          <w:p w:rsidR="00C91362" w:rsidRPr="00D161DB" w:rsidRDefault="00D161DB" w:rsidP="00620C93">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rsidP="00620C93">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15" w:type="pct"/>
          </w:tcPr>
          <w:p w:rsidR="00C91362" w:rsidRPr="00620C93" w:rsidRDefault="00C91362">
            <w:pPr>
              <w:autoSpaceDE w:val="0"/>
              <w:autoSpaceDN w:val="0"/>
              <w:adjustRightInd w:val="0"/>
              <w:spacing w:before="40" w:after="40"/>
              <w:jc w:val="center"/>
              <w:rPr>
                <w:rFonts w:ascii="Arial Narrow" w:hAnsi="Arial Narrow"/>
                <w:sz w:val="18"/>
                <w:szCs w:val="18"/>
              </w:rPr>
            </w:pPr>
          </w:p>
        </w:tc>
      </w:tr>
      <w:tr w:rsidR="00C91362" w:rsidRPr="00A76D14" w:rsidTr="00C91362">
        <w:trPr>
          <w:trHeight w:val="319"/>
        </w:trPr>
        <w:tc>
          <w:tcPr>
            <w:tcW w:w="1521" w:type="pct"/>
          </w:tcPr>
          <w:p w:rsidR="00C91362" w:rsidRPr="000660CF" w:rsidRDefault="00C91362" w:rsidP="00C91362">
            <w:pPr>
              <w:autoSpaceDE w:val="0"/>
              <w:autoSpaceDN w:val="0"/>
              <w:adjustRightInd w:val="0"/>
              <w:spacing w:before="40" w:after="40"/>
              <w:rPr>
                <w:rFonts w:ascii="Arial Narrow" w:hAnsi="Arial Narrow" w:cs="Arial Narrow"/>
                <w:color w:val="000000"/>
                <w:sz w:val="18"/>
                <w:szCs w:val="18"/>
              </w:rPr>
            </w:pPr>
            <w:r w:rsidRPr="000660CF">
              <w:rPr>
                <w:rFonts w:ascii="Arial Narrow" w:hAnsi="Arial Narrow" w:cs="Arial Narrow"/>
                <w:color w:val="000000"/>
                <w:sz w:val="18"/>
                <w:szCs w:val="18"/>
              </w:rPr>
              <w:t>Number of patients receiving 20 mg x 20 x 1 pack per cycle</w:t>
            </w:r>
          </w:p>
        </w:tc>
        <w:tc>
          <w:tcPr>
            <w:tcW w:w="650" w:type="pct"/>
            <w:vAlign w:val="center"/>
          </w:tcPr>
          <w:p w:rsidR="00C91362" w:rsidRPr="00D161DB" w:rsidRDefault="00D161DB" w:rsidP="00620C93">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rsidP="00620C93">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15" w:type="pct"/>
          </w:tcPr>
          <w:p w:rsidR="00C91362" w:rsidRPr="00620C93" w:rsidRDefault="00C91362">
            <w:pPr>
              <w:autoSpaceDE w:val="0"/>
              <w:autoSpaceDN w:val="0"/>
              <w:adjustRightInd w:val="0"/>
              <w:spacing w:before="40" w:after="40"/>
              <w:jc w:val="center"/>
              <w:rPr>
                <w:rFonts w:ascii="Arial Narrow" w:hAnsi="Arial Narrow"/>
                <w:sz w:val="18"/>
                <w:szCs w:val="18"/>
              </w:rPr>
            </w:pPr>
          </w:p>
        </w:tc>
      </w:tr>
      <w:tr w:rsidR="00C91362" w:rsidRPr="00A76D14" w:rsidTr="00C91362">
        <w:trPr>
          <w:trHeight w:val="319"/>
        </w:trPr>
        <w:tc>
          <w:tcPr>
            <w:tcW w:w="1521" w:type="pct"/>
          </w:tcPr>
          <w:p w:rsidR="00C91362" w:rsidRPr="000660CF" w:rsidRDefault="00C91362" w:rsidP="00C91362">
            <w:pPr>
              <w:autoSpaceDE w:val="0"/>
              <w:autoSpaceDN w:val="0"/>
              <w:adjustRightInd w:val="0"/>
              <w:spacing w:before="40" w:after="40"/>
              <w:rPr>
                <w:rFonts w:ascii="Arial Narrow" w:hAnsi="Arial Narrow" w:cs="Arial Narrow"/>
                <w:color w:val="000000"/>
                <w:sz w:val="18"/>
                <w:szCs w:val="18"/>
              </w:rPr>
            </w:pPr>
            <w:r w:rsidRPr="000660CF">
              <w:rPr>
                <w:rFonts w:ascii="Arial Narrow" w:hAnsi="Arial Narrow" w:cs="Arial Narrow"/>
                <w:color w:val="000000"/>
                <w:sz w:val="18"/>
                <w:szCs w:val="18"/>
              </w:rPr>
              <w:t>Number of patients receiving 20 mg x 20 x 2 packs per cycle</w:t>
            </w:r>
          </w:p>
        </w:tc>
        <w:tc>
          <w:tcPr>
            <w:tcW w:w="650" w:type="pct"/>
            <w:vAlign w:val="center"/>
          </w:tcPr>
          <w:p w:rsidR="00C91362" w:rsidRPr="00D161DB" w:rsidRDefault="00D161DB" w:rsidP="00620C93">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rsidP="00620C93">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15" w:type="pct"/>
          </w:tcPr>
          <w:p w:rsidR="00C91362" w:rsidRPr="00620C93" w:rsidRDefault="00C91362">
            <w:pPr>
              <w:autoSpaceDE w:val="0"/>
              <w:autoSpaceDN w:val="0"/>
              <w:adjustRightInd w:val="0"/>
              <w:spacing w:before="40" w:after="40"/>
              <w:jc w:val="center"/>
              <w:rPr>
                <w:rFonts w:ascii="Arial Narrow" w:hAnsi="Arial Narrow"/>
                <w:sz w:val="18"/>
                <w:szCs w:val="18"/>
              </w:rPr>
            </w:pPr>
          </w:p>
        </w:tc>
      </w:tr>
      <w:tr w:rsidR="00C91362" w:rsidRPr="00A76D14" w:rsidTr="00C91362">
        <w:trPr>
          <w:trHeight w:val="319"/>
        </w:trPr>
        <w:tc>
          <w:tcPr>
            <w:tcW w:w="1521" w:type="pct"/>
          </w:tcPr>
          <w:p w:rsidR="00C91362" w:rsidRPr="000660CF" w:rsidRDefault="00C91362" w:rsidP="00C91362">
            <w:pPr>
              <w:autoSpaceDE w:val="0"/>
              <w:autoSpaceDN w:val="0"/>
              <w:adjustRightInd w:val="0"/>
              <w:spacing w:before="40" w:after="40"/>
              <w:rPr>
                <w:rFonts w:ascii="Arial Narrow" w:hAnsi="Arial Narrow" w:cs="Arial Narrow"/>
                <w:color w:val="000000"/>
                <w:sz w:val="18"/>
                <w:szCs w:val="18"/>
              </w:rPr>
            </w:pPr>
            <w:r w:rsidRPr="000660CF">
              <w:rPr>
                <w:rFonts w:ascii="Arial Narrow" w:hAnsi="Arial Narrow" w:cs="Arial Narrow"/>
                <w:color w:val="000000"/>
                <w:sz w:val="18"/>
                <w:szCs w:val="18"/>
              </w:rPr>
              <w:t>Number of patients receiving 20 mg x 20 x 3 packs per cycle</w:t>
            </w:r>
          </w:p>
        </w:tc>
        <w:tc>
          <w:tcPr>
            <w:tcW w:w="650" w:type="pct"/>
            <w:vAlign w:val="center"/>
          </w:tcPr>
          <w:p w:rsidR="00C91362" w:rsidRPr="00D161DB" w:rsidRDefault="00D161DB" w:rsidP="00620C93">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rsidP="00620C93">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15" w:type="pct"/>
          </w:tcPr>
          <w:p w:rsidR="00C91362" w:rsidRPr="00620C93" w:rsidRDefault="00C91362">
            <w:pPr>
              <w:autoSpaceDE w:val="0"/>
              <w:autoSpaceDN w:val="0"/>
              <w:adjustRightInd w:val="0"/>
              <w:spacing w:before="40" w:after="40"/>
              <w:jc w:val="center"/>
              <w:rPr>
                <w:rFonts w:ascii="Arial Narrow" w:hAnsi="Arial Narrow"/>
                <w:sz w:val="18"/>
                <w:szCs w:val="18"/>
              </w:rPr>
            </w:pPr>
          </w:p>
        </w:tc>
      </w:tr>
      <w:tr w:rsidR="00C91362" w:rsidRPr="00A76D14" w:rsidTr="00C91362">
        <w:trPr>
          <w:trHeight w:val="319"/>
        </w:trPr>
        <w:tc>
          <w:tcPr>
            <w:tcW w:w="1521" w:type="pct"/>
          </w:tcPr>
          <w:p w:rsidR="00C91362" w:rsidRPr="000660CF" w:rsidRDefault="00C91362" w:rsidP="00C91362">
            <w:pPr>
              <w:autoSpaceDE w:val="0"/>
              <w:autoSpaceDN w:val="0"/>
              <w:adjustRightInd w:val="0"/>
              <w:spacing w:before="40" w:after="40"/>
              <w:rPr>
                <w:rFonts w:ascii="Arial Narrow" w:hAnsi="Arial Narrow" w:cs="Arial Narrow"/>
                <w:color w:val="000000"/>
                <w:sz w:val="18"/>
                <w:szCs w:val="18"/>
              </w:rPr>
            </w:pPr>
            <w:r w:rsidRPr="000660CF">
              <w:rPr>
                <w:rFonts w:ascii="Arial Narrow" w:hAnsi="Arial Narrow" w:cs="Arial Narrow"/>
                <w:color w:val="000000"/>
                <w:sz w:val="18"/>
                <w:szCs w:val="18"/>
              </w:rPr>
              <w:t>Number of patients receiving 20 mg x 20 x 4 packs per cycle</w:t>
            </w:r>
          </w:p>
        </w:tc>
        <w:tc>
          <w:tcPr>
            <w:tcW w:w="650" w:type="pct"/>
            <w:vAlign w:val="center"/>
          </w:tcPr>
          <w:p w:rsidR="00C91362" w:rsidRPr="00D161DB" w:rsidRDefault="00D161DB" w:rsidP="00620C93">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rsidP="00620C93">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15" w:type="pct"/>
          </w:tcPr>
          <w:p w:rsidR="00C91362" w:rsidRPr="00620C93" w:rsidRDefault="00C91362">
            <w:pPr>
              <w:autoSpaceDE w:val="0"/>
              <w:autoSpaceDN w:val="0"/>
              <w:adjustRightInd w:val="0"/>
              <w:spacing w:before="40" w:after="40"/>
              <w:jc w:val="center"/>
              <w:rPr>
                <w:rFonts w:ascii="Arial Narrow" w:hAnsi="Arial Narrow"/>
                <w:sz w:val="18"/>
                <w:szCs w:val="18"/>
              </w:rPr>
            </w:pPr>
          </w:p>
        </w:tc>
      </w:tr>
      <w:tr w:rsidR="00C91362" w:rsidRPr="00A76D14" w:rsidTr="00C91362">
        <w:trPr>
          <w:trHeight w:val="319"/>
        </w:trPr>
        <w:tc>
          <w:tcPr>
            <w:tcW w:w="1521" w:type="pct"/>
          </w:tcPr>
          <w:p w:rsidR="00C91362" w:rsidRPr="000660CF" w:rsidRDefault="00C91362" w:rsidP="00C91362">
            <w:pPr>
              <w:autoSpaceDE w:val="0"/>
              <w:autoSpaceDN w:val="0"/>
              <w:adjustRightInd w:val="0"/>
              <w:spacing w:before="40" w:after="40"/>
              <w:rPr>
                <w:rFonts w:ascii="Arial Narrow" w:hAnsi="Arial Narrow" w:cs="Arial Narrow"/>
                <w:color w:val="000000"/>
                <w:sz w:val="18"/>
                <w:szCs w:val="18"/>
              </w:rPr>
            </w:pPr>
            <w:r w:rsidRPr="000660CF">
              <w:rPr>
                <w:rFonts w:ascii="Arial Narrow" w:hAnsi="Arial Narrow" w:cs="Arial Narrow"/>
                <w:color w:val="000000"/>
                <w:sz w:val="18"/>
                <w:szCs w:val="18"/>
              </w:rPr>
              <w:t>Average number of cycles of treatment per patient</w:t>
            </w:r>
          </w:p>
        </w:tc>
        <w:tc>
          <w:tcPr>
            <w:tcW w:w="3064" w:type="pct"/>
            <w:gridSpan w:val="6"/>
            <w:vAlign w:val="center"/>
          </w:tcPr>
          <w:p w:rsidR="00C91362" w:rsidRPr="00515ABE" w:rsidRDefault="00C91362" w:rsidP="00620C93">
            <w:pPr>
              <w:autoSpaceDE w:val="0"/>
              <w:autoSpaceDN w:val="0"/>
              <w:adjustRightInd w:val="0"/>
              <w:spacing w:before="40" w:after="40"/>
              <w:jc w:val="center"/>
              <w:rPr>
                <w:rFonts w:ascii="Arial Narrow" w:hAnsi="Arial Narrow" w:cs="Arial Narrow"/>
                <w:color w:val="000000"/>
                <w:sz w:val="18"/>
                <w:szCs w:val="18"/>
              </w:rPr>
            </w:pPr>
            <w:r w:rsidRPr="00515ABE">
              <w:rPr>
                <w:rFonts w:ascii="Arial Narrow" w:hAnsi="Arial Narrow" w:cs="Arial Narrow"/>
                <w:color w:val="000000"/>
                <w:sz w:val="18"/>
                <w:szCs w:val="18"/>
              </w:rPr>
              <w:t>3.42</w:t>
            </w:r>
          </w:p>
        </w:tc>
        <w:tc>
          <w:tcPr>
            <w:tcW w:w="415" w:type="pct"/>
          </w:tcPr>
          <w:p w:rsidR="00C91362" w:rsidRPr="00515ABE" w:rsidRDefault="00C91362" w:rsidP="00620C93">
            <w:pPr>
              <w:autoSpaceDE w:val="0"/>
              <w:autoSpaceDN w:val="0"/>
              <w:adjustRightInd w:val="0"/>
              <w:spacing w:before="40" w:after="40"/>
              <w:jc w:val="center"/>
              <w:rPr>
                <w:rFonts w:ascii="Arial Narrow" w:hAnsi="Arial Narrow" w:cs="Arial Narrow"/>
                <w:color w:val="000000"/>
                <w:sz w:val="18"/>
                <w:szCs w:val="18"/>
              </w:rPr>
            </w:pPr>
          </w:p>
        </w:tc>
      </w:tr>
      <w:tr w:rsidR="00C91362" w:rsidRPr="00A76D14" w:rsidTr="00C91362">
        <w:trPr>
          <w:trHeight w:val="319"/>
        </w:trPr>
        <w:tc>
          <w:tcPr>
            <w:tcW w:w="1521" w:type="pct"/>
          </w:tcPr>
          <w:p w:rsidR="00C91362" w:rsidRPr="000660CF" w:rsidRDefault="00C91362" w:rsidP="00C91362">
            <w:pPr>
              <w:autoSpaceDE w:val="0"/>
              <w:autoSpaceDN w:val="0"/>
              <w:adjustRightInd w:val="0"/>
              <w:spacing w:before="40" w:after="40"/>
              <w:rPr>
                <w:rFonts w:ascii="Arial Narrow" w:hAnsi="Arial Narrow" w:cs="Arial Narrow"/>
                <w:color w:val="000000"/>
                <w:sz w:val="18"/>
                <w:szCs w:val="18"/>
              </w:rPr>
            </w:pPr>
            <w:r w:rsidRPr="000660CF">
              <w:rPr>
                <w:rFonts w:ascii="Arial Narrow" w:hAnsi="Arial Narrow" w:cs="Arial Narrow"/>
                <w:color w:val="000000"/>
                <w:sz w:val="18"/>
                <w:szCs w:val="18"/>
              </w:rPr>
              <w:t xml:space="preserve">Total dispensed cost </w:t>
            </w:r>
          </w:p>
        </w:tc>
        <w:tc>
          <w:tcPr>
            <w:tcW w:w="650" w:type="pct"/>
            <w:vAlign w:val="center"/>
          </w:tcPr>
          <w:p w:rsidR="00C91362" w:rsidRPr="00D161DB" w:rsidRDefault="00D161DB" w:rsidP="00620C93">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rsidP="00620C93">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15" w:type="pct"/>
          </w:tcPr>
          <w:p w:rsidR="00C91362" w:rsidRPr="00620C93" w:rsidRDefault="00C91362">
            <w:pPr>
              <w:autoSpaceDE w:val="0"/>
              <w:autoSpaceDN w:val="0"/>
              <w:adjustRightInd w:val="0"/>
              <w:spacing w:before="40" w:after="40"/>
              <w:jc w:val="center"/>
              <w:rPr>
                <w:rFonts w:ascii="Arial Narrow" w:hAnsi="Arial Narrow"/>
                <w:sz w:val="18"/>
                <w:szCs w:val="18"/>
              </w:rPr>
            </w:pPr>
          </w:p>
        </w:tc>
      </w:tr>
      <w:tr w:rsidR="00C91362" w:rsidRPr="00A76D14" w:rsidTr="00C91362">
        <w:trPr>
          <w:trHeight w:val="319"/>
        </w:trPr>
        <w:tc>
          <w:tcPr>
            <w:tcW w:w="1521" w:type="pct"/>
          </w:tcPr>
          <w:p w:rsidR="00C91362" w:rsidRPr="000660CF" w:rsidRDefault="00C91362" w:rsidP="00C91362">
            <w:pPr>
              <w:autoSpaceDE w:val="0"/>
              <w:autoSpaceDN w:val="0"/>
              <w:adjustRightInd w:val="0"/>
              <w:spacing w:before="40" w:after="40"/>
              <w:rPr>
                <w:rFonts w:ascii="Arial Narrow" w:hAnsi="Arial Narrow" w:cs="Arial Narrow"/>
                <w:color w:val="000000"/>
                <w:sz w:val="18"/>
                <w:szCs w:val="18"/>
              </w:rPr>
            </w:pPr>
            <w:r w:rsidRPr="000660CF">
              <w:rPr>
                <w:rFonts w:ascii="Arial Narrow" w:hAnsi="Arial Narrow" w:cs="Arial Narrow"/>
                <w:color w:val="000000"/>
                <w:sz w:val="18"/>
                <w:szCs w:val="18"/>
              </w:rPr>
              <w:t>Total rebates paid</w:t>
            </w:r>
          </w:p>
        </w:tc>
        <w:tc>
          <w:tcPr>
            <w:tcW w:w="650" w:type="pct"/>
            <w:vAlign w:val="center"/>
          </w:tcPr>
          <w:p w:rsidR="00C91362" w:rsidRPr="00D161DB" w:rsidRDefault="00D161DB" w:rsidP="00620C93">
            <w:pPr>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rsidP="00620C93">
            <w:pPr>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pPr>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15" w:type="pct"/>
          </w:tcPr>
          <w:p w:rsidR="00C91362" w:rsidRPr="00620C93" w:rsidRDefault="00C91362">
            <w:pPr>
              <w:spacing w:before="40" w:after="40"/>
              <w:jc w:val="center"/>
              <w:rPr>
                <w:rFonts w:ascii="Arial Narrow" w:hAnsi="Arial Narrow"/>
                <w:sz w:val="18"/>
                <w:szCs w:val="18"/>
              </w:rPr>
            </w:pPr>
          </w:p>
        </w:tc>
      </w:tr>
      <w:tr w:rsidR="00C91362" w:rsidRPr="00A76D14" w:rsidTr="00C91362">
        <w:trPr>
          <w:trHeight w:val="319"/>
        </w:trPr>
        <w:tc>
          <w:tcPr>
            <w:tcW w:w="1521" w:type="pct"/>
          </w:tcPr>
          <w:p w:rsidR="00C91362" w:rsidRPr="000660CF" w:rsidRDefault="00C91362" w:rsidP="00C91362">
            <w:pPr>
              <w:autoSpaceDE w:val="0"/>
              <w:autoSpaceDN w:val="0"/>
              <w:adjustRightInd w:val="0"/>
              <w:spacing w:before="40" w:after="40"/>
              <w:rPr>
                <w:rFonts w:ascii="Arial Narrow" w:hAnsi="Arial Narrow" w:cs="Arial Narrow"/>
                <w:color w:val="000000"/>
                <w:sz w:val="18"/>
                <w:szCs w:val="18"/>
              </w:rPr>
            </w:pPr>
            <w:r w:rsidRPr="000660CF">
              <w:rPr>
                <w:rFonts w:ascii="Arial Narrow" w:hAnsi="Arial Narrow" w:cs="Arial Narrow"/>
                <w:color w:val="000000"/>
                <w:sz w:val="18"/>
                <w:szCs w:val="18"/>
              </w:rPr>
              <w:t>General patient co-payments</w:t>
            </w:r>
          </w:p>
        </w:tc>
        <w:tc>
          <w:tcPr>
            <w:tcW w:w="650" w:type="pct"/>
            <w:vAlign w:val="center"/>
          </w:tcPr>
          <w:p w:rsidR="00C91362" w:rsidRPr="00D161DB" w:rsidRDefault="00D161DB" w:rsidP="00C91362">
            <w:pPr>
              <w:autoSpaceDE w:val="0"/>
              <w:autoSpaceDN w:val="0"/>
              <w:adjustRightInd w:val="0"/>
              <w:spacing w:before="40" w:after="40"/>
              <w:jc w:val="center"/>
              <w:rPr>
                <w:rFonts w:ascii="Arial Narrow" w:hAnsi="Arial Narrow"/>
                <w:color w:val="000000" w:themeColor="text1"/>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rsidP="00C91362">
            <w:pPr>
              <w:autoSpaceDE w:val="0"/>
              <w:autoSpaceDN w:val="0"/>
              <w:adjustRightInd w:val="0"/>
              <w:spacing w:before="40" w:after="40"/>
              <w:jc w:val="center"/>
              <w:rPr>
                <w:rFonts w:ascii="Arial Narrow" w:hAnsi="Arial Narrow"/>
                <w:color w:val="000000" w:themeColor="text1"/>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rsidP="00C91362">
            <w:pPr>
              <w:autoSpaceDE w:val="0"/>
              <w:autoSpaceDN w:val="0"/>
              <w:adjustRightInd w:val="0"/>
              <w:spacing w:before="40" w:after="40"/>
              <w:jc w:val="center"/>
              <w:rPr>
                <w:rFonts w:ascii="Arial Narrow" w:hAnsi="Arial Narrow"/>
                <w:color w:val="000000" w:themeColor="text1"/>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rsidP="00C91362">
            <w:pPr>
              <w:autoSpaceDE w:val="0"/>
              <w:autoSpaceDN w:val="0"/>
              <w:adjustRightInd w:val="0"/>
              <w:spacing w:before="40" w:after="40"/>
              <w:jc w:val="center"/>
              <w:rPr>
                <w:rFonts w:ascii="Arial Narrow" w:hAnsi="Arial Narrow"/>
                <w:color w:val="000000" w:themeColor="text1"/>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rsidP="00C91362">
            <w:pPr>
              <w:autoSpaceDE w:val="0"/>
              <w:autoSpaceDN w:val="0"/>
              <w:adjustRightInd w:val="0"/>
              <w:spacing w:before="40" w:after="40"/>
              <w:jc w:val="center"/>
              <w:rPr>
                <w:rFonts w:ascii="Arial Narrow" w:hAnsi="Arial Narrow"/>
                <w:color w:val="000000" w:themeColor="text1"/>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rsidP="00C91362">
            <w:pPr>
              <w:autoSpaceDE w:val="0"/>
              <w:autoSpaceDN w:val="0"/>
              <w:adjustRightInd w:val="0"/>
              <w:spacing w:before="40" w:after="40"/>
              <w:jc w:val="center"/>
              <w:rPr>
                <w:rFonts w:ascii="Arial Narrow" w:hAnsi="Arial Narrow"/>
                <w:color w:val="000000" w:themeColor="text1"/>
                <w:sz w:val="18"/>
                <w:szCs w:val="18"/>
                <w:highlight w:val="black"/>
              </w:rPr>
            </w:pPr>
            <w:r>
              <w:rPr>
                <w:rFonts w:ascii="Arial Narrow" w:hAnsi="Arial Narrow"/>
                <w:noProof/>
                <w:color w:val="000000"/>
                <w:sz w:val="18"/>
                <w:szCs w:val="18"/>
                <w:highlight w:val="black"/>
              </w:rPr>
              <w:t>''''''''''''''''''''''</w:t>
            </w:r>
          </w:p>
        </w:tc>
        <w:tc>
          <w:tcPr>
            <w:tcW w:w="415" w:type="pct"/>
          </w:tcPr>
          <w:p w:rsidR="00C91362" w:rsidRPr="00C91362" w:rsidRDefault="00C91362" w:rsidP="00C91362">
            <w:pPr>
              <w:autoSpaceDE w:val="0"/>
              <w:autoSpaceDN w:val="0"/>
              <w:adjustRightInd w:val="0"/>
              <w:spacing w:before="40" w:after="40"/>
              <w:jc w:val="center"/>
              <w:rPr>
                <w:rFonts w:ascii="Arial Narrow" w:hAnsi="Arial Narrow"/>
                <w:color w:val="000000" w:themeColor="text1"/>
                <w:sz w:val="18"/>
                <w:szCs w:val="18"/>
              </w:rPr>
            </w:pPr>
          </w:p>
        </w:tc>
      </w:tr>
      <w:tr w:rsidR="00C91362" w:rsidRPr="00A76D14" w:rsidTr="00C91362">
        <w:trPr>
          <w:trHeight w:val="319"/>
        </w:trPr>
        <w:tc>
          <w:tcPr>
            <w:tcW w:w="1521" w:type="pct"/>
          </w:tcPr>
          <w:p w:rsidR="00C91362" w:rsidRPr="000660CF" w:rsidRDefault="00C91362" w:rsidP="00C91362">
            <w:pPr>
              <w:autoSpaceDE w:val="0"/>
              <w:autoSpaceDN w:val="0"/>
              <w:adjustRightInd w:val="0"/>
              <w:spacing w:before="40" w:after="40"/>
              <w:rPr>
                <w:rFonts w:ascii="Arial Narrow" w:hAnsi="Arial Narrow" w:cs="Arial Narrow"/>
                <w:color w:val="000000"/>
                <w:sz w:val="18"/>
                <w:szCs w:val="18"/>
              </w:rPr>
            </w:pPr>
            <w:r w:rsidRPr="000660CF">
              <w:rPr>
                <w:rFonts w:ascii="Arial Narrow" w:hAnsi="Arial Narrow" w:cs="Arial Narrow"/>
                <w:color w:val="000000"/>
                <w:sz w:val="18"/>
                <w:szCs w:val="18"/>
              </w:rPr>
              <w:t>Concessional patient co-payments</w:t>
            </w:r>
          </w:p>
        </w:tc>
        <w:tc>
          <w:tcPr>
            <w:tcW w:w="650" w:type="pct"/>
            <w:vAlign w:val="center"/>
          </w:tcPr>
          <w:p w:rsidR="00C91362" w:rsidRPr="00D161DB" w:rsidRDefault="00D161DB" w:rsidP="00C91362">
            <w:pPr>
              <w:autoSpaceDE w:val="0"/>
              <w:autoSpaceDN w:val="0"/>
              <w:adjustRightInd w:val="0"/>
              <w:spacing w:before="40" w:after="40"/>
              <w:jc w:val="center"/>
              <w:rPr>
                <w:rFonts w:ascii="Arial Narrow" w:hAnsi="Arial Narrow"/>
                <w:color w:val="000000" w:themeColor="text1"/>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rsidP="00C91362">
            <w:pPr>
              <w:autoSpaceDE w:val="0"/>
              <w:autoSpaceDN w:val="0"/>
              <w:adjustRightInd w:val="0"/>
              <w:spacing w:before="40" w:after="40"/>
              <w:jc w:val="center"/>
              <w:rPr>
                <w:rFonts w:ascii="Arial Narrow" w:hAnsi="Arial Narrow"/>
                <w:color w:val="000000" w:themeColor="text1"/>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rsidP="00C91362">
            <w:pPr>
              <w:autoSpaceDE w:val="0"/>
              <w:autoSpaceDN w:val="0"/>
              <w:adjustRightInd w:val="0"/>
              <w:spacing w:before="40" w:after="40"/>
              <w:jc w:val="center"/>
              <w:rPr>
                <w:rFonts w:ascii="Arial Narrow" w:hAnsi="Arial Narrow"/>
                <w:color w:val="000000" w:themeColor="text1"/>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rsidP="00C91362">
            <w:pPr>
              <w:autoSpaceDE w:val="0"/>
              <w:autoSpaceDN w:val="0"/>
              <w:adjustRightInd w:val="0"/>
              <w:spacing w:before="40" w:after="40"/>
              <w:jc w:val="center"/>
              <w:rPr>
                <w:rFonts w:ascii="Arial Narrow" w:hAnsi="Arial Narrow"/>
                <w:color w:val="000000" w:themeColor="text1"/>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rsidP="00C91362">
            <w:pPr>
              <w:autoSpaceDE w:val="0"/>
              <w:autoSpaceDN w:val="0"/>
              <w:adjustRightInd w:val="0"/>
              <w:spacing w:before="40" w:after="40"/>
              <w:jc w:val="center"/>
              <w:rPr>
                <w:rFonts w:ascii="Arial Narrow" w:hAnsi="Arial Narrow"/>
                <w:color w:val="000000" w:themeColor="text1"/>
                <w:sz w:val="18"/>
                <w:szCs w:val="18"/>
                <w:highlight w:val="black"/>
              </w:rPr>
            </w:pPr>
            <w:r>
              <w:rPr>
                <w:rFonts w:ascii="Arial Narrow" w:hAnsi="Arial Narrow"/>
                <w:noProof/>
                <w:color w:val="000000"/>
                <w:sz w:val="18"/>
                <w:szCs w:val="18"/>
                <w:highlight w:val="black"/>
              </w:rPr>
              <w:t>''''''''''''''''''''</w:t>
            </w:r>
          </w:p>
        </w:tc>
        <w:tc>
          <w:tcPr>
            <w:tcW w:w="483" w:type="pct"/>
            <w:vAlign w:val="center"/>
          </w:tcPr>
          <w:p w:rsidR="00C91362" w:rsidRPr="00D161DB" w:rsidRDefault="00D161DB" w:rsidP="00C91362">
            <w:pPr>
              <w:autoSpaceDE w:val="0"/>
              <w:autoSpaceDN w:val="0"/>
              <w:adjustRightInd w:val="0"/>
              <w:spacing w:before="40" w:after="40"/>
              <w:jc w:val="center"/>
              <w:rPr>
                <w:rFonts w:ascii="Arial Narrow" w:hAnsi="Arial Narrow"/>
                <w:color w:val="000000" w:themeColor="text1"/>
                <w:sz w:val="18"/>
                <w:szCs w:val="18"/>
                <w:highlight w:val="black"/>
              </w:rPr>
            </w:pPr>
            <w:r>
              <w:rPr>
                <w:rFonts w:ascii="Arial Narrow" w:hAnsi="Arial Narrow"/>
                <w:noProof/>
                <w:color w:val="000000"/>
                <w:sz w:val="18"/>
                <w:szCs w:val="18"/>
                <w:highlight w:val="black"/>
              </w:rPr>
              <w:t>'''''''''''''''''''''''</w:t>
            </w:r>
          </w:p>
        </w:tc>
        <w:tc>
          <w:tcPr>
            <w:tcW w:w="415" w:type="pct"/>
          </w:tcPr>
          <w:p w:rsidR="00C91362" w:rsidRPr="00C91362" w:rsidRDefault="00C91362" w:rsidP="00C91362">
            <w:pPr>
              <w:autoSpaceDE w:val="0"/>
              <w:autoSpaceDN w:val="0"/>
              <w:adjustRightInd w:val="0"/>
              <w:spacing w:before="40" w:after="40"/>
              <w:jc w:val="center"/>
              <w:rPr>
                <w:rFonts w:ascii="Arial Narrow" w:hAnsi="Arial Narrow"/>
                <w:color w:val="000000" w:themeColor="text1"/>
                <w:sz w:val="18"/>
                <w:szCs w:val="18"/>
              </w:rPr>
            </w:pPr>
          </w:p>
        </w:tc>
      </w:tr>
      <w:tr w:rsidR="00C91362" w:rsidRPr="00A76D14" w:rsidTr="00C91362">
        <w:trPr>
          <w:trHeight w:val="319"/>
        </w:trPr>
        <w:tc>
          <w:tcPr>
            <w:tcW w:w="1521" w:type="pct"/>
          </w:tcPr>
          <w:p w:rsidR="00C91362" w:rsidRPr="000660CF" w:rsidRDefault="00C91362" w:rsidP="00C91362">
            <w:pPr>
              <w:autoSpaceDE w:val="0"/>
              <w:autoSpaceDN w:val="0"/>
              <w:adjustRightInd w:val="0"/>
              <w:spacing w:before="40" w:after="40"/>
              <w:rPr>
                <w:rFonts w:ascii="Arial Narrow" w:hAnsi="Arial Narrow" w:cs="Arial Narrow"/>
                <w:b/>
                <w:bCs/>
                <w:color w:val="000000"/>
                <w:sz w:val="18"/>
                <w:szCs w:val="18"/>
              </w:rPr>
            </w:pPr>
            <w:r w:rsidRPr="000660CF">
              <w:rPr>
                <w:rFonts w:ascii="Arial Narrow" w:hAnsi="Arial Narrow" w:cs="Arial Narrow"/>
                <w:b/>
                <w:bCs/>
                <w:color w:val="000000"/>
                <w:sz w:val="18"/>
                <w:szCs w:val="18"/>
              </w:rPr>
              <w:t>Net financial implications for PBS budget</w:t>
            </w:r>
          </w:p>
        </w:tc>
        <w:tc>
          <w:tcPr>
            <w:tcW w:w="650" w:type="pct"/>
            <w:vAlign w:val="center"/>
          </w:tcPr>
          <w:p w:rsidR="00C91362" w:rsidRPr="00D161DB" w:rsidRDefault="00D161DB" w:rsidP="00C91362">
            <w:pPr>
              <w:autoSpaceDE w:val="0"/>
              <w:autoSpaceDN w:val="0"/>
              <w:adjustRightInd w:val="0"/>
              <w:spacing w:before="40" w:after="40"/>
              <w:jc w:val="center"/>
              <w:rPr>
                <w:rFonts w:ascii="Arial Narrow" w:hAnsi="Arial Narrow"/>
                <w:b/>
                <w:sz w:val="18"/>
                <w:szCs w:val="18"/>
                <w:highlight w:val="black"/>
              </w:rPr>
            </w:pPr>
            <w:r>
              <w:rPr>
                <w:rFonts w:ascii="Arial Narrow" w:hAnsi="Arial Narrow"/>
                <w:b/>
                <w:noProof/>
                <w:color w:val="000000"/>
                <w:sz w:val="18"/>
                <w:szCs w:val="18"/>
                <w:highlight w:val="black"/>
              </w:rPr>
              <w:t>'''''''''''''''''''''''</w:t>
            </w:r>
          </w:p>
        </w:tc>
        <w:tc>
          <w:tcPr>
            <w:tcW w:w="483" w:type="pct"/>
            <w:vAlign w:val="center"/>
          </w:tcPr>
          <w:p w:rsidR="00C91362" w:rsidRPr="00D161DB" w:rsidRDefault="00D161DB" w:rsidP="00C91362">
            <w:pPr>
              <w:autoSpaceDE w:val="0"/>
              <w:autoSpaceDN w:val="0"/>
              <w:adjustRightInd w:val="0"/>
              <w:spacing w:before="40" w:after="40"/>
              <w:jc w:val="center"/>
              <w:rPr>
                <w:rFonts w:ascii="Arial Narrow" w:hAnsi="Arial Narrow"/>
                <w:b/>
                <w:sz w:val="18"/>
                <w:szCs w:val="18"/>
                <w:highlight w:val="black"/>
              </w:rPr>
            </w:pPr>
            <w:r>
              <w:rPr>
                <w:rFonts w:ascii="Arial Narrow" w:hAnsi="Arial Narrow"/>
                <w:b/>
                <w:noProof/>
                <w:color w:val="000000"/>
                <w:sz w:val="18"/>
                <w:szCs w:val="18"/>
                <w:highlight w:val="black"/>
              </w:rPr>
              <w:t>''''''''''''''''''''''''</w:t>
            </w:r>
          </w:p>
        </w:tc>
        <w:tc>
          <w:tcPr>
            <w:tcW w:w="483" w:type="pct"/>
            <w:vAlign w:val="center"/>
          </w:tcPr>
          <w:p w:rsidR="00C91362" w:rsidRPr="00D161DB" w:rsidRDefault="00D161DB" w:rsidP="00C91362">
            <w:pPr>
              <w:autoSpaceDE w:val="0"/>
              <w:autoSpaceDN w:val="0"/>
              <w:adjustRightInd w:val="0"/>
              <w:spacing w:before="40" w:after="40"/>
              <w:jc w:val="center"/>
              <w:rPr>
                <w:rFonts w:ascii="Arial Narrow" w:hAnsi="Arial Narrow"/>
                <w:b/>
                <w:sz w:val="18"/>
                <w:szCs w:val="18"/>
                <w:highlight w:val="black"/>
              </w:rPr>
            </w:pPr>
            <w:r>
              <w:rPr>
                <w:rFonts w:ascii="Arial Narrow" w:hAnsi="Arial Narrow"/>
                <w:b/>
                <w:noProof/>
                <w:color w:val="000000"/>
                <w:sz w:val="18"/>
                <w:szCs w:val="18"/>
                <w:highlight w:val="black"/>
              </w:rPr>
              <w:t>'''''''''''''''''''''''''</w:t>
            </w:r>
          </w:p>
        </w:tc>
        <w:tc>
          <w:tcPr>
            <w:tcW w:w="483" w:type="pct"/>
            <w:vAlign w:val="center"/>
          </w:tcPr>
          <w:p w:rsidR="00C91362" w:rsidRPr="00D161DB" w:rsidRDefault="00D161DB" w:rsidP="00C91362">
            <w:pPr>
              <w:autoSpaceDE w:val="0"/>
              <w:autoSpaceDN w:val="0"/>
              <w:adjustRightInd w:val="0"/>
              <w:spacing w:before="40" w:after="40"/>
              <w:jc w:val="center"/>
              <w:rPr>
                <w:rFonts w:ascii="Arial Narrow" w:hAnsi="Arial Narrow"/>
                <w:b/>
                <w:sz w:val="18"/>
                <w:szCs w:val="18"/>
                <w:highlight w:val="black"/>
              </w:rPr>
            </w:pPr>
            <w:r>
              <w:rPr>
                <w:rFonts w:ascii="Arial Narrow" w:hAnsi="Arial Narrow"/>
                <w:b/>
                <w:noProof/>
                <w:color w:val="000000"/>
                <w:sz w:val="18"/>
                <w:szCs w:val="18"/>
                <w:highlight w:val="black"/>
              </w:rPr>
              <w:t>''''''''''''''''''''''''</w:t>
            </w:r>
          </w:p>
        </w:tc>
        <w:tc>
          <w:tcPr>
            <w:tcW w:w="483" w:type="pct"/>
            <w:vAlign w:val="center"/>
          </w:tcPr>
          <w:p w:rsidR="00C91362" w:rsidRPr="00D161DB" w:rsidRDefault="00D161DB" w:rsidP="00C91362">
            <w:pPr>
              <w:autoSpaceDE w:val="0"/>
              <w:autoSpaceDN w:val="0"/>
              <w:adjustRightInd w:val="0"/>
              <w:spacing w:before="40" w:after="40"/>
              <w:jc w:val="center"/>
              <w:rPr>
                <w:rFonts w:ascii="Arial Narrow" w:hAnsi="Arial Narrow"/>
                <w:b/>
                <w:sz w:val="18"/>
                <w:szCs w:val="18"/>
                <w:highlight w:val="black"/>
              </w:rPr>
            </w:pPr>
            <w:r>
              <w:rPr>
                <w:rFonts w:ascii="Arial Narrow" w:hAnsi="Arial Narrow"/>
                <w:b/>
                <w:noProof/>
                <w:color w:val="000000"/>
                <w:sz w:val="18"/>
                <w:szCs w:val="18"/>
                <w:highlight w:val="black"/>
              </w:rPr>
              <w:t>'''''''''''''''''''''</w:t>
            </w:r>
          </w:p>
        </w:tc>
        <w:tc>
          <w:tcPr>
            <w:tcW w:w="483" w:type="pct"/>
            <w:vAlign w:val="center"/>
          </w:tcPr>
          <w:p w:rsidR="00C91362" w:rsidRPr="00D161DB" w:rsidRDefault="00D161DB" w:rsidP="00C91362">
            <w:pPr>
              <w:autoSpaceDE w:val="0"/>
              <w:autoSpaceDN w:val="0"/>
              <w:adjustRightInd w:val="0"/>
              <w:spacing w:before="40" w:after="40"/>
              <w:jc w:val="center"/>
              <w:rPr>
                <w:rFonts w:ascii="Arial Narrow" w:hAnsi="Arial Narrow"/>
                <w:b/>
                <w:sz w:val="18"/>
                <w:szCs w:val="18"/>
                <w:highlight w:val="black"/>
              </w:rPr>
            </w:pPr>
            <w:r>
              <w:rPr>
                <w:rFonts w:ascii="Arial Narrow" w:hAnsi="Arial Narrow"/>
                <w:b/>
                <w:noProof/>
                <w:color w:val="000000"/>
                <w:sz w:val="18"/>
                <w:szCs w:val="18"/>
                <w:highlight w:val="black"/>
              </w:rPr>
              <w:t>'''''''''''''''''''''''''</w:t>
            </w:r>
          </w:p>
        </w:tc>
        <w:tc>
          <w:tcPr>
            <w:tcW w:w="415" w:type="pct"/>
            <w:vAlign w:val="center"/>
          </w:tcPr>
          <w:p w:rsidR="00C91362" w:rsidRPr="00D161DB" w:rsidRDefault="00D161DB" w:rsidP="00C91362">
            <w:pPr>
              <w:autoSpaceDE w:val="0"/>
              <w:autoSpaceDN w:val="0"/>
              <w:adjustRightInd w:val="0"/>
              <w:spacing w:before="40" w:after="40"/>
              <w:rPr>
                <w:rFonts w:ascii="Arial Narrow" w:hAnsi="Arial Narrow"/>
                <w:b/>
                <w:sz w:val="18"/>
                <w:szCs w:val="18"/>
                <w:highlight w:val="black"/>
              </w:rPr>
            </w:pPr>
            <w:r>
              <w:rPr>
                <w:rFonts w:ascii="Arial Narrow" w:hAnsi="Arial Narrow"/>
                <w:b/>
                <w:noProof/>
                <w:color w:val="000000"/>
                <w:sz w:val="18"/>
                <w:szCs w:val="18"/>
                <w:highlight w:val="black"/>
              </w:rPr>
              <w:t>'''''''''''''''''''''''''</w:t>
            </w:r>
          </w:p>
        </w:tc>
      </w:tr>
      <w:tr w:rsidR="00C91362" w:rsidRPr="00A76D14" w:rsidTr="009D6148">
        <w:trPr>
          <w:trHeight w:val="319"/>
        </w:trPr>
        <w:tc>
          <w:tcPr>
            <w:tcW w:w="1521" w:type="pct"/>
          </w:tcPr>
          <w:p w:rsidR="00C91362" w:rsidRPr="000660CF" w:rsidRDefault="00C91362" w:rsidP="00C91362">
            <w:pPr>
              <w:autoSpaceDE w:val="0"/>
              <w:autoSpaceDN w:val="0"/>
              <w:adjustRightInd w:val="0"/>
              <w:spacing w:before="40" w:after="40"/>
              <w:rPr>
                <w:rFonts w:ascii="Arial Narrow" w:hAnsi="Arial Narrow" w:cs="Arial Narrow"/>
                <w:b/>
                <w:bCs/>
                <w:color w:val="000000"/>
                <w:sz w:val="18"/>
                <w:szCs w:val="18"/>
              </w:rPr>
            </w:pPr>
            <w:r w:rsidRPr="000660CF">
              <w:rPr>
                <w:rFonts w:ascii="Arial Narrow" w:hAnsi="Arial Narrow" w:cs="Arial Narrow"/>
                <w:b/>
                <w:bCs/>
                <w:color w:val="000000"/>
                <w:sz w:val="18"/>
                <w:szCs w:val="18"/>
              </w:rPr>
              <w:t xml:space="preserve">Proposed subsidisation caps </w:t>
            </w:r>
          </w:p>
        </w:tc>
        <w:tc>
          <w:tcPr>
            <w:tcW w:w="650" w:type="pct"/>
            <w:vAlign w:val="center"/>
          </w:tcPr>
          <w:p w:rsidR="00C91362" w:rsidRPr="00D161DB" w:rsidRDefault="00D161DB" w:rsidP="00C91362">
            <w:pPr>
              <w:autoSpaceDE w:val="0"/>
              <w:autoSpaceDN w:val="0"/>
              <w:adjustRightInd w:val="0"/>
              <w:spacing w:before="40" w:after="40"/>
              <w:jc w:val="center"/>
              <w:rPr>
                <w:rFonts w:ascii="Arial Narrow" w:hAnsi="Arial Narrow"/>
                <w:b/>
                <w:color w:val="000000" w:themeColor="text1"/>
                <w:sz w:val="18"/>
                <w:szCs w:val="18"/>
                <w:highlight w:val="black"/>
              </w:rPr>
            </w:pPr>
            <w:r>
              <w:rPr>
                <w:rFonts w:ascii="Arial Narrow" w:hAnsi="Arial Narrow"/>
                <w:b/>
                <w:noProof/>
                <w:color w:val="000000"/>
                <w:sz w:val="18"/>
                <w:szCs w:val="18"/>
                <w:highlight w:val="black"/>
              </w:rPr>
              <w:t>'''''''''''''''''''''</w:t>
            </w:r>
          </w:p>
        </w:tc>
        <w:tc>
          <w:tcPr>
            <w:tcW w:w="483" w:type="pct"/>
            <w:vAlign w:val="center"/>
          </w:tcPr>
          <w:p w:rsidR="00C91362" w:rsidRPr="00D161DB" w:rsidRDefault="00D161DB" w:rsidP="00C91362">
            <w:pPr>
              <w:autoSpaceDE w:val="0"/>
              <w:autoSpaceDN w:val="0"/>
              <w:adjustRightInd w:val="0"/>
              <w:spacing w:before="40" w:after="40"/>
              <w:jc w:val="center"/>
              <w:rPr>
                <w:rFonts w:ascii="Arial Narrow" w:hAnsi="Arial Narrow"/>
                <w:b/>
                <w:color w:val="000000" w:themeColor="text1"/>
                <w:sz w:val="18"/>
                <w:szCs w:val="18"/>
                <w:highlight w:val="black"/>
              </w:rPr>
            </w:pPr>
            <w:r>
              <w:rPr>
                <w:rFonts w:ascii="Arial Narrow" w:hAnsi="Arial Narrow"/>
                <w:b/>
                <w:noProof/>
                <w:color w:val="000000"/>
                <w:sz w:val="18"/>
                <w:szCs w:val="18"/>
                <w:highlight w:val="black"/>
              </w:rPr>
              <w:t>''''''''''''''''''''</w:t>
            </w:r>
          </w:p>
        </w:tc>
        <w:tc>
          <w:tcPr>
            <w:tcW w:w="483" w:type="pct"/>
            <w:vAlign w:val="center"/>
          </w:tcPr>
          <w:p w:rsidR="00C91362" w:rsidRPr="00D161DB" w:rsidRDefault="00D161DB" w:rsidP="00C91362">
            <w:pPr>
              <w:autoSpaceDE w:val="0"/>
              <w:autoSpaceDN w:val="0"/>
              <w:adjustRightInd w:val="0"/>
              <w:spacing w:before="40" w:after="40"/>
              <w:jc w:val="center"/>
              <w:rPr>
                <w:rFonts w:ascii="Arial Narrow" w:hAnsi="Arial Narrow"/>
                <w:b/>
                <w:color w:val="000000" w:themeColor="text1"/>
                <w:sz w:val="18"/>
                <w:szCs w:val="18"/>
                <w:highlight w:val="black"/>
              </w:rPr>
            </w:pPr>
            <w:r>
              <w:rPr>
                <w:rFonts w:ascii="Arial Narrow" w:hAnsi="Arial Narrow"/>
                <w:b/>
                <w:noProof/>
                <w:color w:val="000000"/>
                <w:sz w:val="18"/>
                <w:szCs w:val="18"/>
                <w:highlight w:val="black"/>
              </w:rPr>
              <w:t>'''''''''''''''''''''''</w:t>
            </w:r>
          </w:p>
        </w:tc>
        <w:tc>
          <w:tcPr>
            <w:tcW w:w="483" w:type="pct"/>
            <w:vAlign w:val="center"/>
          </w:tcPr>
          <w:p w:rsidR="00C91362" w:rsidRPr="00D161DB" w:rsidRDefault="00D161DB" w:rsidP="00C91362">
            <w:pPr>
              <w:autoSpaceDE w:val="0"/>
              <w:autoSpaceDN w:val="0"/>
              <w:adjustRightInd w:val="0"/>
              <w:spacing w:before="40" w:after="40"/>
              <w:jc w:val="center"/>
              <w:rPr>
                <w:rFonts w:ascii="Arial Narrow" w:hAnsi="Arial Narrow"/>
                <w:b/>
                <w:color w:val="000000" w:themeColor="text1"/>
                <w:sz w:val="18"/>
                <w:szCs w:val="18"/>
                <w:highlight w:val="black"/>
              </w:rPr>
            </w:pPr>
            <w:r>
              <w:rPr>
                <w:rFonts w:ascii="Arial Narrow" w:hAnsi="Arial Narrow"/>
                <w:b/>
                <w:noProof/>
                <w:color w:val="000000"/>
                <w:sz w:val="18"/>
                <w:szCs w:val="18"/>
                <w:highlight w:val="black"/>
              </w:rPr>
              <w:t>''''''''''''''''''''''</w:t>
            </w:r>
          </w:p>
        </w:tc>
        <w:tc>
          <w:tcPr>
            <w:tcW w:w="483" w:type="pct"/>
            <w:vAlign w:val="center"/>
          </w:tcPr>
          <w:p w:rsidR="00C91362" w:rsidRPr="00D161DB" w:rsidRDefault="00D161DB" w:rsidP="00C91362">
            <w:pPr>
              <w:autoSpaceDE w:val="0"/>
              <w:autoSpaceDN w:val="0"/>
              <w:adjustRightInd w:val="0"/>
              <w:spacing w:before="40" w:after="40"/>
              <w:jc w:val="center"/>
              <w:rPr>
                <w:rFonts w:ascii="Arial Narrow" w:hAnsi="Arial Narrow"/>
                <w:b/>
                <w:color w:val="000000" w:themeColor="text1"/>
                <w:sz w:val="18"/>
                <w:szCs w:val="18"/>
                <w:highlight w:val="black"/>
              </w:rPr>
            </w:pPr>
            <w:r>
              <w:rPr>
                <w:rFonts w:ascii="Arial Narrow" w:hAnsi="Arial Narrow"/>
                <w:b/>
                <w:noProof/>
                <w:color w:val="000000"/>
                <w:sz w:val="18"/>
                <w:szCs w:val="18"/>
                <w:highlight w:val="black"/>
              </w:rPr>
              <w:t>''''''''''''''''''''</w:t>
            </w:r>
          </w:p>
        </w:tc>
        <w:tc>
          <w:tcPr>
            <w:tcW w:w="483" w:type="pct"/>
            <w:vAlign w:val="center"/>
          </w:tcPr>
          <w:p w:rsidR="00C91362" w:rsidRPr="00D161DB" w:rsidRDefault="00D161DB" w:rsidP="00C91362">
            <w:pPr>
              <w:autoSpaceDE w:val="0"/>
              <w:autoSpaceDN w:val="0"/>
              <w:adjustRightInd w:val="0"/>
              <w:spacing w:before="40" w:after="40"/>
              <w:jc w:val="center"/>
              <w:rPr>
                <w:rFonts w:ascii="Arial Narrow" w:hAnsi="Arial Narrow"/>
                <w:b/>
                <w:color w:val="000000" w:themeColor="text1"/>
                <w:sz w:val="18"/>
                <w:szCs w:val="18"/>
                <w:highlight w:val="black"/>
              </w:rPr>
            </w:pPr>
            <w:r>
              <w:rPr>
                <w:rFonts w:ascii="Arial Narrow" w:hAnsi="Arial Narrow"/>
                <w:b/>
                <w:noProof/>
                <w:color w:val="000000"/>
                <w:sz w:val="18"/>
                <w:szCs w:val="18"/>
                <w:highlight w:val="black"/>
              </w:rPr>
              <w:t>''''''''''''''''''''</w:t>
            </w:r>
          </w:p>
        </w:tc>
        <w:tc>
          <w:tcPr>
            <w:tcW w:w="415" w:type="pct"/>
            <w:vAlign w:val="center"/>
          </w:tcPr>
          <w:p w:rsidR="00C91362" w:rsidRPr="00D161DB" w:rsidRDefault="00D161DB" w:rsidP="0010324C">
            <w:pPr>
              <w:autoSpaceDE w:val="0"/>
              <w:autoSpaceDN w:val="0"/>
              <w:adjustRightInd w:val="0"/>
              <w:spacing w:before="40" w:after="40"/>
              <w:jc w:val="center"/>
              <w:rPr>
                <w:rFonts w:ascii="Arial Narrow" w:hAnsi="Arial Narrow"/>
                <w:b/>
                <w:color w:val="000000" w:themeColor="text1"/>
                <w:sz w:val="18"/>
                <w:szCs w:val="18"/>
                <w:highlight w:val="black"/>
              </w:rPr>
            </w:pPr>
            <w:r>
              <w:rPr>
                <w:rFonts w:ascii="Arial Narrow" w:hAnsi="Arial Narrow"/>
                <w:b/>
                <w:noProof/>
                <w:color w:val="000000"/>
                <w:sz w:val="18"/>
                <w:szCs w:val="18"/>
                <w:highlight w:val="black"/>
              </w:rPr>
              <w:t>''''''''''''''''''''''''''</w:t>
            </w:r>
          </w:p>
        </w:tc>
      </w:tr>
    </w:tbl>
    <w:p w:rsidR="00F0579E" w:rsidRDefault="000C6974" w:rsidP="004E3D71">
      <w:pPr>
        <w:spacing w:after="120"/>
        <w:rPr>
          <w:rFonts w:ascii="Arial Narrow" w:hAnsi="Arial Narrow"/>
          <w:sz w:val="18"/>
          <w:szCs w:val="22"/>
        </w:rPr>
      </w:pPr>
      <w:r>
        <w:rPr>
          <w:rFonts w:ascii="Arial Narrow" w:hAnsi="Arial Narrow"/>
          <w:sz w:val="18"/>
          <w:szCs w:val="22"/>
        </w:rPr>
        <w:t>Source: Table 5, page 16</w:t>
      </w:r>
      <w:r w:rsidR="00B641C7" w:rsidRPr="00FB46A0">
        <w:rPr>
          <w:rFonts w:ascii="Arial Narrow" w:hAnsi="Arial Narrow"/>
          <w:sz w:val="18"/>
          <w:szCs w:val="22"/>
        </w:rPr>
        <w:t xml:space="preserve"> of the </w:t>
      </w:r>
      <w:r>
        <w:rPr>
          <w:rFonts w:ascii="Arial Narrow" w:hAnsi="Arial Narrow"/>
          <w:sz w:val="18"/>
          <w:szCs w:val="22"/>
        </w:rPr>
        <w:t>submission</w:t>
      </w:r>
    </w:p>
    <w:p w:rsidR="00A67415" w:rsidRPr="00A67415" w:rsidRDefault="00A67415" w:rsidP="004E3D71">
      <w:pPr>
        <w:spacing w:after="120"/>
        <w:rPr>
          <w:rFonts w:asciiTheme="minorHAnsi" w:hAnsiTheme="minorHAnsi" w:cs="Arial"/>
          <w:snapToGrid w:val="0"/>
          <w:szCs w:val="22"/>
          <w:lang w:eastAsia="en-US"/>
        </w:rPr>
      </w:pPr>
      <w:r w:rsidRPr="00A67415">
        <w:rPr>
          <w:rFonts w:asciiTheme="minorHAnsi" w:hAnsiTheme="minorHAnsi" w:cs="Arial"/>
          <w:snapToGrid w:val="0"/>
          <w:szCs w:val="22"/>
          <w:lang w:eastAsia="en-US"/>
        </w:rPr>
        <w:t>The redacted table shows that at year 5, the estimated number of patients was less than 10,000 per year.</w:t>
      </w:r>
    </w:p>
    <w:p w:rsidR="00886D0E" w:rsidRPr="00886D0E" w:rsidRDefault="00886D0E" w:rsidP="00886D0E">
      <w:pPr>
        <w:pStyle w:val="Heading2"/>
        <w:rPr>
          <w:rFonts w:asciiTheme="minorHAnsi" w:hAnsiTheme="minorHAnsi"/>
          <w:sz w:val="28"/>
          <w:szCs w:val="28"/>
        </w:rPr>
      </w:pPr>
      <w:r w:rsidRPr="00886D0E">
        <w:rPr>
          <w:rFonts w:asciiTheme="minorHAnsi" w:hAnsiTheme="minorHAnsi"/>
          <w:sz w:val="28"/>
          <w:szCs w:val="28"/>
        </w:rPr>
        <w:t>Financial Management – Risk-sharing Arrangements</w:t>
      </w:r>
    </w:p>
    <w:p w:rsidR="00BB7EC3" w:rsidRPr="003C2FB5" w:rsidRDefault="00BB7EC3" w:rsidP="00C00DA7">
      <w:pPr>
        <w:jc w:val="both"/>
        <w:rPr>
          <w:rFonts w:asciiTheme="minorHAnsi" w:hAnsiTheme="minorHAnsi"/>
        </w:rPr>
      </w:pPr>
    </w:p>
    <w:p w:rsidR="00DD5C23" w:rsidRDefault="00DD5C23" w:rsidP="00DD5C23">
      <w:pPr>
        <w:widowControl w:val="0"/>
        <w:numPr>
          <w:ilvl w:val="1"/>
          <w:numId w:val="5"/>
        </w:numPr>
        <w:contextualSpacing/>
        <w:jc w:val="both"/>
        <w:rPr>
          <w:rFonts w:asciiTheme="minorHAnsi" w:hAnsiTheme="minorHAnsi" w:cs="Arial"/>
          <w:snapToGrid w:val="0"/>
          <w:szCs w:val="22"/>
          <w:lang w:eastAsia="en-US"/>
        </w:rPr>
      </w:pPr>
      <w:r w:rsidRPr="00DD5C23">
        <w:rPr>
          <w:rFonts w:asciiTheme="minorHAnsi" w:hAnsiTheme="minorHAnsi" w:cs="Arial"/>
          <w:snapToGrid w:val="0"/>
          <w:szCs w:val="22"/>
          <w:lang w:eastAsia="en-US"/>
        </w:rPr>
        <w:t xml:space="preserve">The </w:t>
      </w:r>
      <w:r>
        <w:rPr>
          <w:rFonts w:asciiTheme="minorHAnsi" w:hAnsiTheme="minorHAnsi" w:cs="Arial"/>
          <w:snapToGrid w:val="0"/>
          <w:szCs w:val="22"/>
          <w:lang w:eastAsia="en-US"/>
        </w:rPr>
        <w:t xml:space="preserve">submission proposed a rebate of </w:t>
      </w:r>
      <w:r w:rsidR="00D161DB">
        <w:rPr>
          <w:rFonts w:asciiTheme="minorHAnsi" w:hAnsiTheme="minorHAnsi" w:cs="Arial"/>
          <w:noProof/>
          <w:snapToGrid w:val="0"/>
          <w:color w:val="000000"/>
          <w:szCs w:val="22"/>
          <w:highlight w:val="black"/>
          <w:lang w:eastAsia="en-US"/>
        </w:rPr>
        <w:t>'''''''</w:t>
      </w:r>
      <w:r>
        <w:rPr>
          <w:rFonts w:asciiTheme="minorHAnsi" w:hAnsiTheme="minorHAnsi" w:cs="Arial"/>
          <w:snapToGrid w:val="0"/>
          <w:szCs w:val="22"/>
          <w:lang w:eastAsia="en-US"/>
        </w:rPr>
        <w:t>% for any expenditure that exceeds the annual subsidisation caps. In contrast to the July 2017 submission, the proposed subsidisation caps are set at volumes less than the estimated utilisation (see Table 4 above).</w:t>
      </w:r>
      <w:r w:rsidR="00C91362">
        <w:rPr>
          <w:rFonts w:asciiTheme="minorHAnsi" w:hAnsiTheme="minorHAnsi" w:cs="Arial"/>
          <w:snapToGrid w:val="0"/>
          <w:szCs w:val="22"/>
          <w:lang w:eastAsia="en-US"/>
        </w:rPr>
        <w:t xml:space="preserve"> </w:t>
      </w:r>
      <w:r>
        <w:rPr>
          <w:rFonts w:asciiTheme="minorHAnsi" w:hAnsiTheme="minorHAnsi" w:cs="Arial"/>
          <w:snapToGrid w:val="0"/>
          <w:szCs w:val="22"/>
          <w:lang w:eastAsia="en-US"/>
        </w:rPr>
        <w:t xml:space="preserve">The submission estimated that these proposed caps would limit PBS expenditure to </w:t>
      </w:r>
      <w:r w:rsidR="00A67415">
        <w:rPr>
          <w:rFonts w:asciiTheme="minorHAnsi" w:hAnsiTheme="minorHAnsi" w:cs="Arial"/>
          <w:snapToGrid w:val="0"/>
          <w:szCs w:val="22"/>
          <w:lang w:eastAsia="en-US"/>
        </w:rPr>
        <w:t>$30 - $60 million</w:t>
      </w:r>
      <w:r w:rsidR="004E52B4">
        <w:rPr>
          <w:rFonts w:asciiTheme="minorHAnsi" w:hAnsiTheme="minorHAnsi" w:cs="Arial"/>
          <w:snapToGrid w:val="0"/>
          <w:szCs w:val="22"/>
          <w:lang w:eastAsia="en-US"/>
        </w:rPr>
        <w:t xml:space="preserve"> over the first 6 years of listing</w:t>
      </w:r>
      <w:r>
        <w:rPr>
          <w:rFonts w:asciiTheme="minorHAnsi" w:hAnsiTheme="minorHAnsi" w:cs="Arial"/>
          <w:snapToGrid w:val="0"/>
          <w:szCs w:val="22"/>
          <w:lang w:eastAsia="en-US"/>
        </w:rPr>
        <w:t xml:space="preserve">. </w:t>
      </w:r>
    </w:p>
    <w:p w:rsidR="00B34D1F" w:rsidRPr="00DD5C23" w:rsidRDefault="00B34D1F" w:rsidP="00B34D1F">
      <w:pPr>
        <w:widowControl w:val="0"/>
        <w:ind w:left="720"/>
        <w:contextualSpacing/>
        <w:jc w:val="both"/>
        <w:rPr>
          <w:rFonts w:asciiTheme="minorHAnsi" w:hAnsiTheme="minorHAnsi" w:cs="Arial"/>
          <w:snapToGrid w:val="0"/>
          <w:szCs w:val="22"/>
          <w:lang w:eastAsia="en-US"/>
        </w:rPr>
      </w:pPr>
    </w:p>
    <w:p w:rsidR="00B34D1F" w:rsidRPr="00B34D1F" w:rsidRDefault="00B34D1F" w:rsidP="002D177E">
      <w:pPr>
        <w:pStyle w:val="PBACHeading1"/>
        <w:spacing w:before="240" w:after="120"/>
        <w:rPr>
          <w:rFonts w:asciiTheme="minorHAnsi" w:hAnsiTheme="minorHAnsi"/>
          <w:sz w:val="28"/>
        </w:rPr>
      </w:pPr>
      <w:r>
        <w:rPr>
          <w:rFonts w:asciiTheme="minorHAnsi" w:hAnsiTheme="minorHAnsi"/>
          <w:sz w:val="32"/>
        </w:rPr>
        <w:t xml:space="preserve">PBAC Outcome </w:t>
      </w:r>
    </w:p>
    <w:p w:rsidR="00F224A4" w:rsidRDefault="00667107" w:rsidP="0067328F">
      <w:pPr>
        <w:pStyle w:val="ListParagraph"/>
        <w:numPr>
          <w:ilvl w:val="1"/>
          <w:numId w:val="5"/>
        </w:numPr>
        <w:spacing w:after="120"/>
        <w:contextualSpacing w:val="0"/>
        <w:rPr>
          <w:rFonts w:asciiTheme="minorHAnsi" w:hAnsiTheme="minorHAnsi"/>
          <w:bCs/>
          <w:sz w:val="24"/>
          <w:szCs w:val="24"/>
          <w:lang w:val="en-GB"/>
        </w:rPr>
      </w:pPr>
      <w:r>
        <w:rPr>
          <w:rFonts w:asciiTheme="minorHAnsi" w:hAnsiTheme="minorHAnsi"/>
          <w:bCs/>
          <w:sz w:val="24"/>
          <w:szCs w:val="24"/>
          <w:lang w:val="en-GB"/>
        </w:rPr>
        <w:t xml:space="preserve">The PBAC did not recommend the listing of trifluridine with tipiracil on the PBS for treatment of patients with metastatic colorectal cancer (mCRC) </w:t>
      </w:r>
      <w:r w:rsidR="00D839AF">
        <w:rPr>
          <w:rFonts w:asciiTheme="minorHAnsi" w:hAnsiTheme="minorHAnsi"/>
          <w:bCs/>
          <w:sz w:val="24"/>
          <w:szCs w:val="24"/>
          <w:lang w:val="en-GB"/>
        </w:rPr>
        <w:t xml:space="preserve">who have been treated previously or are not considered suitable for current available therapies. The PBAC based its decision on </w:t>
      </w:r>
      <w:r w:rsidR="00C45342">
        <w:rPr>
          <w:rFonts w:asciiTheme="minorHAnsi" w:hAnsiTheme="minorHAnsi"/>
          <w:bCs/>
          <w:sz w:val="24"/>
          <w:szCs w:val="24"/>
          <w:lang w:val="en-GB"/>
        </w:rPr>
        <w:t>the</w:t>
      </w:r>
      <w:r w:rsidR="00025083">
        <w:rPr>
          <w:rFonts w:asciiTheme="minorHAnsi" w:hAnsiTheme="minorHAnsi"/>
          <w:bCs/>
          <w:sz w:val="24"/>
          <w:szCs w:val="24"/>
          <w:lang w:val="en-GB"/>
        </w:rPr>
        <w:t xml:space="preserve"> modest clinical benefit</w:t>
      </w:r>
      <w:r w:rsidR="005E3AAF">
        <w:rPr>
          <w:rFonts w:asciiTheme="minorHAnsi" w:hAnsiTheme="minorHAnsi"/>
          <w:bCs/>
          <w:sz w:val="24"/>
          <w:szCs w:val="24"/>
          <w:lang w:val="en-GB"/>
        </w:rPr>
        <w:t xml:space="preserve"> and</w:t>
      </w:r>
      <w:r w:rsidR="00025083">
        <w:rPr>
          <w:rFonts w:asciiTheme="minorHAnsi" w:hAnsiTheme="minorHAnsi"/>
          <w:bCs/>
          <w:sz w:val="24"/>
          <w:szCs w:val="24"/>
          <w:lang w:val="en-GB"/>
        </w:rPr>
        <w:t xml:space="preserve"> </w:t>
      </w:r>
      <w:r w:rsidR="00C45342">
        <w:rPr>
          <w:rFonts w:asciiTheme="minorHAnsi" w:hAnsiTheme="minorHAnsi"/>
          <w:bCs/>
          <w:sz w:val="24"/>
          <w:szCs w:val="24"/>
          <w:lang w:val="en-GB"/>
        </w:rPr>
        <w:t>moderate toxicity</w:t>
      </w:r>
      <w:r w:rsidR="005E3AAF">
        <w:rPr>
          <w:rFonts w:asciiTheme="minorHAnsi" w:hAnsiTheme="minorHAnsi"/>
          <w:bCs/>
          <w:sz w:val="24"/>
          <w:szCs w:val="24"/>
          <w:lang w:val="en-GB"/>
        </w:rPr>
        <w:t>, noting that the clinical benefit</w:t>
      </w:r>
      <w:r w:rsidR="00025083">
        <w:rPr>
          <w:rFonts w:asciiTheme="minorHAnsi" w:hAnsiTheme="minorHAnsi"/>
          <w:bCs/>
          <w:sz w:val="24"/>
          <w:szCs w:val="24"/>
          <w:lang w:val="en-GB"/>
        </w:rPr>
        <w:t xml:space="preserve"> </w:t>
      </w:r>
      <w:r w:rsidR="005E3AAF">
        <w:rPr>
          <w:rFonts w:asciiTheme="minorHAnsi" w:hAnsiTheme="minorHAnsi"/>
          <w:bCs/>
          <w:sz w:val="24"/>
          <w:szCs w:val="24"/>
          <w:lang w:val="en-GB"/>
        </w:rPr>
        <w:t>observed in the trial</w:t>
      </w:r>
      <w:r w:rsidR="005E3AAF" w:rsidDel="005E3AAF">
        <w:rPr>
          <w:rFonts w:asciiTheme="minorHAnsi" w:hAnsiTheme="minorHAnsi"/>
          <w:bCs/>
          <w:sz w:val="24"/>
          <w:szCs w:val="24"/>
          <w:lang w:val="en-GB"/>
        </w:rPr>
        <w:t xml:space="preserve"> </w:t>
      </w:r>
      <w:r w:rsidR="00025083">
        <w:rPr>
          <w:rFonts w:asciiTheme="minorHAnsi" w:hAnsiTheme="minorHAnsi"/>
          <w:bCs/>
          <w:sz w:val="24"/>
          <w:szCs w:val="24"/>
          <w:lang w:val="en-GB"/>
        </w:rPr>
        <w:t xml:space="preserve">may not be realised in clinical practice. </w:t>
      </w:r>
      <w:r w:rsidR="00C45342">
        <w:rPr>
          <w:rFonts w:asciiTheme="minorHAnsi" w:hAnsiTheme="minorHAnsi"/>
          <w:bCs/>
          <w:sz w:val="24"/>
          <w:szCs w:val="24"/>
          <w:lang w:val="en-GB"/>
        </w:rPr>
        <w:t>T</w:t>
      </w:r>
      <w:r w:rsidR="00227C08">
        <w:rPr>
          <w:rFonts w:asciiTheme="minorHAnsi" w:hAnsiTheme="minorHAnsi"/>
          <w:bCs/>
          <w:sz w:val="24"/>
          <w:szCs w:val="24"/>
          <w:lang w:val="en-GB"/>
        </w:rPr>
        <w:t xml:space="preserve">he PBAC </w:t>
      </w:r>
      <w:r w:rsidR="00C45342">
        <w:rPr>
          <w:rFonts w:asciiTheme="minorHAnsi" w:hAnsiTheme="minorHAnsi"/>
          <w:bCs/>
          <w:sz w:val="24"/>
          <w:szCs w:val="24"/>
          <w:lang w:val="en-GB"/>
        </w:rPr>
        <w:t>was concerned that</w:t>
      </w:r>
      <w:r w:rsidR="00227C08">
        <w:rPr>
          <w:rFonts w:asciiTheme="minorHAnsi" w:hAnsiTheme="minorHAnsi"/>
          <w:bCs/>
          <w:sz w:val="24"/>
          <w:szCs w:val="24"/>
          <w:lang w:val="en-GB"/>
        </w:rPr>
        <w:t xml:space="preserve"> the financial impact of listing</w:t>
      </w:r>
      <w:r w:rsidR="0068250E">
        <w:rPr>
          <w:rFonts w:asciiTheme="minorHAnsi" w:hAnsiTheme="minorHAnsi"/>
          <w:bCs/>
          <w:sz w:val="24"/>
          <w:szCs w:val="24"/>
          <w:lang w:val="en-GB"/>
        </w:rPr>
        <w:t xml:space="preserve"> was substantial</w:t>
      </w:r>
      <w:r w:rsidR="00C45342">
        <w:rPr>
          <w:rFonts w:asciiTheme="minorHAnsi" w:hAnsiTheme="minorHAnsi"/>
          <w:bCs/>
          <w:sz w:val="24"/>
          <w:szCs w:val="24"/>
          <w:lang w:val="en-GB"/>
        </w:rPr>
        <w:t xml:space="preserve">, </w:t>
      </w:r>
      <w:r w:rsidR="0068250E">
        <w:rPr>
          <w:rFonts w:asciiTheme="minorHAnsi" w:hAnsiTheme="minorHAnsi"/>
          <w:bCs/>
          <w:sz w:val="24"/>
          <w:szCs w:val="24"/>
          <w:lang w:val="en-GB"/>
        </w:rPr>
        <w:t xml:space="preserve">with a </w:t>
      </w:r>
      <w:r w:rsidR="00227C08">
        <w:rPr>
          <w:rFonts w:asciiTheme="minorHAnsi" w:hAnsiTheme="minorHAnsi"/>
          <w:bCs/>
          <w:sz w:val="24"/>
          <w:szCs w:val="24"/>
          <w:lang w:val="en-GB"/>
        </w:rPr>
        <w:t xml:space="preserve">total net cost to the PBS of </w:t>
      </w:r>
      <w:r w:rsidR="00A67415">
        <w:rPr>
          <w:rFonts w:asciiTheme="minorHAnsi" w:hAnsiTheme="minorHAnsi"/>
          <w:szCs w:val="22"/>
        </w:rPr>
        <w:t xml:space="preserve">$30 - $60 million </w:t>
      </w:r>
      <w:r w:rsidR="00227C08">
        <w:rPr>
          <w:rFonts w:asciiTheme="minorHAnsi" w:hAnsiTheme="minorHAnsi"/>
          <w:bCs/>
          <w:sz w:val="24"/>
          <w:szCs w:val="24"/>
          <w:lang w:val="en-GB"/>
        </w:rPr>
        <w:t>over the first</w:t>
      </w:r>
      <w:r w:rsidR="00456493">
        <w:rPr>
          <w:rFonts w:asciiTheme="minorHAnsi" w:hAnsiTheme="minorHAnsi"/>
          <w:bCs/>
          <w:sz w:val="24"/>
          <w:szCs w:val="24"/>
          <w:lang w:val="en-GB"/>
        </w:rPr>
        <w:t xml:space="preserve"> 6</w:t>
      </w:r>
      <w:r w:rsidR="00227C08">
        <w:rPr>
          <w:rFonts w:asciiTheme="minorHAnsi" w:hAnsiTheme="minorHAnsi"/>
          <w:bCs/>
          <w:sz w:val="24"/>
          <w:szCs w:val="24"/>
          <w:lang w:val="en-GB"/>
        </w:rPr>
        <w:t xml:space="preserve"> years of listing</w:t>
      </w:r>
      <w:r w:rsidR="00C45342">
        <w:rPr>
          <w:rFonts w:asciiTheme="minorHAnsi" w:hAnsiTheme="minorHAnsi"/>
          <w:bCs/>
          <w:sz w:val="24"/>
          <w:szCs w:val="24"/>
          <w:lang w:val="en-GB"/>
        </w:rPr>
        <w:t xml:space="preserve">. The PBAC </w:t>
      </w:r>
      <w:r w:rsidR="00227C08">
        <w:rPr>
          <w:rFonts w:asciiTheme="minorHAnsi" w:hAnsiTheme="minorHAnsi"/>
          <w:bCs/>
          <w:sz w:val="24"/>
          <w:szCs w:val="24"/>
          <w:lang w:val="en-GB"/>
        </w:rPr>
        <w:t>considered t</w:t>
      </w:r>
      <w:r w:rsidR="00C45342">
        <w:rPr>
          <w:rFonts w:asciiTheme="minorHAnsi" w:hAnsiTheme="minorHAnsi"/>
          <w:bCs/>
          <w:sz w:val="24"/>
          <w:szCs w:val="24"/>
          <w:lang w:val="en-GB"/>
        </w:rPr>
        <w:t>hat this represented a significant</w:t>
      </w:r>
      <w:r w:rsidR="00227C08">
        <w:rPr>
          <w:rFonts w:asciiTheme="minorHAnsi" w:hAnsiTheme="minorHAnsi"/>
          <w:bCs/>
          <w:sz w:val="24"/>
          <w:szCs w:val="24"/>
          <w:lang w:val="en-GB"/>
        </w:rPr>
        <w:t xml:space="preserve"> opportunity cost </w:t>
      </w:r>
      <w:r w:rsidR="00C45342">
        <w:rPr>
          <w:rFonts w:asciiTheme="minorHAnsi" w:hAnsiTheme="minorHAnsi"/>
          <w:bCs/>
          <w:sz w:val="24"/>
          <w:szCs w:val="24"/>
          <w:lang w:val="en-GB"/>
        </w:rPr>
        <w:t>for</w:t>
      </w:r>
      <w:r w:rsidR="00227C08">
        <w:rPr>
          <w:rFonts w:asciiTheme="minorHAnsi" w:hAnsiTheme="minorHAnsi"/>
          <w:bCs/>
          <w:sz w:val="24"/>
          <w:szCs w:val="24"/>
          <w:lang w:val="en-GB"/>
        </w:rPr>
        <w:t xml:space="preserve"> the Commonwealth. </w:t>
      </w:r>
      <w:r w:rsidR="00025083">
        <w:rPr>
          <w:rFonts w:asciiTheme="minorHAnsi" w:hAnsiTheme="minorHAnsi"/>
          <w:bCs/>
          <w:sz w:val="24"/>
          <w:szCs w:val="24"/>
          <w:lang w:val="en-GB"/>
        </w:rPr>
        <w:t xml:space="preserve"> </w:t>
      </w:r>
    </w:p>
    <w:p w:rsidR="00B4108D" w:rsidRDefault="00B4108D" w:rsidP="0067328F">
      <w:pPr>
        <w:pStyle w:val="ListParagraph"/>
        <w:numPr>
          <w:ilvl w:val="1"/>
          <w:numId w:val="5"/>
        </w:numPr>
        <w:spacing w:after="120"/>
        <w:contextualSpacing w:val="0"/>
        <w:rPr>
          <w:rFonts w:asciiTheme="minorHAnsi" w:hAnsiTheme="minorHAnsi"/>
          <w:bCs/>
          <w:sz w:val="24"/>
          <w:szCs w:val="24"/>
          <w:lang w:val="en-GB"/>
        </w:rPr>
      </w:pPr>
      <w:r>
        <w:rPr>
          <w:rFonts w:asciiTheme="minorHAnsi" w:hAnsiTheme="minorHAnsi"/>
          <w:bCs/>
          <w:sz w:val="24"/>
          <w:szCs w:val="24"/>
          <w:lang w:val="en-GB"/>
        </w:rPr>
        <w:t xml:space="preserve">The PBAC considered that the proposed PBS restriction was appropriate. </w:t>
      </w:r>
    </w:p>
    <w:p w:rsidR="003A09A1" w:rsidRPr="003A09A1" w:rsidRDefault="003A09A1" w:rsidP="003A09A1">
      <w:pPr>
        <w:pStyle w:val="ListParagraph"/>
        <w:numPr>
          <w:ilvl w:val="1"/>
          <w:numId w:val="5"/>
        </w:numPr>
        <w:spacing w:after="120"/>
        <w:contextualSpacing w:val="0"/>
        <w:rPr>
          <w:rFonts w:asciiTheme="minorHAnsi" w:hAnsiTheme="minorHAnsi"/>
          <w:bCs/>
          <w:sz w:val="24"/>
          <w:szCs w:val="24"/>
          <w:lang w:val="en-GB"/>
        </w:rPr>
      </w:pPr>
      <w:r w:rsidRPr="0067328F">
        <w:rPr>
          <w:rFonts w:asciiTheme="minorHAnsi" w:hAnsiTheme="minorHAnsi"/>
          <w:bCs/>
          <w:sz w:val="24"/>
          <w:szCs w:val="24"/>
          <w:lang w:val="en-GB"/>
        </w:rPr>
        <w:t>The PBAC noted that the Medical Oncology Group of Australia (MOGA) reiterated its support for the trifluridine/tipiracil submission, and based on the European Society for Medical Oncology Magnitude of Clinical Benefit Scale (ESMO-MCBS) the rating was limited to 2 (out of a maximum of 5, where 5 and 4 represent the grades with substantial improvement).</w:t>
      </w:r>
    </w:p>
    <w:p w:rsidR="0067328F" w:rsidRPr="0067328F" w:rsidRDefault="0067328F" w:rsidP="00E543C4">
      <w:pPr>
        <w:pStyle w:val="ListParagraph"/>
        <w:numPr>
          <w:ilvl w:val="1"/>
          <w:numId w:val="5"/>
        </w:numPr>
        <w:spacing w:after="120"/>
        <w:contextualSpacing w:val="0"/>
        <w:rPr>
          <w:rFonts w:asciiTheme="minorHAnsi" w:hAnsiTheme="minorHAnsi"/>
          <w:bCs/>
          <w:sz w:val="24"/>
          <w:szCs w:val="24"/>
          <w:lang w:val="en-GB"/>
        </w:rPr>
      </w:pPr>
      <w:r w:rsidRPr="0067328F">
        <w:rPr>
          <w:rFonts w:asciiTheme="minorHAnsi" w:hAnsiTheme="minorHAnsi"/>
          <w:bCs/>
          <w:sz w:val="24"/>
          <w:szCs w:val="24"/>
          <w:lang w:val="en-GB"/>
        </w:rPr>
        <w:t>The PBAC reiterated its view that as metastatic cancer is rarely cured and treatments aim to relieve symptoms or delay death, there will always be an unmet clinical need for additional effective and well-tolerated therapies.</w:t>
      </w:r>
      <w:r w:rsidR="00F17BF0">
        <w:rPr>
          <w:rFonts w:asciiTheme="minorHAnsi" w:hAnsiTheme="minorHAnsi"/>
          <w:bCs/>
          <w:sz w:val="24"/>
          <w:szCs w:val="24"/>
          <w:lang w:val="en-GB"/>
        </w:rPr>
        <w:t xml:space="preserve"> In this context, the PBAC noted the modest benefit and moderate toxicity and considered that this clinical need would not be </w:t>
      </w:r>
      <w:r w:rsidR="00E543C4" w:rsidRPr="00E543C4">
        <w:rPr>
          <w:rFonts w:asciiTheme="minorHAnsi" w:hAnsiTheme="minorHAnsi"/>
          <w:bCs/>
          <w:sz w:val="24"/>
          <w:szCs w:val="24"/>
          <w:lang w:val="en-GB"/>
        </w:rPr>
        <w:t xml:space="preserve">discernibly </w:t>
      </w:r>
      <w:r w:rsidR="00F17BF0">
        <w:rPr>
          <w:rFonts w:asciiTheme="minorHAnsi" w:hAnsiTheme="minorHAnsi"/>
          <w:bCs/>
          <w:sz w:val="24"/>
          <w:szCs w:val="24"/>
          <w:lang w:val="en-GB"/>
        </w:rPr>
        <w:t>addressed by the availability of trifluridine/tipiracil.</w:t>
      </w:r>
    </w:p>
    <w:p w:rsidR="00E84606" w:rsidRDefault="00960278" w:rsidP="00960278">
      <w:pPr>
        <w:widowControl w:val="0"/>
        <w:numPr>
          <w:ilvl w:val="1"/>
          <w:numId w:val="5"/>
        </w:numPr>
        <w:spacing w:after="120"/>
        <w:jc w:val="both"/>
        <w:rPr>
          <w:rFonts w:asciiTheme="minorHAnsi" w:hAnsiTheme="minorHAnsi" w:cs="Arial"/>
          <w:bCs/>
          <w:snapToGrid w:val="0"/>
          <w:lang w:val="en-GB" w:eastAsia="en-US"/>
        </w:rPr>
      </w:pPr>
      <w:r w:rsidRPr="00960278">
        <w:rPr>
          <w:rFonts w:asciiTheme="minorHAnsi" w:hAnsiTheme="minorHAnsi" w:cs="Arial"/>
          <w:bCs/>
          <w:snapToGrid w:val="0"/>
          <w:lang w:val="en-GB" w:eastAsia="en-US"/>
        </w:rPr>
        <w:t>The PBAC recalled that the median increase in PFS of 0.3 months (HR 0.49; CI: 0.42, 0.58) compared with best supportive care in the RECOURSE trial (n=800) was small</w:t>
      </w:r>
      <w:r w:rsidR="004E52B4">
        <w:rPr>
          <w:rFonts w:asciiTheme="minorHAnsi" w:hAnsiTheme="minorHAnsi" w:cs="Arial"/>
          <w:bCs/>
          <w:snapToGrid w:val="0"/>
          <w:lang w:val="en-GB" w:eastAsia="en-US"/>
        </w:rPr>
        <w:t>,</w:t>
      </w:r>
      <w:r w:rsidRPr="00960278">
        <w:rPr>
          <w:rFonts w:asciiTheme="minorHAnsi" w:hAnsiTheme="minorHAnsi" w:cs="Arial"/>
          <w:bCs/>
          <w:snapToGrid w:val="0"/>
          <w:lang w:val="en-GB" w:eastAsia="en-US"/>
        </w:rPr>
        <w:t xml:space="preserve"> and that the majority of patients (i.e. 53% of patients in the trifluridine/tipiracil treatment arm and 79% of patients in the best supportive care arm) had</w:t>
      </w:r>
      <w:r w:rsidR="00FE2B8A">
        <w:rPr>
          <w:rFonts w:asciiTheme="minorHAnsi" w:hAnsiTheme="minorHAnsi" w:cs="Arial"/>
          <w:bCs/>
          <w:snapToGrid w:val="0"/>
          <w:lang w:val="en-GB" w:eastAsia="en-US"/>
        </w:rPr>
        <w:t xml:space="preserve"> progressed by week 8. The PBAC </w:t>
      </w:r>
      <w:r w:rsidRPr="00960278">
        <w:rPr>
          <w:rFonts w:asciiTheme="minorHAnsi" w:hAnsiTheme="minorHAnsi" w:cs="Arial"/>
          <w:bCs/>
          <w:snapToGrid w:val="0"/>
          <w:lang w:val="en-GB" w:eastAsia="en-US"/>
        </w:rPr>
        <w:t>recalled that the median gain in</w:t>
      </w:r>
      <w:r w:rsidR="00053CF5">
        <w:rPr>
          <w:rFonts w:asciiTheme="minorHAnsi" w:hAnsiTheme="minorHAnsi" w:cs="Arial"/>
          <w:bCs/>
          <w:snapToGrid w:val="0"/>
          <w:lang w:val="en-GB" w:eastAsia="en-US"/>
        </w:rPr>
        <w:t xml:space="preserve"> overall survival (</w:t>
      </w:r>
      <w:r w:rsidRPr="00960278">
        <w:rPr>
          <w:rFonts w:asciiTheme="minorHAnsi" w:hAnsiTheme="minorHAnsi" w:cs="Arial"/>
          <w:bCs/>
          <w:snapToGrid w:val="0"/>
          <w:lang w:val="en-GB" w:eastAsia="en-US"/>
        </w:rPr>
        <w:t>OS</w:t>
      </w:r>
      <w:r w:rsidR="00053CF5">
        <w:rPr>
          <w:rFonts w:asciiTheme="minorHAnsi" w:hAnsiTheme="minorHAnsi" w:cs="Arial"/>
          <w:bCs/>
          <w:snapToGrid w:val="0"/>
          <w:lang w:val="en-GB" w:eastAsia="en-US"/>
        </w:rPr>
        <w:t>)</w:t>
      </w:r>
      <w:r w:rsidRPr="00960278">
        <w:rPr>
          <w:rFonts w:asciiTheme="minorHAnsi" w:hAnsiTheme="minorHAnsi" w:cs="Arial"/>
          <w:bCs/>
          <w:snapToGrid w:val="0"/>
          <w:lang w:val="en-GB" w:eastAsia="en-US"/>
        </w:rPr>
        <w:t xml:space="preserve"> was 2.0 months (HR 0.69; CI: 0.59, 0.81) in the RECOURSE trial was modest</w:t>
      </w:r>
      <w:r w:rsidR="00057914">
        <w:rPr>
          <w:rFonts w:asciiTheme="minorHAnsi" w:hAnsiTheme="minorHAnsi" w:cs="Arial"/>
          <w:bCs/>
          <w:snapToGrid w:val="0"/>
          <w:lang w:val="en-GB" w:eastAsia="en-US"/>
        </w:rPr>
        <w:t>.</w:t>
      </w:r>
      <w:r w:rsidR="00FE2B8A">
        <w:rPr>
          <w:rFonts w:asciiTheme="minorHAnsi" w:hAnsiTheme="minorHAnsi" w:cs="Arial"/>
          <w:bCs/>
          <w:snapToGrid w:val="0"/>
          <w:lang w:val="en-GB" w:eastAsia="en-US"/>
        </w:rPr>
        <w:t xml:space="preserve"> </w:t>
      </w:r>
      <w:r w:rsidRPr="00960278">
        <w:rPr>
          <w:rFonts w:asciiTheme="minorHAnsi" w:hAnsiTheme="minorHAnsi" w:cs="Arial"/>
          <w:bCs/>
          <w:snapToGrid w:val="0"/>
          <w:lang w:val="en-GB" w:eastAsia="en-US"/>
        </w:rPr>
        <w:t>The PBAC also recalled that the results of the J003 trial (n=169) were similar to those of the RECOURSE trial.</w:t>
      </w:r>
    </w:p>
    <w:p w:rsidR="00390C09" w:rsidRDefault="00C946A1" w:rsidP="00960278">
      <w:pPr>
        <w:widowControl w:val="0"/>
        <w:numPr>
          <w:ilvl w:val="1"/>
          <w:numId w:val="5"/>
        </w:numPr>
        <w:spacing w:after="120"/>
        <w:jc w:val="both"/>
        <w:rPr>
          <w:rFonts w:asciiTheme="minorHAnsi" w:hAnsiTheme="minorHAnsi" w:cs="Arial"/>
          <w:bCs/>
          <w:snapToGrid w:val="0"/>
          <w:lang w:val="en-GB" w:eastAsia="en-US"/>
        </w:rPr>
      </w:pPr>
      <w:r>
        <w:rPr>
          <w:rFonts w:asciiTheme="minorHAnsi" w:hAnsiTheme="minorHAnsi" w:cs="Arial"/>
          <w:bCs/>
          <w:snapToGrid w:val="0"/>
          <w:lang w:val="en-GB" w:eastAsia="en-US"/>
        </w:rPr>
        <w:t>The PBAC recalled that the toxicity associated with trifluridine/tipiracil was similar to other oral antineoplastic agents</w:t>
      </w:r>
      <w:r w:rsidR="00A539AC">
        <w:rPr>
          <w:rFonts w:asciiTheme="minorHAnsi" w:hAnsiTheme="minorHAnsi" w:cs="Arial"/>
          <w:bCs/>
          <w:snapToGrid w:val="0"/>
          <w:lang w:val="en-GB" w:eastAsia="en-US"/>
        </w:rPr>
        <w:t xml:space="preserve"> listed on the PBS</w:t>
      </w:r>
      <w:r w:rsidR="004E52B4">
        <w:rPr>
          <w:rFonts w:asciiTheme="minorHAnsi" w:hAnsiTheme="minorHAnsi" w:cs="Arial"/>
          <w:bCs/>
          <w:snapToGrid w:val="0"/>
          <w:lang w:val="en-GB" w:eastAsia="en-US"/>
        </w:rPr>
        <w:t>,</w:t>
      </w:r>
      <w:r>
        <w:rPr>
          <w:rFonts w:asciiTheme="minorHAnsi" w:hAnsiTheme="minorHAnsi" w:cs="Arial"/>
          <w:bCs/>
          <w:snapToGrid w:val="0"/>
          <w:lang w:val="en-GB" w:eastAsia="en-US"/>
        </w:rPr>
        <w:t xml:space="preserve"> with myelosup</w:t>
      </w:r>
      <w:r w:rsidR="0035602B">
        <w:rPr>
          <w:rFonts w:asciiTheme="minorHAnsi" w:hAnsiTheme="minorHAnsi" w:cs="Arial"/>
          <w:bCs/>
          <w:snapToGrid w:val="0"/>
          <w:lang w:val="en-GB" w:eastAsia="en-US"/>
        </w:rPr>
        <w:t>p</w:t>
      </w:r>
      <w:r>
        <w:rPr>
          <w:rFonts w:asciiTheme="minorHAnsi" w:hAnsiTheme="minorHAnsi" w:cs="Arial"/>
          <w:bCs/>
          <w:snapToGrid w:val="0"/>
          <w:lang w:val="en-GB" w:eastAsia="en-US"/>
        </w:rPr>
        <w:t xml:space="preserve">ression being </w:t>
      </w:r>
      <w:r w:rsidR="00DC2F3A">
        <w:rPr>
          <w:rFonts w:asciiTheme="minorHAnsi" w:hAnsiTheme="minorHAnsi" w:cs="Arial"/>
          <w:bCs/>
          <w:snapToGrid w:val="0"/>
          <w:lang w:val="en-GB" w:eastAsia="en-US"/>
        </w:rPr>
        <w:t>a</w:t>
      </w:r>
      <w:r>
        <w:rPr>
          <w:rFonts w:asciiTheme="minorHAnsi" w:hAnsiTheme="minorHAnsi" w:cs="Arial"/>
          <w:bCs/>
          <w:snapToGrid w:val="0"/>
          <w:lang w:val="en-GB" w:eastAsia="en-US"/>
        </w:rPr>
        <w:t xml:space="preserve"> key adverse event. </w:t>
      </w:r>
      <w:r w:rsidR="00053CF5">
        <w:rPr>
          <w:rFonts w:asciiTheme="minorHAnsi" w:hAnsiTheme="minorHAnsi" w:cs="Arial"/>
          <w:bCs/>
          <w:snapToGrid w:val="0"/>
          <w:lang w:val="en-GB" w:eastAsia="en-US"/>
        </w:rPr>
        <w:t xml:space="preserve">The PBAC considered that while the </w:t>
      </w:r>
      <w:r w:rsidR="00A539AC">
        <w:rPr>
          <w:rFonts w:asciiTheme="minorHAnsi" w:hAnsiTheme="minorHAnsi" w:cs="Arial"/>
          <w:bCs/>
          <w:snapToGrid w:val="0"/>
          <w:lang w:val="en-GB" w:eastAsia="en-US"/>
        </w:rPr>
        <w:t>toxicity associated with trifluridine/tipiracil</w:t>
      </w:r>
      <w:r w:rsidR="00053CF5">
        <w:rPr>
          <w:rFonts w:asciiTheme="minorHAnsi" w:hAnsiTheme="minorHAnsi" w:cs="Arial"/>
          <w:bCs/>
          <w:snapToGrid w:val="0"/>
          <w:lang w:val="en-GB" w:eastAsia="en-US"/>
        </w:rPr>
        <w:t xml:space="preserve"> may be manag</w:t>
      </w:r>
      <w:r w:rsidR="004E52B4">
        <w:rPr>
          <w:rFonts w:asciiTheme="minorHAnsi" w:hAnsiTheme="minorHAnsi" w:cs="Arial"/>
          <w:bCs/>
          <w:snapToGrid w:val="0"/>
          <w:lang w:val="en-GB" w:eastAsia="en-US"/>
        </w:rPr>
        <w:t>able</w:t>
      </w:r>
      <w:r w:rsidR="00053CF5">
        <w:rPr>
          <w:rFonts w:asciiTheme="minorHAnsi" w:hAnsiTheme="minorHAnsi" w:cs="Arial"/>
          <w:bCs/>
          <w:snapToGrid w:val="0"/>
          <w:lang w:val="en-GB" w:eastAsia="en-US"/>
        </w:rPr>
        <w:t>, it was</w:t>
      </w:r>
      <w:r w:rsidR="00DC2F3A">
        <w:rPr>
          <w:rFonts w:asciiTheme="minorHAnsi" w:hAnsiTheme="minorHAnsi" w:cs="Arial"/>
          <w:bCs/>
          <w:snapToGrid w:val="0"/>
          <w:lang w:val="en-GB" w:eastAsia="en-US"/>
        </w:rPr>
        <w:t xml:space="preserve"> important</w:t>
      </w:r>
      <w:r w:rsidR="00053CF5">
        <w:rPr>
          <w:rFonts w:asciiTheme="minorHAnsi" w:hAnsiTheme="minorHAnsi" w:cs="Arial"/>
          <w:bCs/>
          <w:snapToGrid w:val="0"/>
          <w:lang w:val="en-GB" w:eastAsia="en-US"/>
        </w:rPr>
        <w:t xml:space="preserve"> </w:t>
      </w:r>
      <w:r w:rsidR="008F0169">
        <w:rPr>
          <w:rFonts w:asciiTheme="minorHAnsi" w:hAnsiTheme="minorHAnsi" w:cs="Arial"/>
          <w:bCs/>
          <w:snapToGrid w:val="0"/>
          <w:lang w:val="en-GB" w:eastAsia="en-US"/>
        </w:rPr>
        <w:t xml:space="preserve">in the context of </w:t>
      </w:r>
      <w:r w:rsidR="00DC2F3A">
        <w:rPr>
          <w:rFonts w:asciiTheme="minorHAnsi" w:hAnsiTheme="minorHAnsi" w:cs="Arial"/>
          <w:bCs/>
          <w:snapToGrid w:val="0"/>
          <w:lang w:val="en-GB" w:eastAsia="en-US"/>
        </w:rPr>
        <w:t xml:space="preserve">the </w:t>
      </w:r>
      <w:r w:rsidR="00053CF5">
        <w:rPr>
          <w:rFonts w:asciiTheme="minorHAnsi" w:hAnsiTheme="minorHAnsi" w:cs="Arial"/>
          <w:bCs/>
          <w:snapToGrid w:val="0"/>
          <w:lang w:val="en-GB" w:eastAsia="en-US"/>
        </w:rPr>
        <w:t>modest gain in</w:t>
      </w:r>
      <w:r w:rsidR="00DC2F3A">
        <w:rPr>
          <w:rFonts w:asciiTheme="minorHAnsi" w:hAnsiTheme="minorHAnsi" w:cs="Arial"/>
          <w:bCs/>
          <w:snapToGrid w:val="0"/>
          <w:lang w:val="en-GB" w:eastAsia="en-US"/>
        </w:rPr>
        <w:t xml:space="preserve"> PFS and</w:t>
      </w:r>
      <w:r w:rsidR="00053CF5">
        <w:rPr>
          <w:rFonts w:asciiTheme="minorHAnsi" w:hAnsiTheme="minorHAnsi" w:cs="Arial"/>
          <w:bCs/>
          <w:snapToGrid w:val="0"/>
          <w:lang w:val="en-GB" w:eastAsia="en-US"/>
        </w:rPr>
        <w:t xml:space="preserve"> OS</w:t>
      </w:r>
      <w:r w:rsidR="00DC2F3A">
        <w:rPr>
          <w:rFonts w:asciiTheme="minorHAnsi" w:hAnsiTheme="minorHAnsi" w:cs="Arial"/>
          <w:bCs/>
          <w:snapToGrid w:val="0"/>
          <w:lang w:val="en-GB" w:eastAsia="en-US"/>
        </w:rPr>
        <w:t xml:space="preserve"> observed</w:t>
      </w:r>
      <w:r w:rsidR="00A539AC">
        <w:rPr>
          <w:rFonts w:asciiTheme="minorHAnsi" w:hAnsiTheme="minorHAnsi" w:cs="Arial"/>
          <w:bCs/>
          <w:snapToGrid w:val="0"/>
          <w:lang w:val="en-GB" w:eastAsia="en-US"/>
        </w:rPr>
        <w:t xml:space="preserve"> in the</w:t>
      </w:r>
      <w:r w:rsidR="008F0169">
        <w:rPr>
          <w:rFonts w:asciiTheme="minorHAnsi" w:hAnsiTheme="minorHAnsi" w:cs="Arial"/>
          <w:bCs/>
          <w:snapToGrid w:val="0"/>
          <w:lang w:val="en-GB" w:eastAsia="en-US"/>
        </w:rPr>
        <w:t xml:space="preserve"> RECOURSE</w:t>
      </w:r>
      <w:r w:rsidR="00A539AC">
        <w:rPr>
          <w:rFonts w:asciiTheme="minorHAnsi" w:hAnsiTheme="minorHAnsi" w:cs="Arial"/>
          <w:bCs/>
          <w:snapToGrid w:val="0"/>
          <w:lang w:val="en-GB" w:eastAsia="en-US"/>
        </w:rPr>
        <w:t xml:space="preserve"> trial</w:t>
      </w:r>
      <w:r w:rsidR="00390C09">
        <w:rPr>
          <w:rFonts w:asciiTheme="minorHAnsi" w:hAnsiTheme="minorHAnsi" w:cs="Arial"/>
          <w:bCs/>
          <w:snapToGrid w:val="0"/>
          <w:lang w:val="en-GB" w:eastAsia="en-US"/>
        </w:rPr>
        <w:t>.</w:t>
      </w:r>
    </w:p>
    <w:p w:rsidR="00AD2A09" w:rsidRDefault="00390C09" w:rsidP="00960278">
      <w:pPr>
        <w:widowControl w:val="0"/>
        <w:numPr>
          <w:ilvl w:val="1"/>
          <w:numId w:val="5"/>
        </w:numPr>
        <w:spacing w:after="120"/>
        <w:jc w:val="both"/>
        <w:rPr>
          <w:rFonts w:asciiTheme="minorHAnsi" w:hAnsiTheme="minorHAnsi" w:cs="Arial"/>
          <w:bCs/>
          <w:snapToGrid w:val="0"/>
          <w:lang w:val="en-GB" w:eastAsia="en-US"/>
        </w:rPr>
      </w:pPr>
      <w:r>
        <w:rPr>
          <w:rFonts w:asciiTheme="minorHAnsi" w:hAnsiTheme="minorHAnsi" w:cs="Arial"/>
          <w:bCs/>
          <w:snapToGrid w:val="0"/>
          <w:lang w:val="en-GB" w:eastAsia="en-US"/>
        </w:rPr>
        <w:t xml:space="preserve">The PBAC considered that patients treated with </w:t>
      </w:r>
      <w:r>
        <w:rPr>
          <w:rFonts w:asciiTheme="minorHAnsi" w:hAnsiTheme="minorHAnsi"/>
          <w:bCs/>
          <w:lang w:val="en-GB"/>
        </w:rPr>
        <w:t>trifluridine/tipiracil in clinical practice would</w:t>
      </w:r>
      <w:r w:rsidR="008A07C3">
        <w:rPr>
          <w:rFonts w:asciiTheme="minorHAnsi" w:hAnsiTheme="minorHAnsi"/>
          <w:bCs/>
          <w:lang w:val="en-GB"/>
        </w:rPr>
        <w:t>,</w:t>
      </w:r>
      <w:r>
        <w:rPr>
          <w:rFonts w:asciiTheme="minorHAnsi" w:hAnsiTheme="minorHAnsi"/>
          <w:bCs/>
          <w:lang w:val="en-GB"/>
        </w:rPr>
        <w:t xml:space="preserve"> </w:t>
      </w:r>
      <w:r w:rsidR="008A07C3">
        <w:rPr>
          <w:rFonts w:asciiTheme="minorHAnsi" w:hAnsiTheme="minorHAnsi"/>
          <w:bCs/>
          <w:lang w:val="en-GB"/>
        </w:rPr>
        <w:t>in general, have a poorer prognosis compared with patients enrolled in the RECOURSE trial. Thus the benefits observed in the trial</w:t>
      </w:r>
      <w:r w:rsidR="00DC2F3A">
        <w:rPr>
          <w:rFonts w:asciiTheme="minorHAnsi" w:hAnsiTheme="minorHAnsi" w:cs="Arial"/>
          <w:bCs/>
          <w:snapToGrid w:val="0"/>
          <w:lang w:val="en-GB" w:eastAsia="en-US"/>
        </w:rPr>
        <w:t xml:space="preserve"> may not be fully realised in</w:t>
      </w:r>
      <w:r w:rsidR="00A539AC">
        <w:rPr>
          <w:rFonts w:asciiTheme="minorHAnsi" w:hAnsiTheme="minorHAnsi" w:cs="Arial"/>
          <w:bCs/>
          <w:snapToGrid w:val="0"/>
          <w:lang w:val="en-GB" w:eastAsia="en-US"/>
        </w:rPr>
        <w:t xml:space="preserve"> clinical practice</w:t>
      </w:r>
      <w:r w:rsidR="008A07C3">
        <w:rPr>
          <w:rFonts w:asciiTheme="minorHAnsi" w:hAnsiTheme="minorHAnsi" w:cs="Arial"/>
          <w:bCs/>
          <w:snapToGrid w:val="0"/>
          <w:lang w:val="en-GB" w:eastAsia="en-US"/>
        </w:rPr>
        <w:t>,</w:t>
      </w:r>
      <w:r w:rsidR="00AB7FED">
        <w:rPr>
          <w:rFonts w:asciiTheme="minorHAnsi" w:hAnsiTheme="minorHAnsi" w:cs="Arial"/>
          <w:bCs/>
          <w:snapToGrid w:val="0"/>
          <w:lang w:val="en-GB" w:eastAsia="en-US"/>
        </w:rPr>
        <w:t xml:space="preserve"> at least</w:t>
      </w:r>
      <w:r w:rsidR="008A07C3">
        <w:rPr>
          <w:rFonts w:asciiTheme="minorHAnsi" w:hAnsiTheme="minorHAnsi" w:cs="Arial"/>
          <w:bCs/>
          <w:snapToGrid w:val="0"/>
          <w:lang w:val="en-GB" w:eastAsia="en-US"/>
        </w:rPr>
        <w:t xml:space="preserve"> in part because </w:t>
      </w:r>
      <w:r w:rsidR="00AB7FED">
        <w:rPr>
          <w:rFonts w:asciiTheme="minorHAnsi" w:hAnsiTheme="minorHAnsi" w:cs="Arial"/>
          <w:bCs/>
          <w:snapToGrid w:val="0"/>
          <w:lang w:val="en-GB" w:eastAsia="en-US"/>
        </w:rPr>
        <w:t>of a reduced</w:t>
      </w:r>
      <w:r w:rsidR="008A07C3">
        <w:rPr>
          <w:rFonts w:asciiTheme="minorHAnsi" w:hAnsiTheme="minorHAnsi" w:cs="Arial"/>
          <w:bCs/>
          <w:snapToGrid w:val="0"/>
          <w:lang w:val="en-GB" w:eastAsia="en-US"/>
        </w:rPr>
        <w:t xml:space="preserve"> ability to tolerate </w:t>
      </w:r>
      <w:r w:rsidR="00AB7FED">
        <w:rPr>
          <w:rFonts w:asciiTheme="minorHAnsi" w:hAnsiTheme="minorHAnsi" w:cs="Arial"/>
          <w:bCs/>
          <w:snapToGrid w:val="0"/>
          <w:lang w:val="en-GB" w:eastAsia="en-US"/>
        </w:rPr>
        <w:t>the side effects associated with the treatment</w:t>
      </w:r>
      <w:r w:rsidR="00A539AC">
        <w:rPr>
          <w:rFonts w:asciiTheme="minorHAnsi" w:hAnsiTheme="minorHAnsi" w:cs="Arial"/>
          <w:bCs/>
          <w:snapToGrid w:val="0"/>
          <w:lang w:val="en-GB" w:eastAsia="en-US"/>
        </w:rPr>
        <w:t xml:space="preserve">. </w:t>
      </w:r>
    </w:p>
    <w:p w:rsidR="00575720" w:rsidRDefault="00575720" w:rsidP="007B7A1B">
      <w:pPr>
        <w:widowControl w:val="0"/>
        <w:numPr>
          <w:ilvl w:val="1"/>
          <w:numId w:val="5"/>
        </w:numPr>
        <w:spacing w:after="120"/>
        <w:jc w:val="both"/>
        <w:rPr>
          <w:rFonts w:asciiTheme="minorHAnsi" w:hAnsiTheme="minorHAnsi" w:cs="Arial"/>
          <w:bCs/>
          <w:snapToGrid w:val="0"/>
          <w:lang w:val="en-GB" w:eastAsia="en-US"/>
        </w:rPr>
      </w:pPr>
      <w:r>
        <w:rPr>
          <w:rFonts w:asciiTheme="minorHAnsi" w:hAnsiTheme="minorHAnsi" w:cs="Arial"/>
          <w:bCs/>
          <w:snapToGrid w:val="0"/>
          <w:lang w:val="en-GB" w:eastAsia="en-US"/>
        </w:rPr>
        <w:t>The PBAC noted that the</w:t>
      </w:r>
      <w:r w:rsidR="00DC2F3A">
        <w:rPr>
          <w:rFonts w:asciiTheme="minorHAnsi" w:hAnsiTheme="minorHAnsi" w:cs="Arial"/>
          <w:bCs/>
          <w:snapToGrid w:val="0"/>
          <w:lang w:val="en-GB" w:eastAsia="en-US"/>
        </w:rPr>
        <w:t xml:space="preserve"> minor </w:t>
      </w:r>
      <w:r w:rsidR="00E52EE2">
        <w:rPr>
          <w:rFonts w:asciiTheme="minorHAnsi" w:hAnsiTheme="minorHAnsi" w:cs="Arial"/>
          <w:bCs/>
          <w:snapToGrid w:val="0"/>
          <w:lang w:val="en-GB" w:eastAsia="en-US"/>
        </w:rPr>
        <w:t>re</w:t>
      </w:r>
      <w:r w:rsidR="00DC2F3A">
        <w:rPr>
          <w:rFonts w:asciiTheme="minorHAnsi" w:hAnsiTheme="minorHAnsi" w:cs="Arial"/>
          <w:bCs/>
          <w:snapToGrid w:val="0"/>
          <w:lang w:val="en-GB" w:eastAsia="en-US"/>
        </w:rPr>
        <w:t>submission proposed a</w:t>
      </w:r>
      <w:r>
        <w:rPr>
          <w:rFonts w:asciiTheme="minorHAnsi" w:hAnsiTheme="minorHAnsi" w:cs="Arial"/>
          <w:bCs/>
          <w:snapToGrid w:val="0"/>
          <w:lang w:val="en-GB" w:eastAsia="en-US"/>
        </w:rPr>
        <w:t xml:space="preserve"> </w:t>
      </w:r>
      <w:r w:rsidR="007B7A1B">
        <w:rPr>
          <w:rFonts w:asciiTheme="minorHAnsi" w:hAnsiTheme="minorHAnsi" w:cs="Arial"/>
          <w:bCs/>
          <w:snapToGrid w:val="0"/>
          <w:lang w:val="en-GB" w:eastAsia="en-US"/>
        </w:rPr>
        <w:t>revised</w:t>
      </w:r>
      <w:r>
        <w:rPr>
          <w:rFonts w:asciiTheme="minorHAnsi" w:hAnsiTheme="minorHAnsi" w:cs="Arial"/>
          <w:bCs/>
          <w:snapToGrid w:val="0"/>
          <w:lang w:val="en-GB" w:eastAsia="en-US"/>
        </w:rPr>
        <w:t xml:space="preserve"> </w:t>
      </w:r>
      <w:r w:rsidR="00C0474E">
        <w:rPr>
          <w:rFonts w:asciiTheme="minorHAnsi" w:hAnsiTheme="minorHAnsi" w:cs="Arial"/>
          <w:bCs/>
          <w:snapToGrid w:val="0"/>
          <w:lang w:val="en-GB" w:eastAsia="en-US"/>
        </w:rPr>
        <w:t>rebate</w:t>
      </w:r>
      <w:r>
        <w:rPr>
          <w:rFonts w:asciiTheme="minorHAnsi" w:hAnsiTheme="minorHAnsi" w:cs="Arial"/>
          <w:bCs/>
          <w:snapToGrid w:val="0"/>
          <w:lang w:val="en-GB" w:eastAsia="en-US"/>
        </w:rPr>
        <w:t xml:space="preserve"> for trifluridine/tipiracil</w:t>
      </w:r>
      <w:r w:rsidR="009D6148">
        <w:rPr>
          <w:rFonts w:asciiTheme="minorHAnsi" w:hAnsiTheme="minorHAnsi" w:cs="Arial"/>
          <w:bCs/>
          <w:snapToGrid w:val="0"/>
          <w:lang w:val="en-GB" w:eastAsia="en-US"/>
        </w:rPr>
        <w:t xml:space="preserve">, </w:t>
      </w:r>
      <w:r>
        <w:rPr>
          <w:rFonts w:asciiTheme="minorHAnsi" w:hAnsiTheme="minorHAnsi" w:cs="Arial"/>
          <w:bCs/>
          <w:snapToGrid w:val="0"/>
          <w:lang w:val="en-GB" w:eastAsia="en-US"/>
        </w:rPr>
        <w:t>equat</w:t>
      </w:r>
      <w:r w:rsidR="009D6148">
        <w:rPr>
          <w:rFonts w:asciiTheme="minorHAnsi" w:hAnsiTheme="minorHAnsi" w:cs="Arial"/>
          <w:bCs/>
          <w:snapToGrid w:val="0"/>
          <w:lang w:val="en-GB" w:eastAsia="en-US"/>
        </w:rPr>
        <w:t>ing</w:t>
      </w:r>
      <w:r>
        <w:rPr>
          <w:rFonts w:asciiTheme="minorHAnsi" w:hAnsiTheme="minorHAnsi" w:cs="Arial"/>
          <w:bCs/>
          <w:snapToGrid w:val="0"/>
          <w:lang w:val="en-GB" w:eastAsia="en-US"/>
        </w:rPr>
        <w:t xml:space="preserve"> to a further </w:t>
      </w:r>
      <w:r w:rsidR="00D161DB">
        <w:rPr>
          <w:rFonts w:asciiTheme="minorHAnsi" w:hAnsiTheme="minorHAnsi" w:cs="Arial"/>
          <w:bCs/>
          <w:noProof/>
          <w:snapToGrid w:val="0"/>
          <w:color w:val="000000"/>
          <w:highlight w:val="black"/>
          <w:lang w:val="en-GB" w:eastAsia="en-US"/>
        </w:rPr>
        <w:t>''''''</w:t>
      </w:r>
      <w:r>
        <w:rPr>
          <w:rFonts w:asciiTheme="minorHAnsi" w:hAnsiTheme="minorHAnsi" w:cs="Arial"/>
          <w:bCs/>
          <w:snapToGrid w:val="0"/>
          <w:lang w:val="en-GB" w:eastAsia="en-US"/>
        </w:rPr>
        <w:t xml:space="preserve">% and </w:t>
      </w:r>
      <w:r w:rsidR="00D161DB">
        <w:rPr>
          <w:rFonts w:asciiTheme="minorHAnsi" w:hAnsiTheme="minorHAnsi" w:cs="Arial"/>
          <w:bCs/>
          <w:noProof/>
          <w:snapToGrid w:val="0"/>
          <w:color w:val="000000"/>
          <w:highlight w:val="black"/>
          <w:lang w:val="en-GB" w:eastAsia="en-US"/>
        </w:rPr>
        <w:t>''''''''</w:t>
      </w:r>
      <w:r>
        <w:rPr>
          <w:rFonts w:asciiTheme="minorHAnsi" w:hAnsiTheme="minorHAnsi" w:cs="Arial"/>
          <w:bCs/>
          <w:snapToGrid w:val="0"/>
          <w:lang w:val="en-GB" w:eastAsia="en-US"/>
        </w:rPr>
        <w:t xml:space="preserve">% </w:t>
      </w:r>
      <w:r w:rsidRPr="00575720">
        <w:rPr>
          <w:rFonts w:asciiTheme="minorHAnsi" w:hAnsiTheme="minorHAnsi" w:cs="Arial"/>
          <w:bCs/>
          <w:snapToGrid w:val="0"/>
          <w:lang w:val="en-GB" w:eastAsia="en-US"/>
        </w:rPr>
        <w:t xml:space="preserve">reduction in the effective AEMP proposed in the </w:t>
      </w:r>
      <w:r w:rsidR="003C714C">
        <w:rPr>
          <w:rFonts w:asciiTheme="minorHAnsi" w:hAnsiTheme="minorHAnsi" w:cs="Arial"/>
          <w:bCs/>
          <w:snapToGrid w:val="0"/>
          <w:lang w:val="en-GB" w:eastAsia="en-US"/>
        </w:rPr>
        <w:t xml:space="preserve">previous </w:t>
      </w:r>
      <w:r w:rsidR="003C714C" w:rsidRPr="00575720">
        <w:rPr>
          <w:rFonts w:asciiTheme="minorHAnsi" w:hAnsiTheme="minorHAnsi" w:cs="Arial"/>
          <w:bCs/>
          <w:snapToGrid w:val="0"/>
          <w:lang w:val="en-GB" w:eastAsia="en-US"/>
        </w:rPr>
        <w:t>submissio</w:t>
      </w:r>
      <w:r w:rsidR="00DC2F3A">
        <w:rPr>
          <w:rFonts w:asciiTheme="minorHAnsi" w:hAnsiTheme="minorHAnsi" w:cs="Arial"/>
          <w:bCs/>
          <w:snapToGrid w:val="0"/>
          <w:lang w:val="en-GB" w:eastAsia="en-US"/>
        </w:rPr>
        <w:t>n</w:t>
      </w:r>
      <w:r w:rsidRPr="00575720">
        <w:rPr>
          <w:rFonts w:asciiTheme="minorHAnsi" w:hAnsiTheme="minorHAnsi" w:cs="Arial"/>
          <w:bCs/>
          <w:snapToGrid w:val="0"/>
          <w:lang w:val="en-GB" w:eastAsia="en-US"/>
        </w:rPr>
        <w:t xml:space="preserve"> for trifluridine 20 mg + tipiracil 8.19 mg tablet and tipiracil 15 mg + tipiracil 6.14 mg tablet respectively.</w:t>
      </w:r>
      <w:r>
        <w:rPr>
          <w:rFonts w:asciiTheme="minorHAnsi" w:hAnsiTheme="minorHAnsi" w:cs="Arial"/>
          <w:bCs/>
          <w:snapToGrid w:val="0"/>
          <w:lang w:val="en-GB" w:eastAsia="en-US"/>
        </w:rPr>
        <w:t xml:space="preserve"> </w:t>
      </w:r>
      <w:r w:rsidR="00C0474E">
        <w:rPr>
          <w:rFonts w:asciiTheme="minorHAnsi" w:hAnsiTheme="minorHAnsi" w:cs="Arial"/>
          <w:bCs/>
          <w:snapToGrid w:val="0"/>
          <w:lang w:val="en-GB" w:eastAsia="en-US"/>
        </w:rPr>
        <w:t xml:space="preserve">The PBAC noted </w:t>
      </w:r>
      <w:r w:rsidR="007B7A1B">
        <w:rPr>
          <w:rFonts w:asciiTheme="minorHAnsi" w:hAnsiTheme="minorHAnsi" w:cs="Arial"/>
          <w:bCs/>
          <w:snapToGrid w:val="0"/>
          <w:lang w:val="en-GB" w:eastAsia="en-US"/>
        </w:rPr>
        <w:t xml:space="preserve">that incorporating the </w:t>
      </w:r>
      <w:r w:rsidR="00AB7FED">
        <w:rPr>
          <w:rFonts w:asciiTheme="minorHAnsi" w:hAnsiTheme="minorHAnsi" w:cs="Arial"/>
          <w:bCs/>
          <w:snapToGrid w:val="0"/>
          <w:lang w:val="en-GB" w:eastAsia="en-US"/>
        </w:rPr>
        <w:t>reduced effective price</w:t>
      </w:r>
      <w:r w:rsidR="007B7A1B">
        <w:rPr>
          <w:rFonts w:asciiTheme="minorHAnsi" w:hAnsiTheme="minorHAnsi" w:cs="Arial"/>
          <w:bCs/>
          <w:snapToGrid w:val="0"/>
          <w:lang w:val="en-GB" w:eastAsia="en-US"/>
        </w:rPr>
        <w:t xml:space="preserve"> into t</w:t>
      </w:r>
      <w:r w:rsidR="001E1191">
        <w:rPr>
          <w:rFonts w:asciiTheme="minorHAnsi" w:hAnsiTheme="minorHAnsi" w:cs="Arial"/>
          <w:bCs/>
          <w:snapToGrid w:val="0"/>
          <w:lang w:val="en-GB" w:eastAsia="en-US"/>
        </w:rPr>
        <w:t>he economic model resulted in a revised</w:t>
      </w:r>
      <w:r w:rsidR="007B7A1B">
        <w:rPr>
          <w:rFonts w:asciiTheme="minorHAnsi" w:hAnsiTheme="minorHAnsi" w:cs="Arial"/>
          <w:bCs/>
          <w:snapToGrid w:val="0"/>
          <w:lang w:val="en-GB" w:eastAsia="en-US"/>
        </w:rPr>
        <w:t xml:space="preserve"> ICER of</w:t>
      </w:r>
      <w:r w:rsidR="007B7A1B" w:rsidRPr="007B7A1B">
        <w:rPr>
          <w:rFonts w:asciiTheme="minorHAnsi" w:hAnsiTheme="minorHAnsi" w:cs="Arial"/>
          <w:bCs/>
          <w:snapToGrid w:val="0"/>
          <w:lang w:val="en-GB" w:eastAsia="en-US"/>
        </w:rPr>
        <w:t xml:space="preserve"> </w:t>
      </w:r>
      <w:r w:rsidR="00A67415">
        <w:rPr>
          <w:rFonts w:asciiTheme="minorHAnsi" w:hAnsiTheme="minorHAnsi" w:cs="Arial"/>
          <w:bCs/>
          <w:snapToGrid w:val="0"/>
          <w:lang w:val="en-GB" w:eastAsia="en-US"/>
        </w:rPr>
        <w:t>$45,000/QALY - $75,000/QALY</w:t>
      </w:r>
      <w:r w:rsidR="007B7A1B" w:rsidRPr="007B7A1B">
        <w:rPr>
          <w:rFonts w:asciiTheme="minorHAnsi" w:hAnsiTheme="minorHAnsi" w:cs="Arial"/>
          <w:bCs/>
          <w:snapToGrid w:val="0"/>
          <w:lang w:val="en-GB" w:eastAsia="en-US"/>
        </w:rPr>
        <w:t>.</w:t>
      </w:r>
      <w:r w:rsidR="00083F6A">
        <w:rPr>
          <w:rFonts w:asciiTheme="minorHAnsi" w:hAnsiTheme="minorHAnsi" w:cs="Arial"/>
          <w:bCs/>
          <w:snapToGrid w:val="0"/>
          <w:lang w:val="en-GB" w:eastAsia="en-US"/>
        </w:rPr>
        <w:t xml:space="preserve"> </w:t>
      </w:r>
      <w:r w:rsidR="001E1191">
        <w:rPr>
          <w:rFonts w:asciiTheme="minorHAnsi" w:hAnsiTheme="minorHAnsi" w:cs="Arial"/>
          <w:bCs/>
          <w:snapToGrid w:val="0"/>
          <w:lang w:val="en-GB" w:eastAsia="en-US"/>
        </w:rPr>
        <w:t xml:space="preserve">The revised ICER did not differ </w:t>
      </w:r>
      <w:r w:rsidR="0056170C">
        <w:rPr>
          <w:rFonts w:asciiTheme="minorHAnsi" w:hAnsiTheme="minorHAnsi" w:cs="Arial"/>
          <w:bCs/>
          <w:snapToGrid w:val="0"/>
          <w:lang w:val="en-GB" w:eastAsia="en-US"/>
        </w:rPr>
        <w:t xml:space="preserve">substantially </w:t>
      </w:r>
      <w:r w:rsidR="001E1191">
        <w:rPr>
          <w:rFonts w:asciiTheme="minorHAnsi" w:hAnsiTheme="minorHAnsi" w:cs="Arial"/>
          <w:bCs/>
          <w:snapToGrid w:val="0"/>
          <w:lang w:val="en-GB" w:eastAsia="en-US"/>
        </w:rPr>
        <w:t xml:space="preserve">from that of the previous submission </w:t>
      </w:r>
      <w:r w:rsidR="00A67415">
        <w:rPr>
          <w:rFonts w:asciiTheme="minorHAnsi" w:hAnsiTheme="minorHAnsi" w:cs="Arial"/>
          <w:bCs/>
          <w:snapToGrid w:val="0"/>
          <w:lang w:val="en-GB" w:eastAsia="en-US"/>
        </w:rPr>
        <w:t>$45,000/QALY - $75,000/QALY</w:t>
      </w:r>
      <w:r w:rsidR="001E1191">
        <w:rPr>
          <w:rFonts w:asciiTheme="minorHAnsi" w:hAnsiTheme="minorHAnsi" w:cs="Arial"/>
          <w:bCs/>
          <w:snapToGrid w:val="0"/>
          <w:lang w:val="en-GB" w:eastAsia="en-US"/>
        </w:rPr>
        <w:t xml:space="preserve">). </w:t>
      </w:r>
    </w:p>
    <w:p w:rsidR="009852AE" w:rsidRDefault="0018672A" w:rsidP="0018672A">
      <w:pPr>
        <w:widowControl w:val="0"/>
        <w:numPr>
          <w:ilvl w:val="1"/>
          <w:numId w:val="5"/>
        </w:numPr>
        <w:spacing w:after="120"/>
        <w:jc w:val="both"/>
        <w:rPr>
          <w:rFonts w:asciiTheme="minorHAnsi" w:hAnsiTheme="minorHAnsi" w:cs="Arial"/>
          <w:bCs/>
          <w:snapToGrid w:val="0"/>
          <w:lang w:val="en-GB" w:eastAsia="en-US"/>
        </w:rPr>
      </w:pPr>
      <w:r>
        <w:rPr>
          <w:rFonts w:asciiTheme="minorHAnsi" w:hAnsiTheme="minorHAnsi" w:cs="Arial"/>
          <w:bCs/>
          <w:snapToGrid w:val="0"/>
          <w:lang w:val="en-GB" w:eastAsia="en-US"/>
        </w:rPr>
        <w:t xml:space="preserve">The PBAC noted </w:t>
      </w:r>
      <w:r w:rsidR="00E52EE2">
        <w:rPr>
          <w:rFonts w:asciiTheme="minorHAnsi" w:hAnsiTheme="minorHAnsi" w:cs="Arial"/>
          <w:bCs/>
          <w:snapToGrid w:val="0"/>
          <w:lang w:val="en-GB" w:eastAsia="en-US"/>
        </w:rPr>
        <w:t xml:space="preserve">the sensitivity analysis presented in </w:t>
      </w:r>
      <w:r w:rsidR="008F29A0">
        <w:rPr>
          <w:rFonts w:asciiTheme="minorHAnsi" w:hAnsiTheme="minorHAnsi" w:cs="Arial"/>
          <w:bCs/>
          <w:snapToGrid w:val="0"/>
          <w:lang w:val="en-GB" w:eastAsia="en-US"/>
        </w:rPr>
        <w:t xml:space="preserve">the </w:t>
      </w:r>
      <w:r w:rsidR="00E52EE2">
        <w:rPr>
          <w:rFonts w:asciiTheme="minorHAnsi" w:hAnsiTheme="minorHAnsi" w:cs="Arial"/>
          <w:bCs/>
          <w:snapToGrid w:val="0"/>
          <w:lang w:val="en-GB" w:eastAsia="en-US"/>
        </w:rPr>
        <w:t>re</w:t>
      </w:r>
      <w:r w:rsidR="008F29A0">
        <w:rPr>
          <w:rFonts w:asciiTheme="minorHAnsi" w:hAnsiTheme="minorHAnsi" w:cs="Arial"/>
          <w:bCs/>
          <w:snapToGrid w:val="0"/>
          <w:lang w:val="en-GB" w:eastAsia="en-US"/>
        </w:rPr>
        <w:t>submission</w:t>
      </w:r>
      <w:r w:rsidR="00E52EE2">
        <w:rPr>
          <w:rFonts w:asciiTheme="minorHAnsi" w:hAnsiTheme="minorHAnsi" w:cs="Arial"/>
          <w:bCs/>
          <w:snapToGrid w:val="0"/>
          <w:lang w:val="en-GB" w:eastAsia="en-US"/>
        </w:rPr>
        <w:t xml:space="preserve">, which was stated to be </w:t>
      </w:r>
      <w:r w:rsidR="008F29A0">
        <w:rPr>
          <w:rFonts w:asciiTheme="minorHAnsi" w:hAnsiTheme="minorHAnsi" w:cs="Arial"/>
          <w:bCs/>
          <w:snapToGrid w:val="0"/>
          <w:lang w:val="en-GB" w:eastAsia="en-US"/>
        </w:rPr>
        <w:t>a</w:t>
      </w:r>
      <w:r w:rsidR="009715F3">
        <w:rPr>
          <w:rFonts w:asciiTheme="minorHAnsi" w:hAnsiTheme="minorHAnsi" w:cs="Arial"/>
          <w:bCs/>
          <w:snapToGrid w:val="0"/>
          <w:lang w:val="en-GB" w:eastAsia="en-US"/>
        </w:rPr>
        <w:t xml:space="preserve"> ‘worst case</w:t>
      </w:r>
      <w:r w:rsidR="00A10F74">
        <w:rPr>
          <w:rFonts w:asciiTheme="minorHAnsi" w:hAnsiTheme="minorHAnsi" w:cs="Arial"/>
          <w:bCs/>
          <w:snapToGrid w:val="0"/>
          <w:lang w:val="en-GB" w:eastAsia="en-US"/>
        </w:rPr>
        <w:t>’</w:t>
      </w:r>
      <w:r w:rsidR="009715F3">
        <w:rPr>
          <w:rFonts w:asciiTheme="minorHAnsi" w:hAnsiTheme="minorHAnsi" w:cs="Arial"/>
          <w:bCs/>
          <w:snapToGrid w:val="0"/>
          <w:lang w:val="en-GB" w:eastAsia="en-US"/>
        </w:rPr>
        <w:t xml:space="preserve"> scenario</w:t>
      </w:r>
      <w:r w:rsidR="00233F00">
        <w:rPr>
          <w:rFonts w:asciiTheme="minorHAnsi" w:hAnsiTheme="minorHAnsi" w:cs="Arial"/>
          <w:bCs/>
          <w:snapToGrid w:val="0"/>
          <w:lang w:val="en-GB" w:eastAsia="en-US"/>
        </w:rPr>
        <w:t>,</w:t>
      </w:r>
      <w:r w:rsidR="00A10F74">
        <w:rPr>
          <w:rFonts w:asciiTheme="minorHAnsi" w:hAnsiTheme="minorHAnsi" w:cs="Arial"/>
          <w:bCs/>
          <w:snapToGrid w:val="0"/>
          <w:lang w:val="en-GB" w:eastAsia="en-US"/>
        </w:rPr>
        <w:t xml:space="preserve"> </w:t>
      </w:r>
      <w:r w:rsidR="00E52EE2">
        <w:rPr>
          <w:rFonts w:asciiTheme="minorHAnsi" w:hAnsiTheme="minorHAnsi" w:cs="Arial"/>
          <w:bCs/>
          <w:snapToGrid w:val="0"/>
          <w:lang w:val="en-GB" w:eastAsia="en-US"/>
        </w:rPr>
        <w:t>in which</w:t>
      </w:r>
      <w:r w:rsidR="00233F00">
        <w:rPr>
          <w:rFonts w:asciiTheme="minorHAnsi" w:hAnsiTheme="minorHAnsi" w:cs="Arial"/>
          <w:bCs/>
          <w:snapToGrid w:val="0"/>
          <w:lang w:val="en-GB" w:eastAsia="en-US"/>
        </w:rPr>
        <w:t xml:space="preserve"> </w:t>
      </w:r>
      <w:r w:rsidR="000B5D94">
        <w:rPr>
          <w:rFonts w:asciiTheme="minorHAnsi" w:hAnsiTheme="minorHAnsi" w:cs="Arial"/>
          <w:bCs/>
          <w:snapToGrid w:val="0"/>
          <w:lang w:val="en-GB" w:eastAsia="en-US"/>
        </w:rPr>
        <w:t xml:space="preserve">(i) </w:t>
      </w:r>
      <w:r w:rsidR="009852AE">
        <w:rPr>
          <w:rFonts w:asciiTheme="minorHAnsi" w:hAnsiTheme="minorHAnsi" w:cs="Arial"/>
          <w:bCs/>
          <w:snapToGrid w:val="0"/>
          <w:lang w:val="en-GB" w:eastAsia="en-US"/>
        </w:rPr>
        <w:t>no benefit in the proportion of patients (9.4%</w:t>
      </w:r>
      <w:r w:rsidR="00692CA2">
        <w:rPr>
          <w:rFonts w:asciiTheme="minorHAnsi" w:hAnsiTheme="minorHAnsi" w:cs="Arial"/>
          <w:bCs/>
          <w:snapToGrid w:val="0"/>
          <w:lang w:val="en-GB" w:eastAsia="en-US"/>
        </w:rPr>
        <w:t>) which</w:t>
      </w:r>
      <w:r w:rsidR="009852AE">
        <w:rPr>
          <w:rFonts w:asciiTheme="minorHAnsi" w:hAnsiTheme="minorHAnsi" w:cs="Arial"/>
          <w:bCs/>
          <w:snapToGrid w:val="0"/>
          <w:lang w:val="en-GB" w:eastAsia="en-US"/>
        </w:rPr>
        <w:t xml:space="preserve"> received granulocyte colony stimulating factors (G</w:t>
      </w:r>
      <w:r w:rsidR="00F54F78">
        <w:rPr>
          <w:rFonts w:asciiTheme="minorHAnsi" w:hAnsiTheme="minorHAnsi" w:cs="Arial"/>
          <w:bCs/>
          <w:snapToGrid w:val="0"/>
          <w:lang w:val="en-GB" w:eastAsia="en-US"/>
        </w:rPr>
        <w:t>-</w:t>
      </w:r>
      <w:r w:rsidR="009852AE">
        <w:rPr>
          <w:rFonts w:asciiTheme="minorHAnsi" w:hAnsiTheme="minorHAnsi" w:cs="Arial"/>
          <w:bCs/>
          <w:snapToGrid w:val="0"/>
          <w:lang w:val="en-GB" w:eastAsia="en-US"/>
        </w:rPr>
        <w:t>CSF) in the RECOURSE trial</w:t>
      </w:r>
      <w:r w:rsidR="000B5D94">
        <w:rPr>
          <w:rFonts w:asciiTheme="minorHAnsi" w:hAnsiTheme="minorHAnsi" w:cs="Arial"/>
          <w:bCs/>
          <w:snapToGrid w:val="0"/>
          <w:lang w:val="en-GB" w:eastAsia="en-US"/>
        </w:rPr>
        <w:t xml:space="preserve"> </w:t>
      </w:r>
      <w:r w:rsidR="00E52EE2">
        <w:rPr>
          <w:rFonts w:asciiTheme="minorHAnsi" w:hAnsiTheme="minorHAnsi" w:cs="Arial"/>
          <w:bCs/>
          <w:snapToGrid w:val="0"/>
          <w:lang w:val="en-GB" w:eastAsia="en-US"/>
        </w:rPr>
        <w:t>was assumed</w:t>
      </w:r>
      <w:r w:rsidR="00B57813">
        <w:rPr>
          <w:rFonts w:asciiTheme="minorHAnsi" w:hAnsiTheme="minorHAnsi" w:cs="Arial"/>
          <w:bCs/>
          <w:snapToGrid w:val="0"/>
          <w:lang w:val="en-GB" w:eastAsia="en-US"/>
        </w:rPr>
        <w:t xml:space="preserve"> </w:t>
      </w:r>
      <w:r w:rsidR="000B5D94">
        <w:rPr>
          <w:rFonts w:asciiTheme="minorHAnsi" w:hAnsiTheme="minorHAnsi" w:cs="Arial"/>
          <w:bCs/>
          <w:snapToGrid w:val="0"/>
          <w:lang w:val="en-GB" w:eastAsia="en-US"/>
        </w:rPr>
        <w:t xml:space="preserve">and; (ii) </w:t>
      </w:r>
      <w:r w:rsidR="000B5D94">
        <w:rPr>
          <w:rFonts w:asciiTheme="minorHAnsi" w:hAnsiTheme="minorHAnsi"/>
          <w:szCs w:val="22"/>
        </w:rPr>
        <w:t>q</w:t>
      </w:r>
      <w:r w:rsidR="000B5D94" w:rsidRPr="00274309">
        <w:rPr>
          <w:rFonts w:asciiTheme="minorHAnsi" w:hAnsiTheme="minorHAnsi"/>
          <w:szCs w:val="22"/>
        </w:rPr>
        <w:t xml:space="preserve">uality of life for patients treated with trifluridine/tipiracil </w:t>
      </w:r>
      <w:r w:rsidR="00B57813">
        <w:rPr>
          <w:rFonts w:asciiTheme="minorHAnsi" w:hAnsiTheme="minorHAnsi"/>
          <w:szCs w:val="22"/>
        </w:rPr>
        <w:t>wa</w:t>
      </w:r>
      <w:r w:rsidR="000B5D94" w:rsidRPr="00274309">
        <w:rPr>
          <w:rFonts w:asciiTheme="minorHAnsi" w:hAnsiTheme="minorHAnsi"/>
          <w:szCs w:val="22"/>
        </w:rPr>
        <w:t>s</w:t>
      </w:r>
      <w:r w:rsidR="00B57813">
        <w:rPr>
          <w:rFonts w:asciiTheme="minorHAnsi" w:hAnsiTheme="minorHAnsi"/>
          <w:szCs w:val="22"/>
        </w:rPr>
        <w:t xml:space="preserve"> assumed to be the same as for</w:t>
      </w:r>
      <w:r w:rsidR="000B5D94" w:rsidRPr="00274309">
        <w:rPr>
          <w:rFonts w:asciiTheme="minorHAnsi" w:hAnsiTheme="minorHAnsi"/>
          <w:szCs w:val="22"/>
        </w:rPr>
        <w:t xml:space="preserve"> pa</w:t>
      </w:r>
      <w:r w:rsidR="000B5D94">
        <w:rPr>
          <w:rFonts w:asciiTheme="minorHAnsi" w:hAnsiTheme="minorHAnsi"/>
          <w:szCs w:val="22"/>
        </w:rPr>
        <w:t>tients treated with regorafenib (the unadjusted utility value</w:t>
      </w:r>
      <w:r w:rsidR="009715F3">
        <w:rPr>
          <w:rFonts w:asciiTheme="minorHAnsi" w:hAnsiTheme="minorHAnsi"/>
          <w:szCs w:val="22"/>
        </w:rPr>
        <w:t xml:space="preserve"> of 0.73</w:t>
      </w:r>
      <w:r w:rsidR="000B5D94">
        <w:rPr>
          <w:rFonts w:asciiTheme="minorHAnsi" w:hAnsiTheme="minorHAnsi"/>
          <w:szCs w:val="22"/>
        </w:rPr>
        <w:t xml:space="preserve"> for the progression-</w:t>
      </w:r>
      <w:r w:rsidR="009715F3">
        <w:rPr>
          <w:rFonts w:asciiTheme="minorHAnsi" w:hAnsiTheme="minorHAnsi"/>
          <w:szCs w:val="22"/>
        </w:rPr>
        <w:t>free health state is applied)</w:t>
      </w:r>
      <w:r w:rsidR="00B57813">
        <w:rPr>
          <w:rFonts w:asciiTheme="minorHAnsi" w:hAnsiTheme="minorHAnsi"/>
          <w:szCs w:val="22"/>
        </w:rPr>
        <w:t>.</w:t>
      </w:r>
      <w:r w:rsidR="003D6E28">
        <w:rPr>
          <w:rFonts w:asciiTheme="minorHAnsi" w:hAnsiTheme="minorHAnsi" w:cs="Arial"/>
          <w:bCs/>
          <w:snapToGrid w:val="0"/>
          <w:lang w:val="en-GB" w:eastAsia="en-US"/>
        </w:rPr>
        <w:t xml:space="preserve"> </w:t>
      </w:r>
      <w:r w:rsidR="00B57813">
        <w:rPr>
          <w:rFonts w:asciiTheme="minorHAnsi" w:hAnsiTheme="minorHAnsi" w:cs="Arial"/>
          <w:bCs/>
          <w:snapToGrid w:val="0"/>
          <w:lang w:val="en-GB" w:eastAsia="en-US"/>
        </w:rPr>
        <w:t>T</w:t>
      </w:r>
      <w:r w:rsidR="00B14397">
        <w:rPr>
          <w:rFonts w:asciiTheme="minorHAnsi" w:hAnsiTheme="minorHAnsi" w:cs="Arial"/>
          <w:bCs/>
          <w:snapToGrid w:val="0"/>
          <w:lang w:val="en-GB" w:eastAsia="en-US"/>
        </w:rPr>
        <w:t xml:space="preserve">he </w:t>
      </w:r>
      <w:r w:rsidR="00A46DDD">
        <w:rPr>
          <w:rFonts w:asciiTheme="minorHAnsi" w:hAnsiTheme="minorHAnsi" w:cs="Arial"/>
          <w:bCs/>
          <w:snapToGrid w:val="0"/>
          <w:lang w:val="en-GB" w:eastAsia="en-US"/>
        </w:rPr>
        <w:t>ICER</w:t>
      </w:r>
      <w:r w:rsidR="00B57813">
        <w:rPr>
          <w:rFonts w:asciiTheme="minorHAnsi" w:hAnsiTheme="minorHAnsi" w:cs="Arial"/>
          <w:bCs/>
          <w:snapToGrid w:val="0"/>
          <w:lang w:val="en-GB" w:eastAsia="en-US"/>
        </w:rPr>
        <w:t xml:space="preserve"> increased</w:t>
      </w:r>
      <w:r w:rsidR="00A46DDD">
        <w:rPr>
          <w:rFonts w:asciiTheme="minorHAnsi" w:hAnsiTheme="minorHAnsi" w:cs="Arial"/>
          <w:bCs/>
          <w:snapToGrid w:val="0"/>
          <w:lang w:val="en-GB" w:eastAsia="en-US"/>
        </w:rPr>
        <w:t xml:space="preserve"> to </w:t>
      </w:r>
      <w:r w:rsidR="00A67415">
        <w:rPr>
          <w:rFonts w:asciiTheme="minorHAnsi" w:hAnsiTheme="minorHAnsi" w:cs="Arial"/>
          <w:bCs/>
          <w:snapToGrid w:val="0"/>
          <w:lang w:val="en-GB" w:eastAsia="en-US"/>
        </w:rPr>
        <w:t>$45,000/QALY - $75,000/QALY</w:t>
      </w:r>
      <w:r w:rsidR="008A6E43">
        <w:rPr>
          <w:rFonts w:asciiTheme="minorHAnsi" w:hAnsiTheme="minorHAnsi" w:cs="Arial"/>
          <w:bCs/>
          <w:snapToGrid w:val="0"/>
          <w:lang w:val="en-GB" w:eastAsia="en-US"/>
        </w:rPr>
        <w:t>.</w:t>
      </w:r>
      <w:r w:rsidR="00B57813">
        <w:rPr>
          <w:rFonts w:asciiTheme="minorHAnsi" w:hAnsiTheme="minorHAnsi" w:cs="Arial"/>
          <w:bCs/>
          <w:snapToGrid w:val="0"/>
          <w:lang w:val="en-GB" w:eastAsia="en-US"/>
        </w:rPr>
        <w:t xml:space="preserve"> The PBAC considered this analysis addressed only one aspect of the </w:t>
      </w:r>
      <w:r w:rsidR="00AB7FED">
        <w:rPr>
          <w:rFonts w:asciiTheme="minorHAnsi" w:hAnsiTheme="minorHAnsi" w:cs="Arial"/>
          <w:bCs/>
          <w:snapToGrid w:val="0"/>
          <w:lang w:val="en-GB" w:eastAsia="en-US"/>
        </w:rPr>
        <w:t xml:space="preserve">potential </w:t>
      </w:r>
      <w:r w:rsidR="00B57813">
        <w:rPr>
          <w:rFonts w:asciiTheme="minorHAnsi" w:hAnsiTheme="minorHAnsi" w:cs="Arial"/>
          <w:bCs/>
          <w:snapToGrid w:val="0"/>
          <w:lang w:val="en-GB" w:eastAsia="en-US"/>
        </w:rPr>
        <w:t xml:space="preserve">differences between the trial and likely PBS population (i.e. that G-CSF is not routinely used in </w:t>
      </w:r>
      <w:r w:rsidR="00AB7FED">
        <w:rPr>
          <w:rFonts w:asciiTheme="minorHAnsi" w:hAnsiTheme="minorHAnsi" w:cs="Arial"/>
          <w:bCs/>
          <w:snapToGrid w:val="0"/>
          <w:lang w:val="en-GB" w:eastAsia="en-US"/>
        </w:rPr>
        <w:t xml:space="preserve">Australia in </w:t>
      </w:r>
      <w:r w:rsidR="00B57813">
        <w:rPr>
          <w:rFonts w:asciiTheme="minorHAnsi" w:hAnsiTheme="minorHAnsi" w:cs="Arial"/>
          <w:bCs/>
          <w:snapToGrid w:val="0"/>
          <w:lang w:val="en-GB" w:eastAsia="en-US"/>
        </w:rPr>
        <w:t>patients with metastatic disease)</w:t>
      </w:r>
      <w:r w:rsidR="00AB7FED">
        <w:rPr>
          <w:rFonts w:asciiTheme="minorHAnsi" w:hAnsiTheme="minorHAnsi" w:cs="Arial"/>
          <w:bCs/>
          <w:snapToGrid w:val="0"/>
          <w:lang w:val="en-GB" w:eastAsia="en-US"/>
        </w:rPr>
        <w:t>,</w:t>
      </w:r>
      <w:r w:rsidR="00B57813">
        <w:rPr>
          <w:rFonts w:asciiTheme="minorHAnsi" w:hAnsiTheme="minorHAnsi" w:cs="Arial"/>
          <w:bCs/>
          <w:snapToGrid w:val="0"/>
          <w:lang w:val="en-GB" w:eastAsia="en-US"/>
        </w:rPr>
        <w:t xml:space="preserve"> and</w:t>
      </w:r>
      <w:r w:rsidR="00AB7FED">
        <w:rPr>
          <w:rFonts w:asciiTheme="minorHAnsi" w:hAnsiTheme="minorHAnsi" w:cs="Arial"/>
          <w:bCs/>
          <w:snapToGrid w:val="0"/>
          <w:lang w:val="en-GB" w:eastAsia="en-US"/>
        </w:rPr>
        <w:t xml:space="preserve"> it did not adequately address</w:t>
      </w:r>
      <w:r w:rsidR="00B57813">
        <w:rPr>
          <w:rFonts w:asciiTheme="minorHAnsi" w:hAnsiTheme="minorHAnsi" w:cs="Arial"/>
          <w:bCs/>
          <w:snapToGrid w:val="0"/>
          <w:lang w:val="en-GB" w:eastAsia="en-US"/>
        </w:rPr>
        <w:t xml:space="preserve"> that the PBS population are likely to have additional and/or more extensive comorbidities compared with the trial patie</w:t>
      </w:r>
      <w:r w:rsidR="00AB7FED">
        <w:rPr>
          <w:rFonts w:asciiTheme="minorHAnsi" w:hAnsiTheme="minorHAnsi" w:cs="Arial"/>
          <w:bCs/>
          <w:snapToGrid w:val="0"/>
          <w:lang w:val="en-GB" w:eastAsia="en-US"/>
        </w:rPr>
        <w:t>nt</w:t>
      </w:r>
      <w:r w:rsidR="00D06416">
        <w:rPr>
          <w:rFonts w:asciiTheme="minorHAnsi" w:hAnsiTheme="minorHAnsi" w:cs="Arial"/>
          <w:bCs/>
          <w:snapToGrid w:val="0"/>
          <w:lang w:val="en-GB" w:eastAsia="en-US"/>
        </w:rPr>
        <w:t>s</w:t>
      </w:r>
      <w:r w:rsidR="00B57813">
        <w:rPr>
          <w:rFonts w:asciiTheme="minorHAnsi" w:hAnsiTheme="minorHAnsi" w:cs="Arial"/>
          <w:bCs/>
          <w:snapToGrid w:val="0"/>
          <w:lang w:val="en-GB" w:eastAsia="en-US"/>
        </w:rPr>
        <w:t>.</w:t>
      </w:r>
      <w:r w:rsidR="008A6E43">
        <w:rPr>
          <w:rFonts w:asciiTheme="minorHAnsi" w:hAnsiTheme="minorHAnsi" w:cs="Arial"/>
          <w:bCs/>
          <w:snapToGrid w:val="0"/>
          <w:lang w:val="en-GB" w:eastAsia="en-US"/>
        </w:rPr>
        <w:t xml:space="preserve"> </w:t>
      </w:r>
      <w:r w:rsidR="00A67415">
        <w:rPr>
          <w:rFonts w:asciiTheme="minorHAnsi" w:hAnsiTheme="minorHAnsi" w:cs="Arial"/>
          <w:bCs/>
          <w:snapToGrid w:val="0"/>
          <w:lang w:val="en-GB" w:eastAsia="en-US"/>
        </w:rPr>
        <w:t xml:space="preserve"> </w:t>
      </w:r>
    </w:p>
    <w:p w:rsidR="003D6E28" w:rsidRPr="00D006E4" w:rsidRDefault="00B81168" w:rsidP="00D006E4">
      <w:pPr>
        <w:widowControl w:val="0"/>
        <w:numPr>
          <w:ilvl w:val="1"/>
          <w:numId w:val="5"/>
        </w:numPr>
        <w:spacing w:after="120"/>
        <w:jc w:val="both"/>
        <w:rPr>
          <w:rFonts w:asciiTheme="minorHAnsi" w:hAnsiTheme="minorHAnsi" w:cs="Arial"/>
          <w:bCs/>
          <w:snapToGrid w:val="0"/>
          <w:lang w:val="en-GB" w:eastAsia="en-US"/>
        </w:rPr>
      </w:pPr>
      <w:r>
        <w:rPr>
          <w:rFonts w:asciiTheme="minorHAnsi" w:hAnsiTheme="minorHAnsi" w:cs="Arial"/>
          <w:bCs/>
          <w:snapToGrid w:val="0"/>
          <w:lang w:val="en-GB" w:eastAsia="en-US"/>
        </w:rPr>
        <w:t>T</w:t>
      </w:r>
      <w:r w:rsidR="006739D6">
        <w:rPr>
          <w:rFonts w:asciiTheme="minorHAnsi" w:hAnsiTheme="minorHAnsi" w:cs="Arial"/>
          <w:bCs/>
          <w:snapToGrid w:val="0"/>
          <w:lang w:val="en-GB" w:eastAsia="en-US"/>
        </w:rPr>
        <w:t xml:space="preserve">he PBAC noted that the </w:t>
      </w:r>
      <w:r w:rsidR="00D006E4">
        <w:rPr>
          <w:rFonts w:asciiTheme="minorHAnsi" w:hAnsiTheme="minorHAnsi" w:cs="Arial"/>
          <w:bCs/>
          <w:snapToGrid w:val="0"/>
          <w:lang w:val="en-GB" w:eastAsia="en-US"/>
        </w:rPr>
        <w:t>reduced effective price and rebate</w:t>
      </w:r>
      <w:r w:rsidR="006739D6">
        <w:rPr>
          <w:rFonts w:asciiTheme="minorHAnsi" w:hAnsiTheme="minorHAnsi" w:cs="Arial"/>
          <w:bCs/>
          <w:snapToGrid w:val="0"/>
          <w:lang w:val="en-GB" w:eastAsia="en-US"/>
        </w:rPr>
        <w:t xml:space="preserve"> proposed by the resubmission</w:t>
      </w:r>
      <w:r>
        <w:rPr>
          <w:rFonts w:asciiTheme="minorHAnsi" w:hAnsiTheme="minorHAnsi" w:cs="Arial"/>
          <w:bCs/>
          <w:snapToGrid w:val="0"/>
          <w:lang w:val="en-GB" w:eastAsia="en-US"/>
        </w:rPr>
        <w:t xml:space="preserve"> resulted in an estimated net financial impact of </w:t>
      </w:r>
      <w:r w:rsidR="00A67415">
        <w:rPr>
          <w:rFonts w:asciiTheme="minorHAnsi" w:hAnsiTheme="minorHAnsi" w:cs="Arial"/>
          <w:bCs/>
          <w:snapToGrid w:val="0"/>
          <w:lang w:val="en-GB" w:eastAsia="en-US"/>
        </w:rPr>
        <w:t>$30 - $60 million</w:t>
      </w:r>
      <w:r>
        <w:rPr>
          <w:rFonts w:asciiTheme="minorHAnsi" w:hAnsiTheme="minorHAnsi" w:cs="Arial"/>
          <w:bCs/>
          <w:snapToGrid w:val="0"/>
          <w:lang w:val="en-GB" w:eastAsia="en-US"/>
        </w:rPr>
        <w:t xml:space="preserve"> over 6 years. The PBAC</w:t>
      </w:r>
      <w:r w:rsidR="00746E62">
        <w:rPr>
          <w:rFonts w:asciiTheme="minorHAnsi" w:hAnsiTheme="minorHAnsi" w:cs="Arial"/>
          <w:bCs/>
          <w:snapToGrid w:val="0"/>
          <w:lang w:val="en-GB" w:eastAsia="en-US"/>
        </w:rPr>
        <w:t xml:space="preserve"> considered that although t</w:t>
      </w:r>
      <w:r>
        <w:rPr>
          <w:rFonts w:asciiTheme="minorHAnsi" w:hAnsiTheme="minorHAnsi" w:cs="Arial"/>
          <w:bCs/>
          <w:snapToGrid w:val="0"/>
          <w:lang w:val="en-GB" w:eastAsia="en-US"/>
        </w:rPr>
        <w:t>his was</w:t>
      </w:r>
      <w:r w:rsidR="00746E62">
        <w:rPr>
          <w:rFonts w:asciiTheme="minorHAnsi" w:hAnsiTheme="minorHAnsi" w:cs="Arial"/>
          <w:bCs/>
          <w:snapToGrid w:val="0"/>
          <w:lang w:val="en-GB" w:eastAsia="en-US"/>
        </w:rPr>
        <w:t xml:space="preserve"> less than</w:t>
      </w:r>
      <w:r>
        <w:rPr>
          <w:rFonts w:asciiTheme="minorHAnsi" w:hAnsiTheme="minorHAnsi" w:cs="Arial"/>
          <w:bCs/>
          <w:snapToGrid w:val="0"/>
          <w:lang w:val="en-GB" w:eastAsia="en-US"/>
        </w:rPr>
        <w:t xml:space="preserve"> the financial impact of </w:t>
      </w:r>
      <w:r w:rsidR="00A67415">
        <w:rPr>
          <w:rFonts w:asciiTheme="minorHAnsi" w:hAnsiTheme="minorHAnsi" w:cs="Arial"/>
          <w:bCs/>
          <w:snapToGrid w:val="0"/>
          <w:lang w:val="en-GB" w:eastAsia="en-US"/>
        </w:rPr>
        <w:t>$60 - $100 million</w:t>
      </w:r>
      <w:r>
        <w:rPr>
          <w:rFonts w:asciiTheme="minorHAnsi" w:hAnsiTheme="minorHAnsi" w:cs="Arial"/>
          <w:bCs/>
          <w:snapToGrid w:val="0"/>
          <w:lang w:val="en-GB" w:eastAsia="en-US"/>
        </w:rPr>
        <w:t xml:space="preserve"> over 6 year</w:t>
      </w:r>
      <w:r w:rsidR="00E475A7">
        <w:rPr>
          <w:rFonts w:asciiTheme="minorHAnsi" w:hAnsiTheme="minorHAnsi" w:cs="Arial"/>
          <w:bCs/>
          <w:snapToGrid w:val="0"/>
          <w:lang w:val="en-GB" w:eastAsia="en-US"/>
        </w:rPr>
        <w:t>s</w:t>
      </w:r>
      <w:r w:rsidR="00746E62">
        <w:rPr>
          <w:rFonts w:asciiTheme="minorHAnsi" w:hAnsiTheme="minorHAnsi" w:cs="Arial"/>
          <w:bCs/>
          <w:snapToGrid w:val="0"/>
          <w:lang w:val="en-GB" w:eastAsia="en-US"/>
        </w:rPr>
        <w:t xml:space="preserve"> estimated</w:t>
      </w:r>
      <w:r w:rsidR="00E475A7">
        <w:rPr>
          <w:rFonts w:asciiTheme="minorHAnsi" w:hAnsiTheme="minorHAnsi" w:cs="Arial"/>
          <w:bCs/>
          <w:snapToGrid w:val="0"/>
          <w:lang w:val="en-GB" w:eastAsia="en-US"/>
        </w:rPr>
        <w:t xml:space="preserve"> in the </w:t>
      </w:r>
      <w:r w:rsidR="00746E62">
        <w:rPr>
          <w:rFonts w:asciiTheme="minorHAnsi" w:hAnsiTheme="minorHAnsi" w:cs="Arial"/>
          <w:bCs/>
          <w:snapToGrid w:val="0"/>
          <w:lang w:val="en-GB" w:eastAsia="en-US"/>
        </w:rPr>
        <w:t>previous</w:t>
      </w:r>
      <w:r w:rsidR="00E475A7">
        <w:rPr>
          <w:rFonts w:asciiTheme="minorHAnsi" w:hAnsiTheme="minorHAnsi" w:cs="Arial"/>
          <w:bCs/>
          <w:snapToGrid w:val="0"/>
          <w:lang w:val="en-GB" w:eastAsia="en-US"/>
        </w:rPr>
        <w:t xml:space="preserve"> submission, it</w:t>
      </w:r>
      <w:r w:rsidR="00746E62">
        <w:rPr>
          <w:rFonts w:asciiTheme="minorHAnsi" w:hAnsiTheme="minorHAnsi" w:cs="Arial"/>
          <w:bCs/>
          <w:snapToGrid w:val="0"/>
          <w:lang w:val="en-GB" w:eastAsia="en-US"/>
        </w:rPr>
        <w:t xml:space="preserve"> </w:t>
      </w:r>
      <w:r w:rsidR="00E475A7">
        <w:rPr>
          <w:rFonts w:asciiTheme="minorHAnsi" w:hAnsiTheme="minorHAnsi" w:cs="Arial"/>
          <w:bCs/>
          <w:snapToGrid w:val="0"/>
          <w:lang w:val="en-GB" w:eastAsia="en-US"/>
        </w:rPr>
        <w:t xml:space="preserve">was still </w:t>
      </w:r>
      <w:r w:rsidR="00746E62">
        <w:rPr>
          <w:rFonts w:asciiTheme="minorHAnsi" w:hAnsiTheme="minorHAnsi" w:cs="Arial"/>
          <w:bCs/>
          <w:snapToGrid w:val="0"/>
          <w:lang w:val="en-GB" w:eastAsia="en-US"/>
        </w:rPr>
        <w:t xml:space="preserve">a </w:t>
      </w:r>
      <w:r w:rsidR="00E475A7">
        <w:rPr>
          <w:rFonts w:asciiTheme="minorHAnsi" w:hAnsiTheme="minorHAnsi" w:cs="Arial"/>
          <w:bCs/>
          <w:snapToGrid w:val="0"/>
          <w:lang w:val="en-GB" w:eastAsia="en-US"/>
        </w:rPr>
        <w:t>s</w:t>
      </w:r>
      <w:r w:rsidR="00746E62">
        <w:rPr>
          <w:rFonts w:asciiTheme="minorHAnsi" w:hAnsiTheme="minorHAnsi" w:cs="Arial"/>
          <w:bCs/>
          <w:snapToGrid w:val="0"/>
          <w:lang w:val="en-GB" w:eastAsia="en-US"/>
        </w:rPr>
        <w:t>ubstantial financial impact to Government</w:t>
      </w:r>
      <w:r w:rsidR="00E475A7">
        <w:rPr>
          <w:rFonts w:asciiTheme="minorHAnsi" w:hAnsiTheme="minorHAnsi" w:cs="Arial"/>
          <w:bCs/>
          <w:snapToGrid w:val="0"/>
          <w:lang w:val="en-GB" w:eastAsia="en-US"/>
        </w:rPr>
        <w:t xml:space="preserve">. </w:t>
      </w:r>
      <w:r w:rsidR="00D006E4">
        <w:rPr>
          <w:rFonts w:asciiTheme="minorHAnsi" w:hAnsiTheme="minorHAnsi" w:cs="Arial"/>
          <w:bCs/>
          <w:snapToGrid w:val="0"/>
          <w:lang w:val="en-GB" w:eastAsia="en-US"/>
        </w:rPr>
        <w:t>The PBAC further considered that as the minor submission may have overestimated the utilisation of trifluridine/tipiracil, expenditure caps may not be reached</w:t>
      </w:r>
      <w:r w:rsidR="006739D6">
        <w:rPr>
          <w:rFonts w:asciiTheme="minorHAnsi" w:hAnsiTheme="minorHAnsi" w:cs="Arial"/>
          <w:bCs/>
          <w:snapToGrid w:val="0"/>
          <w:lang w:val="en-GB" w:eastAsia="en-US"/>
        </w:rPr>
        <w:t>. T</w:t>
      </w:r>
      <w:r w:rsidR="00D006E4">
        <w:rPr>
          <w:rFonts w:asciiTheme="minorHAnsi" w:hAnsiTheme="minorHAnsi" w:cs="Arial"/>
          <w:bCs/>
          <w:snapToGrid w:val="0"/>
          <w:lang w:val="en-GB" w:eastAsia="en-US"/>
        </w:rPr>
        <w:t>herefore</w:t>
      </w:r>
      <w:r w:rsidR="006739D6">
        <w:rPr>
          <w:rFonts w:asciiTheme="minorHAnsi" w:hAnsiTheme="minorHAnsi" w:cs="Arial"/>
          <w:bCs/>
          <w:snapToGrid w:val="0"/>
          <w:lang w:val="en-GB" w:eastAsia="en-US"/>
        </w:rPr>
        <w:t>, the difference between the total expenditure</w:t>
      </w:r>
      <w:r w:rsidR="00563E1E">
        <w:rPr>
          <w:rFonts w:asciiTheme="minorHAnsi" w:hAnsiTheme="minorHAnsi" w:cs="Arial"/>
          <w:bCs/>
          <w:snapToGrid w:val="0"/>
          <w:lang w:val="en-GB" w:eastAsia="en-US"/>
        </w:rPr>
        <w:t xml:space="preserve"> and the proposed caps may not have a real or significant impact in the PBS setting. G</w:t>
      </w:r>
      <w:r w:rsidR="00746E62" w:rsidRPr="00D006E4">
        <w:rPr>
          <w:rFonts w:asciiTheme="minorHAnsi" w:hAnsiTheme="minorHAnsi" w:cs="Arial"/>
          <w:bCs/>
          <w:snapToGrid w:val="0"/>
          <w:lang w:val="en-GB" w:eastAsia="en-US"/>
        </w:rPr>
        <w:t xml:space="preserve">iven the modest clinical benefit of trifluridine/tipiracil, the PBAC considered that a PBS listing represented a significant opportunity cost. </w:t>
      </w:r>
      <w:r w:rsidR="0088348C" w:rsidRPr="00D006E4">
        <w:rPr>
          <w:rFonts w:asciiTheme="minorHAnsi" w:hAnsiTheme="minorHAnsi" w:cs="Arial"/>
          <w:bCs/>
          <w:snapToGrid w:val="0"/>
          <w:lang w:val="en-GB" w:eastAsia="en-US"/>
        </w:rPr>
        <w:t xml:space="preserve"> </w:t>
      </w:r>
    </w:p>
    <w:p w:rsidR="00E84606" w:rsidRDefault="00E84606" w:rsidP="00057914">
      <w:pPr>
        <w:widowControl w:val="0"/>
        <w:numPr>
          <w:ilvl w:val="1"/>
          <w:numId w:val="5"/>
        </w:numPr>
        <w:spacing w:after="120"/>
        <w:jc w:val="both"/>
        <w:rPr>
          <w:rFonts w:asciiTheme="minorHAnsi" w:hAnsiTheme="minorHAnsi" w:cs="Arial"/>
          <w:bCs/>
          <w:snapToGrid w:val="0"/>
          <w:lang w:val="en-GB" w:eastAsia="en-US"/>
        </w:rPr>
      </w:pPr>
      <w:r>
        <w:rPr>
          <w:rFonts w:asciiTheme="minorHAnsi" w:hAnsiTheme="minorHAnsi" w:cs="Arial"/>
          <w:bCs/>
          <w:snapToGrid w:val="0"/>
          <w:lang w:val="en-GB" w:eastAsia="en-US"/>
        </w:rPr>
        <w:t xml:space="preserve">The PBAC noted that this submission is eligible for an Independent Review. </w:t>
      </w:r>
    </w:p>
    <w:p w:rsidR="002D177E" w:rsidRPr="00523217" w:rsidRDefault="002D177E" w:rsidP="002D177E">
      <w:pPr>
        <w:spacing w:before="240" w:after="120"/>
        <w:jc w:val="both"/>
        <w:rPr>
          <w:rFonts w:asciiTheme="minorHAnsi" w:hAnsiTheme="minorHAnsi" w:cs="Arial"/>
          <w:b/>
          <w:bCs/>
          <w:snapToGrid w:val="0"/>
          <w:lang w:val="en-GB" w:eastAsia="en-US"/>
        </w:rPr>
      </w:pPr>
      <w:r w:rsidRPr="00523217">
        <w:rPr>
          <w:rFonts w:asciiTheme="minorHAnsi" w:hAnsiTheme="minorHAnsi" w:cs="Arial"/>
          <w:b/>
          <w:bCs/>
          <w:snapToGrid w:val="0"/>
          <w:lang w:val="en-GB" w:eastAsia="en-US"/>
        </w:rPr>
        <w:t>Outcome:</w:t>
      </w:r>
    </w:p>
    <w:p w:rsidR="002D177E" w:rsidRDefault="002D177E" w:rsidP="002D177E">
      <w:pPr>
        <w:spacing w:after="120"/>
        <w:jc w:val="both"/>
        <w:rPr>
          <w:rFonts w:asciiTheme="minorHAnsi" w:hAnsiTheme="minorHAnsi" w:cs="Arial"/>
          <w:bCs/>
          <w:snapToGrid w:val="0"/>
          <w:lang w:val="en-GB" w:eastAsia="en-US"/>
        </w:rPr>
      </w:pPr>
      <w:r w:rsidRPr="00523217">
        <w:rPr>
          <w:rFonts w:asciiTheme="minorHAnsi" w:hAnsiTheme="minorHAnsi" w:cs="Arial"/>
          <w:bCs/>
          <w:snapToGrid w:val="0"/>
          <w:lang w:val="en-GB" w:eastAsia="en-US"/>
        </w:rPr>
        <w:t xml:space="preserve">Rejected </w:t>
      </w:r>
    </w:p>
    <w:p w:rsidR="00A67415" w:rsidRPr="00A67415" w:rsidRDefault="00A67415" w:rsidP="00A67415">
      <w:pPr>
        <w:pStyle w:val="PBACHeading1"/>
        <w:spacing w:before="240" w:after="120"/>
        <w:rPr>
          <w:rFonts w:asciiTheme="minorHAnsi" w:hAnsiTheme="minorHAnsi"/>
          <w:sz w:val="32"/>
        </w:rPr>
      </w:pPr>
      <w:r w:rsidRPr="00A67415">
        <w:rPr>
          <w:rFonts w:asciiTheme="minorHAnsi" w:hAnsiTheme="minorHAnsi"/>
          <w:sz w:val="32"/>
        </w:rPr>
        <w:t>Context for Decision</w:t>
      </w:r>
    </w:p>
    <w:p w:rsidR="00A67415" w:rsidRPr="00A67415" w:rsidRDefault="00A67415" w:rsidP="00A67415">
      <w:pPr>
        <w:spacing w:before="120" w:after="120"/>
        <w:jc w:val="both"/>
        <w:rPr>
          <w:rFonts w:ascii="Calibri" w:eastAsia="Calibri" w:hAnsi="Calibri" w:cs="Arial"/>
          <w:szCs w:val="22"/>
          <w:lang w:eastAsia="en-US"/>
        </w:rPr>
      </w:pPr>
      <w:r w:rsidRPr="00A67415">
        <w:rPr>
          <w:rFonts w:ascii="Calibri" w:eastAsia="Calibri" w:hAnsi="Calibr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67415" w:rsidRPr="00A67415" w:rsidRDefault="00A67415" w:rsidP="00A67415">
      <w:pPr>
        <w:pStyle w:val="PBACHeading1"/>
        <w:spacing w:before="240" w:after="120"/>
        <w:rPr>
          <w:rFonts w:asciiTheme="minorHAnsi" w:hAnsiTheme="minorHAnsi"/>
          <w:sz w:val="32"/>
        </w:rPr>
      </w:pPr>
      <w:r w:rsidRPr="00A67415">
        <w:rPr>
          <w:rFonts w:asciiTheme="minorHAnsi" w:hAnsiTheme="minorHAnsi"/>
          <w:sz w:val="32"/>
        </w:rPr>
        <w:t>Sponsor’s Comment</w:t>
      </w:r>
    </w:p>
    <w:p w:rsidR="00A67415" w:rsidRPr="00A67415" w:rsidRDefault="00A67415" w:rsidP="00A67415">
      <w:pPr>
        <w:spacing w:before="120" w:after="160"/>
        <w:jc w:val="both"/>
        <w:rPr>
          <w:rFonts w:ascii="Calibri" w:eastAsia="Calibri" w:hAnsi="Calibri" w:cs="Arial"/>
          <w:snapToGrid w:val="0"/>
          <w:szCs w:val="20"/>
          <w:lang w:eastAsia="en-US"/>
        </w:rPr>
      </w:pPr>
      <w:r w:rsidRPr="00A67415">
        <w:rPr>
          <w:rFonts w:ascii="Calibri" w:eastAsia="Calibri" w:hAnsi="Calibri" w:cs="Arial"/>
          <w:snapToGrid w:val="0"/>
          <w:szCs w:val="20"/>
          <w:lang w:eastAsia="en-US"/>
        </w:rPr>
        <w:t>The sponsor had no comment.</w:t>
      </w:r>
    </w:p>
    <w:p w:rsidR="00A67415" w:rsidRPr="002D177E" w:rsidRDefault="00A67415" w:rsidP="002D177E">
      <w:pPr>
        <w:spacing w:after="120"/>
        <w:jc w:val="both"/>
        <w:rPr>
          <w:rFonts w:asciiTheme="minorHAnsi" w:hAnsiTheme="minorHAnsi" w:cs="Arial"/>
          <w:bCs/>
          <w:snapToGrid w:val="0"/>
          <w:highlight w:val="yellow"/>
          <w:lang w:val="en-GB" w:eastAsia="en-US"/>
        </w:rPr>
      </w:pPr>
    </w:p>
    <w:sectPr w:rsidR="00A67415" w:rsidRPr="002D177E" w:rsidSect="004F22B6">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1DB" w:rsidRDefault="00D161DB">
      <w:r>
        <w:separator/>
      </w:r>
    </w:p>
    <w:p w:rsidR="00D161DB" w:rsidRDefault="00D161DB"/>
  </w:endnote>
  <w:endnote w:type="continuationSeparator" w:id="0">
    <w:p w:rsidR="00D161DB" w:rsidRDefault="00D161DB">
      <w:r>
        <w:continuationSeparator/>
      </w:r>
    </w:p>
    <w:p w:rsidR="00D161DB" w:rsidRDefault="00D161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1DB" w:rsidRDefault="00D161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080" w:rsidRPr="00BD584D" w:rsidRDefault="004D2080" w:rsidP="00BD584D">
    <w:pPr>
      <w:pStyle w:val="Footer"/>
      <w:jc w:val="center"/>
    </w:pPr>
    <w:r w:rsidRPr="00F90A91">
      <w:rPr>
        <w:rFonts w:ascii="Calibri" w:hAnsi="Calibri" w:cs="Arial"/>
        <w:b/>
        <w:sz w:val="20"/>
      </w:rPr>
      <w:fldChar w:fldCharType="begin"/>
    </w:r>
    <w:r w:rsidRPr="00F90A91">
      <w:rPr>
        <w:rFonts w:ascii="Calibri" w:hAnsi="Calibri" w:cs="Arial"/>
        <w:b/>
        <w:sz w:val="20"/>
      </w:rPr>
      <w:instrText xml:space="preserve"> PAGE   \* MERGEFORMAT </w:instrText>
    </w:r>
    <w:r w:rsidRPr="00F90A91">
      <w:rPr>
        <w:rFonts w:ascii="Calibri" w:hAnsi="Calibri" w:cs="Arial"/>
        <w:b/>
        <w:sz w:val="20"/>
      </w:rPr>
      <w:fldChar w:fldCharType="separate"/>
    </w:r>
    <w:r w:rsidR="00D161DB">
      <w:rPr>
        <w:rFonts w:ascii="Calibri" w:hAnsi="Calibri" w:cs="Arial"/>
        <w:b/>
        <w:noProof/>
        <w:sz w:val="20"/>
      </w:rPr>
      <w:t>1</w:t>
    </w:r>
    <w:r w:rsidRPr="00F90A91">
      <w:rPr>
        <w:rFonts w:ascii="Calibri" w:hAnsi="Calibri" w:cs="Arial"/>
        <w:b/>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1DB" w:rsidRDefault="00D161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1DB" w:rsidRDefault="00D161DB">
      <w:r>
        <w:separator/>
      </w:r>
    </w:p>
    <w:p w:rsidR="00D161DB" w:rsidRDefault="00D161DB"/>
  </w:footnote>
  <w:footnote w:type="continuationSeparator" w:id="0">
    <w:p w:rsidR="00D161DB" w:rsidRDefault="00D161DB">
      <w:r>
        <w:continuationSeparator/>
      </w:r>
    </w:p>
    <w:p w:rsidR="00D161DB" w:rsidRDefault="00D161DB"/>
  </w:footnote>
  <w:footnote w:id="1">
    <w:p w:rsidR="004D2080" w:rsidRPr="00910EB0" w:rsidRDefault="004D2080">
      <w:pPr>
        <w:pStyle w:val="FootnoteText"/>
        <w:rPr>
          <w:rFonts w:asciiTheme="minorHAnsi" w:hAnsiTheme="minorHAnsi" w:cs="Arial"/>
        </w:rPr>
      </w:pPr>
      <w:r w:rsidRPr="00910EB0">
        <w:rPr>
          <w:rStyle w:val="FootnoteReference"/>
          <w:rFonts w:asciiTheme="minorHAnsi" w:hAnsiTheme="minorHAnsi" w:cs="Arial"/>
        </w:rPr>
        <w:footnoteRef/>
      </w:r>
      <w:r w:rsidRPr="00910EB0">
        <w:rPr>
          <w:rFonts w:asciiTheme="minorHAnsi" w:hAnsiTheme="minorHAnsi" w:cs="Arial"/>
        </w:rPr>
        <w:t xml:space="preserve"> Cherny NI, Dafni U, Bogaerts J, et al: ESMO-Magnitude of Clinical Benefit Scale version 1.1. Annals of Oncology 28:2340-2366,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1DB" w:rsidRDefault="00D161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080" w:rsidRPr="00BD584D" w:rsidRDefault="004D2080" w:rsidP="00BD584D">
    <w:pPr>
      <w:pStyle w:val="Header"/>
      <w:ind w:left="360"/>
      <w:jc w:val="center"/>
      <w:rPr>
        <w:rFonts w:asciiTheme="minorHAnsi" w:hAnsiTheme="minorHAnsi" w:cs="Arial"/>
        <w:i/>
        <w:color w:val="808080"/>
        <w:sz w:val="22"/>
        <w:szCs w:val="22"/>
      </w:rPr>
    </w:pPr>
    <w:r>
      <w:rPr>
        <w:rFonts w:asciiTheme="minorHAnsi" w:hAnsiTheme="minorHAnsi" w:cs="Arial"/>
        <w:i/>
        <w:color w:val="808080"/>
        <w:sz w:val="22"/>
        <w:szCs w:val="22"/>
      </w:rPr>
      <w:t>Public Summary Document</w:t>
    </w:r>
    <w:r w:rsidRPr="00BD584D">
      <w:rPr>
        <w:rFonts w:asciiTheme="minorHAnsi" w:hAnsiTheme="minorHAnsi" w:cs="Arial"/>
        <w:i/>
        <w:color w:val="808080"/>
        <w:sz w:val="22"/>
        <w:szCs w:val="22"/>
      </w:rPr>
      <w:t xml:space="preserve"> – November 2017 PBAC Meeting</w:t>
    </w:r>
  </w:p>
  <w:p w:rsidR="004D2080" w:rsidRPr="00BD584D" w:rsidRDefault="004D2080" w:rsidP="00BD584D">
    <w:pPr>
      <w:pStyle w:val="Header"/>
      <w:jc w:val="center"/>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1DB" w:rsidRDefault="00D161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7670E35"/>
    <w:multiLevelType w:val="hybridMultilevel"/>
    <w:tmpl w:val="6DE44E7C"/>
    <w:lvl w:ilvl="0" w:tplc="0C090001">
      <w:start w:val="1"/>
      <w:numFmt w:val="bullet"/>
      <w:lvlText w:val=""/>
      <w:lvlJc w:val="left"/>
      <w:pPr>
        <w:ind w:left="633" w:hanging="360"/>
      </w:pPr>
      <w:rPr>
        <w:rFonts w:ascii="Symbol" w:hAnsi="Symbol" w:hint="default"/>
      </w:rPr>
    </w:lvl>
    <w:lvl w:ilvl="1" w:tplc="0C090003" w:tentative="1">
      <w:start w:val="1"/>
      <w:numFmt w:val="bullet"/>
      <w:lvlText w:val="o"/>
      <w:lvlJc w:val="left"/>
      <w:pPr>
        <w:ind w:left="1353" w:hanging="360"/>
      </w:pPr>
      <w:rPr>
        <w:rFonts w:ascii="Courier New" w:hAnsi="Courier New" w:cs="Courier New" w:hint="default"/>
      </w:rPr>
    </w:lvl>
    <w:lvl w:ilvl="2" w:tplc="0C090005" w:tentative="1">
      <w:start w:val="1"/>
      <w:numFmt w:val="bullet"/>
      <w:lvlText w:val=""/>
      <w:lvlJc w:val="left"/>
      <w:pPr>
        <w:ind w:left="2073" w:hanging="360"/>
      </w:pPr>
      <w:rPr>
        <w:rFonts w:ascii="Wingdings" w:hAnsi="Wingdings" w:hint="default"/>
      </w:rPr>
    </w:lvl>
    <w:lvl w:ilvl="3" w:tplc="0C090001" w:tentative="1">
      <w:start w:val="1"/>
      <w:numFmt w:val="bullet"/>
      <w:lvlText w:val=""/>
      <w:lvlJc w:val="left"/>
      <w:pPr>
        <w:ind w:left="2793" w:hanging="360"/>
      </w:pPr>
      <w:rPr>
        <w:rFonts w:ascii="Symbol" w:hAnsi="Symbol" w:hint="default"/>
      </w:rPr>
    </w:lvl>
    <w:lvl w:ilvl="4" w:tplc="0C090003" w:tentative="1">
      <w:start w:val="1"/>
      <w:numFmt w:val="bullet"/>
      <w:lvlText w:val="o"/>
      <w:lvlJc w:val="left"/>
      <w:pPr>
        <w:ind w:left="3513" w:hanging="360"/>
      </w:pPr>
      <w:rPr>
        <w:rFonts w:ascii="Courier New" w:hAnsi="Courier New" w:cs="Courier New" w:hint="default"/>
      </w:rPr>
    </w:lvl>
    <w:lvl w:ilvl="5" w:tplc="0C090005" w:tentative="1">
      <w:start w:val="1"/>
      <w:numFmt w:val="bullet"/>
      <w:lvlText w:val=""/>
      <w:lvlJc w:val="left"/>
      <w:pPr>
        <w:ind w:left="4233" w:hanging="360"/>
      </w:pPr>
      <w:rPr>
        <w:rFonts w:ascii="Wingdings" w:hAnsi="Wingdings" w:hint="default"/>
      </w:rPr>
    </w:lvl>
    <w:lvl w:ilvl="6" w:tplc="0C090001" w:tentative="1">
      <w:start w:val="1"/>
      <w:numFmt w:val="bullet"/>
      <w:lvlText w:val=""/>
      <w:lvlJc w:val="left"/>
      <w:pPr>
        <w:ind w:left="4953" w:hanging="360"/>
      </w:pPr>
      <w:rPr>
        <w:rFonts w:ascii="Symbol" w:hAnsi="Symbol" w:hint="default"/>
      </w:rPr>
    </w:lvl>
    <w:lvl w:ilvl="7" w:tplc="0C090003" w:tentative="1">
      <w:start w:val="1"/>
      <w:numFmt w:val="bullet"/>
      <w:lvlText w:val="o"/>
      <w:lvlJc w:val="left"/>
      <w:pPr>
        <w:ind w:left="5673" w:hanging="360"/>
      </w:pPr>
      <w:rPr>
        <w:rFonts w:ascii="Courier New" w:hAnsi="Courier New" w:cs="Courier New" w:hint="default"/>
      </w:rPr>
    </w:lvl>
    <w:lvl w:ilvl="8" w:tplc="0C090005" w:tentative="1">
      <w:start w:val="1"/>
      <w:numFmt w:val="bullet"/>
      <w:lvlText w:val=""/>
      <w:lvlJc w:val="left"/>
      <w:pPr>
        <w:ind w:left="6393" w:hanging="360"/>
      </w:pPr>
      <w:rPr>
        <w:rFonts w:ascii="Wingdings" w:hAnsi="Wingdings" w:hint="default"/>
      </w:rPr>
    </w:lvl>
  </w:abstractNum>
  <w:abstractNum w:abstractNumId="15">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A7D2CAD"/>
    <w:multiLevelType w:val="hybridMultilevel"/>
    <w:tmpl w:val="48E4BC94"/>
    <w:lvl w:ilvl="0" w:tplc="FEFEDB38">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784D033C"/>
    <w:multiLevelType w:val="multilevel"/>
    <w:tmpl w:val="F5FEAC94"/>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5"/>
  </w:num>
  <w:num w:numId="5">
    <w:abstractNumId w:val="18"/>
  </w:num>
  <w:num w:numId="6">
    <w:abstractNumId w:val="7"/>
  </w:num>
  <w:num w:numId="7">
    <w:abstractNumId w:val="13"/>
  </w:num>
  <w:num w:numId="8">
    <w:abstractNumId w:val="4"/>
  </w:num>
  <w:num w:numId="9">
    <w:abstractNumId w:val="12"/>
  </w:num>
  <w:num w:numId="10">
    <w:abstractNumId w:val="11"/>
  </w:num>
  <w:num w:numId="11">
    <w:abstractNumId w:val="10"/>
  </w:num>
  <w:num w:numId="12">
    <w:abstractNumId w:val="1"/>
  </w:num>
  <w:num w:numId="13">
    <w:abstractNumId w:val="0"/>
  </w:num>
  <w:num w:numId="14">
    <w:abstractNumId w:val="18"/>
  </w:num>
  <w:num w:numId="15">
    <w:abstractNumId w:val="17"/>
  </w:num>
  <w:num w:numId="16">
    <w:abstractNumId w:val="14"/>
  </w:num>
  <w:num w:numId="17">
    <w:abstractNumId w:val="16"/>
  </w:num>
  <w:num w:numId="18">
    <w:abstractNumId w:val="5"/>
  </w:num>
  <w:num w:numId="19">
    <w:abstractNumId w:val="2"/>
  </w:num>
  <w:num w:numId="20">
    <w:abstractNumId w:val="9"/>
  </w:num>
  <w:num w:numId="21">
    <w:abstractNumId w:val="18"/>
  </w:num>
  <w:num w:numId="22">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2464A"/>
    <w:rsid w:val="00025083"/>
    <w:rsid w:val="000268DE"/>
    <w:rsid w:val="0003106B"/>
    <w:rsid w:val="000421A1"/>
    <w:rsid w:val="0004240E"/>
    <w:rsid w:val="00043563"/>
    <w:rsid w:val="00045E26"/>
    <w:rsid w:val="00047540"/>
    <w:rsid w:val="000514B5"/>
    <w:rsid w:val="00053CF5"/>
    <w:rsid w:val="00053DDE"/>
    <w:rsid w:val="00057914"/>
    <w:rsid w:val="00060E64"/>
    <w:rsid w:val="00065C0C"/>
    <w:rsid w:val="000660CF"/>
    <w:rsid w:val="00066755"/>
    <w:rsid w:val="00071B8D"/>
    <w:rsid w:val="00073150"/>
    <w:rsid w:val="00077143"/>
    <w:rsid w:val="0008164A"/>
    <w:rsid w:val="00082169"/>
    <w:rsid w:val="00083F6A"/>
    <w:rsid w:val="00086EAD"/>
    <w:rsid w:val="000969AD"/>
    <w:rsid w:val="000A1E88"/>
    <w:rsid w:val="000A2D0A"/>
    <w:rsid w:val="000B558D"/>
    <w:rsid w:val="000B5D94"/>
    <w:rsid w:val="000C2A5A"/>
    <w:rsid w:val="000C4BFD"/>
    <w:rsid w:val="000C6974"/>
    <w:rsid w:val="000C6996"/>
    <w:rsid w:val="000C7AA5"/>
    <w:rsid w:val="000D12A7"/>
    <w:rsid w:val="000D1920"/>
    <w:rsid w:val="000D23BA"/>
    <w:rsid w:val="000E681E"/>
    <w:rsid w:val="000F0003"/>
    <w:rsid w:val="000F4E6A"/>
    <w:rsid w:val="0010324C"/>
    <w:rsid w:val="00104227"/>
    <w:rsid w:val="001107BF"/>
    <w:rsid w:val="00112447"/>
    <w:rsid w:val="00121DD9"/>
    <w:rsid w:val="0012417C"/>
    <w:rsid w:val="00142395"/>
    <w:rsid w:val="00142714"/>
    <w:rsid w:val="001452ED"/>
    <w:rsid w:val="00163329"/>
    <w:rsid w:val="00164623"/>
    <w:rsid w:val="00165B64"/>
    <w:rsid w:val="0017166E"/>
    <w:rsid w:val="001830CE"/>
    <w:rsid w:val="00185832"/>
    <w:rsid w:val="0018643B"/>
    <w:rsid w:val="0018672A"/>
    <w:rsid w:val="0019089B"/>
    <w:rsid w:val="00196307"/>
    <w:rsid w:val="001A0DD3"/>
    <w:rsid w:val="001A33EA"/>
    <w:rsid w:val="001B017F"/>
    <w:rsid w:val="001B2BBC"/>
    <w:rsid w:val="001B5129"/>
    <w:rsid w:val="001C1195"/>
    <w:rsid w:val="001C2475"/>
    <w:rsid w:val="001C28EC"/>
    <w:rsid w:val="001E1191"/>
    <w:rsid w:val="001F1850"/>
    <w:rsid w:val="00200A57"/>
    <w:rsid w:val="00203FAC"/>
    <w:rsid w:val="002124F6"/>
    <w:rsid w:val="00213CFB"/>
    <w:rsid w:val="00215D0E"/>
    <w:rsid w:val="00216956"/>
    <w:rsid w:val="00217BE1"/>
    <w:rsid w:val="002204A9"/>
    <w:rsid w:val="00224ABD"/>
    <w:rsid w:val="002263B0"/>
    <w:rsid w:val="00227597"/>
    <w:rsid w:val="00227C08"/>
    <w:rsid w:val="002328CB"/>
    <w:rsid w:val="00233F00"/>
    <w:rsid w:val="00262B7C"/>
    <w:rsid w:val="00263422"/>
    <w:rsid w:val="0026420C"/>
    <w:rsid w:val="00271BA1"/>
    <w:rsid w:val="00272FA0"/>
    <w:rsid w:val="00274309"/>
    <w:rsid w:val="00274F03"/>
    <w:rsid w:val="002762FA"/>
    <w:rsid w:val="00277505"/>
    <w:rsid w:val="00287EB7"/>
    <w:rsid w:val="0029458F"/>
    <w:rsid w:val="00294F74"/>
    <w:rsid w:val="002A104C"/>
    <w:rsid w:val="002A4960"/>
    <w:rsid w:val="002B13C3"/>
    <w:rsid w:val="002B1AE6"/>
    <w:rsid w:val="002B2DE8"/>
    <w:rsid w:val="002B30F8"/>
    <w:rsid w:val="002B3C3F"/>
    <w:rsid w:val="002B5596"/>
    <w:rsid w:val="002B61A9"/>
    <w:rsid w:val="002C212F"/>
    <w:rsid w:val="002D177E"/>
    <w:rsid w:val="002D2572"/>
    <w:rsid w:val="002D4543"/>
    <w:rsid w:val="002D7B04"/>
    <w:rsid w:val="002E3153"/>
    <w:rsid w:val="002E72CA"/>
    <w:rsid w:val="002E771F"/>
    <w:rsid w:val="0030078E"/>
    <w:rsid w:val="00300AD6"/>
    <w:rsid w:val="0031572C"/>
    <w:rsid w:val="00315F56"/>
    <w:rsid w:val="00316EE2"/>
    <w:rsid w:val="00317C6C"/>
    <w:rsid w:val="00326E79"/>
    <w:rsid w:val="0033518A"/>
    <w:rsid w:val="003367EF"/>
    <w:rsid w:val="003368D9"/>
    <w:rsid w:val="00341AE4"/>
    <w:rsid w:val="0034402E"/>
    <w:rsid w:val="00352343"/>
    <w:rsid w:val="0035602B"/>
    <w:rsid w:val="00370E63"/>
    <w:rsid w:val="00377764"/>
    <w:rsid w:val="0038718F"/>
    <w:rsid w:val="003872CF"/>
    <w:rsid w:val="00390C09"/>
    <w:rsid w:val="003943F2"/>
    <w:rsid w:val="0039782C"/>
    <w:rsid w:val="003A09A1"/>
    <w:rsid w:val="003A151B"/>
    <w:rsid w:val="003A2CC1"/>
    <w:rsid w:val="003A5B4A"/>
    <w:rsid w:val="003B1F45"/>
    <w:rsid w:val="003B23C5"/>
    <w:rsid w:val="003B2A75"/>
    <w:rsid w:val="003B6124"/>
    <w:rsid w:val="003C2FB5"/>
    <w:rsid w:val="003C714C"/>
    <w:rsid w:val="003D4AC4"/>
    <w:rsid w:val="003D552A"/>
    <w:rsid w:val="003D596C"/>
    <w:rsid w:val="003D63B7"/>
    <w:rsid w:val="003D6E28"/>
    <w:rsid w:val="003E468B"/>
    <w:rsid w:val="003E7CAC"/>
    <w:rsid w:val="003F3228"/>
    <w:rsid w:val="003F5C8C"/>
    <w:rsid w:val="00404BBD"/>
    <w:rsid w:val="0040526E"/>
    <w:rsid w:val="004240FD"/>
    <w:rsid w:val="00424976"/>
    <w:rsid w:val="004252EC"/>
    <w:rsid w:val="0043482A"/>
    <w:rsid w:val="00440BB6"/>
    <w:rsid w:val="0044189A"/>
    <w:rsid w:val="00445B0B"/>
    <w:rsid w:val="004465BD"/>
    <w:rsid w:val="00455710"/>
    <w:rsid w:val="00456493"/>
    <w:rsid w:val="004606B4"/>
    <w:rsid w:val="00466ADA"/>
    <w:rsid w:val="00474AD7"/>
    <w:rsid w:val="00476245"/>
    <w:rsid w:val="00483035"/>
    <w:rsid w:val="00485940"/>
    <w:rsid w:val="004A2484"/>
    <w:rsid w:val="004A3846"/>
    <w:rsid w:val="004A5A85"/>
    <w:rsid w:val="004A71D1"/>
    <w:rsid w:val="004B5640"/>
    <w:rsid w:val="004C1BD7"/>
    <w:rsid w:val="004C31FE"/>
    <w:rsid w:val="004C691D"/>
    <w:rsid w:val="004C6C07"/>
    <w:rsid w:val="004D0F67"/>
    <w:rsid w:val="004D2080"/>
    <w:rsid w:val="004E3D71"/>
    <w:rsid w:val="004E52B4"/>
    <w:rsid w:val="004E5C88"/>
    <w:rsid w:val="004E692D"/>
    <w:rsid w:val="004F1F57"/>
    <w:rsid w:val="004F22B6"/>
    <w:rsid w:val="004F25E9"/>
    <w:rsid w:val="004F3B57"/>
    <w:rsid w:val="00501554"/>
    <w:rsid w:val="00514CD7"/>
    <w:rsid w:val="00515ABE"/>
    <w:rsid w:val="00523217"/>
    <w:rsid w:val="00530A56"/>
    <w:rsid w:val="005319B2"/>
    <w:rsid w:val="00532402"/>
    <w:rsid w:val="00532C74"/>
    <w:rsid w:val="00534E2E"/>
    <w:rsid w:val="00540125"/>
    <w:rsid w:val="00544552"/>
    <w:rsid w:val="005601EE"/>
    <w:rsid w:val="0056170C"/>
    <w:rsid w:val="00563E1E"/>
    <w:rsid w:val="00575720"/>
    <w:rsid w:val="00577C4D"/>
    <w:rsid w:val="00581932"/>
    <w:rsid w:val="00583C45"/>
    <w:rsid w:val="00591099"/>
    <w:rsid w:val="00592AC2"/>
    <w:rsid w:val="005963BB"/>
    <w:rsid w:val="005A20A9"/>
    <w:rsid w:val="005A3173"/>
    <w:rsid w:val="005A3223"/>
    <w:rsid w:val="005A3DA3"/>
    <w:rsid w:val="005A52C4"/>
    <w:rsid w:val="005B5B4D"/>
    <w:rsid w:val="005C4B48"/>
    <w:rsid w:val="005C5712"/>
    <w:rsid w:val="005D03AB"/>
    <w:rsid w:val="005D5017"/>
    <w:rsid w:val="005E1333"/>
    <w:rsid w:val="005E3AAF"/>
    <w:rsid w:val="005E6357"/>
    <w:rsid w:val="005E7814"/>
    <w:rsid w:val="00601463"/>
    <w:rsid w:val="00601A91"/>
    <w:rsid w:val="00602BA3"/>
    <w:rsid w:val="00606927"/>
    <w:rsid w:val="00612E34"/>
    <w:rsid w:val="00614159"/>
    <w:rsid w:val="00617C00"/>
    <w:rsid w:val="00620C93"/>
    <w:rsid w:val="006263BF"/>
    <w:rsid w:val="0062748A"/>
    <w:rsid w:val="00630A2C"/>
    <w:rsid w:val="0063682E"/>
    <w:rsid w:val="00637200"/>
    <w:rsid w:val="006436CD"/>
    <w:rsid w:val="00644572"/>
    <w:rsid w:val="00651169"/>
    <w:rsid w:val="00653D69"/>
    <w:rsid w:val="00661D60"/>
    <w:rsid w:val="006664DA"/>
    <w:rsid w:val="006670BE"/>
    <w:rsid w:val="00667107"/>
    <w:rsid w:val="00670A76"/>
    <w:rsid w:val="006711AA"/>
    <w:rsid w:val="00672B57"/>
    <w:rsid w:val="0067328F"/>
    <w:rsid w:val="006739D6"/>
    <w:rsid w:val="00675622"/>
    <w:rsid w:val="0068250E"/>
    <w:rsid w:val="006906DB"/>
    <w:rsid w:val="006911B8"/>
    <w:rsid w:val="00691E6C"/>
    <w:rsid w:val="00692CA2"/>
    <w:rsid w:val="00696129"/>
    <w:rsid w:val="00697CF2"/>
    <w:rsid w:val="006A12A5"/>
    <w:rsid w:val="006A72DB"/>
    <w:rsid w:val="006B0D94"/>
    <w:rsid w:val="006B485D"/>
    <w:rsid w:val="006B5C16"/>
    <w:rsid w:val="006B6785"/>
    <w:rsid w:val="006C708E"/>
    <w:rsid w:val="006D6EC7"/>
    <w:rsid w:val="006E0953"/>
    <w:rsid w:val="006E1BEE"/>
    <w:rsid w:val="006F5125"/>
    <w:rsid w:val="00702B6F"/>
    <w:rsid w:val="0071340B"/>
    <w:rsid w:val="007174BB"/>
    <w:rsid w:val="0072025D"/>
    <w:rsid w:val="007204ED"/>
    <w:rsid w:val="00734B9F"/>
    <w:rsid w:val="007353D3"/>
    <w:rsid w:val="00742D0B"/>
    <w:rsid w:val="00743875"/>
    <w:rsid w:val="00746E62"/>
    <w:rsid w:val="00747164"/>
    <w:rsid w:val="00750C56"/>
    <w:rsid w:val="00756364"/>
    <w:rsid w:val="0076099C"/>
    <w:rsid w:val="0076420C"/>
    <w:rsid w:val="007753C2"/>
    <w:rsid w:val="00775407"/>
    <w:rsid w:val="00781309"/>
    <w:rsid w:val="007838B8"/>
    <w:rsid w:val="00790DC0"/>
    <w:rsid w:val="007A7CB8"/>
    <w:rsid w:val="007B58A5"/>
    <w:rsid w:val="007B6FD5"/>
    <w:rsid w:val="007B7A1B"/>
    <w:rsid w:val="007C0A00"/>
    <w:rsid w:val="007C0F57"/>
    <w:rsid w:val="007C1450"/>
    <w:rsid w:val="007C40B6"/>
    <w:rsid w:val="007C729F"/>
    <w:rsid w:val="007E1D28"/>
    <w:rsid w:val="007F2641"/>
    <w:rsid w:val="007F3C98"/>
    <w:rsid w:val="007F7C36"/>
    <w:rsid w:val="00803CEC"/>
    <w:rsid w:val="00806796"/>
    <w:rsid w:val="00806EE4"/>
    <w:rsid w:val="008151D6"/>
    <w:rsid w:val="008203A9"/>
    <w:rsid w:val="00826F6D"/>
    <w:rsid w:val="008306F3"/>
    <w:rsid w:val="00856DDD"/>
    <w:rsid w:val="00863E68"/>
    <w:rsid w:val="00864E7A"/>
    <w:rsid w:val="0087384A"/>
    <w:rsid w:val="00882085"/>
    <w:rsid w:val="00883188"/>
    <w:rsid w:val="0088348C"/>
    <w:rsid w:val="00886354"/>
    <w:rsid w:val="00886D0E"/>
    <w:rsid w:val="00892A1B"/>
    <w:rsid w:val="00897D58"/>
    <w:rsid w:val="00897F22"/>
    <w:rsid w:val="008A07C3"/>
    <w:rsid w:val="008A1956"/>
    <w:rsid w:val="008A3B66"/>
    <w:rsid w:val="008A4937"/>
    <w:rsid w:val="008A50F1"/>
    <w:rsid w:val="008A6E43"/>
    <w:rsid w:val="008B4F6C"/>
    <w:rsid w:val="008D1B5C"/>
    <w:rsid w:val="008D3C82"/>
    <w:rsid w:val="008D447E"/>
    <w:rsid w:val="008D7A41"/>
    <w:rsid w:val="008E01D4"/>
    <w:rsid w:val="008E3680"/>
    <w:rsid w:val="008E36AF"/>
    <w:rsid w:val="008E5870"/>
    <w:rsid w:val="008F0169"/>
    <w:rsid w:val="008F1434"/>
    <w:rsid w:val="008F1FD3"/>
    <w:rsid w:val="008F29A0"/>
    <w:rsid w:val="008F7355"/>
    <w:rsid w:val="009067B7"/>
    <w:rsid w:val="00910EB0"/>
    <w:rsid w:val="00916722"/>
    <w:rsid w:val="00926F39"/>
    <w:rsid w:val="0093056F"/>
    <w:rsid w:val="00930937"/>
    <w:rsid w:val="00933E6C"/>
    <w:rsid w:val="00937958"/>
    <w:rsid w:val="00942160"/>
    <w:rsid w:val="0095146F"/>
    <w:rsid w:val="009515FF"/>
    <w:rsid w:val="00953CAA"/>
    <w:rsid w:val="00956B0A"/>
    <w:rsid w:val="00960278"/>
    <w:rsid w:val="009602C5"/>
    <w:rsid w:val="00962223"/>
    <w:rsid w:val="00966D0D"/>
    <w:rsid w:val="009674CB"/>
    <w:rsid w:val="009715F3"/>
    <w:rsid w:val="009749CF"/>
    <w:rsid w:val="00974C21"/>
    <w:rsid w:val="009812B2"/>
    <w:rsid w:val="009852AE"/>
    <w:rsid w:val="009857B9"/>
    <w:rsid w:val="00986698"/>
    <w:rsid w:val="00994E3F"/>
    <w:rsid w:val="00994F1E"/>
    <w:rsid w:val="009B0F67"/>
    <w:rsid w:val="009B7D9A"/>
    <w:rsid w:val="009C1518"/>
    <w:rsid w:val="009C19D2"/>
    <w:rsid w:val="009C703C"/>
    <w:rsid w:val="009D3CAA"/>
    <w:rsid w:val="009D525E"/>
    <w:rsid w:val="009D6148"/>
    <w:rsid w:val="009E7086"/>
    <w:rsid w:val="009F1D0F"/>
    <w:rsid w:val="009F4426"/>
    <w:rsid w:val="009F4E46"/>
    <w:rsid w:val="009F5B65"/>
    <w:rsid w:val="009F5F2E"/>
    <w:rsid w:val="00A034C7"/>
    <w:rsid w:val="00A06225"/>
    <w:rsid w:val="00A10F74"/>
    <w:rsid w:val="00A128E6"/>
    <w:rsid w:val="00A247FA"/>
    <w:rsid w:val="00A24C3A"/>
    <w:rsid w:val="00A34E6C"/>
    <w:rsid w:val="00A37C8D"/>
    <w:rsid w:val="00A37C94"/>
    <w:rsid w:val="00A46DDD"/>
    <w:rsid w:val="00A47404"/>
    <w:rsid w:val="00A50558"/>
    <w:rsid w:val="00A5273B"/>
    <w:rsid w:val="00A539AC"/>
    <w:rsid w:val="00A53A9D"/>
    <w:rsid w:val="00A55FEE"/>
    <w:rsid w:val="00A62C1A"/>
    <w:rsid w:val="00A6426D"/>
    <w:rsid w:val="00A665C1"/>
    <w:rsid w:val="00A67415"/>
    <w:rsid w:val="00A70622"/>
    <w:rsid w:val="00A70977"/>
    <w:rsid w:val="00A75F3B"/>
    <w:rsid w:val="00A76D14"/>
    <w:rsid w:val="00A77613"/>
    <w:rsid w:val="00A806D4"/>
    <w:rsid w:val="00A8390C"/>
    <w:rsid w:val="00A86038"/>
    <w:rsid w:val="00A928BD"/>
    <w:rsid w:val="00AA4D1C"/>
    <w:rsid w:val="00AB13DB"/>
    <w:rsid w:val="00AB1AA8"/>
    <w:rsid w:val="00AB2A0A"/>
    <w:rsid w:val="00AB7FED"/>
    <w:rsid w:val="00AC193C"/>
    <w:rsid w:val="00AC5206"/>
    <w:rsid w:val="00AC6C6F"/>
    <w:rsid w:val="00AD2A09"/>
    <w:rsid w:val="00AD7E89"/>
    <w:rsid w:val="00AE11A5"/>
    <w:rsid w:val="00AE13E2"/>
    <w:rsid w:val="00AE1B4C"/>
    <w:rsid w:val="00AE22D3"/>
    <w:rsid w:val="00AE7C60"/>
    <w:rsid w:val="00AF361F"/>
    <w:rsid w:val="00AF62DF"/>
    <w:rsid w:val="00AF68CC"/>
    <w:rsid w:val="00B001D1"/>
    <w:rsid w:val="00B059AC"/>
    <w:rsid w:val="00B1059E"/>
    <w:rsid w:val="00B14397"/>
    <w:rsid w:val="00B14964"/>
    <w:rsid w:val="00B176C8"/>
    <w:rsid w:val="00B205AA"/>
    <w:rsid w:val="00B22E84"/>
    <w:rsid w:val="00B2449F"/>
    <w:rsid w:val="00B25F75"/>
    <w:rsid w:val="00B26164"/>
    <w:rsid w:val="00B26B3F"/>
    <w:rsid w:val="00B34D1F"/>
    <w:rsid w:val="00B35FB6"/>
    <w:rsid w:val="00B37743"/>
    <w:rsid w:val="00B4108D"/>
    <w:rsid w:val="00B43E90"/>
    <w:rsid w:val="00B467DC"/>
    <w:rsid w:val="00B47FD7"/>
    <w:rsid w:val="00B55FE8"/>
    <w:rsid w:val="00B560B8"/>
    <w:rsid w:val="00B56118"/>
    <w:rsid w:val="00B57813"/>
    <w:rsid w:val="00B641C7"/>
    <w:rsid w:val="00B64F64"/>
    <w:rsid w:val="00B6773F"/>
    <w:rsid w:val="00B801BA"/>
    <w:rsid w:val="00B81168"/>
    <w:rsid w:val="00B84D5C"/>
    <w:rsid w:val="00BA2237"/>
    <w:rsid w:val="00BB299C"/>
    <w:rsid w:val="00BB69F5"/>
    <w:rsid w:val="00BB7EC3"/>
    <w:rsid w:val="00BC4B9A"/>
    <w:rsid w:val="00BC4D56"/>
    <w:rsid w:val="00BD0C2A"/>
    <w:rsid w:val="00BD584D"/>
    <w:rsid w:val="00BD784C"/>
    <w:rsid w:val="00BE3A73"/>
    <w:rsid w:val="00BE76AD"/>
    <w:rsid w:val="00BF4CB6"/>
    <w:rsid w:val="00C00DA7"/>
    <w:rsid w:val="00C0474E"/>
    <w:rsid w:val="00C07687"/>
    <w:rsid w:val="00C12768"/>
    <w:rsid w:val="00C26906"/>
    <w:rsid w:val="00C27B58"/>
    <w:rsid w:val="00C30DDA"/>
    <w:rsid w:val="00C35996"/>
    <w:rsid w:val="00C45342"/>
    <w:rsid w:val="00C4747E"/>
    <w:rsid w:val="00C5342C"/>
    <w:rsid w:val="00C57469"/>
    <w:rsid w:val="00C603D4"/>
    <w:rsid w:val="00C6256A"/>
    <w:rsid w:val="00C64F6A"/>
    <w:rsid w:val="00C70B20"/>
    <w:rsid w:val="00C77891"/>
    <w:rsid w:val="00C77E0F"/>
    <w:rsid w:val="00C84B40"/>
    <w:rsid w:val="00C91362"/>
    <w:rsid w:val="00C91449"/>
    <w:rsid w:val="00C92D10"/>
    <w:rsid w:val="00C946A1"/>
    <w:rsid w:val="00C96620"/>
    <w:rsid w:val="00CA1A05"/>
    <w:rsid w:val="00CA2D8E"/>
    <w:rsid w:val="00CA7220"/>
    <w:rsid w:val="00CB01B2"/>
    <w:rsid w:val="00CC013B"/>
    <w:rsid w:val="00CD591E"/>
    <w:rsid w:val="00CE10C4"/>
    <w:rsid w:val="00CE27B5"/>
    <w:rsid w:val="00D006E4"/>
    <w:rsid w:val="00D0321E"/>
    <w:rsid w:val="00D04FC1"/>
    <w:rsid w:val="00D06416"/>
    <w:rsid w:val="00D12C92"/>
    <w:rsid w:val="00D1455A"/>
    <w:rsid w:val="00D161DB"/>
    <w:rsid w:val="00D20836"/>
    <w:rsid w:val="00D2128B"/>
    <w:rsid w:val="00D31150"/>
    <w:rsid w:val="00D3138B"/>
    <w:rsid w:val="00D3280C"/>
    <w:rsid w:val="00D33416"/>
    <w:rsid w:val="00D3406A"/>
    <w:rsid w:val="00D45200"/>
    <w:rsid w:val="00D4572C"/>
    <w:rsid w:val="00D469B2"/>
    <w:rsid w:val="00D46F0B"/>
    <w:rsid w:val="00D741EB"/>
    <w:rsid w:val="00D83605"/>
    <w:rsid w:val="00D839AF"/>
    <w:rsid w:val="00D84934"/>
    <w:rsid w:val="00D91271"/>
    <w:rsid w:val="00DA2CB5"/>
    <w:rsid w:val="00DA4BAC"/>
    <w:rsid w:val="00DA72CF"/>
    <w:rsid w:val="00DB0A4E"/>
    <w:rsid w:val="00DB2A4C"/>
    <w:rsid w:val="00DC2F3A"/>
    <w:rsid w:val="00DD002A"/>
    <w:rsid w:val="00DD5C23"/>
    <w:rsid w:val="00DD6276"/>
    <w:rsid w:val="00DE6D27"/>
    <w:rsid w:val="00DF0975"/>
    <w:rsid w:val="00DF217D"/>
    <w:rsid w:val="00DF26A7"/>
    <w:rsid w:val="00DF30F5"/>
    <w:rsid w:val="00DF4499"/>
    <w:rsid w:val="00DF7278"/>
    <w:rsid w:val="00E15627"/>
    <w:rsid w:val="00E164B3"/>
    <w:rsid w:val="00E16910"/>
    <w:rsid w:val="00E37C85"/>
    <w:rsid w:val="00E42BDB"/>
    <w:rsid w:val="00E475A7"/>
    <w:rsid w:val="00E52EE2"/>
    <w:rsid w:val="00E543C4"/>
    <w:rsid w:val="00E54792"/>
    <w:rsid w:val="00E57EEB"/>
    <w:rsid w:val="00E62D94"/>
    <w:rsid w:val="00E65E54"/>
    <w:rsid w:val="00E73F26"/>
    <w:rsid w:val="00E80155"/>
    <w:rsid w:val="00E84606"/>
    <w:rsid w:val="00E848C0"/>
    <w:rsid w:val="00E91B96"/>
    <w:rsid w:val="00E941A1"/>
    <w:rsid w:val="00E95CE3"/>
    <w:rsid w:val="00E966FD"/>
    <w:rsid w:val="00EA2825"/>
    <w:rsid w:val="00EB0B63"/>
    <w:rsid w:val="00EB5088"/>
    <w:rsid w:val="00EC673C"/>
    <w:rsid w:val="00EC7454"/>
    <w:rsid w:val="00ED1644"/>
    <w:rsid w:val="00ED2593"/>
    <w:rsid w:val="00ED6C0E"/>
    <w:rsid w:val="00ED7D9C"/>
    <w:rsid w:val="00EF44A0"/>
    <w:rsid w:val="00EF4FED"/>
    <w:rsid w:val="00F050BD"/>
    <w:rsid w:val="00F05657"/>
    <w:rsid w:val="00F0579E"/>
    <w:rsid w:val="00F17BF0"/>
    <w:rsid w:val="00F224A4"/>
    <w:rsid w:val="00F23E82"/>
    <w:rsid w:val="00F24BC2"/>
    <w:rsid w:val="00F25578"/>
    <w:rsid w:val="00F258E5"/>
    <w:rsid w:val="00F300BC"/>
    <w:rsid w:val="00F3334E"/>
    <w:rsid w:val="00F36CCB"/>
    <w:rsid w:val="00F374E5"/>
    <w:rsid w:val="00F43AF2"/>
    <w:rsid w:val="00F43FCB"/>
    <w:rsid w:val="00F50EC4"/>
    <w:rsid w:val="00F54F78"/>
    <w:rsid w:val="00F550CF"/>
    <w:rsid w:val="00F57A6D"/>
    <w:rsid w:val="00F638CC"/>
    <w:rsid w:val="00F64CC1"/>
    <w:rsid w:val="00F72317"/>
    <w:rsid w:val="00F7715F"/>
    <w:rsid w:val="00F80475"/>
    <w:rsid w:val="00F8247A"/>
    <w:rsid w:val="00F9629A"/>
    <w:rsid w:val="00F97EFC"/>
    <w:rsid w:val="00FA331A"/>
    <w:rsid w:val="00FA3A6E"/>
    <w:rsid w:val="00FA5883"/>
    <w:rsid w:val="00FA6055"/>
    <w:rsid w:val="00FB322F"/>
    <w:rsid w:val="00FB442F"/>
    <w:rsid w:val="00FC109B"/>
    <w:rsid w:val="00FC1929"/>
    <w:rsid w:val="00FC3B5F"/>
    <w:rsid w:val="00FC5B46"/>
    <w:rsid w:val="00FD35BB"/>
    <w:rsid w:val="00FD6D8E"/>
    <w:rsid w:val="00FE05DE"/>
    <w:rsid w:val="00FE0E94"/>
    <w:rsid w:val="00FE2B8A"/>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rsid w:val="003C2FB5"/>
    <w:rPr>
      <w:rFonts w:ascii="Arial" w:hAnsi="Arial"/>
      <w:b/>
      <w:i/>
      <w:sz w:val="22"/>
      <w:szCs w:val="24"/>
    </w:rPr>
  </w:style>
  <w:style w:type="paragraph" w:customStyle="1" w:styleId="TableText0">
    <w:name w:val="TableText"/>
    <w:basedOn w:val="Normal"/>
    <w:link w:val="TableTextChar"/>
    <w:qFormat/>
    <w:rsid w:val="00CA7220"/>
    <w:pPr>
      <w:keepNext/>
      <w:spacing w:line="264" w:lineRule="auto"/>
    </w:pPr>
    <w:rPr>
      <w:rFonts w:ascii="Arial Narrow" w:hAnsi="Arial Narrow" w:cs="Arial Narrow"/>
      <w:sz w:val="22"/>
      <w:szCs w:val="22"/>
      <w:lang w:eastAsia="en-US" w:bidi="en-US"/>
    </w:rPr>
  </w:style>
  <w:style w:type="character" w:customStyle="1" w:styleId="TableTextChar">
    <w:name w:val="TableText Char"/>
    <w:link w:val="TableText0"/>
    <w:rsid w:val="00CA7220"/>
    <w:rPr>
      <w:rFonts w:ascii="Arial Narrow" w:hAnsi="Arial Narrow" w:cs="Arial Narrow"/>
      <w:sz w:val="22"/>
      <w:szCs w:val="22"/>
      <w:lang w:eastAsia="en-US" w:bidi="en-US"/>
    </w:rPr>
  </w:style>
  <w:style w:type="paragraph" w:customStyle="1" w:styleId="TableFooter">
    <w:name w:val="Table Footer"/>
    <w:basedOn w:val="Normal"/>
    <w:qFormat/>
    <w:rsid w:val="00CA7220"/>
    <w:pPr>
      <w:widowControl w:val="0"/>
      <w:jc w:val="both"/>
    </w:pPr>
    <w:rPr>
      <w:rFonts w:ascii="Arial Narrow" w:hAnsi="Arial Narrow" w:cs="Arial"/>
      <w:snapToGrid w:val="0"/>
      <w:sz w:val="18"/>
      <w:szCs w:val="20"/>
      <w:lang w:eastAsia="en-US"/>
    </w:rPr>
  </w:style>
  <w:style w:type="paragraph" w:styleId="Caption">
    <w:name w:val="caption"/>
    <w:basedOn w:val="Normal"/>
    <w:next w:val="Normal"/>
    <w:unhideWhenUsed/>
    <w:qFormat/>
    <w:rsid w:val="00A47404"/>
    <w:pPr>
      <w:spacing w:after="200"/>
    </w:pPr>
    <w:rPr>
      <w:b/>
      <w:bCs/>
      <w:color w:val="4F81BD" w:themeColor="accent1"/>
      <w:sz w:val="18"/>
      <w:szCs w:val="18"/>
    </w:rPr>
  </w:style>
  <w:style w:type="paragraph" w:styleId="FootnoteText">
    <w:name w:val="footnote text"/>
    <w:basedOn w:val="Normal"/>
    <w:link w:val="FootnoteTextChar"/>
    <w:rsid w:val="00910EB0"/>
    <w:rPr>
      <w:sz w:val="20"/>
      <w:szCs w:val="20"/>
    </w:rPr>
  </w:style>
  <w:style w:type="character" w:customStyle="1" w:styleId="FootnoteTextChar">
    <w:name w:val="Footnote Text Char"/>
    <w:basedOn w:val="DefaultParagraphFont"/>
    <w:link w:val="FootnoteText"/>
    <w:rsid w:val="00910EB0"/>
  </w:style>
  <w:style w:type="character" w:styleId="FootnoteReference">
    <w:name w:val="footnote reference"/>
    <w:basedOn w:val="DefaultParagraphFont"/>
    <w:rsid w:val="00910EB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rsid w:val="003C2FB5"/>
    <w:rPr>
      <w:rFonts w:ascii="Arial" w:hAnsi="Arial"/>
      <w:b/>
      <w:i/>
      <w:sz w:val="22"/>
      <w:szCs w:val="24"/>
    </w:rPr>
  </w:style>
  <w:style w:type="paragraph" w:customStyle="1" w:styleId="TableText0">
    <w:name w:val="TableText"/>
    <w:basedOn w:val="Normal"/>
    <w:link w:val="TableTextChar"/>
    <w:qFormat/>
    <w:rsid w:val="00CA7220"/>
    <w:pPr>
      <w:keepNext/>
      <w:spacing w:line="264" w:lineRule="auto"/>
    </w:pPr>
    <w:rPr>
      <w:rFonts w:ascii="Arial Narrow" w:hAnsi="Arial Narrow" w:cs="Arial Narrow"/>
      <w:sz w:val="22"/>
      <w:szCs w:val="22"/>
      <w:lang w:eastAsia="en-US" w:bidi="en-US"/>
    </w:rPr>
  </w:style>
  <w:style w:type="character" w:customStyle="1" w:styleId="TableTextChar">
    <w:name w:val="TableText Char"/>
    <w:link w:val="TableText0"/>
    <w:rsid w:val="00CA7220"/>
    <w:rPr>
      <w:rFonts w:ascii="Arial Narrow" w:hAnsi="Arial Narrow" w:cs="Arial Narrow"/>
      <w:sz w:val="22"/>
      <w:szCs w:val="22"/>
      <w:lang w:eastAsia="en-US" w:bidi="en-US"/>
    </w:rPr>
  </w:style>
  <w:style w:type="paragraph" w:customStyle="1" w:styleId="TableFooter">
    <w:name w:val="Table Footer"/>
    <w:basedOn w:val="Normal"/>
    <w:qFormat/>
    <w:rsid w:val="00CA7220"/>
    <w:pPr>
      <w:widowControl w:val="0"/>
      <w:jc w:val="both"/>
    </w:pPr>
    <w:rPr>
      <w:rFonts w:ascii="Arial Narrow" w:hAnsi="Arial Narrow" w:cs="Arial"/>
      <w:snapToGrid w:val="0"/>
      <w:sz w:val="18"/>
      <w:szCs w:val="20"/>
      <w:lang w:eastAsia="en-US"/>
    </w:rPr>
  </w:style>
  <w:style w:type="paragraph" w:styleId="Caption">
    <w:name w:val="caption"/>
    <w:basedOn w:val="Normal"/>
    <w:next w:val="Normal"/>
    <w:unhideWhenUsed/>
    <w:qFormat/>
    <w:rsid w:val="00A47404"/>
    <w:pPr>
      <w:spacing w:after="200"/>
    </w:pPr>
    <w:rPr>
      <w:b/>
      <w:bCs/>
      <w:color w:val="4F81BD" w:themeColor="accent1"/>
      <w:sz w:val="18"/>
      <w:szCs w:val="18"/>
    </w:rPr>
  </w:style>
  <w:style w:type="paragraph" w:styleId="FootnoteText">
    <w:name w:val="footnote text"/>
    <w:basedOn w:val="Normal"/>
    <w:link w:val="FootnoteTextChar"/>
    <w:rsid w:val="00910EB0"/>
    <w:rPr>
      <w:sz w:val="20"/>
      <w:szCs w:val="20"/>
    </w:rPr>
  </w:style>
  <w:style w:type="character" w:customStyle="1" w:styleId="FootnoteTextChar">
    <w:name w:val="Footnote Text Char"/>
    <w:basedOn w:val="DefaultParagraphFont"/>
    <w:link w:val="FootnoteText"/>
    <w:rsid w:val="00910EB0"/>
  </w:style>
  <w:style w:type="character" w:styleId="FootnoteReference">
    <w:name w:val="footnote reference"/>
    <w:basedOn w:val="DefaultParagraphFont"/>
    <w:rsid w:val="00910E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53447952">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2AE31-CB5E-46E9-AA6C-EDC948705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3877</Words>
  <Characters>22105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2018-01-30T05:00:00Z</dcterms:created>
  <dcterms:modified xsi:type="dcterms:W3CDTF">2018-01-30T05:01:00Z</dcterms:modified>
</cp:coreProperties>
</file>