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5709F0" w:rsidRDefault="0080282F" w:rsidP="00A50B2C">
      <w:pPr>
        <w:ind w:left="992" w:hanging="992"/>
        <w:jc w:val="left"/>
        <w:outlineLvl w:val="0"/>
        <w:rPr>
          <w:b/>
          <w:sz w:val="32"/>
        </w:rPr>
      </w:pPr>
      <w:bookmarkStart w:id="0" w:name="_GoBack"/>
      <w:bookmarkEnd w:id="0"/>
      <w:r w:rsidRPr="005709F0">
        <w:rPr>
          <w:b/>
          <w:sz w:val="36"/>
          <w:szCs w:val="36"/>
        </w:rPr>
        <w:t>5.14</w:t>
      </w:r>
      <w:r w:rsidR="00C317F3" w:rsidRPr="005709F0">
        <w:rPr>
          <w:b/>
          <w:sz w:val="36"/>
          <w:szCs w:val="36"/>
        </w:rPr>
        <w:tab/>
      </w:r>
      <w:r w:rsidR="00B63385" w:rsidRPr="005709F0">
        <w:rPr>
          <w:b/>
          <w:sz w:val="36"/>
          <w:szCs w:val="36"/>
        </w:rPr>
        <w:t>SONIDEGIB</w:t>
      </w:r>
      <w:r w:rsidR="00C317F3" w:rsidRPr="005709F0">
        <w:rPr>
          <w:b/>
          <w:sz w:val="36"/>
          <w:szCs w:val="36"/>
        </w:rPr>
        <w:t>,</w:t>
      </w:r>
      <w:r w:rsidR="009D4C2A" w:rsidRPr="005709F0">
        <w:rPr>
          <w:b/>
          <w:sz w:val="36"/>
          <w:szCs w:val="36"/>
        </w:rPr>
        <w:br/>
      </w:r>
      <w:r w:rsidR="00B63385" w:rsidRPr="005709F0">
        <w:rPr>
          <w:b/>
          <w:sz w:val="36"/>
          <w:szCs w:val="36"/>
        </w:rPr>
        <w:t>capsule</w:t>
      </w:r>
      <w:r w:rsidR="00791DE1" w:rsidRPr="005709F0">
        <w:rPr>
          <w:b/>
          <w:sz w:val="36"/>
          <w:szCs w:val="36"/>
        </w:rPr>
        <w:t xml:space="preserve"> </w:t>
      </w:r>
      <w:r w:rsidR="00B63385" w:rsidRPr="005709F0">
        <w:rPr>
          <w:b/>
          <w:sz w:val="36"/>
          <w:szCs w:val="36"/>
        </w:rPr>
        <w:t>200</w:t>
      </w:r>
      <w:r w:rsidR="00043FCA" w:rsidRPr="005709F0">
        <w:rPr>
          <w:b/>
        </w:rPr>
        <w:t> </w:t>
      </w:r>
      <w:r w:rsidR="00B63385" w:rsidRPr="005709F0">
        <w:rPr>
          <w:b/>
          <w:sz w:val="36"/>
          <w:szCs w:val="36"/>
        </w:rPr>
        <w:t>mg</w:t>
      </w:r>
      <w:r w:rsidR="000E32AC" w:rsidRPr="005709F0">
        <w:rPr>
          <w:b/>
          <w:sz w:val="36"/>
          <w:szCs w:val="36"/>
        </w:rPr>
        <w:t>,</w:t>
      </w:r>
      <w:r w:rsidR="000E32AC" w:rsidRPr="005709F0">
        <w:rPr>
          <w:b/>
          <w:sz w:val="36"/>
          <w:szCs w:val="36"/>
        </w:rPr>
        <w:br/>
      </w:r>
      <w:r w:rsidR="00B63385" w:rsidRPr="005709F0">
        <w:rPr>
          <w:b/>
          <w:sz w:val="36"/>
          <w:szCs w:val="36"/>
        </w:rPr>
        <w:t>Odomzo</w:t>
      </w:r>
      <w:r w:rsidR="00C317F3" w:rsidRPr="005709F0">
        <w:rPr>
          <w:b/>
          <w:sz w:val="36"/>
          <w:szCs w:val="36"/>
        </w:rPr>
        <w:t xml:space="preserve">®, </w:t>
      </w:r>
      <w:r w:rsidR="00B63385" w:rsidRPr="005709F0">
        <w:rPr>
          <w:b/>
          <w:sz w:val="32"/>
        </w:rPr>
        <w:t>Sun Pharma Limited</w:t>
      </w:r>
    </w:p>
    <w:p w:rsidR="00C317F3" w:rsidRPr="005709F0" w:rsidRDefault="00C317F3" w:rsidP="00A50B2C">
      <w:pPr>
        <w:pStyle w:val="PBACHeading1"/>
        <w:outlineLvl w:val="0"/>
      </w:pPr>
      <w:bookmarkStart w:id="1" w:name="_Toc413139271"/>
      <w:bookmarkStart w:id="2" w:name="_Toc493060955"/>
      <w:r w:rsidRPr="005709F0">
        <w:t xml:space="preserve">Purpose of </w:t>
      </w:r>
      <w:r w:rsidR="00661286" w:rsidRPr="005709F0">
        <w:t>a</w:t>
      </w:r>
      <w:r w:rsidRPr="005709F0">
        <w:t>pplication</w:t>
      </w:r>
      <w:bookmarkEnd w:id="1"/>
      <w:bookmarkEnd w:id="2"/>
    </w:p>
    <w:p w:rsidR="00A81621" w:rsidRPr="005709F0" w:rsidRDefault="0080282F" w:rsidP="00860DC8">
      <w:pPr>
        <w:pStyle w:val="ListParagraph"/>
        <w:numPr>
          <w:ilvl w:val="1"/>
          <w:numId w:val="3"/>
        </w:numPr>
        <w:spacing w:before="0" w:after="120"/>
      </w:pPr>
      <w:bookmarkStart w:id="3" w:name="_Toc413139282"/>
      <w:r w:rsidRPr="005709F0">
        <w:t xml:space="preserve">The submission requested a </w:t>
      </w:r>
      <w:r w:rsidR="00A81621" w:rsidRPr="005709F0">
        <w:t xml:space="preserve">Section 85 (Authority Required) listing for sonidegib for the treatment of locally advanced </w:t>
      </w:r>
      <w:r w:rsidR="00D41809" w:rsidRPr="005709F0">
        <w:t xml:space="preserve">basal cell carcinoma (laBCC) </w:t>
      </w:r>
      <w:r w:rsidR="00A81621" w:rsidRPr="005709F0">
        <w:t xml:space="preserve">or metastatic </w:t>
      </w:r>
      <w:r w:rsidR="00D41809" w:rsidRPr="005709F0">
        <w:t>BCC (mBCC)</w:t>
      </w:r>
      <w:r w:rsidR="00A81621" w:rsidRPr="005709F0">
        <w:t xml:space="preserve">, who are inappropriate for surgery and curative radiotherapy due to the type, size, location, depth of penetration of the lesions and extent of the disease. </w:t>
      </w:r>
    </w:p>
    <w:p w:rsidR="00A81621" w:rsidRPr="005709F0" w:rsidRDefault="00A81621" w:rsidP="00860DC8">
      <w:pPr>
        <w:pStyle w:val="ListParagraph"/>
        <w:numPr>
          <w:ilvl w:val="1"/>
          <w:numId w:val="3"/>
        </w:numPr>
        <w:spacing w:before="0" w:after="120"/>
      </w:pPr>
      <w:r w:rsidRPr="005709F0">
        <w:t xml:space="preserve">The requested listing was based on a cost-minimisation analysis of sonidegib compared with vismodegib for patients with </w:t>
      </w:r>
      <w:r w:rsidR="00D41809" w:rsidRPr="005709F0">
        <w:t>laBCC</w:t>
      </w:r>
      <w:r w:rsidRPr="005709F0">
        <w:t xml:space="preserve"> or </w:t>
      </w:r>
      <w:r w:rsidR="00D41809" w:rsidRPr="005709F0">
        <w:t>mBCC</w:t>
      </w:r>
      <w:r w:rsidRPr="005709F0">
        <w:t>.</w:t>
      </w:r>
    </w:p>
    <w:p w:rsidR="00A81621" w:rsidRPr="005709F0" w:rsidRDefault="003814F3" w:rsidP="00A81621">
      <w:pPr>
        <w:spacing w:before="0" w:after="60"/>
        <w:rPr>
          <w:b/>
        </w:rPr>
      </w:pPr>
      <w:r w:rsidRPr="005709F0">
        <w:rPr>
          <w:rFonts w:ascii="Arial Narrow" w:hAnsi="Arial Narrow"/>
          <w:b/>
          <w:sz w:val="20"/>
          <w:szCs w:val="20"/>
        </w:rPr>
        <w:t>Table 1</w:t>
      </w:r>
      <w:r w:rsidR="00A81621" w:rsidRPr="005709F0">
        <w:rPr>
          <w:rFonts w:ascii="Arial Narrow" w:hAnsi="Arial Narrow"/>
          <w:b/>
          <w:sz w:val="20"/>
          <w:szCs w:val="20"/>
        </w:rPr>
        <w:t>: Key components of the clinical issue addressed by the submission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Table 1: Key components of the clinical issue addressed by the submission"/>
      </w:tblPr>
      <w:tblGrid>
        <w:gridCol w:w="1739"/>
        <w:gridCol w:w="7503"/>
      </w:tblGrid>
      <w:tr w:rsidR="00A81621" w:rsidRPr="005709F0" w:rsidTr="000E32AC">
        <w:trPr>
          <w:cnfStyle w:val="100000000000" w:firstRow="1" w:lastRow="0" w:firstColumn="0" w:lastColumn="0" w:oddVBand="0" w:evenVBand="0" w:oddHBand="0" w:evenHBand="0" w:firstRowFirstColumn="0" w:firstRowLastColumn="0" w:lastRowFirstColumn="0" w:lastRowLastColumn="0"/>
          <w:cantSplit/>
          <w:tblHeader/>
        </w:trPr>
        <w:tc>
          <w:tcPr>
            <w:tcW w:w="941" w:type="pct"/>
            <w:shd w:val="clear" w:color="auto" w:fill="FFFFFF" w:themeFill="background1"/>
          </w:tcPr>
          <w:p w:rsidR="00A81621" w:rsidRPr="005709F0" w:rsidRDefault="00A81621" w:rsidP="0056640A">
            <w:pPr>
              <w:pStyle w:val="TableText"/>
              <w:spacing w:before="0" w:after="0"/>
              <w:rPr>
                <w:b w:val="0"/>
              </w:rPr>
            </w:pPr>
            <w:r w:rsidRPr="005709F0">
              <w:t>Component</w:t>
            </w:r>
          </w:p>
        </w:tc>
        <w:tc>
          <w:tcPr>
            <w:tcW w:w="4059" w:type="pct"/>
            <w:shd w:val="clear" w:color="auto" w:fill="FFFFFF" w:themeFill="background1"/>
          </w:tcPr>
          <w:p w:rsidR="00A81621" w:rsidRPr="005709F0" w:rsidRDefault="00A81621" w:rsidP="0056640A">
            <w:pPr>
              <w:pStyle w:val="TableText"/>
              <w:spacing w:before="0" w:after="0"/>
              <w:rPr>
                <w:b w:val="0"/>
              </w:rPr>
            </w:pPr>
            <w:r w:rsidRPr="005709F0">
              <w:t>Description</w:t>
            </w:r>
          </w:p>
        </w:tc>
      </w:tr>
      <w:tr w:rsidR="00A81621" w:rsidRPr="005709F0" w:rsidTr="000E32AC">
        <w:trPr>
          <w:cantSplit/>
        </w:trPr>
        <w:tc>
          <w:tcPr>
            <w:tcW w:w="941" w:type="pct"/>
            <w:shd w:val="clear" w:color="auto" w:fill="FFFFFF" w:themeFill="background1"/>
          </w:tcPr>
          <w:p w:rsidR="00A81621" w:rsidRPr="005709F0" w:rsidRDefault="00A81621" w:rsidP="0056640A">
            <w:pPr>
              <w:pStyle w:val="TableText"/>
              <w:spacing w:before="0" w:after="0"/>
            </w:pPr>
            <w:r w:rsidRPr="005709F0">
              <w:t>Population</w:t>
            </w:r>
          </w:p>
        </w:tc>
        <w:tc>
          <w:tcPr>
            <w:tcW w:w="4059" w:type="pct"/>
            <w:shd w:val="clear" w:color="auto" w:fill="FFFFFF" w:themeFill="background1"/>
          </w:tcPr>
          <w:p w:rsidR="00A81621" w:rsidRPr="005709F0" w:rsidRDefault="00A81621" w:rsidP="0056640A">
            <w:pPr>
              <w:pStyle w:val="TableText"/>
              <w:spacing w:before="0" w:after="0"/>
              <w:rPr>
                <w:rFonts w:eastAsia="Times New Roman" w:cs="Times New Roman"/>
              </w:rPr>
            </w:pPr>
            <w:r w:rsidRPr="005709F0">
              <w:rPr>
                <w:szCs w:val="20"/>
              </w:rPr>
              <w:t>laBCC or mBCC patients where surgery and radiation therapy are not appropriate</w:t>
            </w:r>
          </w:p>
        </w:tc>
      </w:tr>
      <w:tr w:rsidR="00A81621" w:rsidRPr="005709F0" w:rsidTr="000E32AC">
        <w:trPr>
          <w:cantSplit/>
        </w:trPr>
        <w:tc>
          <w:tcPr>
            <w:tcW w:w="941" w:type="pct"/>
            <w:shd w:val="clear" w:color="auto" w:fill="FFFFFF" w:themeFill="background1"/>
          </w:tcPr>
          <w:p w:rsidR="00A81621" w:rsidRPr="005709F0" w:rsidRDefault="00A81621" w:rsidP="0056640A">
            <w:pPr>
              <w:pStyle w:val="TableText"/>
              <w:spacing w:before="0" w:after="0"/>
              <w:rPr>
                <w:rFonts w:eastAsia="Times New Roman" w:cs="Times New Roman"/>
              </w:rPr>
            </w:pPr>
            <w:r w:rsidRPr="005709F0">
              <w:t>Intervention</w:t>
            </w:r>
          </w:p>
        </w:tc>
        <w:tc>
          <w:tcPr>
            <w:tcW w:w="4059" w:type="pct"/>
            <w:shd w:val="clear" w:color="auto" w:fill="FFFFFF" w:themeFill="background1"/>
          </w:tcPr>
          <w:p w:rsidR="00A81621" w:rsidRPr="005709F0" w:rsidRDefault="00A81621" w:rsidP="00043FCA">
            <w:pPr>
              <w:pStyle w:val="TableText"/>
              <w:spacing w:before="0" w:after="0"/>
              <w:rPr>
                <w:rFonts w:eastAsia="Times New Roman" w:cs="Times New Roman"/>
              </w:rPr>
            </w:pPr>
            <w:r w:rsidRPr="005709F0">
              <w:rPr>
                <w:szCs w:val="20"/>
              </w:rPr>
              <w:t>Sonidegib 200</w:t>
            </w:r>
            <w:r w:rsidR="00043FCA" w:rsidRPr="005709F0">
              <w:rPr>
                <w:szCs w:val="20"/>
              </w:rPr>
              <w:t> </w:t>
            </w:r>
            <w:r w:rsidRPr="005709F0">
              <w:rPr>
                <w:szCs w:val="20"/>
              </w:rPr>
              <w:t>mg capsules, daily oral administration</w:t>
            </w:r>
          </w:p>
        </w:tc>
      </w:tr>
      <w:tr w:rsidR="00A81621" w:rsidRPr="005709F0" w:rsidTr="000E32AC">
        <w:trPr>
          <w:cantSplit/>
        </w:trPr>
        <w:tc>
          <w:tcPr>
            <w:tcW w:w="941" w:type="pct"/>
            <w:shd w:val="clear" w:color="auto" w:fill="FFFFFF" w:themeFill="background1"/>
          </w:tcPr>
          <w:p w:rsidR="00A81621" w:rsidRPr="005709F0" w:rsidRDefault="00A81621" w:rsidP="0056640A">
            <w:pPr>
              <w:pStyle w:val="TableText"/>
              <w:spacing w:before="0" w:after="0"/>
              <w:rPr>
                <w:rFonts w:eastAsia="Times New Roman" w:cs="Times New Roman"/>
              </w:rPr>
            </w:pPr>
            <w:r w:rsidRPr="005709F0">
              <w:t>Comparator</w:t>
            </w:r>
          </w:p>
        </w:tc>
        <w:tc>
          <w:tcPr>
            <w:tcW w:w="4059" w:type="pct"/>
            <w:shd w:val="clear" w:color="auto" w:fill="FFFFFF" w:themeFill="background1"/>
          </w:tcPr>
          <w:p w:rsidR="00A81621" w:rsidRPr="005709F0" w:rsidRDefault="00A81621" w:rsidP="0056640A">
            <w:pPr>
              <w:pStyle w:val="TableText"/>
              <w:spacing w:before="0" w:after="0"/>
              <w:rPr>
                <w:rFonts w:eastAsia="Times New Roman" w:cs="Times New Roman"/>
              </w:rPr>
            </w:pPr>
            <w:r w:rsidRPr="005709F0">
              <w:rPr>
                <w:szCs w:val="20"/>
              </w:rPr>
              <w:t>Vismodegib 150</w:t>
            </w:r>
            <w:r w:rsidR="00043FCA" w:rsidRPr="005709F0">
              <w:rPr>
                <w:szCs w:val="20"/>
              </w:rPr>
              <w:t> </w:t>
            </w:r>
            <w:r w:rsidRPr="005709F0">
              <w:rPr>
                <w:szCs w:val="20"/>
              </w:rPr>
              <w:t>mg capsules, daily oral administration</w:t>
            </w:r>
          </w:p>
        </w:tc>
      </w:tr>
      <w:tr w:rsidR="00A81621" w:rsidRPr="005709F0" w:rsidTr="000E32AC">
        <w:trPr>
          <w:cantSplit/>
        </w:trPr>
        <w:tc>
          <w:tcPr>
            <w:tcW w:w="941" w:type="pct"/>
            <w:shd w:val="clear" w:color="auto" w:fill="FFFFFF" w:themeFill="background1"/>
          </w:tcPr>
          <w:p w:rsidR="00A81621" w:rsidRPr="005709F0" w:rsidRDefault="00A81621" w:rsidP="0056640A">
            <w:pPr>
              <w:pStyle w:val="TableText"/>
              <w:spacing w:before="0" w:after="0"/>
              <w:rPr>
                <w:rFonts w:eastAsia="Times New Roman" w:cs="Times New Roman"/>
              </w:rPr>
            </w:pPr>
            <w:r w:rsidRPr="005709F0">
              <w:t>Outcomes</w:t>
            </w:r>
          </w:p>
        </w:tc>
        <w:tc>
          <w:tcPr>
            <w:tcW w:w="4059" w:type="pct"/>
            <w:shd w:val="clear" w:color="auto" w:fill="FFFFFF" w:themeFill="background1"/>
          </w:tcPr>
          <w:p w:rsidR="00A81621" w:rsidRPr="005709F0" w:rsidRDefault="00A81621" w:rsidP="0056640A">
            <w:pPr>
              <w:pStyle w:val="TableText"/>
              <w:spacing w:before="0" w:after="0"/>
              <w:rPr>
                <w:rFonts w:eastAsia="Times New Roman" w:cs="Times New Roman"/>
              </w:rPr>
            </w:pPr>
            <w:r w:rsidRPr="005709F0">
              <w:rPr>
                <w:szCs w:val="20"/>
              </w:rPr>
              <w:t>Objective response rate, duration of response, progression-free survival and safety</w:t>
            </w:r>
          </w:p>
        </w:tc>
      </w:tr>
      <w:tr w:rsidR="00A81621" w:rsidRPr="005709F0" w:rsidTr="000E32AC">
        <w:trPr>
          <w:cantSplit/>
        </w:trPr>
        <w:tc>
          <w:tcPr>
            <w:tcW w:w="941" w:type="pct"/>
            <w:shd w:val="clear" w:color="auto" w:fill="FFFFFF" w:themeFill="background1"/>
          </w:tcPr>
          <w:p w:rsidR="00A81621" w:rsidRPr="005709F0" w:rsidRDefault="00A81621" w:rsidP="0056640A">
            <w:pPr>
              <w:pStyle w:val="TableText"/>
              <w:spacing w:before="0" w:after="0"/>
              <w:rPr>
                <w:rFonts w:eastAsia="Times New Roman" w:cs="Times New Roman"/>
              </w:rPr>
            </w:pPr>
            <w:r w:rsidRPr="005709F0">
              <w:t>Clinical claim</w:t>
            </w:r>
          </w:p>
        </w:tc>
        <w:tc>
          <w:tcPr>
            <w:tcW w:w="4059" w:type="pct"/>
            <w:shd w:val="clear" w:color="auto" w:fill="FFFFFF" w:themeFill="background1"/>
          </w:tcPr>
          <w:p w:rsidR="00A81621" w:rsidRPr="005709F0" w:rsidRDefault="00A81621" w:rsidP="0056640A">
            <w:pPr>
              <w:pStyle w:val="TableText"/>
              <w:spacing w:before="0" w:after="0"/>
              <w:rPr>
                <w:rFonts w:eastAsia="Times New Roman" w:cs="Times New Roman"/>
              </w:rPr>
            </w:pPr>
            <w:r w:rsidRPr="005709F0">
              <w:rPr>
                <w:szCs w:val="20"/>
              </w:rPr>
              <w:t>In patients with mBCC or with laBCC who are not amenable to curative surgery or radiation therapy, sonidegib 200</w:t>
            </w:r>
            <w:r w:rsidR="00043FCA" w:rsidRPr="005709F0">
              <w:rPr>
                <w:szCs w:val="20"/>
              </w:rPr>
              <w:t> </w:t>
            </w:r>
            <w:r w:rsidRPr="005709F0">
              <w:rPr>
                <w:szCs w:val="20"/>
              </w:rPr>
              <w:t>mg is as effective as vismodegib 150</w:t>
            </w:r>
            <w:r w:rsidR="00043FCA" w:rsidRPr="005709F0">
              <w:rPr>
                <w:szCs w:val="20"/>
              </w:rPr>
              <w:t> </w:t>
            </w:r>
            <w:r w:rsidRPr="005709F0">
              <w:rPr>
                <w:szCs w:val="20"/>
              </w:rPr>
              <w:t>mg at improving objective response rates and reducing treatment related adverse events.</w:t>
            </w:r>
          </w:p>
        </w:tc>
      </w:tr>
    </w:tbl>
    <w:p w:rsidR="00A81621" w:rsidRPr="005709F0" w:rsidRDefault="00A81621" w:rsidP="00A81621">
      <w:pPr>
        <w:spacing w:before="0" w:after="0"/>
        <w:rPr>
          <w:rFonts w:ascii="Arial Narrow" w:hAnsi="Arial Narrow"/>
          <w:sz w:val="18"/>
          <w:szCs w:val="18"/>
        </w:rPr>
      </w:pPr>
      <w:r w:rsidRPr="005709F0">
        <w:rPr>
          <w:rFonts w:ascii="Arial Narrow" w:hAnsi="Arial Narrow"/>
          <w:sz w:val="18"/>
          <w:szCs w:val="18"/>
        </w:rPr>
        <w:t>laBCC = locally advanced basal cell carcinoma; mBCC = metastatic basal cell carcinoma</w:t>
      </w:r>
    </w:p>
    <w:p w:rsidR="00A81621" w:rsidRPr="005709F0" w:rsidRDefault="00A81621" w:rsidP="00A81621">
      <w:pPr>
        <w:spacing w:before="0" w:after="60"/>
        <w:rPr>
          <w:b/>
        </w:rPr>
      </w:pPr>
      <w:r w:rsidRPr="005709F0">
        <w:rPr>
          <w:rFonts w:ascii="Arial Narrow" w:hAnsi="Arial Narrow"/>
          <w:sz w:val="18"/>
          <w:szCs w:val="18"/>
        </w:rPr>
        <w:t>Source: Table 1.1-1, p2 of the main submission.</w:t>
      </w:r>
    </w:p>
    <w:p w:rsidR="00A81621" w:rsidRPr="005709F0" w:rsidRDefault="00A81621" w:rsidP="00A50B2C">
      <w:pPr>
        <w:pStyle w:val="PBACHeading1"/>
        <w:outlineLvl w:val="0"/>
      </w:pPr>
      <w:bookmarkStart w:id="4" w:name="_Toc413139272"/>
      <w:bookmarkStart w:id="5" w:name="_Toc493060956"/>
      <w:r w:rsidRPr="005709F0">
        <w:t>Requested listing</w:t>
      </w:r>
      <w:bookmarkEnd w:id="4"/>
      <w:bookmarkEnd w:id="5"/>
      <w:r w:rsidRPr="005709F0">
        <w:t xml:space="preserve"> </w:t>
      </w:r>
    </w:p>
    <w:p w:rsidR="00D14FA6" w:rsidRDefault="004D0F59" w:rsidP="00860DC8">
      <w:pPr>
        <w:pStyle w:val="ListParagraph"/>
        <w:numPr>
          <w:ilvl w:val="1"/>
          <w:numId w:val="3"/>
        </w:numPr>
        <w:rPr>
          <w:rFonts w:cs="Arial"/>
          <w:szCs w:val="24"/>
        </w:rPr>
      </w:pPr>
      <w:r w:rsidRPr="00E52D54" w:rsidDel="00BA0A6D">
        <w:t xml:space="preserve">The </w:t>
      </w:r>
      <w:r w:rsidR="00E52D54" w:rsidRPr="00E52D54" w:rsidDel="00BA0A6D">
        <w:t>PBAC</w:t>
      </w:r>
      <w:r w:rsidRPr="00E52D54" w:rsidDel="00BA0A6D">
        <w:t xml:space="preserve"> </w:t>
      </w:r>
      <w:r w:rsidR="00E52D54" w:rsidRPr="00E52D54" w:rsidDel="00BA0A6D">
        <w:t xml:space="preserve">advised that the </w:t>
      </w:r>
      <w:r w:rsidRPr="00E52D54" w:rsidDel="00BA0A6D">
        <w:t>restriction</w:t>
      </w:r>
      <w:r w:rsidR="00BA0A6D">
        <w:t xml:space="preserve"> for </w:t>
      </w:r>
      <w:r w:rsidR="00D14FA6">
        <w:t>sonidegib</w:t>
      </w:r>
      <w:r w:rsidRPr="00E52D54" w:rsidDel="00BA0A6D">
        <w:t xml:space="preserve"> </w:t>
      </w:r>
      <w:r w:rsidR="00E52D54" w:rsidRPr="00E52D54" w:rsidDel="00BA0A6D">
        <w:t>should be the same as the</w:t>
      </w:r>
      <w:r w:rsidRPr="00E52D54" w:rsidDel="00BA0A6D">
        <w:t xml:space="preserve"> current listing for vismodegib</w:t>
      </w:r>
      <w:r w:rsidR="00A658B5">
        <w:t>.</w:t>
      </w:r>
      <w:r w:rsidRPr="00E52D54" w:rsidDel="00BA0A6D">
        <w:t xml:space="preserve"> </w:t>
      </w:r>
      <w:r w:rsidR="00A658B5">
        <w:t>The changes to the requested listing to match the vismodegib listing along with those requested by the PBAC are updated below with</w:t>
      </w:r>
      <w:r w:rsidR="00A658B5" w:rsidRPr="00E52D54" w:rsidDel="00BA0A6D">
        <w:t xml:space="preserve"> </w:t>
      </w:r>
      <w:r w:rsidRPr="00BA0A6D" w:rsidDel="00BA0A6D">
        <w:rPr>
          <w:rFonts w:cs="Arial"/>
          <w:szCs w:val="24"/>
        </w:rPr>
        <w:t xml:space="preserve">additions in italics and </w:t>
      </w:r>
      <w:r w:rsidR="00B157CD" w:rsidRPr="00BA0A6D" w:rsidDel="00BA0A6D">
        <w:rPr>
          <w:rFonts w:cs="Arial"/>
          <w:szCs w:val="24"/>
        </w:rPr>
        <w:t xml:space="preserve">deletions </w:t>
      </w:r>
      <w:r w:rsidRPr="00BA0A6D" w:rsidDel="00BA0A6D">
        <w:rPr>
          <w:rFonts w:cs="Arial"/>
          <w:szCs w:val="24"/>
        </w:rPr>
        <w:t>in strikethrough.</w:t>
      </w:r>
    </w:p>
    <w:p w:rsidR="00D14FA6" w:rsidRDefault="00D14FA6">
      <w:pPr>
        <w:spacing w:before="0" w:line="259" w:lineRule="auto"/>
        <w:jc w:val="left"/>
        <w:rPr>
          <w:rFonts w:cs="Arial"/>
          <w:szCs w:val="24"/>
        </w:rPr>
      </w:pPr>
      <w:r>
        <w:rPr>
          <w:rFonts w:cs="Arial"/>
          <w:szCs w:val="24"/>
        </w:rPr>
        <w:br w:type="page"/>
      </w: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4D0F59" w:rsidRPr="00260CE3" w:rsidTr="00B157CD">
        <w:trPr>
          <w:cantSplit/>
          <w:trHeight w:val="471"/>
        </w:trPr>
        <w:tc>
          <w:tcPr>
            <w:tcW w:w="3261" w:type="dxa"/>
            <w:gridSpan w:val="2"/>
            <w:tcBorders>
              <w:bottom w:val="single" w:sz="4" w:space="0" w:color="auto"/>
            </w:tcBorders>
          </w:tcPr>
          <w:p w:rsidR="004D0F59" w:rsidRPr="00260CE3" w:rsidRDefault="004D0F59" w:rsidP="00B157CD">
            <w:pPr>
              <w:keepNext/>
              <w:spacing w:before="0" w:after="0"/>
              <w:ind w:left="-108"/>
              <w:rPr>
                <w:rFonts w:ascii="Arial Narrow" w:hAnsi="Arial Narrow" w:cs="Arial"/>
                <w:sz w:val="20"/>
                <w:szCs w:val="20"/>
              </w:rPr>
            </w:pPr>
            <w:r w:rsidRPr="00260CE3">
              <w:rPr>
                <w:rFonts w:ascii="Arial Narrow" w:hAnsi="Arial Narrow" w:cs="Arial"/>
                <w:sz w:val="20"/>
                <w:szCs w:val="20"/>
              </w:rPr>
              <w:lastRenderedPageBreak/>
              <w:t>Name, Restriction,</w:t>
            </w:r>
          </w:p>
          <w:p w:rsidR="004D0F59" w:rsidRPr="00260CE3" w:rsidRDefault="004D0F59" w:rsidP="00B157CD">
            <w:pPr>
              <w:keepNext/>
              <w:spacing w:before="0" w:after="0"/>
              <w:ind w:left="-108"/>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4D0F59" w:rsidRPr="00260CE3" w:rsidRDefault="004D0F59" w:rsidP="00B157CD">
            <w:pPr>
              <w:keepNext/>
              <w:spacing w:before="0" w:after="0"/>
              <w:ind w:left="-108"/>
              <w:rPr>
                <w:rFonts w:ascii="Arial Narrow" w:hAnsi="Arial Narrow" w:cs="Arial"/>
                <w:sz w:val="20"/>
                <w:szCs w:val="20"/>
              </w:rPr>
            </w:pPr>
            <w:r w:rsidRPr="00260CE3">
              <w:rPr>
                <w:rFonts w:ascii="Arial Narrow" w:hAnsi="Arial Narrow" w:cs="Arial"/>
                <w:sz w:val="20"/>
                <w:szCs w:val="20"/>
              </w:rPr>
              <w:t>Max.</w:t>
            </w:r>
          </w:p>
          <w:p w:rsidR="004D0F59" w:rsidRPr="00260CE3" w:rsidRDefault="004D0F59" w:rsidP="00B157CD">
            <w:pPr>
              <w:keepNext/>
              <w:spacing w:before="0" w:after="0"/>
              <w:ind w:left="-108"/>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4D0F59" w:rsidRPr="00260CE3" w:rsidRDefault="004D0F59" w:rsidP="00B157CD">
            <w:pPr>
              <w:keepNext/>
              <w:spacing w:before="0" w:after="0"/>
              <w:ind w:left="-108"/>
              <w:rPr>
                <w:rFonts w:ascii="Arial Narrow" w:hAnsi="Arial Narrow" w:cs="Arial"/>
                <w:sz w:val="20"/>
                <w:szCs w:val="20"/>
              </w:rPr>
            </w:pPr>
            <w:r w:rsidRPr="00260CE3">
              <w:rPr>
                <w:rFonts w:ascii="Arial Narrow" w:hAnsi="Arial Narrow" w:cs="Arial"/>
                <w:sz w:val="20"/>
                <w:szCs w:val="20"/>
              </w:rPr>
              <w:t>№.of</w:t>
            </w:r>
          </w:p>
          <w:p w:rsidR="004D0F59" w:rsidRPr="00260CE3" w:rsidRDefault="004D0F59" w:rsidP="00B157CD">
            <w:pPr>
              <w:keepNext/>
              <w:spacing w:before="0" w:after="0"/>
              <w:ind w:left="-108"/>
              <w:rPr>
                <w:rFonts w:ascii="Arial Narrow" w:hAnsi="Arial Narrow" w:cs="Arial"/>
                <w:sz w:val="20"/>
                <w:szCs w:val="20"/>
              </w:rPr>
            </w:pPr>
            <w:r w:rsidRPr="00260CE3">
              <w:rPr>
                <w:rFonts w:ascii="Arial Narrow" w:hAnsi="Arial Narrow" w:cs="Arial"/>
                <w:sz w:val="20"/>
                <w:szCs w:val="20"/>
              </w:rPr>
              <w:t>Rpts</w:t>
            </w:r>
          </w:p>
        </w:tc>
        <w:tc>
          <w:tcPr>
            <w:tcW w:w="1701" w:type="dxa"/>
            <w:tcBorders>
              <w:bottom w:val="single" w:sz="4" w:space="0" w:color="auto"/>
            </w:tcBorders>
          </w:tcPr>
          <w:p w:rsidR="004D0F59" w:rsidRPr="00260CE3" w:rsidRDefault="004D0F59" w:rsidP="00B157CD">
            <w:pPr>
              <w:keepNext/>
              <w:spacing w:before="0" w:after="0"/>
              <w:ind w:left="-108"/>
              <w:rPr>
                <w:rFonts w:ascii="Arial Narrow" w:hAnsi="Arial Narrow" w:cs="Arial"/>
                <w:sz w:val="20"/>
                <w:szCs w:val="20"/>
              </w:rPr>
            </w:pPr>
            <w:r w:rsidRPr="00260CE3">
              <w:rPr>
                <w:rFonts w:ascii="Arial Narrow" w:hAnsi="Arial Narrow" w:cs="Arial"/>
                <w:sz w:val="20"/>
                <w:szCs w:val="20"/>
              </w:rPr>
              <w:t>Dispensed Price for Max. Qty</w:t>
            </w:r>
          </w:p>
        </w:tc>
        <w:tc>
          <w:tcPr>
            <w:tcW w:w="2835" w:type="dxa"/>
            <w:gridSpan w:val="2"/>
            <w:tcBorders>
              <w:bottom w:val="single" w:sz="4" w:space="0" w:color="auto"/>
            </w:tcBorders>
          </w:tcPr>
          <w:p w:rsidR="004D0F59" w:rsidRPr="00260CE3" w:rsidRDefault="004D0F59" w:rsidP="00B157CD">
            <w:pPr>
              <w:keepNext/>
              <w:spacing w:before="0" w:after="0"/>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4D0F59" w:rsidRPr="00260CE3" w:rsidTr="00B157CD">
        <w:trPr>
          <w:cantSplit/>
          <w:trHeight w:val="577"/>
        </w:trPr>
        <w:tc>
          <w:tcPr>
            <w:tcW w:w="3261" w:type="dxa"/>
            <w:gridSpan w:val="2"/>
          </w:tcPr>
          <w:p w:rsidR="004D0F59" w:rsidRPr="00260CE3" w:rsidRDefault="00871B2E" w:rsidP="00B157CD">
            <w:pPr>
              <w:keepNext/>
              <w:spacing w:before="0" w:after="0"/>
              <w:ind w:left="-108"/>
              <w:rPr>
                <w:rFonts w:ascii="Arial Narrow" w:hAnsi="Arial Narrow" w:cs="Arial"/>
                <w:sz w:val="20"/>
                <w:szCs w:val="20"/>
              </w:rPr>
            </w:pPr>
            <w:r>
              <w:rPr>
                <w:rFonts w:ascii="Arial Narrow" w:hAnsi="Arial Narrow" w:cs="Arial"/>
                <w:smallCaps/>
                <w:sz w:val="20"/>
                <w:szCs w:val="20"/>
              </w:rPr>
              <w:t>SONIDEGIB</w:t>
            </w:r>
          </w:p>
          <w:p w:rsidR="004D0F59" w:rsidRPr="00260CE3" w:rsidRDefault="004D0F59" w:rsidP="00B157CD">
            <w:pPr>
              <w:keepNext/>
              <w:spacing w:before="0" w:after="0"/>
              <w:ind w:left="-108"/>
              <w:rPr>
                <w:rFonts w:ascii="Arial Narrow" w:hAnsi="Arial Narrow" w:cs="Arial"/>
                <w:sz w:val="20"/>
                <w:szCs w:val="20"/>
              </w:rPr>
            </w:pPr>
            <w:r>
              <w:rPr>
                <w:rFonts w:ascii="Arial Narrow" w:hAnsi="Arial Narrow" w:cs="Arial"/>
                <w:sz w:val="20"/>
                <w:szCs w:val="20"/>
              </w:rPr>
              <w:t>Capsule 200 mg, 30</w:t>
            </w:r>
          </w:p>
        </w:tc>
        <w:tc>
          <w:tcPr>
            <w:tcW w:w="567" w:type="dxa"/>
          </w:tcPr>
          <w:p w:rsidR="004D0F59" w:rsidRPr="00260CE3" w:rsidRDefault="004D0F59" w:rsidP="00B157CD">
            <w:pPr>
              <w:keepNext/>
              <w:spacing w:before="0" w:after="0"/>
              <w:ind w:left="-108"/>
              <w:rPr>
                <w:rFonts w:ascii="Arial Narrow" w:hAnsi="Arial Narrow" w:cs="Arial"/>
                <w:sz w:val="20"/>
                <w:szCs w:val="20"/>
              </w:rPr>
            </w:pPr>
          </w:p>
          <w:p w:rsidR="004D0F59" w:rsidRPr="00260CE3" w:rsidRDefault="004D0F59" w:rsidP="00B157CD">
            <w:pPr>
              <w:keepNext/>
              <w:spacing w:before="0" w:after="0"/>
              <w:ind w:left="-108"/>
              <w:rPr>
                <w:rFonts w:ascii="Arial Narrow" w:hAnsi="Arial Narrow" w:cs="Arial"/>
                <w:sz w:val="20"/>
                <w:szCs w:val="20"/>
              </w:rPr>
            </w:pPr>
            <w:r>
              <w:rPr>
                <w:rFonts w:ascii="Arial Narrow" w:hAnsi="Arial Narrow" w:cs="Arial"/>
                <w:sz w:val="20"/>
                <w:szCs w:val="20"/>
              </w:rPr>
              <w:t>1</w:t>
            </w:r>
          </w:p>
        </w:tc>
        <w:tc>
          <w:tcPr>
            <w:tcW w:w="850" w:type="dxa"/>
          </w:tcPr>
          <w:p w:rsidR="004D0F59" w:rsidRPr="00260CE3" w:rsidRDefault="004D0F59" w:rsidP="00B157CD">
            <w:pPr>
              <w:keepNext/>
              <w:spacing w:before="0" w:after="0"/>
              <w:ind w:left="-108"/>
              <w:rPr>
                <w:rFonts w:ascii="Arial Narrow" w:hAnsi="Arial Narrow" w:cs="Arial"/>
                <w:sz w:val="20"/>
                <w:szCs w:val="20"/>
              </w:rPr>
            </w:pPr>
          </w:p>
          <w:p w:rsidR="004D0F59" w:rsidRPr="00260CE3" w:rsidRDefault="004D0F59" w:rsidP="00B157CD">
            <w:pPr>
              <w:keepNext/>
              <w:spacing w:before="0" w:after="0"/>
              <w:ind w:left="-108"/>
              <w:rPr>
                <w:rFonts w:ascii="Arial Narrow" w:hAnsi="Arial Narrow" w:cs="Arial"/>
                <w:sz w:val="20"/>
                <w:szCs w:val="20"/>
              </w:rPr>
            </w:pPr>
            <w:r>
              <w:rPr>
                <w:rFonts w:ascii="Arial Narrow" w:hAnsi="Arial Narrow" w:cs="Arial"/>
                <w:sz w:val="20"/>
                <w:szCs w:val="20"/>
              </w:rPr>
              <w:t>3</w:t>
            </w:r>
          </w:p>
        </w:tc>
        <w:tc>
          <w:tcPr>
            <w:tcW w:w="1701" w:type="dxa"/>
          </w:tcPr>
          <w:p w:rsidR="004D0F59" w:rsidRPr="00260CE3" w:rsidRDefault="004D0F59" w:rsidP="00B157CD">
            <w:pPr>
              <w:keepNext/>
              <w:spacing w:before="0" w:after="0"/>
              <w:ind w:left="-108"/>
              <w:rPr>
                <w:rFonts w:ascii="Arial Narrow" w:hAnsi="Arial Narrow" w:cs="Arial"/>
                <w:sz w:val="20"/>
                <w:szCs w:val="20"/>
              </w:rPr>
            </w:pPr>
          </w:p>
          <w:p w:rsidR="004D0F59" w:rsidRPr="006436BF" w:rsidRDefault="004D0F59" w:rsidP="002962D1">
            <w:pPr>
              <w:keepNext/>
              <w:spacing w:before="0" w:after="0"/>
              <w:ind w:left="-108"/>
              <w:rPr>
                <w:rFonts w:ascii="Arial Narrow" w:hAnsi="Arial Narrow" w:cs="Arial"/>
                <w:sz w:val="20"/>
                <w:szCs w:val="20"/>
                <w:vertAlign w:val="superscript"/>
              </w:rPr>
            </w:pPr>
            <w:r w:rsidRPr="00260CE3">
              <w:rPr>
                <w:rFonts w:ascii="Arial Narrow" w:hAnsi="Arial Narrow" w:cs="Arial"/>
                <w:sz w:val="20"/>
                <w:szCs w:val="20"/>
              </w:rPr>
              <w:t>$</w:t>
            </w:r>
            <w:r w:rsidR="00246360">
              <w:rPr>
                <w:rFonts w:ascii="Arial Narrow" w:hAnsi="Arial Narrow" w:cs="Arial"/>
                <w:noProof/>
                <w:color w:val="000000"/>
                <w:sz w:val="20"/>
                <w:szCs w:val="20"/>
                <w:highlight w:val="black"/>
              </w:rPr>
              <w:t>''''''''''''''''''''''</w:t>
            </w:r>
          </w:p>
        </w:tc>
        <w:tc>
          <w:tcPr>
            <w:tcW w:w="1559" w:type="dxa"/>
          </w:tcPr>
          <w:p w:rsidR="004D0F59" w:rsidRPr="00260CE3" w:rsidRDefault="004D0F59" w:rsidP="00B157CD">
            <w:pPr>
              <w:keepNext/>
              <w:spacing w:before="0" w:after="0"/>
              <w:rPr>
                <w:rFonts w:ascii="Arial Narrow" w:hAnsi="Arial Narrow" w:cs="Arial"/>
                <w:sz w:val="20"/>
                <w:szCs w:val="20"/>
              </w:rPr>
            </w:pPr>
            <w:r>
              <w:rPr>
                <w:rFonts w:ascii="Arial Narrow" w:hAnsi="Arial Narrow" w:cs="Arial"/>
                <w:sz w:val="20"/>
                <w:szCs w:val="20"/>
              </w:rPr>
              <w:t>Odomzo</w:t>
            </w:r>
          </w:p>
        </w:tc>
        <w:tc>
          <w:tcPr>
            <w:tcW w:w="1276" w:type="dxa"/>
          </w:tcPr>
          <w:p w:rsidR="004D0F59" w:rsidRPr="00260CE3" w:rsidRDefault="004D0F59" w:rsidP="00B157CD">
            <w:pPr>
              <w:keepNext/>
              <w:spacing w:before="0" w:after="0"/>
              <w:rPr>
                <w:rFonts w:ascii="Arial Narrow" w:hAnsi="Arial Narrow" w:cs="Arial"/>
                <w:sz w:val="20"/>
                <w:szCs w:val="20"/>
              </w:rPr>
            </w:pPr>
            <w:r>
              <w:rPr>
                <w:rFonts w:ascii="Arial Narrow" w:hAnsi="Arial Narrow" w:cs="Arial"/>
                <w:sz w:val="20"/>
                <w:szCs w:val="20"/>
              </w:rPr>
              <w:t>Sun Pharma Ltd.</w:t>
            </w:r>
          </w:p>
        </w:tc>
      </w:tr>
      <w:tr w:rsidR="004D0F59" w:rsidRPr="00260CE3" w:rsidTr="00B157CD">
        <w:trPr>
          <w:cantSplit/>
          <w:trHeight w:val="360"/>
        </w:trPr>
        <w:tc>
          <w:tcPr>
            <w:tcW w:w="9214" w:type="dxa"/>
            <w:gridSpan w:val="7"/>
            <w:tcBorders>
              <w:bottom w:val="single" w:sz="4" w:space="0" w:color="auto"/>
            </w:tcBorders>
          </w:tcPr>
          <w:p w:rsidR="004D0F59" w:rsidRPr="00A658B5" w:rsidRDefault="00A658B5" w:rsidP="00B157CD">
            <w:pPr>
              <w:spacing w:before="0" w:after="0"/>
              <w:rPr>
                <w:rFonts w:ascii="Arial Narrow" w:hAnsi="Arial Narrow" w:cs="Arial"/>
                <w:sz w:val="20"/>
                <w:szCs w:val="20"/>
              </w:rPr>
            </w:pPr>
            <w:r>
              <w:rPr>
                <w:rFonts w:ascii="Arial Narrow" w:hAnsi="Arial Narrow" w:cs="Arial"/>
                <w:sz w:val="20"/>
                <w:szCs w:val="20"/>
                <w:vertAlign w:val="superscript"/>
              </w:rPr>
              <w:t>*</w:t>
            </w:r>
            <w:r>
              <w:rPr>
                <w:rFonts w:ascii="Arial Narrow" w:hAnsi="Arial Narrow" w:cs="Arial"/>
                <w:sz w:val="20"/>
                <w:szCs w:val="20"/>
              </w:rPr>
              <w:t xml:space="preserve"> requested published price</w:t>
            </w:r>
            <w:r w:rsidR="002962D1">
              <w:rPr>
                <w:rFonts w:ascii="Arial Narrow" w:hAnsi="Arial Narrow" w:cs="Arial"/>
                <w:sz w:val="20"/>
                <w:szCs w:val="20"/>
              </w:rPr>
              <w:t>,</w:t>
            </w:r>
            <w:r>
              <w:rPr>
                <w:rFonts w:ascii="Arial Narrow" w:hAnsi="Arial Narrow" w:cs="Arial"/>
                <w:sz w:val="20"/>
                <w:szCs w:val="20"/>
              </w:rPr>
              <w:t xml:space="preserve"> </w:t>
            </w:r>
            <w:r w:rsidR="002962D1">
              <w:rPr>
                <w:rFonts w:ascii="Arial Narrow" w:hAnsi="Arial Narrow" w:cs="Arial"/>
                <w:sz w:val="20"/>
                <w:szCs w:val="20"/>
              </w:rPr>
              <w:t>adjusted</w:t>
            </w:r>
            <w:r w:rsidR="002962D1">
              <w:t xml:space="preserve"> </w:t>
            </w:r>
            <w:r w:rsidR="002962D1" w:rsidRPr="002962D1">
              <w:rPr>
                <w:rFonts w:ascii="Arial Narrow" w:hAnsi="Arial Narrow" w:cs="Arial"/>
                <w:sz w:val="20"/>
                <w:szCs w:val="20"/>
              </w:rPr>
              <w:t>using the mark-ups and dispensing fee as updated in July 2017</w:t>
            </w:r>
            <w:r w:rsidR="002962D1">
              <w:rPr>
                <w:rFonts w:ascii="Arial Narrow" w:hAnsi="Arial Narrow" w:cs="Arial"/>
                <w:sz w:val="20"/>
                <w:szCs w:val="20"/>
              </w:rPr>
              <w:t xml:space="preserve">, </w:t>
            </w:r>
            <w:r>
              <w:rPr>
                <w:rFonts w:ascii="Arial Narrow" w:hAnsi="Arial Narrow" w:cs="Arial"/>
                <w:sz w:val="20"/>
                <w:szCs w:val="20"/>
              </w:rPr>
              <w:t xml:space="preserve">with a </w:t>
            </w:r>
            <w:r w:rsidR="006436BF">
              <w:rPr>
                <w:rFonts w:ascii="Arial Narrow" w:hAnsi="Arial Narrow" w:cs="Arial"/>
                <w:sz w:val="20"/>
                <w:szCs w:val="20"/>
              </w:rPr>
              <w:t>Special Pr</w:t>
            </w:r>
            <w:r w:rsidR="002962D1">
              <w:rPr>
                <w:rFonts w:ascii="Arial Narrow" w:hAnsi="Arial Narrow" w:cs="Arial"/>
                <w:sz w:val="20"/>
                <w:szCs w:val="20"/>
              </w:rPr>
              <w:t>icing A</w:t>
            </w:r>
            <w:r w:rsidR="006436BF">
              <w:rPr>
                <w:rFonts w:ascii="Arial Narrow" w:hAnsi="Arial Narrow" w:cs="Arial"/>
                <w:sz w:val="20"/>
                <w:szCs w:val="20"/>
              </w:rPr>
              <w:t>rrangement requested.</w:t>
            </w:r>
          </w:p>
        </w:tc>
      </w:tr>
      <w:tr w:rsidR="004D0F59" w:rsidRPr="00260CE3" w:rsidTr="00B157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0F59" w:rsidRPr="00260CE3" w:rsidRDefault="004D0F59" w:rsidP="00B157CD">
            <w:pPr>
              <w:spacing w:before="0" w:after="0"/>
              <w:rPr>
                <w:rFonts w:ascii="Arial Narrow" w:hAnsi="Arial Narrow" w:cs="Arial"/>
                <w:b/>
                <w:sz w:val="20"/>
                <w:szCs w:val="20"/>
              </w:rPr>
            </w:pPr>
            <w:r w:rsidRPr="00260CE3">
              <w:rPr>
                <w:rFonts w:ascii="Arial Narrow" w:hAnsi="Arial Narrow" w:cs="Arial"/>
                <w:b/>
                <w:sz w:val="20"/>
                <w:szCs w:val="20"/>
              </w:rPr>
              <w:t xml:space="preserve">Category / </w:t>
            </w:r>
          </w:p>
          <w:p w:rsidR="004D0F59" w:rsidRPr="00260CE3" w:rsidRDefault="004D0F59" w:rsidP="00B157CD">
            <w:pPr>
              <w:spacing w:before="0" w:after="0"/>
              <w:rPr>
                <w:rFonts w:ascii="Arial Narrow" w:hAnsi="Arial Narrow" w:cs="Arial"/>
                <w:b/>
                <w:sz w:val="20"/>
                <w:szCs w:val="20"/>
              </w:rPr>
            </w:pPr>
            <w:r w:rsidRPr="00260CE3">
              <w:rPr>
                <w:rFonts w:ascii="Arial Narrow" w:hAnsi="Arial Narrow" w:cs="Arial"/>
                <w:b/>
                <w:sz w:val="20"/>
                <w:szCs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4D0F59" w:rsidRPr="00260CE3" w:rsidRDefault="004D0F59" w:rsidP="00B157CD">
            <w:pPr>
              <w:spacing w:before="0" w:after="0"/>
              <w:rPr>
                <w:rFonts w:ascii="Arial Narrow" w:hAnsi="Arial Narrow" w:cs="Arial"/>
                <w:sz w:val="20"/>
                <w:szCs w:val="20"/>
              </w:rPr>
            </w:pPr>
            <w:r w:rsidRPr="00260CE3">
              <w:rPr>
                <w:rFonts w:ascii="Arial Narrow" w:hAnsi="Arial Narrow" w:cs="Arial"/>
                <w:sz w:val="20"/>
                <w:szCs w:val="20"/>
              </w:rPr>
              <w:t>GENERAL – General Schedule (Code GE)</w:t>
            </w:r>
          </w:p>
          <w:p w:rsidR="004D0F59" w:rsidRPr="00260CE3" w:rsidRDefault="004D0F59" w:rsidP="00B157CD">
            <w:pPr>
              <w:spacing w:before="0" w:after="0"/>
              <w:rPr>
                <w:rFonts w:ascii="Arial Narrow" w:hAnsi="Arial Narrow" w:cs="Arial"/>
                <w:sz w:val="20"/>
                <w:szCs w:val="20"/>
              </w:rPr>
            </w:pPr>
          </w:p>
        </w:tc>
      </w:tr>
      <w:tr w:rsidR="004D0F59" w:rsidRPr="00260CE3" w:rsidTr="00B157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0F59" w:rsidRPr="00260CE3" w:rsidRDefault="004D0F59" w:rsidP="00B157CD">
            <w:pPr>
              <w:spacing w:before="0" w:after="0"/>
              <w:rPr>
                <w:rFonts w:ascii="Arial Narrow" w:hAnsi="Arial Narrow" w:cs="Arial"/>
                <w:b/>
                <w:sz w:val="20"/>
                <w:szCs w:val="20"/>
              </w:rPr>
            </w:pPr>
            <w:r w:rsidRPr="00260CE3">
              <w:rPr>
                <w:rFonts w:ascii="Arial Narrow" w:hAnsi="Arial Narrow" w:cs="Arial"/>
                <w:b/>
                <w:sz w:val="20"/>
                <w:szCs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4D0F59" w:rsidRPr="00260CE3" w:rsidRDefault="004D0F59" w:rsidP="00B157CD">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4D0F59" w:rsidRPr="00260CE3" w:rsidRDefault="004D0F59" w:rsidP="00B157CD">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4D0F59" w:rsidRPr="00260CE3" w:rsidTr="00B157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0F59" w:rsidRPr="00260CE3" w:rsidRDefault="004D0F59" w:rsidP="00B157CD">
            <w:pPr>
              <w:spacing w:before="0" w:after="0"/>
              <w:rPr>
                <w:rFonts w:ascii="Arial Narrow" w:hAnsi="Arial Narrow" w:cs="Arial"/>
                <w:b/>
                <w:sz w:val="20"/>
                <w:szCs w:val="20"/>
              </w:rPr>
            </w:pPr>
            <w:r w:rsidRPr="00260CE3">
              <w:rPr>
                <w:rFonts w:ascii="Arial Narrow" w:hAnsi="Arial Narrow" w:cs="Arial"/>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4D0F59" w:rsidRPr="00D83816" w:rsidRDefault="004D0F59" w:rsidP="00B157CD">
            <w:pPr>
              <w:spacing w:before="0" w:after="0"/>
              <w:rPr>
                <w:rFonts w:ascii="Arial Narrow" w:hAnsi="Arial Narrow" w:cs="Arial"/>
                <w:sz w:val="20"/>
                <w:szCs w:val="20"/>
              </w:rPr>
            </w:pPr>
            <w:r w:rsidRPr="00D83816">
              <w:rPr>
                <w:rFonts w:ascii="Arial Narrow" w:hAnsi="Arial Narrow" w:cs="Calibri"/>
                <w:sz w:val="20"/>
                <w:szCs w:val="20"/>
              </w:rPr>
              <w:t>Metastatic or locally advanced</w:t>
            </w:r>
          </w:p>
        </w:tc>
      </w:tr>
      <w:tr w:rsidR="004D0F59" w:rsidRPr="00260CE3" w:rsidTr="00B157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0F59" w:rsidRPr="00260CE3" w:rsidRDefault="004D0F59" w:rsidP="00B157CD">
            <w:pPr>
              <w:spacing w:before="0" w:after="0"/>
              <w:rPr>
                <w:rFonts w:ascii="Arial Narrow" w:hAnsi="Arial Narrow" w:cs="Arial"/>
                <w:b/>
                <w:sz w:val="20"/>
                <w:szCs w:val="20"/>
              </w:rPr>
            </w:pPr>
            <w:r w:rsidRPr="00260CE3">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4D0F59" w:rsidRPr="00D83816" w:rsidRDefault="004D0F59" w:rsidP="00B157CD">
            <w:pPr>
              <w:spacing w:before="0" w:after="0"/>
              <w:rPr>
                <w:rFonts w:ascii="Arial Narrow" w:hAnsi="Arial Narrow"/>
                <w:sz w:val="20"/>
                <w:szCs w:val="20"/>
              </w:rPr>
            </w:pPr>
            <w:r w:rsidRPr="00D83816">
              <w:rPr>
                <w:rFonts w:ascii="Arial Narrow" w:hAnsi="Arial Narrow"/>
                <w:sz w:val="20"/>
                <w:szCs w:val="20"/>
              </w:rPr>
              <w:t xml:space="preserve">Basal cell carcinoma </w:t>
            </w:r>
          </w:p>
        </w:tc>
      </w:tr>
      <w:tr w:rsidR="004D0F59" w:rsidRPr="00260CE3" w:rsidTr="00B157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0F59" w:rsidRPr="00D83816" w:rsidRDefault="004D0F59" w:rsidP="00B157CD">
            <w:pPr>
              <w:spacing w:before="0" w:after="0"/>
              <w:rPr>
                <w:rFonts w:ascii="Arial Narrow" w:hAnsi="Arial Narrow" w:cs="Arial"/>
                <w:b/>
                <w:sz w:val="20"/>
                <w:szCs w:val="20"/>
              </w:rPr>
            </w:pPr>
            <w:r w:rsidRPr="00260CE3">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4D0F59" w:rsidRPr="00D83816" w:rsidRDefault="004D0F59" w:rsidP="00B157CD">
            <w:pPr>
              <w:spacing w:before="0" w:after="0"/>
              <w:rPr>
                <w:rFonts w:ascii="Arial Narrow" w:hAnsi="Arial Narrow"/>
                <w:sz w:val="20"/>
                <w:szCs w:val="20"/>
              </w:rPr>
            </w:pPr>
            <w:r w:rsidRPr="00D83816">
              <w:rPr>
                <w:rFonts w:ascii="Arial Narrow" w:hAnsi="Arial Narrow"/>
                <w:sz w:val="20"/>
                <w:szCs w:val="20"/>
              </w:rPr>
              <w:t xml:space="preserve">Metastatic or locally advanced basal cell carcinoma </w:t>
            </w:r>
          </w:p>
        </w:tc>
      </w:tr>
      <w:tr w:rsidR="004D0F59" w:rsidRPr="00260CE3" w:rsidTr="00B157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0F59" w:rsidRPr="00D83816" w:rsidRDefault="004D0F59" w:rsidP="00B157CD">
            <w:pPr>
              <w:spacing w:before="0" w:after="0"/>
              <w:rPr>
                <w:rFonts w:ascii="Arial Narrow" w:hAnsi="Arial Narrow" w:cs="Arial"/>
                <w:b/>
                <w:sz w:val="20"/>
                <w:szCs w:val="20"/>
              </w:rPr>
            </w:pPr>
            <w:r w:rsidRPr="00260CE3">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4D0F59" w:rsidRPr="00D83816" w:rsidRDefault="004D0F59" w:rsidP="00B157CD">
            <w:pPr>
              <w:spacing w:before="0" w:after="0"/>
              <w:rPr>
                <w:rFonts w:ascii="Arial Narrow" w:hAnsi="Arial Narrow"/>
                <w:sz w:val="20"/>
                <w:szCs w:val="20"/>
              </w:rPr>
            </w:pPr>
            <w:r w:rsidRPr="00D83816">
              <w:rPr>
                <w:rFonts w:ascii="Arial Narrow" w:hAnsi="Arial Narrow"/>
                <w:sz w:val="20"/>
                <w:szCs w:val="20"/>
              </w:rPr>
              <w:t>Initial treatment</w:t>
            </w:r>
          </w:p>
        </w:tc>
      </w:tr>
      <w:tr w:rsidR="004D0F59" w:rsidRPr="00260CE3" w:rsidTr="00B157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0F59" w:rsidRPr="00D83816" w:rsidRDefault="004D0F59" w:rsidP="00B157CD">
            <w:pPr>
              <w:spacing w:before="0" w:after="0"/>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4D0F59" w:rsidRPr="00106BCF" w:rsidRDefault="004D0F59" w:rsidP="00B157CD">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4D0F59" w:rsidRPr="00106BCF" w:rsidRDefault="004D0F59" w:rsidP="00B157CD">
            <w:pPr>
              <w:spacing w:before="0" w:after="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4D0F59" w:rsidRPr="00106BCF" w:rsidRDefault="004D0F59" w:rsidP="00B157CD">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4D0F59" w:rsidRPr="00106BCF" w:rsidRDefault="004D0F59" w:rsidP="00B157CD">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rsidR="004D0F59" w:rsidRPr="00106BCF" w:rsidRDefault="004D0F59" w:rsidP="00B157CD">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4D0F59" w:rsidRPr="00260CE3" w:rsidRDefault="004D0F59" w:rsidP="00B157CD">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4D0F59" w:rsidRPr="00260CE3" w:rsidTr="00B157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0F59" w:rsidRPr="004549C2" w:rsidRDefault="004D0F59" w:rsidP="00B157CD">
            <w:pPr>
              <w:spacing w:before="0" w:after="0"/>
              <w:rPr>
                <w:rFonts w:ascii="Arial Narrow" w:hAnsi="Arial Narrow" w:cs="Arial"/>
                <w:b/>
                <w:sz w:val="20"/>
                <w:szCs w:val="20"/>
              </w:rPr>
            </w:pPr>
            <w:r w:rsidRPr="00260CE3">
              <w:rPr>
                <w:rFonts w:ascii="Arial Narrow" w:hAnsi="Arial Narrow" w:cs="Arial"/>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4D0F59" w:rsidRPr="004549C2" w:rsidRDefault="004D0F59" w:rsidP="00B157CD">
            <w:pPr>
              <w:spacing w:before="0" w:after="0"/>
              <w:rPr>
                <w:rFonts w:ascii="Arial Narrow" w:hAnsi="Arial Narrow" w:cs="Arial"/>
                <w:sz w:val="20"/>
                <w:szCs w:val="20"/>
              </w:rPr>
            </w:pPr>
            <w:r w:rsidRPr="004549C2">
              <w:rPr>
                <w:rFonts w:ascii="Arial Narrow" w:hAnsi="Arial Narrow" w:cs="Arial"/>
                <w:sz w:val="20"/>
                <w:szCs w:val="20"/>
              </w:rPr>
              <w:t xml:space="preserve">The condition must be inappropriate for surgery, </w:t>
            </w:r>
          </w:p>
          <w:p w:rsidR="004D0F59" w:rsidRPr="004549C2" w:rsidRDefault="004D0F59" w:rsidP="00B157CD">
            <w:pPr>
              <w:spacing w:before="0" w:after="0"/>
              <w:rPr>
                <w:rFonts w:ascii="Arial Narrow" w:hAnsi="Arial Narrow" w:cs="Arial"/>
                <w:sz w:val="20"/>
                <w:szCs w:val="20"/>
              </w:rPr>
            </w:pPr>
          </w:p>
          <w:p w:rsidR="004D0F59" w:rsidRPr="004549C2" w:rsidRDefault="004D0F59" w:rsidP="00B157CD">
            <w:pPr>
              <w:spacing w:before="0" w:after="0"/>
              <w:rPr>
                <w:rFonts w:ascii="Arial Narrow" w:hAnsi="Arial Narrow" w:cs="Arial"/>
                <w:sz w:val="20"/>
                <w:szCs w:val="20"/>
              </w:rPr>
            </w:pPr>
            <w:r w:rsidRPr="004549C2">
              <w:rPr>
                <w:rFonts w:ascii="Arial Narrow" w:hAnsi="Arial Narrow" w:cs="Arial"/>
                <w:sz w:val="20"/>
                <w:szCs w:val="20"/>
              </w:rPr>
              <w:t>AND</w:t>
            </w:r>
          </w:p>
          <w:p w:rsidR="004D0F59" w:rsidRPr="004549C2" w:rsidRDefault="004D0F59" w:rsidP="00B157CD">
            <w:pPr>
              <w:spacing w:before="0" w:after="0"/>
              <w:rPr>
                <w:rFonts w:ascii="Arial Narrow" w:hAnsi="Arial Narrow" w:cs="Arial"/>
                <w:sz w:val="20"/>
                <w:szCs w:val="20"/>
              </w:rPr>
            </w:pPr>
          </w:p>
          <w:p w:rsidR="004D0F59" w:rsidRPr="004549C2" w:rsidRDefault="004D0F59" w:rsidP="00B157CD">
            <w:pPr>
              <w:spacing w:before="0" w:after="0"/>
              <w:rPr>
                <w:rFonts w:ascii="Arial Narrow" w:hAnsi="Arial Narrow" w:cs="Arial"/>
                <w:sz w:val="20"/>
                <w:szCs w:val="20"/>
              </w:rPr>
            </w:pPr>
            <w:r w:rsidRPr="004549C2">
              <w:rPr>
                <w:rFonts w:ascii="Arial Narrow" w:hAnsi="Arial Narrow" w:cs="Arial"/>
                <w:sz w:val="20"/>
                <w:szCs w:val="20"/>
              </w:rPr>
              <w:t xml:space="preserve">The condition must be inappropriate for curative radiotherapy, </w:t>
            </w:r>
          </w:p>
          <w:p w:rsidR="004D0F59" w:rsidRPr="004549C2" w:rsidRDefault="004D0F59" w:rsidP="00B157CD">
            <w:pPr>
              <w:spacing w:before="0" w:after="0"/>
              <w:rPr>
                <w:rFonts w:ascii="Arial Narrow" w:hAnsi="Arial Narrow" w:cs="Arial"/>
                <w:sz w:val="20"/>
                <w:szCs w:val="20"/>
              </w:rPr>
            </w:pPr>
          </w:p>
          <w:p w:rsidR="004D0F59" w:rsidRPr="004549C2" w:rsidRDefault="004D0F59" w:rsidP="00B157CD">
            <w:pPr>
              <w:spacing w:before="0" w:after="0"/>
              <w:rPr>
                <w:rFonts w:ascii="Arial Narrow" w:hAnsi="Arial Narrow" w:cs="Arial"/>
                <w:sz w:val="20"/>
                <w:szCs w:val="20"/>
              </w:rPr>
            </w:pPr>
            <w:r w:rsidRPr="004549C2">
              <w:rPr>
                <w:rFonts w:ascii="Arial Narrow" w:hAnsi="Arial Narrow" w:cs="Arial"/>
                <w:sz w:val="20"/>
                <w:szCs w:val="20"/>
              </w:rPr>
              <w:t>AND</w:t>
            </w:r>
          </w:p>
          <w:p w:rsidR="004D0F59" w:rsidRDefault="004D0F59" w:rsidP="00B157CD">
            <w:pPr>
              <w:spacing w:before="0" w:after="0"/>
              <w:rPr>
                <w:rFonts w:ascii="Arial Narrow" w:hAnsi="Arial Narrow" w:cs="Arial"/>
                <w:sz w:val="20"/>
                <w:szCs w:val="20"/>
              </w:rPr>
            </w:pPr>
          </w:p>
          <w:p w:rsidR="00DF0AF2" w:rsidRPr="00DF0AF2" w:rsidRDefault="00DF0AF2" w:rsidP="00DF0AF2">
            <w:pPr>
              <w:tabs>
                <w:tab w:val="num" w:pos="720"/>
              </w:tabs>
              <w:spacing w:before="0" w:after="0"/>
              <w:rPr>
                <w:rFonts w:ascii="Arial Narrow" w:hAnsi="Arial Narrow" w:cs="Arial"/>
                <w:i/>
                <w:sz w:val="20"/>
                <w:szCs w:val="20"/>
                <w:lang w:val="en-GB"/>
              </w:rPr>
            </w:pPr>
            <w:r w:rsidRPr="00DF0AF2">
              <w:rPr>
                <w:rFonts w:ascii="Arial Narrow" w:hAnsi="Arial Narrow" w:cs="Arial"/>
                <w:i/>
                <w:sz w:val="20"/>
                <w:szCs w:val="20"/>
                <w:lang w:val="en-GB"/>
              </w:rPr>
              <w:t xml:space="preserve">Patient must not have received previous PBS-subsidised treatment with another </w:t>
            </w:r>
            <w:r w:rsidRPr="00DF0AF2">
              <w:rPr>
                <w:rFonts w:ascii="Arial Narrow" w:hAnsi="Arial Narrow" w:cs="Calibri"/>
                <w:bCs/>
                <w:i/>
                <w:sz w:val="20"/>
                <w:szCs w:val="20"/>
              </w:rPr>
              <w:t>hedgehog (Hh) inhibitor</w:t>
            </w:r>
            <w:r w:rsidRPr="00DF0AF2">
              <w:rPr>
                <w:rFonts w:ascii="Arial Narrow" w:hAnsi="Arial Narrow" w:cs="Arial"/>
                <w:i/>
                <w:sz w:val="20"/>
                <w:szCs w:val="20"/>
                <w:lang w:val="en-GB"/>
              </w:rPr>
              <w:t>; OR</w:t>
            </w:r>
          </w:p>
          <w:p w:rsidR="00DF0AF2" w:rsidRPr="00DF0AF2" w:rsidRDefault="00DF0AF2" w:rsidP="00DF0AF2">
            <w:pPr>
              <w:tabs>
                <w:tab w:val="num" w:pos="720"/>
              </w:tabs>
              <w:spacing w:before="0" w:after="0"/>
              <w:rPr>
                <w:rFonts w:ascii="Arial Narrow" w:hAnsi="Arial Narrow" w:cs="Arial"/>
                <w:i/>
                <w:sz w:val="20"/>
                <w:szCs w:val="20"/>
                <w:lang w:val="en-GB"/>
              </w:rPr>
            </w:pPr>
          </w:p>
          <w:p w:rsidR="00DF0AF2" w:rsidRPr="00DF0AF2" w:rsidRDefault="00DF0AF2" w:rsidP="00DF0AF2">
            <w:pPr>
              <w:tabs>
                <w:tab w:val="num" w:pos="720"/>
              </w:tabs>
              <w:spacing w:before="0" w:after="0"/>
              <w:rPr>
                <w:rFonts w:ascii="Arial Narrow" w:hAnsi="Arial Narrow" w:cs="Arial"/>
                <w:i/>
                <w:sz w:val="20"/>
                <w:szCs w:val="20"/>
                <w:lang w:val="en-GB"/>
              </w:rPr>
            </w:pPr>
            <w:r w:rsidRPr="00DF0AF2">
              <w:rPr>
                <w:rFonts w:ascii="Arial Narrow" w:hAnsi="Arial Narrow" w:cs="Arial"/>
                <w:i/>
                <w:sz w:val="20"/>
                <w:szCs w:val="20"/>
                <w:lang w:val="en-GB"/>
              </w:rPr>
              <w:t xml:space="preserve">Patient must have developed intolerance to another </w:t>
            </w:r>
            <w:r w:rsidR="00B7135D">
              <w:rPr>
                <w:rFonts w:ascii="Arial Narrow" w:hAnsi="Arial Narrow" w:cs="Arial"/>
                <w:i/>
                <w:sz w:val="20"/>
                <w:szCs w:val="20"/>
                <w:lang w:val="en-GB"/>
              </w:rPr>
              <w:t>h</w:t>
            </w:r>
            <w:r w:rsidRPr="00DF0AF2">
              <w:rPr>
                <w:rFonts w:ascii="Arial Narrow" w:hAnsi="Arial Narrow" w:cs="Calibri"/>
                <w:bCs/>
                <w:i/>
                <w:sz w:val="20"/>
                <w:szCs w:val="20"/>
              </w:rPr>
              <w:t>edgehog (Hh) inhibitor</w:t>
            </w:r>
            <w:r w:rsidRPr="00DF0AF2">
              <w:rPr>
                <w:rFonts w:ascii="Arial Narrow" w:hAnsi="Arial Narrow" w:cs="Arial"/>
                <w:i/>
                <w:sz w:val="20"/>
                <w:szCs w:val="20"/>
                <w:lang w:val="en-GB"/>
              </w:rPr>
              <w:t xml:space="preserve"> of a severity necessitating permanent treatment withdrawal,</w:t>
            </w:r>
          </w:p>
          <w:p w:rsidR="00DF0AF2" w:rsidRPr="00DF0AF2" w:rsidRDefault="00DF0AF2" w:rsidP="00DF0AF2">
            <w:pPr>
              <w:spacing w:before="0" w:after="0"/>
              <w:rPr>
                <w:rFonts w:ascii="Arial Narrow" w:hAnsi="Arial Narrow" w:cs="Arial"/>
                <w:i/>
                <w:sz w:val="20"/>
                <w:szCs w:val="20"/>
              </w:rPr>
            </w:pPr>
          </w:p>
          <w:p w:rsidR="00DF0AF2" w:rsidRPr="00DF0AF2" w:rsidRDefault="00DF0AF2" w:rsidP="00B157CD">
            <w:pPr>
              <w:spacing w:before="0" w:after="0"/>
              <w:rPr>
                <w:rFonts w:ascii="Arial Narrow" w:hAnsi="Arial Narrow" w:cs="Arial"/>
                <w:i/>
                <w:sz w:val="20"/>
                <w:szCs w:val="20"/>
              </w:rPr>
            </w:pPr>
            <w:r w:rsidRPr="00DF0AF2">
              <w:rPr>
                <w:rFonts w:ascii="Arial Narrow" w:hAnsi="Arial Narrow" w:cs="Arial"/>
                <w:i/>
                <w:sz w:val="20"/>
                <w:szCs w:val="20"/>
              </w:rPr>
              <w:t>AND</w:t>
            </w:r>
          </w:p>
          <w:p w:rsidR="00DF0AF2" w:rsidRPr="004549C2" w:rsidRDefault="00DF0AF2" w:rsidP="00B157CD">
            <w:pPr>
              <w:spacing w:before="0" w:after="0"/>
              <w:rPr>
                <w:rFonts w:ascii="Arial Narrow" w:hAnsi="Arial Narrow" w:cs="Arial"/>
                <w:sz w:val="20"/>
                <w:szCs w:val="20"/>
              </w:rPr>
            </w:pPr>
          </w:p>
          <w:p w:rsidR="004D0F59" w:rsidRPr="00260CE3" w:rsidRDefault="004D0F59" w:rsidP="00B157CD">
            <w:pPr>
              <w:spacing w:before="0" w:after="0"/>
              <w:rPr>
                <w:rFonts w:ascii="Arial Narrow" w:hAnsi="Arial Narrow" w:cs="Arial"/>
                <w:sz w:val="20"/>
                <w:szCs w:val="20"/>
              </w:rPr>
            </w:pPr>
            <w:r w:rsidRPr="004549C2">
              <w:rPr>
                <w:rFonts w:ascii="Arial Narrow" w:hAnsi="Arial Narrow" w:cs="Arial"/>
                <w:sz w:val="20"/>
                <w:szCs w:val="20"/>
              </w:rPr>
              <w:t>Patient must not receive more than 16 weeks of treatment under this restriction.</w:t>
            </w:r>
          </w:p>
        </w:tc>
      </w:tr>
      <w:tr w:rsidR="004D0F59" w:rsidRPr="00260CE3" w:rsidTr="00B157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0F59" w:rsidRPr="00260CE3" w:rsidRDefault="004D0F59" w:rsidP="00B157CD">
            <w:pPr>
              <w:spacing w:before="0" w:after="0"/>
              <w:rPr>
                <w:rFonts w:ascii="Arial Narrow" w:hAnsi="Arial Narrow" w:cs="Arial"/>
                <w:sz w:val="20"/>
                <w:szCs w:val="20"/>
              </w:rPr>
            </w:pPr>
            <w:r w:rsidRPr="00260CE3">
              <w:rPr>
                <w:rFonts w:ascii="Arial Narrow" w:hAnsi="Arial Narrow" w:cs="Arial"/>
                <w:b/>
                <w:sz w:val="20"/>
                <w:szCs w:val="20"/>
              </w:rPr>
              <w:lastRenderedPageBreak/>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4D0F59" w:rsidRPr="00D83816" w:rsidRDefault="004D0F59" w:rsidP="00B157CD">
            <w:pPr>
              <w:spacing w:before="0" w:after="0"/>
              <w:rPr>
                <w:rFonts w:ascii="Arial Narrow" w:hAnsi="Arial Narrow" w:cs="Arial"/>
                <w:sz w:val="20"/>
                <w:szCs w:val="20"/>
              </w:rPr>
            </w:pPr>
            <w:r w:rsidRPr="00D83816">
              <w:rPr>
                <w:rFonts w:ascii="Arial Narrow" w:hAnsi="Arial Narrow" w:cs="Arial"/>
                <w:sz w:val="20"/>
                <w:szCs w:val="20"/>
              </w:rPr>
              <w:t>The authority application must be made in writing and must include:</w:t>
            </w:r>
          </w:p>
          <w:p w:rsidR="004D0F59" w:rsidRPr="00D83816" w:rsidRDefault="004D0F59" w:rsidP="00B157CD">
            <w:pPr>
              <w:spacing w:before="0" w:after="0"/>
              <w:rPr>
                <w:rFonts w:ascii="Arial Narrow" w:hAnsi="Arial Narrow" w:cs="Arial"/>
                <w:sz w:val="20"/>
                <w:szCs w:val="20"/>
              </w:rPr>
            </w:pPr>
            <w:r w:rsidRPr="00D83816">
              <w:rPr>
                <w:rFonts w:ascii="Arial Narrow" w:hAnsi="Arial Narrow" w:cs="Arial"/>
                <w:sz w:val="20"/>
                <w:szCs w:val="20"/>
              </w:rPr>
              <w:t>a)</w:t>
            </w:r>
            <w:r w:rsidRPr="00D83816">
              <w:rPr>
                <w:rFonts w:ascii="Arial Narrow" w:hAnsi="Arial Narrow" w:cs="Arial"/>
                <w:sz w:val="20"/>
                <w:szCs w:val="20"/>
              </w:rPr>
              <w:tab/>
              <w:t>A completed authority prescription form; and</w:t>
            </w:r>
          </w:p>
          <w:p w:rsidR="004D0F59" w:rsidRPr="00D83816" w:rsidRDefault="004D0F59" w:rsidP="00B157CD">
            <w:pPr>
              <w:spacing w:before="0" w:after="0"/>
              <w:rPr>
                <w:rFonts w:ascii="Arial Narrow" w:hAnsi="Arial Narrow" w:cs="Arial"/>
                <w:sz w:val="20"/>
                <w:szCs w:val="20"/>
              </w:rPr>
            </w:pPr>
            <w:r w:rsidRPr="00D83816">
              <w:rPr>
                <w:rFonts w:ascii="Arial Narrow" w:hAnsi="Arial Narrow" w:cs="Arial"/>
                <w:sz w:val="20"/>
                <w:szCs w:val="20"/>
              </w:rPr>
              <w:t>b)</w:t>
            </w:r>
            <w:r w:rsidRPr="00D83816">
              <w:rPr>
                <w:rFonts w:ascii="Arial Narrow" w:hAnsi="Arial Narrow" w:cs="Arial"/>
                <w:sz w:val="20"/>
                <w:szCs w:val="20"/>
              </w:rPr>
              <w:tab/>
              <w:t>A completed Basal Cell Carcinoma Initial PBS Authority Application Form - Supporting Information Form; and</w:t>
            </w:r>
          </w:p>
          <w:p w:rsidR="004D0F59" w:rsidRPr="00D83816" w:rsidRDefault="004D0F59" w:rsidP="00B157CD">
            <w:pPr>
              <w:spacing w:before="0" w:after="0"/>
              <w:rPr>
                <w:rFonts w:ascii="Arial Narrow" w:hAnsi="Arial Narrow" w:cs="Arial"/>
                <w:sz w:val="20"/>
                <w:szCs w:val="20"/>
              </w:rPr>
            </w:pPr>
            <w:r w:rsidRPr="00D83816">
              <w:rPr>
                <w:rFonts w:ascii="Arial Narrow" w:hAnsi="Arial Narrow" w:cs="Arial"/>
                <w:sz w:val="20"/>
                <w:szCs w:val="20"/>
              </w:rPr>
              <w:t>c)</w:t>
            </w:r>
            <w:r w:rsidRPr="00D83816">
              <w:rPr>
                <w:rFonts w:ascii="Arial Narrow" w:hAnsi="Arial Narrow" w:cs="Arial"/>
                <w:sz w:val="20"/>
                <w:szCs w:val="20"/>
              </w:rPr>
              <w:tab/>
              <w:t>A histological confirmation of BCC</w:t>
            </w:r>
            <w:r>
              <w:t xml:space="preserve"> </w:t>
            </w:r>
            <w:r w:rsidRPr="004549C2">
              <w:rPr>
                <w:rFonts w:ascii="Arial Narrow" w:hAnsi="Arial Narrow" w:cs="Arial"/>
                <w:i/>
                <w:sz w:val="20"/>
                <w:szCs w:val="20"/>
              </w:rPr>
              <w:t>and whether the condition is metastatic or locally advance</w:t>
            </w:r>
            <w:r>
              <w:rPr>
                <w:rFonts w:ascii="Arial Narrow" w:hAnsi="Arial Narrow" w:cs="Arial"/>
                <w:sz w:val="20"/>
                <w:szCs w:val="20"/>
              </w:rPr>
              <w:t xml:space="preserve"> </w:t>
            </w:r>
            <w:r w:rsidRPr="00D83816">
              <w:rPr>
                <w:rFonts w:ascii="Arial Narrow" w:hAnsi="Arial Narrow" w:cs="Arial"/>
                <w:sz w:val="20"/>
                <w:szCs w:val="20"/>
              </w:rPr>
              <w:t>; and</w:t>
            </w:r>
          </w:p>
          <w:p w:rsidR="004D0F59" w:rsidRPr="00CF6AB1" w:rsidRDefault="004D0F59" w:rsidP="00B157CD">
            <w:pPr>
              <w:spacing w:before="0" w:after="0"/>
              <w:rPr>
                <w:rFonts w:ascii="Arial Narrow" w:hAnsi="Arial Narrow" w:cs="Arial"/>
                <w:i/>
                <w:sz w:val="20"/>
                <w:szCs w:val="20"/>
              </w:rPr>
            </w:pPr>
            <w:r w:rsidRPr="00D83816">
              <w:rPr>
                <w:rFonts w:ascii="Arial Narrow" w:hAnsi="Arial Narrow" w:cs="Arial"/>
                <w:sz w:val="20"/>
                <w:szCs w:val="20"/>
              </w:rPr>
              <w:t>d)</w:t>
            </w:r>
            <w:r w:rsidRPr="00D83816">
              <w:rPr>
                <w:rFonts w:ascii="Arial Narrow" w:hAnsi="Arial Narrow" w:cs="Arial"/>
                <w:sz w:val="20"/>
                <w:szCs w:val="20"/>
              </w:rPr>
              <w:tab/>
              <w:t>A letter from a surgically qualified clinician demonstrating inappropriateness for surgery</w:t>
            </w:r>
            <w:r>
              <w:t xml:space="preserve"> </w:t>
            </w:r>
            <w:r w:rsidRPr="00CF6AB1">
              <w:rPr>
                <w:rFonts w:ascii="Arial Narrow" w:hAnsi="Arial Narrow" w:cs="Arial"/>
                <w:i/>
                <w:sz w:val="20"/>
                <w:szCs w:val="20"/>
              </w:rPr>
              <w:t>for patients with locally advanced BCC</w:t>
            </w:r>
            <w:r w:rsidRPr="00D83816">
              <w:rPr>
                <w:rFonts w:ascii="Arial Narrow" w:hAnsi="Arial Narrow" w:cs="Arial"/>
                <w:sz w:val="20"/>
                <w:szCs w:val="20"/>
              </w:rPr>
              <w:t xml:space="preserve">; </w:t>
            </w:r>
            <w:r w:rsidRPr="00CF6AB1">
              <w:rPr>
                <w:rFonts w:ascii="Arial Narrow" w:hAnsi="Arial Narrow" w:cs="Arial"/>
                <w:sz w:val="20"/>
                <w:szCs w:val="20"/>
              </w:rPr>
              <w:t>and</w:t>
            </w:r>
          </w:p>
          <w:p w:rsidR="004D0F59" w:rsidRPr="00D83816" w:rsidRDefault="004D0F59" w:rsidP="00B157CD">
            <w:pPr>
              <w:spacing w:before="0" w:after="0"/>
              <w:rPr>
                <w:rFonts w:ascii="Arial Narrow" w:hAnsi="Arial Narrow" w:cs="Arial"/>
                <w:sz w:val="20"/>
                <w:szCs w:val="20"/>
              </w:rPr>
            </w:pPr>
            <w:r w:rsidRPr="00D83816">
              <w:rPr>
                <w:rFonts w:ascii="Arial Narrow" w:hAnsi="Arial Narrow" w:cs="Arial"/>
                <w:sz w:val="20"/>
                <w:szCs w:val="20"/>
              </w:rPr>
              <w:t>e)</w:t>
            </w:r>
            <w:r w:rsidRPr="00D83816">
              <w:rPr>
                <w:rFonts w:ascii="Arial Narrow" w:hAnsi="Arial Narrow" w:cs="Arial"/>
                <w:sz w:val="20"/>
                <w:szCs w:val="20"/>
              </w:rPr>
              <w:tab/>
              <w:t>A letter from a radiation oncologist demonstrating inappropriateness for curative radiotherapy</w:t>
            </w:r>
            <w:r>
              <w:rPr>
                <w:rFonts w:ascii="Arial Narrow" w:hAnsi="Arial Narrow" w:cs="Arial"/>
                <w:sz w:val="20"/>
                <w:szCs w:val="20"/>
              </w:rPr>
              <w:t xml:space="preserve"> </w:t>
            </w:r>
            <w:r w:rsidRPr="00CF6AB1">
              <w:rPr>
                <w:rFonts w:ascii="Arial Narrow" w:hAnsi="Arial Narrow" w:cs="Arial"/>
                <w:i/>
                <w:sz w:val="20"/>
                <w:szCs w:val="20"/>
              </w:rPr>
              <w:t>for patients with locally advanced BCC</w:t>
            </w:r>
            <w:r w:rsidRPr="00D83816">
              <w:rPr>
                <w:rFonts w:ascii="Arial Narrow" w:hAnsi="Arial Narrow" w:cs="Arial"/>
                <w:sz w:val="20"/>
                <w:szCs w:val="20"/>
              </w:rPr>
              <w:t>; and</w:t>
            </w:r>
          </w:p>
          <w:p w:rsidR="004D0F59" w:rsidRPr="00D83816" w:rsidRDefault="004D0F59" w:rsidP="00B157CD">
            <w:pPr>
              <w:spacing w:before="0" w:after="0"/>
              <w:rPr>
                <w:rFonts w:ascii="Arial Narrow" w:hAnsi="Arial Narrow" w:cs="Arial"/>
                <w:sz w:val="20"/>
                <w:szCs w:val="20"/>
              </w:rPr>
            </w:pPr>
            <w:r w:rsidRPr="00D83816">
              <w:rPr>
                <w:rFonts w:ascii="Arial Narrow" w:hAnsi="Arial Narrow" w:cs="Arial"/>
                <w:sz w:val="20"/>
                <w:szCs w:val="20"/>
              </w:rPr>
              <w:t>f)</w:t>
            </w:r>
            <w:r w:rsidRPr="00D83816">
              <w:rPr>
                <w:rFonts w:ascii="Arial Narrow" w:hAnsi="Arial Narrow" w:cs="Arial"/>
                <w:sz w:val="20"/>
                <w:szCs w:val="20"/>
              </w:rPr>
              <w:tab/>
              <w:t>A signed patient acknowledgement.</w:t>
            </w:r>
          </w:p>
          <w:p w:rsidR="004D0F59" w:rsidRPr="00D83816" w:rsidRDefault="004D0F59" w:rsidP="00B157CD">
            <w:pPr>
              <w:spacing w:before="0" w:after="0"/>
              <w:rPr>
                <w:rFonts w:ascii="Arial Narrow" w:hAnsi="Arial Narrow" w:cs="Arial"/>
                <w:sz w:val="20"/>
                <w:szCs w:val="20"/>
              </w:rPr>
            </w:pPr>
          </w:p>
          <w:p w:rsidR="004D0F59" w:rsidRPr="00D83816" w:rsidRDefault="004D0F59" w:rsidP="00B157CD">
            <w:pPr>
              <w:spacing w:before="0" w:after="0"/>
              <w:rPr>
                <w:rFonts w:ascii="Arial Narrow" w:hAnsi="Arial Narrow" w:cs="Arial"/>
                <w:sz w:val="20"/>
                <w:szCs w:val="20"/>
              </w:rPr>
            </w:pPr>
            <w:r w:rsidRPr="00D83816">
              <w:rPr>
                <w:rFonts w:ascii="Arial Narrow" w:hAnsi="Arial Narrow" w:cs="Arial"/>
                <w:sz w:val="20"/>
                <w:szCs w:val="20"/>
              </w:rPr>
              <w:t>The assessment of the patient's response to this PBS-subsidised course of therapy must be made within the 4 weeks prior to completion of the course of treatment. It is recommended that an application is submitted to the Department of Human Services no less than 2 weeks prior to the date the next dose is due in order to ensure continuity of treatment for those patients who meet the continuation criteria.</w:t>
            </w:r>
          </w:p>
          <w:p w:rsidR="004D0F59" w:rsidRPr="00D83816" w:rsidRDefault="004D0F59" w:rsidP="00B157CD">
            <w:pPr>
              <w:spacing w:before="0" w:after="0"/>
              <w:rPr>
                <w:rFonts w:ascii="Arial Narrow" w:hAnsi="Arial Narrow" w:cs="Arial"/>
                <w:sz w:val="20"/>
                <w:szCs w:val="20"/>
              </w:rPr>
            </w:pPr>
          </w:p>
          <w:p w:rsidR="004D0F59" w:rsidRPr="004549C2" w:rsidRDefault="004D0F59" w:rsidP="00B157CD">
            <w:pPr>
              <w:spacing w:before="0" w:after="0"/>
              <w:rPr>
                <w:rFonts w:ascii="Arial Narrow" w:hAnsi="Arial Narrow" w:cs="Arial"/>
                <w:b/>
                <w:sz w:val="20"/>
                <w:szCs w:val="20"/>
              </w:rPr>
            </w:pPr>
            <w:r w:rsidRPr="004549C2">
              <w:rPr>
                <w:rFonts w:ascii="Arial Narrow" w:hAnsi="Arial Narrow" w:cs="Arial"/>
                <w:b/>
                <w:sz w:val="20"/>
                <w:szCs w:val="20"/>
              </w:rPr>
              <w:t>Inappropriate for surgery is defined as:</w:t>
            </w:r>
          </w:p>
          <w:p w:rsidR="004D0F59" w:rsidRPr="00D83816" w:rsidRDefault="004D0F59" w:rsidP="00B157CD">
            <w:pPr>
              <w:spacing w:before="0" w:after="0"/>
              <w:rPr>
                <w:rFonts w:ascii="Arial Narrow" w:hAnsi="Arial Narrow" w:cs="Arial"/>
                <w:sz w:val="20"/>
                <w:szCs w:val="20"/>
              </w:rPr>
            </w:pPr>
            <w:r>
              <w:rPr>
                <w:rFonts w:ascii="Arial Narrow" w:hAnsi="Arial Narrow" w:cs="Arial"/>
                <w:sz w:val="20"/>
                <w:szCs w:val="20"/>
              </w:rPr>
              <w:t xml:space="preserve">i/ </w:t>
            </w:r>
            <w:r w:rsidRPr="00D83816">
              <w:rPr>
                <w:rFonts w:ascii="Arial Narrow" w:hAnsi="Arial Narrow" w:cs="Arial"/>
                <w:sz w:val="20"/>
                <w:szCs w:val="20"/>
              </w:rPr>
              <w:t>Curative resection is unlikely, such as where BCC has recurred in the same location after two or more surgical procedures; or</w:t>
            </w:r>
          </w:p>
          <w:p w:rsidR="004D0F59" w:rsidRPr="00D83816" w:rsidRDefault="004D0F59" w:rsidP="00B157CD">
            <w:pPr>
              <w:spacing w:before="0" w:after="0"/>
              <w:rPr>
                <w:rFonts w:ascii="Arial Narrow" w:hAnsi="Arial Narrow" w:cs="Arial"/>
                <w:sz w:val="20"/>
                <w:szCs w:val="20"/>
              </w:rPr>
            </w:pPr>
            <w:r>
              <w:rPr>
                <w:rFonts w:ascii="Arial Narrow" w:hAnsi="Arial Narrow" w:cs="Arial"/>
                <w:sz w:val="20"/>
                <w:szCs w:val="20"/>
              </w:rPr>
              <w:t xml:space="preserve">ii/ </w:t>
            </w:r>
            <w:r w:rsidRPr="00D83816">
              <w:rPr>
                <w:rFonts w:ascii="Arial Narrow" w:hAnsi="Arial Narrow" w:cs="Arial"/>
                <w:sz w:val="20"/>
                <w:szCs w:val="20"/>
              </w:rPr>
              <w:t>Anticipated substantial morbidity or deformity from surgery or requiring complicated reconstructive surgery (e.g. removal of all or part of a facial structure, such as nose, ear, eyelid, eye; or requirement for limb amputation or free tissue transfer); or</w:t>
            </w:r>
          </w:p>
          <w:p w:rsidR="004D0F59" w:rsidRPr="00D83816" w:rsidRDefault="004D0F59" w:rsidP="00B157CD">
            <w:pPr>
              <w:spacing w:before="0" w:after="0"/>
              <w:rPr>
                <w:rFonts w:ascii="Arial Narrow" w:hAnsi="Arial Narrow" w:cs="Arial"/>
                <w:sz w:val="20"/>
                <w:szCs w:val="20"/>
              </w:rPr>
            </w:pPr>
            <w:r>
              <w:rPr>
                <w:rFonts w:ascii="Arial Narrow" w:hAnsi="Arial Narrow" w:cs="Arial"/>
                <w:sz w:val="20"/>
                <w:szCs w:val="20"/>
              </w:rPr>
              <w:t xml:space="preserve">iii/ </w:t>
            </w:r>
            <w:r w:rsidRPr="00D83816">
              <w:rPr>
                <w:rFonts w:ascii="Arial Narrow" w:hAnsi="Arial Narrow" w:cs="Arial"/>
                <w:sz w:val="20"/>
                <w:szCs w:val="20"/>
              </w:rPr>
              <w:t>Medical contraindication to surgery</w:t>
            </w:r>
          </w:p>
          <w:p w:rsidR="004D0F59" w:rsidRPr="00D83816" w:rsidRDefault="004D0F59" w:rsidP="00B157CD">
            <w:pPr>
              <w:spacing w:before="0" w:after="0"/>
              <w:rPr>
                <w:rFonts w:ascii="Arial Narrow" w:hAnsi="Arial Narrow" w:cs="Arial"/>
                <w:sz w:val="20"/>
                <w:szCs w:val="20"/>
              </w:rPr>
            </w:pPr>
          </w:p>
          <w:p w:rsidR="004D0F59" w:rsidRPr="004549C2" w:rsidRDefault="004D0F59" w:rsidP="00B157CD">
            <w:pPr>
              <w:spacing w:before="0" w:after="0"/>
              <w:rPr>
                <w:rFonts w:ascii="Arial Narrow" w:hAnsi="Arial Narrow" w:cs="Arial"/>
                <w:b/>
                <w:sz w:val="20"/>
                <w:szCs w:val="20"/>
              </w:rPr>
            </w:pPr>
            <w:r w:rsidRPr="004549C2">
              <w:rPr>
                <w:rFonts w:ascii="Arial Narrow" w:hAnsi="Arial Narrow" w:cs="Arial"/>
                <w:b/>
                <w:sz w:val="20"/>
                <w:szCs w:val="20"/>
              </w:rPr>
              <w:t>Inappropriate for curative radiotherapy is defined as:</w:t>
            </w:r>
          </w:p>
          <w:p w:rsidR="004D0F59" w:rsidRPr="00D83816" w:rsidRDefault="004D0F59" w:rsidP="00B157CD">
            <w:pPr>
              <w:spacing w:before="0" w:after="0"/>
              <w:rPr>
                <w:rFonts w:ascii="Arial Narrow" w:hAnsi="Arial Narrow" w:cs="Arial"/>
                <w:sz w:val="20"/>
                <w:szCs w:val="20"/>
              </w:rPr>
            </w:pPr>
            <w:r>
              <w:rPr>
                <w:rFonts w:ascii="Arial Narrow" w:hAnsi="Arial Narrow" w:cs="Arial"/>
                <w:sz w:val="20"/>
                <w:szCs w:val="20"/>
              </w:rPr>
              <w:t xml:space="preserve">i / </w:t>
            </w:r>
            <w:r w:rsidRPr="00D83816">
              <w:rPr>
                <w:rFonts w:ascii="Arial Narrow" w:hAnsi="Arial Narrow" w:cs="Arial"/>
                <w:sz w:val="20"/>
                <w:szCs w:val="20"/>
              </w:rPr>
              <w:t>Hypersensitivity to radiation due to genetic syndrome such as Gorlin Syndrome; or</w:t>
            </w:r>
          </w:p>
          <w:p w:rsidR="004D0F59" w:rsidRPr="00D83816" w:rsidRDefault="004D0F59" w:rsidP="00B157CD">
            <w:pPr>
              <w:spacing w:before="0" w:after="0"/>
              <w:rPr>
                <w:rFonts w:ascii="Arial Narrow" w:hAnsi="Arial Narrow" w:cs="Arial"/>
                <w:sz w:val="20"/>
                <w:szCs w:val="20"/>
              </w:rPr>
            </w:pPr>
            <w:r>
              <w:rPr>
                <w:rFonts w:ascii="Arial Narrow" w:hAnsi="Arial Narrow" w:cs="Arial"/>
                <w:sz w:val="20"/>
                <w:szCs w:val="20"/>
              </w:rPr>
              <w:t xml:space="preserve">ii/ </w:t>
            </w:r>
            <w:r w:rsidRPr="00D83816">
              <w:rPr>
                <w:rFonts w:ascii="Arial Narrow" w:hAnsi="Arial Narrow" w:cs="Arial"/>
                <w:sz w:val="20"/>
                <w:szCs w:val="20"/>
              </w:rPr>
              <w:t>Limitations due to location of tumour; or</w:t>
            </w:r>
          </w:p>
          <w:p w:rsidR="004D0F59" w:rsidRPr="00D83816" w:rsidRDefault="004D0F59" w:rsidP="00B157CD">
            <w:pPr>
              <w:spacing w:before="0" w:after="0"/>
              <w:rPr>
                <w:rFonts w:ascii="Arial Narrow" w:hAnsi="Arial Narrow" w:cs="Arial"/>
                <w:sz w:val="20"/>
                <w:szCs w:val="20"/>
              </w:rPr>
            </w:pPr>
            <w:r>
              <w:rPr>
                <w:rFonts w:ascii="Arial Narrow" w:hAnsi="Arial Narrow" w:cs="Arial"/>
                <w:sz w:val="20"/>
                <w:szCs w:val="20"/>
              </w:rPr>
              <w:t xml:space="preserve">iii/ </w:t>
            </w:r>
            <w:r w:rsidRPr="00D83816">
              <w:rPr>
                <w:rFonts w:ascii="Arial Narrow" w:hAnsi="Arial Narrow" w:cs="Arial"/>
                <w:sz w:val="20"/>
                <w:szCs w:val="20"/>
              </w:rPr>
              <w:t>Limitations due to cumulative prior radiotherapy dose; or</w:t>
            </w:r>
          </w:p>
          <w:p w:rsidR="004D0F59" w:rsidRPr="00260CE3" w:rsidRDefault="004D0F59" w:rsidP="00B157CD">
            <w:pPr>
              <w:spacing w:before="0" w:after="0"/>
              <w:rPr>
                <w:rFonts w:ascii="Arial Narrow" w:hAnsi="Arial Narrow" w:cs="Arial"/>
                <w:sz w:val="20"/>
                <w:szCs w:val="20"/>
              </w:rPr>
            </w:pPr>
            <w:r>
              <w:rPr>
                <w:rFonts w:ascii="Arial Narrow" w:hAnsi="Arial Narrow" w:cs="Arial"/>
                <w:sz w:val="20"/>
                <w:szCs w:val="20"/>
              </w:rPr>
              <w:t xml:space="preserve">iv/ </w:t>
            </w:r>
            <w:r w:rsidRPr="00D83816">
              <w:rPr>
                <w:rFonts w:ascii="Arial Narrow" w:hAnsi="Arial Narrow" w:cs="Arial"/>
                <w:sz w:val="20"/>
                <w:szCs w:val="20"/>
              </w:rPr>
              <w:t>Progressive disease despite prior irradiation of locally advanced BCC.</w:t>
            </w:r>
          </w:p>
        </w:tc>
      </w:tr>
      <w:tr w:rsidR="004D0F59" w:rsidRPr="00260CE3" w:rsidTr="00B157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0F59" w:rsidRPr="00260CE3" w:rsidRDefault="004D0F59" w:rsidP="00B157CD">
            <w:pPr>
              <w:spacing w:before="0" w:after="0"/>
              <w:rPr>
                <w:rFonts w:ascii="Arial Narrow" w:hAnsi="Arial Narrow" w:cs="Arial"/>
                <w:i/>
                <w:sz w:val="20"/>
                <w:szCs w:val="20"/>
              </w:rPr>
            </w:pPr>
            <w:r w:rsidRPr="00260CE3">
              <w:rPr>
                <w:rFonts w:ascii="Arial Narrow" w:hAnsi="Arial Narrow" w:cs="Arial"/>
                <w:b/>
                <w:sz w:val="20"/>
                <w:szCs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4D0F59" w:rsidRPr="004549C2" w:rsidRDefault="004D0F59" w:rsidP="00B157CD">
            <w:pPr>
              <w:spacing w:before="0" w:after="0"/>
              <w:rPr>
                <w:rFonts w:ascii="Arial Narrow" w:hAnsi="Arial Narrow" w:cs="Arial"/>
                <w:i/>
                <w:sz w:val="20"/>
                <w:szCs w:val="20"/>
              </w:rPr>
            </w:pPr>
            <w:r w:rsidRPr="004549C2">
              <w:rPr>
                <w:rFonts w:ascii="Arial Narrow" w:hAnsi="Arial Narrow" w:cs="Arial"/>
                <w:i/>
                <w:sz w:val="20"/>
                <w:szCs w:val="20"/>
              </w:rPr>
              <w:t>No increase in the maximum quantity or number of units may be authorised.</w:t>
            </w:r>
          </w:p>
          <w:p w:rsidR="004D0F59" w:rsidRPr="004549C2" w:rsidRDefault="004D0F59" w:rsidP="00B157CD">
            <w:pPr>
              <w:spacing w:before="0" w:after="0"/>
              <w:rPr>
                <w:rFonts w:ascii="Arial Narrow" w:hAnsi="Arial Narrow" w:cs="Arial"/>
                <w:i/>
                <w:sz w:val="20"/>
                <w:szCs w:val="20"/>
              </w:rPr>
            </w:pPr>
          </w:p>
          <w:p w:rsidR="004D0F59" w:rsidRPr="004549C2" w:rsidRDefault="004D0F59" w:rsidP="00B157CD">
            <w:pPr>
              <w:spacing w:before="0" w:after="0"/>
              <w:rPr>
                <w:rFonts w:ascii="Arial Narrow" w:hAnsi="Arial Narrow" w:cs="Arial"/>
                <w:i/>
                <w:sz w:val="20"/>
                <w:szCs w:val="20"/>
              </w:rPr>
            </w:pPr>
            <w:r w:rsidRPr="004549C2">
              <w:rPr>
                <w:rFonts w:ascii="Arial Narrow" w:hAnsi="Arial Narrow" w:cs="Arial"/>
                <w:i/>
                <w:sz w:val="20"/>
                <w:szCs w:val="20"/>
              </w:rPr>
              <w:t>No increase in the maximum number of repeats may be authorised.</w:t>
            </w:r>
          </w:p>
          <w:p w:rsidR="004D0F59" w:rsidRPr="004549C2" w:rsidRDefault="004D0F59" w:rsidP="00B157CD">
            <w:pPr>
              <w:spacing w:before="0" w:after="0"/>
              <w:rPr>
                <w:rFonts w:ascii="Arial Narrow" w:hAnsi="Arial Narrow" w:cs="Arial"/>
                <w:i/>
                <w:sz w:val="20"/>
                <w:szCs w:val="20"/>
              </w:rPr>
            </w:pPr>
          </w:p>
          <w:p w:rsidR="004D0F59" w:rsidRDefault="004D0F59" w:rsidP="00B157CD">
            <w:pPr>
              <w:spacing w:before="0" w:after="0"/>
              <w:rPr>
                <w:rFonts w:ascii="Arial Narrow" w:hAnsi="Arial Narrow" w:cs="Arial"/>
                <w:i/>
                <w:sz w:val="20"/>
                <w:szCs w:val="20"/>
              </w:rPr>
            </w:pPr>
            <w:r w:rsidRPr="004549C2">
              <w:rPr>
                <w:rFonts w:ascii="Arial Narrow" w:hAnsi="Arial Narrow" w:cs="Arial"/>
                <w:i/>
                <w:sz w:val="20"/>
                <w:szCs w:val="20"/>
              </w:rPr>
              <w:t>Special Pricing Arrangements apply.</w:t>
            </w:r>
          </w:p>
          <w:p w:rsidR="004D0F59" w:rsidRDefault="004D0F59" w:rsidP="00B157CD">
            <w:pPr>
              <w:spacing w:before="0" w:after="0"/>
              <w:rPr>
                <w:rFonts w:ascii="Arial Narrow" w:hAnsi="Arial Narrow" w:cs="Arial"/>
                <w:i/>
                <w:sz w:val="20"/>
                <w:szCs w:val="20"/>
              </w:rPr>
            </w:pPr>
          </w:p>
          <w:p w:rsidR="004D0F59" w:rsidRPr="004549C2" w:rsidRDefault="004D0F59" w:rsidP="00B157CD">
            <w:pPr>
              <w:spacing w:before="0" w:after="0"/>
              <w:rPr>
                <w:rFonts w:ascii="Arial Narrow" w:hAnsi="Arial Narrow" w:cs="Arial"/>
                <w:sz w:val="20"/>
                <w:szCs w:val="20"/>
              </w:rPr>
            </w:pPr>
            <w:r w:rsidRPr="004549C2">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4D0F59" w:rsidRPr="004549C2" w:rsidRDefault="004D0F59" w:rsidP="00B157CD">
            <w:pPr>
              <w:spacing w:before="0" w:after="0"/>
              <w:rPr>
                <w:rFonts w:ascii="Arial Narrow" w:hAnsi="Arial Narrow" w:cs="Arial"/>
                <w:sz w:val="20"/>
                <w:szCs w:val="20"/>
              </w:rPr>
            </w:pPr>
          </w:p>
          <w:p w:rsidR="004D0F59" w:rsidRPr="004549C2" w:rsidRDefault="004D0F59" w:rsidP="00B157CD">
            <w:pPr>
              <w:spacing w:before="0" w:after="0"/>
              <w:rPr>
                <w:rFonts w:ascii="Arial Narrow" w:hAnsi="Arial Narrow" w:cs="Arial"/>
                <w:sz w:val="20"/>
                <w:szCs w:val="20"/>
              </w:rPr>
            </w:pPr>
            <w:r w:rsidRPr="004549C2">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4D0F59" w:rsidRPr="004549C2" w:rsidRDefault="004D0F59" w:rsidP="00B157CD">
            <w:pPr>
              <w:spacing w:before="0" w:after="0"/>
              <w:rPr>
                <w:rFonts w:ascii="Arial Narrow" w:hAnsi="Arial Narrow" w:cs="Arial"/>
                <w:sz w:val="20"/>
                <w:szCs w:val="20"/>
              </w:rPr>
            </w:pPr>
          </w:p>
          <w:p w:rsidR="004D0F59" w:rsidRPr="004549C2" w:rsidRDefault="004D0F59" w:rsidP="00B157CD">
            <w:pPr>
              <w:spacing w:before="0" w:after="0"/>
              <w:rPr>
                <w:rFonts w:ascii="Arial Narrow" w:hAnsi="Arial Narrow" w:cs="Arial"/>
                <w:sz w:val="20"/>
                <w:szCs w:val="20"/>
              </w:rPr>
            </w:pPr>
            <w:r w:rsidRPr="004549C2">
              <w:rPr>
                <w:rFonts w:ascii="Arial Narrow" w:hAnsi="Arial Narrow" w:cs="Arial"/>
                <w:sz w:val="20"/>
                <w:szCs w:val="20"/>
              </w:rPr>
              <w:t>Applications for authority to prescribe should be forwarded to:</w:t>
            </w:r>
          </w:p>
          <w:p w:rsidR="004D0F59" w:rsidRPr="004549C2" w:rsidRDefault="004D0F59" w:rsidP="00B157CD">
            <w:pPr>
              <w:spacing w:before="0" w:after="0"/>
              <w:rPr>
                <w:rFonts w:ascii="Arial Narrow" w:hAnsi="Arial Narrow" w:cs="Arial"/>
                <w:sz w:val="20"/>
                <w:szCs w:val="20"/>
              </w:rPr>
            </w:pPr>
            <w:r w:rsidRPr="004549C2">
              <w:rPr>
                <w:rFonts w:ascii="Arial Narrow" w:hAnsi="Arial Narrow" w:cs="Arial"/>
                <w:sz w:val="20"/>
                <w:szCs w:val="20"/>
              </w:rPr>
              <w:t>Department of Human Services</w:t>
            </w:r>
          </w:p>
          <w:p w:rsidR="004D0F59" w:rsidRPr="004549C2" w:rsidRDefault="004D0F59" w:rsidP="00B157CD">
            <w:pPr>
              <w:spacing w:before="0" w:after="0"/>
              <w:rPr>
                <w:rFonts w:ascii="Arial Narrow" w:hAnsi="Arial Narrow" w:cs="Arial"/>
                <w:sz w:val="20"/>
                <w:szCs w:val="20"/>
              </w:rPr>
            </w:pPr>
            <w:r w:rsidRPr="004549C2">
              <w:rPr>
                <w:rFonts w:ascii="Arial Narrow" w:hAnsi="Arial Narrow" w:cs="Arial"/>
                <w:sz w:val="20"/>
                <w:szCs w:val="20"/>
              </w:rPr>
              <w:t>Complex Drugs Programs</w:t>
            </w:r>
          </w:p>
          <w:p w:rsidR="004D0F59" w:rsidRPr="004549C2" w:rsidRDefault="004D0F59" w:rsidP="00B157CD">
            <w:pPr>
              <w:spacing w:before="0" w:after="0"/>
              <w:rPr>
                <w:rFonts w:ascii="Arial Narrow" w:hAnsi="Arial Narrow" w:cs="Arial"/>
                <w:sz w:val="20"/>
                <w:szCs w:val="20"/>
              </w:rPr>
            </w:pPr>
            <w:r w:rsidRPr="004549C2">
              <w:rPr>
                <w:rFonts w:ascii="Arial Narrow" w:hAnsi="Arial Narrow" w:cs="Arial"/>
                <w:sz w:val="20"/>
                <w:szCs w:val="20"/>
              </w:rPr>
              <w:t>Reply Paid 9826</w:t>
            </w:r>
          </w:p>
          <w:p w:rsidR="004D0F59" w:rsidRPr="00260CE3" w:rsidRDefault="004D0F59" w:rsidP="00B157CD">
            <w:pPr>
              <w:spacing w:before="0" w:after="0"/>
              <w:rPr>
                <w:rFonts w:ascii="Arial Narrow" w:hAnsi="Arial Narrow" w:cs="Arial"/>
                <w:sz w:val="20"/>
                <w:szCs w:val="20"/>
              </w:rPr>
            </w:pPr>
            <w:r w:rsidRPr="004549C2">
              <w:rPr>
                <w:rFonts w:ascii="Arial Narrow" w:hAnsi="Arial Narrow" w:cs="Arial"/>
                <w:sz w:val="20"/>
                <w:szCs w:val="20"/>
              </w:rPr>
              <w:t>HOBART TAS 7001</w:t>
            </w:r>
          </w:p>
        </w:tc>
      </w:tr>
      <w:tr w:rsidR="004D0F59" w:rsidRPr="00260CE3" w:rsidTr="00B157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0F59" w:rsidRPr="00260CE3" w:rsidRDefault="004D0F59" w:rsidP="00B157CD">
            <w:pPr>
              <w:spacing w:before="0" w:after="0"/>
              <w:rPr>
                <w:rFonts w:ascii="Arial Narrow" w:hAnsi="Arial Narrow" w:cs="Arial"/>
                <w:i/>
                <w:sz w:val="20"/>
                <w:szCs w:val="20"/>
              </w:rPr>
            </w:pPr>
            <w:r w:rsidRPr="00260CE3">
              <w:rPr>
                <w:rFonts w:ascii="Arial Narrow" w:hAnsi="Arial Narrow" w:cs="Arial"/>
                <w:b/>
                <w:sz w:val="20"/>
                <w:szCs w:val="20"/>
              </w:rPr>
              <w:t>Cautions</w:t>
            </w:r>
          </w:p>
        </w:tc>
        <w:tc>
          <w:tcPr>
            <w:tcW w:w="6379" w:type="dxa"/>
            <w:gridSpan w:val="6"/>
            <w:tcBorders>
              <w:top w:val="single" w:sz="4" w:space="0" w:color="auto"/>
              <w:left w:val="single" w:sz="4" w:space="0" w:color="auto"/>
              <w:bottom w:val="single" w:sz="4" w:space="0" w:color="auto"/>
              <w:right w:val="single" w:sz="4" w:space="0" w:color="auto"/>
            </w:tcBorders>
          </w:tcPr>
          <w:p w:rsidR="004D0F59" w:rsidRPr="004549C2" w:rsidRDefault="004D0F59" w:rsidP="00B157CD">
            <w:pPr>
              <w:spacing w:before="0" w:after="0"/>
              <w:rPr>
                <w:rFonts w:ascii="Arial Narrow" w:hAnsi="Arial Narrow" w:cs="Arial"/>
                <w:i/>
                <w:sz w:val="20"/>
                <w:szCs w:val="20"/>
              </w:rPr>
            </w:pPr>
            <w:r w:rsidRPr="004549C2">
              <w:rPr>
                <w:rFonts w:ascii="Arial Narrow" w:hAnsi="Arial Narrow" w:cs="Arial"/>
                <w:i/>
                <w:sz w:val="20"/>
                <w:szCs w:val="20"/>
              </w:rPr>
              <w:t>Sonidegib is a category X drug and must not be given to pregnant women. Pregnancy in female patients or in the partners of male patients must be avoided during treatment and during the 9 months and 2 months period after cessation of treatment for female and male patients respectively, as according to the TGA approved Product Information.</w:t>
            </w:r>
          </w:p>
        </w:tc>
      </w:tr>
    </w:tbl>
    <w:p w:rsidR="004D0F59" w:rsidRDefault="004D0F59" w:rsidP="004D0F59">
      <w:pPr>
        <w:rPr>
          <w:rFonts w:ascii="Arial" w:hAnsi="Arial" w:cs="Arial"/>
          <w:sz w:val="22"/>
        </w:rPr>
      </w:pPr>
    </w:p>
    <w:p w:rsidR="00B23F1C" w:rsidRPr="00552722" w:rsidRDefault="00B23F1C" w:rsidP="004D0F59">
      <w:pPr>
        <w:rPr>
          <w:rFonts w:ascii="Arial" w:hAnsi="Arial" w:cs="Arial"/>
          <w:sz w:val="22"/>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05"/>
      </w:tblGrid>
      <w:tr w:rsidR="004D0F59" w:rsidRPr="006D5F37" w:rsidTr="00E31F7A">
        <w:tc>
          <w:tcPr>
            <w:tcW w:w="1551" w:type="pct"/>
            <w:shd w:val="clear" w:color="auto" w:fill="auto"/>
          </w:tcPr>
          <w:p w:rsidR="004D0F59" w:rsidRPr="006D5F37" w:rsidRDefault="004D0F59" w:rsidP="00B157CD">
            <w:pPr>
              <w:pStyle w:val="Default"/>
              <w:rPr>
                <w:rFonts w:ascii="Arial Narrow" w:hAnsi="Arial Narrow"/>
                <w:b/>
                <w:sz w:val="20"/>
                <w:szCs w:val="20"/>
              </w:rPr>
            </w:pPr>
            <w:r w:rsidRPr="006D5F37">
              <w:rPr>
                <w:rFonts w:ascii="Arial Narrow" w:hAnsi="Arial Narrow"/>
                <w:b/>
                <w:bCs/>
                <w:sz w:val="20"/>
                <w:szCs w:val="20"/>
              </w:rPr>
              <w:t xml:space="preserve">Category / Program </w:t>
            </w:r>
          </w:p>
        </w:tc>
        <w:tc>
          <w:tcPr>
            <w:tcW w:w="3449" w:type="pct"/>
            <w:shd w:val="clear" w:color="auto" w:fill="auto"/>
          </w:tcPr>
          <w:p w:rsidR="004D0F59" w:rsidRPr="006D5F37" w:rsidRDefault="004D0F59" w:rsidP="00B157CD">
            <w:pPr>
              <w:keepNext/>
              <w:spacing w:before="0" w:after="0"/>
              <w:rPr>
                <w:rFonts w:ascii="Arial Narrow" w:hAnsi="Arial Narrow" w:cs="Calibri"/>
                <w:b/>
                <w:bCs/>
                <w:sz w:val="20"/>
                <w:szCs w:val="20"/>
              </w:rPr>
            </w:pPr>
            <w:r w:rsidRPr="006D5F37">
              <w:rPr>
                <w:rFonts w:ascii="Arial Narrow" w:hAnsi="Arial Narrow" w:cs="Calibri"/>
                <w:sz w:val="20"/>
                <w:szCs w:val="20"/>
              </w:rPr>
              <w:t xml:space="preserve">GENERAL – General Schedule (Code GE) </w:t>
            </w:r>
          </w:p>
        </w:tc>
      </w:tr>
      <w:tr w:rsidR="004D0F59" w:rsidRPr="006D5F37" w:rsidTr="00E31F7A">
        <w:tc>
          <w:tcPr>
            <w:tcW w:w="1551" w:type="pct"/>
            <w:shd w:val="clear" w:color="auto" w:fill="auto"/>
          </w:tcPr>
          <w:p w:rsidR="004D0F59" w:rsidRPr="006D5F37" w:rsidRDefault="004D0F59" w:rsidP="00B157CD">
            <w:pPr>
              <w:spacing w:before="0" w:after="0"/>
              <w:rPr>
                <w:rFonts w:ascii="Arial Narrow" w:hAnsi="Arial Narrow" w:cs="Calibri"/>
                <w:b/>
                <w:bCs/>
                <w:sz w:val="20"/>
                <w:szCs w:val="20"/>
                <w:lang w:val="en-NZ"/>
              </w:rPr>
            </w:pPr>
            <w:r w:rsidRPr="006D5F37">
              <w:rPr>
                <w:rFonts w:ascii="Arial Narrow" w:hAnsi="Arial Narrow" w:cs="Calibri"/>
                <w:b/>
                <w:bCs/>
                <w:sz w:val="20"/>
                <w:szCs w:val="20"/>
              </w:rPr>
              <w:t xml:space="preserve">Prescriber type: </w:t>
            </w:r>
          </w:p>
        </w:tc>
        <w:tc>
          <w:tcPr>
            <w:tcW w:w="3449" w:type="pct"/>
            <w:shd w:val="clear" w:color="auto" w:fill="auto"/>
            <w:vAlign w:val="center"/>
          </w:tcPr>
          <w:p w:rsidR="004D0F59" w:rsidRPr="006D5F37" w:rsidRDefault="004D0F59" w:rsidP="00B157CD">
            <w:pPr>
              <w:spacing w:before="0" w:after="0"/>
              <w:rPr>
                <w:rFonts w:ascii="Arial Narrow" w:hAnsi="Arial Narrow" w:cs="Arial"/>
                <w:sz w:val="20"/>
                <w:szCs w:val="20"/>
              </w:rPr>
            </w:pPr>
            <w:r w:rsidRPr="006D5F37">
              <w:rPr>
                <w:rFonts w:ascii="Arial Narrow" w:hAnsi="Arial Narrow" w:cs="Arial"/>
                <w:sz w:val="20"/>
                <w:szCs w:val="20"/>
              </w:rPr>
              <w:fldChar w:fldCharType="begin">
                <w:ffData>
                  <w:name w:val="Check1"/>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Dental  </w:t>
            </w:r>
            <w:r w:rsidRPr="006D5F37">
              <w:rPr>
                <w:rFonts w:ascii="Arial Narrow" w:hAnsi="Arial Narrow" w:cs="Arial"/>
                <w:sz w:val="20"/>
                <w:szCs w:val="20"/>
              </w:rPr>
              <w:fldChar w:fldCharType="begin">
                <w:ffData>
                  <w:name w:val=""/>
                  <w:enabled/>
                  <w:calcOnExit w:val="0"/>
                  <w:checkBox>
                    <w:sizeAuto/>
                    <w:default w:val="1"/>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Medical Practitioners  </w:t>
            </w:r>
            <w:r w:rsidRPr="006D5F37">
              <w:rPr>
                <w:rFonts w:ascii="Arial Narrow" w:hAnsi="Arial Narrow" w:cs="Arial"/>
                <w:sz w:val="20"/>
                <w:szCs w:val="20"/>
              </w:rPr>
              <w:fldChar w:fldCharType="begin">
                <w:ffData>
                  <w:name w:val="Check3"/>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Nurse practitioners  </w:t>
            </w:r>
            <w:r w:rsidRPr="006D5F37">
              <w:rPr>
                <w:rFonts w:ascii="Arial Narrow" w:hAnsi="Arial Narrow" w:cs="Arial"/>
                <w:sz w:val="20"/>
                <w:szCs w:val="20"/>
              </w:rPr>
              <w:fldChar w:fldCharType="begin">
                <w:ffData>
                  <w:name w:val=""/>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Optometrists</w:t>
            </w:r>
          </w:p>
          <w:p w:rsidR="004D0F59" w:rsidRPr="006D5F37" w:rsidRDefault="004D0F59" w:rsidP="00B157CD">
            <w:pPr>
              <w:spacing w:before="0" w:after="0"/>
              <w:rPr>
                <w:rFonts w:ascii="Arial Narrow" w:hAnsi="Arial Narrow" w:cs="Calibri"/>
                <w:bCs/>
                <w:sz w:val="20"/>
                <w:szCs w:val="20"/>
              </w:rPr>
            </w:pPr>
            <w:r w:rsidRPr="006D5F37">
              <w:rPr>
                <w:rFonts w:ascii="Arial Narrow" w:hAnsi="Arial Narrow" w:cs="Arial"/>
                <w:sz w:val="20"/>
                <w:szCs w:val="20"/>
              </w:rPr>
              <w:fldChar w:fldCharType="begin">
                <w:ffData>
                  <w:name w:val="Check5"/>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Midwives</w:t>
            </w:r>
          </w:p>
        </w:tc>
      </w:tr>
      <w:tr w:rsidR="004D0F59" w:rsidRPr="006D5F37" w:rsidTr="00E31F7A">
        <w:tc>
          <w:tcPr>
            <w:tcW w:w="1551" w:type="pct"/>
            <w:shd w:val="clear" w:color="auto" w:fill="auto"/>
          </w:tcPr>
          <w:p w:rsidR="004D0F59" w:rsidRPr="006D5F37" w:rsidRDefault="004D0F59" w:rsidP="00B157CD">
            <w:pPr>
              <w:spacing w:before="0" w:after="0"/>
              <w:rPr>
                <w:rFonts w:ascii="Arial Narrow" w:hAnsi="Arial Narrow" w:cs="Calibri"/>
                <w:b/>
                <w:bCs/>
                <w:sz w:val="20"/>
                <w:szCs w:val="20"/>
                <w:lang w:val="en-NZ"/>
              </w:rPr>
            </w:pPr>
            <w:r w:rsidRPr="006D5F37">
              <w:rPr>
                <w:rFonts w:ascii="Arial Narrow" w:hAnsi="Arial Narrow" w:cs="Calibri"/>
                <w:b/>
                <w:bCs/>
                <w:sz w:val="20"/>
                <w:szCs w:val="20"/>
              </w:rPr>
              <w:t xml:space="preserve">Severity: </w:t>
            </w:r>
          </w:p>
        </w:tc>
        <w:tc>
          <w:tcPr>
            <w:tcW w:w="3449" w:type="pct"/>
            <w:shd w:val="clear" w:color="auto" w:fill="auto"/>
          </w:tcPr>
          <w:p w:rsidR="004D0F59" w:rsidRPr="006D5F37" w:rsidRDefault="004D0F59" w:rsidP="00B157CD">
            <w:pPr>
              <w:spacing w:before="0" w:after="0"/>
              <w:rPr>
                <w:rFonts w:ascii="Arial Narrow" w:hAnsi="Arial Narrow" w:cs="Calibri"/>
                <w:bCs/>
                <w:sz w:val="20"/>
                <w:szCs w:val="20"/>
              </w:rPr>
            </w:pPr>
            <w:r w:rsidRPr="006D5F37">
              <w:rPr>
                <w:rFonts w:ascii="Arial Narrow" w:hAnsi="Arial Narrow" w:cs="Calibri"/>
                <w:sz w:val="20"/>
                <w:szCs w:val="20"/>
              </w:rPr>
              <w:t xml:space="preserve">Metastatic or locally advanced </w:t>
            </w:r>
          </w:p>
        </w:tc>
      </w:tr>
      <w:tr w:rsidR="004D0F59" w:rsidRPr="006D5F37" w:rsidTr="00E31F7A">
        <w:tc>
          <w:tcPr>
            <w:tcW w:w="1551" w:type="pct"/>
            <w:shd w:val="clear" w:color="auto" w:fill="auto"/>
          </w:tcPr>
          <w:p w:rsidR="004D0F59" w:rsidRPr="006D5F37" w:rsidRDefault="004D0F59" w:rsidP="00B157CD">
            <w:pPr>
              <w:spacing w:before="0" w:after="0"/>
              <w:rPr>
                <w:rFonts w:ascii="Arial Narrow" w:hAnsi="Arial Narrow" w:cs="Calibri"/>
                <w:b/>
                <w:bCs/>
                <w:sz w:val="20"/>
                <w:szCs w:val="20"/>
                <w:lang w:val="en-NZ"/>
              </w:rPr>
            </w:pPr>
            <w:r w:rsidRPr="006D5F37">
              <w:rPr>
                <w:rFonts w:ascii="Arial Narrow" w:hAnsi="Arial Narrow" w:cs="Calibri"/>
                <w:b/>
                <w:bCs/>
                <w:sz w:val="20"/>
                <w:szCs w:val="20"/>
              </w:rPr>
              <w:t xml:space="preserve">Condition: </w:t>
            </w:r>
          </w:p>
        </w:tc>
        <w:tc>
          <w:tcPr>
            <w:tcW w:w="3449" w:type="pct"/>
            <w:shd w:val="clear" w:color="auto" w:fill="auto"/>
          </w:tcPr>
          <w:p w:rsidR="004D0F59" w:rsidRPr="006D5F37" w:rsidRDefault="004D0F59" w:rsidP="00B157CD">
            <w:pPr>
              <w:spacing w:before="0" w:after="0"/>
              <w:rPr>
                <w:rFonts w:ascii="Arial Narrow" w:hAnsi="Arial Narrow" w:cs="Calibri"/>
                <w:bCs/>
                <w:sz w:val="20"/>
                <w:szCs w:val="20"/>
              </w:rPr>
            </w:pPr>
            <w:r w:rsidRPr="006D5F37">
              <w:rPr>
                <w:rFonts w:ascii="Arial Narrow" w:hAnsi="Arial Narrow" w:cs="Calibri"/>
                <w:sz w:val="20"/>
                <w:szCs w:val="20"/>
              </w:rPr>
              <w:t xml:space="preserve">Basal cell carcinoma </w:t>
            </w:r>
          </w:p>
        </w:tc>
      </w:tr>
      <w:tr w:rsidR="004D0F59" w:rsidRPr="006D5F37" w:rsidTr="00E31F7A">
        <w:tc>
          <w:tcPr>
            <w:tcW w:w="1551" w:type="pct"/>
            <w:shd w:val="clear" w:color="auto" w:fill="auto"/>
          </w:tcPr>
          <w:p w:rsidR="004D0F59" w:rsidRPr="006D5F37" w:rsidRDefault="004D0F59" w:rsidP="00B157CD">
            <w:pPr>
              <w:spacing w:before="0" w:after="0"/>
              <w:rPr>
                <w:rFonts w:ascii="Arial Narrow" w:hAnsi="Arial Narrow" w:cs="Calibri"/>
                <w:b/>
                <w:bCs/>
                <w:sz w:val="20"/>
                <w:szCs w:val="20"/>
                <w:lang w:val="en-NZ"/>
              </w:rPr>
            </w:pPr>
            <w:r w:rsidRPr="006D5F37">
              <w:rPr>
                <w:rFonts w:ascii="Arial Narrow" w:hAnsi="Arial Narrow" w:cs="Calibri"/>
                <w:b/>
                <w:bCs/>
                <w:sz w:val="20"/>
                <w:szCs w:val="20"/>
              </w:rPr>
              <w:t xml:space="preserve">PBS Indication: </w:t>
            </w:r>
          </w:p>
        </w:tc>
        <w:tc>
          <w:tcPr>
            <w:tcW w:w="3449" w:type="pct"/>
            <w:shd w:val="clear" w:color="auto" w:fill="auto"/>
          </w:tcPr>
          <w:p w:rsidR="004D0F59" w:rsidRPr="006D5F37" w:rsidRDefault="004D0F59" w:rsidP="00B157CD">
            <w:pPr>
              <w:spacing w:before="0" w:after="0"/>
              <w:rPr>
                <w:rFonts w:ascii="Arial Narrow" w:hAnsi="Arial Narrow" w:cs="Calibri"/>
                <w:bCs/>
                <w:sz w:val="20"/>
                <w:szCs w:val="20"/>
              </w:rPr>
            </w:pPr>
            <w:r w:rsidRPr="006D5F37">
              <w:rPr>
                <w:rFonts w:ascii="Arial Narrow" w:hAnsi="Arial Narrow" w:cs="Calibri"/>
                <w:sz w:val="20"/>
                <w:szCs w:val="20"/>
              </w:rPr>
              <w:t xml:space="preserve">Metastatic or locally advanced basal cell carcinoma </w:t>
            </w:r>
          </w:p>
        </w:tc>
      </w:tr>
      <w:tr w:rsidR="004D0F59" w:rsidRPr="006D5F37" w:rsidTr="00E31F7A">
        <w:tc>
          <w:tcPr>
            <w:tcW w:w="1551" w:type="pct"/>
            <w:shd w:val="clear" w:color="auto" w:fill="auto"/>
          </w:tcPr>
          <w:p w:rsidR="004D0F59" w:rsidRPr="006D5F37" w:rsidRDefault="004D0F59" w:rsidP="00B157CD">
            <w:pPr>
              <w:spacing w:before="0" w:after="0"/>
              <w:rPr>
                <w:rFonts w:ascii="Arial Narrow" w:hAnsi="Arial Narrow" w:cs="Calibri"/>
                <w:b/>
                <w:bCs/>
                <w:sz w:val="20"/>
                <w:szCs w:val="20"/>
                <w:lang w:val="en-NZ"/>
              </w:rPr>
            </w:pPr>
            <w:r w:rsidRPr="006D5F37">
              <w:rPr>
                <w:rFonts w:ascii="Arial Narrow" w:hAnsi="Arial Narrow" w:cs="Calibri"/>
                <w:b/>
                <w:bCs/>
                <w:sz w:val="20"/>
                <w:szCs w:val="20"/>
              </w:rPr>
              <w:t xml:space="preserve">Treatment phase: </w:t>
            </w:r>
          </w:p>
        </w:tc>
        <w:tc>
          <w:tcPr>
            <w:tcW w:w="3449" w:type="pct"/>
            <w:shd w:val="clear" w:color="auto" w:fill="auto"/>
          </w:tcPr>
          <w:p w:rsidR="004D0F59" w:rsidRPr="006D5F37" w:rsidRDefault="004D0F59" w:rsidP="00B157CD">
            <w:pPr>
              <w:spacing w:before="0" w:after="0"/>
              <w:rPr>
                <w:rFonts w:ascii="Arial Narrow" w:hAnsi="Arial Narrow" w:cs="Calibri"/>
                <w:bCs/>
                <w:sz w:val="20"/>
                <w:szCs w:val="20"/>
              </w:rPr>
            </w:pPr>
            <w:r w:rsidRPr="006D5F37">
              <w:rPr>
                <w:rFonts w:ascii="Arial Narrow" w:hAnsi="Arial Narrow" w:cs="Calibri"/>
                <w:sz w:val="20"/>
                <w:szCs w:val="20"/>
              </w:rPr>
              <w:t>Continuing treatment</w:t>
            </w:r>
          </w:p>
        </w:tc>
      </w:tr>
      <w:tr w:rsidR="004D0F59" w:rsidRPr="006D5F37" w:rsidTr="00E31F7A">
        <w:tc>
          <w:tcPr>
            <w:tcW w:w="1551" w:type="pct"/>
            <w:shd w:val="clear" w:color="auto" w:fill="auto"/>
          </w:tcPr>
          <w:p w:rsidR="004D0F59" w:rsidRPr="006D5F37" w:rsidRDefault="004D0F59" w:rsidP="00B157CD">
            <w:pPr>
              <w:spacing w:before="0" w:after="0"/>
              <w:rPr>
                <w:rFonts w:ascii="Arial Narrow" w:hAnsi="Arial Narrow" w:cs="Calibri"/>
                <w:b/>
                <w:bCs/>
                <w:sz w:val="20"/>
                <w:szCs w:val="20"/>
                <w:lang w:val="en-NZ"/>
              </w:rPr>
            </w:pPr>
            <w:r w:rsidRPr="006D5F37">
              <w:rPr>
                <w:rFonts w:ascii="Arial Narrow" w:hAnsi="Arial Narrow" w:cs="Calibri"/>
                <w:b/>
                <w:bCs/>
                <w:sz w:val="20"/>
                <w:szCs w:val="20"/>
              </w:rPr>
              <w:t xml:space="preserve">Restriction Level / Method: </w:t>
            </w:r>
          </w:p>
        </w:tc>
        <w:tc>
          <w:tcPr>
            <w:tcW w:w="3449" w:type="pct"/>
            <w:shd w:val="clear" w:color="auto" w:fill="auto"/>
            <w:vAlign w:val="center"/>
          </w:tcPr>
          <w:p w:rsidR="004D0F59" w:rsidRPr="006D5F37" w:rsidRDefault="004D0F59" w:rsidP="00B157CD">
            <w:pPr>
              <w:spacing w:before="0" w:after="0"/>
              <w:rPr>
                <w:rFonts w:ascii="Arial Narrow" w:hAnsi="Arial Narrow" w:cs="Arial"/>
                <w:sz w:val="20"/>
                <w:szCs w:val="20"/>
              </w:rPr>
            </w:pPr>
            <w:r w:rsidRPr="006D5F37">
              <w:rPr>
                <w:rFonts w:ascii="Arial Narrow" w:hAnsi="Arial Narrow" w:cs="Arial"/>
                <w:sz w:val="20"/>
                <w:szCs w:val="20"/>
              </w:rPr>
              <w:fldChar w:fldCharType="begin">
                <w:ffData>
                  <w:name w:val=""/>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 Restricted benefit</w:t>
            </w:r>
          </w:p>
          <w:p w:rsidR="004D0F59" w:rsidRPr="006D5F37" w:rsidRDefault="004D0F59" w:rsidP="00B157CD">
            <w:pPr>
              <w:spacing w:before="0" w:after="0"/>
              <w:rPr>
                <w:rFonts w:ascii="Arial Narrow" w:hAnsi="Arial Narrow" w:cs="Arial"/>
                <w:sz w:val="20"/>
                <w:szCs w:val="20"/>
              </w:rPr>
            </w:pPr>
            <w:r w:rsidRPr="006D5F37">
              <w:rPr>
                <w:rFonts w:ascii="Arial Narrow" w:hAnsi="Arial Narrow" w:cs="Arial"/>
                <w:sz w:val="20"/>
                <w:szCs w:val="20"/>
              </w:rPr>
              <w:fldChar w:fldCharType="begin">
                <w:ffData>
                  <w:name w:val=""/>
                  <w:enabled/>
                  <w:calcOnExit w:val="0"/>
                  <w:checkBox>
                    <w:sizeAuto/>
                    <w:default w:val="1"/>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 Authority Required - In Writing</w:t>
            </w:r>
          </w:p>
          <w:p w:rsidR="004D0F59" w:rsidRPr="006D5F37" w:rsidRDefault="004D0F59" w:rsidP="00B157CD">
            <w:pPr>
              <w:spacing w:before="0" w:after="0"/>
              <w:rPr>
                <w:rFonts w:ascii="Arial Narrow" w:hAnsi="Arial Narrow" w:cs="Arial"/>
                <w:sz w:val="20"/>
                <w:szCs w:val="20"/>
              </w:rPr>
            </w:pPr>
            <w:r w:rsidRPr="006D5F37">
              <w:rPr>
                <w:rFonts w:ascii="Arial Narrow" w:hAnsi="Arial Narrow" w:cs="Arial"/>
                <w:sz w:val="20"/>
                <w:szCs w:val="20"/>
              </w:rPr>
              <w:fldChar w:fldCharType="begin">
                <w:ffData>
                  <w:name w:val="Check3"/>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 Authority Required - Telephone</w:t>
            </w:r>
          </w:p>
          <w:p w:rsidR="004D0F59" w:rsidRPr="006D5F37" w:rsidRDefault="004D0F59" w:rsidP="00B157CD">
            <w:pPr>
              <w:spacing w:before="0" w:after="0"/>
              <w:rPr>
                <w:rFonts w:ascii="Arial Narrow" w:hAnsi="Arial Narrow" w:cs="Arial"/>
                <w:sz w:val="20"/>
                <w:szCs w:val="20"/>
              </w:rPr>
            </w:pPr>
            <w:r w:rsidRPr="006D5F37">
              <w:rPr>
                <w:rFonts w:ascii="Arial Narrow" w:hAnsi="Arial Narrow" w:cs="Arial"/>
                <w:sz w:val="20"/>
                <w:szCs w:val="20"/>
              </w:rPr>
              <w:fldChar w:fldCharType="begin">
                <w:ffData>
                  <w:name w:val=""/>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 Authority Required – Emergency</w:t>
            </w:r>
          </w:p>
          <w:p w:rsidR="004D0F59" w:rsidRPr="006D5F37" w:rsidRDefault="004D0F59" w:rsidP="00B157CD">
            <w:pPr>
              <w:spacing w:before="0" w:after="0"/>
              <w:rPr>
                <w:rFonts w:ascii="Arial Narrow" w:hAnsi="Arial Narrow" w:cs="Arial"/>
                <w:sz w:val="20"/>
                <w:szCs w:val="20"/>
              </w:rPr>
            </w:pPr>
            <w:r w:rsidRPr="006D5F37">
              <w:rPr>
                <w:rFonts w:ascii="Arial Narrow" w:hAnsi="Arial Narrow" w:cs="Arial"/>
                <w:sz w:val="20"/>
                <w:szCs w:val="20"/>
              </w:rPr>
              <w:fldChar w:fldCharType="begin">
                <w:ffData>
                  <w:name w:val="Check5"/>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 Authority Required - Electronic</w:t>
            </w:r>
          </w:p>
          <w:p w:rsidR="004D0F59" w:rsidRPr="006D5F37" w:rsidRDefault="004D0F59" w:rsidP="00B157CD">
            <w:pPr>
              <w:spacing w:before="0" w:after="0"/>
              <w:rPr>
                <w:rFonts w:ascii="Arial Narrow" w:hAnsi="Arial Narrow" w:cs="Calibri"/>
                <w:bCs/>
                <w:sz w:val="20"/>
                <w:szCs w:val="20"/>
              </w:rPr>
            </w:pPr>
            <w:r w:rsidRPr="006D5F37">
              <w:rPr>
                <w:rFonts w:ascii="Arial Narrow" w:hAnsi="Arial Narrow" w:cs="Arial"/>
                <w:sz w:val="20"/>
                <w:szCs w:val="20"/>
              </w:rPr>
              <w:fldChar w:fldCharType="begin">
                <w:ffData>
                  <w:name w:val="Check5"/>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 Streamlined</w:t>
            </w:r>
          </w:p>
        </w:tc>
      </w:tr>
      <w:tr w:rsidR="004D0F59" w:rsidRPr="006D5F37" w:rsidTr="00E31F7A">
        <w:tc>
          <w:tcPr>
            <w:tcW w:w="1551" w:type="pct"/>
            <w:shd w:val="clear" w:color="auto" w:fill="auto"/>
          </w:tcPr>
          <w:p w:rsidR="004D0F59" w:rsidRPr="006D5F37" w:rsidRDefault="004D0F59" w:rsidP="00B157CD">
            <w:pPr>
              <w:spacing w:before="0" w:after="0"/>
              <w:rPr>
                <w:rFonts w:ascii="Arial Narrow" w:hAnsi="Arial Narrow" w:cs="Calibri"/>
                <w:b/>
                <w:bCs/>
                <w:sz w:val="20"/>
                <w:szCs w:val="20"/>
              </w:rPr>
            </w:pPr>
            <w:r w:rsidRPr="006D5F37">
              <w:rPr>
                <w:rFonts w:ascii="Arial Narrow" w:hAnsi="Arial Narrow" w:cs="Calibri"/>
                <w:b/>
                <w:bCs/>
                <w:sz w:val="20"/>
                <w:szCs w:val="20"/>
                <w:lang w:val="en-NZ"/>
              </w:rPr>
              <w:t>Clinical criteria:</w:t>
            </w:r>
          </w:p>
        </w:tc>
        <w:tc>
          <w:tcPr>
            <w:tcW w:w="3449" w:type="pct"/>
            <w:shd w:val="clear" w:color="auto" w:fill="auto"/>
            <w:vAlign w:val="center"/>
          </w:tcPr>
          <w:p w:rsidR="004D0F59" w:rsidRPr="006D5F37" w:rsidRDefault="004D0F59" w:rsidP="00B157CD">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Patient must have previously received an authority prescription for this condition with this drug,</w:t>
            </w:r>
          </w:p>
          <w:p w:rsidR="004D0F59" w:rsidRPr="006D5F37" w:rsidRDefault="004D0F59" w:rsidP="00B157CD">
            <w:pPr>
              <w:pStyle w:val="ListParagraph"/>
              <w:spacing w:before="0" w:after="0"/>
              <w:ind w:left="0"/>
              <w:rPr>
                <w:rFonts w:ascii="Arial Narrow" w:hAnsi="Arial Narrow" w:cs="Calibri"/>
                <w:bCs/>
                <w:sz w:val="20"/>
                <w:szCs w:val="20"/>
              </w:rPr>
            </w:pPr>
          </w:p>
          <w:p w:rsidR="004D0F59" w:rsidRPr="006D5F37" w:rsidRDefault="004D0F59" w:rsidP="00B157CD">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AND</w:t>
            </w:r>
          </w:p>
          <w:p w:rsidR="004D0F59" w:rsidRPr="006D5F37" w:rsidRDefault="004D0F59" w:rsidP="00B157CD">
            <w:pPr>
              <w:pStyle w:val="ListParagraph"/>
              <w:spacing w:before="0" w:after="0"/>
              <w:ind w:left="0"/>
              <w:rPr>
                <w:rFonts w:ascii="Arial Narrow" w:hAnsi="Arial Narrow" w:cs="Calibri"/>
                <w:bCs/>
                <w:sz w:val="20"/>
                <w:szCs w:val="20"/>
              </w:rPr>
            </w:pPr>
          </w:p>
          <w:p w:rsidR="004D0F59" w:rsidRPr="006D5F37" w:rsidRDefault="004D0F59" w:rsidP="00B157CD">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The condition must not have progressed, </w:t>
            </w:r>
          </w:p>
          <w:p w:rsidR="004D0F59" w:rsidRPr="006D5F37" w:rsidRDefault="004D0F59" w:rsidP="00B157CD">
            <w:pPr>
              <w:pStyle w:val="ListParagraph"/>
              <w:spacing w:before="0" w:after="0"/>
              <w:ind w:left="0"/>
              <w:rPr>
                <w:rFonts w:ascii="Arial Narrow" w:hAnsi="Arial Narrow" w:cs="Calibri"/>
                <w:bCs/>
                <w:sz w:val="20"/>
                <w:szCs w:val="20"/>
              </w:rPr>
            </w:pPr>
          </w:p>
          <w:p w:rsidR="004D0F59" w:rsidRPr="006D5F37" w:rsidRDefault="004D0F59" w:rsidP="00B157CD">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AND</w:t>
            </w:r>
          </w:p>
          <w:p w:rsidR="004D0F59" w:rsidRPr="006D5F37" w:rsidRDefault="004D0F59" w:rsidP="00B157CD">
            <w:pPr>
              <w:pStyle w:val="ListParagraph"/>
              <w:spacing w:before="0" w:after="0"/>
              <w:ind w:left="0"/>
              <w:rPr>
                <w:rFonts w:ascii="Arial Narrow" w:hAnsi="Arial Narrow" w:cs="Calibri"/>
                <w:bCs/>
                <w:sz w:val="20"/>
                <w:szCs w:val="20"/>
              </w:rPr>
            </w:pPr>
          </w:p>
          <w:p w:rsidR="004D0F59" w:rsidRPr="006D5F37" w:rsidRDefault="004D0F59" w:rsidP="00B157CD">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The condition must remain inappropriate for surgery, </w:t>
            </w:r>
          </w:p>
          <w:p w:rsidR="004D0F59" w:rsidRPr="006D5F37" w:rsidRDefault="004D0F59" w:rsidP="00B157CD">
            <w:pPr>
              <w:pStyle w:val="ListParagraph"/>
              <w:spacing w:before="0" w:after="0"/>
              <w:ind w:left="0"/>
              <w:rPr>
                <w:rFonts w:ascii="Arial Narrow" w:hAnsi="Arial Narrow" w:cs="Calibri"/>
                <w:bCs/>
                <w:sz w:val="20"/>
                <w:szCs w:val="20"/>
              </w:rPr>
            </w:pPr>
          </w:p>
          <w:p w:rsidR="004D0F59" w:rsidRPr="006D5F37" w:rsidRDefault="004D0F59" w:rsidP="00B157CD">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AND</w:t>
            </w:r>
          </w:p>
          <w:p w:rsidR="004D0F59" w:rsidRPr="006D5F37" w:rsidRDefault="004D0F59" w:rsidP="00B157CD">
            <w:pPr>
              <w:pStyle w:val="ListParagraph"/>
              <w:spacing w:before="0" w:after="0"/>
              <w:ind w:left="0"/>
              <w:rPr>
                <w:rFonts w:ascii="Arial Narrow" w:hAnsi="Arial Narrow" w:cs="Calibri"/>
                <w:bCs/>
                <w:sz w:val="20"/>
                <w:szCs w:val="20"/>
              </w:rPr>
            </w:pPr>
          </w:p>
          <w:p w:rsidR="004D0F59" w:rsidRPr="006D5F37" w:rsidRDefault="004D0F59" w:rsidP="00B157CD">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The condition must remain inappropriate for curative radiotherapy, </w:t>
            </w:r>
          </w:p>
          <w:p w:rsidR="004D0F59" w:rsidRPr="006D5F37" w:rsidRDefault="004D0F59" w:rsidP="00B157CD">
            <w:pPr>
              <w:pStyle w:val="ListParagraph"/>
              <w:spacing w:before="0" w:after="0"/>
              <w:ind w:left="0"/>
              <w:rPr>
                <w:rFonts w:ascii="Arial Narrow" w:hAnsi="Arial Narrow" w:cs="Calibri"/>
                <w:bCs/>
                <w:sz w:val="20"/>
                <w:szCs w:val="20"/>
              </w:rPr>
            </w:pPr>
          </w:p>
          <w:p w:rsidR="004D0F59" w:rsidRPr="006D5F37" w:rsidRDefault="004D0F59" w:rsidP="00B157CD">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AND</w:t>
            </w:r>
          </w:p>
          <w:p w:rsidR="004D0F59" w:rsidRPr="006D5F37" w:rsidRDefault="004D0F59" w:rsidP="00B157CD">
            <w:pPr>
              <w:pStyle w:val="ListParagraph"/>
              <w:spacing w:before="0" w:after="0"/>
              <w:ind w:left="0"/>
              <w:rPr>
                <w:rFonts w:ascii="Arial Narrow" w:hAnsi="Arial Narrow" w:cs="Calibri"/>
                <w:bCs/>
                <w:sz w:val="20"/>
                <w:szCs w:val="20"/>
              </w:rPr>
            </w:pPr>
          </w:p>
          <w:p w:rsidR="004D0F59" w:rsidRPr="006D5F37" w:rsidRDefault="004D0F59" w:rsidP="00B157CD">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Patient must not receive more than 16 weeks of treatment per continuing treatment under this restriction.</w:t>
            </w:r>
          </w:p>
        </w:tc>
      </w:tr>
      <w:tr w:rsidR="004D0F59" w:rsidRPr="006D5F37" w:rsidTr="00E31F7A">
        <w:tc>
          <w:tcPr>
            <w:tcW w:w="1551" w:type="pct"/>
            <w:shd w:val="clear" w:color="auto" w:fill="auto"/>
          </w:tcPr>
          <w:p w:rsidR="004D0F59" w:rsidRPr="006D5F37" w:rsidRDefault="004D0F59" w:rsidP="00B157CD">
            <w:pPr>
              <w:spacing w:before="0" w:after="0"/>
              <w:rPr>
                <w:rFonts w:ascii="Arial Narrow" w:hAnsi="Arial Narrow" w:cs="Calibri"/>
                <w:b/>
                <w:bCs/>
                <w:sz w:val="20"/>
                <w:szCs w:val="20"/>
                <w:lang w:val="en-NZ"/>
              </w:rPr>
            </w:pPr>
            <w:r w:rsidRPr="006D5F37">
              <w:rPr>
                <w:rFonts w:ascii="Arial Narrow" w:hAnsi="Arial Narrow" w:cs="Calibri"/>
                <w:b/>
                <w:bCs/>
                <w:sz w:val="20"/>
                <w:szCs w:val="20"/>
                <w:lang w:val="en-NZ"/>
              </w:rPr>
              <w:t>Prescriber Instructions:</w:t>
            </w:r>
          </w:p>
        </w:tc>
        <w:tc>
          <w:tcPr>
            <w:tcW w:w="3449" w:type="pct"/>
            <w:shd w:val="clear" w:color="auto" w:fill="auto"/>
          </w:tcPr>
          <w:p w:rsidR="004D0F59" w:rsidRPr="006D5F37" w:rsidRDefault="004D0F59" w:rsidP="002701F7">
            <w:pPr>
              <w:spacing w:before="0" w:after="0"/>
              <w:rPr>
                <w:rFonts w:ascii="Arial Narrow" w:hAnsi="Arial Narrow" w:cs="Calibri"/>
                <w:bCs/>
                <w:sz w:val="20"/>
                <w:szCs w:val="20"/>
              </w:rPr>
            </w:pPr>
            <w:r w:rsidRPr="006D5F37">
              <w:rPr>
                <w:rFonts w:ascii="Arial Narrow" w:hAnsi="Arial Narrow" w:cs="Calibri"/>
                <w:bCs/>
                <w:sz w:val="20"/>
                <w:szCs w:val="20"/>
              </w:rPr>
              <w:t>The authority application must be made in writing and must include:</w:t>
            </w:r>
          </w:p>
          <w:p w:rsidR="004D0F59" w:rsidRPr="006D5F37" w:rsidRDefault="004D0F59" w:rsidP="00860DC8">
            <w:pPr>
              <w:pStyle w:val="ListParagraph"/>
              <w:numPr>
                <w:ilvl w:val="0"/>
                <w:numId w:val="6"/>
              </w:numPr>
              <w:spacing w:before="0" w:after="0"/>
              <w:ind w:left="0" w:firstLine="0"/>
              <w:contextualSpacing/>
              <w:rPr>
                <w:rFonts w:ascii="Arial Narrow" w:hAnsi="Arial Narrow" w:cs="Calibri"/>
                <w:bCs/>
                <w:sz w:val="20"/>
                <w:szCs w:val="20"/>
              </w:rPr>
            </w:pPr>
            <w:r w:rsidRPr="006D5F37">
              <w:rPr>
                <w:rFonts w:ascii="Arial Narrow" w:hAnsi="Arial Narrow" w:cs="Calibri"/>
                <w:bCs/>
                <w:sz w:val="20"/>
                <w:szCs w:val="20"/>
              </w:rPr>
              <w:t xml:space="preserve">A completed authority prescription form; and </w:t>
            </w:r>
          </w:p>
          <w:p w:rsidR="004D0F59" w:rsidRPr="006D5F37" w:rsidRDefault="004D0F59" w:rsidP="00860DC8">
            <w:pPr>
              <w:pStyle w:val="ListParagraph"/>
              <w:numPr>
                <w:ilvl w:val="0"/>
                <w:numId w:val="6"/>
              </w:numPr>
              <w:spacing w:before="0" w:after="0"/>
              <w:ind w:left="0" w:firstLine="0"/>
              <w:contextualSpacing/>
              <w:rPr>
                <w:rFonts w:ascii="Arial Narrow" w:hAnsi="Arial Narrow" w:cs="Calibri"/>
                <w:bCs/>
                <w:sz w:val="20"/>
                <w:szCs w:val="20"/>
              </w:rPr>
            </w:pPr>
            <w:r w:rsidRPr="006D5F37">
              <w:rPr>
                <w:rFonts w:ascii="Arial Narrow" w:hAnsi="Arial Narrow" w:cs="Calibri"/>
                <w:bCs/>
                <w:sz w:val="20"/>
                <w:szCs w:val="20"/>
              </w:rPr>
              <w:t xml:space="preserve">A completed Basal Cell Carcinoma Continuing PBS Authority Application Form - Supporting Information Form; and </w:t>
            </w:r>
          </w:p>
          <w:p w:rsidR="004D0F59" w:rsidRPr="006D5F37" w:rsidRDefault="004D0F59" w:rsidP="00860DC8">
            <w:pPr>
              <w:pStyle w:val="ListParagraph"/>
              <w:numPr>
                <w:ilvl w:val="0"/>
                <w:numId w:val="6"/>
              </w:numPr>
              <w:spacing w:before="0" w:after="0"/>
              <w:ind w:left="0" w:firstLine="0"/>
              <w:contextualSpacing/>
              <w:rPr>
                <w:rFonts w:ascii="Arial Narrow" w:hAnsi="Arial Narrow" w:cs="Calibri"/>
                <w:bCs/>
                <w:i/>
                <w:sz w:val="20"/>
                <w:szCs w:val="20"/>
              </w:rPr>
            </w:pPr>
            <w:r w:rsidRPr="006D5F37">
              <w:rPr>
                <w:rFonts w:ascii="Arial Narrow" w:hAnsi="Arial Narrow" w:cs="Calibri"/>
                <w:bCs/>
                <w:i/>
                <w:sz w:val="20"/>
                <w:szCs w:val="20"/>
              </w:rPr>
              <w:t>A confirmation statement from the treating doctor that the disease has not progressed; and</w:t>
            </w:r>
          </w:p>
          <w:p w:rsidR="004D0F59" w:rsidRPr="006D5F37" w:rsidRDefault="004D0F59" w:rsidP="00860DC8">
            <w:pPr>
              <w:pStyle w:val="ListParagraph"/>
              <w:numPr>
                <w:ilvl w:val="0"/>
                <w:numId w:val="6"/>
              </w:numPr>
              <w:spacing w:before="0" w:after="0"/>
              <w:ind w:left="0" w:firstLine="0"/>
              <w:contextualSpacing/>
              <w:rPr>
                <w:rFonts w:ascii="Arial Narrow" w:hAnsi="Arial Narrow" w:cs="Calibri"/>
                <w:bCs/>
                <w:strike/>
                <w:sz w:val="20"/>
                <w:szCs w:val="20"/>
              </w:rPr>
            </w:pPr>
            <w:r w:rsidRPr="006D5F37">
              <w:rPr>
                <w:rFonts w:ascii="Arial Narrow" w:hAnsi="Arial Narrow" w:cs="Calibri"/>
                <w:bCs/>
                <w:i/>
                <w:sz w:val="20"/>
                <w:szCs w:val="20"/>
              </w:rPr>
              <w:t>In patients with locally advanced BCC, a</w:t>
            </w:r>
            <w:r w:rsidRPr="006D5F37">
              <w:rPr>
                <w:rFonts w:ascii="Arial Narrow" w:hAnsi="Arial Narrow" w:cs="Calibri"/>
                <w:bCs/>
                <w:sz w:val="20"/>
                <w:szCs w:val="20"/>
              </w:rPr>
              <w:t xml:space="preserve"> </w:t>
            </w:r>
            <w:r w:rsidRPr="006D5F37">
              <w:rPr>
                <w:rFonts w:ascii="Arial Narrow" w:hAnsi="Arial Narrow" w:cs="Calibri"/>
                <w:bCs/>
                <w:strike/>
                <w:sz w:val="20"/>
                <w:szCs w:val="20"/>
              </w:rPr>
              <w:t>A</w:t>
            </w:r>
            <w:r w:rsidRPr="006D5F37">
              <w:rPr>
                <w:rFonts w:ascii="Arial Narrow" w:hAnsi="Arial Narrow" w:cs="Calibri"/>
                <w:bCs/>
                <w:sz w:val="20"/>
                <w:szCs w:val="20"/>
              </w:rPr>
              <w:t xml:space="preserve"> letter from a surgically qualified clinician demonstrating </w:t>
            </w:r>
            <w:r w:rsidRPr="006D5F37">
              <w:rPr>
                <w:rFonts w:ascii="Arial Narrow" w:hAnsi="Arial Narrow" w:cs="Calibri"/>
                <w:bCs/>
                <w:i/>
                <w:sz w:val="20"/>
                <w:szCs w:val="20"/>
              </w:rPr>
              <w:t>that the condition remains</w:t>
            </w:r>
            <w:r w:rsidRPr="006D5F37">
              <w:rPr>
                <w:rFonts w:ascii="Arial Narrow" w:hAnsi="Arial Narrow" w:cs="Calibri"/>
                <w:bCs/>
                <w:sz w:val="20"/>
                <w:szCs w:val="20"/>
              </w:rPr>
              <w:t xml:space="preserve"> inappropriate</w:t>
            </w:r>
            <w:r w:rsidRPr="006D5F37">
              <w:rPr>
                <w:rFonts w:ascii="Arial Narrow" w:hAnsi="Arial Narrow" w:cs="Calibri"/>
                <w:bCs/>
                <w:strike/>
                <w:sz w:val="20"/>
                <w:szCs w:val="20"/>
              </w:rPr>
              <w:t>ness</w:t>
            </w:r>
            <w:r w:rsidRPr="006D5F37">
              <w:rPr>
                <w:rFonts w:ascii="Arial Narrow" w:hAnsi="Arial Narrow" w:cs="Calibri"/>
                <w:bCs/>
                <w:sz w:val="20"/>
                <w:szCs w:val="20"/>
              </w:rPr>
              <w:t xml:space="preserve"> for surgery; </w:t>
            </w:r>
            <w:r w:rsidRPr="006D5F37">
              <w:rPr>
                <w:rFonts w:ascii="Arial Narrow" w:hAnsi="Arial Narrow" w:cs="Calibri"/>
                <w:bCs/>
                <w:strike/>
                <w:sz w:val="20"/>
                <w:szCs w:val="20"/>
              </w:rPr>
              <w:t xml:space="preserve">and </w:t>
            </w:r>
            <w:r w:rsidRPr="006D5F37">
              <w:rPr>
                <w:rFonts w:ascii="Arial Narrow" w:hAnsi="Arial Narrow" w:cs="Calibri"/>
                <w:bCs/>
                <w:i/>
                <w:sz w:val="20"/>
                <w:szCs w:val="20"/>
              </w:rPr>
              <w:t xml:space="preserve">or </w:t>
            </w:r>
          </w:p>
          <w:p w:rsidR="004D0F59" w:rsidRPr="006D5F37" w:rsidRDefault="004D0F59" w:rsidP="002701F7">
            <w:pPr>
              <w:pStyle w:val="ListParagraph"/>
              <w:spacing w:before="0" w:after="0"/>
              <w:ind w:left="0"/>
              <w:contextualSpacing/>
              <w:rPr>
                <w:rFonts w:ascii="Arial Narrow" w:hAnsi="Arial Narrow" w:cs="Calibri"/>
                <w:bCs/>
                <w:sz w:val="20"/>
                <w:szCs w:val="20"/>
              </w:rPr>
            </w:pPr>
            <w:r w:rsidRPr="006D5F37">
              <w:rPr>
                <w:rFonts w:ascii="Arial Narrow" w:hAnsi="Arial Narrow" w:cs="Calibri"/>
                <w:bCs/>
                <w:strike/>
                <w:sz w:val="20"/>
                <w:szCs w:val="20"/>
              </w:rPr>
              <w:t>A</w:t>
            </w:r>
            <w:r w:rsidRPr="006D5F37">
              <w:rPr>
                <w:rFonts w:ascii="Arial Narrow" w:hAnsi="Arial Narrow" w:cs="Calibri"/>
                <w:bCs/>
                <w:sz w:val="20"/>
                <w:szCs w:val="20"/>
              </w:rPr>
              <w:t xml:space="preserve"> a letter from a radiation oncologist demonstrating </w:t>
            </w:r>
            <w:r w:rsidRPr="006D5F37">
              <w:rPr>
                <w:rFonts w:ascii="Arial Narrow" w:hAnsi="Arial Narrow" w:cs="Calibri"/>
                <w:bCs/>
                <w:i/>
                <w:sz w:val="20"/>
                <w:szCs w:val="20"/>
              </w:rPr>
              <w:t>that the condition remains</w:t>
            </w:r>
            <w:r w:rsidRPr="006D5F37">
              <w:rPr>
                <w:rFonts w:ascii="Arial Narrow" w:hAnsi="Arial Narrow" w:cs="Calibri"/>
                <w:bCs/>
                <w:sz w:val="20"/>
                <w:szCs w:val="20"/>
              </w:rPr>
              <w:t xml:space="preserve"> inappropriate</w:t>
            </w:r>
            <w:r w:rsidRPr="006D5F37">
              <w:rPr>
                <w:rFonts w:ascii="Arial Narrow" w:hAnsi="Arial Narrow" w:cs="Calibri"/>
                <w:bCs/>
                <w:strike/>
                <w:sz w:val="20"/>
                <w:szCs w:val="20"/>
              </w:rPr>
              <w:t>ness</w:t>
            </w:r>
            <w:r w:rsidRPr="006D5F37">
              <w:rPr>
                <w:rFonts w:ascii="Arial Narrow" w:hAnsi="Arial Narrow" w:cs="Calibri"/>
                <w:bCs/>
                <w:sz w:val="20"/>
                <w:szCs w:val="20"/>
              </w:rPr>
              <w:t xml:space="preserve"> for curative radiotherapy</w:t>
            </w:r>
            <w:r w:rsidRPr="00DF4E63">
              <w:rPr>
                <w:rFonts w:ascii="Arial Narrow" w:hAnsi="Arial Narrow" w:cs="Calibri"/>
                <w:bCs/>
                <w:strike/>
                <w:sz w:val="20"/>
                <w:szCs w:val="20"/>
              </w:rPr>
              <w:t>; and</w:t>
            </w:r>
            <w:r w:rsidRPr="006D5F37">
              <w:rPr>
                <w:rFonts w:ascii="Arial Narrow" w:hAnsi="Arial Narrow" w:cs="Calibri"/>
                <w:bCs/>
                <w:sz w:val="20"/>
                <w:szCs w:val="20"/>
              </w:rPr>
              <w:t xml:space="preserve"> </w:t>
            </w:r>
          </w:p>
          <w:p w:rsidR="004D0F59" w:rsidRPr="006D5F37" w:rsidRDefault="004D0F59" w:rsidP="002701F7">
            <w:pPr>
              <w:pStyle w:val="ListParagraph"/>
              <w:spacing w:before="0" w:after="0"/>
              <w:ind w:left="0"/>
              <w:contextualSpacing/>
              <w:rPr>
                <w:rFonts w:ascii="Arial Narrow" w:hAnsi="Arial Narrow" w:cs="Calibri"/>
                <w:bCs/>
                <w:strike/>
                <w:sz w:val="20"/>
                <w:szCs w:val="20"/>
              </w:rPr>
            </w:pPr>
            <w:r w:rsidRPr="006D5F37">
              <w:rPr>
                <w:rFonts w:ascii="Arial Narrow" w:hAnsi="Arial Narrow" w:cs="Calibri"/>
                <w:bCs/>
                <w:strike/>
                <w:sz w:val="20"/>
                <w:szCs w:val="20"/>
              </w:rPr>
              <w:t xml:space="preserve">A confirmation statement from the treating doctor that the disease has not progressed </w:t>
            </w:r>
          </w:p>
          <w:p w:rsidR="004D0F59" w:rsidRPr="006D5F37" w:rsidRDefault="004D0F59" w:rsidP="002701F7">
            <w:pPr>
              <w:autoSpaceDE w:val="0"/>
              <w:autoSpaceDN w:val="0"/>
              <w:adjustRightInd w:val="0"/>
              <w:spacing w:before="0" w:after="0"/>
              <w:rPr>
                <w:rFonts w:ascii="Arial Narrow" w:hAnsi="Arial Narrow" w:cs="Calibri"/>
                <w:color w:val="000000"/>
                <w:sz w:val="20"/>
                <w:szCs w:val="20"/>
              </w:rPr>
            </w:pPr>
          </w:p>
          <w:p w:rsidR="004D0F59" w:rsidRPr="006D5F37" w:rsidRDefault="004D0F59" w:rsidP="00B157CD">
            <w:pPr>
              <w:autoSpaceDE w:val="0"/>
              <w:autoSpaceDN w:val="0"/>
              <w:adjustRightInd w:val="0"/>
              <w:spacing w:before="0" w:after="0"/>
              <w:rPr>
                <w:rFonts w:ascii="Arial Narrow" w:hAnsi="Arial Narrow" w:cs="Calibri"/>
                <w:color w:val="000000"/>
                <w:sz w:val="20"/>
                <w:szCs w:val="20"/>
              </w:rPr>
            </w:pPr>
            <w:r w:rsidRPr="006D5F37">
              <w:rPr>
                <w:rFonts w:ascii="Arial Narrow" w:hAnsi="Arial Narrow" w:cs="Calibri"/>
                <w:color w:val="000000"/>
                <w:sz w:val="20"/>
                <w:szCs w:val="20"/>
              </w:rPr>
              <w:t>The assessment of the patient's response to this PBS-subsidised course of therapy must be made within the 4 weeks prior to completion of the course of treatment. It is recommended that an application is submitted to the Department of Human Services no less than 2 weeks prior to the date the next dose is due in order to ensure continuity of treatment for those patients who meet the continuation criteria.</w:t>
            </w:r>
          </w:p>
          <w:p w:rsidR="004D0F59" w:rsidRPr="006D5F37" w:rsidRDefault="004D0F59" w:rsidP="00B157CD">
            <w:pPr>
              <w:autoSpaceDE w:val="0"/>
              <w:autoSpaceDN w:val="0"/>
              <w:adjustRightInd w:val="0"/>
              <w:spacing w:before="0" w:after="0"/>
              <w:rPr>
                <w:rFonts w:ascii="Arial Narrow" w:hAnsi="Arial Narrow" w:cs="Calibri"/>
                <w:color w:val="000000"/>
                <w:sz w:val="20"/>
                <w:szCs w:val="20"/>
              </w:rPr>
            </w:pPr>
          </w:p>
          <w:p w:rsidR="004D0F59" w:rsidRPr="006D5F37" w:rsidRDefault="004D0F59" w:rsidP="00B157CD">
            <w:pPr>
              <w:keepNext/>
              <w:autoSpaceDE w:val="0"/>
              <w:autoSpaceDN w:val="0"/>
              <w:adjustRightInd w:val="0"/>
              <w:spacing w:before="0" w:after="0"/>
              <w:rPr>
                <w:rFonts w:ascii="Arial Narrow" w:hAnsi="Arial Narrow" w:cs="Calibri"/>
                <w:color w:val="000000"/>
                <w:sz w:val="20"/>
                <w:szCs w:val="20"/>
              </w:rPr>
            </w:pPr>
            <w:r w:rsidRPr="006D5F37">
              <w:rPr>
                <w:rFonts w:ascii="Arial Narrow" w:hAnsi="Arial Narrow" w:cs="Calibri"/>
                <w:b/>
                <w:bCs/>
                <w:color w:val="000000"/>
                <w:sz w:val="20"/>
                <w:szCs w:val="20"/>
              </w:rPr>
              <w:t xml:space="preserve">Inappropriate for surgery is defined as: </w:t>
            </w:r>
          </w:p>
          <w:p w:rsidR="004D0F59" w:rsidRPr="006D5F37" w:rsidRDefault="004D0F59" w:rsidP="00B157CD">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i/ Curative resection is unlikely, such as where BCC has recurred in the same location after two or more surgical procedures; or </w:t>
            </w:r>
          </w:p>
          <w:p w:rsidR="004D0F59" w:rsidRPr="006D5F37" w:rsidRDefault="004D0F59" w:rsidP="00B157CD">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ii/ Anticipated substantial morbidity or deformity from surgery or requiring complicated reconstructive surgery (e.g. removal of all or part of a facial structure, such as nose, ear, eyelid, eye; or requirement for limb amputation or free tissue transfer); or </w:t>
            </w:r>
          </w:p>
          <w:p w:rsidR="004D0F59" w:rsidRPr="006D5F37" w:rsidRDefault="004D0F59" w:rsidP="00B157CD">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iii/ Medical contraindication to surgery </w:t>
            </w:r>
          </w:p>
          <w:p w:rsidR="004D0F59" w:rsidRPr="006D5F37" w:rsidRDefault="004D0F59" w:rsidP="00B157CD">
            <w:pPr>
              <w:autoSpaceDE w:val="0"/>
              <w:autoSpaceDN w:val="0"/>
              <w:adjustRightInd w:val="0"/>
              <w:spacing w:before="0" w:after="0"/>
              <w:rPr>
                <w:rFonts w:ascii="Arial Narrow" w:hAnsi="Arial Narrow" w:cs="Calibri"/>
                <w:color w:val="000000"/>
                <w:sz w:val="20"/>
                <w:szCs w:val="20"/>
              </w:rPr>
            </w:pPr>
          </w:p>
          <w:p w:rsidR="004D0F59" w:rsidRPr="006D5F37" w:rsidRDefault="004D0F59" w:rsidP="00B157CD">
            <w:pPr>
              <w:autoSpaceDE w:val="0"/>
              <w:autoSpaceDN w:val="0"/>
              <w:adjustRightInd w:val="0"/>
              <w:spacing w:before="0" w:after="0"/>
              <w:rPr>
                <w:rFonts w:ascii="Arial Narrow" w:hAnsi="Arial Narrow" w:cs="Calibri"/>
                <w:color w:val="000000"/>
                <w:sz w:val="20"/>
                <w:szCs w:val="20"/>
              </w:rPr>
            </w:pPr>
            <w:r w:rsidRPr="006D5F37">
              <w:rPr>
                <w:rFonts w:ascii="Arial Narrow" w:hAnsi="Arial Narrow" w:cs="Calibri"/>
                <w:b/>
                <w:bCs/>
                <w:color w:val="000000"/>
                <w:sz w:val="20"/>
                <w:szCs w:val="20"/>
              </w:rPr>
              <w:t xml:space="preserve">Inappropriate for curative radiotherapy is defined as: </w:t>
            </w:r>
          </w:p>
          <w:p w:rsidR="004D0F59" w:rsidRPr="006D5F37" w:rsidRDefault="004D0F59" w:rsidP="00B157CD">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i/ Hypersensitivity to radiation due to genetic syndrome such as Gorlin Syndrome; or </w:t>
            </w:r>
          </w:p>
          <w:p w:rsidR="004D0F59" w:rsidRPr="006D5F37" w:rsidRDefault="004D0F59" w:rsidP="00B157CD">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ii/ Limitations due to location of tumour; or </w:t>
            </w:r>
          </w:p>
          <w:p w:rsidR="004D0F59" w:rsidRPr="006D5F37" w:rsidRDefault="004D0F59" w:rsidP="00B157CD">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iii/ Limitations due to cumulative prior radiotherapy dose; or </w:t>
            </w:r>
          </w:p>
          <w:p w:rsidR="004D0F59" w:rsidRPr="006D5F37" w:rsidRDefault="004D0F59" w:rsidP="00B157CD">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iv/ Progressive disease despite prior irradiation of locally advanced BCC</w:t>
            </w:r>
            <w:r w:rsidRPr="006D5F37">
              <w:rPr>
                <w:rFonts w:ascii="Arial Narrow" w:hAnsi="Arial Narrow" w:cs="Arial"/>
                <w:color w:val="000000"/>
                <w:sz w:val="20"/>
                <w:szCs w:val="20"/>
              </w:rPr>
              <w:t xml:space="preserve"> </w:t>
            </w:r>
          </w:p>
        </w:tc>
      </w:tr>
      <w:tr w:rsidR="004D0F59" w:rsidRPr="006D5F37" w:rsidTr="00E31F7A">
        <w:tc>
          <w:tcPr>
            <w:tcW w:w="1551" w:type="pct"/>
            <w:shd w:val="clear" w:color="auto" w:fill="auto"/>
          </w:tcPr>
          <w:p w:rsidR="004D0F59" w:rsidRPr="006D5F37" w:rsidRDefault="004D0F59" w:rsidP="00B157CD">
            <w:pPr>
              <w:spacing w:before="0" w:after="0"/>
              <w:rPr>
                <w:rFonts w:ascii="Arial Narrow" w:hAnsi="Arial Narrow" w:cs="Calibri"/>
                <w:b/>
                <w:bCs/>
                <w:sz w:val="20"/>
                <w:szCs w:val="20"/>
                <w:lang w:val="en-NZ"/>
              </w:rPr>
            </w:pPr>
            <w:r w:rsidRPr="006D5F37">
              <w:rPr>
                <w:rFonts w:ascii="Arial Narrow" w:hAnsi="Arial Narrow" w:cs="Calibri"/>
                <w:b/>
                <w:bCs/>
                <w:sz w:val="20"/>
                <w:szCs w:val="20"/>
                <w:lang w:val="en-NZ"/>
              </w:rPr>
              <w:t>Administrative advice</w:t>
            </w:r>
          </w:p>
        </w:tc>
        <w:tc>
          <w:tcPr>
            <w:tcW w:w="3449" w:type="pct"/>
            <w:shd w:val="clear" w:color="auto" w:fill="auto"/>
          </w:tcPr>
          <w:p w:rsidR="004D0F59" w:rsidRPr="006D5F37" w:rsidRDefault="004D0F59" w:rsidP="00B157CD">
            <w:pPr>
              <w:spacing w:before="0" w:after="0"/>
              <w:rPr>
                <w:rFonts w:ascii="Arial Narrow" w:hAnsi="Arial Narrow"/>
                <w:sz w:val="20"/>
                <w:szCs w:val="20"/>
              </w:rPr>
            </w:pPr>
            <w:r w:rsidRPr="006D5F37">
              <w:rPr>
                <w:rFonts w:ascii="Arial Narrow" w:hAnsi="Arial Narrow"/>
                <w:sz w:val="20"/>
                <w:szCs w:val="20"/>
              </w:rPr>
              <w:t xml:space="preserve">Any queries concerning the arrangements to prescribe may be directed to the Department of Human Services on 1800 700 270 (hours of operation 8 a.m. to 5 p.m. EST Monday to Friday). </w:t>
            </w:r>
          </w:p>
          <w:p w:rsidR="004D0F59" w:rsidRPr="006D5F37" w:rsidRDefault="004D0F59" w:rsidP="00B157CD">
            <w:pPr>
              <w:spacing w:before="0" w:after="0"/>
              <w:rPr>
                <w:rFonts w:ascii="Arial Narrow" w:hAnsi="Arial Narrow"/>
                <w:sz w:val="20"/>
                <w:szCs w:val="20"/>
              </w:rPr>
            </w:pPr>
          </w:p>
          <w:p w:rsidR="004D0F59" w:rsidRPr="006D5F37" w:rsidRDefault="004D0F59" w:rsidP="00B157CD">
            <w:pPr>
              <w:spacing w:before="0" w:after="0"/>
              <w:rPr>
                <w:rFonts w:ascii="Arial Narrow" w:hAnsi="Arial Narrow"/>
                <w:sz w:val="20"/>
                <w:szCs w:val="20"/>
              </w:rPr>
            </w:pPr>
            <w:r w:rsidRPr="006D5F37">
              <w:rPr>
                <w:rFonts w:ascii="Arial Narrow" w:hAnsi="Arial Narrow"/>
                <w:sz w:val="20"/>
                <w:szCs w:val="20"/>
              </w:rPr>
              <w:t xml:space="preserve">Prescribing information (including Authority Application forms and other relevant documentation as applicable) is available on the Department of Human Services website at </w:t>
            </w:r>
            <w:r w:rsidRPr="00246360">
              <w:rPr>
                <w:rFonts w:ascii="Arial Narrow" w:hAnsi="Arial Narrow"/>
                <w:sz w:val="20"/>
                <w:szCs w:val="20"/>
              </w:rPr>
              <w:t>www.humanservices.gov.au</w:t>
            </w:r>
            <w:r w:rsidRPr="006D5F37">
              <w:rPr>
                <w:rFonts w:ascii="Arial Narrow" w:hAnsi="Arial Narrow"/>
                <w:sz w:val="20"/>
                <w:szCs w:val="20"/>
              </w:rPr>
              <w:t xml:space="preserve"> </w:t>
            </w:r>
          </w:p>
          <w:p w:rsidR="004D0F59" w:rsidRPr="006D5F37" w:rsidRDefault="004D0F59" w:rsidP="00B157CD">
            <w:pPr>
              <w:spacing w:before="0" w:after="0"/>
              <w:rPr>
                <w:rFonts w:ascii="Arial Narrow" w:hAnsi="Arial Narrow"/>
                <w:sz w:val="20"/>
                <w:szCs w:val="20"/>
              </w:rPr>
            </w:pPr>
          </w:p>
          <w:p w:rsidR="004D0F59" w:rsidRPr="006D5F37" w:rsidRDefault="004D0F59" w:rsidP="00B157CD">
            <w:pPr>
              <w:spacing w:before="0" w:after="0"/>
              <w:rPr>
                <w:rFonts w:ascii="Arial Narrow" w:hAnsi="Arial Narrow"/>
                <w:sz w:val="20"/>
                <w:szCs w:val="20"/>
              </w:rPr>
            </w:pPr>
            <w:r w:rsidRPr="006D5F37">
              <w:rPr>
                <w:rFonts w:ascii="Arial Narrow" w:hAnsi="Arial Narrow"/>
                <w:sz w:val="20"/>
                <w:szCs w:val="20"/>
              </w:rPr>
              <w:t xml:space="preserve">Applications for authority to prescribe should be forwarded to: </w:t>
            </w:r>
          </w:p>
          <w:p w:rsidR="004D0F59" w:rsidRPr="006D5F37" w:rsidRDefault="004D0F59" w:rsidP="00B157CD">
            <w:pPr>
              <w:spacing w:before="0" w:after="0"/>
              <w:rPr>
                <w:rFonts w:ascii="Arial Narrow" w:hAnsi="Arial Narrow"/>
                <w:sz w:val="20"/>
                <w:szCs w:val="20"/>
              </w:rPr>
            </w:pPr>
            <w:r w:rsidRPr="006D5F37">
              <w:rPr>
                <w:rFonts w:ascii="Arial Narrow" w:hAnsi="Arial Narrow"/>
                <w:sz w:val="20"/>
                <w:szCs w:val="20"/>
              </w:rPr>
              <w:t xml:space="preserve">Department of Human Services </w:t>
            </w:r>
          </w:p>
          <w:p w:rsidR="004D0F59" w:rsidRPr="006D5F37" w:rsidRDefault="004D0F59" w:rsidP="00B157CD">
            <w:pPr>
              <w:spacing w:before="0" w:after="0"/>
              <w:rPr>
                <w:rFonts w:ascii="Arial Narrow" w:hAnsi="Arial Narrow"/>
                <w:sz w:val="20"/>
                <w:szCs w:val="20"/>
              </w:rPr>
            </w:pPr>
            <w:r w:rsidRPr="006D5F37">
              <w:rPr>
                <w:rFonts w:ascii="Arial Narrow" w:hAnsi="Arial Narrow"/>
                <w:sz w:val="20"/>
                <w:szCs w:val="20"/>
              </w:rPr>
              <w:t xml:space="preserve">Complex Drugs Programs </w:t>
            </w:r>
          </w:p>
          <w:p w:rsidR="004D0F59" w:rsidRPr="006D5F37" w:rsidRDefault="004D0F59" w:rsidP="00B157CD">
            <w:pPr>
              <w:spacing w:before="0" w:after="0"/>
              <w:rPr>
                <w:rFonts w:ascii="Arial Narrow" w:hAnsi="Arial Narrow"/>
                <w:sz w:val="20"/>
                <w:szCs w:val="20"/>
              </w:rPr>
            </w:pPr>
            <w:r w:rsidRPr="006D5F37">
              <w:rPr>
                <w:rFonts w:ascii="Arial Narrow" w:hAnsi="Arial Narrow"/>
                <w:sz w:val="20"/>
                <w:szCs w:val="20"/>
              </w:rPr>
              <w:t xml:space="preserve">Reply Paid 9826 </w:t>
            </w:r>
          </w:p>
          <w:p w:rsidR="004D0F59" w:rsidRPr="006D5F37" w:rsidRDefault="004D0F59" w:rsidP="00B157CD">
            <w:pPr>
              <w:spacing w:before="0" w:after="0"/>
              <w:rPr>
                <w:rFonts w:ascii="Arial Narrow" w:hAnsi="Arial Narrow" w:cs="Calibri"/>
                <w:bCs/>
                <w:sz w:val="20"/>
                <w:szCs w:val="20"/>
              </w:rPr>
            </w:pPr>
            <w:r w:rsidRPr="006D5F37">
              <w:rPr>
                <w:rFonts w:ascii="Arial Narrow" w:hAnsi="Arial Narrow"/>
                <w:sz w:val="20"/>
                <w:szCs w:val="20"/>
              </w:rPr>
              <w:t>HOBART TAS 7001</w:t>
            </w:r>
          </w:p>
        </w:tc>
      </w:tr>
    </w:tbl>
    <w:p w:rsidR="00A81621" w:rsidRPr="005709F0" w:rsidRDefault="00A81621" w:rsidP="00A81621">
      <w:pPr>
        <w:keepNext/>
        <w:spacing w:before="0" w:after="120"/>
        <w:rPr>
          <w:rFonts w:eastAsiaTheme="majorEastAsia" w:cstheme="majorBidi"/>
          <w:szCs w:val="28"/>
        </w:rPr>
      </w:pPr>
    </w:p>
    <w:p w:rsidR="00A81621" w:rsidRPr="00E52D54" w:rsidRDefault="00D82229" w:rsidP="00860DC8">
      <w:pPr>
        <w:pStyle w:val="ListParagraph"/>
        <w:numPr>
          <w:ilvl w:val="1"/>
          <w:numId w:val="3"/>
        </w:numPr>
      </w:pPr>
      <w:r>
        <w:t>A</w:t>
      </w:r>
      <w:r w:rsidR="00A81621" w:rsidRPr="00E52D54">
        <w:t xml:space="preserve"> special pricing arrangement (SPA) and a risk sharing arrangement (RSA) are currently in place for the comparator, vismodegib. </w:t>
      </w:r>
      <w:r w:rsidR="002701F7" w:rsidRPr="00E52D54">
        <w:t xml:space="preserve">The </w:t>
      </w:r>
      <w:r w:rsidR="006436BF">
        <w:t>Pre-Sub-Committee Response (</w:t>
      </w:r>
      <w:r w:rsidR="002701F7" w:rsidRPr="00E52D54">
        <w:t>PSCR</w:t>
      </w:r>
      <w:r w:rsidR="006436BF">
        <w:t>)</w:t>
      </w:r>
      <w:r w:rsidR="002701F7" w:rsidRPr="00E52D54">
        <w:t xml:space="preserve"> </w:t>
      </w:r>
      <w:r w:rsidR="002701F7" w:rsidRPr="00E52D54">
        <w:rPr>
          <w:iCs/>
        </w:rPr>
        <w:t xml:space="preserve">acknowledged </w:t>
      </w:r>
      <w:r w:rsidR="00B94D68" w:rsidRPr="00E52D54">
        <w:rPr>
          <w:iCs/>
        </w:rPr>
        <w:t xml:space="preserve">that cost minimisation would be calculated </w:t>
      </w:r>
      <w:r>
        <w:rPr>
          <w:iCs/>
        </w:rPr>
        <w:t>using</w:t>
      </w:r>
      <w:r w:rsidRPr="00E52D54">
        <w:rPr>
          <w:iCs/>
        </w:rPr>
        <w:t xml:space="preserve"> </w:t>
      </w:r>
      <w:r w:rsidR="00B94D68" w:rsidRPr="00E52D54">
        <w:rPr>
          <w:iCs/>
        </w:rPr>
        <w:t xml:space="preserve">the effective AEMP price of vismodegib and </w:t>
      </w:r>
      <w:r w:rsidR="002701F7" w:rsidRPr="00E52D54">
        <w:rPr>
          <w:iCs/>
        </w:rPr>
        <w:t>that if sonidegib was recommended for listing on the PBS, it would join the existing RSA with vismodegib.</w:t>
      </w:r>
    </w:p>
    <w:p w:rsidR="00A81621" w:rsidRPr="00E52D54" w:rsidRDefault="00A81621" w:rsidP="00860DC8">
      <w:pPr>
        <w:pStyle w:val="ListParagraph"/>
        <w:numPr>
          <w:ilvl w:val="1"/>
          <w:numId w:val="3"/>
        </w:numPr>
      </w:pPr>
      <w:r w:rsidRPr="00E52D54">
        <w:t>The submission also proposed a grandfathering provision to allow those patients who are currently receiving sonidegib treatment (i.e. prior to it being available on the PBS) to continue with PBS-subsidised treatment.</w:t>
      </w:r>
      <w:r w:rsidR="00496D24" w:rsidRPr="00E52D54">
        <w:t xml:space="preserve"> </w:t>
      </w:r>
      <w:r w:rsidR="00D82229">
        <w:t>N</w:t>
      </w:r>
      <w:r w:rsidR="00496D24" w:rsidRPr="00E52D54">
        <w:t xml:space="preserve">o details </w:t>
      </w:r>
      <w:r w:rsidR="00D82229">
        <w:t>for</w:t>
      </w:r>
      <w:r w:rsidR="00D82229" w:rsidRPr="00E52D54">
        <w:t xml:space="preserve"> </w:t>
      </w:r>
      <w:r w:rsidR="00496D24" w:rsidRPr="00E52D54">
        <w:t xml:space="preserve">the requested grandfathering restriction </w:t>
      </w:r>
      <w:r w:rsidR="001C2186" w:rsidRPr="00E52D54">
        <w:t>or</w:t>
      </w:r>
      <w:r w:rsidR="00496D24" w:rsidRPr="00E52D54">
        <w:t xml:space="preserve"> the expected number of patient qualifying under this restriction were provided in the submission.</w:t>
      </w:r>
      <w:r w:rsidR="00B94D68" w:rsidRPr="00E52D54">
        <w:t xml:space="preserve"> The PSCR indicated that </w:t>
      </w:r>
      <w:r w:rsidR="00B94D68" w:rsidRPr="00E52D54">
        <w:rPr>
          <w:iCs/>
        </w:rPr>
        <w:t>20 to 30 patients would seek access to sonidegib on the PBS through a grandfathering provision</w:t>
      </w:r>
      <w:r w:rsidR="00D52077">
        <w:rPr>
          <w:iCs/>
        </w:rPr>
        <w:t>.</w:t>
      </w:r>
      <w:r w:rsidR="00533683">
        <w:rPr>
          <w:iCs/>
        </w:rPr>
        <w:t xml:space="preserve">  The PBAC recommended that patients currently</w:t>
      </w:r>
      <w:r w:rsidR="000D2FAA">
        <w:rPr>
          <w:iCs/>
        </w:rPr>
        <w:t xml:space="preserve"> being treated with sonidegib who would have met the PBS initial restriction criteria when they started treatment and who have not experienced disease progression whilst on treatment are grandfathered to PBS-subsidised treatment.</w:t>
      </w:r>
      <w:r w:rsidR="002C2079">
        <w:rPr>
          <w:iCs/>
        </w:rPr>
        <w:t xml:space="preserve">  The PBAC considered that these patients would meet the criteria of the initial PBS restriction and hence that a separate grandfather restriction would not be required.</w:t>
      </w:r>
      <w:r w:rsidR="00E52D54">
        <w:rPr>
          <w:iCs/>
        </w:rPr>
        <w:t xml:space="preserve"> </w:t>
      </w:r>
    </w:p>
    <w:p w:rsidR="00B54100" w:rsidRPr="00B54100" w:rsidRDefault="00A81621" w:rsidP="00860DC8">
      <w:pPr>
        <w:pStyle w:val="ListParagraph"/>
        <w:numPr>
          <w:ilvl w:val="1"/>
          <w:numId w:val="3"/>
        </w:numPr>
        <w:rPr>
          <w:i/>
        </w:rPr>
      </w:pPr>
      <w:r w:rsidRPr="0051046C">
        <w:t xml:space="preserve">The PBAC </w:t>
      </w:r>
      <w:r w:rsidR="008333B1">
        <w:t xml:space="preserve">noted that there was no evidence to support sequential use of </w:t>
      </w:r>
      <w:r w:rsidR="008333B1" w:rsidRPr="0051046C">
        <w:t xml:space="preserve">vismodegib and sonidegib </w:t>
      </w:r>
      <w:r w:rsidR="008333B1">
        <w:t xml:space="preserve">and </w:t>
      </w:r>
      <w:r w:rsidRPr="0051046C">
        <w:t>consider</w:t>
      </w:r>
      <w:r w:rsidR="0051046C" w:rsidRPr="0051046C">
        <w:t>ed</w:t>
      </w:r>
      <w:r w:rsidRPr="0051046C">
        <w:t xml:space="preserve"> the restrictions for vismodegib and sonidegib should prevent use with another </w:t>
      </w:r>
      <w:r w:rsidR="00B7135D">
        <w:t>h</w:t>
      </w:r>
      <w:r w:rsidR="00DF0AF2">
        <w:t>edgehog (</w:t>
      </w:r>
      <w:r w:rsidR="00E650F2" w:rsidRPr="0051046C">
        <w:t>Hh</w:t>
      </w:r>
      <w:r w:rsidR="00DF0AF2">
        <w:t>)</w:t>
      </w:r>
      <w:r w:rsidRPr="0051046C">
        <w:t xml:space="preserve"> inhibitor after progression on a prior </w:t>
      </w:r>
      <w:r w:rsidR="00E650F2" w:rsidRPr="0051046C">
        <w:t>Hh</w:t>
      </w:r>
      <w:r w:rsidR="000646CD" w:rsidRPr="0051046C">
        <w:t xml:space="preserve"> inhibitor</w:t>
      </w:r>
      <w:r w:rsidR="008333B1">
        <w:t>, except in the case of intolerance</w:t>
      </w:r>
      <w:r w:rsidRPr="0051046C">
        <w:t xml:space="preserve">. </w:t>
      </w:r>
    </w:p>
    <w:p w:rsidR="00301FB0" w:rsidRPr="008333B1" w:rsidRDefault="00301FB0" w:rsidP="00B54100">
      <w:pPr>
        <w:pStyle w:val="ListParagraph"/>
        <w:rPr>
          <w:i/>
        </w:rPr>
      </w:pPr>
      <w:r w:rsidRPr="008333B1">
        <w:rPr>
          <w:i/>
        </w:rPr>
        <w:t>For more detail on PBAC’s view, see section 7 PBAC outcome</w:t>
      </w:r>
    </w:p>
    <w:p w:rsidR="00A81621" w:rsidRPr="005709F0" w:rsidRDefault="00496D24" w:rsidP="00A50B2C">
      <w:pPr>
        <w:pStyle w:val="PBACHeading1"/>
        <w:outlineLvl w:val="0"/>
      </w:pPr>
      <w:bookmarkStart w:id="6" w:name="_Toc493060957"/>
      <w:r w:rsidRPr="005709F0">
        <w:t>Background</w:t>
      </w:r>
      <w:bookmarkEnd w:id="6"/>
    </w:p>
    <w:p w:rsidR="00DC7C3B" w:rsidRPr="005709F0" w:rsidRDefault="00DC7C3B" w:rsidP="00D82F6C">
      <w:pPr>
        <w:pStyle w:val="Heading2"/>
        <w:rPr>
          <w:i w:val="0"/>
        </w:rPr>
      </w:pPr>
      <w:bookmarkStart w:id="7" w:name="_Toc491858584"/>
      <w:bookmarkStart w:id="8" w:name="_Toc493060958"/>
      <w:r w:rsidRPr="005709F0">
        <w:rPr>
          <w:i w:val="0"/>
        </w:rPr>
        <w:t>Registration status</w:t>
      </w:r>
      <w:bookmarkEnd w:id="7"/>
      <w:bookmarkEnd w:id="8"/>
    </w:p>
    <w:p w:rsidR="00F06C13" w:rsidRPr="0051046C" w:rsidRDefault="00BF459C" w:rsidP="00860DC8">
      <w:pPr>
        <w:pStyle w:val="ListParagraph"/>
        <w:numPr>
          <w:ilvl w:val="1"/>
          <w:numId w:val="3"/>
        </w:numPr>
        <w:spacing w:before="0" w:after="120"/>
      </w:pPr>
      <w:r w:rsidRPr="0051046C">
        <w:t xml:space="preserve">Sonidegib was </w:t>
      </w:r>
      <w:r w:rsidR="00301FB0">
        <w:t>TGA registered on</w:t>
      </w:r>
      <w:r w:rsidRPr="0051046C">
        <w:t xml:space="preserve"> </w:t>
      </w:r>
      <w:r w:rsidR="00301FB0">
        <w:t xml:space="preserve">10 </w:t>
      </w:r>
      <w:r w:rsidRPr="0051046C">
        <w:t>August 2015 for the treatment of adult patients with laBCC who are not amenable to curative surgery or radiation therapy; and mBCC</w:t>
      </w:r>
      <w:r w:rsidR="00A81621" w:rsidRPr="0051046C">
        <w:t>.</w:t>
      </w:r>
      <w:r w:rsidR="00D41809" w:rsidRPr="0051046C">
        <w:t xml:space="preserve"> </w:t>
      </w:r>
      <w:r w:rsidRPr="0051046C">
        <w:t>V</w:t>
      </w:r>
      <w:r w:rsidR="00D41809" w:rsidRPr="0051046C">
        <w:t>ismodegib</w:t>
      </w:r>
      <w:r w:rsidRPr="0051046C">
        <w:t xml:space="preserve"> (the main comparator)</w:t>
      </w:r>
      <w:r w:rsidR="00D41809" w:rsidRPr="0051046C">
        <w:t xml:space="preserve"> was </w:t>
      </w:r>
      <w:r w:rsidR="00F628B2">
        <w:t xml:space="preserve">TGA </w:t>
      </w:r>
      <w:r w:rsidR="00FA3474" w:rsidRPr="0051046C">
        <w:t>registered in December</w:t>
      </w:r>
      <w:r w:rsidR="00D41809" w:rsidRPr="0051046C">
        <w:t xml:space="preserve"> 2013 for </w:t>
      </w:r>
      <w:r w:rsidR="00FA3474" w:rsidRPr="0051046C">
        <w:t>the treatment of adult patients with metastatic or locally advanced BCC where surgery and/or radiotherapy are not appropriate</w:t>
      </w:r>
      <w:r w:rsidR="00D41809" w:rsidRPr="0051046C">
        <w:t>.</w:t>
      </w:r>
    </w:p>
    <w:p w:rsidR="00A81621" w:rsidRPr="0051046C" w:rsidRDefault="00F06C13" w:rsidP="00860DC8">
      <w:pPr>
        <w:pStyle w:val="ListParagraph"/>
        <w:numPr>
          <w:ilvl w:val="1"/>
          <w:numId w:val="3"/>
        </w:numPr>
        <w:spacing w:before="0" w:after="120"/>
      </w:pPr>
      <w:r w:rsidRPr="0051046C">
        <w:t xml:space="preserve">International status: </w:t>
      </w:r>
      <w:r w:rsidR="0093202D" w:rsidRPr="0051046C">
        <w:t>S</w:t>
      </w:r>
      <w:r w:rsidR="002C637D" w:rsidRPr="0051046C">
        <w:t xml:space="preserve">onidegib </w:t>
      </w:r>
      <w:r w:rsidR="0093202D" w:rsidRPr="0051046C">
        <w:t xml:space="preserve">was approved </w:t>
      </w:r>
      <w:r w:rsidR="00F628B2" w:rsidRPr="0051046C">
        <w:t xml:space="preserve">by the European Medicines Association (EMA) and </w:t>
      </w:r>
      <w:r w:rsidR="00F628B2">
        <w:t xml:space="preserve">US </w:t>
      </w:r>
      <w:r w:rsidR="00F628B2" w:rsidRPr="0051046C">
        <w:t xml:space="preserve">Food and Drug Administration (FDA) </w:t>
      </w:r>
      <w:r w:rsidR="002C637D" w:rsidRPr="0051046C">
        <w:t>only for laBCC patients who are not candidates for surgery or radiation therapy.</w:t>
      </w:r>
      <w:r w:rsidRPr="0051046C">
        <w:t xml:space="preserve"> Vismodegib </w:t>
      </w:r>
      <w:r w:rsidR="0093202D" w:rsidRPr="0051046C">
        <w:t>wa</w:t>
      </w:r>
      <w:r w:rsidRPr="0051046C">
        <w:t xml:space="preserve">s approved by the European Medicines Association (EMA) and </w:t>
      </w:r>
      <w:r w:rsidR="00F628B2">
        <w:t xml:space="preserve">US </w:t>
      </w:r>
      <w:r w:rsidRPr="0051046C">
        <w:t>Food and Drug Administration (FDA) for both laBCC and mBCC where surgery or radiation therapy is not appropriate.</w:t>
      </w:r>
    </w:p>
    <w:p w:rsidR="00A81621" w:rsidRPr="005709F0" w:rsidRDefault="00A81621" w:rsidP="00D82F6C">
      <w:pPr>
        <w:pStyle w:val="Heading2"/>
        <w:rPr>
          <w:i w:val="0"/>
        </w:rPr>
      </w:pPr>
      <w:bookmarkStart w:id="9" w:name="_Toc491858585"/>
      <w:bookmarkStart w:id="10" w:name="_Toc493060959"/>
      <w:r w:rsidRPr="005709F0">
        <w:rPr>
          <w:i w:val="0"/>
        </w:rPr>
        <w:t>Previous PBAC consideration</w:t>
      </w:r>
      <w:bookmarkEnd w:id="9"/>
      <w:bookmarkEnd w:id="10"/>
    </w:p>
    <w:p w:rsidR="005527D1" w:rsidRPr="005709F0" w:rsidRDefault="00A81621" w:rsidP="00860DC8">
      <w:pPr>
        <w:pStyle w:val="ListParagraph"/>
        <w:numPr>
          <w:ilvl w:val="1"/>
          <w:numId w:val="3"/>
        </w:numPr>
        <w:spacing w:before="0" w:after="120"/>
      </w:pPr>
      <w:r w:rsidRPr="005709F0">
        <w:t xml:space="preserve">This is the first </w:t>
      </w:r>
      <w:r w:rsidR="005527D1" w:rsidRPr="005709F0">
        <w:t xml:space="preserve">PBAC </w:t>
      </w:r>
      <w:r w:rsidRPr="005709F0">
        <w:t>submi</w:t>
      </w:r>
      <w:r w:rsidR="005527D1" w:rsidRPr="005709F0">
        <w:t>ssion for sonidegib.</w:t>
      </w:r>
    </w:p>
    <w:p w:rsidR="00A81621" w:rsidRPr="005709F0" w:rsidRDefault="00D41809" w:rsidP="00860DC8">
      <w:pPr>
        <w:pStyle w:val="ListParagraph"/>
        <w:numPr>
          <w:ilvl w:val="1"/>
          <w:numId w:val="3"/>
        </w:numPr>
        <w:spacing w:before="0" w:after="120"/>
      </w:pPr>
      <w:r w:rsidRPr="005709F0">
        <w:t xml:space="preserve">The comparator, vismodegib, was recommended at the March 2016 PBAC meeting for the treatment of </w:t>
      </w:r>
      <w:r w:rsidR="002C637D" w:rsidRPr="005709F0">
        <w:t>mBCC or laBCC</w:t>
      </w:r>
      <w:r w:rsidRPr="005709F0">
        <w:t xml:space="preserve">. </w:t>
      </w:r>
      <w:r w:rsidR="002C637D" w:rsidRPr="005709F0">
        <w:t>This recommendation was based on a number of parameters</w:t>
      </w:r>
      <w:r w:rsidR="00496D24" w:rsidRPr="005709F0">
        <w:t xml:space="preserve"> that remained</w:t>
      </w:r>
      <w:r w:rsidR="002C637D" w:rsidRPr="005709F0">
        <w:t xml:space="preserve"> to be addressed such as </w:t>
      </w:r>
      <w:r w:rsidRPr="005709F0">
        <w:t>efficacy inputs</w:t>
      </w:r>
      <w:r w:rsidR="002C637D" w:rsidRPr="005709F0">
        <w:t xml:space="preserve">, </w:t>
      </w:r>
      <w:r w:rsidRPr="005709F0">
        <w:t xml:space="preserve">costs associated with adverse events (AEs) and the </w:t>
      </w:r>
      <w:r w:rsidR="00F628B2">
        <w:t xml:space="preserve">assumed </w:t>
      </w:r>
      <w:r w:rsidRPr="005709F0">
        <w:t xml:space="preserve">disfigurement </w:t>
      </w:r>
      <w:r w:rsidR="002C637D" w:rsidRPr="005709F0">
        <w:t>rate</w:t>
      </w:r>
      <w:r w:rsidR="005527D1" w:rsidRPr="005709F0">
        <w:t xml:space="preserve">. </w:t>
      </w:r>
      <w:r w:rsidR="00EB528C" w:rsidRPr="005709F0">
        <w:t xml:space="preserve">The PBAC considered a minor resubmission </w:t>
      </w:r>
      <w:r w:rsidR="00C05A45" w:rsidRPr="005709F0">
        <w:t xml:space="preserve">for vismodegib addressing these parameters </w:t>
      </w:r>
      <w:r w:rsidR="00EB528C" w:rsidRPr="005709F0">
        <w:t>in November 2016. Vismodegib is currently listed on the PBS for mBCC and laBCC patients who are inappropriate for surgery and curative radiotherapy.</w:t>
      </w:r>
    </w:p>
    <w:p w:rsidR="00A81621" w:rsidRPr="005709F0" w:rsidRDefault="00496D24" w:rsidP="00A50B2C">
      <w:pPr>
        <w:pStyle w:val="PBACHeading1"/>
        <w:outlineLvl w:val="0"/>
      </w:pPr>
      <w:bookmarkStart w:id="11" w:name="_Toc493060960"/>
      <w:r w:rsidRPr="005709F0">
        <w:t>Population and disease</w:t>
      </w:r>
      <w:bookmarkEnd w:id="11"/>
    </w:p>
    <w:p w:rsidR="00A81621" w:rsidRPr="0051046C" w:rsidRDefault="00A81621" w:rsidP="00860DC8">
      <w:pPr>
        <w:pStyle w:val="ListParagraph"/>
        <w:numPr>
          <w:ilvl w:val="1"/>
          <w:numId w:val="3"/>
        </w:numPr>
      </w:pPr>
      <w:r w:rsidRPr="005709F0">
        <w:t xml:space="preserve">Basal cell carcinoma (BCC) is the most common non-melanoma skin cancer. BCCs are effectively cured with surgery and radiotherapy with 5-year cure rates of greater than 90%. However, a small proportion of patients will develop recurrent disease and progress to laBCC or mBCC. The treatment of laBCC or mBCC are more challenging due to the nature and the extent of the disease. Importantly, many patients with laBCC and mBCC are not amenable to curative surgery or radiation </w:t>
      </w:r>
      <w:r w:rsidRPr="0051046C">
        <w:t>therapy.</w:t>
      </w:r>
    </w:p>
    <w:p w:rsidR="00A81621" w:rsidRDefault="00A81621" w:rsidP="00860DC8">
      <w:pPr>
        <w:pStyle w:val="ListParagraph"/>
        <w:numPr>
          <w:ilvl w:val="1"/>
          <w:numId w:val="3"/>
        </w:numPr>
        <w:spacing w:before="0" w:after="120"/>
      </w:pPr>
      <w:r w:rsidRPr="0051046C">
        <w:t xml:space="preserve">Sonidegib was proposed </w:t>
      </w:r>
      <w:r w:rsidR="003B4F4E" w:rsidRPr="0051046C">
        <w:t xml:space="preserve">as an alternative to vismodegib </w:t>
      </w:r>
      <w:r w:rsidRPr="0051046C">
        <w:t xml:space="preserve">for </w:t>
      </w:r>
      <w:r w:rsidR="00D038E8" w:rsidRPr="0051046C">
        <w:t xml:space="preserve">the </w:t>
      </w:r>
      <w:r w:rsidRPr="0051046C">
        <w:t>treatment of laBCC and mBCC patients who are not amenable to curative surgery or radiation therapy.</w:t>
      </w:r>
    </w:p>
    <w:p w:rsidR="00A81621" w:rsidRPr="005709F0" w:rsidRDefault="00496D24" w:rsidP="00A50B2C">
      <w:pPr>
        <w:pStyle w:val="PBACHeading1"/>
        <w:outlineLvl w:val="0"/>
      </w:pPr>
      <w:bookmarkStart w:id="12" w:name="_Toc493060961"/>
      <w:r w:rsidRPr="005709F0">
        <w:t>Comparator</w:t>
      </w:r>
      <w:bookmarkEnd w:id="12"/>
    </w:p>
    <w:p w:rsidR="00B23F1C" w:rsidRDefault="00A81621" w:rsidP="00860DC8">
      <w:pPr>
        <w:pStyle w:val="ListParagraph"/>
        <w:numPr>
          <w:ilvl w:val="1"/>
          <w:numId w:val="3"/>
        </w:numPr>
      </w:pPr>
      <w:r w:rsidRPr="005709F0">
        <w:t xml:space="preserve">The submission nominated vismodegib as the main comparator. </w:t>
      </w:r>
      <w:r w:rsidR="00B37D0B" w:rsidRPr="005709F0">
        <w:t>The justification was that v</w:t>
      </w:r>
      <w:r w:rsidRPr="005709F0">
        <w:t xml:space="preserve">ismodegib is a </w:t>
      </w:r>
      <w:r w:rsidRPr="005709F0">
        <w:rPr>
          <w:rFonts w:cstheme="minorHAnsi"/>
        </w:rPr>
        <w:t>pharmacological analogue to sonidegib, belongs to the same therapeutic class, has the same mechanism of action</w:t>
      </w:r>
      <w:r w:rsidR="00B552FE" w:rsidRPr="005709F0">
        <w:rPr>
          <w:rFonts w:cstheme="minorHAnsi"/>
        </w:rPr>
        <w:t xml:space="preserve"> and</w:t>
      </w:r>
      <w:r w:rsidRPr="005709F0">
        <w:rPr>
          <w:rFonts w:cstheme="minorHAnsi"/>
        </w:rPr>
        <w:t xml:space="preserve"> mode of administration and is the only PBS listed treatment for </w:t>
      </w:r>
      <w:r w:rsidR="00B37D0B" w:rsidRPr="005709F0">
        <w:rPr>
          <w:rFonts w:cstheme="minorHAnsi"/>
        </w:rPr>
        <w:t>the proposed population</w:t>
      </w:r>
      <w:r w:rsidRPr="005709F0">
        <w:rPr>
          <w:rFonts w:cstheme="minorHAnsi"/>
        </w:rPr>
        <w:t>.</w:t>
      </w:r>
      <w:r w:rsidRPr="005709F0">
        <w:t xml:space="preserve"> The</w:t>
      </w:r>
      <w:r w:rsidR="0051046C">
        <w:t xml:space="preserve"> PBAC considered that the nominated comparator wa</w:t>
      </w:r>
      <w:r w:rsidRPr="005709F0">
        <w:t xml:space="preserve">s appropriate. </w:t>
      </w:r>
    </w:p>
    <w:p w:rsidR="00B23F1C" w:rsidRDefault="00B23F1C">
      <w:pPr>
        <w:spacing w:before="0" w:line="259" w:lineRule="auto"/>
        <w:jc w:val="left"/>
      </w:pPr>
      <w:r>
        <w:br w:type="page"/>
      </w:r>
    </w:p>
    <w:p w:rsidR="00A81621" w:rsidRPr="005709F0" w:rsidRDefault="00A81621" w:rsidP="00B23F1C">
      <w:pPr>
        <w:pStyle w:val="ListParagraph"/>
        <w:rPr>
          <w:lang w:val="en-GB"/>
        </w:rPr>
      </w:pPr>
    </w:p>
    <w:p w:rsidR="00496D24" w:rsidRPr="005709F0" w:rsidRDefault="00496D24" w:rsidP="00A50B2C">
      <w:pPr>
        <w:pStyle w:val="PBACHeading1"/>
        <w:outlineLvl w:val="0"/>
      </w:pPr>
      <w:bookmarkStart w:id="13" w:name="_Toc493060962"/>
      <w:bookmarkStart w:id="14" w:name="_Toc413139277"/>
      <w:r w:rsidRPr="005709F0">
        <w:t>Consideration of the evidence</w:t>
      </w:r>
      <w:bookmarkEnd w:id="13"/>
    </w:p>
    <w:p w:rsidR="00D54954" w:rsidRPr="00D54954" w:rsidRDefault="00D54954" w:rsidP="00D54954">
      <w:pPr>
        <w:widowControl w:val="0"/>
        <w:spacing w:after="200" w:line="276" w:lineRule="auto"/>
        <w:rPr>
          <w:rFonts w:cs="Arial"/>
          <w:b/>
          <w:bCs/>
          <w:snapToGrid w:val="0"/>
          <w:sz w:val="28"/>
        </w:rPr>
      </w:pPr>
      <w:bookmarkStart w:id="15" w:name="_Toc493060963"/>
      <w:r w:rsidRPr="00D54954">
        <w:rPr>
          <w:rFonts w:cs="Arial"/>
          <w:b/>
          <w:bCs/>
          <w:snapToGrid w:val="0"/>
          <w:sz w:val="28"/>
        </w:rPr>
        <w:t>Sponsor hearing</w:t>
      </w:r>
    </w:p>
    <w:p w:rsidR="00D54954" w:rsidRPr="007C577D" w:rsidRDefault="00D54954" w:rsidP="00860DC8">
      <w:pPr>
        <w:widowControl w:val="0"/>
        <w:numPr>
          <w:ilvl w:val="1"/>
          <w:numId w:val="3"/>
        </w:numPr>
        <w:spacing w:before="0" w:after="0"/>
        <w:contextualSpacing/>
        <w:rPr>
          <w:rFonts w:cs="Arial"/>
          <w:bCs/>
          <w:snapToGrid w:val="0"/>
        </w:rPr>
      </w:pPr>
      <w:r w:rsidRPr="007C577D">
        <w:rPr>
          <w:rFonts w:cs="Arial"/>
          <w:bCs/>
          <w:snapToGrid w:val="0"/>
        </w:rPr>
        <w:t xml:space="preserve">The sponsor requested a hearing for this item. The clinician presented </w:t>
      </w:r>
      <w:r w:rsidR="007C577D" w:rsidRPr="007C577D">
        <w:rPr>
          <w:rFonts w:cs="Arial"/>
          <w:bCs/>
          <w:snapToGrid w:val="0"/>
        </w:rPr>
        <w:t>information based on his personal experience in treating patients with both sonidegib and the comparator vismodegib including switching between the drugs due to idiosyncratic side effects</w:t>
      </w:r>
      <w:r w:rsidRPr="007C577D">
        <w:rPr>
          <w:rFonts w:cs="Arial"/>
          <w:bCs/>
          <w:snapToGrid w:val="0"/>
        </w:rPr>
        <w:t>, and addressed other matters in response to the Committee’s questions.</w:t>
      </w:r>
    </w:p>
    <w:p w:rsidR="00D54954" w:rsidRPr="007C577D" w:rsidRDefault="00D54954" w:rsidP="00D54954">
      <w:pPr>
        <w:widowControl w:val="0"/>
        <w:spacing w:after="200" w:line="276" w:lineRule="auto"/>
        <w:rPr>
          <w:rFonts w:ascii="Calibri" w:hAnsi="Calibri" w:cs="Arial"/>
          <w:b/>
          <w:bCs/>
          <w:snapToGrid w:val="0"/>
          <w:sz w:val="28"/>
        </w:rPr>
      </w:pPr>
      <w:r w:rsidRPr="007C577D">
        <w:rPr>
          <w:rFonts w:ascii="Calibri" w:hAnsi="Calibri" w:cs="Arial"/>
          <w:b/>
          <w:bCs/>
          <w:snapToGrid w:val="0"/>
          <w:sz w:val="28"/>
        </w:rPr>
        <w:t>Consumer comments</w:t>
      </w:r>
    </w:p>
    <w:p w:rsidR="00D54954" w:rsidRPr="00647DC1" w:rsidRDefault="00D54954" w:rsidP="00860DC8">
      <w:pPr>
        <w:widowControl w:val="0"/>
        <w:numPr>
          <w:ilvl w:val="1"/>
          <w:numId w:val="3"/>
        </w:numPr>
        <w:spacing w:before="0" w:after="0"/>
        <w:contextualSpacing/>
        <w:rPr>
          <w:rFonts w:ascii="Calibri" w:hAnsi="Calibri" w:cs="Arial"/>
          <w:bCs/>
          <w:snapToGrid w:val="0"/>
        </w:rPr>
      </w:pPr>
      <w:r w:rsidRPr="00647DC1">
        <w:rPr>
          <w:rFonts w:ascii="Calibri" w:hAnsi="Calibri" w:cs="Arial"/>
          <w:bCs/>
          <w:snapToGrid w:val="0"/>
        </w:rPr>
        <w:t>The PBAC noted that no consumer comments were received for this item.</w:t>
      </w:r>
    </w:p>
    <w:p w:rsidR="00A81621" w:rsidRPr="005709F0" w:rsidRDefault="00A81621" w:rsidP="00A81621">
      <w:pPr>
        <w:pStyle w:val="Heading2"/>
        <w:rPr>
          <w:i w:val="0"/>
        </w:rPr>
      </w:pPr>
      <w:r w:rsidRPr="005709F0">
        <w:rPr>
          <w:i w:val="0"/>
        </w:rPr>
        <w:t xml:space="preserve">Clinical </w:t>
      </w:r>
      <w:r w:rsidR="00BE48A7" w:rsidRPr="005709F0">
        <w:rPr>
          <w:i w:val="0"/>
        </w:rPr>
        <w:t>studies</w:t>
      </w:r>
      <w:bookmarkEnd w:id="14"/>
      <w:bookmarkEnd w:id="15"/>
    </w:p>
    <w:p w:rsidR="00A81621" w:rsidRPr="005709F0" w:rsidRDefault="00A81621" w:rsidP="00860DC8">
      <w:pPr>
        <w:pStyle w:val="ListParagraph"/>
        <w:numPr>
          <w:ilvl w:val="1"/>
          <w:numId w:val="3"/>
        </w:numPr>
      </w:pPr>
      <w:r w:rsidRPr="005709F0">
        <w:t>The submission was based on a naïve indirect comparison between sonidegib and vismodegib using one sonidegib</w:t>
      </w:r>
      <w:r w:rsidR="000756DD">
        <w:t xml:space="preserve"> study</w:t>
      </w:r>
      <w:r w:rsidRPr="005709F0">
        <w:t xml:space="preserve"> (BOLT) and three vismodegib</w:t>
      </w:r>
      <w:r w:rsidR="000756DD">
        <w:t xml:space="preserve"> studies</w:t>
      </w:r>
      <w:r w:rsidRPr="005709F0">
        <w:t xml:space="preserve"> (ERIVANCE, STEVIE and EAS) conducted </w:t>
      </w:r>
      <w:r w:rsidR="000756DD">
        <w:t>i</w:t>
      </w:r>
      <w:r w:rsidRPr="005709F0">
        <w:t xml:space="preserve">n patients with laBCC or mBCC. BOLT has not been previously considered by the PBAC. </w:t>
      </w:r>
      <w:r w:rsidR="000756DD">
        <w:t>The</w:t>
      </w:r>
      <w:r w:rsidR="000756DD" w:rsidRPr="005709F0">
        <w:t xml:space="preserve"> </w:t>
      </w:r>
      <w:r w:rsidRPr="005709F0">
        <w:t>three vismodegib studies have previously been considered by the PBAC (all three studies in March 2016 and updated data from STEVIE in November 2016).</w:t>
      </w:r>
    </w:p>
    <w:p w:rsidR="00A81621" w:rsidRPr="005709F0" w:rsidRDefault="00A81621" w:rsidP="00860DC8">
      <w:pPr>
        <w:pStyle w:val="ListParagraph"/>
        <w:numPr>
          <w:ilvl w:val="0"/>
          <w:numId w:val="8"/>
        </w:numPr>
      </w:pPr>
      <w:r w:rsidRPr="005709F0">
        <w:t xml:space="preserve">Sonidegib: </w:t>
      </w:r>
      <w:r w:rsidR="000756DD">
        <w:t xml:space="preserve">the </w:t>
      </w:r>
      <w:r w:rsidRPr="005709F0">
        <w:t xml:space="preserve">BOLT study is a randomised controlled trial </w:t>
      </w:r>
      <w:r w:rsidR="00B552FE" w:rsidRPr="005709F0">
        <w:t>that</w:t>
      </w:r>
      <w:r w:rsidR="00E054BF" w:rsidRPr="005709F0">
        <w:t xml:space="preserve"> </w:t>
      </w:r>
      <w:r w:rsidRPr="005709F0">
        <w:t>compar</w:t>
      </w:r>
      <w:r w:rsidR="00E054BF" w:rsidRPr="005709F0">
        <w:t>ed</w:t>
      </w:r>
      <w:r w:rsidRPr="005709F0">
        <w:t xml:space="preserve"> the TGA approved 200</w:t>
      </w:r>
      <w:r w:rsidR="00B552FE" w:rsidRPr="005709F0">
        <w:t> </w:t>
      </w:r>
      <w:r w:rsidRPr="005709F0">
        <w:t xml:space="preserve">mg </w:t>
      </w:r>
      <w:r w:rsidR="00E054BF" w:rsidRPr="005709F0">
        <w:t xml:space="preserve">once daily </w:t>
      </w:r>
      <w:r w:rsidRPr="005709F0">
        <w:t>dose of sonidegib with the 800</w:t>
      </w:r>
      <w:r w:rsidR="00B552FE" w:rsidRPr="005709F0">
        <w:t> </w:t>
      </w:r>
      <w:r w:rsidRPr="005709F0">
        <w:t xml:space="preserve">mg </w:t>
      </w:r>
      <w:r w:rsidR="00E054BF" w:rsidRPr="005709F0">
        <w:t xml:space="preserve">once daily </w:t>
      </w:r>
      <w:r w:rsidRPr="005709F0">
        <w:t>dose. The 800</w:t>
      </w:r>
      <w:r w:rsidR="00B552FE" w:rsidRPr="005709F0">
        <w:t> </w:t>
      </w:r>
      <w:r w:rsidRPr="005709F0">
        <w:t>mg dose is not considered relevant to the current submission and therefore BOLT represents a single arm study of the recommended dose of 200</w:t>
      </w:r>
      <w:r w:rsidR="00B552FE" w:rsidRPr="005709F0">
        <w:t> </w:t>
      </w:r>
      <w:r w:rsidRPr="005709F0">
        <w:t>mg sonidegib. Primary efficacy analysis set (pEAS) N = 55 (laBCC 42, mBCC 13). Full analysis set (FAS) N = 79 (laBC</w:t>
      </w:r>
      <w:r w:rsidR="00CD6361">
        <w:t>C 66, mBCC 13).</w:t>
      </w:r>
    </w:p>
    <w:p w:rsidR="00A81621" w:rsidRPr="005709F0" w:rsidRDefault="00A81621" w:rsidP="00860DC8">
      <w:pPr>
        <w:pStyle w:val="ListParagraph"/>
        <w:numPr>
          <w:ilvl w:val="0"/>
          <w:numId w:val="8"/>
        </w:numPr>
      </w:pPr>
      <w:r w:rsidRPr="005709F0">
        <w:t>Vismodegib (</w:t>
      </w:r>
      <w:r w:rsidR="000756DD">
        <w:t>the</w:t>
      </w:r>
      <w:r w:rsidR="000756DD" w:rsidRPr="005709F0">
        <w:t xml:space="preserve"> </w:t>
      </w:r>
      <w:r w:rsidRPr="005709F0">
        <w:t xml:space="preserve">three studies were single arm </w:t>
      </w:r>
      <w:r w:rsidR="000756DD">
        <w:t xml:space="preserve">and </w:t>
      </w:r>
      <w:r w:rsidRPr="005709F0">
        <w:t>assess</w:t>
      </w:r>
      <w:r w:rsidR="000756DD">
        <w:t>ed</w:t>
      </w:r>
      <w:r w:rsidRPr="005709F0">
        <w:t xml:space="preserve"> the recommended 150</w:t>
      </w:r>
      <w:r w:rsidR="00B552FE" w:rsidRPr="005709F0">
        <w:t> </w:t>
      </w:r>
      <w:r w:rsidRPr="005709F0">
        <w:t>mg once daily dose</w:t>
      </w:r>
      <w:r w:rsidR="00B552FE" w:rsidRPr="005709F0">
        <w:t>)</w:t>
      </w:r>
      <w:r w:rsidRPr="005709F0">
        <w:t>:</w:t>
      </w:r>
    </w:p>
    <w:p w:rsidR="00A81621" w:rsidRPr="005709F0" w:rsidRDefault="00A81621" w:rsidP="00860DC8">
      <w:pPr>
        <w:pStyle w:val="ListParagraph"/>
        <w:widowControl w:val="0"/>
        <w:numPr>
          <w:ilvl w:val="1"/>
          <w:numId w:val="7"/>
        </w:numPr>
        <w:spacing w:before="0" w:after="0"/>
        <w:contextualSpacing/>
      </w:pPr>
      <w:r w:rsidRPr="005709F0">
        <w:t>ERIVANCE: N = 96 (laBCC 63, mBCC 33);</w:t>
      </w:r>
    </w:p>
    <w:p w:rsidR="00A81621" w:rsidRPr="005709F0" w:rsidRDefault="00A81621" w:rsidP="00860DC8">
      <w:pPr>
        <w:pStyle w:val="ListParagraph"/>
        <w:widowControl w:val="0"/>
        <w:numPr>
          <w:ilvl w:val="1"/>
          <w:numId w:val="7"/>
        </w:numPr>
        <w:spacing w:before="0" w:after="0"/>
        <w:contextualSpacing/>
      </w:pPr>
      <w:r w:rsidRPr="005709F0">
        <w:t>STEVIE: Interim N = 482 (laBCC 453, mBCC 29). An independent literature search identified updated final analysis for STEVIE</w:t>
      </w:r>
      <w:r w:rsidR="00B552FE" w:rsidRPr="005709F0">
        <w:rPr>
          <w:rStyle w:val="FootnoteReference"/>
        </w:rPr>
        <w:footnoteReference w:id="1"/>
      </w:r>
      <w:r w:rsidRPr="005709F0">
        <w:t xml:space="preserve">: N = 1,161 (laBCC 1,119, mBCC 96). </w:t>
      </w:r>
    </w:p>
    <w:p w:rsidR="00A81621" w:rsidRPr="005709F0" w:rsidRDefault="00A81621" w:rsidP="00860DC8">
      <w:pPr>
        <w:pStyle w:val="ListParagraph"/>
        <w:widowControl w:val="0"/>
        <w:numPr>
          <w:ilvl w:val="1"/>
          <w:numId w:val="7"/>
        </w:numPr>
        <w:spacing w:before="0" w:after="0"/>
        <w:contextualSpacing/>
      </w:pPr>
      <w:r w:rsidRPr="005709F0">
        <w:t>Expanded access study (EAS) or Chang et al (2014): N=95 (laBCC 56, mBCC 39). There was early termination of the study by the sponsor due to FDA approval when patients were transitioned to co</w:t>
      </w:r>
      <w:r w:rsidR="00E054BF" w:rsidRPr="005709F0">
        <w:t>mmercially available vismodegib.</w:t>
      </w:r>
    </w:p>
    <w:p w:rsidR="00E054BF" w:rsidRPr="005709F0" w:rsidRDefault="00E054BF" w:rsidP="00E054BF">
      <w:pPr>
        <w:pStyle w:val="ListParagraph"/>
        <w:widowControl w:val="0"/>
        <w:spacing w:before="0" w:after="0"/>
        <w:ind w:left="1440"/>
        <w:contextualSpacing/>
      </w:pPr>
    </w:p>
    <w:p w:rsidR="00A81621" w:rsidRPr="005709F0" w:rsidRDefault="00A81621" w:rsidP="00860DC8">
      <w:pPr>
        <w:pStyle w:val="ListParagraph"/>
        <w:numPr>
          <w:ilvl w:val="1"/>
          <w:numId w:val="3"/>
        </w:numPr>
        <w:spacing w:before="0" w:after="120"/>
      </w:pPr>
      <w:r w:rsidRPr="005709F0">
        <w:t xml:space="preserve">Details of the </w:t>
      </w:r>
      <w:r w:rsidR="00B50E5C" w:rsidRPr="005709F0">
        <w:t>studies</w:t>
      </w:r>
      <w:r w:rsidRPr="005709F0">
        <w:t xml:space="preserve"> presented in the submission are provided in the table below.  </w:t>
      </w:r>
    </w:p>
    <w:p w:rsidR="00A81621" w:rsidRPr="005709F0" w:rsidRDefault="00A81621" w:rsidP="00955551">
      <w:pPr>
        <w:pStyle w:val="TableHeading0"/>
      </w:pPr>
      <w:r w:rsidRPr="005709F0">
        <w:t xml:space="preserve">Table </w:t>
      </w:r>
      <w:r w:rsidR="003814F3" w:rsidRPr="005709F0">
        <w:t>2</w:t>
      </w:r>
      <w:r w:rsidRPr="005709F0">
        <w:t>: Single arm studies and associated rep</w:t>
      </w:r>
      <w:r w:rsidR="00055D41" w:rsidRPr="005709F0">
        <w:t>orts included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4"/>
        <w:gridCol w:w="3827"/>
        <w:gridCol w:w="3951"/>
      </w:tblGrid>
      <w:tr w:rsidR="00A81621" w:rsidRPr="005709F0" w:rsidTr="003E2A0B">
        <w:trPr>
          <w:cantSplit/>
          <w:tblHeader/>
        </w:trPr>
        <w:tc>
          <w:tcPr>
            <w:tcW w:w="718" w:type="pct"/>
            <w:tcBorders>
              <w:top w:val="single" w:sz="4" w:space="0" w:color="auto"/>
              <w:left w:val="single" w:sz="4" w:space="0" w:color="auto"/>
              <w:bottom w:val="single" w:sz="4" w:space="0" w:color="auto"/>
              <w:right w:val="single" w:sz="4" w:space="0" w:color="auto"/>
            </w:tcBorders>
            <w:vAlign w:val="center"/>
            <w:hideMark/>
          </w:tcPr>
          <w:p w:rsidR="00A81621" w:rsidRPr="005709F0" w:rsidRDefault="00A81621" w:rsidP="003E2A0B">
            <w:pPr>
              <w:pStyle w:val="TableHeading"/>
              <w:spacing w:before="0" w:after="0"/>
              <w:ind w:left="0"/>
              <w:rPr>
                <w:rFonts w:cs="Arial"/>
                <w:lang w:eastAsia="en-AU"/>
              </w:rPr>
            </w:pPr>
            <w:r w:rsidRPr="005709F0">
              <w:rPr>
                <w:rFonts w:cs="Arial"/>
                <w:lang w:eastAsia="en-AU"/>
              </w:rPr>
              <w:t>Study</w:t>
            </w:r>
          </w:p>
        </w:tc>
        <w:tc>
          <w:tcPr>
            <w:tcW w:w="2107" w:type="pct"/>
            <w:tcBorders>
              <w:top w:val="single" w:sz="4" w:space="0" w:color="auto"/>
              <w:left w:val="single" w:sz="4" w:space="0" w:color="auto"/>
              <w:bottom w:val="single" w:sz="4" w:space="0" w:color="auto"/>
              <w:right w:val="single" w:sz="4" w:space="0" w:color="auto"/>
            </w:tcBorders>
            <w:hideMark/>
          </w:tcPr>
          <w:p w:rsidR="00A81621" w:rsidRPr="005709F0" w:rsidRDefault="00A81621" w:rsidP="003E2A0B">
            <w:pPr>
              <w:pStyle w:val="TableHeading"/>
              <w:spacing w:before="0" w:after="0"/>
              <w:ind w:left="0"/>
              <w:rPr>
                <w:rFonts w:cs="Arial"/>
                <w:lang w:eastAsia="en-AU"/>
              </w:rPr>
            </w:pPr>
            <w:r w:rsidRPr="005709F0">
              <w:t>Protocol title/ Publication title</w:t>
            </w:r>
          </w:p>
        </w:tc>
        <w:tc>
          <w:tcPr>
            <w:tcW w:w="2175" w:type="pct"/>
            <w:tcBorders>
              <w:top w:val="single" w:sz="4" w:space="0" w:color="auto"/>
              <w:left w:val="single" w:sz="4" w:space="0" w:color="auto"/>
              <w:bottom w:val="single" w:sz="4" w:space="0" w:color="auto"/>
              <w:right w:val="single" w:sz="4" w:space="0" w:color="auto"/>
            </w:tcBorders>
            <w:hideMark/>
          </w:tcPr>
          <w:p w:rsidR="00A81621" w:rsidRPr="005709F0" w:rsidRDefault="00A81621" w:rsidP="003E2A0B">
            <w:pPr>
              <w:pStyle w:val="TableHeading"/>
              <w:spacing w:before="0" w:after="0"/>
              <w:ind w:left="0"/>
              <w:rPr>
                <w:rFonts w:cs="Arial"/>
                <w:lang w:eastAsia="en-AU"/>
              </w:rPr>
            </w:pPr>
            <w:r w:rsidRPr="005709F0">
              <w:t>Publication citation</w:t>
            </w:r>
          </w:p>
        </w:tc>
      </w:tr>
      <w:tr w:rsidR="00A81621" w:rsidRPr="005709F0" w:rsidTr="003E2A0B">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81621" w:rsidRPr="005709F0" w:rsidRDefault="00A81621" w:rsidP="003E2A0B">
            <w:pPr>
              <w:pStyle w:val="TableHeading"/>
              <w:spacing w:before="0" w:after="0"/>
              <w:ind w:hanging="709"/>
              <w:rPr>
                <w:rFonts w:cs="Arial"/>
                <w:lang w:eastAsia="en-AU"/>
              </w:rPr>
            </w:pPr>
            <w:r w:rsidRPr="005709F0">
              <w:rPr>
                <w:rFonts w:cs="Arial"/>
                <w:lang w:eastAsia="en-AU"/>
              </w:rPr>
              <w:t>Proposed medicine sonidegib</w:t>
            </w:r>
          </w:p>
        </w:tc>
      </w:tr>
      <w:tr w:rsidR="00A81621" w:rsidRPr="005709F0" w:rsidTr="003E2A0B">
        <w:trPr>
          <w:cantSplit/>
        </w:trPr>
        <w:tc>
          <w:tcPr>
            <w:tcW w:w="718" w:type="pct"/>
            <w:vMerge w:val="restart"/>
            <w:tcBorders>
              <w:top w:val="single" w:sz="4" w:space="0" w:color="auto"/>
              <w:left w:val="single" w:sz="4" w:space="0" w:color="auto"/>
              <w:right w:val="single" w:sz="4" w:space="0" w:color="auto"/>
            </w:tcBorders>
          </w:tcPr>
          <w:p w:rsidR="00A81621" w:rsidRPr="005709F0" w:rsidRDefault="00A81621" w:rsidP="0056640A">
            <w:pPr>
              <w:pStyle w:val="TableText1"/>
              <w:keepNext w:val="0"/>
              <w:spacing w:before="0" w:after="0"/>
              <w:rPr>
                <w:rFonts w:cs="Arial"/>
                <w:lang w:eastAsia="en-AU"/>
              </w:rPr>
            </w:pPr>
            <w:r w:rsidRPr="005709F0">
              <w:rPr>
                <w:rFonts w:cs="Arial"/>
                <w:lang w:eastAsia="en-AU"/>
              </w:rPr>
              <w:t>BOLT</w:t>
            </w:r>
          </w:p>
        </w:tc>
        <w:tc>
          <w:tcPr>
            <w:tcW w:w="2107" w:type="pct"/>
            <w:tcBorders>
              <w:top w:val="single" w:sz="4" w:space="0" w:color="auto"/>
              <w:left w:val="single" w:sz="4" w:space="0" w:color="auto"/>
              <w:bottom w:val="nil"/>
              <w:right w:val="single" w:sz="4" w:space="0" w:color="auto"/>
            </w:tcBorders>
          </w:tcPr>
          <w:p w:rsidR="00A81621" w:rsidRPr="005709F0" w:rsidRDefault="00A81621" w:rsidP="0056640A">
            <w:pPr>
              <w:pStyle w:val="TableText1"/>
              <w:spacing w:before="0" w:after="0"/>
              <w:rPr>
                <w:u w:val="single"/>
              </w:rPr>
            </w:pPr>
            <w:r w:rsidRPr="005709F0">
              <w:rPr>
                <w:u w:val="single"/>
              </w:rPr>
              <w:t>Clinical study reports</w:t>
            </w:r>
          </w:p>
          <w:p w:rsidR="00A81621" w:rsidRPr="005709F0" w:rsidRDefault="00A81621" w:rsidP="0056640A">
            <w:pPr>
              <w:pStyle w:val="TableText1"/>
              <w:spacing w:before="0" w:after="0"/>
            </w:pPr>
            <w:r w:rsidRPr="005709F0">
              <w:t>A phase II, randomised, double-blind study of efficacy and safety of two dose levels of LDE225 in patients with locally advanced or metastatic basal cell carcinoma (BOLT): 18-month analysis (24 February 2015)</w:t>
            </w:r>
          </w:p>
          <w:p w:rsidR="00A81621" w:rsidRPr="005709F0" w:rsidRDefault="00A81621" w:rsidP="0056640A">
            <w:pPr>
              <w:pStyle w:val="TableText1"/>
              <w:spacing w:before="0" w:after="0"/>
            </w:pPr>
          </w:p>
          <w:p w:rsidR="00A81621" w:rsidRPr="005709F0" w:rsidRDefault="00A81621" w:rsidP="0056640A">
            <w:pPr>
              <w:pStyle w:val="TableText1"/>
              <w:spacing w:before="0" w:after="0"/>
            </w:pPr>
            <w:r w:rsidRPr="005709F0">
              <w:t xml:space="preserve">Addendum 3 to Module 2.7.4 summary of clinical safety in advanced basal cell carcinoma: 30-month analysis </w:t>
            </w:r>
          </w:p>
          <w:p w:rsidR="00A81621" w:rsidRPr="005709F0" w:rsidRDefault="00A81621" w:rsidP="0056640A">
            <w:pPr>
              <w:pStyle w:val="TableText1"/>
              <w:spacing w:before="0" w:after="0"/>
            </w:pPr>
          </w:p>
          <w:p w:rsidR="00A81621" w:rsidRPr="005709F0" w:rsidRDefault="00A81621" w:rsidP="0056640A">
            <w:pPr>
              <w:pStyle w:val="TableText1"/>
              <w:spacing w:before="0" w:after="0"/>
            </w:pPr>
            <w:r w:rsidRPr="005709F0">
              <w:t xml:space="preserve">Addendum 3 to Module 2.7.3 summary of clinical efficacy in advanced basal cell carcinoma: 30-month analysis </w:t>
            </w:r>
          </w:p>
          <w:p w:rsidR="00A81621" w:rsidRPr="005709F0" w:rsidRDefault="00A81621" w:rsidP="0056640A">
            <w:pPr>
              <w:pStyle w:val="TableText1"/>
              <w:spacing w:before="0" w:after="0"/>
            </w:pPr>
          </w:p>
          <w:p w:rsidR="00A81621" w:rsidRPr="005709F0" w:rsidRDefault="00A81621" w:rsidP="0056640A">
            <w:pPr>
              <w:pStyle w:val="TableText1"/>
              <w:spacing w:before="0" w:after="0"/>
            </w:pPr>
            <w:r w:rsidRPr="005709F0">
              <w:t>Appendix 1 (Integrated summary of efficacy, data analyses)</w:t>
            </w:r>
          </w:p>
          <w:p w:rsidR="00A81621" w:rsidRPr="005709F0" w:rsidRDefault="00A81621" w:rsidP="0056640A">
            <w:pPr>
              <w:pStyle w:val="TableText1"/>
              <w:spacing w:before="0" w:after="0"/>
            </w:pPr>
            <w:r w:rsidRPr="005709F0">
              <w:t>Appendix 2 (Composite overall response in Study A2201: mRECIST criteria vs. ERIVANCE-like criteria).</w:t>
            </w:r>
          </w:p>
          <w:p w:rsidR="00A81621" w:rsidRPr="005709F0" w:rsidRDefault="00A81621" w:rsidP="0056640A">
            <w:pPr>
              <w:rPr>
                <w:rFonts w:ascii="Arial Narrow" w:eastAsia="Times New Roman" w:hAnsi="Arial Narrow" w:cs="Arial Narrow"/>
                <w:sz w:val="20"/>
                <w:szCs w:val="20"/>
              </w:rPr>
            </w:pPr>
            <w:r w:rsidRPr="005709F0">
              <w:rPr>
                <w:rFonts w:ascii="Arial Narrow" w:eastAsia="Times New Roman" w:hAnsi="Arial Narrow" w:cs="Arial Narrow"/>
                <w:sz w:val="20"/>
                <w:szCs w:val="20"/>
              </w:rPr>
              <w:t>ClincalTrials.gov: NCT01327053</w:t>
            </w:r>
          </w:p>
        </w:tc>
        <w:tc>
          <w:tcPr>
            <w:tcW w:w="2175" w:type="pct"/>
            <w:tcBorders>
              <w:top w:val="single" w:sz="4" w:space="0" w:color="auto"/>
              <w:left w:val="single" w:sz="4" w:space="0" w:color="auto"/>
              <w:bottom w:val="nil"/>
              <w:right w:val="single" w:sz="4" w:space="0" w:color="auto"/>
            </w:tcBorders>
          </w:tcPr>
          <w:p w:rsidR="00A81621" w:rsidRPr="005709F0" w:rsidRDefault="00A81621" w:rsidP="0056640A">
            <w:pPr>
              <w:spacing w:before="0" w:after="0"/>
            </w:pPr>
          </w:p>
          <w:p w:rsidR="00A81621" w:rsidRPr="005709F0" w:rsidRDefault="00A81621" w:rsidP="0056640A">
            <w:pPr>
              <w:pStyle w:val="TableText1"/>
              <w:spacing w:before="0" w:after="0"/>
            </w:pPr>
            <w:r w:rsidRPr="005709F0">
              <w:t>24 February 2015</w:t>
            </w:r>
          </w:p>
          <w:p w:rsidR="00A81621" w:rsidRPr="005709F0" w:rsidRDefault="00A81621" w:rsidP="0056640A">
            <w:pPr>
              <w:pStyle w:val="TableText1"/>
              <w:spacing w:before="0" w:after="0"/>
            </w:pPr>
          </w:p>
          <w:p w:rsidR="00A81621" w:rsidRPr="005709F0" w:rsidRDefault="00A81621" w:rsidP="0056640A">
            <w:pPr>
              <w:pStyle w:val="TableText1"/>
              <w:spacing w:before="0" w:after="0"/>
            </w:pPr>
          </w:p>
          <w:p w:rsidR="00A81621" w:rsidRPr="005709F0" w:rsidRDefault="00A81621" w:rsidP="0056640A">
            <w:pPr>
              <w:pStyle w:val="TableText1"/>
              <w:spacing w:before="0" w:after="0"/>
            </w:pPr>
          </w:p>
          <w:p w:rsidR="00A81621" w:rsidRPr="005709F0" w:rsidRDefault="00A81621" w:rsidP="0056640A">
            <w:pPr>
              <w:pStyle w:val="TableText1"/>
              <w:spacing w:before="0" w:after="0"/>
            </w:pPr>
          </w:p>
          <w:p w:rsidR="00A81621" w:rsidRPr="005709F0" w:rsidRDefault="00A81621" w:rsidP="0056640A">
            <w:pPr>
              <w:pStyle w:val="TableText1"/>
              <w:spacing w:before="0" w:after="0"/>
            </w:pPr>
          </w:p>
          <w:p w:rsidR="00A81621" w:rsidRPr="005709F0" w:rsidRDefault="00A81621" w:rsidP="0056640A">
            <w:pPr>
              <w:pStyle w:val="TableText1"/>
              <w:spacing w:before="0" w:after="0"/>
            </w:pPr>
            <w:r w:rsidRPr="005709F0">
              <w:t>7 March 2016</w:t>
            </w:r>
          </w:p>
          <w:p w:rsidR="00A81621" w:rsidRPr="005709F0" w:rsidRDefault="00A81621" w:rsidP="0056640A">
            <w:pPr>
              <w:pStyle w:val="TableText1"/>
              <w:spacing w:before="0" w:after="0"/>
            </w:pPr>
          </w:p>
          <w:p w:rsidR="00A81621" w:rsidRPr="005709F0" w:rsidRDefault="00A81621" w:rsidP="0056640A">
            <w:pPr>
              <w:pStyle w:val="TableText1"/>
              <w:spacing w:before="0" w:after="0"/>
            </w:pPr>
          </w:p>
          <w:p w:rsidR="00A81621" w:rsidRPr="005709F0" w:rsidRDefault="00A81621" w:rsidP="0056640A">
            <w:pPr>
              <w:pStyle w:val="TableText1"/>
              <w:spacing w:before="0" w:after="0"/>
            </w:pPr>
          </w:p>
          <w:p w:rsidR="00A81621" w:rsidRPr="005709F0" w:rsidRDefault="00A81621" w:rsidP="0056640A">
            <w:pPr>
              <w:pStyle w:val="TableText1"/>
              <w:spacing w:before="0" w:after="0"/>
            </w:pPr>
            <w:r w:rsidRPr="005709F0">
              <w:t>29 March 2016</w:t>
            </w:r>
          </w:p>
        </w:tc>
      </w:tr>
      <w:tr w:rsidR="00A81621" w:rsidRPr="005709F0" w:rsidTr="000E32AC">
        <w:tc>
          <w:tcPr>
            <w:tcW w:w="718" w:type="pct"/>
            <w:vMerge/>
            <w:tcBorders>
              <w:left w:val="single" w:sz="4" w:space="0" w:color="auto"/>
              <w:right w:val="single" w:sz="4" w:space="0" w:color="auto"/>
            </w:tcBorders>
          </w:tcPr>
          <w:p w:rsidR="00A81621" w:rsidRPr="005709F0" w:rsidRDefault="00A81621" w:rsidP="0056640A">
            <w:pPr>
              <w:pStyle w:val="TableText1"/>
              <w:keepNext w:val="0"/>
              <w:spacing w:before="0" w:after="0"/>
              <w:rPr>
                <w:rFonts w:cs="Arial"/>
                <w:lang w:eastAsia="en-AU"/>
              </w:rPr>
            </w:pPr>
          </w:p>
        </w:tc>
        <w:tc>
          <w:tcPr>
            <w:tcW w:w="2107" w:type="pct"/>
            <w:tcBorders>
              <w:top w:val="nil"/>
              <w:left w:val="single" w:sz="4" w:space="0" w:color="auto"/>
              <w:bottom w:val="nil"/>
              <w:right w:val="single" w:sz="4" w:space="0" w:color="auto"/>
            </w:tcBorders>
          </w:tcPr>
          <w:p w:rsidR="00A81621" w:rsidRPr="005709F0" w:rsidRDefault="00A81621" w:rsidP="0056640A">
            <w:pPr>
              <w:pStyle w:val="TableText1"/>
              <w:spacing w:before="0" w:after="0"/>
              <w:rPr>
                <w:u w:val="single"/>
              </w:rPr>
            </w:pPr>
            <w:r w:rsidRPr="005709F0">
              <w:rPr>
                <w:u w:val="single"/>
              </w:rPr>
              <w:t>Publications</w:t>
            </w:r>
          </w:p>
          <w:p w:rsidR="00A81621" w:rsidRPr="005709F0" w:rsidRDefault="00A81621" w:rsidP="0056640A">
            <w:pPr>
              <w:pStyle w:val="TableText1"/>
              <w:spacing w:before="0" w:after="0"/>
            </w:pPr>
            <w:r w:rsidRPr="005709F0">
              <w:t xml:space="preserve">Migden, et al. Treatment with two different doses of sonidegib in patients with locally advanced or metastatic basal cell carcinoma (BOLT): a multicentre, randomised, double-blind phase 2 trial. </w:t>
            </w:r>
          </w:p>
        </w:tc>
        <w:tc>
          <w:tcPr>
            <w:tcW w:w="2175" w:type="pct"/>
            <w:tcBorders>
              <w:top w:val="nil"/>
              <w:left w:val="single" w:sz="4" w:space="0" w:color="auto"/>
              <w:bottom w:val="nil"/>
              <w:right w:val="single" w:sz="4" w:space="0" w:color="auto"/>
            </w:tcBorders>
          </w:tcPr>
          <w:p w:rsidR="00A81621" w:rsidRPr="005709F0" w:rsidRDefault="00A81621" w:rsidP="0056640A">
            <w:pPr>
              <w:spacing w:before="0" w:after="0"/>
              <w:rPr>
                <w:rFonts w:ascii="Arial Narrow" w:eastAsia="Times New Roman" w:hAnsi="Arial Narrow" w:cs="Arial Narrow"/>
                <w:sz w:val="20"/>
                <w:szCs w:val="20"/>
              </w:rPr>
            </w:pPr>
          </w:p>
          <w:p w:rsidR="00A81621" w:rsidRPr="005709F0" w:rsidRDefault="00A81621" w:rsidP="0056640A">
            <w:pPr>
              <w:spacing w:before="0" w:after="0"/>
              <w:rPr>
                <w:rFonts w:ascii="Arial Narrow" w:eastAsia="Times New Roman" w:hAnsi="Arial Narrow" w:cs="Arial Narrow"/>
                <w:sz w:val="20"/>
                <w:szCs w:val="20"/>
              </w:rPr>
            </w:pPr>
            <w:r w:rsidRPr="005709F0">
              <w:rPr>
                <w:rFonts w:ascii="Arial Narrow" w:eastAsia="Times New Roman" w:hAnsi="Arial Narrow" w:cs="Arial Narrow"/>
                <w:sz w:val="20"/>
                <w:szCs w:val="20"/>
              </w:rPr>
              <w:t xml:space="preserve">Lancet Oncology </w:t>
            </w:r>
          </w:p>
          <w:p w:rsidR="00A81621" w:rsidRPr="005709F0" w:rsidRDefault="00A81621" w:rsidP="0056640A">
            <w:pPr>
              <w:spacing w:before="0" w:after="0"/>
            </w:pPr>
            <w:r w:rsidRPr="005709F0">
              <w:rPr>
                <w:rFonts w:ascii="Arial Narrow" w:eastAsia="Times New Roman" w:hAnsi="Arial Narrow" w:cs="Arial Narrow"/>
                <w:sz w:val="20"/>
                <w:szCs w:val="20"/>
              </w:rPr>
              <w:t>2015; 16(6):716-728</w:t>
            </w:r>
            <w:r w:rsidRPr="005709F0">
              <w:t xml:space="preserve"> </w:t>
            </w:r>
          </w:p>
        </w:tc>
      </w:tr>
      <w:tr w:rsidR="00A81621" w:rsidRPr="005709F0" w:rsidTr="000E32AC">
        <w:tc>
          <w:tcPr>
            <w:tcW w:w="718" w:type="pct"/>
            <w:vMerge/>
            <w:tcBorders>
              <w:left w:val="single" w:sz="4" w:space="0" w:color="auto"/>
              <w:right w:val="single" w:sz="4" w:space="0" w:color="auto"/>
            </w:tcBorders>
          </w:tcPr>
          <w:p w:rsidR="00A81621" w:rsidRPr="005709F0" w:rsidRDefault="00A81621" w:rsidP="0056640A">
            <w:pPr>
              <w:pStyle w:val="TableText1"/>
              <w:keepNext w:val="0"/>
              <w:spacing w:before="0" w:after="0"/>
              <w:rPr>
                <w:rFonts w:cs="Arial"/>
                <w:lang w:eastAsia="en-AU"/>
              </w:rPr>
            </w:pPr>
          </w:p>
        </w:tc>
        <w:tc>
          <w:tcPr>
            <w:tcW w:w="2107" w:type="pct"/>
            <w:tcBorders>
              <w:top w:val="nil"/>
              <w:left w:val="single" w:sz="4" w:space="0" w:color="auto"/>
              <w:bottom w:val="nil"/>
              <w:right w:val="single" w:sz="4" w:space="0" w:color="auto"/>
            </w:tcBorders>
          </w:tcPr>
          <w:p w:rsidR="00A81621" w:rsidRPr="005709F0" w:rsidRDefault="00A81621" w:rsidP="0056640A">
            <w:pPr>
              <w:pStyle w:val="TableText1"/>
              <w:spacing w:before="0" w:after="0"/>
            </w:pPr>
            <w:r w:rsidRPr="005709F0">
              <w:t>Dummer, et al. The 12-month analysis from basal cell carcinoma outcomes with LDE225 treatment (BOLT): A phase II, randomised, double-blind study of sonidegib in patients with advanced basal cell carcinoma.</w:t>
            </w:r>
          </w:p>
        </w:tc>
        <w:tc>
          <w:tcPr>
            <w:tcW w:w="2175" w:type="pct"/>
            <w:tcBorders>
              <w:top w:val="nil"/>
              <w:left w:val="single" w:sz="4" w:space="0" w:color="auto"/>
              <w:bottom w:val="nil"/>
              <w:right w:val="single" w:sz="4" w:space="0" w:color="auto"/>
            </w:tcBorders>
          </w:tcPr>
          <w:p w:rsidR="00A81621" w:rsidRPr="005709F0" w:rsidRDefault="00A81621" w:rsidP="0056640A">
            <w:pPr>
              <w:spacing w:before="0" w:after="0"/>
            </w:pPr>
            <w:r w:rsidRPr="005709F0">
              <w:rPr>
                <w:rFonts w:ascii="Arial Narrow" w:eastAsia="Times New Roman" w:hAnsi="Arial Narrow" w:cs="Arial Narrow"/>
                <w:sz w:val="20"/>
                <w:szCs w:val="20"/>
              </w:rPr>
              <w:t>Journal of the American Academy of Dermatology 2016; 75(1):113-125.e5</w:t>
            </w:r>
            <w:r w:rsidRPr="005709F0">
              <w:t xml:space="preserve"> </w:t>
            </w:r>
          </w:p>
        </w:tc>
      </w:tr>
      <w:tr w:rsidR="00A81621" w:rsidRPr="005709F0" w:rsidTr="000E32AC">
        <w:tc>
          <w:tcPr>
            <w:tcW w:w="718" w:type="pct"/>
            <w:vMerge/>
            <w:tcBorders>
              <w:left w:val="single" w:sz="4" w:space="0" w:color="auto"/>
              <w:right w:val="single" w:sz="4" w:space="0" w:color="auto"/>
            </w:tcBorders>
          </w:tcPr>
          <w:p w:rsidR="00A81621" w:rsidRPr="005709F0" w:rsidRDefault="00A81621" w:rsidP="0056640A">
            <w:pPr>
              <w:pStyle w:val="TableText1"/>
              <w:keepNext w:val="0"/>
              <w:spacing w:before="0" w:after="0"/>
              <w:rPr>
                <w:rFonts w:cs="Arial"/>
                <w:lang w:eastAsia="en-AU"/>
              </w:rPr>
            </w:pPr>
          </w:p>
        </w:tc>
        <w:tc>
          <w:tcPr>
            <w:tcW w:w="2107" w:type="pct"/>
            <w:tcBorders>
              <w:top w:val="nil"/>
              <w:left w:val="single" w:sz="4" w:space="0" w:color="auto"/>
              <w:bottom w:val="nil"/>
              <w:right w:val="single" w:sz="4" w:space="0" w:color="auto"/>
            </w:tcBorders>
          </w:tcPr>
          <w:p w:rsidR="00A81621" w:rsidRPr="005709F0" w:rsidRDefault="00A81621" w:rsidP="0056640A">
            <w:pPr>
              <w:pStyle w:val="TableText1"/>
              <w:spacing w:before="0" w:after="0"/>
              <w:rPr>
                <w:u w:val="single"/>
              </w:rPr>
            </w:pPr>
            <w:r w:rsidRPr="005709F0">
              <w:t>Casey, et al. FDA approval summary: Sonidegib for locally advanced basal cell carcinoma.</w:t>
            </w:r>
          </w:p>
        </w:tc>
        <w:tc>
          <w:tcPr>
            <w:tcW w:w="2175" w:type="pct"/>
            <w:tcBorders>
              <w:top w:val="nil"/>
              <w:left w:val="single" w:sz="4" w:space="0" w:color="auto"/>
              <w:bottom w:val="nil"/>
              <w:right w:val="single" w:sz="4" w:space="0" w:color="auto"/>
            </w:tcBorders>
          </w:tcPr>
          <w:p w:rsidR="00A81621" w:rsidRPr="005709F0" w:rsidRDefault="00A81621" w:rsidP="0056640A">
            <w:pPr>
              <w:pStyle w:val="TableText1"/>
              <w:spacing w:before="0" w:after="0"/>
            </w:pPr>
            <w:r w:rsidRPr="005709F0">
              <w:t>Clinical Cancer Research; Ahead of print Jan 10th 2017</w:t>
            </w:r>
          </w:p>
        </w:tc>
      </w:tr>
      <w:tr w:rsidR="00A81621" w:rsidRPr="005709F0" w:rsidTr="000E32AC">
        <w:tc>
          <w:tcPr>
            <w:tcW w:w="718" w:type="pct"/>
            <w:vMerge/>
            <w:tcBorders>
              <w:left w:val="single" w:sz="4" w:space="0" w:color="auto"/>
              <w:right w:val="single" w:sz="4" w:space="0" w:color="auto"/>
            </w:tcBorders>
          </w:tcPr>
          <w:p w:rsidR="00A81621" w:rsidRPr="005709F0" w:rsidRDefault="00A81621" w:rsidP="0056640A">
            <w:pPr>
              <w:pStyle w:val="TableText1"/>
              <w:keepNext w:val="0"/>
              <w:spacing w:before="0" w:after="0"/>
              <w:rPr>
                <w:rFonts w:cs="Arial"/>
                <w:lang w:eastAsia="en-AU"/>
              </w:rPr>
            </w:pPr>
          </w:p>
        </w:tc>
        <w:tc>
          <w:tcPr>
            <w:tcW w:w="2107" w:type="pct"/>
            <w:tcBorders>
              <w:top w:val="nil"/>
              <w:left w:val="single" w:sz="4" w:space="0" w:color="auto"/>
              <w:bottom w:val="nil"/>
              <w:right w:val="single" w:sz="4" w:space="0" w:color="auto"/>
            </w:tcBorders>
          </w:tcPr>
          <w:p w:rsidR="00A81621" w:rsidRPr="005709F0" w:rsidRDefault="00A81621" w:rsidP="0056640A">
            <w:pPr>
              <w:pStyle w:val="TableText1"/>
              <w:spacing w:before="0" w:after="0"/>
            </w:pPr>
            <w:r w:rsidRPr="005709F0">
              <w:t xml:space="preserve">Chen, et al. Sonidegib for the treatment of advanced basal cell carcinoma: A comprehensive review of sonidegib and the BOLT trial with 12-month update. </w:t>
            </w:r>
          </w:p>
        </w:tc>
        <w:tc>
          <w:tcPr>
            <w:tcW w:w="2175" w:type="pct"/>
            <w:tcBorders>
              <w:top w:val="nil"/>
              <w:left w:val="single" w:sz="4" w:space="0" w:color="auto"/>
              <w:bottom w:val="nil"/>
              <w:right w:val="single" w:sz="4" w:space="0" w:color="auto"/>
            </w:tcBorders>
          </w:tcPr>
          <w:p w:rsidR="00A81621" w:rsidRPr="005709F0" w:rsidRDefault="00A81621" w:rsidP="0056640A">
            <w:pPr>
              <w:pStyle w:val="TableText1"/>
              <w:spacing w:before="0" w:after="0"/>
            </w:pPr>
            <w:r w:rsidRPr="005709F0">
              <w:t>Future Oncology 2016; 12(18):2095-2105</w:t>
            </w:r>
          </w:p>
        </w:tc>
      </w:tr>
      <w:tr w:rsidR="00A81621" w:rsidRPr="005709F0" w:rsidTr="000E32AC">
        <w:tc>
          <w:tcPr>
            <w:tcW w:w="718" w:type="pct"/>
            <w:vMerge/>
            <w:tcBorders>
              <w:left w:val="single" w:sz="4" w:space="0" w:color="auto"/>
              <w:bottom w:val="single" w:sz="4" w:space="0" w:color="auto"/>
              <w:right w:val="single" w:sz="4" w:space="0" w:color="auto"/>
            </w:tcBorders>
          </w:tcPr>
          <w:p w:rsidR="00A81621" w:rsidRPr="005709F0" w:rsidRDefault="00A81621" w:rsidP="0056640A">
            <w:pPr>
              <w:pStyle w:val="TableText1"/>
              <w:keepNext w:val="0"/>
              <w:spacing w:before="0" w:after="0"/>
              <w:rPr>
                <w:rFonts w:cs="Arial"/>
                <w:lang w:eastAsia="en-AU"/>
              </w:rPr>
            </w:pPr>
          </w:p>
        </w:tc>
        <w:tc>
          <w:tcPr>
            <w:tcW w:w="2107" w:type="pct"/>
            <w:tcBorders>
              <w:top w:val="nil"/>
              <w:left w:val="single" w:sz="4" w:space="0" w:color="auto"/>
              <w:bottom w:val="single" w:sz="4" w:space="0" w:color="auto"/>
              <w:right w:val="single" w:sz="4" w:space="0" w:color="auto"/>
            </w:tcBorders>
          </w:tcPr>
          <w:p w:rsidR="00A81621" w:rsidRPr="005709F0" w:rsidRDefault="00A81621" w:rsidP="0056640A">
            <w:pPr>
              <w:pStyle w:val="TableText1"/>
              <w:spacing w:before="0" w:after="0"/>
              <w:rPr>
                <w:u w:val="single"/>
              </w:rPr>
            </w:pPr>
            <w:r w:rsidRPr="005709F0">
              <w:t xml:space="preserve">Zhou, et al. Exposure-response analysis of sonidegib (LDE225), an oral Inhibitor of the hedgehog signalling pathway, for effectiveness and safety in patients with advanced solid tumours. </w:t>
            </w:r>
          </w:p>
        </w:tc>
        <w:tc>
          <w:tcPr>
            <w:tcW w:w="2175" w:type="pct"/>
            <w:tcBorders>
              <w:top w:val="nil"/>
              <w:left w:val="single" w:sz="4" w:space="0" w:color="auto"/>
              <w:bottom w:val="single" w:sz="4" w:space="0" w:color="auto"/>
              <w:right w:val="single" w:sz="4" w:space="0" w:color="auto"/>
            </w:tcBorders>
          </w:tcPr>
          <w:p w:rsidR="00A81621" w:rsidRPr="005709F0" w:rsidRDefault="00A81621" w:rsidP="0056640A">
            <w:pPr>
              <w:pStyle w:val="TableText1"/>
              <w:spacing w:before="0" w:after="0"/>
            </w:pPr>
            <w:r w:rsidRPr="005709F0">
              <w:t>Journal of Clinical Pharmacology 2016; 1406-1415</w:t>
            </w:r>
          </w:p>
        </w:tc>
      </w:tr>
      <w:tr w:rsidR="00A81621" w:rsidRPr="005709F0" w:rsidTr="000E32AC">
        <w:tc>
          <w:tcPr>
            <w:tcW w:w="5000" w:type="pct"/>
            <w:gridSpan w:val="3"/>
            <w:tcBorders>
              <w:top w:val="single" w:sz="4" w:space="0" w:color="auto"/>
              <w:left w:val="single" w:sz="4" w:space="0" w:color="auto"/>
              <w:bottom w:val="single" w:sz="4" w:space="0" w:color="auto"/>
              <w:right w:val="single" w:sz="4" w:space="0" w:color="auto"/>
            </w:tcBorders>
            <w:vAlign w:val="center"/>
          </w:tcPr>
          <w:p w:rsidR="00A81621" w:rsidRPr="005709F0" w:rsidRDefault="00A81621" w:rsidP="003E2A0B">
            <w:pPr>
              <w:pStyle w:val="TableHeading"/>
              <w:spacing w:before="0" w:after="0"/>
              <w:ind w:hanging="709"/>
              <w:rPr>
                <w:rFonts w:ascii="Arial Narrow" w:hAnsi="Arial Narrow"/>
              </w:rPr>
            </w:pPr>
            <w:r w:rsidRPr="005709F0">
              <w:rPr>
                <w:rFonts w:cs="Arial"/>
                <w:lang w:eastAsia="en-AU"/>
              </w:rPr>
              <w:t>Comparator vismodegib</w:t>
            </w:r>
          </w:p>
        </w:tc>
      </w:tr>
      <w:tr w:rsidR="00A81621" w:rsidRPr="005709F0" w:rsidTr="000E32AC">
        <w:tc>
          <w:tcPr>
            <w:tcW w:w="718" w:type="pct"/>
            <w:tcBorders>
              <w:top w:val="single" w:sz="4" w:space="0" w:color="auto"/>
              <w:left w:val="single" w:sz="4" w:space="0" w:color="auto"/>
              <w:bottom w:val="single" w:sz="4" w:space="0" w:color="auto"/>
              <w:right w:val="single" w:sz="4" w:space="0" w:color="auto"/>
            </w:tcBorders>
          </w:tcPr>
          <w:p w:rsidR="00A81621" w:rsidRPr="005709F0" w:rsidRDefault="00A81621" w:rsidP="0056640A">
            <w:pPr>
              <w:pStyle w:val="TableText1"/>
              <w:spacing w:before="0" w:after="0"/>
            </w:pPr>
            <w:r w:rsidRPr="005709F0">
              <w:t>ERIVANCE</w:t>
            </w:r>
          </w:p>
        </w:tc>
        <w:tc>
          <w:tcPr>
            <w:tcW w:w="2107" w:type="pct"/>
            <w:tcBorders>
              <w:top w:val="single" w:sz="4" w:space="0" w:color="auto"/>
              <w:left w:val="single" w:sz="4" w:space="0" w:color="auto"/>
              <w:bottom w:val="single" w:sz="4" w:space="0" w:color="auto"/>
              <w:right w:val="single" w:sz="4" w:space="0" w:color="auto"/>
            </w:tcBorders>
          </w:tcPr>
          <w:p w:rsidR="00A81621" w:rsidRPr="005709F0" w:rsidRDefault="00A81621" w:rsidP="0056640A">
            <w:pPr>
              <w:pStyle w:val="TableText1"/>
              <w:spacing w:before="0" w:after="0"/>
            </w:pPr>
            <w:r w:rsidRPr="005709F0">
              <w:t xml:space="preserve">Sekulic, et al. Efficacy and safety of vismodegib in advanced basal-cell carcinoma. </w:t>
            </w:r>
          </w:p>
          <w:p w:rsidR="00A81621" w:rsidRPr="005709F0" w:rsidRDefault="00A81621" w:rsidP="0056640A">
            <w:pPr>
              <w:pStyle w:val="TableText1"/>
              <w:spacing w:before="0" w:after="0"/>
            </w:pPr>
            <w:r w:rsidRPr="005709F0">
              <w:t xml:space="preserve">Sekulic, et al. Pivotal ERIVANCE basal cell carcinoma (BCC) study: 12-month update of efficacy and safety of vismodegib in advanced BCC. </w:t>
            </w:r>
          </w:p>
          <w:p w:rsidR="00A81621" w:rsidRPr="005709F0" w:rsidRDefault="00A81621" w:rsidP="0056640A">
            <w:pPr>
              <w:pStyle w:val="TableText1"/>
              <w:spacing w:before="0" w:after="0"/>
            </w:pPr>
            <w:r w:rsidRPr="005709F0">
              <w:t>Sekulic, et al. Long-term safety and efficacy of vismodegib in patients with advanced basal cell carcinoma: final update of the pivotal ERIVANCE BCC study.</w:t>
            </w:r>
          </w:p>
          <w:p w:rsidR="00A81621" w:rsidRPr="005709F0" w:rsidRDefault="00A81621" w:rsidP="0056640A">
            <w:pPr>
              <w:pStyle w:val="TableText1"/>
              <w:spacing w:before="0" w:after="0"/>
            </w:pPr>
            <w:r w:rsidRPr="005709F0">
              <w:t xml:space="preserve">Axelson, et al. U.S. Food and Drug Administration approval: Vismodegib for recurrent, locally advanced, or metastatic basal cell carcinoma. </w:t>
            </w:r>
          </w:p>
          <w:p w:rsidR="00A81621" w:rsidRPr="005709F0" w:rsidRDefault="00A81621" w:rsidP="0056640A">
            <w:pPr>
              <w:pStyle w:val="TableText1"/>
              <w:spacing w:before="0" w:after="0"/>
            </w:pPr>
            <w:r w:rsidRPr="005709F0">
              <w:t xml:space="preserve">Dessinioti, et al. Vismodegib for the treatment of basal cell carcinoma: Results and implications of the ERIVANCE BCC trial. </w:t>
            </w:r>
          </w:p>
          <w:p w:rsidR="00A81621" w:rsidRPr="005709F0" w:rsidRDefault="00A81621" w:rsidP="0056640A">
            <w:pPr>
              <w:pStyle w:val="TableText1"/>
              <w:spacing w:before="0" w:after="0"/>
            </w:pPr>
            <w:r w:rsidRPr="005709F0">
              <w:t xml:space="preserve">Dreno, et al. Clinical benefit assessment of vismodegib therapy in patients with advanced basal cell carcinoma. </w:t>
            </w:r>
          </w:p>
        </w:tc>
        <w:tc>
          <w:tcPr>
            <w:tcW w:w="2175" w:type="pct"/>
            <w:tcBorders>
              <w:top w:val="single" w:sz="4" w:space="0" w:color="auto"/>
              <w:left w:val="single" w:sz="4" w:space="0" w:color="auto"/>
              <w:bottom w:val="single" w:sz="4" w:space="0" w:color="auto"/>
              <w:right w:val="single" w:sz="4" w:space="0" w:color="auto"/>
            </w:tcBorders>
          </w:tcPr>
          <w:p w:rsidR="00A81621" w:rsidRPr="005709F0" w:rsidRDefault="00A81621" w:rsidP="0056640A">
            <w:pPr>
              <w:pStyle w:val="TableText1"/>
              <w:spacing w:before="0" w:after="0"/>
            </w:pPr>
            <w:r w:rsidRPr="005709F0">
              <w:t>New England Journal of Medicine 2012; 366:23 (2171-2179).</w:t>
            </w:r>
          </w:p>
          <w:p w:rsidR="00A81621" w:rsidRPr="005709F0" w:rsidRDefault="00A81621" w:rsidP="0056640A">
            <w:pPr>
              <w:pStyle w:val="TableText1"/>
              <w:spacing w:before="0" w:after="0"/>
            </w:pPr>
            <w:r w:rsidRPr="005709F0">
              <w:t>Journal of the American Academy of Dermatology 2015; 72(6):1021-1026.e8</w:t>
            </w:r>
          </w:p>
          <w:p w:rsidR="00A81621" w:rsidRPr="005709F0" w:rsidRDefault="00A81621" w:rsidP="0056640A">
            <w:pPr>
              <w:pStyle w:val="TableText1"/>
              <w:spacing w:before="0" w:after="0"/>
            </w:pPr>
          </w:p>
          <w:p w:rsidR="00E054BF" w:rsidRPr="005709F0" w:rsidRDefault="00E054BF" w:rsidP="0056640A">
            <w:pPr>
              <w:pStyle w:val="TableText1"/>
              <w:spacing w:before="0" w:after="0"/>
            </w:pPr>
          </w:p>
          <w:p w:rsidR="00A81621" w:rsidRPr="005709F0" w:rsidRDefault="00A81621" w:rsidP="0056640A">
            <w:pPr>
              <w:pStyle w:val="TableText1"/>
              <w:spacing w:before="0" w:after="0"/>
            </w:pPr>
            <w:r w:rsidRPr="005709F0">
              <w:t xml:space="preserve">BioMed Central Cancer 2017; 17:332 </w:t>
            </w:r>
          </w:p>
          <w:p w:rsidR="00A81621" w:rsidRPr="005709F0" w:rsidRDefault="00A81621" w:rsidP="0056640A">
            <w:pPr>
              <w:pStyle w:val="TableText1"/>
              <w:spacing w:before="0" w:after="0"/>
            </w:pPr>
          </w:p>
          <w:p w:rsidR="00A81621" w:rsidRPr="005709F0" w:rsidRDefault="00A81621" w:rsidP="0056640A">
            <w:pPr>
              <w:pStyle w:val="TableText1"/>
              <w:spacing w:before="0" w:after="0"/>
            </w:pPr>
          </w:p>
          <w:p w:rsidR="00A81621" w:rsidRPr="005709F0" w:rsidRDefault="00A81621" w:rsidP="0056640A">
            <w:pPr>
              <w:pStyle w:val="TableText1"/>
              <w:spacing w:before="0" w:after="0"/>
            </w:pPr>
          </w:p>
          <w:p w:rsidR="00A81621" w:rsidRPr="005709F0" w:rsidRDefault="00A81621" w:rsidP="0056640A">
            <w:pPr>
              <w:pStyle w:val="TableText1"/>
              <w:spacing w:before="0" w:after="0"/>
            </w:pPr>
            <w:r w:rsidRPr="005709F0">
              <w:t>Clinical Cancer Research 2013; 19(9):2289-2293</w:t>
            </w:r>
          </w:p>
          <w:p w:rsidR="00A81621" w:rsidRPr="005709F0" w:rsidRDefault="00A81621" w:rsidP="0056640A">
            <w:pPr>
              <w:pStyle w:val="TableText1"/>
              <w:spacing w:before="0" w:after="0"/>
            </w:pPr>
          </w:p>
          <w:p w:rsidR="00A81621" w:rsidRPr="005709F0" w:rsidRDefault="00A81621" w:rsidP="0056640A">
            <w:pPr>
              <w:pStyle w:val="TableText1"/>
              <w:spacing w:before="0" w:after="0"/>
            </w:pPr>
          </w:p>
          <w:p w:rsidR="00A81621" w:rsidRPr="005709F0" w:rsidRDefault="00A81621" w:rsidP="0056640A">
            <w:pPr>
              <w:pStyle w:val="TableText1"/>
              <w:spacing w:before="0" w:after="0"/>
            </w:pPr>
            <w:r w:rsidRPr="005709F0">
              <w:t>Future Oncology 2014; 10 (6):927-936</w:t>
            </w:r>
          </w:p>
          <w:p w:rsidR="00A81621" w:rsidRPr="005709F0" w:rsidRDefault="00A81621" w:rsidP="0056640A">
            <w:pPr>
              <w:pStyle w:val="TableText1"/>
              <w:spacing w:before="0" w:after="0"/>
            </w:pPr>
          </w:p>
          <w:p w:rsidR="00A81621" w:rsidRPr="005709F0" w:rsidRDefault="00A81621" w:rsidP="0056640A">
            <w:pPr>
              <w:pStyle w:val="TableText1"/>
              <w:spacing w:before="0" w:after="0"/>
            </w:pPr>
          </w:p>
          <w:p w:rsidR="00A81621" w:rsidRPr="005709F0" w:rsidRDefault="00A81621" w:rsidP="0056640A">
            <w:pPr>
              <w:pStyle w:val="TableText1"/>
              <w:spacing w:before="0" w:after="0"/>
            </w:pPr>
            <w:r w:rsidRPr="005709F0">
              <w:t>Oncologist 2014; 19 (8):790-796</w:t>
            </w:r>
          </w:p>
        </w:tc>
      </w:tr>
      <w:tr w:rsidR="00A81621" w:rsidRPr="005709F0" w:rsidTr="000E32AC">
        <w:tc>
          <w:tcPr>
            <w:tcW w:w="718" w:type="pct"/>
            <w:tcBorders>
              <w:top w:val="single" w:sz="4" w:space="0" w:color="auto"/>
              <w:left w:val="single" w:sz="4" w:space="0" w:color="auto"/>
              <w:bottom w:val="single" w:sz="4" w:space="0" w:color="auto"/>
              <w:right w:val="single" w:sz="4" w:space="0" w:color="auto"/>
            </w:tcBorders>
          </w:tcPr>
          <w:p w:rsidR="00A81621" w:rsidRPr="005709F0" w:rsidRDefault="00A81621" w:rsidP="0056640A">
            <w:pPr>
              <w:pStyle w:val="TableText1"/>
              <w:spacing w:before="0" w:after="0"/>
              <w:rPr>
                <w:color w:val="000000"/>
              </w:rPr>
            </w:pPr>
            <w:r w:rsidRPr="005709F0">
              <w:rPr>
                <w:rFonts w:cs="Arial"/>
                <w:lang w:eastAsia="en-AU"/>
              </w:rPr>
              <w:t>STEVIE</w:t>
            </w:r>
          </w:p>
        </w:tc>
        <w:tc>
          <w:tcPr>
            <w:tcW w:w="2107" w:type="pct"/>
            <w:tcBorders>
              <w:top w:val="single" w:sz="4" w:space="0" w:color="auto"/>
              <w:left w:val="single" w:sz="4" w:space="0" w:color="auto"/>
              <w:bottom w:val="single" w:sz="4" w:space="0" w:color="auto"/>
              <w:right w:val="single" w:sz="4" w:space="0" w:color="auto"/>
            </w:tcBorders>
          </w:tcPr>
          <w:p w:rsidR="00A81621" w:rsidRPr="005709F0" w:rsidRDefault="00A81621" w:rsidP="0056640A">
            <w:pPr>
              <w:pStyle w:val="TableText1"/>
              <w:spacing w:before="0" w:after="0"/>
            </w:pPr>
            <w:r w:rsidRPr="005709F0">
              <w:t>Basset-Seguin, Hauschild, Grob, et al (2015) Vismodegib in patients with advanced basal cell carcinoma (STEVIE): A pre-planned ): a pre-planned interim analysis of an international, open-label trial</w:t>
            </w:r>
          </w:p>
          <w:p w:rsidR="00A81621" w:rsidRPr="005709F0" w:rsidRDefault="00A81621" w:rsidP="0056640A">
            <w:pPr>
              <w:pStyle w:val="TableText1"/>
              <w:spacing w:before="0" w:after="0"/>
              <w:rPr>
                <w:color w:val="000000"/>
                <w:u w:val="single"/>
              </w:rPr>
            </w:pPr>
          </w:p>
          <w:p w:rsidR="00A81621" w:rsidRPr="005709F0" w:rsidRDefault="00A81621" w:rsidP="0056640A">
            <w:pPr>
              <w:pStyle w:val="TableText1"/>
              <w:spacing w:before="0" w:after="0"/>
              <w:rPr>
                <w:color w:val="000000"/>
              </w:rPr>
            </w:pPr>
            <w:r w:rsidRPr="005709F0">
              <w:rPr>
                <w:color w:val="000000"/>
                <w:u w:val="single"/>
              </w:rPr>
              <w:t xml:space="preserve">Updated STEVIE data </w:t>
            </w:r>
          </w:p>
          <w:p w:rsidR="00A81621" w:rsidRPr="005709F0" w:rsidRDefault="00A81621" w:rsidP="0056640A">
            <w:pPr>
              <w:pStyle w:val="TableText1"/>
              <w:spacing w:before="0" w:after="0"/>
              <w:rPr>
                <w:color w:val="000000"/>
              </w:rPr>
            </w:pPr>
            <w:r w:rsidRPr="005709F0">
              <w:t xml:space="preserve">Abstract 9532: </w:t>
            </w:r>
            <w:r w:rsidRPr="005709F0">
              <w:rPr>
                <w:color w:val="000000"/>
              </w:rPr>
              <w:t>Hanson, et al. Vismodegib (VISMO), a hedgehog pathway inhibitor (HPI), in advanced basal cell carcinoma (aBCC): STEVIE study primary analysis in 1215 patients (pts)</w:t>
            </w:r>
          </w:p>
        </w:tc>
        <w:tc>
          <w:tcPr>
            <w:tcW w:w="2175" w:type="pct"/>
            <w:tcBorders>
              <w:top w:val="single" w:sz="4" w:space="0" w:color="auto"/>
              <w:left w:val="single" w:sz="4" w:space="0" w:color="auto"/>
              <w:bottom w:val="single" w:sz="4" w:space="0" w:color="auto"/>
              <w:right w:val="single" w:sz="4" w:space="0" w:color="auto"/>
            </w:tcBorders>
          </w:tcPr>
          <w:p w:rsidR="00A81621" w:rsidRPr="005709F0" w:rsidRDefault="00A81621" w:rsidP="00E054BF">
            <w:pPr>
              <w:spacing w:before="0" w:after="0"/>
              <w:rPr>
                <w:rFonts w:ascii="Arial Narrow" w:hAnsi="Arial Narrow"/>
                <w:sz w:val="20"/>
              </w:rPr>
            </w:pPr>
            <w:r w:rsidRPr="005709F0">
              <w:rPr>
                <w:rFonts w:ascii="Arial Narrow" w:hAnsi="Arial Narrow"/>
                <w:sz w:val="20"/>
              </w:rPr>
              <w:t>The Lancet 2015; 16(6):729-736</w:t>
            </w:r>
          </w:p>
          <w:p w:rsidR="00A81621" w:rsidRPr="005709F0" w:rsidRDefault="00A81621" w:rsidP="00E054BF">
            <w:pPr>
              <w:rPr>
                <w:rFonts w:ascii="Arial Narrow" w:hAnsi="Arial Narrow"/>
                <w:sz w:val="20"/>
              </w:rPr>
            </w:pPr>
          </w:p>
          <w:p w:rsidR="00A81621" w:rsidRPr="005709F0" w:rsidRDefault="00A81621" w:rsidP="00E054BF">
            <w:pPr>
              <w:rPr>
                <w:rFonts w:ascii="Arial Narrow" w:hAnsi="Arial Narrow"/>
                <w:sz w:val="20"/>
              </w:rPr>
            </w:pPr>
          </w:p>
          <w:p w:rsidR="002C7359" w:rsidRPr="005709F0" w:rsidRDefault="002C7359" w:rsidP="00E054BF">
            <w:pPr>
              <w:spacing w:before="0" w:after="0"/>
              <w:rPr>
                <w:rFonts w:ascii="Arial Narrow" w:hAnsi="Arial Narrow"/>
                <w:sz w:val="20"/>
              </w:rPr>
            </w:pPr>
          </w:p>
          <w:p w:rsidR="002C7359" w:rsidRPr="005709F0" w:rsidRDefault="002C7359" w:rsidP="00E054BF">
            <w:pPr>
              <w:spacing w:before="0" w:after="0"/>
              <w:rPr>
                <w:rFonts w:ascii="Arial Narrow" w:hAnsi="Arial Narrow"/>
                <w:sz w:val="20"/>
              </w:rPr>
            </w:pPr>
          </w:p>
          <w:p w:rsidR="00A81621" w:rsidRPr="005709F0" w:rsidRDefault="00A81621" w:rsidP="002C7359">
            <w:pPr>
              <w:spacing w:before="0" w:after="0"/>
              <w:rPr>
                <w:rFonts w:ascii="Arial Narrow" w:hAnsi="Arial Narrow"/>
                <w:sz w:val="20"/>
              </w:rPr>
            </w:pPr>
            <w:r w:rsidRPr="005709F0">
              <w:rPr>
                <w:rFonts w:ascii="Arial Narrow" w:hAnsi="Arial Narrow"/>
                <w:sz w:val="20"/>
              </w:rPr>
              <w:t>Journal of Clinical Oncology/American Society of Clinical Oncology 2016</w:t>
            </w:r>
            <w:r w:rsidR="002C7359" w:rsidRPr="005709F0">
              <w:rPr>
                <w:rFonts w:ascii="Arial Narrow" w:hAnsi="Arial Narrow"/>
                <w:sz w:val="20"/>
              </w:rPr>
              <w:t xml:space="preserve"> (</w:t>
            </w:r>
            <w:r w:rsidRPr="005709F0">
              <w:rPr>
                <w:rFonts w:ascii="Arial Narrow" w:hAnsi="Arial Narrow"/>
                <w:sz w:val="20"/>
              </w:rPr>
              <w:t>http://ascopubs.org/doi/abs/10.1200/JCO.2016.34.15_suppl.9532</w:t>
            </w:r>
            <w:r w:rsidR="002C7359" w:rsidRPr="005709F0">
              <w:rPr>
                <w:rFonts w:ascii="Arial Narrow" w:hAnsi="Arial Narrow"/>
                <w:sz w:val="20"/>
              </w:rPr>
              <w:t>)</w:t>
            </w:r>
          </w:p>
        </w:tc>
      </w:tr>
      <w:tr w:rsidR="00A81621" w:rsidRPr="005709F0" w:rsidTr="000E32AC">
        <w:tc>
          <w:tcPr>
            <w:tcW w:w="718" w:type="pct"/>
            <w:tcBorders>
              <w:top w:val="single" w:sz="4" w:space="0" w:color="auto"/>
              <w:left w:val="single" w:sz="4" w:space="0" w:color="auto"/>
              <w:bottom w:val="single" w:sz="4" w:space="0" w:color="auto"/>
              <w:right w:val="single" w:sz="4" w:space="0" w:color="auto"/>
            </w:tcBorders>
          </w:tcPr>
          <w:p w:rsidR="00A81621" w:rsidRPr="005709F0" w:rsidRDefault="00A81621" w:rsidP="0056640A">
            <w:pPr>
              <w:pStyle w:val="TableText1"/>
              <w:spacing w:before="0" w:after="0"/>
              <w:rPr>
                <w:color w:val="000000"/>
              </w:rPr>
            </w:pPr>
            <w:r w:rsidRPr="005709F0">
              <w:rPr>
                <w:noProof/>
              </w:rPr>
              <w:t>Chang et al (2014)</w:t>
            </w:r>
          </w:p>
        </w:tc>
        <w:tc>
          <w:tcPr>
            <w:tcW w:w="2107" w:type="pct"/>
            <w:tcBorders>
              <w:top w:val="single" w:sz="4" w:space="0" w:color="auto"/>
              <w:left w:val="single" w:sz="4" w:space="0" w:color="auto"/>
              <w:bottom w:val="single" w:sz="4" w:space="0" w:color="auto"/>
              <w:right w:val="single" w:sz="4" w:space="0" w:color="auto"/>
            </w:tcBorders>
          </w:tcPr>
          <w:p w:rsidR="00A81621" w:rsidRPr="005709F0" w:rsidRDefault="00A81621" w:rsidP="0056640A">
            <w:pPr>
              <w:pStyle w:val="TableText1"/>
              <w:spacing w:before="0" w:after="0"/>
              <w:rPr>
                <w:color w:val="000000"/>
              </w:rPr>
            </w:pPr>
            <w:r w:rsidRPr="005709F0">
              <w:t>Chang, Solomon, Hainsworth, et al (2014) Expanded access study of patients with advanced basal cell carcinoma treated with the Hedgehog pathway inhibitor, vismodegib.</w:t>
            </w:r>
          </w:p>
        </w:tc>
        <w:tc>
          <w:tcPr>
            <w:tcW w:w="2175" w:type="pct"/>
            <w:tcBorders>
              <w:top w:val="single" w:sz="4" w:space="0" w:color="auto"/>
              <w:left w:val="single" w:sz="4" w:space="0" w:color="auto"/>
              <w:bottom w:val="single" w:sz="4" w:space="0" w:color="auto"/>
              <w:right w:val="single" w:sz="4" w:space="0" w:color="auto"/>
            </w:tcBorders>
          </w:tcPr>
          <w:p w:rsidR="00A81621" w:rsidRPr="005709F0" w:rsidRDefault="00A81621" w:rsidP="0056640A">
            <w:pPr>
              <w:pStyle w:val="TableText1"/>
              <w:spacing w:before="0" w:after="0"/>
            </w:pPr>
            <w:r w:rsidRPr="005709F0">
              <w:t>Journal of The American Academy of Dermatology 2014; 70(1):60-69.</w:t>
            </w:r>
          </w:p>
        </w:tc>
      </w:tr>
    </w:tbl>
    <w:p w:rsidR="00A81621" w:rsidRPr="005709F0" w:rsidRDefault="00A81621" w:rsidP="00A81621">
      <w:pPr>
        <w:pStyle w:val="TableFooter"/>
      </w:pPr>
      <w:r w:rsidRPr="005709F0">
        <w:t>Source: Table 2.2-3, pp35-6 of the main body of the submission and an independent search of the literature.</w:t>
      </w:r>
    </w:p>
    <w:p w:rsidR="00A81621" w:rsidRPr="005709F0" w:rsidRDefault="00A81621" w:rsidP="00860DC8">
      <w:pPr>
        <w:pStyle w:val="ListParagraph"/>
        <w:numPr>
          <w:ilvl w:val="1"/>
          <w:numId w:val="3"/>
        </w:numPr>
        <w:spacing w:before="0" w:after="120"/>
      </w:pPr>
      <w:r w:rsidRPr="005709F0">
        <w:t xml:space="preserve">The key features of the studies included in the naïve indirect comparison are summarised in the table below.  </w:t>
      </w:r>
    </w:p>
    <w:p w:rsidR="002E5343" w:rsidRDefault="002E5343">
      <w:pPr>
        <w:spacing w:before="0" w:line="259" w:lineRule="auto"/>
        <w:jc w:val="left"/>
        <w:rPr>
          <w:rFonts w:ascii="Arial Narrow" w:hAnsi="Arial Narrow"/>
          <w:b/>
          <w:sz w:val="20"/>
        </w:rPr>
      </w:pPr>
      <w:r>
        <w:br w:type="page"/>
      </w:r>
    </w:p>
    <w:p w:rsidR="00A81621" w:rsidRPr="005709F0" w:rsidRDefault="00A81621" w:rsidP="00A81621">
      <w:pPr>
        <w:pStyle w:val="TableHeading0"/>
      </w:pPr>
      <w:r w:rsidRPr="005709F0">
        <w:t xml:space="preserve">Table </w:t>
      </w:r>
      <w:r w:rsidR="003814F3" w:rsidRPr="005709F0">
        <w:t>3</w:t>
      </w:r>
      <w:r w:rsidRPr="005709F0">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1"/>
        <w:gridCol w:w="1313"/>
        <w:gridCol w:w="1875"/>
        <w:gridCol w:w="1035"/>
        <w:gridCol w:w="2071"/>
        <w:gridCol w:w="1557"/>
      </w:tblGrid>
      <w:tr w:rsidR="00A81621" w:rsidRPr="005709F0" w:rsidTr="00423EB0">
        <w:trPr>
          <w:tblHeader/>
        </w:trPr>
        <w:tc>
          <w:tcPr>
            <w:tcW w:w="678" w:type="pct"/>
            <w:shd w:val="clear" w:color="auto" w:fill="auto"/>
            <w:vAlign w:val="center"/>
          </w:tcPr>
          <w:p w:rsidR="00A81621" w:rsidRPr="005709F0" w:rsidRDefault="0091768C" w:rsidP="0056640A">
            <w:pPr>
              <w:pStyle w:val="TableText"/>
              <w:rPr>
                <w:b/>
              </w:rPr>
            </w:pPr>
            <w:r w:rsidRPr="005709F0">
              <w:rPr>
                <w:b/>
              </w:rPr>
              <w:t>Study</w:t>
            </w:r>
          </w:p>
        </w:tc>
        <w:tc>
          <w:tcPr>
            <w:tcW w:w="723" w:type="pct"/>
            <w:shd w:val="clear" w:color="auto" w:fill="auto"/>
            <w:vAlign w:val="center"/>
          </w:tcPr>
          <w:p w:rsidR="00A81621" w:rsidRPr="005709F0" w:rsidRDefault="00A81621" w:rsidP="0056640A">
            <w:pPr>
              <w:pStyle w:val="TableText"/>
              <w:rPr>
                <w:b/>
              </w:rPr>
            </w:pPr>
            <w:r w:rsidRPr="005709F0">
              <w:rPr>
                <w:b/>
              </w:rPr>
              <w:t>N</w:t>
            </w:r>
          </w:p>
        </w:tc>
        <w:tc>
          <w:tcPr>
            <w:tcW w:w="1032" w:type="pct"/>
            <w:shd w:val="clear" w:color="auto" w:fill="auto"/>
            <w:vAlign w:val="center"/>
          </w:tcPr>
          <w:p w:rsidR="00A81621" w:rsidRPr="005709F0" w:rsidRDefault="00A81621" w:rsidP="00B54100">
            <w:pPr>
              <w:pStyle w:val="TableText"/>
              <w:jc w:val="left"/>
              <w:rPr>
                <w:b/>
              </w:rPr>
            </w:pPr>
            <w:r w:rsidRPr="005709F0">
              <w:rPr>
                <w:b/>
              </w:rPr>
              <w:t xml:space="preserve">Design/ duration of follow-up </w:t>
            </w:r>
            <w:r w:rsidRPr="005709F0">
              <w:rPr>
                <w:vertAlign w:val="superscript"/>
              </w:rPr>
              <w:t>e</w:t>
            </w:r>
          </w:p>
        </w:tc>
        <w:tc>
          <w:tcPr>
            <w:tcW w:w="570" w:type="pct"/>
            <w:shd w:val="clear" w:color="auto" w:fill="auto"/>
            <w:vAlign w:val="center"/>
          </w:tcPr>
          <w:p w:rsidR="00A81621" w:rsidRPr="005709F0" w:rsidRDefault="00A81621" w:rsidP="0056640A">
            <w:pPr>
              <w:pStyle w:val="TableText"/>
              <w:rPr>
                <w:b/>
              </w:rPr>
            </w:pPr>
            <w:r w:rsidRPr="005709F0">
              <w:rPr>
                <w:b/>
              </w:rPr>
              <w:t>Risk of bias</w:t>
            </w:r>
          </w:p>
        </w:tc>
        <w:tc>
          <w:tcPr>
            <w:tcW w:w="1140" w:type="pct"/>
            <w:shd w:val="clear" w:color="auto" w:fill="auto"/>
            <w:vAlign w:val="center"/>
          </w:tcPr>
          <w:p w:rsidR="00A81621" w:rsidRPr="005709F0" w:rsidRDefault="00A81621" w:rsidP="0056640A">
            <w:pPr>
              <w:pStyle w:val="TableText"/>
              <w:rPr>
                <w:b/>
              </w:rPr>
            </w:pPr>
            <w:r w:rsidRPr="005709F0">
              <w:rPr>
                <w:b/>
              </w:rPr>
              <w:t>Patient population</w:t>
            </w:r>
          </w:p>
        </w:tc>
        <w:tc>
          <w:tcPr>
            <w:tcW w:w="857" w:type="pct"/>
            <w:shd w:val="clear" w:color="auto" w:fill="auto"/>
            <w:vAlign w:val="center"/>
          </w:tcPr>
          <w:p w:rsidR="00A81621" w:rsidRPr="005709F0" w:rsidRDefault="00A81621" w:rsidP="0056640A">
            <w:pPr>
              <w:pStyle w:val="TableText"/>
              <w:rPr>
                <w:b/>
              </w:rPr>
            </w:pPr>
            <w:r w:rsidRPr="005709F0">
              <w:rPr>
                <w:b/>
              </w:rPr>
              <w:t>Outcome(s)</w:t>
            </w:r>
          </w:p>
        </w:tc>
      </w:tr>
      <w:tr w:rsidR="00A81621" w:rsidRPr="005709F0" w:rsidTr="0056640A">
        <w:tc>
          <w:tcPr>
            <w:tcW w:w="5000" w:type="pct"/>
            <w:gridSpan w:val="6"/>
            <w:shd w:val="clear" w:color="auto" w:fill="auto"/>
            <w:vAlign w:val="center"/>
          </w:tcPr>
          <w:p w:rsidR="00A81621" w:rsidRPr="005709F0" w:rsidRDefault="00A81621" w:rsidP="005D03E6">
            <w:pPr>
              <w:pStyle w:val="TableText"/>
            </w:pPr>
            <w:r w:rsidRPr="005709F0">
              <w:t>Sonidegib study</w:t>
            </w:r>
            <w:r w:rsidR="005D03E6">
              <w:t xml:space="preserve"> (200 mg once daily arm)</w:t>
            </w:r>
          </w:p>
        </w:tc>
      </w:tr>
      <w:tr w:rsidR="00A81621" w:rsidRPr="005709F0" w:rsidTr="00423EB0">
        <w:tc>
          <w:tcPr>
            <w:tcW w:w="678" w:type="pct"/>
            <w:shd w:val="clear" w:color="auto" w:fill="auto"/>
            <w:vAlign w:val="center"/>
          </w:tcPr>
          <w:p w:rsidR="00A81621" w:rsidRPr="005709F0" w:rsidRDefault="00A81621" w:rsidP="0056640A">
            <w:pPr>
              <w:pStyle w:val="TableText"/>
              <w:rPr>
                <w:rFonts w:ascii="Times" w:eastAsia="Times New Roman" w:hAnsi="Times" w:cs="Times New Roman"/>
              </w:rPr>
            </w:pPr>
            <w:r w:rsidRPr="005709F0">
              <w:t>BOLT</w:t>
            </w:r>
          </w:p>
        </w:tc>
        <w:tc>
          <w:tcPr>
            <w:tcW w:w="723" w:type="pct"/>
            <w:shd w:val="clear" w:color="auto" w:fill="auto"/>
            <w:vAlign w:val="center"/>
          </w:tcPr>
          <w:p w:rsidR="00A81621" w:rsidRPr="005709F0" w:rsidRDefault="00A81621" w:rsidP="0056640A">
            <w:pPr>
              <w:pStyle w:val="TableText"/>
            </w:pPr>
            <w:r w:rsidRPr="005709F0">
              <w:t>pEAS</w:t>
            </w:r>
            <w:r w:rsidRPr="005709F0">
              <w:rPr>
                <w:vertAlign w:val="superscript"/>
              </w:rPr>
              <w:t>a</w:t>
            </w:r>
            <w:r w:rsidRPr="005709F0">
              <w:t xml:space="preserve"> N=55</w:t>
            </w:r>
          </w:p>
          <w:p w:rsidR="00A81621" w:rsidRPr="005709F0" w:rsidRDefault="00A81621" w:rsidP="0056640A">
            <w:pPr>
              <w:pStyle w:val="TableText"/>
              <w:rPr>
                <w:rFonts w:ascii="Times" w:eastAsia="Times New Roman" w:hAnsi="Times" w:cs="Times New Roman"/>
              </w:rPr>
            </w:pPr>
            <w:r w:rsidRPr="005709F0">
              <w:t>FAS</w:t>
            </w:r>
            <w:r w:rsidRPr="005709F0">
              <w:rPr>
                <w:vertAlign w:val="superscript"/>
              </w:rPr>
              <w:t>b</w:t>
            </w:r>
            <w:r w:rsidRPr="005709F0">
              <w:t xml:space="preserve"> N=79</w:t>
            </w:r>
          </w:p>
        </w:tc>
        <w:tc>
          <w:tcPr>
            <w:tcW w:w="1032" w:type="pct"/>
            <w:shd w:val="clear" w:color="auto" w:fill="auto"/>
            <w:vAlign w:val="center"/>
          </w:tcPr>
          <w:p w:rsidR="00A81621" w:rsidRPr="005709F0" w:rsidRDefault="00A81621" w:rsidP="00B552FE">
            <w:pPr>
              <w:pStyle w:val="TableText"/>
              <w:jc w:val="left"/>
              <w:rPr>
                <w:rFonts w:ascii="Times" w:eastAsia="Times New Roman" w:hAnsi="Times" w:cs="Times New Roman"/>
              </w:rPr>
            </w:pPr>
            <w:r w:rsidRPr="005709F0">
              <w:t>SA</w:t>
            </w:r>
            <w:r w:rsidRPr="005709F0">
              <w:rPr>
                <w:vertAlign w:val="superscript"/>
              </w:rPr>
              <w:t xml:space="preserve">c </w:t>
            </w:r>
            <w:r w:rsidR="00304558" w:rsidRPr="005709F0">
              <w:t>Centra</w:t>
            </w:r>
            <w:r w:rsidR="00B552FE" w:rsidRPr="005709F0">
              <w:t xml:space="preserve">l and Investigator review </w:t>
            </w:r>
            <w:r w:rsidRPr="005709F0">
              <w:br/>
              <w:t>12, 18 and 30 mths</w:t>
            </w:r>
          </w:p>
        </w:tc>
        <w:tc>
          <w:tcPr>
            <w:tcW w:w="570" w:type="pct"/>
            <w:shd w:val="clear" w:color="auto" w:fill="auto"/>
            <w:vAlign w:val="center"/>
          </w:tcPr>
          <w:p w:rsidR="00A81621" w:rsidRPr="005709F0" w:rsidRDefault="00A81621" w:rsidP="0056640A">
            <w:pPr>
              <w:pStyle w:val="TableText"/>
              <w:rPr>
                <w:rFonts w:ascii="Times" w:eastAsia="Times New Roman" w:hAnsi="Times" w:cs="Times New Roman"/>
              </w:rPr>
            </w:pPr>
            <w:r w:rsidRPr="005709F0">
              <w:t>High</w:t>
            </w:r>
          </w:p>
        </w:tc>
        <w:tc>
          <w:tcPr>
            <w:tcW w:w="1140" w:type="pct"/>
            <w:shd w:val="clear" w:color="auto" w:fill="auto"/>
            <w:vAlign w:val="center"/>
          </w:tcPr>
          <w:p w:rsidR="00A81621" w:rsidRPr="005709F0" w:rsidRDefault="00A81621" w:rsidP="0056640A">
            <w:pPr>
              <w:pStyle w:val="TableText"/>
              <w:rPr>
                <w:rFonts w:ascii="Times" w:eastAsia="Times New Roman" w:hAnsi="Times" w:cs="Times New Roman"/>
              </w:rPr>
            </w:pPr>
            <w:r w:rsidRPr="005709F0">
              <w:t>laBCC and mBCC who are ineligible/contraindicated for curative surgery or radiotherapy</w:t>
            </w:r>
          </w:p>
        </w:tc>
        <w:tc>
          <w:tcPr>
            <w:tcW w:w="857" w:type="pct"/>
            <w:shd w:val="clear" w:color="auto" w:fill="auto"/>
            <w:vAlign w:val="center"/>
          </w:tcPr>
          <w:p w:rsidR="00A81621" w:rsidRPr="005709F0" w:rsidRDefault="00A81621" w:rsidP="0056640A">
            <w:pPr>
              <w:pStyle w:val="TableText"/>
              <w:rPr>
                <w:rFonts w:ascii="Times" w:eastAsia="Times New Roman" w:hAnsi="Times" w:cs="Times New Roman"/>
              </w:rPr>
            </w:pPr>
            <w:r w:rsidRPr="005709F0">
              <w:t>ORR, TTR, DOR, PFS, AEs</w:t>
            </w:r>
          </w:p>
        </w:tc>
      </w:tr>
      <w:tr w:rsidR="00A81621" w:rsidRPr="005709F0" w:rsidTr="0056640A">
        <w:tc>
          <w:tcPr>
            <w:tcW w:w="5000" w:type="pct"/>
            <w:gridSpan w:val="6"/>
            <w:shd w:val="clear" w:color="auto" w:fill="auto"/>
            <w:vAlign w:val="center"/>
          </w:tcPr>
          <w:p w:rsidR="00A81621" w:rsidRPr="005709F0" w:rsidRDefault="00A81621" w:rsidP="00B552FE">
            <w:pPr>
              <w:pStyle w:val="TableText"/>
              <w:jc w:val="left"/>
              <w:rPr>
                <w:rFonts w:ascii="Times" w:eastAsia="Times New Roman" w:hAnsi="Times" w:cs="Times New Roman"/>
              </w:rPr>
            </w:pPr>
            <w:r w:rsidRPr="005709F0">
              <w:t>Vismodegib single arm studies</w:t>
            </w:r>
          </w:p>
        </w:tc>
      </w:tr>
      <w:tr w:rsidR="00A81621" w:rsidRPr="005709F0" w:rsidTr="00423EB0">
        <w:tc>
          <w:tcPr>
            <w:tcW w:w="678" w:type="pct"/>
            <w:shd w:val="clear" w:color="auto" w:fill="auto"/>
            <w:vAlign w:val="center"/>
          </w:tcPr>
          <w:p w:rsidR="00A81621" w:rsidRPr="005709F0" w:rsidRDefault="00A81621" w:rsidP="0056640A">
            <w:pPr>
              <w:pStyle w:val="TableText"/>
              <w:rPr>
                <w:rFonts w:ascii="Times" w:eastAsia="Times New Roman" w:hAnsi="Times" w:cs="Times New Roman"/>
              </w:rPr>
            </w:pPr>
            <w:r w:rsidRPr="005709F0">
              <w:t>ERIVANCE</w:t>
            </w:r>
          </w:p>
        </w:tc>
        <w:tc>
          <w:tcPr>
            <w:tcW w:w="723" w:type="pct"/>
            <w:shd w:val="clear" w:color="auto" w:fill="auto"/>
            <w:vAlign w:val="center"/>
          </w:tcPr>
          <w:p w:rsidR="00A81621" w:rsidRPr="005709F0" w:rsidRDefault="00A81621" w:rsidP="0056640A">
            <w:pPr>
              <w:pStyle w:val="TableText"/>
            </w:pPr>
            <w:r w:rsidRPr="005709F0">
              <w:t>96</w:t>
            </w:r>
          </w:p>
        </w:tc>
        <w:tc>
          <w:tcPr>
            <w:tcW w:w="1032" w:type="pct"/>
            <w:shd w:val="clear" w:color="auto" w:fill="auto"/>
            <w:vAlign w:val="center"/>
          </w:tcPr>
          <w:p w:rsidR="00A81621" w:rsidRPr="005709F0" w:rsidRDefault="00A81621" w:rsidP="00B552FE">
            <w:pPr>
              <w:pStyle w:val="TableText"/>
              <w:jc w:val="left"/>
            </w:pPr>
            <w:r w:rsidRPr="005709F0">
              <w:t>SA, OL</w:t>
            </w:r>
            <w:r w:rsidRPr="005709F0">
              <w:br/>
              <w:t>12 and 30</w:t>
            </w:r>
            <w:r w:rsidR="00B552FE" w:rsidRPr="005709F0">
              <w:t xml:space="preserve"> </w:t>
            </w:r>
            <w:r w:rsidRPr="005709F0">
              <w:t>mths</w:t>
            </w:r>
          </w:p>
        </w:tc>
        <w:tc>
          <w:tcPr>
            <w:tcW w:w="570" w:type="pct"/>
            <w:shd w:val="clear" w:color="auto" w:fill="auto"/>
            <w:vAlign w:val="center"/>
          </w:tcPr>
          <w:p w:rsidR="00A81621" w:rsidRPr="005709F0" w:rsidRDefault="00A81621" w:rsidP="0056640A">
            <w:pPr>
              <w:pStyle w:val="TableText"/>
            </w:pPr>
            <w:r w:rsidRPr="005709F0">
              <w:t>High</w:t>
            </w:r>
          </w:p>
        </w:tc>
        <w:tc>
          <w:tcPr>
            <w:tcW w:w="1140" w:type="pct"/>
            <w:shd w:val="clear" w:color="auto" w:fill="auto"/>
            <w:vAlign w:val="center"/>
          </w:tcPr>
          <w:p w:rsidR="00A81621" w:rsidRPr="005709F0" w:rsidRDefault="00A81621" w:rsidP="0056640A">
            <w:pPr>
              <w:pStyle w:val="TableText"/>
            </w:pPr>
            <w:r w:rsidRPr="005709F0">
              <w:t>As above</w:t>
            </w:r>
          </w:p>
        </w:tc>
        <w:tc>
          <w:tcPr>
            <w:tcW w:w="857" w:type="pct"/>
            <w:shd w:val="clear" w:color="auto" w:fill="auto"/>
            <w:vAlign w:val="center"/>
          </w:tcPr>
          <w:p w:rsidR="00A81621" w:rsidRPr="005709F0" w:rsidRDefault="00A81621" w:rsidP="0056640A">
            <w:pPr>
              <w:pStyle w:val="TableText"/>
            </w:pPr>
            <w:r w:rsidRPr="005709F0">
              <w:t>ORR, DOR, PFS, AEs</w:t>
            </w:r>
          </w:p>
        </w:tc>
      </w:tr>
      <w:tr w:rsidR="00A81621" w:rsidRPr="005709F0" w:rsidTr="00423EB0">
        <w:tc>
          <w:tcPr>
            <w:tcW w:w="678" w:type="pct"/>
            <w:shd w:val="clear" w:color="auto" w:fill="auto"/>
            <w:vAlign w:val="center"/>
          </w:tcPr>
          <w:p w:rsidR="00A81621" w:rsidRPr="005709F0" w:rsidRDefault="00A81621" w:rsidP="0056640A">
            <w:pPr>
              <w:pStyle w:val="TableText"/>
              <w:rPr>
                <w:rFonts w:ascii="Times" w:eastAsia="Times New Roman" w:hAnsi="Times" w:cs="Times New Roman"/>
              </w:rPr>
            </w:pPr>
            <w:r w:rsidRPr="005709F0">
              <w:t>STEVIE</w:t>
            </w:r>
          </w:p>
        </w:tc>
        <w:tc>
          <w:tcPr>
            <w:tcW w:w="723" w:type="pct"/>
            <w:shd w:val="clear" w:color="auto" w:fill="auto"/>
            <w:vAlign w:val="center"/>
          </w:tcPr>
          <w:p w:rsidR="00A81621" w:rsidRPr="005709F0" w:rsidRDefault="00A81621" w:rsidP="00F76A51">
            <w:pPr>
              <w:pStyle w:val="TableText"/>
            </w:pPr>
            <w:r w:rsidRPr="005709F0">
              <w:t>482</w:t>
            </w:r>
            <w:r w:rsidRPr="005709F0">
              <w:rPr>
                <w:vertAlign w:val="superscript"/>
              </w:rPr>
              <w:t>d</w:t>
            </w:r>
            <w:r w:rsidR="00657FC3" w:rsidRPr="005709F0">
              <w:rPr>
                <w:vertAlign w:val="superscript"/>
              </w:rPr>
              <w:t>,</w:t>
            </w:r>
            <w:r w:rsidR="00F76A51" w:rsidRPr="005709F0">
              <w:rPr>
                <w:vertAlign w:val="superscript"/>
              </w:rPr>
              <w:t xml:space="preserve"> f</w:t>
            </w:r>
          </w:p>
        </w:tc>
        <w:tc>
          <w:tcPr>
            <w:tcW w:w="1032" w:type="pct"/>
            <w:shd w:val="clear" w:color="auto" w:fill="auto"/>
            <w:vAlign w:val="center"/>
          </w:tcPr>
          <w:p w:rsidR="00A81621" w:rsidRPr="005709F0" w:rsidRDefault="00A81621" w:rsidP="00B552FE">
            <w:pPr>
              <w:pStyle w:val="TableText"/>
              <w:jc w:val="left"/>
            </w:pPr>
            <w:r w:rsidRPr="005709F0">
              <w:t>SA, OL</w:t>
            </w:r>
            <w:r w:rsidRPr="005709F0">
              <w:br/>
              <w:t>12 mths</w:t>
            </w:r>
          </w:p>
        </w:tc>
        <w:tc>
          <w:tcPr>
            <w:tcW w:w="570" w:type="pct"/>
            <w:shd w:val="clear" w:color="auto" w:fill="auto"/>
            <w:vAlign w:val="center"/>
          </w:tcPr>
          <w:p w:rsidR="00A81621" w:rsidRPr="005709F0" w:rsidRDefault="00A81621" w:rsidP="0056640A">
            <w:pPr>
              <w:pStyle w:val="TableText"/>
            </w:pPr>
            <w:r w:rsidRPr="005709F0">
              <w:t>High</w:t>
            </w:r>
          </w:p>
        </w:tc>
        <w:tc>
          <w:tcPr>
            <w:tcW w:w="1140" w:type="pct"/>
            <w:shd w:val="clear" w:color="auto" w:fill="auto"/>
            <w:vAlign w:val="center"/>
          </w:tcPr>
          <w:p w:rsidR="00A81621" w:rsidRPr="005709F0" w:rsidRDefault="00A81621" w:rsidP="0056640A">
            <w:pPr>
              <w:pStyle w:val="TableText"/>
            </w:pPr>
            <w:r w:rsidRPr="005709F0">
              <w:t>As above</w:t>
            </w:r>
          </w:p>
        </w:tc>
        <w:tc>
          <w:tcPr>
            <w:tcW w:w="857" w:type="pct"/>
            <w:shd w:val="clear" w:color="auto" w:fill="auto"/>
            <w:vAlign w:val="center"/>
          </w:tcPr>
          <w:p w:rsidR="00A81621" w:rsidRPr="005709F0" w:rsidRDefault="00A81621" w:rsidP="0056640A">
            <w:pPr>
              <w:pStyle w:val="TableText"/>
            </w:pPr>
            <w:r w:rsidRPr="005709F0">
              <w:t>ORR, TTR, DOR, PFS, AEs</w:t>
            </w:r>
          </w:p>
        </w:tc>
      </w:tr>
      <w:tr w:rsidR="00A81621" w:rsidRPr="005709F0" w:rsidTr="00423EB0">
        <w:tc>
          <w:tcPr>
            <w:tcW w:w="678" w:type="pct"/>
            <w:shd w:val="clear" w:color="auto" w:fill="auto"/>
            <w:vAlign w:val="center"/>
          </w:tcPr>
          <w:p w:rsidR="00A81621" w:rsidRPr="005709F0" w:rsidRDefault="00A81621" w:rsidP="0056640A">
            <w:pPr>
              <w:pStyle w:val="TableText"/>
            </w:pPr>
            <w:r w:rsidRPr="005709F0">
              <w:t>EAS (Chang 2014)</w:t>
            </w:r>
          </w:p>
        </w:tc>
        <w:tc>
          <w:tcPr>
            <w:tcW w:w="723" w:type="pct"/>
            <w:shd w:val="clear" w:color="auto" w:fill="auto"/>
            <w:vAlign w:val="center"/>
          </w:tcPr>
          <w:p w:rsidR="00A81621" w:rsidRPr="005709F0" w:rsidRDefault="00A81621" w:rsidP="0056640A">
            <w:pPr>
              <w:pStyle w:val="TableText"/>
            </w:pPr>
            <w:r w:rsidRPr="005709F0">
              <w:t>95</w:t>
            </w:r>
            <w:r w:rsidR="00F76A51" w:rsidRPr="005709F0">
              <w:rPr>
                <w:vertAlign w:val="superscript"/>
              </w:rPr>
              <w:t xml:space="preserve"> f</w:t>
            </w:r>
          </w:p>
        </w:tc>
        <w:tc>
          <w:tcPr>
            <w:tcW w:w="1032" w:type="pct"/>
            <w:shd w:val="clear" w:color="auto" w:fill="auto"/>
            <w:vAlign w:val="center"/>
          </w:tcPr>
          <w:p w:rsidR="00A81621" w:rsidRPr="005709F0" w:rsidRDefault="00A81621" w:rsidP="00B552FE">
            <w:pPr>
              <w:pStyle w:val="TableText"/>
              <w:jc w:val="left"/>
            </w:pPr>
            <w:r w:rsidRPr="005709F0">
              <w:t>SA, OL</w:t>
            </w:r>
            <w:r w:rsidRPr="005709F0">
              <w:br/>
              <w:t>unclear</w:t>
            </w:r>
          </w:p>
        </w:tc>
        <w:tc>
          <w:tcPr>
            <w:tcW w:w="570" w:type="pct"/>
            <w:shd w:val="clear" w:color="auto" w:fill="auto"/>
            <w:vAlign w:val="center"/>
          </w:tcPr>
          <w:p w:rsidR="00A81621" w:rsidRPr="005709F0" w:rsidRDefault="00A81621" w:rsidP="0056640A">
            <w:pPr>
              <w:pStyle w:val="TableText"/>
            </w:pPr>
            <w:r w:rsidRPr="005709F0">
              <w:t>High</w:t>
            </w:r>
          </w:p>
        </w:tc>
        <w:tc>
          <w:tcPr>
            <w:tcW w:w="1140" w:type="pct"/>
            <w:shd w:val="clear" w:color="auto" w:fill="auto"/>
            <w:vAlign w:val="center"/>
          </w:tcPr>
          <w:p w:rsidR="00A81621" w:rsidRPr="005709F0" w:rsidRDefault="00A81621" w:rsidP="0056640A">
            <w:pPr>
              <w:pStyle w:val="TableText"/>
            </w:pPr>
            <w:r w:rsidRPr="005709F0">
              <w:t>As above</w:t>
            </w:r>
          </w:p>
        </w:tc>
        <w:tc>
          <w:tcPr>
            <w:tcW w:w="857" w:type="pct"/>
            <w:shd w:val="clear" w:color="auto" w:fill="auto"/>
            <w:vAlign w:val="center"/>
          </w:tcPr>
          <w:p w:rsidR="00A81621" w:rsidRPr="005709F0" w:rsidRDefault="00A81621" w:rsidP="0056640A">
            <w:pPr>
              <w:pStyle w:val="TableText"/>
            </w:pPr>
            <w:r w:rsidRPr="005709F0">
              <w:t>ORR, TTR, DOR, PFS, AEs</w:t>
            </w:r>
          </w:p>
        </w:tc>
      </w:tr>
    </w:tbl>
    <w:p w:rsidR="001A697B" w:rsidRPr="005709F0" w:rsidRDefault="00423EB0" w:rsidP="001A697B">
      <w:pPr>
        <w:pStyle w:val="TableFooter"/>
      </w:pPr>
      <w:r w:rsidRPr="005709F0">
        <w:t xml:space="preserve">AEs = adverse events; DOR = duration of response; </w:t>
      </w:r>
      <w:r w:rsidR="001A697B" w:rsidRPr="005709F0">
        <w:t xml:space="preserve">OL=open label; </w:t>
      </w:r>
      <w:r w:rsidRPr="005709F0">
        <w:t xml:space="preserve">ORR = objective response rate; </w:t>
      </w:r>
      <w:r w:rsidR="001A697B" w:rsidRPr="005709F0">
        <w:t xml:space="preserve">PFS=progression-free survival; </w:t>
      </w:r>
      <w:r w:rsidRPr="005709F0">
        <w:t>SA = single arm; TTR = time to tumour response</w:t>
      </w:r>
      <w:r w:rsidR="001A697B" w:rsidRPr="005709F0">
        <w:t>.</w:t>
      </w:r>
    </w:p>
    <w:p w:rsidR="00A81621" w:rsidRPr="005709F0" w:rsidRDefault="00A81621" w:rsidP="00A81621">
      <w:pPr>
        <w:pStyle w:val="TableFooter"/>
      </w:pPr>
      <w:r w:rsidRPr="005709F0">
        <w:rPr>
          <w:vertAlign w:val="superscript"/>
        </w:rPr>
        <w:t>a</w:t>
      </w:r>
      <w:r w:rsidRPr="005709F0">
        <w:t xml:space="preserve"> Primary efficacy analysis set</w:t>
      </w:r>
    </w:p>
    <w:p w:rsidR="00A81621" w:rsidRPr="005709F0" w:rsidRDefault="00A81621" w:rsidP="00A81621">
      <w:pPr>
        <w:pStyle w:val="TableFooter"/>
      </w:pPr>
      <w:r w:rsidRPr="005709F0">
        <w:rPr>
          <w:vertAlign w:val="superscript"/>
        </w:rPr>
        <w:t>b</w:t>
      </w:r>
      <w:r w:rsidRPr="005709F0">
        <w:t xml:space="preserve"> Full analysis set</w:t>
      </w:r>
    </w:p>
    <w:p w:rsidR="00A81621" w:rsidRPr="005709F0" w:rsidRDefault="00A81621" w:rsidP="00A81621">
      <w:pPr>
        <w:pStyle w:val="TableFooter"/>
      </w:pPr>
      <w:r w:rsidRPr="005709F0">
        <w:rPr>
          <w:vertAlign w:val="superscript"/>
        </w:rPr>
        <w:t>c</w:t>
      </w:r>
      <w:r w:rsidRPr="005709F0">
        <w:t xml:space="preserve"> </w:t>
      </w:r>
      <w:r w:rsidR="00B552FE" w:rsidRPr="005709F0">
        <w:t>BOLT</w:t>
      </w:r>
      <w:r w:rsidRPr="005709F0">
        <w:t xml:space="preserve"> is a RCT assessing the recommended (200</w:t>
      </w:r>
      <w:r w:rsidR="00043FCA" w:rsidRPr="005709F0">
        <w:t> </w:t>
      </w:r>
      <w:r w:rsidRPr="005709F0">
        <w:t>mg once daily) and non-recommended (800</w:t>
      </w:r>
      <w:r w:rsidR="00B552FE" w:rsidRPr="005709F0">
        <w:t> </w:t>
      </w:r>
      <w:r w:rsidRPr="005709F0">
        <w:t>mg once daily) doses of sonidegib.</w:t>
      </w:r>
      <w:r w:rsidRPr="005709F0">
        <w:rPr>
          <w:b/>
        </w:rPr>
        <w:t xml:space="preserve"> </w:t>
      </w:r>
      <w:r w:rsidRPr="005709F0">
        <w:t>The evaluation considers BOLT as a single arm study of 200</w:t>
      </w:r>
      <w:r w:rsidR="00043FCA" w:rsidRPr="005709F0">
        <w:t> </w:t>
      </w:r>
      <w:r w:rsidRPr="005709F0">
        <w:t>mg sonidegib.</w:t>
      </w:r>
    </w:p>
    <w:p w:rsidR="00A81621" w:rsidRPr="005709F0" w:rsidRDefault="00A81621" w:rsidP="00A81621">
      <w:pPr>
        <w:pStyle w:val="TableFooter"/>
      </w:pPr>
      <w:r w:rsidRPr="005709F0">
        <w:rPr>
          <w:vertAlign w:val="superscript"/>
        </w:rPr>
        <w:t>d</w:t>
      </w:r>
      <w:r w:rsidRPr="005709F0">
        <w:t xml:space="preserve"> An independent literature search identified updated final analysis for STEVIE</w:t>
      </w:r>
      <w:r w:rsidR="00435FA7" w:rsidRPr="005709F0">
        <w:rPr>
          <w:rStyle w:val="FootnoteReference"/>
        </w:rPr>
        <w:footnoteReference w:id="2"/>
      </w:r>
      <w:r w:rsidRPr="005709F0">
        <w:t>: N = 1,161 (laBCC 1,119, mBCC 96).</w:t>
      </w:r>
    </w:p>
    <w:p w:rsidR="00A81621" w:rsidRPr="005709F0" w:rsidRDefault="00A81621" w:rsidP="00A81621">
      <w:pPr>
        <w:pStyle w:val="TableFooter"/>
      </w:pPr>
      <w:r w:rsidRPr="005709F0">
        <w:rPr>
          <w:vertAlign w:val="superscript"/>
        </w:rPr>
        <w:t xml:space="preserve">e </w:t>
      </w:r>
      <w:r w:rsidRPr="005709F0">
        <w:t xml:space="preserve">The submission stated that the median duration of follow-up varied among the studies and “the difference in follow-up can be attributed to the </w:t>
      </w:r>
      <w:r w:rsidR="0091768C" w:rsidRPr="005709F0">
        <w:t>study</w:t>
      </w:r>
      <w:r w:rsidRPr="005709F0">
        <w:t xml:space="preserve"> design where treatment was continuous until disease progression or until unacceptable toxicity developed. This meant that there were no predefined follow-up time points rather a treatment cut-off time point was specified where the data was collected up to that point and then analysed”. The submission further stated (p54) that BOLT and ERIVANCE had four and three </w:t>
      </w:r>
      <w:r w:rsidR="003122C3" w:rsidRPr="005709F0">
        <w:t>data cuts</w:t>
      </w:r>
      <w:r w:rsidRPr="005709F0">
        <w:t>, respectively (BOLT: primary, 12-month, 18-month and 30-month time points; ERIVANCE: primary, 12-month and 30-month time points), and STEVIE and EAS had one cut-off point (STEVIE: When approximately 1,200 patients had been followed for at least one year; EAS (Chang, 2014): No pre-specified efficacy analysis time point could be verified for this study). These “time points” were used in the submission for naïve indirect comparisons between sonidegib and vismodegib on the basis that they represent “comparable” periods for efficacy and safety analyses across the single arm studies. These time points are arbitrary and should be interpreted with caution.</w:t>
      </w:r>
    </w:p>
    <w:p w:rsidR="00A81621" w:rsidRPr="005709F0" w:rsidRDefault="00A81621" w:rsidP="00A81621">
      <w:pPr>
        <w:pStyle w:val="TableFooter"/>
      </w:pPr>
      <w:r w:rsidRPr="005709F0">
        <w:t>In terms of missing data, the submission noted that BOLT and ERIVANCE were the only studies that stipulated the method for imputation of missing data. An overall response of “Unknown” was treated as a non-responder when estimating objective response rates (ORR) and complete response (CR) in both BOLT and ERIVANCE.</w:t>
      </w:r>
    </w:p>
    <w:p w:rsidR="003122C3" w:rsidRPr="005709F0" w:rsidRDefault="00F76A51" w:rsidP="00A81621">
      <w:pPr>
        <w:pStyle w:val="TableFooter"/>
      </w:pPr>
      <w:r w:rsidRPr="005709F0">
        <w:rPr>
          <w:vertAlign w:val="superscript"/>
        </w:rPr>
        <w:t>f</w:t>
      </w:r>
      <w:r w:rsidR="00B552FE" w:rsidRPr="005709F0">
        <w:rPr>
          <w:vertAlign w:val="superscript"/>
        </w:rPr>
        <w:t xml:space="preserve"> </w:t>
      </w:r>
      <w:r w:rsidRPr="005709F0">
        <w:t>These are the analysis sets used for effectiveness. Baseline data were provided for a large</w:t>
      </w:r>
      <w:r w:rsidR="00B552FE" w:rsidRPr="005709F0">
        <w:t xml:space="preserve">r dataset for STEVIE (N = 499) </w:t>
      </w:r>
      <w:r w:rsidRPr="005709F0">
        <w:t>and EAS (N = 119)</w:t>
      </w:r>
    </w:p>
    <w:p w:rsidR="00A81621" w:rsidRPr="005709F0" w:rsidRDefault="00A81621" w:rsidP="00A81621">
      <w:pPr>
        <w:pStyle w:val="TableFooter"/>
      </w:pPr>
      <w:r w:rsidRPr="005709F0">
        <w:t xml:space="preserve">Source: </w:t>
      </w:r>
      <w:r w:rsidR="001A697B" w:rsidRPr="005709F0">
        <w:t>C</w:t>
      </w:r>
      <w:r w:rsidRPr="005709F0">
        <w:t>ompiled during the evaluation using information from Sections 2.2, 2.3 and 2.4.</w:t>
      </w:r>
    </w:p>
    <w:p w:rsidR="00A81621" w:rsidRPr="005709F0" w:rsidRDefault="00A81621" w:rsidP="00860DC8">
      <w:pPr>
        <w:pStyle w:val="ListParagraph"/>
        <w:numPr>
          <w:ilvl w:val="1"/>
          <w:numId w:val="3"/>
        </w:numPr>
        <w:spacing w:before="0" w:after="120"/>
      </w:pPr>
      <w:r w:rsidRPr="005709F0">
        <w:t xml:space="preserve">The mean or median treatment durations provided in the submission were based on multiple arbitrary analysis time points rather than on a complete follow-up time point. Approximately </w:t>
      </w:r>
      <w:r w:rsidR="00246360">
        <w:rPr>
          <w:noProof/>
          <w:color w:val="000000"/>
          <w:highlight w:val="black"/>
        </w:rPr>
        <w:t>''''''</w:t>
      </w:r>
      <w:r w:rsidRPr="005709F0">
        <w:t>% of participants in BOLT were still on sonidegib at the latest data cut-off (</w:t>
      </w:r>
      <w:r w:rsidR="00246360">
        <w:rPr>
          <w:noProof/>
          <w:color w:val="000000"/>
          <w:highlight w:val="black"/>
        </w:rPr>
        <w:t>'''''''''''''' '''''''''''''''''' ''''''''' ''''''''''''''''</w:t>
      </w:r>
      <w:r w:rsidRPr="005709F0">
        <w:t>).</w:t>
      </w:r>
    </w:p>
    <w:p w:rsidR="00A81621" w:rsidRPr="005709F0" w:rsidRDefault="00A81621" w:rsidP="00860DC8">
      <w:pPr>
        <w:pStyle w:val="ListParagraph"/>
        <w:numPr>
          <w:ilvl w:val="1"/>
          <w:numId w:val="3"/>
        </w:numPr>
        <w:spacing w:before="0" w:after="120"/>
      </w:pPr>
      <w:r w:rsidRPr="005709F0">
        <w:t>The single arm nature of the studies introduces a high risk of measurement bias. The sonidegib and vismodegib studies differed in terms of design (use of different criteria for measuring overall response in BOLT such as modified RECIST (mRECIST)</w:t>
      </w:r>
      <w:r w:rsidRPr="005709F0">
        <w:rPr>
          <w:rStyle w:val="FootnoteReference"/>
        </w:rPr>
        <w:footnoteReference w:id="3"/>
      </w:r>
      <w:r w:rsidRPr="005709F0">
        <w:t xml:space="preserve"> criteria for laBCC patients and the use of different analysis sets). mRECIST criteria (non-existent during the conduct of the vismodegib studies) were developed to adequately assess response in patients with laBCC that were associated with features which were not adequately covered by RECIST 1.1 criteria, such as scarring/fibrosis and ulceration and would be expected to be more stringent compared to the criteria used in the vismodegib studies. </w:t>
      </w:r>
      <w:r w:rsidR="009C5C6E" w:rsidRPr="005709F0">
        <w:t>The BOLT study protocol also pre</w:t>
      </w:r>
      <w:r w:rsidR="00D44960" w:rsidRPr="005709F0">
        <w:t>-</w:t>
      </w:r>
      <w:r w:rsidR="009C5C6E" w:rsidRPr="005709F0">
        <w:t xml:space="preserve">specified that response </w:t>
      </w:r>
      <w:r w:rsidR="00D44960" w:rsidRPr="005709F0">
        <w:t xml:space="preserve">would </w:t>
      </w:r>
      <w:r w:rsidR="009C5C6E" w:rsidRPr="005709F0">
        <w:t xml:space="preserve">be reassessed using ERIVANCE-like criteria. ERIVANCE used a composite response to incorporate both clinical and RECIST criteria. </w:t>
      </w:r>
    </w:p>
    <w:p w:rsidR="00A81621" w:rsidRPr="005709F0" w:rsidRDefault="00A81621" w:rsidP="00860DC8">
      <w:pPr>
        <w:pStyle w:val="ListParagraph"/>
        <w:numPr>
          <w:ilvl w:val="1"/>
          <w:numId w:val="3"/>
        </w:numPr>
        <w:spacing w:before="0" w:after="120"/>
      </w:pPr>
      <w:r w:rsidRPr="005709F0">
        <w:t xml:space="preserve">Baseline data varied considerably across the studies </w:t>
      </w:r>
      <w:r w:rsidR="00A840EC">
        <w:t>and this</w:t>
      </w:r>
      <w:r w:rsidR="00A840EC" w:rsidRPr="005709F0">
        <w:t xml:space="preserve"> </w:t>
      </w:r>
      <w:r w:rsidRPr="005709F0">
        <w:t>raise</w:t>
      </w:r>
      <w:r w:rsidR="00D44960" w:rsidRPr="005709F0">
        <w:t>d</w:t>
      </w:r>
      <w:r w:rsidRPr="005709F0">
        <w:t xml:space="preserve"> concerns regarding the </w:t>
      </w:r>
      <w:r w:rsidR="00A840EC">
        <w:t>validity</w:t>
      </w:r>
      <w:r w:rsidR="00A840EC" w:rsidRPr="005709F0">
        <w:t xml:space="preserve"> </w:t>
      </w:r>
      <w:r w:rsidRPr="005709F0">
        <w:t xml:space="preserve">of the naive indirect comparison. </w:t>
      </w:r>
    </w:p>
    <w:p w:rsidR="00A81621" w:rsidRPr="005709F0" w:rsidRDefault="00A81621" w:rsidP="00860DC8">
      <w:pPr>
        <w:pStyle w:val="ListParagraph"/>
        <w:numPr>
          <w:ilvl w:val="0"/>
          <w:numId w:val="8"/>
        </w:numPr>
      </w:pPr>
      <w:r w:rsidRPr="005709F0">
        <w:t xml:space="preserve">There was a lower proportion of mBCC patients in STEVIE (6%) and BOLT (16%) compared to ERIVANCE (34%) and EAS (48%). Therefore, a comparison </w:t>
      </w:r>
      <w:r w:rsidR="00A840EC">
        <w:t>of</w:t>
      </w:r>
      <w:r w:rsidR="00A840EC" w:rsidRPr="005709F0">
        <w:t xml:space="preserve"> </w:t>
      </w:r>
      <w:r w:rsidRPr="005709F0">
        <w:t xml:space="preserve">sonidegib and vismodegib using response rates for </w:t>
      </w:r>
      <w:r w:rsidR="00A840EC">
        <w:t xml:space="preserve">the </w:t>
      </w:r>
      <w:r w:rsidRPr="005709F0">
        <w:t xml:space="preserve">whole study populations are potentially </w:t>
      </w:r>
      <w:r w:rsidR="00DA0991">
        <w:t>confounded</w:t>
      </w:r>
      <w:r w:rsidRPr="005709F0">
        <w:t xml:space="preserve">. </w:t>
      </w:r>
    </w:p>
    <w:p w:rsidR="00A81621" w:rsidRPr="005709F0" w:rsidRDefault="00A81621" w:rsidP="00860DC8">
      <w:pPr>
        <w:pStyle w:val="ListParagraph"/>
        <w:numPr>
          <w:ilvl w:val="0"/>
          <w:numId w:val="8"/>
        </w:numPr>
      </w:pPr>
      <w:r w:rsidRPr="005709F0">
        <w:t xml:space="preserve">BOLT had </w:t>
      </w:r>
      <w:r w:rsidR="00DA0991">
        <w:t>a lower</w:t>
      </w:r>
      <w:r w:rsidRPr="005709F0">
        <w:t xml:space="preserve"> proportion of patients with basal cell naevus syndrome (BCNS) (4%) compared to the vismodegib studies (20%). The impact of this difference on the comparative clinical benefit of sonidegib </w:t>
      </w:r>
      <w:r w:rsidR="00B552FE" w:rsidRPr="005709F0">
        <w:t xml:space="preserve">relative to vismodegib </w:t>
      </w:r>
      <w:r w:rsidRPr="005709F0">
        <w:t>is unclear.</w:t>
      </w:r>
    </w:p>
    <w:p w:rsidR="00A81621" w:rsidRPr="005709F0" w:rsidRDefault="00A81621" w:rsidP="00860DC8">
      <w:pPr>
        <w:pStyle w:val="ListParagraph"/>
        <w:numPr>
          <w:ilvl w:val="0"/>
          <w:numId w:val="8"/>
        </w:numPr>
      </w:pPr>
      <w:r w:rsidRPr="005709F0">
        <w:t>No patients in the BOLT study had prior systemic therapy compared to 18%</w:t>
      </w:r>
      <w:r w:rsidR="00DA0991">
        <w:t xml:space="preserve"> and </w:t>
      </w:r>
      <w:r w:rsidRPr="005709F0">
        <w:t>26% in the ERIVANCE and EAS studies, respectively.</w:t>
      </w:r>
    </w:p>
    <w:p w:rsidR="00A81621" w:rsidRPr="005709F0" w:rsidRDefault="00A81621" w:rsidP="00860DC8">
      <w:pPr>
        <w:pStyle w:val="ListParagraph"/>
        <w:numPr>
          <w:ilvl w:val="1"/>
          <w:numId w:val="3"/>
        </w:numPr>
        <w:spacing w:before="0" w:after="120"/>
      </w:pPr>
      <w:r w:rsidRPr="005709F0">
        <w:t xml:space="preserve">Overall, the risk of bias associated with the indirect comparison </w:t>
      </w:r>
      <w:r w:rsidR="00D44960" w:rsidRPr="005709F0">
        <w:t>wa</w:t>
      </w:r>
      <w:r w:rsidRPr="005709F0">
        <w:t xml:space="preserve">s high. </w:t>
      </w:r>
    </w:p>
    <w:p w:rsidR="00A81621" w:rsidRPr="005709F0" w:rsidRDefault="00A81621" w:rsidP="00860DC8">
      <w:pPr>
        <w:pStyle w:val="ListParagraph"/>
        <w:numPr>
          <w:ilvl w:val="1"/>
          <w:numId w:val="3"/>
        </w:numPr>
        <w:spacing w:before="0" w:after="120"/>
      </w:pPr>
      <w:r w:rsidRPr="005709F0">
        <w:t>Data to support the effectiveness of sonidegib in mBCC were limited with only 13 patients enrolled in the 200</w:t>
      </w:r>
      <w:r w:rsidR="00B552FE" w:rsidRPr="005709F0">
        <w:t> </w:t>
      </w:r>
      <w:r w:rsidRPr="005709F0">
        <w:t>mg sonidegib arm of the BOLT study making the results unreliable.</w:t>
      </w:r>
    </w:p>
    <w:p w:rsidR="00A81621" w:rsidRPr="005709F0" w:rsidRDefault="00A81621" w:rsidP="00860DC8">
      <w:pPr>
        <w:pStyle w:val="ListParagraph"/>
        <w:numPr>
          <w:ilvl w:val="1"/>
          <w:numId w:val="3"/>
        </w:numPr>
        <w:spacing w:before="0" w:after="120"/>
      </w:pPr>
      <w:r w:rsidRPr="005709F0">
        <w:t xml:space="preserve">The key outcome measure considered for the cost minimisation analysis was </w:t>
      </w:r>
      <w:r w:rsidR="00DA0991">
        <w:t xml:space="preserve">the </w:t>
      </w:r>
      <w:r w:rsidRPr="005709F0">
        <w:t xml:space="preserve">objective response rate (ORR) that was the primary outcome in the single arm studies. The submission did not nominate a minimal clinically important difference (MCID) for ORR for the naïve indirect comparison. The lack of a MCID makes </w:t>
      </w:r>
      <w:r w:rsidR="009C5C6E" w:rsidRPr="005709F0">
        <w:t>it difficult to assess a claim of non-inferiority.</w:t>
      </w:r>
      <w:r w:rsidRPr="005709F0">
        <w:t xml:space="preserve"> </w:t>
      </w:r>
    </w:p>
    <w:p w:rsidR="00A81621" w:rsidRPr="005709F0" w:rsidRDefault="00B552FE" w:rsidP="00860DC8">
      <w:pPr>
        <w:pStyle w:val="ListParagraph"/>
        <w:numPr>
          <w:ilvl w:val="1"/>
          <w:numId w:val="3"/>
        </w:numPr>
        <w:spacing w:before="0" w:after="120"/>
      </w:pPr>
      <w:r w:rsidRPr="005709F0">
        <w:t xml:space="preserve">Determination </w:t>
      </w:r>
      <w:r w:rsidR="00A81621" w:rsidRPr="005709F0">
        <w:t>of ORR differed across the sonidegib and vismodegib studies. In BOLT, ORR was confirmed according to RECIST version. 1.1 in patients with mBCC and a protocol-specific, modified RECIST (mRECIST) for patients with laBCC. Although the vismodegib ERIVANCE study assessed ORR separately for patients in the laBCC and mBCC cohorts (as in BOLT), the criteria differed for laBCC patients. As the mRECIST criteria had not yet been developed, ERIVANCE used a composite response to incorporate both clinical and RECIST criteria. The STEVIE and EAS studies only used RECIST criteria for both mBCC or laBCC patients (v1.1 and 1.0, respectively</w:t>
      </w:r>
      <w:r w:rsidR="00A81621" w:rsidRPr="005709F0">
        <w:rPr>
          <w:rStyle w:val="FootnoteReference"/>
        </w:rPr>
        <w:footnoteReference w:id="4"/>
      </w:r>
      <w:r w:rsidR="00A81621" w:rsidRPr="005709F0">
        <w:t>). The submission</w:t>
      </w:r>
      <w:r w:rsidR="00DA0991">
        <w:t xml:space="preserve"> noted</w:t>
      </w:r>
      <w:r w:rsidR="00A81621" w:rsidRPr="005709F0">
        <w:t xml:space="preserve"> that the mRECIST criteria used in BOLT </w:t>
      </w:r>
      <w:r w:rsidR="00DA0991">
        <w:t>are</w:t>
      </w:r>
      <w:r w:rsidR="00DA0991" w:rsidRPr="005709F0">
        <w:t xml:space="preserve"> </w:t>
      </w:r>
      <w:r w:rsidR="00A81621" w:rsidRPr="005709F0">
        <w:t xml:space="preserve">more stringent compared to the criteria used in the vismodegib studies. For example, all lesions must have disappeared to qualify for a complete response (CR) in BOLT, whereas in ERIVANCE and STEVIE, only the target lesion was required to be no longer visible. While partial response (PR) was defined as a ≥ 30% decrease from baseline in the sum of longest diameters (SLD) of target lesions in all the studies, BOLT also incorporated colour photographs and required a ≥ 50% decrease in the sum of the product of perpendicular diameters (SPD) of lesions (WHO criteria). </w:t>
      </w:r>
      <w:r w:rsidR="00DA0991">
        <w:t>A</w:t>
      </w:r>
      <w:r w:rsidR="00A81621" w:rsidRPr="005709F0">
        <w:t xml:space="preserve"> sensitivity analysis was pre-specified in the sonidegib BOLT clinical study report (CSR) to assess ORR using “ERIVANCE like” criteria.</w:t>
      </w:r>
    </w:p>
    <w:p w:rsidR="00A81621" w:rsidRPr="005709F0" w:rsidRDefault="00A81621" w:rsidP="00860DC8">
      <w:pPr>
        <w:pStyle w:val="ListParagraph"/>
        <w:numPr>
          <w:ilvl w:val="1"/>
          <w:numId w:val="3"/>
        </w:numPr>
        <w:spacing w:before="0" w:after="120"/>
      </w:pPr>
      <w:r w:rsidRPr="005709F0">
        <w:t xml:space="preserve">Central versus investigator review: BOLT and ERIVANCE presented primary analyses using a central-review assessment of ORR as well as secondary analyses based on investigator review, while STEVIE and EAS only reported ORR as assessed by investigators. The submission stated that investigator-assessed ORR is usually higher than central review. </w:t>
      </w:r>
    </w:p>
    <w:p w:rsidR="00A81621" w:rsidRPr="005709F0" w:rsidRDefault="00A81621" w:rsidP="00860DC8">
      <w:pPr>
        <w:pStyle w:val="ListParagraph"/>
        <w:numPr>
          <w:ilvl w:val="1"/>
          <w:numId w:val="3"/>
        </w:numPr>
        <w:spacing w:before="0" w:after="120"/>
      </w:pPr>
      <w:r w:rsidRPr="005709F0">
        <w:t xml:space="preserve">FAS versus pEAS: In BOLT, the pEAS was planned to be the primary analysis set. pEAS was a subset of the FAS </w:t>
      </w:r>
      <w:r w:rsidR="003F0077">
        <w:t>which included</w:t>
      </w:r>
      <w:r w:rsidR="003F0077" w:rsidRPr="005709F0">
        <w:t xml:space="preserve"> </w:t>
      </w:r>
      <w:r w:rsidRPr="005709F0">
        <w:t xml:space="preserve">laBCC patients whose tumours were adequately assessed according to mRECIST by MRI or photography or both, and all patients with mBCC. The key difference between these analysis sets is that mRECIST criteria were implemented in amendment 2 of the BOLT protocol and the majority of patients with laBCC who were enrolled prior to this amendment, were not evaluable for response according to mRECIST due to lack of baseline MRI or annotated photography. Protocol amendment 4 introduced the pEAS as the primary analysis set. </w:t>
      </w:r>
    </w:p>
    <w:p w:rsidR="00740698" w:rsidRPr="005709F0" w:rsidRDefault="00EF2AE8" w:rsidP="00860DC8">
      <w:pPr>
        <w:pStyle w:val="ListParagraph"/>
        <w:numPr>
          <w:ilvl w:val="1"/>
          <w:numId w:val="3"/>
        </w:numPr>
        <w:spacing w:before="0" w:after="120"/>
      </w:pPr>
      <w:r w:rsidRPr="005709F0">
        <w:t>T</w:t>
      </w:r>
      <w:r w:rsidR="00A81621" w:rsidRPr="005709F0">
        <w:t xml:space="preserve">he submission argued that despite the differences </w:t>
      </w:r>
      <w:r w:rsidR="003F0077">
        <w:t>across</w:t>
      </w:r>
      <w:r w:rsidR="003F0077" w:rsidRPr="005709F0">
        <w:t xml:space="preserve"> </w:t>
      </w:r>
      <w:r w:rsidR="00A81621" w:rsidRPr="005709F0">
        <w:t xml:space="preserve">the studies, </w:t>
      </w:r>
      <w:r w:rsidRPr="005709F0">
        <w:t>c</w:t>
      </w:r>
      <w:r w:rsidR="00A81621" w:rsidRPr="005709F0">
        <w:t>omparison</w:t>
      </w:r>
      <w:r w:rsidRPr="005709F0">
        <w:t>s</w:t>
      </w:r>
      <w:r w:rsidR="00A81621" w:rsidRPr="005709F0">
        <w:t xml:space="preserve"> at the 9-month</w:t>
      </w:r>
      <w:r w:rsidRPr="005709F0">
        <w:t xml:space="preserve">, </w:t>
      </w:r>
      <w:r w:rsidR="00A81621" w:rsidRPr="005709F0">
        <w:t xml:space="preserve">12-month </w:t>
      </w:r>
      <w:r w:rsidRPr="005709F0">
        <w:t>and 30-month “analysis time</w:t>
      </w:r>
      <w:r w:rsidR="00F07255" w:rsidRPr="005709F0">
        <w:t>-</w:t>
      </w:r>
      <w:r w:rsidRPr="005709F0">
        <w:t>points” can be conducted using the BOLT, ERIVANCE AND STEVIE studies.</w:t>
      </w:r>
    </w:p>
    <w:p w:rsidR="00740698" w:rsidRPr="005709F0" w:rsidRDefault="003814F3" w:rsidP="00860DC8">
      <w:pPr>
        <w:pStyle w:val="ListParagraph"/>
        <w:numPr>
          <w:ilvl w:val="1"/>
          <w:numId w:val="3"/>
        </w:numPr>
        <w:spacing w:before="0" w:after="120"/>
      </w:pPr>
      <w:r w:rsidRPr="005709F0">
        <w:t>The t</w:t>
      </w:r>
      <w:r w:rsidR="00740698" w:rsidRPr="005709F0">
        <w:t>able</w:t>
      </w:r>
      <w:r w:rsidRPr="005709F0">
        <w:t xml:space="preserve"> below</w:t>
      </w:r>
      <w:r w:rsidR="00740698" w:rsidRPr="005709F0">
        <w:t xml:space="preserve"> summarises the indirect comparisons </w:t>
      </w:r>
      <w:r w:rsidR="00B54C8B" w:rsidRPr="005709F0">
        <w:t xml:space="preserve">presented </w:t>
      </w:r>
      <w:r w:rsidR="00740698" w:rsidRPr="005709F0">
        <w:t>in the submission</w:t>
      </w:r>
      <w:r w:rsidR="00271D14" w:rsidRPr="005709F0">
        <w:t xml:space="preserve"> and those </w:t>
      </w:r>
      <w:r w:rsidR="0081017E">
        <w:t>undertaken</w:t>
      </w:r>
      <w:r w:rsidR="0081017E" w:rsidRPr="005709F0">
        <w:t xml:space="preserve"> </w:t>
      </w:r>
      <w:r w:rsidR="003F0077">
        <w:t>during</w:t>
      </w:r>
      <w:r w:rsidR="003F0077" w:rsidRPr="005709F0">
        <w:t xml:space="preserve"> </w:t>
      </w:r>
      <w:r w:rsidR="00271D14" w:rsidRPr="005709F0">
        <w:t>the evaluation</w:t>
      </w:r>
      <w:r w:rsidR="00B54C8B" w:rsidRPr="005709F0">
        <w:t>.</w:t>
      </w:r>
    </w:p>
    <w:p w:rsidR="0081017E" w:rsidRDefault="00EF2AE8" w:rsidP="00860DC8">
      <w:pPr>
        <w:pStyle w:val="ListParagraph"/>
        <w:numPr>
          <w:ilvl w:val="0"/>
          <w:numId w:val="9"/>
        </w:numPr>
        <w:spacing w:before="0" w:after="120"/>
      </w:pPr>
      <w:r w:rsidRPr="005709F0">
        <w:t>The analysis time</w:t>
      </w:r>
      <w:r w:rsidR="00F07255" w:rsidRPr="005709F0">
        <w:t>-</w:t>
      </w:r>
      <w:r w:rsidRPr="005709F0">
        <w:t xml:space="preserve">points </w:t>
      </w:r>
      <w:r w:rsidR="00B54C8B" w:rsidRPr="005709F0">
        <w:t xml:space="preserve">in the submission </w:t>
      </w:r>
      <w:r w:rsidRPr="005709F0">
        <w:t xml:space="preserve">were based on </w:t>
      </w:r>
      <w:r w:rsidR="0081017E">
        <w:t>time</w:t>
      </w:r>
      <w:r w:rsidR="0081017E" w:rsidRPr="005709F0">
        <w:t xml:space="preserve"> </w:t>
      </w:r>
      <w:r w:rsidRPr="005709F0">
        <w:t>since enrolment of the last patient at a particular data cut. For example, the 12-month analysis was conducted at 50 weeks following enrolment of the last patient (data cut 31 December 2013). Thus these analysis time</w:t>
      </w:r>
      <w:r w:rsidR="00F07255" w:rsidRPr="005709F0">
        <w:t>-</w:t>
      </w:r>
      <w:r w:rsidRPr="005709F0">
        <w:t xml:space="preserve">points represent minimum follow-up periods by data cut. </w:t>
      </w:r>
      <w:r w:rsidR="00423EB0" w:rsidRPr="005709F0">
        <w:t>These time</w:t>
      </w:r>
      <w:r w:rsidR="00F07255" w:rsidRPr="005709F0">
        <w:t>-</w:t>
      </w:r>
      <w:r w:rsidR="00423EB0" w:rsidRPr="005709F0">
        <w:t xml:space="preserve">points do not necessarily represent comparable </w:t>
      </w:r>
      <w:r w:rsidR="004E035E" w:rsidRPr="005709F0">
        <w:t xml:space="preserve">median durations of </w:t>
      </w:r>
      <w:r w:rsidR="00423EB0" w:rsidRPr="005709F0">
        <w:t>follow-up across the studies</w:t>
      </w:r>
      <w:r w:rsidRPr="005709F0">
        <w:t>.</w:t>
      </w:r>
      <w:r w:rsidR="00740698" w:rsidRPr="005709F0">
        <w:t xml:space="preserve"> </w:t>
      </w:r>
    </w:p>
    <w:p w:rsidR="00A81621" w:rsidRPr="005709F0" w:rsidRDefault="00271D14" w:rsidP="00860DC8">
      <w:pPr>
        <w:pStyle w:val="ListParagraph"/>
        <w:numPr>
          <w:ilvl w:val="0"/>
          <w:numId w:val="9"/>
        </w:numPr>
        <w:spacing w:before="0" w:after="120"/>
      </w:pPr>
      <w:r w:rsidRPr="005709F0">
        <w:t>The submission presented additional analyses combining ERIVANCE and STEVIE. Due to differences between these studies in terms of measurement for response rates, th</w:t>
      </w:r>
      <w:r w:rsidR="0081017E">
        <w:t>e evaluation did not considered this</w:t>
      </w:r>
      <w:r w:rsidRPr="005709F0">
        <w:t xml:space="preserve"> </w:t>
      </w:r>
      <w:r w:rsidR="0081017E">
        <w:t xml:space="preserve">to be </w:t>
      </w:r>
      <w:r w:rsidRPr="005709F0">
        <w:t>appropriate</w:t>
      </w:r>
      <w:r w:rsidR="000656FC" w:rsidRPr="005709F0">
        <w:t>.</w:t>
      </w:r>
    </w:p>
    <w:p w:rsidR="00443FF4" w:rsidRPr="005709F0" w:rsidRDefault="00A81621" w:rsidP="00860DC8">
      <w:pPr>
        <w:pStyle w:val="ListParagraph"/>
        <w:numPr>
          <w:ilvl w:val="0"/>
          <w:numId w:val="9"/>
        </w:numPr>
      </w:pPr>
      <w:r w:rsidRPr="005709F0">
        <w:t xml:space="preserve">An alternative approach </w:t>
      </w:r>
      <w:r w:rsidR="0081017E">
        <w:t>is to</w:t>
      </w:r>
      <w:r w:rsidRPr="005709F0">
        <w:t xml:space="preserve"> compar</w:t>
      </w:r>
      <w:r w:rsidR="0081017E">
        <w:t>e</w:t>
      </w:r>
      <w:r w:rsidRPr="005709F0">
        <w:t xml:space="preserve"> sonidegib with vismodegib using the “most similar” median durations of follow-up from BOLT, ERIVANCE and STEVIE. </w:t>
      </w:r>
      <w:r w:rsidR="0081017E">
        <w:t>A comparison using t</w:t>
      </w:r>
      <w:r w:rsidR="000656FC" w:rsidRPr="005709F0">
        <w:t xml:space="preserve">he EAS study </w:t>
      </w:r>
      <w:r w:rsidR="0081017E">
        <w:t xml:space="preserve">was not possible due to the shorter </w:t>
      </w:r>
      <w:r w:rsidR="000656FC" w:rsidRPr="005709F0">
        <w:t xml:space="preserve">median duration of follow-up </w:t>
      </w:r>
      <w:r w:rsidR="0081017E">
        <w:t>(</w:t>
      </w:r>
      <w:r w:rsidR="000656FC" w:rsidRPr="005709F0">
        <w:t>6.5 months</w:t>
      </w:r>
      <w:r w:rsidR="0081017E">
        <w:t>)</w:t>
      </w:r>
      <w:r w:rsidR="00423EB0" w:rsidRPr="005709F0">
        <w:t>.</w:t>
      </w:r>
    </w:p>
    <w:p w:rsidR="00B54C8B" w:rsidRPr="005709F0" w:rsidRDefault="000656FC" w:rsidP="00860DC8">
      <w:pPr>
        <w:pStyle w:val="ListParagraph"/>
        <w:numPr>
          <w:ilvl w:val="0"/>
          <w:numId w:val="9"/>
        </w:numPr>
        <w:spacing w:before="0" w:after="120"/>
      </w:pPr>
      <w:r w:rsidRPr="005709F0">
        <w:t xml:space="preserve">There remain substantial concerns with these comparisons </w:t>
      </w:r>
      <w:r w:rsidR="00A81621" w:rsidRPr="005709F0">
        <w:t xml:space="preserve">relating to </w:t>
      </w:r>
      <w:r w:rsidR="00F07255" w:rsidRPr="005709F0">
        <w:t xml:space="preserve">a </w:t>
      </w:r>
      <w:r w:rsidRPr="005709F0">
        <w:t xml:space="preserve">lack of </w:t>
      </w:r>
      <w:r w:rsidR="00A81621" w:rsidRPr="005709F0">
        <w:t xml:space="preserve">transitivity </w:t>
      </w:r>
      <w:r w:rsidRPr="005709F0">
        <w:t xml:space="preserve">and </w:t>
      </w:r>
      <w:r w:rsidR="00F07255" w:rsidRPr="005709F0">
        <w:t xml:space="preserve">as such </w:t>
      </w:r>
      <w:r w:rsidRPr="005709F0">
        <w:t xml:space="preserve">they </w:t>
      </w:r>
      <w:r w:rsidR="00A81621" w:rsidRPr="005709F0">
        <w:t xml:space="preserve">should be </w:t>
      </w:r>
      <w:r w:rsidRPr="005709F0">
        <w:t xml:space="preserve">interpreted </w:t>
      </w:r>
      <w:r w:rsidR="00A81621" w:rsidRPr="005709F0">
        <w:t xml:space="preserve">with a high degree of caution. </w:t>
      </w:r>
    </w:p>
    <w:p w:rsidR="00D14FA6" w:rsidRDefault="00D14FA6">
      <w:pPr>
        <w:spacing w:before="0" w:line="259" w:lineRule="auto"/>
        <w:jc w:val="left"/>
        <w:rPr>
          <w:rFonts w:ascii="Arial Narrow" w:hAnsi="Arial Narrow"/>
          <w:b/>
          <w:bCs/>
          <w:sz w:val="20"/>
          <w:szCs w:val="20"/>
        </w:rPr>
      </w:pPr>
      <w:r>
        <w:rPr>
          <w:rFonts w:ascii="Arial Narrow" w:hAnsi="Arial Narrow"/>
          <w:b/>
          <w:bCs/>
          <w:sz w:val="20"/>
          <w:szCs w:val="20"/>
        </w:rPr>
        <w:br w:type="page"/>
      </w:r>
    </w:p>
    <w:p w:rsidR="00B54C8B" w:rsidRPr="005709F0" w:rsidRDefault="00B54C8B" w:rsidP="00B54C8B">
      <w:pPr>
        <w:spacing w:before="0" w:after="0"/>
        <w:rPr>
          <w:rFonts w:ascii="Arial Narrow" w:hAnsi="Arial Narrow"/>
          <w:b/>
          <w:bCs/>
          <w:sz w:val="20"/>
          <w:szCs w:val="20"/>
        </w:rPr>
      </w:pPr>
      <w:r w:rsidRPr="005709F0">
        <w:rPr>
          <w:rFonts w:ascii="Arial Narrow" w:hAnsi="Arial Narrow"/>
          <w:b/>
          <w:bCs/>
          <w:sz w:val="20"/>
          <w:szCs w:val="20"/>
        </w:rPr>
        <w:t>Table</w:t>
      </w:r>
      <w:r w:rsidR="003814F3" w:rsidRPr="005709F0">
        <w:rPr>
          <w:rFonts w:ascii="Arial Narrow" w:hAnsi="Arial Narrow"/>
          <w:b/>
          <w:bCs/>
          <w:sz w:val="20"/>
          <w:szCs w:val="20"/>
        </w:rPr>
        <w:t xml:space="preserve"> 4: </w:t>
      </w:r>
      <w:r w:rsidRPr="005709F0">
        <w:rPr>
          <w:rFonts w:ascii="Arial Narrow" w:hAnsi="Arial Narrow"/>
          <w:b/>
          <w:bCs/>
          <w:sz w:val="20"/>
          <w:szCs w:val="20"/>
        </w:rPr>
        <w:t>Time</w:t>
      </w:r>
      <w:r w:rsidR="00F07255" w:rsidRPr="005709F0">
        <w:rPr>
          <w:rFonts w:ascii="Arial Narrow" w:hAnsi="Arial Narrow"/>
          <w:b/>
          <w:bCs/>
          <w:sz w:val="20"/>
          <w:szCs w:val="20"/>
        </w:rPr>
        <w:t>-</w:t>
      </w:r>
      <w:r w:rsidRPr="005709F0">
        <w:rPr>
          <w:rFonts w:ascii="Arial Narrow" w:hAnsi="Arial Narrow"/>
          <w:b/>
          <w:bCs/>
          <w:sz w:val="20"/>
          <w:szCs w:val="20"/>
        </w:rPr>
        <w:t>points chosen for the indirect comparisons presented in the submission and in the Commentary</w:t>
      </w:r>
    </w:p>
    <w:tbl>
      <w:tblPr>
        <w:tblW w:w="5000" w:type="pct"/>
        <w:tblInd w:w="-98" w:type="dxa"/>
        <w:tblBorders>
          <w:top w:val="single" w:sz="4" w:space="0" w:color="auto"/>
          <w:left w:val="single" w:sz="8" w:space="0" w:color="auto"/>
          <w:bottom w:val="single" w:sz="8"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3510"/>
        <w:gridCol w:w="2551"/>
        <w:gridCol w:w="3083"/>
      </w:tblGrid>
      <w:tr w:rsidR="00B54C8B" w:rsidRPr="005709F0" w:rsidTr="001A697B">
        <w:tc>
          <w:tcPr>
            <w:tcW w:w="1919" w:type="pct"/>
            <w:vAlign w:val="center"/>
            <w:hideMark/>
          </w:tcPr>
          <w:p w:rsidR="00B54C8B" w:rsidRPr="005709F0" w:rsidRDefault="00B54C8B" w:rsidP="00B54C8B">
            <w:pPr>
              <w:spacing w:before="0" w:after="0"/>
              <w:rPr>
                <w:rFonts w:ascii="Arial Narrow" w:hAnsi="Arial Narrow"/>
                <w:b/>
                <w:bCs/>
                <w:sz w:val="20"/>
                <w:szCs w:val="20"/>
              </w:rPr>
            </w:pPr>
            <w:r w:rsidRPr="005709F0">
              <w:rPr>
                <w:rFonts w:ascii="Arial Narrow" w:hAnsi="Arial Narrow"/>
                <w:b/>
                <w:bCs/>
                <w:sz w:val="20"/>
                <w:szCs w:val="20"/>
              </w:rPr>
              <w:t>Analysis Time</w:t>
            </w:r>
            <w:r w:rsidR="00F07255" w:rsidRPr="005709F0">
              <w:rPr>
                <w:rFonts w:ascii="Arial Narrow" w:hAnsi="Arial Narrow"/>
                <w:b/>
                <w:bCs/>
                <w:sz w:val="20"/>
                <w:szCs w:val="20"/>
              </w:rPr>
              <w:t>-</w:t>
            </w:r>
            <w:r w:rsidRPr="005709F0">
              <w:rPr>
                <w:rFonts w:ascii="Arial Narrow" w:hAnsi="Arial Narrow"/>
                <w:b/>
                <w:bCs/>
                <w:sz w:val="20"/>
                <w:szCs w:val="20"/>
              </w:rPr>
              <w:t>point</w:t>
            </w:r>
          </w:p>
        </w:tc>
        <w:tc>
          <w:tcPr>
            <w:tcW w:w="1395" w:type="pct"/>
            <w:tcMar>
              <w:top w:w="0" w:type="dxa"/>
              <w:left w:w="108" w:type="dxa"/>
              <w:bottom w:w="0" w:type="dxa"/>
              <w:right w:w="108" w:type="dxa"/>
            </w:tcMar>
            <w:hideMark/>
          </w:tcPr>
          <w:p w:rsidR="00B54C8B" w:rsidRPr="005709F0" w:rsidRDefault="00B54C8B" w:rsidP="00B54C8B">
            <w:pPr>
              <w:spacing w:before="0" w:after="0"/>
              <w:jc w:val="center"/>
              <w:rPr>
                <w:rFonts w:ascii="Arial Narrow" w:hAnsi="Arial Narrow"/>
                <w:b/>
                <w:bCs/>
                <w:sz w:val="20"/>
                <w:szCs w:val="20"/>
              </w:rPr>
            </w:pPr>
            <w:r w:rsidRPr="005709F0">
              <w:rPr>
                <w:rFonts w:ascii="Arial Narrow" w:hAnsi="Arial Narrow"/>
                <w:b/>
                <w:bCs/>
                <w:sz w:val="20"/>
                <w:szCs w:val="20"/>
              </w:rPr>
              <w:t>Sonidegib study</w:t>
            </w:r>
          </w:p>
        </w:tc>
        <w:tc>
          <w:tcPr>
            <w:tcW w:w="1685" w:type="pct"/>
            <w:tcMar>
              <w:top w:w="0" w:type="dxa"/>
              <w:left w:w="108" w:type="dxa"/>
              <w:bottom w:w="0" w:type="dxa"/>
              <w:right w:w="108" w:type="dxa"/>
            </w:tcMar>
            <w:hideMark/>
          </w:tcPr>
          <w:p w:rsidR="00B54C8B" w:rsidRPr="005709F0" w:rsidRDefault="00B54C8B" w:rsidP="00B54C8B">
            <w:pPr>
              <w:spacing w:before="0" w:after="0"/>
              <w:jc w:val="center"/>
              <w:rPr>
                <w:rFonts w:ascii="Arial Narrow" w:hAnsi="Arial Narrow"/>
                <w:b/>
                <w:bCs/>
                <w:sz w:val="20"/>
                <w:szCs w:val="20"/>
              </w:rPr>
            </w:pPr>
            <w:r w:rsidRPr="005709F0">
              <w:rPr>
                <w:rFonts w:ascii="Arial Narrow" w:hAnsi="Arial Narrow"/>
                <w:b/>
                <w:bCs/>
                <w:sz w:val="20"/>
                <w:szCs w:val="20"/>
              </w:rPr>
              <w:t>Vismodegib studies</w:t>
            </w:r>
          </w:p>
        </w:tc>
      </w:tr>
      <w:tr w:rsidR="00B54C8B" w:rsidRPr="005709F0" w:rsidTr="001A697B">
        <w:trPr>
          <w:trHeight w:val="233"/>
        </w:trPr>
        <w:tc>
          <w:tcPr>
            <w:tcW w:w="5000" w:type="pct"/>
            <w:gridSpan w:val="3"/>
            <w:tcMar>
              <w:top w:w="0" w:type="dxa"/>
              <w:left w:w="108" w:type="dxa"/>
              <w:bottom w:w="0" w:type="dxa"/>
              <w:right w:w="108" w:type="dxa"/>
            </w:tcMar>
            <w:hideMark/>
          </w:tcPr>
          <w:p w:rsidR="00B54C8B" w:rsidRPr="005709F0" w:rsidRDefault="00B54C8B" w:rsidP="00B54C8B">
            <w:pPr>
              <w:spacing w:before="0" w:after="0"/>
              <w:rPr>
                <w:rFonts w:ascii="Arial Narrow" w:hAnsi="Arial Narrow"/>
                <w:b/>
                <w:bCs/>
                <w:sz w:val="20"/>
                <w:szCs w:val="20"/>
              </w:rPr>
            </w:pPr>
            <w:r w:rsidRPr="005709F0">
              <w:rPr>
                <w:rFonts w:ascii="Arial Narrow" w:hAnsi="Arial Narrow"/>
                <w:b/>
                <w:bCs/>
                <w:sz w:val="20"/>
                <w:szCs w:val="20"/>
              </w:rPr>
              <w:t xml:space="preserve">Indirect comparisons presented in the submission </w:t>
            </w:r>
          </w:p>
        </w:tc>
      </w:tr>
      <w:tr w:rsidR="00B54C8B" w:rsidRPr="005709F0" w:rsidTr="001A697B">
        <w:trPr>
          <w:trHeight w:val="232"/>
        </w:trPr>
        <w:tc>
          <w:tcPr>
            <w:tcW w:w="1919" w:type="pct"/>
            <w:tcMar>
              <w:top w:w="0" w:type="dxa"/>
              <w:left w:w="108" w:type="dxa"/>
              <w:bottom w:w="0" w:type="dxa"/>
              <w:right w:w="108" w:type="dxa"/>
            </w:tcMar>
          </w:tcPr>
          <w:p w:rsidR="00B54C8B" w:rsidRPr="005709F0" w:rsidRDefault="00B54C8B" w:rsidP="00B54C8B">
            <w:pPr>
              <w:spacing w:before="0" w:after="0"/>
              <w:rPr>
                <w:rFonts w:ascii="Arial Narrow" w:hAnsi="Arial Narrow"/>
                <w:b/>
                <w:bCs/>
                <w:sz w:val="20"/>
                <w:szCs w:val="20"/>
              </w:rPr>
            </w:pPr>
            <w:r w:rsidRPr="005709F0">
              <w:rPr>
                <w:rFonts w:ascii="Arial Narrow" w:hAnsi="Arial Narrow"/>
                <w:b/>
                <w:bCs/>
                <w:sz w:val="20"/>
                <w:szCs w:val="20"/>
                <w:u w:val="single"/>
              </w:rPr>
              <w:t xml:space="preserve">Minimum </w:t>
            </w:r>
            <w:r w:rsidRPr="005709F0">
              <w:rPr>
                <w:rFonts w:ascii="Arial Narrow" w:hAnsi="Arial Narrow"/>
                <w:b/>
                <w:bCs/>
                <w:sz w:val="20"/>
                <w:szCs w:val="20"/>
              </w:rPr>
              <w:t>duration of follow-up</w:t>
            </w:r>
          </w:p>
        </w:tc>
        <w:tc>
          <w:tcPr>
            <w:tcW w:w="3081" w:type="pct"/>
            <w:gridSpan w:val="2"/>
          </w:tcPr>
          <w:p w:rsidR="00B54C8B" w:rsidRPr="005709F0" w:rsidRDefault="00B54C8B" w:rsidP="00B54C8B">
            <w:pPr>
              <w:spacing w:before="0" w:after="0"/>
              <w:jc w:val="center"/>
              <w:rPr>
                <w:rFonts w:ascii="Arial Narrow" w:hAnsi="Arial Narrow"/>
                <w:b/>
                <w:bCs/>
                <w:sz w:val="20"/>
                <w:szCs w:val="20"/>
              </w:rPr>
            </w:pPr>
            <w:r w:rsidRPr="005709F0">
              <w:rPr>
                <w:rFonts w:ascii="Arial Narrow" w:hAnsi="Arial Narrow"/>
                <w:b/>
                <w:bCs/>
                <w:sz w:val="20"/>
                <w:szCs w:val="20"/>
              </w:rPr>
              <w:t>Median duration of exposure as presented in the submission</w:t>
            </w:r>
          </w:p>
        </w:tc>
      </w:tr>
      <w:tr w:rsidR="00B54C8B" w:rsidRPr="005709F0" w:rsidTr="001A697B">
        <w:tc>
          <w:tcPr>
            <w:tcW w:w="1919" w:type="pct"/>
            <w:tcMar>
              <w:top w:w="0" w:type="dxa"/>
              <w:left w:w="108" w:type="dxa"/>
              <w:bottom w:w="0" w:type="dxa"/>
              <w:right w:w="108" w:type="dxa"/>
            </w:tcMar>
            <w:hideMark/>
          </w:tcPr>
          <w:p w:rsidR="00B54C8B" w:rsidRPr="005709F0" w:rsidRDefault="00B54C8B" w:rsidP="00B54C8B">
            <w:pPr>
              <w:spacing w:before="0" w:after="0"/>
              <w:rPr>
                <w:rFonts w:ascii="Arial Narrow" w:hAnsi="Arial Narrow"/>
                <w:sz w:val="20"/>
                <w:szCs w:val="20"/>
              </w:rPr>
            </w:pPr>
            <w:r w:rsidRPr="005709F0">
              <w:rPr>
                <w:rFonts w:ascii="Arial Narrow" w:hAnsi="Arial Narrow"/>
                <w:sz w:val="20"/>
                <w:szCs w:val="20"/>
              </w:rPr>
              <w:t>9 months</w:t>
            </w:r>
          </w:p>
        </w:tc>
        <w:tc>
          <w:tcPr>
            <w:tcW w:w="1395" w:type="pct"/>
            <w:tcMar>
              <w:top w:w="0" w:type="dxa"/>
              <w:left w:w="108" w:type="dxa"/>
              <w:bottom w:w="0" w:type="dxa"/>
              <w:right w:w="108" w:type="dxa"/>
            </w:tcMar>
            <w:hideMark/>
          </w:tcPr>
          <w:p w:rsidR="00B54C8B" w:rsidRPr="005709F0" w:rsidRDefault="00B54C8B" w:rsidP="00B54C8B">
            <w:pPr>
              <w:spacing w:before="0" w:after="0"/>
              <w:rPr>
                <w:rFonts w:ascii="Arial Narrow" w:hAnsi="Arial Narrow"/>
                <w:sz w:val="20"/>
                <w:szCs w:val="20"/>
              </w:rPr>
            </w:pPr>
            <w:r w:rsidRPr="005709F0">
              <w:rPr>
                <w:rFonts w:ascii="Arial Narrow" w:hAnsi="Arial Narrow"/>
                <w:sz w:val="20"/>
                <w:szCs w:val="20"/>
              </w:rPr>
              <w:t>BOLT: 8.9 months</w:t>
            </w:r>
          </w:p>
        </w:tc>
        <w:tc>
          <w:tcPr>
            <w:tcW w:w="1685" w:type="pct"/>
            <w:tcMar>
              <w:top w:w="0" w:type="dxa"/>
              <w:left w:w="108" w:type="dxa"/>
              <w:bottom w:w="0" w:type="dxa"/>
              <w:right w:w="108" w:type="dxa"/>
            </w:tcMar>
            <w:hideMark/>
          </w:tcPr>
          <w:p w:rsidR="00B54C8B" w:rsidRPr="005709F0" w:rsidRDefault="00B54C8B" w:rsidP="00B54C8B">
            <w:pPr>
              <w:spacing w:before="0" w:after="0"/>
              <w:rPr>
                <w:rFonts w:ascii="Arial Narrow" w:hAnsi="Arial Narrow"/>
                <w:sz w:val="20"/>
                <w:szCs w:val="20"/>
              </w:rPr>
            </w:pPr>
            <w:r w:rsidRPr="005709F0">
              <w:rPr>
                <w:rFonts w:ascii="Arial Narrow" w:hAnsi="Arial Narrow"/>
                <w:sz w:val="20"/>
                <w:szCs w:val="20"/>
              </w:rPr>
              <w:t>ERIVANCE: 9.9 months</w:t>
            </w:r>
          </w:p>
          <w:p w:rsidR="00B54C8B" w:rsidRPr="005709F0" w:rsidRDefault="00B54C8B" w:rsidP="00B54C8B">
            <w:pPr>
              <w:spacing w:before="0" w:after="0"/>
              <w:rPr>
                <w:rFonts w:ascii="Arial Narrow" w:hAnsi="Arial Narrow"/>
                <w:sz w:val="20"/>
                <w:szCs w:val="20"/>
              </w:rPr>
            </w:pPr>
            <w:r w:rsidRPr="005709F0">
              <w:rPr>
                <w:rFonts w:ascii="Arial Narrow" w:hAnsi="Arial Narrow"/>
                <w:sz w:val="20"/>
                <w:szCs w:val="20"/>
              </w:rPr>
              <w:t>STEVIE 8.4 months</w:t>
            </w:r>
          </w:p>
        </w:tc>
      </w:tr>
      <w:tr w:rsidR="00B54C8B" w:rsidRPr="005709F0" w:rsidTr="001A697B">
        <w:tc>
          <w:tcPr>
            <w:tcW w:w="1919" w:type="pct"/>
            <w:tcMar>
              <w:top w:w="0" w:type="dxa"/>
              <w:left w:w="108" w:type="dxa"/>
              <w:bottom w:w="0" w:type="dxa"/>
              <w:right w:w="108" w:type="dxa"/>
            </w:tcMar>
            <w:hideMark/>
          </w:tcPr>
          <w:p w:rsidR="00B54C8B" w:rsidRPr="005709F0" w:rsidRDefault="00B54C8B" w:rsidP="00B54C8B">
            <w:pPr>
              <w:spacing w:before="0" w:after="0"/>
              <w:rPr>
                <w:rFonts w:ascii="Arial Narrow" w:hAnsi="Arial Narrow"/>
                <w:sz w:val="20"/>
                <w:szCs w:val="20"/>
              </w:rPr>
            </w:pPr>
            <w:r w:rsidRPr="005709F0">
              <w:rPr>
                <w:rFonts w:ascii="Arial Narrow" w:hAnsi="Arial Narrow"/>
                <w:sz w:val="20"/>
                <w:szCs w:val="20"/>
              </w:rPr>
              <w:t>12 months</w:t>
            </w:r>
          </w:p>
        </w:tc>
        <w:tc>
          <w:tcPr>
            <w:tcW w:w="1395" w:type="pct"/>
            <w:tcMar>
              <w:top w:w="0" w:type="dxa"/>
              <w:left w:w="108" w:type="dxa"/>
              <w:bottom w:w="0" w:type="dxa"/>
              <w:right w:w="108" w:type="dxa"/>
            </w:tcMar>
            <w:hideMark/>
          </w:tcPr>
          <w:p w:rsidR="00B54C8B" w:rsidRPr="005709F0" w:rsidRDefault="00B54C8B" w:rsidP="00B54C8B">
            <w:pPr>
              <w:spacing w:before="0" w:after="0"/>
              <w:rPr>
                <w:rFonts w:ascii="Arial Narrow" w:hAnsi="Arial Narrow"/>
                <w:sz w:val="20"/>
                <w:szCs w:val="20"/>
              </w:rPr>
            </w:pPr>
            <w:r w:rsidRPr="005709F0">
              <w:rPr>
                <w:rFonts w:ascii="Arial Narrow" w:hAnsi="Arial Narrow"/>
                <w:sz w:val="20"/>
                <w:szCs w:val="20"/>
              </w:rPr>
              <w:t>BOLT: 11.0 months</w:t>
            </w:r>
          </w:p>
        </w:tc>
        <w:tc>
          <w:tcPr>
            <w:tcW w:w="1685" w:type="pct"/>
            <w:tcMar>
              <w:top w:w="0" w:type="dxa"/>
              <w:left w:w="108" w:type="dxa"/>
              <w:bottom w:w="0" w:type="dxa"/>
              <w:right w:w="108" w:type="dxa"/>
            </w:tcMar>
            <w:hideMark/>
          </w:tcPr>
          <w:p w:rsidR="00B54C8B" w:rsidRPr="005709F0" w:rsidRDefault="00B54C8B" w:rsidP="00B54C8B">
            <w:pPr>
              <w:spacing w:before="0" w:after="0"/>
              <w:rPr>
                <w:rFonts w:ascii="Arial Narrow" w:hAnsi="Arial Narrow"/>
                <w:sz w:val="20"/>
                <w:szCs w:val="20"/>
              </w:rPr>
            </w:pPr>
            <w:r w:rsidRPr="005709F0">
              <w:rPr>
                <w:rFonts w:ascii="Arial Narrow" w:hAnsi="Arial Narrow"/>
                <w:sz w:val="20"/>
                <w:szCs w:val="20"/>
              </w:rPr>
              <w:t>ERIVANCE: 13.0 months</w:t>
            </w:r>
          </w:p>
        </w:tc>
      </w:tr>
      <w:tr w:rsidR="00B54C8B" w:rsidRPr="005709F0" w:rsidTr="001A697B">
        <w:tc>
          <w:tcPr>
            <w:tcW w:w="1919" w:type="pct"/>
            <w:tcMar>
              <w:top w:w="0" w:type="dxa"/>
              <w:left w:w="108" w:type="dxa"/>
              <w:bottom w:w="0" w:type="dxa"/>
              <w:right w:w="108" w:type="dxa"/>
            </w:tcMar>
            <w:hideMark/>
          </w:tcPr>
          <w:p w:rsidR="00B54C8B" w:rsidRPr="005709F0" w:rsidRDefault="00B54C8B" w:rsidP="00B54C8B">
            <w:pPr>
              <w:spacing w:before="0" w:after="0"/>
              <w:rPr>
                <w:rFonts w:ascii="Arial Narrow" w:hAnsi="Arial Narrow"/>
                <w:sz w:val="20"/>
                <w:szCs w:val="20"/>
              </w:rPr>
            </w:pPr>
            <w:r w:rsidRPr="005709F0">
              <w:rPr>
                <w:rFonts w:ascii="Arial Narrow" w:hAnsi="Arial Narrow"/>
                <w:sz w:val="20"/>
                <w:szCs w:val="20"/>
              </w:rPr>
              <w:t>30 months</w:t>
            </w:r>
          </w:p>
        </w:tc>
        <w:tc>
          <w:tcPr>
            <w:tcW w:w="1395" w:type="pct"/>
            <w:tcMar>
              <w:top w:w="0" w:type="dxa"/>
              <w:left w:w="108" w:type="dxa"/>
              <w:bottom w:w="0" w:type="dxa"/>
              <w:right w:w="108" w:type="dxa"/>
            </w:tcMar>
            <w:hideMark/>
          </w:tcPr>
          <w:p w:rsidR="00B54C8B" w:rsidRPr="00246360" w:rsidRDefault="00246360" w:rsidP="00B54C8B">
            <w:pPr>
              <w:spacing w:before="0" w:after="0"/>
              <w:rPr>
                <w:rFonts w:ascii="Arial Narrow" w:hAnsi="Arial Narrow"/>
                <w:sz w:val="20"/>
                <w:szCs w:val="20"/>
                <w:highlight w:val="black"/>
              </w:rPr>
            </w:pPr>
            <w:r>
              <w:rPr>
                <w:rFonts w:ascii="Arial Narrow" w:hAnsi="Arial Narrow"/>
                <w:noProof/>
                <w:color w:val="000000"/>
                <w:sz w:val="20"/>
                <w:szCs w:val="20"/>
                <w:highlight w:val="black"/>
              </w:rPr>
              <w:t>'''''''''''''' '''''''''' '''''''''''''''''</w:t>
            </w:r>
          </w:p>
        </w:tc>
        <w:tc>
          <w:tcPr>
            <w:tcW w:w="1685" w:type="pct"/>
            <w:tcMar>
              <w:top w:w="0" w:type="dxa"/>
              <w:left w:w="108" w:type="dxa"/>
              <w:bottom w:w="0" w:type="dxa"/>
              <w:right w:w="108" w:type="dxa"/>
            </w:tcMar>
            <w:hideMark/>
          </w:tcPr>
          <w:p w:rsidR="00B54C8B" w:rsidRPr="005709F0" w:rsidRDefault="00B54C8B" w:rsidP="00B54C8B">
            <w:pPr>
              <w:spacing w:before="0" w:after="0"/>
              <w:rPr>
                <w:rFonts w:ascii="Arial Narrow" w:hAnsi="Arial Narrow"/>
                <w:sz w:val="20"/>
                <w:szCs w:val="20"/>
              </w:rPr>
            </w:pPr>
            <w:r w:rsidRPr="005709F0">
              <w:rPr>
                <w:rFonts w:ascii="Arial Narrow" w:hAnsi="Arial Narrow"/>
                <w:sz w:val="20"/>
                <w:szCs w:val="20"/>
              </w:rPr>
              <w:t>ERIVAANCE: 12.9 months</w:t>
            </w:r>
          </w:p>
        </w:tc>
      </w:tr>
      <w:tr w:rsidR="00B54C8B" w:rsidRPr="005709F0" w:rsidTr="001A697B">
        <w:trPr>
          <w:trHeight w:val="233"/>
        </w:trPr>
        <w:tc>
          <w:tcPr>
            <w:tcW w:w="5000" w:type="pct"/>
            <w:gridSpan w:val="3"/>
            <w:tcMar>
              <w:top w:w="0" w:type="dxa"/>
              <w:left w:w="108" w:type="dxa"/>
              <w:bottom w:w="0" w:type="dxa"/>
              <w:right w:w="108" w:type="dxa"/>
            </w:tcMar>
            <w:hideMark/>
          </w:tcPr>
          <w:p w:rsidR="00B54C8B" w:rsidRPr="005709F0" w:rsidRDefault="00B54C8B" w:rsidP="00B54C8B">
            <w:pPr>
              <w:spacing w:before="0" w:after="0"/>
              <w:rPr>
                <w:rFonts w:ascii="Arial Narrow" w:hAnsi="Arial Narrow"/>
                <w:b/>
                <w:bCs/>
                <w:iCs/>
                <w:sz w:val="20"/>
                <w:szCs w:val="20"/>
              </w:rPr>
            </w:pPr>
            <w:r w:rsidRPr="005709F0">
              <w:rPr>
                <w:rFonts w:ascii="Arial Narrow" w:hAnsi="Arial Narrow"/>
                <w:b/>
                <w:bCs/>
                <w:iCs/>
                <w:sz w:val="20"/>
                <w:szCs w:val="20"/>
              </w:rPr>
              <w:t xml:space="preserve">Indirect comparisons presented in the Commentary </w:t>
            </w:r>
          </w:p>
        </w:tc>
      </w:tr>
      <w:tr w:rsidR="00B54C8B" w:rsidRPr="005709F0" w:rsidTr="001A697B">
        <w:trPr>
          <w:trHeight w:val="232"/>
        </w:trPr>
        <w:tc>
          <w:tcPr>
            <w:tcW w:w="1919" w:type="pct"/>
            <w:tcMar>
              <w:top w:w="0" w:type="dxa"/>
              <w:left w:w="108" w:type="dxa"/>
              <w:bottom w:w="0" w:type="dxa"/>
              <w:right w:w="108" w:type="dxa"/>
            </w:tcMar>
          </w:tcPr>
          <w:p w:rsidR="00B54C8B" w:rsidRPr="005709F0" w:rsidRDefault="00B54C8B" w:rsidP="00B54C8B">
            <w:pPr>
              <w:spacing w:before="0" w:after="0"/>
              <w:rPr>
                <w:rFonts w:ascii="Arial Narrow" w:hAnsi="Arial Narrow"/>
                <w:b/>
                <w:bCs/>
                <w:iCs/>
                <w:sz w:val="20"/>
                <w:szCs w:val="20"/>
              </w:rPr>
            </w:pPr>
            <w:r w:rsidRPr="005709F0">
              <w:rPr>
                <w:rFonts w:ascii="Arial Narrow" w:hAnsi="Arial Narrow"/>
                <w:b/>
                <w:bCs/>
                <w:iCs/>
                <w:sz w:val="20"/>
                <w:szCs w:val="20"/>
                <w:u w:val="single"/>
              </w:rPr>
              <w:t>Median</w:t>
            </w:r>
            <w:r w:rsidRPr="005709F0">
              <w:rPr>
                <w:rFonts w:ascii="Arial Narrow" w:hAnsi="Arial Narrow"/>
                <w:b/>
                <w:bCs/>
                <w:iCs/>
                <w:sz w:val="20"/>
                <w:szCs w:val="20"/>
              </w:rPr>
              <w:t xml:space="preserve"> duration of follow-up</w:t>
            </w:r>
          </w:p>
        </w:tc>
        <w:tc>
          <w:tcPr>
            <w:tcW w:w="3081" w:type="pct"/>
            <w:gridSpan w:val="2"/>
          </w:tcPr>
          <w:p w:rsidR="00B54C8B" w:rsidRPr="005709F0" w:rsidRDefault="00B54C8B" w:rsidP="00B54C8B">
            <w:pPr>
              <w:spacing w:before="0" w:after="0"/>
              <w:jc w:val="center"/>
              <w:rPr>
                <w:rFonts w:ascii="Arial Narrow" w:hAnsi="Arial Narrow"/>
                <w:b/>
                <w:bCs/>
                <w:iCs/>
                <w:sz w:val="20"/>
                <w:szCs w:val="20"/>
              </w:rPr>
            </w:pPr>
            <w:r w:rsidRPr="005709F0">
              <w:rPr>
                <w:rFonts w:ascii="Arial Narrow" w:hAnsi="Arial Narrow"/>
                <w:b/>
                <w:bCs/>
                <w:sz w:val="20"/>
                <w:szCs w:val="20"/>
              </w:rPr>
              <w:t>Median duration of exposure as presented in the submission</w:t>
            </w:r>
          </w:p>
        </w:tc>
      </w:tr>
      <w:tr w:rsidR="00B54C8B" w:rsidRPr="005709F0" w:rsidTr="001A697B">
        <w:tc>
          <w:tcPr>
            <w:tcW w:w="1919" w:type="pct"/>
            <w:tcMar>
              <w:top w:w="0" w:type="dxa"/>
              <w:left w:w="108" w:type="dxa"/>
              <w:bottom w:w="0" w:type="dxa"/>
              <w:right w:w="108" w:type="dxa"/>
            </w:tcMar>
            <w:hideMark/>
          </w:tcPr>
          <w:p w:rsidR="00B54C8B" w:rsidRPr="005709F0" w:rsidRDefault="00B54C8B" w:rsidP="00271D14">
            <w:pPr>
              <w:spacing w:before="0" w:after="0"/>
              <w:rPr>
                <w:rFonts w:ascii="Arial Narrow" w:hAnsi="Arial Narrow"/>
                <w:iCs/>
                <w:sz w:val="20"/>
                <w:szCs w:val="20"/>
              </w:rPr>
            </w:pPr>
            <w:r w:rsidRPr="005709F0">
              <w:rPr>
                <w:rFonts w:ascii="Arial Narrow" w:hAnsi="Arial Narrow"/>
                <w:iCs/>
                <w:sz w:val="20"/>
                <w:szCs w:val="20"/>
              </w:rPr>
              <w:t>20-21 months</w:t>
            </w:r>
            <w:r w:rsidR="00271D14" w:rsidRPr="005709F0">
              <w:rPr>
                <w:rFonts w:ascii="Arial Narrow" w:hAnsi="Arial Narrow"/>
                <w:iCs/>
                <w:sz w:val="20"/>
                <w:szCs w:val="20"/>
              </w:rPr>
              <w:t xml:space="preserve"> (ORR as assessed by central review using ERIVANCE-like criteria)</w:t>
            </w:r>
          </w:p>
        </w:tc>
        <w:tc>
          <w:tcPr>
            <w:tcW w:w="1395" w:type="pct"/>
            <w:tcMar>
              <w:top w:w="0" w:type="dxa"/>
              <w:left w:w="108" w:type="dxa"/>
              <w:bottom w:w="0" w:type="dxa"/>
              <w:right w:w="108" w:type="dxa"/>
            </w:tcMar>
            <w:hideMark/>
          </w:tcPr>
          <w:p w:rsidR="00B54C8B" w:rsidRPr="005709F0" w:rsidRDefault="00B54C8B" w:rsidP="00B54C8B">
            <w:pPr>
              <w:spacing w:before="0" w:after="0"/>
              <w:rPr>
                <w:rFonts w:ascii="Arial Narrow" w:hAnsi="Arial Narrow"/>
                <w:iCs/>
                <w:sz w:val="20"/>
                <w:szCs w:val="20"/>
              </w:rPr>
            </w:pPr>
            <w:r w:rsidRPr="005709F0">
              <w:rPr>
                <w:rFonts w:ascii="Arial Narrow" w:hAnsi="Arial Narrow"/>
                <w:iCs/>
                <w:sz w:val="20"/>
                <w:szCs w:val="20"/>
              </w:rPr>
              <w:t>BOLT: 11.0 months</w:t>
            </w:r>
          </w:p>
          <w:p w:rsidR="00271D14" w:rsidRPr="005709F0" w:rsidRDefault="00271D14" w:rsidP="00B54C8B">
            <w:pPr>
              <w:spacing w:before="0" w:after="0"/>
              <w:rPr>
                <w:rFonts w:ascii="Arial Narrow" w:hAnsi="Arial Narrow"/>
                <w:iCs/>
                <w:sz w:val="20"/>
                <w:szCs w:val="20"/>
              </w:rPr>
            </w:pPr>
          </w:p>
        </w:tc>
        <w:tc>
          <w:tcPr>
            <w:tcW w:w="1685" w:type="pct"/>
            <w:tcMar>
              <w:top w:w="0" w:type="dxa"/>
              <w:left w:w="108" w:type="dxa"/>
              <w:bottom w:w="0" w:type="dxa"/>
              <w:right w:w="108" w:type="dxa"/>
            </w:tcMar>
            <w:hideMark/>
          </w:tcPr>
          <w:p w:rsidR="00B54C8B" w:rsidRPr="005709F0" w:rsidRDefault="00B54C8B" w:rsidP="00B54C8B">
            <w:pPr>
              <w:spacing w:before="0" w:after="0"/>
              <w:rPr>
                <w:rFonts w:ascii="Arial Narrow" w:hAnsi="Arial Narrow"/>
                <w:iCs/>
                <w:sz w:val="20"/>
                <w:szCs w:val="20"/>
              </w:rPr>
            </w:pPr>
            <w:r w:rsidRPr="005709F0">
              <w:rPr>
                <w:rFonts w:ascii="Arial Narrow" w:hAnsi="Arial Narrow"/>
                <w:iCs/>
                <w:sz w:val="20"/>
                <w:szCs w:val="20"/>
              </w:rPr>
              <w:t>ERIVANCE: 9.9 months</w:t>
            </w:r>
          </w:p>
          <w:p w:rsidR="00271D14" w:rsidRPr="005709F0" w:rsidRDefault="00271D14" w:rsidP="00B54C8B">
            <w:pPr>
              <w:spacing w:before="0" w:after="0"/>
              <w:rPr>
                <w:rFonts w:ascii="Arial Narrow" w:hAnsi="Arial Narrow"/>
                <w:iCs/>
                <w:sz w:val="20"/>
                <w:szCs w:val="20"/>
              </w:rPr>
            </w:pPr>
            <w:r w:rsidRPr="005709F0">
              <w:rPr>
                <w:rFonts w:ascii="Arial Narrow" w:hAnsi="Arial Narrow"/>
                <w:iCs/>
                <w:sz w:val="20"/>
                <w:szCs w:val="20"/>
              </w:rPr>
              <w:t>(ERIVANCE criteria)</w:t>
            </w:r>
          </w:p>
        </w:tc>
      </w:tr>
      <w:tr w:rsidR="00B54C8B" w:rsidRPr="005709F0" w:rsidTr="001A697B">
        <w:tc>
          <w:tcPr>
            <w:tcW w:w="1919" w:type="pct"/>
            <w:tcMar>
              <w:top w:w="0" w:type="dxa"/>
              <w:left w:w="108" w:type="dxa"/>
              <w:bottom w:w="0" w:type="dxa"/>
              <w:right w:w="108" w:type="dxa"/>
            </w:tcMar>
            <w:hideMark/>
          </w:tcPr>
          <w:p w:rsidR="00B54C8B" w:rsidRPr="005709F0" w:rsidRDefault="00B54C8B" w:rsidP="0081017E">
            <w:pPr>
              <w:spacing w:before="0" w:after="0"/>
              <w:rPr>
                <w:rFonts w:ascii="Arial Narrow" w:hAnsi="Arial Narrow"/>
                <w:iCs/>
                <w:sz w:val="20"/>
                <w:szCs w:val="20"/>
              </w:rPr>
            </w:pPr>
            <w:r w:rsidRPr="005709F0">
              <w:rPr>
                <w:rFonts w:ascii="Arial Narrow" w:hAnsi="Arial Narrow"/>
                <w:iCs/>
                <w:sz w:val="20"/>
                <w:szCs w:val="20"/>
              </w:rPr>
              <w:t>13-14 months</w:t>
            </w:r>
            <w:r w:rsidR="00271D14" w:rsidRPr="005709F0">
              <w:rPr>
                <w:rFonts w:ascii="Arial Narrow" w:hAnsi="Arial Narrow"/>
                <w:iCs/>
                <w:sz w:val="20"/>
                <w:szCs w:val="20"/>
              </w:rPr>
              <w:t xml:space="preserve"> (ORR as assessed by investigator review, </w:t>
            </w:r>
            <w:r w:rsidR="000656FC" w:rsidRPr="005709F0">
              <w:rPr>
                <w:rFonts w:ascii="Arial Narrow" w:hAnsi="Arial Narrow"/>
                <w:iCs/>
                <w:sz w:val="20"/>
                <w:szCs w:val="20"/>
              </w:rPr>
              <w:t xml:space="preserve">BOLT </w:t>
            </w:r>
            <w:r w:rsidR="00271D14" w:rsidRPr="005709F0">
              <w:rPr>
                <w:rFonts w:ascii="Arial Narrow" w:hAnsi="Arial Narrow"/>
                <w:iCs/>
                <w:sz w:val="20"/>
                <w:szCs w:val="20"/>
              </w:rPr>
              <w:t xml:space="preserve">mRECIST </w:t>
            </w:r>
            <w:r w:rsidR="000656FC" w:rsidRPr="005709F0">
              <w:rPr>
                <w:rFonts w:ascii="Arial Narrow" w:hAnsi="Arial Narrow"/>
                <w:iCs/>
                <w:sz w:val="20"/>
                <w:szCs w:val="20"/>
              </w:rPr>
              <w:t>vs. STEVIE RECIST</w:t>
            </w:r>
            <w:r w:rsidR="00443FF4" w:rsidRPr="005709F0">
              <w:rPr>
                <w:rFonts w:ascii="Arial Narrow" w:hAnsi="Arial Narrow"/>
                <w:iCs/>
                <w:sz w:val="20"/>
                <w:szCs w:val="20"/>
              </w:rPr>
              <w:t xml:space="preserve"> </w:t>
            </w:r>
            <w:r w:rsidR="000656FC" w:rsidRPr="005709F0">
              <w:rPr>
                <w:rFonts w:ascii="Arial Narrow" w:hAnsi="Arial Narrow"/>
                <w:iCs/>
                <w:sz w:val="20"/>
                <w:szCs w:val="20"/>
              </w:rPr>
              <w:t xml:space="preserve">v1.1) </w:t>
            </w:r>
          </w:p>
        </w:tc>
        <w:tc>
          <w:tcPr>
            <w:tcW w:w="1395" w:type="pct"/>
            <w:tcMar>
              <w:top w:w="0" w:type="dxa"/>
              <w:left w:w="108" w:type="dxa"/>
              <w:bottom w:w="0" w:type="dxa"/>
              <w:right w:w="108" w:type="dxa"/>
            </w:tcMar>
            <w:hideMark/>
          </w:tcPr>
          <w:p w:rsidR="00B54C8B" w:rsidRPr="00246360" w:rsidRDefault="00246360" w:rsidP="00B54C8B">
            <w:pPr>
              <w:spacing w:before="0" w:after="0"/>
              <w:rPr>
                <w:rFonts w:ascii="Arial Narrow" w:hAnsi="Arial Narrow"/>
                <w:iCs/>
                <w:sz w:val="20"/>
                <w:szCs w:val="20"/>
                <w:highlight w:val="black"/>
              </w:rPr>
            </w:pPr>
            <w:r>
              <w:rPr>
                <w:rFonts w:ascii="Arial Narrow" w:hAnsi="Arial Narrow"/>
                <w:iCs/>
                <w:noProof/>
                <w:color w:val="000000"/>
                <w:sz w:val="20"/>
                <w:szCs w:val="20"/>
                <w:highlight w:val="black"/>
              </w:rPr>
              <w:t>'''''''''''''''' ''''''''' '''''''''''''''''''</w:t>
            </w:r>
          </w:p>
        </w:tc>
        <w:tc>
          <w:tcPr>
            <w:tcW w:w="1685" w:type="pct"/>
            <w:tcMar>
              <w:top w:w="0" w:type="dxa"/>
              <w:left w:w="108" w:type="dxa"/>
              <w:bottom w:w="0" w:type="dxa"/>
              <w:right w:w="108" w:type="dxa"/>
            </w:tcMar>
            <w:hideMark/>
          </w:tcPr>
          <w:p w:rsidR="00B54C8B" w:rsidRPr="005709F0" w:rsidRDefault="00B54C8B" w:rsidP="00B54C8B">
            <w:pPr>
              <w:spacing w:before="0" w:after="0"/>
              <w:rPr>
                <w:rFonts w:ascii="Arial Narrow" w:hAnsi="Arial Narrow"/>
                <w:iCs/>
                <w:sz w:val="20"/>
                <w:szCs w:val="20"/>
              </w:rPr>
            </w:pPr>
            <w:r w:rsidRPr="005709F0">
              <w:rPr>
                <w:rFonts w:ascii="Arial Narrow" w:hAnsi="Arial Narrow"/>
                <w:iCs/>
                <w:sz w:val="20"/>
                <w:szCs w:val="20"/>
              </w:rPr>
              <w:t>STEVIE: 8.4 months</w:t>
            </w:r>
          </w:p>
        </w:tc>
      </w:tr>
    </w:tbl>
    <w:p w:rsidR="001A697B" w:rsidRPr="005709F0" w:rsidRDefault="001A697B" w:rsidP="001A697B">
      <w:pPr>
        <w:pStyle w:val="TableFooter"/>
      </w:pPr>
      <w:r w:rsidRPr="005709F0">
        <w:t>ORR = objective response rate</w:t>
      </w:r>
    </w:p>
    <w:p w:rsidR="00443FF4" w:rsidRPr="005709F0" w:rsidRDefault="00443FF4" w:rsidP="001A697B">
      <w:pPr>
        <w:pStyle w:val="TableFooter"/>
      </w:pPr>
      <w:r w:rsidRPr="005709F0">
        <w:t>NOTE: BOLT and ERIVANCE presented both central assessed and investigator assessed ORR. STEVIE only presented investigator assessed ORR.</w:t>
      </w:r>
    </w:p>
    <w:p w:rsidR="000656FC" w:rsidRPr="005709F0" w:rsidRDefault="000656FC" w:rsidP="001A697B">
      <w:pPr>
        <w:pStyle w:val="TableFooter"/>
      </w:pPr>
      <w:r w:rsidRPr="005709F0">
        <w:t>ORR = objective response rate; mRECIST = Modified RECIST criteria</w:t>
      </w:r>
    </w:p>
    <w:p w:rsidR="00B54C8B" w:rsidRPr="005709F0" w:rsidRDefault="00B54C8B" w:rsidP="001A697B">
      <w:pPr>
        <w:pStyle w:val="TableFooter"/>
        <w:rPr>
          <w:rFonts w:ascii="Calibri" w:hAnsi="Calibri"/>
          <w:szCs w:val="24"/>
        </w:rPr>
      </w:pPr>
      <w:r w:rsidRPr="005709F0">
        <w:t>Source: Compiled during the evaluation from Sections 2.4</w:t>
      </w:r>
      <w:r w:rsidR="000656FC" w:rsidRPr="005709F0">
        <w:t xml:space="preserve"> and </w:t>
      </w:r>
      <w:r w:rsidRPr="005709F0">
        <w:t>2.6</w:t>
      </w:r>
      <w:r w:rsidR="000656FC" w:rsidRPr="005709F0">
        <w:t xml:space="preserve"> and Attachments 2 and 3 of the main submission</w:t>
      </w:r>
      <w:r w:rsidRPr="005709F0">
        <w:t>.</w:t>
      </w:r>
    </w:p>
    <w:p w:rsidR="00A81621" w:rsidRPr="005709F0" w:rsidRDefault="00A81621" w:rsidP="00860DC8">
      <w:pPr>
        <w:pStyle w:val="ListParagraph"/>
        <w:numPr>
          <w:ilvl w:val="1"/>
          <w:numId w:val="3"/>
        </w:numPr>
        <w:spacing w:before="0" w:after="120"/>
      </w:pPr>
      <w:r w:rsidRPr="005709F0">
        <w:t>The statistical analyses</w:t>
      </w:r>
      <w:r w:rsidR="00862C23">
        <w:t xml:space="preserve"> presented in the submission were not considered reliable given the </w:t>
      </w:r>
      <w:r w:rsidR="000656FC" w:rsidRPr="005709F0">
        <w:t>transitiv</w:t>
      </w:r>
      <w:r w:rsidR="00862C23">
        <w:t>ity concerns</w:t>
      </w:r>
      <w:r w:rsidR="000656FC" w:rsidRPr="005709F0">
        <w:t xml:space="preserve"> and </w:t>
      </w:r>
      <w:r w:rsidR="00862C23">
        <w:t>lack of a</w:t>
      </w:r>
      <w:r w:rsidR="000656FC" w:rsidRPr="005709F0">
        <w:t xml:space="preserve"> common comparator. </w:t>
      </w:r>
      <w:r w:rsidR="00862C23">
        <w:t>These analyses were not considered during the evaluation.</w:t>
      </w:r>
    </w:p>
    <w:p w:rsidR="00A81621" w:rsidRPr="005709F0" w:rsidRDefault="00A81621" w:rsidP="00A81621">
      <w:pPr>
        <w:pStyle w:val="Heading2"/>
        <w:rPr>
          <w:i w:val="0"/>
        </w:rPr>
      </w:pPr>
      <w:bookmarkStart w:id="16" w:name="_Toc413139278"/>
      <w:bookmarkStart w:id="17" w:name="_Toc493060964"/>
      <w:r w:rsidRPr="005709F0">
        <w:rPr>
          <w:i w:val="0"/>
        </w:rPr>
        <w:t>Comparative effectiveness</w:t>
      </w:r>
      <w:bookmarkEnd w:id="16"/>
      <w:bookmarkEnd w:id="17"/>
      <w:r w:rsidRPr="005709F0">
        <w:rPr>
          <w:i w:val="0"/>
        </w:rPr>
        <w:t xml:space="preserve"> </w:t>
      </w:r>
    </w:p>
    <w:p w:rsidR="00A81621" w:rsidRPr="005709F0" w:rsidRDefault="007135C2" w:rsidP="00860DC8">
      <w:pPr>
        <w:pStyle w:val="ListParagraph"/>
        <w:numPr>
          <w:ilvl w:val="1"/>
          <w:numId w:val="3"/>
        </w:numPr>
        <w:spacing w:before="0" w:after="120"/>
      </w:pPr>
      <w:r w:rsidRPr="005709F0">
        <w:t xml:space="preserve">Tables 5 and 6 </w:t>
      </w:r>
      <w:r w:rsidR="00A81621" w:rsidRPr="005709F0">
        <w:t>summarise the naïve indirect comparison of ORR, between sonidegib (BOLT) and vismodegib (ERIVANCE), and between sonidegib (BOLT) and vismodegib (STEVIE).</w:t>
      </w:r>
      <w:r w:rsidR="008B6674" w:rsidRPr="005709F0">
        <w:t xml:space="preserve"> </w:t>
      </w:r>
    </w:p>
    <w:p w:rsidR="008B6674" w:rsidRPr="005709F0" w:rsidRDefault="00A81621" w:rsidP="001A697B">
      <w:pPr>
        <w:pStyle w:val="TableHeading0"/>
      </w:pPr>
      <w:r w:rsidRPr="005709F0">
        <w:t xml:space="preserve">Table </w:t>
      </w:r>
      <w:r w:rsidR="003814F3" w:rsidRPr="005709F0">
        <w:t>5</w:t>
      </w:r>
      <w:r w:rsidRPr="005709F0">
        <w:t xml:space="preserve">: </w:t>
      </w:r>
      <w:r w:rsidR="008B6674" w:rsidRPr="005709F0">
        <w:t>BOLT (ERIVANCE - like criteria, median duration of follow-up 20 months) versus ERIVANCE (median duration of follow-up 21 months), central review assessed ORR, FAS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BOLT (ERIVANCE - like criteria, median duration of follow-up 20 months) versus ERIVANCE (median duration of follow-up 21 months), central review assessed ORR, FAS"/>
      </w:tblPr>
      <w:tblGrid>
        <w:gridCol w:w="2793"/>
        <w:gridCol w:w="3323"/>
        <w:gridCol w:w="3126"/>
      </w:tblGrid>
      <w:tr w:rsidR="008B6674" w:rsidRPr="005709F0" w:rsidTr="001A697B">
        <w:trPr>
          <w:cnfStyle w:val="100000000000" w:firstRow="1" w:lastRow="0" w:firstColumn="0" w:lastColumn="0" w:oddVBand="0" w:evenVBand="0" w:oddHBand="0" w:evenHBand="0" w:firstRowFirstColumn="0" w:firstRowLastColumn="0" w:lastRowFirstColumn="0" w:lastRowLastColumn="0"/>
          <w:tblHeader/>
        </w:trPr>
        <w:tc>
          <w:tcPr>
            <w:tcW w:w="1511" w:type="pct"/>
            <w:shd w:val="clear" w:color="auto" w:fill="FFFFFF" w:themeFill="background1"/>
          </w:tcPr>
          <w:p w:rsidR="008B6674" w:rsidRPr="005709F0" w:rsidRDefault="008B6674" w:rsidP="00277025">
            <w:pPr>
              <w:keepNext/>
              <w:spacing w:before="0"/>
              <w:rPr>
                <w:rFonts w:ascii="Arial Narrow" w:eastAsia="Calibri" w:hAnsi="Arial Narrow" w:cstheme="minorHAnsi"/>
                <w:sz w:val="20"/>
                <w:szCs w:val="20"/>
              </w:rPr>
            </w:pPr>
            <w:r w:rsidRPr="005709F0">
              <w:rPr>
                <w:rFonts w:ascii="Arial Narrow" w:eastAsia="Calibri" w:hAnsi="Arial Narrow" w:cstheme="minorHAnsi"/>
                <w:sz w:val="20"/>
                <w:szCs w:val="20"/>
              </w:rPr>
              <w:t>Population</w:t>
            </w:r>
          </w:p>
        </w:tc>
        <w:tc>
          <w:tcPr>
            <w:tcW w:w="1798" w:type="pct"/>
            <w:shd w:val="clear" w:color="auto" w:fill="FFFFFF" w:themeFill="background1"/>
          </w:tcPr>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BOLT</w:t>
            </w:r>
          </w:p>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Sonidegib</w:t>
            </w:r>
          </w:p>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Data cut Dec 2013</w:t>
            </w:r>
          </w:p>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(Median follow-up 20 months)</w:t>
            </w:r>
          </w:p>
          <w:p w:rsidR="008B6674" w:rsidRPr="005709F0" w:rsidRDefault="008B6674" w:rsidP="00277025">
            <w:pPr>
              <w:keepNext/>
              <w:spacing w:before="0"/>
              <w:jc w:val="center"/>
              <w:rPr>
                <w:rFonts w:ascii="Arial Narrow" w:eastAsia="Calibri" w:hAnsi="Arial Narrow" w:cstheme="minorHAnsi"/>
                <w:b w:val="0"/>
                <w:sz w:val="20"/>
                <w:szCs w:val="20"/>
              </w:rPr>
            </w:pPr>
            <w:r w:rsidRPr="005709F0">
              <w:rPr>
                <w:rFonts w:ascii="Arial Narrow" w:eastAsia="Calibri" w:hAnsi="Arial Narrow" w:cstheme="minorHAnsi"/>
                <w:sz w:val="20"/>
                <w:szCs w:val="20"/>
              </w:rPr>
              <w:t>n/N (%)</w:t>
            </w:r>
          </w:p>
        </w:tc>
        <w:tc>
          <w:tcPr>
            <w:tcW w:w="1691" w:type="pct"/>
            <w:shd w:val="clear" w:color="auto" w:fill="FFFFFF" w:themeFill="background1"/>
          </w:tcPr>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ERIVANCE</w:t>
            </w:r>
          </w:p>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Vismodegib</w:t>
            </w:r>
          </w:p>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Data cut Nov 2010</w:t>
            </w:r>
          </w:p>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(Median follow-up 21 months)</w:t>
            </w:r>
            <w:r w:rsidR="001A697B" w:rsidRPr="005709F0">
              <w:rPr>
                <w:rFonts w:ascii="Arial Narrow" w:eastAsia="Calibri" w:hAnsi="Arial Narrow" w:cstheme="minorHAnsi"/>
                <w:sz w:val="20"/>
                <w:szCs w:val="20"/>
                <w:vertAlign w:val="superscript"/>
              </w:rPr>
              <w:t>a</w:t>
            </w:r>
          </w:p>
          <w:p w:rsidR="008B6674" w:rsidRPr="005709F0" w:rsidRDefault="008B6674" w:rsidP="00277025">
            <w:pPr>
              <w:keepNext/>
              <w:spacing w:before="0"/>
              <w:jc w:val="center"/>
              <w:rPr>
                <w:rFonts w:ascii="Arial Narrow" w:eastAsia="Calibri" w:hAnsi="Arial Narrow" w:cstheme="minorHAnsi"/>
                <w:b w:val="0"/>
                <w:sz w:val="20"/>
                <w:szCs w:val="20"/>
              </w:rPr>
            </w:pPr>
            <w:r w:rsidRPr="005709F0">
              <w:rPr>
                <w:rFonts w:ascii="Arial Narrow" w:eastAsia="Calibri" w:hAnsi="Arial Narrow" w:cstheme="minorHAnsi"/>
                <w:sz w:val="20"/>
                <w:szCs w:val="20"/>
              </w:rPr>
              <w:t>n/N (%)</w:t>
            </w:r>
          </w:p>
        </w:tc>
      </w:tr>
      <w:tr w:rsidR="008B6674" w:rsidRPr="005709F0" w:rsidTr="001A697B">
        <w:tc>
          <w:tcPr>
            <w:tcW w:w="1511" w:type="pct"/>
          </w:tcPr>
          <w:p w:rsidR="008B6674" w:rsidRPr="005709F0" w:rsidRDefault="008B6674" w:rsidP="00277025">
            <w:pPr>
              <w:keepNext/>
              <w:spacing w:before="0"/>
              <w:rPr>
                <w:rFonts w:ascii="Arial Narrow" w:eastAsia="Calibri" w:hAnsi="Arial Narrow" w:cstheme="minorHAnsi"/>
                <w:sz w:val="20"/>
                <w:szCs w:val="20"/>
              </w:rPr>
            </w:pPr>
            <w:r w:rsidRPr="005709F0">
              <w:rPr>
                <w:rFonts w:ascii="Arial Narrow" w:eastAsia="Calibri" w:hAnsi="Arial Narrow" w:cstheme="minorHAnsi"/>
                <w:sz w:val="20"/>
                <w:szCs w:val="20"/>
              </w:rPr>
              <w:t xml:space="preserve">Whole study arm (Advanced BCC) </w:t>
            </w:r>
          </w:p>
        </w:tc>
        <w:tc>
          <w:tcPr>
            <w:tcW w:w="1798" w:type="pct"/>
            <w:vAlign w:val="center"/>
          </w:tcPr>
          <w:p w:rsidR="008B6674" w:rsidRPr="005709F0" w:rsidRDefault="008B6674" w:rsidP="00277025">
            <w:pPr>
              <w:keepNext/>
              <w:spacing w:before="0"/>
              <w:jc w:val="center"/>
              <w:rPr>
                <w:rFonts w:ascii="Arial Narrow" w:eastAsia="Calibri" w:hAnsi="Arial Narrow" w:cstheme="minorHAnsi"/>
                <w:sz w:val="20"/>
                <w:szCs w:val="20"/>
                <w:vertAlign w:val="superscript"/>
              </w:rPr>
            </w:pPr>
            <w:r w:rsidRPr="005709F0">
              <w:rPr>
                <w:rFonts w:ascii="Arial Narrow" w:eastAsia="Calibri" w:hAnsi="Arial Narrow" w:cstheme="minorHAnsi"/>
                <w:sz w:val="20"/>
                <w:szCs w:val="20"/>
              </w:rPr>
              <w:t>42/79 (53.2)</w:t>
            </w:r>
          </w:p>
        </w:tc>
        <w:tc>
          <w:tcPr>
            <w:tcW w:w="1691" w:type="pct"/>
            <w:vAlign w:val="center"/>
          </w:tcPr>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37/96 (38.5)</w:t>
            </w:r>
          </w:p>
        </w:tc>
      </w:tr>
      <w:tr w:rsidR="008B6674" w:rsidRPr="005709F0" w:rsidTr="001A697B">
        <w:tc>
          <w:tcPr>
            <w:tcW w:w="1511" w:type="pct"/>
          </w:tcPr>
          <w:p w:rsidR="008B6674" w:rsidRPr="005709F0" w:rsidRDefault="008B6674" w:rsidP="00277025">
            <w:pPr>
              <w:keepNext/>
              <w:spacing w:before="0"/>
              <w:ind w:left="249"/>
              <w:rPr>
                <w:rFonts w:ascii="Arial Narrow" w:eastAsia="Calibri" w:hAnsi="Arial Narrow" w:cstheme="minorHAnsi"/>
                <w:sz w:val="20"/>
                <w:szCs w:val="20"/>
              </w:rPr>
            </w:pPr>
            <w:r w:rsidRPr="005709F0">
              <w:rPr>
                <w:rFonts w:ascii="Arial Narrow" w:eastAsia="Calibri" w:hAnsi="Arial Narrow" w:cstheme="minorHAnsi"/>
                <w:sz w:val="20"/>
                <w:szCs w:val="20"/>
              </w:rPr>
              <w:t>laBCC cohort  (ERIVANCE LIKE criteria)</w:t>
            </w:r>
          </w:p>
        </w:tc>
        <w:tc>
          <w:tcPr>
            <w:tcW w:w="1798" w:type="pct"/>
            <w:vAlign w:val="center"/>
          </w:tcPr>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41/66 (62.1) (95%CI: 49.3, 73.8)</w:t>
            </w:r>
          </w:p>
        </w:tc>
        <w:tc>
          <w:tcPr>
            <w:tcW w:w="1691" w:type="pct"/>
            <w:vAlign w:val="center"/>
          </w:tcPr>
          <w:p w:rsidR="008B6674" w:rsidRPr="005709F0" w:rsidRDefault="008B6674" w:rsidP="00277025">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sz w:val="20"/>
                <w:szCs w:val="20"/>
              </w:rPr>
              <w:t>27/63 (42.9)</w:t>
            </w:r>
          </w:p>
        </w:tc>
      </w:tr>
      <w:tr w:rsidR="008B6674" w:rsidRPr="005709F0" w:rsidTr="001A697B">
        <w:tc>
          <w:tcPr>
            <w:tcW w:w="1511" w:type="pct"/>
          </w:tcPr>
          <w:p w:rsidR="008B6674" w:rsidRPr="005709F0" w:rsidRDefault="008B6674" w:rsidP="00277025">
            <w:pPr>
              <w:keepNext/>
              <w:spacing w:before="0"/>
              <w:ind w:left="249"/>
              <w:rPr>
                <w:rFonts w:ascii="Arial Narrow" w:eastAsia="Calibri" w:hAnsi="Arial Narrow" w:cstheme="minorHAnsi"/>
                <w:sz w:val="20"/>
                <w:szCs w:val="20"/>
              </w:rPr>
            </w:pPr>
            <w:r w:rsidRPr="005709F0">
              <w:rPr>
                <w:rFonts w:ascii="Arial Narrow" w:eastAsia="Calibri" w:hAnsi="Arial Narrow" w:cstheme="minorHAnsi"/>
                <w:sz w:val="20"/>
                <w:szCs w:val="20"/>
              </w:rPr>
              <w:t>mBCC cohort</w:t>
            </w:r>
          </w:p>
        </w:tc>
        <w:tc>
          <w:tcPr>
            <w:tcW w:w="1798" w:type="pct"/>
            <w:vAlign w:val="center"/>
          </w:tcPr>
          <w:p w:rsidR="008B6674" w:rsidRPr="005709F0" w:rsidRDefault="008B6674" w:rsidP="00277025">
            <w:pPr>
              <w:keepNext/>
              <w:spacing w:before="0"/>
              <w:jc w:val="center"/>
              <w:rPr>
                <w:rFonts w:ascii="Arial Narrow" w:eastAsia="Calibri" w:hAnsi="Arial Narrow" w:cstheme="minorHAnsi"/>
                <w:sz w:val="20"/>
                <w:szCs w:val="20"/>
                <w:vertAlign w:val="superscript"/>
              </w:rPr>
            </w:pPr>
            <w:r w:rsidRPr="005709F0">
              <w:rPr>
                <w:rFonts w:ascii="Arial Narrow" w:eastAsia="Calibri" w:hAnsi="Arial Narrow" w:cstheme="minorHAnsi"/>
                <w:sz w:val="20"/>
                <w:szCs w:val="20"/>
              </w:rPr>
              <w:t>1/13 (7.7%)</w:t>
            </w:r>
            <w:r w:rsidR="001A697B" w:rsidRPr="005709F0">
              <w:rPr>
                <w:rFonts w:ascii="Arial Narrow" w:eastAsia="Calibri" w:hAnsi="Arial Narrow" w:cstheme="minorHAnsi"/>
                <w:sz w:val="20"/>
                <w:szCs w:val="20"/>
                <w:vertAlign w:val="superscript"/>
              </w:rPr>
              <w:t>b</w:t>
            </w:r>
          </w:p>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RECIST v1.1</w:t>
            </w:r>
          </w:p>
        </w:tc>
        <w:tc>
          <w:tcPr>
            <w:tcW w:w="1691" w:type="pct"/>
            <w:vAlign w:val="center"/>
          </w:tcPr>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10/33 (30.3)</w:t>
            </w:r>
          </w:p>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RECIST v1.0</w:t>
            </w:r>
          </w:p>
        </w:tc>
      </w:tr>
      <w:tr w:rsidR="008B6674" w:rsidRPr="005709F0" w:rsidTr="001A697B">
        <w:tc>
          <w:tcPr>
            <w:tcW w:w="1511" w:type="pct"/>
          </w:tcPr>
          <w:p w:rsidR="008B6674" w:rsidRPr="005709F0" w:rsidRDefault="008B6674" w:rsidP="00277025">
            <w:pPr>
              <w:keepNext/>
              <w:spacing w:before="0"/>
              <w:rPr>
                <w:rFonts w:ascii="Arial Narrow" w:eastAsia="Calibri" w:hAnsi="Arial Narrow" w:cstheme="minorHAnsi"/>
                <w:sz w:val="20"/>
                <w:szCs w:val="20"/>
              </w:rPr>
            </w:pPr>
            <w:r w:rsidRPr="005709F0">
              <w:rPr>
                <w:rFonts w:ascii="Arial Narrow" w:eastAsia="Calibri" w:hAnsi="Arial Narrow" w:cstheme="minorHAnsi"/>
                <w:sz w:val="20"/>
                <w:szCs w:val="20"/>
              </w:rPr>
              <w:t>Complete response</w:t>
            </w:r>
          </w:p>
        </w:tc>
        <w:tc>
          <w:tcPr>
            <w:tcW w:w="1798" w:type="pct"/>
            <w:vAlign w:val="center"/>
          </w:tcPr>
          <w:p w:rsidR="008B6674" w:rsidRPr="005709F0" w:rsidRDefault="008B6674" w:rsidP="00277025">
            <w:pPr>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13/79 (16.5)</w:t>
            </w:r>
          </w:p>
        </w:tc>
        <w:tc>
          <w:tcPr>
            <w:tcW w:w="1691" w:type="pct"/>
            <w:vAlign w:val="center"/>
          </w:tcPr>
          <w:p w:rsidR="008B6674" w:rsidRPr="005709F0" w:rsidRDefault="008B6674" w:rsidP="00277025">
            <w:pPr>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13/96 (13.5)</w:t>
            </w:r>
          </w:p>
        </w:tc>
      </w:tr>
      <w:tr w:rsidR="008B6674" w:rsidRPr="005709F0" w:rsidTr="001A697B">
        <w:tc>
          <w:tcPr>
            <w:tcW w:w="1511" w:type="pct"/>
          </w:tcPr>
          <w:p w:rsidR="008B6674" w:rsidRPr="005709F0" w:rsidRDefault="008B6674" w:rsidP="00277025">
            <w:pPr>
              <w:keepNext/>
              <w:spacing w:before="0"/>
              <w:rPr>
                <w:rFonts w:ascii="Arial Narrow" w:eastAsia="Calibri" w:hAnsi="Arial Narrow" w:cstheme="minorHAnsi"/>
                <w:sz w:val="20"/>
                <w:szCs w:val="20"/>
              </w:rPr>
            </w:pPr>
            <w:r w:rsidRPr="005709F0">
              <w:rPr>
                <w:rFonts w:ascii="Arial Narrow" w:eastAsia="Calibri" w:hAnsi="Arial Narrow" w:cstheme="minorHAnsi"/>
                <w:sz w:val="20"/>
                <w:szCs w:val="20"/>
              </w:rPr>
              <w:t>Partial response</w:t>
            </w:r>
          </w:p>
        </w:tc>
        <w:tc>
          <w:tcPr>
            <w:tcW w:w="1798" w:type="pct"/>
            <w:vAlign w:val="center"/>
          </w:tcPr>
          <w:p w:rsidR="008B6674" w:rsidRPr="005709F0" w:rsidRDefault="008B6674" w:rsidP="00277025">
            <w:pPr>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29/79 (36.7)</w:t>
            </w:r>
          </w:p>
        </w:tc>
        <w:tc>
          <w:tcPr>
            <w:tcW w:w="1691" w:type="pct"/>
            <w:vAlign w:val="center"/>
          </w:tcPr>
          <w:p w:rsidR="008B6674" w:rsidRPr="005709F0" w:rsidRDefault="008B6674" w:rsidP="00277025">
            <w:pPr>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24/96 (25.0)</w:t>
            </w:r>
          </w:p>
        </w:tc>
      </w:tr>
      <w:tr w:rsidR="008B6674" w:rsidRPr="005709F0" w:rsidTr="001A697B">
        <w:tc>
          <w:tcPr>
            <w:tcW w:w="1511" w:type="pct"/>
          </w:tcPr>
          <w:p w:rsidR="008B6674" w:rsidRPr="005709F0" w:rsidRDefault="008B6674" w:rsidP="00277025">
            <w:pPr>
              <w:keepNext/>
              <w:spacing w:before="0"/>
              <w:rPr>
                <w:rFonts w:ascii="Arial Narrow" w:eastAsia="Calibri" w:hAnsi="Arial Narrow" w:cstheme="minorHAnsi"/>
                <w:sz w:val="20"/>
                <w:szCs w:val="20"/>
              </w:rPr>
            </w:pPr>
            <w:r w:rsidRPr="005709F0">
              <w:rPr>
                <w:rFonts w:ascii="Arial Narrow" w:eastAsia="Calibri" w:hAnsi="Arial Narrow" w:cstheme="minorHAnsi"/>
                <w:sz w:val="20"/>
                <w:szCs w:val="20"/>
              </w:rPr>
              <w:t>Stable disease</w:t>
            </w:r>
          </w:p>
        </w:tc>
        <w:tc>
          <w:tcPr>
            <w:tcW w:w="1798" w:type="pct"/>
            <w:vAlign w:val="center"/>
          </w:tcPr>
          <w:p w:rsidR="008B6674" w:rsidRPr="005709F0" w:rsidRDefault="008B6674" w:rsidP="00277025">
            <w:pPr>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30/79 (38.0)</w:t>
            </w:r>
          </w:p>
        </w:tc>
        <w:tc>
          <w:tcPr>
            <w:tcW w:w="1691" w:type="pct"/>
            <w:vAlign w:val="center"/>
          </w:tcPr>
          <w:p w:rsidR="008B6674" w:rsidRPr="005709F0" w:rsidRDefault="008B6674" w:rsidP="00277025">
            <w:pPr>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45/96 (46.9)</w:t>
            </w:r>
          </w:p>
        </w:tc>
      </w:tr>
      <w:tr w:rsidR="008B6674" w:rsidRPr="005709F0" w:rsidTr="001A697B">
        <w:tc>
          <w:tcPr>
            <w:tcW w:w="1511" w:type="pct"/>
          </w:tcPr>
          <w:p w:rsidR="008B6674" w:rsidRPr="005709F0" w:rsidRDefault="008B6674" w:rsidP="00277025">
            <w:pPr>
              <w:keepNext/>
              <w:spacing w:before="0"/>
              <w:rPr>
                <w:rFonts w:ascii="Arial Narrow" w:eastAsia="Calibri" w:hAnsi="Arial Narrow" w:cstheme="minorHAnsi"/>
                <w:sz w:val="20"/>
                <w:szCs w:val="20"/>
              </w:rPr>
            </w:pPr>
            <w:r w:rsidRPr="005709F0">
              <w:rPr>
                <w:rFonts w:ascii="Arial Narrow" w:eastAsia="Calibri" w:hAnsi="Arial Narrow" w:cstheme="minorHAnsi"/>
                <w:sz w:val="20"/>
                <w:szCs w:val="20"/>
              </w:rPr>
              <w:t>Progressive disease</w:t>
            </w:r>
          </w:p>
        </w:tc>
        <w:tc>
          <w:tcPr>
            <w:tcW w:w="1798" w:type="pct"/>
            <w:vAlign w:val="center"/>
          </w:tcPr>
          <w:p w:rsidR="008B6674" w:rsidRPr="005709F0" w:rsidRDefault="008B6674" w:rsidP="00277025">
            <w:pPr>
              <w:spacing w:before="0"/>
              <w:jc w:val="center"/>
              <w:rPr>
                <w:rFonts w:ascii="Arial Narrow" w:hAnsi="Arial Narrow" w:cstheme="minorHAnsi"/>
                <w:sz w:val="20"/>
                <w:szCs w:val="20"/>
              </w:rPr>
            </w:pPr>
            <w:r w:rsidRPr="005709F0">
              <w:rPr>
                <w:rFonts w:ascii="Arial Narrow" w:hAnsi="Arial Narrow" w:cstheme="minorHAnsi"/>
                <w:sz w:val="20"/>
                <w:szCs w:val="20"/>
              </w:rPr>
              <w:t>1/79 (1.3)</w:t>
            </w:r>
          </w:p>
        </w:tc>
        <w:tc>
          <w:tcPr>
            <w:tcW w:w="1691" w:type="pct"/>
            <w:vAlign w:val="center"/>
          </w:tcPr>
          <w:p w:rsidR="008B6674" w:rsidRPr="005709F0" w:rsidRDefault="008B6674" w:rsidP="00277025">
            <w:pPr>
              <w:spacing w:before="0"/>
              <w:jc w:val="center"/>
              <w:rPr>
                <w:rFonts w:ascii="Arial Narrow" w:hAnsi="Arial Narrow" w:cstheme="minorHAnsi"/>
                <w:sz w:val="20"/>
                <w:szCs w:val="20"/>
              </w:rPr>
            </w:pPr>
            <w:r w:rsidRPr="005709F0">
              <w:rPr>
                <w:rFonts w:ascii="Arial Narrow" w:hAnsi="Arial Narrow" w:cstheme="minorHAnsi"/>
                <w:sz w:val="20"/>
                <w:szCs w:val="20"/>
              </w:rPr>
              <w:t>9/96 (9.4)</w:t>
            </w:r>
          </w:p>
        </w:tc>
      </w:tr>
      <w:tr w:rsidR="008B6674" w:rsidRPr="005709F0" w:rsidTr="001A697B">
        <w:tc>
          <w:tcPr>
            <w:tcW w:w="1511" w:type="pct"/>
          </w:tcPr>
          <w:p w:rsidR="008B6674" w:rsidRPr="005709F0" w:rsidRDefault="008B6674" w:rsidP="00277025">
            <w:pPr>
              <w:keepNext/>
              <w:spacing w:before="0"/>
              <w:rPr>
                <w:rFonts w:ascii="Arial Narrow" w:eastAsia="Calibri" w:hAnsi="Arial Narrow" w:cstheme="minorHAnsi"/>
                <w:sz w:val="20"/>
                <w:szCs w:val="20"/>
              </w:rPr>
            </w:pPr>
            <w:r w:rsidRPr="005709F0">
              <w:rPr>
                <w:rFonts w:ascii="Arial Narrow" w:eastAsia="Calibri" w:hAnsi="Arial Narrow" w:cstheme="minorHAnsi"/>
                <w:sz w:val="20"/>
                <w:szCs w:val="20"/>
              </w:rPr>
              <w:t>Unavailable/missing</w:t>
            </w:r>
          </w:p>
        </w:tc>
        <w:tc>
          <w:tcPr>
            <w:tcW w:w="1798" w:type="pct"/>
            <w:vAlign w:val="center"/>
          </w:tcPr>
          <w:p w:rsidR="008B6674" w:rsidRPr="005709F0" w:rsidRDefault="008B6674" w:rsidP="00277025">
            <w:pPr>
              <w:spacing w:before="0"/>
              <w:jc w:val="center"/>
              <w:rPr>
                <w:rFonts w:ascii="Arial Narrow" w:hAnsi="Arial Narrow" w:cstheme="minorHAnsi"/>
                <w:sz w:val="20"/>
                <w:szCs w:val="20"/>
              </w:rPr>
            </w:pPr>
            <w:r w:rsidRPr="005709F0">
              <w:rPr>
                <w:rFonts w:ascii="Arial Narrow" w:hAnsi="Arial Narrow" w:cstheme="minorHAnsi"/>
                <w:sz w:val="20"/>
                <w:szCs w:val="20"/>
              </w:rPr>
              <w:t>6/79 (7.6)</w:t>
            </w:r>
          </w:p>
        </w:tc>
        <w:tc>
          <w:tcPr>
            <w:tcW w:w="1691" w:type="pct"/>
            <w:vAlign w:val="center"/>
          </w:tcPr>
          <w:p w:rsidR="008B6674" w:rsidRPr="005709F0" w:rsidRDefault="008B6674" w:rsidP="00277025">
            <w:pPr>
              <w:spacing w:before="0"/>
              <w:jc w:val="center"/>
              <w:rPr>
                <w:rFonts w:ascii="Arial Narrow" w:hAnsi="Arial Narrow" w:cstheme="minorHAnsi"/>
                <w:sz w:val="20"/>
                <w:szCs w:val="20"/>
              </w:rPr>
            </w:pPr>
            <w:r w:rsidRPr="005709F0">
              <w:rPr>
                <w:rFonts w:ascii="Arial Narrow" w:hAnsi="Arial Narrow" w:cstheme="minorHAnsi"/>
                <w:sz w:val="20"/>
                <w:szCs w:val="20"/>
              </w:rPr>
              <w:t>5/96 (5.2)</w:t>
            </w:r>
          </w:p>
        </w:tc>
      </w:tr>
    </w:tbl>
    <w:p w:rsidR="001A697B" w:rsidRPr="005709F0" w:rsidRDefault="001A697B" w:rsidP="001A697B">
      <w:pPr>
        <w:spacing w:before="0" w:after="0"/>
        <w:rPr>
          <w:rFonts w:ascii="Arial Narrow" w:hAnsi="Arial Narrow"/>
          <w:sz w:val="18"/>
          <w:szCs w:val="18"/>
        </w:rPr>
      </w:pPr>
      <w:r w:rsidRPr="005709F0">
        <w:rPr>
          <w:rFonts w:ascii="Arial Narrow" w:hAnsi="Arial Narrow"/>
          <w:sz w:val="18"/>
          <w:szCs w:val="18"/>
        </w:rPr>
        <w:t>CI = confidence interval; FAS = full analysis set; laBCC = locally advanced basal cell carcinoma; mBCC = metastatic basal cell carcinoma</w:t>
      </w:r>
      <w:r w:rsidR="00423EB0" w:rsidRPr="005709F0">
        <w:rPr>
          <w:rFonts w:ascii="Arial Narrow" w:hAnsi="Arial Narrow"/>
          <w:sz w:val="18"/>
          <w:szCs w:val="18"/>
        </w:rPr>
        <w:t>; mRECIST = Modified Response Evaluation Criteria In Solid Tumours</w:t>
      </w:r>
      <w:r w:rsidRPr="005709F0">
        <w:rPr>
          <w:rFonts w:ascii="Arial Narrow" w:hAnsi="Arial Narrow"/>
          <w:sz w:val="18"/>
          <w:szCs w:val="18"/>
        </w:rPr>
        <w:t>; ORR = objective response rate</w:t>
      </w:r>
    </w:p>
    <w:p w:rsidR="008B6674" w:rsidRPr="005709F0" w:rsidRDefault="001A697B" w:rsidP="008B6674">
      <w:pPr>
        <w:spacing w:before="0" w:after="0"/>
        <w:rPr>
          <w:rFonts w:ascii="Arial Narrow" w:hAnsi="Arial Narrow"/>
          <w:sz w:val="18"/>
          <w:szCs w:val="18"/>
        </w:rPr>
      </w:pPr>
      <w:r w:rsidRPr="005709F0">
        <w:rPr>
          <w:rFonts w:ascii="Arial Narrow" w:hAnsi="Arial Narrow"/>
          <w:sz w:val="18"/>
          <w:szCs w:val="18"/>
          <w:vertAlign w:val="superscript"/>
        </w:rPr>
        <w:t xml:space="preserve">a </w:t>
      </w:r>
      <w:r w:rsidR="008B6674" w:rsidRPr="005709F0">
        <w:rPr>
          <w:rFonts w:ascii="Arial Narrow" w:hAnsi="Arial Narrow"/>
          <w:sz w:val="18"/>
          <w:szCs w:val="18"/>
        </w:rPr>
        <w:t xml:space="preserve">Inferred by study start (February 10, 2009). Median duration of follow-up </w:t>
      </w:r>
      <w:r w:rsidR="008B6674" w:rsidRPr="005709F0">
        <w:rPr>
          <w:rFonts w:ascii="Arial Narrow" w:hAnsi="Arial Narrow"/>
          <w:sz w:val="18"/>
          <w:szCs w:val="18"/>
          <w:u w:val="single"/>
        </w:rPr>
        <w:t>up to</w:t>
      </w:r>
      <w:r w:rsidR="008B6674" w:rsidRPr="005709F0">
        <w:rPr>
          <w:rFonts w:ascii="Arial Narrow" w:hAnsi="Arial Narrow"/>
          <w:sz w:val="18"/>
          <w:szCs w:val="18"/>
        </w:rPr>
        <w:t xml:space="preserve"> 21 months as described in Table2.4-1, p55 of the main submission.</w:t>
      </w:r>
    </w:p>
    <w:p w:rsidR="008B6674" w:rsidRPr="005709F0" w:rsidRDefault="001A697B" w:rsidP="008B6674">
      <w:pPr>
        <w:spacing w:before="0" w:after="0"/>
        <w:rPr>
          <w:rFonts w:ascii="Arial Narrow" w:hAnsi="Arial Narrow"/>
          <w:sz w:val="18"/>
          <w:szCs w:val="18"/>
        </w:rPr>
      </w:pPr>
      <w:r w:rsidRPr="005709F0">
        <w:rPr>
          <w:rFonts w:ascii="Arial Narrow" w:eastAsia="Calibri" w:hAnsi="Arial Narrow" w:cstheme="minorHAnsi"/>
          <w:sz w:val="20"/>
          <w:szCs w:val="20"/>
          <w:vertAlign w:val="superscript"/>
        </w:rPr>
        <w:t xml:space="preserve">b </w:t>
      </w:r>
      <w:r w:rsidR="008B6674" w:rsidRPr="005709F0">
        <w:rPr>
          <w:rFonts w:ascii="Arial Narrow" w:hAnsi="Arial Narrow"/>
          <w:sz w:val="18"/>
          <w:szCs w:val="18"/>
        </w:rPr>
        <w:t xml:space="preserve">There were 2 patients out of 13 with an objective response at the June 2013 data cut. </w:t>
      </w:r>
      <w:r w:rsidR="001A7B88" w:rsidRPr="005709F0">
        <w:rPr>
          <w:rFonts w:ascii="Arial Narrow" w:hAnsi="Arial Narrow"/>
          <w:sz w:val="18"/>
          <w:szCs w:val="18"/>
        </w:rPr>
        <w:t>However, at the December 2013 data cut, one patient's response status was removed from the partial response category during central re-review due to a new lesion identified in the photo image (Table 2-14, p38 of the sonidegib CSR_efficacy_addendum 3 report).</w:t>
      </w:r>
    </w:p>
    <w:p w:rsidR="00A81621" w:rsidRDefault="008B6674" w:rsidP="008B6674">
      <w:pPr>
        <w:pStyle w:val="TableHeader"/>
        <w:rPr>
          <w:b w:val="0"/>
          <w:sz w:val="18"/>
          <w:szCs w:val="18"/>
        </w:rPr>
      </w:pPr>
      <w:r w:rsidRPr="005709F0">
        <w:rPr>
          <w:b w:val="0"/>
          <w:sz w:val="18"/>
          <w:szCs w:val="18"/>
        </w:rPr>
        <w:t>Source: Tables 2.6-3 and 2.6-6 of the main submission and sonidegib clinical study reports.</w:t>
      </w:r>
    </w:p>
    <w:p w:rsidR="00647DC1" w:rsidRPr="00647DC1" w:rsidRDefault="00647DC1" w:rsidP="00647DC1"/>
    <w:p w:rsidR="008B6674" w:rsidRPr="005709F0" w:rsidRDefault="00A81621" w:rsidP="001A697B">
      <w:pPr>
        <w:pStyle w:val="TableHeading0"/>
      </w:pPr>
      <w:r w:rsidRPr="005709F0">
        <w:t xml:space="preserve">Table </w:t>
      </w:r>
      <w:r w:rsidR="007135C2" w:rsidRPr="005709F0">
        <w:t>6</w:t>
      </w:r>
      <w:r w:rsidRPr="005709F0">
        <w:t xml:space="preserve">: </w:t>
      </w:r>
      <w:r w:rsidR="008B6674" w:rsidRPr="005709F0">
        <w:t>BOLT (median duration of follow-up of 13.9 months) versus STEVIE (median duration of follow-up of 12.8 months),</w:t>
      </w:r>
      <w:r w:rsidR="001A697B" w:rsidRPr="005709F0">
        <w:t xml:space="preserve"> investigator assessed ORR, FAS</w:t>
      </w:r>
    </w:p>
    <w:tbl>
      <w:tblPr>
        <w:tblStyle w:val="Summarybox1"/>
        <w:tblW w:w="5000" w:type="pct"/>
        <w:tblLook w:val="04A0" w:firstRow="1" w:lastRow="0" w:firstColumn="1" w:lastColumn="0" w:noHBand="0" w:noVBand="1"/>
        <w:tblCaption w:val="Table 6: BOLT (median duration of follow-up of 13.9 months) versus STEVIE (median duration of follow-up of 12.8 months), investigator assessed ORR, FAS"/>
      </w:tblPr>
      <w:tblGrid>
        <w:gridCol w:w="2802"/>
        <w:gridCol w:w="3118"/>
        <w:gridCol w:w="3322"/>
      </w:tblGrid>
      <w:tr w:rsidR="008B6674" w:rsidRPr="005709F0" w:rsidTr="00860DC8">
        <w:trPr>
          <w:tblHeader/>
        </w:trPr>
        <w:tc>
          <w:tcPr>
            <w:tcW w:w="1516" w:type="pct"/>
          </w:tcPr>
          <w:p w:rsidR="008B6674" w:rsidRPr="005709F0" w:rsidRDefault="008B6674" w:rsidP="00277025">
            <w:pPr>
              <w:keepNext/>
              <w:spacing w:before="0"/>
              <w:rPr>
                <w:rFonts w:ascii="Arial Narrow" w:eastAsia="Calibri" w:hAnsi="Arial Narrow" w:cstheme="minorHAnsi"/>
                <w:b/>
                <w:sz w:val="20"/>
                <w:szCs w:val="20"/>
              </w:rPr>
            </w:pPr>
            <w:r w:rsidRPr="005709F0">
              <w:rPr>
                <w:rFonts w:ascii="Arial Narrow" w:eastAsia="Calibri" w:hAnsi="Arial Narrow" w:cstheme="minorHAnsi"/>
                <w:b/>
                <w:sz w:val="20"/>
                <w:szCs w:val="20"/>
              </w:rPr>
              <w:t>Population</w:t>
            </w:r>
          </w:p>
        </w:tc>
        <w:tc>
          <w:tcPr>
            <w:tcW w:w="1687" w:type="pct"/>
          </w:tcPr>
          <w:p w:rsidR="008B6674" w:rsidRPr="005709F0" w:rsidRDefault="008B6674" w:rsidP="00277025">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BOLT</w:t>
            </w:r>
          </w:p>
          <w:p w:rsidR="008B6674" w:rsidRPr="005709F0" w:rsidRDefault="008B6674" w:rsidP="00277025">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Sonidegib</w:t>
            </w:r>
          </w:p>
          <w:p w:rsidR="008B6674" w:rsidRPr="005709F0" w:rsidRDefault="008B6674" w:rsidP="00277025">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Data cut June 2013</w:t>
            </w:r>
          </w:p>
          <w:p w:rsidR="008B6674" w:rsidRPr="005709F0" w:rsidRDefault="008B6674" w:rsidP="00277025">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(Median follow-up 13.9 months)</w:t>
            </w:r>
          </w:p>
          <w:p w:rsidR="008B6674" w:rsidRPr="005709F0" w:rsidRDefault="008B6674" w:rsidP="00277025">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n/N (%)</w:t>
            </w:r>
          </w:p>
        </w:tc>
        <w:tc>
          <w:tcPr>
            <w:tcW w:w="1797" w:type="pct"/>
          </w:tcPr>
          <w:p w:rsidR="008B6674" w:rsidRPr="005709F0" w:rsidRDefault="008B6674" w:rsidP="00277025">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STEVIE</w:t>
            </w:r>
          </w:p>
          <w:p w:rsidR="008B6674" w:rsidRPr="005709F0" w:rsidRDefault="008B6674" w:rsidP="00277025">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Vismodegib</w:t>
            </w:r>
          </w:p>
          <w:p w:rsidR="008B6674" w:rsidRPr="005709F0" w:rsidRDefault="008B6674" w:rsidP="00277025">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Data cut Nov 2013</w:t>
            </w:r>
          </w:p>
          <w:p w:rsidR="008B6674" w:rsidRPr="005709F0" w:rsidRDefault="008B6674" w:rsidP="00277025">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(Median follow-up 12.8 months)</w:t>
            </w:r>
          </w:p>
          <w:p w:rsidR="008B6674" w:rsidRPr="005709F0" w:rsidRDefault="008B6674" w:rsidP="00277025">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n/N (%)</w:t>
            </w:r>
          </w:p>
        </w:tc>
      </w:tr>
      <w:tr w:rsidR="008B6674" w:rsidRPr="005709F0" w:rsidTr="00277025">
        <w:tc>
          <w:tcPr>
            <w:tcW w:w="1516" w:type="pct"/>
          </w:tcPr>
          <w:p w:rsidR="008B6674" w:rsidRPr="005709F0" w:rsidRDefault="008B6674" w:rsidP="00277025">
            <w:pPr>
              <w:keepNext/>
              <w:spacing w:before="0"/>
              <w:rPr>
                <w:rFonts w:ascii="Arial Narrow" w:eastAsia="Calibri" w:hAnsi="Arial Narrow" w:cstheme="minorHAnsi"/>
                <w:sz w:val="20"/>
                <w:szCs w:val="20"/>
              </w:rPr>
            </w:pPr>
            <w:r w:rsidRPr="005709F0">
              <w:rPr>
                <w:rFonts w:ascii="Arial Narrow" w:eastAsia="Calibri" w:hAnsi="Arial Narrow" w:cstheme="minorHAnsi"/>
                <w:sz w:val="20"/>
                <w:szCs w:val="20"/>
              </w:rPr>
              <w:t>Whole study arm (Advanced BCC)</w:t>
            </w:r>
          </w:p>
        </w:tc>
        <w:tc>
          <w:tcPr>
            <w:tcW w:w="1687" w:type="pct"/>
          </w:tcPr>
          <w:p w:rsidR="008B6674" w:rsidRPr="005709F0" w:rsidRDefault="008B6674" w:rsidP="00277025">
            <w:pPr>
              <w:keepNext/>
              <w:spacing w:before="0"/>
              <w:jc w:val="center"/>
              <w:rPr>
                <w:rFonts w:ascii="Arial Narrow" w:eastAsia="Calibri" w:hAnsi="Arial Narrow" w:cstheme="minorHAnsi"/>
                <w:sz w:val="20"/>
                <w:szCs w:val="20"/>
                <w:highlight w:val="yellow"/>
              </w:rPr>
            </w:pPr>
            <w:r w:rsidRPr="005709F0">
              <w:rPr>
                <w:rFonts w:ascii="Arial Narrow" w:eastAsia="Calibri" w:hAnsi="Arial Narrow" w:cstheme="minorHAnsi"/>
                <w:sz w:val="20"/>
                <w:szCs w:val="20"/>
              </w:rPr>
              <w:t>33/79 (41.8%) (95% CI: 30.8%, 53.4%)</w:t>
            </w:r>
          </w:p>
        </w:tc>
        <w:tc>
          <w:tcPr>
            <w:tcW w:w="1797" w:type="pct"/>
          </w:tcPr>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313/482 (64.9) (95% CI: 60.5%, 69.2%)</w:t>
            </w:r>
          </w:p>
        </w:tc>
      </w:tr>
      <w:tr w:rsidR="008B6674" w:rsidRPr="005709F0" w:rsidTr="00277025">
        <w:tc>
          <w:tcPr>
            <w:tcW w:w="1516" w:type="pct"/>
          </w:tcPr>
          <w:p w:rsidR="008B6674" w:rsidRPr="005709F0" w:rsidRDefault="008B6674" w:rsidP="00277025">
            <w:pPr>
              <w:keepNext/>
              <w:spacing w:before="0"/>
              <w:ind w:left="249"/>
              <w:rPr>
                <w:rFonts w:ascii="Arial Narrow" w:eastAsia="Calibri" w:hAnsi="Arial Narrow" w:cstheme="minorHAnsi"/>
                <w:sz w:val="20"/>
                <w:szCs w:val="20"/>
              </w:rPr>
            </w:pPr>
            <w:r w:rsidRPr="005709F0">
              <w:rPr>
                <w:rFonts w:ascii="Arial Narrow" w:eastAsia="Calibri" w:hAnsi="Arial Narrow" w:cstheme="minorHAnsi"/>
                <w:sz w:val="20"/>
                <w:szCs w:val="20"/>
              </w:rPr>
              <w:t>laBCC cohort</w:t>
            </w:r>
          </w:p>
        </w:tc>
        <w:tc>
          <w:tcPr>
            <w:tcW w:w="1687" w:type="pct"/>
          </w:tcPr>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 xml:space="preserve">31/66 (47.0) </w:t>
            </w:r>
          </w:p>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mRECIST</w:t>
            </w:r>
          </w:p>
        </w:tc>
        <w:tc>
          <w:tcPr>
            <w:tcW w:w="1797" w:type="pct"/>
          </w:tcPr>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302/453 (66.7)</w:t>
            </w:r>
          </w:p>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RECIST v1.1</w:t>
            </w:r>
          </w:p>
        </w:tc>
      </w:tr>
      <w:tr w:rsidR="008B6674" w:rsidRPr="005709F0" w:rsidTr="00277025">
        <w:tc>
          <w:tcPr>
            <w:tcW w:w="1516" w:type="pct"/>
            <w:tcBorders>
              <w:bottom w:val="single" w:sz="4" w:space="0" w:color="auto"/>
            </w:tcBorders>
          </w:tcPr>
          <w:p w:rsidR="008B6674" w:rsidRPr="005709F0" w:rsidRDefault="008B6674" w:rsidP="00277025">
            <w:pPr>
              <w:keepNext/>
              <w:spacing w:before="0"/>
              <w:ind w:left="249"/>
              <w:rPr>
                <w:rFonts w:ascii="Arial Narrow" w:eastAsia="Calibri" w:hAnsi="Arial Narrow" w:cstheme="minorHAnsi"/>
                <w:sz w:val="20"/>
                <w:szCs w:val="20"/>
              </w:rPr>
            </w:pPr>
            <w:r w:rsidRPr="005709F0">
              <w:rPr>
                <w:rFonts w:ascii="Arial Narrow" w:eastAsia="Calibri" w:hAnsi="Arial Narrow" w:cstheme="minorHAnsi"/>
                <w:sz w:val="20"/>
                <w:szCs w:val="20"/>
              </w:rPr>
              <w:t>mBCC cohort</w:t>
            </w:r>
          </w:p>
        </w:tc>
        <w:tc>
          <w:tcPr>
            <w:tcW w:w="1687" w:type="pct"/>
            <w:tcBorders>
              <w:bottom w:val="single" w:sz="4" w:space="0" w:color="auto"/>
            </w:tcBorders>
          </w:tcPr>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2/13 (15.4%)</w:t>
            </w:r>
            <w:r w:rsidR="001A697B" w:rsidRPr="005709F0">
              <w:rPr>
                <w:rFonts w:ascii="Arial Narrow" w:eastAsia="Calibri" w:hAnsi="Arial Narrow" w:cstheme="minorHAnsi"/>
                <w:sz w:val="20"/>
                <w:szCs w:val="20"/>
                <w:vertAlign w:val="superscript"/>
              </w:rPr>
              <w:t>a</w:t>
            </w:r>
          </w:p>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RECIST v1.1</w:t>
            </w:r>
          </w:p>
        </w:tc>
        <w:tc>
          <w:tcPr>
            <w:tcW w:w="1797" w:type="pct"/>
            <w:tcBorders>
              <w:bottom w:val="single" w:sz="4" w:space="0" w:color="auto"/>
            </w:tcBorders>
          </w:tcPr>
          <w:p w:rsidR="008B6674" w:rsidRPr="005709F0" w:rsidRDefault="008B6674" w:rsidP="00277025">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11/29 (37.9)</w:t>
            </w:r>
          </w:p>
          <w:p w:rsidR="008B6674" w:rsidRPr="005709F0" w:rsidRDefault="008B6674" w:rsidP="00277025">
            <w:pPr>
              <w:keepNext/>
              <w:spacing w:before="0"/>
              <w:jc w:val="center"/>
              <w:rPr>
                <w:rFonts w:ascii="Arial Narrow" w:eastAsia="Calibri" w:hAnsi="Arial Narrow" w:cstheme="minorHAnsi"/>
                <w:sz w:val="20"/>
                <w:szCs w:val="20"/>
                <w:highlight w:val="yellow"/>
              </w:rPr>
            </w:pPr>
            <w:r w:rsidRPr="005709F0">
              <w:rPr>
                <w:rFonts w:ascii="Arial Narrow" w:eastAsia="Calibri" w:hAnsi="Arial Narrow" w:cstheme="minorHAnsi"/>
                <w:sz w:val="20"/>
                <w:szCs w:val="20"/>
              </w:rPr>
              <w:t>RECIST v1.1</w:t>
            </w:r>
          </w:p>
        </w:tc>
      </w:tr>
      <w:tr w:rsidR="008B6674" w:rsidRPr="005709F0" w:rsidTr="00277025">
        <w:tc>
          <w:tcPr>
            <w:tcW w:w="1516" w:type="pct"/>
            <w:tcBorders>
              <w:bottom w:val="nil"/>
            </w:tcBorders>
          </w:tcPr>
          <w:p w:rsidR="008B6674" w:rsidRPr="005709F0" w:rsidRDefault="008B6674" w:rsidP="00277025">
            <w:pPr>
              <w:keepNext/>
              <w:spacing w:before="0"/>
              <w:rPr>
                <w:rFonts w:ascii="Arial Narrow" w:eastAsia="Calibri" w:hAnsi="Arial Narrow" w:cstheme="minorHAnsi"/>
                <w:sz w:val="20"/>
                <w:szCs w:val="20"/>
              </w:rPr>
            </w:pPr>
            <w:r w:rsidRPr="005709F0">
              <w:rPr>
                <w:rFonts w:ascii="Arial Narrow" w:eastAsia="Calibri" w:hAnsi="Arial Narrow" w:cstheme="minorHAnsi"/>
                <w:sz w:val="20"/>
                <w:szCs w:val="20"/>
                <w:u w:val="single"/>
              </w:rPr>
              <w:t xml:space="preserve">Whole study arm </w:t>
            </w:r>
            <w:r w:rsidRPr="005709F0">
              <w:rPr>
                <w:rFonts w:ascii="Arial Narrow" w:eastAsia="Calibri" w:hAnsi="Arial Narrow" w:cstheme="minorHAnsi"/>
                <w:sz w:val="20"/>
                <w:szCs w:val="20"/>
              </w:rPr>
              <w:t>(Advanced BCC)</w:t>
            </w:r>
          </w:p>
          <w:p w:rsidR="008B6674" w:rsidRPr="005709F0" w:rsidRDefault="008B6674" w:rsidP="00277025">
            <w:pPr>
              <w:keepNext/>
              <w:spacing w:before="0"/>
              <w:ind w:left="720"/>
              <w:rPr>
                <w:rFonts w:ascii="Arial Narrow" w:eastAsia="Calibri" w:hAnsi="Arial Narrow" w:cstheme="minorHAnsi"/>
                <w:sz w:val="20"/>
                <w:szCs w:val="20"/>
              </w:rPr>
            </w:pPr>
            <w:r w:rsidRPr="005709F0">
              <w:rPr>
                <w:rFonts w:ascii="Arial Narrow" w:eastAsia="Calibri" w:hAnsi="Arial Narrow" w:cstheme="minorHAnsi"/>
                <w:sz w:val="20"/>
                <w:szCs w:val="20"/>
              </w:rPr>
              <w:t xml:space="preserve">Complete response </w:t>
            </w:r>
          </w:p>
        </w:tc>
        <w:tc>
          <w:tcPr>
            <w:tcW w:w="1687" w:type="pct"/>
            <w:tcBorders>
              <w:bottom w:val="nil"/>
            </w:tcBorders>
          </w:tcPr>
          <w:p w:rsidR="008B6674" w:rsidRPr="005709F0" w:rsidRDefault="008B6674" w:rsidP="00277025">
            <w:pPr>
              <w:spacing w:before="0"/>
              <w:jc w:val="center"/>
              <w:rPr>
                <w:rFonts w:ascii="Arial Narrow" w:eastAsia="Calibri" w:hAnsi="Arial Narrow" w:cstheme="minorHAnsi"/>
                <w:sz w:val="20"/>
                <w:szCs w:val="20"/>
              </w:rPr>
            </w:pPr>
          </w:p>
          <w:p w:rsidR="008B6674" w:rsidRPr="005709F0" w:rsidRDefault="008B6674" w:rsidP="00277025">
            <w:pPr>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2/79 (2.5)</w:t>
            </w:r>
          </w:p>
        </w:tc>
        <w:tc>
          <w:tcPr>
            <w:tcW w:w="1797" w:type="pct"/>
            <w:tcBorders>
              <w:bottom w:val="nil"/>
            </w:tcBorders>
          </w:tcPr>
          <w:p w:rsidR="008B6674" w:rsidRPr="005709F0" w:rsidRDefault="008B6674" w:rsidP="00277025">
            <w:pPr>
              <w:spacing w:before="0"/>
              <w:jc w:val="center"/>
              <w:rPr>
                <w:rFonts w:ascii="Arial Narrow" w:eastAsia="Calibri" w:hAnsi="Arial Narrow" w:cstheme="minorHAnsi"/>
                <w:sz w:val="20"/>
                <w:szCs w:val="20"/>
              </w:rPr>
            </w:pPr>
          </w:p>
          <w:p w:rsidR="008B6674" w:rsidRPr="005709F0" w:rsidRDefault="008B6674" w:rsidP="00277025">
            <w:pPr>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155/482 (32.2)</w:t>
            </w:r>
          </w:p>
        </w:tc>
      </w:tr>
      <w:tr w:rsidR="008B6674" w:rsidRPr="005709F0" w:rsidTr="00277025">
        <w:tc>
          <w:tcPr>
            <w:tcW w:w="1516" w:type="pct"/>
            <w:tcBorders>
              <w:top w:val="nil"/>
            </w:tcBorders>
          </w:tcPr>
          <w:p w:rsidR="008B6674" w:rsidRPr="005709F0" w:rsidRDefault="008B6674" w:rsidP="00277025">
            <w:pPr>
              <w:keepNext/>
              <w:spacing w:before="0"/>
              <w:ind w:left="720"/>
              <w:rPr>
                <w:rFonts w:ascii="Arial Narrow" w:eastAsia="Calibri" w:hAnsi="Arial Narrow" w:cstheme="minorHAnsi"/>
                <w:sz w:val="20"/>
                <w:szCs w:val="20"/>
              </w:rPr>
            </w:pPr>
            <w:r w:rsidRPr="005709F0">
              <w:rPr>
                <w:rFonts w:ascii="Arial Narrow" w:eastAsia="Calibri" w:hAnsi="Arial Narrow" w:cstheme="minorHAnsi"/>
                <w:sz w:val="20"/>
                <w:szCs w:val="20"/>
              </w:rPr>
              <w:t>Partial response</w:t>
            </w:r>
          </w:p>
        </w:tc>
        <w:tc>
          <w:tcPr>
            <w:tcW w:w="1687" w:type="pct"/>
            <w:tcBorders>
              <w:top w:val="nil"/>
            </w:tcBorders>
          </w:tcPr>
          <w:p w:rsidR="008B6674" w:rsidRPr="005709F0" w:rsidRDefault="008B6674" w:rsidP="00277025">
            <w:pPr>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31/79 (39.2)</w:t>
            </w:r>
          </w:p>
        </w:tc>
        <w:tc>
          <w:tcPr>
            <w:tcW w:w="1797" w:type="pct"/>
            <w:tcBorders>
              <w:top w:val="nil"/>
            </w:tcBorders>
          </w:tcPr>
          <w:p w:rsidR="008B6674" w:rsidRPr="005709F0" w:rsidRDefault="008B6674" w:rsidP="00277025">
            <w:pPr>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158/482 (32.8)</w:t>
            </w:r>
          </w:p>
        </w:tc>
      </w:tr>
    </w:tbl>
    <w:p w:rsidR="001A697B" w:rsidRPr="005709F0" w:rsidRDefault="001A697B" w:rsidP="001A697B">
      <w:pPr>
        <w:spacing w:before="0" w:after="0"/>
        <w:rPr>
          <w:rFonts w:ascii="Arial Narrow" w:hAnsi="Arial Narrow"/>
          <w:sz w:val="18"/>
          <w:szCs w:val="18"/>
        </w:rPr>
      </w:pPr>
      <w:r w:rsidRPr="005709F0">
        <w:rPr>
          <w:rFonts w:ascii="Arial Narrow" w:hAnsi="Arial Narrow"/>
          <w:sz w:val="18"/>
          <w:szCs w:val="18"/>
        </w:rPr>
        <w:t>BCC = basal cell carcinoma; CI = confidence interval; FAS = full analysis set; laBCC = locally advanced basal cell carcinoma; mBCC = metastatic basal cell carcinoma</w:t>
      </w:r>
      <w:r w:rsidR="00423EB0" w:rsidRPr="005709F0">
        <w:rPr>
          <w:rFonts w:ascii="Arial Narrow" w:hAnsi="Arial Narrow"/>
          <w:sz w:val="18"/>
          <w:szCs w:val="18"/>
        </w:rPr>
        <w:t>; mRECIST = Modified Response Evaluation Criteria In Solid Tumours</w:t>
      </w:r>
      <w:r w:rsidRPr="005709F0">
        <w:rPr>
          <w:rFonts w:ascii="Arial Narrow" w:hAnsi="Arial Narrow"/>
          <w:sz w:val="18"/>
          <w:szCs w:val="18"/>
        </w:rPr>
        <w:t>; ORR = objective response rate</w:t>
      </w:r>
    </w:p>
    <w:p w:rsidR="008B6674" w:rsidRPr="005709F0" w:rsidRDefault="001A697B" w:rsidP="008B6674">
      <w:pPr>
        <w:spacing w:before="0" w:after="0"/>
        <w:rPr>
          <w:rFonts w:ascii="Arial Narrow" w:hAnsi="Arial Narrow"/>
          <w:sz w:val="18"/>
          <w:szCs w:val="18"/>
        </w:rPr>
      </w:pPr>
      <w:r w:rsidRPr="005709F0">
        <w:rPr>
          <w:rFonts w:ascii="Arial Narrow" w:eastAsia="Calibri" w:hAnsi="Arial Narrow" w:cstheme="minorHAnsi"/>
          <w:sz w:val="20"/>
          <w:szCs w:val="20"/>
          <w:vertAlign w:val="superscript"/>
        </w:rPr>
        <w:t xml:space="preserve">a </w:t>
      </w:r>
      <w:r w:rsidR="008B6674" w:rsidRPr="005709F0">
        <w:rPr>
          <w:rFonts w:ascii="Arial Narrow" w:hAnsi="Arial Narrow"/>
          <w:sz w:val="18"/>
          <w:szCs w:val="18"/>
        </w:rPr>
        <w:t>There were 2 patients out of 13 with an objective response at the June 2013 data cut. However, at the December 2013 data cut, one patient</w:t>
      </w:r>
      <w:r w:rsidR="001A7B88" w:rsidRPr="005709F0">
        <w:rPr>
          <w:rFonts w:ascii="Arial Narrow" w:hAnsi="Arial Narrow"/>
          <w:sz w:val="18"/>
          <w:szCs w:val="18"/>
        </w:rPr>
        <w:t>’</w:t>
      </w:r>
      <w:r w:rsidR="008B6674" w:rsidRPr="005709F0">
        <w:rPr>
          <w:rFonts w:ascii="Arial Narrow" w:hAnsi="Arial Narrow"/>
          <w:sz w:val="18"/>
          <w:szCs w:val="18"/>
        </w:rPr>
        <w:t>s response status was removed from the partial response category during central re-review due to a new lesion identified in the photo image (Table 2-14, p38 of the sonidegib CSR_efficacy_addendum 3 report).</w:t>
      </w:r>
    </w:p>
    <w:p w:rsidR="008B6674" w:rsidRPr="005709F0" w:rsidRDefault="008B6674" w:rsidP="008B6674">
      <w:pPr>
        <w:spacing w:before="0" w:after="0"/>
        <w:rPr>
          <w:rFonts w:ascii="Arial Narrow" w:hAnsi="Arial Narrow"/>
          <w:sz w:val="18"/>
          <w:szCs w:val="18"/>
        </w:rPr>
      </w:pPr>
      <w:r w:rsidRPr="005709F0">
        <w:rPr>
          <w:rFonts w:ascii="Arial Narrow" w:hAnsi="Arial Narrow"/>
          <w:sz w:val="18"/>
          <w:szCs w:val="18"/>
        </w:rPr>
        <w:t>Source: Tables 2.6-3 and 2.6-6 of the main submission</w:t>
      </w:r>
    </w:p>
    <w:p w:rsidR="00A81621" w:rsidRPr="005709F0" w:rsidRDefault="00A81621" w:rsidP="008B6674">
      <w:pPr>
        <w:pStyle w:val="TableHeader"/>
      </w:pPr>
    </w:p>
    <w:p w:rsidR="00A81621" w:rsidRPr="005709F0" w:rsidRDefault="00A81621" w:rsidP="00860DC8">
      <w:pPr>
        <w:pStyle w:val="ListParagraph"/>
        <w:numPr>
          <w:ilvl w:val="1"/>
          <w:numId w:val="3"/>
        </w:numPr>
        <w:spacing w:before="0" w:after="120"/>
      </w:pPr>
      <w:r w:rsidRPr="005709F0">
        <w:t>The naïve indirect comparison between BOLT and EVIRANCE indicates the ORR results numerically favour sonidegib over vismodegib in the laBCC cohort and vice versa in the mBCC cohort</w:t>
      </w:r>
      <w:r w:rsidR="004E035E" w:rsidRPr="005709F0">
        <w:t>.</w:t>
      </w:r>
    </w:p>
    <w:p w:rsidR="00A81621" w:rsidRPr="005709F0" w:rsidRDefault="00A81621" w:rsidP="00860DC8">
      <w:pPr>
        <w:pStyle w:val="ListParagraph"/>
        <w:numPr>
          <w:ilvl w:val="1"/>
          <w:numId w:val="3"/>
        </w:numPr>
        <w:spacing w:before="0" w:after="120"/>
      </w:pPr>
      <w:r w:rsidRPr="005709F0">
        <w:t xml:space="preserve">The naïve indirect comparison between BOLT and STEVIE indicates the ORR results numerically favour vismodegib over sonidegib in both the laBCC and mBCC cohorts. </w:t>
      </w:r>
      <w:r w:rsidR="00665F19">
        <w:t>D</w:t>
      </w:r>
      <w:r w:rsidRPr="005709F0">
        <w:t xml:space="preserve">ifferent criteria (mRECIST vs. RECIST v1.1) </w:t>
      </w:r>
      <w:r w:rsidR="00665F19">
        <w:t xml:space="preserve">were </w:t>
      </w:r>
      <w:r w:rsidRPr="005709F0">
        <w:t>used to assess response</w:t>
      </w:r>
      <w:r w:rsidR="00665F19">
        <w:t xml:space="preserve"> in the laBCC cohort</w:t>
      </w:r>
      <w:r w:rsidRPr="005709F0">
        <w:t>.</w:t>
      </w:r>
    </w:p>
    <w:p w:rsidR="00C368D1" w:rsidRDefault="00C368D1" w:rsidP="00860DC8">
      <w:pPr>
        <w:pStyle w:val="ListParagraph"/>
        <w:numPr>
          <w:ilvl w:val="1"/>
          <w:numId w:val="3"/>
        </w:numPr>
        <w:spacing w:before="0" w:after="120"/>
      </w:pPr>
      <w:r w:rsidRPr="005709F0">
        <w:t xml:space="preserve">The PBAC in both its March and November 2016 considerations of vismodegib considered that a response rate of 50% was the </w:t>
      </w:r>
      <w:r w:rsidR="009967CF" w:rsidRPr="005709F0">
        <w:t>more appropriate</w:t>
      </w:r>
      <w:r w:rsidRPr="005709F0">
        <w:t xml:space="preserve"> estimation of effectiveness</w:t>
      </w:r>
      <w:r w:rsidR="002E6995" w:rsidRPr="005709F0">
        <w:t xml:space="preserve"> of vismodegib</w:t>
      </w:r>
      <w:r w:rsidRPr="005709F0">
        <w:t xml:space="preserve">. </w:t>
      </w:r>
      <w:r w:rsidR="009967CF" w:rsidRPr="005709F0">
        <w:t xml:space="preserve">The PBAC noted that the STEVIE </w:t>
      </w:r>
      <w:r w:rsidR="005B7554" w:rsidRPr="005709F0">
        <w:t>study</w:t>
      </w:r>
      <w:r w:rsidR="009967CF" w:rsidRPr="005709F0">
        <w:t xml:space="preserve"> reported a higher response compared to the other vismodegib studies</w:t>
      </w:r>
      <w:r w:rsidR="005B7554" w:rsidRPr="005709F0">
        <w:t xml:space="preserve">. This study </w:t>
      </w:r>
      <w:r w:rsidR="009967CF" w:rsidRPr="005709F0">
        <w:t>had the lowest proportion of participants with metastatic disease</w:t>
      </w:r>
      <w:r w:rsidR="005B7554" w:rsidRPr="005709F0">
        <w:t xml:space="preserve"> (6.2% vs 16.5% in BOLT vs 34.4%-47.9% in ERIVANCE and EAS)</w:t>
      </w:r>
      <w:r w:rsidR="009967CF" w:rsidRPr="005709F0">
        <w:t xml:space="preserve"> and used investigator rather than independent response assessment</w:t>
      </w:r>
      <w:r w:rsidR="005B46DE" w:rsidRPr="005709F0">
        <w:t xml:space="preserve"> (vismodegib public summary documents, March 2016 and November 2016 PBAC meetings)</w:t>
      </w:r>
      <w:r w:rsidR="009967CF" w:rsidRPr="005709F0">
        <w:t xml:space="preserve">. </w:t>
      </w:r>
    </w:p>
    <w:p w:rsidR="00FD0EAD" w:rsidRDefault="00FD0EAD" w:rsidP="00860DC8">
      <w:pPr>
        <w:pStyle w:val="ListParagraph"/>
        <w:numPr>
          <w:ilvl w:val="1"/>
          <w:numId w:val="3"/>
        </w:numPr>
        <w:spacing w:before="0" w:after="120"/>
      </w:pPr>
      <w:r w:rsidRPr="00216565">
        <w:t xml:space="preserve">The ESC noted </w:t>
      </w:r>
      <w:r w:rsidR="003E2A0B" w:rsidRPr="00216565">
        <w:t xml:space="preserve">that </w:t>
      </w:r>
      <w:r w:rsidRPr="00216565">
        <w:t>the Pre-Sub-Committee Response</w:t>
      </w:r>
      <w:r w:rsidR="005942F1" w:rsidRPr="00216565">
        <w:t xml:space="preserve"> (PSCR)</w:t>
      </w:r>
      <w:r w:rsidRPr="00216565">
        <w:t xml:space="preserve"> </w:t>
      </w:r>
      <w:r w:rsidR="005942F1" w:rsidRPr="00216565">
        <w:t>provided additional analysis of the BOLT study (</w:t>
      </w:r>
      <w:r w:rsidR="00B57071" w:rsidRPr="00216565">
        <w:t xml:space="preserve">based on </w:t>
      </w:r>
      <w:r w:rsidR="005942F1" w:rsidRPr="00216565">
        <w:t xml:space="preserve">median follow-up as well as a nominated point) and emphasised the longer response for patients on sonidegib, however the ESC did not consider that </w:t>
      </w:r>
      <w:r w:rsidR="00474BEF" w:rsidRPr="00216565">
        <w:t xml:space="preserve">it </w:t>
      </w:r>
      <w:r w:rsidR="005942F1" w:rsidRPr="00216565">
        <w:t>increased the reliability of the analysis</w:t>
      </w:r>
      <w:r w:rsidR="00474BEF" w:rsidRPr="00216565">
        <w:t xml:space="preserve"> as it was based o</w:t>
      </w:r>
      <w:r w:rsidR="00B57071" w:rsidRPr="00216565">
        <w:t>n</w:t>
      </w:r>
      <w:r w:rsidR="00474BEF" w:rsidRPr="00216565">
        <w:t xml:space="preserve"> the same low patient numbers.</w:t>
      </w:r>
    </w:p>
    <w:p w:rsidR="00216565" w:rsidRPr="00216565" w:rsidRDefault="00216565" w:rsidP="00860DC8">
      <w:pPr>
        <w:pStyle w:val="ListParagraph"/>
        <w:numPr>
          <w:ilvl w:val="1"/>
          <w:numId w:val="3"/>
        </w:numPr>
        <w:spacing w:before="0" w:after="120"/>
      </w:pPr>
      <w:r>
        <w:t>The PBAC noted that the pre-PBAC response included data from the 800 mg arm of the BOLT study to</w:t>
      </w:r>
      <w:r w:rsidR="00704B6E">
        <w:t xml:space="preserve"> further </w:t>
      </w:r>
      <w:r>
        <w:t>support the efficacy of sonidegib</w:t>
      </w:r>
      <w:r w:rsidR="00665F19">
        <w:t>,</w:t>
      </w:r>
      <w:r>
        <w:t xml:space="preserve"> particularly in mBCC</w:t>
      </w:r>
      <w:r w:rsidR="00665F19">
        <w:t xml:space="preserve">, on the basis of </w:t>
      </w:r>
      <w:r w:rsidR="00704B6E">
        <w:t xml:space="preserve">the 800 mg arm </w:t>
      </w:r>
      <w:r w:rsidR="00665F19">
        <w:t>be</w:t>
      </w:r>
      <w:r w:rsidR="00704B6E">
        <w:t xml:space="preserve"> equivalent to the 200 mg in efficacy</w:t>
      </w:r>
      <w:r w:rsidR="00665F19">
        <w:t>.</w:t>
      </w:r>
      <w:r w:rsidR="00704B6E">
        <w:t xml:space="preserve"> </w:t>
      </w:r>
      <w:r w:rsidR="00665F19">
        <w:t>T</w:t>
      </w:r>
      <w:r w:rsidR="00704B6E">
        <w:t>he PBAC consider</w:t>
      </w:r>
      <w:r w:rsidR="00665F19">
        <w:t>ed</w:t>
      </w:r>
      <w:r w:rsidR="00704B6E">
        <w:t xml:space="preserve"> that the addition of the </w:t>
      </w:r>
      <w:r w:rsidR="00665F19">
        <w:t xml:space="preserve">data for the </w:t>
      </w:r>
      <w:r w:rsidR="00704B6E">
        <w:t xml:space="preserve">800 mg arm </w:t>
      </w:r>
      <w:r w:rsidR="00233AC1">
        <w:t xml:space="preserve">did not substantially </w:t>
      </w:r>
      <w:r w:rsidR="00B54100">
        <w:t>increase</w:t>
      </w:r>
      <w:r w:rsidR="00704B6E">
        <w:t xml:space="preserve"> the reliability of the comparison with vismodegib</w:t>
      </w:r>
      <w:r w:rsidR="00233AC1">
        <w:t xml:space="preserve"> in mBCC patients</w:t>
      </w:r>
      <w:r w:rsidR="00704B6E">
        <w:t xml:space="preserve">. The PBAC </w:t>
      </w:r>
      <w:r w:rsidR="00233AC1">
        <w:t>noted</w:t>
      </w:r>
      <w:r w:rsidR="00704B6E">
        <w:t xml:space="preserve"> the lower ORR in mBBC for both the 200 mg and 800 mg arms of the BOLT study compared to vismodegib</w:t>
      </w:r>
      <w:r w:rsidR="00233AC1">
        <w:t>, h</w:t>
      </w:r>
      <w:r w:rsidR="00704B6E">
        <w:t xml:space="preserve">owever, considered that </w:t>
      </w:r>
      <w:r w:rsidR="00233AC1">
        <w:t>there may be a clinical role for sonidegib in the treatment of mBCC</w:t>
      </w:r>
      <w:r w:rsidR="00EC14EF">
        <w:t>.</w:t>
      </w:r>
    </w:p>
    <w:p w:rsidR="00A81621" w:rsidRPr="005709F0" w:rsidRDefault="00A81621" w:rsidP="00A81621">
      <w:pPr>
        <w:pStyle w:val="Heading2"/>
        <w:rPr>
          <w:i w:val="0"/>
        </w:rPr>
      </w:pPr>
      <w:bookmarkStart w:id="18" w:name="_Toc413139279"/>
      <w:bookmarkStart w:id="19" w:name="_Toc493060965"/>
      <w:r w:rsidRPr="005709F0">
        <w:rPr>
          <w:i w:val="0"/>
        </w:rPr>
        <w:t>Comparative harms</w:t>
      </w:r>
      <w:bookmarkEnd w:id="18"/>
      <w:bookmarkEnd w:id="19"/>
    </w:p>
    <w:p w:rsidR="008772FD" w:rsidRPr="005709F0" w:rsidRDefault="007135C2" w:rsidP="00860DC8">
      <w:pPr>
        <w:pStyle w:val="ListParagraph"/>
        <w:numPr>
          <w:ilvl w:val="1"/>
          <w:numId w:val="3"/>
        </w:numPr>
        <w:spacing w:before="0" w:after="120"/>
      </w:pPr>
      <w:r w:rsidRPr="005709F0">
        <w:t xml:space="preserve">The table below </w:t>
      </w:r>
      <w:r w:rsidR="00A81621" w:rsidRPr="005709F0">
        <w:t>summarises the main adverse events (AEs) from the BOLT, ERIVANCE and STEVIE single arm studies. The median duration of follow-up was shorter for STEVIE compared to that for either BOLT or ERIVANCE.</w:t>
      </w:r>
    </w:p>
    <w:p w:rsidR="00A81621" w:rsidRPr="005709F0" w:rsidRDefault="00A81621" w:rsidP="00A81621">
      <w:pPr>
        <w:pStyle w:val="TableHeader"/>
      </w:pPr>
      <w:r w:rsidRPr="005709F0">
        <w:t xml:space="preserve">Table </w:t>
      </w:r>
      <w:r w:rsidR="007135C2" w:rsidRPr="005709F0">
        <w:t>7</w:t>
      </w:r>
      <w:r w:rsidRPr="005709F0">
        <w:t xml:space="preserve">: Main AEs from the BOLT, </w:t>
      </w:r>
      <w:r w:rsidR="001A697B" w:rsidRPr="005709F0">
        <w:t>ERIVANCE and STEVIE single arms</w:t>
      </w: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Main AEs from the BOLT, ERIVANCE and STEVIE single arms"/>
      </w:tblPr>
      <w:tblGrid>
        <w:gridCol w:w="1951"/>
        <w:gridCol w:w="2329"/>
        <w:gridCol w:w="2481"/>
        <w:gridCol w:w="2481"/>
      </w:tblGrid>
      <w:tr w:rsidR="00A81621" w:rsidRPr="005709F0" w:rsidTr="00860DC8">
        <w:trPr>
          <w:tblHeader/>
        </w:trPr>
        <w:tc>
          <w:tcPr>
            <w:tcW w:w="1056" w:type="pct"/>
          </w:tcPr>
          <w:p w:rsidR="00A81621" w:rsidRPr="005709F0" w:rsidRDefault="00A81621" w:rsidP="0056640A">
            <w:pPr>
              <w:keepNext/>
              <w:spacing w:before="0"/>
              <w:rPr>
                <w:rFonts w:ascii="Arial Narrow" w:eastAsia="Calibri" w:hAnsi="Arial Narrow" w:cstheme="minorHAnsi"/>
                <w:b/>
                <w:sz w:val="20"/>
                <w:szCs w:val="20"/>
              </w:rPr>
            </w:pPr>
            <w:r w:rsidRPr="005709F0">
              <w:rPr>
                <w:rFonts w:ascii="Arial Narrow" w:eastAsia="Calibri" w:hAnsi="Arial Narrow" w:cstheme="minorHAnsi"/>
                <w:b/>
                <w:sz w:val="20"/>
                <w:szCs w:val="20"/>
              </w:rPr>
              <w:t>Safety outcome</w:t>
            </w:r>
          </w:p>
        </w:tc>
        <w:tc>
          <w:tcPr>
            <w:tcW w:w="1260" w:type="pct"/>
          </w:tcPr>
          <w:p w:rsidR="00A81621" w:rsidRPr="005709F0" w:rsidRDefault="00A81621" w:rsidP="0056640A">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BOLT (N = 79; FAS)</w:t>
            </w:r>
          </w:p>
          <w:p w:rsidR="00A81621" w:rsidRPr="005709F0" w:rsidRDefault="00A81621" w:rsidP="0056640A">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Data cut December 2013</w:t>
            </w:r>
          </w:p>
          <w:p w:rsidR="00A81621" w:rsidRPr="005709F0" w:rsidRDefault="00A81621" w:rsidP="0056640A">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Median duration of follow-up: 20 months</w:t>
            </w:r>
          </w:p>
          <w:p w:rsidR="00A81621" w:rsidRPr="005709F0" w:rsidRDefault="00A81621" w:rsidP="0056640A">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n (%)</w:t>
            </w:r>
          </w:p>
        </w:tc>
        <w:tc>
          <w:tcPr>
            <w:tcW w:w="1342" w:type="pct"/>
          </w:tcPr>
          <w:p w:rsidR="00A81621" w:rsidRPr="005709F0" w:rsidRDefault="001A697B" w:rsidP="0056640A">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ERIVANCE (N = 104</w:t>
            </w:r>
            <w:r w:rsidRPr="005709F0">
              <w:rPr>
                <w:rFonts w:ascii="Arial Narrow" w:eastAsia="Calibri" w:hAnsi="Arial Narrow" w:cstheme="minorHAnsi"/>
                <w:b/>
                <w:sz w:val="20"/>
                <w:szCs w:val="20"/>
                <w:vertAlign w:val="superscript"/>
              </w:rPr>
              <w:t>a</w:t>
            </w:r>
            <w:r w:rsidR="00A81621" w:rsidRPr="005709F0">
              <w:rPr>
                <w:rFonts w:ascii="Arial Narrow" w:eastAsia="Calibri" w:hAnsi="Arial Narrow" w:cstheme="minorHAnsi"/>
                <w:b/>
                <w:sz w:val="20"/>
                <w:szCs w:val="20"/>
              </w:rPr>
              <w:t>)</w:t>
            </w:r>
          </w:p>
          <w:p w:rsidR="00A81621" w:rsidRPr="005709F0" w:rsidRDefault="00A81621" w:rsidP="0056640A">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Data cut November 2010</w:t>
            </w:r>
          </w:p>
          <w:p w:rsidR="00A81621" w:rsidRPr="005709F0" w:rsidRDefault="00A81621" w:rsidP="0056640A">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Median duration of follow-up up to 21 months</w:t>
            </w:r>
            <w:r w:rsidR="001A697B" w:rsidRPr="005709F0">
              <w:rPr>
                <w:rFonts w:ascii="Arial Narrow" w:eastAsia="Calibri" w:hAnsi="Arial Narrow" w:cstheme="minorHAnsi"/>
                <w:b/>
                <w:sz w:val="20"/>
                <w:szCs w:val="20"/>
                <w:vertAlign w:val="superscript"/>
              </w:rPr>
              <w:t>b</w:t>
            </w:r>
            <w:r w:rsidRPr="005709F0">
              <w:rPr>
                <w:rFonts w:ascii="Arial Narrow" w:eastAsia="Calibri" w:hAnsi="Arial Narrow" w:cstheme="minorHAnsi"/>
                <w:b/>
                <w:sz w:val="20"/>
                <w:szCs w:val="20"/>
              </w:rPr>
              <w:t xml:space="preserve"> </w:t>
            </w:r>
          </w:p>
          <w:p w:rsidR="00A81621" w:rsidRPr="005709F0" w:rsidRDefault="00A81621" w:rsidP="0056640A">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n (%)</w:t>
            </w:r>
          </w:p>
        </w:tc>
        <w:tc>
          <w:tcPr>
            <w:tcW w:w="1342" w:type="pct"/>
          </w:tcPr>
          <w:p w:rsidR="00A81621" w:rsidRPr="005709F0" w:rsidRDefault="00A81621" w:rsidP="0056640A">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STEVIE (</w:t>
            </w:r>
            <w:r w:rsidR="00423EB0" w:rsidRPr="005709F0">
              <w:rPr>
                <w:rFonts w:ascii="Arial Narrow" w:eastAsia="Calibri" w:hAnsi="Arial Narrow" w:cstheme="minorHAnsi"/>
                <w:b/>
                <w:sz w:val="20"/>
                <w:szCs w:val="20"/>
              </w:rPr>
              <w:t xml:space="preserve">N = 499; </w:t>
            </w:r>
            <w:r w:rsidRPr="005709F0">
              <w:rPr>
                <w:rFonts w:ascii="Arial Narrow" w:eastAsia="Calibri" w:hAnsi="Arial Narrow" w:cstheme="minorHAnsi"/>
                <w:b/>
                <w:sz w:val="20"/>
                <w:szCs w:val="20"/>
              </w:rPr>
              <w:t>FAS)</w:t>
            </w:r>
          </w:p>
          <w:p w:rsidR="00A81621" w:rsidRPr="005709F0" w:rsidRDefault="00A81621" w:rsidP="0056640A">
            <w:pPr>
              <w:keepNext/>
              <w:spacing w:before="0"/>
              <w:jc w:val="center"/>
              <w:rPr>
                <w:rFonts w:ascii="Arial Narrow" w:eastAsia="Calibri" w:hAnsi="Arial Narrow" w:cstheme="minorHAnsi"/>
                <w:b/>
                <w:sz w:val="20"/>
                <w:szCs w:val="20"/>
                <w:vertAlign w:val="superscript"/>
              </w:rPr>
            </w:pPr>
            <w:r w:rsidRPr="005709F0">
              <w:rPr>
                <w:rFonts w:ascii="Arial Narrow" w:eastAsia="Calibri" w:hAnsi="Arial Narrow" w:cstheme="minorHAnsi"/>
                <w:b/>
                <w:sz w:val="20"/>
                <w:szCs w:val="20"/>
              </w:rPr>
              <w:t>Data cut November 2013</w:t>
            </w:r>
          </w:p>
          <w:p w:rsidR="00A81621" w:rsidRPr="005709F0" w:rsidRDefault="00A81621" w:rsidP="0056640A">
            <w:pPr>
              <w:keepNext/>
              <w:spacing w:before="0"/>
              <w:jc w:val="center"/>
              <w:rPr>
                <w:rFonts w:ascii="Arial Narrow" w:eastAsia="Calibri" w:hAnsi="Arial Narrow" w:cstheme="minorHAnsi"/>
                <w:b/>
                <w:sz w:val="20"/>
                <w:szCs w:val="20"/>
                <w:vertAlign w:val="superscript"/>
              </w:rPr>
            </w:pPr>
            <w:r w:rsidRPr="005709F0">
              <w:rPr>
                <w:rFonts w:ascii="Arial Narrow" w:eastAsia="Calibri" w:hAnsi="Arial Narrow" w:cstheme="minorHAnsi"/>
                <w:b/>
                <w:sz w:val="20"/>
                <w:szCs w:val="20"/>
              </w:rPr>
              <w:t>Median duration of follow-up 12.8 months</w:t>
            </w:r>
          </w:p>
          <w:p w:rsidR="00A81621" w:rsidRPr="005709F0" w:rsidRDefault="00A81621" w:rsidP="0056640A">
            <w:pPr>
              <w:keepNext/>
              <w:spacing w:before="0"/>
              <w:jc w:val="center"/>
              <w:rPr>
                <w:rFonts w:ascii="Arial Narrow" w:eastAsia="Calibri" w:hAnsi="Arial Narrow" w:cstheme="minorHAnsi"/>
                <w:b/>
                <w:sz w:val="20"/>
                <w:szCs w:val="20"/>
              </w:rPr>
            </w:pPr>
            <w:r w:rsidRPr="005709F0">
              <w:rPr>
                <w:rFonts w:ascii="Arial Narrow" w:eastAsia="Calibri" w:hAnsi="Arial Narrow" w:cstheme="minorHAnsi"/>
                <w:b/>
                <w:sz w:val="20"/>
                <w:szCs w:val="20"/>
              </w:rPr>
              <w:t>n (%)</w:t>
            </w:r>
          </w:p>
        </w:tc>
      </w:tr>
      <w:tr w:rsidR="00A81621" w:rsidRPr="005709F0" w:rsidTr="0056640A">
        <w:tc>
          <w:tcPr>
            <w:tcW w:w="1056" w:type="pct"/>
          </w:tcPr>
          <w:p w:rsidR="00A81621" w:rsidRPr="005709F0" w:rsidRDefault="00A81621" w:rsidP="0056640A">
            <w:pPr>
              <w:spacing w:before="0"/>
              <w:rPr>
                <w:rFonts w:ascii="Arial Narrow" w:eastAsia="Calibri" w:hAnsi="Arial Narrow" w:cstheme="minorHAnsi"/>
                <w:sz w:val="20"/>
                <w:szCs w:val="20"/>
              </w:rPr>
            </w:pPr>
            <w:r w:rsidRPr="005709F0">
              <w:rPr>
                <w:rFonts w:ascii="Arial Narrow" w:hAnsi="Arial Narrow" w:cstheme="minorHAnsi"/>
                <w:iCs/>
                <w:sz w:val="20"/>
                <w:szCs w:val="20"/>
              </w:rPr>
              <w:t>AEs</w:t>
            </w:r>
          </w:p>
        </w:tc>
        <w:tc>
          <w:tcPr>
            <w:tcW w:w="1260"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77 (97.5)</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104 (100)</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491 (98.4)</w:t>
            </w:r>
          </w:p>
        </w:tc>
      </w:tr>
      <w:tr w:rsidR="00A81621" w:rsidRPr="005709F0" w:rsidTr="0056640A">
        <w:tc>
          <w:tcPr>
            <w:tcW w:w="1056" w:type="pct"/>
          </w:tcPr>
          <w:p w:rsidR="00A81621" w:rsidRPr="005709F0" w:rsidRDefault="00A81621" w:rsidP="0056640A">
            <w:pPr>
              <w:spacing w:before="0"/>
              <w:ind w:left="306"/>
              <w:rPr>
                <w:rFonts w:ascii="Arial Narrow" w:hAnsi="Arial Narrow" w:cstheme="minorHAnsi"/>
                <w:iCs/>
                <w:sz w:val="20"/>
                <w:szCs w:val="20"/>
              </w:rPr>
            </w:pPr>
            <w:r w:rsidRPr="005709F0">
              <w:rPr>
                <w:rFonts w:ascii="Arial Narrow" w:hAnsi="Arial Narrow" w:cstheme="minorHAnsi"/>
                <w:iCs/>
                <w:sz w:val="20"/>
                <w:szCs w:val="20"/>
              </w:rPr>
              <w:t>Grade 1-2 AEs</w:t>
            </w:r>
          </w:p>
        </w:tc>
        <w:tc>
          <w:tcPr>
            <w:tcW w:w="1260"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47 (59.5)</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60 (57.7)</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276 (55.3)</w:t>
            </w:r>
          </w:p>
        </w:tc>
      </w:tr>
      <w:tr w:rsidR="00A81621" w:rsidRPr="005709F0" w:rsidTr="0056640A">
        <w:tc>
          <w:tcPr>
            <w:tcW w:w="1056" w:type="pct"/>
          </w:tcPr>
          <w:p w:rsidR="00A81621" w:rsidRPr="005709F0" w:rsidRDefault="00A81621" w:rsidP="0056640A">
            <w:pPr>
              <w:spacing w:before="0"/>
              <w:ind w:left="306"/>
              <w:rPr>
                <w:rFonts w:ascii="Arial Narrow" w:hAnsi="Arial Narrow" w:cstheme="minorHAnsi"/>
                <w:iCs/>
                <w:sz w:val="20"/>
                <w:szCs w:val="20"/>
              </w:rPr>
            </w:pPr>
            <w:r w:rsidRPr="005709F0">
              <w:rPr>
                <w:rFonts w:ascii="Arial Narrow" w:hAnsi="Arial Narrow" w:cstheme="minorHAnsi"/>
                <w:iCs/>
                <w:sz w:val="20"/>
                <w:szCs w:val="20"/>
              </w:rPr>
              <w:t>Grade 3-4 AEs</w:t>
            </w:r>
          </w:p>
        </w:tc>
        <w:tc>
          <w:tcPr>
            <w:tcW w:w="1260"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30 (38.0)</w:t>
            </w:r>
          </w:p>
        </w:tc>
        <w:tc>
          <w:tcPr>
            <w:tcW w:w="1342" w:type="pct"/>
          </w:tcPr>
          <w:p w:rsidR="00A81621" w:rsidRPr="005709F0" w:rsidRDefault="00A81621" w:rsidP="00592127">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44 (42.3)</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193 (38.7)</w:t>
            </w:r>
          </w:p>
        </w:tc>
      </w:tr>
      <w:tr w:rsidR="00A81621" w:rsidRPr="005709F0" w:rsidTr="0056640A">
        <w:tc>
          <w:tcPr>
            <w:tcW w:w="1056" w:type="pct"/>
          </w:tcPr>
          <w:p w:rsidR="00A81621" w:rsidRPr="005709F0" w:rsidRDefault="00A81621" w:rsidP="0056640A">
            <w:pPr>
              <w:spacing w:before="0"/>
              <w:rPr>
                <w:rFonts w:ascii="Arial Narrow" w:hAnsi="Arial Narrow" w:cstheme="minorHAnsi"/>
                <w:iCs/>
                <w:sz w:val="20"/>
                <w:szCs w:val="20"/>
              </w:rPr>
            </w:pPr>
            <w:r w:rsidRPr="005709F0">
              <w:rPr>
                <w:rFonts w:ascii="Arial Narrow" w:hAnsi="Arial Narrow" w:cstheme="minorHAnsi"/>
                <w:iCs/>
                <w:sz w:val="20"/>
                <w:szCs w:val="20"/>
              </w:rPr>
              <w:t>Treatment-related AEs</w:t>
            </w:r>
          </w:p>
        </w:tc>
        <w:tc>
          <w:tcPr>
            <w:tcW w:w="1260"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70 (88.6)</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98 (94%)</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490 (98.2)</w:t>
            </w:r>
          </w:p>
        </w:tc>
      </w:tr>
      <w:tr w:rsidR="00A81621" w:rsidRPr="005709F0" w:rsidTr="0056640A">
        <w:trPr>
          <w:trHeight w:val="682"/>
        </w:trPr>
        <w:tc>
          <w:tcPr>
            <w:tcW w:w="1056" w:type="pct"/>
          </w:tcPr>
          <w:p w:rsidR="00A81621" w:rsidRPr="005709F0" w:rsidRDefault="00A81621" w:rsidP="003E2A0B">
            <w:pPr>
              <w:spacing w:before="0"/>
              <w:jc w:val="left"/>
              <w:rPr>
                <w:rFonts w:ascii="Arial Narrow" w:hAnsi="Arial Narrow" w:cstheme="minorHAnsi"/>
                <w:iCs/>
                <w:sz w:val="20"/>
                <w:szCs w:val="20"/>
              </w:rPr>
            </w:pPr>
            <w:r w:rsidRPr="005709F0">
              <w:rPr>
                <w:rFonts w:ascii="Arial Narrow" w:hAnsi="Arial Narrow" w:cstheme="minorHAnsi"/>
                <w:iCs/>
                <w:sz w:val="20"/>
                <w:szCs w:val="20"/>
              </w:rPr>
              <w:t>Most common treatment-related AE (any grade)</w:t>
            </w:r>
          </w:p>
        </w:tc>
        <w:tc>
          <w:tcPr>
            <w:tcW w:w="1260" w:type="pct"/>
          </w:tcPr>
          <w:p w:rsidR="00A81621" w:rsidRPr="005709F0" w:rsidRDefault="00A81621" w:rsidP="0056640A">
            <w:pPr>
              <w:keepNext/>
              <w:spacing w:before="0"/>
              <w:jc w:val="center"/>
              <w:rPr>
                <w:rFonts w:ascii="Arial Narrow" w:eastAsia="Calibri" w:hAnsi="Arial Narrow" w:cstheme="minorHAnsi"/>
                <w:sz w:val="20"/>
                <w:szCs w:val="20"/>
              </w:rPr>
            </w:pP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p>
        </w:tc>
      </w:tr>
      <w:tr w:rsidR="00A81621" w:rsidRPr="005709F0" w:rsidTr="0056640A">
        <w:tc>
          <w:tcPr>
            <w:tcW w:w="1056" w:type="pct"/>
          </w:tcPr>
          <w:p w:rsidR="00A81621" w:rsidRPr="005709F0" w:rsidRDefault="00A81621" w:rsidP="0056640A">
            <w:pPr>
              <w:spacing w:before="0"/>
              <w:ind w:left="306"/>
              <w:rPr>
                <w:rFonts w:ascii="Arial Narrow" w:hAnsi="Arial Narrow" w:cstheme="minorHAnsi"/>
                <w:iCs/>
                <w:sz w:val="20"/>
                <w:szCs w:val="20"/>
              </w:rPr>
            </w:pPr>
            <w:r w:rsidRPr="005709F0">
              <w:rPr>
                <w:rFonts w:ascii="Arial Narrow" w:hAnsi="Arial Narrow" w:cstheme="minorHAnsi"/>
                <w:iCs/>
                <w:sz w:val="20"/>
                <w:szCs w:val="20"/>
              </w:rPr>
              <w:t>Muscle spasm</w:t>
            </w:r>
          </w:p>
        </w:tc>
        <w:tc>
          <w:tcPr>
            <w:tcW w:w="1260"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41 (51.9)</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68 (65.4)</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317 (63.5)</w:t>
            </w:r>
          </w:p>
        </w:tc>
      </w:tr>
      <w:tr w:rsidR="00A81621" w:rsidRPr="005709F0" w:rsidTr="0056640A">
        <w:tc>
          <w:tcPr>
            <w:tcW w:w="1056" w:type="pct"/>
          </w:tcPr>
          <w:p w:rsidR="00A81621" w:rsidRPr="005709F0" w:rsidRDefault="00A81621" w:rsidP="0056640A">
            <w:pPr>
              <w:spacing w:before="0"/>
              <w:ind w:left="306"/>
              <w:rPr>
                <w:rFonts w:ascii="Arial Narrow" w:hAnsi="Arial Narrow" w:cstheme="minorHAnsi"/>
                <w:iCs/>
                <w:sz w:val="20"/>
                <w:szCs w:val="20"/>
              </w:rPr>
            </w:pPr>
            <w:r w:rsidRPr="005709F0">
              <w:rPr>
                <w:rFonts w:ascii="Arial Narrow" w:hAnsi="Arial Narrow" w:cstheme="minorHAnsi"/>
                <w:iCs/>
                <w:sz w:val="20"/>
                <w:szCs w:val="20"/>
              </w:rPr>
              <w:t>Alopecia</w:t>
            </w:r>
          </w:p>
        </w:tc>
        <w:tc>
          <w:tcPr>
            <w:tcW w:w="1260"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36 (45.6)</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63 (60.6)</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307 (61.5)</w:t>
            </w:r>
          </w:p>
        </w:tc>
      </w:tr>
      <w:tr w:rsidR="00A81621" w:rsidRPr="005709F0" w:rsidTr="0056640A">
        <w:tc>
          <w:tcPr>
            <w:tcW w:w="1056" w:type="pct"/>
          </w:tcPr>
          <w:p w:rsidR="00A81621" w:rsidRPr="005709F0" w:rsidRDefault="00A81621" w:rsidP="0056640A">
            <w:pPr>
              <w:spacing w:before="0"/>
              <w:ind w:left="306"/>
              <w:rPr>
                <w:rFonts w:ascii="Arial Narrow" w:hAnsi="Arial Narrow" w:cstheme="minorHAnsi"/>
                <w:iCs/>
                <w:sz w:val="20"/>
                <w:szCs w:val="20"/>
              </w:rPr>
            </w:pPr>
            <w:r w:rsidRPr="005709F0">
              <w:rPr>
                <w:rFonts w:ascii="Arial Narrow" w:hAnsi="Arial Narrow" w:cstheme="minorHAnsi"/>
                <w:iCs/>
                <w:sz w:val="20"/>
                <w:szCs w:val="20"/>
              </w:rPr>
              <w:t>Dysgeusia</w:t>
            </w:r>
          </w:p>
        </w:tc>
        <w:tc>
          <w:tcPr>
            <w:tcW w:w="1260"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31 (39.2)</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51 (49.0)</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269 (53.9)</w:t>
            </w:r>
          </w:p>
        </w:tc>
      </w:tr>
      <w:tr w:rsidR="00A81621" w:rsidRPr="005709F0" w:rsidTr="0056640A">
        <w:tc>
          <w:tcPr>
            <w:tcW w:w="1056" w:type="pct"/>
          </w:tcPr>
          <w:p w:rsidR="00A81621" w:rsidRPr="005709F0" w:rsidRDefault="00A81621" w:rsidP="0056640A">
            <w:pPr>
              <w:spacing w:before="0"/>
              <w:ind w:left="306"/>
              <w:rPr>
                <w:rFonts w:ascii="Arial Narrow" w:hAnsi="Arial Narrow" w:cstheme="minorHAnsi"/>
                <w:iCs/>
                <w:sz w:val="20"/>
                <w:szCs w:val="20"/>
              </w:rPr>
            </w:pPr>
            <w:r w:rsidRPr="005709F0">
              <w:rPr>
                <w:rFonts w:ascii="Arial Narrow" w:hAnsi="Arial Narrow" w:cstheme="minorHAnsi"/>
                <w:iCs/>
                <w:sz w:val="20"/>
                <w:szCs w:val="20"/>
              </w:rPr>
              <w:t>Nausea</w:t>
            </w:r>
          </w:p>
        </w:tc>
        <w:tc>
          <w:tcPr>
            <w:tcW w:w="1260"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22 (27.8)</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29 (27.9)</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80 (16)</w:t>
            </w:r>
          </w:p>
        </w:tc>
      </w:tr>
      <w:tr w:rsidR="00A81621" w:rsidRPr="005709F0" w:rsidTr="0056640A">
        <w:tc>
          <w:tcPr>
            <w:tcW w:w="1056" w:type="pct"/>
          </w:tcPr>
          <w:p w:rsidR="00A81621" w:rsidRPr="005709F0" w:rsidRDefault="00A81621" w:rsidP="0056640A">
            <w:pPr>
              <w:spacing w:before="0"/>
              <w:ind w:left="306"/>
              <w:rPr>
                <w:rFonts w:ascii="Arial Narrow" w:hAnsi="Arial Narrow" w:cstheme="minorHAnsi"/>
                <w:iCs/>
                <w:sz w:val="20"/>
                <w:szCs w:val="20"/>
              </w:rPr>
            </w:pPr>
            <w:r w:rsidRPr="005709F0">
              <w:rPr>
                <w:rFonts w:ascii="Arial Narrow" w:hAnsi="Arial Narrow" w:cstheme="minorHAnsi"/>
                <w:iCs/>
                <w:sz w:val="20"/>
                <w:szCs w:val="20"/>
              </w:rPr>
              <w:t xml:space="preserve">Decreased weight </w:t>
            </w:r>
          </w:p>
        </w:tc>
        <w:tc>
          <w:tcPr>
            <w:tcW w:w="1260"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20 (25.3)</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46 (44.2)</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162 (32.5)</w:t>
            </w:r>
          </w:p>
        </w:tc>
      </w:tr>
      <w:tr w:rsidR="00A81621" w:rsidRPr="005709F0" w:rsidTr="0056640A">
        <w:tc>
          <w:tcPr>
            <w:tcW w:w="1056" w:type="pct"/>
          </w:tcPr>
          <w:p w:rsidR="00A81621" w:rsidRPr="005709F0" w:rsidRDefault="00A81621" w:rsidP="0056640A">
            <w:pPr>
              <w:spacing w:before="0"/>
              <w:ind w:left="306"/>
              <w:rPr>
                <w:rFonts w:ascii="Arial Narrow" w:hAnsi="Arial Narrow" w:cstheme="minorHAnsi"/>
                <w:iCs/>
                <w:sz w:val="20"/>
                <w:szCs w:val="20"/>
              </w:rPr>
            </w:pPr>
            <w:r w:rsidRPr="005709F0">
              <w:rPr>
                <w:rFonts w:ascii="Arial Narrow" w:hAnsi="Arial Narrow" w:cstheme="minorHAnsi"/>
                <w:iCs/>
                <w:sz w:val="20"/>
                <w:szCs w:val="20"/>
              </w:rPr>
              <w:t>Fatigue</w:t>
            </w:r>
          </w:p>
        </w:tc>
        <w:tc>
          <w:tcPr>
            <w:tcW w:w="1260"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17 (21.5)</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36 (34.6)</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80 (16)</w:t>
            </w:r>
          </w:p>
        </w:tc>
      </w:tr>
      <w:tr w:rsidR="00A81621" w:rsidRPr="005709F0" w:rsidTr="0056640A">
        <w:tc>
          <w:tcPr>
            <w:tcW w:w="1056" w:type="pct"/>
          </w:tcPr>
          <w:p w:rsidR="00A81621" w:rsidRPr="005709F0" w:rsidRDefault="00A81621" w:rsidP="0056640A">
            <w:pPr>
              <w:spacing w:before="0"/>
              <w:ind w:left="306"/>
              <w:rPr>
                <w:rFonts w:ascii="Arial Narrow" w:hAnsi="Arial Narrow" w:cstheme="minorHAnsi"/>
                <w:iCs/>
                <w:sz w:val="20"/>
                <w:szCs w:val="20"/>
              </w:rPr>
            </w:pPr>
            <w:r w:rsidRPr="005709F0">
              <w:rPr>
                <w:rFonts w:ascii="Arial Narrow" w:hAnsi="Arial Narrow" w:cstheme="minorHAnsi"/>
                <w:iCs/>
                <w:sz w:val="20"/>
                <w:szCs w:val="20"/>
              </w:rPr>
              <w:t>Decreased appetite</w:t>
            </w:r>
          </w:p>
        </w:tc>
        <w:tc>
          <w:tcPr>
            <w:tcW w:w="1260"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14 (17.7)</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23 (22.1)</w:t>
            </w:r>
          </w:p>
        </w:tc>
        <w:tc>
          <w:tcPr>
            <w:tcW w:w="1342" w:type="pct"/>
          </w:tcPr>
          <w:p w:rsidR="00A81621" w:rsidRPr="005709F0" w:rsidRDefault="00A81621" w:rsidP="0056640A">
            <w:pPr>
              <w:keepNext/>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126 (25.3)</w:t>
            </w:r>
          </w:p>
        </w:tc>
      </w:tr>
      <w:tr w:rsidR="00A81621" w:rsidRPr="005709F0" w:rsidTr="0056640A">
        <w:tc>
          <w:tcPr>
            <w:tcW w:w="1056" w:type="pct"/>
          </w:tcPr>
          <w:p w:rsidR="00A81621" w:rsidRPr="005709F0" w:rsidRDefault="00A81621" w:rsidP="0056640A">
            <w:pPr>
              <w:spacing w:before="0"/>
              <w:rPr>
                <w:rFonts w:ascii="Arial Narrow" w:eastAsia="Calibri" w:hAnsi="Arial Narrow" w:cstheme="minorHAnsi"/>
                <w:sz w:val="20"/>
                <w:szCs w:val="20"/>
              </w:rPr>
            </w:pPr>
            <w:r w:rsidRPr="005709F0">
              <w:rPr>
                <w:rFonts w:ascii="Arial Narrow" w:hAnsi="Arial Narrow" w:cstheme="minorHAnsi"/>
                <w:iCs/>
                <w:sz w:val="20"/>
                <w:szCs w:val="20"/>
              </w:rPr>
              <w:t>SAEs</w:t>
            </w:r>
          </w:p>
        </w:tc>
        <w:tc>
          <w:tcPr>
            <w:tcW w:w="1260" w:type="pct"/>
          </w:tcPr>
          <w:p w:rsidR="00A81621" w:rsidRPr="005709F0" w:rsidRDefault="00A81621" w:rsidP="0056640A">
            <w:pPr>
              <w:spacing w:before="0"/>
              <w:jc w:val="center"/>
              <w:rPr>
                <w:rFonts w:ascii="Arial Narrow" w:hAnsi="Arial Narrow" w:cstheme="minorHAnsi"/>
                <w:sz w:val="20"/>
                <w:szCs w:val="20"/>
              </w:rPr>
            </w:pPr>
            <w:r w:rsidRPr="005709F0">
              <w:rPr>
                <w:rFonts w:ascii="Arial Narrow" w:hAnsi="Arial Narrow" w:cstheme="minorHAnsi"/>
                <w:sz w:val="20"/>
                <w:szCs w:val="20"/>
              </w:rPr>
              <w:t>13 (16.5)</w:t>
            </w:r>
          </w:p>
        </w:tc>
        <w:tc>
          <w:tcPr>
            <w:tcW w:w="1342" w:type="pct"/>
          </w:tcPr>
          <w:p w:rsidR="00A81621" w:rsidRPr="005709F0" w:rsidRDefault="00A81621" w:rsidP="0056640A">
            <w:pPr>
              <w:spacing w:before="0"/>
              <w:jc w:val="center"/>
              <w:rPr>
                <w:rFonts w:ascii="Arial Narrow" w:hAnsi="Arial Narrow" w:cstheme="minorHAnsi"/>
                <w:sz w:val="20"/>
                <w:szCs w:val="20"/>
              </w:rPr>
            </w:pPr>
            <w:r w:rsidRPr="005709F0">
              <w:rPr>
                <w:rFonts w:ascii="Arial Narrow" w:hAnsi="Arial Narrow" w:cstheme="minorHAnsi"/>
                <w:sz w:val="20"/>
                <w:szCs w:val="20"/>
              </w:rPr>
              <w:t>26 (25)</w:t>
            </w:r>
          </w:p>
        </w:tc>
        <w:tc>
          <w:tcPr>
            <w:tcW w:w="1342" w:type="pct"/>
          </w:tcPr>
          <w:p w:rsidR="00A81621" w:rsidRPr="005709F0" w:rsidRDefault="00A81621" w:rsidP="0056640A">
            <w:pPr>
              <w:spacing w:before="0"/>
              <w:jc w:val="center"/>
              <w:rPr>
                <w:rFonts w:ascii="Arial Narrow" w:hAnsi="Arial Narrow" w:cstheme="minorHAnsi"/>
                <w:sz w:val="20"/>
                <w:szCs w:val="20"/>
              </w:rPr>
            </w:pPr>
            <w:r w:rsidRPr="005709F0">
              <w:rPr>
                <w:rFonts w:ascii="Arial Narrow" w:hAnsi="Arial Narrow" w:cstheme="minorHAnsi"/>
                <w:sz w:val="20"/>
                <w:szCs w:val="20"/>
              </w:rPr>
              <w:t>108 (21.6)</w:t>
            </w:r>
          </w:p>
        </w:tc>
      </w:tr>
      <w:tr w:rsidR="00A81621" w:rsidRPr="005709F0" w:rsidTr="0056640A">
        <w:tc>
          <w:tcPr>
            <w:tcW w:w="1056" w:type="pct"/>
          </w:tcPr>
          <w:p w:rsidR="00A81621" w:rsidRPr="005709F0" w:rsidRDefault="00A81621" w:rsidP="0056640A">
            <w:pPr>
              <w:spacing w:before="0"/>
              <w:ind w:left="306"/>
              <w:rPr>
                <w:rFonts w:ascii="Arial Narrow" w:eastAsia="Calibri" w:hAnsi="Arial Narrow" w:cstheme="minorHAnsi"/>
                <w:sz w:val="20"/>
                <w:szCs w:val="20"/>
              </w:rPr>
            </w:pPr>
            <w:r w:rsidRPr="005709F0">
              <w:rPr>
                <w:rFonts w:ascii="Arial Narrow" w:hAnsi="Arial Narrow" w:cstheme="minorHAnsi"/>
                <w:iCs/>
                <w:sz w:val="20"/>
                <w:szCs w:val="20"/>
              </w:rPr>
              <w:t>Treatment-related SAEs</w:t>
            </w:r>
          </w:p>
        </w:tc>
        <w:tc>
          <w:tcPr>
            <w:tcW w:w="1260" w:type="pct"/>
          </w:tcPr>
          <w:p w:rsidR="00A81621" w:rsidRPr="005709F0" w:rsidRDefault="00A81621" w:rsidP="0056640A">
            <w:pPr>
              <w:spacing w:before="0"/>
              <w:jc w:val="center"/>
              <w:rPr>
                <w:rFonts w:ascii="Arial Narrow" w:hAnsi="Arial Narrow" w:cstheme="minorHAnsi"/>
                <w:sz w:val="20"/>
                <w:szCs w:val="20"/>
              </w:rPr>
            </w:pPr>
            <w:r w:rsidRPr="005709F0">
              <w:rPr>
                <w:rFonts w:ascii="Arial Narrow" w:hAnsi="Arial Narrow" w:cstheme="minorHAnsi"/>
                <w:sz w:val="20"/>
                <w:szCs w:val="20"/>
              </w:rPr>
              <w:t>2 (2.5)</w:t>
            </w:r>
          </w:p>
        </w:tc>
        <w:tc>
          <w:tcPr>
            <w:tcW w:w="1342" w:type="pct"/>
          </w:tcPr>
          <w:p w:rsidR="00A81621" w:rsidRPr="005709F0" w:rsidRDefault="00A81621" w:rsidP="0056640A">
            <w:pPr>
              <w:spacing w:before="0"/>
              <w:jc w:val="center"/>
              <w:rPr>
                <w:rFonts w:ascii="Arial Narrow" w:hAnsi="Arial Narrow" w:cstheme="minorHAnsi"/>
                <w:sz w:val="20"/>
                <w:szCs w:val="20"/>
                <w:vertAlign w:val="superscript"/>
              </w:rPr>
            </w:pPr>
            <w:r w:rsidRPr="005709F0">
              <w:rPr>
                <w:rFonts w:ascii="Arial Narrow" w:hAnsi="Arial Narrow" w:cstheme="minorHAnsi"/>
                <w:sz w:val="20"/>
                <w:szCs w:val="20"/>
              </w:rPr>
              <w:t>NR</w:t>
            </w:r>
            <w:r w:rsidR="001A697B" w:rsidRPr="005709F0">
              <w:rPr>
                <w:rFonts w:ascii="Arial Narrow" w:hAnsi="Arial Narrow" w:cstheme="minorHAnsi"/>
                <w:sz w:val="20"/>
                <w:szCs w:val="20"/>
                <w:vertAlign w:val="superscript"/>
              </w:rPr>
              <w:t>c</w:t>
            </w:r>
          </w:p>
        </w:tc>
        <w:tc>
          <w:tcPr>
            <w:tcW w:w="1342" w:type="pct"/>
          </w:tcPr>
          <w:p w:rsidR="00A81621" w:rsidRPr="005709F0" w:rsidRDefault="00A81621" w:rsidP="0056640A">
            <w:pPr>
              <w:spacing w:before="0"/>
              <w:jc w:val="center"/>
              <w:rPr>
                <w:rFonts w:ascii="Arial Narrow" w:hAnsi="Arial Narrow" w:cstheme="minorHAnsi"/>
                <w:sz w:val="20"/>
                <w:szCs w:val="20"/>
              </w:rPr>
            </w:pPr>
            <w:r w:rsidRPr="005709F0">
              <w:rPr>
                <w:rFonts w:ascii="Arial Narrow" w:hAnsi="Arial Narrow" w:cstheme="minorHAnsi"/>
                <w:sz w:val="20"/>
                <w:szCs w:val="20"/>
              </w:rPr>
              <w:t>33 (6.2%)</w:t>
            </w:r>
          </w:p>
        </w:tc>
      </w:tr>
      <w:tr w:rsidR="00A81621" w:rsidRPr="005709F0" w:rsidTr="0056640A">
        <w:tc>
          <w:tcPr>
            <w:tcW w:w="1056" w:type="pct"/>
          </w:tcPr>
          <w:p w:rsidR="00A81621" w:rsidRPr="005709F0" w:rsidRDefault="001A697B" w:rsidP="001A697B">
            <w:pPr>
              <w:spacing w:before="0"/>
              <w:rPr>
                <w:rFonts w:ascii="Arial Narrow" w:hAnsi="Arial Narrow" w:cstheme="minorHAnsi"/>
                <w:sz w:val="20"/>
                <w:szCs w:val="20"/>
              </w:rPr>
            </w:pPr>
            <w:r w:rsidRPr="005709F0">
              <w:rPr>
                <w:rFonts w:ascii="Arial Narrow" w:hAnsi="Arial Narrow" w:cstheme="minorHAnsi"/>
                <w:sz w:val="20"/>
                <w:szCs w:val="20"/>
              </w:rPr>
              <w:t>Deaths</w:t>
            </w:r>
          </w:p>
        </w:tc>
        <w:tc>
          <w:tcPr>
            <w:tcW w:w="1260" w:type="pct"/>
          </w:tcPr>
          <w:p w:rsidR="00A81621" w:rsidRPr="005709F0" w:rsidRDefault="00A81621" w:rsidP="0056640A">
            <w:pPr>
              <w:spacing w:before="0"/>
              <w:jc w:val="center"/>
              <w:rPr>
                <w:rFonts w:ascii="Arial Narrow" w:hAnsi="Arial Narrow" w:cstheme="minorHAnsi"/>
                <w:sz w:val="20"/>
                <w:szCs w:val="20"/>
              </w:rPr>
            </w:pPr>
            <w:r w:rsidRPr="005709F0">
              <w:rPr>
                <w:rFonts w:ascii="Arial Narrow" w:hAnsi="Arial Narrow" w:cstheme="minorHAnsi"/>
                <w:sz w:val="20"/>
                <w:szCs w:val="20"/>
              </w:rPr>
              <w:t>0</w:t>
            </w:r>
          </w:p>
        </w:tc>
        <w:tc>
          <w:tcPr>
            <w:tcW w:w="1342" w:type="pct"/>
          </w:tcPr>
          <w:p w:rsidR="00A81621" w:rsidRPr="005709F0" w:rsidRDefault="00A81621" w:rsidP="0056640A">
            <w:pPr>
              <w:spacing w:before="0"/>
              <w:jc w:val="center"/>
              <w:rPr>
                <w:rFonts w:ascii="Arial Narrow" w:hAnsi="Arial Narrow" w:cstheme="minorHAnsi"/>
                <w:sz w:val="20"/>
                <w:szCs w:val="20"/>
              </w:rPr>
            </w:pPr>
            <w:r w:rsidRPr="005709F0">
              <w:rPr>
                <w:rFonts w:ascii="Arial Narrow" w:hAnsi="Arial Narrow" w:cstheme="minorHAnsi"/>
                <w:sz w:val="20"/>
                <w:szCs w:val="20"/>
              </w:rPr>
              <w:t>7 (6.7)</w:t>
            </w:r>
          </w:p>
        </w:tc>
        <w:tc>
          <w:tcPr>
            <w:tcW w:w="1342" w:type="pct"/>
          </w:tcPr>
          <w:p w:rsidR="00A81621" w:rsidRPr="005709F0" w:rsidRDefault="00A81621" w:rsidP="0056640A">
            <w:pPr>
              <w:spacing w:before="0"/>
              <w:jc w:val="center"/>
              <w:rPr>
                <w:rFonts w:ascii="Arial Narrow" w:hAnsi="Arial Narrow" w:cstheme="minorHAnsi"/>
                <w:sz w:val="20"/>
                <w:szCs w:val="20"/>
              </w:rPr>
            </w:pPr>
            <w:r w:rsidRPr="005709F0">
              <w:rPr>
                <w:rFonts w:ascii="Arial Narrow" w:hAnsi="Arial Narrow" w:cstheme="minorHAnsi"/>
                <w:sz w:val="20"/>
                <w:szCs w:val="20"/>
              </w:rPr>
              <w:t>31 (6.2)</w:t>
            </w:r>
          </w:p>
        </w:tc>
      </w:tr>
      <w:tr w:rsidR="00A81621" w:rsidRPr="005709F0" w:rsidTr="0056640A">
        <w:tc>
          <w:tcPr>
            <w:tcW w:w="1056" w:type="pct"/>
          </w:tcPr>
          <w:p w:rsidR="00A81621" w:rsidRPr="005709F0" w:rsidRDefault="00A81621" w:rsidP="003E2A0B">
            <w:pPr>
              <w:spacing w:before="0"/>
              <w:jc w:val="left"/>
              <w:rPr>
                <w:rFonts w:ascii="Arial Narrow" w:eastAsia="Calibri" w:hAnsi="Arial Narrow" w:cstheme="minorHAnsi"/>
                <w:sz w:val="20"/>
                <w:szCs w:val="20"/>
              </w:rPr>
            </w:pPr>
            <w:r w:rsidRPr="005709F0">
              <w:rPr>
                <w:rFonts w:ascii="Arial Narrow" w:hAnsi="Arial Narrow" w:cstheme="minorHAnsi"/>
                <w:iCs/>
                <w:sz w:val="20"/>
                <w:szCs w:val="20"/>
              </w:rPr>
              <w:t>AEs leading to discontinuation</w:t>
            </w:r>
          </w:p>
        </w:tc>
        <w:tc>
          <w:tcPr>
            <w:tcW w:w="1260" w:type="pct"/>
          </w:tcPr>
          <w:p w:rsidR="00A81621" w:rsidRPr="005709F0" w:rsidRDefault="00A81621" w:rsidP="0056640A">
            <w:pPr>
              <w:spacing w:before="0"/>
              <w:jc w:val="center"/>
              <w:rPr>
                <w:rFonts w:ascii="Arial Narrow" w:hAnsi="Arial Narrow" w:cstheme="minorHAnsi"/>
                <w:sz w:val="20"/>
                <w:szCs w:val="20"/>
              </w:rPr>
            </w:pPr>
            <w:r w:rsidRPr="005709F0">
              <w:rPr>
                <w:rFonts w:ascii="Arial Narrow" w:eastAsia="Calibri" w:hAnsi="Arial Narrow" w:cstheme="minorHAnsi"/>
                <w:sz w:val="20"/>
                <w:szCs w:val="20"/>
              </w:rPr>
              <w:t>22 (27.8)</w:t>
            </w:r>
          </w:p>
        </w:tc>
        <w:tc>
          <w:tcPr>
            <w:tcW w:w="1342" w:type="pct"/>
          </w:tcPr>
          <w:p w:rsidR="00A81621" w:rsidRPr="005709F0" w:rsidRDefault="00A81621" w:rsidP="0056640A">
            <w:pPr>
              <w:spacing w:before="0"/>
              <w:jc w:val="center"/>
              <w:rPr>
                <w:rFonts w:ascii="Arial Narrow" w:eastAsia="Calibri" w:hAnsi="Arial Narrow" w:cstheme="minorHAnsi"/>
                <w:sz w:val="20"/>
                <w:szCs w:val="20"/>
                <w:vertAlign w:val="superscript"/>
              </w:rPr>
            </w:pPr>
            <w:r w:rsidRPr="005709F0">
              <w:rPr>
                <w:rFonts w:ascii="Arial Narrow" w:eastAsia="Calibri" w:hAnsi="Arial Narrow" w:cstheme="minorHAnsi"/>
                <w:sz w:val="20"/>
                <w:szCs w:val="20"/>
              </w:rPr>
              <w:t>12 (11.5)</w:t>
            </w:r>
          </w:p>
        </w:tc>
        <w:tc>
          <w:tcPr>
            <w:tcW w:w="1342" w:type="pct"/>
          </w:tcPr>
          <w:p w:rsidR="00A81621" w:rsidRPr="005709F0" w:rsidRDefault="00A81621" w:rsidP="0056640A">
            <w:pPr>
              <w:spacing w:before="0"/>
              <w:jc w:val="center"/>
              <w:rPr>
                <w:rFonts w:ascii="Arial Narrow" w:eastAsia="Calibri" w:hAnsi="Arial Narrow" w:cstheme="minorHAnsi"/>
                <w:sz w:val="20"/>
                <w:szCs w:val="20"/>
              </w:rPr>
            </w:pPr>
            <w:r w:rsidRPr="005709F0">
              <w:rPr>
                <w:rFonts w:ascii="Arial Narrow" w:eastAsia="Calibri" w:hAnsi="Arial Narrow" w:cstheme="minorHAnsi"/>
                <w:sz w:val="20"/>
                <w:szCs w:val="20"/>
              </w:rPr>
              <w:t>173 (34.7)</w:t>
            </w:r>
          </w:p>
        </w:tc>
      </w:tr>
    </w:tbl>
    <w:p w:rsidR="001A697B" w:rsidRPr="005709F0" w:rsidRDefault="001A697B" w:rsidP="001A697B">
      <w:pPr>
        <w:pStyle w:val="TableFooter"/>
      </w:pPr>
      <w:r w:rsidRPr="005709F0">
        <w:t>AE = adverse event; FAS = full analysis set</w:t>
      </w:r>
      <w:r w:rsidR="00423EB0" w:rsidRPr="005709F0">
        <w:t>; NR = not reported; SAE = serious adverse event</w:t>
      </w:r>
    </w:p>
    <w:p w:rsidR="00A81621" w:rsidRPr="005709F0" w:rsidRDefault="001A697B" w:rsidP="004E035E">
      <w:pPr>
        <w:pStyle w:val="TableFooter"/>
      </w:pPr>
      <w:r w:rsidRPr="005709F0">
        <w:rPr>
          <w:vertAlign w:val="superscript"/>
        </w:rPr>
        <w:t xml:space="preserve">a </w:t>
      </w:r>
      <w:r w:rsidR="004E035E" w:rsidRPr="005709F0">
        <w:t xml:space="preserve">ERIVANCE: </w:t>
      </w:r>
      <w:r w:rsidR="00A81621" w:rsidRPr="005709F0">
        <w:t>Analysis set was not defined</w:t>
      </w:r>
      <w:r w:rsidR="004E035E" w:rsidRPr="005709F0">
        <w:t xml:space="preserve">; STEVIE: At clinical </w:t>
      </w:r>
      <w:r w:rsidR="00E75867" w:rsidRPr="005709F0">
        <w:t>cut-off</w:t>
      </w:r>
      <w:r w:rsidR="004E035E" w:rsidRPr="005709F0">
        <w:t xml:space="preserve"> (Nov 6, 2013), 499 patients (468 with locally advanced basal cell carcinoma and 31 with metastatic basal cell carcinoma) had received study drug and had the potential to be followed up for 12 months or longer.</w:t>
      </w:r>
    </w:p>
    <w:p w:rsidR="00A81621" w:rsidRPr="005709F0" w:rsidRDefault="001A697B" w:rsidP="00A81621">
      <w:pPr>
        <w:pStyle w:val="TableFooter"/>
      </w:pPr>
      <w:r w:rsidRPr="005709F0">
        <w:rPr>
          <w:vertAlign w:val="superscript"/>
        </w:rPr>
        <w:t xml:space="preserve">b </w:t>
      </w:r>
      <w:r w:rsidR="00A81621" w:rsidRPr="005709F0">
        <w:t xml:space="preserve">Inferred by study start (February 10, 2009). Median duration of follow-up </w:t>
      </w:r>
      <w:r w:rsidR="00A81621" w:rsidRPr="005709F0">
        <w:rPr>
          <w:u w:val="single"/>
        </w:rPr>
        <w:t>up to</w:t>
      </w:r>
      <w:r w:rsidR="00A81621" w:rsidRPr="005709F0">
        <w:t xml:space="preserve"> 21 months as described in Table2.4-1, p55 of the main submission.</w:t>
      </w:r>
    </w:p>
    <w:p w:rsidR="00A81621" w:rsidRPr="005709F0" w:rsidRDefault="001A697B" w:rsidP="00A81621">
      <w:pPr>
        <w:pStyle w:val="TableFooter"/>
      </w:pPr>
      <w:r w:rsidRPr="005709F0">
        <w:rPr>
          <w:rFonts w:cstheme="minorHAnsi"/>
          <w:sz w:val="20"/>
          <w:vertAlign w:val="superscript"/>
        </w:rPr>
        <w:t xml:space="preserve">c </w:t>
      </w:r>
      <w:r w:rsidR="00A81621" w:rsidRPr="005709F0">
        <w:t>For the data cut November 2011, the proportion of treatment related SAEs was 3.8% (4/104) as reported in Table 2.6-11, p116 of the main submission.</w:t>
      </w:r>
    </w:p>
    <w:p w:rsidR="00A81621" w:rsidRPr="005709F0" w:rsidRDefault="00A81621" w:rsidP="00A81621">
      <w:pPr>
        <w:pStyle w:val="TableFooter"/>
      </w:pPr>
      <w:r w:rsidRPr="005709F0">
        <w:t xml:space="preserve">Source: Tables 2.5-6, 2.5-8 and 2.6-11 of the main submission and the ERIVANCE (Sekulic 2012) and STEVIE (Bassett-Seguin 2015) publications. </w:t>
      </w:r>
    </w:p>
    <w:p w:rsidR="00A81621" w:rsidRPr="005709F0" w:rsidRDefault="00A81621" w:rsidP="00860DC8">
      <w:pPr>
        <w:pStyle w:val="ListParagraph"/>
        <w:numPr>
          <w:ilvl w:val="1"/>
          <w:numId w:val="3"/>
        </w:numPr>
        <w:spacing w:before="0" w:after="120"/>
      </w:pPr>
      <w:r w:rsidRPr="005709F0">
        <w:t>AEs in general were similar among the single arm studies. The majority of patients experienc</w:t>
      </w:r>
      <w:r w:rsidR="00233AC1">
        <w:t>ed</w:t>
      </w:r>
      <w:r w:rsidRPr="005709F0">
        <w:t xml:space="preserve"> at least one AE</w:t>
      </w:r>
      <w:r w:rsidR="004C4EBE" w:rsidRPr="005709F0">
        <w:t>.</w:t>
      </w:r>
      <w:r w:rsidRPr="005709F0">
        <w:t xml:space="preserve"> Grade 3-4 AEs, serious adverse events (SAEs) and common AEs of any grade, numerically favoured sonidegib over vismodegib. </w:t>
      </w:r>
      <w:r w:rsidR="00233AC1">
        <w:t>T</w:t>
      </w:r>
      <w:r w:rsidRPr="005709F0">
        <w:t>he naïve indirect nature of the comparison with differences across study design, populations and prior therapies do not allow a meaningful conclusion</w:t>
      </w:r>
      <w:r w:rsidR="004C4EBE" w:rsidRPr="005709F0">
        <w:t xml:space="preserve"> to be reached</w:t>
      </w:r>
      <w:r w:rsidRPr="005709F0">
        <w:t xml:space="preserve"> on the comparative safety of sonidegib versus vismodegib.</w:t>
      </w:r>
    </w:p>
    <w:p w:rsidR="00A81621" w:rsidRPr="005709F0" w:rsidRDefault="00A81621" w:rsidP="00A81621">
      <w:pPr>
        <w:pStyle w:val="Heading2"/>
        <w:rPr>
          <w:i w:val="0"/>
        </w:rPr>
      </w:pPr>
      <w:bookmarkStart w:id="20" w:name="_Toc493060966"/>
      <w:r w:rsidRPr="005709F0">
        <w:rPr>
          <w:i w:val="0"/>
        </w:rPr>
        <w:t>Interpretation of clinical evidence</w:t>
      </w:r>
      <w:bookmarkEnd w:id="20"/>
    </w:p>
    <w:p w:rsidR="003B39A8" w:rsidRDefault="00A81621" w:rsidP="00860DC8">
      <w:pPr>
        <w:pStyle w:val="ListParagraph"/>
        <w:numPr>
          <w:ilvl w:val="1"/>
          <w:numId w:val="3"/>
        </w:numPr>
        <w:spacing w:before="0" w:after="120"/>
      </w:pPr>
      <w:r w:rsidRPr="005709F0">
        <w:t>The submission described once daily sonidegib 200</w:t>
      </w:r>
      <w:r w:rsidR="00043FCA" w:rsidRPr="005709F0">
        <w:t> </w:t>
      </w:r>
      <w:r w:rsidRPr="005709F0">
        <w:t>mg as non-inferior in terms of comparative effectiveness and comparative safety over once daily 150</w:t>
      </w:r>
      <w:r w:rsidR="00043FCA" w:rsidRPr="005709F0">
        <w:t> </w:t>
      </w:r>
      <w:r w:rsidRPr="005709F0">
        <w:t>mg vismodegib for the treatment of patients with mBCC or laBCC who are not amenable to curative surgery or radiation therapy.</w:t>
      </w:r>
      <w:r w:rsidR="003B39A8">
        <w:t xml:space="preserve"> </w:t>
      </w:r>
    </w:p>
    <w:p w:rsidR="00A81621" w:rsidRPr="005709F0" w:rsidRDefault="003B39A8" w:rsidP="00860DC8">
      <w:pPr>
        <w:pStyle w:val="ListParagraph"/>
        <w:numPr>
          <w:ilvl w:val="1"/>
          <w:numId w:val="3"/>
        </w:numPr>
        <w:spacing w:before="0" w:after="120"/>
      </w:pPr>
      <w:r>
        <w:t xml:space="preserve">The PBAC noted that the comparison between the treatments was </w:t>
      </w:r>
      <w:r w:rsidR="00233AC1">
        <w:t xml:space="preserve">based </w:t>
      </w:r>
      <w:r>
        <w:t>on disease control/overall response rates.</w:t>
      </w:r>
    </w:p>
    <w:p w:rsidR="00A81621" w:rsidRDefault="00897B44" w:rsidP="00860DC8">
      <w:pPr>
        <w:pStyle w:val="ListParagraph"/>
        <w:numPr>
          <w:ilvl w:val="1"/>
          <w:numId w:val="3"/>
        </w:numPr>
        <w:spacing w:before="0" w:after="120"/>
      </w:pPr>
      <w:r w:rsidRPr="005709F0">
        <w:t xml:space="preserve">Sonidegib belongs to the same </w:t>
      </w:r>
      <w:r w:rsidR="00233AC1">
        <w:t xml:space="preserve">drug </w:t>
      </w:r>
      <w:r w:rsidRPr="005709F0">
        <w:t>class as vismodegib and has the same mechanism of action via the inhibition of the hedgehog signalling pathway. However,</w:t>
      </w:r>
      <w:r>
        <w:t xml:space="preserve"> t</w:t>
      </w:r>
      <w:r w:rsidR="00A81621" w:rsidRPr="005709F0">
        <w:t xml:space="preserve">he evidence provided was of low quality and was based on naïve indirect comparisons </w:t>
      </w:r>
      <w:r w:rsidR="00233AC1">
        <w:t>across</w:t>
      </w:r>
      <w:r w:rsidR="00233AC1" w:rsidRPr="005709F0">
        <w:t xml:space="preserve"> </w:t>
      </w:r>
      <w:r w:rsidR="00A81621" w:rsidRPr="005709F0">
        <w:t xml:space="preserve">non-transitive single-arm studies. Transitivity concerns </w:t>
      </w:r>
      <w:r w:rsidR="00233AC1">
        <w:t>included different</w:t>
      </w:r>
      <w:r w:rsidR="00233AC1" w:rsidRPr="005709F0">
        <w:t xml:space="preserve"> </w:t>
      </w:r>
      <w:r w:rsidR="00A81621" w:rsidRPr="005709F0">
        <w:t xml:space="preserve">patient characteristics, analysis time points and methods used to assess response outcomes. Compounding these concerns was the </w:t>
      </w:r>
      <w:r w:rsidR="00E021BA">
        <w:t>small</w:t>
      </w:r>
      <w:r w:rsidR="00A81621" w:rsidRPr="005709F0">
        <w:t xml:space="preserve"> number of mBCC patients enrolled into the BOLT study.</w:t>
      </w:r>
      <w:r>
        <w:t xml:space="preserve"> </w:t>
      </w:r>
      <w:r w:rsidR="003B39A8">
        <w:t xml:space="preserve">The </w:t>
      </w:r>
      <w:r w:rsidR="00A81621" w:rsidRPr="005709F0">
        <w:t xml:space="preserve">PBAC </w:t>
      </w:r>
      <w:r w:rsidR="003B39A8">
        <w:t>note</w:t>
      </w:r>
      <w:r w:rsidR="004F60C7">
        <w:t>d</w:t>
      </w:r>
      <w:r w:rsidR="00A81621" w:rsidRPr="005709F0">
        <w:t xml:space="preserve"> the limitations associated with the evidence, particularly in the context of the recent positive recommendation of vismodegib and the extent of current clinical need for </w:t>
      </w:r>
      <w:r w:rsidR="00597775" w:rsidRPr="005709F0">
        <w:t>mBCC or laBCC</w:t>
      </w:r>
      <w:r w:rsidR="00A81621" w:rsidRPr="005709F0">
        <w:t xml:space="preserve"> patients.</w:t>
      </w:r>
    </w:p>
    <w:p w:rsidR="00781035" w:rsidRPr="00594438" w:rsidRDefault="00781035" w:rsidP="00860DC8">
      <w:pPr>
        <w:pStyle w:val="ListParagraph"/>
        <w:numPr>
          <w:ilvl w:val="1"/>
          <w:numId w:val="3"/>
        </w:numPr>
        <w:spacing w:before="0" w:after="120"/>
      </w:pPr>
      <w:r w:rsidRPr="00594438">
        <w:t xml:space="preserve">The </w:t>
      </w:r>
      <w:r w:rsidR="00EC14EF" w:rsidRPr="00594438">
        <w:t>PBAC</w:t>
      </w:r>
      <w:r w:rsidRPr="00594438">
        <w:t xml:space="preserve"> </w:t>
      </w:r>
      <w:r w:rsidR="00CA6771">
        <w:t xml:space="preserve">noted the limitations with the available evidence, however </w:t>
      </w:r>
      <w:r w:rsidRPr="00594438">
        <w:t>consider</w:t>
      </w:r>
      <w:r w:rsidR="00DB0A2C" w:rsidRPr="00594438">
        <w:t>ed</w:t>
      </w:r>
      <w:r w:rsidRPr="00594438">
        <w:t xml:space="preserve"> that </w:t>
      </w:r>
      <w:r w:rsidR="00CA6771">
        <w:t>given the patient population</w:t>
      </w:r>
      <w:r w:rsidR="004F60C7">
        <w:t>,</w:t>
      </w:r>
      <w:r w:rsidR="00EC14EF" w:rsidRPr="00594438">
        <w:t xml:space="preserve"> it was sufficient </w:t>
      </w:r>
      <w:r w:rsidRPr="00594438">
        <w:t>to support the clinical c</w:t>
      </w:r>
      <w:r w:rsidR="00DB0A2C" w:rsidRPr="00594438">
        <w:t xml:space="preserve">laims of non-inferior efficacy </w:t>
      </w:r>
      <w:r w:rsidR="00CA6771">
        <w:t>and</w:t>
      </w:r>
      <w:r w:rsidRPr="00594438">
        <w:t xml:space="preserve"> non-inferior safety to vismodegib.</w:t>
      </w:r>
    </w:p>
    <w:p w:rsidR="00C317F3" w:rsidRPr="005709F0" w:rsidRDefault="00C317F3" w:rsidP="00A81621">
      <w:pPr>
        <w:pStyle w:val="Heading2"/>
        <w:rPr>
          <w:i w:val="0"/>
        </w:rPr>
      </w:pPr>
      <w:bookmarkStart w:id="21" w:name="_Toc493060967"/>
      <w:r w:rsidRPr="005709F0">
        <w:rPr>
          <w:i w:val="0"/>
        </w:rPr>
        <w:t>Economic analysis</w:t>
      </w:r>
      <w:bookmarkEnd w:id="3"/>
      <w:bookmarkEnd w:id="21"/>
    </w:p>
    <w:p w:rsidR="00590B8F" w:rsidRPr="005709F0" w:rsidRDefault="00590B8F" w:rsidP="00860DC8">
      <w:pPr>
        <w:pStyle w:val="ListParagraph"/>
        <w:numPr>
          <w:ilvl w:val="1"/>
          <w:numId w:val="3"/>
        </w:numPr>
        <w:spacing w:before="0" w:after="120"/>
      </w:pPr>
      <w:bookmarkStart w:id="22" w:name="_Toc413139285"/>
      <w:r w:rsidRPr="005709F0">
        <w:t>The submission presented a cost-minimisation analysis bas</w:t>
      </w:r>
      <w:r w:rsidR="00594438">
        <w:t>ed on the claim that sonidegib wa</w:t>
      </w:r>
      <w:r w:rsidRPr="005709F0">
        <w:t xml:space="preserve">s non-inferior to vismodegib in terms of both effectiveness and safety. The cost-minimisation analysis presented </w:t>
      </w:r>
      <w:r w:rsidR="00CA6771">
        <w:t xml:space="preserve">in the submission </w:t>
      </w:r>
      <w:r w:rsidRPr="005709F0">
        <w:t>was based on the published price for vismodegib</w:t>
      </w:r>
      <w:r w:rsidR="009E3977">
        <w:t>.</w:t>
      </w:r>
    </w:p>
    <w:p w:rsidR="00590B8F" w:rsidRPr="005709F0" w:rsidRDefault="00590B8F" w:rsidP="00860DC8">
      <w:pPr>
        <w:pStyle w:val="ListParagraph"/>
        <w:numPr>
          <w:ilvl w:val="1"/>
          <w:numId w:val="3"/>
        </w:numPr>
        <w:spacing w:before="0" w:after="120"/>
      </w:pPr>
      <w:r w:rsidRPr="005709F0">
        <w:t>The equi-effective doses were estimated as sonidegib 200 mg once daily and vismodegib 150 mg once daily. The dose relativity was sourced from the four clinical studies involved in the naïve indirect comparison</w:t>
      </w:r>
      <w:r w:rsidR="000646CD" w:rsidRPr="005709F0">
        <w:t xml:space="preserve"> and is consistent with the recommended doses in the respective </w:t>
      </w:r>
      <w:r w:rsidR="00A44E3A" w:rsidRPr="005709F0">
        <w:t>P</w:t>
      </w:r>
      <w:r w:rsidR="000646CD" w:rsidRPr="005709F0">
        <w:t xml:space="preserve">roduct </w:t>
      </w:r>
      <w:r w:rsidR="00A44E3A" w:rsidRPr="005709F0">
        <w:t>I</w:t>
      </w:r>
      <w:r w:rsidR="000646CD" w:rsidRPr="005709F0">
        <w:t>nformation documents</w:t>
      </w:r>
      <w:r w:rsidRPr="005709F0">
        <w:t>.</w:t>
      </w:r>
    </w:p>
    <w:p w:rsidR="00590B8F" w:rsidRPr="005709F0" w:rsidRDefault="00590B8F" w:rsidP="00860DC8">
      <w:pPr>
        <w:pStyle w:val="ListParagraph"/>
        <w:numPr>
          <w:ilvl w:val="1"/>
          <w:numId w:val="3"/>
        </w:numPr>
        <w:spacing w:before="0" w:after="120"/>
      </w:pPr>
      <w:bookmarkStart w:id="23" w:name="_Toc413139283"/>
      <w:r w:rsidRPr="005709F0">
        <w:t xml:space="preserve">The cost-minimisation analysis was performed on </w:t>
      </w:r>
      <w:r w:rsidR="00766AF9" w:rsidRPr="005709F0">
        <w:t xml:space="preserve">the basis of </w:t>
      </w:r>
      <w:r w:rsidRPr="005709F0">
        <w:t xml:space="preserve">a daily cost of sonidegib versus vismodegib, </w:t>
      </w:r>
      <w:r w:rsidR="00CA6771">
        <w:t>rather than</w:t>
      </w:r>
      <w:r w:rsidR="00CA6771" w:rsidRPr="005709F0">
        <w:t xml:space="preserve"> </w:t>
      </w:r>
      <w:r w:rsidRPr="005709F0">
        <w:t xml:space="preserve">a cost per treatment course. The mean treatment duration </w:t>
      </w:r>
      <w:r w:rsidR="00766AF9" w:rsidRPr="005709F0">
        <w:t xml:space="preserve">of sonidegib therapy </w:t>
      </w:r>
      <w:r w:rsidRPr="005709F0">
        <w:t xml:space="preserve">in BOLT was </w:t>
      </w:r>
      <w:r w:rsidR="00246360">
        <w:rPr>
          <w:noProof/>
          <w:color w:val="000000"/>
          <w:highlight w:val="black"/>
        </w:rPr>
        <w:t>''''''''' ''''''''''''''</w:t>
      </w:r>
      <w:r w:rsidRPr="005709F0">
        <w:t xml:space="preserve"> at the latest data cut-off (median duration of follow-up: </w:t>
      </w:r>
      <w:r w:rsidR="00246360">
        <w:rPr>
          <w:noProof/>
          <w:color w:val="000000"/>
          <w:highlight w:val="black"/>
        </w:rPr>
        <w:t>''''''''' ''''''''''''''''</w:t>
      </w:r>
      <w:r w:rsidRPr="005709F0">
        <w:t xml:space="preserve">), with </w:t>
      </w:r>
      <w:r w:rsidR="00774BA7">
        <w:t>the</w:t>
      </w:r>
      <w:r w:rsidRPr="005709F0">
        <w:t xml:space="preserve"> vast majority of patients (</w:t>
      </w:r>
      <w:r w:rsidR="00246360">
        <w:rPr>
          <w:noProof/>
          <w:color w:val="000000"/>
          <w:highlight w:val="black"/>
        </w:rPr>
        <w:t>'''''''''</w:t>
      </w:r>
      <w:r w:rsidRPr="005709F0">
        <w:t>%) ha</w:t>
      </w:r>
      <w:r w:rsidR="00774BA7">
        <w:t>ving</w:t>
      </w:r>
      <w:r w:rsidRPr="005709F0">
        <w:t xml:space="preserve"> discontinued treatment. Of the three vismodegib studies, ERIVANCE was the study with a relatively comp</w:t>
      </w:r>
      <w:r w:rsidR="00766AF9" w:rsidRPr="005709F0">
        <w:t>l</w:t>
      </w:r>
      <w:r w:rsidRPr="005709F0">
        <w:t xml:space="preserve">ete follow-up (only 7.7% patients were still on treatment at the latest data cut-off). This study, however, only reported data on the median duration of treatment with vismodegib, which was not considered to be an appropriate proxy for the mean value in terms of treatment duration. Thus, a cost-minimisation analysis on a per </w:t>
      </w:r>
      <w:r w:rsidR="00766AF9" w:rsidRPr="005709F0">
        <w:t xml:space="preserve">treatment course basis </w:t>
      </w:r>
      <w:r w:rsidR="00597775" w:rsidRPr="005709F0">
        <w:t xml:space="preserve">could not </w:t>
      </w:r>
      <w:r w:rsidR="00766AF9" w:rsidRPr="005709F0">
        <w:t>be performed</w:t>
      </w:r>
      <w:r w:rsidRPr="005709F0">
        <w:t xml:space="preserve">. </w:t>
      </w:r>
    </w:p>
    <w:p w:rsidR="00590B8F" w:rsidRPr="005709F0" w:rsidRDefault="00590B8F" w:rsidP="00860DC8">
      <w:pPr>
        <w:pStyle w:val="ListParagraph"/>
        <w:numPr>
          <w:ilvl w:val="1"/>
          <w:numId w:val="3"/>
        </w:numPr>
        <w:spacing w:before="0" w:after="120"/>
      </w:pPr>
      <w:r w:rsidRPr="005709F0">
        <w:t>Sonidegib does not require additional resources beyond those used to treat patients with vismodegib. Therefore a cost</w:t>
      </w:r>
      <w:r w:rsidR="00213379" w:rsidRPr="005709F0">
        <w:t>-</w:t>
      </w:r>
      <w:r w:rsidRPr="005709F0">
        <w:t>minimisation approach based solely on the co</w:t>
      </w:r>
      <w:r w:rsidR="00594438">
        <w:t>st of sonidegib and vismodegib wa</w:t>
      </w:r>
      <w:r w:rsidRPr="005709F0">
        <w:t xml:space="preserve">s appropriate. </w:t>
      </w:r>
    </w:p>
    <w:p w:rsidR="008772FD" w:rsidRPr="005709F0" w:rsidRDefault="00590B8F" w:rsidP="00860DC8">
      <w:pPr>
        <w:pStyle w:val="ListParagraph"/>
        <w:numPr>
          <w:ilvl w:val="1"/>
          <w:numId w:val="3"/>
        </w:numPr>
        <w:spacing w:before="0" w:after="120"/>
      </w:pPr>
      <w:r w:rsidRPr="005709F0">
        <w:t>The results of the cost-minimisation analysis are presented in the table below. Dispensed prices for sonidegib and vismodegib were re-calculated during the evaluation using the</w:t>
      </w:r>
      <w:r w:rsidR="00774BA7">
        <w:t xml:space="preserve"> July 2017 updated</w:t>
      </w:r>
      <w:r w:rsidRPr="005709F0">
        <w:t xml:space="preserve"> mark-ups and dispensing fee. </w:t>
      </w:r>
    </w:p>
    <w:p w:rsidR="002E5343" w:rsidRDefault="002E5343">
      <w:pPr>
        <w:spacing w:before="0" w:line="259" w:lineRule="auto"/>
        <w:jc w:val="left"/>
        <w:rPr>
          <w:rFonts w:ascii="Arial Narrow" w:hAnsi="Arial Narrow"/>
          <w:b/>
          <w:sz w:val="20"/>
        </w:rPr>
      </w:pPr>
      <w:r>
        <w:br w:type="page"/>
      </w:r>
    </w:p>
    <w:p w:rsidR="00590B8F" w:rsidRPr="005709F0" w:rsidRDefault="00590B8F" w:rsidP="00590B8F">
      <w:pPr>
        <w:pStyle w:val="TableHeading0"/>
      </w:pPr>
      <w:r w:rsidRPr="005709F0">
        <w:t>Table 8: Results of economic evaluation</w:t>
      </w:r>
    </w:p>
    <w:tbl>
      <w:tblPr>
        <w:tblStyle w:val="Summarybox1"/>
        <w:tblW w:w="5000" w:type="pct"/>
        <w:tblLook w:val="04A0" w:firstRow="1" w:lastRow="0" w:firstColumn="1" w:lastColumn="0" w:noHBand="0" w:noVBand="1"/>
        <w:tblCaption w:val="Table 8: Results of economic evaluation"/>
      </w:tblPr>
      <w:tblGrid>
        <w:gridCol w:w="3462"/>
        <w:gridCol w:w="2889"/>
        <w:gridCol w:w="2891"/>
      </w:tblGrid>
      <w:tr w:rsidR="00590B8F" w:rsidRPr="005709F0" w:rsidTr="00860DC8">
        <w:trPr>
          <w:tblHeader/>
        </w:trPr>
        <w:tc>
          <w:tcPr>
            <w:tcW w:w="1873" w:type="pct"/>
            <w:tcBorders>
              <w:bottom w:val="single" w:sz="4" w:space="0" w:color="auto"/>
            </w:tcBorders>
            <w:vAlign w:val="center"/>
          </w:tcPr>
          <w:p w:rsidR="00590B8F" w:rsidRPr="005709F0" w:rsidRDefault="00590B8F" w:rsidP="00277025">
            <w:pPr>
              <w:pStyle w:val="Tabletext0"/>
            </w:pPr>
          </w:p>
        </w:tc>
        <w:tc>
          <w:tcPr>
            <w:tcW w:w="1563" w:type="pct"/>
            <w:tcBorders>
              <w:bottom w:val="single" w:sz="4" w:space="0" w:color="auto"/>
            </w:tcBorders>
            <w:vAlign w:val="center"/>
          </w:tcPr>
          <w:p w:rsidR="00590B8F" w:rsidRPr="005709F0" w:rsidRDefault="00590B8F" w:rsidP="00277025">
            <w:pPr>
              <w:pStyle w:val="Tabletext0"/>
              <w:jc w:val="center"/>
              <w:rPr>
                <w:b/>
              </w:rPr>
            </w:pPr>
            <w:r w:rsidRPr="005709F0">
              <w:rPr>
                <w:b/>
              </w:rPr>
              <w:t>Sonidegib 200 mg</w:t>
            </w:r>
          </w:p>
        </w:tc>
        <w:tc>
          <w:tcPr>
            <w:tcW w:w="1564" w:type="pct"/>
            <w:tcBorders>
              <w:bottom w:val="single" w:sz="4" w:space="0" w:color="auto"/>
            </w:tcBorders>
            <w:vAlign w:val="center"/>
          </w:tcPr>
          <w:p w:rsidR="00590B8F" w:rsidRPr="005709F0" w:rsidRDefault="00590B8F" w:rsidP="00277025">
            <w:pPr>
              <w:pStyle w:val="Tabletext0"/>
              <w:jc w:val="center"/>
              <w:rPr>
                <w:b/>
              </w:rPr>
            </w:pPr>
            <w:r w:rsidRPr="005709F0">
              <w:rPr>
                <w:b/>
              </w:rPr>
              <w:t>Vismodegib 150 mg</w:t>
            </w:r>
          </w:p>
        </w:tc>
      </w:tr>
      <w:tr w:rsidR="00590B8F" w:rsidRPr="005709F0" w:rsidTr="00432EA0">
        <w:tc>
          <w:tcPr>
            <w:tcW w:w="5000" w:type="pct"/>
            <w:gridSpan w:val="3"/>
            <w:shd w:val="clear" w:color="auto" w:fill="FFFFFF" w:themeFill="background1"/>
            <w:vAlign w:val="center"/>
          </w:tcPr>
          <w:p w:rsidR="00590B8F" w:rsidRPr="005709F0" w:rsidRDefault="00590B8F" w:rsidP="00277025">
            <w:pPr>
              <w:pStyle w:val="Tabletext0"/>
              <w:rPr>
                <w:b/>
              </w:rPr>
            </w:pPr>
            <w:r w:rsidRPr="005709F0">
              <w:rPr>
                <w:b/>
              </w:rPr>
              <w:t>Cost-minimisation analysis, based on the ex-manufacturer price</w:t>
            </w:r>
          </w:p>
        </w:tc>
      </w:tr>
      <w:tr w:rsidR="00590B8F" w:rsidRPr="005709F0" w:rsidTr="00432EA0">
        <w:tc>
          <w:tcPr>
            <w:tcW w:w="1873" w:type="pct"/>
            <w:shd w:val="clear" w:color="auto" w:fill="FFFFFF" w:themeFill="background1"/>
            <w:vAlign w:val="center"/>
          </w:tcPr>
          <w:p w:rsidR="00590B8F" w:rsidRPr="005709F0" w:rsidRDefault="00590B8F" w:rsidP="00277025">
            <w:pPr>
              <w:pStyle w:val="Tabletext0"/>
            </w:pPr>
            <w:r w:rsidRPr="005709F0">
              <w:t>AEMP</w:t>
            </w:r>
          </w:p>
        </w:tc>
        <w:tc>
          <w:tcPr>
            <w:tcW w:w="1563" w:type="pct"/>
            <w:shd w:val="clear" w:color="auto" w:fill="FFFFFF" w:themeFill="background1"/>
            <w:vAlign w:val="center"/>
          </w:tcPr>
          <w:p w:rsidR="00590B8F" w:rsidRPr="005709F0" w:rsidRDefault="00590B8F" w:rsidP="00277025">
            <w:pPr>
              <w:pStyle w:val="Tabletext0"/>
              <w:jc w:val="right"/>
            </w:pPr>
            <w:r w:rsidRPr="005709F0">
              <w:t>$7,821.43</w:t>
            </w:r>
          </w:p>
        </w:tc>
        <w:tc>
          <w:tcPr>
            <w:tcW w:w="1564" w:type="pct"/>
            <w:shd w:val="clear" w:color="auto" w:fill="FFFFFF" w:themeFill="background1"/>
            <w:vAlign w:val="center"/>
          </w:tcPr>
          <w:p w:rsidR="00590B8F" w:rsidRPr="005709F0" w:rsidRDefault="00590B8F" w:rsidP="00277025">
            <w:pPr>
              <w:pStyle w:val="Tabletext0"/>
              <w:jc w:val="right"/>
            </w:pPr>
            <w:r w:rsidRPr="005709F0">
              <w:t>$7,300.00</w:t>
            </w:r>
          </w:p>
        </w:tc>
      </w:tr>
      <w:tr w:rsidR="00590B8F" w:rsidRPr="005709F0" w:rsidTr="00432EA0">
        <w:tc>
          <w:tcPr>
            <w:tcW w:w="1873" w:type="pct"/>
            <w:shd w:val="clear" w:color="auto" w:fill="FFFFFF" w:themeFill="background1"/>
            <w:vAlign w:val="center"/>
          </w:tcPr>
          <w:p w:rsidR="00590B8F" w:rsidRPr="005709F0" w:rsidRDefault="00590B8F" w:rsidP="00277025">
            <w:pPr>
              <w:pStyle w:val="Tabletext0"/>
            </w:pPr>
            <w:r w:rsidRPr="005709F0">
              <w:t>Maximum quantity (units)</w:t>
            </w:r>
          </w:p>
        </w:tc>
        <w:tc>
          <w:tcPr>
            <w:tcW w:w="1563" w:type="pct"/>
            <w:shd w:val="clear" w:color="auto" w:fill="FFFFFF" w:themeFill="background1"/>
            <w:vAlign w:val="center"/>
          </w:tcPr>
          <w:p w:rsidR="00590B8F" w:rsidRPr="005709F0" w:rsidRDefault="00590B8F" w:rsidP="00277025">
            <w:pPr>
              <w:pStyle w:val="Tabletext0"/>
              <w:jc w:val="center"/>
            </w:pPr>
            <w:r w:rsidRPr="005709F0">
              <w:t>30</w:t>
            </w:r>
          </w:p>
        </w:tc>
        <w:tc>
          <w:tcPr>
            <w:tcW w:w="1564" w:type="pct"/>
            <w:shd w:val="clear" w:color="auto" w:fill="FFFFFF" w:themeFill="background1"/>
            <w:vAlign w:val="center"/>
          </w:tcPr>
          <w:p w:rsidR="00590B8F" w:rsidRPr="005709F0" w:rsidRDefault="00590B8F" w:rsidP="00277025">
            <w:pPr>
              <w:pStyle w:val="Tabletext0"/>
              <w:jc w:val="center"/>
            </w:pPr>
            <w:r w:rsidRPr="005709F0">
              <w:t>28</w:t>
            </w:r>
          </w:p>
        </w:tc>
      </w:tr>
      <w:tr w:rsidR="00590B8F" w:rsidRPr="005709F0" w:rsidTr="00432EA0">
        <w:tc>
          <w:tcPr>
            <w:tcW w:w="1873" w:type="pct"/>
            <w:shd w:val="clear" w:color="auto" w:fill="FFFFFF" w:themeFill="background1"/>
            <w:vAlign w:val="center"/>
          </w:tcPr>
          <w:p w:rsidR="00590B8F" w:rsidRPr="005709F0" w:rsidRDefault="00590B8F" w:rsidP="00277025">
            <w:pPr>
              <w:pStyle w:val="Tabletext0"/>
            </w:pPr>
            <w:r w:rsidRPr="005709F0">
              <w:t>Ex-manufacturer price per day</w:t>
            </w:r>
            <w:r w:rsidRPr="005709F0">
              <w:rPr>
                <w:vertAlign w:val="superscript"/>
              </w:rPr>
              <w:t>a</w:t>
            </w:r>
          </w:p>
        </w:tc>
        <w:tc>
          <w:tcPr>
            <w:tcW w:w="1563" w:type="pct"/>
            <w:shd w:val="clear" w:color="auto" w:fill="FFFFFF" w:themeFill="background1"/>
            <w:vAlign w:val="center"/>
          </w:tcPr>
          <w:p w:rsidR="00590B8F" w:rsidRPr="005709F0" w:rsidRDefault="00590B8F" w:rsidP="00277025">
            <w:pPr>
              <w:pStyle w:val="Tabletext0"/>
              <w:jc w:val="right"/>
            </w:pPr>
            <w:r w:rsidRPr="005709F0">
              <w:t>$260.71</w:t>
            </w:r>
          </w:p>
        </w:tc>
        <w:tc>
          <w:tcPr>
            <w:tcW w:w="1564" w:type="pct"/>
            <w:shd w:val="clear" w:color="auto" w:fill="FFFFFF" w:themeFill="background1"/>
            <w:vAlign w:val="center"/>
          </w:tcPr>
          <w:p w:rsidR="00590B8F" w:rsidRPr="005709F0" w:rsidRDefault="00590B8F" w:rsidP="00277025">
            <w:pPr>
              <w:pStyle w:val="Tabletext0"/>
              <w:jc w:val="right"/>
            </w:pPr>
            <w:r w:rsidRPr="005709F0">
              <w:t>$260.71</w:t>
            </w:r>
          </w:p>
        </w:tc>
      </w:tr>
      <w:tr w:rsidR="00590B8F" w:rsidRPr="005709F0" w:rsidTr="00432EA0">
        <w:tc>
          <w:tcPr>
            <w:tcW w:w="1873" w:type="pct"/>
            <w:shd w:val="clear" w:color="auto" w:fill="FFFFFF" w:themeFill="background1"/>
            <w:vAlign w:val="center"/>
          </w:tcPr>
          <w:p w:rsidR="00590B8F" w:rsidRPr="005709F0" w:rsidRDefault="00590B8F" w:rsidP="00277025">
            <w:pPr>
              <w:pStyle w:val="Tabletext0"/>
              <w:rPr>
                <w:b/>
              </w:rPr>
            </w:pPr>
            <w:r w:rsidRPr="005709F0">
              <w:rPr>
                <w:b/>
              </w:rPr>
              <w:t>Difference in treatment cost per day (sonidegib – vismodegib)</w:t>
            </w:r>
          </w:p>
        </w:tc>
        <w:tc>
          <w:tcPr>
            <w:tcW w:w="3127" w:type="pct"/>
            <w:gridSpan w:val="2"/>
            <w:shd w:val="clear" w:color="auto" w:fill="FFFFFF" w:themeFill="background1"/>
            <w:vAlign w:val="center"/>
          </w:tcPr>
          <w:p w:rsidR="00590B8F" w:rsidRPr="005709F0" w:rsidRDefault="00590B8F" w:rsidP="00277025">
            <w:pPr>
              <w:pStyle w:val="Tabletext0"/>
              <w:jc w:val="right"/>
              <w:rPr>
                <w:b/>
              </w:rPr>
            </w:pPr>
            <w:r w:rsidRPr="005709F0">
              <w:rPr>
                <w:b/>
              </w:rPr>
              <w:t>$0.00</w:t>
            </w:r>
          </w:p>
        </w:tc>
      </w:tr>
      <w:tr w:rsidR="00590B8F" w:rsidRPr="005709F0" w:rsidTr="00432EA0">
        <w:tc>
          <w:tcPr>
            <w:tcW w:w="5000" w:type="pct"/>
            <w:gridSpan w:val="3"/>
            <w:shd w:val="clear" w:color="auto" w:fill="FFFFFF" w:themeFill="background1"/>
            <w:vAlign w:val="center"/>
          </w:tcPr>
          <w:p w:rsidR="00590B8F" w:rsidRPr="005709F0" w:rsidRDefault="00590B8F" w:rsidP="00277025">
            <w:pPr>
              <w:pStyle w:val="Tabletext0"/>
              <w:rPr>
                <w:b/>
              </w:rPr>
            </w:pPr>
            <w:r w:rsidRPr="005709F0">
              <w:rPr>
                <w:b/>
              </w:rPr>
              <w:t>Cost-minimisation analysis, based on the dispensed price</w:t>
            </w:r>
            <w:r w:rsidRPr="005709F0">
              <w:rPr>
                <w:b/>
                <w:vertAlign w:val="superscript"/>
              </w:rPr>
              <w:t>b</w:t>
            </w:r>
          </w:p>
        </w:tc>
      </w:tr>
      <w:tr w:rsidR="00590B8F" w:rsidRPr="005709F0" w:rsidTr="00277025">
        <w:tc>
          <w:tcPr>
            <w:tcW w:w="1873" w:type="pct"/>
            <w:vAlign w:val="center"/>
          </w:tcPr>
          <w:p w:rsidR="00590B8F" w:rsidRPr="005709F0" w:rsidRDefault="00590B8F" w:rsidP="00277025">
            <w:pPr>
              <w:pStyle w:val="Tabletext0"/>
            </w:pPr>
            <w:r w:rsidRPr="005709F0">
              <w:t>DPMQ</w:t>
            </w:r>
          </w:p>
        </w:tc>
        <w:tc>
          <w:tcPr>
            <w:tcW w:w="1563" w:type="pct"/>
            <w:vAlign w:val="center"/>
          </w:tcPr>
          <w:p w:rsidR="00590B8F" w:rsidRPr="005709F0" w:rsidRDefault="00590B8F" w:rsidP="00277025">
            <w:pPr>
              <w:pStyle w:val="Tabletext0"/>
              <w:jc w:val="right"/>
            </w:pPr>
            <w:r w:rsidRPr="005709F0">
              <w:t>$</w:t>
            </w:r>
            <w:r w:rsidRPr="004253F6">
              <w:t>7,970.95</w:t>
            </w:r>
          </w:p>
        </w:tc>
        <w:tc>
          <w:tcPr>
            <w:tcW w:w="1564" w:type="pct"/>
            <w:vAlign w:val="center"/>
          </w:tcPr>
          <w:p w:rsidR="00590B8F" w:rsidRPr="005709F0" w:rsidRDefault="00590B8F" w:rsidP="00277025">
            <w:pPr>
              <w:pStyle w:val="Tabletext0"/>
              <w:jc w:val="right"/>
            </w:pPr>
            <w:r w:rsidRPr="005709F0">
              <w:t>$</w:t>
            </w:r>
            <w:r w:rsidRPr="004253F6">
              <w:t>7,449.52</w:t>
            </w:r>
          </w:p>
        </w:tc>
      </w:tr>
      <w:tr w:rsidR="00590B8F" w:rsidRPr="005709F0" w:rsidTr="00277025">
        <w:tc>
          <w:tcPr>
            <w:tcW w:w="1873" w:type="pct"/>
            <w:vAlign w:val="center"/>
          </w:tcPr>
          <w:p w:rsidR="00590B8F" w:rsidRPr="005709F0" w:rsidRDefault="00590B8F" w:rsidP="00277025">
            <w:pPr>
              <w:pStyle w:val="Tabletext0"/>
            </w:pPr>
            <w:r w:rsidRPr="005709F0">
              <w:t>Maximum quantity (units)</w:t>
            </w:r>
          </w:p>
        </w:tc>
        <w:tc>
          <w:tcPr>
            <w:tcW w:w="1563" w:type="pct"/>
            <w:vAlign w:val="center"/>
          </w:tcPr>
          <w:p w:rsidR="00590B8F" w:rsidRPr="005709F0" w:rsidRDefault="00590B8F" w:rsidP="00277025">
            <w:pPr>
              <w:pStyle w:val="Tabletext0"/>
              <w:jc w:val="center"/>
            </w:pPr>
            <w:r w:rsidRPr="005709F0">
              <w:t>30</w:t>
            </w:r>
          </w:p>
        </w:tc>
        <w:tc>
          <w:tcPr>
            <w:tcW w:w="1564" w:type="pct"/>
            <w:vAlign w:val="center"/>
          </w:tcPr>
          <w:p w:rsidR="00590B8F" w:rsidRPr="005709F0" w:rsidRDefault="00590B8F" w:rsidP="00277025">
            <w:pPr>
              <w:pStyle w:val="Tabletext0"/>
              <w:jc w:val="center"/>
            </w:pPr>
            <w:r w:rsidRPr="005709F0">
              <w:t>28</w:t>
            </w:r>
          </w:p>
        </w:tc>
      </w:tr>
      <w:tr w:rsidR="00590B8F" w:rsidRPr="005709F0" w:rsidTr="00277025">
        <w:tc>
          <w:tcPr>
            <w:tcW w:w="1873" w:type="pct"/>
            <w:vAlign w:val="center"/>
          </w:tcPr>
          <w:p w:rsidR="00590B8F" w:rsidRPr="005709F0" w:rsidRDefault="00590B8F" w:rsidP="00277025">
            <w:pPr>
              <w:pStyle w:val="Tabletext0"/>
            </w:pPr>
            <w:r w:rsidRPr="005709F0">
              <w:t>Dispensed price per day</w:t>
            </w:r>
            <w:r w:rsidRPr="005709F0">
              <w:rPr>
                <w:vertAlign w:val="superscript"/>
              </w:rPr>
              <w:t>a</w:t>
            </w:r>
          </w:p>
        </w:tc>
        <w:tc>
          <w:tcPr>
            <w:tcW w:w="1563" w:type="pct"/>
            <w:vAlign w:val="center"/>
          </w:tcPr>
          <w:p w:rsidR="00590B8F" w:rsidRPr="005709F0" w:rsidRDefault="00590B8F" w:rsidP="00277025">
            <w:pPr>
              <w:pStyle w:val="Tabletext0"/>
              <w:jc w:val="right"/>
            </w:pPr>
            <w:r w:rsidRPr="005709F0">
              <w:t>$</w:t>
            </w:r>
            <w:r w:rsidRPr="004253F6">
              <w:t>265.70</w:t>
            </w:r>
          </w:p>
        </w:tc>
        <w:tc>
          <w:tcPr>
            <w:tcW w:w="1564" w:type="pct"/>
            <w:vAlign w:val="center"/>
          </w:tcPr>
          <w:p w:rsidR="00590B8F" w:rsidRPr="005709F0" w:rsidRDefault="00590B8F" w:rsidP="00277025">
            <w:pPr>
              <w:pStyle w:val="Tabletext0"/>
              <w:jc w:val="right"/>
            </w:pPr>
            <w:r w:rsidRPr="005709F0">
              <w:t>$</w:t>
            </w:r>
            <w:r w:rsidRPr="004253F6">
              <w:t>266.05</w:t>
            </w:r>
          </w:p>
        </w:tc>
      </w:tr>
      <w:tr w:rsidR="00590B8F" w:rsidRPr="005709F0" w:rsidTr="00277025">
        <w:tc>
          <w:tcPr>
            <w:tcW w:w="1873" w:type="pct"/>
            <w:vAlign w:val="center"/>
          </w:tcPr>
          <w:p w:rsidR="00590B8F" w:rsidRPr="005709F0" w:rsidRDefault="00590B8F" w:rsidP="00277025">
            <w:pPr>
              <w:pStyle w:val="Tabletext0"/>
              <w:rPr>
                <w:b/>
              </w:rPr>
            </w:pPr>
            <w:r w:rsidRPr="005709F0">
              <w:rPr>
                <w:b/>
              </w:rPr>
              <w:t>Difference in treatment cost per day (sonidegib – vismodegib)</w:t>
            </w:r>
          </w:p>
        </w:tc>
        <w:tc>
          <w:tcPr>
            <w:tcW w:w="3127" w:type="pct"/>
            <w:gridSpan w:val="2"/>
            <w:vAlign w:val="center"/>
          </w:tcPr>
          <w:p w:rsidR="00590B8F" w:rsidRPr="005709F0" w:rsidRDefault="00590B8F" w:rsidP="00277025">
            <w:pPr>
              <w:pStyle w:val="Tabletext0"/>
              <w:jc w:val="right"/>
              <w:rPr>
                <w:b/>
              </w:rPr>
            </w:pPr>
            <w:r w:rsidRPr="004253F6">
              <w:rPr>
                <w:b/>
              </w:rPr>
              <w:t>-$0.36</w:t>
            </w:r>
          </w:p>
        </w:tc>
      </w:tr>
    </w:tbl>
    <w:p w:rsidR="00590B8F" w:rsidRPr="005709F0" w:rsidRDefault="00590B8F" w:rsidP="00590B8F">
      <w:pPr>
        <w:pStyle w:val="TableFooter"/>
      </w:pPr>
      <w:r w:rsidRPr="005709F0">
        <w:t>AEMP = approved ex-manufacturer price; DPMQ = dispensed price maximum quantity</w:t>
      </w:r>
    </w:p>
    <w:p w:rsidR="00590B8F" w:rsidRPr="005709F0" w:rsidRDefault="00590B8F" w:rsidP="00590B8F">
      <w:pPr>
        <w:pStyle w:val="TableFooter"/>
      </w:pPr>
      <w:r w:rsidRPr="005709F0">
        <w:rPr>
          <w:vertAlign w:val="superscript"/>
        </w:rPr>
        <w:t>a</w:t>
      </w:r>
      <w:r w:rsidRPr="005709F0">
        <w:t xml:space="preserve"> The dose regimen for both sonidegib and vismodegib is one capsule per day. </w:t>
      </w:r>
    </w:p>
    <w:p w:rsidR="00590B8F" w:rsidRPr="005709F0" w:rsidRDefault="00590B8F" w:rsidP="00590B8F">
      <w:pPr>
        <w:pStyle w:val="TableFooter"/>
      </w:pPr>
      <w:r w:rsidRPr="005709F0">
        <w:rPr>
          <w:vertAlign w:val="superscript"/>
        </w:rPr>
        <w:t>b</w:t>
      </w:r>
      <w:r w:rsidRPr="005709F0">
        <w:t xml:space="preserve"> Dispensed prices calculated using the mark-ups and dispensing fee as updated in July 2017.</w:t>
      </w:r>
    </w:p>
    <w:p w:rsidR="00590B8F" w:rsidRPr="005709F0" w:rsidRDefault="00590B8F" w:rsidP="00590B8F">
      <w:pPr>
        <w:pStyle w:val="TableFooter"/>
      </w:pPr>
      <w:r w:rsidRPr="005709F0">
        <w:t xml:space="preserve">Source: Table 3.4-2, p133 of the submission. </w:t>
      </w:r>
    </w:p>
    <w:p w:rsidR="00590B8F" w:rsidRPr="005709F0" w:rsidRDefault="00590B8F" w:rsidP="00590B8F">
      <w:pPr>
        <w:pStyle w:val="Heading2"/>
        <w:rPr>
          <w:i w:val="0"/>
        </w:rPr>
      </w:pPr>
      <w:bookmarkStart w:id="24" w:name="_Toc493060968"/>
      <w:r w:rsidRPr="005709F0">
        <w:rPr>
          <w:i w:val="0"/>
        </w:rPr>
        <w:t>Drug cost/patient/course</w:t>
      </w:r>
      <w:bookmarkEnd w:id="23"/>
      <w:r w:rsidR="00FF135A" w:rsidRPr="005709F0">
        <w:rPr>
          <w:i w:val="0"/>
        </w:rPr>
        <w:t>:</w:t>
      </w:r>
      <w:r w:rsidR="00B00E9D" w:rsidRPr="005709F0">
        <w:rPr>
          <w:i w:val="0"/>
        </w:rPr>
        <w:t xml:space="preserve"> $</w:t>
      </w:r>
      <w:bookmarkEnd w:id="24"/>
      <w:r w:rsidR="00246360">
        <w:rPr>
          <w:i w:val="0"/>
          <w:noProof/>
          <w:color w:val="000000"/>
          <w:highlight w:val="black"/>
        </w:rPr>
        <w:t>''''''''''''''</w:t>
      </w:r>
    </w:p>
    <w:p w:rsidR="00590B8F" w:rsidRPr="005709F0" w:rsidRDefault="00590B8F" w:rsidP="00860DC8">
      <w:pPr>
        <w:pStyle w:val="ListParagraph"/>
        <w:numPr>
          <w:ilvl w:val="1"/>
          <w:numId w:val="3"/>
        </w:numPr>
        <w:spacing w:before="0" w:after="120"/>
      </w:pPr>
      <w:r w:rsidRPr="005709F0">
        <w:t>The estimated average cost per patient per course for sonidegib was $</w:t>
      </w:r>
      <w:r w:rsidR="00246360">
        <w:rPr>
          <w:noProof/>
          <w:color w:val="000000"/>
          <w:highlight w:val="black"/>
        </w:rPr>
        <w:t>''''''''''''''</w:t>
      </w:r>
      <w:r w:rsidRPr="005709F0">
        <w:t xml:space="preserve">, based on the dispensed price proposed by the submission, an average treatment duration of </w:t>
      </w:r>
      <w:r w:rsidR="00246360">
        <w:rPr>
          <w:noProof/>
          <w:color w:val="000000"/>
          <w:highlight w:val="black"/>
        </w:rPr>
        <w:t>'''''</w:t>
      </w:r>
      <w:r w:rsidRPr="005709F0">
        <w:t xml:space="preserve"> months and a 90.1% compliance rate. The average treatment </w:t>
      </w:r>
      <w:r w:rsidR="00766AF9" w:rsidRPr="005709F0">
        <w:t>duration</w:t>
      </w:r>
      <w:r w:rsidRPr="005709F0">
        <w:t xml:space="preserve"> and the compliance rate were derived from the BOLT study. The cost per treatment course </w:t>
      </w:r>
      <w:r w:rsidR="00383A7D">
        <w:t>increases to</w:t>
      </w:r>
      <w:r w:rsidRPr="005709F0">
        <w:t xml:space="preserve"> $</w:t>
      </w:r>
      <w:r w:rsidR="00246360">
        <w:rPr>
          <w:noProof/>
          <w:color w:val="000000"/>
          <w:highlight w:val="black"/>
        </w:rPr>
        <w:t>'''''''''''''''''</w:t>
      </w:r>
      <w:r w:rsidR="00383A7D">
        <w:t xml:space="preserve"> using</w:t>
      </w:r>
      <w:r w:rsidRPr="005709F0">
        <w:t xml:space="preserve"> the </w:t>
      </w:r>
      <w:r w:rsidR="00383A7D">
        <w:t>1 July 2017</w:t>
      </w:r>
      <w:r w:rsidR="00383A7D" w:rsidRPr="005709F0">
        <w:t xml:space="preserve"> </w:t>
      </w:r>
      <w:r w:rsidRPr="005709F0">
        <w:t xml:space="preserve">mark-ups and dispensing fee. </w:t>
      </w:r>
    </w:p>
    <w:p w:rsidR="00590B8F" w:rsidRPr="005709F0" w:rsidRDefault="00590B8F" w:rsidP="00860DC8">
      <w:pPr>
        <w:pStyle w:val="ListParagraph"/>
        <w:numPr>
          <w:ilvl w:val="1"/>
          <w:numId w:val="3"/>
        </w:numPr>
        <w:spacing w:before="0" w:after="120"/>
      </w:pPr>
      <w:r w:rsidRPr="005709F0">
        <w:t xml:space="preserve">The </w:t>
      </w:r>
      <w:r w:rsidR="00383A7D" w:rsidRPr="005709F0">
        <w:t xml:space="preserve">vismodegib </w:t>
      </w:r>
      <w:r w:rsidRPr="005709F0">
        <w:t>cost per course was estimated to be $</w:t>
      </w:r>
      <w:r w:rsidRPr="004253F6">
        <w:t>102,126</w:t>
      </w:r>
      <w:r w:rsidRPr="005709F0">
        <w:t xml:space="preserve">, using the published price for vismodegib and assuming </w:t>
      </w:r>
      <w:r w:rsidR="00774BA7">
        <w:t>the same</w:t>
      </w:r>
      <w:r w:rsidR="00774BA7" w:rsidRPr="005709F0">
        <w:t xml:space="preserve"> </w:t>
      </w:r>
      <w:r w:rsidRPr="005709F0">
        <w:t>treatment duration</w:t>
      </w:r>
      <w:r w:rsidR="00774BA7">
        <w:t xml:space="preserve"> </w:t>
      </w:r>
      <w:r w:rsidRPr="005709F0">
        <w:t>and compliance rate as for sonidegib. Th</w:t>
      </w:r>
      <w:r w:rsidR="00383A7D">
        <w:t>is increases to</w:t>
      </w:r>
      <w:r w:rsidRPr="005709F0">
        <w:t xml:space="preserve"> $</w:t>
      </w:r>
      <w:r w:rsidRPr="004253F6">
        <w:t>102,149</w:t>
      </w:r>
      <w:r w:rsidR="00383A7D">
        <w:t xml:space="preserve"> using the 1 July 2017 </w:t>
      </w:r>
      <w:r w:rsidRPr="005709F0">
        <w:t xml:space="preserve">mark-ups and dispensing fee. </w:t>
      </w:r>
    </w:p>
    <w:p w:rsidR="00590B8F" w:rsidRPr="005709F0" w:rsidRDefault="00590B8F" w:rsidP="00590B8F">
      <w:pPr>
        <w:pStyle w:val="Heading2"/>
        <w:rPr>
          <w:i w:val="0"/>
        </w:rPr>
      </w:pPr>
      <w:bookmarkStart w:id="25" w:name="_Toc413139284"/>
      <w:bookmarkStart w:id="26" w:name="_Toc493060969"/>
      <w:r w:rsidRPr="005709F0">
        <w:rPr>
          <w:i w:val="0"/>
        </w:rPr>
        <w:t>Estimated PBS usage &amp; financial implications</w:t>
      </w:r>
      <w:bookmarkEnd w:id="25"/>
      <w:bookmarkEnd w:id="26"/>
    </w:p>
    <w:p w:rsidR="00590B8F" w:rsidRPr="005709F0" w:rsidRDefault="00590B8F" w:rsidP="00860DC8">
      <w:pPr>
        <w:pStyle w:val="ListParagraph"/>
        <w:numPr>
          <w:ilvl w:val="1"/>
          <w:numId w:val="3"/>
        </w:numPr>
        <w:spacing w:before="0" w:after="120"/>
      </w:pPr>
      <w:r w:rsidRPr="005709F0">
        <w:t>This submission w</w:t>
      </w:r>
      <w:r w:rsidR="005709F0">
        <w:t>as</w:t>
      </w:r>
      <w:r w:rsidRPr="005709F0">
        <w:t xml:space="preserve"> not considered by DUSC. The submission used a mixed epidemiological/market share approach to estimate the financial impact</w:t>
      </w:r>
      <w:r w:rsidR="00A44E3A" w:rsidRPr="005709F0">
        <w:t>s</w:t>
      </w:r>
      <w:r w:rsidRPr="005709F0">
        <w:t xml:space="preserve"> related to the proposed listing of sonidegib in the first 6 years of listing. This approach was appropriate, as vismodegib was listed on the PBS in March 2017 and there were insufficient Medicare Australia utilisation data to facilitate a market share approach.</w:t>
      </w:r>
    </w:p>
    <w:p w:rsidR="00590B8F" w:rsidRPr="005709F0" w:rsidRDefault="00590B8F" w:rsidP="00860DC8">
      <w:pPr>
        <w:pStyle w:val="ListParagraph"/>
        <w:numPr>
          <w:ilvl w:val="1"/>
          <w:numId w:val="3"/>
        </w:numPr>
        <w:spacing w:before="0" w:after="120"/>
      </w:pPr>
      <w:r w:rsidRPr="005709F0">
        <w:t>The estimated financial implications of listing sonidegib are summarised in the table below. The submission’s estimate of the number of patients per year likely to be treated was based on the BCC prevalence in 2002 estimated by the Cancer Council Australia, prevalence and incidence data concerning laBCC not amenable to curative surgery or radiation therapy (NATSOR) and mBCC from other countries (the UK and the US), as well as the sponsor’s assumption</w:t>
      </w:r>
      <w:r w:rsidR="00A44E3A" w:rsidRPr="005709F0">
        <w:t>s</w:t>
      </w:r>
      <w:r w:rsidRPr="005709F0">
        <w:t xml:space="preserve"> </w:t>
      </w:r>
      <w:r w:rsidR="00383A7D">
        <w:t>regarding</w:t>
      </w:r>
      <w:r w:rsidR="00383A7D" w:rsidRPr="005709F0">
        <w:t xml:space="preserve"> </w:t>
      </w:r>
      <w:r w:rsidRPr="005709F0">
        <w:t xml:space="preserve">the uptake of vismodegib in the absence of sonidegib and the market share of sonidegib following its listing. There was a paucity of epidemiological data on the prevalence and incidence of laBCC NATSOR and mBCC in Australia. Thus, the number </w:t>
      </w:r>
      <w:r w:rsidR="00766AF9" w:rsidRPr="005709F0">
        <w:t xml:space="preserve">of </w:t>
      </w:r>
      <w:r w:rsidRPr="005709F0">
        <w:t xml:space="preserve">patients who would be treated with sonidegib, </w:t>
      </w:r>
      <w:r w:rsidR="00766AF9" w:rsidRPr="005709F0">
        <w:t xml:space="preserve">if </w:t>
      </w:r>
      <w:r w:rsidRPr="005709F0">
        <w:t>listed on the PBS, cannot be reliably estimated. However, this uncertainty was not expect</w:t>
      </w:r>
      <w:r w:rsidR="00B00E9D" w:rsidRPr="005709F0">
        <w:t>ed</w:t>
      </w:r>
      <w:r w:rsidRPr="005709F0">
        <w:t xml:space="preserve"> to have a big impact on the net financial implications to the health budget, given the cost-minimisation approach </w:t>
      </w:r>
      <w:r w:rsidR="00383A7D">
        <w:t xml:space="preserve">for pricing </w:t>
      </w:r>
      <w:r w:rsidRPr="005709F0">
        <w:t xml:space="preserve">sonidegib </w:t>
      </w:r>
      <w:r w:rsidR="00383A7D">
        <w:t>to be the same as</w:t>
      </w:r>
      <w:r w:rsidRPr="005709F0">
        <w:t xml:space="preserve"> vismodegib.</w:t>
      </w:r>
    </w:p>
    <w:p w:rsidR="00590B8F" w:rsidRPr="005709F0" w:rsidRDefault="00590B8F" w:rsidP="00590B8F">
      <w:pPr>
        <w:pStyle w:val="TableHeading0"/>
      </w:pPr>
      <w:r w:rsidRPr="005709F0">
        <w:t>Table 9: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9"/>
        <w:gridCol w:w="1198"/>
        <w:gridCol w:w="1123"/>
        <w:gridCol w:w="1123"/>
        <w:gridCol w:w="1128"/>
        <w:gridCol w:w="1128"/>
        <w:gridCol w:w="1123"/>
      </w:tblGrid>
      <w:tr w:rsidR="00590B8F" w:rsidRPr="005709F0" w:rsidTr="00F25E4B">
        <w:trPr>
          <w:tblHeader/>
        </w:trPr>
        <w:tc>
          <w:tcPr>
            <w:tcW w:w="1244" w:type="pct"/>
            <w:shd w:val="clear" w:color="auto" w:fill="auto"/>
            <w:vAlign w:val="center"/>
          </w:tcPr>
          <w:p w:rsidR="00590B8F" w:rsidRPr="005709F0" w:rsidRDefault="00590B8F" w:rsidP="00277025">
            <w:pPr>
              <w:pStyle w:val="TableText"/>
            </w:pPr>
          </w:p>
        </w:tc>
        <w:tc>
          <w:tcPr>
            <w:tcW w:w="660" w:type="pct"/>
            <w:shd w:val="clear" w:color="auto" w:fill="auto"/>
            <w:vAlign w:val="center"/>
          </w:tcPr>
          <w:p w:rsidR="00590B8F" w:rsidRPr="005709F0" w:rsidRDefault="00590B8F" w:rsidP="00277025">
            <w:pPr>
              <w:pStyle w:val="TableText"/>
              <w:jc w:val="center"/>
              <w:rPr>
                <w:b/>
              </w:rPr>
            </w:pPr>
            <w:r w:rsidRPr="005709F0">
              <w:rPr>
                <w:b/>
              </w:rPr>
              <w:t>Year 1</w:t>
            </w:r>
          </w:p>
        </w:tc>
        <w:tc>
          <w:tcPr>
            <w:tcW w:w="618" w:type="pct"/>
            <w:shd w:val="clear" w:color="auto" w:fill="auto"/>
            <w:vAlign w:val="center"/>
          </w:tcPr>
          <w:p w:rsidR="00590B8F" w:rsidRPr="005709F0" w:rsidRDefault="00590B8F" w:rsidP="00277025">
            <w:pPr>
              <w:pStyle w:val="TableText"/>
              <w:jc w:val="center"/>
              <w:rPr>
                <w:b/>
              </w:rPr>
            </w:pPr>
            <w:r w:rsidRPr="005709F0">
              <w:rPr>
                <w:b/>
              </w:rPr>
              <w:t>Year 2</w:t>
            </w:r>
          </w:p>
        </w:tc>
        <w:tc>
          <w:tcPr>
            <w:tcW w:w="618" w:type="pct"/>
            <w:shd w:val="clear" w:color="auto" w:fill="auto"/>
            <w:vAlign w:val="center"/>
          </w:tcPr>
          <w:p w:rsidR="00590B8F" w:rsidRPr="005709F0" w:rsidRDefault="00590B8F" w:rsidP="00277025">
            <w:pPr>
              <w:pStyle w:val="TableText"/>
              <w:jc w:val="center"/>
              <w:rPr>
                <w:b/>
              </w:rPr>
            </w:pPr>
            <w:r w:rsidRPr="005709F0">
              <w:rPr>
                <w:b/>
              </w:rPr>
              <w:t>Year 3</w:t>
            </w:r>
          </w:p>
        </w:tc>
        <w:tc>
          <w:tcPr>
            <w:tcW w:w="621" w:type="pct"/>
            <w:shd w:val="clear" w:color="auto" w:fill="auto"/>
            <w:vAlign w:val="center"/>
          </w:tcPr>
          <w:p w:rsidR="00590B8F" w:rsidRPr="005709F0" w:rsidRDefault="00590B8F" w:rsidP="00277025">
            <w:pPr>
              <w:pStyle w:val="TableText"/>
              <w:jc w:val="center"/>
              <w:rPr>
                <w:b/>
              </w:rPr>
            </w:pPr>
            <w:r w:rsidRPr="005709F0">
              <w:rPr>
                <w:b/>
              </w:rPr>
              <w:t>Year 4</w:t>
            </w:r>
          </w:p>
        </w:tc>
        <w:tc>
          <w:tcPr>
            <w:tcW w:w="621" w:type="pct"/>
            <w:shd w:val="clear" w:color="auto" w:fill="auto"/>
            <w:vAlign w:val="center"/>
          </w:tcPr>
          <w:p w:rsidR="00590B8F" w:rsidRPr="005709F0" w:rsidRDefault="00590B8F" w:rsidP="00277025">
            <w:pPr>
              <w:pStyle w:val="TableText"/>
              <w:jc w:val="center"/>
              <w:rPr>
                <w:b/>
              </w:rPr>
            </w:pPr>
            <w:r w:rsidRPr="005709F0">
              <w:rPr>
                <w:b/>
              </w:rPr>
              <w:t>Year 5</w:t>
            </w:r>
          </w:p>
        </w:tc>
        <w:tc>
          <w:tcPr>
            <w:tcW w:w="618" w:type="pct"/>
          </w:tcPr>
          <w:p w:rsidR="00590B8F" w:rsidRPr="005709F0" w:rsidRDefault="00590B8F" w:rsidP="00277025">
            <w:pPr>
              <w:pStyle w:val="TableText"/>
              <w:jc w:val="center"/>
              <w:rPr>
                <w:b/>
              </w:rPr>
            </w:pPr>
            <w:r w:rsidRPr="005709F0">
              <w:rPr>
                <w:b/>
              </w:rPr>
              <w:t>Year 6</w:t>
            </w:r>
          </w:p>
        </w:tc>
      </w:tr>
      <w:tr w:rsidR="00590B8F" w:rsidRPr="005709F0" w:rsidTr="00277025">
        <w:tc>
          <w:tcPr>
            <w:tcW w:w="5000" w:type="pct"/>
            <w:gridSpan w:val="7"/>
            <w:shd w:val="clear" w:color="auto" w:fill="auto"/>
            <w:vAlign w:val="center"/>
          </w:tcPr>
          <w:p w:rsidR="00590B8F" w:rsidRPr="005709F0" w:rsidRDefault="00590B8F" w:rsidP="00277025">
            <w:pPr>
              <w:pStyle w:val="TableText"/>
              <w:rPr>
                <w:b/>
                <w:bCs/>
                <w:color w:val="000000"/>
              </w:rPr>
            </w:pPr>
            <w:r w:rsidRPr="005709F0">
              <w:rPr>
                <w:b/>
                <w:bCs/>
                <w:color w:val="000000"/>
              </w:rPr>
              <w:t>Estimated extent of use</w:t>
            </w:r>
          </w:p>
        </w:tc>
      </w:tr>
      <w:tr w:rsidR="00590B8F" w:rsidRPr="005709F0" w:rsidTr="00F25E4B">
        <w:tc>
          <w:tcPr>
            <w:tcW w:w="1244" w:type="pct"/>
            <w:shd w:val="clear" w:color="auto" w:fill="auto"/>
            <w:vAlign w:val="center"/>
          </w:tcPr>
          <w:p w:rsidR="00590B8F" w:rsidRPr="005709F0" w:rsidRDefault="00590B8F" w:rsidP="00277025">
            <w:pPr>
              <w:pStyle w:val="TableText"/>
              <w:rPr>
                <w:rFonts w:ascii="Times" w:eastAsia="Times New Roman" w:hAnsi="Times" w:cs="Times New Roman"/>
              </w:rPr>
            </w:pPr>
            <w:r w:rsidRPr="005709F0">
              <w:t>Number of patients treated</w:t>
            </w:r>
          </w:p>
        </w:tc>
        <w:tc>
          <w:tcPr>
            <w:tcW w:w="660" w:type="pct"/>
            <w:shd w:val="clear" w:color="auto" w:fill="auto"/>
            <w:vAlign w:val="center"/>
          </w:tcPr>
          <w:p w:rsidR="00590B8F" w:rsidRPr="00246360" w:rsidRDefault="00246360" w:rsidP="00277025">
            <w:pPr>
              <w:pStyle w:val="TableText"/>
              <w:jc w:val="center"/>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center"/>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center"/>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center"/>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center"/>
              <w:rPr>
                <w:bCs/>
                <w:color w:val="000000"/>
                <w:highlight w:val="black"/>
              </w:rPr>
            </w:pPr>
            <w:r>
              <w:rPr>
                <w:noProof/>
                <w:color w:val="000000"/>
                <w:highlight w:val="black"/>
              </w:rPr>
              <w:t>''''''''''</w:t>
            </w:r>
          </w:p>
        </w:tc>
        <w:tc>
          <w:tcPr>
            <w:tcW w:w="618" w:type="pct"/>
            <w:vAlign w:val="center"/>
          </w:tcPr>
          <w:p w:rsidR="00590B8F" w:rsidRPr="00246360" w:rsidRDefault="00246360" w:rsidP="00277025">
            <w:pPr>
              <w:pStyle w:val="TableText"/>
              <w:jc w:val="center"/>
              <w:rPr>
                <w:bCs/>
                <w:color w:val="000000"/>
                <w:highlight w:val="black"/>
              </w:rPr>
            </w:pPr>
            <w:r>
              <w:rPr>
                <w:noProof/>
                <w:color w:val="000000"/>
                <w:highlight w:val="black"/>
              </w:rPr>
              <w:t>''''''''''</w:t>
            </w:r>
          </w:p>
        </w:tc>
      </w:tr>
      <w:tr w:rsidR="00590B8F" w:rsidRPr="005709F0" w:rsidTr="00F25E4B">
        <w:tc>
          <w:tcPr>
            <w:tcW w:w="1244" w:type="pct"/>
            <w:shd w:val="clear" w:color="auto" w:fill="auto"/>
            <w:vAlign w:val="center"/>
          </w:tcPr>
          <w:p w:rsidR="00590B8F" w:rsidRPr="005709F0" w:rsidRDefault="00590B8F" w:rsidP="00277025">
            <w:pPr>
              <w:pStyle w:val="TableText"/>
              <w:rPr>
                <w:rFonts w:ascii="Times" w:eastAsia="Times New Roman" w:hAnsi="Times" w:cs="Times New Roman"/>
              </w:rPr>
            </w:pPr>
            <w:r w:rsidRPr="005709F0">
              <w:t>Number of scripts dispensed</w:t>
            </w:r>
            <w:r w:rsidRPr="005709F0">
              <w:rPr>
                <w:vertAlign w:val="superscript"/>
              </w:rPr>
              <w:t>a</w:t>
            </w:r>
          </w:p>
        </w:tc>
        <w:tc>
          <w:tcPr>
            <w:tcW w:w="660" w:type="pct"/>
            <w:shd w:val="clear" w:color="auto" w:fill="auto"/>
            <w:vAlign w:val="center"/>
          </w:tcPr>
          <w:p w:rsidR="00590B8F" w:rsidRPr="00246360" w:rsidRDefault="00246360" w:rsidP="00277025">
            <w:pPr>
              <w:pStyle w:val="TableText"/>
              <w:jc w:val="center"/>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center"/>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center"/>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center"/>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center"/>
              <w:rPr>
                <w:bCs/>
                <w:color w:val="000000"/>
                <w:highlight w:val="black"/>
              </w:rPr>
            </w:pPr>
            <w:r>
              <w:rPr>
                <w:noProof/>
                <w:color w:val="000000"/>
                <w:highlight w:val="black"/>
              </w:rPr>
              <w:t>''''''''''''</w:t>
            </w:r>
          </w:p>
        </w:tc>
        <w:tc>
          <w:tcPr>
            <w:tcW w:w="618" w:type="pct"/>
            <w:vAlign w:val="center"/>
          </w:tcPr>
          <w:p w:rsidR="00590B8F" w:rsidRPr="00246360" w:rsidRDefault="00246360" w:rsidP="00277025">
            <w:pPr>
              <w:pStyle w:val="TableText"/>
              <w:jc w:val="center"/>
              <w:rPr>
                <w:bCs/>
                <w:color w:val="000000"/>
                <w:highlight w:val="black"/>
              </w:rPr>
            </w:pPr>
            <w:r>
              <w:rPr>
                <w:noProof/>
                <w:color w:val="000000"/>
                <w:highlight w:val="black"/>
              </w:rPr>
              <w:t>'''''''''''''</w:t>
            </w:r>
          </w:p>
        </w:tc>
      </w:tr>
      <w:tr w:rsidR="00590B8F" w:rsidRPr="005709F0" w:rsidTr="00277025">
        <w:tc>
          <w:tcPr>
            <w:tcW w:w="5000" w:type="pct"/>
            <w:gridSpan w:val="7"/>
            <w:shd w:val="clear" w:color="auto" w:fill="auto"/>
            <w:vAlign w:val="center"/>
          </w:tcPr>
          <w:p w:rsidR="00590B8F" w:rsidRPr="005709F0" w:rsidRDefault="00590B8F" w:rsidP="00277025">
            <w:pPr>
              <w:pStyle w:val="TableText"/>
              <w:rPr>
                <w:b/>
                <w:bCs/>
                <w:color w:val="000000"/>
              </w:rPr>
            </w:pPr>
            <w:r w:rsidRPr="005709F0">
              <w:rPr>
                <w:b/>
                <w:bCs/>
                <w:color w:val="000000"/>
              </w:rPr>
              <w:t>Estimated financial implications of sonidegib</w:t>
            </w:r>
          </w:p>
        </w:tc>
      </w:tr>
      <w:tr w:rsidR="00590B8F" w:rsidRPr="005709F0" w:rsidTr="00F25E4B">
        <w:tc>
          <w:tcPr>
            <w:tcW w:w="1244" w:type="pct"/>
            <w:shd w:val="clear" w:color="auto" w:fill="auto"/>
            <w:vAlign w:val="center"/>
          </w:tcPr>
          <w:p w:rsidR="00590B8F" w:rsidRPr="005709F0" w:rsidRDefault="00590B8F" w:rsidP="00277025">
            <w:pPr>
              <w:pStyle w:val="TableText"/>
              <w:rPr>
                <w:rFonts w:ascii="Times" w:eastAsia="Times New Roman" w:hAnsi="Times" w:cs="Times New Roman"/>
              </w:rPr>
            </w:pPr>
            <w:r w:rsidRPr="005709F0">
              <w:rPr>
                <w:sz w:val="19"/>
                <w:szCs w:val="19"/>
              </w:rPr>
              <w:t>Cost to PBS/RPBS</w:t>
            </w:r>
          </w:p>
        </w:tc>
        <w:tc>
          <w:tcPr>
            <w:tcW w:w="660"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vAlign w:val="center"/>
          </w:tcPr>
          <w:p w:rsidR="00590B8F" w:rsidRPr="00246360" w:rsidRDefault="00246360" w:rsidP="00277025">
            <w:pPr>
              <w:pStyle w:val="TableText"/>
              <w:jc w:val="right"/>
              <w:rPr>
                <w:bCs/>
                <w:color w:val="000000"/>
                <w:highlight w:val="black"/>
              </w:rPr>
            </w:pPr>
            <w:r>
              <w:rPr>
                <w:noProof/>
                <w:color w:val="000000"/>
                <w:highlight w:val="black"/>
              </w:rPr>
              <w:t>'''''''''''''''''''''''''''''</w:t>
            </w:r>
          </w:p>
        </w:tc>
      </w:tr>
      <w:tr w:rsidR="00590B8F" w:rsidRPr="005709F0" w:rsidTr="00F25E4B">
        <w:tc>
          <w:tcPr>
            <w:tcW w:w="1244" w:type="pct"/>
            <w:shd w:val="clear" w:color="auto" w:fill="auto"/>
            <w:vAlign w:val="center"/>
          </w:tcPr>
          <w:p w:rsidR="00590B8F" w:rsidRPr="005709F0" w:rsidRDefault="00590B8F" w:rsidP="00277025">
            <w:pPr>
              <w:pStyle w:val="TableText"/>
              <w:rPr>
                <w:sz w:val="19"/>
                <w:szCs w:val="19"/>
              </w:rPr>
            </w:pPr>
            <w:r w:rsidRPr="005709F0">
              <w:rPr>
                <w:sz w:val="19"/>
                <w:szCs w:val="19"/>
              </w:rPr>
              <w:t>Co-payments</w:t>
            </w:r>
          </w:p>
        </w:tc>
        <w:tc>
          <w:tcPr>
            <w:tcW w:w="660"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vAlign w:val="center"/>
          </w:tcPr>
          <w:p w:rsidR="00590B8F" w:rsidRPr="00246360" w:rsidRDefault="00246360" w:rsidP="00277025">
            <w:pPr>
              <w:pStyle w:val="TableText"/>
              <w:jc w:val="right"/>
              <w:rPr>
                <w:bCs/>
                <w:color w:val="000000"/>
                <w:highlight w:val="black"/>
              </w:rPr>
            </w:pPr>
            <w:r>
              <w:rPr>
                <w:noProof/>
                <w:color w:val="000000"/>
                <w:highlight w:val="black"/>
              </w:rPr>
              <w:t>''''''''''''''''''</w:t>
            </w:r>
          </w:p>
        </w:tc>
      </w:tr>
      <w:tr w:rsidR="00590B8F" w:rsidRPr="005709F0" w:rsidTr="00F25E4B">
        <w:tc>
          <w:tcPr>
            <w:tcW w:w="1244" w:type="pct"/>
            <w:shd w:val="clear" w:color="auto" w:fill="auto"/>
            <w:vAlign w:val="center"/>
          </w:tcPr>
          <w:p w:rsidR="00590B8F" w:rsidRPr="005709F0" w:rsidRDefault="00590B8F" w:rsidP="00A44E3A">
            <w:pPr>
              <w:pStyle w:val="TableText"/>
              <w:jc w:val="left"/>
              <w:rPr>
                <w:sz w:val="19"/>
                <w:szCs w:val="19"/>
              </w:rPr>
            </w:pPr>
            <w:r w:rsidRPr="005709F0">
              <w:rPr>
                <w:sz w:val="19"/>
                <w:szCs w:val="19"/>
              </w:rPr>
              <w:t>Cost to PBS/RPBS less co-payments</w:t>
            </w:r>
          </w:p>
        </w:tc>
        <w:tc>
          <w:tcPr>
            <w:tcW w:w="660"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vAlign w:val="center"/>
          </w:tcPr>
          <w:p w:rsidR="00590B8F" w:rsidRPr="00246360" w:rsidRDefault="00246360" w:rsidP="00277025">
            <w:pPr>
              <w:pStyle w:val="TableText"/>
              <w:jc w:val="right"/>
              <w:rPr>
                <w:bCs/>
                <w:color w:val="000000"/>
                <w:highlight w:val="black"/>
              </w:rPr>
            </w:pPr>
            <w:r>
              <w:rPr>
                <w:noProof/>
                <w:color w:val="000000"/>
                <w:highlight w:val="black"/>
              </w:rPr>
              <w:t>'''''''''''''''''''''''''''''</w:t>
            </w:r>
          </w:p>
        </w:tc>
      </w:tr>
      <w:tr w:rsidR="00590B8F" w:rsidRPr="005709F0" w:rsidTr="00277025">
        <w:tc>
          <w:tcPr>
            <w:tcW w:w="5000" w:type="pct"/>
            <w:gridSpan w:val="7"/>
            <w:shd w:val="clear" w:color="auto" w:fill="auto"/>
            <w:vAlign w:val="center"/>
          </w:tcPr>
          <w:p w:rsidR="00590B8F" w:rsidRPr="005709F0" w:rsidRDefault="00590B8F" w:rsidP="00A44E3A">
            <w:pPr>
              <w:pStyle w:val="TableText"/>
              <w:rPr>
                <w:bCs/>
                <w:color w:val="000000"/>
              </w:rPr>
            </w:pPr>
            <w:r w:rsidRPr="005709F0">
              <w:rPr>
                <w:b/>
                <w:bCs/>
                <w:color w:val="000000"/>
              </w:rPr>
              <w:t xml:space="preserve">Estimated financial implications </w:t>
            </w:r>
            <w:r w:rsidR="00A44E3A" w:rsidRPr="005709F0">
              <w:rPr>
                <w:b/>
                <w:bCs/>
                <w:color w:val="000000"/>
              </w:rPr>
              <w:t xml:space="preserve">of </w:t>
            </w:r>
            <w:r w:rsidRPr="005709F0">
              <w:rPr>
                <w:b/>
                <w:bCs/>
                <w:color w:val="000000"/>
              </w:rPr>
              <w:t xml:space="preserve">vismodegib </w:t>
            </w:r>
          </w:p>
        </w:tc>
      </w:tr>
      <w:tr w:rsidR="00590B8F" w:rsidRPr="005709F0" w:rsidTr="00F25E4B">
        <w:tc>
          <w:tcPr>
            <w:tcW w:w="1244" w:type="pct"/>
            <w:shd w:val="clear" w:color="auto" w:fill="auto"/>
            <w:vAlign w:val="center"/>
          </w:tcPr>
          <w:p w:rsidR="00590B8F" w:rsidRPr="005709F0" w:rsidRDefault="00590B8F" w:rsidP="00277025">
            <w:pPr>
              <w:pStyle w:val="TableText"/>
              <w:rPr>
                <w:sz w:val="19"/>
                <w:szCs w:val="19"/>
              </w:rPr>
            </w:pPr>
            <w:r w:rsidRPr="005709F0">
              <w:rPr>
                <w:sz w:val="19"/>
                <w:szCs w:val="19"/>
              </w:rPr>
              <w:t>Cost to PBS/RPBS</w:t>
            </w:r>
          </w:p>
        </w:tc>
        <w:tc>
          <w:tcPr>
            <w:tcW w:w="660"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vAlign w:val="center"/>
          </w:tcPr>
          <w:p w:rsidR="00590B8F" w:rsidRPr="00246360" w:rsidRDefault="00246360" w:rsidP="00277025">
            <w:pPr>
              <w:pStyle w:val="TableText"/>
              <w:jc w:val="right"/>
              <w:rPr>
                <w:bCs/>
                <w:color w:val="000000"/>
                <w:highlight w:val="black"/>
              </w:rPr>
            </w:pPr>
            <w:r>
              <w:rPr>
                <w:noProof/>
                <w:color w:val="000000"/>
                <w:highlight w:val="black"/>
              </w:rPr>
              <w:t>'''''''''''''''''''''''''''''''</w:t>
            </w:r>
          </w:p>
        </w:tc>
      </w:tr>
      <w:tr w:rsidR="00590B8F" w:rsidRPr="005709F0" w:rsidTr="00F25E4B">
        <w:tc>
          <w:tcPr>
            <w:tcW w:w="1244" w:type="pct"/>
            <w:shd w:val="clear" w:color="auto" w:fill="auto"/>
            <w:vAlign w:val="center"/>
          </w:tcPr>
          <w:p w:rsidR="00590B8F" w:rsidRPr="005709F0" w:rsidRDefault="00590B8F" w:rsidP="00277025">
            <w:pPr>
              <w:pStyle w:val="TableText"/>
              <w:rPr>
                <w:sz w:val="19"/>
                <w:szCs w:val="19"/>
              </w:rPr>
            </w:pPr>
            <w:r w:rsidRPr="005709F0">
              <w:rPr>
                <w:sz w:val="19"/>
                <w:szCs w:val="19"/>
              </w:rPr>
              <w:t>Co-payments</w:t>
            </w:r>
          </w:p>
        </w:tc>
        <w:tc>
          <w:tcPr>
            <w:tcW w:w="660"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vAlign w:val="center"/>
          </w:tcPr>
          <w:p w:rsidR="00590B8F" w:rsidRPr="00246360" w:rsidRDefault="00246360" w:rsidP="00277025">
            <w:pPr>
              <w:pStyle w:val="TableText"/>
              <w:jc w:val="right"/>
              <w:rPr>
                <w:bCs/>
                <w:color w:val="000000"/>
                <w:highlight w:val="black"/>
              </w:rPr>
            </w:pPr>
            <w:r>
              <w:rPr>
                <w:noProof/>
                <w:color w:val="000000"/>
                <w:highlight w:val="black"/>
              </w:rPr>
              <w:t>''''''''''''''''''''</w:t>
            </w:r>
          </w:p>
        </w:tc>
      </w:tr>
      <w:tr w:rsidR="00590B8F" w:rsidRPr="005709F0" w:rsidTr="00F25E4B">
        <w:tc>
          <w:tcPr>
            <w:tcW w:w="1244" w:type="pct"/>
            <w:shd w:val="clear" w:color="auto" w:fill="auto"/>
            <w:vAlign w:val="center"/>
          </w:tcPr>
          <w:p w:rsidR="00590B8F" w:rsidRPr="005709F0" w:rsidRDefault="00590B8F" w:rsidP="00A44E3A">
            <w:pPr>
              <w:pStyle w:val="TableText"/>
              <w:jc w:val="left"/>
              <w:rPr>
                <w:sz w:val="19"/>
                <w:szCs w:val="19"/>
              </w:rPr>
            </w:pPr>
            <w:r w:rsidRPr="005709F0">
              <w:rPr>
                <w:sz w:val="19"/>
                <w:szCs w:val="19"/>
              </w:rPr>
              <w:t>Cost to PBS/RPBS less co-payments</w:t>
            </w:r>
          </w:p>
        </w:tc>
        <w:tc>
          <w:tcPr>
            <w:tcW w:w="660"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vAlign w:val="center"/>
          </w:tcPr>
          <w:p w:rsidR="00590B8F" w:rsidRPr="00246360" w:rsidRDefault="00246360" w:rsidP="00277025">
            <w:pPr>
              <w:pStyle w:val="TableText"/>
              <w:jc w:val="right"/>
              <w:rPr>
                <w:bCs/>
                <w:color w:val="000000"/>
                <w:highlight w:val="black"/>
              </w:rPr>
            </w:pPr>
            <w:r>
              <w:rPr>
                <w:noProof/>
                <w:color w:val="000000"/>
                <w:highlight w:val="black"/>
              </w:rPr>
              <w:t>''''''''''''''''''''''''''''''</w:t>
            </w:r>
          </w:p>
        </w:tc>
      </w:tr>
      <w:tr w:rsidR="00590B8F" w:rsidRPr="005709F0" w:rsidTr="00277025">
        <w:tc>
          <w:tcPr>
            <w:tcW w:w="5000" w:type="pct"/>
            <w:gridSpan w:val="7"/>
            <w:shd w:val="clear" w:color="auto" w:fill="auto"/>
            <w:vAlign w:val="center"/>
          </w:tcPr>
          <w:p w:rsidR="00590B8F" w:rsidRPr="005709F0" w:rsidRDefault="00590B8F" w:rsidP="00277025">
            <w:pPr>
              <w:pStyle w:val="TableText"/>
              <w:rPr>
                <w:b/>
                <w:bCs/>
                <w:color w:val="000000"/>
              </w:rPr>
            </w:pPr>
            <w:r w:rsidRPr="005709F0">
              <w:rPr>
                <w:b/>
                <w:bCs/>
                <w:color w:val="000000"/>
              </w:rPr>
              <w:t>Net financial implications</w:t>
            </w:r>
          </w:p>
        </w:tc>
      </w:tr>
      <w:tr w:rsidR="00590B8F" w:rsidRPr="005709F0" w:rsidTr="00F25E4B">
        <w:tc>
          <w:tcPr>
            <w:tcW w:w="1244" w:type="pct"/>
            <w:shd w:val="clear" w:color="auto" w:fill="auto"/>
            <w:vAlign w:val="center"/>
          </w:tcPr>
          <w:p w:rsidR="00590B8F" w:rsidRPr="005709F0" w:rsidRDefault="00590B8F" w:rsidP="00277025">
            <w:pPr>
              <w:pStyle w:val="TableText"/>
              <w:rPr>
                <w:sz w:val="19"/>
                <w:szCs w:val="19"/>
              </w:rPr>
            </w:pPr>
            <w:r w:rsidRPr="005709F0">
              <w:rPr>
                <w:sz w:val="19"/>
                <w:szCs w:val="19"/>
              </w:rPr>
              <w:t>Net cost to PBS/RPBS</w:t>
            </w:r>
          </w:p>
        </w:tc>
        <w:tc>
          <w:tcPr>
            <w:tcW w:w="660"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vAlign w:val="center"/>
          </w:tcPr>
          <w:p w:rsidR="00590B8F" w:rsidRPr="00246360" w:rsidRDefault="00246360" w:rsidP="00277025">
            <w:pPr>
              <w:pStyle w:val="TableText"/>
              <w:jc w:val="right"/>
              <w:rPr>
                <w:bCs/>
                <w:color w:val="000000"/>
                <w:highlight w:val="black"/>
              </w:rPr>
            </w:pPr>
            <w:r>
              <w:rPr>
                <w:noProof/>
                <w:color w:val="000000"/>
                <w:highlight w:val="black"/>
              </w:rPr>
              <w:t>''''''''''''''''''''</w:t>
            </w:r>
          </w:p>
        </w:tc>
      </w:tr>
      <w:tr w:rsidR="00590B8F" w:rsidRPr="005709F0" w:rsidTr="00F25E4B">
        <w:tc>
          <w:tcPr>
            <w:tcW w:w="1244" w:type="pct"/>
            <w:shd w:val="clear" w:color="auto" w:fill="auto"/>
            <w:vAlign w:val="center"/>
          </w:tcPr>
          <w:p w:rsidR="00590B8F" w:rsidRPr="005709F0" w:rsidRDefault="00590B8F" w:rsidP="00277025">
            <w:pPr>
              <w:pStyle w:val="TableText"/>
              <w:rPr>
                <w:rFonts w:ascii="Times" w:eastAsia="Times New Roman" w:hAnsi="Times" w:cs="Times New Roman"/>
              </w:rPr>
            </w:pPr>
            <w:r w:rsidRPr="005709F0">
              <w:rPr>
                <w:sz w:val="19"/>
                <w:szCs w:val="19"/>
              </w:rPr>
              <w:t>Net cost to MBS</w:t>
            </w:r>
          </w:p>
        </w:tc>
        <w:tc>
          <w:tcPr>
            <w:tcW w:w="660" w:type="pct"/>
            <w:shd w:val="clear" w:color="auto" w:fill="auto"/>
            <w:vAlign w:val="center"/>
          </w:tcPr>
          <w:p w:rsidR="00590B8F" w:rsidRPr="00246360" w:rsidRDefault="00246360" w:rsidP="00277025">
            <w:pPr>
              <w:pStyle w:val="TableText"/>
              <w:jc w:val="right"/>
              <w:rPr>
                <w:bCs/>
                <w:color w:val="000000"/>
                <w:highlight w:val="black"/>
              </w:rPr>
            </w:pPr>
            <w:r>
              <w:rPr>
                <w:bCs/>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bCs/>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bCs/>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bCs/>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bCs/>
                <w:noProof/>
                <w:color w:val="000000"/>
                <w:highlight w:val="black"/>
              </w:rPr>
              <w:t>'''''''</w:t>
            </w:r>
          </w:p>
        </w:tc>
        <w:tc>
          <w:tcPr>
            <w:tcW w:w="618" w:type="pct"/>
            <w:vAlign w:val="center"/>
          </w:tcPr>
          <w:p w:rsidR="00590B8F" w:rsidRPr="00246360" w:rsidRDefault="00246360" w:rsidP="00277025">
            <w:pPr>
              <w:pStyle w:val="TableText"/>
              <w:jc w:val="right"/>
              <w:rPr>
                <w:bCs/>
                <w:color w:val="000000"/>
                <w:highlight w:val="black"/>
              </w:rPr>
            </w:pPr>
            <w:r>
              <w:rPr>
                <w:bCs/>
                <w:noProof/>
                <w:color w:val="000000"/>
                <w:highlight w:val="black"/>
              </w:rPr>
              <w:t>''''''</w:t>
            </w:r>
          </w:p>
        </w:tc>
      </w:tr>
      <w:tr w:rsidR="00590B8F" w:rsidRPr="005709F0" w:rsidTr="00F25E4B">
        <w:tc>
          <w:tcPr>
            <w:tcW w:w="1244" w:type="pct"/>
            <w:shd w:val="clear" w:color="auto" w:fill="auto"/>
            <w:vAlign w:val="center"/>
          </w:tcPr>
          <w:p w:rsidR="00590B8F" w:rsidRPr="005709F0" w:rsidRDefault="00590B8F" w:rsidP="00F25E4B">
            <w:pPr>
              <w:pStyle w:val="TableText"/>
              <w:jc w:val="left"/>
              <w:rPr>
                <w:sz w:val="19"/>
                <w:szCs w:val="19"/>
              </w:rPr>
            </w:pPr>
            <w:r w:rsidRPr="005709F0">
              <w:rPr>
                <w:sz w:val="19"/>
                <w:szCs w:val="19"/>
              </w:rPr>
              <w:t>Net cost to PBS/RPBS/MBS</w:t>
            </w:r>
          </w:p>
        </w:tc>
        <w:tc>
          <w:tcPr>
            <w:tcW w:w="660"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21" w:type="pct"/>
            <w:shd w:val="clear" w:color="auto" w:fill="auto"/>
            <w:vAlign w:val="center"/>
          </w:tcPr>
          <w:p w:rsidR="00590B8F" w:rsidRPr="00246360" w:rsidRDefault="00246360" w:rsidP="00277025">
            <w:pPr>
              <w:pStyle w:val="TableText"/>
              <w:jc w:val="right"/>
              <w:rPr>
                <w:bCs/>
                <w:color w:val="000000"/>
                <w:highlight w:val="black"/>
              </w:rPr>
            </w:pPr>
            <w:r>
              <w:rPr>
                <w:noProof/>
                <w:color w:val="000000"/>
                <w:highlight w:val="black"/>
              </w:rPr>
              <w:t>'''''''''''''''''''''</w:t>
            </w:r>
          </w:p>
        </w:tc>
        <w:tc>
          <w:tcPr>
            <w:tcW w:w="618" w:type="pct"/>
            <w:vAlign w:val="center"/>
          </w:tcPr>
          <w:p w:rsidR="00590B8F" w:rsidRPr="00246360" w:rsidRDefault="00246360" w:rsidP="00277025">
            <w:pPr>
              <w:pStyle w:val="TableText"/>
              <w:jc w:val="right"/>
              <w:rPr>
                <w:bCs/>
                <w:color w:val="000000"/>
                <w:highlight w:val="black"/>
              </w:rPr>
            </w:pPr>
            <w:r>
              <w:rPr>
                <w:noProof/>
                <w:color w:val="000000"/>
                <w:highlight w:val="black"/>
              </w:rPr>
              <w:t>''''''''''''''''''''</w:t>
            </w:r>
          </w:p>
        </w:tc>
      </w:tr>
    </w:tbl>
    <w:p w:rsidR="00590B8F" w:rsidRPr="005709F0" w:rsidRDefault="00590B8F" w:rsidP="00590B8F">
      <w:pPr>
        <w:pStyle w:val="TableFooter"/>
      </w:pPr>
      <w:r w:rsidRPr="005709F0">
        <w:rPr>
          <w:vertAlign w:val="superscript"/>
        </w:rPr>
        <w:t>a</w:t>
      </w:r>
      <w:r w:rsidRPr="005709F0">
        <w:t xml:space="preserve"> The average number of prescriptions per patient by treatment year was assumed to be 10.97 in Year 1</w:t>
      </w:r>
      <w:r w:rsidR="003B15F2" w:rsidRPr="005709F0">
        <w:t xml:space="preserve"> and</w:t>
      </w:r>
      <w:r w:rsidRPr="005709F0">
        <w:t xml:space="preserve"> 1.83 in Year 2.</w:t>
      </w:r>
    </w:p>
    <w:p w:rsidR="00590B8F" w:rsidRDefault="00590B8F" w:rsidP="00590B8F">
      <w:pPr>
        <w:pStyle w:val="TableFooter"/>
      </w:pPr>
      <w:r w:rsidRPr="005709F0">
        <w:t xml:space="preserve">Source: Table 4.2-2 to Table 4.2-6, pp143-145; Table 4.3-2 to Table 4.3-4, pp147-148; Tables 4.4-1, p14; and Tables 4.4-1, p149 of the submission </w:t>
      </w:r>
    </w:p>
    <w:p w:rsidR="005F1C99" w:rsidRDefault="005F1C99" w:rsidP="005F1C99">
      <w:pPr>
        <w:pStyle w:val="ListParagraph"/>
        <w:spacing w:before="0" w:after="120"/>
      </w:pPr>
      <w:r w:rsidRPr="0059789D">
        <w:rPr>
          <w:rFonts w:eastAsia="Times New Roman" w:cs="Times New Roman"/>
          <w:szCs w:val="24"/>
          <w:lang w:eastAsia="en-AU"/>
        </w:rPr>
        <w:t xml:space="preserve">The redacted table shows that at year 5, the estimated number of patients was less than 10,000 per year and the net </w:t>
      </w:r>
      <w:r>
        <w:rPr>
          <w:rFonts w:eastAsia="Times New Roman" w:cs="Times New Roman"/>
          <w:szCs w:val="24"/>
          <w:lang w:eastAsia="en-AU"/>
        </w:rPr>
        <w:t>saving</w:t>
      </w:r>
      <w:r w:rsidRPr="0059789D">
        <w:rPr>
          <w:rFonts w:eastAsia="Times New Roman" w:cs="Times New Roman"/>
          <w:szCs w:val="24"/>
          <w:lang w:eastAsia="en-AU"/>
        </w:rPr>
        <w:t xml:space="preserve"> to the PBS would be </w:t>
      </w:r>
      <w:r w:rsidR="004253F6">
        <w:rPr>
          <w:rFonts w:eastAsia="Times New Roman" w:cs="Times New Roman"/>
          <w:szCs w:val="24"/>
          <w:lang w:eastAsia="en-AU"/>
        </w:rPr>
        <w:t>less than $10</w:t>
      </w:r>
      <w:r w:rsidRPr="0059789D">
        <w:rPr>
          <w:rFonts w:eastAsia="Times New Roman" w:cs="Times New Roman"/>
          <w:szCs w:val="24"/>
          <w:lang w:eastAsia="en-AU"/>
        </w:rPr>
        <w:t xml:space="preserve"> million per year.</w:t>
      </w:r>
    </w:p>
    <w:p w:rsidR="009E3977" w:rsidRPr="005709F0" w:rsidRDefault="009E3977" w:rsidP="00860DC8">
      <w:pPr>
        <w:pStyle w:val="ListParagraph"/>
        <w:numPr>
          <w:ilvl w:val="1"/>
          <w:numId w:val="3"/>
        </w:numPr>
        <w:spacing w:before="0" w:after="120"/>
      </w:pPr>
      <w:r>
        <w:t xml:space="preserve">The PBAC considered the </w:t>
      </w:r>
      <w:r w:rsidR="00DD2E6B">
        <w:t xml:space="preserve">estimated </w:t>
      </w:r>
      <w:r w:rsidR="00A35B69">
        <w:t xml:space="preserve">number of </w:t>
      </w:r>
      <w:r w:rsidR="00DD2E6B">
        <w:t xml:space="preserve">treated </w:t>
      </w:r>
      <w:r>
        <w:t>patient</w:t>
      </w:r>
      <w:r w:rsidR="00A35B69">
        <w:t xml:space="preserve">s to be overestimated.  However it noted that </w:t>
      </w:r>
      <w:r w:rsidR="001554D3">
        <w:t xml:space="preserve">sonidegib would be included in the vismodegib </w:t>
      </w:r>
      <w:r w:rsidR="00A35B69">
        <w:t xml:space="preserve">Risk Sharing Arrangement </w:t>
      </w:r>
      <w:r w:rsidR="00D00FA9">
        <w:t xml:space="preserve">and this </w:t>
      </w:r>
      <w:r w:rsidR="00A35B69">
        <w:t xml:space="preserve">would </w:t>
      </w:r>
      <w:r w:rsidR="001554D3">
        <w:t xml:space="preserve">reduce the </w:t>
      </w:r>
      <w:r w:rsidR="00D00FA9">
        <w:t xml:space="preserve">financial </w:t>
      </w:r>
      <w:r w:rsidR="00A35B69">
        <w:t xml:space="preserve">risk </w:t>
      </w:r>
      <w:r w:rsidR="00DD2E6B">
        <w:t>associated with use</w:t>
      </w:r>
      <w:r w:rsidR="001A466B">
        <w:t xml:space="preserve"> in more patients</w:t>
      </w:r>
      <w:r w:rsidRPr="005709F0">
        <w:t>.</w:t>
      </w:r>
    </w:p>
    <w:p w:rsidR="00C317F3" w:rsidRPr="005709F0" w:rsidRDefault="00C317F3" w:rsidP="00772501">
      <w:pPr>
        <w:pStyle w:val="Heading2"/>
        <w:rPr>
          <w:i w:val="0"/>
        </w:rPr>
      </w:pPr>
      <w:bookmarkStart w:id="27" w:name="_Toc493060970"/>
      <w:r w:rsidRPr="005709F0">
        <w:rPr>
          <w:i w:val="0"/>
        </w:rPr>
        <w:t xml:space="preserve">Quality </w:t>
      </w:r>
      <w:r w:rsidR="00661286" w:rsidRPr="005709F0">
        <w:rPr>
          <w:i w:val="0"/>
        </w:rPr>
        <w:t>u</w:t>
      </w:r>
      <w:r w:rsidRPr="005709F0">
        <w:rPr>
          <w:i w:val="0"/>
        </w:rPr>
        <w:t xml:space="preserve">se of </w:t>
      </w:r>
      <w:r w:rsidR="00661286" w:rsidRPr="005709F0">
        <w:rPr>
          <w:i w:val="0"/>
        </w:rPr>
        <w:t>m</w:t>
      </w:r>
      <w:r w:rsidRPr="005709F0">
        <w:rPr>
          <w:i w:val="0"/>
        </w:rPr>
        <w:t>edicines</w:t>
      </w:r>
      <w:bookmarkEnd w:id="22"/>
      <w:bookmarkEnd w:id="27"/>
    </w:p>
    <w:p w:rsidR="00C317F3" w:rsidRPr="005709F0" w:rsidRDefault="00592127" w:rsidP="00860DC8">
      <w:pPr>
        <w:pStyle w:val="ListParagraph"/>
        <w:numPr>
          <w:ilvl w:val="1"/>
          <w:numId w:val="3"/>
        </w:numPr>
        <w:spacing w:before="0" w:after="120"/>
      </w:pPr>
      <w:r w:rsidRPr="005709F0">
        <w:t xml:space="preserve">Sonidegib is a </w:t>
      </w:r>
      <w:r w:rsidR="009E3977">
        <w:t>h</w:t>
      </w:r>
      <w:r w:rsidR="00766AF9" w:rsidRPr="005709F0">
        <w:t xml:space="preserve">edgehog </w:t>
      </w:r>
      <w:r w:rsidRPr="005709F0">
        <w:t xml:space="preserve">pathway inhibitor and </w:t>
      </w:r>
      <w:r w:rsidR="00B00E9D" w:rsidRPr="005709F0">
        <w:t xml:space="preserve">is </w:t>
      </w:r>
      <w:r w:rsidR="00766F65" w:rsidRPr="005709F0">
        <w:t xml:space="preserve">embryotoxic and/or teratogenic. </w:t>
      </w:r>
      <w:r w:rsidRPr="005709F0">
        <w:t xml:space="preserve">The approved TGA Product Information </w:t>
      </w:r>
      <w:r w:rsidR="00774BA7">
        <w:t xml:space="preserve">(PI) </w:t>
      </w:r>
      <w:r w:rsidRPr="005709F0">
        <w:t>provides further details. This is a similar issue for vismodegib.</w:t>
      </w:r>
    </w:p>
    <w:p w:rsidR="005901EC" w:rsidRPr="005709F0" w:rsidRDefault="005901EC" w:rsidP="00860DC8">
      <w:pPr>
        <w:pStyle w:val="ListParagraph"/>
        <w:numPr>
          <w:ilvl w:val="1"/>
          <w:numId w:val="3"/>
        </w:numPr>
        <w:spacing w:before="0" w:after="120"/>
      </w:pPr>
      <w:r w:rsidRPr="005709F0">
        <w:t xml:space="preserve">Sonidegib should be taken whole on an empty stomach, at the same time each day, either at least 1 hour before, or two hours after a meal (TGA Approved PI). </w:t>
      </w:r>
      <w:r w:rsidR="00774BA7">
        <w:t>V</w:t>
      </w:r>
      <w:r w:rsidRPr="005709F0">
        <w:t>ismodegib should also be taken whole but unlike sonidegib, may be taken with or without food (vismodegib TGA approved PI). This may cause some confusion with clinicians when prescribing and will need to be communicated to patients at the time of prescribing.</w:t>
      </w:r>
    </w:p>
    <w:p w:rsidR="00C317F3" w:rsidRPr="005709F0" w:rsidRDefault="00C317F3" w:rsidP="00772501">
      <w:pPr>
        <w:pStyle w:val="Heading2"/>
        <w:rPr>
          <w:i w:val="0"/>
        </w:rPr>
      </w:pPr>
      <w:bookmarkStart w:id="28" w:name="_Toc413139286"/>
      <w:bookmarkStart w:id="29" w:name="_Toc493060971"/>
      <w:r w:rsidRPr="005709F0">
        <w:rPr>
          <w:i w:val="0"/>
        </w:rPr>
        <w:t xml:space="preserve">Financial </w:t>
      </w:r>
      <w:r w:rsidR="00661286" w:rsidRPr="005709F0">
        <w:rPr>
          <w:i w:val="0"/>
        </w:rPr>
        <w:t>m</w:t>
      </w:r>
      <w:r w:rsidRPr="005709F0">
        <w:rPr>
          <w:i w:val="0"/>
        </w:rPr>
        <w:t xml:space="preserve">anagement – </w:t>
      </w:r>
      <w:r w:rsidR="00661286" w:rsidRPr="005709F0">
        <w:rPr>
          <w:i w:val="0"/>
        </w:rPr>
        <w:t>r</w:t>
      </w:r>
      <w:r w:rsidRPr="005709F0">
        <w:rPr>
          <w:i w:val="0"/>
        </w:rPr>
        <w:t xml:space="preserve">isk </w:t>
      </w:r>
      <w:r w:rsidR="00661286" w:rsidRPr="005709F0">
        <w:rPr>
          <w:i w:val="0"/>
        </w:rPr>
        <w:t>s</w:t>
      </w:r>
      <w:r w:rsidRPr="005709F0">
        <w:rPr>
          <w:i w:val="0"/>
        </w:rPr>
        <w:t xml:space="preserve">haring </w:t>
      </w:r>
      <w:r w:rsidR="00661286" w:rsidRPr="005709F0">
        <w:rPr>
          <w:i w:val="0"/>
        </w:rPr>
        <w:t>a</w:t>
      </w:r>
      <w:r w:rsidRPr="005709F0">
        <w:rPr>
          <w:i w:val="0"/>
        </w:rPr>
        <w:t>rrangements</w:t>
      </w:r>
      <w:bookmarkEnd w:id="28"/>
      <w:bookmarkEnd w:id="29"/>
    </w:p>
    <w:p w:rsidR="00594438" w:rsidRDefault="00594438" w:rsidP="00860DC8">
      <w:pPr>
        <w:pStyle w:val="ListParagraph"/>
        <w:numPr>
          <w:ilvl w:val="1"/>
          <w:numId w:val="3"/>
        </w:numPr>
        <w:spacing w:before="0" w:after="120"/>
      </w:pPr>
      <w:bookmarkStart w:id="30" w:name="_Toc413139287"/>
      <w:r>
        <w:t xml:space="preserve">The PBAC advised that sonidegib </w:t>
      </w:r>
      <w:r w:rsidR="00D00FA9">
        <w:t>should be included in</w:t>
      </w:r>
      <w:r>
        <w:t xml:space="preserve"> the </w:t>
      </w:r>
      <w:r w:rsidR="00D00FA9">
        <w:t xml:space="preserve">existing </w:t>
      </w:r>
      <w:r>
        <w:t>RSA agreement for vismodegib as the</w:t>
      </w:r>
      <w:r w:rsidR="00D00FA9">
        <w:t xml:space="preserve"> two medicines treat </w:t>
      </w:r>
      <w:r>
        <w:t xml:space="preserve">the same </w:t>
      </w:r>
      <w:r w:rsidR="00D00FA9">
        <w:t xml:space="preserve">patient </w:t>
      </w:r>
      <w:r>
        <w:t>population.</w:t>
      </w:r>
    </w:p>
    <w:p w:rsidR="00B23F1C" w:rsidRDefault="00301FB0" w:rsidP="005F1C99">
      <w:pPr>
        <w:pStyle w:val="ListParagraph"/>
        <w:spacing w:before="0" w:after="120"/>
        <w:rPr>
          <w:i/>
        </w:rPr>
      </w:pPr>
      <w:r w:rsidRPr="00301FB0">
        <w:rPr>
          <w:i/>
        </w:rPr>
        <w:t>For more detail on PBAC’s view, see section 7 PBAC outcome</w:t>
      </w:r>
    </w:p>
    <w:p w:rsidR="00301FB0" w:rsidRPr="00301FB0" w:rsidRDefault="00301FB0" w:rsidP="00301FB0">
      <w:pPr>
        <w:pStyle w:val="ListParagraph"/>
        <w:spacing w:before="0" w:after="120"/>
        <w:rPr>
          <w:i/>
        </w:rPr>
      </w:pPr>
    </w:p>
    <w:bookmarkEnd w:id="30"/>
    <w:p w:rsidR="00594438" w:rsidRPr="00301FB0" w:rsidRDefault="00301FB0" w:rsidP="00A50B2C">
      <w:pPr>
        <w:pStyle w:val="PBACHeading1"/>
        <w:outlineLvl w:val="0"/>
      </w:pPr>
      <w:r>
        <w:t>PBAC Outcome</w:t>
      </w:r>
    </w:p>
    <w:p w:rsidR="00594438" w:rsidRDefault="00594438" w:rsidP="00860DC8">
      <w:pPr>
        <w:pStyle w:val="ListParagraph"/>
        <w:numPr>
          <w:ilvl w:val="1"/>
          <w:numId w:val="3"/>
        </w:numPr>
        <w:spacing w:before="0" w:after="120"/>
      </w:pPr>
      <w:r w:rsidRPr="004F60C7">
        <w:t xml:space="preserve">The PBAC recommended </w:t>
      </w:r>
      <w:r w:rsidR="0041550C" w:rsidRPr="004F60C7">
        <w:t>sonidegib</w:t>
      </w:r>
      <w:r w:rsidRPr="004F60C7">
        <w:t xml:space="preserve"> </w:t>
      </w:r>
      <w:r w:rsidR="0012220B">
        <w:t xml:space="preserve">as an Authority Required (in writing) listing </w:t>
      </w:r>
      <w:r w:rsidR="007C64D0">
        <w:t>for the treatment of metastatic or locally advanced BCC inappropriate for surgery and curative radiotherapy.</w:t>
      </w:r>
      <w:r w:rsidR="00E05AF6">
        <w:t xml:space="preserve"> The PBAC’s recommendation for listing was based on, among other matters, its assessment, as described above, that the cost-effectiveness of sonidegib would be acceptable if it were cost-minimised against vismodegib</w:t>
      </w:r>
      <w:r w:rsidR="00FD6EEE">
        <w:t xml:space="preserve"> </w:t>
      </w:r>
      <w:r w:rsidR="00FD6EEE">
        <w:rPr>
          <w:snapToGrid w:val="0"/>
          <w:lang w:val="en-GB"/>
        </w:rPr>
        <w:t xml:space="preserve">and if the following measures were implemented to contain risks associated with the cost of the drug to the PBS: joining the </w:t>
      </w:r>
      <w:r w:rsidR="00FD6EEE">
        <w:t xml:space="preserve">current Risk Sharing Arrangement for </w:t>
      </w:r>
      <w:r w:rsidR="00FD6EEE">
        <w:rPr>
          <w:snapToGrid w:val="0"/>
          <w:lang w:val="en-GB"/>
        </w:rPr>
        <w:t>vismodegib in the same indication</w:t>
      </w:r>
      <w:r w:rsidR="00E05AF6">
        <w:t>.</w:t>
      </w:r>
      <w:r w:rsidR="007C64D0">
        <w:t xml:space="preserve"> </w:t>
      </w:r>
    </w:p>
    <w:p w:rsidR="0068298C" w:rsidRPr="0068298C" w:rsidRDefault="005F4E4B" w:rsidP="00860DC8">
      <w:pPr>
        <w:pStyle w:val="ListParagraph"/>
        <w:numPr>
          <w:ilvl w:val="1"/>
          <w:numId w:val="3"/>
        </w:numPr>
        <w:spacing w:before="0" w:after="120"/>
      </w:pPr>
      <w:r>
        <w:rPr>
          <w:rFonts w:ascii="Calibri" w:eastAsia="Times New Roman" w:hAnsi="Calibri" w:cs="Arial"/>
          <w:bCs/>
          <w:snapToGrid w:val="0"/>
          <w:szCs w:val="24"/>
          <w:lang w:val="en-GB"/>
        </w:rPr>
        <w:t>T</w:t>
      </w:r>
      <w:r w:rsidR="0068298C" w:rsidRPr="00974F77">
        <w:rPr>
          <w:rFonts w:ascii="Calibri" w:eastAsia="Times New Roman" w:hAnsi="Calibri" w:cs="Arial"/>
          <w:bCs/>
          <w:snapToGrid w:val="0"/>
          <w:szCs w:val="24"/>
          <w:lang w:val="en-GB"/>
        </w:rPr>
        <w:t xml:space="preserve">he PBAC noted </w:t>
      </w:r>
      <w:r w:rsidR="0068298C">
        <w:rPr>
          <w:rFonts w:ascii="Calibri" w:eastAsia="Times New Roman" w:hAnsi="Calibri" w:cs="Arial"/>
          <w:bCs/>
          <w:snapToGrid w:val="0"/>
          <w:szCs w:val="24"/>
          <w:lang w:val="en-GB"/>
        </w:rPr>
        <w:t xml:space="preserve">the relatively small population of patients with </w:t>
      </w:r>
      <w:r w:rsidR="0068298C" w:rsidRPr="0068298C">
        <w:rPr>
          <w:rFonts w:ascii="Calibri" w:eastAsia="Times New Roman" w:hAnsi="Calibri" w:cs="Arial"/>
          <w:bCs/>
          <w:snapToGrid w:val="0"/>
          <w:szCs w:val="24"/>
        </w:rPr>
        <w:t xml:space="preserve">metastatic or locally advanced BCC </w:t>
      </w:r>
      <w:r w:rsidR="0068298C">
        <w:rPr>
          <w:rFonts w:ascii="Calibri" w:eastAsia="Times New Roman" w:hAnsi="Calibri" w:cs="Arial"/>
          <w:bCs/>
          <w:snapToGrid w:val="0"/>
          <w:szCs w:val="24"/>
        </w:rPr>
        <w:t xml:space="preserve">who are </w:t>
      </w:r>
      <w:r w:rsidR="0068298C" w:rsidRPr="0068298C">
        <w:rPr>
          <w:rFonts w:ascii="Calibri" w:eastAsia="Times New Roman" w:hAnsi="Calibri" w:cs="Arial"/>
          <w:bCs/>
          <w:snapToGrid w:val="0"/>
          <w:szCs w:val="24"/>
        </w:rPr>
        <w:t>inappropriate for surgery and curative radiotherapy</w:t>
      </w:r>
      <w:r w:rsidR="0068298C">
        <w:rPr>
          <w:rFonts w:ascii="Calibri" w:eastAsia="Times New Roman" w:hAnsi="Calibri" w:cs="Arial"/>
          <w:bCs/>
          <w:snapToGrid w:val="0"/>
          <w:szCs w:val="24"/>
          <w:lang w:val="en-GB"/>
        </w:rPr>
        <w:t xml:space="preserve"> and considered that there was a</w:t>
      </w:r>
      <w:r w:rsidR="0068298C" w:rsidRPr="00974F77">
        <w:rPr>
          <w:rFonts w:ascii="Calibri" w:eastAsia="Times New Roman" w:hAnsi="Calibri" w:cs="Arial"/>
          <w:bCs/>
          <w:snapToGrid w:val="0"/>
          <w:szCs w:val="24"/>
          <w:lang w:val="en-GB"/>
        </w:rPr>
        <w:t xml:space="preserve"> clinical </w:t>
      </w:r>
      <w:r w:rsidR="002752D6">
        <w:rPr>
          <w:rFonts w:ascii="Calibri" w:eastAsia="Times New Roman" w:hAnsi="Calibri" w:cs="Arial"/>
          <w:bCs/>
          <w:snapToGrid w:val="0"/>
          <w:szCs w:val="24"/>
          <w:lang w:val="en-GB"/>
        </w:rPr>
        <w:t>role</w:t>
      </w:r>
      <w:r w:rsidR="002752D6" w:rsidRPr="00974F77">
        <w:rPr>
          <w:rFonts w:ascii="Calibri" w:eastAsia="Times New Roman" w:hAnsi="Calibri" w:cs="Arial"/>
          <w:bCs/>
          <w:snapToGrid w:val="0"/>
          <w:szCs w:val="24"/>
          <w:lang w:val="en-GB"/>
        </w:rPr>
        <w:t xml:space="preserve"> </w:t>
      </w:r>
      <w:r w:rsidR="0068298C" w:rsidRPr="00974F77">
        <w:rPr>
          <w:rFonts w:ascii="Calibri" w:eastAsia="Times New Roman" w:hAnsi="Calibri" w:cs="Arial"/>
          <w:bCs/>
          <w:snapToGrid w:val="0"/>
          <w:szCs w:val="24"/>
          <w:lang w:val="en-GB"/>
        </w:rPr>
        <w:t xml:space="preserve">for </w:t>
      </w:r>
      <w:r w:rsidR="0068298C">
        <w:rPr>
          <w:rFonts w:ascii="Calibri" w:eastAsia="Times New Roman" w:hAnsi="Calibri" w:cs="Arial"/>
          <w:bCs/>
          <w:snapToGrid w:val="0"/>
          <w:szCs w:val="24"/>
          <w:lang w:val="en-GB"/>
        </w:rPr>
        <w:t xml:space="preserve">an </w:t>
      </w:r>
      <w:r w:rsidR="0068298C" w:rsidRPr="004D2320">
        <w:rPr>
          <w:rFonts w:ascii="Calibri" w:eastAsia="Times New Roman" w:hAnsi="Calibri" w:cs="Arial"/>
          <w:bCs/>
          <w:snapToGrid w:val="0"/>
          <w:szCs w:val="24"/>
          <w:lang w:val="en-GB"/>
        </w:rPr>
        <w:t>additional therap</w:t>
      </w:r>
      <w:r w:rsidR="0068298C">
        <w:rPr>
          <w:rFonts w:ascii="Calibri" w:eastAsia="Times New Roman" w:hAnsi="Calibri" w:cs="Arial"/>
          <w:bCs/>
          <w:snapToGrid w:val="0"/>
          <w:szCs w:val="24"/>
          <w:lang w:val="en-GB"/>
        </w:rPr>
        <w:t>y</w:t>
      </w:r>
      <w:r w:rsidR="0068298C" w:rsidRPr="00FF67AA">
        <w:rPr>
          <w:rFonts w:ascii="Calibri" w:eastAsia="Times New Roman" w:hAnsi="Calibri" w:cs="Arial"/>
          <w:bCs/>
          <w:snapToGrid w:val="0"/>
          <w:szCs w:val="24"/>
          <w:lang w:val="en-GB"/>
        </w:rPr>
        <w:t xml:space="preserve">. </w:t>
      </w:r>
    </w:p>
    <w:p w:rsidR="00A2434F" w:rsidRDefault="00A2434F" w:rsidP="00860DC8">
      <w:pPr>
        <w:pStyle w:val="ListParagraph"/>
        <w:numPr>
          <w:ilvl w:val="1"/>
          <w:numId w:val="3"/>
        </w:numPr>
        <w:spacing w:before="0" w:after="120"/>
      </w:pPr>
      <w:r>
        <w:t xml:space="preserve">The PBAC advised that vismodegib was the appropriate comparator. </w:t>
      </w:r>
      <w:r w:rsidRPr="003B39A8">
        <w:t xml:space="preserve">The PBAC noted that sonidegib and vismodegib belong to the same therapeutic class and that they have </w:t>
      </w:r>
      <w:r>
        <w:t>a</w:t>
      </w:r>
      <w:r w:rsidRPr="003B39A8">
        <w:t xml:space="preserve"> </w:t>
      </w:r>
      <w:r>
        <w:t>similar</w:t>
      </w:r>
      <w:r w:rsidRPr="003B39A8">
        <w:t xml:space="preserve"> mode of action</w:t>
      </w:r>
      <w:r>
        <w:t>.</w:t>
      </w:r>
    </w:p>
    <w:p w:rsidR="0068298C" w:rsidRPr="003B39A8" w:rsidRDefault="0068298C" w:rsidP="00860DC8">
      <w:pPr>
        <w:pStyle w:val="ListParagraph"/>
        <w:numPr>
          <w:ilvl w:val="1"/>
          <w:numId w:val="3"/>
        </w:numPr>
        <w:spacing w:before="0" w:after="120"/>
      </w:pPr>
      <w:r w:rsidRPr="003B39A8">
        <w:t xml:space="preserve">The PBAC </w:t>
      </w:r>
      <w:r w:rsidR="002752D6">
        <w:t>noted</w:t>
      </w:r>
      <w:r w:rsidR="002752D6" w:rsidRPr="003B39A8">
        <w:t xml:space="preserve"> </w:t>
      </w:r>
      <w:r w:rsidRPr="003B39A8">
        <w:t>that the</w:t>
      </w:r>
      <w:r w:rsidR="00A2434F">
        <w:t xml:space="preserve"> submission was based on a naïve indirect comparison of </w:t>
      </w:r>
      <w:r w:rsidR="00B45617">
        <w:t>nonrandomised studies (one study for sonidegib and three studies for vismodegib), and that the comparison was not</w:t>
      </w:r>
      <w:r w:rsidRPr="003B39A8">
        <w:t xml:space="preserve"> robust due to low patient numbers in the </w:t>
      </w:r>
      <w:r w:rsidR="00B45617">
        <w:t xml:space="preserve">sonidegib </w:t>
      </w:r>
      <w:r w:rsidRPr="003B39A8">
        <w:t>BOLT study</w:t>
      </w:r>
      <w:r w:rsidR="00B45617">
        <w:t xml:space="preserve"> </w:t>
      </w:r>
      <w:r w:rsidRPr="003B39A8">
        <w:t>and transitivity issues</w:t>
      </w:r>
      <w:r w:rsidR="00B45617">
        <w:t xml:space="preserve"> across the </w:t>
      </w:r>
      <w:r w:rsidRPr="003B39A8">
        <w:t xml:space="preserve">studies. </w:t>
      </w:r>
    </w:p>
    <w:p w:rsidR="0068298C" w:rsidRPr="004F60C7" w:rsidRDefault="0068298C" w:rsidP="00860DC8">
      <w:pPr>
        <w:pStyle w:val="ListParagraph"/>
        <w:numPr>
          <w:ilvl w:val="1"/>
          <w:numId w:val="3"/>
        </w:numPr>
        <w:spacing w:before="0" w:after="120"/>
      </w:pPr>
      <w:r w:rsidRPr="003B39A8">
        <w:t xml:space="preserve">The PBAC considered that, </w:t>
      </w:r>
      <w:r w:rsidR="00B45617">
        <w:t>given the patient population,</w:t>
      </w:r>
      <w:r w:rsidR="00B45617" w:rsidRPr="00594438">
        <w:t xml:space="preserve"> </w:t>
      </w:r>
      <w:r w:rsidR="00B45617">
        <w:t>the available clinical evidence</w:t>
      </w:r>
      <w:r w:rsidR="00B45617" w:rsidRPr="00594438">
        <w:t xml:space="preserve"> </w:t>
      </w:r>
      <w:r w:rsidRPr="003B39A8">
        <w:t xml:space="preserve">was sufficient to support the clinical claims of non-inferior efficacy </w:t>
      </w:r>
      <w:r w:rsidR="00B45617">
        <w:t>and</w:t>
      </w:r>
      <w:r w:rsidRPr="003B39A8">
        <w:t xml:space="preserve"> no</w:t>
      </w:r>
      <w:r>
        <w:t>n-inferior safety to vismodegib</w:t>
      </w:r>
      <w:r w:rsidRPr="0068298C">
        <w:rPr>
          <w:rFonts w:ascii="Calibri" w:eastAsia="Times New Roman" w:hAnsi="Calibri" w:cs="Arial"/>
          <w:bCs/>
          <w:snapToGrid w:val="0"/>
          <w:szCs w:val="24"/>
          <w:lang w:val="en-GB"/>
        </w:rPr>
        <w:t>, and therefore a cost-minimisation approach against vismodegib was appropriate.</w:t>
      </w:r>
    </w:p>
    <w:p w:rsidR="00594438" w:rsidRPr="007C64D0" w:rsidRDefault="007C64D0" w:rsidP="00860DC8">
      <w:pPr>
        <w:pStyle w:val="ListParagraph"/>
        <w:numPr>
          <w:ilvl w:val="1"/>
          <w:numId w:val="3"/>
        </w:numPr>
        <w:spacing w:before="0" w:after="120"/>
      </w:pPr>
      <w:r w:rsidRPr="007C64D0">
        <w:t xml:space="preserve">The PBAC advised that </w:t>
      </w:r>
      <w:r w:rsidR="00594438" w:rsidRPr="007C64D0">
        <w:t>the equi-effective doses</w:t>
      </w:r>
      <w:r w:rsidR="002752D6">
        <w:t xml:space="preserve"> are</w:t>
      </w:r>
      <w:r w:rsidR="00594438" w:rsidRPr="007C64D0">
        <w:t xml:space="preserve"> </w:t>
      </w:r>
      <w:r w:rsidRPr="007C64D0">
        <w:t xml:space="preserve">150 mg vismodegib </w:t>
      </w:r>
      <w:r w:rsidR="002752D6">
        <w:t>and</w:t>
      </w:r>
      <w:r w:rsidR="002752D6" w:rsidRPr="007C64D0">
        <w:t xml:space="preserve"> </w:t>
      </w:r>
      <w:r w:rsidRPr="007C64D0">
        <w:t xml:space="preserve">200 mg </w:t>
      </w:r>
      <w:r w:rsidR="00A35B69" w:rsidRPr="007C64D0">
        <w:t>sonidegib</w:t>
      </w:r>
      <w:r w:rsidR="00594438" w:rsidRPr="007C64D0">
        <w:t>.</w:t>
      </w:r>
    </w:p>
    <w:p w:rsidR="00610D83" w:rsidRDefault="00610D83" w:rsidP="00860DC8">
      <w:pPr>
        <w:pStyle w:val="ListParagraph"/>
        <w:numPr>
          <w:ilvl w:val="1"/>
          <w:numId w:val="3"/>
        </w:numPr>
        <w:spacing w:before="0" w:after="120"/>
      </w:pPr>
      <w:r>
        <w:t xml:space="preserve">The PBAC noted that </w:t>
      </w:r>
      <w:r w:rsidR="00EB4D47">
        <w:t xml:space="preserve">it was not possible, given the available evidence, to consider </w:t>
      </w:r>
      <w:r w:rsidR="00186AC7">
        <w:t xml:space="preserve">the comparative </w:t>
      </w:r>
      <w:r w:rsidR="00EB4D47">
        <w:t xml:space="preserve">treatment duration </w:t>
      </w:r>
      <w:r w:rsidR="00186AC7">
        <w:t xml:space="preserve">of vismodegib and </w:t>
      </w:r>
      <w:r w:rsidR="00057A45">
        <w:t xml:space="preserve">sonidegib </w:t>
      </w:r>
      <w:r w:rsidR="00EB4D47">
        <w:t xml:space="preserve">in </w:t>
      </w:r>
      <w:r>
        <w:t xml:space="preserve">the </w:t>
      </w:r>
      <w:r w:rsidRPr="005709F0">
        <w:t>cost-minimisation analysis</w:t>
      </w:r>
      <w:r>
        <w:t>.</w:t>
      </w:r>
      <w:r w:rsidR="00186AC7">
        <w:t xml:space="preserve"> The PBAC considered is reasonable to assume </w:t>
      </w:r>
      <w:r w:rsidR="00686C11">
        <w:t>the treatment duration of either treatment would be similar.</w:t>
      </w:r>
    </w:p>
    <w:p w:rsidR="002752D6" w:rsidRPr="003B39A8" w:rsidRDefault="002752D6" w:rsidP="00860DC8">
      <w:pPr>
        <w:pStyle w:val="ListParagraph"/>
        <w:numPr>
          <w:ilvl w:val="1"/>
          <w:numId w:val="3"/>
        </w:numPr>
        <w:spacing w:before="0" w:after="120"/>
      </w:pPr>
      <w:r w:rsidRPr="007C64D0">
        <w:t xml:space="preserve">The PBAC advised that the restriction should align with that of vismodegib and that switching between to two treatments should only be allowed for </w:t>
      </w:r>
      <w:r w:rsidR="00E90DB6">
        <w:t>adverse reactions of a severity necessitating permanent treatment withdrawal</w:t>
      </w:r>
      <w:r w:rsidRPr="007C64D0">
        <w:t>.</w:t>
      </w:r>
      <w:r>
        <w:t xml:space="preserve"> The PBAC advised that this switching rule would need to flow on to the restriction for </w:t>
      </w:r>
      <w:r w:rsidRPr="003B39A8">
        <w:t>vismodegib.</w:t>
      </w:r>
      <w:r w:rsidR="00E90DB6">
        <w:t xml:space="preserve">  The PBAC considered that patients should not be treated with sonidegib and vismodegib sequentially, and vice versa, when disease progression has occurred on one of the agents.</w:t>
      </w:r>
      <w:r w:rsidR="005B19BE">
        <w:t xml:space="preserve"> This limitation to treatment with one of sonidegib or vismodegib will also need to flow on to the restriction for vismodegib.</w:t>
      </w:r>
      <w:r w:rsidR="00EF4AA8">
        <w:t xml:space="preserve"> </w:t>
      </w:r>
    </w:p>
    <w:p w:rsidR="00E52D54" w:rsidRPr="003B39A8" w:rsidRDefault="00E52D54" w:rsidP="00860DC8">
      <w:pPr>
        <w:pStyle w:val="ListParagraph"/>
        <w:numPr>
          <w:ilvl w:val="1"/>
          <w:numId w:val="3"/>
        </w:numPr>
        <w:spacing w:before="0" w:after="120"/>
      </w:pPr>
      <w:r>
        <w:t>The PBAC advised that sonidegib would need to join the current Risk Sharing Agreement for vismodegib.</w:t>
      </w:r>
    </w:p>
    <w:p w:rsidR="00594438" w:rsidRPr="00610D83" w:rsidRDefault="00594438" w:rsidP="00860DC8">
      <w:pPr>
        <w:pStyle w:val="ListParagraph"/>
        <w:numPr>
          <w:ilvl w:val="1"/>
          <w:numId w:val="3"/>
        </w:numPr>
        <w:spacing w:before="0" w:after="120"/>
      </w:pPr>
      <w:r w:rsidRPr="00610D83">
        <w:t xml:space="preserve">The PBAC advised that </w:t>
      </w:r>
      <w:r w:rsidR="00610D83" w:rsidRPr="00610D83">
        <w:t>sonidegib</w:t>
      </w:r>
      <w:r w:rsidRPr="00610D83">
        <w:t xml:space="preserve"> is not suitable for presc</w:t>
      </w:r>
      <w:r w:rsidR="00610D83">
        <w:t>ribing by nurse practitioners.</w:t>
      </w:r>
    </w:p>
    <w:p w:rsidR="00594438" w:rsidRPr="00610D83" w:rsidRDefault="00594438" w:rsidP="00860DC8">
      <w:pPr>
        <w:pStyle w:val="ListParagraph"/>
        <w:numPr>
          <w:ilvl w:val="1"/>
          <w:numId w:val="3"/>
        </w:numPr>
        <w:spacing w:before="0" w:after="120"/>
      </w:pPr>
      <w:r w:rsidRPr="00610D83">
        <w:t xml:space="preserve">The PBAC recommended that the </w:t>
      </w:r>
      <w:r w:rsidR="009C7BB3" w:rsidRPr="009C7BB3">
        <w:t xml:space="preserve">Early Supply Rule should apply as the requested maximum quantity is sufficient supply for </w:t>
      </w:r>
      <w:r w:rsidR="009C7BB3">
        <w:t>30</w:t>
      </w:r>
      <w:r w:rsidR="009C7BB3" w:rsidRPr="009C7BB3">
        <w:t xml:space="preserve"> days of treatment.</w:t>
      </w:r>
    </w:p>
    <w:p w:rsidR="00594438" w:rsidRPr="00485CA4" w:rsidRDefault="00594438" w:rsidP="00860DC8">
      <w:pPr>
        <w:pStyle w:val="ListParagraph"/>
        <w:numPr>
          <w:ilvl w:val="1"/>
          <w:numId w:val="3"/>
        </w:numPr>
        <w:spacing w:before="0" w:after="120"/>
        <w:rPr>
          <w:rFonts w:cs="Arial"/>
          <w:snapToGrid w:val="0"/>
          <w:lang w:val="en-GB"/>
        </w:rPr>
      </w:pPr>
      <w:r w:rsidRPr="00485CA4">
        <w:t>The PBAC noted that this submission is not eligible for an Independent Review</w:t>
      </w:r>
      <w:r w:rsidR="00610D83" w:rsidRPr="00485CA4">
        <w:t xml:space="preserve"> as it received a positive recommendation</w:t>
      </w:r>
      <w:r w:rsidR="009C7BB3" w:rsidRPr="00485CA4">
        <w:t>.</w:t>
      </w:r>
    </w:p>
    <w:p w:rsidR="00594438" w:rsidRPr="00737FEA" w:rsidRDefault="00594438" w:rsidP="00594438">
      <w:pPr>
        <w:spacing w:after="0"/>
        <w:rPr>
          <w:rFonts w:cs="Arial"/>
          <w:b/>
          <w:bCs/>
          <w:snapToGrid w:val="0"/>
          <w:highlight w:val="yellow"/>
          <w:lang w:val="en-GB"/>
        </w:rPr>
      </w:pPr>
    </w:p>
    <w:p w:rsidR="00594438" w:rsidRPr="004F60C7" w:rsidRDefault="00594438" w:rsidP="00594438">
      <w:pPr>
        <w:spacing w:after="0"/>
        <w:rPr>
          <w:rFonts w:cs="Arial"/>
          <w:b/>
          <w:bCs/>
          <w:snapToGrid w:val="0"/>
          <w:lang w:val="en-GB"/>
        </w:rPr>
      </w:pPr>
      <w:r w:rsidRPr="004F60C7">
        <w:rPr>
          <w:rFonts w:cs="Arial"/>
          <w:b/>
          <w:bCs/>
          <w:snapToGrid w:val="0"/>
          <w:lang w:val="en-GB"/>
        </w:rPr>
        <w:t>Outcome:</w:t>
      </w:r>
    </w:p>
    <w:p w:rsidR="00594438" w:rsidRPr="004F60C7" w:rsidRDefault="004F60C7" w:rsidP="00594438">
      <w:pPr>
        <w:spacing w:after="0"/>
        <w:rPr>
          <w:rFonts w:cs="Arial"/>
          <w:bCs/>
          <w:snapToGrid w:val="0"/>
          <w:lang w:val="en-GB"/>
        </w:rPr>
      </w:pPr>
      <w:r w:rsidRPr="004F60C7">
        <w:rPr>
          <w:rFonts w:cs="Arial"/>
          <w:bCs/>
          <w:snapToGrid w:val="0"/>
          <w:lang w:val="en-GB"/>
        </w:rPr>
        <w:t>Recommended</w:t>
      </w:r>
    </w:p>
    <w:p w:rsidR="00594438" w:rsidRPr="00737FEA" w:rsidRDefault="00594438" w:rsidP="00594438">
      <w:pPr>
        <w:spacing w:after="0"/>
        <w:rPr>
          <w:rFonts w:cs="Arial"/>
          <w:bCs/>
          <w:snapToGrid w:val="0"/>
          <w:highlight w:val="yellow"/>
          <w:lang w:val="en-GB"/>
        </w:rPr>
      </w:pPr>
    </w:p>
    <w:p w:rsidR="00594438" w:rsidRPr="00A50B2C" w:rsidRDefault="00594438" w:rsidP="00A50B2C">
      <w:pPr>
        <w:pStyle w:val="PBACHeading1"/>
        <w:outlineLvl w:val="0"/>
      </w:pPr>
      <w:r w:rsidRPr="00A50B2C">
        <w:t>Recommended listing</w:t>
      </w:r>
    </w:p>
    <w:p w:rsidR="00594438" w:rsidRPr="0051046C" w:rsidRDefault="00594438" w:rsidP="00594438">
      <w:pPr>
        <w:spacing w:after="0"/>
        <w:rPr>
          <w:rFonts w:cs="Arial"/>
          <w:b/>
          <w:bCs/>
          <w:i/>
          <w:snapToGrid w:val="0"/>
          <w:lang w:val="en-GB"/>
        </w:rPr>
      </w:pPr>
    </w:p>
    <w:p w:rsidR="00594438" w:rsidRPr="00FB10B6" w:rsidRDefault="00594438" w:rsidP="00860DC8">
      <w:pPr>
        <w:pStyle w:val="ListParagraph"/>
        <w:numPr>
          <w:ilvl w:val="1"/>
          <w:numId w:val="3"/>
        </w:numPr>
        <w:spacing w:before="0" w:after="0"/>
        <w:contextualSpacing/>
      </w:pPr>
      <w:r w:rsidRPr="00FB10B6">
        <w:t>Add new item:</w:t>
      </w:r>
    </w:p>
    <w:p w:rsidR="0051046C" w:rsidRPr="0051046C" w:rsidRDefault="0051046C" w:rsidP="00594438">
      <w:pPr>
        <w:widowControl w:val="0"/>
        <w:spacing w:after="0"/>
        <w:ind w:firstLine="720"/>
        <w:rPr>
          <w:rFonts w:cs="Arial"/>
          <w:bCs/>
          <w:snapToGrid w:val="0"/>
        </w:rPr>
      </w:pPr>
    </w:p>
    <w:tbl>
      <w:tblPr>
        <w:tblW w:w="5000" w:type="pct"/>
        <w:tblLook w:val="0000" w:firstRow="0" w:lastRow="0" w:firstColumn="0" w:lastColumn="0" w:noHBand="0" w:noVBand="0"/>
      </w:tblPr>
      <w:tblGrid>
        <w:gridCol w:w="2843"/>
        <w:gridCol w:w="429"/>
        <w:gridCol w:w="569"/>
        <w:gridCol w:w="852"/>
        <w:gridCol w:w="1564"/>
        <w:gridCol w:w="2924"/>
        <w:gridCol w:w="61"/>
      </w:tblGrid>
      <w:tr w:rsidR="0051046C" w:rsidRPr="00260CE3" w:rsidTr="0051046C">
        <w:trPr>
          <w:gridAfter w:val="1"/>
          <w:wAfter w:w="34" w:type="pct"/>
          <w:cantSplit/>
          <w:trHeight w:val="471"/>
        </w:trPr>
        <w:tc>
          <w:tcPr>
            <w:tcW w:w="1770" w:type="pct"/>
            <w:gridSpan w:val="2"/>
            <w:tcBorders>
              <w:bottom w:val="single" w:sz="4" w:space="0" w:color="auto"/>
            </w:tcBorders>
          </w:tcPr>
          <w:p w:rsidR="0051046C" w:rsidRPr="00260CE3" w:rsidRDefault="0051046C" w:rsidP="00E871B8">
            <w:pPr>
              <w:keepNext/>
              <w:spacing w:before="0" w:after="0"/>
              <w:ind w:left="-108"/>
              <w:rPr>
                <w:rFonts w:ascii="Arial Narrow" w:hAnsi="Arial Narrow" w:cs="Arial"/>
                <w:sz w:val="20"/>
                <w:szCs w:val="20"/>
              </w:rPr>
            </w:pPr>
            <w:r w:rsidRPr="00260CE3">
              <w:rPr>
                <w:rFonts w:ascii="Arial Narrow" w:hAnsi="Arial Narrow" w:cs="Arial"/>
                <w:sz w:val="20"/>
                <w:szCs w:val="20"/>
              </w:rPr>
              <w:t>Name, Restriction,</w:t>
            </w:r>
          </w:p>
          <w:p w:rsidR="0051046C" w:rsidRPr="00260CE3" w:rsidRDefault="0051046C" w:rsidP="00E871B8">
            <w:pPr>
              <w:keepNext/>
              <w:spacing w:before="0" w:after="0"/>
              <w:ind w:left="-108"/>
              <w:rPr>
                <w:rFonts w:ascii="Arial Narrow" w:hAnsi="Arial Narrow" w:cs="Arial"/>
                <w:sz w:val="20"/>
                <w:szCs w:val="20"/>
              </w:rPr>
            </w:pPr>
            <w:r w:rsidRPr="00260CE3">
              <w:rPr>
                <w:rFonts w:ascii="Arial Narrow" w:hAnsi="Arial Narrow" w:cs="Arial"/>
                <w:sz w:val="20"/>
                <w:szCs w:val="20"/>
              </w:rPr>
              <w:t>Manner of administration and form</w:t>
            </w:r>
          </w:p>
        </w:tc>
        <w:tc>
          <w:tcPr>
            <w:tcW w:w="308" w:type="pct"/>
            <w:tcBorders>
              <w:bottom w:val="single" w:sz="4" w:space="0" w:color="auto"/>
            </w:tcBorders>
          </w:tcPr>
          <w:p w:rsidR="0051046C" w:rsidRPr="00260CE3" w:rsidRDefault="0051046C" w:rsidP="00E871B8">
            <w:pPr>
              <w:keepNext/>
              <w:spacing w:before="0" w:after="0"/>
              <w:ind w:left="-108"/>
              <w:rPr>
                <w:rFonts w:ascii="Arial Narrow" w:hAnsi="Arial Narrow" w:cs="Arial"/>
                <w:sz w:val="20"/>
                <w:szCs w:val="20"/>
              </w:rPr>
            </w:pPr>
            <w:r w:rsidRPr="00260CE3">
              <w:rPr>
                <w:rFonts w:ascii="Arial Narrow" w:hAnsi="Arial Narrow" w:cs="Arial"/>
                <w:sz w:val="20"/>
                <w:szCs w:val="20"/>
              </w:rPr>
              <w:t>Max.</w:t>
            </w:r>
          </w:p>
          <w:p w:rsidR="0051046C" w:rsidRPr="00260CE3" w:rsidRDefault="0051046C" w:rsidP="00E871B8">
            <w:pPr>
              <w:keepNext/>
              <w:spacing w:before="0" w:after="0"/>
              <w:ind w:left="-108"/>
              <w:rPr>
                <w:rFonts w:ascii="Arial Narrow" w:hAnsi="Arial Narrow" w:cs="Arial"/>
                <w:sz w:val="20"/>
                <w:szCs w:val="20"/>
              </w:rPr>
            </w:pPr>
            <w:r w:rsidRPr="00260CE3">
              <w:rPr>
                <w:rFonts w:ascii="Arial Narrow" w:hAnsi="Arial Narrow" w:cs="Arial"/>
                <w:sz w:val="20"/>
                <w:szCs w:val="20"/>
              </w:rPr>
              <w:t>Qty</w:t>
            </w:r>
          </w:p>
        </w:tc>
        <w:tc>
          <w:tcPr>
            <w:tcW w:w="461" w:type="pct"/>
            <w:tcBorders>
              <w:bottom w:val="single" w:sz="4" w:space="0" w:color="auto"/>
            </w:tcBorders>
          </w:tcPr>
          <w:p w:rsidR="0051046C" w:rsidRPr="00260CE3" w:rsidRDefault="0051046C" w:rsidP="00E871B8">
            <w:pPr>
              <w:keepNext/>
              <w:spacing w:before="0" w:after="0"/>
              <w:ind w:left="-108"/>
              <w:rPr>
                <w:rFonts w:ascii="Arial Narrow" w:hAnsi="Arial Narrow" w:cs="Arial"/>
                <w:sz w:val="20"/>
                <w:szCs w:val="20"/>
              </w:rPr>
            </w:pPr>
            <w:r w:rsidRPr="00260CE3">
              <w:rPr>
                <w:rFonts w:ascii="Arial Narrow" w:hAnsi="Arial Narrow" w:cs="Arial"/>
                <w:sz w:val="20"/>
                <w:szCs w:val="20"/>
              </w:rPr>
              <w:t>№.of</w:t>
            </w:r>
          </w:p>
          <w:p w:rsidR="0051046C" w:rsidRPr="00260CE3" w:rsidRDefault="0051046C" w:rsidP="00E871B8">
            <w:pPr>
              <w:keepNext/>
              <w:spacing w:before="0" w:after="0"/>
              <w:ind w:left="-108"/>
              <w:rPr>
                <w:rFonts w:ascii="Arial Narrow" w:hAnsi="Arial Narrow" w:cs="Arial"/>
                <w:sz w:val="20"/>
                <w:szCs w:val="20"/>
              </w:rPr>
            </w:pPr>
            <w:r w:rsidRPr="00260CE3">
              <w:rPr>
                <w:rFonts w:ascii="Arial Narrow" w:hAnsi="Arial Narrow" w:cs="Arial"/>
                <w:sz w:val="20"/>
                <w:szCs w:val="20"/>
              </w:rPr>
              <w:t>Rpts</w:t>
            </w:r>
          </w:p>
        </w:tc>
        <w:tc>
          <w:tcPr>
            <w:tcW w:w="2428" w:type="pct"/>
            <w:gridSpan w:val="2"/>
            <w:tcBorders>
              <w:bottom w:val="single" w:sz="4" w:space="0" w:color="auto"/>
            </w:tcBorders>
          </w:tcPr>
          <w:p w:rsidR="0051046C" w:rsidRPr="00260CE3" w:rsidRDefault="0051046C" w:rsidP="00E871B8">
            <w:pPr>
              <w:keepNext/>
              <w:spacing w:before="0" w:after="0"/>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51046C" w:rsidRPr="00260CE3" w:rsidTr="0051046C">
        <w:trPr>
          <w:gridAfter w:val="1"/>
          <w:wAfter w:w="34" w:type="pct"/>
          <w:cantSplit/>
          <w:trHeight w:val="577"/>
        </w:trPr>
        <w:tc>
          <w:tcPr>
            <w:tcW w:w="1770" w:type="pct"/>
            <w:gridSpan w:val="2"/>
          </w:tcPr>
          <w:p w:rsidR="0051046C" w:rsidRPr="00260CE3" w:rsidRDefault="00057A45" w:rsidP="00E871B8">
            <w:pPr>
              <w:keepNext/>
              <w:spacing w:before="0" w:after="0"/>
              <w:ind w:left="-108"/>
              <w:rPr>
                <w:rFonts w:ascii="Arial Narrow" w:hAnsi="Arial Narrow" w:cs="Arial"/>
                <w:sz w:val="20"/>
                <w:szCs w:val="20"/>
              </w:rPr>
            </w:pPr>
            <w:r>
              <w:rPr>
                <w:rFonts w:ascii="Arial Narrow" w:hAnsi="Arial Narrow" w:cs="Arial"/>
                <w:smallCaps/>
                <w:sz w:val="20"/>
                <w:szCs w:val="20"/>
              </w:rPr>
              <w:t>SONIDEGIB</w:t>
            </w:r>
          </w:p>
          <w:p w:rsidR="0051046C" w:rsidRPr="00260CE3" w:rsidRDefault="0051046C" w:rsidP="00E871B8">
            <w:pPr>
              <w:keepNext/>
              <w:spacing w:before="0" w:after="0"/>
              <w:ind w:left="-108"/>
              <w:rPr>
                <w:rFonts w:ascii="Arial Narrow" w:hAnsi="Arial Narrow" w:cs="Arial"/>
                <w:sz w:val="20"/>
                <w:szCs w:val="20"/>
              </w:rPr>
            </w:pPr>
            <w:r>
              <w:rPr>
                <w:rFonts w:ascii="Arial Narrow" w:hAnsi="Arial Narrow" w:cs="Arial"/>
                <w:sz w:val="20"/>
                <w:szCs w:val="20"/>
              </w:rPr>
              <w:t>Capsule 200 mg, 30</w:t>
            </w:r>
          </w:p>
        </w:tc>
        <w:tc>
          <w:tcPr>
            <w:tcW w:w="308" w:type="pct"/>
          </w:tcPr>
          <w:p w:rsidR="0051046C" w:rsidRPr="00260CE3" w:rsidRDefault="0051046C" w:rsidP="00E871B8">
            <w:pPr>
              <w:keepNext/>
              <w:spacing w:before="0" w:after="0"/>
              <w:ind w:left="-108"/>
              <w:rPr>
                <w:rFonts w:ascii="Arial Narrow" w:hAnsi="Arial Narrow" w:cs="Arial"/>
                <w:sz w:val="20"/>
                <w:szCs w:val="20"/>
              </w:rPr>
            </w:pPr>
          </w:p>
          <w:p w:rsidR="0051046C" w:rsidRPr="00260CE3" w:rsidRDefault="0051046C" w:rsidP="00E871B8">
            <w:pPr>
              <w:keepNext/>
              <w:spacing w:before="0" w:after="0"/>
              <w:ind w:left="-108"/>
              <w:rPr>
                <w:rFonts w:ascii="Arial Narrow" w:hAnsi="Arial Narrow" w:cs="Arial"/>
                <w:sz w:val="20"/>
                <w:szCs w:val="20"/>
              </w:rPr>
            </w:pPr>
            <w:r>
              <w:rPr>
                <w:rFonts w:ascii="Arial Narrow" w:hAnsi="Arial Narrow" w:cs="Arial"/>
                <w:sz w:val="20"/>
                <w:szCs w:val="20"/>
              </w:rPr>
              <w:t>1</w:t>
            </w:r>
          </w:p>
        </w:tc>
        <w:tc>
          <w:tcPr>
            <w:tcW w:w="461" w:type="pct"/>
          </w:tcPr>
          <w:p w:rsidR="0051046C" w:rsidRPr="00260CE3" w:rsidRDefault="0051046C" w:rsidP="00E871B8">
            <w:pPr>
              <w:keepNext/>
              <w:spacing w:before="0" w:after="0"/>
              <w:ind w:left="-108"/>
              <w:rPr>
                <w:rFonts w:ascii="Arial Narrow" w:hAnsi="Arial Narrow" w:cs="Arial"/>
                <w:sz w:val="20"/>
                <w:szCs w:val="20"/>
              </w:rPr>
            </w:pPr>
          </w:p>
          <w:p w:rsidR="0051046C" w:rsidRPr="00260CE3" w:rsidRDefault="0051046C" w:rsidP="00E871B8">
            <w:pPr>
              <w:keepNext/>
              <w:spacing w:before="0" w:after="0"/>
              <w:ind w:left="-108"/>
              <w:rPr>
                <w:rFonts w:ascii="Arial Narrow" w:hAnsi="Arial Narrow" w:cs="Arial"/>
                <w:sz w:val="20"/>
                <w:szCs w:val="20"/>
              </w:rPr>
            </w:pPr>
            <w:r>
              <w:rPr>
                <w:rFonts w:ascii="Arial Narrow" w:hAnsi="Arial Narrow" w:cs="Arial"/>
                <w:sz w:val="20"/>
                <w:szCs w:val="20"/>
              </w:rPr>
              <w:t>3</w:t>
            </w:r>
          </w:p>
        </w:tc>
        <w:tc>
          <w:tcPr>
            <w:tcW w:w="846" w:type="pct"/>
          </w:tcPr>
          <w:p w:rsidR="0051046C" w:rsidRPr="00260CE3" w:rsidRDefault="0051046C" w:rsidP="00E871B8">
            <w:pPr>
              <w:keepNext/>
              <w:spacing w:before="0" w:after="0"/>
              <w:rPr>
                <w:rFonts w:ascii="Arial Narrow" w:hAnsi="Arial Narrow" w:cs="Arial"/>
                <w:sz w:val="20"/>
                <w:szCs w:val="20"/>
              </w:rPr>
            </w:pPr>
            <w:r>
              <w:rPr>
                <w:rFonts w:ascii="Arial Narrow" w:hAnsi="Arial Narrow" w:cs="Arial"/>
                <w:sz w:val="20"/>
                <w:szCs w:val="20"/>
              </w:rPr>
              <w:t>Odomzo</w:t>
            </w:r>
            <w:r w:rsidR="00954174">
              <w:rPr>
                <w:rFonts w:ascii="Arial Narrow" w:hAnsi="Arial Narrow" w:cs="Arial"/>
                <w:sz w:val="20"/>
                <w:szCs w:val="20"/>
              </w:rPr>
              <w:t>®</w:t>
            </w:r>
          </w:p>
        </w:tc>
        <w:tc>
          <w:tcPr>
            <w:tcW w:w="1581" w:type="pct"/>
          </w:tcPr>
          <w:p w:rsidR="0051046C" w:rsidRPr="00260CE3" w:rsidRDefault="0051046C" w:rsidP="00E871B8">
            <w:pPr>
              <w:keepNext/>
              <w:spacing w:before="0" w:after="0"/>
              <w:rPr>
                <w:rFonts w:ascii="Arial Narrow" w:hAnsi="Arial Narrow" w:cs="Arial"/>
                <w:sz w:val="20"/>
                <w:szCs w:val="20"/>
              </w:rPr>
            </w:pPr>
            <w:r>
              <w:rPr>
                <w:rFonts w:ascii="Arial Narrow" w:hAnsi="Arial Narrow" w:cs="Arial"/>
                <w:sz w:val="20"/>
                <w:szCs w:val="20"/>
              </w:rPr>
              <w:t>Sun Pharma Ltd.</w:t>
            </w:r>
          </w:p>
        </w:tc>
      </w:tr>
      <w:tr w:rsidR="0051046C" w:rsidRPr="00260CE3" w:rsidTr="0051046C">
        <w:trPr>
          <w:cantSplit/>
          <w:trHeight w:val="360"/>
        </w:trPr>
        <w:tc>
          <w:tcPr>
            <w:tcW w:w="5000" w:type="pct"/>
            <w:gridSpan w:val="7"/>
            <w:tcBorders>
              <w:bottom w:val="single" w:sz="4" w:space="0" w:color="auto"/>
            </w:tcBorders>
          </w:tcPr>
          <w:p w:rsidR="0051046C" w:rsidRPr="00260CE3" w:rsidRDefault="0051046C" w:rsidP="00E871B8">
            <w:pPr>
              <w:spacing w:before="0" w:after="0"/>
              <w:rPr>
                <w:rFonts w:ascii="Arial Narrow" w:hAnsi="Arial Narrow" w:cs="Arial"/>
                <w:sz w:val="20"/>
                <w:szCs w:val="20"/>
              </w:rPr>
            </w:pPr>
          </w:p>
        </w:tc>
      </w:tr>
      <w:tr w:rsidR="0051046C" w:rsidRPr="00260CE3" w:rsidTr="0051046C">
        <w:trPr>
          <w:cantSplit/>
          <w:trHeight w:val="360"/>
        </w:trPr>
        <w:tc>
          <w:tcPr>
            <w:tcW w:w="1538" w:type="pct"/>
            <w:tcBorders>
              <w:top w:val="single" w:sz="4" w:space="0" w:color="auto"/>
              <w:left w:val="single" w:sz="4" w:space="0" w:color="auto"/>
              <w:bottom w:val="single" w:sz="4" w:space="0" w:color="auto"/>
              <w:right w:val="single" w:sz="4" w:space="0" w:color="auto"/>
            </w:tcBorders>
          </w:tcPr>
          <w:p w:rsidR="0051046C" w:rsidRPr="00260CE3" w:rsidRDefault="0051046C" w:rsidP="00E871B8">
            <w:pPr>
              <w:spacing w:before="0" w:after="0"/>
              <w:rPr>
                <w:rFonts w:ascii="Arial Narrow" w:hAnsi="Arial Narrow" w:cs="Arial"/>
                <w:b/>
                <w:sz w:val="20"/>
                <w:szCs w:val="20"/>
              </w:rPr>
            </w:pPr>
            <w:r w:rsidRPr="00260CE3">
              <w:rPr>
                <w:rFonts w:ascii="Arial Narrow" w:hAnsi="Arial Narrow" w:cs="Arial"/>
                <w:b/>
                <w:sz w:val="20"/>
                <w:szCs w:val="20"/>
              </w:rPr>
              <w:t xml:space="preserve">Category / </w:t>
            </w:r>
          </w:p>
          <w:p w:rsidR="0051046C" w:rsidRPr="00260CE3" w:rsidRDefault="0051046C" w:rsidP="00E871B8">
            <w:pPr>
              <w:spacing w:before="0" w:after="0"/>
              <w:rPr>
                <w:rFonts w:ascii="Arial Narrow" w:hAnsi="Arial Narrow" w:cs="Arial"/>
                <w:b/>
                <w:sz w:val="20"/>
                <w:szCs w:val="20"/>
              </w:rPr>
            </w:pPr>
            <w:r w:rsidRPr="00260CE3">
              <w:rPr>
                <w:rFonts w:ascii="Arial Narrow" w:hAnsi="Arial Narrow" w:cs="Arial"/>
                <w:b/>
                <w:sz w:val="20"/>
                <w:szCs w:val="20"/>
              </w:rPr>
              <w:t>Program</w:t>
            </w:r>
          </w:p>
        </w:tc>
        <w:tc>
          <w:tcPr>
            <w:tcW w:w="3462" w:type="pct"/>
            <w:gridSpan w:val="6"/>
            <w:tcBorders>
              <w:top w:val="single" w:sz="4" w:space="0" w:color="auto"/>
              <w:left w:val="single" w:sz="4" w:space="0" w:color="auto"/>
              <w:bottom w:val="single" w:sz="4" w:space="0" w:color="auto"/>
              <w:right w:val="single" w:sz="4" w:space="0" w:color="auto"/>
            </w:tcBorders>
          </w:tcPr>
          <w:p w:rsidR="0051046C" w:rsidRPr="00260CE3" w:rsidRDefault="0051046C" w:rsidP="00E871B8">
            <w:pPr>
              <w:spacing w:before="0" w:after="0"/>
              <w:rPr>
                <w:rFonts w:ascii="Arial Narrow" w:hAnsi="Arial Narrow" w:cs="Arial"/>
                <w:sz w:val="20"/>
                <w:szCs w:val="20"/>
              </w:rPr>
            </w:pPr>
            <w:r w:rsidRPr="00260CE3">
              <w:rPr>
                <w:rFonts w:ascii="Arial Narrow" w:hAnsi="Arial Narrow" w:cs="Arial"/>
                <w:sz w:val="20"/>
                <w:szCs w:val="20"/>
              </w:rPr>
              <w:t>GENERAL – General Schedule (Code GE)</w:t>
            </w:r>
          </w:p>
          <w:p w:rsidR="0051046C" w:rsidRPr="00260CE3" w:rsidRDefault="0051046C" w:rsidP="00E871B8">
            <w:pPr>
              <w:spacing w:before="0" w:after="0"/>
              <w:rPr>
                <w:rFonts w:ascii="Arial Narrow" w:hAnsi="Arial Narrow" w:cs="Arial"/>
                <w:sz w:val="20"/>
                <w:szCs w:val="20"/>
              </w:rPr>
            </w:pPr>
          </w:p>
        </w:tc>
      </w:tr>
      <w:tr w:rsidR="0051046C" w:rsidRPr="00260CE3" w:rsidTr="0051046C">
        <w:trPr>
          <w:cantSplit/>
          <w:trHeight w:val="360"/>
        </w:trPr>
        <w:tc>
          <w:tcPr>
            <w:tcW w:w="1538" w:type="pct"/>
            <w:tcBorders>
              <w:top w:val="single" w:sz="4" w:space="0" w:color="auto"/>
              <w:left w:val="single" w:sz="4" w:space="0" w:color="auto"/>
              <w:bottom w:val="single" w:sz="4" w:space="0" w:color="auto"/>
              <w:right w:val="single" w:sz="4" w:space="0" w:color="auto"/>
            </w:tcBorders>
          </w:tcPr>
          <w:p w:rsidR="0051046C" w:rsidRPr="00260CE3" w:rsidRDefault="0051046C" w:rsidP="00E871B8">
            <w:pPr>
              <w:spacing w:before="0" w:after="0"/>
              <w:rPr>
                <w:rFonts w:ascii="Arial Narrow" w:hAnsi="Arial Narrow" w:cs="Arial"/>
                <w:b/>
                <w:sz w:val="20"/>
                <w:szCs w:val="20"/>
              </w:rPr>
            </w:pPr>
            <w:r w:rsidRPr="00260CE3">
              <w:rPr>
                <w:rFonts w:ascii="Arial Narrow" w:hAnsi="Arial Narrow" w:cs="Arial"/>
                <w:b/>
                <w:sz w:val="20"/>
                <w:szCs w:val="20"/>
              </w:rPr>
              <w:t>Prescriber type:</w:t>
            </w:r>
          </w:p>
        </w:tc>
        <w:tc>
          <w:tcPr>
            <w:tcW w:w="3462" w:type="pct"/>
            <w:gridSpan w:val="6"/>
            <w:tcBorders>
              <w:top w:val="single" w:sz="4" w:space="0" w:color="auto"/>
              <w:left w:val="single" w:sz="4" w:space="0" w:color="auto"/>
              <w:bottom w:val="single" w:sz="4" w:space="0" w:color="auto"/>
              <w:right w:val="single" w:sz="4" w:space="0" w:color="auto"/>
            </w:tcBorders>
          </w:tcPr>
          <w:p w:rsidR="0051046C" w:rsidRPr="00260CE3" w:rsidRDefault="0051046C" w:rsidP="00E871B8">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51046C" w:rsidRPr="00260CE3" w:rsidRDefault="0051046C" w:rsidP="00E871B8">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51046C" w:rsidRPr="00260CE3" w:rsidTr="0051046C">
        <w:trPr>
          <w:cantSplit/>
          <w:trHeight w:val="360"/>
        </w:trPr>
        <w:tc>
          <w:tcPr>
            <w:tcW w:w="1538" w:type="pct"/>
            <w:tcBorders>
              <w:top w:val="single" w:sz="4" w:space="0" w:color="auto"/>
              <w:left w:val="single" w:sz="4" w:space="0" w:color="auto"/>
              <w:bottom w:val="single" w:sz="4" w:space="0" w:color="auto"/>
              <w:right w:val="single" w:sz="4" w:space="0" w:color="auto"/>
            </w:tcBorders>
          </w:tcPr>
          <w:p w:rsidR="0051046C" w:rsidRPr="00260CE3" w:rsidRDefault="0051046C" w:rsidP="00E871B8">
            <w:pPr>
              <w:spacing w:before="0" w:after="0"/>
              <w:rPr>
                <w:rFonts w:ascii="Arial Narrow" w:hAnsi="Arial Narrow" w:cs="Arial"/>
                <w:b/>
                <w:sz w:val="20"/>
                <w:szCs w:val="20"/>
              </w:rPr>
            </w:pPr>
            <w:r w:rsidRPr="00260CE3">
              <w:rPr>
                <w:rFonts w:ascii="Arial Narrow" w:hAnsi="Arial Narrow" w:cs="Arial"/>
                <w:b/>
                <w:sz w:val="20"/>
                <w:szCs w:val="20"/>
              </w:rPr>
              <w:t>Severity:</w:t>
            </w:r>
          </w:p>
        </w:tc>
        <w:tc>
          <w:tcPr>
            <w:tcW w:w="3462" w:type="pct"/>
            <w:gridSpan w:val="6"/>
            <w:tcBorders>
              <w:top w:val="single" w:sz="4" w:space="0" w:color="auto"/>
              <w:left w:val="single" w:sz="4" w:space="0" w:color="auto"/>
              <w:bottom w:val="single" w:sz="4" w:space="0" w:color="auto"/>
              <w:right w:val="single" w:sz="4" w:space="0" w:color="auto"/>
            </w:tcBorders>
          </w:tcPr>
          <w:p w:rsidR="0051046C" w:rsidRPr="00D83816" w:rsidRDefault="0051046C" w:rsidP="00E871B8">
            <w:pPr>
              <w:spacing w:before="0" w:after="0"/>
              <w:rPr>
                <w:rFonts w:ascii="Arial Narrow" w:hAnsi="Arial Narrow" w:cs="Arial"/>
                <w:sz w:val="20"/>
                <w:szCs w:val="20"/>
              </w:rPr>
            </w:pPr>
            <w:r w:rsidRPr="00D83816">
              <w:rPr>
                <w:rFonts w:ascii="Arial Narrow" w:hAnsi="Arial Narrow" w:cs="Calibri"/>
                <w:sz w:val="20"/>
                <w:szCs w:val="20"/>
              </w:rPr>
              <w:t>Metastatic or locally advanced</w:t>
            </w:r>
          </w:p>
        </w:tc>
      </w:tr>
      <w:tr w:rsidR="0051046C" w:rsidRPr="00260CE3" w:rsidTr="0051046C">
        <w:trPr>
          <w:cantSplit/>
          <w:trHeight w:val="360"/>
        </w:trPr>
        <w:tc>
          <w:tcPr>
            <w:tcW w:w="1538" w:type="pct"/>
            <w:tcBorders>
              <w:top w:val="single" w:sz="4" w:space="0" w:color="auto"/>
              <w:left w:val="single" w:sz="4" w:space="0" w:color="auto"/>
              <w:bottom w:val="single" w:sz="4" w:space="0" w:color="auto"/>
              <w:right w:val="single" w:sz="4" w:space="0" w:color="auto"/>
            </w:tcBorders>
          </w:tcPr>
          <w:p w:rsidR="0051046C" w:rsidRPr="00260CE3" w:rsidRDefault="0051046C" w:rsidP="00E871B8">
            <w:pPr>
              <w:spacing w:before="0" w:after="0"/>
              <w:rPr>
                <w:rFonts w:ascii="Arial Narrow" w:hAnsi="Arial Narrow" w:cs="Arial"/>
                <w:b/>
                <w:sz w:val="20"/>
                <w:szCs w:val="20"/>
              </w:rPr>
            </w:pPr>
            <w:r w:rsidRPr="00260CE3">
              <w:rPr>
                <w:rFonts w:ascii="Arial Narrow" w:hAnsi="Arial Narrow" w:cs="Arial"/>
                <w:b/>
                <w:sz w:val="20"/>
                <w:szCs w:val="20"/>
              </w:rPr>
              <w:t>Condition:</w:t>
            </w:r>
          </w:p>
        </w:tc>
        <w:tc>
          <w:tcPr>
            <w:tcW w:w="3462" w:type="pct"/>
            <w:gridSpan w:val="6"/>
            <w:tcBorders>
              <w:top w:val="single" w:sz="4" w:space="0" w:color="auto"/>
              <w:left w:val="single" w:sz="4" w:space="0" w:color="auto"/>
              <w:bottom w:val="single" w:sz="4" w:space="0" w:color="auto"/>
              <w:right w:val="single" w:sz="4" w:space="0" w:color="auto"/>
            </w:tcBorders>
          </w:tcPr>
          <w:p w:rsidR="0051046C" w:rsidRPr="00D83816" w:rsidRDefault="0051046C" w:rsidP="00E871B8">
            <w:pPr>
              <w:spacing w:before="0" w:after="0"/>
              <w:rPr>
                <w:rFonts w:ascii="Arial Narrow" w:hAnsi="Arial Narrow"/>
                <w:sz w:val="20"/>
                <w:szCs w:val="20"/>
              </w:rPr>
            </w:pPr>
            <w:r w:rsidRPr="00D83816">
              <w:rPr>
                <w:rFonts w:ascii="Arial Narrow" w:hAnsi="Arial Narrow"/>
                <w:sz w:val="20"/>
                <w:szCs w:val="20"/>
              </w:rPr>
              <w:t xml:space="preserve">Basal cell carcinoma </w:t>
            </w:r>
          </w:p>
        </w:tc>
      </w:tr>
      <w:tr w:rsidR="0051046C" w:rsidRPr="00260CE3" w:rsidTr="0051046C">
        <w:trPr>
          <w:cantSplit/>
          <w:trHeight w:val="360"/>
        </w:trPr>
        <w:tc>
          <w:tcPr>
            <w:tcW w:w="1538" w:type="pct"/>
            <w:tcBorders>
              <w:top w:val="single" w:sz="4" w:space="0" w:color="auto"/>
              <w:left w:val="single" w:sz="4" w:space="0" w:color="auto"/>
              <w:bottom w:val="single" w:sz="4" w:space="0" w:color="auto"/>
              <w:right w:val="single" w:sz="4" w:space="0" w:color="auto"/>
            </w:tcBorders>
          </w:tcPr>
          <w:p w:rsidR="0051046C" w:rsidRPr="00D83816" w:rsidRDefault="0051046C" w:rsidP="00E871B8">
            <w:pPr>
              <w:spacing w:before="0" w:after="0"/>
              <w:rPr>
                <w:rFonts w:ascii="Arial Narrow" w:hAnsi="Arial Narrow" w:cs="Arial"/>
                <w:b/>
                <w:sz w:val="20"/>
                <w:szCs w:val="20"/>
              </w:rPr>
            </w:pPr>
            <w:r w:rsidRPr="00260CE3">
              <w:rPr>
                <w:rFonts w:ascii="Arial Narrow" w:hAnsi="Arial Narrow" w:cs="Arial"/>
                <w:b/>
                <w:sz w:val="20"/>
                <w:szCs w:val="20"/>
              </w:rPr>
              <w:t>PBS Indication:</w:t>
            </w:r>
          </w:p>
        </w:tc>
        <w:tc>
          <w:tcPr>
            <w:tcW w:w="3462" w:type="pct"/>
            <w:gridSpan w:val="6"/>
            <w:tcBorders>
              <w:top w:val="single" w:sz="4" w:space="0" w:color="auto"/>
              <w:left w:val="single" w:sz="4" w:space="0" w:color="auto"/>
              <w:bottom w:val="single" w:sz="4" w:space="0" w:color="auto"/>
              <w:right w:val="single" w:sz="4" w:space="0" w:color="auto"/>
            </w:tcBorders>
          </w:tcPr>
          <w:p w:rsidR="0051046C" w:rsidRPr="00D83816" w:rsidRDefault="0051046C" w:rsidP="00E871B8">
            <w:pPr>
              <w:spacing w:before="0" w:after="0"/>
              <w:rPr>
                <w:rFonts w:ascii="Arial Narrow" w:hAnsi="Arial Narrow"/>
                <w:sz w:val="20"/>
                <w:szCs w:val="20"/>
              </w:rPr>
            </w:pPr>
            <w:r w:rsidRPr="00D83816">
              <w:rPr>
                <w:rFonts w:ascii="Arial Narrow" w:hAnsi="Arial Narrow"/>
                <w:sz w:val="20"/>
                <w:szCs w:val="20"/>
              </w:rPr>
              <w:t xml:space="preserve">Metastatic or locally advanced basal cell carcinoma </w:t>
            </w:r>
          </w:p>
        </w:tc>
      </w:tr>
      <w:tr w:rsidR="0051046C" w:rsidRPr="00260CE3" w:rsidTr="0051046C">
        <w:trPr>
          <w:cantSplit/>
          <w:trHeight w:val="360"/>
        </w:trPr>
        <w:tc>
          <w:tcPr>
            <w:tcW w:w="1538" w:type="pct"/>
            <w:tcBorders>
              <w:top w:val="single" w:sz="4" w:space="0" w:color="auto"/>
              <w:left w:val="single" w:sz="4" w:space="0" w:color="auto"/>
              <w:bottom w:val="single" w:sz="4" w:space="0" w:color="auto"/>
              <w:right w:val="single" w:sz="4" w:space="0" w:color="auto"/>
            </w:tcBorders>
          </w:tcPr>
          <w:p w:rsidR="0051046C" w:rsidRPr="00D83816" w:rsidRDefault="0051046C" w:rsidP="00E871B8">
            <w:pPr>
              <w:spacing w:before="0" w:after="0"/>
              <w:rPr>
                <w:rFonts w:ascii="Arial Narrow" w:hAnsi="Arial Narrow" w:cs="Arial"/>
                <w:b/>
                <w:sz w:val="20"/>
                <w:szCs w:val="20"/>
              </w:rPr>
            </w:pPr>
            <w:r w:rsidRPr="00260CE3">
              <w:rPr>
                <w:rFonts w:ascii="Arial Narrow" w:hAnsi="Arial Narrow" w:cs="Arial"/>
                <w:b/>
                <w:sz w:val="20"/>
                <w:szCs w:val="20"/>
              </w:rPr>
              <w:t>Treatment phase:</w:t>
            </w:r>
          </w:p>
        </w:tc>
        <w:tc>
          <w:tcPr>
            <w:tcW w:w="3462" w:type="pct"/>
            <w:gridSpan w:val="6"/>
            <w:tcBorders>
              <w:top w:val="single" w:sz="4" w:space="0" w:color="auto"/>
              <w:left w:val="single" w:sz="4" w:space="0" w:color="auto"/>
              <w:bottom w:val="single" w:sz="4" w:space="0" w:color="auto"/>
              <w:right w:val="single" w:sz="4" w:space="0" w:color="auto"/>
            </w:tcBorders>
          </w:tcPr>
          <w:p w:rsidR="0051046C" w:rsidRPr="00D83816" w:rsidRDefault="0051046C" w:rsidP="00E871B8">
            <w:pPr>
              <w:spacing w:before="0" w:after="0"/>
              <w:rPr>
                <w:rFonts w:ascii="Arial Narrow" w:hAnsi="Arial Narrow"/>
                <w:sz w:val="20"/>
                <w:szCs w:val="20"/>
              </w:rPr>
            </w:pPr>
            <w:r w:rsidRPr="00D83816">
              <w:rPr>
                <w:rFonts w:ascii="Arial Narrow" w:hAnsi="Arial Narrow"/>
                <w:sz w:val="20"/>
                <w:szCs w:val="20"/>
              </w:rPr>
              <w:t>Initial treatment</w:t>
            </w:r>
          </w:p>
        </w:tc>
      </w:tr>
      <w:tr w:rsidR="0051046C" w:rsidRPr="00260CE3" w:rsidTr="0051046C">
        <w:trPr>
          <w:cantSplit/>
          <w:trHeight w:val="360"/>
        </w:trPr>
        <w:tc>
          <w:tcPr>
            <w:tcW w:w="1538" w:type="pct"/>
            <w:tcBorders>
              <w:top w:val="single" w:sz="4" w:space="0" w:color="auto"/>
              <w:left w:val="single" w:sz="4" w:space="0" w:color="auto"/>
              <w:bottom w:val="single" w:sz="4" w:space="0" w:color="auto"/>
              <w:right w:val="single" w:sz="4" w:space="0" w:color="auto"/>
            </w:tcBorders>
          </w:tcPr>
          <w:p w:rsidR="0051046C" w:rsidRPr="00D83816" w:rsidRDefault="0051046C" w:rsidP="00E871B8">
            <w:pPr>
              <w:spacing w:before="0" w:after="0"/>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462" w:type="pct"/>
            <w:gridSpan w:val="6"/>
            <w:tcBorders>
              <w:top w:val="single" w:sz="4" w:space="0" w:color="auto"/>
              <w:left w:val="single" w:sz="4" w:space="0" w:color="auto"/>
              <w:bottom w:val="single" w:sz="4" w:space="0" w:color="auto"/>
              <w:right w:val="single" w:sz="4" w:space="0" w:color="auto"/>
            </w:tcBorders>
          </w:tcPr>
          <w:p w:rsidR="0051046C" w:rsidRPr="00106BCF" w:rsidRDefault="0051046C" w:rsidP="00E871B8">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51046C" w:rsidRPr="00106BCF" w:rsidRDefault="0051046C" w:rsidP="00E871B8">
            <w:pPr>
              <w:spacing w:before="0" w:after="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51046C" w:rsidRPr="00106BCF" w:rsidRDefault="0051046C" w:rsidP="00E871B8">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51046C" w:rsidRPr="00106BCF" w:rsidRDefault="0051046C" w:rsidP="00E871B8">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rsidR="0051046C" w:rsidRPr="00106BCF" w:rsidRDefault="0051046C" w:rsidP="00E871B8">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51046C" w:rsidRPr="00260CE3" w:rsidRDefault="0051046C" w:rsidP="00E871B8">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51046C" w:rsidRPr="00260CE3" w:rsidTr="0051046C">
        <w:trPr>
          <w:cantSplit/>
          <w:trHeight w:val="360"/>
        </w:trPr>
        <w:tc>
          <w:tcPr>
            <w:tcW w:w="1538" w:type="pct"/>
            <w:tcBorders>
              <w:top w:val="single" w:sz="4" w:space="0" w:color="auto"/>
              <w:left w:val="single" w:sz="4" w:space="0" w:color="auto"/>
              <w:bottom w:val="single" w:sz="4" w:space="0" w:color="auto"/>
              <w:right w:val="single" w:sz="4" w:space="0" w:color="auto"/>
            </w:tcBorders>
          </w:tcPr>
          <w:p w:rsidR="0051046C" w:rsidRPr="004549C2" w:rsidRDefault="0051046C" w:rsidP="00E871B8">
            <w:pPr>
              <w:spacing w:before="0" w:after="0"/>
              <w:rPr>
                <w:rFonts w:ascii="Arial Narrow" w:hAnsi="Arial Narrow" w:cs="Arial"/>
                <w:b/>
                <w:sz w:val="20"/>
                <w:szCs w:val="20"/>
              </w:rPr>
            </w:pPr>
            <w:r w:rsidRPr="00260CE3">
              <w:rPr>
                <w:rFonts w:ascii="Arial Narrow" w:hAnsi="Arial Narrow" w:cs="Arial"/>
                <w:b/>
                <w:sz w:val="20"/>
                <w:szCs w:val="20"/>
              </w:rPr>
              <w:t>Clinical criteria:</w:t>
            </w:r>
          </w:p>
        </w:tc>
        <w:tc>
          <w:tcPr>
            <w:tcW w:w="3462" w:type="pct"/>
            <w:gridSpan w:val="6"/>
            <w:tcBorders>
              <w:top w:val="single" w:sz="4" w:space="0" w:color="auto"/>
              <w:left w:val="single" w:sz="4" w:space="0" w:color="auto"/>
              <w:bottom w:val="single" w:sz="4" w:space="0" w:color="auto"/>
              <w:right w:val="single" w:sz="4" w:space="0" w:color="auto"/>
            </w:tcBorders>
          </w:tcPr>
          <w:p w:rsidR="0051046C" w:rsidRPr="004549C2" w:rsidRDefault="0051046C" w:rsidP="00E871B8">
            <w:pPr>
              <w:spacing w:before="0" w:after="0"/>
              <w:rPr>
                <w:rFonts w:ascii="Arial Narrow" w:hAnsi="Arial Narrow" w:cs="Arial"/>
                <w:sz w:val="20"/>
                <w:szCs w:val="20"/>
              </w:rPr>
            </w:pPr>
            <w:r w:rsidRPr="004549C2">
              <w:rPr>
                <w:rFonts w:ascii="Arial Narrow" w:hAnsi="Arial Narrow" w:cs="Arial"/>
                <w:sz w:val="20"/>
                <w:szCs w:val="20"/>
              </w:rPr>
              <w:t xml:space="preserve">The condition must be inappropriate for surgery, </w:t>
            </w:r>
          </w:p>
          <w:p w:rsidR="0051046C" w:rsidRPr="004549C2" w:rsidRDefault="0051046C" w:rsidP="00E871B8">
            <w:pPr>
              <w:spacing w:before="0" w:after="0"/>
              <w:rPr>
                <w:rFonts w:ascii="Arial Narrow" w:hAnsi="Arial Narrow" w:cs="Arial"/>
                <w:sz w:val="20"/>
                <w:szCs w:val="20"/>
              </w:rPr>
            </w:pPr>
          </w:p>
          <w:p w:rsidR="0051046C" w:rsidRPr="004549C2" w:rsidRDefault="0051046C" w:rsidP="00E871B8">
            <w:pPr>
              <w:spacing w:before="0" w:after="0"/>
              <w:rPr>
                <w:rFonts w:ascii="Arial Narrow" w:hAnsi="Arial Narrow" w:cs="Arial"/>
                <w:sz w:val="20"/>
                <w:szCs w:val="20"/>
              </w:rPr>
            </w:pPr>
            <w:r w:rsidRPr="004549C2">
              <w:rPr>
                <w:rFonts w:ascii="Arial Narrow" w:hAnsi="Arial Narrow" w:cs="Arial"/>
                <w:sz w:val="20"/>
                <w:szCs w:val="20"/>
              </w:rPr>
              <w:t>AND</w:t>
            </w:r>
          </w:p>
          <w:p w:rsidR="0051046C" w:rsidRPr="004549C2" w:rsidRDefault="0051046C" w:rsidP="00E871B8">
            <w:pPr>
              <w:spacing w:before="0" w:after="0"/>
              <w:rPr>
                <w:rFonts w:ascii="Arial Narrow" w:hAnsi="Arial Narrow" w:cs="Arial"/>
                <w:sz w:val="20"/>
                <w:szCs w:val="20"/>
              </w:rPr>
            </w:pPr>
          </w:p>
          <w:p w:rsidR="0051046C" w:rsidRPr="004549C2" w:rsidRDefault="0051046C" w:rsidP="00E871B8">
            <w:pPr>
              <w:spacing w:before="0" w:after="0"/>
              <w:rPr>
                <w:rFonts w:ascii="Arial Narrow" w:hAnsi="Arial Narrow" w:cs="Arial"/>
                <w:sz w:val="20"/>
                <w:szCs w:val="20"/>
              </w:rPr>
            </w:pPr>
            <w:r w:rsidRPr="004549C2">
              <w:rPr>
                <w:rFonts w:ascii="Arial Narrow" w:hAnsi="Arial Narrow" w:cs="Arial"/>
                <w:sz w:val="20"/>
                <w:szCs w:val="20"/>
              </w:rPr>
              <w:t xml:space="preserve">The condition must be inappropriate for curative radiotherapy, </w:t>
            </w:r>
          </w:p>
          <w:p w:rsidR="0051046C" w:rsidRPr="004549C2" w:rsidRDefault="0051046C" w:rsidP="00E871B8">
            <w:pPr>
              <w:spacing w:before="0" w:after="0"/>
              <w:rPr>
                <w:rFonts w:ascii="Arial Narrow" w:hAnsi="Arial Narrow" w:cs="Arial"/>
                <w:sz w:val="20"/>
                <w:szCs w:val="20"/>
              </w:rPr>
            </w:pPr>
          </w:p>
          <w:p w:rsidR="003F74EE" w:rsidRDefault="0051046C" w:rsidP="003F74EE">
            <w:pPr>
              <w:spacing w:before="0" w:after="0"/>
              <w:rPr>
                <w:rFonts w:ascii="Arial Narrow" w:hAnsi="Arial Narrow" w:cs="Arial"/>
                <w:sz w:val="20"/>
                <w:szCs w:val="20"/>
              </w:rPr>
            </w:pPr>
            <w:r w:rsidRPr="004549C2">
              <w:rPr>
                <w:rFonts w:ascii="Arial Narrow" w:hAnsi="Arial Narrow" w:cs="Arial"/>
                <w:sz w:val="20"/>
                <w:szCs w:val="20"/>
              </w:rPr>
              <w:t>AND</w:t>
            </w:r>
          </w:p>
          <w:p w:rsidR="003F74EE" w:rsidRDefault="003F74EE" w:rsidP="003F74EE">
            <w:pPr>
              <w:spacing w:before="0" w:after="0"/>
              <w:rPr>
                <w:rFonts w:ascii="Arial Narrow" w:hAnsi="Arial Narrow" w:cs="Arial"/>
                <w:sz w:val="20"/>
                <w:szCs w:val="20"/>
              </w:rPr>
            </w:pPr>
          </w:p>
          <w:p w:rsidR="003F74EE" w:rsidRDefault="003F74EE" w:rsidP="003F74EE">
            <w:pPr>
              <w:tabs>
                <w:tab w:val="num" w:pos="720"/>
              </w:tabs>
              <w:spacing w:before="0" w:after="0"/>
              <w:rPr>
                <w:rFonts w:ascii="Arial Narrow" w:hAnsi="Arial Narrow" w:cs="Arial"/>
                <w:sz w:val="20"/>
                <w:szCs w:val="20"/>
                <w:lang w:val="en-GB"/>
              </w:rPr>
            </w:pPr>
            <w:r w:rsidRPr="003F74EE">
              <w:rPr>
                <w:rFonts w:ascii="Arial Narrow" w:hAnsi="Arial Narrow" w:cs="Arial"/>
                <w:sz w:val="20"/>
                <w:szCs w:val="20"/>
                <w:lang w:val="en-GB"/>
              </w:rPr>
              <w:t xml:space="preserve">Patient must not have received previous PBS-subsidised treatment with another </w:t>
            </w:r>
            <w:r>
              <w:rPr>
                <w:rFonts w:ascii="Arial Narrow" w:hAnsi="Arial Narrow" w:cs="Calibri"/>
                <w:bCs/>
                <w:sz w:val="20"/>
                <w:szCs w:val="20"/>
              </w:rPr>
              <w:t>hedgehog (Hh)</w:t>
            </w:r>
            <w:r w:rsidRPr="00FB10B6">
              <w:rPr>
                <w:rFonts w:ascii="Arial Narrow" w:hAnsi="Arial Narrow" w:cs="Calibri"/>
                <w:bCs/>
                <w:sz w:val="20"/>
                <w:szCs w:val="20"/>
              </w:rPr>
              <w:t xml:space="preserve"> inhibitor</w:t>
            </w:r>
            <w:r w:rsidR="00004CF4">
              <w:rPr>
                <w:rFonts w:ascii="Arial Narrow" w:hAnsi="Arial Narrow" w:cs="Calibri"/>
                <w:bCs/>
                <w:sz w:val="20"/>
                <w:szCs w:val="20"/>
              </w:rPr>
              <w:t xml:space="preserve"> for this condition</w:t>
            </w:r>
            <w:r w:rsidRPr="003F74EE">
              <w:rPr>
                <w:rFonts w:ascii="Arial Narrow" w:hAnsi="Arial Narrow" w:cs="Arial"/>
                <w:sz w:val="20"/>
                <w:szCs w:val="20"/>
                <w:lang w:val="en-GB"/>
              </w:rPr>
              <w:t>; OR</w:t>
            </w:r>
          </w:p>
          <w:p w:rsidR="003F74EE" w:rsidRDefault="003F74EE" w:rsidP="003F74EE">
            <w:pPr>
              <w:tabs>
                <w:tab w:val="num" w:pos="720"/>
              </w:tabs>
              <w:spacing w:before="0" w:after="0"/>
              <w:rPr>
                <w:rFonts w:ascii="Arial Narrow" w:hAnsi="Arial Narrow" w:cs="Arial"/>
                <w:sz w:val="20"/>
                <w:szCs w:val="20"/>
                <w:lang w:val="en-GB"/>
              </w:rPr>
            </w:pPr>
          </w:p>
          <w:p w:rsidR="003F74EE" w:rsidRPr="003F74EE" w:rsidRDefault="003F74EE" w:rsidP="003F74EE">
            <w:pPr>
              <w:tabs>
                <w:tab w:val="num" w:pos="720"/>
              </w:tabs>
              <w:spacing w:before="0" w:after="0"/>
              <w:rPr>
                <w:rFonts w:ascii="Arial Narrow" w:hAnsi="Arial Narrow" w:cs="Arial"/>
                <w:sz w:val="20"/>
                <w:szCs w:val="20"/>
                <w:lang w:val="en-GB"/>
              </w:rPr>
            </w:pPr>
            <w:r w:rsidRPr="003F74EE">
              <w:rPr>
                <w:rFonts w:ascii="Arial Narrow" w:hAnsi="Arial Narrow" w:cs="Arial"/>
                <w:sz w:val="20"/>
                <w:szCs w:val="20"/>
                <w:lang w:val="en-GB"/>
              </w:rPr>
              <w:t xml:space="preserve">Patient must have developed intolerance to another </w:t>
            </w:r>
            <w:r>
              <w:rPr>
                <w:rFonts w:ascii="Arial Narrow" w:hAnsi="Arial Narrow" w:cs="Calibri"/>
                <w:bCs/>
                <w:sz w:val="20"/>
                <w:szCs w:val="20"/>
              </w:rPr>
              <w:t>hedgehog (Hh)</w:t>
            </w:r>
            <w:r w:rsidRPr="00FB10B6">
              <w:rPr>
                <w:rFonts w:ascii="Arial Narrow" w:hAnsi="Arial Narrow" w:cs="Calibri"/>
                <w:bCs/>
                <w:sz w:val="20"/>
                <w:szCs w:val="20"/>
              </w:rPr>
              <w:t xml:space="preserve"> inhibitor</w:t>
            </w:r>
            <w:r w:rsidRPr="003F74EE">
              <w:rPr>
                <w:rFonts w:ascii="Arial Narrow" w:hAnsi="Arial Narrow" w:cs="Arial"/>
                <w:sz w:val="20"/>
                <w:szCs w:val="20"/>
                <w:lang w:val="en-GB"/>
              </w:rPr>
              <w:t xml:space="preserve"> of a severity necessitating permanent treatment withdrawal,</w:t>
            </w:r>
          </w:p>
          <w:p w:rsidR="003F74EE" w:rsidRDefault="003F74EE" w:rsidP="00E871B8">
            <w:pPr>
              <w:spacing w:before="0" w:after="0"/>
              <w:rPr>
                <w:rFonts w:ascii="Arial Narrow" w:hAnsi="Arial Narrow" w:cs="Arial"/>
                <w:sz w:val="20"/>
                <w:szCs w:val="20"/>
              </w:rPr>
            </w:pPr>
          </w:p>
          <w:p w:rsidR="003F74EE" w:rsidRPr="004549C2" w:rsidRDefault="00DF0640" w:rsidP="00E871B8">
            <w:pPr>
              <w:spacing w:before="0" w:after="0"/>
              <w:rPr>
                <w:rFonts w:ascii="Arial Narrow" w:hAnsi="Arial Narrow" w:cs="Arial"/>
                <w:sz w:val="20"/>
                <w:szCs w:val="20"/>
              </w:rPr>
            </w:pPr>
            <w:r>
              <w:rPr>
                <w:rFonts w:ascii="Arial Narrow" w:hAnsi="Arial Narrow" w:cs="Arial"/>
                <w:sz w:val="20"/>
                <w:szCs w:val="20"/>
              </w:rPr>
              <w:t>AND</w:t>
            </w:r>
          </w:p>
          <w:p w:rsidR="0051046C" w:rsidRPr="004549C2" w:rsidRDefault="0051046C" w:rsidP="00E871B8">
            <w:pPr>
              <w:spacing w:before="0" w:after="0"/>
              <w:rPr>
                <w:rFonts w:ascii="Arial Narrow" w:hAnsi="Arial Narrow" w:cs="Arial"/>
                <w:sz w:val="20"/>
                <w:szCs w:val="20"/>
              </w:rPr>
            </w:pPr>
          </w:p>
          <w:p w:rsidR="0051046C" w:rsidRPr="00260CE3" w:rsidRDefault="0051046C" w:rsidP="00E871B8">
            <w:pPr>
              <w:spacing w:before="0" w:after="0"/>
              <w:rPr>
                <w:rFonts w:ascii="Arial Narrow" w:hAnsi="Arial Narrow" w:cs="Arial"/>
                <w:sz w:val="20"/>
                <w:szCs w:val="20"/>
              </w:rPr>
            </w:pPr>
            <w:r w:rsidRPr="004549C2">
              <w:rPr>
                <w:rFonts w:ascii="Arial Narrow" w:hAnsi="Arial Narrow" w:cs="Arial"/>
                <w:sz w:val="20"/>
                <w:szCs w:val="20"/>
              </w:rPr>
              <w:t>Patient must not receive more than 16 weeks of treatment under this restriction.</w:t>
            </w:r>
          </w:p>
        </w:tc>
      </w:tr>
      <w:tr w:rsidR="0051046C" w:rsidRPr="00260CE3" w:rsidTr="0051046C">
        <w:trPr>
          <w:cantSplit/>
          <w:trHeight w:val="360"/>
        </w:trPr>
        <w:tc>
          <w:tcPr>
            <w:tcW w:w="1538" w:type="pct"/>
            <w:tcBorders>
              <w:top w:val="single" w:sz="4" w:space="0" w:color="auto"/>
              <w:left w:val="single" w:sz="4" w:space="0" w:color="auto"/>
              <w:bottom w:val="single" w:sz="4" w:space="0" w:color="auto"/>
              <w:right w:val="single" w:sz="4" w:space="0" w:color="auto"/>
            </w:tcBorders>
          </w:tcPr>
          <w:p w:rsidR="0051046C" w:rsidRPr="00260CE3" w:rsidRDefault="0051046C" w:rsidP="00E871B8">
            <w:pPr>
              <w:spacing w:before="0" w:after="0"/>
              <w:rPr>
                <w:rFonts w:ascii="Arial Narrow" w:hAnsi="Arial Narrow" w:cs="Arial"/>
                <w:sz w:val="20"/>
                <w:szCs w:val="20"/>
              </w:rPr>
            </w:pPr>
            <w:r w:rsidRPr="00260CE3">
              <w:rPr>
                <w:rFonts w:ascii="Arial Narrow" w:hAnsi="Arial Narrow" w:cs="Arial"/>
                <w:b/>
                <w:sz w:val="20"/>
                <w:szCs w:val="20"/>
              </w:rPr>
              <w:t>Prescriber Instructions</w:t>
            </w:r>
          </w:p>
        </w:tc>
        <w:tc>
          <w:tcPr>
            <w:tcW w:w="3462" w:type="pct"/>
            <w:gridSpan w:val="6"/>
            <w:tcBorders>
              <w:top w:val="single" w:sz="4" w:space="0" w:color="auto"/>
              <w:left w:val="single" w:sz="4" w:space="0" w:color="auto"/>
              <w:bottom w:val="single" w:sz="4" w:space="0" w:color="auto"/>
              <w:right w:val="single" w:sz="4" w:space="0" w:color="auto"/>
            </w:tcBorders>
          </w:tcPr>
          <w:p w:rsidR="0051046C" w:rsidRPr="0051046C" w:rsidRDefault="0051046C" w:rsidP="00E871B8">
            <w:pPr>
              <w:spacing w:before="0" w:after="0"/>
              <w:rPr>
                <w:rFonts w:ascii="Arial Narrow" w:hAnsi="Arial Narrow" w:cs="Arial"/>
                <w:sz w:val="20"/>
                <w:szCs w:val="20"/>
              </w:rPr>
            </w:pPr>
            <w:r w:rsidRPr="0051046C">
              <w:rPr>
                <w:rFonts w:ascii="Arial Narrow" w:hAnsi="Arial Narrow" w:cs="Arial"/>
                <w:sz w:val="20"/>
                <w:szCs w:val="20"/>
              </w:rPr>
              <w:t>The authority application must be made in writing and must include:</w:t>
            </w:r>
          </w:p>
          <w:p w:rsidR="0051046C" w:rsidRPr="0051046C" w:rsidRDefault="0051046C" w:rsidP="00E871B8">
            <w:pPr>
              <w:spacing w:before="0" w:after="0"/>
              <w:rPr>
                <w:rFonts w:ascii="Arial Narrow" w:hAnsi="Arial Narrow" w:cs="Arial"/>
                <w:sz w:val="20"/>
                <w:szCs w:val="20"/>
              </w:rPr>
            </w:pPr>
            <w:r w:rsidRPr="0051046C">
              <w:rPr>
                <w:rFonts w:ascii="Arial Narrow" w:hAnsi="Arial Narrow" w:cs="Arial"/>
                <w:sz w:val="20"/>
                <w:szCs w:val="20"/>
              </w:rPr>
              <w:t>a)</w:t>
            </w:r>
            <w:r w:rsidRPr="0051046C">
              <w:rPr>
                <w:rFonts w:ascii="Arial Narrow" w:hAnsi="Arial Narrow" w:cs="Arial"/>
                <w:sz w:val="20"/>
                <w:szCs w:val="20"/>
              </w:rPr>
              <w:tab/>
              <w:t>A completed authority prescription form; and</w:t>
            </w:r>
          </w:p>
          <w:p w:rsidR="0051046C" w:rsidRPr="0051046C" w:rsidRDefault="0051046C" w:rsidP="00E871B8">
            <w:pPr>
              <w:spacing w:before="0" w:after="0"/>
              <w:rPr>
                <w:rFonts w:ascii="Arial Narrow" w:hAnsi="Arial Narrow" w:cs="Arial"/>
                <w:sz w:val="20"/>
                <w:szCs w:val="20"/>
              </w:rPr>
            </w:pPr>
            <w:r w:rsidRPr="0051046C">
              <w:rPr>
                <w:rFonts w:ascii="Arial Narrow" w:hAnsi="Arial Narrow" w:cs="Arial"/>
                <w:sz w:val="20"/>
                <w:szCs w:val="20"/>
              </w:rPr>
              <w:t>b)</w:t>
            </w:r>
            <w:r w:rsidRPr="0051046C">
              <w:rPr>
                <w:rFonts w:ascii="Arial Narrow" w:hAnsi="Arial Narrow" w:cs="Arial"/>
                <w:sz w:val="20"/>
                <w:szCs w:val="20"/>
              </w:rPr>
              <w:tab/>
              <w:t>A completed Basal Cell Carcinoma Initial PBS Authority Application Form - Supporting Information Form; and</w:t>
            </w:r>
          </w:p>
          <w:p w:rsidR="0051046C" w:rsidRPr="0051046C" w:rsidRDefault="0051046C" w:rsidP="00E871B8">
            <w:pPr>
              <w:spacing w:before="0" w:after="0"/>
              <w:rPr>
                <w:rFonts w:ascii="Arial Narrow" w:hAnsi="Arial Narrow" w:cs="Arial"/>
                <w:sz w:val="20"/>
                <w:szCs w:val="20"/>
              </w:rPr>
            </w:pPr>
            <w:r w:rsidRPr="0051046C">
              <w:rPr>
                <w:rFonts w:ascii="Arial Narrow" w:hAnsi="Arial Narrow" w:cs="Arial"/>
                <w:sz w:val="20"/>
                <w:szCs w:val="20"/>
              </w:rPr>
              <w:t>c)</w:t>
            </w:r>
            <w:r w:rsidRPr="0051046C">
              <w:rPr>
                <w:rFonts w:ascii="Arial Narrow" w:hAnsi="Arial Narrow" w:cs="Arial"/>
                <w:sz w:val="20"/>
                <w:szCs w:val="20"/>
              </w:rPr>
              <w:tab/>
              <w:t>A histological confirmation of BCC</w:t>
            </w:r>
            <w:r w:rsidRPr="0051046C">
              <w:t xml:space="preserve"> </w:t>
            </w:r>
            <w:r w:rsidRPr="0051046C">
              <w:rPr>
                <w:rFonts w:ascii="Arial Narrow" w:hAnsi="Arial Narrow" w:cs="Arial"/>
                <w:sz w:val="20"/>
                <w:szCs w:val="20"/>
              </w:rPr>
              <w:t>and whether the condition is metastatic or locally advance ; and</w:t>
            </w:r>
          </w:p>
          <w:p w:rsidR="0051046C" w:rsidRPr="0051046C" w:rsidRDefault="0051046C" w:rsidP="00E871B8">
            <w:pPr>
              <w:spacing w:before="0" w:after="0"/>
              <w:rPr>
                <w:rFonts w:ascii="Arial Narrow" w:hAnsi="Arial Narrow" w:cs="Arial"/>
                <w:sz w:val="20"/>
                <w:szCs w:val="20"/>
              </w:rPr>
            </w:pPr>
            <w:r w:rsidRPr="0051046C">
              <w:rPr>
                <w:rFonts w:ascii="Arial Narrow" w:hAnsi="Arial Narrow" w:cs="Arial"/>
                <w:sz w:val="20"/>
                <w:szCs w:val="20"/>
              </w:rPr>
              <w:t>d)</w:t>
            </w:r>
            <w:r w:rsidRPr="0051046C">
              <w:rPr>
                <w:rFonts w:ascii="Arial Narrow" w:hAnsi="Arial Narrow" w:cs="Arial"/>
                <w:sz w:val="20"/>
                <w:szCs w:val="20"/>
              </w:rPr>
              <w:tab/>
              <w:t>A letter from a surgically qualified clinician demonstrating inappropriateness for surgery</w:t>
            </w:r>
            <w:r w:rsidRPr="0051046C">
              <w:t xml:space="preserve"> </w:t>
            </w:r>
            <w:r w:rsidRPr="0051046C">
              <w:rPr>
                <w:rFonts w:ascii="Arial Narrow" w:hAnsi="Arial Narrow" w:cs="Arial"/>
                <w:sz w:val="20"/>
                <w:szCs w:val="20"/>
              </w:rPr>
              <w:t>for patients with locally advanced BCC; and</w:t>
            </w:r>
          </w:p>
          <w:p w:rsidR="0051046C" w:rsidRPr="0051046C" w:rsidRDefault="0051046C" w:rsidP="00E871B8">
            <w:pPr>
              <w:spacing w:before="0" w:after="0"/>
              <w:rPr>
                <w:rFonts w:ascii="Arial Narrow" w:hAnsi="Arial Narrow" w:cs="Arial"/>
                <w:sz w:val="20"/>
                <w:szCs w:val="20"/>
              </w:rPr>
            </w:pPr>
            <w:r w:rsidRPr="0051046C">
              <w:rPr>
                <w:rFonts w:ascii="Arial Narrow" w:hAnsi="Arial Narrow" w:cs="Arial"/>
                <w:sz w:val="20"/>
                <w:szCs w:val="20"/>
              </w:rPr>
              <w:t>e)</w:t>
            </w:r>
            <w:r w:rsidRPr="0051046C">
              <w:rPr>
                <w:rFonts w:ascii="Arial Narrow" w:hAnsi="Arial Narrow" w:cs="Arial"/>
                <w:sz w:val="20"/>
                <w:szCs w:val="20"/>
              </w:rPr>
              <w:tab/>
              <w:t>A letter from a radiation oncologist demonstrating inappropriateness for curative radiotherapy for patients with locally advanced BCC; and</w:t>
            </w:r>
          </w:p>
          <w:p w:rsidR="0051046C" w:rsidRPr="0051046C" w:rsidRDefault="0051046C" w:rsidP="00E871B8">
            <w:pPr>
              <w:spacing w:before="0" w:after="0"/>
              <w:rPr>
                <w:rFonts w:ascii="Arial Narrow" w:hAnsi="Arial Narrow" w:cs="Arial"/>
                <w:sz w:val="20"/>
                <w:szCs w:val="20"/>
              </w:rPr>
            </w:pPr>
            <w:r w:rsidRPr="0051046C">
              <w:rPr>
                <w:rFonts w:ascii="Arial Narrow" w:hAnsi="Arial Narrow" w:cs="Arial"/>
                <w:sz w:val="20"/>
                <w:szCs w:val="20"/>
              </w:rPr>
              <w:t>f)</w:t>
            </w:r>
            <w:r w:rsidRPr="0051046C">
              <w:rPr>
                <w:rFonts w:ascii="Arial Narrow" w:hAnsi="Arial Narrow" w:cs="Arial"/>
                <w:sz w:val="20"/>
                <w:szCs w:val="20"/>
              </w:rPr>
              <w:tab/>
              <w:t>A signed patient acknowledgement.</w:t>
            </w:r>
          </w:p>
          <w:p w:rsidR="0051046C" w:rsidRPr="0051046C" w:rsidRDefault="0051046C" w:rsidP="00E871B8">
            <w:pPr>
              <w:spacing w:before="0" w:after="0"/>
              <w:rPr>
                <w:rFonts w:ascii="Arial Narrow" w:hAnsi="Arial Narrow" w:cs="Arial"/>
                <w:sz w:val="20"/>
                <w:szCs w:val="20"/>
              </w:rPr>
            </w:pPr>
          </w:p>
          <w:p w:rsidR="0051046C" w:rsidRPr="00D83816" w:rsidRDefault="0051046C" w:rsidP="00E871B8">
            <w:pPr>
              <w:spacing w:before="0" w:after="0"/>
              <w:rPr>
                <w:rFonts w:ascii="Arial Narrow" w:hAnsi="Arial Narrow" w:cs="Arial"/>
                <w:sz w:val="20"/>
                <w:szCs w:val="20"/>
              </w:rPr>
            </w:pPr>
            <w:r w:rsidRPr="00D83816">
              <w:rPr>
                <w:rFonts w:ascii="Arial Narrow" w:hAnsi="Arial Narrow" w:cs="Arial"/>
                <w:sz w:val="20"/>
                <w:szCs w:val="20"/>
              </w:rPr>
              <w:t>The assessment of the patient's response to this PBS-subsidised course of therapy must be made within the 4 weeks prior to completion of the course of treatment. It is recommended that an application is submitted to the Department of Human Services no less than 2 weeks prior to the date the next dose is due in order to ensure continuity of treatment for those patients who meet the continuation criteria.</w:t>
            </w:r>
          </w:p>
          <w:p w:rsidR="001113B1" w:rsidRPr="00D83816" w:rsidRDefault="001113B1" w:rsidP="00E871B8">
            <w:pPr>
              <w:spacing w:before="0" w:after="0"/>
              <w:rPr>
                <w:rFonts w:ascii="Arial Narrow" w:hAnsi="Arial Narrow" w:cs="Arial"/>
                <w:sz w:val="20"/>
                <w:szCs w:val="20"/>
              </w:rPr>
            </w:pPr>
          </w:p>
          <w:p w:rsidR="0051046C" w:rsidRPr="004549C2" w:rsidRDefault="0051046C" w:rsidP="00E871B8">
            <w:pPr>
              <w:spacing w:before="0" w:after="0"/>
              <w:rPr>
                <w:rFonts w:ascii="Arial Narrow" w:hAnsi="Arial Narrow" w:cs="Arial"/>
                <w:b/>
                <w:sz w:val="20"/>
                <w:szCs w:val="20"/>
              </w:rPr>
            </w:pPr>
            <w:r w:rsidRPr="004549C2">
              <w:rPr>
                <w:rFonts w:ascii="Arial Narrow" w:hAnsi="Arial Narrow" w:cs="Arial"/>
                <w:b/>
                <w:sz w:val="20"/>
                <w:szCs w:val="20"/>
              </w:rPr>
              <w:t>Inappropriate for surgery is defined as:</w:t>
            </w:r>
          </w:p>
          <w:p w:rsidR="0051046C" w:rsidRPr="00D83816" w:rsidRDefault="0051046C" w:rsidP="00E871B8">
            <w:pPr>
              <w:spacing w:before="0" w:after="0"/>
              <w:rPr>
                <w:rFonts w:ascii="Arial Narrow" w:hAnsi="Arial Narrow" w:cs="Arial"/>
                <w:sz w:val="20"/>
                <w:szCs w:val="20"/>
              </w:rPr>
            </w:pPr>
            <w:r>
              <w:rPr>
                <w:rFonts w:ascii="Arial Narrow" w:hAnsi="Arial Narrow" w:cs="Arial"/>
                <w:sz w:val="20"/>
                <w:szCs w:val="20"/>
              </w:rPr>
              <w:t xml:space="preserve">i/ </w:t>
            </w:r>
            <w:r w:rsidRPr="00D83816">
              <w:rPr>
                <w:rFonts w:ascii="Arial Narrow" w:hAnsi="Arial Narrow" w:cs="Arial"/>
                <w:sz w:val="20"/>
                <w:szCs w:val="20"/>
              </w:rPr>
              <w:t>Curative resection is unlikely, such as where BCC has recurred in the same location after two or more surgical procedures; or</w:t>
            </w:r>
          </w:p>
          <w:p w:rsidR="0051046C" w:rsidRPr="00D83816" w:rsidRDefault="0051046C" w:rsidP="00E871B8">
            <w:pPr>
              <w:spacing w:before="0" w:after="0"/>
              <w:rPr>
                <w:rFonts w:ascii="Arial Narrow" w:hAnsi="Arial Narrow" w:cs="Arial"/>
                <w:sz w:val="20"/>
                <w:szCs w:val="20"/>
              </w:rPr>
            </w:pPr>
            <w:r>
              <w:rPr>
                <w:rFonts w:ascii="Arial Narrow" w:hAnsi="Arial Narrow" w:cs="Arial"/>
                <w:sz w:val="20"/>
                <w:szCs w:val="20"/>
              </w:rPr>
              <w:t xml:space="preserve">ii/ </w:t>
            </w:r>
            <w:r w:rsidRPr="00D83816">
              <w:rPr>
                <w:rFonts w:ascii="Arial Narrow" w:hAnsi="Arial Narrow" w:cs="Arial"/>
                <w:sz w:val="20"/>
                <w:szCs w:val="20"/>
              </w:rPr>
              <w:t>Anticipated substantial morbidity or deformity from surgery or requiring complicated reconstructive surgery (e.g. removal of all or part of a facial structure, such as nose, ear, eyelid, eye; or requirement for limb amputation or free tissue transfer); or</w:t>
            </w:r>
          </w:p>
          <w:p w:rsidR="0051046C" w:rsidRPr="00D83816" w:rsidRDefault="0051046C" w:rsidP="00E871B8">
            <w:pPr>
              <w:spacing w:before="0" w:after="0"/>
              <w:rPr>
                <w:rFonts w:ascii="Arial Narrow" w:hAnsi="Arial Narrow" w:cs="Arial"/>
                <w:sz w:val="20"/>
                <w:szCs w:val="20"/>
              </w:rPr>
            </w:pPr>
            <w:r>
              <w:rPr>
                <w:rFonts w:ascii="Arial Narrow" w:hAnsi="Arial Narrow" w:cs="Arial"/>
                <w:sz w:val="20"/>
                <w:szCs w:val="20"/>
              </w:rPr>
              <w:t xml:space="preserve">iii/ </w:t>
            </w:r>
            <w:r w:rsidRPr="00D83816">
              <w:rPr>
                <w:rFonts w:ascii="Arial Narrow" w:hAnsi="Arial Narrow" w:cs="Arial"/>
                <w:sz w:val="20"/>
                <w:szCs w:val="20"/>
              </w:rPr>
              <w:t>Medical contraindication to surgery</w:t>
            </w:r>
          </w:p>
          <w:p w:rsidR="0051046C" w:rsidRPr="00D83816" w:rsidRDefault="0051046C" w:rsidP="00E871B8">
            <w:pPr>
              <w:spacing w:before="0" w:after="0"/>
              <w:rPr>
                <w:rFonts w:ascii="Arial Narrow" w:hAnsi="Arial Narrow" w:cs="Arial"/>
                <w:sz w:val="20"/>
                <w:szCs w:val="20"/>
              </w:rPr>
            </w:pPr>
          </w:p>
          <w:p w:rsidR="0051046C" w:rsidRPr="004549C2" w:rsidRDefault="0051046C" w:rsidP="00E871B8">
            <w:pPr>
              <w:spacing w:before="0" w:after="0"/>
              <w:rPr>
                <w:rFonts w:ascii="Arial Narrow" w:hAnsi="Arial Narrow" w:cs="Arial"/>
                <w:b/>
                <w:sz w:val="20"/>
                <w:szCs w:val="20"/>
              </w:rPr>
            </w:pPr>
            <w:r w:rsidRPr="004549C2">
              <w:rPr>
                <w:rFonts w:ascii="Arial Narrow" w:hAnsi="Arial Narrow" w:cs="Arial"/>
                <w:b/>
                <w:sz w:val="20"/>
                <w:szCs w:val="20"/>
              </w:rPr>
              <w:t>Inappropriate for curative radiotherapy is defined as:</w:t>
            </w:r>
          </w:p>
          <w:p w:rsidR="0051046C" w:rsidRPr="00D83816" w:rsidRDefault="0051046C" w:rsidP="00E871B8">
            <w:pPr>
              <w:spacing w:before="0" w:after="0"/>
              <w:rPr>
                <w:rFonts w:ascii="Arial Narrow" w:hAnsi="Arial Narrow" w:cs="Arial"/>
                <w:sz w:val="20"/>
                <w:szCs w:val="20"/>
              </w:rPr>
            </w:pPr>
            <w:r>
              <w:rPr>
                <w:rFonts w:ascii="Arial Narrow" w:hAnsi="Arial Narrow" w:cs="Arial"/>
                <w:sz w:val="20"/>
                <w:szCs w:val="20"/>
              </w:rPr>
              <w:t xml:space="preserve">i / </w:t>
            </w:r>
            <w:r w:rsidRPr="00D83816">
              <w:rPr>
                <w:rFonts w:ascii="Arial Narrow" w:hAnsi="Arial Narrow" w:cs="Arial"/>
                <w:sz w:val="20"/>
                <w:szCs w:val="20"/>
              </w:rPr>
              <w:t>Hypersensitivity to radiation due to genetic syndrome such as Gorlin Syndrome; or</w:t>
            </w:r>
          </w:p>
          <w:p w:rsidR="0051046C" w:rsidRPr="00D83816" w:rsidRDefault="0051046C" w:rsidP="00E871B8">
            <w:pPr>
              <w:spacing w:before="0" w:after="0"/>
              <w:rPr>
                <w:rFonts w:ascii="Arial Narrow" w:hAnsi="Arial Narrow" w:cs="Arial"/>
                <w:sz w:val="20"/>
                <w:szCs w:val="20"/>
              </w:rPr>
            </w:pPr>
            <w:r>
              <w:rPr>
                <w:rFonts w:ascii="Arial Narrow" w:hAnsi="Arial Narrow" w:cs="Arial"/>
                <w:sz w:val="20"/>
                <w:szCs w:val="20"/>
              </w:rPr>
              <w:t xml:space="preserve">ii/ </w:t>
            </w:r>
            <w:r w:rsidRPr="00D83816">
              <w:rPr>
                <w:rFonts w:ascii="Arial Narrow" w:hAnsi="Arial Narrow" w:cs="Arial"/>
                <w:sz w:val="20"/>
                <w:szCs w:val="20"/>
              </w:rPr>
              <w:t>Limitations due to location of tumour; or</w:t>
            </w:r>
          </w:p>
          <w:p w:rsidR="0051046C" w:rsidRPr="00D83816" w:rsidRDefault="0051046C" w:rsidP="00E871B8">
            <w:pPr>
              <w:spacing w:before="0" w:after="0"/>
              <w:rPr>
                <w:rFonts w:ascii="Arial Narrow" w:hAnsi="Arial Narrow" w:cs="Arial"/>
                <w:sz w:val="20"/>
                <w:szCs w:val="20"/>
              </w:rPr>
            </w:pPr>
            <w:r>
              <w:rPr>
                <w:rFonts w:ascii="Arial Narrow" w:hAnsi="Arial Narrow" w:cs="Arial"/>
                <w:sz w:val="20"/>
                <w:szCs w:val="20"/>
              </w:rPr>
              <w:t xml:space="preserve">iii/ </w:t>
            </w:r>
            <w:r w:rsidRPr="00D83816">
              <w:rPr>
                <w:rFonts w:ascii="Arial Narrow" w:hAnsi="Arial Narrow" w:cs="Arial"/>
                <w:sz w:val="20"/>
                <w:szCs w:val="20"/>
              </w:rPr>
              <w:t>Limitations due to cumulative prior radiotherapy dose; or</w:t>
            </w:r>
          </w:p>
          <w:p w:rsidR="0051046C" w:rsidRDefault="0051046C" w:rsidP="00E871B8">
            <w:pPr>
              <w:spacing w:before="0" w:after="0"/>
              <w:rPr>
                <w:rFonts w:ascii="Arial Narrow" w:hAnsi="Arial Narrow" w:cs="Arial"/>
                <w:sz w:val="20"/>
                <w:szCs w:val="20"/>
              </w:rPr>
            </w:pPr>
            <w:r>
              <w:rPr>
                <w:rFonts w:ascii="Arial Narrow" w:hAnsi="Arial Narrow" w:cs="Arial"/>
                <w:sz w:val="20"/>
                <w:szCs w:val="20"/>
              </w:rPr>
              <w:t xml:space="preserve">iv/ </w:t>
            </w:r>
            <w:r w:rsidRPr="00D83816">
              <w:rPr>
                <w:rFonts w:ascii="Arial Narrow" w:hAnsi="Arial Narrow" w:cs="Arial"/>
                <w:sz w:val="20"/>
                <w:szCs w:val="20"/>
              </w:rPr>
              <w:t>Progressive disease despite prior irradiation of locally advanced BCC.</w:t>
            </w:r>
          </w:p>
          <w:p w:rsidR="00B9043F" w:rsidRDefault="00B9043F" w:rsidP="00E871B8">
            <w:pPr>
              <w:spacing w:before="0" w:after="0"/>
              <w:rPr>
                <w:rFonts w:ascii="Arial Narrow" w:hAnsi="Arial Narrow" w:cs="Arial"/>
                <w:sz w:val="20"/>
                <w:szCs w:val="20"/>
              </w:rPr>
            </w:pPr>
          </w:p>
          <w:p w:rsidR="00B9043F" w:rsidRPr="00260CE3" w:rsidRDefault="00B9043F" w:rsidP="0026552B">
            <w:pPr>
              <w:spacing w:before="0" w:after="0"/>
              <w:rPr>
                <w:rFonts w:ascii="Arial Narrow" w:hAnsi="Arial Narrow" w:cs="Arial"/>
                <w:sz w:val="20"/>
                <w:szCs w:val="20"/>
              </w:rPr>
            </w:pPr>
          </w:p>
        </w:tc>
      </w:tr>
      <w:tr w:rsidR="0051046C" w:rsidRPr="00260CE3" w:rsidTr="0051046C">
        <w:trPr>
          <w:cantSplit/>
          <w:trHeight w:val="360"/>
        </w:trPr>
        <w:tc>
          <w:tcPr>
            <w:tcW w:w="1538" w:type="pct"/>
            <w:tcBorders>
              <w:top w:val="single" w:sz="4" w:space="0" w:color="auto"/>
              <w:left w:val="single" w:sz="4" w:space="0" w:color="auto"/>
              <w:bottom w:val="single" w:sz="4" w:space="0" w:color="auto"/>
              <w:right w:val="single" w:sz="4" w:space="0" w:color="auto"/>
            </w:tcBorders>
          </w:tcPr>
          <w:p w:rsidR="0051046C" w:rsidRPr="00260CE3" w:rsidRDefault="0051046C" w:rsidP="00E871B8">
            <w:pPr>
              <w:spacing w:before="0" w:after="0"/>
              <w:rPr>
                <w:rFonts w:ascii="Arial Narrow" w:hAnsi="Arial Narrow" w:cs="Arial"/>
                <w:i/>
                <w:sz w:val="20"/>
                <w:szCs w:val="20"/>
              </w:rPr>
            </w:pPr>
            <w:r w:rsidRPr="00260CE3">
              <w:rPr>
                <w:rFonts w:ascii="Arial Narrow" w:hAnsi="Arial Narrow" w:cs="Arial"/>
                <w:b/>
                <w:sz w:val="20"/>
                <w:szCs w:val="20"/>
              </w:rPr>
              <w:t>Administrative Advice</w:t>
            </w:r>
          </w:p>
        </w:tc>
        <w:tc>
          <w:tcPr>
            <w:tcW w:w="3462" w:type="pct"/>
            <w:gridSpan w:val="6"/>
            <w:tcBorders>
              <w:top w:val="single" w:sz="4" w:space="0" w:color="auto"/>
              <w:left w:val="single" w:sz="4" w:space="0" w:color="auto"/>
              <w:bottom w:val="single" w:sz="4" w:space="0" w:color="auto"/>
              <w:right w:val="single" w:sz="4" w:space="0" w:color="auto"/>
            </w:tcBorders>
          </w:tcPr>
          <w:p w:rsidR="0051046C" w:rsidRPr="006A69E6" w:rsidRDefault="0051046C" w:rsidP="00E871B8">
            <w:pPr>
              <w:spacing w:before="0" w:after="0"/>
              <w:rPr>
                <w:rFonts w:ascii="Arial Narrow" w:hAnsi="Arial Narrow" w:cs="Arial"/>
                <w:sz w:val="20"/>
                <w:szCs w:val="20"/>
              </w:rPr>
            </w:pPr>
            <w:r w:rsidRPr="006A69E6">
              <w:rPr>
                <w:rFonts w:ascii="Arial Narrow" w:hAnsi="Arial Narrow" w:cs="Arial"/>
                <w:sz w:val="20"/>
                <w:szCs w:val="20"/>
              </w:rPr>
              <w:t>No increase in the maximum quantity or number of units may be authorised.</w:t>
            </w:r>
          </w:p>
          <w:p w:rsidR="0051046C" w:rsidRPr="006A69E6" w:rsidRDefault="0051046C" w:rsidP="00E871B8">
            <w:pPr>
              <w:spacing w:before="0" w:after="0"/>
              <w:rPr>
                <w:rFonts w:ascii="Arial Narrow" w:hAnsi="Arial Narrow" w:cs="Arial"/>
                <w:sz w:val="20"/>
                <w:szCs w:val="20"/>
              </w:rPr>
            </w:pPr>
          </w:p>
          <w:p w:rsidR="0051046C" w:rsidRPr="006A69E6" w:rsidRDefault="0051046C" w:rsidP="00E871B8">
            <w:pPr>
              <w:spacing w:before="0" w:after="0"/>
              <w:rPr>
                <w:rFonts w:ascii="Arial Narrow" w:hAnsi="Arial Narrow" w:cs="Arial"/>
                <w:sz w:val="20"/>
                <w:szCs w:val="20"/>
              </w:rPr>
            </w:pPr>
            <w:r w:rsidRPr="006A69E6">
              <w:rPr>
                <w:rFonts w:ascii="Arial Narrow" w:hAnsi="Arial Narrow" w:cs="Arial"/>
                <w:sz w:val="20"/>
                <w:szCs w:val="20"/>
              </w:rPr>
              <w:t>No increase in the maximum number of repeats may be authorised.</w:t>
            </w:r>
          </w:p>
          <w:p w:rsidR="0051046C" w:rsidRPr="006A69E6" w:rsidRDefault="0051046C" w:rsidP="00E871B8">
            <w:pPr>
              <w:spacing w:before="0" w:after="0"/>
              <w:rPr>
                <w:rFonts w:ascii="Arial Narrow" w:hAnsi="Arial Narrow" w:cs="Arial"/>
                <w:sz w:val="20"/>
                <w:szCs w:val="20"/>
              </w:rPr>
            </w:pPr>
          </w:p>
          <w:p w:rsidR="0051046C" w:rsidRPr="006A69E6" w:rsidRDefault="0051046C" w:rsidP="00E871B8">
            <w:pPr>
              <w:spacing w:before="0" w:after="0"/>
              <w:rPr>
                <w:rFonts w:ascii="Arial Narrow" w:hAnsi="Arial Narrow" w:cs="Arial"/>
                <w:sz w:val="20"/>
                <w:szCs w:val="20"/>
              </w:rPr>
            </w:pPr>
            <w:r w:rsidRPr="006A69E6">
              <w:rPr>
                <w:rFonts w:ascii="Arial Narrow" w:hAnsi="Arial Narrow" w:cs="Arial"/>
                <w:sz w:val="20"/>
                <w:szCs w:val="20"/>
              </w:rPr>
              <w:t>Special Pricing Arrangements apply.</w:t>
            </w:r>
          </w:p>
          <w:p w:rsidR="0051046C" w:rsidRDefault="0051046C" w:rsidP="00E871B8">
            <w:pPr>
              <w:spacing w:before="0" w:after="0"/>
              <w:rPr>
                <w:rFonts w:ascii="Arial Narrow" w:hAnsi="Arial Narrow" w:cs="Arial"/>
                <w:i/>
                <w:sz w:val="20"/>
                <w:szCs w:val="20"/>
              </w:rPr>
            </w:pPr>
          </w:p>
          <w:p w:rsidR="0051046C" w:rsidRPr="004549C2" w:rsidRDefault="0051046C" w:rsidP="00E871B8">
            <w:pPr>
              <w:spacing w:before="0" w:after="0"/>
              <w:rPr>
                <w:rFonts w:ascii="Arial Narrow" w:hAnsi="Arial Narrow" w:cs="Arial"/>
                <w:sz w:val="20"/>
                <w:szCs w:val="20"/>
              </w:rPr>
            </w:pPr>
            <w:r w:rsidRPr="004549C2">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51046C" w:rsidRPr="004549C2" w:rsidRDefault="0051046C" w:rsidP="00E871B8">
            <w:pPr>
              <w:spacing w:before="0" w:after="0"/>
              <w:rPr>
                <w:rFonts w:ascii="Arial Narrow" w:hAnsi="Arial Narrow" w:cs="Arial"/>
                <w:sz w:val="20"/>
                <w:szCs w:val="20"/>
              </w:rPr>
            </w:pPr>
          </w:p>
          <w:p w:rsidR="0051046C" w:rsidRPr="004549C2" w:rsidRDefault="0051046C" w:rsidP="00E871B8">
            <w:pPr>
              <w:spacing w:before="0" w:after="0"/>
              <w:rPr>
                <w:rFonts w:ascii="Arial Narrow" w:hAnsi="Arial Narrow" w:cs="Arial"/>
                <w:sz w:val="20"/>
                <w:szCs w:val="20"/>
              </w:rPr>
            </w:pPr>
            <w:r w:rsidRPr="004549C2">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51046C" w:rsidRPr="004549C2" w:rsidRDefault="0051046C" w:rsidP="00E871B8">
            <w:pPr>
              <w:spacing w:before="0" w:after="0"/>
              <w:rPr>
                <w:rFonts w:ascii="Arial Narrow" w:hAnsi="Arial Narrow" w:cs="Arial"/>
                <w:sz w:val="20"/>
                <w:szCs w:val="20"/>
              </w:rPr>
            </w:pPr>
          </w:p>
          <w:p w:rsidR="0051046C" w:rsidRPr="004549C2" w:rsidRDefault="0051046C" w:rsidP="00E871B8">
            <w:pPr>
              <w:spacing w:before="0" w:after="0"/>
              <w:rPr>
                <w:rFonts w:ascii="Arial Narrow" w:hAnsi="Arial Narrow" w:cs="Arial"/>
                <w:sz w:val="20"/>
                <w:szCs w:val="20"/>
              </w:rPr>
            </w:pPr>
            <w:r w:rsidRPr="004549C2">
              <w:rPr>
                <w:rFonts w:ascii="Arial Narrow" w:hAnsi="Arial Narrow" w:cs="Arial"/>
                <w:sz w:val="20"/>
                <w:szCs w:val="20"/>
              </w:rPr>
              <w:t>Applications for authority to prescribe should be forwarded to:</w:t>
            </w:r>
          </w:p>
          <w:p w:rsidR="0051046C" w:rsidRPr="004549C2" w:rsidRDefault="0051046C" w:rsidP="00E871B8">
            <w:pPr>
              <w:spacing w:before="0" w:after="0"/>
              <w:rPr>
                <w:rFonts w:ascii="Arial Narrow" w:hAnsi="Arial Narrow" w:cs="Arial"/>
                <w:sz w:val="20"/>
                <w:szCs w:val="20"/>
              </w:rPr>
            </w:pPr>
            <w:r w:rsidRPr="004549C2">
              <w:rPr>
                <w:rFonts w:ascii="Arial Narrow" w:hAnsi="Arial Narrow" w:cs="Arial"/>
                <w:sz w:val="20"/>
                <w:szCs w:val="20"/>
              </w:rPr>
              <w:t>Department of Human Services</w:t>
            </w:r>
          </w:p>
          <w:p w:rsidR="0051046C" w:rsidRPr="004549C2" w:rsidRDefault="0051046C" w:rsidP="00E871B8">
            <w:pPr>
              <w:spacing w:before="0" w:after="0"/>
              <w:rPr>
                <w:rFonts w:ascii="Arial Narrow" w:hAnsi="Arial Narrow" w:cs="Arial"/>
                <w:sz w:val="20"/>
                <w:szCs w:val="20"/>
              </w:rPr>
            </w:pPr>
            <w:r w:rsidRPr="004549C2">
              <w:rPr>
                <w:rFonts w:ascii="Arial Narrow" w:hAnsi="Arial Narrow" w:cs="Arial"/>
                <w:sz w:val="20"/>
                <w:szCs w:val="20"/>
              </w:rPr>
              <w:t>Complex Drugs Programs</w:t>
            </w:r>
          </w:p>
          <w:p w:rsidR="0051046C" w:rsidRPr="004549C2" w:rsidRDefault="0051046C" w:rsidP="00E871B8">
            <w:pPr>
              <w:spacing w:before="0" w:after="0"/>
              <w:rPr>
                <w:rFonts w:ascii="Arial Narrow" w:hAnsi="Arial Narrow" w:cs="Arial"/>
                <w:sz w:val="20"/>
                <w:szCs w:val="20"/>
              </w:rPr>
            </w:pPr>
            <w:r w:rsidRPr="004549C2">
              <w:rPr>
                <w:rFonts w:ascii="Arial Narrow" w:hAnsi="Arial Narrow" w:cs="Arial"/>
                <w:sz w:val="20"/>
                <w:szCs w:val="20"/>
              </w:rPr>
              <w:t>Reply Paid 9826</w:t>
            </w:r>
          </w:p>
          <w:p w:rsidR="0051046C" w:rsidRPr="00260CE3" w:rsidRDefault="0051046C" w:rsidP="00E871B8">
            <w:pPr>
              <w:spacing w:before="0" w:after="0"/>
              <w:rPr>
                <w:rFonts w:ascii="Arial Narrow" w:hAnsi="Arial Narrow" w:cs="Arial"/>
                <w:sz w:val="20"/>
                <w:szCs w:val="20"/>
              </w:rPr>
            </w:pPr>
            <w:r w:rsidRPr="004549C2">
              <w:rPr>
                <w:rFonts w:ascii="Arial Narrow" w:hAnsi="Arial Narrow" w:cs="Arial"/>
                <w:sz w:val="20"/>
                <w:szCs w:val="20"/>
              </w:rPr>
              <w:t>HOBART TAS 7001</w:t>
            </w:r>
          </w:p>
        </w:tc>
      </w:tr>
      <w:tr w:rsidR="0051046C" w:rsidRPr="00260CE3" w:rsidTr="0051046C">
        <w:trPr>
          <w:cantSplit/>
          <w:trHeight w:val="360"/>
        </w:trPr>
        <w:tc>
          <w:tcPr>
            <w:tcW w:w="1538" w:type="pct"/>
            <w:tcBorders>
              <w:top w:val="single" w:sz="4" w:space="0" w:color="auto"/>
              <w:left w:val="single" w:sz="4" w:space="0" w:color="auto"/>
              <w:bottom w:val="single" w:sz="4" w:space="0" w:color="auto"/>
              <w:right w:val="single" w:sz="4" w:space="0" w:color="auto"/>
            </w:tcBorders>
          </w:tcPr>
          <w:p w:rsidR="0051046C" w:rsidRPr="00260CE3" w:rsidRDefault="0051046C" w:rsidP="00E871B8">
            <w:pPr>
              <w:spacing w:before="0" w:after="0"/>
              <w:rPr>
                <w:rFonts w:ascii="Arial Narrow" w:hAnsi="Arial Narrow" w:cs="Arial"/>
                <w:i/>
                <w:sz w:val="20"/>
                <w:szCs w:val="20"/>
              </w:rPr>
            </w:pPr>
            <w:r w:rsidRPr="00260CE3">
              <w:rPr>
                <w:rFonts w:ascii="Arial Narrow" w:hAnsi="Arial Narrow" w:cs="Arial"/>
                <w:b/>
                <w:sz w:val="20"/>
                <w:szCs w:val="20"/>
              </w:rPr>
              <w:t>Cautions</w:t>
            </w:r>
          </w:p>
        </w:tc>
        <w:tc>
          <w:tcPr>
            <w:tcW w:w="3462" w:type="pct"/>
            <w:gridSpan w:val="6"/>
            <w:tcBorders>
              <w:top w:val="single" w:sz="4" w:space="0" w:color="auto"/>
              <w:left w:val="single" w:sz="4" w:space="0" w:color="auto"/>
              <w:bottom w:val="single" w:sz="4" w:space="0" w:color="auto"/>
              <w:right w:val="single" w:sz="4" w:space="0" w:color="auto"/>
            </w:tcBorders>
          </w:tcPr>
          <w:p w:rsidR="0051046C" w:rsidRPr="006A69E6" w:rsidRDefault="0051046C" w:rsidP="00E871B8">
            <w:pPr>
              <w:spacing w:before="0" w:after="0"/>
              <w:rPr>
                <w:rFonts w:ascii="Arial Narrow" w:hAnsi="Arial Narrow" w:cs="Arial"/>
                <w:sz w:val="20"/>
                <w:szCs w:val="20"/>
              </w:rPr>
            </w:pPr>
            <w:r w:rsidRPr="006A69E6">
              <w:rPr>
                <w:rFonts w:ascii="Arial Narrow" w:hAnsi="Arial Narrow" w:cs="Arial"/>
                <w:sz w:val="20"/>
                <w:szCs w:val="20"/>
              </w:rPr>
              <w:t xml:space="preserve">Sonidegib is a category X drug and must not be given to pregnant women. Pregnancy in female patients or in the partners of male patients must be avoided during treatment and during the </w:t>
            </w:r>
            <w:r w:rsidR="00D45AD4">
              <w:rPr>
                <w:rFonts w:ascii="Arial Narrow" w:hAnsi="Arial Narrow" w:cs="Arial"/>
                <w:sz w:val="20"/>
                <w:szCs w:val="20"/>
              </w:rPr>
              <w:t>20</w:t>
            </w:r>
            <w:r w:rsidRPr="006A69E6">
              <w:rPr>
                <w:rFonts w:ascii="Arial Narrow" w:hAnsi="Arial Narrow" w:cs="Arial"/>
                <w:sz w:val="20"/>
                <w:szCs w:val="20"/>
              </w:rPr>
              <w:t xml:space="preserve"> months and </w:t>
            </w:r>
            <w:r w:rsidR="00D317BB">
              <w:rPr>
                <w:rFonts w:ascii="Arial Narrow" w:hAnsi="Arial Narrow" w:cs="Arial"/>
                <w:sz w:val="20"/>
                <w:szCs w:val="20"/>
              </w:rPr>
              <w:t>6</w:t>
            </w:r>
            <w:r w:rsidRPr="006A69E6">
              <w:rPr>
                <w:rFonts w:ascii="Arial Narrow" w:hAnsi="Arial Narrow" w:cs="Arial"/>
                <w:sz w:val="20"/>
                <w:szCs w:val="20"/>
              </w:rPr>
              <w:t xml:space="preserve"> months period after cessation of treatment for female and male patients respectively, as according to the TGA approved Product Information.</w:t>
            </w:r>
          </w:p>
        </w:tc>
      </w:tr>
    </w:tbl>
    <w:p w:rsidR="00594438" w:rsidRDefault="00594438" w:rsidP="00594438">
      <w:pPr>
        <w:widowControl w:val="0"/>
        <w:spacing w:after="0"/>
        <w:rPr>
          <w:rFonts w:cs="Arial"/>
          <w:bCs/>
          <w:snapToGrid w:val="0"/>
          <w:highlight w:val="yellow"/>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6446"/>
      </w:tblGrid>
      <w:tr w:rsidR="00FB10B6" w:rsidRPr="006D5F37" w:rsidTr="003D32CE">
        <w:tc>
          <w:tcPr>
            <w:tcW w:w="1517" w:type="pct"/>
            <w:shd w:val="clear" w:color="auto" w:fill="auto"/>
          </w:tcPr>
          <w:p w:rsidR="00FB10B6" w:rsidRPr="006D5F37" w:rsidRDefault="00FB10B6" w:rsidP="00E871B8">
            <w:pPr>
              <w:pStyle w:val="Default"/>
              <w:rPr>
                <w:rFonts w:ascii="Arial Narrow" w:hAnsi="Arial Narrow"/>
                <w:b/>
                <w:sz w:val="20"/>
                <w:szCs w:val="20"/>
              </w:rPr>
            </w:pPr>
            <w:r w:rsidRPr="006D5F37">
              <w:rPr>
                <w:rFonts w:ascii="Arial Narrow" w:hAnsi="Arial Narrow"/>
                <w:b/>
                <w:bCs/>
                <w:sz w:val="20"/>
                <w:szCs w:val="20"/>
              </w:rPr>
              <w:t xml:space="preserve">Category / Program </w:t>
            </w:r>
          </w:p>
        </w:tc>
        <w:tc>
          <w:tcPr>
            <w:tcW w:w="3483" w:type="pct"/>
            <w:shd w:val="clear" w:color="auto" w:fill="auto"/>
          </w:tcPr>
          <w:p w:rsidR="00FB10B6" w:rsidRPr="006D5F37" w:rsidRDefault="00FB10B6" w:rsidP="00E871B8">
            <w:pPr>
              <w:keepNext/>
              <w:spacing w:before="0" w:after="0"/>
              <w:rPr>
                <w:rFonts w:ascii="Arial Narrow" w:hAnsi="Arial Narrow" w:cs="Calibri"/>
                <w:b/>
                <w:bCs/>
                <w:sz w:val="20"/>
                <w:szCs w:val="20"/>
              </w:rPr>
            </w:pPr>
            <w:r w:rsidRPr="006D5F37">
              <w:rPr>
                <w:rFonts w:ascii="Arial Narrow" w:hAnsi="Arial Narrow" w:cs="Calibri"/>
                <w:sz w:val="20"/>
                <w:szCs w:val="20"/>
              </w:rPr>
              <w:t xml:space="preserve">GENERAL – General Schedule (Code GE) </w:t>
            </w:r>
          </w:p>
        </w:tc>
      </w:tr>
      <w:tr w:rsidR="00FB10B6" w:rsidRPr="006D5F37" w:rsidTr="003D32CE">
        <w:tc>
          <w:tcPr>
            <w:tcW w:w="1517" w:type="pct"/>
            <w:shd w:val="clear" w:color="auto" w:fill="auto"/>
          </w:tcPr>
          <w:p w:rsidR="00FB10B6" w:rsidRPr="006D5F37" w:rsidRDefault="00FB10B6" w:rsidP="00E871B8">
            <w:pPr>
              <w:spacing w:before="0" w:after="0"/>
              <w:rPr>
                <w:rFonts w:ascii="Arial Narrow" w:hAnsi="Arial Narrow" w:cs="Calibri"/>
                <w:b/>
                <w:bCs/>
                <w:sz w:val="20"/>
                <w:szCs w:val="20"/>
                <w:lang w:val="en-NZ"/>
              </w:rPr>
            </w:pPr>
            <w:r w:rsidRPr="006D5F37">
              <w:rPr>
                <w:rFonts w:ascii="Arial Narrow" w:hAnsi="Arial Narrow" w:cs="Calibri"/>
                <w:b/>
                <w:bCs/>
                <w:sz w:val="20"/>
                <w:szCs w:val="20"/>
              </w:rPr>
              <w:t xml:space="preserve">Prescriber type: </w:t>
            </w:r>
          </w:p>
        </w:tc>
        <w:tc>
          <w:tcPr>
            <w:tcW w:w="3483" w:type="pct"/>
            <w:shd w:val="clear" w:color="auto" w:fill="auto"/>
            <w:vAlign w:val="center"/>
          </w:tcPr>
          <w:p w:rsidR="00FB10B6" w:rsidRPr="006D5F37" w:rsidRDefault="00FB10B6" w:rsidP="00E871B8">
            <w:pPr>
              <w:spacing w:before="0" w:after="0"/>
              <w:rPr>
                <w:rFonts w:ascii="Arial Narrow" w:hAnsi="Arial Narrow" w:cs="Arial"/>
                <w:sz w:val="20"/>
                <w:szCs w:val="20"/>
              </w:rPr>
            </w:pPr>
            <w:r w:rsidRPr="006D5F37">
              <w:rPr>
                <w:rFonts w:ascii="Arial Narrow" w:hAnsi="Arial Narrow" w:cs="Arial"/>
                <w:sz w:val="20"/>
                <w:szCs w:val="20"/>
              </w:rPr>
              <w:fldChar w:fldCharType="begin">
                <w:ffData>
                  <w:name w:val="Check1"/>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Dental  </w:t>
            </w:r>
            <w:r w:rsidRPr="006D5F37">
              <w:rPr>
                <w:rFonts w:ascii="Arial Narrow" w:hAnsi="Arial Narrow" w:cs="Arial"/>
                <w:sz w:val="20"/>
                <w:szCs w:val="20"/>
              </w:rPr>
              <w:fldChar w:fldCharType="begin">
                <w:ffData>
                  <w:name w:val=""/>
                  <w:enabled/>
                  <w:calcOnExit w:val="0"/>
                  <w:checkBox>
                    <w:sizeAuto/>
                    <w:default w:val="1"/>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Medical Practitioners  </w:t>
            </w:r>
            <w:r w:rsidRPr="006D5F37">
              <w:rPr>
                <w:rFonts w:ascii="Arial Narrow" w:hAnsi="Arial Narrow" w:cs="Arial"/>
                <w:sz w:val="20"/>
                <w:szCs w:val="20"/>
              </w:rPr>
              <w:fldChar w:fldCharType="begin">
                <w:ffData>
                  <w:name w:val="Check3"/>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Nurse practitioners  </w:t>
            </w:r>
            <w:r w:rsidRPr="006D5F37">
              <w:rPr>
                <w:rFonts w:ascii="Arial Narrow" w:hAnsi="Arial Narrow" w:cs="Arial"/>
                <w:sz w:val="20"/>
                <w:szCs w:val="20"/>
              </w:rPr>
              <w:fldChar w:fldCharType="begin">
                <w:ffData>
                  <w:name w:val=""/>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Optometrists</w:t>
            </w:r>
          </w:p>
          <w:p w:rsidR="00FB10B6" w:rsidRPr="006D5F37" w:rsidRDefault="00FB10B6" w:rsidP="00E871B8">
            <w:pPr>
              <w:spacing w:before="0" w:after="0"/>
              <w:rPr>
                <w:rFonts w:ascii="Arial Narrow" w:hAnsi="Arial Narrow" w:cs="Calibri"/>
                <w:bCs/>
                <w:sz w:val="20"/>
                <w:szCs w:val="20"/>
              </w:rPr>
            </w:pPr>
            <w:r w:rsidRPr="006D5F37">
              <w:rPr>
                <w:rFonts w:ascii="Arial Narrow" w:hAnsi="Arial Narrow" w:cs="Arial"/>
                <w:sz w:val="20"/>
                <w:szCs w:val="20"/>
              </w:rPr>
              <w:fldChar w:fldCharType="begin">
                <w:ffData>
                  <w:name w:val="Check5"/>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Midwives</w:t>
            </w:r>
          </w:p>
        </w:tc>
      </w:tr>
      <w:tr w:rsidR="00FB10B6" w:rsidRPr="006D5F37" w:rsidTr="003D32CE">
        <w:tc>
          <w:tcPr>
            <w:tcW w:w="1517" w:type="pct"/>
            <w:shd w:val="clear" w:color="auto" w:fill="auto"/>
          </w:tcPr>
          <w:p w:rsidR="00FB10B6" w:rsidRPr="006D5F37" w:rsidRDefault="00FB10B6" w:rsidP="00E871B8">
            <w:pPr>
              <w:spacing w:before="0" w:after="0"/>
              <w:rPr>
                <w:rFonts w:ascii="Arial Narrow" w:hAnsi="Arial Narrow" w:cs="Calibri"/>
                <w:b/>
                <w:bCs/>
                <w:sz w:val="20"/>
                <w:szCs w:val="20"/>
                <w:lang w:val="en-NZ"/>
              </w:rPr>
            </w:pPr>
            <w:r w:rsidRPr="006D5F37">
              <w:rPr>
                <w:rFonts w:ascii="Arial Narrow" w:hAnsi="Arial Narrow" w:cs="Calibri"/>
                <w:b/>
                <w:bCs/>
                <w:sz w:val="20"/>
                <w:szCs w:val="20"/>
              </w:rPr>
              <w:t xml:space="preserve">Severity: </w:t>
            </w:r>
          </w:p>
        </w:tc>
        <w:tc>
          <w:tcPr>
            <w:tcW w:w="3483" w:type="pct"/>
            <w:shd w:val="clear" w:color="auto" w:fill="auto"/>
          </w:tcPr>
          <w:p w:rsidR="00FB10B6" w:rsidRPr="006D5F37" w:rsidRDefault="00FB10B6" w:rsidP="00E871B8">
            <w:pPr>
              <w:spacing w:before="0" w:after="0"/>
              <w:rPr>
                <w:rFonts w:ascii="Arial Narrow" w:hAnsi="Arial Narrow" w:cs="Calibri"/>
                <w:bCs/>
                <w:sz w:val="20"/>
                <w:szCs w:val="20"/>
              </w:rPr>
            </w:pPr>
            <w:r w:rsidRPr="006D5F37">
              <w:rPr>
                <w:rFonts w:ascii="Arial Narrow" w:hAnsi="Arial Narrow" w:cs="Calibri"/>
                <w:sz w:val="20"/>
                <w:szCs w:val="20"/>
              </w:rPr>
              <w:t xml:space="preserve">Metastatic or locally advanced </w:t>
            </w:r>
          </w:p>
        </w:tc>
      </w:tr>
      <w:tr w:rsidR="00FB10B6" w:rsidRPr="006D5F37" w:rsidTr="003D32CE">
        <w:tc>
          <w:tcPr>
            <w:tcW w:w="1517" w:type="pct"/>
            <w:shd w:val="clear" w:color="auto" w:fill="auto"/>
          </w:tcPr>
          <w:p w:rsidR="00FB10B6" w:rsidRPr="006D5F37" w:rsidRDefault="00FB10B6" w:rsidP="00E871B8">
            <w:pPr>
              <w:spacing w:before="0" w:after="0"/>
              <w:rPr>
                <w:rFonts w:ascii="Arial Narrow" w:hAnsi="Arial Narrow" w:cs="Calibri"/>
                <w:b/>
                <w:bCs/>
                <w:sz w:val="20"/>
                <w:szCs w:val="20"/>
                <w:lang w:val="en-NZ"/>
              </w:rPr>
            </w:pPr>
            <w:r w:rsidRPr="006D5F37">
              <w:rPr>
                <w:rFonts w:ascii="Arial Narrow" w:hAnsi="Arial Narrow" w:cs="Calibri"/>
                <w:b/>
                <w:bCs/>
                <w:sz w:val="20"/>
                <w:szCs w:val="20"/>
              </w:rPr>
              <w:t xml:space="preserve">Condition: </w:t>
            </w:r>
          </w:p>
        </w:tc>
        <w:tc>
          <w:tcPr>
            <w:tcW w:w="3483" w:type="pct"/>
            <w:shd w:val="clear" w:color="auto" w:fill="auto"/>
          </w:tcPr>
          <w:p w:rsidR="00FB10B6" w:rsidRPr="006D5F37" w:rsidRDefault="00FB10B6" w:rsidP="00E871B8">
            <w:pPr>
              <w:spacing w:before="0" w:after="0"/>
              <w:rPr>
                <w:rFonts w:ascii="Arial Narrow" w:hAnsi="Arial Narrow" w:cs="Calibri"/>
                <w:bCs/>
                <w:sz w:val="20"/>
                <w:szCs w:val="20"/>
              </w:rPr>
            </w:pPr>
            <w:r w:rsidRPr="006D5F37">
              <w:rPr>
                <w:rFonts w:ascii="Arial Narrow" w:hAnsi="Arial Narrow" w:cs="Calibri"/>
                <w:sz w:val="20"/>
                <w:szCs w:val="20"/>
              </w:rPr>
              <w:t xml:space="preserve">Basal cell carcinoma </w:t>
            </w:r>
          </w:p>
        </w:tc>
      </w:tr>
      <w:tr w:rsidR="00FB10B6" w:rsidRPr="006D5F37" w:rsidTr="003D32CE">
        <w:tc>
          <w:tcPr>
            <w:tcW w:w="1517" w:type="pct"/>
            <w:shd w:val="clear" w:color="auto" w:fill="auto"/>
          </w:tcPr>
          <w:p w:rsidR="00FB10B6" w:rsidRPr="006D5F37" w:rsidRDefault="00FB10B6" w:rsidP="00E871B8">
            <w:pPr>
              <w:spacing w:before="0" w:after="0"/>
              <w:rPr>
                <w:rFonts w:ascii="Arial Narrow" w:hAnsi="Arial Narrow" w:cs="Calibri"/>
                <w:b/>
                <w:bCs/>
                <w:sz w:val="20"/>
                <w:szCs w:val="20"/>
                <w:lang w:val="en-NZ"/>
              </w:rPr>
            </w:pPr>
            <w:r w:rsidRPr="006D5F37">
              <w:rPr>
                <w:rFonts w:ascii="Arial Narrow" w:hAnsi="Arial Narrow" w:cs="Calibri"/>
                <w:b/>
                <w:bCs/>
                <w:sz w:val="20"/>
                <w:szCs w:val="20"/>
              </w:rPr>
              <w:t xml:space="preserve">PBS Indication: </w:t>
            </w:r>
          </w:p>
        </w:tc>
        <w:tc>
          <w:tcPr>
            <w:tcW w:w="3483" w:type="pct"/>
            <w:shd w:val="clear" w:color="auto" w:fill="auto"/>
          </w:tcPr>
          <w:p w:rsidR="00FB10B6" w:rsidRPr="006D5F37" w:rsidRDefault="00FB10B6" w:rsidP="00E871B8">
            <w:pPr>
              <w:spacing w:before="0" w:after="0"/>
              <w:rPr>
                <w:rFonts w:ascii="Arial Narrow" w:hAnsi="Arial Narrow" w:cs="Calibri"/>
                <w:bCs/>
                <w:sz w:val="20"/>
                <w:szCs w:val="20"/>
              </w:rPr>
            </w:pPr>
            <w:r w:rsidRPr="006D5F37">
              <w:rPr>
                <w:rFonts w:ascii="Arial Narrow" w:hAnsi="Arial Narrow" w:cs="Calibri"/>
                <w:sz w:val="20"/>
                <w:szCs w:val="20"/>
              </w:rPr>
              <w:t xml:space="preserve">Metastatic or locally advanced basal cell carcinoma </w:t>
            </w:r>
          </w:p>
        </w:tc>
      </w:tr>
      <w:tr w:rsidR="00FB10B6" w:rsidRPr="006D5F37" w:rsidTr="003D32CE">
        <w:tc>
          <w:tcPr>
            <w:tcW w:w="1517" w:type="pct"/>
            <w:shd w:val="clear" w:color="auto" w:fill="auto"/>
          </w:tcPr>
          <w:p w:rsidR="00FB10B6" w:rsidRPr="006D5F37" w:rsidRDefault="00FB10B6" w:rsidP="00E871B8">
            <w:pPr>
              <w:spacing w:before="0" w:after="0"/>
              <w:rPr>
                <w:rFonts w:ascii="Arial Narrow" w:hAnsi="Arial Narrow" w:cs="Calibri"/>
                <w:b/>
                <w:bCs/>
                <w:sz w:val="20"/>
                <w:szCs w:val="20"/>
                <w:lang w:val="en-NZ"/>
              </w:rPr>
            </w:pPr>
            <w:r w:rsidRPr="006D5F37">
              <w:rPr>
                <w:rFonts w:ascii="Arial Narrow" w:hAnsi="Arial Narrow" w:cs="Calibri"/>
                <w:b/>
                <w:bCs/>
                <w:sz w:val="20"/>
                <w:szCs w:val="20"/>
              </w:rPr>
              <w:t xml:space="preserve">Treatment phase: </w:t>
            </w:r>
          </w:p>
        </w:tc>
        <w:tc>
          <w:tcPr>
            <w:tcW w:w="3483" w:type="pct"/>
            <w:shd w:val="clear" w:color="auto" w:fill="auto"/>
          </w:tcPr>
          <w:p w:rsidR="00FB10B6" w:rsidRPr="006D5F37" w:rsidRDefault="00FB10B6" w:rsidP="00E871B8">
            <w:pPr>
              <w:spacing w:before="0" w:after="0"/>
              <w:rPr>
                <w:rFonts w:ascii="Arial Narrow" w:hAnsi="Arial Narrow" w:cs="Calibri"/>
                <w:bCs/>
                <w:sz w:val="20"/>
                <w:szCs w:val="20"/>
              </w:rPr>
            </w:pPr>
            <w:r w:rsidRPr="006D5F37">
              <w:rPr>
                <w:rFonts w:ascii="Arial Narrow" w:hAnsi="Arial Narrow" w:cs="Calibri"/>
                <w:sz w:val="20"/>
                <w:szCs w:val="20"/>
              </w:rPr>
              <w:t>Continuing treatment</w:t>
            </w:r>
          </w:p>
        </w:tc>
      </w:tr>
      <w:tr w:rsidR="00FB10B6" w:rsidRPr="006D5F37" w:rsidTr="003D32CE">
        <w:tc>
          <w:tcPr>
            <w:tcW w:w="1517" w:type="pct"/>
            <w:shd w:val="clear" w:color="auto" w:fill="auto"/>
          </w:tcPr>
          <w:p w:rsidR="00FB10B6" w:rsidRPr="006D5F37" w:rsidRDefault="00FB10B6" w:rsidP="00E871B8">
            <w:pPr>
              <w:spacing w:before="0" w:after="0"/>
              <w:rPr>
                <w:rFonts w:ascii="Arial Narrow" w:hAnsi="Arial Narrow" w:cs="Calibri"/>
                <w:b/>
                <w:bCs/>
                <w:sz w:val="20"/>
                <w:szCs w:val="20"/>
                <w:lang w:val="en-NZ"/>
              </w:rPr>
            </w:pPr>
            <w:r w:rsidRPr="006D5F37">
              <w:rPr>
                <w:rFonts w:ascii="Arial Narrow" w:hAnsi="Arial Narrow" w:cs="Calibri"/>
                <w:b/>
                <w:bCs/>
                <w:sz w:val="20"/>
                <w:szCs w:val="20"/>
              </w:rPr>
              <w:t xml:space="preserve">Restriction Level / Method: </w:t>
            </w:r>
          </w:p>
        </w:tc>
        <w:tc>
          <w:tcPr>
            <w:tcW w:w="3483" w:type="pct"/>
            <w:shd w:val="clear" w:color="auto" w:fill="auto"/>
            <w:vAlign w:val="center"/>
          </w:tcPr>
          <w:p w:rsidR="00FB10B6" w:rsidRPr="006D5F37" w:rsidRDefault="00FB10B6" w:rsidP="00E871B8">
            <w:pPr>
              <w:spacing w:before="0" w:after="0"/>
              <w:rPr>
                <w:rFonts w:ascii="Arial Narrow" w:hAnsi="Arial Narrow" w:cs="Arial"/>
                <w:sz w:val="20"/>
                <w:szCs w:val="20"/>
              </w:rPr>
            </w:pPr>
            <w:r w:rsidRPr="006D5F37">
              <w:rPr>
                <w:rFonts w:ascii="Arial Narrow" w:hAnsi="Arial Narrow" w:cs="Arial"/>
                <w:sz w:val="20"/>
                <w:szCs w:val="20"/>
              </w:rPr>
              <w:fldChar w:fldCharType="begin">
                <w:ffData>
                  <w:name w:val=""/>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 Restricted benefit</w:t>
            </w:r>
          </w:p>
          <w:p w:rsidR="00FB10B6" w:rsidRPr="006D5F37" w:rsidRDefault="00FB10B6" w:rsidP="00E871B8">
            <w:pPr>
              <w:spacing w:before="0" w:after="0"/>
              <w:rPr>
                <w:rFonts w:ascii="Arial Narrow" w:hAnsi="Arial Narrow" w:cs="Arial"/>
                <w:sz w:val="20"/>
                <w:szCs w:val="20"/>
              </w:rPr>
            </w:pPr>
            <w:r w:rsidRPr="006D5F37">
              <w:rPr>
                <w:rFonts w:ascii="Arial Narrow" w:hAnsi="Arial Narrow" w:cs="Arial"/>
                <w:sz w:val="20"/>
                <w:szCs w:val="20"/>
              </w:rPr>
              <w:fldChar w:fldCharType="begin">
                <w:ffData>
                  <w:name w:val=""/>
                  <w:enabled/>
                  <w:calcOnExit w:val="0"/>
                  <w:checkBox>
                    <w:sizeAuto/>
                    <w:default w:val="1"/>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 Authority Required - In Writing</w:t>
            </w:r>
          </w:p>
          <w:p w:rsidR="00FB10B6" w:rsidRPr="006D5F37" w:rsidRDefault="00FB10B6" w:rsidP="00E871B8">
            <w:pPr>
              <w:spacing w:before="0" w:after="0"/>
              <w:rPr>
                <w:rFonts w:ascii="Arial Narrow" w:hAnsi="Arial Narrow" w:cs="Arial"/>
                <w:sz w:val="20"/>
                <w:szCs w:val="20"/>
              </w:rPr>
            </w:pPr>
            <w:r w:rsidRPr="006D5F37">
              <w:rPr>
                <w:rFonts w:ascii="Arial Narrow" w:hAnsi="Arial Narrow" w:cs="Arial"/>
                <w:sz w:val="20"/>
                <w:szCs w:val="20"/>
              </w:rPr>
              <w:fldChar w:fldCharType="begin">
                <w:ffData>
                  <w:name w:val="Check3"/>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 Authority Required - Telephone</w:t>
            </w:r>
          </w:p>
          <w:p w:rsidR="00FB10B6" w:rsidRPr="006D5F37" w:rsidRDefault="00FB10B6" w:rsidP="00E871B8">
            <w:pPr>
              <w:spacing w:before="0" w:after="0"/>
              <w:rPr>
                <w:rFonts w:ascii="Arial Narrow" w:hAnsi="Arial Narrow" w:cs="Arial"/>
                <w:sz w:val="20"/>
                <w:szCs w:val="20"/>
              </w:rPr>
            </w:pPr>
            <w:r w:rsidRPr="006D5F37">
              <w:rPr>
                <w:rFonts w:ascii="Arial Narrow" w:hAnsi="Arial Narrow" w:cs="Arial"/>
                <w:sz w:val="20"/>
                <w:szCs w:val="20"/>
              </w:rPr>
              <w:fldChar w:fldCharType="begin">
                <w:ffData>
                  <w:name w:val=""/>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 Authority Required – Emergency</w:t>
            </w:r>
          </w:p>
          <w:p w:rsidR="00FB10B6" w:rsidRPr="006D5F37" w:rsidRDefault="00FB10B6" w:rsidP="00E871B8">
            <w:pPr>
              <w:spacing w:before="0" w:after="0"/>
              <w:rPr>
                <w:rFonts w:ascii="Arial Narrow" w:hAnsi="Arial Narrow" w:cs="Arial"/>
                <w:sz w:val="20"/>
                <w:szCs w:val="20"/>
              </w:rPr>
            </w:pPr>
            <w:r w:rsidRPr="006D5F37">
              <w:rPr>
                <w:rFonts w:ascii="Arial Narrow" w:hAnsi="Arial Narrow" w:cs="Arial"/>
                <w:sz w:val="20"/>
                <w:szCs w:val="20"/>
              </w:rPr>
              <w:fldChar w:fldCharType="begin">
                <w:ffData>
                  <w:name w:val="Check5"/>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 Authority Required - Electronic</w:t>
            </w:r>
          </w:p>
          <w:p w:rsidR="00FB10B6" w:rsidRPr="006D5F37" w:rsidRDefault="00FB10B6" w:rsidP="00E871B8">
            <w:pPr>
              <w:spacing w:before="0" w:after="0"/>
              <w:rPr>
                <w:rFonts w:ascii="Arial Narrow" w:hAnsi="Arial Narrow" w:cs="Calibri"/>
                <w:bCs/>
                <w:sz w:val="20"/>
                <w:szCs w:val="20"/>
              </w:rPr>
            </w:pPr>
            <w:r w:rsidRPr="006D5F37">
              <w:rPr>
                <w:rFonts w:ascii="Arial Narrow" w:hAnsi="Arial Narrow" w:cs="Arial"/>
                <w:sz w:val="20"/>
                <w:szCs w:val="20"/>
              </w:rPr>
              <w:fldChar w:fldCharType="begin">
                <w:ffData>
                  <w:name w:val="Check5"/>
                  <w:enabled/>
                  <w:calcOnExit w:val="0"/>
                  <w:checkBox>
                    <w:sizeAuto/>
                    <w:default w:val="0"/>
                  </w:checkBox>
                </w:ffData>
              </w:fldChar>
            </w:r>
            <w:r w:rsidRPr="006D5F37">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6D5F37">
              <w:rPr>
                <w:rFonts w:ascii="Arial Narrow" w:hAnsi="Arial Narrow" w:cs="Arial"/>
                <w:sz w:val="20"/>
                <w:szCs w:val="20"/>
              </w:rPr>
              <w:fldChar w:fldCharType="end"/>
            </w:r>
            <w:r w:rsidRPr="006D5F37">
              <w:rPr>
                <w:rFonts w:ascii="Arial Narrow" w:hAnsi="Arial Narrow" w:cs="Arial"/>
                <w:sz w:val="20"/>
                <w:szCs w:val="20"/>
              </w:rPr>
              <w:t xml:space="preserve"> Streamlined</w:t>
            </w:r>
          </w:p>
        </w:tc>
      </w:tr>
      <w:tr w:rsidR="00FB10B6" w:rsidRPr="006D5F37" w:rsidTr="003D32CE">
        <w:tc>
          <w:tcPr>
            <w:tcW w:w="1517" w:type="pct"/>
            <w:shd w:val="clear" w:color="auto" w:fill="auto"/>
          </w:tcPr>
          <w:p w:rsidR="00FB10B6" w:rsidRPr="006D5F37" w:rsidRDefault="00FB10B6" w:rsidP="00E871B8">
            <w:pPr>
              <w:spacing w:before="0" w:after="0"/>
              <w:rPr>
                <w:rFonts w:ascii="Arial Narrow" w:hAnsi="Arial Narrow" w:cs="Calibri"/>
                <w:b/>
                <w:bCs/>
                <w:sz w:val="20"/>
                <w:szCs w:val="20"/>
              </w:rPr>
            </w:pPr>
            <w:r w:rsidRPr="006D5F37">
              <w:rPr>
                <w:rFonts w:ascii="Arial Narrow" w:hAnsi="Arial Narrow" w:cs="Calibri"/>
                <w:b/>
                <w:bCs/>
                <w:sz w:val="20"/>
                <w:szCs w:val="20"/>
                <w:lang w:val="en-NZ"/>
              </w:rPr>
              <w:t>Clinical criteria:</w:t>
            </w:r>
          </w:p>
        </w:tc>
        <w:tc>
          <w:tcPr>
            <w:tcW w:w="3483" w:type="pct"/>
            <w:shd w:val="clear" w:color="auto" w:fill="auto"/>
            <w:vAlign w:val="center"/>
          </w:tcPr>
          <w:p w:rsidR="00FB10B6" w:rsidRDefault="00FB10B6" w:rsidP="003F74EE">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Patient must have previously </w:t>
            </w:r>
            <w:r w:rsidR="00D5350C">
              <w:rPr>
                <w:rFonts w:ascii="Arial Narrow" w:hAnsi="Arial Narrow" w:cs="Calibri"/>
                <w:bCs/>
                <w:sz w:val="20"/>
                <w:szCs w:val="20"/>
              </w:rPr>
              <w:t xml:space="preserve">received </w:t>
            </w:r>
            <w:r w:rsidR="00A01D9F">
              <w:rPr>
                <w:rFonts w:ascii="Arial Narrow" w:hAnsi="Arial Narrow" w:cs="Calibri"/>
                <w:bCs/>
                <w:sz w:val="20"/>
                <w:szCs w:val="20"/>
              </w:rPr>
              <w:t>PBS-subsidised treatment</w:t>
            </w:r>
            <w:r w:rsidR="00D5350C">
              <w:rPr>
                <w:rFonts w:ascii="Arial Narrow" w:hAnsi="Arial Narrow" w:cs="Calibri"/>
                <w:bCs/>
                <w:sz w:val="20"/>
                <w:szCs w:val="20"/>
              </w:rPr>
              <w:t xml:space="preserve"> </w:t>
            </w:r>
            <w:r w:rsidR="00A01D9F">
              <w:rPr>
                <w:rFonts w:ascii="Arial Narrow" w:hAnsi="Arial Narrow" w:cs="Calibri"/>
                <w:bCs/>
                <w:sz w:val="20"/>
                <w:szCs w:val="20"/>
              </w:rPr>
              <w:t>with this drug</w:t>
            </w:r>
            <w:r w:rsidRPr="006D5F37">
              <w:rPr>
                <w:rFonts w:ascii="Arial Narrow" w:hAnsi="Arial Narrow" w:cs="Calibri"/>
                <w:bCs/>
                <w:sz w:val="20"/>
                <w:szCs w:val="20"/>
              </w:rPr>
              <w:t xml:space="preserve"> for this condition,</w:t>
            </w:r>
            <w:r>
              <w:rPr>
                <w:rFonts w:ascii="Arial Narrow" w:hAnsi="Arial Narrow" w:cs="Calibri"/>
                <w:bCs/>
                <w:sz w:val="20"/>
                <w:szCs w:val="20"/>
              </w:rPr>
              <w:t xml:space="preserve"> </w:t>
            </w:r>
          </w:p>
          <w:p w:rsidR="00FB10B6" w:rsidRPr="007801EF" w:rsidRDefault="00FB10B6" w:rsidP="00E871B8">
            <w:pPr>
              <w:pStyle w:val="ListParagraph"/>
              <w:spacing w:before="0" w:after="0"/>
              <w:ind w:left="0"/>
              <w:rPr>
                <w:rFonts w:ascii="Arial Narrow" w:hAnsi="Arial Narrow" w:cs="Calibri"/>
                <w:b/>
                <w:bCs/>
                <w:sz w:val="20"/>
                <w:szCs w:val="20"/>
              </w:rPr>
            </w:pPr>
          </w:p>
          <w:p w:rsidR="00FB10B6" w:rsidRPr="006D5F37" w:rsidRDefault="00FB10B6" w:rsidP="00E871B8">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AND</w:t>
            </w:r>
          </w:p>
          <w:p w:rsidR="00FB10B6" w:rsidRPr="006D5F37" w:rsidRDefault="00FB10B6" w:rsidP="00E871B8">
            <w:pPr>
              <w:pStyle w:val="ListParagraph"/>
              <w:spacing w:before="0" w:after="0"/>
              <w:ind w:left="0"/>
              <w:rPr>
                <w:rFonts w:ascii="Arial Narrow" w:hAnsi="Arial Narrow" w:cs="Calibri"/>
                <w:bCs/>
                <w:sz w:val="20"/>
                <w:szCs w:val="20"/>
              </w:rPr>
            </w:pPr>
          </w:p>
          <w:p w:rsidR="00FB10B6" w:rsidRPr="006D5F37" w:rsidRDefault="002832AA" w:rsidP="00E871B8">
            <w:pPr>
              <w:pStyle w:val="ListParagraph"/>
              <w:spacing w:before="0" w:after="0"/>
              <w:ind w:left="0"/>
              <w:rPr>
                <w:rFonts w:ascii="Arial Narrow" w:hAnsi="Arial Narrow" w:cs="Calibri"/>
                <w:bCs/>
                <w:sz w:val="20"/>
                <w:szCs w:val="20"/>
              </w:rPr>
            </w:pPr>
            <w:r>
              <w:rPr>
                <w:rFonts w:ascii="Arial Narrow" w:hAnsi="Arial Narrow" w:cs="Calibri"/>
                <w:bCs/>
                <w:sz w:val="20"/>
                <w:szCs w:val="20"/>
              </w:rPr>
              <w:t>Patient must not develop disease progression while receiving PBS-subsidised treatment with this drug for this condition.</w:t>
            </w:r>
            <w:r w:rsidR="00FB10B6" w:rsidRPr="006D5F37">
              <w:rPr>
                <w:rFonts w:ascii="Arial Narrow" w:hAnsi="Arial Narrow" w:cs="Calibri"/>
                <w:bCs/>
                <w:sz w:val="20"/>
                <w:szCs w:val="20"/>
              </w:rPr>
              <w:t xml:space="preserve"> </w:t>
            </w:r>
          </w:p>
          <w:p w:rsidR="00FB10B6" w:rsidRPr="006D5F37" w:rsidRDefault="00FB10B6" w:rsidP="00E871B8">
            <w:pPr>
              <w:pStyle w:val="ListParagraph"/>
              <w:spacing w:before="0" w:after="0"/>
              <w:ind w:left="0"/>
              <w:rPr>
                <w:rFonts w:ascii="Arial Narrow" w:hAnsi="Arial Narrow" w:cs="Calibri"/>
                <w:bCs/>
                <w:sz w:val="20"/>
                <w:szCs w:val="20"/>
              </w:rPr>
            </w:pPr>
          </w:p>
          <w:p w:rsidR="00FB10B6" w:rsidRPr="006D5F37" w:rsidRDefault="00FB10B6" w:rsidP="00E871B8">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AND</w:t>
            </w:r>
          </w:p>
          <w:p w:rsidR="00FB10B6" w:rsidRPr="006D5F37" w:rsidRDefault="00FB10B6" w:rsidP="00E871B8">
            <w:pPr>
              <w:pStyle w:val="ListParagraph"/>
              <w:spacing w:before="0" w:after="0"/>
              <w:ind w:left="0"/>
              <w:rPr>
                <w:rFonts w:ascii="Arial Narrow" w:hAnsi="Arial Narrow" w:cs="Calibri"/>
                <w:bCs/>
                <w:sz w:val="20"/>
                <w:szCs w:val="20"/>
              </w:rPr>
            </w:pPr>
          </w:p>
          <w:p w:rsidR="00FB10B6" w:rsidRPr="006D5F37" w:rsidRDefault="00FB10B6" w:rsidP="00E871B8">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The condition must remain inappropriate for surgery, </w:t>
            </w:r>
          </w:p>
          <w:p w:rsidR="00FB10B6" w:rsidRPr="006D5F37" w:rsidRDefault="00FB10B6" w:rsidP="00E871B8">
            <w:pPr>
              <w:pStyle w:val="ListParagraph"/>
              <w:spacing w:before="0" w:after="0"/>
              <w:ind w:left="0"/>
              <w:rPr>
                <w:rFonts w:ascii="Arial Narrow" w:hAnsi="Arial Narrow" w:cs="Calibri"/>
                <w:bCs/>
                <w:sz w:val="20"/>
                <w:szCs w:val="20"/>
              </w:rPr>
            </w:pPr>
          </w:p>
          <w:p w:rsidR="00FB10B6" w:rsidRPr="006D5F37" w:rsidRDefault="00FB10B6" w:rsidP="00E871B8">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AND</w:t>
            </w:r>
          </w:p>
          <w:p w:rsidR="00FB10B6" w:rsidRPr="006D5F37" w:rsidRDefault="00FB10B6" w:rsidP="00E871B8">
            <w:pPr>
              <w:pStyle w:val="ListParagraph"/>
              <w:spacing w:before="0" w:after="0"/>
              <w:ind w:left="0"/>
              <w:rPr>
                <w:rFonts w:ascii="Arial Narrow" w:hAnsi="Arial Narrow" w:cs="Calibri"/>
                <w:bCs/>
                <w:sz w:val="20"/>
                <w:szCs w:val="20"/>
              </w:rPr>
            </w:pPr>
          </w:p>
          <w:p w:rsidR="00FB10B6" w:rsidRPr="006D5F37" w:rsidRDefault="00FB10B6" w:rsidP="00E871B8">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The condition must remain inappropriate for curative radiotherapy, </w:t>
            </w:r>
          </w:p>
          <w:p w:rsidR="00FB10B6" w:rsidRPr="006D5F37" w:rsidRDefault="00FB10B6" w:rsidP="00E871B8">
            <w:pPr>
              <w:pStyle w:val="ListParagraph"/>
              <w:spacing w:before="0" w:after="0"/>
              <w:ind w:left="0"/>
              <w:rPr>
                <w:rFonts w:ascii="Arial Narrow" w:hAnsi="Arial Narrow" w:cs="Calibri"/>
                <w:bCs/>
                <w:sz w:val="20"/>
                <w:szCs w:val="20"/>
              </w:rPr>
            </w:pPr>
          </w:p>
          <w:p w:rsidR="00FB10B6" w:rsidRPr="006D5F37" w:rsidRDefault="00FB10B6" w:rsidP="00E871B8">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AND</w:t>
            </w:r>
          </w:p>
          <w:p w:rsidR="00FB10B6" w:rsidRPr="006D5F37" w:rsidRDefault="00FB10B6" w:rsidP="00E871B8">
            <w:pPr>
              <w:pStyle w:val="ListParagraph"/>
              <w:spacing w:before="0" w:after="0"/>
              <w:ind w:left="0"/>
              <w:rPr>
                <w:rFonts w:ascii="Arial Narrow" w:hAnsi="Arial Narrow" w:cs="Calibri"/>
                <w:bCs/>
                <w:sz w:val="20"/>
                <w:szCs w:val="20"/>
              </w:rPr>
            </w:pPr>
          </w:p>
          <w:p w:rsidR="00FB10B6" w:rsidRPr="006D5F37" w:rsidRDefault="00FB10B6" w:rsidP="00E871B8">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Patient must not receive more than 16 weeks of treatment per continuing treatment under this restriction.</w:t>
            </w:r>
          </w:p>
        </w:tc>
      </w:tr>
      <w:tr w:rsidR="00FB10B6" w:rsidRPr="006D5F37" w:rsidTr="003D32CE">
        <w:tc>
          <w:tcPr>
            <w:tcW w:w="1517" w:type="pct"/>
            <w:shd w:val="clear" w:color="auto" w:fill="auto"/>
          </w:tcPr>
          <w:p w:rsidR="00FB10B6" w:rsidRPr="006D5F37" w:rsidRDefault="00FB10B6" w:rsidP="00E871B8">
            <w:pPr>
              <w:spacing w:before="0" w:after="0"/>
              <w:rPr>
                <w:rFonts w:ascii="Arial Narrow" w:hAnsi="Arial Narrow" w:cs="Calibri"/>
                <w:b/>
                <w:bCs/>
                <w:sz w:val="20"/>
                <w:szCs w:val="20"/>
                <w:lang w:val="en-NZ"/>
              </w:rPr>
            </w:pPr>
            <w:r w:rsidRPr="006D5F37">
              <w:rPr>
                <w:rFonts w:ascii="Arial Narrow" w:hAnsi="Arial Narrow" w:cs="Calibri"/>
                <w:b/>
                <w:bCs/>
                <w:sz w:val="20"/>
                <w:szCs w:val="20"/>
                <w:lang w:val="en-NZ"/>
              </w:rPr>
              <w:t>Prescriber Instructions:</w:t>
            </w:r>
          </w:p>
        </w:tc>
        <w:tc>
          <w:tcPr>
            <w:tcW w:w="3483" w:type="pct"/>
            <w:shd w:val="clear" w:color="auto" w:fill="auto"/>
          </w:tcPr>
          <w:p w:rsidR="00FB10B6" w:rsidRPr="006D5F37" w:rsidRDefault="00FB10B6" w:rsidP="00E871B8">
            <w:pPr>
              <w:spacing w:before="0" w:after="0"/>
              <w:rPr>
                <w:rFonts w:ascii="Arial Narrow" w:hAnsi="Arial Narrow" w:cs="Calibri"/>
                <w:bCs/>
                <w:sz w:val="20"/>
                <w:szCs w:val="20"/>
              </w:rPr>
            </w:pPr>
            <w:r w:rsidRPr="006D5F37">
              <w:rPr>
                <w:rFonts w:ascii="Arial Narrow" w:hAnsi="Arial Narrow" w:cs="Calibri"/>
                <w:bCs/>
                <w:sz w:val="20"/>
                <w:szCs w:val="20"/>
              </w:rPr>
              <w:t>The authority application must be made in writing and must include:</w:t>
            </w:r>
          </w:p>
          <w:p w:rsidR="00FB10B6" w:rsidRPr="006D5F37" w:rsidRDefault="00FB10B6" w:rsidP="00860DC8">
            <w:pPr>
              <w:pStyle w:val="ListParagraph"/>
              <w:numPr>
                <w:ilvl w:val="0"/>
                <w:numId w:val="10"/>
              </w:numPr>
              <w:spacing w:before="0" w:after="0"/>
              <w:ind w:left="653" w:hanging="653"/>
              <w:contextualSpacing/>
              <w:rPr>
                <w:rFonts w:ascii="Arial Narrow" w:hAnsi="Arial Narrow" w:cs="Calibri"/>
                <w:bCs/>
                <w:sz w:val="20"/>
                <w:szCs w:val="20"/>
              </w:rPr>
            </w:pPr>
            <w:r w:rsidRPr="006D5F37">
              <w:rPr>
                <w:rFonts w:ascii="Arial Narrow" w:hAnsi="Arial Narrow" w:cs="Calibri"/>
                <w:bCs/>
                <w:sz w:val="20"/>
                <w:szCs w:val="20"/>
              </w:rPr>
              <w:t xml:space="preserve">A completed authority prescription form; and </w:t>
            </w:r>
          </w:p>
          <w:p w:rsidR="00FB10B6" w:rsidRPr="006D5F37" w:rsidRDefault="00FB10B6" w:rsidP="00860DC8">
            <w:pPr>
              <w:pStyle w:val="ListParagraph"/>
              <w:numPr>
                <w:ilvl w:val="0"/>
                <w:numId w:val="10"/>
              </w:numPr>
              <w:spacing w:before="0" w:after="0"/>
              <w:ind w:left="0" w:firstLine="0"/>
              <w:contextualSpacing/>
              <w:rPr>
                <w:rFonts w:ascii="Arial Narrow" w:hAnsi="Arial Narrow" w:cs="Calibri"/>
                <w:bCs/>
                <w:sz w:val="20"/>
                <w:szCs w:val="20"/>
              </w:rPr>
            </w:pPr>
            <w:r w:rsidRPr="006D5F37">
              <w:rPr>
                <w:rFonts w:ascii="Arial Narrow" w:hAnsi="Arial Narrow" w:cs="Calibri"/>
                <w:bCs/>
                <w:sz w:val="20"/>
                <w:szCs w:val="20"/>
              </w:rPr>
              <w:t xml:space="preserve">A completed Basal Cell Carcinoma Continuing PBS Authority Application Form - Supporting Information Form; and </w:t>
            </w:r>
          </w:p>
          <w:p w:rsidR="00FB10B6" w:rsidRPr="006A69E6" w:rsidRDefault="00FB10B6" w:rsidP="00860DC8">
            <w:pPr>
              <w:pStyle w:val="ListParagraph"/>
              <w:numPr>
                <w:ilvl w:val="0"/>
                <w:numId w:val="10"/>
              </w:numPr>
              <w:spacing w:before="0" w:after="0"/>
              <w:ind w:left="0" w:firstLine="0"/>
              <w:contextualSpacing/>
              <w:rPr>
                <w:rFonts w:ascii="Arial Narrow" w:hAnsi="Arial Narrow" w:cs="Calibri"/>
                <w:bCs/>
                <w:sz w:val="20"/>
                <w:szCs w:val="20"/>
              </w:rPr>
            </w:pPr>
            <w:r w:rsidRPr="006A69E6">
              <w:rPr>
                <w:rFonts w:ascii="Arial Narrow" w:hAnsi="Arial Narrow" w:cs="Calibri"/>
                <w:bCs/>
                <w:sz w:val="20"/>
                <w:szCs w:val="20"/>
              </w:rPr>
              <w:t>A confirmation statement from the treating doctor that the disease has not progressed; and</w:t>
            </w:r>
          </w:p>
          <w:p w:rsidR="00FB10B6" w:rsidRPr="006A69E6" w:rsidRDefault="00FB10B6" w:rsidP="00860DC8">
            <w:pPr>
              <w:pStyle w:val="ListParagraph"/>
              <w:numPr>
                <w:ilvl w:val="0"/>
                <w:numId w:val="10"/>
              </w:numPr>
              <w:spacing w:before="0" w:after="0"/>
              <w:ind w:left="0" w:firstLine="0"/>
              <w:contextualSpacing/>
              <w:rPr>
                <w:rFonts w:ascii="Arial Narrow" w:hAnsi="Arial Narrow" w:cs="Calibri"/>
                <w:bCs/>
                <w:sz w:val="20"/>
                <w:szCs w:val="20"/>
              </w:rPr>
            </w:pPr>
            <w:r w:rsidRPr="006A69E6">
              <w:rPr>
                <w:rFonts w:ascii="Arial Narrow" w:hAnsi="Arial Narrow" w:cs="Calibri"/>
                <w:bCs/>
                <w:sz w:val="20"/>
                <w:szCs w:val="20"/>
              </w:rPr>
              <w:t xml:space="preserve">In patients with locally advanced BCC, a letter from a surgically qualified clinician demonstrating that the condition remains inappropriate for surgery; or a letter from a radiation oncologist demonstrating that the condition remains inappropriate for curative radiotherapy </w:t>
            </w:r>
          </w:p>
          <w:p w:rsidR="00FB10B6" w:rsidRPr="006D5F37" w:rsidRDefault="00FB10B6" w:rsidP="00E871B8">
            <w:pPr>
              <w:autoSpaceDE w:val="0"/>
              <w:autoSpaceDN w:val="0"/>
              <w:adjustRightInd w:val="0"/>
              <w:spacing w:before="0" w:after="0"/>
              <w:rPr>
                <w:rFonts w:ascii="Arial Narrow" w:hAnsi="Arial Narrow" w:cs="Calibri"/>
                <w:color w:val="000000"/>
                <w:sz w:val="20"/>
                <w:szCs w:val="20"/>
              </w:rPr>
            </w:pPr>
          </w:p>
          <w:p w:rsidR="00FB10B6" w:rsidRPr="006D5F37" w:rsidRDefault="00FB10B6" w:rsidP="00E871B8">
            <w:pPr>
              <w:autoSpaceDE w:val="0"/>
              <w:autoSpaceDN w:val="0"/>
              <w:adjustRightInd w:val="0"/>
              <w:spacing w:before="0" w:after="0"/>
              <w:rPr>
                <w:rFonts w:ascii="Arial Narrow" w:hAnsi="Arial Narrow" w:cs="Calibri"/>
                <w:color w:val="000000"/>
                <w:sz w:val="20"/>
                <w:szCs w:val="20"/>
              </w:rPr>
            </w:pPr>
            <w:r w:rsidRPr="006D5F37">
              <w:rPr>
                <w:rFonts w:ascii="Arial Narrow" w:hAnsi="Arial Narrow" w:cs="Calibri"/>
                <w:color w:val="000000"/>
                <w:sz w:val="20"/>
                <w:szCs w:val="20"/>
              </w:rPr>
              <w:t>The assessment of the patient's response to this PBS-subsidised course of therapy must be made within the 4 weeks prior to completion of the course of treatment. It is recommended that an application is submitted to the Department of Human Services no less than 2 weeks prior to the date the next dose is due in order to ensure continuity of treatment for those patients who meet the continuation criteria.</w:t>
            </w:r>
          </w:p>
          <w:p w:rsidR="00FB10B6" w:rsidRPr="006D5F37" w:rsidRDefault="00FB10B6" w:rsidP="00E871B8">
            <w:pPr>
              <w:autoSpaceDE w:val="0"/>
              <w:autoSpaceDN w:val="0"/>
              <w:adjustRightInd w:val="0"/>
              <w:spacing w:before="0" w:after="0"/>
              <w:rPr>
                <w:rFonts w:ascii="Arial Narrow" w:hAnsi="Arial Narrow" w:cs="Calibri"/>
                <w:color w:val="000000"/>
                <w:sz w:val="20"/>
                <w:szCs w:val="20"/>
              </w:rPr>
            </w:pPr>
          </w:p>
          <w:p w:rsidR="00FB10B6" w:rsidRPr="006D5F37" w:rsidRDefault="00FB10B6" w:rsidP="00E871B8">
            <w:pPr>
              <w:keepNext/>
              <w:autoSpaceDE w:val="0"/>
              <w:autoSpaceDN w:val="0"/>
              <w:adjustRightInd w:val="0"/>
              <w:spacing w:before="0" w:after="0"/>
              <w:rPr>
                <w:rFonts w:ascii="Arial Narrow" w:hAnsi="Arial Narrow" w:cs="Calibri"/>
                <w:color w:val="000000"/>
                <w:sz w:val="20"/>
                <w:szCs w:val="20"/>
              </w:rPr>
            </w:pPr>
            <w:r w:rsidRPr="006D5F37">
              <w:rPr>
                <w:rFonts w:ascii="Arial Narrow" w:hAnsi="Arial Narrow" w:cs="Calibri"/>
                <w:b/>
                <w:bCs/>
                <w:color w:val="000000"/>
                <w:sz w:val="20"/>
                <w:szCs w:val="20"/>
              </w:rPr>
              <w:t xml:space="preserve">Inappropriate for surgery is defined as: </w:t>
            </w:r>
          </w:p>
          <w:p w:rsidR="00FB10B6" w:rsidRPr="006D5F37" w:rsidRDefault="00FB10B6" w:rsidP="00E871B8">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i/ Curative resection is unlikely, such as where BCC has recurred in the same location after two or more surgical procedures; or </w:t>
            </w:r>
          </w:p>
          <w:p w:rsidR="00FB10B6" w:rsidRPr="006D5F37" w:rsidRDefault="00FB10B6" w:rsidP="00E871B8">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ii/ Anticipated substantial morbidity or deformity from surgery or requiring complicated reconstructive surgery (e.g. removal of all or part of a facial structure, such as nose, ear, eyelid, eye; or requirement for limb amputation or free tissue transfer); or </w:t>
            </w:r>
          </w:p>
          <w:p w:rsidR="00FB10B6" w:rsidRPr="006D5F37" w:rsidRDefault="00FB10B6" w:rsidP="00E871B8">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iii/ Medical contraindication to surgery </w:t>
            </w:r>
          </w:p>
          <w:p w:rsidR="00FB10B6" w:rsidRPr="006D5F37" w:rsidRDefault="00FB10B6" w:rsidP="00E871B8">
            <w:pPr>
              <w:autoSpaceDE w:val="0"/>
              <w:autoSpaceDN w:val="0"/>
              <w:adjustRightInd w:val="0"/>
              <w:spacing w:before="0" w:after="0"/>
              <w:rPr>
                <w:rFonts w:ascii="Arial Narrow" w:hAnsi="Arial Narrow" w:cs="Calibri"/>
                <w:color w:val="000000"/>
                <w:sz w:val="20"/>
                <w:szCs w:val="20"/>
              </w:rPr>
            </w:pPr>
          </w:p>
          <w:p w:rsidR="00FB10B6" w:rsidRPr="006D5F37" w:rsidRDefault="00FB10B6" w:rsidP="00E871B8">
            <w:pPr>
              <w:autoSpaceDE w:val="0"/>
              <w:autoSpaceDN w:val="0"/>
              <w:adjustRightInd w:val="0"/>
              <w:spacing w:before="0" w:after="0"/>
              <w:rPr>
                <w:rFonts w:ascii="Arial Narrow" w:hAnsi="Arial Narrow" w:cs="Calibri"/>
                <w:color w:val="000000"/>
                <w:sz w:val="20"/>
                <w:szCs w:val="20"/>
              </w:rPr>
            </w:pPr>
            <w:r w:rsidRPr="006D5F37">
              <w:rPr>
                <w:rFonts w:ascii="Arial Narrow" w:hAnsi="Arial Narrow" w:cs="Calibri"/>
                <w:b/>
                <w:bCs/>
                <w:color w:val="000000"/>
                <w:sz w:val="20"/>
                <w:szCs w:val="20"/>
              </w:rPr>
              <w:t xml:space="preserve">Inappropriate for curative radiotherapy is defined as: </w:t>
            </w:r>
          </w:p>
          <w:p w:rsidR="00FB10B6" w:rsidRPr="006D5F37" w:rsidRDefault="00FB10B6" w:rsidP="00E871B8">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i/ Hypersensitivity to radiation due to genetic syndrome such as Gorlin Syndrome; or </w:t>
            </w:r>
          </w:p>
          <w:p w:rsidR="00FB10B6" w:rsidRPr="006D5F37" w:rsidRDefault="00FB10B6" w:rsidP="00E871B8">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ii/ Limitations due to location of tumour; or </w:t>
            </w:r>
          </w:p>
          <w:p w:rsidR="00FB10B6" w:rsidRPr="006D5F37" w:rsidRDefault="00FB10B6" w:rsidP="00E871B8">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 xml:space="preserve">iii/ Limitations due to cumulative prior radiotherapy dose; or </w:t>
            </w:r>
          </w:p>
          <w:p w:rsidR="00FB10B6" w:rsidRPr="006D5F37" w:rsidRDefault="00FB10B6" w:rsidP="00E871B8">
            <w:pPr>
              <w:pStyle w:val="ListParagraph"/>
              <w:spacing w:before="0" w:after="0"/>
              <w:ind w:left="0"/>
              <w:rPr>
                <w:rFonts w:ascii="Arial Narrow" w:hAnsi="Arial Narrow" w:cs="Calibri"/>
                <w:bCs/>
                <w:sz w:val="20"/>
                <w:szCs w:val="20"/>
              </w:rPr>
            </w:pPr>
            <w:r w:rsidRPr="006D5F37">
              <w:rPr>
                <w:rFonts w:ascii="Arial Narrow" w:hAnsi="Arial Narrow" w:cs="Calibri"/>
                <w:bCs/>
                <w:sz w:val="20"/>
                <w:szCs w:val="20"/>
              </w:rPr>
              <w:t>iv/ Progressive disease despite prior irradiation of locally advanced BCC</w:t>
            </w:r>
            <w:r w:rsidRPr="006D5F37">
              <w:rPr>
                <w:rFonts w:ascii="Arial Narrow" w:hAnsi="Arial Narrow" w:cs="Arial"/>
                <w:color w:val="000000"/>
                <w:sz w:val="20"/>
                <w:szCs w:val="20"/>
              </w:rPr>
              <w:t xml:space="preserve"> </w:t>
            </w:r>
          </w:p>
        </w:tc>
      </w:tr>
      <w:tr w:rsidR="00FB10B6" w:rsidRPr="006D5F37" w:rsidTr="003D32CE">
        <w:tc>
          <w:tcPr>
            <w:tcW w:w="1517" w:type="pct"/>
            <w:shd w:val="clear" w:color="auto" w:fill="auto"/>
          </w:tcPr>
          <w:p w:rsidR="00FB10B6" w:rsidRPr="006D5F37" w:rsidRDefault="00FB10B6" w:rsidP="00E871B8">
            <w:pPr>
              <w:spacing w:before="0" w:after="0"/>
              <w:rPr>
                <w:rFonts w:ascii="Arial Narrow" w:hAnsi="Arial Narrow" w:cs="Calibri"/>
                <w:b/>
                <w:bCs/>
                <w:sz w:val="20"/>
                <w:szCs w:val="20"/>
                <w:lang w:val="en-NZ"/>
              </w:rPr>
            </w:pPr>
            <w:r w:rsidRPr="006D5F37">
              <w:rPr>
                <w:rFonts w:ascii="Arial Narrow" w:hAnsi="Arial Narrow" w:cs="Calibri"/>
                <w:b/>
                <w:bCs/>
                <w:sz w:val="20"/>
                <w:szCs w:val="20"/>
                <w:lang w:val="en-NZ"/>
              </w:rPr>
              <w:t>Administrative advice</w:t>
            </w:r>
          </w:p>
        </w:tc>
        <w:tc>
          <w:tcPr>
            <w:tcW w:w="3483" w:type="pct"/>
            <w:shd w:val="clear" w:color="auto" w:fill="auto"/>
          </w:tcPr>
          <w:p w:rsidR="00FB10B6" w:rsidRPr="006D5F37" w:rsidRDefault="00FB10B6" w:rsidP="00E871B8">
            <w:pPr>
              <w:spacing w:before="0" w:after="0"/>
              <w:rPr>
                <w:rFonts w:ascii="Arial Narrow" w:hAnsi="Arial Narrow"/>
                <w:sz w:val="20"/>
                <w:szCs w:val="20"/>
              </w:rPr>
            </w:pPr>
            <w:r w:rsidRPr="006D5F37">
              <w:rPr>
                <w:rFonts w:ascii="Arial Narrow" w:hAnsi="Arial Narrow"/>
                <w:sz w:val="20"/>
                <w:szCs w:val="20"/>
              </w:rPr>
              <w:t xml:space="preserve">Any queries concerning the arrangements to prescribe may be directed to the Department of Human Services on 1800 700 270 (hours of operation 8 a.m. to 5 p.m. EST Monday to Friday). </w:t>
            </w:r>
          </w:p>
          <w:p w:rsidR="00FB10B6" w:rsidRPr="006D5F37" w:rsidRDefault="00FB10B6" w:rsidP="00E871B8">
            <w:pPr>
              <w:spacing w:before="0" w:after="0"/>
              <w:rPr>
                <w:rFonts w:ascii="Arial Narrow" w:hAnsi="Arial Narrow"/>
                <w:sz w:val="20"/>
                <w:szCs w:val="20"/>
              </w:rPr>
            </w:pPr>
          </w:p>
          <w:p w:rsidR="00FB10B6" w:rsidRPr="006D5F37" w:rsidRDefault="00FB10B6" w:rsidP="00E871B8">
            <w:pPr>
              <w:spacing w:before="0" w:after="0"/>
              <w:rPr>
                <w:rFonts w:ascii="Arial Narrow" w:hAnsi="Arial Narrow"/>
                <w:sz w:val="20"/>
                <w:szCs w:val="20"/>
              </w:rPr>
            </w:pPr>
            <w:r w:rsidRPr="006D5F37">
              <w:rPr>
                <w:rFonts w:ascii="Arial Narrow" w:hAnsi="Arial Narrow"/>
                <w:sz w:val="20"/>
                <w:szCs w:val="20"/>
              </w:rPr>
              <w:t xml:space="preserve">Prescribing information (including Authority Application forms and other relevant documentation as applicable) is available on the Department of Human Services website at </w:t>
            </w:r>
            <w:r w:rsidRPr="00246360">
              <w:rPr>
                <w:rFonts w:ascii="Arial Narrow" w:hAnsi="Arial Narrow"/>
                <w:sz w:val="20"/>
                <w:szCs w:val="20"/>
              </w:rPr>
              <w:t>www.humanservices.gov.au</w:t>
            </w:r>
            <w:r w:rsidRPr="006D5F37">
              <w:rPr>
                <w:rFonts w:ascii="Arial Narrow" w:hAnsi="Arial Narrow"/>
                <w:sz w:val="20"/>
                <w:szCs w:val="20"/>
              </w:rPr>
              <w:t xml:space="preserve"> </w:t>
            </w:r>
          </w:p>
          <w:p w:rsidR="00FB10B6" w:rsidRPr="006D5F37" w:rsidRDefault="00FB10B6" w:rsidP="00E871B8">
            <w:pPr>
              <w:spacing w:before="0" w:after="0"/>
              <w:rPr>
                <w:rFonts w:ascii="Arial Narrow" w:hAnsi="Arial Narrow"/>
                <w:sz w:val="20"/>
                <w:szCs w:val="20"/>
              </w:rPr>
            </w:pPr>
          </w:p>
          <w:p w:rsidR="00FB10B6" w:rsidRPr="006D5F37" w:rsidRDefault="00FB10B6" w:rsidP="00E871B8">
            <w:pPr>
              <w:spacing w:before="0" w:after="0"/>
              <w:rPr>
                <w:rFonts w:ascii="Arial Narrow" w:hAnsi="Arial Narrow"/>
                <w:sz w:val="20"/>
                <w:szCs w:val="20"/>
              </w:rPr>
            </w:pPr>
            <w:r w:rsidRPr="006D5F37">
              <w:rPr>
                <w:rFonts w:ascii="Arial Narrow" w:hAnsi="Arial Narrow"/>
                <w:sz w:val="20"/>
                <w:szCs w:val="20"/>
              </w:rPr>
              <w:t xml:space="preserve">Applications for authority to prescribe should be forwarded to: </w:t>
            </w:r>
          </w:p>
          <w:p w:rsidR="00FB10B6" w:rsidRPr="006D5F37" w:rsidRDefault="00FB10B6" w:rsidP="00E871B8">
            <w:pPr>
              <w:spacing w:before="0" w:after="0"/>
              <w:rPr>
                <w:rFonts w:ascii="Arial Narrow" w:hAnsi="Arial Narrow"/>
                <w:sz w:val="20"/>
                <w:szCs w:val="20"/>
              </w:rPr>
            </w:pPr>
            <w:r w:rsidRPr="006D5F37">
              <w:rPr>
                <w:rFonts w:ascii="Arial Narrow" w:hAnsi="Arial Narrow"/>
                <w:sz w:val="20"/>
                <w:szCs w:val="20"/>
              </w:rPr>
              <w:t xml:space="preserve">Department of Human Services </w:t>
            </w:r>
          </w:p>
          <w:p w:rsidR="00FB10B6" w:rsidRPr="006D5F37" w:rsidRDefault="00FB10B6" w:rsidP="00E871B8">
            <w:pPr>
              <w:spacing w:before="0" w:after="0"/>
              <w:rPr>
                <w:rFonts w:ascii="Arial Narrow" w:hAnsi="Arial Narrow"/>
                <w:sz w:val="20"/>
                <w:szCs w:val="20"/>
              </w:rPr>
            </w:pPr>
            <w:r w:rsidRPr="006D5F37">
              <w:rPr>
                <w:rFonts w:ascii="Arial Narrow" w:hAnsi="Arial Narrow"/>
                <w:sz w:val="20"/>
                <w:szCs w:val="20"/>
              </w:rPr>
              <w:t xml:space="preserve">Complex Drugs Programs </w:t>
            </w:r>
          </w:p>
          <w:p w:rsidR="00FB10B6" w:rsidRPr="006D5F37" w:rsidRDefault="00FB10B6" w:rsidP="00E871B8">
            <w:pPr>
              <w:spacing w:before="0" w:after="0"/>
              <w:rPr>
                <w:rFonts w:ascii="Arial Narrow" w:hAnsi="Arial Narrow"/>
                <w:sz w:val="20"/>
                <w:szCs w:val="20"/>
              </w:rPr>
            </w:pPr>
            <w:r w:rsidRPr="006D5F37">
              <w:rPr>
                <w:rFonts w:ascii="Arial Narrow" w:hAnsi="Arial Narrow"/>
                <w:sz w:val="20"/>
                <w:szCs w:val="20"/>
              </w:rPr>
              <w:t xml:space="preserve">Reply Paid 9826 </w:t>
            </w:r>
          </w:p>
          <w:p w:rsidR="00FB10B6" w:rsidRPr="006D5F37" w:rsidRDefault="00FB10B6" w:rsidP="00E871B8">
            <w:pPr>
              <w:spacing w:before="0" w:after="0"/>
              <w:rPr>
                <w:rFonts w:ascii="Arial Narrow" w:hAnsi="Arial Narrow" w:cs="Calibri"/>
                <w:bCs/>
                <w:sz w:val="20"/>
                <w:szCs w:val="20"/>
              </w:rPr>
            </w:pPr>
            <w:r w:rsidRPr="006D5F37">
              <w:rPr>
                <w:rFonts w:ascii="Arial Narrow" w:hAnsi="Arial Narrow"/>
                <w:sz w:val="20"/>
                <w:szCs w:val="20"/>
              </w:rPr>
              <w:t>HOBART TAS 7001</w:t>
            </w:r>
          </w:p>
        </w:tc>
      </w:tr>
      <w:tr w:rsidR="001D5246" w:rsidRPr="006D5F37" w:rsidTr="003D32CE">
        <w:tc>
          <w:tcPr>
            <w:tcW w:w="1517" w:type="pct"/>
            <w:shd w:val="clear" w:color="auto" w:fill="auto"/>
          </w:tcPr>
          <w:p w:rsidR="001D5246" w:rsidRPr="006D5F37" w:rsidRDefault="001D5246" w:rsidP="00E871B8">
            <w:pPr>
              <w:spacing w:before="0" w:after="0"/>
              <w:rPr>
                <w:rFonts w:ascii="Arial Narrow" w:hAnsi="Arial Narrow" w:cs="Calibri"/>
                <w:b/>
                <w:bCs/>
                <w:sz w:val="20"/>
                <w:szCs w:val="20"/>
                <w:lang w:val="en-NZ"/>
              </w:rPr>
            </w:pPr>
            <w:r w:rsidRPr="00260CE3">
              <w:rPr>
                <w:rFonts w:ascii="Arial Narrow" w:hAnsi="Arial Narrow" w:cs="Arial"/>
                <w:b/>
                <w:sz w:val="20"/>
                <w:szCs w:val="20"/>
              </w:rPr>
              <w:t>Cautions</w:t>
            </w:r>
          </w:p>
        </w:tc>
        <w:tc>
          <w:tcPr>
            <w:tcW w:w="3483" w:type="pct"/>
            <w:shd w:val="clear" w:color="auto" w:fill="auto"/>
          </w:tcPr>
          <w:p w:rsidR="001D5246" w:rsidRPr="006D5F37" w:rsidRDefault="001D5246" w:rsidP="00E871B8">
            <w:pPr>
              <w:spacing w:before="0" w:after="0"/>
              <w:rPr>
                <w:rFonts w:ascii="Arial Narrow" w:hAnsi="Arial Narrow"/>
                <w:sz w:val="20"/>
                <w:szCs w:val="20"/>
              </w:rPr>
            </w:pPr>
            <w:r w:rsidRPr="006A69E6">
              <w:rPr>
                <w:rFonts w:ascii="Arial Narrow" w:hAnsi="Arial Narrow" w:cs="Arial"/>
                <w:sz w:val="20"/>
                <w:szCs w:val="20"/>
              </w:rPr>
              <w:t xml:space="preserve">Sonidegib is a category X drug and must not be given to pregnant women. Pregnancy in female patients or in the partners of male patients must be avoided during treatment and during the </w:t>
            </w:r>
            <w:r>
              <w:rPr>
                <w:rFonts w:ascii="Arial Narrow" w:hAnsi="Arial Narrow" w:cs="Arial"/>
                <w:sz w:val="20"/>
                <w:szCs w:val="20"/>
              </w:rPr>
              <w:t>20</w:t>
            </w:r>
            <w:r w:rsidRPr="006A69E6">
              <w:rPr>
                <w:rFonts w:ascii="Arial Narrow" w:hAnsi="Arial Narrow" w:cs="Arial"/>
                <w:sz w:val="20"/>
                <w:szCs w:val="20"/>
              </w:rPr>
              <w:t xml:space="preserve"> months and </w:t>
            </w:r>
            <w:r>
              <w:rPr>
                <w:rFonts w:ascii="Arial Narrow" w:hAnsi="Arial Narrow" w:cs="Arial"/>
                <w:sz w:val="20"/>
                <w:szCs w:val="20"/>
              </w:rPr>
              <w:t>6</w:t>
            </w:r>
            <w:r w:rsidRPr="006A69E6">
              <w:rPr>
                <w:rFonts w:ascii="Arial Narrow" w:hAnsi="Arial Narrow" w:cs="Arial"/>
                <w:sz w:val="20"/>
                <w:szCs w:val="20"/>
              </w:rPr>
              <w:t xml:space="preserve"> months period after cessation of treatment for female and male patients respectively, as according to the TGA approved Product Information.</w:t>
            </w:r>
          </w:p>
        </w:tc>
      </w:tr>
    </w:tbl>
    <w:p w:rsidR="00B23F1C" w:rsidRDefault="00B23F1C" w:rsidP="00594438">
      <w:pPr>
        <w:widowControl w:val="0"/>
        <w:spacing w:after="0"/>
        <w:rPr>
          <w:rFonts w:cs="Arial"/>
          <w:bCs/>
          <w:snapToGrid w:val="0"/>
          <w:highlight w:val="yellow"/>
        </w:rPr>
      </w:pPr>
    </w:p>
    <w:p w:rsidR="00B23F1C" w:rsidRDefault="00B23F1C">
      <w:pPr>
        <w:spacing w:before="0" w:line="259" w:lineRule="auto"/>
        <w:jc w:val="left"/>
        <w:rPr>
          <w:rFonts w:cs="Arial"/>
          <w:bCs/>
          <w:snapToGrid w:val="0"/>
          <w:highlight w:val="yellow"/>
        </w:rPr>
      </w:pPr>
      <w:r>
        <w:rPr>
          <w:rFonts w:cs="Arial"/>
          <w:bCs/>
          <w:snapToGrid w:val="0"/>
          <w:highlight w:val="yellow"/>
        </w:rPr>
        <w:br w:type="page"/>
      </w:r>
    </w:p>
    <w:p w:rsidR="00FB10B6" w:rsidRDefault="00FB10B6" w:rsidP="00594438">
      <w:pPr>
        <w:widowControl w:val="0"/>
        <w:spacing w:after="0"/>
        <w:rPr>
          <w:rFonts w:cs="Arial"/>
          <w:bCs/>
          <w:snapToGrid w:val="0"/>
          <w:highlight w:val="yellow"/>
        </w:rPr>
      </w:pPr>
    </w:p>
    <w:tbl>
      <w:tblPr>
        <w:tblW w:w="5000" w:type="pct"/>
        <w:tblLook w:val="0000" w:firstRow="0" w:lastRow="0" w:firstColumn="0" w:lastColumn="0" w:noHBand="0" w:noVBand="0"/>
      </w:tblPr>
      <w:tblGrid>
        <w:gridCol w:w="2843"/>
        <w:gridCol w:w="6399"/>
      </w:tblGrid>
      <w:tr w:rsidR="00A83281" w:rsidRPr="00260CE3" w:rsidTr="00186AC7">
        <w:trPr>
          <w:cantSplit/>
          <w:trHeight w:val="360"/>
        </w:trPr>
        <w:tc>
          <w:tcPr>
            <w:tcW w:w="1538" w:type="pct"/>
            <w:tcBorders>
              <w:top w:val="single" w:sz="4" w:space="0" w:color="auto"/>
              <w:left w:val="single" w:sz="4" w:space="0" w:color="auto"/>
              <w:bottom w:val="single" w:sz="4" w:space="0" w:color="auto"/>
              <w:right w:val="single" w:sz="4" w:space="0" w:color="auto"/>
            </w:tcBorders>
          </w:tcPr>
          <w:p w:rsidR="00A83281" w:rsidRPr="00260CE3" w:rsidRDefault="00A83281" w:rsidP="00186AC7">
            <w:pPr>
              <w:spacing w:before="0" w:after="0"/>
              <w:rPr>
                <w:rFonts w:ascii="Arial Narrow" w:hAnsi="Arial Narrow" w:cs="Arial"/>
                <w:b/>
                <w:sz w:val="20"/>
                <w:szCs w:val="20"/>
              </w:rPr>
            </w:pPr>
            <w:r w:rsidRPr="00260CE3">
              <w:rPr>
                <w:rFonts w:ascii="Arial Narrow" w:hAnsi="Arial Narrow" w:cs="Arial"/>
                <w:b/>
                <w:sz w:val="20"/>
                <w:szCs w:val="20"/>
              </w:rPr>
              <w:t xml:space="preserve">Category / </w:t>
            </w:r>
          </w:p>
          <w:p w:rsidR="00A83281" w:rsidRPr="00260CE3" w:rsidRDefault="00A83281" w:rsidP="00186AC7">
            <w:pPr>
              <w:spacing w:before="0" w:after="0"/>
              <w:rPr>
                <w:rFonts w:ascii="Arial Narrow" w:hAnsi="Arial Narrow" w:cs="Arial"/>
                <w:b/>
                <w:sz w:val="20"/>
                <w:szCs w:val="20"/>
              </w:rPr>
            </w:pPr>
            <w:r w:rsidRPr="00260CE3">
              <w:rPr>
                <w:rFonts w:ascii="Arial Narrow" w:hAnsi="Arial Narrow" w:cs="Arial"/>
                <w:b/>
                <w:sz w:val="20"/>
                <w:szCs w:val="20"/>
              </w:rPr>
              <w:t>Program</w:t>
            </w:r>
          </w:p>
        </w:tc>
        <w:tc>
          <w:tcPr>
            <w:tcW w:w="3462" w:type="pct"/>
            <w:tcBorders>
              <w:top w:val="single" w:sz="4" w:space="0" w:color="auto"/>
              <w:left w:val="single" w:sz="4" w:space="0" w:color="auto"/>
              <w:bottom w:val="single" w:sz="4" w:space="0" w:color="auto"/>
              <w:right w:val="single" w:sz="4" w:space="0" w:color="auto"/>
            </w:tcBorders>
          </w:tcPr>
          <w:p w:rsidR="00A83281" w:rsidRPr="00260CE3" w:rsidRDefault="00A83281" w:rsidP="00186AC7">
            <w:pPr>
              <w:spacing w:before="0" w:after="0"/>
              <w:rPr>
                <w:rFonts w:ascii="Arial Narrow" w:hAnsi="Arial Narrow" w:cs="Arial"/>
                <w:sz w:val="20"/>
                <w:szCs w:val="20"/>
              </w:rPr>
            </w:pPr>
            <w:r w:rsidRPr="00260CE3">
              <w:rPr>
                <w:rFonts w:ascii="Arial Narrow" w:hAnsi="Arial Narrow" w:cs="Arial"/>
                <w:sz w:val="20"/>
                <w:szCs w:val="20"/>
              </w:rPr>
              <w:t>GENERAL – General Schedule (Code GE)</w:t>
            </w:r>
          </w:p>
          <w:p w:rsidR="00A83281" w:rsidRPr="00260CE3" w:rsidRDefault="00A83281" w:rsidP="00186AC7">
            <w:pPr>
              <w:spacing w:before="0" w:after="0"/>
              <w:rPr>
                <w:rFonts w:ascii="Arial Narrow" w:hAnsi="Arial Narrow" w:cs="Arial"/>
                <w:sz w:val="20"/>
                <w:szCs w:val="20"/>
              </w:rPr>
            </w:pPr>
          </w:p>
        </w:tc>
      </w:tr>
      <w:tr w:rsidR="00A83281" w:rsidRPr="00260CE3" w:rsidTr="00186AC7">
        <w:trPr>
          <w:cantSplit/>
          <w:trHeight w:val="360"/>
        </w:trPr>
        <w:tc>
          <w:tcPr>
            <w:tcW w:w="1538" w:type="pct"/>
            <w:tcBorders>
              <w:top w:val="single" w:sz="4" w:space="0" w:color="auto"/>
              <w:left w:val="single" w:sz="4" w:space="0" w:color="auto"/>
              <w:bottom w:val="single" w:sz="4" w:space="0" w:color="auto"/>
              <w:right w:val="single" w:sz="4" w:space="0" w:color="auto"/>
            </w:tcBorders>
          </w:tcPr>
          <w:p w:rsidR="00A83281" w:rsidRPr="00260CE3" w:rsidRDefault="00A83281" w:rsidP="00186AC7">
            <w:pPr>
              <w:spacing w:before="0" w:after="0"/>
              <w:rPr>
                <w:rFonts w:ascii="Arial Narrow" w:hAnsi="Arial Narrow" w:cs="Arial"/>
                <w:b/>
                <w:sz w:val="20"/>
                <w:szCs w:val="20"/>
              </w:rPr>
            </w:pPr>
            <w:r w:rsidRPr="00260CE3">
              <w:rPr>
                <w:rFonts w:ascii="Arial Narrow" w:hAnsi="Arial Narrow" w:cs="Arial"/>
                <w:b/>
                <w:sz w:val="20"/>
                <w:szCs w:val="20"/>
              </w:rPr>
              <w:t>Prescriber type:</w:t>
            </w:r>
          </w:p>
        </w:tc>
        <w:tc>
          <w:tcPr>
            <w:tcW w:w="3462" w:type="pct"/>
            <w:tcBorders>
              <w:top w:val="single" w:sz="4" w:space="0" w:color="auto"/>
              <w:left w:val="single" w:sz="4" w:space="0" w:color="auto"/>
              <w:bottom w:val="single" w:sz="4" w:space="0" w:color="auto"/>
              <w:right w:val="single" w:sz="4" w:space="0" w:color="auto"/>
            </w:tcBorders>
          </w:tcPr>
          <w:p w:rsidR="00A83281" w:rsidRPr="00260CE3" w:rsidRDefault="00A83281" w:rsidP="00186AC7">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A83281" w:rsidRPr="00260CE3" w:rsidRDefault="00A83281" w:rsidP="00186AC7">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A83281" w:rsidRPr="00260CE3" w:rsidTr="00186AC7">
        <w:trPr>
          <w:cantSplit/>
          <w:trHeight w:val="360"/>
        </w:trPr>
        <w:tc>
          <w:tcPr>
            <w:tcW w:w="1538" w:type="pct"/>
            <w:tcBorders>
              <w:top w:val="single" w:sz="4" w:space="0" w:color="auto"/>
              <w:left w:val="single" w:sz="4" w:space="0" w:color="auto"/>
              <w:bottom w:val="single" w:sz="4" w:space="0" w:color="auto"/>
              <w:right w:val="single" w:sz="4" w:space="0" w:color="auto"/>
            </w:tcBorders>
          </w:tcPr>
          <w:p w:rsidR="00A83281" w:rsidRPr="00260CE3" w:rsidRDefault="00A83281" w:rsidP="00186AC7">
            <w:pPr>
              <w:spacing w:before="0" w:after="0"/>
              <w:rPr>
                <w:rFonts w:ascii="Arial Narrow" w:hAnsi="Arial Narrow" w:cs="Arial"/>
                <w:b/>
                <w:sz w:val="20"/>
                <w:szCs w:val="20"/>
              </w:rPr>
            </w:pPr>
            <w:r w:rsidRPr="00260CE3">
              <w:rPr>
                <w:rFonts w:ascii="Arial Narrow" w:hAnsi="Arial Narrow" w:cs="Arial"/>
                <w:b/>
                <w:sz w:val="20"/>
                <w:szCs w:val="20"/>
              </w:rPr>
              <w:t>Severity:</w:t>
            </w:r>
          </w:p>
        </w:tc>
        <w:tc>
          <w:tcPr>
            <w:tcW w:w="3462" w:type="pct"/>
            <w:tcBorders>
              <w:top w:val="single" w:sz="4" w:space="0" w:color="auto"/>
              <w:left w:val="single" w:sz="4" w:space="0" w:color="auto"/>
              <w:bottom w:val="single" w:sz="4" w:space="0" w:color="auto"/>
              <w:right w:val="single" w:sz="4" w:space="0" w:color="auto"/>
            </w:tcBorders>
          </w:tcPr>
          <w:p w:rsidR="00A83281" w:rsidRPr="00D83816" w:rsidRDefault="00A83281" w:rsidP="00186AC7">
            <w:pPr>
              <w:spacing w:before="0" w:after="0"/>
              <w:rPr>
                <w:rFonts w:ascii="Arial Narrow" w:hAnsi="Arial Narrow" w:cs="Arial"/>
                <w:sz w:val="20"/>
                <w:szCs w:val="20"/>
              </w:rPr>
            </w:pPr>
            <w:r w:rsidRPr="00D83816">
              <w:rPr>
                <w:rFonts w:ascii="Arial Narrow" w:hAnsi="Arial Narrow" w:cs="Calibri"/>
                <w:sz w:val="20"/>
                <w:szCs w:val="20"/>
              </w:rPr>
              <w:t>Metastatic or locally advanced</w:t>
            </w:r>
          </w:p>
        </w:tc>
      </w:tr>
      <w:tr w:rsidR="00A83281" w:rsidRPr="00260CE3" w:rsidTr="00186AC7">
        <w:trPr>
          <w:cantSplit/>
          <w:trHeight w:val="360"/>
        </w:trPr>
        <w:tc>
          <w:tcPr>
            <w:tcW w:w="1538" w:type="pct"/>
            <w:tcBorders>
              <w:top w:val="single" w:sz="4" w:space="0" w:color="auto"/>
              <w:left w:val="single" w:sz="4" w:space="0" w:color="auto"/>
              <w:bottom w:val="single" w:sz="4" w:space="0" w:color="auto"/>
              <w:right w:val="single" w:sz="4" w:space="0" w:color="auto"/>
            </w:tcBorders>
          </w:tcPr>
          <w:p w:rsidR="00A83281" w:rsidRPr="00260CE3" w:rsidRDefault="00A83281" w:rsidP="00186AC7">
            <w:pPr>
              <w:spacing w:before="0" w:after="0"/>
              <w:rPr>
                <w:rFonts w:ascii="Arial Narrow" w:hAnsi="Arial Narrow" w:cs="Arial"/>
                <w:b/>
                <w:sz w:val="20"/>
                <w:szCs w:val="20"/>
              </w:rPr>
            </w:pPr>
            <w:r w:rsidRPr="00260CE3">
              <w:rPr>
                <w:rFonts w:ascii="Arial Narrow" w:hAnsi="Arial Narrow" w:cs="Arial"/>
                <w:b/>
                <w:sz w:val="20"/>
                <w:szCs w:val="20"/>
              </w:rPr>
              <w:t>Condition:</w:t>
            </w:r>
          </w:p>
        </w:tc>
        <w:tc>
          <w:tcPr>
            <w:tcW w:w="3462" w:type="pct"/>
            <w:tcBorders>
              <w:top w:val="single" w:sz="4" w:space="0" w:color="auto"/>
              <w:left w:val="single" w:sz="4" w:space="0" w:color="auto"/>
              <w:bottom w:val="single" w:sz="4" w:space="0" w:color="auto"/>
              <w:right w:val="single" w:sz="4" w:space="0" w:color="auto"/>
            </w:tcBorders>
          </w:tcPr>
          <w:p w:rsidR="00A83281" w:rsidRPr="00D83816" w:rsidRDefault="00A83281" w:rsidP="00186AC7">
            <w:pPr>
              <w:spacing w:before="0" w:after="0"/>
              <w:rPr>
                <w:rFonts w:ascii="Arial Narrow" w:hAnsi="Arial Narrow"/>
                <w:sz w:val="20"/>
                <w:szCs w:val="20"/>
              </w:rPr>
            </w:pPr>
            <w:r w:rsidRPr="00D83816">
              <w:rPr>
                <w:rFonts w:ascii="Arial Narrow" w:hAnsi="Arial Narrow"/>
                <w:sz w:val="20"/>
                <w:szCs w:val="20"/>
              </w:rPr>
              <w:t xml:space="preserve">Basal cell carcinoma </w:t>
            </w:r>
          </w:p>
        </w:tc>
      </w:tr>
      <w:tr w:rsidR="00A83281" w:rsidRPr="00260CE3" w:rsidTr="00186AC7">
        <w:trPr>
          <w:cantSplit/>
          <w:trHeight w:val="360"/>
        </w:trPr>
        <w:tc>
          <w:tcPr>
            <w:tcW w:w="1538" w:type="pct"/>
            <w:tcBorders>
              <w:top w:val="single" w:sz="4" w:space="0" w:color="auto"/>
              <w:left w:val="single" w:sz="4" w:space="0" w:color="auto"/>
              <w:bottom w:val="single" w:sz="4" w:space="0" w:color="auto"/>
              <w:right w:val="single" w:sz="4" w:space="0" w:color="auto"/>
            </w:tcBorders>
          </w:tcPr>
          <w:p w:rsidR="00A83281" w:rsidRPr="00D83816" w:rsidRDefault="00A83281" w:rsidP="00186AC7">
            <w:pPr>
              <w:spacing w:before="0" w:after="0"/>
              <w:rPr>
                <w:rFonts w:ascii="Arial Narrow" w:hAnsi="Arial Narrow" w:cs="Arial"/>
                <w:b/>
                <w:sz w:val="20"/>
                <w:szCs w:val="20"/>
              </w:rPr>
            </w:pPr>
            <w:r w:rsidRPr="00260CE3">
              <w:rPr>
                <w:rFonts w:ascii="Arial Narrow" w:hAnsi="Arial Narrow" w:cs="Arial"/>
                <w:b/>
                <w:sz w:val="20"/>
                <w:szCs w:val="20"/>
              </w:rPr>
              <w:t>PBS Indication:</w:t>
            </w:r>
          </w:p>
        </w:tc>
        <w:tc>
          <w:tcPr>
            <w:tcW w:w="3462" w:type="pct"/>
            <w:tcBorders>
              <w:top w:val="single" w:sz="4" w:space="0" w:color="auto"/>
              <w:left w:val="single" w:sz="4" w:space="0" w:color="auto"/>
              <w:bottom w:val="single" w:sz="4" w:space="0" w:color="auto"/>
              <w:right w:val="single" w:sz="4" w:space="0" w:color="auto"/>
            </w:tcBorders>
          </w:tcPr>
          <w:p w:rsidR="00A83281" w:rsidRPr="00D83816" w:rsidRDefault="00A83281" w:rsidP="00186AC7">
            <w:pPr>
              <w:spacing w:before="0" w:after="0"/>
              <w:rPr>
                <w:rFonts w:ascii="Arial Narrow" w:hAnsi="Arial Narrow"/>
                <w:sz w:val="20"/>
                <w:szCs w:val="20"/>
              </w:rPr>
            </w:pPr>
            <w:r w:rsidRPr="00D83816">
              <w:rPr>
                <w:rFonts w:ascii="Arial Narrow" w:hAnsi="Arial Narrow"/>
                <w:sz w:val="20"/>
                <w:szCs w:val="20"/>
              </w:rPr>
              <w:t xml:space="preserve">Metastatic or locally advanced basal cell carcinoma </w:t>
            </w:r>
          </w:p>
        </w:tc>
      </w:tr>
      <w:tr w:rsidR="00A83281" w:rsidRPr="00260CE3" w:rsidTr="00186AC7">
        <w:trPr>
          <w:cantSplit/>
          <w:trHeight w:val="360"/>
        </w:trPr>
        <w:tc>
          <w:tcPr>
            <w:tcW w:w="1538" w:type="pct"/>
            <w:tcBorders>
              <w:top w:val="single" w:sz="4" w:space="0" w:color="auto"/>
              <w:left w:val="single" w:sz="4" w:space="0" w:color="auto"/>
              <w:bottom w:val="single" w:sz="4" w:space="0" w:color="auto"/>
              <w:right w:val="single" w:sz="4" w:space="0" w:color="auto"/>
            </w:tcBorders>
          </w:tcPr>
          <w:p w:rsidR="00A83281" w:rsidRPr="00D83816" w:rsidRDefault="00A83281" w:rsidP="00186AC7">
            <w:pPr>
              <w:spacing w:before="0" w:after="0"/>
              <w:rPr>
                <w:rFonts w:ascii="Arial Narrow" w:hAnsi="Arial Narrow" w:cs="Arial"/>
                <w:b/>
                <w:sz w:val="20"/>
                <w:szCs w:val="20"/>
              </w:rPr>
            </w:pPr>
            <w:r w:rsidRPr="00260CE3">
              <w:rPr>
                <w:rFonts w:ascii="Arial Narrow" w:hAnsi="Arial Narrow" w:cs="Arial"/>
                <w:b/>
                <w:sz w:val="20"/>
                <w:szCs w:val="20"/>
              </w:rPr>
              <w:t>Treatment phase:</w:t>
            </w:r>
          </w:p>
        </w:tc>
        <w:tc>
          <w:tcPr>
            <w:tcW w:w="3462" w:type="pct"/>
            <w:tcBorders>
              <w:top w:val="single" w:sz="4" w:space="0" w:color="auto"/>
              <w:left w:val="single" w:sz="4" w:space="0" w:color="auto"/>
              <w:bottom w:val="single" w:sz="4" w:space="0" w:color="auto"/>
              <w:right w:val="single" w:sz="4" w:space="0" w:color="auto"/>
            </w:tcBorders>
          </w:tcPr>
          <w:p w:rsidR="00A83281" w:rsidRPr="00D83816" w:rsidRDefault="00A83281" w:rsidP="00186AC7">
            <w:pPr>
              <w:spacing w:before="0" w:after="0"/>
              <w:rPr>
                <w:rFonts w:ascii="Arial Narrow" w:hAnsi="Arial Narrow"/>
                <w:sz w:val="20"/>
                <w:szCs w:val="20"/>
              </w:rPr>
            </w:pPr>
            <w:r>
              <w:rPr>
                <w:rFonts w:ascii="Arial Narrow" w:hAnsi="Arial Narrow"/>
                <w:sz w:val="20"/>
                <w:szCs w:val="20"/>
              </w:rPr>
              <w:t>Initial treatment or continuing treatment – balance of supply</w:t>
            </w:r>
          </w:p>
        </w:tc>
      </w:tr>
      <w:tr w:rsidR="00A83281" w:rsidRPr="00260CE3" w:rsidTr="00186AC7">
        <w:trPr>
          <w:cantSplit/>
          <w:trHeight w:val="360"/>
        </w:trPr>
        <w:tc>
          <w:tcPr>
            <w:tcW w:w="1538" w:type="pct"/>
            <w:tcBorders>
              <w:top w:val="single" w:sz="4" w:space="0" w:color="auto"/>
              <w:left w:val="single" w:sz="4" w:space="0" w:color="auto"/>
              <w:bottom w:val="single" w:sz="4" w:space="0" w:color="auto"/>
              <w:right w:val="single" w:sz="4" w:space="0" w:color="auto"/>
            </w:tcBorders>
          </w:tcPr>
          <w:p w:rsidR="00A83281" w:rsidRPr="00D83816" w:rsidRDefault="00A83281" w:rsidP="00186AC7">
            <w:pPr>
              <w:spacing w:before="0" w:after="0"/>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462" w:type="pct"/>
            <w:tcBorders>
              <w:top w:val="single" w:sz="4" w:space="0" w:color="auto"/>
              <w:left w:val="single" w:sz="4" w:space="0" w:color="auto"/>
              <w:bottom w:val="single" w:sz="4" w:space="0" w:color="auto"/>
              <w:right w:val="single" w:sz="4" w:space="0" w:color="auto"/>
            </w:tcBorders>
          </w:tcPr>
          <w:p w:rsidR="00A83281" w:rsidRPr="00106BCF" w:rsidRDefault="00A83281" w:rsidP="00186AC7">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A83281" w:rsidRPr="00106BCF" w:rsidRDefault="0068497B" w:rsidP="00186AC7">
            <w:pPr>
              <w:spacing w:before="0" w:after="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Pr>
                <w:rFonts w:ascii="Arial Narrow" w:hAnsi="Arial Narrow" w:cs="Arial"/>
                <w:sz w:val="20"/>
                <w:szCs w:val="20"/>
              </w:rPr>
              <w:fldChar w:fldCharType="end"/>
            </w:r>
            <w:r w:rsidR="00A83281" w:rsidRPr="00106BCF">
              <w:rPr>
                <w:rFonts w:ascii="Arial Narrow" w:hAnsi="Arial Narrow" w:cs="Arial"/>
                <w:sz w:val="20"/>
                <w:szCs w:val="20"/>
              </w:rPr>
              <w:t>Authority Required - In Writing</w:t>
            </w:r>
          </w:p>
          <w:p w:rsidR="00A83281" w:rsidRPr="00106BCF" w:rsidRDefault="0068497B" w:rsidP="00186AC7">
            <w:pPr>
              <w:spacing w:before="0" w:after="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w:instrText>
            </w:r>
            <w:bookmarkStart w:id="31" w:name="Check3"/>
            <w:r>
              <w:rPr>
                <w:rFonts w:ascii="Arial Narrow" w:hAnsi="Arial Narrow" w:cs="Arial"/>
                <w:sz w:val="20"/>
                <w:szCs w:val="20"/>
              </w:rPr>
              <w:instrText xml:space="preserve">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Pr>
                <w:rFonts w:ascii="Arial Narrow" w:hAnsi="Arial Narrow" w:cs="Arial"/>
                <w:sz w:val="20"/>
                <w:szCs w:val="20"/>
              </w:rPr>
              <w:fldChar w:fldCharType="end"/>
            </w:r>
            <w:bookmarkEnd w:id="31"/>
            <w:r w:rsidR="00A83281" w:rsidRPr="00106BCF">
              <w:rPr>
                <w:rFonts w:ascii="Arial Narrow" w:hAnsi="Arial Narrow" w:cs="Arial"/>
                <w:sz w:val="20"/>
                <w:szCs w:val="20"/>
              </w:rPr>
              <w:t>Authority Required - Telephone</w:t>
            </w:r>
          </w:p>
          <w:p w:rsidR="00A83281" w:rsidRPr="00106BCF" w:rsidRDefault="00A83281" w:rsidP="00186AC7">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rsidR="00A83281" w:rsidRPr="00106BCF" w:rsidRDefault="00A83281" w:rsidP="00186AC7">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A83281" w:rsidRPr="00260CE3" w:rsidRDefault="00A83281" w:rsidP="00186AC7">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A83281" w:rsidRPr="00260CE3" w:rsidTr="00186AC7">
        <w:trPr>
          <w:cantSplit/>
          <w:trHeight w:val="360"/>
        </w:trPr>
        <w:tc>
          <w:tcPr>
            <w:tcW w:w="1538" w:type="pct"/>
            <w:tcBorders>
              <w:top w:val="single" w:sz="4" w:space="0" w:color="auto"/>
              <w:left w:val="single" w:sz="4" w:space="0" w:color="auto"/>
              <w:bottom w:val="single" w:sz="4" w:space="0" w:color="auto"/>
              <w:right w:val="single" w:sz="4" w:space="0" w:color="auto"/>
            </w:tcBorders>
          </w:tcPr>
          <w:p w:rsidR="00A83281" w:rsidRPr="004549C2" w:rsidRDefault="00A83281" w:rsidP="00186AC7">
            <w:pPr>
              <w:spacing w:before="0" w:after="0"/>
              <w:rPr>
                <w:rFonts w:ascii="Arial Narrow" w:hAnsi="Arial Narrow" w:cs="Arial"/>
                <w:b/>
                <w:sz w:val="20"/>
                <w:szCs w:val="20"/>
              </w:rPr>
            </w:pPr>
            <w:r w:rsidRPr="00260CE3">
              <w:rPr>
                <w:rFonts w:ascii="Arial Narrow" w:hAnsi="Arial Narrow" w:cs="Arial"/>
                <w:b/>
                <w:sz w:val="20"/>
                <w:szCs w:val="20"/>
              </w:rPr>
              <w:t>Clinical criteria:</w:t>
            </w:r>
          </w:p>
        </w:tc>
        <w:tc>
          <w:tcPr>
            <w:tcW w:w="3462" w:type="pct"/>
            <w:tcBorders>
              <w:top w:val="single" w:sz="4" w:space="0" w:color="auto"/>
              <w:left w:val="single" w:sz="4" w:space="0" w:color="auto"/>
              <w:bottom w:val="single" w:sz="4" w:space="0" w:color="auto"/>
              <w:right w:val="single" w:sz="4" w:space="0" w:color="auto"/>
            </w:tcBorders>
          </w:tcPr>
          <w:p w:rsidR="00A83281" w:rsidRDefault="00A83281" w:rsidP="00A83281">
            <w:pPr>
              <w:spacing w:before="0" w:after="0"/>
              <w:rPr>
                <w:rFonts w:ascii="Arial Narrow" w:hAnsi="Arial Narrow" w:cs="Arial"/>
                <w:sz w:val="20"/>
                <w:szCs w:val="20"/>
              </w:rPr>
            </w:pPr>
            <w:r w:rsidRPr="00A83281">
              <w:rPr>
                <w:rFonts w:ascii="Arial Narrow" w:hAnsi="Arial Narrow" w:cs="Arial"/>
                <w:sz w:val="20"/>
                <w:szCs w:val="20"/>
              </w:rPr>
              <w:t xml:space="preserve">Patient must have received insufficient therapy with this drug under the Initial treatment restriction to complete maximum of 16 weeks of treatment; </w:t>
            </w:r>
          </w:p>
          <w:p w:rsidR="00A83281" w:rsidRDefault="00A83281" w:rsidP="00A83281">
            <w:pPr>
              <w:spacing w:before="0" w:after="0"/>
              <w:rPr>
                <w:rFonts w:ascii="Arial Narrow" w:hAnsi="Arial Narrow" w:cs="Arial"/>
                <w:sz w:val="20"/>
                <w:szCs w:val="20"/>
              </w:rPr>
            </w:pPr>
          </w:p>
          <w:p w:rsidR="00A83281" w:rsidRPr="00A83281" w:rsidRDefault="00A83281" w:rsidP="00A83281">
            <w:pPr>
              <w:spacing w:before="0" w:after="0"/>
              <w:rPr>
                <w:rFonts w:ascii="Arial Narrow" w:hAnsi="Arial Narrow" w:cs="Arial"/>
                <w:sz w:val="20"/>
                <w:szCs w:val="20"/>
              </w:rPr>
            </w:pPr>
            <w:r w:rsidRPr="00A83281">
              <w:rPr>
                <w:rFonts w:ascii="Arial Narrow" w:hAnsi="Arial Narrow" w:cs="Arial"/>
                <w:sz w:val="20"/>
                <w:szCs w:val="20"/>
              </w:rPr>
              <w:t xml:space="preserve">OR </w:t>
            </w:r>
          </w:p>
          <w:p w:rsidR="00A83281" w:rsidRPr="00A83281" w:rsidRDefault="00A83281" w:rsidP="00A83281">
            <w:pPr>
              <w:spacing w:before="0" w:after="0"/>
              <w:rPr>
                <w:rFonts w:ascii="Arial Narrow" w:hAnsi="Arial Narrow" w:cs="Arial"/>
                <w:sz w:val="20"/>
                <w:szCs w:val="20"/>
              </w:rPr>
            </w:pPr>
          </w:p>
          <w:p w:rsidR="00A83281" w:rsidRPr="00A83281" w:rsidRDefault="00A83281" w:rsidP="00A83281">
            <w:pPr>
              <w:spacing w:before="0" w:after="0"/>
              <w:rPr>
                <w:rFonts w:ascii="Arial Narrow" w:hAnsi="Arial Narrow" w:cs="Arial"/>
                <w:sz w:val="20"/>
                <w:szCs w:val="20"/>
              </w:rPr>
            </w:pPr>
            <w:r>
              <w:rPr>
                <w:rFonts w:ascii="Arial Narrow" w:hAnsi="Arial Narrow" w:cs="Arial"/>
                <w:sz w:val="20"/>
                <w:szCs w:val="20"/>
              </w:rPr>
              <w:t>P</w:t>
            </w:r>
            <w:r w:rsidRPr="00A83281">
              <w:rPr>
                <w:rFonts w:ascii="Arial Narrow" w:hAnsi="Arial Narrow" w:cs="Arial"/>
                <w:sz w:val="20"/>
                <w:szCs w:val="20"/>
              </w:rPr>
              <w:t xml:space="preserve">atient must have received insufficient therapy with this drug under the Continuing treatment restriction to complete maximum of 16 weeks of treatment, </w:t>
            </w:r>
          </w:p>
          <w:p w:rsidR="00A83281" w:rsidRPr="00A83281" w:rsidRDefault="00A83281" w:rsidP="00A83281">
            <w:pPr>
              <w:spacing w:before="0" w:after="0"/>
              <w:rPr>
                <w:rFonts w:ascii="Arial Narrow" w:hAnsi="Arial Narrow" w:cs="Arial"/>
                <w:sz w:val="20"/>
                <w:szCs w:val="20"/>
              </w:rPr>
            </w:pPr>
          </w:p>
          <w:p w:rsidR="00A83281" w:rsidRPr="00A83281" w:rsidRDefault="00A83281" w:rsidP="00A83281">
            <w:pPr>
              <w:spacing w:before="0" w:after="0"/>
              <w:rPr>
                <w:rFonts w:ascii="Arial Narrow" w:hAnsi="Arial Narrow" w:cs="Arial"/>
                <w:sz w:val="20"/>
                <w:szCs w:val="20"/>
              </w:rPr>
            </w:pPr>
            <w:r w:rsidRPr="00A83281">
              <w:rPr>
                <w:rFonts w:ascii="Arial Narrow" w:hAnsi="Arial Narrow" w:cs="Arial"/>
                <w:sz w:val="20"/>
                <w:szCs w:val="20"/>
              </w:rPr>
              <w:t>AND</w:t>
            </w:r>
          </w:p>
          <w:p w:rsidR="00A83281" w:rsidRPr="00A83281" w:rsidRDefault="00A83281" w:rsidP="00A83281">
            <w:pPr>
              <w:spacing w:before="0" w:after="0"/>
              <w:rPr>
                <w:rFonts w:ascii="Arial Narrow" w:hAnsi="Arial Narrow" w:cs="Arial"/>
                <w:sz w:val="20"/>
                <w:szCs w:val="20"/>
              </w:rPr>
            </w:pPr>
          </w:p>
          <w:p w:rsidR="00A83281" w:rsidRPr="00260CE3" w:rsidRDefault="00A83281" w:rsidP="00D5350C">
            <w:pPr>
              <w:spacing w:before="0" w:after="0"/>
              <w:rPr>
                <w:rFonts w:ascii="Arial Narrow" w:hAnsi="Arial Narrow" w:cs="Arial"/>
                <w:sz w:val="20"/>
                <w:szCs w:val="20"/>
              </w:rPr>
            </w:pPr>
            <w:r w:rsidRPr="00A83281">
              <w:rPr>
                <w:rFonts w:ascii="Arial Narrow" w:hAnsi="Arial Narrow" w:cs="Arial"/>
                <w:sz w:val="20"/>
                <w:szCs w:val="20"/>
              </w:rPr>
              <w:t xml:space="preserve">The treatment must provide no more than the balance of up to 16 weeks treatment available under the above restrictions. </w:t>
            </w:r>
          </w:p>
        </w:tc>
      </w:tr>
      <w:tr w:rsidR="00A83281" w:rsidRPr="00260CE3" w:rsidTr="00186AC7">
        <w:trPr>
          <w:cantSplit/>
          <w:trHeight w:val="360"/>
        </w:trPr>
        <w:tc>
          <w:tcPr>
            <w:tcW w:w="1538" w:type="pct"/>
            <w:tcBorders>
              <w:top w:val="single" w:sz="4" w:space="0" w:color="auto"/>
              <w:left w:val="single" w:sz="4" w:space="0" w:color="auto"/>
              <w:bottom w:val="single" w:sz="4" w:space="0" w:color="auto"/>
              <w:right w:val="single" w:sz="4" w:space="0" w:color="auto"/>
            </w:tcBorders>
          </w:tcPr>
          <w:p w:rsidR="00A83281" w:rsidRPr="00260CE3" w:rsidRDefault="00A83281" w:rsidP="00186AC7">
            <w:pPr>
              <w:spacing w:before="0" w:after="0"/>
              <w:rPr>
                <w:rFonts w:ascii="Arial Narrow" w:hAnsi="Arial Narrow" w:cs="Arial"/>
                <w:i/>
                <w:sz w:val="20"/>
                <w:szCs w:val="20"/>
              </w:rPr>
            </w:pPr>
            <w:r w:rsidRPr="00260CE3">
              <w:rPr>
                <w:rFonts w:ascii="Arial Narrow" w:hAnsi="Arial Narrow" w:cs="Arial"/>
                <w:b/>
                <w:sz w:val="20"/>
                <w:szCs w:val="20"/>
              </w:rPr>
              <w:t>Administrative Advice</w:t>
            </w:r>
          </w:p>
        </w:tc>
        <w:tc>
          <w:tcPr>
            <w:tcW w:w="3462" w:type="pct"/>
            <w:tcBorders>
              <w:top w:val="single" w:sz="4" w:space="0" w:color="auto"/>
              <w:left w:val="single" w:sz="4" w:space="0" w:color="auto"/>
              <w:bottom w:val="single" w:sz="4" w:space="0" w:color="auto"/>
              <w:right w:val="single" w:sz="4" w:space="0" w:color="auto"/>
            </w:tcBorders>
          </w:tcPr>
          <w:p w:rsidR="00A83281" w:rsidRPr="00260CE3" w:rsidRDefault="004427D2" w:rsidP="00186AC7">
            <w:pPr>
              <w:spacing w:before="0" w:after="0"/>
              <w:rPr>
                <w:rFonts w:ascii="Arial Narrow" w:hAnsi="Arial Narrow" w:cs="Arial"/>
                <w:sz w:val="20"/>
                <w:szCs w:val="20"/>
              </w:rPr>
            </w:pPr>
            <w:r w:rsidRPr="004427D2">
              <w:rPr>
                <w:rFonts w:ascii="Arial Narrow" w:hAnsi="Arial Narrow" w:cs="Arial"/>
                <w:sz w:val="20"/>
                <w:szCs w:val="20"/>
              </w:rPr>
              <w:t>Authority approval for sufficient therapy to complete a maximum of 16 weeks of treatment may be requested by telephone by contacting the Department of Human Services on 1800 700 270 (hours of operation 8 a.m. to 5 p.m. EST Monday to Friday).</w:t>
            </w:r>
          </w:p>
        </w:tc>
      </w:tr>
      <w:tr w:rsidR="00A83281" w:rsidRPr="00260CE3" w:rsidTr="00186AC7">
        <w:trPr>
          <w:cantSplit/>
          <w:trHeight w:val="360"/>
        </w:trPr>
        <w:tc>
          <w:tcPr>
            <w:tcW w:w="1538" w:type="pct"/>
            <w:tcBorders>
              <w:top w:val="single" w:sz="4" w:space="0" w:color="auto"/>
              <w:left w:val="single" w:sz="4" w:space="0" w:color="auto"/>
              <w:bottom w:val="single" w:sz="4" w:space="0" w:color="auto"/>
              <w:right w:val="single" w:sz="4" w:space="0" w:color="auto"/>
            </w:tcBorders>
          </w:tcPr>
          <w:p w:rsidR="00A83281" w:rsidRPr="00260CE3" w:rsidRDefault="00A83281" w:rsidP="00186AC7">
            <w:pPr>
              <w:spacing w:before="0" w:after="0"/>
              <w:rPr>
                <w:rFonts w:ascii="Arial Narrow" w:hAnsi="Arial Narrow" w:cs="Arial"/>
                <w:i/>
                <w:sz w:val="20"/>
                <w:szCs w:val="20"/>
              </w:rPr>
            </w:pPr>
            <w:r w:rsidRPr="00260CE3">
              <w:rPr>
                <w:rFonts w:ascii="Arial Narrow" w:hAnsi="Arial Narrow" w:cs="Arial"/>
                <w:b/>
                <w:sz w:val="20"/>
                <w:szCs w:val="20"/>
              </w:rPr>
              <w:t>Cautions</w:t>
            </w:r>
          </w:p>
        </w:tc>
        <w:tc>
          <w:tcPr>
            <w:tcW w:w="3462" w:type="pct"/>
            <w:tcBorders>
              <w:top w:val="single" w:sz="4" w:space="0" w:color="auto"/>
              <w:left w:val="single" w:sz="4" w:space="0" w:color="auto"/>
              <w:bottom w:val="single" w:sz="4" w:space="0" w:color="auto"/>
              <w:right w:val="single" w:sz="4" w:space="0" w:color="auto"/>
            </w:tcBorders>
          </w:tcPr>
          <w:p w:rsidR="00A83281" w:rsidRPr="006A69E6" w:rsidRDefault="00A83281" w:rsidP="00186AC7">
            <w:pPr>
              <w:spacing w:before="0" w:after="0"/>
              <w:rPr>
                <w:rFonts w:ascii="Arial Narrow" w:hAnsi="Arial Narrow" w:cs="Arial"/>
                <w:sz w:val="20"/>
                <w:szCs w:val="20"/>
              </w:rPr>
            </w:pPr>
            <w:r w:rsidRPr="006A69E6">
              <w:rPr>
                <w:rFonts w:ascii="Arial Narrow" w:hAnsi="Arial Narrow" w:cs="Arial"/>
                <w:sz w:val="20"/>
                <w:szCs w:val="20"/>
              </w:rPr>
              <w:t xml:space="preserve">Sonidegib is a category X drug and must not be given to pregnant women. Pregnancy in female patients or in the partners of male patients must be avoided during treatment and during the </w:t>
            </w:r>
            <w:r>
              <w:rPr>
                <w:rFonts w:ascii="Arial Narrow" w:hAnsi="Arial Narrow" w:cs="Arial"/>
                <w:sz w:val="20"/>
                <w:szCs w:val="20"/>
              </w:rPr>
              <w:t>20</w:t>
            </w:r>
            <w:r w:rsidRPr="006A69E6">
              <w:rPr>
                <w:rFonts w:ascii="Arial Narrow" w:hAnsi="Arial Narrow" w:cs="Arial"/>
                <w:sz w:val="20"/>
                <w:szCs w:val="20"/>
              </w:rPr>
              <w:t xml:space="preserve"> months and </w:t>
            </w:r>
            <w:r>
              <w:rPr>
                <w:rFonts w:ascii="Arial Narrow" w:hAnsi="Arial Narrow" w:cs="Arial"/>
                <w:sz w:val="20"/>
                <w:szCs w:val="20"/>
              </w:rPr>
              <w:t>6</w:t>
            </w:r>
            <w:r w:rsidRPr="006A69E6">
              <w:rPr>
                <w:rFonts w:ascii="Arial Narrow" w:hAnsi="Arial Narrow" w:cs="Arial"/>
                <w:sz w:val="20"/>
                <w:szCs w:val="20"/>
              </w:rPr>
              <w:t xml:space="preserve"> months period after cessation of treatment for female and male patients respectively, as according to the TGA approved Product Information.</w:t>
            </w:r>
          </w:p>
        </w:tc>
      </w:tr>
    </w:tbl>
    <w:p w:rsidR="00FB10B6" w:rsidRDefault="00FB10B6">
      <w:pPr>
        <w:spacing w:before="0" w:line="259" w:lineRule="auto"/>
        <w:jc w:val="left"/>
      </w:pPr>
      <w:r>
        <w:br w:type="page"/>
      </w:r>
    </w:p>
    <w:p w:rsidR="00FB10B6" w:rsidRPr="00FB10B6" w:rsidRDefault="00FB10B6" w:rsidP="00860DC8">
      <w:pPr>
        <w:pStyle w:val="ListParagraph"/>
        <w:numPr>
          <w:ilvl w:val="1"/>
          <w:numId w:val="3"/>
        </w:numPr>
        <w:spacing w:before="0" w:after="0"/>
        <w:contextualSpacing/>
      </w:pPr>
      <w:r w:rsidRPr="00FB10B6">
        <w:t xml:space="preserve">Amend existing </w:t>
      </w:r>
      <w:r w:rsidR="00463C36">
        <w:t>listing for vismodegib as follows</w:t>
      </w:r>
      <w:r w:rsidR="00741924">
        <w:t xml:space="preserve"> (additions are noted in italics</w:t>
      </w:r>
      <w:r w:rsidR="00770E1C">
        <w:t>)</w:t>
      </w:r>
      <w:r w:rsidRPr="00FB10B6">
        <w:t>:</w:t>
      </w:r>
    </w:p>
    <w:p w:rsidR="00FB10B6" w:rsidRPr="00FB10B6" w:rsidRDefault="00FB10B6" w:rsidP="00594438">
      <w:pPr>
        <w:widowControl w:val="0"/>
        <w:spacing w:after="0"/>
        <w:rPr>
          <w:rFonts w:cs="Arial"/>
          <w:bCs/>
          <w:snapToGrid w:val="0"/>
          <w:highlight w:val="yellow"/>
        </w:rPr>
      </w:pPr>
    </w:p>
    <w:tbl>
      <w:tblPr>
        <w:tblW w:w="9356" w:type="dxa"/>
        <w:tblInd w:w="-34" w:type="dxa"/>
        <w:tblLayout w:type="fixed"/>
        <w:tblLook w:val="0000" w:firstRow="0" w:lastRow="0" w:firstColumn="0" w:lastColumn="0" w:noHBand="0" w:noVBand="0"/>
      </w:tblPr>
      <w:tblGrid>
        <w:gridCol w:w="34"/>
        <w:gridCol w:w="2843"/>
        <w:gridCol w:w="1163"/>
        <w:gridCol w:w="709"/>
        <w:gridCol w:w="1063"/>
        <w:gridCol w:w="1949"/>
        <w:gridCol w:w="1515"/>
        <w:gridCol w:w="80"/>
      </w:tblGrid>
      <w:tr w:rsidR="00FB10B6" w:rsidRPr="00FB10B6" w:rsidTr="003F74EE">
        <w:trPr>
          <w:cantSplit/>
          <w:trHeight w:val="471"/>
        </w:trPr>
        <w:tc>
          <w:tcPr>
            <w:tcW w:w="4040" w:type="dxa"/>
            <w:gridSpan w:val="3"/>
            <w:tcBorders>
              <w:bottom w:val="single" w:sz="4" w:space="0" w:color="auto"/>
            </w:tcBorders>
          </w:tcPr>
          <w:p w:rsidR="00FB10B6" w:rsidRPr="00FB10B6" w:rsidRDefault="00FB10B6" w:rsidP="00FB10B6">
            <w:pPr>
              <w:keepNext/>
              <w:widowControl w:val="0"/>
              <w:spacing w:before="0" w:after="0"/>
              <w:ind w:left="-108"/>
              <w:rPr>
                <w:rFonts w:ascii="Arial Narrow" w:eastAsia="Times New Roman" w:hAnsi="Arial Narrow" w:cs="Arial"/>
                <w:snapToGrid w:val="0"/>
                <w:sz w:val="20"/>
                <w:szCs w:val="20"/>
              </w:rPr>
            </w:pPr>
            <w:r w:rsidRPr="00FB10B6">
              <w:rPr>
                <w:rFonts w:ascii="Arial Narrow" w:eastAsia="Times New Roman" w:hAnsi="Arial Narrow" w:cs="Arial"/>
                <w:snapToGrid w:val="0"/>
                <w:sz w:val="20"/>
                <w:szCs w:val="20"/>
              </w:rPr>
              <w:t>Name, Restriction,</w:t>
            </w:r>
          </w:p>
          <w:p w:rsidR="00FB10B6" w:rsidRPr="00FB10B6" w:rsidRDefault="00FB10B6" w:rsidP="00FB10B6">
            <w:pPr>
              <w:keepNext/>
              <w:widowControl w:val="0"/>
              <w:spacing w:before="0" w:after="0"/>
              <w:ind w:left="-108"/>
              <w:rPr>
                <w:rFonts w:ascii="Arial Narrow" w:eastAsia="Times New Roman" w:hAnsi="Arial Narrow" w:cs="Arial"/>
                <w:snapToGrid w:val="0"/>
                <w:sz w:val="20"/>
                <w:szCs w:val="20"/>
              </w:rPr>
            </w:pPr>
            <w:r w:rsidRPr="00FB10B6">
              <w:rPr>
                <w:rFonts w:ascii="Arial Narrow" w:eastAsia="Times New Roman" w:hAnsi="Arial Narrow" w:cs="Arial"/>
                <w:snapToGrid w:val="0"/>
                <w:sz w:val="20"/>
                <w:szCs w:val="20"/>
              </w:rPr>
              <w:t>Manner of administration and form</w:t>
            </w:r>
          </w:p>
        </w:tc>
        <w:tc>
          <w:tcPr>
            <w:tcW w:w="709" w:type="dxa"/>
            <w:tcBorders>
              <w:bottom w:val="single" w:sz="4" w:space="0" w:color="auto"/>
            </w:tcBorders>
          </w:tcPr>
          <w:p w:rsidR="00FB10B6" w:rsidRPr="00FB10B6" w:rsidRDefault="00FB10B6" w:rsidP="00FB10B6">
            <w:pPr>
              <w:keepNext/>
              <w:widowControl w:val="0"/>
              <w:spacing w:before="0" w:after="0"/>
              <w:ind w:left="-108"/>
              <w:rPr>
                <w:rFonts w:ascii="Arial Narrow" w:eastAsia="Times New Roman" w:hAnsi="Arial Narrow" w:cs="Arial"/>
                <w:snapToGrid w:val="0"/>
                <w:sz w:val="20"/>
                <w:szCs w:val="20"/>
              </w:rPr>
            </w:pPr>
            <w:r w:rsidRPr="00FB10B6">
              <w:rPr>
                <w:rFonts w:ascii="Arial Narrow" w:eastAsia="Times New Roman" w:hAnsi="Arial Narrow" w:cs="Arial"/>
                <w:snapToGrid w:val="0"/>
                <w:sz w:val="20"/>
                <w:szCs w:val="20"/>
              </w:rPr>
              <w:t>Max.</w:t>
            </w:r>
          </w:p>
          <w:p w:rsidR="00FB10B6" w:rsidRPr="00FB10B6" w:rsidRDefault="00FB10B6" w:rsidP="00FB10B6">
            <w:pPr>
              <w:keepNext/>
              <w:widowControl w:val="0"/>
              <w:spacing w:before="0" w:after="0"/>
              <w:ind w:left="-108"/>
              <w:rPr>
                <w:rFonts w:ascii="Arial Narrow" w:eastAsia="Times New Roman" w:hAnsi="Arial Narrow" w:cs="Arial"/>
                <w:snapToGrid w:val="0"/>
                <w:sz w:val="20"/>
                <w:szCs w:val="20"/>
              </w:rPr>
            </w:pPr>
            <w:r w:rsidRPr="00FB10B6">
              <w:rPr>
                <w:rFonts w:ascii="Arial Narrow" w:eastAsia="Times New Roman" w:hAnsi="Arial Narrow" w:cs="Arial"/>
                <w:snapToGrid w:val="0"/>
                <w:sz w:val="20"/>
                <w:szCs w:val="20"/>
              </w:rPr>
              <w:t>Qty</w:t>
            </w:r>
          </w:p>
        </w:tc>
        <w:tc>
          <w:tcPr>
            <w:tcW w:w="1063" w:type="dxa"/>
            <w:tcBorders>
              <w:bottom w:val="single" w:sz="4" w:space="0" w:color="auto"/>
            </w:tcBorders>
          </w:tcPr>
          <w:p w:rsidR="00FB10B6" w:rsidRPr="00FB10B6" w:rsidRDefault="00FB10B6" w:rsidP="00FB10B6">
            <w:pPr>
              <w:keepNext/>
              <w:widowControl w:val="0"/>
              <w:spacing w:before="0" w:after="0"/>
              <w:ind w:left="-108"/>
              <w:rPr>
                <w:rFonts w:ascii="Arial Narrow" w:eastAsia="Times New Roman" w:hAnsi="Arial Narrow" w:cs="Arial"/>
                <w:snapToGrid w:val="0"/>
                <w:sz w:val="20"/>
                <w:szCs w:val="20"/>
              </w:rPr>
            </w:pPr>
            <w:r w:rsidRPr="00FB10B6">
              <w:rPr>
                <w:rFonts w:ascii="Arial Narrow" w:eastAsia="Times New Roman" w:hAnsi="Arial Narrow" w:cs="Arial"/>
                <w:snapToGrid w:val="0"/>
                <w:sz w:val="20"/>
                <w:szCs w:val="20"/>
              </w:rPr>
              <w:t>№.of</w:t>
            </w:r>
          </w:p>
          <w:p w:rsidR="00FB10B6" w:rsidRPr="00FB10B6" w:rsidRDefault="00FB10B6" w:rsidP="00FB10B6">
            <w:pPr>
              <w:keepNext/>
              <w:widowControl w:val="0"/>
              <w:spacing w:before="0" w:after="0"/>
              <w:ind w:left="-108"/>
              <w:rPr>
                <w:rFonts w:ascii="Arial Narrow" w:eastAsia="Times New Roman" w:hAnsi="Arial Narrow" w:cs="Arial"/>
                <w:snapToGrid w:val="0"/>
                <w:sz w:val="20"/>
                <w:szCs w:val="20"/>
              </w:rPr>
            </w:pPr>
            <w:r w:rsidRPr="00FB10B6">
              <w:rPr>
                <w:rFonts w:ascii="Arial Narrow" w:eastAsia="Times New Roman" w:hAnsi="Arial Narrow" w:cs="Arial"/>
                <w:snapToGrid w:val="0"/>
                <w:sz w:val="20"/>
                <w:szCs w:val="20"/>
              </w:rPr>
              <w:t>Rpts</w:t>
            </w:r>
          </w:p>
        </w:tc>
        <w:tc>
          <w:tcPr>
            <w:tcW w:w="3544" w:type="dxa"/>
            <w:gridSpan w:val="3"/>
            <w:tcBorders>
              <w:bottom w:val="single" w:sz="4" w:space="0" w:color="auto"/>
            </w:tcBorders>
          </w:tcPr>
          <w:p w:rsidR="00FB10B6" w:rsidRPr="00FB10B6" w:rsidRDefault="00FB10B6" w:rsidP="00FB10B6">
            <w:pPr>
              <w:keepNext/>
              <w:widowControl w:val="0"/>
              <w:spacing w:before="0" w:after="0"/>
              <w:rPr>
                <w:rFonts w:ascii="Arial Narrow" w:eastAsia="Times New Roman" w:hAnsi="Arial Narrow" w:cs="Arial"/>
                <w:snapToGrid w:val="0"/>
                <w:sz w:val="20"/>
                <w:szCs w:val="20"/>
              </w:rPr>
            </w:pPr>
            <w:r w:rsidRPr="00FB10B6">
              <w:rPr>
                <w:rFonts w:ascii="Arial Narrow" w:eastAsia="Times New Roman" w:hAnsi="Arial Narrow" w:cs="Arial"/>
                <w:snapToGrid w:val="0"/>
                <w:sz w:val="20"/>
                <w:szCs w:val="20"/>
              </w:rPr>
              <w:t>Proprietary Name and Manufacturer</w:t>
            </w:r>
          </w:p>
        </w:tc>
      </w:tr>
      <w:tr w:rsidR="00FB10B6" w:rsidRPr="00FB10B6" w:rsidTr="003F74EE">
        <w:trPr>
          <w:cantSplit/>
          <w:trHeight w:val="577"/>
        </w:trPr>
        <w:tc>
          <w:tcPr>
            <w:tcW w:w="4040" w:type="dxa"/>
            <w:gridSpan w:val="3"/>
          </w:tcPr>
          <w:p w:rsidR="00FB10B6" w:rsidRPr="00FB10B6" w:rsidRDefault="00FB10B6" w:rsidP="00FB10B6">
            <w:pPr>
              <w:keepNext/>
              <w:widowControl w:val="0"/>
              <w:spacing w:before="0" w:after="0"/>
              <w:ind w:left="-108"/>
              <w:rPr>
                <w:rFonts w:ascii="Arial Narrow" w:eastAsia="Times New Roman" w:hAnsi="Arial Narrow" w:cs="Arial"/>
                <w:smallCaps/>
                <w:snapToGrid w:val="0"/>
                <w:sz w:val="20"/>
                <w:szCs w:val="20"/>
              </w:rPr>
            </w:pPr>
            <w:r w:rsidRPr="00FB10B6">
              <w:rPr>
                <w:rFonts w:ascii="Arial Narrow" w:eastAsia="Times New Roman" w:hAnsi="Arial Narrow" w:cs="Arial"/>
                <w:smallCaps/>
                <w:snapToGrid w:val="0"/>
                <w:sz w:val="20"/>
                <w:szCs w:val="20"/>
              </w:rPr>
              <w:t>Vismodegib</w:t>
            </w:r>
          </w:p>
          <w:p w:rsidR="00FB10B6" w:rsidRPr="00FB10B6" w:rsidRDefault="00FB10B6" w:rsidP="00FB10B6">
            <w:pPr>
              <w:keepNext/>
              <w:widowControl w:val="0"/>
              <w:spacing w:before="0" w:after="0"/>
              <w:ind w:left="-108"/>
              <w:rPr>
                <w:rFonts w:ascii="Arial Narrow" w:eastAsia="Times New Roman" w:hAnsi="Arial Narrow" w:cs="Arial"/>
                <w:snapToGrid w:val="0"/>
                <w:sz w:val="20"/>
                <w:szCs w:val="20"/>
              </w:rPr>
            </w:pPr>
            <w:r w:rsidRPr="00FB10B6">
              <w:rPr>
                <w:rFonts w:ascii="Arial Narrow" w:eastAsia="Times New Roman" w:hAnsi="Arial Narrow" w:cs="Arial"/>
                <w:smallCaps/>
                <w:snapToGrid w:val="0"/>
                <w:sz w:val="20"/>
                <w:szCs w:val="20"/>
              </w:rPr>
              <w:t>150 mg capsule, 28</w:t>
            </w:r>
          </w:p>
        </w:tc>
        <w:tc>
          <w:tcPr>
            <w:tcW w:w="709" w:type="dxa"/>
          </w:tcPr>
          <w:p w:rsidR="00FB10B6" w:rsidRPr="00FB10B6" w:rsidRDefault="00FB10B6" w:rsidP="00FB10B6">
            <w:pPr>
              <w:keepNext/>
              <w:widowControl w:val="0"/>
              <w:spacing w:before="0" w:after="0"/>
              <w:ind w:left="-108"/>
              <w:rPr>
                <w:rFonts w:ascii="Arial Narrow" w:eastAsia="Times New Roman" w:hAnsi="Arial Narrow" w:cs="Arial"/>
                <w:snapToGrid w:val="0"/>
                <w:sz w:val="20"/>
                <w:szCs w:val="20"/>
              </w:rPr>
            </w:pPr>
          </w:p>
          <w:p w:rsidR="00FB10B6" w:rsidRPr="00FB10B6" w:rsidRDefault="00FB10B6" w:rsidP="00FB10B6">
            <w:pPr>
              <w:keepNext/>
              <w:widowControl w:val="0"/>
              <w:spacing w:before="0" w:after="0"/>
              <w:ind w:left="-108"/>
              <w:rPr>
                <w:rFonts w:ascii="Arial Narrow" w:eastAsia="Times New Roman" w:hAnsi="Arial Narrow" w:cs="Arial"/>
                <w:snapToGrid w:val="0"/>
                <w:sz w:val="20"/>
                <w:szCs w:val="20"/>
              </w:rPr>
            </w:pPr>
            <w:r w:rsidRPr="00FB10B6">
              <w:rPr>
                <w:rFonts w:ascii="Arial Narrow" w:eastAsia="Times New Roman" w:hAnsi="Arial Narrow" w:cs="Arial"/>
                <w:snapToGrid w:val="0"/>
                <w:sz w:val="20"/>
                <w:szCs w:val="20"/>
              </w:rPr>
              <w:t>1</w:t>
            </w:r>
          </w:p>
        </w:tc>
        <w:tc>
          <w:tcPr>
            <w:tcW w:w="1063" w:type="dxa"/>
          </w:tcPr>
          <w:p w:rsidR="00FB10B6" w:rsidRPr="00FB10B6" w:rsidRDefault="00FB10B6" w:rsidP="00FB10B6">
            <w:pPr>
              <w:keepNext/>
              <w:widowControl w:val="0"/>
              <w:spacing w:before="0" w:after="0"/>
              <w:ind w:left="-108"/>
              <w:rPr>
                <w:rFonts w:ascii="Arial Narrow" w:eastAsia="Times New Roman" w:hAnsi="Arial Narrow" w:cs="Arial"/>
                <w:snapToGrid w:val="0"/>
                <w:sz w:val="20"/>
                <w:szCs w:val="20"/>
              </w:rPr>
            </w:pPr>
          </w:p>
          <w:p w:rsidR="00FB10B6" w:rsidRPr="00FB10B6" w:rsidRDefault="00FB10B6" w:rsidP="00FB10B6">
            <w:pPr>
              <w:keepNext/>
              <w:widowControl w:val="0"/>
              <w:spacing w:before="0" w:after="0"/>
              <w:ind w:left="-108"/>
              <w:rPr>
                <w:rFonts w:ascii="Arial Narrow" w:eastAsia="Times New Roman" w:hAnsi="Arial Narrow" w:cs="Arial"/>
                <w:snapToGrid w:val="0"/>
                <w:sz w:val="20"/>
                <w:szCs w:val="20"/>
              </w:rPr>
            </w:pPr>
            <w:r w:rsidRPr="00FB10B6">
              <w:rPr>
                <w:rFonts w:ascii="Arial Narrow" w:eastAsia="Times New Roman" w:hAnsi="Arial Narrow" w:cs="Arial"/>
                <w:snapToGrid w:val="0"/>
                <w:sz w:val="20"/>
                <w:szCs w:val="20"/>
              </w:rPr>
              <w:t>2</w:t>
            </w:r>
          </w:p>
        </w:tc>
        <w:tc>
          <w:tcPr>
            <w:tcW w:w="1949" w:type="dxa"/>
          </w:tcPr>
          <w:p w:rsidR="00FB10B6" w:rsidRPr="00FB10B6" w:rsidRDefault="00FB10B6" w:rsidP="00FB10B6">
            <w:pPr>
              <w:keepNext/>
              <w:widowControl w:val="0"/>
              <w:spacing w:before="0" w:after="0"/>
              <w:rPr>
                <w:rFonts w:ascii="Arial Narrow" w:eastAsia="Times New Roman" w:hAnsi="Arial Narrow" w:cs="Arial"/>
                <w:snapToGrid w:val="0"/>
                <w:sz w:val="20"/>
                <w:szCs w:val="20"/>
              </w:rPr>
            </w:pPr>
            <w:r w:rsidRPr="00FB10B6">
              <w:rPr>
                <w:rFonts w:ascii="Arial Narrow" w:eastAsia="Times New Roman" w:hAnsi="Arial Narrow" w:cs="Arial"/>
                <w:snapToGrid w:val="0"/>
                <w:sz w:val="20"/>
                <w:szCs w:val="20"/>
              </w:rPr>
              <w:t>ERIVEDGE</w:t>
            </w:r>
          </w:p>
        </w:tc>
        <w:tc>
          <w:tcPr>
            <w:tcW w:w="1595" w:type="dxa"/>
            <w:gridSpan w:val="2"/>
          </w:tcPr>
          <w:p w:rsidR="00FB10B6" w:rsidRPr="00FB10B6" w:rsidRDefault="00FB10B6" w:rsidP="00FB10B6">
            <w:pPr>
              <w:keepNext/>
              <w:widowControl w:val="0"/>
              <w:spacing w:before="0" w:after="0"/>
              <w:jc w:val="left"/>
              <w:rPr>
                <w:rFonts w:ascii="Arial Narrow" w:eastAsia="Times New Roman" w:hAnsi="Arial Narrow" w:cs="Arial"/>
                <w:snapToGrid w:val="0"/>
                <w:sz w:val="20"/>
                <w:szCs w:val="20"/>
              </w:rPr>
            </w:pPr>
            <w:r w:rsidRPr="00FB10B6">
              <w:rPr>
                <w:rFonts w:ascii="Arial Narrow" w:eastAsia="Times New Roman" w:hAnsi="Arial Narrow" w:cs="Arial"/>
                <w:snapToGrid w:val="0"/>
                <w:sz w:val="20"/>
                <w:szCs w:val="20"/>
              </w:rPr>
              <w:t>Roche Products Pty Limited</w:t>
            </w:r>
          </w:p>
        </w:tc>
      </w:tr>
      <w:tr w:rsidR="003F74EE" w:rsidRPr="00260CE3" w:rsidTr="003F74EE">
        <w:trPr>
          <w:gridBefore w:val="1"/>
          <w:gridAfter w:val="1"/>
          <w:wBefore w:w="34" w:type="dxa"/>
          <w:wAfter w:w="80" w:type="dxa"/>
          <w:cantSplit/>
          <w:trHeight w:val="360"/>
        </w:trPr>
        <w:tc>
          <w:tcPr>
            <w:tcW w:w="2843" w:type="dxa"/>
            <w:tcBorders>
              <w:top w:val="single" w:sz="4" w:space="0" w:color="auto"/>
              <w:left w:val="single" w:sz="4" w:space="0" w:color="auto"/>
              <w:bottom w:val="single" w:sz="4" w:space="0" w:color="auto"/>
              <w:right w:val="single" w:sz="4" w:space="0" w:color="auto"/>
            </w:tcBorders>
          </w:tcPr>
          <w:p w:rsidR="003F74EE" w:rsidRPr="00260CE3" w:rsidRDefault="003F74EE" w:rsidP="00E871B8">
            <w:pPr>
              <w:spacing w:before="0" w:after="0"/>
              <w:rPr>
                <w:rFonts w:ascii="Arial Narrow" w:hAnsi="Arial Narrow" w:cs="Arial"/>
                <w:b/>
                <w:sz w:val="20"/>
                <w:szCs w:val="20"/>
              </w:rPr>
            </w:pPr>
            <w:r w:rsidRPr="00260CE3">
              <w:rPr>
                <w:rFonts w:ascii="Arial Narrow" w:hAnsi="Arial Narrow" w:cs="Arial"/>
                <w:b/>
                <w:sz w:val="20"/>
                <w:szCs w:val="20"/>
              </w:rPr>
              <w:t xml:space="preserve">Category / </w:t>
            </w:r>
          </w:p>
          <w:p w:rsidR="003F74EE" w:rsidRPr="00260CE3" w:rsidRDefault="003F74EE" w:rsidP="00E871B8">
            <w:pPr>
              <w:spacing w:before="0" w:after="0"/>
              <w:rPr>
                <w:rFonts w:ascii="Arial Narrow" w:hAnsi="Arial Narrow" w:cs="Arial"/>
                <w:b/>
                <w:sz w:val="20"/>
                <w:szCs w:val="20"/>
              </w:rPr>
            </w:pPr>
            <w:r w:rsidRPr="00260CE3">
              <w:rPr>
                <w:rFonts w:ascii="Arial Narrow" w:hAnsi="Arial Narrow" w:cs="Arial"/>
                <w:b/>
                <w:sz w:val="20"/>
                <w:szCs w:val="20"/>
              </w:rPr>
              <w:t>Program</w:t>
            </w:r>
          </w:p>
        </w:tc>
        <w:tc>
          <w:tcPr>
            <w:tcW w:w="6399" w:type="dxa"/>
            <w:gridSpan w:val="5"/>
            <w:tcBorders>
              <w:top w:val="single" w:sz="4" w:space="0" w:color="auto"/>
              <w:left w:val="single" w:sz="4" w:space="0" w:color="auto"/>
              <w:bottom w:val="single" w:sz="4" w:space="0" w:color="auto"/>
              <w:right w:val="single" w:sz="4" w:space="0" w:color="auto"/>
            </w:tcBorders>
          </w:tcPr>
          <w:p w:rsidR="003F74EE" w:rsidRPr="00260CE3" w:rsidRDefault="003F74EE" w:rsidP="00E871B8">
            <w:pPr>
              <w:spacing w:before="0" w:after="0"/>
              <w:rPr>
                <w:rFonts w:ascii="Arial Narrow" w:hAnsi="Arial Narrow" w:cs="Arial"/>
                <w:sz w:val="20"/>
                <w:szCs w:val="20"/>
              </w:rPr>
            </w:pPr>
            <w:r w:rsidRPr="00260CE3">
              <w:rPr>
                <w:rFonts w:ascii="Arial Narrow" w:hAnsi="Arial Narrow" w:cs="Arial"/>
                <w:sz w:val="20"/>
                <w:szCs w:val="20"/>
              </w:rPr>
              <w:t>GENERAL – General Schedule (Code GE)</w:t>
            </w:r>
          </w:p>
          <w:p w:rsidR="003F74EE" w:rsidRPr="00260CE3" w:rsidRDefault="003F74EE" w:rsidP="00E871B8">
            <w:pPr>
              <w:spacing w:before="0" w:after="0"/>
              <w:rPr>
                <w:rFonts w:ascii="Arial Narrow" w:hAnsi="Arial Narrow" w:cs="Arial"/>
                <w:sz w:val="20"/>
                <w:szCs w:val="20"/>
              </w:rPr>
            </w:pPr>
          </w:p>
        </w:tc>
      </w:tr>
      <w:tr w:rsidR="003F74EE" w:rsidRPr="00260CE3" w:rsidTr="003F74EE">
        <w:trPr>
          <w:gridBefore w:val="1"/>
          <w:gridAfter w:val="1"/>
          <w:wBefore w:w="34" w:type="dxa"/>
          <w:wAfter w:w="80" w:type="dxa"/>
          <w:cantSplit/>
          <w:trHeight w:val="360"/>
        </w:trPr>
        <w:tc>
          <w:tcPr>
            <w:tcW w:w="2843" w:type="dxa"/>
            <w:tcBorders>
              <w:top w:val="single" w:sz="4" w:space="0" w:color="auto"/>
              <w:left w:val="single" w:sz="4" w:space="0" w:color="auto"/>
              <w:bottom w:val="single" w:sz="4" w:space="0" w:color="auto"/>
              <w:right w:val="single" w:sz="4" w:space="0" w:color="auto"/>
            </w:tcBorders>
          </w:tcPr>
          <w:p w:rsidR="003F74EE" w:rsidRPr="00260CE3" w:rsidRDefault="003F74EE" w:rsidP="00E871B8">
            <w:pPr>
              <w:spacing w:before="0" w:after="0"/>
              <w:rPr>
                <w:rFonts w:ascii="Arial Narrow" w:hAnsi="Arial Narrow" w:cs="Arial"/>
                <w:b/>
                <w:sz w:val="20"/>
                <w:szCs w:val="20"/>
              </w:rPr>
            </w:pPr>
            <w:r w:rsidRPr="00260CE3">
              <w:rPr>
                <w:rFonts w:ascii="Arial Narrow" w:hAnsi="Arial Narrow" w:cs="Arial"/>
                <w:b/>
                <w:sz w:val="20"/>
                <w:szCs w:val="20"/>
              </w:rPr>
              <w:t>Prescriber type:</w:t>
            </w:r>
          </w:p>
        </w:tc>
        <w:tc>
          <w:tcPr>
            <w:tcW w:w="6399" w:type="dxa"/>
            <w:gridSpan w:val="5"/>
            <w:tcBorders>
              <w:top w:val="single" w:sz="4" w:space="0" w:color="auto"/>
              <w:left w:val="single" w:sz="4" w:space="0" w:color="auto"/>
              <w:bottom w:val="single" w:sz="4" w:space="0" w:color="auto"/>
              <w:right w:val="single" w:sz="4" w:space="0" w:color="auto"/>
            </w:tcBorders>
          </w:tcPr>
          <w:p w:rsidR="003F74EE" w:rsidRPr="00260CE3" w:rsidRDefault="003F74EE" w:rsidP="00E871B8">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3F74EE" w:rsidRPr="00260CE3" w:rsidRDefault="003F74EE" w:rsidP="00E871B8">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3F74EE" w:rsidRPr="00D83816" w:rsidTr="003F74EE">
        <w:trPr>
          <w:gridBefore w:val="1"/>
          <w:gridAfter w:val="1"/>
          <w:wBefore w:w="34" w:type="dxa"/>
          <w:wAfter w:w="80" w:type="dxa"/>
          <w:cantSplit/>
          <w:trHeight w:val="360"/>
        </w:trPr>
        <w:tc>
          <w:tcPr>
            <w:tcW w:w="2843" w:type="dxa"/>
            <w:tcBorders>
              <w:top w:val="single" w:sz="4" w:space="0" w:color="auto"/>
              <w:left w:val="single" w:sz="4" w:space="0" w:color="auto"/>
              <w:bottom w:val="single" w:sz="4" w:space="0" w:color="auto"/>
              <w:right w:val="single" w:sz="4" w:space="0" w:color="auto"/>
            </w:tcBorders>
          </w:tcPr>
          <w:p w:rsidR="003F74EE" w:rsidRPr="00260CE3" w:rsidRDefault="003F74EE" w:rsidP="00E871B8">
            <w:pPr>
              <w:spacing w:before="0" w:after="0"/>
              <w:rPr>
                <w:rFonts w:ascii="Arial Narrow" w:hAnsi="Arial Narrow" w:cs="Arial"/>
                <w:b/>
                <w:sz w:val="20"/>
                <w:szCs w:val="20"/>
              </w:rPr>
            </w:pPr>
            <w:r w:rsidRPr="00260CE3">
              <w:rPr>
                <w:rFonts w:ascii="Arial Narrow" w:hAnsi="Arial Narrow" w:cs="Arial"/>
                <w:b/>
                <w:sz w:val="20"/>
                <w:szCs w:val="20"/>
              </w:rPr>
              <w:t>Severity:</w:t>
            </w:r>
          </w:p>
        </w:tc>
        <w:tc>
          <w:tcPr>
            <w:tcW w:w="6399" w:type="dxa"/>
            <w:gridSpan w:val="5"/>
            <w:tcBorders>
              <w:top w:val="single" w:sz="4" w:space="0" w:color="auto"/>
              <w:left w:val="single" w:sz="4" w:space="0" w:color="auto"/>
              <w:bottom w:val="single" w:sz="4" w:space="0" w:color="auto"/>
              <w:right w:val="single" w:sz="4" w:space="0" w:color="auto"/>
            </w:tcBorders>
          </w:tcPr>
          <w:p w:rsidR="003F74EE" w:rsidRPr="00D83816" w:rsidRDefault="003F74EE" w:rsidP="00E871B8">
            <w:pPr>
              <w:spacing w:before="0" w:after="0"/>
              <w:rPr>
                <w:rFonts w:ascii="Arial Narrow" w:hAnsi="Arial Narrow" w:cs="Arial"/>
                <w:sz w:val="20"/>
                <w:szCs w:val="20"/>
              </w:rPr>
            </w:pPr>
            <w:r w:rsidRPr="00D83816">
              <w:rPr>
                <w:rFonts w:ascii="Arial Narrow" w:hAnsi="Arial Narrow" w:cs="Calibri"/>
                <w:sz w:val="20"/>
                <w:szCs w:val="20"/>
              </w:rPr>
              <w:t>Metastatic or locally advanced</w:t>
            </w:r>
          </w:p>
        </w:tc>
      </w:tr>
      <w:tr w:rsidR="003F74EE" w:rsidRPr="00D83816" w:rsidTr="003F74EE">
        <w:trPr>
          <w:gridBefore w:val="1"/>
          <w:gridAfter w:val="1"/>
          <w:wBefore w:w="34" w:type="dxa"/>
          <w:wAfter w:w="80" w:type="dxa"/>
          <w:cantSplit/>
          <w:trHeight w:val="360"/>
        </w:trPr>
        <w:tc>
          <w:tcPr>
            <w:tcW w:w="2843" w:type="dxa"/>
            <w:tcBorders>
              <w:top w:val="single" w:sz="4" w:space="0" w:color="auto"/>
              <w:left w:val="single" w:sz="4" w:space="0" w:color="auto"/>
              <w:bottom w:val="single" w:sz="4" w:space="0" w:color="auto"/>
              <w:right w:val="single" w:sz="4" w:space="0" w:color="auto"/>
            </w:tcBorders>
          </w:tcPr>
          <w:p w:rsidR="003F74EE" w:rsidRPr="00260CE3" w:rsidRDefault="003F74EE" w:rsidP="00E871B8">
            <w:pPr>
              <w:spacing w:before="0" w:after="0"/>
              <w:rPr>
                <w:rFonts w:ascii="Arial Narrow" w:hAnsi="Arial Narrow" w:cs="Arial"/>
                <w:b/>
                <w:sz w:val="20"/>
                <w:szCs w:val="20"/>
              </w:rPr>
            </w:pPr>
            <w:r w:rsidRPr="00260CE3">
              <w:rPr>
                <w:rFonts w:ascii="Arial Narrow" w:hAnsi="Arial Narrow" w:cs="Arial"/>
                <w:b/>
                <w:sz w:val="20"/>
                <w:szCs w:val="20"/>
              </w:rPr>
              <w:t>Condition:</w:t>
            </w:r>
          </w:p>
        </w:tc>
        <w:tc>
          <w:tcPr>
            <w:tcW w:w="6399" w:type="dxa"/>
            <w:gridSpan w:val="5"/>
            <w:tcBorders>
              <w:top w:val="single" w:sz="4" w:space="0" w:color="auto"/>
              <w:left w:val="single" w:sz="4" w:space="0" w:color="auto"/>
              <w:bottom w:val="single" w:sz="4" w:space="0" w:color="auto"/>
              <w:right w:val="single" w:sz="4" w:space="0" w:color="auto"/>
            </w:tcBorders>
          </w:tcPr>
          <w:p w:rsidR="003F74EE" w:rsidRPr="00D83816" w:rsidRDefault="003F74EE" w:rsidP="00E871B8">
            <w:pPr>
              <w:spacing w:before="0" w:after="0"/>
              <w:rPr>
                <w:rFonts w:ascii="Arial Narrow" w:hAnsi="Arial Narrow"/>
                <w:sz w:val="20"/>
                <w:szCs w:val="20"/>
              </w:rPr>
            </w:pPr>
            <w:r w:rsidRPr="00D83816">
              <w:rPr>
                <w:rFonts w:ascii="Arial Narrow" w:hAnsi="Arial Narrow"/>
                <w:sz w:val="20"/>
                <w:szCs w:val="20"/>
              </w:rPr>
              <w:t xml:space="preserve">Basal cell carcinoma </w:t>
            </w:r>
          </w:p>
        </w:tc>
      </w:tr>
      <w:tr w:rsidR="003F74EE" w:rsidRPr="00D83816" w:rsidTr="003F74EE">
        <w:trPr>
          <w:gridBefore w:val="1"/>
          <w:gridAfter w:val="1"/>
          <w:wBefore w:w="34" w:type="dxa"/>
          <w:wAfter w:w="80" w:type="dxa"/>
          <w:cantSplit/>
          <w:trHeight w:val="360"/>
        </w:trPr>
        <w:tc>
          <w:tcPr>
            <w:tcW w:w="2843" w:type="dxa"/>
            <w:tcBorders>
              <w:top w:val="single" w:sz="4" w:space="0" w:color="auto"/>
              <w:left w:val="single" w:sz="4" w:space="0" w:color="auto"/>
              <w:bottom w:val="single" w:sz="4" w:space="0" w:color="auto"/>
              <w:right w:val="single" w:sz="4" w:space="0" w:color="auto"/>
            </w:tcBorders>
          </w:tcPr>
          <w:p w:rsidR="003F74EE" w:rsidRPr="00D83816" w:rsidRDefault="003F74EE" w:rsidP="00E871B8">
            <w:pPr>
              <w:spacing w:before="0" w:after="0"/>
              <w:rPr>
                <w:rFonts w:ascii="Arial Narrow" w:hAnsi="Arial Narrow" w:cs="Arial"/>
                <w:b/>
                <w:sz w:val="20"/>
                <w:szCs w:val="20"/>
              </w:rPr>
            </w:pPr>
            <w:r w:rsidRPr="00260CE3">
              <w:rPr>
                <w:rFonts w:ascii="Arial Narrow" w:hAnsi="Arial Narrow" w:cs="Arial"/>
                <w:b/>
                <w:sz w:val="20"/>
                <w:szCs w:val="20"/>
              </w:rPr>
              <w:t>PBS Indication:</w:t>
            </w:r>
          </w:p>
        </w:tc>
        <w:tc>
          <w:tcPr>
            <w:tcW w:w="6399" w:type="dxa"/>
            <w:gridSpan w:val="5"/>
            <w:tcBorders>
              <w:top w:val="single" w:sz="4" w:space="0" w:color="auto"/>
              <w:left w:val="single" w:sz="4" w:space="0" w:color="auto"/>
              <w:bottom w:val="single" w:sz="4" w:space="0" w:color="auto"/>
              <w:right w:val="single" w:sz="4" w:space="0" w:color="auto"/>
            </w:tcBorders>
          </w:tcPr>
          <w:p w:rsidR="003F74EE" w:rsidRPr="00D83816" w:rsidRDefault="003F74EE" w:rsidP="00E871B8">
            <w:pPr>
              <w:spacing w:before="0" w:after="0"/>
              <w:rPr>
                <w:rFonts w:ascii="Arial Narrow" w:hAnsi="Arial Narrow"/>
                <w:sz w:val="20"/>
                <w:szCs w:val="20"/>
              </w:rPr>
            </w:pPr>
            <w:r w:rsidRPr="00D83816">
              <w:rPr>
                <w:rFonts w:ascii="Arial Narrow" w:hAnsi="Arial Narrow"/>
                <w:sz w:val="20"/>
                <w:szCs w:val="20"/>
              </w:rPr>
              <w:t xml:space="preserve">Metastatic or locally advanced basal cell carcinoma </w:t>
            </w:r>
          </w:p>
        </w:tc>
      </w:tr>
      <w:tr w:rsidR="003F74EE" w:rsidRPr="00D83816" w:rsidTr="003F74EE">
        <w:trPr>
          <w:gridBefore w:val="1"/>
          <w:gridAfter w:val="1"/>
          <w:wBefore w:w="34" w:type="dxa"/>
          <w:wAfter w:w="80" w:type="dxa"/>
          <w:cantSplit/>
          <w:trHeight w:val="360"/>
        </w:trPr>
        <w:tc>
          <w:tcPr>
            <w:tcW w:w="2843" w:type="dxa"/>
            <w:tcBorders>
              <w:top w:val="single" w:sz="4" w:space="0" w:color="auto"/>
              <w:left w:val="single" w:sz="4" w:space="0" w:color="auto"/>
              <w:bottom w:val="single" w:sz="4" w:space="0" w:color="auto"/>
              <w:right w:val="single" w:sz="4" w:space="0" w:color="auto"/>
            </w:tcBorders>
          </w:tcPr>
          <w:p w:rsidR="003F74EE" w:rsidRPr="00D83816" w:rsidRDefault="003F74EE" w:rsidP="00E871B8">
            <w:pPr>
              <w:spacing w:before="0" w:after="0"/>
              <w:rPr>
                <w:rFonts w:ascii="Arial Narrow" w:hAnsi="Arial Narrow" w:cs="Arial"/>
                <w:b/>
                <w:sz w:val="20"/>
                <w:szCs w:val="20"/>
              </w:rPr>
            </w:pPr>
            <w:r w:rsidRPr="00260CE3">
              <w:rPr>
                <w:rFonts w:ascii="Arial Narrow" w:hAnsi="Arial Narrow" w:cs="Arial"/>
                <w:b/>
                <w:sz w:val="20"/>
                <w:szCs w:val="20"/>
              </w:rPr>
              <w:t>Treatment phase:</w:t>
            </w:r>
          </w:p>
        </w:tc>
        <w:tc>
          <w:tcPr>
            <w:tcW w:w="6399" w:type="dxa"/>
            <w:gridSpan w:val="5"/>
            <w:tcBorders>
              <w:top w:val="single" w:sz="4" w:space="0" w:color="auto"/>
              <w:left w:val="single" w:sz="4" w:space="0" w:color="auto"/>
              <w:bottom w:val="single" w:sz="4" w:space="0" w:color="auto"/>
              <w:right w:val="single" w:sz="4" w:space="0" w:color="auto"/>
            </w:tcBorders>
          </w:tcPr>
          <w:p w:rsidR="003F74EE" w:rsidRPr="00D83816" w:rsidRDefault="003F74EE" w:rsidP="00E871B8">
            <w:pPr>
              <w:spacing w:before="0" w:after="0"/>
              <w:rPr>
                <w:rFonts w:ascii="Arial Narrow" w:hAnsi="Arial Narrow"/>
                <w:sz w:val="20"/>
                <w:szCs w:val="20"/>
              </w:rPr>
            </w:pPr>
            <w:r w:rsidRPr="00D83816">
              <w:rPr>
                <w:rFonts w:ascii="Arial Narrow" w:hAnsi="Arial Narrow"/>
                <w:sz w:val="20"/>
                <w:szCs w:val="20"/>
              </w:rPr>
              <w:t>Initial treatment</w:t>
            </w:r>
          </w:p>
        </w:tc>
      </w:tr>
      <w:tr w:rsidR="003F74EE" w:rsidRPr="00260CE3" w:rsidTr="003F74EE">
        <w:trPr>
          <w:gridBefore w:val="1"/>
          <w:gridAfter w:val="1"/>
          <w:wBefore w:w="34" w:type="dxa"/>
          <w:wAfter w:w="80" w:type="dxa"/>
          <w:cantSplit/>
          <w:trHeight w:val="360"/>
        </w:trPr>
        <w:tc>
          <w:tcPr>
            <w:tcW w:w="2843" w:type="dxa"/>
            <w:tcBorders>
              <w:top w:val="single" w:sz="4" w:space="0" w:color="auto"/>
              <w:left w:val="single" w:sz="4" w:space="0" w:color="auto"/>
              <w:bottom w:val="single" w:sz="4" w:space="0" w:color="auto"/>
              <w:right w:val="single" w:sz="4" w:space="0" w:color="auto"/>
            </w:tcBorders>
          </w:tcPr>
          <w:p w:rsidR="003F74EE" w:rsidRPr="00D83816" w:rsidRDefault="003F74EE" w:rsidP="00E871B8">
            <w:pPr>
              <w:spacing w:before="0" w:after="0"/>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99" w:type="dxa"/>
            <w:gridSpan w:val="5"/>
            <w:tcBorders>
              <w:top w:val="single" w:sz="4" w:space="0" w:color="auto"/>
              <w:left w:val="single" w:sz="4" w:space="0" w:color="auto"/>
              <w:bottom w:val="single" w:sz="4" w:space="0" w:color="auto"/>
              <w:right w:val="single" w:sz="4" w:space="0" w:color="auto"/>
            </w:tcBorders>
          </w:tcPr>
          <w:p w:rsidR="003F74EE" w:rsidRPr="00106BCF" w:rsidRDefault="003F74EE" w:rsidP="00E871B8">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3F74EE" w:rsidRPr="00106BCF" w:rsidRDefault="003F74EE" w:rsidP="00E871B8">
            <w:pPr>
              <w:spacing w:before="0" w:after="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3F74EE" w:rsidRPr="00106BCF" w:rsidRDefault="003F74EE" w:rsidP="00E871B8">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3F74EE" w:rsidRPr="00106BCF" w:rsidRDefault="003F74EE" w:rsidP="00E871B8">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rsidR="003F74EE" w:rsidRPr="00106BCF" w:rsidRDefault="003F74EE" w:rsidP="00E871B8">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3F74EE" w:rsidRPr="00260CE3" w:rsidRDefault="003F74EE" w:rsidP="00E871B8">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46360">
              <w:rPr>
                <w:rFonts w:ascii="Arial Narrow" w:hAnsi="Arial Narrow" w:cs="Arial"/>
                <w:sz w:val="20"/>
                <w:szCs w:val="20"/>
              </w:rPr>
            </w:r>
            <w:r w:rsidR="0024636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3F74EE" w:rsidRPr="00260CE3" w:rsidTr="003F74EE">
        <w:trPr>
          <w:gridBefore w:val="1"/>
          <w:gridAfter w:val="1"/>
          <w:wBefore w:w="34" w:type="dxa"/>
          <w:wAfter w:w="80" w:type="dxa"/>
          <w:cantSplit/>
          <w:trHeight w:val="360"/>
        </w:trPr>
        <w:tc>
          <w:tcPr>
            <w:tcW w:w="2843" w:type="dxa"/>
            <w:tcBorders>
              <w:top w:val="single" w:sz="4" w:space="0" w:color="auto"/>
              <w:left w:val="single" w:sz="4" w:space="0" w:color="auto"/>
              <w:bottom w:val="single" w:sz="4" w:space="0" w:color="auto"/>
              <w:right w:val="single" w:sz="4" w:space="0" w:color="auto"/>
            </w:tcBorders>
          </w:tcPr>
          <w:p w:rsidR="003F74EE" w:rsidRPr="004549C2" w:rsidRDefault="003F74EE" w:rsidP="00E871B8">
            <w:pPr>
              <w:spacing w:before="0" w:after="0"/>
              <w:rPr>
                <w:rFonts w:ascii="Arial Narrow" w:hAnsi="Arial Narrow" w:cs="Arial"/>
                <w:b/>
                <w:sz w:val="20"/>
                <w:szCs w:val="20"/>
              </w:rPr>
            </w:pPr>
            <w:r w:rsidRPr="00260CE3">
              <w:rPr>
                <w:rFonts w:ascii="Arial Narrow" w:hAnsi="Arial Narrow" w:cs="Arial"/>
                <w:b/>
                <w:sz w:val="20"/>
                <w:szCs w:val="20"/>
              </w:rPr>
              <w:t>Clinical criteria:</w:t>
            </w:r>
          </w:p>
        </w:tc>
        <w:tc>
          <w:tcPr>
            <w:tcW w:w="6399" w:type="dxa"/>
            <w:gridSpan w:val="5"/>
            <w:tcBorders>
              <w:top w:val="single" w:sz="4" w:space="0" w:color="auto"/>
              <w:left w:val="single" w:sz="4" w:space="0" w:color="auto"/>
              <w:bottom w:val="single" w:sz="4" w:space="0" w:color="auto"/>
              <w:right w:val="single" w:sz="4" w:space="0" w:color="auto"/>
            </w:tcBorders>
          </w:tcPr>
          <w:p w:rsidR="003F74EE" w:rsidRPr="004549C2" w:rsidRDefault="003F74EE" w:rsidP="00E871B8">
            <w:pPr>
              <w:spacing w:before="0" w:after="0"/>
              <w:rPr>
                <w:rFonts w:ascii="Arial Narrow" w:hAnsi="Arial Narrow" w:cs="Arial"/>
                <w:sz w:val="20"/>
                <w:szCs w:val="20"/>
              </w:rPr>
            </w:pPr>
            <w:r w:rsidRPr="004549C2">
              <w:rPr>
                <w:rFonts w:ascii="Arial Narrow" w:hAnsi="Arial Narrow" w:cs="Arial"/>
                <w:sz w:val="20"/>
                <w:szCs w:val="20"/>
              </w:rPr>
              <w:t xml:space="preserve">The condition must be inappropriate for surgery, </w:t>
            </w:r>
          </w:p>
          <w:p w:rsidR="003F74EE" w:rsidRPr="004549C2" w:rsidRDefault="003F74EE" w:rsidP="00E871B8">
            <w:pPr>
              <w:spacing w:before="0" w:after="0"/>
              <w:rPr>
                <w:rFonts w:ascii="Arial Narrow" w:hAnsi="Arial Narrow" w:cs="Arial"/>
                <w:sz w:val="20"/>
                <w:szCs w:val="20"/>
              </w:rPr>
            </w:pPr>
          </w:p>
          <w:p w:rsidR="003F74EE" w:rsidRPr="004549C2" w:rsidRDefault="003F74EE" w:rsidP="00E871B8">
            <w:pPr>
              <w:spacing w:before="0" w:after="0"/>
              <w:rPr>
                <w:rFonts w:ascii="Arial Narrow" w:hAnsi="Arial Narrow" w:cs="Arial"/>
                <w:sz w:val="20"/>
                <w:szCs w:val="20"/>
              </w:rPr>
            </w:pPr>
            <w:r w:rsidRPr="004549C2">
              <w:rPr>
                <w:rFonts w:ascii="Arial Narrow" w:hAnsi="Arial Narrow" w:cs="Arial"/>
                <w:sz w:val="20"/>
                <w:szCs w:val="20"/>
              </w:rPr>
              <w:t>AND</w:t>
            </w:r>
          </w:p>
          <w:p w:rsidR="003F74EE" w:rsidRPr="004549C2" w:rsidRDefault="003F74EE" w:rsidP="00E871B8">
            <w:pPr>
              <w:spacing w:before="0" w:after="0"/>
              <w:rPr>
                <w:rFonts w:ascii="Arial Narrow" w:hAnsi="Arial Narrow" w:cs="Arial"/>
                <w:sz w:val="20"/>
                <w:szCs w:val="20"/>
              </w:rPr>
            </w:pPr>
          </w:p>
          <w:p w:rsidR="003F74EE" w:rsidRPr="004549C2" w:rsidRDefault="003F74EE" w:rsidP="00E871B8">
            <w:pPr>
              <w:spacing w:before="0" w:after="0"/>
              <w:rPr>
                <w:rFonts w:ascii="Arial Narrow" w:hAnsi="Arial Narrow" w:cs="Arial"/>
                <w:sz w:val="20"/>
                <w:szCs w:val="20"/>
              </w:rPr>
            </w:pPr>
            <w:r w:rsidRPr="004549C2">
              <w:rPr>
                <w:rFonts w:ascii="Arial Narrow" w:hAnsi="Arial Narrow" w:cs="Arial"/>
                <w:sz w:val="20"/>
                <w:szCs w:val="20"/>
              </w:rPr>
              <w:t xml:space="preserve">The condition must be inappropriate for curative radiotherapy, </w:t>
            </w:r>
          </w:p>
          <w:p w:rsidR="003F74EE" w:rsidRPr="004549C2" w:rsidRDefault="003F74EE" w:rsidP="00E871B8">
            <w:pPr>
              <w:spacing w:before="0" w:after="0"/>
              <w:rPr>
                <w:rFonts w:ascii="Arial Narrow" w:hAnsi="Arial Narrow" w:cs="Arial"/>
                <w:sz w:val="20"/>
                <w:szCs w:val="20"/>
              </w:rPr>
            </w:pPr>
          </w:p>
          <w:p w:rsidR="003F74EE" w:rsidRPr="00D14FA6" w:rsidRDefault="003F74EE" w:rsidP="00E871B8">
            <w:pPr>
              <w:spacing w:before="0" w:after="0"/>
              <w:rPr>
                <w:rFonts w:ascii="Arial Narrow" w:hAnsi="Arial Narrow" w:cs="Arial"/>
                <w:i/>
                <w:sz w:val="20"/>
                <w:szCs w:val="20"/>
              </w:rPr>
            </w:pPr>
            <w:r w:rsidRPr="00D14FA6">
              <w:rPr>
                <w:rFonts w:ascii="Arial Narrow" w:hAnsi="Arial Narrow" w:cs="Arial"/>
                <w:i/>
                <w:sz w:val="20"/>
                <w:szCs w:val="20"/>
              </w:rPr>
              <w:t>AND</w:t>
            </w:r>
          </w:p>
          <w:p w:rsidR="003F74EE" w:rsidRPr="00D14FA6" w:rsidRDefault="003F74EE" w:rsidP="00E871B8">
            <w:pPr>
              <w:spacing w:before="0" w:after="0"/>
              <w:rPr>
                <w:rFonts w:ascii="Arial Narrow" w:hAnsi="Arial Narrow" w:cs="Arial"/>
                <w:i/>
                <w:sz w:val="20"/>
                <w:szCs w:val="20"/>
              </w:rPr>
            </w:pPr>
          </w:p>
          <w:p w:rsidR="003F74EE" w:rsidRPr="00D14FA6" w:rsidRDefault="003F74EE" w:rsidP="00E871B8">
            <w:pPr>
              <w:tabs>
                <w:tab w:val="num" w:pos="720"/>
              </w:tabs>
              <w:spacing w:before="0" w:after="0"/>
              <w:rPr>
                <w:rFonts w:ascii="Arial Narrow" w:hAnsi="Arial Narrow" w:cs="Arial"/>
                <w:i/>
                <w:sz w:val="20"/>
                <w:szCs w:val="20"/>
                <w:lang w:val="en-GB"/>
              </w:rPr>
            </w:pPr>
            <w:r w:rsidRPr="00D14FA6">
              <w:rPr>
                <w:rFonts w:ascii="Arial Narrow" w:hAnsi="Arial Narrow" w:cs="Arial"/>
                <w:i/>
                <w:sz w:val="20"/>
                <w:szCs w:val="20"/>
                <w:lang w:val="en-GB"/>
              </w:rPr>
              <w:t xml:space="preserve">Patient must not have received previous PBS-subsidised treatment with another </w:t>
            </w:r>
            <w:r w:rsidRPr="00D14FA6">
              <w:rPr>
                <w:rFonts w:ascii="Arial Narrow" w:hAnsi="Arial Narrow" w:cs="Calibri"/>
                <w:bCs/>
                <w:i/>
                <w:sz w:val="20"/>
                <w:szCs w:val="20"/>
              </w:rPr>
              <w:t>hedgehog (Hh) inhibitor</w:t>
            </w:r>
            <w:r w:rsidR="00272382">
              <w:rPr>
                <w:rFonts w:ascii="Arial Narrow" w:hAnsi="Arial Narrow" w:cs="Calibri"/>
                <w:bCs/>
                <w:i/>
                <w:sz w:val="20"/>
                <w:szCs w:val="20"/>
              </w:rPr>
              <w:t xml:space="preserve"> for this condition</w:t>
            </w:r>
            <w:r w:rsidRPr="00D14FA6">
              <w:rPr>
                <w:rFonts w:ascii="Arial Narrow" w:hAnsi="Arial Narrow" w:cs="Arial"/>
                <w:i/>
                <w:sz w:val="20"/>
                <w:szCs w:val="20"/>
                <w:lang w:val="en-GB"/>
              </w:rPr>
              <w:t>; OR</w:t>
            </w:r>
          </w:p>
          <w:p w:rsidR="003F74EE" w:rsidRPr="00D14FA6" w:rsidRDefault="003F74EE" w:rsidP="00E871B8">
            <w:pPr>
              <w:tabs>
                <w:tab w:val="num" w:pos="720"/>
              </w:tabs>
              <w:spacing w:before="0" w:after="0"/>
              <w:rPr>
                <w:rFonts w:ascii="Arial Narrow" w:hAnsi="Arial Narrow" w:cs="Arial"/>
                <w:i/>
                <w:sz w:val="20"/>
                <w:szCs w:val="20"/>
                <w:lang w:val="en-GB"/>
              </w:rPr>
            </w:pPr>
          </w:p>
          <w:p w:rsidR="003F74EE" w:rsidRPr="00D14FA6" w:rsidRDefault="003F74EE" w:rsidP="00E871B8">
            <w:pPr>
              <w:tabs>
                <w:tab w:val="num" w:pos="720"/>
              </w:tabs>
              <w:spacing w:before="0" w:after="0"/>
              <w:rPr>
                <w:rFonts w:ascii="Arial Narrow" w:hAnsi="Arial Narrow" w:cs="Arial"/>
                <w:i/>
                <w:sz w:val="20"/>
                <w:szCs w:val="20"/>
                <w:lang w:val="en-GB"/>
              </w:rPr>
            </w:pPr>
            <w:r w:rsidRPr="00D14FA6">
              <w:rPr>
                <w:rFonts w:ascii="Arial Narrow" w:hAnsi="Arial Narrow" w:cs="Arial"/>
                <w:i/>
                <w:sz w:val="20"/>
                <w:szCs w:val="20"/>
                <w:lang w:val="en-GB"/>
              </w:rPr>
              <w:t xml:space="preserve">Patient must have developed intolerance to another </w:t>
            </w:r>
            <w:r w:rsidRPr="00D14FA6">
              <w:rPr>
                <w:rFonts w:ascii="Arial Narrow" w:hAnsi="Arial Narrow" w:cs="Calibri"/>
                <w:bCs/>
                <w:i/>
                <w:sz w:val="20"/>
                <w:szCs w:val="20"/>
              </w:rPr>
              <w:t>hedgehog (Hh) inhibitor</w:t>
            </w:r>
            <w:r w:rsidRPr="00D14FA6">
              <w:rPr>
                <w:rFonts w:ascii="Arial Narrow" w:hAnsi="Arial Narrow" w:cs="Arial"/>
                <w:i/>
                <w:sz w:val="20"/>
                <w:szCs w:val="20"/>
                <w:lang w:val="en-GB"/>
              </w:rPr>
              <w:t xml:space="preserve"> of a severity necessitating permanent treatment withdrawal,</w:t>
            </w:r>
          </w:p>
          <w:p w:rsidR="003F74EE" w:rsidRPr="00D14FA6" w:rsidRDefault="003F74EE" w:rsidP="00E871B8">
            <w:pPr>
              <w:spacing w:before="0" w:after="0"/>
              <w:rPr>
                <w:rFonts w:ascii="Arial Narrow" w:hAnsi="Arial Narrow" w:cs="Arial"/>
                <w:i/>
                <w:sz w:val="20"/>
                <w:szCs w:val="20"/>
              </w:rPr>
            </w:pPr>
          </w:p>
          <w:p w:rsidR="003F74EE" w:rsidRPr="004549C2" w:rsidRDefault="003F74EE" w:rsidP="00E871B8">
            <w:pPr>
              <w:spacing w:before="0" w:after="0"/>
              <w:rPr>
                <w:rFonts w:ascii="Arial Narrow" w:hAnsi="Arial Narrow" w:cs="Arial"/>
                <w:sz w:val="20"/>
                <w:szCs w:val="20"/>
              </w:rPr>
            </w:pPr>
            <w:r>
              <w:rPr>
                <w:rFonts w:ascii="Arial Narrow" w:hAnsi="Arial Narrow" w:cs="Arial"/>
                <w:sz w:val="20"/>
                <w:szCs w:val="20"/>
              </w:rPr>
              <w:t>AND</w:t>
            </w:r>
          </w:p>
          <w:p w:rsidR="003F74EE" w:rsidRPr="004549C2" w:rsidRDefault="003F74EE" w:rsidP="00E871B8">
            <w:pPr>
              <w:spacing w:before="0" w:after="0"/>
              <w:rPr>
                <w:rFonts w:ascii="Arial Narrow" w:hAnsi="Arial Narrow" w:cs="Arial"/>
                <w:sz w:val="20"/>
                <w:szCs w:val="20"/>
              </w:rPr>
            </w:pPr>
          </w:p>
          <w:p w:rsidR="003F74EE" w:rsidRPr="00260CE3" w:rsidRDefault="003F74EE" w:rsidP="00E871B8">
            <w:pPr>
              <w:spacing w:before="0" w:after="0"/>
              <w:rPr>
                <w:rFonts w:ascii="Arial Narrow" w:hAnsi="Arial Narrow" w:cs="Arial"/>
                <w:sz w:val="20"/>
                <w:szCs w:val="20"/>
              </w:rPr>
            </w:pPr>
            <w:r w:rsidRPr="004549C2">
              <w:rPr>
                <w:rFonts w:ascii="Arial Narrow" w:hAnsi="Arial Narrow" w:cs="Arial"/>
                <w:sz w:val="20"/>
                <w:szCs w:val="20"/>
              </w:rPr>
              <w:t>Patient must not receive more than 16 weeks of treatment under this restriction.</w:t>
            </w:r>
          </w:p>
        </w:tc>
      </w:tr>
      <w:tr w:rsidR="003F74EE" w:rsidRPr="00260CE3" w:rsidTr="003F74EE">
        <w:trPr>
          <w:gridBefore w:val="1"/>
          <w:gridAfter w:val="1"/>
          <w:wBefore w:w="34" w:type="dxa"/>
          <w:wAfter w:w="80" w:type="dxa"/>
          <w:cantSplit/>
          <w:trHeight w:val="360"/>
        </w:trPr>
        <w:tc>
          <w:tcPr>
            <w:tcW w:w="2843" w:type="dxa"/>
            <w:tcBorders>
              <w:top w:val="single" w:sz="4" w:space="0" w:color="auto"/>
              <w:left w:val="single" w:sz="4" w:space="0" w:color="auto"/>
              <w:bottom w:val="single" w:sz="4" w:space="0" w:color="auto"/>
              <w:right w:val="single" w:sz="4" w:space="0" w:color="auto"/>
            </w:tcBorders>
          </w:tcPr>
          <w:p w:rsidR="003F74EE" w:rsidRPr="00260CE3" w:rsidRDefault="003F74EE" w:rsidP="00E871B8">
            <w:pPr>
              <w:spacing w:before="0" w:after="0"/>
              <w:rPr>
                <w:rFonts w:ascii="Arial Narrow" w:hAnsi="Arial Narrow" w:cs="Arial"/>
                <w:sz w:val="20"/>
                <w:szCs w:val="20"/>
              </w:rPr>
            </w:pPr>
            <w:r w:rsidRPr="00260CE3">
              <w:rPr>
                <w:rFonts w:ascii="Arial Narrow" w:hAnsi="Arial Narrow" w:cs="Arial"/>
                <w:b/>
                <w:sz w:val="20"/>
                <w:szCs w:val="20"/>
              </w:rPr>
              <w:t>Prescriber Instructions</w:t>
            </w:r>
          </w:p>
        </w:tc>
        <w:tc>
          <w:tcPr>
            <w:tcW w:w="6399" w:type="dxa"/>
            <w:gridSpan w:val="5"/>
            <w:tcBorders>
              <w:top w:val="single" w:sz="4" w:space="0" w:color="auto"/>
              <w:left w:val="single" w:sz="4" w:space="0" w:color="auto"/>
              <w:bottom w:val="single" w:sz="4" w:space="0" w:color="auto"/>
              <w:right w:val="single" w:sz="4" w:space="0" w:color="auto"/>
            </w:tcBorders>
          </w:tcPr>
          <w:p w:rsidR="003F74EE" w:rsidRPr="0051046C" w:rsidRDefault="003F74EE" w:rsidP="00E871B8">
            <w:pPr>
              <w:spacing w:before="0" w:after="0"/>
              <w:rPr>
                <w:rFonts w:ascii="Arial Narrow" w:hAnsi="Arial Narrow" w:cs="Arial"/>
                <w:sz w:val="20"/>
                <w:szCs w:val="20"/>
              </w:rPr>
            </w:pPr>
            <w:r w:rsidRPr="0051046C">
              <w:rPr>
                <w:rFonts w:ascii="Arial Narrow" w:hAnsi="Arial Narrow" w:cs="Arial"/>
                <w:sz w:val="20"/>
                <w:szCs w:val="20"/>
              </w:rPr>
              <w:t>The authority application must be made in writing and must include:</w:t>
            </w:r>
          </w:p>
          <w:p w:rsidR="003F74EE" w:rsidRPr="0051046C" w:rsidRDefault="003F74EE" w:rsidP="00E871B8">
            <w:pPr>
              <w:spacing w:before="0" w:after="0"/>
              <w:rPr>
                <w:rFonts w:ascii="Arial Narrow" w:hAnsi="Arial Narrow" w:cs="Arial"/>
                <w:sz w:val="20"/>
                <w:szCs w:val="20"/>
              </w:rPr>
            </w:pPr>
            <w:r w:rsidRPr="0051046C">
              <w:rPr>
                <w:rFonts w:ascii="Arial Narrow" w:hAnsi="Arial Narrow" w:cs="Arial"/>
                <w:sz w:val="20"/>
                <w:szCs w:val="20"/>
              </w:rPr>
              <w:t>a)</w:t>
            </w:r>
            <w:r w:rsidRPr="0051046C">
              <w:rPr>
                <w:rFonts w:ascii="Arial Narrow" w:hAnsi="Arial Narrow" w:cs="Arial"/>
                <w:sz w:val="20"/>
                <w:szCs w:val="20"/>
              </w:rPr>
              <w:tab/>
              <w:t>A completed authority prescription form; and</w:t>
            </w:r>
          </w:p>
          <w:p w:rsidR="003F74EE" w:rsidRPr="0051046C" w:rsidRDefault="003F74EE" w:rsidP="00E871B8">
            <w:pPr>
              <w:spacing w:before="0" w:after="0"/>
              <w:rPr>
                <w:rFonts w:ascii="Arial Narrow" w:hAnsi="Arial Narrow" w:cs="Arial"/>
                <w:sz w:val="20"/>
                <w:szCs w:val="20"/>
              </w:rPr>
            </w:pPr>
            <w:r w:rsidRPr="0051046C">
              <w:rPr>
                <w:rFonts w:ascii="Arial Narrow" w:hAnsi="Arial Narrow" w:cs="Arial"/>
                <w:sz w:val="20"/>
                <w:szCs w:val="20"/>
              </w:rPr>
              <w:t>b)</w:t>
            </w:r>
            <w:r w:rsidRPr="0051046C">
              <w:rPr>
                <w:rFonts w:ascii="Arial Narrow" w:hAnsi="Arial Narrow" w:cs="Arial"/>
                <w:sz w:val="20"/>
                <w:szCs w:val="20"/>
              </w:rPr>
              <w:tab/>
              <w:t>A completed Basal Cell Carcinoma Initial PBS Authority Application Form - Supporting Information Form; and</w:t>
            </w:r>
          </w:p>
          <w:p w:rsidR="003F74EE" w:rsidRPr="0051046C" w:rsidRDefault="003F74EE" w:rsidP="00E871B8">
            <w:pPr>
              <w:spacing w:before="0" w:after="0"/>
              <w:rPr>
                <w:rFonts w:ascii="Arial Narrow" w:hAnsi="Arial Narrow" w:cs="Arial"/>
                <w:sz w:val="20"/>
                <w:szCs w:val="20"/>
              </w:rPr>
            </w:pPr>
            <w:r w:rsidRPr="0051046C">
              <w:rPr>
                <w:rFonts w:ascii="Arial Narrow" w:hAnsi="Arial Narrow" w:cs="Arial"/>
                <w:sz w:val="20"/>
                <w:szCs w:val="20"/>
              </w:rPr>
              <w:t>c)</w:t>
            </w:r>
            <w:r w:rsidRPr="0051046C">
              <w:rPr>
                <w:rFonts w:ascii="Arial Narrow" w:hAnsi="Arial Narrow" w:cs="Arial"/>
                <w:sz w:val="20"/>
                <w:szCs w:val="20"/>
              </w:rPr>
              <w:tab/>
              <w:t>A histological confirmation of BCC</w:t>
            </w:r>
            <w:r w:rsidRPr="0051046C">
              <w:t xml:space="preserve"> </w:t>
            </w:r>
            <w:r w:rsidRPr="0051046C">
              <w:rPr>
                <w:rFonts w:ascii="Arial Narrow" w:hAnsi="Arial Narrow" w:cs="Arial"/>
                <w:sz w:val="20"/>
                <w:szCs w:val="20"/>
              </w:rPr>
              <w:t>and whether the condition is metastatic or locally advance ; and</w:t>
            </w:r>
          </w:p>
          <w:p w:rsidR="003F74EE" w:rsidRPr="0051046C" w:rsidRDefault="003F74EE" w:rsidP="00E871B8">
            <w:pPr>
              <w:spacing w:before="0" w:after="0"/>
              <w:rPr>
                <w:rFonts w:ascii="Arial Narrow" w:hAnsi="Arial Narrow" w:cs="Arial"/>
                <w:sz w:val="20"/>
                <w:szCs w:val="20"/>
              </w:rPr>
            </w:pPr>
            <w:r w:rsidRPr="0051046C">
              <w:rPr>
                <w:rFonts w:ascii="Arial Narrow" w:hAnsi="Arial Narrow" w:cs="Arial"/>
                <w:sz w:val="20"/>
                <w:szCs w:val="20"/>
              </w:rPr>
              <w:t>d)</w:t>
            </w:r>
            <w:r w:rsidRPr="0051046C">
              <w:rPr>
                <w:rFonts w:ascii="Arial Narrow" w:hAnsi="Arial Narrow" w:cs="Arial"/>
                <w:sz w:val="20"/>
                <w:szCs w:val="20"/>
              </w:rPr>
              <w:tab/>
              <w:t>A letter from a surgically qualified clinician demonstrating inappropriateness for surgery</w:t>
            </w:r>
            <w:r w:rsidRPr="0051046C">
              <w:t xml:space="preserve"> </w:t>
            </w:r>
            <w:r w:rsidRPr="0051046C">
              <w:rPr>
                <w:rFonts w:ascii="Arial Narrow" w:hAnsi="Arial Narrow" w:cs="Arial"/>
                <w:sz w:val="20"/>
                <w:szCs w:val="20"/>
              </w:rPr>
              <w:t>for patients with locally advanced BCC; and</w:t>
            </w:r>
          </w:p>
          <w:p w:rsidR="003F74EE" w:rsidRPr="0051046C" w:rsidRDefault="003F74EE" w:rsidP="00E871B8">
            <w:pPr>
              <w:spacing w:before="0" w:after="0"/>
              <w:rPr>
                <w:rFonts w:ascii="Arial Narrow" w:hAnsi="Arial Narrow" w:cs="Arial"/>
                <w:sz w:val="20"/>
                <w:szCs w:val="20"/>
              </w:rPr>
            </w:pPr>
            <w:r w:rsidRPr="0051046C">
              <w:rPr>
                <w:rFonts w:ascii="Arial Narrow" w:hAnsi="Arial Narrow" w:cs="Arial"/>
                <w:sz w:val="20"/>
                <w:szCs w:val="20"/>
              </w:rPr>
              <w:t>e)</w:t>
            </w:r>
            <w:r w:rsidRPr="0051046C">
              <w:rPr>
                <w:rFonts w:ascii="Arial Narrow" w:hAnsi="Arial Narrow" w:cs="Arial"/>
                <w:sz w:val="20"/>
                <w:szCs w:val="20"/>
              </w:rPr>
              <w:tab/>
              <w:t>A letter from a radiation oncologist demonstrating inappropriateness for curative radiotherapy for patients with locally advanced BCC; and</w:t>
            </w:r>
          </w:p>
          <w:p w:rsidR="003F74EE" w:rsidRPr="0051046C" w:rsidRDefault="003F74EE" w:rsidP="00E871B8">
            <w:pPr>
              <w:spacing w:before="0" w:after="0"/>
              <w:rPr>
                <w:rFonts w:ascii="Arial Narrow" w:hAnsi="Arial Narrow" w:cs="Arial"/>
                <w:sz w:val="20"/>
                <w:szCs w:val="20"/>
              </w:rPr>
            </w:pPr>
            <w:r w:rsidRPr="0051046C">
              <w:rPr>
                <w:rFonts w:ascii="Arial Narrow" w:hAnsi="Arial Narrow" w:cs="Arial"/>
                <w:sz w:val="20"/>
                <w:szCs w:val="20"/>
              </w:rPr>
              <w:t>f)</w:t>
            </w:r>
            <w:r w:rsidRPr="0051046C">
              <w:rPr>
                <w:rFonts w:ascii="Arial Narrow" w:hAnsi="Arial Narrow" w:cs="Arial"/>
                <w:sz w:val="20"/>
                <w:szCs w:val="20"/>
              </w:rPr>
              <w:tab/>
              <w:t>A signed patient acknowledgement.</w:t>
            </w:r>
          </w:p>
          <w:p w:rsidR="003F74EE" w:rsidRPr="0051046C" w:rsidRDefault="003F74EE" w:rsidP="00E871B8">
            <w:pPr>
              <w:spacing w:before="0" w:after="0"/>
              <w:rPr>
                <w:rFonts w:ascii="Arial Narrow" w:hAnsi="Arial Narrow" w:cs="Arial"/>
                <w:sz w:val="20"/>
                <w:szCs w:val="20"/>
              </w:rPr>
            </w:pPr>
          </w:p>
          <w:p w:rsidR="003F74EE" w:rsidRPr="00D83816" w:rsidRDefault="003F74EE" w:rsidP="00E871B8">
            <w:pPr>
              <w:spacing w:before="0" w:after="0"/>
              <w:rPr>
                <w:rFonts w:ascii="Arial Narrow" w:hAnsi="Arial Narrow" w:cs="Arial"/>
                <w:sz w:val="20"/>
                <w:szCs w:val="20"/>
              </w:rPr>
            </w:pPr>
            <w:r w:rsidRPr="00D83816">
              <w:rPr>
                <w:rFonts w:ascii="Arial Narrow" w:hAnsi="Arial Narrow" w:cs="Arial"/>
                <w:sz w:val="20"/>
                <w:szCs w:val="20"/>
              </w:rPr>
              <w:t>The assessment of the patient's response to this PBS-subsidised course of therapy must be made within the 4 weeks prior to completion of the course of treatment. It is recommended that an application is submitted to the Department of Human Services no less than 2 weeks prior to the date the next dose is due in order to ensure continuity of treatment for those patients who meet the continuation criteria.</w:t>
            </w:r>
          </w:p>
          <w:p w:rsidR="003F74EE" w:rsidRPr="00D83816" w:rsidRDefault="003F74EE" w:rsidP="00E871B8">
            <w:pPr>
              <w:spacing w:before="0" w:after="0"/>
              <w:rPr>
                <w:rFonts w:ascii="Arial Narrow" w:hAnsi="Arial Narrow" w:cs="Arial"/>
                <w:sz w:val="20"/>
                <w:szCs w:val="20"/>
              </w:rPr>
            </w:pPr>
          </w:p>
          <w:p w:rsidR="003F74EE" w:rsidRPr="004549C2" w:rsidRDefault="003F74EE" w:rsidP="00E871B8">
            <w:pPr>
              <w:spacing w:before="0" w:after="0"/>
              <w:rPr>
                <w:rFonts w:ascii="Arial Narrow" w:hAnsi="Arial Narrow" w:cs="Arial"/>
                <w:b/>
                <w:sz w:val="20"/>
                <w:szCs w:val="20"/>
              </w:rPr>
            </w:pPr>
            <w:r w:rsidRPr="004549C2">
              <w:rPr>
                <w:rFonts w:ascii="Arial Narrow" w:hAnsi="Arial Narrow" w:cs="Arial"/>
                <w:b/>
                <w:sz w:val="20"/>
                <w:szCs w:val="20"/>
              </w:rPr>
              <w:t>Inappropriate for surgery is defined as:</w:t>
            </w:r>
          </w:p>
          <w:p w:rsidR="003F74EE" w:rsidRPr="00D83816" w:rsidRDefault="003F74EE" w:rsidP="00E871B8">
            <w:pPr>
              <w:spacing w:before="0" w:after="0"/>
              <w:rPr>
                <w:rFonts w:ascii="Arial Narrow" w:hAnsi="Arial Narrow" w:cs="Arial"/>
                <w:sz w:val="20"/>
                <w:szCs w:val="20"/>
              </w:rPr>
            </w:pPr>
            <w:r>
              <w:rPr>
                <w:rFonts w:ascii="Arial Narrow" w:hAnsi="Arial Narrow" w:cs="Arial"/>
                <w:sz w:val="20"/>
                <w:szCs w:val="20"/>
              </w:rPr>
              <w:t xml:space="preserve">i/ </w:t>
            </w:r>
            <w:r w:rsidRPr="00D83816">
              <w:rPr>
                <w:rFonts w:ascii="Arial Narrow" w:hAnsi="Arial Narrow" w:cs="Arial"/>
                <w:sz w:val="20"/>
                <w:szCs w:val="20"/>
              </w:rPr>
              <w:t>Curative resection is unlikely, such as where BCC has recurred in the same location after two or more surgical procedures; or</w:t>
            </w:r>
          </w:p>
          <w:p w:rsidR="003F74EE" w:rsidRPr="00D83816" w:rsidRDefault="003F74EE" w:rsidP="00E871B8">
            <w:pPr>
              <w:spacing w:before="0" w:after="0"/>
              <w:rPr>
                <w:rFonts w:ascii="Arial Narrow" w:hAnsi="Arial Narrow" w:cs="Arial"/>
                <w:sz w:val="20"/>
                <w:szCs w:val="20"/>
              </w:rPr>
            </w:pPr>
            <w:r>
              <w:rPr>
                <w:rFonts w:ascii="Arial Narrow" w:hAnsi="Arial Narrow" w:cs="Arial"/>
                <w:sz w:val="20"/>
                <w:szCs w:val="20"/>
              </w:rPr>
              <w:t xml:space="preserve">ii/ </w:t>
            </w:r>
            <w:r w:rsidRPr="00D83816">
              <w:rPr>
                <w:rFonts w:ascii="Arial Narrow" w:hAnsi="Arial Narrow" w:cs="Arial"/>
                <w:sz w:val="20"/>
                <w:szCs w:val="20"/>
              </w:rPr>
              <w:t>Anticipated substantial morbidity or deformity from surgery or requiring complicated reconstructive surgery (e.g. removal of all or part of a facial structure, such as nose, ear, eyelid, eye; or requirement for limb amputation or free tissue transfer); or</w:t>
            </w:r>
          </w:p>
          <w:p w:rsidR="003F74EE" w:rsidRPr="00D83816" w:rsidRDefault="003F74EE" w:rsidP="00E871B8">
            <w:pPr>
              <w:spacing w:before="0" w:after="0"/>
              <w:rPr>
                <w:rFonts w:ascii="Arial Narrow" w:hAnsi="Arial Narrow" w:cs="Arial"/>
                <w:sz w:val="20"/>
                <w:szCs w:val="20"/>
              </w:rPr>
            </w:pPr>
            <w:r>
              <w:rPr>
                <w:rFonts w:ascii="Arial Narrow" w:hAnsi="Arial Narrow" w:cs="Arial"/>
                <w:sz w:val="20"/>
                <w:szCs w:val="20"/>
              </w:rPr>
              <w:t xml:space="preserve">iii/ </w:t>
            </w:r>
            <w:r w:rsidRPr="00D83816">
              <w:rPr>
                <w:rFonts w:ascii="Arial Narrow" w:hAnsi="Arial Narrow" w:cs="Arial"/>
                <w:sz w:val="20"/>
                <w:szCs w:val="20"/>
              </w:rPr>
              <w:t>Medical contraindication to surgery</w:t>
            </w:r>
          </w:p>
          <w:p w:rsidR="003F74EE" w:rsidRPr="00D83816" w:rsidRDefault="003F74EE" w:rsidP="00E871B8">
            <w:pPr>
              <w:spacing w:before="0" w:after="0"/>
              <w:rPr>
                <w:rFonts w:ascii="Arial Narrow" w:hAnsi="Arial Narrow" w:cs="Arial"/>
                <w:sz w:val="20"/>
                <w:szCs w:val="20"/>
              </w:rPr>
            </w:pPr>
          </w:p>
          <w:p w:rsidR="003F74EE" w:rsidRPr="004549C2" w:rsidRDefault="003F74EE" w:rsidP="00E871B8">
            <w:pPr>
              <w:spacing w:before="0" w:after="0"/>
              <w:rPr>
                <w:rFonts w:ascii="Arial Narrow" w:hAnsi="Arial Narrow" w:cs="Arial"/>
                <w:b/>
                <w:sz w:val="20"/>
                <w:szCs w:val="20"/>
              </w:rPr>
            </w:pPr>
            <w:r w:rsidRPr="004549C2">
              <w:rPr>
                <w:rFonts w:ascii="Arial Narrow" w:hAnsi="Arial Narrow" w:cs="Arial"/>
                <w:b/>
                <w:sz w:val="20"/>
                <w:szCs w:val="20"/>
              </w:rPr>
              <w:t>Inappropriate for curative radiotherapy is defined as:</w:t>
            </w:r>
          </w:p>
          <w:p w:rsidR="003F74EE" w:rsidRPr="00D83816" w:rsidRDefault="003F74EE" w:rsidP="00E871B8">
            <w:pPr>
              <w:spacing w:before="0" w:after="0"/>
              <w:rPr>
                <w:rFonts w:ascii="Arial Narrow" w:hAnsi="Arial Narrow" w:cs="Arial"/>
                <w:sz w:val="20"/>
                <w:szCs w:val="20"/>
              </w:rPr>
            </w:pPr>
            <w:r>
              <w:rPr>
                <w:rFonts w:ascii="Arial Narrow" w:hAnsi="Arial Narrow" w:cs="Arial"/>
                <w:sz w:val="20"/>
                <w:szCs w:val="20"/>
              </w:rPr>
              <w:t xml:space="preserve">i / </w:t>
            </w:r>
            <w:r w:rsidRPr="00D83816">
              <w:rPr>
                <w:rFonts w:ascii="Arial Narrow" w:hAnsi="Arial Narrow" w:cs="Arial"/>
                <w:sz w:val="20"/>
                <w:szCs w:val="20"/>
              </w:rPr>
              <w:t>Hypersensitivity to radiation due to genetic syndrome such as Gorlin Syndrome; or</w:t>
            </w:r>
          </w:p>
          <w:p w:rsidR="003F74EE" w:rsidRPr="00D83816" w:rsidRDefault="003F74EE" w:rsidP="00E871B8">
            <w:pPr>
              <w:spacing w:before="0" w:after="0"/>
              <w:rPr>
                <w:rFonts w:ascii="Arial Narrow" w:hAnsi="Arial Narrow" w:cs="Arial"/>
                <w:sz w:val="20"/>
                <w:szCs w:val="20"/>
              </w:rPr>
            </w:pPr>
            <w:r>
              <w:rPr>
                <w:rFonts w:ascii="Arial Narrow" w:hAnsi="Arial Narrow" w:cs="Arial"/>
                <w:sz w:val="20"/>
                <w:szCs w:val="20"/>
              </w:rPr>
              <w:t xml:space="preserve">ii/ </w:t>
            </w:r>
            <w:r w:rsidRPr="00D83816">
              <w:rPr>
                <w:rFonts w:ascii="Arial Narrow" w:hAnsi="Arial Narrow" w:cs="Arial"/>
                <w:sz w:val="20"/>
                <w:szCs w:val="20"/>
              </w:rPr>
              <w:t>Limitations due to location of tumour; or</w:t>
            </w:r>
          </w:p>
          <w:p w:rsidR="003F74EE" w:rsidRPr="00D83816" w:rsidRDefault="003F74EE" w:rsidP="00E871B8">
            <w:pPr>
              <w:spacing w:before="0" w:after="0"/>
              <w:rPr>
                <w:rFonts w:ascii="Arial Narrow" w:hAnsi="Arial Narrow" w:cs="Arial"/>
                <w:sz w:val="20"/>
                <w:szCs w:val="20"/>
              </w:rPr>
            </w:pPr>
            <w:r>
              <w:rPr>
                <w:rFonts w:ascii="Arial Narrow" w:hAnsi="Arial Narrow" w:cs="Arial"/>
                <w:sz w:val="20"/>
                <w:szCs w:val="20"/>
              </w:rPr>
              <w:t xml:space="preserve">iii/ </w:t>
            </w:r>
            <w:r w:rsidRPr="00D83816">
              <w:rPr>
                <w:rFonts w:ascii="Arial Narrow" w:hAnsi="Arial Narrow" w:cs="Arial"/>
                <w:sz w:val="20"/>
                <w:szCs w:val="20"/>
              </w:rPr>
              <w:t>Limitations due to cumulative prior radiotherapy dose; or</w:t>
            </w:r>
          </w:p>
          <w:p w:rsidR="003F74EE" w:rsidRPr="00260CE3" w:rsidRDefault="003F74EE" w:rsidP="00E871B8">
            <w:pPr>
              <w:spacing w:before="0" w:after="0"/>
              <w:rPr>
                <w:rFonts w:ascii="Arial Narrow" w:hAnsi="Arial Narrow" w:cs="Arial"/>
                <w:sz w:val="20"/>
                <w:szCs w:val="20"/>
              </w:rPr>
            </w:pPr>
            <w:r>
              <w:rPr>
                <w:rFonts w:ascii="Arial Narrow" w:hAnsi="Arial Narrow" w:cs="Arial"/>
                <w:sz w:val="20"/>
                <w:szCs w:val="20"/>
              </w:rPr>
              <w:t xml:space="preserve">iv/ </w:t>
            </w:r>
            <w:r w:rsidRPr="00D83816">
              <w:rPr>
                <w:rFonts w:ascii="Arial Narrow" w:hAnsi="Arial Narrow" w:cs="Arial"/>
                <w:sz w:val="20"/>
                <w:szCs w:val="20"/>
              </w:rPr>
              <w:t>Progressive disease despite prior irradiation of locally advanced BCC.</w:t>
            </w:r>
          </w:p>
        </w:tc>
      </w:tr>
      <w:tr w:rsidR="003F74EE" w:rsidRPr="00260CE3" w:rsidTr="003F74EE">
        <w:trPr>
          <w:gridBefore w:val="1"/>
          <w:gridAfter w:val="1"/>
          <w:wBefore w:w="34" w:type="dxa"/>
          <w:wAfter w:w="80" w:type="dxa"/>
          <w:cantSplit/>
          <w:trHeight w:val="360"/>
        </w:trPr>
        <w:tc>
          <w:tcPr>
            <w:tcW w:w="2843" w:type="dxa"/>
            <w:tcBorders>
              <w:top w:val="single" w:sz="4" w:space="0" w:color="auto"/>
              <w:left w:val="single" w:sz="4" w:space="0" w:color="auto"/>
              <w:bottom w:val="single" w:sz="4" w:space="0" w:color="auto"/>
              <w:right w:val="single" w:sz="4" w:space="0" w:color="auto"/>
            </w:tcBorders>
          </w:tcPr>
          <w:p w:rsidR="003F74EE" w:rsidRPr="00260CE3" w:rsidRDefault="003F74EE" w:rsidP="00E871B8">
            <w:pPr>
              <w:spacing w:before="0" w:after="0"/>
              <w:rPr>
                <w:rFonts w:ascii="Arial Narrow" w:hAnsi="Arial Narrow" w:cs="Arial"/>
                <w:i/>
                <w:sz w:val="20"/>
                <w:szCs w:val="20"/>
              </w:rPr>
            </w:pPr>
            <w:r w:rsidRPr="00260CE3">
              <w:rPr>
                <w:rFonts w:ascii="Arial Narrow" w:hAnsi="Arial Narrow" w:cs="Arial"/>
                <w:b/>
                <w:sz w:val="20"/>
                <w:szCs w:val="20"/>
              </w:rPr>
              <w:t>Administrative Advice</w:t>
            </w:r>
          </w:p>
        </w:tc>
        <w:tc>
          <w:tcPr>
            <w:tcW w:w="6399" w:type="dxa"/>
            <w:gridSpan w:val="5"/>
            <w:tcBorders>
              <w:top w:val="single" w:sz="4" w:space="0" w:color="auto"/>
              <w:left w:val="single" w:sz="4" w:space="0" w:color="auto"/>
              <w:bottom w:val="single" w:sz="4" w:space="0" w:color="auto"/>
              <w:right w:val="single" w:sz="4" w:space="0" w:color="auto"/>
            </w:tcBorders>
          </w:tcPr>
          <w:p w:rsidR="003F74EE" w:rsidRPr="006A69E6" w:rsidRDefault="003F74EE" w:rsidP="00E871B8">
            <w:pPr>
              <w:spacing w:before="0" w:after="0"/>
              <w:rPr>
                <w:rFonts w:ascii="Arial Narrow" w:hAnsi="Arial Narrow" w:cs="Arial"/>
                <w:sz w:val="20"/>
                <w:szCs w:val="20"/>
              </w:rPr>
            </w:pPr>
            <w:r w:rsidRPr="006A69E6">
              <w:rPr>
                <w:rFonts w:ascii="Arial Narrow" w:hAnsi="Arial Narrow" w:cs="Arial"/>
                <w:sz w:val="20"/>
                <w:szCs w:val="20"/>
              </w:rPr>
              <w:t>No increase in the maximum quantity or number of units may be authorised.</w:t>
            </w:r>
          </w:p>
          <w:p w:rsidR="003F74EE" w:rsidRPr="006A69E6" w:rsidRDefault="003F74EE" w:rsidP="00E871B8">
            <w:pPr>
              <w:spacing w:before="0" w:after="0"/>
              <w:rPr>
                <w:rFonts w:ascii="Arial Narrow" w:hAnsi="Arial Narrow" w:cs="Arial"/>
                <w:sz w:val="20"/>
                <w:szCs w:val="20"/>
              </w:rPr>
            </w:pPr>
          </w:p>
          <w:p w:rsidR="003F74EE" w:rsidRPr="006A69E6" w:rsidRDefault="003F74EE" w:rsidP="00E871B8">
            <w:pPr>
              <w:spacing w:before="0" w:after="0"/>
              <w:rPr>
                <w:rFonts w:ascii="Arial Narrow" w:hAnsi="Arial Narrow" w:cs="Arial"/>
                <w:sz w:val="20"/>
                <w:szCs w:val="20"/>
              </w:rPr>
            </w:pPr>
            <w:r w:rsidRPr="006A69E6">
              <w:rPr>
                <w:rFonts w:ascii="Arial Narrow" w:hAnsi="Arial Narrow" w:cs="Arial"/>
                <w:sz w:val="20"/>
                <w:szCs w:val="20"/>
              </w:rPr>
              <w:t>No increase in the maximum number of repeats may be authorised.</w:t>
            </w:r>
          </w:p>
          <w:p w:rsidR="003F74EE" w:rsidRPr="006A69E6" w:rsidRDefault="003F74EE" w:rsidP="00E871B8">
            <w:pPr>
              <w:spacing w:before="0" w:after="0"/>
              <w:rPr>
                <w:rFonts w:ascii="Arial Narrow" w:hAnsi="Arial Narrow" w:cs="Arial"/>
                <w:sz w:val="20"/>
                <w:szCs w:val="20"/>
              </w:rPr>
            </w:pPr>
          </w:p>
          <w:p w:rsidR="003F74EE" w:rsidRPr="006A69E6" w:rsidRDefault="003F74EE" w:rsidP="00E871B8">
            <w:pPr>
              <w:spacing w:before="0" w:after="0"/>
              <w:rPr>
                <w:rFonts w:ascii="Arial Narrow" w:hAnsi="Arial Narrow" w:cs="Arial"/>
                <w:sz w:val="20"/>
                <w:szCs w:val="20"/>
              </w:rPr>
            </w:pPr>
            <w:r w:rsidRPr="006A69E6">
              <w:rPr>
                <w:rFonts w:ascii="Arial Narrow" w:hAnsi="Arial Narrow" w:cs="Arial"/>
                <w:sz w:val="20"/>
                <w:szCs w:val="20"/>
              </w:rPr>
              <w:t>Special Pricing Arrangements apply.</w:t>
            </w:r>
          </w:p>
          <w:p w:rsidR="003F74EE" w:rsidRDefault="003F74EE" w:rsidP="00E871B8">
            <w:pPr>
              <w:spacing w:before="0" w:after="0"/>
              <w:rPr>
                <w:rFonts w:ascii="Arial Narrow" w:hAnsi="Arial Narrow" w:cs="Arial"/>
                <w:i/>
                <w:sz w:val="20"/>
                <w:szCs w:val="20"/>
              </w:rPr>
            </w:pPr>
          </w:p>
          <w:p w:rsidR="003F74EE" w:rsidRPr="004549C2" w:rsidRDefault="003F74EE" w:rsidP="00E871B8">
            <w:pPr>
              <w:spacing w:before="0" w:after="0"/>
              <w:rPr>
                <w:rFonts w:ascii="Arial Narrow" w:hAnsi="Arial Narrow" w:cs="Arial"/>
                <w:sz w:val="20"/>
                <w:szCs w:val="20"/>
              </w:rPr>
            </w:pPr>
            <w:r w:rsidRPr="004549C2">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3F74EE" w:rsidRPr="004549C2" w:rsidRDefault="003F74EE" w:rsidP="00E871B8">
            <w:pPr>
              <w:spacing w:before="0" w:after="0"/>
              <w:rPr>
                <w:rFonts w:ascii="Arial Narrow" w:hAnsi="Arial Narrow" w:cs="Arial"/>
                <w:sz w:val="20"/>
                <w:szCs w:val="20"/>
              </w:rPr>
            </w:pPr>
          </w:p>
          <w:p w:rsidR="003F74EE" w:rsidRPr="004549C2" w:rsidRDefault="003F74EE" w:rsidP="00E871B8">
            <w:pPr>
              <w:spacing w:before="0" w:after="0"/>
              <w:rPr>
                <w:rFonts w:ascii="Arial Narrow" w:hAnsi="Arial Narrow" w:cs="Arial"/>
                <w:sz w:val="20"/>
                <w:szCs w:val="20"/>
              </w:rPr>
            </w:pPr>
            <w:r w:rsidRPr="004549C2">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3F74EE" w:rsidRPr="004549C2" w:rsidRDefault="003F74EE" w:rsidP="00E871B8">
            <w:pPr>
              <w:spacing w:before="0" w:after="0"/>
              <w:rPr>
                <w:rFonts w:ascii="Arial Narrow" w:hAnsi="Arial Narrow" w:cs="Arial"/>
                <w:sz w:val="20"/>
                <w:szCs w:val="20"/>
              </w:rPr>
            </w:pPr>
          </w:p>
          <w:p w:rsidR="003F74EE" w:rsidRPr="004549C2" w:rsidRDefault="003F74EE" w:rsidP="00E871B8">
            <w:pPr>
              <w:spacing w:before="0" w:after="0"/>
              <w:rPr>
                <w:rFonts w:ascii="Arial Narrow" w:hAnsi="Arial Narrow" w:cs="Arial"/>
                <w:sz w:val="20"/>
                <w:szCs w:val="20"/>
              </w:rPr>
            </w:pPr>
            <w:r w:rsidRPr="004549C2">
              <w:rPr>
                <w:rFonts w:ascii="Arial Narrow" w:hAnsi="Arial Narrow" w:cs="Arial"/>
                <w:sz w:val="20"/>
                <w:szCs w:val="20"/>
              </w:rPr>
              <w:t>Applications for authority to prescribe should be forwarded to:</w:t>
            </w:r>
          </w:p>
          <w:p w:rsidR="003F74EE" w:rsidRPr="004549C2" w:rsidRDefault="003F74EE" w:rsidP="00E871B8">
            <w:pPr>
              <w:spacing w:before="0" w:after="0"/>
              <w:rPr>
                <w:rFonts w:ascii="Arial Narrow" w:hAnsi="Arial Narrow" w:cs="Arial"/>
                <w:sz w:val="20"/>
                <w:szCs w:val="20"/>
              </w:rPr>
            </w:pPr>
          </w:p>
          <w:p w:rsidR="003F74EE" w:rsidRPr="004549C2" w:rsidRDefault="003F74EE" w:rsidP="00E871B8">
            <w:pPr>
              <w:spacing w:before="0" w:after="0"/>
              <w:rPr>
                <w:rFonts w:ascii="Arial Narrow" w:hAnsi="Arial Narrow" w:cs="Arial"/>
                <w:sz w:val="20"/>
                <w:szCs w:val="20"/>
              </w:rPr>
            </w:pPr>
            <w:r w:rsidRPr="004549C2">
              <w:rPr>
                <w:rFonts w:ascii="Arial Narrow" w:hAnsi="Arial Narrow" w:cs="Arial"/>
                <w:sz w:val="20"/>
                <w:szCs w:val="20"/>
              </w:rPr>
              <w:t>Department of Human Services</w:t>
            </w:r>
          </w:p>
          <w:p w:rsidR="003F74EE" w:rsidRPr="004549C2" w:rsidRDefault="003F74EE" w:rsidP="00E871B8">
            <w:pPr>
              <w:spacing w:before="0" w:after="0"/>
              <w:rPr>
                <w:rFonts w:ascii="Arial Narrow" w:hAnsi="Arial Narrow" w:cs="Arial"/>
                <w:sz w:val="20"/>
                <w:szCs w:val="20"/>
              </w:rPr>
            </w:pPr>
            <w:r w:rsidRPr="004549C2">
              <w:rPr>
                <w:rFonts w:ascii="Arial Narrow" w:hAnsi="Arial Narrow" w:cs="Arial"/>
                <w:sz w:val="20"/>
                <w:szCs w:val="20"/>
              </w:rPr>
              <w:t>Complex Drugs Programs</w:t>
            </w:r>
          </w:p>
          <w:p w:rsidR="003F74EE" w:rsidRPr="004549C2" w:rsidRDefault="003F74EE" w:rsidP="00E871B8">
            <w:pPr>
              <w:spacing w:before="0" w:after="0"/>
              <w:rPr>
                <w:rFonts w:ascii="Arial Narrow" w:hAnsi="Arial Narrow" w:cs="Arial"/>
                <w:sz w:val="20"/>
                <w:szCs w:val="20"/>
              </w:rPr>
            </w:pPr>
            <w:r w:rsidRPr="004549C2">
              <w:rPr>
                <w:rFonts w:ascii="Arial Narrow" w:hAnsi="Arial Narrow" w:cs="Arial"/>
                <w:sz w:val="20"/>
                <w:szCs w:val="20"/>
              </w:rPr>
              <w:t>Reply Paid 9826</w:t>
            </w:r>
          </w:p>
          <w:p w:rsidR="003F74EE" w:rsidRPr="00260CE3" w:rsidRDefault="003F74EE" w:rsidP="00E871B8">
            <w:pPr>
              <w:spacing w:before="0" w:after="0"/>
              <w:rPr>
                <w:rFonts w:ascii="Arial Narrow" w:hAnsi="Arial Narrow" w:cs="Arial"/>
                <w:sz w:val="20"/>
                <w:szCs w:val="20"/>
              </w:rPr>
            </w:pPr>
            <w:r w:rsidRPr="004549C2">
              <w:rPr>
                <w:rFonts w:ascii="Arial Narrow" w:hAnsi="Arial Narrow" w:cs="Arial"/>
                <w:sz w:val="20"/>
                <w:szCs w:val="20"/>
              </w:rPr>
              <w:t>HOBART TAS 7001</w:t>
            </w:r>
          </w:p>
        </w:tc>
      </w:tr>
      <w:tr w:rsidR="003F74EE" w:rsidRPr="006A69E6" w:rsidTr="003F74EE">
        <w:trPr>
          <w:gridBefore w:val="1"/>
          <w:gridAfter w:val="1"/>
          <w:wBefore w:w="34" w:type="dxa"/>
          <w:wAfter w:w="80" w:type="dxa"/>
          <w:cantSplit/>
          <w:trHeight w:val="360"/>
        </w:trPr>
        <w:tc>
          <w:tcPr>
            <w:tcW w:w="2843" w:type="dxa"/>
            <w:tcBorders>
              <w:top w:val="single" w:sz="4" w:space="0" w:color="auto"/>
              <w:left w:val="single" w:sz="4" w:space="0" w:color="auto"/>
              <w:bottom w:val="single" w:sz="4" w:space="0" w:color="auto"/>
              <w:right w:val="single" w:sz="4" w:space="0" w:color="auto"/>
            </w:tcBorders>
          </w:tcPr>
          <w:p w:rsidR="003F74EE" w:rsidRPr="00260CE3" w:rsidRDefault="003F74EE" w:rsidP="00E871B8">
            <w:pPr>
              <w:spacing w:before="0" w:after="0"/>
              <w:rPr>
                <w:rFonts w:ascii="Arial Narrow" w:hAnsi="Arial Narrow" w:cs="Arial"/>
                <w:i/>
                <w:sz w:val="20"/>
                <w:szCs w:val="20"/>
              </w:rPr>
            </w:pPr>
            <w:r w:rsidRPr="00260CE3">
              <w:rPr>
                <w:rFonts w:ascii="Arial Narrow" w:hAnsi="Arial Narrow" w:cs="Arial"/>
                <w:b/>
                <w:sz w:val="20"/>
                <w:szCs w:val="20"/>
              </w:rPr>
              <w:t>Cautions</w:t>
            </w:r>
          </w:p>
        </w:tc>
        <w:tc>
          <w:tcPr>
            <w:tcW w:w="6399" w:type="dxa"/>
            <w:gridSpan w:val="5"/>
            <w:tcBorders>
              <w:top w:val="single" w:sz="4" w:space="0" w:color="auto"/>
              <w:left w:val="single" w:sz="4" w:space="0" w:color="auto"/>
              <w:bottom w:val="single" w:sz="4" w:space="0" w:color="auto"/>
              <w:right w:val="single" w:sz="4" w:space="0" w:color="auto"/>
            </w:tcBorders>
          </w:tcPr>
          <w:p w:rsidR="003F74EE" w:rsidRPr="006A69E6" w:rsidRDefault="003F74EE" w:rsidP="002C4FDB">
            <w:pPr>
              <w:spacing w:before="0" w:after="0"/>
              <w:rPr>
                <w:rFonts w:ascii="Arial Narrow" w:hAnsi="Arial Narrow" w:cs="Arial"/>
                <w:sz w:val="20"/>
                <w:szCs w:val="20"/>
              </w:rPr>
            </w:pPr>
            <w:r>
              <w:rPr>
                <w:rFonts w:ascii="Arial Narrow" w:hAnsi="Arial Narrow" w:cs="Arial"/>
                <w:sz w:val="20"/>
                <w:szCs w:val="20"/>
              </w:rPr>
              <w:t>Vismodegib</w:t>
            </w:r>
            <w:r w:rsidRPr="006A69E6">
              <w:rPr>
                <w:rFonts w:ascii="Arial Narrow" w:hAnsi="Arial Narrow" w:cs="Arial"/>
                <w:sz w:val="20"/>
                <w:szCs w:val="20"/>
              </w:rPr>
              <w:t xml:space="preserve"> is a category X drug and must not be given to pregnant women. Pregnancy in female patients or in the partners of male patients must be avoided during treatment and during the 9 months and 2 months period after cessation of treatment for female and male patients respectively, as according to the TGA approved Product Information.</w:t>
            </w:r>
          </w:p>
        </w:tc>
      </w:tr>
    </w:tbl>
    <w:p w:rsidR="00A50B2C" w:rsidRPr="00D24BA5" w:rsidRDefault="00A50B2C" w:rsidP="00860DC8">
      <w:pPr>
        <w:pStyle w:val="Heading1"/>
        <w:numPr>
          <w:ilvl w:val="0"/>
          <w:numId w:val="3"/>
        </w:numPr>
        <w:ind w:left="709" w:hanging="709"/>
        <w:jc w:val="left"/>
        <w:rPr>
          <w:szCs w:val="32"/>
        </w:rPr>
      </w:pPr>
      <w:r>
        <w:rPr>
          <w:szCs w:val="32"/>
        </w:rPr>
        <w:t>Context for Decision</w:t>
      </w:r>
    </w:p>
    <w:p w:rsidR="00A50B2C" w:rsidRPr="00D24BA5" w:rsidRDefault="00A50B2C" w:rsidP="00A50B2C">
      <w:pPr>
        <w:spacing w:after="120"/>
      </w:pPr>
      <w:r w:rsidRPr="00D24BA5">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50B2C" w:rsidRDefault="00A50B2C" w:rsidP="00860DC8">
      <w:pPr>
        <w:pStyle w:val="Heading1"/>
        <w:numPr>
          <w:ilvl w:val="0"/>
          <w:numId w:val="3"/>
        </w:numPr>
        <w:ind w:left="709" w:hanging="709"/>
        <w:jc w:val="left"/>
        <w:rPr>
          <w:szCs w:val="32"/>
        </w:rPr>
      </w:pPr>
      <w:r>
        <w:rPr>
          <w:szCs w:val="32"/>
        </w:rPr>
        <w:t>Sponsor’s Comment</w:t>
      </w:r>
    </w:p>
    <w:p w:rsidR="0051046C" w:rsidRPr="004E4020" w:rsidRDefault="004E4020" w:rsidP="00594438">
      <w:pPr>
        <w:widowControl w:val="0"/>
        <w:spacing w:after="0"/>
      </w:pPr>
      <w:r w:rsidRPr="004E4020">
        <w:t>SUN Pharma welcomes the PBAC’s decision to recommend listing of sonidegib on the PBS for Australian patients with advanced BCC.</w:t>
      </w:r>
    </w:p>
    <w:sectPr w:rsidR="0051046C" w:rsidRPr="004E4020" w:rsidSect="005175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B197F6" w15:done="0"/>
  <w15:commentEx w15:paraId="04A81B30" w15:done="0"/>
  <w15:commentEx w15:paraId="11D788A6" w15:paraIdParent="04A81B30" w15:done="0"/>
  <w15:commentEx w15:paraId="1C9B4230" w15:done="0"/>
  <w15:commentEx w15:paraId="2669006E" w15:paraIdParent="1C9B4230" w15:done="0"/>
  <w15:commentEx w15:paraId="762140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360" w:rsidRDefault="00246360" w:rsidP="00BA3306">
      <w:pPr>
        <w:spacing w:before="0" w:after="0"/>
      </w:pPr>
      <w:r>
        <w:separator/>
      </w:r>
    </w:p>
  </w:endnote>
  <w:endnote w:type="continuationSeparator" w:id="0">
    <w:p w:rsidR="00246360" w:rsidRDefault="00246360"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360" w:rsidRDefault="00246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772754"/>
      <w:docPartObj>
        <w:docPartGallery w:val="Page Numbers (Bottom of Page)"/>
        <w:docPartUnique/>
      </w:docPartObj>
    </w:sdtPr>
    <w:sdtEndPr>
      <w:rPr>
        <w:noProof/>
      </w:rPr>
    </w:sdtEndPr>
    <w:sdtContent>
      <w:p w:rsidR="00871B2E" w:rsidRDefault="00871B2E">
        <w:pPr>
          <w:pStyle w:val="Footer"/>
          <w:jc w:val="center"/>
        </w:pPr>
        <w:r>
          <w:fldChar w:fldCharType="begin"/>
        </w:r>
        <w:r>
          <w:instrText xml:space="preserve"> PAGE   \* MERGEFORMAT </w:instrText>
        </w:r>
        <w:r>
          <w:fldChar w:fldCharType="separate"/>
        </w:r>
        <w:r w:rsidR="00246360">
          <w:rPr>
            <w:noProof/>
          </w:rPr>
          <w:t>1</w:t>
        </w:r>
        <w:r>
          <w:rPr>
            <w:noProof/>
          </w:rPr>
          <w:fldChar w:fldCharType="end"/>
        </w:r>
      </w:p>
    </w:sdtContent>
  </w:sdt>
  <w:p w:rsidR="00871B2E" w:rsidRPr="008D0EA4" w:rsidRDefault="00871B2E" w:rsidP="008D0E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360" w:rsidRDefault="00246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360" w:rsidRDefault="00246360" w:rsidP="00BA3306">
      <w:pPr>
        <w:spacing w:before="0" w:after="0"/>
      </w:pPr>
      <w:r>
        <w:separator/>
      </w:r>
    </w:p>
  </w:footnote>
  <w:footnote w:type="continuationSeparator" w:id="0">
    <w:p w:rsidR="00246360" w:rsidRDefault="00246360" w:rsidP="00BA3306">
      <w:pPr>
        <w:spacing w:before="0" w:after="0"/>
      </w:pPr>
      <w:r>
        <w:continuationSeparator/>
      </w:r>
    </w:p>
  </w:footnote>
  <w:footnote w:id="1">
    <w:p w:rsidR="00871B2E" w:rsidRDefault="00871B2E">
      <w:pPr>
        <w:pStyle w:val="FootnoteText"/>
      </w:pPr>
      <w:r>
        <w:rPr>
          <w:rStyle w:val="FootnoteReference"/>
        </w:rPr>
        <w:footnoteRef/>
      </w:r>
      <w:r>
        <w:t xml:space="preserve"> </w:t>
      </w:r>
      <w:r w:rsidRPr="00B552FE">
        <w:t xml:space="preserve">Hansson J, Hauschild A, Kunstfeld R, Grob JJ, Dréno B, Mortier L, et al. Vismodegib (VISMO), a hedgehog pathway inhibitor (HPI), in advanced basal cell carcinoma (aBCC): STEVIE study primary analysis in 1215 patients (pts). </w:t>
      </w:r>
      <w:r w:rsidRPr="00B552FE">
        <w:rPr>
          <w:i/>
        </w:rPr>
        <w:t>American Society of Clinical Oncology</w:t>
      </w:r>
      <w:r w:rsidRPr="00B552FE">
        <w:t>; 2016.</w:t>
      </w:r>
    </w:p>
  </w:footnote>
  <w:footnote w:id="2">
    <w:p w:rsidR="00871B2E" w:rsidRDefault="00871B2E">
      <w:pPr>
        <w:pStyle w:val="FootnoteText"/>
      </w:pPr>
      <w:r>
        <w:rPr>
          <w:rStyle w:val="FootnoteReference"/>
        </w:rPr>
        <w:footnoteRef/>
      </w:r>
      <w:r>
        <w:t xml:space="preserve"> </w:t>
      </w:r>
      <w:r w:rsidRPr="00435FA7">
        <w:t>Hansson J, Hauschild A, Kunstfeld R, Grob JJ, Dréno B, Mortier L, et al. Vismodegib (VISMO), a hedgehog pathway inhibitor (HPI), in advanced basal cell carcinoma (aBCC): STEVIE study primary analysis in 1215 patients (pts). American Society of Clinical Oncology; 2016</w:t>
      </w:r>
    </w:p>
  </w:footnote>
  <w:footnote w:id="3">
    <w:p w:rsidR="00871B2E" w:rsidRDefault="00871B2E" w:rsidP="00A81621">
      <w:pPr>
        <w:pStyle w:val="FootnoteText"/>
      </w:pPr>
      <w:r>
        <w:rPr>
          <w:rStyle w:val="FootnoteReference"/>
        </w:rPr>
        <w:footnoteRef/>
      </w:r>
      <w:r>
        <w:t xml:space="preserve"> </w:t>
      </w:r>
      <w:r w:rsidRPr="00A7781C">
        <w:t>A protocol-specific modified RECIST (mRECIST) was used for assessing response in patients with laBCC. The mRECIST criteria were based on evaluation of multiple modalities including localized MRI scans, digital colour photography and histopathology from tumour biopsy specimens, to derive a composite endpoint of “composite overall response”.</w:t>
      </w:r>
    </w:p>
  </w:footnote>
  <w:footnote w:id="4">
    <w:p w:rsidR="00871B2E" w:rsidRDefault="00871B2E" w:rsidP="00A81621">
      <w:pPr>
        <w:pStyle w:val="FootnoteText"/>
      </w:pPr>
      <w:r>
        <w:rPr>
          <w:rStyle w:val="FootnoteReference"/>
        </w:rPr>
        <w:footnoteRef/>
      </w:r>
      <w:r>
        <w:t xml:space="preserve"> A key</w:t>
      </w:r>
      <w:r w:rsidRPr="00120FD0">
        <w:t xml:space="preserve"> difference between RECIST version 1.1 and version 1.0 </w:t>
      </w:r>
      <w:r>
        <w:t>i</w:t>
      </w:r>
      <w:r w:rsidRPr="00120FD0">
        <w:t xml:space="preserve">s the inclusion of lymph node assessment in regard to the definition of complete response in version 1.1, whereas lymph node assessment </w:t>
      </w:r>
      <w:r>
        <w:t>i</w:t>
      </w:r>
      <w:r w:rsidRPr="00120FD0">
        <w:t>s not conducted for version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360" w:rsidRDefault="002463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2E" w:rsidRPr="00737FEA" w:rsidRDefault="00871B2E" w:rsidP="008D0EA4">
    <w:pPr>
      <w:pStyle w:val="Header"/>
      <w:ind w:left="360"/>
      <w:jc w:val="center"/>
      <w:rPr>
        <w:rFonts w:cs="Arial"/>
        <w:i/>
        <w:color w:val="808080"/>
        <w:sz w:val="22"/>
      </w:rPr>
    </w:pPr>
    <w:r>
      <w:rPr>
        <w:rFonts w:cs="Arial"/>
        <w:i/>
        <w:color w:val="808080"/>
        <w:sz w:val="22"/>
      </w:rPr>
      <w:t>Public Summary Document</w:t>
    </w:r>
    <w:r w:rsidRPr="00737FEA">
      <w:rPr>
        <w:rFonts w:cs="Arial"/>
        <w:i/>
        <w:color w:val="808080"/>
        <w:sz w:val="22"/>
      </w:rPr>
      <w:t xml:space="preserve">– </w:t>
    </w:r>
    <w:r>
      <w:rPr>
        <w:rFonts w:cs="Arial"/>
        <w:i/>
        <w:color w:val="808080"/>
        <w:sz w:val="22"/>
      </w:rPr>
      <w:t>November</w:t>
    </w:r>
    <w:r w:rsidRPr="00737FEA">
      <w:rPr>
        <w:rFonts w:cs="Arial"/>
        <w:i/>
        <w:color w:val="808080"/>
        <w:sz w:val="22"/>
      </w:rPr>
      <w:t xml:space="preserve"> </w:t>
    </w:r>
    <w:r>
      <w:rPr>
        <w:rFonts w:cs="Arial"/>
        <w:i/>
        <w:color w:val="808080"/>
        <w:sz w:val="22"/>
      </w:rPr>
      <w:t>2017</w:t>
    </w:r>
    <w:r w:rsidRPr="00737FEA">
      <w:rPr>
        <w:rFonts w:cs="Arial"/>
        <w:i/>
        <w:color w:val="808080"/>
        <w:sz w:val="22"/>
      </w:rPr>
      <w:t xml:space="preserve"> PBAC Meeting</w:t>
    </w:r>
  </w:p>
  <w:p w:rsidR="00871B2E" w:rsidRPr="008D0EA4" w:rsidRDefault="00871B2E" w:rsidP="008D0E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360" w:rsidRDefault="002463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E6825"/>
    <w:multiLevelType w:val="multilevel"/>
    <w:tmpl w:val="3AE4C8F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BF4327F"/>
    <w:multiLevelType w:val="hybridMultilevel"/>
    <w:tmpl w:val="05FC1736"/>
    <w:lvl w:ilvl="0" w:tplc="837A689E">
      <w:start w:val="20"/>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78C0105"/>
    <w:multiLevelType w:val="hybridMultilevel"/>
    <w:tmpl w:val="AC04BA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94169FC"/>
    <w:multiLevelType w:val="hybridMultilevel"/>
    <w:tmpl w:val="B0683378"/>
    <w:lvl w:ilvl="0" w:tplc="0A6414DA">
      <w:start w:val="1"/>
      <w:numFmt w:val="lowerLetter"/>
      <w:lvlText w:val="%1)"/>
      <w:lvlJc w:val="left"/>
      <w:pPr>
        <w:ind w:left="1440" w:hanging="360"/>
      </w:pPr>
      <w:rPr>
        <w:strike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84D033C"/>
    <w:multiLevelType w:val="multilevel"/>
    <w:tmpl w:val="13CA770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9515918"/>
    <w:multiLevelType w:val="hybridMultilevel"/>
    <w:tmpl w:val="8110AA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7CB46A27"/>
    <w:multiLevelType w:val="hybridMultilevel"/>
    <w:tmpl w:val="B0683378"/>
    <w:lvl w:ilvl="0" w:tplc="0A6414DA">
      <w:start w:val="1"/>
      <w:numFmt w:val="lowerLetter"/>
      <w:lvlText w:val="%1)"/>
      <w:lvlJc w:val="left"/>
      <w:pPr>
        <w:ind w:left="1440" w:hanging="360"/>
      </w:pPr>
      <w:rPr>
        <w:strike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4"/>
  </w:num>
  <w:num w:numId="3">
    <w:abstractNumId w:val="7"/>
  </w:num>
  <w:num w:numId="4">
    <w:abstractNumId w:val="1"/>
  </w:num>
  <w:num w:numId="5">
    <w:abstractNumId w:val="6"/>
  </w:num>
  <w:num w:numId="6">
    <w:abstractNumId w:val="9"/>
  </w:num>
  <w:num w:numId="7">
    <w:abstractNumId w:val="2"/>
  </w:num>
  <w:num w:numId="8">
    <w:abstractNumId w:val="8"/>
  </w:num>
  <w:num w:numId="9">
    <w:abstractNumId w:val="3"/>
  </w:num>
  <w:num w:numId="10">
    <w:abstractNumId w:val="5"/>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ian Liufu">
    <w15:presenceInfo w15:providerId="None" w15:userId="Vivian Liu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fxxrfs20d2rme9v23vswznw0szfwwa5vdp&quot;&gt;Sonidegib EndNote Library&lt;record-ids&gt;&lt;item&gt;4&lt;/item&gt;&lt;item&gt;6&lt;/item&gt;&lt;item&gt;11&lt;/item&gt;&lt;item&gt;14&lt;/item&gt;&lt;item&gt;16&lt;/item&gt;&lt;item&gt;17&lt;/item&gt;&lt;item&gt;20&lt;/item&gt;&lt;item&gt;22&lt;/item&gt;&lt;item&gt;23&lt;/item&gt;&lt;item&gt;27&lt;/item&gt;&lt;item&gt;33&lt;/item&gt;&lt;item&gt;38&lt;/item&gt;&lt;item&gt;39&lt;/item&gt;&lt;item&gt;40&lt;/item&gt;&lt;item&gt;41&lt;/item&gt;&lt;item&gt;43&lt;/item&gt;&lt;item&gt;44&lt;/item&gt;&lt;item&gt;45&lt;/item&gt;&lt;item&gt;46&lt;/item&gt;&lt;item&gt;48&lt;/item&gt;&lt;item&gt;51&lt;/item&gt;&lt;item&gt;52&lt;/item&gt;&lt;item&gt;53&lt;/item&gt;&lt;item&gt;54&lt;/item&gt;&lt;item&gt;55&lt;/item&gt;&lt;item&gt;56&lt;/item&gt;&lt;item&gt;57&lt;/item&gt;&lt;item&gt;58&lt;/item&gt;&lt;item&gt;59&lt;/item&gt;&lt;/record-ids&gt;&lt;/item&gt;&lt;/Libraries&gt;"/>
  </w:docVars>
  <w:rsids>
    <w:rsidRoot w:val="00821A29"/>
    <w:rsid w:val="00001AB4"/>
    <w:rsid w:val="000035F6"/>
    <w:rsid w:val="00003B33"/>
    <w:rsid w:val="00004C7C"/>
    <w:rsid w:val="00004CF4"/>
    <w:rsid w:val="0001066F"/>
    <w:rsid w:val="00010861"/>
    <w:rsid w:val="00013222"/>
    <w:rsid w:val="000157AA"/>
    <w:rsid w:val="00017FBE"/>
    <w:rsid w:val="0002095B"/>
    <w:rsid w:val="00023DB8"/>
    <w:rsid w:val="00024F36"/>
    <w:rsid w:val="00026D27"/>
    <w:rsid w:val="00034404"/>
    <w:rsid w:val="000366EE"/>
    <w:rsid w:val="00036B32"/>
    <w:rsid w:val="000374A0"/>
    <w:rsid w:val="000407ED"/>
    <w:rsid w:val="00040BA0"/>
    <w:rsid w:val="00043436"/>
    <w:rsid w:val="00043FCA"/>
    <w:rsid w:val="00044C38"/>
    <w:rsid w:val="000461CF"/>
    <w:rsid w:val="00051F5E"/>
    <w:rsid w:val="000547E8"/>
    <w:rsid w:val="00055D41"/>
    <w:rsid w:val="000563D0"/>
    <w:rsid w:val="00057A45"/>
    <w:rsid w:val="00057F71"/>
    <w:rsid w:val="00062067"/>
    <w:rsid w:val="000646CD"/>
    <w:rsid w:val="000656FC"/>
    <w:rsid w:val="00065C62"/>
    <w:rsid w:val="00065CDE"/>
    <w:rsid w:val="00065F4A"/>
    <w:rsid w:val="00067C7C"/>
    <w:rsid w:val="00071C9D"/>
    <w:rsid w:val="00073597"/>
    <w:rsid w:val="00075495"/>
    <w:rsid w:val="000756DD"/>
    <w:rsid w:val="00080FF3"/>
    <w:rsid w:val="00082699"/>
    <w:rsid w:val="00082C28"/>
    <w:rsid w:val="000847FE"/>
    <w:rsid w:val="00084CCC"/>
    <w:rsid w:val="00085016"/>
    <w:rsid w:val="00086133"/>
    <w:rsid w:val="000905C5"/>
    <w:rsid w:val="00093433"/>
    <w:rsid w:val="00094789"/>
    <w:rsid w:val="00094840"/>
    <w:rsid w:val="000A2694"/>
    <w:rsid w:val="000A2EA1"/>
    <w:rsid w:val="000A2EF1"/>
    <w:rsid w:val="000A3DEF"/>
    <w:rsid w:val="000A6FBD"/>
    <w:rsid w:val="000B12ED"/>
    <w:rsid w:val="000B21AB"/>
    <w:rsid w:val="000B3952"/>
    <w:rsid w:val="000B56CD"/>
    <w:rsid w:val="000B6B69"/>
    <w:rsid w:val="000C0142"/>
    <w:rsid w:val="000C2446"/>
    <w:rsid w:val="000C3680"/>
    <w:rsid w:val="000C6A40"/>
    <w:rsid w:val="000C6A75"/>
    <w:rsid w:val="000D0023"/>
    <w:rsid w:val="000D013F"/>
    <w:rsid w:val="000D2E92"/>
    <w:rsid w:val="000D2FAA"/>
    <w:rsid w:val="000E14EE"/>
    <w:rsid w:val="000E32AC"/>
    <w:rsid w:val="000F2175"/>
    <w:rsid w:val="000F2534"/>
    <w:rsid w:val="000F3652"/>
    <w:rsid w:val="00100C7C"/>
    <w:rsid w:val="00105BB9"/>
    <w:rsid w:val="001113B1"/>
    <w:rsid w:val="001178FD"/>
    <w:rsid w:val="00120FD0"/>
    <w:rsid w:val="00121F53"/>
    <w:rsid w:val="00122117"/>
    <w:rsid w:val="0012220B"/>
    <w:rsid w:val="0012701F"/>
    <w:rsid w:val="001279AE"/>
    <w:rsid w:val="0013092C"/>
    <w:rsid w:val="00134E10"/>
    <w:rsid w:val="00135145"/>
    <w:rsid w:val="00136774"/>
    <w:rsid w:val="00136E76"/>
    <w:rsid w:val="001403B7"/>
    <w:rsid w:val="0014106F"/>
    <w:rsid w:val="00144E59"/>
    <w:rsid w:val="00146742"/>
    <w:rsid w:val="001468C6"/>
    <w:rsid w:val="00146C47"/>
    <w:rsid w:val="0015251F"/>
    <w:rsid w:val="00154ECE"/>
    <w:rsid w:val="001554D3"/>
    <w:rsid w:val="00160EF5"/>
    <w:rsid w:val="00164607"/>
    <w:rsid w:val="00165A49"/>
    <w:rsid w:val="00166C1D"/>
    <w:rsid w:val="001722AD"/>
    <w:rsid w:val="00173564"/>
    <w:rsid w:val="00173577"/>
    <w:rsid w:val="00174613"/>
    <w:rsid w:val="0017638E"/>
    <w:rsid w:val="0017652D"/>
    <w:rsid w:val="00176AA5"/>
    <w:rsid w:val="0017720E"/>
    <w:rsid w:val="00177893"/>
    <w:rsid w:val="00182A30"/>
    <w:rsid w:val="00184221"/>
    <w:rsid w:val="00184DC4"/>
    <w:rsid w:val="00186307"/>
    <w:rsid w:val="00186AC7"/>
    <w:rsid w:val="00186EBC"/>
    <w:rsid w:val="00195DA4"/>
    <w:rsid w:val="001963CE"/>
    <w:rsid w:val="001A0142"/>
    <w:rsid w:val="001A02B2"/>
    <w:rsid w:val="001A26E6"/>
    <w:rsid w:val="001A309B"/>
    <w:rsid w:val="001A44A4"/>
    <w:rsid w:val="001A466B"/>
    <w:rsid w:val="001A643C"/>
    <w:rsid w:val="001A697B"/>
    <w:rsid w:val="001A7B88"/>
    <w:rsid w:val="001B00CE"/>
    <w:rsid w:val="001B4A7A"/>
    <w:rsid w:val="001B6389"/>
    <w:rsid w:val="001C04CC"/>
    <w:rsid w:val="001C051E"/>
    <w:rsid w:val="001C1F52"/>
    <w:rsid w:val="001C2186"/>
    <w:rsid w:val="001C7089"/>
    <w:rsid w:val="001C7212"/>
    <w:rsid w:val="001D19BD"/>
    <w:rsid w:val="001D31C1"/>
    <w:rsid w:val="001D3DF7"/>
    <w:rsid w:val="001D5246"/>
    <w:rsid w:val="001D5DE3"/>
    <w:rsid w:val="001D777B"/>
    <w:rsid w:val="001E06AF"/>
    <w:rsid w:val="001E1FEA"/>
    <w:rsid w:val="001E3187"/>
    <w:rsid w:val="001E4361"/>
    <w:rsid w:val="001E5918"/>
    <w:rsid w:val="001F0636"/>
    <w:rsid w:val="001F073C"/>
    <w:rsid w:val="001F088B"/>
    <w:rsid w:val="001F2912"/>
    <w:rsid w:val="001F6842"/>
    <w:rsid w:val="001F697C"/>
    <w:rsid w:val="002001C6"/>
    <w:rsid w:val="00200296"/>
    <w:rsid w:val="00201ADB"/>
    <w:rsid w:val="002058E5"/>
    <w:rsid w:val="002104F6"/>
    <w:rsid w:val="00210FAA"/>
    <w:rsid w:val="00213379"/>
    <w:rsid w:val="00213AF1"/>
    <w:rsid w:val="00214BB8"/>
    <w:rsid w:val="00216565"/>
    <w:rsid w:val="002166B7"/>
    <w:rsid w:val="002234A6"/>
    <w:rsid w:val="00223583"/>
    <w:rsid w:val="00223D69"/>
    <w:rsid w:val="00225CC4"/>
    <w:rsid w:val="0022628C"/>
    <w:rsid w:val="0022655A"/>
    <w:rsid w:val="00226FE5"/>
    <w:rsid w:val="00231073"/>
    <w:rsid w:val="0023140B"/>
    <w:rsid w:val="00233AC1"/>
    <w:rsid w:val="002365B3"/>
    <w:rsid w:val="002425EA"/>
    <w:rsid w:val="00242EA0"/>
    <w:rsid w:val="00243685"/>
    <w:rsid w:val="00246360"/>
    <w:rsid w:val="002540AE"/>
    <w:rsid w:val="002551E6"/>
    <w:rsid w:val="002556DC"/>
    <w:rsid w:val="0025613F"/>
    <w:rsid w:val="00261DC6"/>
    <w:rsid w:val="00264623"/>
    <w:rsid w:val="0026552B"/>
    <w:rsid w:val="002657A4"/>
    <w:rsid w:val="002677A7"/>
    <w:rsid w:val="0027009D"/>
    <w:rsid w:val="002701F7"/>
    <w:rsid w:val="002706C9"/>
    <w:rsid w:val="00270C9B"/>
    <w:rsid w:val="00271D14"/>
    <w:rsid w:val="00272382"/>
    <w:rsid w:val="00273C92"/>
    <w:rsid w:val="002752D6"/>
    <w:rsid w:val="002761E1"/>
    <w:rsid w:val="00277025"/>
    <w:rsid w:val="00277794"/>
    <w:rsid w:val="00280B5B"/>
    <w:rsid w:val="00282D1F"/>
    <w:rsid w:val="002832AA"/>
    <w:rsid w:val="002836DF"/>
    <w:rsid w:val="00291D81"/>
    <w:rsid w:val="002928F4"/>
    <w:rsid w:val="00293F4E"/>
    <w:rsid w:val="002962D1"/>
    <w:rsid w:val="002A0D04"/>
    <w:rsid w:val="002A358E"/>
    <w:rsid w:val="002A4503"/>
    <w:rsid w:val="002A66B9"/>
    <w:rsid w:val="002B2424"/>
    <w:rsid w:val="002B4941"/>
    <w:rsid w:val="002B4978"/>
    <w:rsid w:val="002B550B"/>
    <w:rsid w:val="002B5C67"/>
    <w:rsid w:val="002B5D74"/>
    <w:rsid w:val="002B6D5D"/>
    <w:rsid w:val="002B7ADB"/>
    <w:rsid w:val="002B7F98"/>
    <w:rsid w:val="002C1D2F"/>
    <w:rsid w:val="002C1E5F"/>
    <w:rsid w:val="002C2079"/>
    <w:rsid w:val="002C23C6"/>
    <w:rsid w:val="002C3B08"/>
    <w:rsid w:val="002C4005"/>
    <w:rsid w:val="002C4FDB"/>
    <w:rsid w:val="002C637D"/>
    <w:rsid w:val="002C6F3D"/>
    <w:rsid w:val="002C7104"/>
    <w:rsid w:val="002C7359"/>
    <w:rsid w:val="002D0D56"/>
    <w:rsid w:val="002D2FCA"/>
    <w:rsid w:val="002D34C2"/>
    <w:rsid w:val="002D659E"/>
    <w:rsid w:val="002D7823"/>
    <w:rsid w:val="002D7E58"/>
    <w:rsid w:val="002E42FD"/>
    <w:rsid w:val="002E4C2D"/>
    <w:rsid w:val="002E4FF6"/>
    <w:rsid w:val="002E5343"/>
    <w:rsid w:val="002E5DEA"/>
    <w:rsid w:val="002E6995"/>
    <w:rsid w:val="002E724A"/>
    <w:rsid w:val="002E75C6"/>
    <w:rsid w:val="002F07B7"/>
    <w:rsid w:val="002F0CC4"/>
    <w:rsid w:val="002F1207"/>
    <w:rsid w:val="002F2BB2"/>
    <w:rsid w:val="002F30CF"/>
    <w:rsid w:val="002F311E"/>
    <w:rsid w:val="002F71B8"/>
    <w:rsid w:val="0030057F"/>
    <w:rsid w:val="0030185B"/>
    <w:rsid w:val="00301EA1"/>
    <w:rsid w:val="00301FB0"/>
    <w:rsid w:val="00302FCC"/>
    <w:rsid w:val="00304558"/>
    <w:rsid w:val="003062AE"/>
    <w:rsid w:val="003115C3"/>
    <w:rsid w:val="00311FFD"/>
    <w:rsid w:val="003122C3"/>
    <w:rsid w:val="0031379A"/>
    <w:rsid w:val="00313AD6"/>
    <w:rsid w:val="00314AC2"/>
    <w:rsid w:val="00315514"/>
    <w:rsid w:val="00316ED3"/>
    <w:rsid w:val="00317E8E"/>
    <w:rsid w:val="0032098A"/>
    <w:rsid w:val="003264D1"/>
    <w:rsid w:val="00327C5C"/>
    <w:rsid w:val="00330879"/>
    <w:rsid w:val="00330975"/>
    <w:rsid w:val="003329FB"/>
    <w:rsid w:val="00334ACF"/>
    <w:rsid w:val="00341A14"/>
    <w:rsid w:val="00342647"/>
    <w:rsid w:val="003427AF"/>
    <w:rsid w:val="00351381"/>
    <w:rsid w:val="003530A6"/>
    <w:rsid w:val="00353627"/>
    <w:rsid w:val="00354ABB"/>
    <w:rsid w:val="00355951"/>
    <w:rsid w:val="00355F72"/>
    <w:rsid w:val="0035655F"/>
    <w:rsid w:val="00357657"/>
    <w:rsid w:val="00361244"/>
    <w:rsid w:val="00362D69"/>
    <w:rsid w:val="003639A6"/>
    <w:rsid w:val="003679AE"/>
    <w:rsid w:val="003707ED"/>
    <w:rsid w:val="0037691A"/>
    <w:rsid w:val="00380748"/>
    <w:rsid w:val="003814F3"/>
    <w:rsid w:val="003817E6"/>
    <w:rsid w:val="0038281C"/>
    <w:rsid w:val="00383A7D"/>
    <w:rsid w:val="00384BD1"/>
    <w:rsid w:val="003851FE"/>
    <w:rsid w:val="00385A64"/>
    <w:rsid w:val="00386D1A"/>
    <w:rsid w:val="003877C8"/>
    <w:rsid w:val="003914A2"/>
    <w:rsid w:val="00391CA9"/>
    <w:rsid w:val="00391F2D"/>
    <w:rsid w:val="0039381A"/>
    <w:rsid w:val="003943F6"/>
    <w:rsid w:val="00397170"/>
    <w:rsid w:val="003977A7"/>
    <w:rsid w:val="003A1020"/>
    <w:rsid w:val="003A2A9C"/>
    <w:rsid w:val="003A3433"/>
    <w:rsid w:val="003A537E"/>
    <w:rsid w:val="003A660F"/>
    <w:rsid w:val="003B095E"/>
    <w:rsid w:val="003B0C70"/>
    <w:rsid w:val="003B15F2"/>
    <w:rsid w:val="003B39A8"/>
    <w:rsid w:val="003B4723"/>
    <w:rsid w:val="003B4F4E"/>
    <w:rsid w:val="003B69FA"/>
    <w:rsid w:val="003B755E"/>
    <w:rsid w:val="003B7A8C"/>
    <w:rsid w:val="003C0AF5"/>
    <w:rsid w:val="003C0BF9"/>
    <w:rsid w:val="003C0EAF"/>
    <w:rsid w:val="003C1A9F"/>
    <w:rsid w:val="003C1AD2"/>
    <w:rsid w:val="003C2803"/>
    <w:rsid w:val="003C46E3"/>
    <w:rsid w:val="003C52FF"/>
    <w:rsid w:val="003C5F28"/>
    <w:rsid w:val="003D11A9"/>
    <w:rsid w:val="003D2A37"/>
    <w:rsid w:val="003D32CE"/>
    <w:rsid w:val="003D69EF"/>
    <w:rsid w:val="003D7F8C"/>
    <w:rsid w:val="003E0EDB"/>
    <w:rsid w:val="003E1C3A"/>
    <w:rsid w:val="003E2798"/>
    <w:rsid w:val="003E2A0B"/>
    <w:rsid w:val="003E6142"/>
    <w:rsid w:val="003E6475"/>
    <w:rsid w:val="003F0077"/>
    <w:rsid w:val="003F105A"/>
    <w:rsid w:val="003F283D"/>
    <w:rsid w:val="003F2D8F"/>
    <w:rsid w:val="003F339B"/>
    <w:rsid w:val="003F6115"/>
    <w:rsid w:val="003F6199"/>
    <w:rsid w:val="003F67B4"/>
    <w:rsid w:val="003F74EE"/>
    <w:rsid w:val="00401EDD"/>
    <w:rsid w:val="00402E95"/>
    <w:rsid w:val="004033BF"/>
    <w:rsid w:val="00405A95"/>
    <w:rsid w:val="004061AD"/>
    <w:rsid w:val="00406279"/>
    <w:rsid w:val="00406CFA"/>
    <w:rsid w:val="0041201B"/>
    <w:rsid w:val="00414070"/>
    <w:rsid w:val="0041550C"/>
    <w:rsid w:val="00416CCD"/>
    <w:rsid w:val="00421450"/>
    <w:rsid w:val="00423EB0"/>
    <w:rsid w:val="004253F6"/>
    <w:rsid w:val="0042752A"/>
    <w:rsid w:val="00427B49"/>
    <w:rsid w:val="00427E55"/>
    <w:rsid w:val="00432EA0"/>
    <w:rsid w:val="00433A17"/>
    <w:rsid w:val="00435FA7"/>
    <w:rsid w:val="00437BB5"/>
    <w:rsid w:val="004410A9"/>
    <w:rsid w:val="004427D2"/>
    <w:rsid w:val="00443268"/>
    <w:rsid w:val="00443FF4"/>
    <w:rsid w:val="00445755"/>
    <w:rsid w:val="004471C5"/>
    <w:rsid w:val="004472ED"/>
    <w:rsid w:val="00453BAE"/>
    <w:rsid w:val="00453D59"/>
    <w:rsid w:val="00453DD2"/>
    <w:rsid w:val="00454493"/>
    <w:rsid w:val="004551A0"/>
    <w:rsid w:val="00457EAA"/>
    <w:rsid w:val="004619BB"/>
    <w:rsid w:val="00463C36"/>
    <w:rsid w:val="00463ED8"/>
    <w:rsid w:val="0046478F"/>
    <w:rsid w:val="0046479A"/>
    <w:rsid w:val="00465D3F"/>
    <w:rsid w:val="00465ECF"/>
    <w:rsid w:val="0046621E"/>
    <w:rsid w:val="00470CDE"/>
    <w:rsid w:val="00472D4D"/>
    <w:rsid w:val="00473EA8"/>
    <w:rsid w:val="00474BEF"/>
    <w:rsid w:val="00480272"/>
    <w:rsid w:val="00485CA4"/>
    <w:rsid w:val="00491185"/>
    <w:rsid w:val="004919DD"/>
    <w:rsid w:val="0049378B"/>
    <w:rsid w:val="00494F7C"/>
    <w:rsid w:val="00496D24"/>
    <w:rsid w:val="00497110"/>
    <w:rsid w:val="004A2DF5"/>
    <w:rsid w:val="004A4EF3"/>
    <w:rsid w:val="004B31BD"/>
    <w:rsid w:val="004B3C00"/>
    <w:rsid w:val="004B49B7"/>
    <w:rsid w:val="004C1360"/>
    <w:rsid w:val="004C27E8"/>
    <w:rsid w:val="004C287B"/>
    <w:rsid w:val="004C469E"/>
    <w:rsid w:val="004C4EBE"/>
    <w:rsid w:val="004D008D"/>
    <w:rsid w:val="004D0F59"/>
    <w:rsid w:val="004D1006"/>
    <w:rsid w:val="004D2B94"/>
    <w:rsid w:val="004D45DF"/>
    <w:rsid w:val="004D6A08"/>
    <w:rsid w:val="004D7519"/>
    <w:rsid w:val="004E035E"/>
    <w:rsid w:val="004E0C0B"/>
    <w:rsid w:val="004E14FF"/>
    <w:rsid w:val="004E1686"/>
    <w:rsid w:val="004E2125"/>
    <w:rsid w:val="004E3477"/>
    <w:rsid w:val="004E4020"/>
    <w:rsid w:val="004F0942"/>
    <w:rsid w:val="004F3688"/>
    <w:rsid w:val="004F3AAE"/>
    <w:rsid w:val="004F4415"/>
    <w:rsid w:val="004F4BDE"/>
    <w:rsid w:val="004F60C7"/>
    <w:rsid w:val="004F6163"/>
    <w:rsid w:val="004F6376"/>
    <w:rsid w:val="004F7CAC"/>
    <w:rsid w:val="005007C1"/>
    <w:rsid w:val="00500A76"/>
    <w:rsid w:val="005026A1"/>
    <w:rsid w:val="00502A2D"/>
    <w:rsid w:val="00505CCB"/>
    <w:rsid w:val="00507713"/>
    <w:rsid w:val="0051046C"/>
    <w:rsid w:val="005107DE"/>
    <w:rsid w:val="00511320"/>
    <w:rsid w:val="005139CD"/>
    <w:rsid w:val="005143F9"/>
    <w:rsid w:val="00516566"/>
    <w:rsid w:val="005175B8"/>
    <w:rsid w:val="00520A3F"/>
    <w:rsid w:val="00520C70"/>
    <w:rsid w:val="005218C3"/>
    <w:rsid w:val="00524AD3"/>
    <w:rsid w:val="00527619"/>
    <w:rsid w:val="005277A6"/>
    <w:rsid w:val="00530C49"/>
    <w:rsid w:val="00531C11"/>
    <w:rsid w:val="00532EE9"/>
    <w:rsid w:val="00533683"/>
    <w:rsid w:val="005340B4"/>
    <w:rsid w:val="00535C74"/>
    <w:rsid w:val="005361AB"/>
    <w:rsid w:val="00541D43"/>
    <w:rsid w:val="00542068"/>
    <w:rsid w:val="00543AF9"/>
    <w:rsid w:val="0054598E"/>
    <w:rsid w:val="005500A3"/>
    <w:rsid w:val="005527D1"/>
    <w:rsid w:val="0055494D"/>
    <w:rsid w:val="0055532F"/>
    <w:rsid w:val="005556A5"/>
    <w:rsid w:val="005558A9"/>
    <w:rsid w:val="00561D24"/>
    <w:rsid w:val="0056282F"/>
    <w:rsid w:val="0056343A"/>
    <w:rsid w:val="00563B0F"/>
    <w:rsid w:val="00564A4B"/>
    <w:rsid w:val="00564E9C"/>
    <w:rsid w:val="0056640A"/>
    <w:rsid w:val="005709F0"/>
    <w:rsid w:val="00571907"/>
    <w:rsid w:val="00571B93"/>
    <w:rsid w:val="00572CC3"/>
    <w:rsid w:val="00576ADE"/>
    <w:rsid w:val="00577CFD"/>
    <w:rsid w:val="00577DEF"/>
    <w:rsid w:val="00577FE9"/>
    <w:rsid w:val="005832CA"/>
    <w:rsid w:val="00587023"/>
    <w:rsid w:val="00587267"/>
    <w:rsid w:val="005901EC"/>
    <w:rsid w:val="00590B8F"/>
    <w:rsid w:val="00591465"/>
    <w:rsid w:val="00592127"/>
    <w:rsid w:val="005924A7"/>
    <w:rsid w:val="005924AF"/>
    <w:rsid w:val="00592546"/>
    <w:rsid w:val="005942F1"/>
    <w:rsid w:val="00594438"/>
    <w:rsid w:val="005948F6"/>
    <w:rsid w:val="00595662"/>
    <w:rsid w:val="00597775"/>
    <w:rsid w:val="00597972"/>
    <w:rsid w:val="00597AEC"/>
    <w:rsid w:val="005A3380"/>
    <w:rsid w:val="005A4D6E"/>
    <w:rsid w:val="005A5ADB"/>
    <w:rsid w:val="005A770E"/>
    <w:rsid w:val="005B08C3"/>
    <w:rsid w:val="005B0DEF"/>
    <w:rsid w:val="005B19BE"/>
    <w:rsid w:val="005B29E7"/>
    <w:rsid w:val="005B46DE"/>
    <w:rsid w:val="005B5932"/>
    <w:rsid w:val="005B71A2"/>
    <w:rsid w:val="005B7554"/>
    <w:rsid w:val="005C0068"/>
    <w:rsid w:val="005C037C"/>
    <w:rsid w:val="005C231E"/>
    <w:rsid w:val="005C3296"/>
    <w:rsid w:val="005C3BD2"/>
    <w:rsid w:val="005C3D8F"/>
    <w:rsid w:val="005C448A"/>
    <w:rsid w:val="005C6285"/>
    <w:rsid w:val="005C6C37"/>
    <w:rsid w:val="005C7869"/>
    <w:rsid w:val="005D03E6"/>
    <w:rsid w:val="005D1ACD"/>
    <w:rsid w:val="005D4D04"/>
    <w:rsid w:val="005D5BA1"/>
    <w:rsid w:val="005D622E"/>
    <w:rsid w:val="005D6D3E"/>
    <w:rsid w:val="005D6D9B"/>
    <w:rsid w:val="005D774D"/>
    <w:rsid w:val="005E4177"/>
    <w:rsid w:val="005E49B2"/>
    <w:rsid w:val="005E7EE5"/>
    <w:rsid w:val="005F0AE8"/>
    <w:rsid w:val="005F1C99"/>
    <w:rsid w:val="005F2A6B"/>
    <w:rsid w:val="005F39DA"/>
    <w:rsid w:val="005F3B63"/>
    <w:rsid w:val="005F40C1"/>
    <w:rsid w:val="005F4291"/>
    <w:rsid w:val="005F4E4B"/>
    <w:rsid w:val="006024D3"/>
    <w:rsid w:val="00604104"/>
    <w:rsid w:val="00606EF9"/>
    <w:rsid w:val="0060706A"/>
    <w:rsid w:val="006070C4"/>
    <w:rsid w:val="0060729D"/>
    <w:rsid w:val="00607758"/>
    <w:rsid w:val="00610D5E"/>
    <w:rsid w:val="00610D83"/>
    <w:rsid w:val="006110E8"/>
    <w:rsid w:val="006110E9"/>
    <w:rsid w:val="0061117F"/>
    <w:rsid w:val="00613467"/>
    <w:rsid w:val="00613737"/>
    <w:rsid w:val="00614208"/>
    <w:rsid w:val="00616E2A"/>
    <w:rsid w:val="00623B97"/>
    <w:rsid w:val="00624315"/>
    <w:rsid w:val="0062545B"/>
    <w:rsid w:val="0062552A"/>
    <w:rsid w:val="00625AFB"/>
    <w:rsid w:val="00625BA5"/>
    <w:rsid w:val="00627621"/>
    <w:rsid w:val="00630018"/>
    <w:rsid w:val="006332BE"/>
    <w:rsid w:val="00640339"/>
    <w:rsid w:val="006408C3"/>
    <w:rsid w:val="006436BF"/>
    <w:rsid w:val="00644BE1"/>
    <w:rsid w:val="0064620D"/>
    <w:rsid w:val="00646EA5"/>
    <w:rsid w:val="00647DC1"/>
    <w:rsid w:val="00650CAC"/>
    <w:rsid w:val="00650F08"/>
    <w:rsid w:val="006522F5"/>
    <w:rsid w:val="00657754"/>
    <w:rsid w:val="00657CEE"/>
    <w:rsid w:val="00657FC3"/>
    <w:rsid w:val="00661286"/>
    <w:rsid w:val="00662DFF"/>
    <w:rsid w:val="00664356"/>
    <w:rsid w:val="00665E94"/>
    <w:rsid w:val="00665F19"/>
    <w:rsid w:val="00670058"/>
    <w:rsid w:val="00672120"/>
    <w:rsid w:val="00675C69"/>
    <w:rsid w:val="00676D43"/>
    <w:rsid w:val="00677B8B"/>
    <w:rsid w:val="00681CF8"/>
    <w:rsid w:val="0068298C"/>
    <w:rsid w:val="0068497B"/>
    <w:rsid w:val="00685129"/>
    <w:rsid w:val="00686096"/>
    <w:rsid w:val="00686C11"/>
    <w:rsid w:val="006907AF"/>
    <w:rsid w:val="00691913"/>
    <w:rsid w:val="00691F7A"/>
    <w:rsid w:val="006926D2"/>
    <w:rsid w:val="00692FB3"/>
    <w:rsid w:val="006A0F1B"/>
    <w:rsid w:val="006A138B"/>
    <w:rsid w:val="006A33B6"/>
    <w:rsid w:val="006A3712"/>
    <w:rsid w:val="006A69E6"/>
    <w:rsid w:val="006B040A"/>
    <w:rsid w:val="006B140A"/>
    <w:rsid w:val="006C1586"/>
    <w:rsid w:val="006C2817"/>
    <w:rsid w:val="006C4906"/>
    <w:rsid w:val="006C7077"/>
    <w:rsid w:val="006D2DD6"/>
    <w:rsid w:val="006D3271"/>
    <w:rsid w:val="006D3DF9"/>
    <w:rsid w:val="006D42B8"/>
    <w:rsid w:val="006D6DE7"/>
    <w:rsid w:val="006D7311"/>
    <w:rsid w:val="006E6571"/>
    <w:rsid w:val="006E685B"/>
    <w:rsid w:val="006E7302"/>
    <w:rsid w:val="006F161E"/>
    <w:rsid w:val="006F21CC"/>
    <w:rsid w:val="006F4703"/>
    <w:rsid w:val="007015CE"/>
    <w:rsid w:val="00701F8A"/>
    <w:rsid w:val="00702831"/>
    <w:rsid w:val="00704B6E"/>
    <w:rsid w:val="00707082"/>
    <w:rsid w:val="00711717"/>
    <w:rsid w:val="00712162"/>
    <w:rsid w:val="00712C73"/>
    <w:rsid w:val="007135C2"/>
    <w:rsid w:val="00713A7A"/>
    <w:rsid w:val="00714593"/>
    <w:rsid w:val="00716F65"/>
    <w:rsid w:val="007175AE"/>
    <w:rsid w:val="00720127"/>
    <w:rsid w:val="00720AD5"/>
    <w:rsid w:val="00721D1D"/>
    <w:rsid w:val="0072260F"/>
    <w:rsid w:val="00723AB1"/>
    <w:rsid w:val="00723E1E"/>
    <w:rsid w:val="0072528D"/>
    <w:rsid w:val="00726229"/>
    <w:rsid w:val="007311B4"/>
    <w:rsid w:val="00732C58"/>
    <w:rsid w:val="0073328B"/>
    <w:rsid w:val="007344AD"/>
    <w:rsid w:val="00735B3A"/>
    <w:rsid w:val="00736930"/>
    <w:rsid w:val="00737B7B"/>
    <w:rsid w:val="00740698"/>
    <w:rsid w:val="00741924"/>
    <w:rsid w:val="0074318B"/>
    <w:rsid w:val="0074355D"/>
    <w:rsid w:val="00747333"/>
    <w:rsid w:val="007509A6"/>
    <w:rsid w:val="00750B5A"/>
    <w:rsid w:val="00751984"/>
    <w:rsid w:val="00751B92"/>
    <w:rsid w:val="00752E13"/>
    <w:rsid w:val="00755627"/>
    <w:rsid w:val="0075623B"/>
    <w:rsid w:val="0076061D"/>
    <w:rsid w:val="00761FFA"/>
    <w:rsid w:val="007633B0"/>
    <w:rsid w:val="00763B87"/>
    <w:rsid w:val="0076687A"/>
    <w:rsid w:val="00766AF9"/>
    <w:rsid w:val="00766F65"/>
    <w:rsid w:val="00770E0E"/>
    <w:rsid w:val="00770E1C"/>
    <w:rsid w:val="007715D2"/>
    <w:rsid w:val="00772501"/>
    <w:rsid w:val="00772C70"/>
    <w:rsid w:val="00774BA7"/>
    <w:rsid w:val="00776F76"/>
    <w:rsid w:val="007801EF"/>
    <w:rsid w:val="00781035"/>
    <w:rsid w:val="007847FA"/>
    <w:rsid w:val="007856E6"/>
    <w:rsid w:val="00786E8E"/>
    <w:rsid w:val="007872FE"/>
    <w:rsid w:val="00790910"/>
    <w:rsid w:val="00790D0C"/>
    <w:rsid w:val="00791881"/>
    <w:rsid w:val="00791DE1"/>
    <w:rsid w:val="00792180"/>
    <w:rsid w:val="0079492D"/>
    <w:rsid w:val="007A3A8C"/>
    <w:rsid w:val="007A3FE6"/>
    <w:rsid w:val="007A51FA"/>
    <w:rsid w:val="007A529A"/>
    <w:rsid w:val="007B0E0C"/>
    <w:rsid w:val="007B1BEC"/>
    <w:rsid w:val="007B1D30"/>
    <w:rsid w:val="007B35B2"/>
    <w:rsid w:val="007C26E5"/>
    <w:rsid w:val="007C577D"/>
    <w:rsid w:val="007C64D0"/>
    <w:rsid w:val="007C6C8E"/>
    <w:rsid w:val="007C720A"/>
    <w:rsid w:val="007D1092"/>
    <w:rsid w:val="007D2621"/>
    <w:rsid w:val="007D362B"/>
    <w:rsid w:val="007D52B0"/>
    <w:rsid w:val="007E027C"/>
    <w:rsid w:val="007E2C9D"/>
    <w:rsid w:val="007E3562"/>
    <w:rsid w:val="007E3AB5"/>
    <w:rsid w:val="007E7282"/>
    <w:rsid w:val="007F08CA"/>
    <w:rsid w:val="007F3B6E"/>
    <w:rsid w:val="007F4FAE"/>
    <w:rsid w:val="00800210"/>
    <w:rsid w:val="0080282F"/>
    <w:rsid w:val="008034A9"/>
    <w:rsid w:val="00804152"/>
    <w:rsid w:val="008058E8"/>
    <w:rsid w:val="00806434"/>
    <w:rsid w:val="0081014D"/>
    <w:rsid w:val="0081017E"/>
    <w:rsid w:val="00813140"/>
    <w:rsid w:val="00813288"/>
    <w:rsid w:val="00815E89"/>
    <w:rsid w:val="00821A29"/>
    <w:rsid w:val="00823233"/>
    <w:rsid w:val="00824426"/>
    <w:rsid w:val="00826105"/>
    <w:rsid w:val="008271A5"/>
    <w:rsid w:val="008307A4"/>
    <w:rsid w:val="00830E52"/>
    <w:rsid w:val="008324E3"/>
    <w:rsid w:val="008333B1"/>
    <w:rsid w:val="00834DD9"/>
    <w:rsid w:val="00836E8D"/>
    <w:rsid w:val="008376D3"/>
    <w:rsid w:val="008428A4"/>
    <w:rsid w:val="0084326F"/>
    <w:rsid w:val="00845946"/>
    <w:rsid w:val="00845B69"/>
    <w:rsid w:val="00845C0F"/>
    <w:rsid w:val="008476A0"/>
    <w:rsid w:val="00850808"/>
    <w:rsid w:val="00851253"/>
    <w:rsid w:val="00852DF7"/>
    <w:rsid w:val="00852F38"/>
    <w:rsid w:val="0085352F"/>
    <w:rsid w:val="00854C36"/>
    <w:rsid w:val="00856230"/>
    <w:rsid w:val="00856A48"/>
    <w:rsid w:val="00856C34"/>
    <w:rsid w:val="00860DC8"/>
    <w:rsid w:val="00862C23"/>
    <w:rsid w:val="00864BCC"/>
    <w:rsid w:val="00865DC1"/>
    <w:rsid w:val="00870089"/>
    <w:rsid w:val="00871B2E"/>
    <w:rsid w:val="008750F9"/>
    <w:rsid w:val="00875341"/>
    <w:rsid w:val="0087536F"/>
    <w:rsid w:val="008772FD"/>
    <w:rsid w:val="00880A40"/>
    <w:rsid w:val="008840EC"/>
    <w:rsid w:val="008842BD"/>
    <w:rsid w:val="00885257"/>
    <w:rsid w:val="0088637C"/>
    <w:rsid w:val="008869F4"/>
    <w:rsid w:val="00890A75"/>
    <w:rsid w:val="00893EEF"/>
    <w:rsid w:val="0089538E"/>
    <w:rsid w:val="00897B44"/>
    <w:rsid w:val="008A2397"/>
    <w:rsid w:val="008A3C58"/>
    <w:rsid w:val="008A4803"/>
    <w:rsid w:val="008A4880"/>
    <w:rsid w:val="008A4A44"/>
    <w:rsid w:val="008A52B1"/>
    <w:rsid w:val="008B0E9C"/>
    <w:rsid w:val="008B2CA2"/>
    <w:rsid w:val="008B2FDF"/>
    <w:rsid w:val="008B56F8"/>
    <w:rsid w:val="008B5B32"/>
    <w:rsid w:val="008B6674"/>
    <w:rsid w:val="008C2337"/>
    <w:rsid w:val="008C280E"/>
    <w:rsid w:val="008C363D"/>
    <w:rsid w:val="008D0EA4"/>
    <w:rsid w:val="008D1C29"/>
    <w:rsid w:val="008D3E72"/>
    <w:rsid w:val="008D78FF"/>
    <w:rsid w:val="008E11E3"/>
    <w:rsid w:val="008E1F4E"/>
    <w:rsid w:val="008F3517"/>
    <w:rsid w:val="008F3E9A"/>
    <w:rsid w:val="00902C18"/>
    <w:rsid w:val="00904934"/>
    <w:rsid w:val="00905245"/>
    <w:rsid w:val="0091019F"/>
    <w:rsid w:val="00910BE0"/>
    <w:rsid w:val="00914DA7"/>
    <w:rsid w:val="00915F63"/>
    <w:rsid w:val="009169B2"/>
    <w:rsid w:val="0091768C"/>
    <w:rsid w:val="009177E9"/>
    <w:rsid w:val="009177F7"/>
    <w:rsid w:val="00917FB9"/>
    <w:rsid w:val="009203DE"/>
    <w:rsid w:val="009207C3"/>
    <w:rsid w:val="00920F97"/>
    <w:rsid w:val="00925083"/>
    <w:rsid w:val="0092606A"/>
    <w:rsid w:val="009266CF"/>
    <w:rsid w:val="00927070"/>
    <w:rsid w:val="009300F7"/>
    <w:rsid w:val="0093202D"/>
    <w:rsid w:val="009331CF"/>
    <w:rsid w:val="009334AC"/>
    <w:rsid w:val="0093491C"/>
    <w:rsid w:val="009367FC"/>
    <w:rsid w:val="00941135"/>
    <w:rsid w:val="00942010"/>
    <w:rsid w:val="009426EC"/>
    <w:rsid w:val="0094320A"/>
    <w:rsid w:val="009457BD"/>
    <w:rsid w:val="009463FA"/>
    <w:rsid w:val="00950EDF"/>
    <w:rsid w:val="0095170D"/>
    <w:rsid w:val="0095307F"/>
    <w:rsid w:val="00954174"/>
    <w:rsid w:val="00955526"/>
    <w:rsid w:val="00955551"/>
    <w:rsid w:val="00956331"/>
    <w:rsid w:val="00966C09"/>
    <w:rsid w:val="009705CB"/>
    <w:rsid w:val="00970BDA"/>
    <w:rsid w:val="009722A7"/>
    <w:rsid w:val="009761DA"/>
    <w:rsid w:val="009813A5"/>
    <w:rsid w:val="009817D3"/>
    <w:rsid w:val="00981EB9"/>
    <w:rsid w:val="00984441"/>
    <w:rsid w:val="009844CF"/>
    <w:rsid w:val="00984DD2"/>
    <w:rsid w:val="00984DD8"/>
    <w:rsid w:val="0098722C"/>
    <w:rsid w:val="0099085F"/>
    <w:rsid w:val="009925DB"/>
    <w:rsid w:val="00993C5B"/>
    <w:rsid w:val="00993CC9"/>
    <w:rsid w:val="00995A9F"/>
    <w:rsid w:val="00995ACC"/>
    <w:rsid w:val="009967CF"/>
    <w:rsid w:val="00996A44"/>
    <w:rsid w:val="00996C8D"/>
    <w:rsid w:val="009A0329"/>
    <w:rsid w:val="009A16C6"/>
    <w:rsid w:val="009A1BDB"/>
    <w:rsid w:val="009A6AFB"/>
    <w:rsid w:val="009A6F74"/>
    <w:rsid w:val="009B275C"/>
    <w:rsid w:val="009B376D"/>
    <w:rsid w:val="009B72AD"/>
    <w:rsid w:val="009C5C6E"/>
    <w:rsid w:val="009C7BB3"/>
    <w:rsid w:val="009D3628"/>
    <w:rsid w:val="009D469C"/>
    <w:rsid w:val="009D4C2A"/>
    <w:rsid w:val="009D6914"/>
    <w:rsid w:val="009D7D55"/>
    <w:rsid w:val="009E1867"/>
    <w:rsid w:val="009E1C22"/>
    <w:rsid w:val="009E200A"/>
    <w:rsid w:val="009E2481"/>
    <w:rsid w:val="009E28F0"/>
    <w:rsid w:val="009E379C"/>
    <w:rsid w:val="009E3977"/>
    <w:rsid w:val="009E513C"/>
    <w:rsid w:val="009E5B90"/>
    <w:rsid w:val="009E684A"/>
    <w:rsid w:val="009F107A"/>
    <w:rsid w:val="009F14AE"/>
    <w:rsid w:val="009F3631"/>
    <w:rsid w:val="009F3790"/>
    <w:rsid w:val="009F3902"/>
    <w:rsid w:val="009F5249"/>
    <w:rsid w:val="009F5590"/>
    <w:rsid w:val="009F7CEB"/>
    <w:rsid w:val="00A0080A"/>
    <w:rsid w:val="00A01A38"/>
    <w:rsid w:val="00A01D9F"/>
    <w:rsid w:val="00A0295A"/>
    <w:rsid w:val="00A040FD"/>
    <w:rsid w:val="00A0426A"/>
    <w:rsid w:val="00A04877"/>
    <w:rsid w:val="00A04C0D"/>
    <w:rsid w:val="00A05C3E"/>
    <w:rsid w:val="00A05C4D"/>
    <w:rsid w:val="00A07A7F"/>
    <w:rsid w:val="00A07F90"/>
    <w:rsid w:val="00A1102C"/>
    <w:rsid w:val="00A12983"/>
    <w:rsid w:val="00A14160"/>
    <w:rsid w:val="00A14701"/>
    <w:rsid w:val="00A14B54"/>
    <w:rsid w:val="00A20B1A"/>
    <w:rsid w:val="00A21D50"/>
    <w:rsid w:val="00A22A39"/>
    <w:rsid w:val="00A2434F"/>
    <w:rsid w:val="00A30DB7"/>
    <w:rsid w:val="00A31DFF"/>
    <w:rsid w:val="00A33788"/>
    <w:rsid w:val="00A35632"/>
    <w:rsid w:val="00A35B69"/>
    <w:rsid w:val="00A410D2"/>
    <w:rsid w:val="00A41E5D"/>
    <w:rsid w:val="00A44E3A"/>
    <w:rsid w:val="00A46476"/>
    <w:rsid w:val="00A47B27"/>
    <w:rsid w:val="00A50B2C"/>
    <w:rsid w:val="00A51D6B"/>
    <w:rsid w:val="00A535FB"/>
    <w:rsid w:val="00A5671A"/>
    <w:rsid w:val="00A57AB7"/>
    <w:rsid w:val="00A6080B"/>
    <w:rsid w:val="00A62F3A"/>
    <w:rsid w:val="00A6374D"/>
    <w:rsid w:val="00A6434D"/>
    <w:rsid w:val="00A658B5"/>
    <w:rsid w:val="00A7036D"/>
    <w:rsid w:val="00A72BDE"/>
    <w:rsid w:val="00A76209"/>
    <w:rsid w:val="00A765B8"/>
    <w:rsid w:val="00A7781C"/>
    <w:rsid w:val="00A80FF6"/>
    <w:rsid w:val="00A81621"/>
    <w:rsid w:val="00A81A6E"/>
    <w:rsid w:val="00A81F82"/>
    <w:rsid w:val="00A83281"/>
    <w:rsid w:val="00A840EC"/>
    <w:rsid w:val="00A841B0"/>
    <w:rsid w:val="00A85A2B"/>
    <w:rsid w:val="00A876C5"/>
    <w:rsid w:val="00A87F84"/>
    <w:rsid w:val="00A90625"/>
    <w:rsid w:val="00A93543"/>
    <w:rsid w:val="00A93DA8"/>
    <w:rsid w:val="00A94EFC"/>
    <w:rsid w:val="00AA04BD"/>
    <w:rsid w:val="00AA0DDE"/>
    <w:rsid w:val="00AA0DE6"/>
    <w:rsid w:val="00AA1681"/>
    <w:rsid w:val="00AA1F22"/>
    <w:rsid w:val="00AA2FA1"/>
    <w:rsid w:val="00AA51C1"/>
    <w:rsid w:val="00AA5BDC"/>
    <w:rsid w:val="00AA6156"/>
    <w:rsid w:val="00AA6B09"/>
    <w:rsid w:val="00AA73AC"/>
    <w:rsid w:val="00AA7B77"/>
    <w:rsid w:val="00AB187A"/>
    <w:rsid w:val="00AB514A"/>
    <w:rsid w:val="00AB74F6"/>
    <w:rsid w:val="00AB7AF0"/>
    <w:rsid w:val="00AC50E3"/>
    <w:rsid w:val="00AC5E3A"/>
    <w:rsid w:val="00AC6354"/>
    <w:rsid w:val="00AC6553"/>
    <w:rsid w:val="00AD0232"/>
    <w:rsid w:val="00AD217A"/>
    <w:rsid w:val="00AD2685"/>
    <w:rsid w:val="00AD51C9"/>
    <w:rsid w:val="00AE2A68"/>
    <w:rsid w:val="00AE330D"/>
    <w:rsid w:val="00AE3752"/>
    <w:rsid w:val="00AE513E"/>
    <w:rsid w:val="00AE6269"/>
    <w:rsid w:val="00AE7AA8"/>
    <w:rsid w:val="00AF0DF9"/>
    <w:rsid w:val="00AF110B"/>
    <w:rsid w:val="00AF206B"/>
    <w:rsid w:val="00AF4BE4"/>
    <w:rsid w:val="00B00B28"/>
    <w:rsid w:val="00B00E9D"/>
    <w:rsid w:val="00B03B74"/>
    <w:rsid w:val="00B0423C"/>
    <w:rsid w:val="00B05A6C"/>
    <w:rsid w:val="00B067FF"/>
    <w:rsid w:val="00B110DF"/>
    <w:rsid w:val="00B11EA0"/>
    <w:rsid w:val="00B13BB0"/>
    <w:rsid w:val="00B15282"/>
    <w:rsid w:val="00B152DC"/>
    <w:rsid w:val="00B157CD"/>
    <w:rsid w:val="00B17FDB"/>
    <w:rsid w:val="00B21BB1"/>
    <w:rsid w:val="00B222FB"/>
    <w:rsid w:val="00B23350"/>
    <w:rsid w:val="00B23F1C"/>
    <w:rsid w:val="00B25D68"/>
    <w:rsid w:val="00B2777B"/>
    <w:rsid w:val="00B36436"/>
    <w:rsid w:val="00B37D0B"/>
    <w:rsid w:val="00B45617"/>
    <w:rsid w:val="00B45F0B"/>
    <w:rsid w:val="00B46CD4"/>
    <w:rsid w:val="00B50E5C"/>
    <w:rsid w:val="00B539FB"/>
    <w:rsid w:val="00B54100"/>
    <w:rsid w:val="00B54C8B"/>
    <w:rsid w:val="00B552FE"/>
    <w:rsid w:val="00B5586D"/>
    <w:rsid w:val="00B57071"/>
    <w:rsid w:val="00B60688"/>
    <w:rsid w:val="00B61D92"/>
    <w:rsid w:val="00B61E91"/>
    <w:rsid w:val="00B62FE1"/>
    <w:rsid w:val="00B63385"/>
    <w:rsid w:val="00B6367E"/>
    <w:rsid w:val="00B63851"/>
    <w:rsid w:val="00B63B06"/>
    <w:rsid w:val="00B66C37"/>
    <w:rsid w:val="00B67119"/>
    <w:rsid w:val="00B677D1"/>
    <w:rsid w:val="00B7135D"/>
    <w:rsid w:val="00B71675"/>
    <w:rsid w:val="00B71B62"/>
    <w:rsid w:val="00B74338"/>
    <w:rsid w:val="00B7476B"/>
    <w:rsid w:val="00B75BC0"/>
    <w:rsid w:val="00B7796D"/>
    <w:rsid w:val="00B80B83"/>
    <w:rsid w:val="00B81A5A"/>
    <w:rsid w:val="00B824A8"/>
    <w:rsid w:val="00B84584"/>
    <w:rsid w:val="00B863A0"/>
    <w:rsid w:val="00B901F4"/>
    <w:rsid w:val="00B9043F"/>
    <w:rsid w:val="00B90650"/>
    <w:rsid w:val="00B90956"/>
    <w:rsid w:val="00B915D3"/>
    <w:rsid w:val="00B94D68"/>
    <w:rsid w:val="00B94D80"/>
    <w:rsid w:val="00B960CA"/>
    <w:rsid w:val="00B96854"/>
    <w:rsid w:val="00B969E6"/>
    <w:rsid w:val="00BA01AB"/>
    <w:rsid w:val="00BA03B5"/>
    <w:rsid w:val="00BA0A6D"/>
    <w:rsid w:val="00BA1A07"/>
    <w:rsid w:val="00BA1DD0"/>
    <w:rsid w:val="00BA3306"/>
    <w:rsid w:val="00BA738F"/>
    <w:rsid w:val="00BA73EE"/>
    <w:rsid w:val="00BA7B16"/>
    <w:rsid w:val="00BB4439"/>
    <w:rsid w:val="00BB6B12"/>
    <w:rsid w:val="00BC2C1A"/>
    <w:rsid w:val="00BC2F14"/>
    <w:rsid w:val="00BC39CB"/>
    <w:rsid w:val="00BC551A"/>
    <w:rsid w:val="00BC7FCB"/>
    <w:rsid w:val="00BD03EC"/>
    <w:rsid w:val="00BD1920"/>
    <w:rsid w:val="00BD2828"/>
    <w:rsid w:val="00BE1A36"/>
    <w:rsid w:val="00BE23B8"/>
    <w:rsid w:val="00BE3126"/>
    <w:rsid w:val="00BE3929"/>
    <w:rsid w:val="00BE3CAA"/>
    <w:rsid w:val="00BE3E5F"/>
    <w:rsid w:val="00BE48A7"/>
    <w:rsid w:val="00BE583A"/>
    <w:rsid w:val="00BE62F7"/>
    <w:rsid w:val="00BF459C"/>
    <w:rsid w:val="00BF734E"/>
    <w:rsid w:val="00BF77A0"/>
    <w:rsid w:val="00C02208"/>
    <w:rsid w:val="00C02916"/>
    <w:rsid w:val="00C03187"/>
    <w:rsid w:val="00C05A45"/>
    <w:rsid w:val="00C06418"/>
    <w:rsid w:val="00C07218"/>
    <w:rsid w:val="00C07417"/>
    <w:rsid w:val="00C07BBA"/>
    <w:rsid w:val="00C104C2"/>
    <w:rsid w:val="00C11033"/>
    <w:rsid w:val="00C11C3F"/>
    <w:rsid w:val="00C203B7"/>
    <w:rsid w:val="00C22368"/>
    <w:rsid w:val="00C23BDD"/>
    <w:rsid w:val="00C23FEA"/>
    <w:rsid w:val="00C26C47"/>
    <w:rsid w:val="00C317F3"/>
    <w:rsid w:val="00C368D1"/>
    <w:rsid w:val="00C3766C"/>
    <w:rsid w:val="00C4132F"/>
    <w:rsid w:val="00C4351D"/>
    <w:rsid w:val="00C44C37"/>
    <w:rsid w:val="00C46AE5"/>
    <w:rsid w:val="00C47654"/>
    <w:rsid w:val="00C52339"/>
    <w:rsid w:val="00C52ACF"/>
    <w:rsid w:val="00C53F19"/>
    <w:rsid w:val="00C54AE5"/>
    <w:rsid w:val="00C55629"/>
    <w:rsid w:val="00C57E4D"/>
    <w:rsid w:val="00C60D3C"/>
    <w:rsid w:val="00C626E2"/>
    <w:rsid w:val="00C628C8"/>
    <w:rsid w:val="00C63E90"/>
    <w:rsid w:val="00C6423E"/>
    <w:rsid w:val="00C65200"/>
    <w:rsid w:val="00C65671"/>
    <w:rsid w:val="00C6675C"/>
    <w:rsid w:val="00C70329"/>
    <w:rsid w:val="00C7519E"/>
    <w:rsid w:val="00C7667B"/>
    <w:rsid w:val="00C81A12"/>
    <w:rsid w:val="00C82297"/>
    <w:rsid w:val="00C846BE"/>
    <w:rsid w:val="00C91B59"/>
    <w:rsid w:val="00C93EFE"/>
    <w:rsid w:val="00C963DE"/>
    <w:rsid w:val="00C966EF"/>
    <w:rsid w:val="00CA03EC"/>
    <w:rsid w:val="00CA0C26"/>
    <w:rsid w:val="00CA2B0F"/>
    <w:rsid w:val="00CA6771"/>
    <w:rsid w:val="00CB07A8"/>
    <w:rsid w:val="00CB14A1"/>
    <w:rsid w:val="00CB1EAC"/>
    <w:rsid w:val="00CB28E7"/>
    <w:rsid w:val="00CB5389"/>
    <w:rsid w:val="00CB6018"/>
    <w:rsid w:val="00CB74E1"/>
    <w:rsid w:val="00CC10E1"/>
    <w:rsid w:val="00CC252B"/>
    <w:rsid w:val="00CC5E2B"/>
    <w:rsid w:val="00CD12E3"/>
    <w:rsid w:val="00CD13E6"/>
    <w:rsid w:val="00CD5B13"/>
    <w:rsid w:val="00CD6327"/>
    <w:rsid w:val="00CD6329"/>
    <w:rsid w:val="00CD6361"/>
    <w:rsid w:val="00CE05FE"/>
    <w:rsid w:val="00CE1021"/>
    <w:rsid w:val="00CE1F06"/>
    <w:rsid w:val="00CE2B78"/>
    <w:rsid w:val="00CE2F49"/>
    <w:rsid w:val="00CE4ECE"/>
    <w:rsid w:val="00CE5826"/>
    <w:rsid w:val="00CE5D11"/>
    <w:rsid w:val="00CE74A3"/>
    <w:rsid w:val="00CF43CF"/>
    <w:rsid w:val="00CF47FD"/>
    <w:rsid w:val="00D000EB"/>
    <w:rsid w:val="00D00573"/>
    <w:rsid w:val="00D00FA9"/>
    <w:rsid w:val="00D03234"/>
    <w:rsid w:val="00D034DD"/>
    <w:rsid w:val="00D038E8"/>
    <w:rsid w:val="00D039E2"/>
    <w:rsid w:val="00D03D0C"/>
    <w:rsid w:val="00D04952"/>
    <w:rsid w:val="00D04A1F"/>
    <w:rsid w:val="00D0564F"/>
    <w:rsid w:val="00D06A16"/>
    <w:rsid w:val="00D1078F"/>
    <w:rsid w:val="00D10E60"/>
    <w:rsid w:val="00D12CD2"/>
    <w:rsid w:val="00D14A76"/>
    <w:rsid w:val="00D14D23"/>
    <w:rsid w:val="00D14FA6"/>
    <w:rsid w:val="00D15D8B"/>
    <w:rsid w:val="00D17984"/>
    <w:rsid w:val="00D17F38"/>
    <w:rsid w:val="00D22C13"/>
    <w:rsid w:val="00D23E13"/>
    <w:rsid w:val="00D24DAD"/>
    <w:rsid w:val="00D24FAA"/>
    <w:rsid w:val="00D2539C"/>
    <w:rsid w:val="00D25916"/>
    <w:rsid w:val="00D26623"/>
    <w:rsid w:val="00D317BB"/>
    <w:rsid w:val="00D329E6"/>
    <w:rsid w:val="00D342F0"/>
    <w:rsid w:val="00D3479D"/>
    <w:rsid w:val="00D36F58"/>
    <w:rsid w:val="00D37972"/>
    <w:rsid w:val="00D40896"/>
    <w:rsid w:val="00D41534"/>
    <w:rsid w:val="00D415A6"/>
    <w:rsid w:val="00D41809"/>
    <w:rsid w:val="00D42AE4"/>
    <w:rsid w:val="00D44960"/>
    <w:rsid w:val="00D451FC"/>
    <w:rsid w:val="00D45AD4"/>
    <w:rsid w:val="00D47487"/>
    <w:rsid w:val="00D500F6"/>
    <w:rsid w:val="00D50D56"/>
    <w:rsid w:val="00D52077"/>
    <w:rsid w:val="00D5350C"/>
    <w:rsid w:val="00D54920"/>
    <w:rsid w:val="00D54954"/>
    <w:rsid w:val="00D63119"/>
    <w:rsid w:val="00D63C48"/>
    <w:rsid w:val="00D64289"/>
    <w:rsid w:val="00D6667B"/>
    <w:rsid w:val="00D71400"/>
    <w:rsid w:val="00D716C2"/>
    <w:rsid w:val="00D72C23"/>
    <w:rsid w:val="00D76C31"/>
    <w:rsid w:val="00D82229"/>
    <w:rsid w:val="00D82F6C"/>
    <w:rsid w:val="00D8435D"/>
    <w:rsid w:val="00D84A2D"/>
    <w:rsid w:val="00D860A1"/>
    <w:rsid w:val="00D8610C"/>
    <w:rsid w:val="00D87694"/>
    <w:rsid w:val="00D900EA"/>
    <w:rsid w:val="00D92188"/>
    <w:rsid w:val="00D93791"/>
    <w:rsid w:val="00D95394"/>
    <w:rsid w:val="00D958AB"/>
    <w:rsid w:val="00D970E7"/>
    <w:rsid w:val="00DA032B"/>
    <w:rsid w:val="00DA0456"/>
    <w:rsid w:val="00DA0991"/>
    <w:rsid w:val="00DA0B64"/>
    <w:rsid w:val="00DA2307"/>
    <w:rsid w:val="00DA4010"/>
    <w:rsid w:val="00DA55BB"/>
    <w:rsid w:val="00DA603F"/>
    <w:rsid w:val="00DA6903"/>
    <w:rsid w:val="00DA73EE"/>
    <w:rsid w:val="00DB0A2C"/>
    <w:rsid w:val="00DB0BB7"/>
    <w:rsid w:val="00DB59B1"/>
    <w:rsid w:val="00DB672B"/>
    <w:rsid w:val="00DB6D39"/>
    <w:rsid w:val="00DC0F4C"/>
    <w:rsid w:val="00DC1743"/>
    <w:rsid w:val="00DC1BB2"/>
    <w:rsid w:val="00DC1F73"/>
    <w:rsid w:val="00DC1FFE"/>
    <w:rsid w:val="00DC2710"/>
    <w:rsid w:val="00DC306C"/>
    <w:rsid w:val="00DC34D0"/>
    <w:rsid w:val="00DC4CC9"/>
    <w:rsid w:val="00DC763B"/>
    <w:rsid w:val="00DC7746"/>
    <w:rsid w:val="00DC7C3B"/>
    <w:rsid w:val="00DD2452"/>
    <w:rsid w:val="00DD254E"/>
    <w:rsid w:val="00DD2E6B"/>
    <w:rsid w:val="00DD3049"/>
    <w:rsid w:val="00DD4045"/>
    <w:rsid w:val="00DD634D"/>
    <w:rsid w:val="00DD75B9"/>
    <w:rsid w:val="00DE1E50"/>
    <w:rsid w:val="00DE30E2"/>
    <w:rsid w:val="00DE3A9A"/>
    <w:rsid w:val="00DE5A5A"/>
    <w:rsid w:val="00DE6421"/>
    <w:rsid w:val="00DF0640"/>
    <w:rsid w:val="00DF0AF2"/>
    <w:rsid w:val="00DF16C0"/>
    <w:rsid w:val="00DF4E63"/>
    <w:rsid w:val="00DF548B"/>
    <w:rsid w:val="00DF7EB8"/>
    <w:rsid w:val="00E021BA"/>
    <w:rsid w:val="00E0302D"/>
    <w:rsid w:val="00E054BF"/>
    <w:rsid w:val="00E05AF6"/>
    <w:rsid w:val="00E05C42"/>
    <w:rsid w:val="00E05FBC"/>
    <w:rsid w:val="00E06EA6"/>
    <w:rsid w:val="00E079BC"/>
    <w:rsid w:val="00E10B7D"/>
    <w:rsid w:val="00E12E4D"/>
    <w:rsid w:val="00E227EA"/>
    <w:rsid w:val="00E23660"/>
    <w:rsid w:val="00E2489A"/>
    <w:rsid w:val="00E2530F"/>
    <w:rsid w:val="00E2761D"/>
    <w:rsid w:val="00E3040D"/>
    <w:rsid w:val="00E31A1E"/>
    <w:rsid w:val="00E31F7A"/>
    <w:rsid w:val="00E329EF"/>
    <w:rsid w:val="00E34484"/>
    <w:rsid w:val="00E352E5"/>
    <w:rsid w:val="00E35703"/>
    <w:rsid w:val="00E35D14"/>
    <w:rsid w:val="00E37424"/>
    <w:rsid w:val="00E4041E"/>
    <w:rsid w:val="00E45180"/>
    <w:rsid w:val="00E45305"/>
    <w:rsid w:val="00E4634C"/>
    <w:rsid w:val="00E46AC9"/>
    <w:rsid w:val="00E50DC8"/>
    <w:rsid w:val="00E526CB"/>
    <w:rsid w:val="00E52D54"/>
    <w:rsid w:val="00E53DB6"/>
    <w:rsid w:val="00E53E6E"/>
    <w:rsid w:val="00E54BAA"/>
    <w:rsid w:val="00E54FB3"/>
    <w:rsid w:val="00E551A5"/>
    <w:rsid w:val="00E55904"/>
    <w:rsid w:val="00E55E72"/>
    <w:rsid w:val="00E560AE"/>
    <w:rsid w:val="00E56596"/>
    <w:rsid w:val="00E56874"/>
    <w:rsid w:val="00E62620"/>
    <w:rsid w:val="00E6281F"/>
    <w:rsid w:val="00E63DE2"/>
    <w:rsid w:val="00E64B35"/>
    <w:rsid w:val="00E650F2"/>
    <w:rsid w:val="00E66614"/>
    <w:rsid w:val="00E75867"/>
    <w:rsid w:val="00E773DF"/>
    <w:rsid w:val="00E80A7C"/>
    <w:rsid w:val="00E8269B"/>
    <w:rsid w:val="00E8449E"/>
    <w:rsid w:val="00E871B8"/>
    <w:rsid w:val="00E90DB6"/>
    <w:rsid w:val="00E92FC3"/>
    <w:rsid w:val="00E930FA"/>
    <w:rsid w:val="00EA0929"/>
    <w:rsid w:val="00EA1B29"/>
    <w:rsid w:val="00EA33B1"/>
    <w:rsid w:val="00EA66E6"/>
    <w:rsid w:val="00EB3F3E"/>
    <w:rsid w:val="00EB426B"/>
    <w:rsid w:val="00EB4D47"/>
    <w:rsid w:val="00EB4DD9"/>
    <w:rsid w:val="00EB528C"/>
    <w:rsid w:val="00EB5E6D"/>
    <w:rsid w:val="00EC032A"/>
    <w:rsid w:val="00EC14EF"/>
    <w:rsid w:val="00EC1AC7"/>
    <w:rsid w:val="00EC21CC"/>
    <w:rsid w:val="00EC26E2"/>
    <w:rsid w:val="00EC6794"/>
    <w:rsid w:val="00ED1022"/>
    <w:rsid w:val="00ED1D60"/>
    <w:rsid w:val="00ED4AFB"/>
    <w:rsid w:val="00ED4BB1"/>
    <w:rsid w:val="00ED7798"/>
    <w:rsid w:val="00ED7EC3"/>
    <w:rsid w:val="00EE3B02"/>
    <w:rsid w:val="00EE3B1E"/>
    <w:rsid w:val="00EE3FFC"/>
    <w:rsid w:val="00EF2AE8"/>
    <w:rsid w:val="00EF3278"/>
    <w:rsid w:val="00EF4AA8"/>
    <w:rsid w:val="00F03E84"/>
    <w:rsid w:val="00F049EC"/>
    <w:rsid w:val="00F05789"/>
    <w:rsid w:val="00F05E27"/>
    <w:rsid w:val="00F06C13"/>
    <w:rsid w:val="00F07255"/>
    <w:rsid w:val="00F10737"/>
    <w:rsid w:val="00F1430D"/>
    <w:rsid w:val="00F22A7A"/>
    <w:rsid w:val="00F22C97"/>
    <w:rsid w:val="00F25E4B"/>
    <w:rsid w:val="00F261D6"/>
    <w:rsid w:val="00F26B4B"/>
    <w:rsid w:val="00F2706C"/>
    <w:rsid w:val="00F3094A"/>
    <w:rsid w:val="00F32D23"/>
    <w:rsid w:val="00F35F92"/>
    <w:rsid w:val="00F378BB"/>
    <w:rsid w:val="00F40B1A"/>
    <w:rsid w:val="00F419C5"/>
    <w:rsid w:val="00F428B2"/>
    <w:rsid w:val="00F44EFB"/>
    <w:rsid w:val="00F4529E"/>
    <w:rsid w:val="00F4777C"/>
    <w:rsid w:val="00F5615A"/>
    <w:rsid w:val="00F56314"/>
    <w:rsid w:val="00F628B2"/>
    <w:rsid w:val="00F64C31"/>
    <w:rsid w:val="00F71CCF"/>
    <w:rsid w:val="00F72B42"/>
    <w:rsid w:val="00F733F3"/>
    <w:rsid w:val="00F7393A"/>
    <w:rsid w:val="00F73A39"/>
    <w:rsid w:val="00F75D3A"/>
    <w:rsid w:val="00F76A51"/>
    <w:rsid w:val="00F80139"/>
    <w:rsid w:val="00F8043F"/>
    <w:rsid w:val="00F82E43"/>
    <w:rsid w:val="00F83D9E"/>
    <w:rsid w:val="00F845CD"/>
    <w:rsid w:val="00F85223"/>
    <w:rsid w:val="00F87C31"/>
    <w:rsid w:val="00F915C8"/>
    <w:rsid w:val="00F9212E"/>
    <w:rsid w:val="00F925B6"/>
    <w:rsid w:val="00F9783F"/>
    <w:rsid w:val="00FA0329"/>
    <w:rsid w:val="00FA2423"/>
    <w:rsid w:val="00FA26DC"/>
    <w:rsid w:val="00FA3474"/>
    <w:rsid w:val="00FB019E"/>
    <w:rsid w:val="00FB10B6"/>
    <w:rsid w:val="00FB27DB"/>
    <w:rsid w:val="00FB2CC4"/>
    <w:rsid w:val="00FB366A"/>
    <w:rsid w:val="00FB57DB"/>
    <w:rsid w:val="00FB5C21"/>
    <w:rsid w:val="00FB6238"/>
    <w:rsid w:val="00FB62D6"/>
    <w:rsid w:val="00FC06E3"/>
    <w:rsid w:val="00FC15E0"/>
    <w:rsid w:val="00FC22AB"/>
    <w:rsid w:val="00FC2319"/>
    <w:rsid w:val="00FC5018"/>
    <w:rsid w:val="00FC54CF"/>
    <w:rsid w:val="00FC594B"/>
    <w:rsid w:val="00FD0DA5"/>
    <w:rsid w:val="00FD0EAD"/>
    <w:rsid w:val="00FD0F13"/>
    <w:rsid w:val="00FD3110"/>
    <w:rsid w:val="00FD6322"/>
    <w:rsid w:val="00FD6D0F"/>
    <w:rsid w:val="00FD6EEE"/>
    <w:rsid w:val="00FD7841"/>
    <w:rsid w:val="00FD785A"/>
    <w:rsid w:val="00FE23A2"/>
    <w:rsid w:val="00FE2431"/>
    <w:rsid w:val="00FE2F9C"/>
    <w:rsid w:val="00FE4C58"/>
    <w:rsid w:val="00FE51E2"/>
    <w:rsid w:val="00FE589D"/>
    <w:rsid w:val="00FE6746"/>
    <w:rsid w:val="00FF135A"/>
    <w:rsid w:val="00FF2550"/>
    <w:rsid w:val="00FF4EDB"/>
    <w:rsid w:val="00FF610D"/>
    <w:rsid w:val="00FF74EB"/>
    <w:rsid w:val="00FF7550"/>
    <w:rsid w:val="00FF7666"/>
    <w:rsid w:val="00FF774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0"/>
    <w:lsdException w:name="caption" w:uiPriority="0"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BAA"/>
    <w:pPr>
      <w:spacing w:before="120" w:line="240" w:lineRule="auto"/>
      <w:jc w:val="both"/>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9"/>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9"/>
    <w:rsid w:val="00DF16C0"/>
    <w:rPr>
      <w:rFonts w:eastAsiaTheme="majorEastAsia" w:cstheme="majorBidi"/>
      <w:b/>
      <w:i/>
      <w:sz w:val="28"/>
      <w:szCs w:val="28"/>
    </w:rPr>
  </w:style>
  <w:style w:type="character" w:customStyle="1" w:styleId="Heading3Char">
    <w:name w:val="Heading 3 Char"/>
    <w:basedOn w:val="DefaultParagraphFont"/>
    <w:link w:val="Heading3"/>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IB Capti"/>
    <w:basedOn w:val="Normal"/>
    <w:next w:val="Normal"/>
    <w:link w:val="CaptionChar"/>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uiPriority w:val="99"/>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nhideWhenUsed/>
    <w:rsid w:val="004619BB"/>
    <w:rPr>
      <w:sz w:val="20"/>
      <w:szCs w:val="20"/>
    </w:rPr>
  </w:style>
  <w:style w:type="character" w:customStyle="1" w:styleId="CommentTextChar">
    <w:name w:val="Comment Text Char"/>
    <w:basedOn w:val="DefaultParagraphFont"/>
    <w:link w:val="CommentText"/>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uiPriority w:val="4"/>
    <w:qFormat/>
    <w:rsid w:val="00C846BE"/>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uiPriority w:val="4"/>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1"/>
    <w:uiPriority w:val="3"/>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1178FD"/>
    <w:pPr>
      <w:numPr>
        <w:numId w:val="3"/>
      </w:numPr>
      <w:spacing w:before="200" w:after="120" w:line="240" w:lineRule="auto"/>
    </w:pPr>
    <w:rPr>
      <w:rFonts w:eastAsia="Times New Roman" w:cs="Arial"/>
      <w:b/>
      <w:snapToGrid w:val="0"/>
      <w:sz w:val="32"/>
    </w:rPr>
  </w:style>
  <w:style w:type="paragraph" w:customStyle="1" w:styleId="Style1">
    <w:name w:val="Style1"/>
    <w:basedOn w:val="Normal"/>
    <w:rsid w:val="00C317F3"/>
    <w:pPr>
      <w:widowControl w:val="0"/>
      <w:spacing w:before="0" w:after="0"/>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pPr>
    <w:rPr>
      <w:rFonts w:ascii="Calibri" w:hAnsi="Calibri"/>
    </w:rPr>
  </w:style>
  <w:style w:type="paragraph" w:customStyle="1" w:styleId="EndNoteBibliographyTitle">
    <w:name w:val="EndNote Bibliography Title"/>
    <w:basedOn w:val="Normal"/>
    <w:link w:val="EndNoteBibliographyTitleChar"/>
    <w:rsid w:val="00FB2CC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B2CC4"/>
    <w:rPr>
      <w:rFonts w:ascii="Calibri" w:hAnsi="Calibri"/>
      <w:noProof/>
      <w:sz w:val="24"/>
      <w:lang w:val="en-US"/>
    </w:rPr>
  </w:style>
  <w:style w:type="paragraph" w:customStyle="1" w:styleId="EndNoteBibliography">
    <w:name w:val="EndNote Bibliography"/>
    <w:basedOn w:val="Normal"/>
    <w:link w:val="EndNoteBibliographyChar"/>
    <w:rsid w:val="00FB2CC4"/>
    <w:rPr>
      <w:rFonts w:ascii="Calibri" w:hAnsi="Calibri"/>
      <w:noProof/>
      <w:lang w:val="en-US"/>
    </w:rPr>
  </w:style>
  <w:style w:type="character" w:customStyle="1" w:styleId="EndNoteBibliographyChar">
    <w:name w:val="EndNote Bibliography Char"/>
    <w:basedOn w:val="DefaultParagraphFont"/>
    <w:link w:val="EndNoteBibliography"/>
    <w:rsid w:val="00FB2CC4"/>
    <w:rPr>
      <w:rFonts w:ascii="Calibri" w:hAnsi="Calibri"/>
      <w:noProof/>
      <w:sz w:val="24"/>
      <w:lang w:val="en-US"/>
    </w:rPr>
  </w:style>
  <w:style w:type="paragraph" w:customStyle="1" w:styleId="SyneviNormal">
    <w:name w:val="Synevi Normal"/>
    <w:basedOn w:val="Normal"/>
    <w:link w:val="SyneviNormalChar"/>
    <w:qFormat/>
    <w:rsid w:val="00D500F6"/>
    <w:pPr>
      <w:spacing w:before="0" w:after="0" w:line="360" w:lineRule="auto"/>
    </w:pPr>
    <w:rPr>
      <w:rFonts w:eastAsia="Times New Roman" w:cs="Times New Roman"/>
      <w:sz w:val="22"/>
      <w:szCs w:val="20"/>
      <w:lang w:val="en-US"/>
    </w:rPr>
  </w:style>
  <w:style w:type="character" w:customStyle="1" w:styleId="SyneviNormalChar">
    <w:name w:val="Synevi Normal Char"/>
    <w:basedOn w:val="DefaultParagraphFont"/>
    <w:link w:val="SyneviNormal"/>
    <w:rsid w:val="00D500F6"/>
    <w:rPr>
      <w:rFonts w:eastAsia="Times New Roman" w:cs="Times New Roman"/>
      <w:szCs w:val="20"/>
      <w:lang w:val="en-US"/>
    </w:rPr>
  </w:style>
  <w:style w:type="paragraph" w:customStyle="1" w:styleId="Default">
    <w:name w:val="Default"/>
    <w:rsid w:val="002C3B08"/>
    <w:pPr>
      <w:autoSpaceDE w:val="0"/>
      <w:autoSpaceDN w:val="0"/>
      <w:adjustRightInd w:val="0"/>
      <w:spacing w:after="0" w:line="240" w:lineRule="auto"/>
    </w:pPr>
    <w:rPr>
      <w:rFonts w:ascii="Calibri" w:hAnsi="Calibri" w:cs="Calibri"/>
      <w:color w:val="000000"/>
      <w:sz w:val="24"/>
      <w:szCs w:val="24"/>
    </w:rPr>
  </w:style>
  <w:style w:type="character" w:customStyle="1" w:styleId="TableTextChar1">
    <w:name w:val="TableText Char"/>
    <w:basedOn w:val="DefaultParagraphFont"/>
    <w:link w:val="TableText1"/>
    <w:uiPriority w:val="3"/>
    <w:locked/>
    <w:rsid w:val="00FD6322"/>
    <w:rPr>
      <w:rFonts w:ascii="Arial Narrow" w:eastAsia="Times New Roman" w:hAnsi="Arial Narrow" w:cs="Arial Narrow"/>
      <w:sz w:val="20"/>
      <w:szCs w:val="20"/>
    </w:rPr>
  </w:style>
  <w:style w:type="character" w:styleId="BookTitle">
    <w:name w:val="Book Title"/>
    <w:basedOn w:val="DefaultParagraphFont"/>
    <w:uiPriority w:val="33"/>
    <w:qFormat/>
    <w:rsid w:val="0046478F"/>
    <w:rPr>
      <w:b/>
      <w:bCs/>
      <w:i/>
      <w:iCs/>
      <w:spacing w:val="5"/>
    </w:rPr>
  </w:style>
  <w:style w:type="table" w:customStyle="1" w:styleId="Summarybox1">
    <w:name w:val="Summary box1"/>
    <w:basedOn w:val="TableNormal"/>
    <w:next w:val="TableGrid"/>
    <w:uiPriority w:val="59"/>
    <w:rsid w:val="00A81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uiPriority w:val="59"/>
    <w:rsid w:val="00A816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ink w:val="TableText"/>
    <w:rsid w:val="00A81621"/>
    <w:rPr>
      <w:rFonts w:ascii="Arial Narrow" w:hAnsi="Arial Narrow"/>
      <w:sz w:val="20"/>
    </w:rPr>
  </w:style>
  <w:style w:type="paragraph" w:customStyle="1" w:styleId="TableHeadingRow">
    <w:name w:val="TableHeadingRow"/>
    <w:basedOn w:val="Normal"/>
    <w:uiPriority w:val="3"/>
    <w:qFormat/>
    <w:rsid w:val="00A81621"/>
    <w:pPr>
      <w:keepNext/>
      <w:spacing w:before="20" w:after="20"/>
    </w:pPr>
    <w:rPr>
      <w:rFonts w:ascii="Calibri" w:eastAsia="Times New Roman" w:hAnsi="Calibri" w:cstheme="minorHAnsi"/>
      <w:b/>
      <w:sz w:val="20"/>
      <w:szCs w:val="20"/>
    </w:rPr>
  </w:style>
  <w:style w:type="table" w:customStyle="1" w:styleId="Summarybox3">
    <w:name w:val="Summary box3"/>
    <w:basedOn w:val="TableNormal"/>
    <w:next w:val="TableGrid"/>
    <w:uiPriority w:val="59"/>
    <w:rsid w:val="00A81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0"/>
    <w:lsdException w:name="caption" w:uiPriority="0"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BAA"/>
    <w:pPr>
      <w:spacing w:before="120" w:line="240" w:lineRule="auto"/>
      <w:jc w:val="both"/>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9"/>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9"/>
    <w:rsid w:val="00DF16C0"/>
    <w:rPr>
      <w:rFonts w:eastAsiaTheme="majorEastAsia" w:cstheme="majorBidi"/>
      <w:b/>
      <w:i/>
      <w:sz w:val="28"/>
      <w:szCs w:val="28"/>
    </w:rPr>
  </w:style>
  <w:style w:type="character" w:customStyle="1" w:styleId="Heading3Char">
    <w:name w:val="Heading 3 Char"/>
    <w:basedOn w:val="DefaultParagraphFont"/>
    <w:link w:val="Heading3"/>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IB Capti"/>
    <w:basedOn w:val="Normal"/>
    <w:next w:val="Normal"/>
    <w:link w:val="CaptionChar"/>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uiPriority w:val="99"/>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nhideWhenUsed/>
    <w:rsid w:val="004619BB"/>
    <w:rPr>
      <w:sz w:val="20"/>
      <w:szCs w:val="20"/>
    </w:rPr>
  </w:style>
  <w:style w:type="character" w:customStyle="1" w:styleId="CommentTextChar">
    <w:name w:val="Comment Text Char"/>
    <w:basedOn w:val="DefaultParagraphFont"/>
    <w:link w:val="CommentText"/>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uiPriority w:val="4"/>
    <w:qFormat/>
    <w:rsid w:val="00C846BE"/>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uiPriority w:val="4"/>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1"/>
    <w:uiPriority w:val="3"/>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1178FD"/>
    <w:pPr>
      <w:numPr>
        <w:numId w:val="3"/>
      </w:numPr>
      <w:spacing w:before="200" w:after="120" w:line="240" w:lineRule="auto"/>
    </w:pPr>
    <w:rPr>
      <w:rFonts w:eastAsia="Times New Roman" w:cs="Arial"/>
      <w:b/>
      <w:snapToGrid w:val="0"/>
      <w:sz w:val="32"/>
    </w:rPr>
  </w:style>
  <w:style w:type="paragraph" w:customStyle="1" w:styleId="Style1">
    <w:name w:val="Style1"/>
    <w:basedOn w:val="Normal"/>
    <w:rsid w:val="00C317F3"/>
    <w:pPr>
      <w:widowControl w:val="0"/>
      <w:spacing w:before="0" w:after="0"/>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pPr>
    <w:rPr>
      <w:rFonts w:ascii="Calibri" w:hAnsi="Calibri"/>
    </w:rPr>
  </w:style>
  <w:style w:type="paragraph" w:customStyle="1" w:styleId="EndNoteBibliographyTitle">
    <w:name w:val="EndNote Bibliography Title"/>
    <w:basedOn w:val="Normal"/>
    <w:link w:val="EndNoteBibliographyTitleChar"/>
    <w:rsid w:val="00FB2CC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B2CC4"/>
    <w:rPr>
      <w:rFonts w:ascii="Calibri" w:hAnsi="Calibri"/>
      <w:noProof/>
      <w:sz w:val="24"/>
      <w:lang w:val="en-US"/>
    </w:rPr>
  </w:style>
  <w:style w:type="paragraph" w:customStyle="1" w:styleId="EndNoteBibliography">
    <w:name w:val="EndNote Bibliography"/>
    <w:basedOn w:val="Normal"/>
    <w:link w:val="EndNoteBibliographyChar"/>
    <w:rsid w:val="00FB2CC4"/>
    <w:rPr>
      <w:rFonts w:ascii="Calibri" w:hAnsi="Calibri"/>
      <w:noProof/>
      <w:lang w:val="en-US"/>
    </w:rPr>
  </w:style>
  <w:style w:type="character" w:customStyle="1" w:styleId="EndNoteBibliographyChar">
    <w:name w:val="EndNote Bibliography Char"/>
    <w:basedOn w:val="DefaultParagraphFont"/>
    <w:link w:val="EndNoteBibliography"/>
    <w:rsid w:val="00FB2CC4"/>
    <w:rPr>
      <w:rFonts w:ascii="Calibri" w:hAnsi="Calibri"/>
      <w:noProof/>
      <w:sz w:val="24"/>
      <w:lang w:val="en-US"/>
    </w:rPr>
  </w:style>
  <w:style w:type="paragraph" w:customStyle="1" w:styleId="SyneviNormal">
    <w:name w:val="Synevi Normal"/>
    <w:basedOn w:val="Normal"/>
    <w:link w:val="SyneviNormalChar"/>
    <w:qFormat/>
    <w:rsid w:val="00D500F6"/>
    <w:pPr>
      <w:spacing w:before="0" w:after="0" w:line="360" w:lineRule="auto"/>
    </w:pPr>
    <w:rPr>
      <w:rFonts w:eastAsia="Times New Roman" w:cs="Times New Roman"/>
      <w:sz w:val="22"/>
      <w:szCs w:val="20"/>
      <w:lang w:val="en-US"/>
    </w:rPr>
  </w:style>
  <w:style w:type="character" w:customStyle="1" w:styleId="SyneviNormalChar">
    <w:name w:val="Synevi Normal Char"/>
    <w:basedOn w:val="DefaultParagraphFont"/>
    <w:link w:val="SyneviNormal"/>
    <w:rsid w:val="00D500F6"/>
    <w:rPr>
      <w:rFonts w:eastAsia="Times New Roman" w:cs="Times New Roman"/>
      <w:szCs w:val="20"/>
      <w:lang w:val="en-US"/>
    </w:rPr>
  </w:style>
  <w:style w:type="paragraph" w:customStyle="1" w:styleId="Default">
    <w:name w:val="Default"/>
    <w:rsid w:val="002C3B08"/>
    <w:pPr>
      <w:autoSpaceDE w:val="0"/>
      <w:autoSpaceDN w:val="0"/>
      <w:adjustRightInd w:val="0"/>
      <w:spacing w:after="0" w:line="240" w:lineRule="auto"/>
    </w:pPr>
    <w:rPr>
      <w:rFonts w:ascii="Calibri" w:hAnsi="Calibri" w:cs="Calibri"/>
      <w:color w:val="000000"/>
      <w:sz w:val="24"/>
      <w:szCs w:val="24"/>
    </w:rPr>
  </w:style>
  <w:style w:type="character" w:customStyle="1" w:styleId="TableTextChar1">
    <w:name w:val="TableText Char"/>
    <w:basedOn w:val="DefaultParagraphFont"/>
    <w:link w:val="TableText1"/>
    <w:uiPriority w:val="3"/>
    <w:locked/>
    <w:rsid w:val="00FD6322"/>
    <w:rPr>
      <w:rFonts w:ascii="Arial Narrow" w:eastAsia="Times New Roman" w:hAnsi="Arial Narrow" w:cs="Arial Narrow"/>
      <w:sz w:val="20"/>
      <w:szCs w:val="20"/>
    </w:rPr>
  </w:style>
  <w:style w:type="character" w:styleId="BookTitle">
    <w:name w:val="Book Title"/>
    <w:basedOn w:val="DefaultParagraphFont"/>
    <w:uiPriority w:val="33"/>
    <w:qFormat/>
    <w:rsid w:val="0046478F"/>
    <w:rPr>
      <w:b/>
      <w:bCs/>
      <w:i/>
      <w:iCs/>
      <w:spacing w:val="5"/>
    </w:rPr>
  </w:style>
  <w:style w:type="table" w:customStyle="1" w:styleId="Summarybox1">
    <w:name w:val="Summary box1"/>
    <w:basedOn w:val="TableNormal"/>
    <w:next w:val="TableGrid"/>
    <w:uiPriority w:val="59"/>
    <w:rsid w:val="00A81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uiPriority w:val="59"/>
    <w:rsid w:val="00A816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ink w:val="TableText"/>
    <w:rsid w:val="00A81621"/>
    <w:rPr>
      <w:rFonts w:ascii="Arial Narrow" w:hAnsi="Arial Narrow"/>
      <w:sz w:val="20"/>
    </w:rPr>
  </w:style>
  <w:style w:type="paragraph" w:customStyle="1" w:styleId="TableHeadingRow">
    <w:name w:val="TableHeadingRow"/>
    <w:basedOn w:val="Normal"/>
    <w:uiPriority w:val="3"/>
    <w:qFormat/>
    <w:rsid w:val="00A81621"/>
    <w:pPr>
      <w:keepNext/>
      <w:spacing w:before="20" w:after="20"/>
    </w:pPr>
    <w:rPr>
      <w:rFonts w:ascii="Calibri" w:eastAsia="Times New Roman" w:hAnsi="Calibri" w:cstheme="minorHAnsi"/>
      <w:b/>
      <w:sz w:val="20"/>
      <w:szCs w:val="20"/>
    </w:rPr>
  </w:style>
  <w:style w:type="table" w:customStyle="1" w:styleId="Summarybox3">
    <w:name w:val="Summary box3"/>
    <w:basedOn w:val="TableNormal"/>
    <w:next w:val="TableGrid"/>
    <w:uiPriority w:val="59"/>
    <w:rsid w:val="00A81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7076">
      <w:bodyDiv w:val="1"/>
      <w:marLeft w:val="0"/>
      <w:marRight w:val="0"/>
      <w:marTop w:val="0"/>
      <w:marBottom w:val="0"/>
      <w:divBdr>
        <w:top w:val="none" w:sz="0" w:space="0" w:color="auto"/>
        <w:left w:val="none" w:sz="0" w:space="0" w:color="auto"/>
        <w:bottom w:val="none" w:sz="0" w:space="0" w:color="auto"/>
        <w:right w:val="none" w:sz="0" w:space="0" w:color="auto"/>
      </w:divBdr>
    </w:div>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85345703">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848980841">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161893461">
      <w:bodyDiv w:val="1"/>
      <w:marLeft w:val="0"/>
      <w:marRight w:val="0"/>
      <w:marTop w:val="0"/>
      <w:marBottom w:val="0"/>
      <w:divBdr>
        <w:top w:val="none" w:sz="0" w:space="0" w:color="auto"/>
        <w:left w:val="none" w:sz="0" w:space="0" w:color="auto"/>
        <w:bottom w:val="none" w:sz="0" w:space="0" w:color="auto"/>
        <w:right w:val="none" w:sz="0" w:space="0" w:color="auto"/>
      </w:divBdr>
      <w:divsChild>
        <w:div w:id="319189305">
          <w:marLeft w:val="0"/>
          <w:marRight w:val="0"/>
          <w:marTop w:val="0"/>
          <w:marBottom w:val="0"/>
          <w:divBdr>
            <w:top w:val="none" w:sz="0" w:space="0" w:color="auto"/>
            <w:left w:val="none" w:sz="0" w:space="0" w:color="auto"/>
            <w:bottom w:val="none" w:sz="0" w:space="0" w:color="auto"/>
            <w:right w:val="none" w:sz="0" w:space="0" w:color="auto"/>
          </w:divBdr>
          <w:divsChild>
            <w:div w:id="1143161187">
              <w:marLeft w:val="0"/>
              <w:marRight w:val="0"/>
              <w:marTop w:val="0"/>
              <w:marBottom w:val="0"/>
              <w:divBdr>
                <w:top w:val="none" w:sz="0" w:space="0" w:color="auto"/>
                <w:left w:val="none" w:sz="0" w:space="0" w:color="auto"/>
                <w:bottom w:val="none" w:sz="0" w:space="0" w:color="auto"/>
                <w:right w:val="none" w:sz="0" w:space="0" w:color="auto"/>
              </w:divBdr>
              <w:divsChild>
                <w:div w:id="420220370">
                  <w:marLeft w:val="0"/>
                  <w:marRight w:val="0"/>
                  <w:marTop w:val="0"/>
                  <w:marBottom w:val="0"/>
                  <w:divBdr>
                    <w:top w:val="none" w:sz="0" w:space="0" w:color="auto"/>
                    <w:left w:val="none" w:sz="0" w:space="0" w:color="auto"/>
                    <w:bottom w:val="none" w:sz="0" w:space="0" w:color="auto"/>
                    <w:right w:val="none" w:sz="0" w:space="0" w:color="auto"/>
                  </w:divBdr>
                  <w:divsChild>
                    <w:div w:id="1956792312">
                      <w:marLeft w:val="0"/>
                      <w:marRight w:val="0"/>
                      <w:marTop w:val="0"/>
                      <w:marBottom w:val="240"/>
                      <w:divBdr>
                        <w:top w:val="single" w:sz="6" w:space="0" w:color="DDDDDD"/>
                        <w:left w:val="none" w:sz="0" w:space="0" w:color="auto"/>
                        <w:bottom w:val="none" w:sz="0" w:space="0" w:color="auto"/>
                        <w:right w:val="none" w:sz="0" w:space="0" w:color="auto"/>
                      </w:divBdr>
                      <w:divsChild>
                        <w:div w:id="1206680191">
                          <w:marLeft w:val="0"/>
                          <w:marRight w:val="0"/>
                          <w:marTop w:val="0"/>
                          <w:marBottom w:val="0"/>
                          <w:divBdr>
                            <w:top w:val="none" w:sz="0" w:space="0" w:color="auto"/>
                            <w:left w:val="none" w:sz="0" w:space="0" w:color="auto"/>
                            <w:bottom w:val="none" w:sz="0" w:space="0" w:color="auto"/>
                            <w:right w:val="none" w:sz="0" w:space="0" w:color="auto"/>
                          </w:divBdr>
                          <w:divsChild>
                            <w:div w:id="195142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454178524">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8C214-79CB-4FE3-AE83-E6C0F845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9931</Words>
  <Characters>56609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2018-02-19T22:14:00Z</dcterms:created>
  <dcterms:modified xsi:type="dcterms:W3CDTF">2018-02-19T22:14:00Z</dcterms:modified>
</cp:coreProperties>
</file>