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761" w:rsidRPr="003675E5" w:rsidRDefault="00B72C19" w:rsidP="00F21171">
      <w:pPr>
        <w:ind w:left="992" w:hanging="992"/>
        <w:outlineLvl w:val="0"/>
        <w:rPr>
          <w:b/>
          <w:sz w:val="36"/>
          <w:szCs w:val="36"/>
        </w:rPr>
      </w:pPr>
      <w:bookmarkStart w:id="0" w:name="_Toc413139283"/>
      <w:bookmarkStart w:id="1" w:name="_GoBack"/>
      <w:bookmarkEnd w:id="1"/>
      <w:r w:rsidRPr="003675E5">
        <w:rPr>
          <w:b/>
          <w:sz w:val="36"/>
          <w:szCs w:val="36"/>
        </w:rPr>
        <w:t>5</w:t>
      </w:r>
      <w:r w:rsidR="006D7761" w:rsidRPr="003675E5">
        <w:rPr>
          <w:b/>
          <w:sz w:val="36"/>
          <w:szCs w:val="36"/>
        </w:rPr>
        <w:t>.</w:t>
      </w:r>
      <w:r w:rsidRPr="003675E5">
        <w:rPr>
          <w:b/>
          <w:sz w:val="36"/>
          <w:szCs w:val="36"/>
        </w:rPr>
        <w:t>13</w:t>
      </w:r>
      <w:r w:rsidR="006D7761" w:rsidRPr="003675E5">
        <w:rPr>
          <w:b/>
          <w:sz w:val="36"/>
          <w:szCs w:val="36"/>
        </w:rPr>
        <w:tab/>
        <w:t>SODIUM PHENYLBUTYRATE,</w:t>
      </w:r>
      <w:r w:rsidR="006D7761" w:rsidRPr="003675E5">
        <w:rPr>
          <w:b/>
          <w:sz w:val="36"/>
          <w:szCs w:val="36"/>
        </w:rPr>
        <w:br/>
        <w:t>Sugar-coated spheres, 483 mg sodium phenylbutyrate per gram,</w:t>
      </w:r>
      <w:r w:rsidR="006D7761" w:rsidRPr="003675E5">
        <w:rPr>
          <w:b/>
          <w:sz w:val="36"/>
          <w:szCs w:val="36"/>
        </w:rPr>
        <w:br/>
        <w:t>Pheburane®, Orpharma Pty Ltd</w:t>
      </w:r>
    </w:p>
    <w:p w:rsidR="006D7761" w:rsidRPr="003675E5" w:rsidRDefault="006D7761" w:rsidP="006D7761">
      <w:pPr>
        <w:pStyle w:val="Heading1"/>
        <w:ind w:left="709" w:hanging="709"/>
      </w:pPr>
      <w:bookmarkStart w:id="2" w:name="_Toc413139271"/>
      <w:bookmarkStart w:id="3" w:name="_Toc493064819"/>
      <w:r w:rsidRPr="003675E5">
        <w:t>Purpose of application</w:t>
      </w:r>
      <w:bookmarkEnd w:id="2"/>
      <w:bookmarkEnd w:id="3"/>
    </w:p>
    <w:p w:rsidR="006D7761" w:rsidRPr="0047765E" w:rsidRDefault="006D7761" w:rsidP="00881F91">
      <w:pPr>
        <w:pStyle w:val="ListParagraph"/>
      </w:pPr>
      <w:r w:rsidRPr="003675E5">
        <w:t xml:space="preserve">Authority Required listing for a sugar-coated </w:t>
      </w:r>
      <w:r w:rsidR="00976472" w:rsidRPr="003675E5">
        <w:t xml:space="preserve">granule </w:t>
      </w:r>
      <w:r w:rsidRPr="003675E5">
        <w:t xml:space="preserve">formulation of sodium phenylbutyrate (NaPb) for the treatment of patients with urea cycle disorders (UCD). This drug had not previously been considered by the PBAC. </w:t>
      </w:r>
    </w:p>
    <w:p w:rsidR="006D7761" w:rsidRPr="0047765E" w:rsidRDefault="006D7761" w:rsidP="00881F91">
      <w:pPr>
        <w:pStyle w:val="ListParagraph"/>
      </w:pPr>
      <w:r w:rsidRPr="003675E5">
        <w:t xml:space="preserve">The submission requested listing on a cost-effectiveness basis compared with standard care comprising other ammonia scavengers, i.e. uncoated NaPb and/or sodium benzoate (NaBz). As the comparators </w:t>
      </w:r>
      <w:r w:rsidR="00F6329D" w:rsidRPr="003675E5">
        <w:t xml:space="preserve">are </w:t>
      </w:r>
      <w:r w:rsidRPr="003675E5">
        <w:t>not PBS-listed or TGA-registered, the submission also presented a comparison that aimed to show the cost-effectiveness of standard care (with ammonia scavengers) versus natural history (without ammonia scavengers).</w:t>
      </w:r>
      <w:r w:rsidRPr="0047765E">
        <w:t xml:space="preserve"> </w:t>
      </w:r>
    </w:p>
    <w:p w:rsidR="006D7761" w:rsidRPr="003675E5" w:rsidRDefault="006D7761" w:rsidP="006D7761">
      <w:pPr>
        <w:keepNext/>
        <w:keepLines/>
        <w:spacing w:before="0" w:after="60"/>
        <w:jc w:val="both"/>
        <w:rPr>
          <w:b/>
          <w:color w:val="0070C0"/>
        </w:rPr>
      </w:pPr>
      <w:r w:rsidRPr="003675E5">
        <w:rPr>
          <w:rFonts w:ascii="Arial Narrow" w:hAnsi="Arial Narrow"/>
          <w:b/>
          <w:sz w:val="20"/>
          <w:szCs w:val="20"/>
        </w:rPr>
        <w:t>Table 1: Key components of the clinical issue addressed by the submission</w:t>
      </w:r>
      <w:r w:rsidRPr="003675E5">
        <w:rPr>
          <w:b/>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
      </w:tblPr>
      <w:tblGrid>
        <w:gridCol w:w="1127"/>
        <w:gridCol w:w="7889"/>
      </w:tblGrid>
      <w:tr w:rsidR="006D7761" w:rsidRPr="003675E5" w:rsidTr="00D306CB">
        <w:trPr>
          <w:cnfStyle w:val="100000000000" w:firstRow="1" w:lastRow="0" w:firstColumn="0" w:lastColumn="0" w:oddVBand="0" w:evenVBand="0" w:oddHBand="0" w:evenHBand="0" w:firstRowFirstColumn="0" w:firstRowLastColumn="0" w:lastRowFirstColumn="0" w:lastRowLastColumn="0"/>
          <w:cantSplit/>
          <w:tblHeader/>
        </w:trPr>
        <w:tc>
          <w:tcPr>
            <w:tcW w:w="1127" w:type="dxa"/>
            <w:shd w:val="clear" w:color="auto" w:fill="auto"/>
          </w:tcPr>
          <w:p w:rsidR="006D7761" w:rsidRPr="003675E5" w:rsidRDefault="006D7761" w:rsidP="00D306CB">
            <w:pPr>
              <w:pStyle w:val="TableText"/>
              <w:keepLines/>
              <w:rPr>
                <w:szCs w:val="20"/>
              </w:rPr>
            </w:pPr>
            <w:r w:rsidRPr="003675E5">
              <w:t>Component</w:t>
            </w:r>
          </w:p>
        </w:tc>
        <w:tc>
          <w:tcPr>
            <w:tcW w:w="7889" w:type="dxa"/>
            <w:shd w:val="clear" w:color="auto" w:fill="auto"/>
          </w:tcPr>
          <w:p w:rsidR="006D7761" w:rsidRPr="003675E5" w:rsidRDefault="006D7761" w:rsidP="00D306CB">
            <w:pPr>
              <w:pStyle w:val="TableText"/>
              <w:keepLines/>
            </w:pPr>
            <w:r w:rsidRPr="003675E5">
              <w:t>Description</w:t>
            </w:r>
          </w:p>
        </w:tc>
      </w:tr>
      <w:tr w:rsidR="006D7761" w:rsidRPr="003675E5" w:rsidTr="00D306CB">
        <w:trPr>
          <w:cantSplit/>
        </w:trPr>
        <w:tc>
          <w:tcPr>
            <w:tcW w:w="1127" w:type="dxa"/>
            <w:shd w:val="clear" w:color="auto" w:fill="auto"/>
          </w:tcPr>
          <w:p w:rsidR="006D7761" w:rsidRPr="003675E5" w:rsidRDefault="006D7761" w:rsidP="00D306CB">
            <w:pPr>
              <w:pStyle w:val="TableText"/>
              <w:keepLines/>
            </w:pPr>
            <w:r w:rsidRPr="003675E5">
              <w:t>Population</w:t>
            </w:r>
          </w:p>
        </w:tc>
        <w:tc>
          <w:tcPr>
            <w:tcW w:w="7889" w:type="dxa"/>
            <w:shd w:val="clear" w:color="auto" w:fill="auto"/>
          </w:tcPr>
          <w:p w:rsidR="006D7761" w:rsidRPr="003675E5" w:rsidRDefault="006D7761" w:rsidP="00D306CB">
            <w:pPr>
              <w:pStyle w:val="TableText"/>
              <w:keepLines/>
            </w:pPr>
            <w:r w:rsidRPr="003675E5">
              <w:t xml:space="preserve">Patients with UCD and elevated plasma ammonia levels </w:t>
            </w:r>
          </w:p>
        </w:tc>
      </w:tr>
      <w:tr w:rsidR="006D7761" w:rsidRPr="003675E5" w:rsidTr="00D306CB">
        <w:trPr>
          <w:cantSplit/>
        </w:trPr>
        <w:tc>
          <w:tcPr>
            <w:tcW w:w="1127" w:type="dxa"/>
            <w:shd w:val="clear" w:color="auto" w:fill="auto"/>
          </w:tcPr>
          <w:p w:rsidR="006D7761" w:rsidRPr="003675E5" w:rsidRDefault="006D7761" w:rsidP="00D306CB">
            <w:pPr>
              <w:pStyle w:val="TableText"/>
            </w:pPr>
            <w:r w:rsidRPr="003675E5">
              <w:t>Intervention</w:t>
            </w:r>
          </w:p>
        </w:tc>
        <w:tc>
          <w:tcPr>
            <w:tcW w:w="7889" w:type="dxa"/>
            <w:shd w:val="clear" w:color="auto" w:fill="auto"/>
          </w:tcPr>
          <w:p w:rsidR="006D7761" w:rsidRPr="003675E5" w:rsidRDefault="006D7761" w:rsidP="00D306CB">
            <w:pPr>
              <w:pStyle w:val="TableText"/>
            </w:pPr>
            <w:r w:rsidRPr="003675E5">
              <w:t>Sugar coated granules of NaPb. Dose: up to 600 mg/kg/day if &lt; 20 kg; up to 13.0 g/m</w:t>
            </w:r>
            <w:r w:rsidRPr="003675E5">
              <w:rPr>
                <w:vertAlign w:val="superscript"/>
              </w:rPr>
              <w:t>2</w:t>
            </w:r>
            <w:r w:rsidRPr="003675E5">
              <w:t>/day if &gt; 20</w:t>
            </w:r>
            <w:r w:rsidR="003834E3" w:rsidRPr="003675E5">
              <w:t xml:space="preserve"> </w:t>
            </w:r>
            <w:r w:rsidRPr="003675E5">
              <w:t xml:space="preserve">kg. Maximum of 20 g/day. Can be administered in combination with NaBz (lower doses are generally used in combination therapy). </w:t>
            </w:r>
          </w:p>
        </w:tc>
      </w:tr>
      <w:tr w:rsidR="006D7761" w:rsidRPr="003675E5" w:rsidTr="00D306CB">
        <w:trPr>
          <w:cantSplit/>
        </w:trPr>
        <w:tc>
          <w:tcPr>
            <w:tcW w:w="1127" w:type="dxa"/>
            <w:shd w:val="clear" w:color="auto" w:fill="auto"/>
          </w:tcPr>
          <w:p w:rsidR="006D7761" w:rsidRPr="003675E5" w:rsidRDefault="006D7761" w:rsidP="00D306CB">
            <w:pPr>
              <w:pStyle w:val="TableText"/>
            </w:pPr>
            <w:r w:rsidRPr="003675E5">
              <w:t>Comparator</w:t>
            </w:r>
          </w:p>
        </w:tc>
        <w:tc>
          <w:tcPr>
            <w:tcW w:w="7889" w:type="dxa"/>
            <w:shd w:val="clear" w:color="auto" w:fill="auto"/>
          </w:tcPr>
          <w:p w:rsidR="006D7761" w:rsidRPr="003675E5" w:rsidRDefault="006D7761" w:rsidP="001D70B4">
            <w:pPr>
              <w:pStyle w:val="TableText"/>
              <w:numPr>
                <w:ilvl w:val="0"/>
                <w:numId w:val="5"/>
              </w:numPr>
              <w:ind w:left="176" w:hanging="176"/>
            </w:pPr>
            <w:r w:rsidRPr="003675E5">
              <w:t xml:space="preserve">Standard care </w:t>
            </w:r>
            <w:r w:rsidR="001F70CE" w:rsidRPr="003675E5">
              <w:t>with</w:t>
            </w:r>
            <w:r w:rsidRPr="003675E5">
              <w:t xml:space="preserve"> an ammonia scavenger (uncoated NaPb or NaBz), which was compared with coated NaPb monotherapy. As ammonia scavengers can be used in combination, the submission also nominated uncoated NaPb + NaBz as a comparator for coated NaPb </w:t>
            </w:r>
            <w:r w:rsidR="001F70CE" w:rsidRPr="003675E5">
              <w:t>±</w:t>
            </w:r>
            <w:r w:rsidR="00351124" w:rsidRPr="003675E5">
              <w:t xml:space="preserve"> </w:t>
            </w:r>
            <w:r w:rsidRPr="003675E5">
              <w:t xml:space="preserve">NaBz. </w:t>
            </w:r>
          </w:p>
          <w:p w:rsidR="006D7761" w:rsidRPr="003675E5" w:rsidRDefault="006D7761" w:rsidP="001D70B4">
            <w:pPr>
              <w:pStyle w:val="TableText"/>
              <w:numPr>
                <w:ilvl w:val="0"/>
                <w:numId w:val="5"/>
              </w:numPr>
              <w:ind w:left="176" w:hanging="176"/>
            </w:pPr>
            <w:r w:rsidRPr="003675E5">
              <w:t xml:space="preserve">Natural history (no ammonia scavengers), which was compared with standard care. </w:t>
            </w:r>
          </w:p>
        </w:tc>
      </w:tr>
      <w:tr w:rsidR="006D7761" w:rsidRPr="003675E5" w:rsidTr="00D306CB">
        <w:trPr>
          <w:cantSplit/>
        </w:trPr>
        <w:tc>
          <w:tcPr>
            <w:tcW w:w="1127" w:type="dxa"/>
            <w:shd w:val="clear" w:color="auto" w:fill="auto"/>
          </w:tcPr>
          <w:p w:rsidR="006D7761" w:rsidRPr="003675E5" w:rsidRDefault="006D7761" w:rsidP="00D306CB">
            <w:pPr>
              <w:pStyle w:val="TableText"/>
            </w:pPr>
            <w:r w:rsidRPr="003675E5">
              <w:t>Outcomes</w:t>
            </w:r>
          </w:p>
        </w:tc>
        <w:tc>
          <w:tcPr>
            <w:tcW w:w="7889" w:type="dxa"/>
            <w:shd w:val="clear" w:color="auto" w:fill="auto"/>
          </w:tcPr>
          <w:p w:rsidR="00976472" w:rsidRPr="003675E5" w:rsidRDefault="006D7761" w:rsidP="00D306CB">
            <w:pPr>
              <w:pStyle w:val="TableText"/>
            </w:pPr>
            <w:r w:rsidRPr="003675E5">
              <w:t>Survival, hyperammonemic episodes, neurocognitive outcomes, safety</w:t>
            </w:r>
          </w:p>
        </w:tc>
      </w:tr>
      <w:tr w:rsidR="006D7761" w:rsidRPr="003675E5" w:rsidTr="00D306CB">
        <w:trPr>
          <w:cantSplit/>
        </w:trPr>
        <w:tc>
          <w:tcPr>
            <w:tcW w:w="1127" w:type="dxa"/>
            <w:shd w:val="clear" w:color="auto" w:fill="auto"/>
          </w:tcPr>
          <w:p w:rsidR="006D7761" w:rsidRPr="003675E5" w:rsidRDefault="006D7761" w:rsidP="00D306CB">
            <w:pPr>
              <w:pStyle w:val="TableText"/>
            </w:pPr>
            <w:r w:rsidRPr="003675E5">
              <w:t>Clinical claim</w:t>
            </w:r>
          </w:p>
        </w:tc>
        <w:tc>
          <w:tcPr>
            <w:tcW w:w="7889" w:type="dxa"/>
            <w:shd w:val="clear" w:color="auto" w:fill="auto"/>
          </w:tcPr>
          <w:p w:rsidR="006D7761" w:rsidRPr="003675E5" w:rsidRDefault="006D7761" w:rsidP="00D306CB">
            <w:pPr>
              <w:pStyle w:val="TableText"/>
            </w:pPr>
            <w:r w:rsidRPr="003675E5">
              <w:t>The submission claimed that :</w:t>
            </w:r>
          </w:p>
          <w:p w:rsidR="006D7761" w:rsidRPr="003675E5" w:rsidRDefault="006D7761" w:rsidP="001D70B4">
            <w:pPr>
              <w:pStyle w:val="TableText"/>
              <w:numPr>
                <w:ilvl w:val="0"/>
                <w:numId w:val="5"/>
              </w:numPr>
              <w:ind w:left="176" w:hanging="176"/>
            </w:pPr>
            <w:r w:rsidRPr="003675E5">
              <w:t>ammonia scavengers are life-saving (when used in conjunction with other standard care) compared with natural history; and</w:t>
            </w:r>
          </w:p>
          <w:p w:rsidR="006D7761" w:rsidRPr="003675E5" w:rsidRDefault="006D7761" w:rsidP="001D70B4">
            <w:pPr>
              <w:pStyle w:val="TableText"/>
              <w:numPr>
                <w:ilvl w:val="0"/>
                <w:numId w:val="5"/>
              </w:numPr>
              <w:ind w:left="176" w:hanging="176"/>
            </w:pPr>
            <w:r w:rsidRPr="003675E5">
              <w:t xml:space="preserve">coated NaPb is more effective than standard care (comprising uncoated NaPb and/or NaBz) at reducing hyperammonemic episodes and their neurocognitive sequelae. </w:t>
            </w:r>
            <w:r w:rsidR="00FE5ACC" w:rsidRPr="003675E5">
              <w:t xml:space="preserve">The </w:t>
            </w:r>
            <w:r w:rsidR="006A0F50" w:rsidRPr="003675E5">
              <w:t>ESC considered t</w:t>
            </w:r>
            <w:r w:rsidRPr="003675E5">
              <w:t>h</w:t>
            </w:r>
            <w:r w:rsidR="001F70CE" w:rsidRPr="003675E5">
              <w:t>i</w:t>
            </w:r>
            <w:r w:rsidRPr="003675E5">
              <w:t>s claim w</w:t>
            </w:r>
            <w:r w:rsidR="001F70CE" w:rsidRPr="003675E5">
              <w:t>as</w:t>
            </w:r>
            <w:r w:rsidRPr="003675E5">
              <w:t xml:space="preserve"> not supported</w:t>
            </w:r>
            <w:r w:rsidR="006A0F50" w:rsidRPr="003675E5">
              <w:t xml:space="preserve"> by the evidence provided</w:t>
            </w:r>
            <w:r w:rsidRPr="003675E5">
              <w:t>.</w:t>
            </w:r>
          </w:p>
        </w:tc>
      </w:tr>
    </w:tbl>
    <w:p w:rsidR="006D7761" w:rsidRPr="003675E5" w:rsidRDefault="006D7761" w:rsidP="006D7761">
      <w:pPr>
        <w:pStyle w:val="TableFooter"/>
      </w:pPr>
      <w:r w:rsidRPr="003675E5">
        <w:t>Source: Table 1-1, p1-8 of the submission</w:t>
      </w:r>
    </w:p>
    <w:p w:rsidR="006D7761" w:rsidRPr="003675E5" w:rsidRDefault="006D7761" w:rsidP="006D7761">
      <w:pPr>
        <w:pStyle w:val="TableFooter"/>
      </w:pPr>
      <w:r w:rsidRPr="003675E5">
        <w:t>NaBz = sodium benzoate; NaPb = sodium phenylbutyrate; UCD = urea cycle disorder</w:t>
      </w:r>
    </w:p>
    <w:p w:rsidR="006D7761" w:rsidRPr="003675E5" w:rsidRDefault="00332CC2" w:rsidP="006D7761">
      <w:pPr>
        <w:pStyle w:val="Heading1"/>
        <w:ind w:left="709" w:hanging="709"/>
      </w:pPr>
      <w:bookmarkStart w:id="4" w:name="_Toc413139272"/>
      <w:bookmarkStart w:id="5" w:name="_Toc493064820"/>
      <w:r w:rsidRPr="003675E5">
        <w:t>Suggested wording for the restriction</w:t>
      </w:r>
      <w:bookmarkEnd w:id="4"/>
      <w:bookmarkEnd w:id="5"/>
      <w:r w:rsidR="006D7761" w:rsidRPr="003675E5">
        <w:t xml:space="preserve"> </w:t>
      </w:r>
    </w:p>
    <w:p w:rsidR="00332CC2" w:rsidRDefault="00332CC2" w:rsidP="00881F91">
      <w:pPr>
        <w:pStyle w:val="ListParagraph"/>
      </w:pPr>
      <w:r w:rsidRPr="00881F91">
        <w:t>Suggestions</w:t>
      </w:r>
      <w:r w:rsidRPr="003675E5">
        <w:t xml:space="preserve"> and additions proposed by the Secretariat to the requested listing are added in italics and suggested deletions are crossed out with strikethrough.</w:t>
      </w:r>
    </w:p>
    <w:p w:rsidR="00881F91" w:rsidRPr="003675E5" w:rsidRDefault="00881F91" w:rsidP="008410FF">
      <w:pPr>
        <w:pStyle w:val="ListParagraph"/>
        <w:numPr>
          <w:ilvl w:val="0"/>
          <w:numId w:val="0"/>
        </w:numPr>
        <w:spacing w:after="0"/>
        <w:ind w:left="709"/>
      </w:pPr>
    </w:p>
    <w:tbl>
      <w:tblPr>
        <w:tblW w:w="9214" w:type="dxa"/>
        <w:tblInd w:w="108" w:type="dxa"/>
        <w:tblLayout w:type="fixed"/>
        <w:tblLook w:val="0000" w:firstRow="0" w:lastRow="0" w:firstColumn="0" w:lastColumn="0" w:noHBand="0" w:noVBand="0"/>
      </w:tblPr>
      <w:tblGrid>
        <w:gridCol w:w="2410"/>
        <w:gridCol w:w="851"/>
        <w:gridCol w:w="567"/>
        <w:gridCol w:w="850"/>
        <w:gridCol w:w="1701"/>
        <w:gridCol w:w="1559"/>
        <w:gridCol w:w="1276"/>
      </w:tblGrid>
      <w:tr w:rsidR="00332CC2" w:rsidRPr="00260CE3" w:rsidTr="003F33D3">
        <w:trPr>
          <w:cantSplit/>
          <w:trHeight w:val="471"/>
        </w:trPr>
        <w:tc>
          <w:tcPr>
            <w:tcW w:w="3261" w:type="dxa"/>
            <w:gridSpan w:val="2"/>
            <w:tcBorders>
              <w:bottom w:val="single" w:sz="4" w:space="0" w:color="auto"/>
            </w:tcBorders>
          </w:tcPr>
          <w:p w:rsidR="00332CC2" w:rsidRPr="00260CE3" w:rsidRDefault="00332CC2" w:rsidP="003F33D3">
            <w:pPr>
              <w:keepNext/>
              <w:spacing w:before="0" w:after="0"/>
              <w:ind w:left="-108"/>
              <w:jc w:val="both"/>
              <w:rPr>
                <w:rFonts w:ascii="Arial Narrow" w:hAnsi="Arial Narrow" w:cs="Arial"/>
                <w:sz w:val="20"/>
                <w:szCs w:val="20"/>
              </w:rPr>
            </w:pPr>
            <w:r w:rsidRPr="00260CE3">
              <w:rPr>
                <w:rFonts w:ascii="Arial Narrow" w:hAnsi="Arial Narrow" w:cs="Arial"/>
                <w:sz w:val="20"/>
                <w:szCs w:val="20"/>
              </w:rPr>
              <w:lastRenderedPageBreak/>
              <w:t>Name, Restriction,</w:t>
            </w:r>
          </w:p>
          <w:p w:rsidR="00332CC2" w:rsidRPr="00260CE3" w:rsidRDefault="00332CC2" w:rsidP="003F33D3">
            <w:pPr>
              <w:keepNext/>
              <w:spacing w:before="0" w:after="0"/>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332CC2" w:rsidRPr="00260CE3" w:rsidRDefault="00332CC2" w:rsidP="003F33D3">
            <w:pPr>
              <w:keepNext/>
              <w:spacing w:before="0" w:after="0"/>
              <w:ind w:left="-108"/>
              <w:jc w:val="both"/>
              <w:rPr>
                <w:rFonts w:ascii="Arial Narrow" w:hAnsi="Arial Narrow" w:cs="Arial"/>
                <w:sz w:val="20"/>
                <w:szCs w:val="20"/>
              </w:rPr>
            </w:pPr>
            <w:r w:rsidRPr="00260CE3">
              <w:rPr>
                <w:rFonts w:ascii="Arial Narrow" w:hAnsi="Arial Narrow" w:cs="Arial"/>
                <w:sz w:val="20"/>
                <w:szCs w:val="20"/>
              </w:rPr>
              <w:t>Max.</w:t>
            </w:r>
          </w:p>
          <w:p w:rsidR="00332CC2" w:rsidRPr="00260CE3" w:rsidRDefault="00332CC2" w:rsidP="003F33D3">
            <w:pPr>
              <w:keepNext/>
              <w:spacing w:before="0" w:after="0"/>
              <w:ind w:left="-108"/>
              <w:jc w:val="both"/>
              <w:rPr>
                <w:rFonts w:ascii="Arial Narrow" w:hAnsi="Arial Narrow" w:cs="Arial"/>
                <w:sz w:val="20"/>
                <w:szCs w:val="20"/>
              </w:rPr>
            </w:pPr>
            <w:r w:rsidRPr="00260CE3">
              <w:rPr>
                <w:rFonts w:ascii="Arial Narrow" w:hAnsi="Arial Narrow" w:cs="Arial"/>
                <w:sz w:val="20"/>
                <w:szCs w:val="20"/>
              </w:rPr>
              <w:t>Qty</w:t>
            </w:r>
            <w:r>
              <w:rPr>
                <w:rFonts w:ascii="Arial Narrow" w:hAnsi="Arial Narrow" w:cs="Arial"/>
                <w:sz w:val="20"/>
                <w:szCs w:val="20"/>
              </w:rPr>
              <w:t xml:space="preserve"> (pack)</w:t>
            </w:r>
          </w:p>
        </w:tc>
        <w:tc>
          <w:tcPr>
            <w:tcW w:w="850" w:type="dxa"/>
            <w:tcBorders>
              <w:bottom w:val="single" w:sz="4" w:space="0" w:color="auto"/>
            </w:tcBorders>
          </w:tcPr>
          <w:p w:rsidR="00332CC2" w:rsidRPr="00260CE3" w:rsidRDefault="00332CC2" w:rsidP="003F33D3">
            <w:pPr>
              <w:keepNext/>
              <w:spacing w:before="0" w:after="0"/>
              <w:ind w:left="-108"/>
              <w:jc w:val="both"/>
              <w:rPr>
                <w:rFonts w:ascii="Arial Narrow" w:hAnsi="Arial Narrow" w:cs="Arial"/>
                <w:sz w:val="20"/>
                <w:szCs w:val="20"/>
              </w:rPr>
            </w:pPr>
            <w:r w:rsidRPr="00260CE3">
              <w:rPr>
                <w:rFonts w:ascii="Arial Narrow" w:hAnsi="Arial Narrow" w:cs="Arial"/>
                <w:sz w:val="20"/>
                <w:szCs w:val="20"/>
              </w:rPr>
              <w:t>№.of</w:t>
            </w:r>
          </w:p>
          <w:p w:rsidR="00332CC2" w:rsidRPr="00260CE3" w:rsidRDefault="00332CC2" w:rsidP="003F33D3">
            <w:pPr>
              <w:keepNext/>
              <w:spacing w:before="0" w:after="0"/>
              <w:ind w:left="-108"/>
              <w:jc w:val="both"/>
              <w:rPr>
                <w:rFonts w:ascii="Arial Narrow" w:hAnsi="Arial Narrow" w:cs="Arial"/>
                <w:sz w:val="20"/>
                <w:szCs w:val="20"/>
              </w:rPr>
            </w:pPr>
            <w:r w:rsidRPr="00260CE3">
              <w:rPr>
                <w:rFonts w:ascii="Arial Narrow" w:hAnsi="Arial Narrow" w:cs="Arial"/>
                <w:sz w:val="20"/>
                <w:szCs w:val="20"/>
              </w:rPr>
              <w:t>Rpts</w:t>
            </w:r>
          </w:p>
        </w:tc>
        <w:tc>
          <w:tcPr>
            <w:tcW w:w="1701" w:type="dxa"/>
            <w:tcBorders>
              <w:bottom w:val="single" w:sz="4" w:space="0" w:color="auto"/>
            </w:tcBorders>
          </w:tcPr>
          <w:p w:rsidR="00332CC2" w:rsidRPr="00260CE3" w:rsidRDefault="00332CC2" w:rsidP="003F33D3">
            <w:pPr>
              <w:keepNext/>
              <w:spacing w:before="0" w:after="0"/>
              <w:ind w:left="-108"/>
              <w:jc w:val="both"/>
              <w:rPr>
                <w:rFonts w:ascii="Arial Narrow" w:hAnsi="Arial Narrow" w:cs="Arial"/>
                <w:sz w:val="20"/>
                <w:szCs w:val="20"/>
              </w:rPr>
            </w:pPr>
          </w:p>
        </w:tc>
        <w:tc>
          <w:tcPr>
            <w:tcW w:w="2835" w:type="dxa"/>
            <w:gridSpan w:val="2"/>
            <w:tcBorders>
              <w:bottom w:val="single" w:sz="4" w:space="0" w:color="auto"/>
            </w:tcBorders>
          </w:tcPr>
          <w:p w:rsidR="00332CC2" w:rsidRPr="00260CE3" w:rsidRDefault="00332CC2" w:rsidP="003F33D3">
            <w:pPr>
              <w:keepNext/>
              <w:spacing w:before="0" w:after="0"/>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332CC2" w:rsidRPr="00260CE3" w:rsidTr="0047765E">
        <w:trPr>
          <w:cantSplit/>
          <w:trHeight w:val="440"/>
        </w:trPr>
        <w:tc>
          <w:tcPr>
            <w:tcW w:w="3261" w:type="dxa"/>
            <w:gridSpan w:val="2"/>
          </w:tcPr>
          <w:p w:rsidR="00332CC2" w:rsidRDefault="00332CC2" w:rsidP="003F33D3">
            <w:pPr>
              <w:pStyle w:val="KMC16-Tablecontent"/>
              <w:keepNext/>
              <w:spacing w:before="0" w:after="0" w:line="252" w:lineRule="auto"/>
              <w:ind w:hanging="108"/>
            </w:pPr>
            <w:r>
              <w:t>SODIUM PHENYLBUTYRATE</w:t>
            </w:r>
          </w:p>
          <w:p w:rsidR="00332CC2" w:rsidRPr="00260CE3" w:rsidRDefault="00332CC2" w:rsidP="003F33D3">
            <w:pPr>
              <w:keepNext/>
              <w:spacing w:before="0" w:after="0"/>
              <w:ind w:left="-108"/>
              <w:jc w:val="both"/>
              <w:rPr>
                <w:rFonts w:ascii="Arial Narrow" w:hAnsi="Arial Narrow" w:cs="Arial"/>
                <w:sz w:val="20"/>
                <w:szCs w:val="20"/>
              </w:rPr>
            </w:pPr>
            <w:r>
              <w:rPr>
                <w:rFonts w:ascii="Arial Narrow" w:hAnsi="Arial Narrow" w:cs="Arial"/>
                <w:sz w:val="20"/>
                <w:szCs w:val="20"/>
              </w:rPr>
              <w:t xml:space="preserve">483 mg/g granules, 174g, </w:t>
            </w:r>
            <w:r w:rsidR="0080256E" w:rsidRPr="0080256E">
              <w:rPr>
                <w:rFonts w:ascii="Arial Narrow" w:hAnsi="Arial Narrow" w:cs="Arial"/>
                <w:strike/>
                <w:sz w:val="20"/>
                <w:szCs w:val="20"/>
              </w:rPr>
              <w:t xml:space="preserve">1 </w:t>
            </w:r>
            <w:r w:rsidRPr="0080256E">
              <w:rPr>
                <w:rFonts w:ascii="Arial Narrow" w:hAnsi="Arial Narrow" w:cs="Arial"/>
                <w:i/>
                <w:sz w:val="20"/>
                <w:szCs w:val="20"/>
              </w:rPr>
              <w:t>2</w:t>
            </w:r>
          </w:p>
        </w:tc>
        <w:tc>
          <w:tcPr>
            <w:tcW w:w="567" w:type="dxa"/>
          </w:tcPr>
          <w:p w:rsidR="00332CC2" w:rsidRPr="00260CE3" w:rsidRDefault="00332CC2" w:rsidP="003F33D3">
            <w:pPr>
              <w:keepNext/>
              <w:spacing w:before="0" w:after="0"/>
              <w:ind w:left="-108"/>
              <w:jc w:val="both"/>
              <w:rPr>
                <w:rFonts w:ascii="Arial Narrow" w:hAnsi="Arial Narrow" w:cs="Arial"/>
                <w:sz w:val="20"/>
                <w:szCs w:val="20"/>
              </w:rPr>
            </w:pPr>
          </w:p>
          <w:p w:rsidR="00332CC2" w:rsidRPr="00D822DC" w:rsidRDefault="0080256E" w:rsidP="003F33D3">
            <w:pPr>
              <w:keepNext/>
              <w:spacing w:before="0" w:after="0"/>
              <w:ind w:left="-108"/>
              <w:jc w:val="both"/>
              <w:rPr>
                <w:rFonts w:ascii="Arial Narrow" w:hAnsi="Arial Narrow" w:cs="Arial"/>
                <w:i/>
                <w:sz w:val="20"/>
                <w:szCs w:val="20"/>
              </w:rPr>
            </w:pPr>
            <w:r w:rsidRPr="0080256E">
              <w:rPr>
                <w:rFonts w:ascii="Arial Narrow" w:hAnsi="Arial Narrow" w:cs="Arial"/>
                <w:i/>
                <w:strike/>
                <w:sz w:val="20"/>
                <w:szCs w:val="20"/>
              </w:rPr>
              <w:t>2</w:t>
            </w:r>
            <w:r w:rsidR="00332CC2" w:rsidRPr="00D822DC">
              <w:rPr>
                <w:rFonts w:ascii="Arial Narrow" w:hAnsi="Arial Narrow" w:cs="Arial"/>
                <w:i/>
                <w:sz w:val="20"/>
                <w:szCs w:val="20"/>
              </w:rPr>
              <w:t>1</w:t>
            </w:r>
          </w:p>
        </w:tc>
        <w:tc>
          <w:tcPr>
            <w:tcW w:w="850" w:type="dxa"/>
          </w:tcPr>
          <w:p w:rsidR="00332CC2" w:rsidRPr="00260CE3" w:rsidRDefault="00332CC2" w:rsidP="003F33D3">
            <w:pPr>
              <w:keepNext/>
              <w:spacing w:before="0" w:after="0"/>
              <w:ind w:left="-108"/>
              <w:jc w:val="both"/>
              <w:rPr>
                <w:rFonts w:ascii="Arial Narrow" w:hAnsi="Arial Narrow" w:cs="Arial"/>
                <w:sz w:val="20"/>
                <w:szCs w:val="20"/>
              </w:rPr>
            </w:pPr>
          </w:p>
          <w:p w:rsidR="00332CC2" w:rsidRPr="00260CE3" w:rsidRDefault="00332CC2" w:rsidP="003F33D3">
            <w:pPr>
              <w:keepNext/>
              <w:spacing w:before="0" w:after="0"/>
              <w:ind w:left="-108"/>
              <w:jc w:val="both"/>
              <w:rPr>
                <w:rFonts w:ascii="Arial Narrow" w:hAnsi="Arial Narrow" w:cs="Arial"/>
                <w:sz w:val="20"/>
                <w:szCs w:val="20"/>
              </w:rPr>
            </w:pPr>
            <w:r>
              <w:rPr>
                <w:rFonts w:ascii="Arial Narrow" w:hAnsi="Arial Narrow" w:cs="Arial"/>
                <w:sz w:val="20"/>
                <w:szCs w:val="20"/>
              </w:rPr>
              <w:t>5</w:t>
            </w:r>
          </w:p>
        </w:tc>
        <w:tc>
          <w:tcPr>
            <w:tcW w:w="1701" w:type="dxa"/>
          </w:tcPr>
          <w:p w:rsidR="00332CC2" w:rsidRPr="00260CE3" w:rsidRDefault="00332CC2" w:rsidP="003F33D3">
            <w:pPr>
              <w:keepNext/>
              <w:spacing w:before="0" w:after="0"/>
              <w:ind w:left="-108"/>
              <w:jc w:val="both"/>
              <w:rPr>
                <w:rFonts w:ascii="Arial Narrow" w:hAnsi="Arial Narrow" w:cs="Arial"/>
                <w:sz w:val="20"/>
                <w:szCs w:val="20"/>
              </w:rPr>
            </w:pPr>
          </w:p>
          <w:p w:rsidR="00332CC2" w:rsidRPr="00260CE3" w:rsidRDefault="00332CC2" w:rsidP="003F33D3">
            <w:pPr>
              <w:keepNext/>
              <w:spacing w:before="0" w:after="0"/>
              <w:ind w:left="-108"/>
              <w:jc w:val="both"/>
              <w:rPr>
                <w:rFonts w:ascii="Arial Narrow" w:hAnsi="Arial Narrow" w:cs="Arial"/>
                <w:sz w:val="20"/>
                <w:szCs w:val="20"/>
              </w:rPr>
            </w:pPr>
          </w:p>
        </w:tc>
        <w:tc>
          <w:tcPr>
            <w:tcW w:w="1559" w:type="dxa"/>
          </w:tcPr>
          <w:p w:rsidR="00332CC2" w:rsidRPr="00260CE3" w:rsidRDefault="00332CC2" w:rsidP="003F33D3">
            <w:pPr>
              <w:keepNext/>
              <w:spacing w:before="0" w:after="0"/>
              <w:jc w:val="both"/>
              <w:rPr>
                <w:rFonts w:ascii="Arial Narrow" w:hAnsi="Arial Narrow" w:cs="Arial"/>
                <w:sz w:val="20"/>
                <w:szCs w:val="20"/>
              </w:rPr>
            </w:pPr>
            <w:r w:rsidRPr="00CF5382">
              <w:rPr>
                <w:rFonts w:ascii="Arial Narrow" w:hAnsi="Arial Narrow" w:cs="Arial"/>
                <w:sz w:val="20"/>
                <w:szCs w:val="20"/>
              </w:rPr>
              <w:t>Pheburane</w:t>
            </w:r>
          </w:p>
        </w:tc>
        <w:tc>
          <w:tcPr>
            <w:tcW w:w="1276" w:type="dxa"/>
          </w:tcPr>
          <w:p w:rsidR="00332CC2" w:rsidRPr="00260CE3" w:rsidRDefault="00332CC2" w:rsidP="003F33D3">
            <w:pPr>
              <w:keepNext/>
              <w:spacing w:before="0" w:after="0"/>
              <w:jc w:val="both"/>
              <w:rPr>
                <w:rFonts w:ascii="Arial Narrow" w:hAnsi="Arial Narrow" w:cs="Arial"/>
                <w:sz w:val="20"/>
                <w:szCs w:val="20"/>
              </w:rPr>
            </w:pPr>
            <w:r w:rsidRPr="00CF5382">
              <w:rPr>
                <w:rFonts w:ascii="Arial Narrow" w:hAnsi="Arial Narrow" w:cs="Arial"/>
                <w:sz w:val="20"/>
                <w:szCs w:val="20"/>
              </w:rPr>
              <w:t>Orpharma</w:t>
            </w:r>
          </w:p>
        </w:tc>
      </w:tr>
      <w:tr w:rsidR="00332CC2" w:rsidRPr="00260CE3" w:rsidTr="0047765E">
        <w:trPr>
          <w:cantSplit/>
          <w:trHeight w:val="20"/>
        </w:trPr>
        <w:tc>
          <w:tcPr>
            <w:tcW w:w="9214" w:type="dxa"/>
            <w:gridSpan w:val="7"/>
            <w:tcBorders>
              <w:bottom w:val="single" w:sz="4" w:space="0" w:color="auto"/>
            </w:tcBorders>
          </w:tcPr>
          <w:p w:rsidR="00332CC2" w:rsidRPr="00260CE3" w:rsidRDefault="00332CC2" w:rsidP="003F33D3">
            <w:pPr>
              <w:keepNext/>
              <w:spacing w:before="0" w:after="0"/>
              <w:jc w:val="both"/>
              <w:rPr>
                <w:rFonts w:ascii="Arial Narrow" w:hAnsi="Arial Narrow" w:cs="Arial"/>
                <w:sz w:val="20"/>
                <w:szCs w:val="20"/>
              </w:rPr>
            </w:pPr>
          </w:p>
        </w:tc>
      </w:tr>
      <w:tr w:rsidR="00332CC2" w:rsidRPr="00260CE3" w:rsidTr="004776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332CC2" w:rsidRPr="00260CE3" w:rsidRDefault="00332CC2" w:rsidP="00881F91">
            <w:pPr>
              <w:keepNext/>
              <w:spacing w:before="0" w:after="0"/>
              <w:jc w:val="both"/>
              <w:rPr>
                <w:rFonts w:ascii="Arial Narrow" w:hAnsi="Arial Narrow" w:cs="Arial"/>
                <w:b/>
                <w:sz w:val="20"/>
                <w:szCs w:val="20"/>
              </w:rPr>
            </w:pPr>
            <w:r w:rsidRPr="00260CE3">
              <w:rPr>
                <w:rFonts w:ascii="Arial Narrow" w:hAnsi="Arial Narrow" w:cs="Arial"/>
                <w:b/>
                <w:sz w:val="20"/>
                <w:szCs w:val="20"/>
              </w:rPr>
              <w:t>Category / Program</w:t>
            </w:r>
          </w:p>
        </w:tc>
        <w:tc>
          <w:tcPr>
            <w:tcW w:w="6804" w:type="dxa"/>
            <w:gridSpan w:val="6"/>
            <w:tcBorders>
              <w:top w:val="single" w:sz="4" w:space="0" w:color="auto"/>
              <w:left w:val="single" w:sz="4" w:space="0" w:color="auto"/>
              <w:bottom w:val="single" w:sz="4" w:space="0" w:color="auto"/>
              <w:right w:val="single" w:sz="4" w:space="0" w:color="auto"/>
            </w:tcBorders>
          </w:tcPr>
          <w:p w:rsidR="00332CC2" w:rsidRPr="00260CE3" w:rsidRDefault="00332CC2" w:rsidP="003F33D3">
            <w:pPr>
              <w:keepNext/>
              <w:spacing w:before="0" w:after="0"/>
              <w:rPr>
                <w:rFonts w:ascii="Arial Narrow" w:hAnsi="Arial Narrow" w:cs="Arial"/>
                <w:sz w:val="20"/>
                <w:szCs w:val="20"/>
              </w:rPr>
            </w:pPr>
            <w:r w:rsidRPr="00260CE3">
              <w:rPr>
                <w:rFonts w:ascii="Arial Narrow" w:hAnsi="Arial Narrow" w:cs="Arial"/>
                <w:sz w:val="20"/>
                <w:szCs w:val="20"/>
              </w:rPr>
              <w:t>GENERAL – General Schedule (Code GE)</w:t>
            </w:r>
          </w:p>
        </w:tc>
      </w:tr>
      <w:tr w:rsidR="00332CC2" w:rsidRPr="00260CE3" w:rsidTr="004776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332CC2" w:rsidRPr="00260CE3" w:rsidRDefault="00332CC2" w:rsidP="003F33D3">
            <w:pPr>
              <w:keepNext/>
              <w:spacing w:before="0" w:after="0"/>
              <w:jc w:val="both"/>
              <w:rPr>
                <w:rFonts w:ascii="Arial Narrow" w:hAnsi="Arial Narrow" w:cs="Arial"/>
                <w:b/>
                <w:sz w:val="20"/>
                <w:szCs w:val="20"/>
              </w:rPr>
            </w:pPr>
            <w:r w:rsidRPr="00260CE3">
              <w:rPr>
                <w:rFonts w:ascii="Arial Narrow" w:hAnsi="Arial Narrow" w:cs="Arial"/>
                <w:b/>
                <w:sz w:val="20"/>
                <w:szCs w:val="20"/>
              </w:rPr>
              <w:t>Prescriber type:</w:t>
            </w:r>
          </w:p>
        </w:tc>
        <w:tc>
          <w:tcPr>
            <w:tcW w:w="6804" w:type="dxa"/>
            <w:gridSpan w:val="6"/>
            <w:tcBorders>
              <w:top w:val="single" w:sz="4" w:space="0" w:color="auto"/>
              <w:left w:val="single" w:sz="4" w:space="0" w:color="auto"/>
              <w:bottom w:val="single" w:sz="4" w:space="0" w:color="auto"/>
              <w:right w:val="single" w:sz="4" w:space="0" w:color="auto"/>
            </w:tcBorders>
          </w:tcPr>
          <w:p w:rsidR="00332CC2" w:rsidRPr="00260CE3" w:rsidRDefault="00332CC2" w:rsidP="003F33D3">
            <w:pPr>
              <w:keepNext/>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7C25B9">
              <w:rPr>
                <w:rFonts w:ascii="Arial Narrow" w:hAnsi="Arial Narrow" w:cs="Arial"/>
                <w:sz w:val="20"/>
                <w:szCs w:val="20"/>
              </w:rPr>
            </w:r>
            <w:r w:rsidR="007C25B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C25B9">
              <w:rPr>
                <w:rFonts w:ascii="Arial Narrow" w:hAnsi="Arial Narrow" w:cs="Arial"/>
                <w:sz w:val="20"/>
                <w:szCs w:val="20"/>
              </w:rPr>
            </w:r>
            <w:r w:rsidR="007C25B9">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7C25B9">
              <w:rPr>
                <w:rFonts w:ascii="Arial Narrow" w:hAnsi="Arial Narrow" w:cs="Arial"/>
                <w:sz w:val="20"/>
                <w:szCs w:val="20"/>
              </w:rPr>
            </w:r>
            <w:r w:rsidR="007C25B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7C25B9">
              <w:rPr>
                <w:rFonts w:ascii="Arial Narrow" w:hAnsi="Arial Narrow" w:cs="Arial"/>
                <w:sz w:val="20"/>
                <w:szCs w:val="20"/>
              </w:rPr>
            </w:r>
            <w:r w:rsidR="007C25B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332CC2" w:rsidRPr="00260CE3" w:rsidRDefault="00332CC2" w:rsidP="003F33D3">
            <w:pPr>
              <w:keepNext/>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7C25B9">
              <w:rPr>
                <w:rFonts w:ascii="Arial Narrow" w:hAnsi="Arial Narrow" w:cs="Arial"/>
                <w:sz w:val="20"/>
                <w:szCs w:val="20"/>
              </w:rPr>
            </w:r>
            <w:r w:rsidR="007C25B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332CC2" w:rsidRPr="00260CE3" w:rsidTr="004776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332CC2" w:rsidRPr="00260CE3" w:rsidRDefault="00332CC2" w:rsidP="003F33D3">
            <w:pPr>
              <w:keepNext/>
              <w:spacing w:before="0" w:after="0"/>
              <w:jc w:val="both"/>
              <w:rPr>
                <w:rFonts w:ascii="Arial Narrow" w:hAnsi="Arial Narrow" w:cs="Arial"/>
                <w:b/>
                <w:sz w:val="20"/>
                <w:szCs w:val="20"/>
              </w:rPr>
            </w:pPr>
            <w:r w:rsidRPr="00260CE3">
              <w:rPr>
                <w:rFonts w:ascii="Arial Narrow" w:hAnsi="Arial Narrow" w:cs="Arial"/>
                <w:b/>
                <w:sz w:val="20"/>
                <w:szCs w:val="20"/>
              </w:rPr>
              <w:t>Episodicity:</w:t>
            </w:r>
          </w:p>
        </w:tc>
        <w:tc>
          <w:tcPr>
            <w:tcW w:w="6804" w:type="dxa"/>
            <w:gridSpan w:val="6"/>
            <w:tcBorders>
              <w:top w:val="single" w:sz="4" w:space="0" w:color="auto"/>
              <w:left w:val="single" w:sz="4" w:space="0" w:color="auto"/>
              <w:bottom w:val="single" w:sz="4" w:space="0" w:color="auto"/>
              <w:right w:val="single" w:sz="4" w:space="0" w:color="auto"/>
            </w:tcBorders>
          </w:tcPr>
          <w:p w:rsidR="00332CC2" w:rsidRPr="00243B6E" w:rsidRDefault="00332CC2" w:rsidP="003F33D3">
            <w:pPr>
              <w:pStyle w:val="KMC16-Tablecontent"/>
              <w:keepNext/>
              <w:spacing w:before="0" w:after="0"/>
              <w:rPr>
                <w:strike/>
              </w:rPr>
            </w:pPr>
            <w:r w:rsidRPr="00243B6E">
              <w:rPr>
                <w:strike/>
              </w:rPr>
              <w:t>N/A</w:t>
            </w:r>
          </w:p>
        </w:tc>
      </w:tr>
      <w:tr w:rsidR="00332CC2" w:rsidRPr="00260CE3" w:rsidTr="004776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332CC2" w:rsidRPr="00260CE3" w:rsidRDefault="00332CC2" w:rsidP="003F33D3">
            <w:pPr>
              <w:keepNext/>
              <w:spacing w:before="0" w:after="0"/>
              <w:jc w:val="both"/>
              <w:rPr>
                <w:rFonts w:ascii="Arial Narrow" w:hAnsi="Arial Narrow" w:cs="Arial"/>
                <w:b/>
                <w:sz w:val="20"/>
                <w:szCs w:val="20"/>
              </w:rPr>
            </w:pPr>
            <w:r w:rsidRPr="00260CE3">
              <w:rPr>
                <w:rFonts w:ascii="Arial Narrow" w:hAnsi="Arial Narrow" w:cs="Arial"/>
                <w:b/>
                <w:sz w:val="20"/>
                <w:szCs w:val="20"/>
              </w:rPr>
              <w:t>Severity:</w:t>
            </w:r>
          </w:p>
        </w:tc>
        <w:tc>
          <w:tcPr>
            <w:tcW w:w="6804" w:type="dxa"/>
            <w:gridSpan w:val="6"/>
            <w:tcBorders>
              <w:top w:val="single" w:sz="4" w:space="0" w:color="auto"/>
              <w:left w:val="single" w:sz="4" w:space="0" w:color="auto"/>
              <w:bottom w:val="single" w:sz="4" w:space="0" w:color="auto"/>
              <w:right w:val="single" w:sz="4" w:space="0" w:color="auto"/>
            </w:tcBorders>
          </w:tcPr>
          <w:p w:rsidR="00332CC2" w:rsidRPr="00CF5382" w:rsidRDefault="00332CC2" w:rsidP="003F33D3">
            <w:pPr>
              <w:pStyle w:val="KMC16-Tablecontent"/>
              <w:keepNext/>
              <w:spacing w:before="0" w:after="0"/>
              <w:rPr>
                <w:strike/>
              </w:rPr>
            </w:pPr>
            <w:r w:rsidRPr="00CF5382">
              <w:rPr>
                <w:strike/>
              </w:rPr>
              <w:t>Patients who have been diagnosed with urea cycle disorder</w:t>
            </w:r>
            <w:r w:rsidRPr="00CF5382">
              <w:rPr>
                <w:i/>
              </w:rPr>
              <w:t xml:space="preserve"> N/A</w:t>
            </w:r>
          </w:p>
        </w:tc>
      </w:tr>
      <w:tr w:rsidR="00332CC2" w:rsidRPr="00260CE3" w:rsidTr="004776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332CC2" w:rsidRPr="00260CE3" w:rsidRDefault="00332CC2" w:rsidP="003F33D3">
            <w:pPr>
              <w:keepNext/>
              <w:spacing w:before="0" w:after="0"/>
              <w:jc w:val="both"/>
              <w:rPr>
                <w:rFonts w:ascii="Arial Narrow" w:hAnsi="Arial Narrow" w:cs="Arial"/>
                <w:b/>
                <w:sz w:val="20"/>
                <w:szCs w:val="20"/>
              </w:rPr>
            </w:pPr>
            <w:r w:rsidRPr="00260CE3">
              <w:rPr>
                <w:rFonts w:ascii="Arial Narrow" w:hAnsi="Arial Narrow" w:cs="Arial"/>
                <w:b/>
                <w:sz w:val="20"/>
                <w:szCs w:val="20"/>
              </w:rPr>
              <w:t>Condition:</w:t>
            </w:r>
          </w:p>
        </w:tc>
        <w:tc>
          <w:tcPr>
            <w:tcW w:w="6804" w:type="dxa"/>
            <w:gridSpan w:val="6"/>
            <w:tcBorders>
              <w:top w:val="single" w:sz="4" w:space="0" w:color="auto"/>
              <w:left w:val="single" w:sz="4" w:space="0" w:color="auto"/>
              <w:bottom w:val="single" w:sz="4" w:space="0" w:color="auto"/>
              <w:right w:val="single" w:sz="4" w:space="0" w:color="auto"/>
            </w:tcBorders>
          </w:tcPr>
          <w:p w:rsidR="00332CC2" w:rsidRPr="00AC17B7" w:rsidRDefault="00332CC2" w:rsidP="003F33D3">
            <w:pPr>
              <w:pStyle w:val="KMC16-Tablecontent"/>
              <w:keepNext/>
              <w:spacing w:before="0" w:after="0"/>
            </w:pPr>
            <w:r w:rsidRPr="00AC17B7">
              <w:t>Urea cycle disorder</w:t>
            </w:r>
            <w:r w:rsidRPr="00AB0F95">
              <w:rPr>
                <w:i/>
              </w:rPr>
              <w:t>s</w:t>
            </w:r>
          </w:p>
        </w:tc>
      </w:tr>
      <w:tr w:rsidR="00332CC2" w:rsidRPr="00260CE3" w:rsidTr="004776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332CC2" w:rsidRPr="00CF5382" w:rsidRDefault="00332CC2" w:rsidP="003F33D3">
            <w:pPr>
              <w:keepNext/>
              <w:spacing w:before="0" w:after="0"/>
              <w:jc w:val="both"/>
              <w:rPr>
                <w:rFonts w:ascii="Arial Narrow" w:hAnsi="Arial Narrow" w:cs="Arial"/>
                <w:b/>
                <w:sz w:val="20"/>
                <w:szCs w:val="20"/>
              </w:rPr>
            </w:pPr>
            <w:r w:rsidRPr="00260CE3">
              <w:rPr>
                <w:rFonts w:ascii="Arial Narrow" w:hAnsi="Arial Narrow" w:cs="Arial"/>
                <w:b/>
                <w:sz w:val="20"/>
                <w:szCs w:val="20"/>
              </w:rPr>
              <w:t>PBS Indication:</w:t>
            </w:r>
          </w:p>
        </w:tc>
        <w:tc>
          <w:tcPr>
            <w:tcW w:w="6804" w:type="dxa"/>
            <w:gridSpan w:val="6"/>
            <w:tcBorders>
              <w:top w:val="single" w:sz="4" w:space="0" w:color="auto"/>
              <w:left w:val="single" w:sz="4" w:space="0" w:color="auto"/>
              <w:bottom w:val="single" w:sz="4" w:space="0" w:color="auto"/>
              <w:right w:val="single" w:sz="4" w:space="0" w:color="auto"/>
            </w:tcBorders>
          </w:tcPr>
          <w:p w:rsidR="00332CC2" w:rsidRPr="00AC17B7" w:rsidRDefault="00332CC2" w:rsidP="003F33D3">
            <w:pPr>
              <w:pStyle w:val="KMC16-Tablecontent"/>
              <w:keepNext/>
              <w:spacing w:before="0" w:after="0"/>
            </w:pPr>
            <w:r w:rsidRPr="00CF5382">
              <w:rPr>
                <w:strike/>
              </w:rPr>
              <w:t>Patients who have been diagnosed with</w:t>
            </w:r>
            <w:r w:rsidRPr="00CF5382">
              <w:t xml:space="preserve"> U</w:t>
            </w:r>
            <w:r w:rsidRPr="00AC17B7">
              <w:t>rea cycle disorder</w:t>
            </w:r>
            <w:r w:rsidRPr="00AB0F95">
              <w:rPr>
                <w:i/>
              </w:rPr>
              <w:t>s</w:t>
            </w:r>
          </w:p>
        </w:tc>
      </w:tr>
      <w:tr w:rsidR="00332CC2" w:rsidRPr="00260CE3" w:rsidTr="004776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332CC2" w:rsidRPr="00CF5382" w:rsidRDefault="00332CC2" w:rsidP="003F33D3">
            <w:pPr>
              <w:keepNext/>
              <w:spacing w:before="0" w:after="0"/>
              <w:jc w:val="both"/>
              <w:rPr>
                <w:rFonts w:ascii="Arial Narrow" w:hAnsi="Arial Narrow" w:cs="Arial"/>
                <w:b/>
                <w:sz w:val="20"/>
                <w:szCs w:val="20"/>
              </w:rPr>
            </w:pPr>
            <w:r w:rsidRPr="00260CE3">
              <w:rPr>
                <w:rFonts w:ascii="Arial Narrow" w:hAnsi="Arial Narrow" w:cs="Arial"/>
                <w:b/>
                <w:sz w:val="20"/>
                <w:szCs w:val="20"/>
              </w:rPr>
              <w:t>Treatment phase:</w:t>
            </w:r>
          </w:p>
        </w:tc>
        <w:tc>
          <w:tcPr>
            <w:tcW w:w="6804" w:type="dxa"/>
            <w:gridSpan w:val="6"/>
            <w:tcBorders>
              <w:top w:val="single" w:sz="4" w:space="0" w:color="auto"/>
              <w:left w:val="single" w:sz="4" w:space="0" w:color="auto"/>
              <w:bottom w:val="single" w:sz="4" w:space="0" w:color="auto"/>
              <w:right w:val="single" w:sz="4" w:space="0" w:color="auto"/>
            </w:tcBorders>
          </w:tcPr>
          <w:p w:rsidR="00332CC2" w:rsidRPr="00F71589" w:rsidRDefault="00332CC2" w:rsidP="003F33D3">
            <w:pPr>
              <w:keepNext/>
              <w:spacing w:before="0" w:after="0"/>
              <w:rPr>
                <w:rFonts w:ascii="Arial Narrow" w:hAnsi="Arial Narrow" w:cs="Arial"/>
                <w:strike/>
                <w:sz w:val="20"/>
                <w:szCs w:val="20"/>
              </w:rPr>
            </w:pPr>
            <w:r w:rsidRPr="00F71589">
              <w:rPr>
                <w:rFonts w:ascii="Arial Narrow" w:hAnsi="Arial Narrow" w:cs="Arial"/>
                <w:strike/>
                <w:sz w:val="20"/>
                <w:szCs w:val="20"/>
              </w:rPr>
              <w:t>Initial and Continuing</w:t>
            </w:r>
          </w:p>
        </w:tc>
      </w:tr>
      <w:tr w:rsidR="00332CC2" w:rsidRPr="00260CE3" w:rsidTr="004776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332CC2" w:rsidRPr="00CF5382" w:rsidRDefault="00332CC2" w:rsidP="003F33D3">
            <w:pPr>
              <w:keepNext/>
              <w:spacing w:before="0" w:after="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332CC2" w:rsidRPr="00CD28F3" w:rsidRDefault="00332CC2" w:rsidP="003F33D3">
            <w:pPr>
              <w:keepNext/>
              <w:spacing w:before="0" w:after="0"/>
              <w:rPr>
                <w:rFonts w:ascii="Arial Narrow" w:hAnsi="Arial Narrow" w:cs="Arial"/>
                <w:i/>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332CC2" w:rsidRPr="00106BCF" w:rsidRDefault="00332CC2" w:rsidP="003F33D3">
            <w:pPr>
              <w:keepNext/>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7C25B9">
              <w:rPr>
                <w:rFonts w:ascii="Arial Narrow" w:hAnsi="Arial Narrow" w:cs="Arial"/>
                <w:sz w:val="20"/>
                <w:szCs w:val="20"/>
              </w:rPr>
            </w:r>
            <w:r w:rsidR="007C25B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332CC2" w:rsidRPr="00106BCF" w:rsidRDefault="00332CC2" w:rsidP="003F33D3">
            <w:pPr>
              <w:keepNext/>
              <w:spacing w:before="0" w:after="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7C25B9">
              <w:rPr>
                <w:rFonts w:ascii="Arial Narrow" w:hAnsi="Arial Narrow" w:cs="Arial"/>
                <w:sz w:val="20"/>
                <w:szCs w:val="20"/>
              </w:rPr>
            </w:r>
            <w:r w:rsidR="007C25B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332CC2" w:rsidRPr="00106BCF" w:rsidRDefault="00332CC2" w:rsidP="003F33D3">
            <w:pPr>
              <w:keepNext/>
              <w:spacing w:before="0" w:after="0"/>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bookmarkStart w:id="6" w:name="Check3"/>
            <w:r>
              <w:rPr>
                <w:rFonts w:ascii="Arial Narrow" w:hAnsi="Arial Narrow" w:cs="Arial"/>
                <w:sz w:val="20"/>
                <w:szCs w:val="20"/>
              </w:rPr>
              <w:instrText xml:space="preserve"> FORMCHECKBOX </w:instrText>
            </w:r>
            <w:r w:rsidR="007C25B9">
              <w:rPr>
                <w:rFonts w:ascii="Arial Narrow" w:hAnsi="Arial Narrow" w:cs="Arial"/>
                <w:sz w:val="20"/>
                <w:szCs w:val="20"/>
              </w:rPr>
            </w:r>
            <w:r w:rsidR="007C25B9">
              <w:rPr>
                <w:rFonts w:ascii="Arial Narrow" w:hAnsi="Arial Narrow" w:cs="Arial"/>
                <w:sz w:val="20"/>
                <w:szCs w:val="20"/>
              </w:rPr>
              <w:fldChar w:fldCharType="separate"/>
            </w:r>
            <w:r>
              <w:rPr>
                <w:rFonts w:ascii="Arial Narrow" w:hAnsi="Arial Narrow" w:cs="Arial"/>
                <w:sz w:val="20"/>
                <w:szCs w:val="20"/>
              </w:rPr>
              <w:fldChar w:fldCharType="end"/>
            </w:r>
            <w:bookmarkEnd w:id="6"/>
            <w:r w:rsidRPr="00106BCF">
              <w:rPr>
                <w:rFonts w:ascii="Arial Narrow" w:hAnsi="Arial Narrow" w:cs="Arial"/>
                <w:sz w:val="20"/>
                <w:szCs w:val="20"/>
              </w:rPr>
              <w:t>Authority Required - Telephone</w:t>
            </w:r>
          </w:p>
          <w:p w:rsidR="00332CC2" w:rsidRPr="00106BCF" w:rsidRDefault="00332CC2" w:rsidP="003F33D3">
            <w:pPr>
              <w:keepNext/>
              <w:spacing w:before="0" w:after="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7C25B9">
              <w:rPr>
                <w:rFonts w:ascii="Arial Narrow" w:hAnsi="Arial Narrow" w:cs="Arial"/>
                <w:sz w:val="20"/>
                <w:szCs w:val="20"/>
              </w:rPr>
            </w:r>
            <w:r w:rsidR="007C25B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Pr="004332FE">
              <w:rPr>
                <w:rFonts w:ascii="Arial Narrow" w:hAnsi="Arial Narrow" w:cs="Arial"/>
                <w:sz w:val="20"/>
                <w:szCs w:val="20"/>
              </w:rPr>
              <w:t>-</w:t>
            </w:r>
            <w:r w:rsidRPr="00106BCF">
              <w:rPr>
                <w:rFonts w:ascii="Arial Narrow" w:hAnsi="Arial Narrow" w:cs="Arial"/>
                <w:sz w:val="20"/>
                <w:szCs w:val="20"/>
              </w:rPr>
              <w:t xml:space="preserve"> Emergency</w:t>
            </w:r>
          </w:p>
          <w:p w:rsidR="00332CC2" w:rsidRPr="00106BCF" w:rsidRDefault="00332CC2" w:rsidP="003F33D3">
            <w:pPr>
              <w:keepNext/>
              <w:spacing w:before="0" w:after="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7" w:name="Check5"/>
            <w:r>
              <w:rPr>
                <w:rFonts w:ascii="Arial Narrow" w:hAnsi="Arial Narrow" w:cs="Arial"/>
                <w:sz w:val="20"/>
                <w:szCs w:val="20"/>
              </w:rPr>
              <w:instrText xml:space="preserve"> FORMCHECKBOX </w:instrText>
            </w:r>
            <w:r w:rsidR="007C25B9">
              <w:rPr>
                <w:rFonts w:ascii="Arial Narrow" w:hAnsi="Arial Narrow" w:cs="Arial"/>
                <w:sz w:val="20"/>
                <w:szCs w:val="20"/>
              </w:rPr>
            </w:r>
            <w:r w:rsidR="007C25B9">
              <w:rPr>
                <w:rFonts w:ascii="Arial Narrow" w:hAnsi="Arial Narrow" w:cs="Arial"/>
                <w:sz w:val="20"/>
                <w:szCs w:val="20"/>
              </w:rPr>
              <w:fldChar w:fldCharType="separate"/>
            </w:r>
            <w:r>
              <w:rPr>
                <w:rFonts w:ascii="Arial Narrow" w:hAnsi="Arial Narrow" w:cs="Arial"/>
                <w:sz w:val="20"/>
                <w:szCs w:val="20"/>
              </w:rPr>
              <w:fldChar w:fldCharType="end"/>
            </w:r>
            <w:bookmarkEnd w:id="7"/>
            <w:r w:rsidRPr="00106BCF">
              <w:rPr>
                <w:rFonts w:ascii="Arial Narrow" w:hAnsi="Arial Narrow" w:cs="Arial"/>
                <w:sz w:val="20"/>
                <w:szCs w:val="20"/>
              </w:rPr>
              <w:t>Authority Required - Electronic</w:t>
            </w:r>
          </w:p>
          <w:p w:rsidR="00332CC2" w:rsidRPr="00260CE3" w:rsidRDefault="00332CC2" w:rsidP="003F33D3">
            <w:pPr>
              <w:keepNext/>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7C25B9">
              <w:rPr>
                <w:rFonts w:ascii="Arial Narrow" w:hAnsi="Arial Narrow" w:cs="Arial"/>
                <w:sz w:val="20"/>
                <w:szCs w:val="20"/>
              </w:rPr>
            </w:r>
            <w:r w:rsidR="007C25B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332CC2" w:rsidRPr="00260CE3" w:rsidTr="004776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332CC2" w:rsidRPr="00CF5382" w:rsidRDefault="00332CC2" w:rsidP="003F33D3">
            <w:pPr>
              <w:keepNext/>
              <w:spacing w:before="0" w:after="0"/>
              <w:rPr>
                <w:rFonts w:ascii="Arial Narrow" w:hAnsi="Arial Narrow" w:cs="Arial"/>
                <w:b/>
                <w:sz w:val="20"/>
                <w:szCs w:val="20"/>
              </w:rPr>
            </w:pPr>
            <w:r w:rsidRPr="00260CE3">
              <w:rPr>
                <w:rFonts w:ascii="Arial Narrow" w:hAnsi="Arial Narrow" w:cs="Arial"/>
                <w:b/>
                <w:sz w:val="20"/>
                <w:szCs w:val="20"/>
              </w:rPr>
              <w:t>Treatment criteria:</w:t>
            </w:r>
          </w:p>
        </w:tc>
        <w:tc>
          <w:tcPr>
            <w:tcW w:w="6804" w:type="dxa"/>
            <w:gridSpan w:val="6"/>
            <w:tcBorders>
              <w:top w:val="single" w:sz="4" w:space="0" w:color="auto"/>
              <w:left w:val="single" w:sz="4" w:space="0" w:color="auto"/>
              <w:bottom w:val="single" w:sz="4" w:space="0" w:color="auto"/>
              <w:right w:val="single" w:sz="4" w:space="0" w:color="auto"/>
            </w:tcBorders>
          </w:tcPr>
          <w:p w:rsidR="00332CC2" w:rsidRPr="00CF5382" w:rsidRDefault="00332CC2" w:rsidP="003F33D3">
            <w:pPr>
              <w:pStyle w:val="KMC16-Tablecontent"/>
              <w:keepNext/>
              <w:spacing w:before="0" w:after="0"/>
              <w:rPr>
                <w:strike/>
              </w:rPr>
            </w:pPr>
            <w:r w:rsidRPr="00CF5382">
              <w:rPr>
                <w:strike/>
              </w:rPr>
              <w:t>Patient must be diagnosed as having urea cycle disorder.</w:t>
            </w:r>
          </w:p>
        </w:tc>
      </w:tr>
      <w:tr w:rsidR="00332CC2" w:rsidRPr="00260CE3" w:rsidTr="004776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332CC2" w:rsidRPr="00CF5382" w:rsidRDefault="00332CC2" w:rsidP="003F33D3">
            <w:pPr>
              <w:keepNext/>
              <w:spacing w:before="0" w:after="0"/>
              <w:jc w:val="both"/>
              <w:rPr>
                <w:rFonts w:ascii="Arial Narrow" w:hAnsi="Arial Narrow" w:cs="Arial"/>
                <w:b/>
                <w:sz w:val="20"/>
                <w:szCs w:val="20"/>
              </w:rPr>
            </w:pPr>
            <w:r w:rsidRPr="00260CE3">
              <w:rPr>
                <w:rFonts w:ascii="Arial Narrow" w:hAnsi="Arial Narrow" w:cs="Arial"/>
                <w:b/>
                <w:sz w:val="20"/>
                <w:szCs w:val="20"/>
              </w:rPr>
              <w:t>Clinical criteria:</w:t>
            </w:r>
          </w:p>
        </w:tc>
        <w:tc>
          <w:tcPr>
            <w:tcW w:w="6804" w:type="dxa"/>
            <w:gridSpan w:val="6"/>
            <w:tcBorders>
              <w:top w:val="single" w:sz="4" w:space="0" w:color="auto"/>
              <w:left w:val="single" w:sz="4" w:space="0" w:color="auto"/>
              <w:bottom w:val="single" w:sz="4" w:space="0" w:color="auto"/>
              <w:right w:val="single" w:sz="4" w:space="0" w:color="auto"/>
            </w:tcBorders>
          </w:tcPr>
          <w:p w:rsidR="00332CC2" w:rsidRDefault="00332CC2" w:rsidP="003F33D3">
            <w:pPr>
              <w:pStyle w:val="KMC16-Tablecontent"/>
              <w:keepNext/>
              <w:spacing w:before="0" w:after="0"/>
            </w:pPr>
            <w:r w:rsidRPr="00AC17B7">
              <w:t>Patient must have elevated ammonia levels that are not controlled with diet alone</w:t>
            </w:r>
            <w:r>
              <w:t xml:space="preserve"> and other adjunct care alone</w:t>
            </w:r>
          </w:p>
          <w:p w:rsidR="00332CC2" w:rsidRPr="00F71589" w:rsidRDefault="00332CC2" w:rsidP="003F33D3">
            <w:pPr>
              <w:pStyle w:val="KMC16-Tablecontent"/>
              <w:keepNext/>
              <w:spacing w:before="0" w:after="0"/>
              <w:rPr>
                <w:strike/>
              </w:rPr>
            </w:pPr>
            <w:r w:rsidRPr="00F71589">
              <w:rPr>
                <w:strike/>
              </w:rPr>
              <w:t>AND</w:t>
            </w:r>
          </w:p>
          <w:p w:rsidR="00332CC2" w:rsidRPr="00AC17B7" w:rsidRDefault="00332CC2" w:rsidP="003F33D3">
            <w:pPr>
              <w:pStyle w:val="KMC16-Tablecontent"/>
              <w:keepNext/>
              <w:spacing w:before="0" w:after="0"/>
            </w:pPr>
            <w:r w:rsidRPr="00F71589">
              <w:rPr>
                <w:strike/>
              </w:rPr>
              <w:t>Is administered as chronic therapy.</w:t>
            </w:r>
          </w:p>
        </w:tc>
      </w:tr>
      <w:tr w:rsidR="00332CC2" w:rsidRPr="00260CE3" w:rsidTr="004776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332CC2" w:rsidRPr="00260CE3" w:rsidRDefault="00332CC2" w:rsidP="003F33D3">
            <w:pPr>
              <w:keepNext/>
              <w:spacing w:before="0" w:after="0"/>
              <w:jc w:val="both"/>
              <w:rPr>
                <w:rFonts w:ascii="Arial Narrow" w:hAnsi="Arial Narrow" w:cs="Arial"/>
                <w:b/>
                <w:sz w:val="20"/>
                <w:szCs w:val="20"/>
              </w:rPr>
            </w:pPr>
            <w:r>
              <w:rPr>
                <w:rFonts w:ascii="Arial Narrow" w:hAnsi="Arial Narrow" w:cs="Arial"/>
                <w:b/>
                <w:sz w:val="20"/>
                <w:szCs w:val="20"/>
              </w:rPr>
              <w:t>Prescriber Instructions</w:t>
            </w:r>
          </w:p>
        </w:tc>
        <w:tc>
          <w:tcPr>
            <w:tcW w:w="6804" w:type="dxa"/>
            <w:gridSpan w:val="6"/>
            <w:tcBorders>
              <w:top w:val="single" w:sz="4" w:space="0" w:color="auto"/>
              <w:left w:val="single" w:sz="4" w:space="0" w:color="auto"/>
              <w:bottom w:val="single" w:sz="4" w:space="0" w:color="auto"/>
              <w:right w:val="single" w:sz="4" w:space="0" w:color="auto"/>
            </w:tcBorders>
          </w:tcPr>
          <w:p w:rsidR="00332CC2" w:rsidRPr="0080256E" w:rsidRDefault="00332CC2" w:rsidP="003F33D3">
            <w:pPr>
              <w:pStyle w:val="KMC16-Tablecontent"/>
              <w:keepNext/>
              <w:spacing w:before="0" w:after="0"/>
              <w:rPr>
                <w:i/>
              </w:rPr>
            </w:pPr>
            <w:r w:rsidRPr="0080256E">
              <w:rPr>
                <w:i/>
              </w:rPr>
              <w:t>An increase in the maximum quantity will be authorised to provide for up to one month’s supply at a dose of up to 600 mg/kg/day in patients weighing less than 20 kg and up to 13 g/m</w:t>
            </w:r>
            <w:r w:rsidRPr="0080256E">
              <w:rPr>
                <w:i/>
                <w:vertAlign w:val="superscript"/>
              </w:rPr>
              <w:t>2</w:t>
            </w:r>
            <w:r w:rsidRPr="0080256E">
              <w:rPr>
                <w:i/>
              </w:rPr>
              <w:t>/day in patients weighing more than 20 kg.</w:t>
            </w:r>
          </w:p>
        </w:tc>
      </w:tr>
      <w:tr w:rsidR="00332CC2" w:rsidRPr="00260CE3" w:rsidTr="0047765E">
        <w:trPr>
          <w:cantSplit/>
          <w:trHeight w:val="360"/>
        </w:trPr>
        <w:tc>
          <w:tcPr>
            <w:tcW w:w="2410" w:type="dxa"/>
            <w:tcBorders>
              <w:top w:val="single" w:sz="4" w:space="0" w:color="auto"/>
              <w:left w:val="single" w:sz="4" w:space="0" w:color="auto"/>
              <w:bottom w:val="single" w:sz="4" w:space="0" w:color="auto"/>
              <w:right w:val="single" w:sz="4" w:space="0" w:color="auto"/>
            </w:tcBorders>
          </w:tcPr>
          <w:p w:rsidR="00332CC2" w:rsidRPr="00CF5382" w:rsidRDefault="00332CC2" w:rsidP="0047765E">
            <w:pPr>
              <w:spacing w:before="0" w:after="0"/>
              <w:jc w:val="both"/>
              <w:rPr>
                <w:rFonts w:ascii="Arial Narrow" w:hAnsi="Arial Narrow" w:cs="Arial"/>
                <w:b/>
                <w:sz w:val="20"/>
                <w:szCs w:val="20"/>
              </w:rPr>
            </w:pPr>
            <w:r w:rsidRPr="00260CE3">
              <w:rPr>
                <w:rFonts w:ascii="Arial Narrow" w:hAnsi="Arial Narrow" w:cs="Arial"/>
                <w:b/>
                <w:sz w:val="20"/>
                <w:szCs w:val="20"/>
              </w:rPr>
              <w:t>Administrative Advice</w:t>
            </w:r>
          </w:p>
        </w:tc>
        <w:tc>
          <w:tcPr>
            <w:tcW w:w="6804" w:type="dxa"/>
            <w:gridSpan w:val="6"/>
            <w:tcBorders>
              <w:top w:val="single" w:sz="4" w:space="0" w:color="auto"/>
              <w:left w:val="single" w:sz="4" w:space="0" w:color="auto"/>
              <w:bottom w:val="single" w:sz="4" w:space="0" w:color="auto"/>
              <w:right w:val="single" w:sz="4" w:space="0" w:color="auto"/>
            </w:tcBorders>
          </w:tcPr>
          <w:p w:rsidR="00332CC2" w:rsidRPr="00F71589" w:rsidRDefault="00332CC2" w:rsidP="0047765E">
            <w:pPr>
              <w:spacing w:before="0" w:after="0"/>
              <w:rPr>
                <w:rFonts w:ascii="Arial Narrow" w:hAnsi="Arial Narrow" w:cs="Arial"/>
                <w:strike/>
                <w:sz w:val="20"/>
                <w:szCs w:val="20"/>
              </w:rPr>
            </w:pPr>
            <w:r w:rsidRPr="00F71589">
              <w:rPr>
                <w:rFonts w:ascii="Arial Narrow" w:hAnsi="Arial Narrow" w:cs="Arial"/>
                <w:strike/>
                <w:sz w:val="20"/>
                <w:szCs w:val="20"/>
              </w:rPr>
              <w:t>Note</w:t>
            </w:r>
          </w:p>
          <w:p w:rsidR="00332CC2" w:rsidRPr="00F71589" w:rsidRDefault="00332CC2" w:rsidP="0047765E">
            <w:pPr>
              <w:spacing w:before="0" w:after="0"/>
              <w:rPr>
                <w:rFonts w:ascii="Arial Narrow" w:hAnsi="Arial Narrow" w:cs="Arial"/>
                <w:strike/>
                <w:sz w:val="20"/>
                <w:szCs w:val="20"/>
              </w:rPr>
            </w:pPr>
            <w:r w:rsidRPr="00F71589">
              <w:rPr>
                <w:rFonts w:ascii="Arial Narrow" w:hAnsi="Arial Narrow" w:cs="Arial"/>
                <w:strike/>
                <w:sz w:val="20"/>
                <w:szCs w:val="20"/>
              </w:rPr>
              <w:t>Any queries concerning the arrangements to prescribe may be directed to the Department of Human Services on 1800 700 270 (hours of operation 8 a.m. to 5 p.m. EST Monday to Friday).</w:t>
            </w:r>
          </w:p>
          <w:p w:rsidR="00332CC2" w:rsidRPr="00F71589" w:rsidRDefault="00332CC2" w:rsidP="0047765E">
            <w:pPr>
              <w:spacing w:before="0" w:after="0"/>
              <w:rPr>
                <w:rFonts w:ascii="Arial Narrow" w:hAnsi="Arial Narrow" w:cs="Arial"/>
                <w:strike/>
                <w:sz w:val="20"/>
                <w:szCs w:val="20"/>
              </w:rPr>
            </w:pPr>
            <w:r w:rsidRPr="00F71589">
              <w:rPr>
                <w:rFonts w:ascii="Arial Narrow" w:hAnsi="Arial Narrow" w:cs="Arial"/>
                <w:strike/>
                <w:sz w:val="20"/>
                <w:szCs w:val="20"/>
              </w:rPr>
              <w:t>Prescribing information (including Authority Application forms and other relevant documentation as applicable) is available on the Department of Human Services website at: www.humanservices.gov.au</w:t>
            </w:r>
          </w:p>
          <w:p w:rsidR="00332CC2" w:rsidRPr="00F71589" w:rsidRDefault="00332CC2" w:rsidP="0047765E">
            <w:pPr>
              <w:spacing w:before="0" w:after="0"/>
              <w:rPr>
                <w:rFonts w:ascii="Arial Narrow" w:hAnsi="Arial Narrow" w:cs="Arial"/>
                <w:strike/>
                <w:sz w:val="20"/>
                <w:szCs w:val="20"/>
              </w:rPr>
            </w:pPr>
            <w:r w:rsidRPr="00F71589">
              <w:rPr>
                <w:rFonts w:ascii="Arial Narrow" w:hAnsi="Arial Narrow" w:cs="Arial"/>
                <w:strike/>
                <w:sz w:val="20"/>
                <w:szCs w:val="20"/>
              </w:rPr>
              <w:t>Applications for authority to prescribe should be forwarded to:</w:t>
            </w:r>
          </w:p>
          <w:p w:rsidR="00332CC2" w:rsidRPr="00F71589" w:rsidRDefault="00332CC2" w:rsidP="0047765E">
            <w:pPr>
              <w:spacing w:before="0" w:after="0"/>
              <w:rPr>
                <w:rFonts w:ascii="Arial Narrow" w:hAnsi="Arial Narrow" w:cs="Arial"/>
                <w:strike/>
                <w:sz w:val="20"/>
                <w:szCs w:val="20"/>
              </w:rPr>
            </w:pPr>
            <w:r w:rsidRPr="00F71589">
              <w:rPr>
                <w:rFonts w:ascii="Arial Narrow" w:hAnsi="Arial Narrow" w:cs="Arial"/>
                <w:strike/>
                <w:sz w:val="20"/>
                <w:szCs w:val="20"/>
              </w:rPr>
              <w:t>Department of Human Services</w:t>
            </w:r>
          </w:p>
          <w:p w:rsidR="00332CC2" w:rsidRPr="00F71589" w:rsidRDefault="00332CC2" w:rsidP="0047765E">
            <w:pPr>
              <w:spacing w:before="0" w:after="0"/>
              <w:rPr>
                <w:rFonts w:ascii="Arial Narrow" w:hAnsi="Arial Narrow" w:cs="Arial"/>
                <w:strike/>
                <w:sz w:val="20"/>
                <w:szCs w:val="20"/>
              </w:rPr>
            </w:pPr>
            <w:r w:rsidRPr="00F71589">
              <w:rPr>
                <w:rFonts w:ascii="Arial Narrow" w:hAnsi="Arial Narrow" w:cs="Arial"/>
                <w:strike/>
                <w:sz w:val="20"/>
                <w:szCs w:val="20"/>
              </w:rPr>
              <w:t>Prior Written Approval of Complex Drugs</w:t>
            </w:r>
          </w:p>
          <w:p w:rsidR="00332CC2" w:rsidRPr="00F71589" w:rsidRDefault="00332CC2" w:rsidP="0047765E">
            <w:pPr>
              <w:spacing w:before="0" w:after="0"/>
              <w:rPr>
                <w:rFonts w:ascii="Arial Narrow" w:hAnsi="Arial Narrow" w:cs="Arial"/>
                <w:strike/>
                <w:sz w:val="20"/>
                <w:szCs w:val="20"/>
              </w:rPr>
            </w:pPr>
            <w:r w:rsidRPr="00F71589">
              <w:rPr>
                <w:rFonts w:ascii="Arial Narrow" w:hAnsi="Arial Narrow" w:cs="Arial"/>
                <w:strike/>
                <w:sz w:val="20"/>
                <w:szCs w:val="20"/>
              </w:rPr>
              <w:t>Reply Paid 9826</w:t>
            </w:r>
          </w:p>
          <w:p w:rsidR="00332CC2" w:rsidRPr="00F71589" w:rsidRDefault="00332CC2" w:rsidP="0047765E">
            <w:pPr>
              <w:spacing w:before="0" w:after="0"/>
              <w:rPr>
                <w:rFonts w:ascii="Arial Narrow" w:hAnsi="Arial Narrow" w:cs="Arial"/>
                <w:strike/>
                <w:sz w:val="20"/>
                <w:szCs w:val="20"/>
              </w:rPr>
            </w:pPr>
            <w:r w:rsidRPr="00F71589">
              <w:rPr>
                <w:rFonts w:ascii="Arial Narrow" w:hAnsi="Arial Narrow" w:cs="Arial"/>
                <w:strike/>
                <w:sz w:val="20"/>
                <w:szCs w:val="20"/>
              </w:rPr>
              <w:t>GPO Box 9826</w:t>
            </w:r>
          </w:p>
          <w:p w:rsidR="00332CC2" w:rsidRPr="00F71589" w:rsidRDefault="00332CC2" w:rsidP="0047765E">
            <w:pPr>
              <w:spacing w:before="0" w:after="0"/>
              <w:rPr>
                <w:rFonts w:ascii="Arial Narrow" w:hAnsi="Arial Narrow" w:cs="Arial"/>
                <w:strike/>
                <w:sz w:val="20"/>
                <w:szCs w:val="20"/>
              </w:rPr>
            </w:pPr>
            <w:r w:rsidRPr="00F71589">
              <w:rPr>
                <w:rFonts w:ascii="Arial Narrow" w:hAnsi="Arial Narrow" w:cs="Arial"/>
                <w:strike/>
                <w:sz w:val="20"/>
                <w:szCs w:val="20"/>
              </w:rPr>
              <w:t>HOBART TAS 7001</w:t>
            </w:r>
          </w:p>
          <w:p w:rsidR="00332CC2" w:rsidRPr="00CF5382" w:rsidRDefault="00332CC2" w:rsidP="0047765E">
            <w:pPr>
              <w:spacing w:before="0" w:after="0"/>
              <w:rPr>
                <w:rFonts w:ascii="Arial Narrow" w:hAnsi="Arial Narrow" w:cs="Arial"/>
                <w:strike/>
                <w:sz w:val="20"/>
                <w:szCs w:val="20"/>
              </w:rPr>
            </w:pPr>
            <w:r w:rsidRPr="00CF5382">
              <w:rPr>
                <w:rFonts w:ascii="Arial Narrow" w:hAnsi="Arial Narrow" w:cs="Arial"/>
                <w:strike/>
                <w:sz w:val="20"/>
                <w:szCs w:val="20"/>
              </w:rPr>
              <w:t>Note</w:t>
            </w:r>
          </w:p>
          <w:p w:rsidR="00332CC2" w:rsidRPr="00CF5382" w:rsidRDefault="00332CC2" w:rsidP="0047765E">
            <w:pPr>
              <w:spacing w:before="0" w:after="0"/>
              <w:rPr>
                <w:rFonts w:ascii="Arial Narrow" w:hAnsi="Arial Narrow" w:cs="Arial"/>
                <w:sz w:val="20"/>
                <w:szCs w:val="20"/>
              </w:rPr>
            </w:pPr>
            <w:r w:rsidRPr="00CF5382">
              <w:rPr>
                <w:rFonts w:ascii="Arial Narrow" w:hAnsi="Arial Narrow" w:cs="Arial"/>
                <w:sz w:val="20"/>
                <w:szCs w:val="20"/>
              </w:rPr>
              <w:t>No increase in the maximum number of repeats may be authorised.</w:t>
            </w:r>
          </w:p>
          <w:p w:rsidR="00332CC2" w:rsidRPr="00CF5382" w:rsidRDefault="00332CC2" w:rsidP="0047765E">
            <w:pPr>
              <w:spacing w:before="0" w:after="0"/>
              <w:rPr>
                <w:rFonts w:ascii="Arial Narrow" w:hAnsi="Arial Narrow" w:cs="Arial"/>
                <w:strike/>
                <w:sz w:val="20"/>
                <w:szCs w:val="20"/>
              </w:rPr>
            </w:pPr>
            <w:r w:rsidRPr="00CF5382">
              <w:rPr>
                <w:rFonts w:ascii="Arial Narrow" w:hAnsi="Arial Narrow" w:cs="Arial"/>
                <w:strike/>
                <w:sz w:val="20"/>
                <w:szCs w:val="20"/>
              </w:rPr>
              <w:t>Note</w:t>
            </w:r>
          </w:p>
          <w:p w:rsidR="00332CC2" w:rsidRPr="00E77057" w:rsidRDefault="00332CC2" w:rsidP="0047765E">
            <w:pPr>
              <w:spacing w:before="0" w:after="0"/>
              <w:rPr>
                <w:rFonts w:ascii="Arial Narrow" w:hAnsi="Arial Narrow" w:cs="Arial"/>
                <w:strike/>
                <w:sz w:val="20"/>
                <w:szCs w:val="20"/>
              </w:rPr>
            </w:pPr>
            <w:r w:rsidRPr="00E77057">
              <w:rPr>
                <w:rFonts w:ascii="Arial Narrow" w:hAnsi="Arial Narrow" w:cs="Arial"/>
                <w:strike/>
                <w:sz w:val="20"/>
                <w:szCs w:val="20"/>
              </w:rPr>
              <w:t>No increase in the maximum quantity or number of units may be authorised.</w:t>
            </w:r>
          </w:p>
          <w:p w:rsidR="00332CC2" w:rsidRPr="00CF5382" w:rsidRDefault="00332CC2" w:rsidP="0047765E">
            <w:pPr>
              <w:spacing w:before="0" w:after="0"/>
              <w:rPr>
                <w:rFonts w:ascii="Arial Narrow" w:hAnsi="Arial Narrow" w:cs="Arial"/>
                <w:strike/>
                <w:sz w:val="20"/>
                <w:szCs w:val="20"/>
              </w:rPr>
            </w:pPr>
            <w:r w:rsidRPr="00CF5382">
              <w:rPr>
                <w:rFonts w:ascii="Arial Narrow" w:hAnsi="Arial Narrow" w:cs="Arial"/>
                <w:strike/>
                <w:sz w:val="20"/>
                <w:szCs w:val="20"/>
              </w:rPr>
              <w:t>Note</w:t>
            </w:r>
          </w:p>
          <w:p w:rsidR="00332CC2" w:rsidRPr="00260CE3" w:rsidRDefault="00332CC2" w:rsidP="0047765E">
            <w:pPr>
              <w:spacing w:before="0" w:after="0"/>
              <w:rPr>
                <w:rFonts w:ascii="Arial Narrow" w:hAnsi="Arial Narrow" w:cs="Arial"/>
                <w:sz w:val="20"/>
                <w:szCs w:val="20"/>
              </w:rPr>
            </w:pPr>
            <w:r w:rsidRPr="00CF5382">
              <w:rPr>
                <w:rFonts w:ascii="Arial Narrow" w:hAnsi="Arial Narrow" w:cs="Arial"/>
                <w:sz w:val="20"/>
                <w:szCs w:val="20"/>
              </w:rPr>
              <w:t>Special Pricing Arrangements apply.</w:t>
            </w:r>
          </w:p>
        </w:tc>
      </w:tr>
    </w:tbl>
    <w:p w:rsidR="006D7761" w:rsidRDefault="006D7761" w:rsidP="000C4F55">
      <w:pPr>
        <w:pStyle w:val="ListParagraph"/>
        <w:ind w:left="567" w:hanging="567"/>
      </w:pPr>
      <w:r w:rsidRPr="003675E5">
        <w:t>The submission proposed a Special Pricing Arrangement with an effective dispensed price for maximum quantity of $</w:t>
      </w:r>
      <w:r w:rsidR="007C25B9">
        <w:rPr>
          <w:noProof/>
          <w:color w:val="000000"/>
          <w:highlight w:val="black"/>
        </w:rPr>
        <w:t>''''''''''''''''</w:t>
      </w:r>
      <w:r w:rsidRPr="003675E5">
        <w:t xml:space="preserve"> </w:t>
      </w:r>
      <w:r w:rsidR="00CF5240" w:rsidRPr="003675E5">
        <w:t>versus</w:t>
      </w:r>
      <w:r w:rsidRPr="003675E5">
        <w:t xml:space="preserve"> a published price of $</w:t>
      </w:r>
      <w:r w:rsidR="007C25B9">
        <w:rPr>
          <w:noProof/>
          <w:color w:val="000000"/>
          <w:highlight w:val="black"/>
        </w:rPr>
        <w:t>''''''''''''''''</w:t>
      </w:r>
      <w:r w:rsidRPr="003675E5">
        <w:t xml:space="preserve">. </w:t>
      </w:r>
    </w:p>
    <w:p w:rsidR="00A322AE" w:rsidRPr="003675E5" w:rsidRDefault="00A322AE" w:rsidP="00881F91">
      <w:pPr>
        <w:pStyle w:val="ListParagraph"/>
      </w:pPr>
      <w:r>
        <w:t xml:space="preserve">The Pre-PBAC response proposed a </w:t>
      </w:r>
      <w:r w:rsidR="007C25B9">
        <w:rPr>
          <w:noProof/>
          <w:color w:val="000000"/>
          <w:highlight w:val="black"/>
        </w:rPr>
        <w:t>'''''</w:t>
      </w:r>
      <w:r>
        <w:t xml:space="preserve">% reduction to the ex-manufacturer price, which </w:t>
      </w:r>
      <w:r w:rsidRPr="00881F91">
        <w:t>would</w:t>
      </w:r>
      <w:r>
        <w:t xml:space="preserve"> result in an </w:t>
      </w:r>
      <w:r w:rsidRPr="003675E5">
        <w:t>effective dispensed price for maximum quantity of $</w:t>
      </w:r>
      <w:r w:rsidR="007C25B9">
        <w:rPr>
          <w:noProof/>
          <w:color w:val="000000"/>
          <w:highlight w:val="black"/>
        </w:rPr>
        <w:t>'''''''''''''''</w:t>
      </w:r>
      <w:r>
        <w:t>.</w:t>
      </w:r>
    </w:p>
    <w:p w:rsidR="00E44B8C" w:rsidRDefault="00E44B8C" w:rsidP="0080256E">
      <w:pPr>
        <w:pStyle w:val="ListParagraph"/>
        <w:numPr>
          <w:ilvl w:val="0"/>
          <w:numId w:val="0"/>
        </w:numPr>
        <w:ind w:left="576"/>
      </w:pPr>
    </w:p>
    <w:p w:rsidR="006D7761" w:rsidRPr="003675E5" w:rsidRDefault="006D7761" w:rsidP="006D7761">
      <w:pPr>
        <w:pStyle w:val="Heading1"/>
        <w:ind w:left="709" w:hanging="709"/>
        <w:jc w:val="both"/>
      </w:pPr>
      <w:bookmarkStart w:id="8" w:name="_Toc413139273"/>
      <w:bookmarkStart w:id="9" w:name="_Toc493064821"/>
      <w:r w:rsidRPr="003675E5">
        <w:lastRenderedPageBreak/>
        <w:t>Background</w:t>
      </w:r>
      <w:bookmarkEnd w:id="8"/>
      <w:bookmarkEnd w:id="9"/>
    </w:p>
    <w:p w:rsidR="006D7761" w:rsidRPr="003675E5" w:rsidRDefault="006D7761" w:rsidP="006D7761">
      <w:pPr>
        <w:pStyle w:val="Heading2"/>
        <w:jc w:val="both"/>
        <w:rPr>
          <w:i w:val="0"/>
        </w:rPr>
      </w:pPr>
      <w:bookmarkStart w:id="10" w:name="_Toc493064822"/>
      <w:r w:rsidRPr="003675E5">
        <w:rPr>
          <w:i w:val="0"/>
        </w:rPr>
        <w:t>Registration status</w:t>
      </w:r>
      <w:bookmarkEnd w:id="10"/>
    </w:p>
    <w:p w:rsidR="006D7761" w:rsidRPr="003675E5" w:rsidRDefault="006D7761" w:rsidP="00881F91">
      <w:pPr>
        <w:pStyle w:val="ListParagraph"/>
      </w:pPr>
      <w:r w:rsidRPr="003675E5">
        <w:t xml:space="preserve">TGA status: </w:t>
      </w:r>
      <w:r w:rsidR="00EB1582" w:rsidRPr="003675E5">
        <w:t>sugar-</w:t>
      </w:r>
      <w:r w:rsidRPr="003675E5">
        <w:t>coated NaPb</w:t>
      </w:r>
      <w:r w:rsidR="00EB1582" w:rsidRPr="003675E5">
        <w:t xml:space="preserve"> granules</w:t>
      </w:r>
      <w:r w:rsidRPr="003675E5">
        <w:t xml:space="preserve"> w</w:t>
      </w:r>
      <w:r w:rsidR="00EB1582" w:rsidRPr="003675E5">
        <w:t>ere</w:t>
      </w:r>
      <w:r w:rsidRPr="003675E5">
        <w:t xml:space="preserve"> registered by the TGA on 30 May 2017 for</w:t>
      </w:r>
      <w:r w:rsidR="00CF5240" w:rsidRPr="003675E5">
        <w:t>:</w:t>
      </w:r>
      <w:r w:rsidRPr="003675E5">
        <w:t xml:space="preserve"> </w:t>
      </w:r>
    </w:p>
    <w:p w:rsidR="006D7761" w:rsidRPr="003675E5" w:rsidRDefault="006D7761" w:rsidP="008410FF">
      <w:pPr>
        <w:pStyle w:val="ListParagraph"/>
        <w:numPr>
          <w:ilvl w:val="0"/>
          <w:numId w:val="0"/>
        </w:numPr>
        <w:ind w:left="576"/>
      </w:pPr>
      <w:r w:rsidRPr="003675E5">
        <w:t>“the management of hyperammonaemia associated with UCDs. It should be used with dietary protein restriction and, in some cases, dietary supplements (e.g. essential amino acids, arginine, citrulline, and protein-free calorie supplements)”.</w:t>
      </w:r>
    </w:p>
    <w:p w:rsidR="006D7761" w:rsidRPr="003675E5" w:rsidRDefault="006D7761" w:rsidP="006D7761">
      <w:pPr>
        <w:pStyle w:val="Heading2"/>
        <w:jc w:val="both"/>
        <w:rPr>
          <w:i w:val="0"/>
        </w:rPr>
      </w:pPr>
      <w:bookmarkStart w:id="11" w:name="_Toc493064823"/>
      <w:r w:rsidRPr="003675E5">
        <w:rPr>
          <w:i w:val="0"/>
        </w:rPr>
        <w:t>Rationale for listing</w:t>
      </w:r>
      <w:bookmarkEnd w:id="11"/>
    </w:p>
    <w:p w:rsidR="00EB1582" w:rsidRPr="0047765E" w:rsidRDefault="003446CE" w:rsidP="00881F91">
      <w:pPr>
        <w:pStyle w:val="ListParagraph"/>
      </w:pPr>
      <w:r w:rsidRPr="003675E5">
        <w:t>The two currently used a</w:t>
      </w:r>
      <w:r w:rsidR="00C26200" w:rsidRPr="003675E5">
        <w:t xml:space="preserve">mmonia scavengers </w:t>
      </w:r>
      <w:r w:rsidRPr="003675E5">
        <w:t xml:space="preserve">uncoated </w:t>
      </w:r>
      <w:r w:rsidR="00C26200" w:rsidRPr="003675E5">
        <w:t xml:space="preserve">NaPb and NaBz, have been used to treat UCDs for decades. </w:t>
      </w:r>
      <w:r w:rsidRPr="003675E5">
        <w:t>They are used as monotherapy or</w:t>
      </w:r>
      <w:r w:rsidR="00704681" w:rsidRPr="003675E5">
        <w:t>, generally in lower doses,</w:t>
      </w:r>
      <w:r w:rsidRPr="003675E5">
        <w:t xml:space="preserve"> concomitantly</w:t>
      </w:r>
      <w:r w:rsidR="00704681" w:rsidRPr="003675E5">
        <w:t xml:space="preserve">. </w:t>
      </w:r>
      <w:r w:rsidRPr="003675E5">
        <w:t xml:space="preserve">In Australia, they are not TGA-registered and are currently accessed through the Special Access Scheme. </w:t>
      </w:r>
      <w:r w:rsidR="00EB1582" w:rsidRPr="003675E5">
        <w:t xml:space="preserve">The clinician survey indicated that in Australia, public hospitals currently pay for ammonia scavengers via the SAS. </w:t>
      </w:r>
    </w:p>
    <w:p w:rsidR="006D7761" w:rsidRPr="003675E5" w:rsidRDefault="006D7761" w:rsidP="00881F91">
      <w:pPr>
        <w:pStyle w:val="ListParagraph"/>
      </w:pPr>
      <w:r w:rsidRPr="003675E5">
        <w:t xml:space="preserve">The submission claimed that coated NaPb was superior to uncoated </w:t>
      </w:r>
      <w:r w:rsidR="00CF5240" w:rsidRPr="003675E5">
        <w:t>NaPb (tablets, granules and powder)</w:t>
      </w:r>
      <w:r w:rsidRPr="003675E5">
        <w:t xml:space="preserve"> which ha</w:t>
      </w:r>
      <w:r w:rsidR="00C9209A" w:rsidRPr="003675E5">
        <w:t>ve</w:t>
      </w:r>
      <w:r w:rsidRPr="003675E5">
        <w:t xml:space="preserve"> a bitter taste </w:t>
      </w:r>
      <w:r w:rsidR="00C9209A" w:rsidRPr="003675E5">
        <w:t xml:space="preserve">that is not easily masked </w:t>
      </w:r>
      <w:r w:rsidRPr="003675E5">
        <w:t xml:space="preserve">and </w:t>
      </w:r>
      <w:r w:rsidR="00C9209A" w:rsidRPr="003675E5">
        <w:t>are</w:t>
      </w:r>
      <w:r w:rsidRPr="003675E5">
        <w:t xml:space="preserve"> unpalatable for some patients. The submission stated that coated NaPb improve</w:t>
      </w:r>
      <w:r w:rsidR="003E1112" w:rsidRPr="003675E5">
        <w:t>d</w:t>
      </w:r>
      <w:r w:rsidRPr="003675E5">
        <w:t xml:space="preserve"> compliance and thus</w:t>
      </w:r>
      <w:r w:rsidR="006F55B0" w:rsidRPr="003675E5">
        <w:t>,</w:t>
      </w:r>
      <w:r w:rsidRPr="003675E5">
        <w:t xml:space="preserve"> the efficacy of NaPb. </w:t>
      </w:r>
      <w:r w:rsidR="00FE5ACC" w:rsidRPr="003675E5">
        <w:t xml:space="preserve">The </w:t>
      </w:r>
      <w:r w:rsidR="00482827" w:rsidRPr="003675E5">
        <w:t xml:space="preserve">ESC agreed the evidence supported the </w:t>
      </w:r>
      <w:r w:rsidR="00B80E58" w:rsidRPr="003675E5">
        <w:t>improved palatability of the coated NaPb compared to the uncoated NaPb</w:t>
      </w:r>
      <w:r w:rsidR="00EB1582" w:rsidRPr="003675E5">
        <w:t xml:space="preserve"> however the sub-committee</w:t>
      </w:r>
      <w:r w:rsidR="00B80E58" w:rsidRPr="003675E5">
        <w:t xml:space="preserve"> considered there was insufficient evidence to support the efficacy claim</w:t>
      </w:r>
      <w:r w:rsidR="00EB1582" w:rsidRPr="003675E5">
        <w:t xml:space="preserve"> made in the submission</w:t>
      </w:r>
      <w:r w:rsidR="00B80E58" w:rsidRPr="003675E5">
        <w:t>.</w:t>
      </w:r>
    </w:p>
    <w:p w:rsidR="00827619" w:rsidRPr="003675E5" w:rsidRDefault="003E1112" w:rsidP="00881F91">
      <w:pPr>
        <w:pStyle w:val="ListParagraph"/>
      </w:pPr>
      <w:r w:rsidRPr="003675E5">
        <w:t>A pharmacokinetic study between coated NaPb and uncoated NaPb granules found the two formulations were bioequivalent</w:t>
      </w:r>
      <w:r w:rsidR="00CF5240" w:rsidRPr="003675E5">
        <w:t>, so any differences in efficacy would be due to compliance or study design</w:t>
      </w:r>
      <w:r w:rsidRPr="003675E5">
        <w:t>.</w:t>
      </w:r>
    </w:p>
    <w:p w:rsidR="00510952" w:rsidRDefault="00FE5ACC" w:rsidP="00881F91">
      <w:pPr>
        <w:pStyle w:val="ListParagraph"/>
      </w:pPr>
      <w:r w:rsidRPr="003675E5">
        <w:t xml:space="preserve">The </w:t>
      </w:r>
      <w:r w:rsidR="00827619" w:rsidRPr="003675E5">
        <w:t xml:space="preserve">ESC </w:t>
      </w:r>
      <w:r w:rsidR="007C7EBB" w:rsidRPr="003675E5">
        <w:t>considered</w:t>
      </w:r>
      <w:r w:rsidR="00827619" w:rsidRPr="003675E5">
        <w:t xml:space="preserve"> that a</w:t>
      </w:r>
      <w:r w:rsidR="00CF5240" w:rsidRPr="003675E5">
        <w:t>n</w:t>
      </w:r>
      <w:r w:rsidR="006D7761" w:rsidRPr="003675E5">
        <w:t xml:space="preserve">y advantages </w:t>
      </w:r>
      <w:r w:rsidR="001E52BE" w:rsidRPr="003675E5">
        <w:t>arising from increased</w:t>
      </w:r>
      <w:r w:rsidR="006D7761" w:rsidRPr="003675E5">
        <w:t xml:space="preserve"> palatability would not be realised in all patients</w:t>
      </w:r>
      <w:r w:rsidR="002F0988" w:rsidRPr="003675E5">
        <w:t xml:space="preserve">. </w:t>
      </w:r>
      <w:r w:rsidR="00827619" w:rsidRPr="003675E5">
        <w:t xml:space="preserve">The submission did not provide any evidence regarding the proportion of UCD patients who cannot tolerate the uncoated formulations of NaPb. </w:t>
      </w:r>
      <w:r w:rsidRPr="003675E5">
        <w:t xml:space="preserve">The </w:t>
      </w:r>
      <w:r w:rsidR="00827619" w:rsidRPr="003675E5">
        <w:t>ESC discussed that this population would</w:t>
      </w:r>
      <w:r w:rsidR="004064FB" w:rsidRPr="003675E5">
        <w:t xml:space="preserve"> predominantly consist of </w:t>
      </w:r>
      <w:r w:rsidR="00827619" w:rsidRPr="003675E5">
        <w:t>paediatric p</w:t>
      </w:r>
      <w:r w:rsidR="004064FB" w:rsidRPr="003675E5">
        <w:t>atients unable to swallow capsules.</w:t>
      </w:r>
    </w:p>
    <w:p w:rsidR="008A7036" w:rsidRPr="003675E5" w:rsidRDefault="008A7036" w:rsidP="00881F91">
      <w:pPr>
        <w:pStyle w:val="ListParagraph"/>
      </w:pPr>
      <w:r>
        <w:t xml:space="preserve">The Pre-PBAC response stated that when the key study was conducted (2012-13) there were </w:t>
      </w:r>
      <w:r w:rsidR="00D2149E">
        <w:t>around</w:t>
      </w:r>
      <w:r>
        <w:t xml:space="preserve"> 100 patients with UCD receiving uncoated NaPb and that the recruitment of 25 patients who found uncoated NaPb to be unacceptable “suggests a high proportion o</w:t>
      </w:r>
      <w:r w:rsidR="00716E1E">
        <w:t>f</w:t>
      </w:r>
      <w:r>
        <w:t xml:space="preserve"> patients taking NaPb have difficulty tolerating uncoated NaPb”.  </w:t>
      </w:r>
    </w:p>
    <w:p w:rsidR="00936A30" w:rsidRDefault="002F0988" w:rsidP="00881F91">
      <w:pPr>
        <w:pStyle w:val="ListParagraph"/>
      </w:pPr>
      <w:r w:rsidRPr="003675E5">
        <w:t xml:space="preserve">Kibleur 2014 </w:t>
      </w:r>
      <w:r w:rsidR="00EE3B29" w:rsidRPr="001F66AE">
        <w:t>state</w:t>
      </w:r>
      <w:r w:rsidRPr="001F66AE">
        <w:t xml:space="preserve">d </w:t>
      </w:r>
      <w:r w:rsidR="00EE3B29" w:rsidRPr="001F66AE">
        <w:t xml:space="preserve">(page </w:t>
      </w:r>
      <w:r w:rsidR="00C41B43" w:rsidRPr="0047765E">
        <w:t>413</w:t>
      </w:r>
      <w:r w:rsidR="00EE3B29" w:rsidRPr="001F66AE">
        <w:t xml:space="preserve">) </w:t>
      </w:r>
      <w:r w:rsidRPr="001F66AE">
        <w:t>that the u</w:t>
      </w:r>
      <w:r w:rsidR="003446CE" w:rsidRPr="001F66AE">
        <w:t>ncoated</w:t>
      </w:r>
      <w:r w:rsidR="003446CE" w:rsidRPr="003675E5">
        <w:t xml:space="preserve"> formulation wa</w:t>
      </w:r>
      <w:r w:rsidRPr="003675E5">
        <w:t xml:space="preserve">s generally </w:t>
      </w:r>
      <w:r w:rsidR="001F66AE">
        <w:t>“</w:t>
      </w:r>
      <w:r w:rsidRPr="003675E5">
        <w:t xml:space="preserve">acceptable as long as the daily dose is not too high and </w:t>
      </w:r>
      <w:r w:rsidR="001F66AE">
        <w:t>the age of the patient is compatible with swallowing tablet formulations”.</w:t>
      </w:r>
      <w:r w:rsidR="001F66AE" w:rsidRPr="003675E5">
        <w:t xml:space="preserve"> </w:t>
      </w:r>
      <w:r w:rsidR="00EE3B29">
        <w:t>In addition</w:t>
      </w:r>
      <w:r w:rsidR="00EE3B29" w:rsidRPr="00EE3B29">
        <w:t>, in the bioequivalence study, 21% of the volunteers (3/14) preferred the taste of the uncoated formulation.</w:t>
      </w:r>
      <w:r w:rsidR="00EE3B29">
        <w:t xml:space="preserve"> </w:t>
      </w:r>
    </w:p>
    <w:p w:rsidR="00510952" w:rsidRPr="003675E5" w:rsidRDefault="002F0988" w:rsidP="001D70B4">
      <w:pPr>
        <w:pStyle w:val="ListParagraph"/>
      </w:pPr>
      <w:r w:rsidRPr="003675E5">
        <w:t>Further,</w:t>
      </w:r>
      <w:r w:rsidR="00510952" w:rsidRPr="003675E5">
        <w:t xml:space="preserve"> another ammonia scavenger, NaBz is also used in Australia (accessed through the SAS). The submission did not discuss whether NaBz had the same palatability issues as uncoated NaPb. While NaBz is also reported to have a strong bitter taste, it appeared to be tolerable in some of the patients who found uncoated NaPb to be “unacceptable” in Kibleur 2014. The clinician survey presented in the submission indicated that NaBz tastes better than uncoated NaPb. Thus, the clinical advantage of coated NaPb versus NaBz was uncertain. </w:t>
      </w:r>
    </w:p>
    <w:p w:rsidR="00F463C8" w:rsidRPr="003675E5" w:rsidRDefault="00F463C8" w:rsidP="00881F91">
      <w:pPr>
        <w:pStyle w:val="ListParagraph"/>
      </w:pPr>
      <w:r w:rsidRPr="003675E5">
        <w:t>If there are patients who are refractory to NaBz and also unable to be administered uncoated NaPb, the</w:t>
      </w:r>
      <w:r w:rsidR="00073FCE">
        <w:t xml:space="preserve"> evaluation considered that</w:t>
      </w:r>
      <w:r w:rsidRPr="003675E5">
        <w:t xml:space="preserve"> a claim of superiority may have been appropriate for this proportion of the population. However, the submission did not provide justification that a refractory population exists (and it was uncertain what proportion of patients this would represent).</w:t>
      </w:r>
    </w:p>
    <w:p w:rsidR="005D70F3" w:rsidRDefault="005D70F3" w:rsidP="00881F91">
      <w:pPr>
        <w:pStyle w:val="ListParagraph"/>
      </w:pPr>
      <w:r w:rsidRPr="003675E5">
        <w:t xml:space="preserve">The submission’s clinician survey indicated that most neonates with UCD have a naso-gastric tube until six months of age. In these patients, it was unclear </w:t>
      </w:r>
      <w:r w:rsidR="008668FA" w:rsidRPr="003675E5">
        <w:t xml:space="preserve">from the submission </w:t>
      </w:r>
      <w:r w:rsidRPr="003675E5">
        <w:t>whether hospitals would use the TGA-registered product or an unregistered powder. The latter would b</w:t>
      </w:r>
      <w:r w:rsidR="008668FA" w:rsidRPr="003675E5">
        <w:t xml:space="preserve">e easier to compound </w:t>
      </w:r>
      <w:r w:rsidR="001E3D10" w:rsidRPr="003675E5">
        <w:t>so any advantages of a sugar-coated formulation would not be realised</w:t>
      </w:r>
      <w:r w:rsidR="004064FB" w:rsidRPr="003675E5">
        <w:t xml:space="preserve"> in the early onset population. </w:t>
      </w:r>
    </w:p>
    <w:p w:rsidR="003675E5" w:rsidRPr="0047765E" w:rsidRDefault="003675E5" w:rsidP="00D92E40">
      <w:pPr>
        <w:pStyle w:val="ListParagraph"/>
        <w:numPr>
          <w:ilvl w:val="0"/>
          <w:numId w:val="0"/>
        </w:numPr>
        <w:ind w:left="576"/>
        <w:rPr>
          <w:i/>
        </w:rPr>
      </w:pPr>
      <w:r w:rsidRPr="0047765E">
        <w:rPr>
          <w:i/>
        </w:rPr>
        <w:t>For more detail on PBAC’s view, see section 7 PBAC outcome.</w:t>
      </w:r>
    </w:p>
    <w:p w:rsidR="006D7761" w:rsidRPr="003675E5" w:rsidRDefault="006D7761" w:rsidP="006D7761">
      <w:pPr>
        <w:pStyle w:val="Heading1"/>
        <w:ind w:left="709" w:hanging="709"/>
        <w:jc w:val="both"/>
      </w:pPr>
      <w:bookmarkStart w:id="12" w:name="_Toc493064824"/>
      <w:r w:rsidRPr="003675E5">
        <w:t>Population and disease</w:t>
      </w:r>
      <w:bookmarkEnd w:id="12"/>
    </w:p>
    <w:p w:rsidR="0017295E" w:rsidRPr="003675E5" w:rsidRDefault="006D7761" w:rsidP="00881F91">
      <w:pPr>
        <w:pStyle w:val="ListParagraph"/>
      </w:pPr>
      <w:r w:rsidRPr="003675E5">
        <w:t xml:space="preserve">Deficiencies of the specific enzymes in the urea cycle can result in the accumulation of ammonia (hyperammonemia) and glutamine. </w:t>
      </w:r>
      <w:r w:rsidR="00042CA3" w:rsidRPr="003675E5">
        <w:t>U</w:t>
      </w:r>
      <w:r w:rsidR="0017295E" w:rsidRPr="003675E5">
        <w:t>rea cycle disorders are a heterogen</w:t>
      </w:r>
      <w:r w:rsidR="005D521A" w:rsidRPr="003675E5">
        <w:t>e</w:t>
      </w:r>
      <w:r w:rsidR="0017295E" w:rsidRPr="003675E5">
        <w:t>ous group of disorders, where hyperammonemia has different consequences for different people. There are an estimated 10 new cases of urea cycle disorders in Australia each year.</w:t>
      </w:r>
    </w:p>
    <w:p w:rsidR="006D7761" w:rsidRPr="003675E5" w:rsidRDefault="006D7761" w:rsidP="00881F91">
      <w:pPr>
        <w:pStyle w:val="ListParagraph"/>
      </w:pPr>
      <w:r w:rsidRPr="003675E5">
        <w:t xml:space="preserve">Hyperammonemia causes irritability, sleepiness, confusion and vomiting. Very high levels of ammonia </w:t>
      </w:r>
      <w:r w:rsidR="00837DFE" w:rsidRPr="003675E5">
        <w:t xml:space="preserve">can </w:t>
      </w:r>
      <w:r w:rsidRPr="003675E5">
        <w:t xml:space="preserve">cause a </w:t>
      </w:r>
      <w:r w:rsidR="00837DFE" w:rsidRPr="003675E5">
        <w:t xml:space="preserve">hyperammonemic crisis (HAC), which is a </w:t>
      </w:r>
      <w:r w:rsidRPr="003675E5">
        <w:t xml:space="preserve">rapidly progressive, often fatal encephalopathy with cerebral oedema, impaired conscious state, followed by respiratory arrest and death or permanent brain injury. </w:t>
      </w:r>
      <w:r w:rsidRPr="003675E5" w:rsidDel="003679AE">
        <w:t xml:space="preserve"> </w:t>
      </w:r>
    </w:p>
    <w:p w:rsidR="002F1FFF" w:rsidRPr="003675E5" w:rsidRDefault="005B3AB0" w:rsidP="00881F91">
      <w:pPr>
        <w:pStyle w:val="ListParagraph"/>
      </w:pPr>
      <w:r w:rsidRPr="003675E5">
        <w:t xml:space="preserve">UCDs are inborn errors of metabolism. </w:t>
      </w:r>
      <w:r w:rsidR="006D7761" w:rsidRPr="003675E5">
        <w:t xml:space="preserve">The onset and severity is highly variable, dependent on the enzyme deficiency. Neonates with significant mutations can </w:t>
      </w:r>
      <w:r w:rsidR="00837DFE" w:rsidRPr="003675E5">
        <w:t xml:space="preserve">experience a HAC </w:t>
      </w:r>
      <w:r w:rsidR="006D7761" w:rsidRPr="003675E5">
        <w:t>within the first two to three days of life</w:t>
      </w:r>
      <w:r w:rsidR="002F1FFF" w:rsidRPr="003675E5">
        <w:t xml:space="preserve">. </w:t>
      </w:r>
      <w:r w:rsidR="00837DFE" w:rsidRPr="003675E5">
        <w:t xml:space="preserve">A high proportion of patients who </w:t>
      </w:r>
      <w:r w:rsidR="002F1FFF" w:rsidRPr="003675E5">
        <w:t xml:space="preserve">survive this initial HAC have permanent neurological damage. </w:t>
      </w:r>
      <w:r w:rsidR="006D7761" w:rsidRPr="003675E5">
        <w:t xml:space="preserve"> </w:t>
      </w:r>
    </w:p>
    <w:p w:rsidR="001E52BE" w:rsidRPr="003675E5" w:rsidRDefault="00DA19FC" w:rsidP="00881F91">
      <w:pPr>
        <w:pStyle w:val="ListParagraph"/>
      </w:pPr>
      <w:r w:rsidRPr="003675E5">
        <w:t>UCD</w:t>
      </w:r>
      <w:r w:rsidR="002F0988" w:rsidRPr="003675E5">
        <w:t>s</w:t>
      </w:r>
      <w:r w:rsidRPr="003675E5">
        <w:t xml:space="preserve"> diagnosed after one month of age </w:t>
      </w:r>
      <w:r w:rsidR="002F0988" w:rsidRPr="003675E5">
        <w:t>are</w:t>
      </w:r>
      <w:r w:rsidRPr="003675E5">
        <w:t xml:space="preserve"> referred to as late onset UCD. Children with less severe mutations may present outside the neonatal period or sometimes can remain undiagnosed until adulthood.  </w:t>
      </w:r>
    </w:p>
    <w:p w:rsidR="00573C76" w:rsidRPr="003675E5" w:rsidRDefault="00920847" w:rsidP="00881F91">
      <w:pPr>
        <w:pStyle w:val="ListParagraph"/>
      </w:pPr>
      <w:r w:rsidRPr="003675E5">
        <w:t>S</w:t>
      </w:r>
      <w:r w:rsidR="00573C76" w:rsidRPr="003675E5">
        <w:t xml:space="preserve">urvival </w:t>
      </w:r>
      <w:r w:rsidRPr="003675E5">
        <w:t>estimates</w:t>
      </w:r>
      <w:r w:rsidR="00573C76" w:rsidRPr="003675E5">
        <w:t xml:space="preserve"> </w:t>
      </w:r>
      <w:r w:rsidRPr="003675E5">
        <w:t>vary markedly depending which sub-types and age ranges are included, however five-year survival has been shown to be 30% when patient</w:t>
      </w:r>
      <w:r w:rsidR="003446CE" w:rsidRPr="003675E5">
        <w:t>s</w:t>
      </w:r>
      <w:r w:rsidRPr="003675E5">
        <w:t xml:space="preserve"> with early onset disease are included.  </w:t>
      </w:r>
    </w:p>
    <w:p w:rsidR="006D7761" w:rsidRPr="0047765E" w:rsidRDefault="006D7761" w:rsidP="00881F91">
      <w:pPr>
        <w:pStyle w:val="ListParagraph"/>
      </w:pPr>
      <w:r w:rsidRPr="003675E5">
        <w:t>Coated NaPb was proposed for use in the chronic management of UCDs. It is used in combination with a low protein diet and, if required, supplementation of essential amino acids, vitamins and minerals. Ammonia scavengers are required on an on-going basis in all patients with early onset UCD and some patients with late onset UCD (depending on the age at diagnosis</w:t>
      </w:r>
      <w:r w:rsidR="003446CE" w:rsidRPr="003675E5">
        <w:t xml:space="preserve"> and whether symptoms are present</w:t>
      </w:r>
      <w:r w:rsidRPr="003675E5">
        <w:t>).</w:t>
      </w:r>
    </w:p>
    <w:p w:rsidR="006D7761" w:rsidRPr="003675E5" w:rsidRDefault="006D7761" w:rsidP="00881F91">
      <w:pPr>
        <w:pStyle w:val="ListParagraph"/>
      </w:pPr>
      <w:r w:rsidRPr="003675E5">
        <w:t>The only cure for UCD is a liver transplant, however these are not common with just 24 performed in patients with UCDs in Australia in the 29 years between 1985 and 2014.</w:t>
      </w:r>
      <w:r w:rsidR="00DA19FC" w:rsidRPr="003675E5">
        <w:t xml:space="preserve"> Liver transplants should ideally</w:t>
      </w:r>
      <w:r w:rsidR="002F0988" w:rsidRPr="003675E5">
        <w:t xml:space="preserve"> take place </w:t>
      </w:r>
      <w:r w:rsidR="00DA19FC" w:rsidRPr="003675E5">
        <w:t>before irreversible neurological damage</w:t>
      </w:r>
      <w:r w:rsidR="002F0988" w:rsidRPr="003675E5">
        <w:t xml:space="preserve"> occurs</w:t>
      </w:r>
      <w:r w:rsidR="00DA19FC" w:rsidRPr="003675E5">
        <w:t xml:space="preserve">, generally in patients under two years of age. </w:t>
      </w:r>
    </w:p>
    <w:p w:rsidR="003675E5" w:rsidRPr="0047765E" w:rsidRDefault="003675E5" w:rsidP="00F82E2C">
      <w:pPr>
        <w:pStyle w:val="ListParagraph"/>
        <w:numPr>
          <w:ilvl w:val="0"/>
          <w:numId w:val="0"/>
        </w:numPr>
        <w:ind w:left="576"/>
        <w:rPr>
          <w:i/>
        </w:rPr>
      </w:pPr>
      <w:r w:rsidRPr="0047765E">
        <w:rPr>
          <w:i/>
        </w:rPr>
        <w:t>For more detail on PBAC’s view, see section 7 PBAC outcome.</w:t>
      </w:r>
    </w:p>
    <w:p w:rsidR="006D7761" w:rsidRPr="003E2C4E" w:rsidRDefault="006D7761" w:rsidP="003E2C4E">
      <w:pPr>
        <w:pStyle w:val="Heading1"/>
        <w:ind w:left="709" w:hanging="709"/>
      </w:pPr>
      <w:bookmarkStart w:id="13" w:name="_Toc413139275"/>
      <w:bookmarkStart w:id="14" w:name="_Toc493064825"/>
      <w:r w:rsidRPr="003E2C4E">
        <w:t>Comparator</w:t>
      </w:r>
      <w:bookmarkEnd w:id="13"/>
      <w:bookmarkEnd w:id="14"/>
    </w:p>
    <w:p w:rsidR="006D7761" w:rsidRPr="003675E5" w:rsidRDefault="006D7761" w:rsidP="00881F91">
      <w:pPr>
        <w:pStyle w:val="ListParagraph"/>
      </w:pPr>
      <w:r w:rsidRPr="003675E5">
        <w:t xml:space="preserve">The comparisons presented in the submission are summarised in Figure 1. </w:t>
      </w:r>
    </w:p>
    <w:p w:rsidR="006D7761" w:rsidRPr="003675E5" w:rsidRDefault="006D7761" w:rsidP="006D7761">
      <w:pPr>
        <w:pStyle w:val="TableHeading0"/>
      </w:pPr>
      <w:r w:rsidRPr="003675E5">
        <w:t>Figure 1: Comparison</w:t>
      </w:r>
      <w:r w:rsidR="00C9361F" w:rsidRPr="003675E5">
        <w:t>s</w:t>
      </w:r>
      <w:r w:rsidRPr="003675E5">
        <w:t xml:space="preserve"> presented in the submission </w:t>
      </w:r>
    </w:p>
    <w:p w:rsidR="006D7761" w:rsidRPr="003675E5" w:rsidRDefault="00C9361F" w:rsidP="006D7761">
      <w:pPr>
        <w:pStyle w:val="BodyText"/>
        <w:rPr>
          <w:sz w:val="24"/>
          <w:szCs w:val="22"/>
        </w:rPr>
      </w:pPr>
      <w:r w:rsidRPr="003675E5">
        <w:rPr>
          <w:noProof/>
          <w:lang w:eastAsia="en-AU"/>
        </w:rPr>
        <w:drawing>
          <wp:inline distT="0" distB="0" distL="0" distR="0" wp14:anchorId="5635AA0E" wp14:editId="63C9C39C">
            <wp:extent cx="4607626" cy="991449"/>
            <wp:effectExtent l="0" t="0" r="2540" b="0"/>
            <wp:docPr id="2" name="Picture 2" title="Figure 1: Comparisons presented in the submi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554" t="2586" r="1407" b="15517"/>
                    <a:stretch/>
                  </pic:blipFill>
                  <pic:spPr bwMode="auto">
                    <a:xfrm>
                      <a:off x="0" y="0"/>
                      <a:ext cx="4677702" cy="1006528"/>
                    </a:xfrm>
                    <a:prstGeom prst="rect">
                      <a:avLst/>
                    </a:prstGeom>
                    <a:ln>
                      <a:noFill/>
                    </a:ln>
                    <a:extLst>
                      <a:ext uri="{53640926-AAD7-44D8-BBD7-CCE9431645EC}">
                        <a14:shadowObscured xmlns:a14="http://schemas.microsoft.com/office/drawing/2010/main"/>
                      </a:ext>
                    </a:extLst>
                  </pic:spPr>
                </pic:pic>
              </a:graphicData>
            </a:graphic>
          </wp:inline>
        </w:drawing>
      </w:r>
    </w:p>
    <w:p w:rsidR="006D7761" w:rsidRPr="003675E5" w:rsidRDefault="006D7761" w:rsidP="006D7761">
      <w:pPr>
        <w:pStyle w:val="TableFooter"/>
        <w:spacing w:before="120"/>
      </w:pPr>
      <w:r w:rsidRPr="003675E5">
        <w:t xml:space="preserve">Source: Compiled during evaluation based on Figure 1-1, p1-7 of the submission </w:t>
      </w:r>
    </w:p>
    <w:p w:rsidR="006D7761" w:rsidRPr="003675E5" w:rsidRDefault="006D7761" w:rsidP="006D7761">
      <w:pPr>
        <w:pStyle w:val="TableFooter"/>
      </w:pPr>
      <w:r w:rsidRPr="003675E5">
        <w:t>NaBz = sodium benzoate; NaPb = sodium phenylbutyrate</w:t>
      </w:r>
    </w:p>
    <w:p w:rsidR="006D7761" w:rsidRPr="003675E5" w:rsidRDefault="006D7761" w:rsidP="00881F91">
      <w:pPr>
        <w:pStyle w:val="ListParagraph"/>
        <w:rPr>
          <w:lang w:val="en-GB"/>
        </w:rPr>
      </w:pPr>
      <w:r w:rsidRPr="003675E5">
        <w:t xml:space="preserve">The submission nominated standard care as the comparator. Standard care comprised treatment with uncoated NaPb and/or NaBz. </w:t>
      </w:r>
      <w:r w:rsidR="00FE5ACC" w:rsidRPr="003675E5">
        <w:t xml:space="preserve">The </w:t>
      </w:r>
      <w:r w:rsidR="004064FB" w:rsidRPr="003675E5">
        <w:t xml:space="preserve">ESC considered that both the capsulated and uncapsulated form of NaPb and NaBz should have been considered as possible comparators. </w:t>
      </w:r>
      <w:r w:rsidR="00FE5ACC" w:rsidRPr="003675E5">
        <w:t xml:space="preserve">The </w:t>
      </w:r>
      <w:r w:rsidR="004064FB" w:rsidRPr="003675E5">
        <w:t>ESC noted that the raw material could be compounded into capsules by compounding pharmacies in order to mask the unpalatable taste of the products.</w:t>
      </w:r>
    </w:p>
    <w:p w:rsidR="006D7761" w:rsidRPr="003675E5" w:rsidRDefault="006D7761" w:rsidP="00881F91">
      <w:pPr>
        <w:pStyle w:val="ListParagraph"/>
        <w:rPr>
          <w:lang w:val="en-GB"/>
        </w:rPr>
      </w:pPr>
      <w:r w:rsidRPr="003675E5">
        <w:rPr>
          <w:lang w:val="en-GB"/>
        </w:rPr>
        <w:t>Standard care appeared to be the therapy most likely to be replaced in clinical practice. However, of t</w:t>
      </w:r>
      <w:r w:rsidR="003446CE" w:rsidRPr="003675E5">
        <w:rPr>
          <w:lang w:val="en-GB"/>
        </w:rPr>
        <w:t xml:space="preserve">he </w:t>
      </w:r>
      <w:r w:rsidRPr="003675E5">
        <w:rPr>
          <w:lang w:val="en-GB"/>
        </w:rPr>
        <w:t>components of standard care (uncoated NaPb and NaBz) it was not clear which was the more appropriate comparator</w:t>
      </w:r>
      <w:r w:rsidR="003446CE" w:rsidRPr="003675E5">
        <w:rPr>
          <w:lang w:val="en-GB"/>
        </w:rPr>
        <w:t xml:space="preserve"> in the monotherapy setting</w:t>
      </w:r>
      <w:r w:rsidRPr="003675E5">
        <w:rPr>
          <w:lang w:val="en-GB"/>
        </w:rPr>
        <w:t xml:space="preserve">, noting that </w:t>
      </w:r>
      <w:r w:rsidRPr="003675E5">
        <w:t>NaBz appeared to be less costly than uncoated NaPb.</w:t>
      </w:r>
      <w:r w:rsidR="004064FB" w:rsidRPr="003675E5">
        <w:t xml:space="preserve"> </w:t>
      </w:r>
      <w:r w:rsidR="00FE5ACC" w:rsidRPr="003675E5">
        <w:t xml:space="preserve">The </w:t>
      </w:r>
      <w:r w:rsidR="004064FB" w:rsidRPr="003675E5">
        <w:t xml:space="preserve">ESC stated that if the sugar coated granules of NaPb were to be PBS listed, it would </w:t>
      </w:r>
      <w:r w:rsidR="006B123C" w:rsidRPr="003675E5">
        <w:t xml:space="preserve">likely </w:t>
      </w:r>
      <w:r w:rsidR="004064FB" w:rsidRPr="003675E5">
        <w:t xml:space="preserve">replace </w:t>
      </w:r>
      <w:r w:rsidR="006B123C" w:rsidRPr="003675E5">
        <w:t xml:space="preserve">the majority of </w:t>
      </w:r>
      <w:r w:rsidR="004064FB" w:rsidRPr="003675E5">
        <w:t xml:space="preserve">use of current SAS products. This was discussed to be </w:t>
      </w:r>
      <w:r w:rsidR="008668FA" w:rsidRPr="003675E5">
        <w:t xml:space="preserve">primarily </w:t>
      </w:r>
      <w:r w:rsidR="004064FB" w:rsidRPr="003675E5">
        <w:t>due to the expected reduction in paperwork for both prescriber, pharmacist and patient</w:t>
      </w:r>
      <w:r w:rsidR="001241BD" w:rsidRPr="003675E5">
        <w:t xml:space="preserve"> and</w:t>
      </w:r>
      <w:r w:rsidR="004064FB" w:rsidRPr="003675E5">
        <w:t xml:space="preserve"> </w:t>
      </w:r>
      <w:r w:rsidR="008668FA" w:rsidRPr="003675E5">
        <w:t xml:space="preserve">improved palatability of NaPb. </w:t>
      </w:r>
    </w:p>
    <w:p w:rsidR="006D7761" w:rsidRPr="003675E5" w:rsidRDefault="006D7761" w:rsidP="00881F91">
      <w:pPr>
        <w:pStyle w:val="ListParagraph"/>
        <w:rPr>
          <w:lang w:val="en-GB"/>
        </w:rPr>
      </w:pPr>
      <w:r w:rsidRPr="003675E5">
        <w:rPr>
          <w:lang w:val="en-GB"/>
        </w:rPr>
        <w:t xml:space="preserve">Uncoated NaPb </w:t>
      </w:r>
      <w:r w:rsidR="007D2A81" w:rsidRPr="003675E5">
        <w:rPr>
          <w:lang w:val="en-GB"/>
        </w:rPr>
        <w:t xml:space="preserve">contains </w:t>
      </w:r>
      <w:r w:rsidR="00186F12" w:rsidRPr="003675E5">
        <w:rPr>
          <w:lang w:val="en-GB"/>
        </w:rPr>
        <w:t>the same active ingredient</w:t>
      </w:r>
      <w:r w:rsidR="00016EB1" w:rsidRPr="003675E5">
        <w:rPr>
          <w:lang w:val="en-GB"/>
        </w:rPr>
        <w:t xml:space="preserve"> as coated NaPb</w:t>
      </w:r>
      <w:r w:rsidRPr="003675E5">
        <w:rPr>
          <w:lang w:val="en-GB"/>
        </w:rPr>
        <w:t xml:space="preserve">, but </w:t>
      </w:r>
      <w:r w:rsidR="007D2A81" w:rsidRPr="003675E5">
        <w:rPr>
          <w:lang w:val="en-GB"/>
        </w:rPr>
        <w:t xml:space="preserve">may not </w:t>
      </w:r>
      <w:r w:rsidRPr="003675E5">
        <w:rPr>
          <w:lang w:val="en-GB"/>
        </w:rPr>
        <w:t xml:space="preserve">be </w:t>
      </w:r>
      <w:r w:rsidR="007D2A81" w:rsidRPr="003675E5">
        <w:rPr>
          <w:lang w:val="en-GB"/>
        </w:rPr>
        <w:t xml:space="preserve">a </w:t>
      </w:r>
      <w:r w:rsidRPr="003675E5">
        <w:rPr>
          <w:lang w:val="en-GB"/>
        </w:rPr>
        <w:t>suitable</w:t>
      </w:r>
      <w:r w:rsidR="007D2A81" w:rsidRPr="003675E5">
        <w:rPr>
          <w:lang w:val="en-GB"/>
        </w:rPr>
        <w:t xml:space="preserve"> comparator</w:t>
      </w:r>
      <w:r w:rsidRPr="003675E5">
        <w:rPr>
          <w:lang w:val="en-GB"/>
        </w:rPr>
        <w:t xml:space="preserve"> for all patients</w:t>
      </w:r>
      <w:r w:rsidR="007D2A81" w:rsidRPr="003675E5">
        <w:rPr>
          <w:lang w:val="en-GB"/>
        </w:rPr>
        <w:t xml:space="preserve"> due to formulation</w:t>
      </w:r>
      <w:r w:rsidR="00C15B07" w:rsidRPr="003675E5">
        <w:rPr>
          <w:lang w:val="en-GB"/>
        </w:rPr>
        <w:t xml:space="preserve"> differences</w:t>
      </w:r>
      <w:r w:rsidRPr="003675E5">
        <w:rPr>
          <w:lang w:val="en-GB"/>
        </w:rPr>
        <w:t xml:space="preserve">. For patients who find uncoated NaPb unpalatable, NaBz may be the therapy most likely to be replaced. </w:t>
      </w:r>
      <w:r w:rsidRPr="003675E5">
        <w:t>I</w:t>
      </w:r>
      <w:r w:rsidRPr="003675E5">
        <w:rPr>
          <w:lang w:val="en-GB"/>
        </w:rPr>
        <w:t xml:space="preserve">n the submission’s clinician survey, the majority of </w:t>
      </w:r>
      <w:r w:rsidRPr="003675E5">
        <w:t>clinicians expressed no overall preference between the two ammonia scavengers.</w:t>
      </w:r>
    </w:p>
    <w:p w:rsidR="002859EF" w:rsidRDefault="006D7761" w:rsidP="00881F91">
      <w:pPr>
        <w:pStyle w:val="ListParagraph"/>
      </w:pPr>
      <w:r w:rsidRPr="003675E5">
        <w:t xml:space="preserve">As the comparators </w:t>
      </w:r>
      <w:r w:rsidR="008C25B2" w:rsidRPr="003675E5">
        <w:t xml:space="preserve">are </w:t>
      </w:r>
      <w:r w:rsidRPr="003675E5">
        <w:t>not PBS-listed or TGA-registered, the submission also nominated natural history (without ammonia scavengers) as a comparator. This comparison was presented against ammonia scavengers as a class (rather than against coated NaPb). This comparison provided useful information regarding the effectiveness and cost-effectiveness of ammonia scavengers.</w:t>
      </w:r>
    </w:p>
    <w:p w:rsidR="003675E5" w:rsidRPr="0047765E" w:rsidRDefault="003675E5" w:rsidP="00F82E2C">
      <w:pPr>
        <w:pStyle w:val="ListParagraph"/>
        <w:numPr>
          <w:ilvl w:val="0"/>
          <w:numId w:val="0"/>
        </w:numPr>
        <w:ind w:left="576"/>
        <w:rPr>
          <w:i/>
        </w:rPr>
      </w:pPr>
      <w:r w:rsidRPr="0047765E">
        <w:rPr>
          <w:i/>
        </w:rPr>
        <w:t>For more detail on PBAC’s view, see section 7 PBAC outcome.</w:t>
      </w:r>
    </w:p>
    <w:p w:rsidR="006D7761" w:rsidRPr="003675E5" w:rsidRDefault="006D7761" w:rsidP="006D7761">
      <w:pPr>
        <w:pStyle w:val="Heading1"/>
        <w:ind w:left="709" w:hanging="709"/>
      </w:pPr>
      <w:bookmarkStart w:id="15" w:name="_Toc413139276"/>
      <w:bookmarkStart w:id="16" w:name="_Toc493064826"/>
      <w:r w:rsidRPr="003675E5">
        <w:t>Consideration of the evidence</w:t>
      </w:r>
      <w:bookmarkEnd w:id="15"/>
      <w:bookmarkEnd w:id="16"/>
    </w:p>
    <w:p w:rsidR="00050E8B" w:rsidRPr="00EC4A70" w:rsidRDefault="00050E8B" w:rsidP="00F21171">
      <w:pPr>
        <w:widowControl w:val="0"/>
        <w:spacing w:before="240" w:line="276" w:lineRule="auto"/>
        <w:jc w:val="both"/>
        <w:outlineLvl w:val="1"/>
        <w:rPr>
          <w:rFonts w:cs="Arial"/>
          <w:b/>
          <w:bCs/>
          <w:i/>
          <w:snapToGrid w:val="0"/>
          <w:sz w:val="28"/>
          <w:szCs w:val="28"/>
        </w:rPr>
      </w:pPr>
      <w:bookmarkStart w:id="17" w:name="_Toc492213203"/>
      <w:bookmarkStart w:id="18" w:name="_Toc493002973"/>
      <w:bookmarkStart w:id="19" w:name="_Toc413139277"/>
      <w:bookmarkStart w:id="20" w:name="_Toc493064827"/>
      <w:r w:rsidRPr="00EC4A70">
        <w:rPr>
          <w:rFonts w:cs="Arial"/>
          <w:b/>
          <w:bCs/>
          <w:i/>
          <w:snapToGrid w:val="0"/>
          <w:sz w:val="28"/>
          <w:szCs w:val="28"/>
        </w:rPr>
        <w:t>Sponsor hearing</w:t>
      </w:r>
    </w:p>
    <w:p w:rsidR="00050E8B" w:rsidRPr="00EC4A70" w:rsidRDefault="00050E8B" w:rsidP="00050E8B">
      <w:pPr>
        <w:pStyle w:val="ListParagraph"/>
      </w:pPr>
      <w:r w:rsidRPr="00EC4A70">
        <w:t>There was no hearing for this item</w:t>
      </w:r>
      <w:r w:rsidR="00F82E2C">
        <w:t>.</w:t>
      </w:r>
    </w:p>
    <w:p w:rsidR="00050E8B" w:rsidRPr="009A4732" w:rsidRDefault="00050E8B" w:rsidP="00F21171">
      <w:pPr>
        <w:widowControl w:val="0"/>
        <w:spacing w:before="240" w:line="276" w:lineRule="auto"/>
        <w:jc w:val="both"/>
        <w:outlineLvl w:val="1"/>
        <w:rPr>
          <w:rFonts w:cs="Arial"/>
          <w:b/>
          <w:bCs/>
          <w:i/>
          <w:snapToGrid w:val="0"/>
          <w:sz w:val="28"/>
          <w:szCs w:val="28"/>
        </w:rPr>
      </w:pPr>
      <w:r w:rsidRPr="009A4732">
        <w:rPr>
          <w:rFonts w:cs="Arial"/>
          <w:b/>
          <w:bCs/>
          <w:i/>
          <w:snapToGrid w:val="0"/>
          <w:sz w:val="28"/>
          <w:szCs w:val="28"/>
        </w:rPr>
        <w:t>Consumer comments</w:t>
      </w:r>
    </w:p>
    <w:p w:rsidR="003675E5" w:rsidRPr="009A4732" w:rsidRDefault="009A4732" w:rsidP="00881F91">
      <w:pPr>
        <w:pStyle w:val="ListParagraph"/>
        <w:rPr>
          <w:snapToGrid w:val="0"/>
        </w:rPr>
      </w:pPr>
      <w:r w:rsidRPr="009A4732">
        <w:rPr>
          <w:snapToGrid w:val="0"/>
        </w:rPr>
        <w:t xml:space="preserve">The PBAC noted and welcomed the input from the Metabolic Dietary Disorders Association via the Consumer Comments facility on the PBS website. The comments highlighted the challenges of living with </w:t>
      </w:r>
      <w:r w:rsidR="00D2149E">
        <w:rPr>
          <w:snapToGrid w:val="0"/>
        </w:rPr>
        <w:t xml:space="preserve">a </w:t>
      </w:r>
      <w:r w:rsidRPr="009A4732">
        <w:rPr>
          <w:snapToGrid w:val="0"/>
        </w:rPr>
        <w:t>severe UCD</w:t>
      </w:r>
      <w:r w:rsidR="00D2149E">
        <w:rPr>
          <w:snapToGrid w:val="0"/>
        </w:rPr>
        <w:t>,</w:t>
      </w:r>
      <w:r w:rsidRPr="009A4732">
        <w:rPr>
          <w:snapToGrid w:val="0"/>
        </w:rPr>
        <w:t xml:space="preserve"> </w:t>
      </w:r>
      <w:r w:rsidR="00881F91">
        <w:rPr>
          <w:snapToGrid w:val="0"/>
        </w:rPr>
        <w:t>includ</w:t>
      </w:r>
      <w:r w:rsidRPr="009A4732">
        <w:rPr>
          <w:snapToGrid w:val="0"/>
        </w:rPr>
        <w:t>ing that child</w:t>
      </w:r>
      <w:r w:rsidR="00881F91">
        <w:rPr>
          <w:snapToGrid w:val="0"/>
        </w:rPr>
        <w:t>r</w:t>
      </w:r>
      <w:r w:rsidRPr="009A4732">
        <w:rPr>
          <w:snapToGrid w:val="0"/>
        </w:rPr>
        <w:t xml:space="preserve">en commonly require tube feeding by gastrostomy as their appetites </w:t>
      </w:r>
      <w:r w:rsidR="00050E8B">
        <w:rPr>
          <w:snapToGrid w:val="0"/>
        </w:rPr>
        <w:t>is</w:t>
      </w:r>
      <w:r w:rsidRPr="009A4732">
        <w:rPr>
          <w:snapToGrid w:val="0"/>
        </w:rPr>
        <w:t xml:space="preserve"> often poor and the medication not very palatable. The comments also outlined support for </w:t>
      </w:r>
      <w:r w:rsidR="00050E8B">
        <w:rPr>
          <w:snapToGrid w:val="0"/>
        </w:rPr>
        <w:t xml:space="preserve">any </w:t>
      </w:r>
      <w:r w:rsidRPr="009A4732">
        <w:rPr>
          <w:snapToGrid w:val="0"/>
        </w:rPr>
        <w:t xml:space="preserve">treatments that improve health outcomes.  </w:t>
      </w:r>
    </w:p>
    <w:bookmarkEnd w:id="17"/>
    <w:bookmarkEnd w:id="18"/>
    <w:p w:rsidR="006D7761" w:rsidRPr="009A4732" w:rsidRDefault="006D7761" w:rsidP="006D7761">
      <w:pPr>
        <w:pStyle w:val="Heading2"/>
        <w:rPr>
          <w:i w:val="0"/>
        </w:rPr>
      </w:pPr>
      <w:r w:rsidRPr="009A4732">
        <w:rPr>
          <w:i w:val="0"/>
        </w:rPr>
        <w:t xml:space="preserve">Clinical </w:t>
      </w:r>
      <w:r w:rsidR="007306FE" w:rsidRPr="009A4732">
        <w:rPr>
          <w:i w:val="0"/>
        </w:rPr>
        <w:t>studies</w:t>
      </w:r>
      <w:bookmarkEnd w:id="19"/>
      <w:bookmarkEnd w:id="20"/>
    </w:p>
    <w:p w:rsidR="006D7761" w:rsidRPr="003675E5" w:rsidRDefault="006D7761" w:rsidP="00881F91">
      <w:pPr>
        <w:pStyle w:val="ListParagraph"/>
      </w:pPr>
      <w:r w:rsidRPr="009A4732">
        <w:t>A series of indirect comparisons, generally based on meta-analyses</w:t>
      </w:r>
      <w:r w:rsidRPr="003675E5">
        <w:t xml:space="preserve"> of single arm studies, were used to compare: coated NaPb (± NaBz) versus uncoated NaPb (± NaBz); uncoated NaPb (± NaBz) versus NaBz monotherapy; and ammonia scavengers (</w:t>
      </w:r>
      <w:r w:rsidR="00920847" w:rsidRPr="003675E5">
        <w:t xml:space="preserve">uncoated </w:t>
      </w:r>
      <w:r w:rsidRPr="003675E5">
        <w:t>NaPb and/or NaBz) versus natural history (no ammonia scavengers).</w:t>
      </w:r>
    </w:p>
    <w:p w:rsidR="006D7761" w:rsidRPr="003675E5" w:rsidRDefault="006D7761" w:rsidP="00881F91">
      <w:pPr>
        <w:pStyle w:val="ListParagraph"/>
      </w:pPr>
      <w:r w:rsidRPr="003675E5">
        <w:rPr>
          <w:rFonts w:cs="Arial"/>
          <w:bCs/>
          <w:snapToGrid w:val="0"/>
        </w:rPr>
        <w:t>The</w:t>
      </w:r>
      <w:r w:rsidRPr="003675E5">
        <w:t xml:space="preserve"> only study with clinical outcomes for coated NaPb was a before-and-after study comparing uncoated NaPb (the “before” arm) and coated NaPb (the “after” arm): Kibleur 2014 (n = 25 in the before arm; n = 20 in the after arm).</w:t>
      </w:r>
    </w:p>
    <w:p w:rsidR="006D7761" w:rsidRPr="003675E5" w:rsidRDefault="006D7761" w:rsidP="00881F91">
      <w:pPr>
        <w:pStyle w:val="ListParagraph"/>
      </w:pPr>
      <w:r w:rsidRPr="003675E5">
        <w:t>Two additional key studies were: a series of publications by Maestri that showed patient outcomes as the ammonia scavenger regimens evolved over time (relevant for the comparisons between various ammonia scavengers); and Bachmann 2003</w:t>
      </w:r>
      <w:r w:rsidR="007306FE" w:rsidRPr="003675E5">
        <w:t>,</w:t>
      </w:r>
      <w:r w:rsidRPr="003675E5">
        <w:t xml:space="preserve"> a retrospective comparison of ammonia scavengers versus natural history. </w:t>
      </w:r>
    </w:p>
    <w:p w:rsidR="006D7761" w:rsidRPr="003675E5" w:rsidRDefault="006D7761" w:rsidP="00881F91">
      <w:pPr>
        <w:pStyle w:val="ListParagraph"/>
      </w:pPr>
      <w:r w:rsidRPr="003675E5">
        <w:t xml:space="preserve">A range of other single-arm, mostly retrospective studies were included in the meta-analyses. </w:t>
      </w:r>
    </w:p>
    <w:p w:rsidR="006D7761" w:rsidRPr="003675E5" w:rsidRDefault="006D7761" w:rsidP="00881F91">
      <w:pPr>
        <w:pStyle w:val="ListParagraph"/>
      </w:pPr>
      <w:r w:rsidRPr="003675E5">
        <w:t xml:space="preserve">Details of the studies presented in the submission are provided in the table below.  </w:t>
      </w:r>
    </w:p>
    <w:p w:rsidR="006D7761" w:rsidRPr="003675E5" w:rsidRDefault="006D7761" w:rsidP="006D7761">
      <w:pPr>
        <w:pStyle w:val="TableHeading0"/>
        <w:widowControl w:val="0"/>
      </w:pPr>
      <w:r w:rsidRPr="003675E5">
        <w:t xml:space="preserve">Table 2: Key studies presented in the submission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80"/>
        <w:gridCol w:w="6317"/>
        <w:gridCol w:w="1885"/>
      </w:tblGrid>
      <w:tr w:rsidR="006D7761" w:rsidRPr="003675E5" w:rsidTr="003E1112">
        <w:trPr>
          <w:cantSplit/>
          <w:tblHeader/>
        </w:trPr>
        <w:tc>
          <w:tcPr>
            <w:tcW w:w="484" w:type="pct"/>
            <w:tcBorders>
              <w:top w:val="single" w:sz="4" w:space="0" w:color="auto"/>
              <w:left w:val="single" w:sz="4" w:space="0" w:color="auto"/>
              <w:bottom w:val="single" w:sz="4" w:space="0" w:color="auto"/>
              <w:right w:val="single" w:sz="4" w:space="0" w:color="auto"/>
            </w:tcBorders>
            <w:hideMark/>
          </w:tcPr>
          <w:p w:rsidR="006D7761" w:rsidRPr="003675E5" w:rsidRDefault="006D7761" w:rsidP="00D306CB">
            <w:pPr>
              <w:pStyle w:val="TableText"/>
              <w:widowControl w:val="0"/>
              <w:spacing w:line="256" w:lineRule="auto"/>
              <w:rPr>
                <w:b/>
              </w:rPr>
            </w:pPr>
            <w:r w:rsidRPr="003675E5">
              <w:rPr>
                <w:b/>
              </w:rPr>
              <w:t>Trial ID</w:t>
            </w:r>
          </w:p>
        </w:tc>
        <w:tc>
          <w:tcPr>
            <w:tcW w:w="3478" w:type="pct"/>
            <w:tcBorders>
              <w:top w:val="single" w:sz="4" w:space="0" w:color="auto"/>
              <w:left w:val="single" w:sz="4" w:space="0" w:color="auto"/>
              <w:bottom w:val="single" w:sz="4" w:space="0" w:color="auto"/>
              <w:right w:val="single" w:sz="4" w:space="0" w:color="auto"/>
            </w:tcBorders>
            <w:hideMark/>
          </w:tcPr>
          <w:p w:rsidR="006D7761" w:rsidRPr="003675E5" w:rsidRDefault="006D7761" w:rsidP="00D306CB">
            <w:pPr>
              <w:pStyle w:val="TableText"/>
              <w:widowControl w:val="0"/>
              <w:spacing w:line="256" w:lineRule="auto"/>
              <w:rPr>
                <w:b/>
              </w:rPr>
            </w:pPr>
            <w:r w:rsidRPr="003675E5">
              <w:rPr>
                <w:b/>
              </w:rPr>
              <w:t>Protocol title/ Publication title</w:t>
            </w:r>
          </w:p>
        </w:tc>
        <w:tc>
          <w:tcPr>
            <w:tcW w:w="1038" w:type="pct"/>
            <w:tcBorders>
              <w:top w:val="single" w:sz="4" w:space="0" w:color="auto"/>
              <w:left w:val="single" w:sz="4" w:space="0" w:color="auto"/>
              <w:bottom w:val="single" w:sz="4" w:space="0" w:color="auto"/>
              <w:right w:val="single" w:sz="4" w:space="0" w:color="auto"/>
            </w:tcBorders>
            <w:hideMark/>
          </w:tcPr>
          <w:p w:rsidR="006D7761" w:rsidRPr="003675E5" w:rsidRDefault="006D7761" w:rsidP="00D306CB">
            <w:pPr>
              <w:pStyle w:val="TableText"/>
              <w:widowControl w:val="0"/>
              <w:spacing w:line="256" w:lineRule="auto"/>
              <w:rPr>
                <w:b/>
              </w:rPr>
            </w:pPr>
            <w:r w:rsidRPr="003675E5">
              <w:rPr>
                <w:b/>
              </w:rPr>
              <w:t>Publication citation</w:t>
            </w:r>
          </w:p>
        </w:tc>
      </w:tr>
      <w:tr w:rsidR="006D7761" w:rsidRPr="003675E5" w:rsidTr="00D306CB">
        <w:trPr>
          <w:cantSplit/>
        </w:trPr>
        <w:tc>
          <w:tcPr>
            <w:tcW w:w="5000" w:type="pct"/>
            <w:gridSpan w:val="3"/>
            <w:tcBorders>
              <w:top w:val="single" w:sz="4" w:space="0" w:color="auto"/>
              <w:left w:val="single" w:sz="4" w:space="0" w:color="auto"/>
              <w:bottom w:val="single" w:sz="4" w:space="0" w:color="auto"/>
              <w:right w:val="single" w:sz="4" w:space="0" w:color="auto"/>
            </w:tcBorders>
            <w:hideMark/>
          </w:tcPr>
          <w:p w:rsidR="006D7761" w:rsidRPr="003675E5" w:rsidRDefault="006D7761" w:rsidP="00D306CB">
            <w:pPr>
              <w:pStyle w:val="TableText"/>
              <w:widowControl w:val="0"/>
              <w:spacing w:line="256" w:lineRule="auto"/>
              <w:rPr>
                <w:b/>
              </w:rPr>
            </w:pPr>
            <w:r w:rsidRPr="003675E5">
              <w:rPr>
                <w:b/>
              </w:rPr>
              <w:t xml:space="preserve">Coated NaPb </w:t>
            </w:r>
            <w:r w:rsidR="003E1112" w:rsidRPr="003675E5">
              <w:rPr>
                <w:b/>
              </w:rPr>
              <w:t xml:space="preserve">versus uncoated </w:t>
            </w:r>
            <w:r w:rsidRPr="003675E5">
              <w:rPr>
                <w:b/>
              </w:rPr>
              <w:t>studies</w:t>
            </w:r>
          </w:p>
        </w:tc>
      </w:tr>
      <w:tr w:rsidR="006D7761" w:rsidRPr="003675E5" w:rsidTr="003E1112">
        <w:trPr>
          <w:cantSplit/>
          <w:trHeight w:val="935"/>
        </w:trPr>
        <w:tc>
          <w:tcPr>
            <w:tcW w:w="484" w:type="pct"/>
            <w:vMerge w:val="restart"/>
            <w:tcBorders>
              <w:top w:val="single" w:sz="4" w:space="0" w:color="auto"/>
              <w:left w:val="single" w:sz="4" w:space="0" w:color="auto"/>
              <w:bottom w:val="single" w:sz="4" w:space="0" w:color="auto"/>
              <w:right w:val="single" w:sz="4" w:space="0" w:color="auto"/>
            </w:tcBorders>
          </w:tcPr>
          <w:p w:rsidR="006D7761" w:rsidRPr="003675E5" w:rsidRDefault="006D7761" w:rsidP="00D306CB">
            <w:pPr>
              <w:pStyle w:val="TableText"/>
              <w:widowControl w:val="0"/>
              <w:spacing w:line="256" w:lineRule="auto"/>
            </w:pPr>
            <w:r w:rsidRPr="003675E5">
              <w:t>Kibleur 2014</w:t>
            </w:r>
          </w:p>
          <w:p w:rsidR="006D7761" w:rsidRPr="003675E5" w:rsidRDefault="006D7761" w:rsidP="00D306CB">
            <w:pPr>
              <w:pStyle w:val="TableText"/>
              <w:widowControl w:val="0"/>
              <w:spacing w:line="256" w:lineRule="auto"/>
            </w:pPr>
          </w:p>
        </w:tc>
        <w:tc>
          <w:tcPr>
            <w:tcW w:w="3478" w:type="pct"/>
            <w:tcBorders>
              <w:top w:val="single" w:sz="4" w:space="0" w:color="auto"/>
              <w:left w:val="single" w:sz="4" w:space="0" w:color="auto"/>
              <w:bottom w:val="nil"/>
              <w:right w:val="single" w:sz="4" w:space="0" w:color="auto"/>
            </w:tcBorders>
            <w:hideMark/>
          </w:tcPr>
          <w:p w:rsidR="006D7761" w:rsidRPr="003675E5" w:rsidRDefault="006D7761" w:rsidP="00D306CB">
            <w:pPr>
              <w:pStyle w:val="TableText"/>
              <w:widowControl w:val="0"/>
              <w:spacing w:line="256" w:lineRule="auto"/>
            </w:pPr>
            <w:r w:rsidRPr="003675E5">
              <w:t xml:space="preserve">Kibleur Y, Dobbelaere D, Barth M, Brassier S, Guffon N. Results from a Nationwide Cohort Temporary Utilization Authorization (ATU) survey of patients in France treated with Pheburane </w:t>
            </w:r>
            <w:r w:rsidRPr="003675E5">
              <w:rPr>
                <w:vertAlign w:val="superscript"/>
              </w:rPr>
              <w:t>®</w:t>
            </w:r>
            <w:r w:rsidRPr="003675E5">
              <w:t xml:space="preserve"> (Sodium Phenylbutyrate) taste-masked granules. </w:t>
            </w:r>
          </w:p>
        </w:tc>
        <w:tc>
          <w:tcPr>
            <w:tcW w:w="1038" w:type="pct"/>
            <w:tcBorders>
              <w:top w:val="single" w:sz="4" w:space="0" w:color="auto"/>
              <w:left w:val="single" w:sz="4" w:space="0" w:color="auto"/>
              <w:bottom w:val="nil"/>
              <w:right w:val="single" w:sz="4" w:space="0" w:color="auto"/>
            </w:tcBorders>
            <w:hideMark/>
          </w:tcPr>
          <w:p w:rsidR="006D7761" w:rsidRPr="003675E5" w:rsidRDefault="006D7761" w:rsidP="00D306CB">
            <w:pPr>
              <w:pStyle w:val="TableText"/>
              <w:widowControl w:val="0"/>
              <w:spacing w:line="256" w:lineRule="auto"/>
            </w:pPr>
            <w:r w:rsidRPr="003675E5">
              <w:t>Paediatric Drugs 2014; 16 (5): 407-415.</w:t>
            </w:r>
          </w:p>
        </w:tc>
      </w:tr>
      <w:tr w:rsidR="006D7761" w:rsidRPr="003675E5" w:rsidTr="003E1112">
        <w:trPr>
          <w:cantSplit/>
        </w:trPr>
        <w:tc>
          <w:tcPr>
            <w:tcW w:w="484" w:type="pct"/>
            <w:vMerge/>
            <w:tcBorders>
              <w:top w:val="single" w:sz="4" w:space="0" w:color="auto"/>
              <w:left w:val="single" w:sz="4" w:space="0" w:color="auto"/>
              <w:bottom w:val="single" w:sz="4" w:space="0" w:color="auto"/>
              <w:right w:val="single" w:sz="4" w:space="0" w:color="auto"/>
            </w:tcBorders>
            <w:vAlign w:val="center"/>
            <w:hideMark/>
          </w:tcPr>
          <w:p w:rsidR="006D7761" w:rsidRPr="003675E5" w:rsidRDefault="006D7761" w:rsidP="00D306CB">
            <w:pPr>
              <w:spacing w:before="0" w:after="0"/>
              <w:rPr>
                <w:rFonts w:ascii="Arial Narrow" w:hAnsi="Arial Narrow"/>
                <w:sz w:val="20"/>
              </w:rPr>
            </w:pPr>
          </w:p>
        </w:tc>
        <w:tc>
          <w:tcPr>
            <w:tcW w:w="3478" w:type="pct"/>
            <w:tcBorders>
              <w:top w:val="nil"/>
              <w:left w:val="single" w:sz="4" w:space="0" w:color="auto"/>
              <w:bottom w:val="single" w:sz="4" w:space="0" w:color="auto"/>
              <w:right w:val="single" w:sz="4" w:space="0" w:color="auto"/>
            </w:tcBorders>
            <w:hideMark/>
          </w:tcPr>
          <w:p w:rsidR="006D7761" w:rsidRPr="003675E5" w:rsidRDefault="006D7761">
            <w:pPr>
              <w:pStyle w:val="TableText"/>
              <w:widowControl w:val="0"/>
              <w:spacing w:line="256" w:lineRule="auto"/>
            </w:pPr>
            <w:r w:rsidRPr="003675E5">
              <w:t>Kibleur Y, and Guffon</w:t>
            </w:r>
            <w:r w:rsidR="00CD1130" w:rsidRPr="003675E5">
              <w:t>,</w:t>
            </w:r>
            <w:r w:rsidRPr="003675E5">
              <w:t xml:space="preserve"> </w:t>
            </w:r>
            <w:r w:rsidR="00CD1130" w:rsidRPr="003675E5">
              <w:t xml:space="preserve">N. </w:t>
            </w:r>
            <w:r w:rsidRPr="003675E5">
              <w:t xml:space="preserve">Long-Term Follow-Up on a Cohort Temporary Utilization Authorization (ATU) Survey of Patients Treated with Pheburane (Sodium Phenylbutyrate) Taste-Masked Granules. </w:t>
            </w:r>
          </w:p>
        </w:tc>
        <w:tc>
          <w:tcPr>
            <w:tcW w:w="1038" w:type="pct"/>
            <w:tcBorders>
              <w:top w:val="nil"/>
              <w:left w:val="single" w:sz="4" w:space="0" w:color="auto"/>
              <w:bottom w:val="single" w:sz="4" w:space="0" w:color="auto"/>
              <w:right w:val="single" w:sz="4" w:space="0" w:color="auto"/>
            </w:tcBorders>
            <w:hideMark/>
          </w:tcPr>
          <w:p w:rsidR="006D7761" w:rsidRPr="003675E5" w:rsidRDefault="006D7761" w:rsidP="00D306CB">
            <w:pPr>
              <w:pStyle w:val="TableText"/>
              <w:widowControl w:val="0"/>
              <w:spacing w:line="256" w:lineRule="auto"/>
            </w:pPr>
            <w:r w:rsidRPr="003675E5">
              <w:t>Paediatric Drugs 2016; 18 (2): 139-144.</w:t>
            </w:r>
          </w:p>
        </w:tc>
      </w:tr>
      <w:tr w:rsidR="003E1112" w:rsidRPr="003675E5" w:rsidTr="003E1112">
        <w:trPr>
          <w:cantSplit/>
        </w:trPr>
        <w:tc>
          <w:tcPr>
            <w:tcW w:w="484" w:type="pct"/>
            <w:tcBorders>
              <w:top w:val="single" w:sz="4" w:space="0" w:color="auto"/>
              <w:left w:val="single" w:sz="4" w:space="0" w:color="auto"/>
              <w:bottom w:val="nil"/>
              <w:right w:val="single" w:sz="4" w:space="0" w:color="auto"/>
            </w:tcBorders>
          </w:tcPr>
          <w:p w:rsidR="003E1112" w:rsidRPr="003675E5" w:rsidRDefault="003E1112" w:rsidP="00D306CB">
            <w:pPr>
              <w:spacing w:before="0" w:after="0"/>
              <w:rPr>
                <w:rFonts w:ascii="Arial Narrow" w:hAnsi="Arial Narrow"/>
                <w:sz w:val="20"/>
              </w:rPr>
            </w:pPr>
            <w:r w:rsidRPr="003675E5">
              <w:rPr>
                <w:rFonts w:ascii="Arial Narrow" w:hAnsi="Arial Narrow"/>
                <w:sz w:val="20"/>
              </w:rPr>
              <w:t>LUC1001</w:t>
            </w:r>
          </w:p>
        </w:tc>
        <w:tc>
          <w:tcPr>
            <w:tcW w:w="3478" w:type="pct"/>
            <w:tcBorders>
              <w:top w:val="nil"/>
              <w:left w:val="single" w:sz="4" w:space="0" w:color="auto"/>
              <w:bottom w:val="nil"/>
              <w:right w:val="single" w:sz="4" w:space="0" w:color="auto"/>
            </w:tcBorders>
          </w:tcPr>
          <w:p w:rsidR="003E1112" w:rsidRPr="003675E5" w:rsidRDefault="003E1112" w:rsidP="003E1112">
            <w:pPr>
              <w:pStyle w:val="TableText"/>
              <w:spacing w:line="256" w:lineRule="auto"/>
            </w:pPr>
            <w:r w:rsidRPr="003675E5">
              <w:t xml:space="preserve">Clinical Study Report: An open-label, two-period crossover study to determine the bioequivalence of two formulations of a single dose of 5 grams of sodium phenylbutyrate granules and to compare the taste of these two formulations in healthy volunteers. </w:t>
            </w:r>
          </w:p>
        </w:tc>
        <w:tc>
          <w:tcPr>
            <w:tcW w:w="1038" w:type="pct"/>
            <w:tcBorders>
              <w:top w:val="nil"/>
              <w:left w:val="single" w:sz="4" w:space="0" w:color="auto"/>
              <w:bottom w:val="nil"/>
              <w:right w:val="single" w:sz="4" w:space="0" w:color="auto"/>
            </w:tcBorders>
          </w:tcPr>
          <w:p w:rsidR="003E1112" w:rsidRPr="003675E5" w:rsidRDefault="003E1112" w:rsidP="00157BC4">
            <w:pPr>
              <w:pStyle w:val="TableText"/>
              <w:spacing w:line="256" w:lineRule="auto"/>
            </w:pPr>
            <w:r w:rsidRPr="003675E5">
              <w:t>2012</w:t>
            </w:r>
          </w:p>
          <w:p w:rsidR="003E1112" w:rsidRPr="003675E5" w:rsidRDefault="003E1112" w:rsidP="00157BC4">
            <w:pPr>
              <w:pStyle w:val="TableText"/>
              <w:spacing w:line="256" w:lineRule="auto"/>
            </w:pPr>
            <w:r w:rsidRPr="003675E5">
              <w:t>Lucane Pharma SAS.</w:t>
            </w:r>
          </w:p>
          <w:p w:rsidR="003E1112" w:rsidRPr="003675E5" w:rsidRDefault="003E1112" w:rsidP="00D306CB">
            <w:pPr>
              <w:pStyle w:val="TableText"/>
              <w:widowControl w:val="0"/>
              <w:spacing w:line="256" w:lineRule="auto"/>
            </w:pPr>
          </w:p>
        </w:tc>
      </w:tr>
      <w:tr w:rsidR="003E1112" w:rsidRPr="003675E5" w:rsidTr="003E1112">
        <w:trPr>
          <w:cantSplit/>
        </w:trPr>
        <w:tc>
          <w:tcPr>
            <w:tcW w:w="484" w:type="pct"/>
            <w:tcBorders>
              <w:top w:val="nil"/>
              <w:left w:val="single" w:sz="4" w:space="0" w:color="auto"/>
              <w:bottom w:val="nil"/>
              <w:right w:val="single" w:sz="4" w:space="0" w:color="auto"/>
            </w:tcBorders>
            <w:vAlign w:val="center"/>
          </w:tcPr>
          <w:p w:rsidR="003E1112" w:rsidRPr="003675E5" w:rsidRDefault="003E1112" w:rsidP="00D306CB">
            <w:pPr>
              <w:spacing w:before="0" w:after="0"/>
              <w:rPr>
                <w:rFonts w:ascii="Arial Narrow" w:hAnsi="Arial Narrow"/>
                <w:sz w:val="20"/>
              </w:rPr>
            </w:pPr>
          </w:p>
        </w:tc>
        <w:tc>
          <w:tcPr>
            <w:tcW w:w="3478" w:type="pct"/>
            <w:tcBorders>
              <w:top w:val="nil"/>
              <w:left w:val="single" w:sz="4" w:space="0" w:color="auto"/>
              <w:bottom w:val="nil"/>
              <w:right w:val="single" w:sz="4" w:space="0" w:color="auto"/>
            </w:tcBorders>
          </w:tcPr>
          <w:p w:rsidR="003E1112" w:rsidRPr="003675E5" w:rsidRDefault="003E1112" w:rsidP="00D306CB">
            <w:pPr>
              <w:pStyle w:val="TableText"/>
              <w:widowControl w:val="0"/>
              <w:spacing w:line="256" w:lineRule="auto"/>
            </w:pPr>
            <w:r w:rsidRPr="003675E5">
              <w:t xml:space="preserve">Guffon N., Kibleur Y., Copalu W., Tissen C. and Breitkreutz J. "Developing a new formulation for sodium phenylbutyrate." </w:t>
            </w:r>
          </w:p>
        </w:tc>
        <w:tc>
          <w:tcPr>
            <w:tcW w:w="1038" w:type="pct"/>
            <w:tcBorders>
              <w:top w:val="nil"/>
              <w:left w:val="single" w:sz="4" w:space="0" w:color="auto"/>
              <w:bottom w:val="nil"/>
              <w:right w:val="single" w:sz="4" w:space="0" w:color="auto"/>
            </w:tcBorders>
          </w:tcPr>
          <w:p w:rsidR="003E1112" w:rsidRPr="003675E5" w:rsidRDefault="003E1112" w:rsidP="00D306CB">
            <w:pPr>
              <w:pStyle w:val="TableText"/>
              <w:widowControl w:val="0"/>
              <w:spacing w:line="256" w:lineRule="auto"/>
            </w:pPr>
            <w:r w:rsidRPr="003675E5">
              <w:t>Archives of Disease in Childhood 2012; 97: 1081-1085.</w:t>
            </w:r>
          </w:p>
        </w:tc>
      </w:tr>
      <w:tr w:rsidR="003E1112" w:rsidRPr="003675E5" w:rsidTr="003E1112">
        <w:trPr>
          <w:cantSplit/>
        </w:trPr>
        <w:tc>
          <w:tcPr>
            <w:tcW w:w="484" w:type="pct"/>
            <w:tcBorders>
              <w:top w:val="nil"/>
              <w:left w:val="single" w:sz="4" w:space="0" w:color="auto"/>
              <w:bottom w:val="nil"/>
              <w:right w:val="single" w:sz="4" w:space="0" w:color="auto"/>
            </w:tcBorders>
            <w:vAlign w:val="center"/>
          </w:tcPr>
          <w:p w:rsidR="003E1112" w:rsidRPr="003675E5" w:rsidRDefault="003E1112" w:rsidP="00D306CB">
            <w:pPr>
              <w:spacing w:before="0" w:after="0"/>
              <w:rPr>
                <w:rFonts w:ascii="Arial Narrow" w:hAnsi="Arial Narrow"/>
                <w:sz w:val="20"/>
              </w:rPr>
            </w:pPr>
          </w:p>
        </w:tc>
        <w:tc>
          <w:tcPr>
            <w:tcW w:w="3478" w:type="pct"/>
            <w:tcBorders>
              <w:top w:val="nil"/>
              <w:left w:val="single" w:sz="4" w:space="0" w:color="auto"/>
              <w:bottom w:val="nil"/>
              <w:right w:val="single" w:sz="4" w:space="0" w:color="auto"/>
            </w:tcBorders>
          </w:tcPr>
          <w:p w:rsidR="003E1112" w:rsidRPr="003675E5" w:rsidRDefault="003E1112" w:rsidP="00D306CB">
            <w:pPr>
              <w:pStyle w:val="TableText"/>
              <w:widowControl w:val="0"/>
              <w:spacing w:line="256" w:lineRule="auto"/>
            </w:pPr>
            <w:r w:rsidRPr="003675E5">
              <w:t xml:space="preserve">Guffon, N., Y. Kibleur, E. Pickup, C. Tissen, J. Breitkreutz and A. Pretorius. "Comparison of two sodium phenylbutyrate granule formulations." </w:t>
            </w:r>
          </w:p>
        </w:tc>
        <w:tc>
          <w:tcPr>
            <w:tcW w:w="1038" w:type="pct"/>
            <w:tcBorders>
              <w:top w:val="nil"/>
              <w:left w:val="single" w:sz="4" w:space="0" w:color="auto"/>
              <w:bottom w:val="nil"/>
              <w:right w:val="single" w:sz="4" w:space="0" w:color="auto"/>
            </w:tcBorders>
          </w:tcPr>
          <w:p w:rsidR="003E1112" w:rsidRPr="003675E5" w:rsidRDefault="003E1112" w:rsidP="003E1112">
            <w:pPr>
              <w:pStyle w:val="TableText"/>
              <w:widowControl w:val="0"/>
              <w:spacing w:line="256" w:lineRule="auto"/>
            </w:pPr>
            <w:r w:rsidRPr="003675E5">
              <w:t>Journal of Inherited Metabolic Disease 2012; 35 (Suppl. 1): S46.</w:t>
            </w:r>
          </w:p>
        </w:tc>
      </w:tr>
      <w:tr w:rsidR="003E1112" w:rsidRPr="003675E5" w:rsidTr="003E1112">
        <w:trPr>
          <w:cantSplit/>
        </w:trPr>
        <w:tc>
          <w:tcPr>
            <w:tcW w:w="484" w:type="pct"/>
            <w:tcBorders>
              <w:top w:val="nil"/>
              <w:left w:val="single" w:sz="4" w:space="0" w:color="auto"/>
              <w:bottom w:val="single" w:sz="4" w:space="0" w:color="auto"/>
              <w:right w:val="single" w:sz="4" w:space="0" w:color="auto"/>
            </w:tcBorders>
            <w:vAlign w:val="center"/>
          </w:tcPr>
          <w:p w:rsidR="003E1112" w:rsidRPr="003675E5" w:rsidRDefault="003E1112" w:rsidP="00D306CB">
            <w:pPr>
              <w:spacing w:before="0" w:after="0"/>
              <w:rPr>
                <w:rFonts w:ascii="Arial Narrow" w:hAnsi="Arial Narrow"/>
                <w:sz w:val="20"/>
              </w:rPr>
            </w:pPr>
          </w:p>
        </w:tc>
        <w:tc>
          <w:tcPr>
            <w:tcW w:w="3478" w:type="pct"/>
            <w:tcBorders>
              <w:top w:val="nil"/>
              <w:left w:val="single" w:sz="4" w:space="0" w:color="auto"/>
              <w:bottom w:val="single" w:sz="4" w:space="0" w:color="auto"/>
              <w:right w:val="single" w:sz="4" w:space="0" w:color="auto"/>
            </w:tcBorders>
          </w:tcPr>
          <w:p w:rsidR="003E1112" w:rsidRPr="003675E5" w:rsidRDefault="003E1112" w:rsidP="00D306CB">
            <w:pPr>
              <w:pStyle w:val="TableText"/>
              <w:widowControl w:val="0"/>
              <w:spacing w:line="256" w:lineRule="auto"/>
            </w:pPr>
            <w:r w:rsidRPr="003675E5">
              <w:t xml:space="preserve">Guffon, N., Y. Kibleur, W. Copalu, C. Tissen and J. Breitkreutz. "Development of a taste-masked granule formulation of sodium phenylbutyrate adapted for paediatric use." </w:t>
            </w:r>
          </w:p>
        </w:tc>
        <w:tc>
          <w:tcPr>
            <w:tcW w:w="1038" w:type="pct"/>
            <w:tcBorders>
              <w:top w:val="nil"/>
              <w:left w:val="single" w:sz="4" w:space="0" w:color="auto"/>
              <w:bottom w:val="single" w:sz="4" w:space="0" w:color="auto"/>
              <w:right w:val="single" w:sz="4" w:space="0" w:color="auto"/>
            </w:tcBorders>
          </w:tcPr>
          <w:p w:rsidR="003E1112" w:rsidRPr="003675E5" w:rsidRDefault="003E1112" w:rsidP="00D306CB">
            <w:pPr>
              <w:pStyle w:val="TableText"/>
              <w:widowControl w:val="0"/>
              <w:spacing w:line="256" w:lineRule="auto"/>
            </w:pPr>
            <w:r w:rsidRPr="003675E5">
              <w:t>Archives of Disease in Childhood 2013; 98(6).</w:t>
            </w:r>
          </w:p>
        </w:tc>
      </w:tr>
      <w:tr w:rsidR="006D7761" w:rsidRPr="003675E5" w:rsidTr="00D306CB">
        <w:trPr>
          <w:cantSplit/>
        </w:trPr>
        <w:tc>
          <w:tcPr>
            <w:tcW w:w="5000" w:type="pct"/>
            <w:gridSpan w:val="3"/>
            <w:tcBorders>
              <w:top w:val="single" w:sz="4" w:space="0" w:color="auto"/>
              <w:left w:val="single" w:sz="4" w:space="0" w:color="auto"/>
              <w:bottom w:val="single" w:sz="4" w:space="0" w:color="auto"/>
              <w:right w:val="single" w:sz="4" w:space="0" w:color="auto"/>
            </w:tcBorders>
            <w:hideMark/>
          </w:tcPr>
          <w:p w:rsidR="006D7761" w:rsidRPr="003675E5" w:rsidRDefault="006D7761" w:rsidP="00D306CB">
            <w:pPr>
              <w:pStyle w:val="TableText"/>
              <w:keepNext w:val="0"/>
              <w:widowControl w:val="0"/>
              <w:spacing w:line="256" w:lineRule="auto"/>
              <w:rPr>
                <w:b/>
              </w:rPr>
            </w:pPr>
            <w:r w:rsidRPr="003675E5">
              <w:rPr>
                <w:b/>
              </w:rPr>
              <w:t>Ammonia scavenger studies</w:t>
            </w:r>
          </w:p>
        </w:tc>
      </w:tr>
      <w:tr w:rsidR="006D7761" w:rsidRPr="003675E5" w:rsidTr="003E1112">
        <w:trPr>
          <w:cantSplit/>
          <w:trHeight w:val="623"/>
        </w:trPr>
        <w:tc>
          <w:tcPr>
            <w:tcW w:w="484" w:type="pct"/>
            <w:vMerge w:val="restart"/>
            <w:tcBorders>
              <w:top w:val="single" w:sz="4" w:space="0" w:color="auto"/>
              <w:left w:val="single" w:sz="4" w:space="0" w:color="auto"/>
              <w:bottom w:val="single" w:sz="4" w:space="0" w:color="auto"/>
              <w:right w:val="single" w:sz="4" w:space="0" w:color="auto"/>
            </w:tcBorders>
            <w:hideMark/>
          </w:tcPr>
          <w:p w:rsidR="006D7761" w:rsidRPr="003675E5" w:rsidRDefault="006D7761" w:rsidP="00D306CB">
            <w:pPr>
              <w:pStyle w:val="TableText"/>
              <w:keepNext w:val="0"/>
              <w:widowControl w:val="0"/>
              <w:spacing w:line="256" w:lineRule="auto"/>
            </w:pPr>
            <w:r w:rsidRPr="003675E5">
              <w:t>Maestri combined</w:t>
            </w:r>
          </w:p>
        </w:tc>
        <w:tc>
          <w:tcPr>
            <w:tcW w:w="3478" w:type="pct"/>
            <w:tcBorders>
              <w:top w:val="single" w:sz="4" w:space="0" w:color="auto"/>
              <w:left w:val="single" w:sz="4" w:space="0" w:color="auto"/>
              <w:bottom w:val="nil"/>
              <w:right w:val="single" w:sz="4" w:space="0" w:color="auto"/>
            </w:tcBorders>
            <w:shd w:val="clear" w:color="auto" w:fill="FFFFFF" w:themeFill="background1"/>
            <w:hideMark/>
          </w:tcPr>
          <w:p w:rsidR="006D7761" w:rsidRPr="003675E5" w:rsidRDefault="006D7761" w:rsidP="00D306CB">
            <w:pPr>
              <w:pStyle w:val="TableText"/>
              <w:widowControl w:val="0"/>
              <w:spacing w:line="256" w:lineRule="auto"/>
            </w:pPr>
            <w:r w:rsidRPr="003675E5">
              <w:t xml:space="preserve">European Medicines Agency (EMA) – Scientific discussion for the approval of Ammonaps. Available at: </w:t>
            </w:r>
            <w:r w:rsidRPr="007C25B9">
              <w:t>http://www.ema.europa.eu/docs/en_GB/document_library/EPAR_-_Scientific_Discussion/human/000219/WC500024748.pdf</w:t>
            </w:r>
            <w:r w:rsidRPr="003675E5">
              <w:t xml:space="preserve"> </w:t>
            </w:r>
          </w:p>
        </w:tc>
        <w:tc>
          <w:tcPr>
            <w:tcW w:w="1038" w:type="pct"/>
            <w:tcBorders>
              <w:top w:val="single" w:sz="4" w:space="0" w:color="auto"/>
              <w:left w:val="single" w:sz="4" w:space="0" w:color="auto"/>
              <w:bottom w:val="nil"/>
              <w:right w:val="single" w:sz="4" w:space="0" w:color="auto"/>
            </w:tcBorders>
          </w:tcPr>
          <w:p w:rsidR="006D7761" w:rsidRPr="003675E5" w:rsidRDefault="006D7761" w:rsidP="00D306CB">
            <w:pPr>
              <w:pStyle w:val="TableText"/>
              <w:keepNext w:val="0"/>
              <w:widowControl w:val="0"/>
              <w:spacing w:line="256" w:lineRule="auto"/>
            </w:pPr>
            <w:r w:rsidRPr="003675E5">
              <w:t>2001</w:t>
            </w:r>
          </w:p>
          <w:p w:rsidR="006D7761" w:rsidRPr="003675E5" w:rsidRDefault="006D7761" w:rsidP="00D306CB">
            <w:pPr>
              <w:pStyle w:val="TableText"/>
              <w:keepNext w:val="0"/>
              <w:widowControl w:val="0"/>
              <w:spacing w:line="256" w:lineRule="auto"/>
            </w:pPr>
          </w:p>
        </w:tc>
      </w:tr>
      <w:tr w:rsidR="006D7761" w:rsidRPr="003675E5" w:rsidTr="003E1112">
        <w:trPr>
          <w:cantSplit/>
          <w:trHeight w:val="909"/>
        </w:trPr>
        <w:tc>
          <w:tcPr>
            <w:tcW w:w="484" w:type="pct"/>
            <w:vMerge/>
            <w:tcBorders>
              <w:top w:val="single" w:sz="4" w:space="0" w:color="auto"/>
              <w:left w:val="single" w:sz="4" w:space="0" w:color="auto"/>
              <w:bottom w:val="single" w:sz="4" w:space="0" w:color="auto"/>
              <w:right w:val="single" w:sz="4" w:space="0" w:color="auto"/>
            </w:tcBorders>
            <w:vAlign w:val="center"/>
            <w:hideMark/>
          </w:tcPr>
          <w:p w:rsidR="006D7761" w:rsidRPr="003675E5" w:rsidRDefault="006D7761" w:rsidP="00D306CB">
            <w:pPr>
              <w:spacing w:before="0" w:after="0"/>
              <w:rPr>
                <w:rFonts w:ascii="Arial Narrow" w:hAnsi="Arial Narrow"/>
                <w:sz w:val="20"/>
              </w:rPr>
            </w:pPr>
          </w:p>
        </w:tc>
        <w:tc>
          <w:tcPr>
            <w:tcW w:w="3478" w:type="pct"/>
            <w:tcBorders>
              <w:top w:val="nil"/>
              <w:left w:val="single" w:sz="4" w:space="0" w:color="auto"/>
              <w:bottom w:val="single" w:sz="4" w:space="0" w:color="auto"/>
              <w:right w:val="single" w:sz="4" w:space="0" w:color="auto"/>
            </w:tcBorders>
            <w:shd w:val="clear" w:color="auto" w:fill="FFFFFF" w:themeFill="background1"/>
            <w:hideMark/>
          </w:tcPr>
          <w:p w:rsidR="006D7761" w:rsidRPr="003675E5" w:rsidRDefault="006D7761" w:rsidP="00D306CB">
            <w:pPr>
              <w:pStyle w:val="TableText"/>
              <w:widowControl w:val="0"/>
              <w:spacing w:line="256" w:lineRule="auto"/>
            </w:pPr>
            <w:r w:rsidRPr="003675E5">
              <w:t xml:space="preserve">Canadian Agency for Drugs and Technologies in Health (CADTH) Canadian Drug Expert Committee Final Recommendation for Pheburane. Available at: </w:t>
            </w:r>
            <w:r w:rsidRPr="007C25B9">
              <w:t>https://www.cadth.ca/sites/default/files/cdr/complete/SR0452_complete_Pheburane-Apr-25_16-e.pdf</w:t>
            </w:r>
          </w:p>
        </w:tc>
        <w:tc>
          <w:tcPr>
            <w:tcW w:w="1038" w:type="pct"/>
            <w:tcBorders>
              <w:top w:val="nil"/>
              <w:left w:val="single" w:sz="4" w:space="0" w:color="auto"/>
              <w:bottom w:val="single" w:sz="4" w:space="0" w:color="auto"/>
              <w:right w:val="single" w:sz="4" w:space="0" w:color="auto"/>
            </w:tcBorders>
          </w:tcPr>
          <w:p w:rsidR="006D7761" w:rsidRPr="003675E5" w:rsidRDefault="006D7761" w:rsidP="00D306CB">
            <w:pPr>
              <w:pStyle w:val="TableText"/>
              <w:keepNext w:val="0"/>
              <w:widowControl w:val="0"/>
              <w:spacing w:line="256" w:lineRule="auto"/>
            </w:pPr>
            <w:r w:rsidRPr="003675E5">
              <w:t>2016</w:t>
            </w:r>
          </w:p>
          <w:p w:rsidR="006D7761" w:rsidRPr="003675E5" w:rsidRDefault="006D7761" w:rsidP="00D306CB">
            <w:pPr>
              <w:pStyle w:val="TableText"/>
              <w:widowControl w:val="0"/>
              <w:spacing w:line="256" w:lineRule="auto"/>
            </w:pPr>
          </w:p>
        </w:tc>
      </w:tr>
      <w:tr w:rsidR="006D7761" w:rsidRPr="003675E5" w:rsidTr="003E1112">
        <w:trPr>
          <w:cantSplit/>
          <w:trHeight w:val="484"/>
        </w:trPr>
        <w:tc>
          <w:tcPr>
            <w:tcW w:w="484" w:type="pct"/>
            <w:vMerge w:val="restart"/>
            <w:tcBorders>
              <w:top w:val="single" w:sz="4" w:space="0" w:color="auto"/>
              <w:left w:val="single" w:sz="4" w:space="0" w:color="auto"/>
              <w:bottom w:val="single" w:sz="4" w:space="0" w:color="auto"/>
              <w:right w:val="single" w:sz="4" w:space="0" w:color="auto"/>
            </w:tcBorders>
            <w:hideMark/>
          </w:tcPr>
          <w:p w:rsidR="006D7761" w:rsidRPr="003675E5" w:rsidRDefault="006D7761" w:rsidP="00D306CB">
            <w:pPr>
              <w:pStyle w:val="TableText"/>
              <w:keepNext w:val="0"/>
              <w:widowControl w:val="0"/>
              <w:spacing w:line="256" w:lineRule="auto"/>
            </w:pPr>
            <w:r w:rsidRPr="003675E5">
              <w:t>Maestri 1991</w:t>
            </w:r>
          </w:p>
        </w:tc>
        <w:tc>
          <w:tcPr>
            <w:tcW w:w="3478" w:type="pct"/>
            <w:tcBorders>
              <w:top w:val="single" w:sz="4" w:space="0" w:color="auto"/>
              <w:left w:val="single" w:sz="4" w:space="0" w:color="auto"/>
              <w:bottom w:val="nil"/>
              <w:right w:val="single" w:sz="4" w:space="0" w:color="auto"/>
            </w:tcBorders>
            <w:hideMark/>
          </w:tcPr>
          <w:p w:rsidR="006D7761" w:rsidRPr="003675E5" w:rsidRDefault="006D7761" w:rsidP="00D306CB">
            <w:pPr>
              <w:pStyle w:val="TableText"/>
              <w:widowControl w:val="0"/>
              <w:spacing w:line="256" w:lineRule="auto"/>
            </w:pPr>
            <w:r w:rsidRPr="003675E5">
              <w:t xml:space="preserve">Maestri N, Hauser E, Bartholomew D, Brusilow S. Prospective Treatment of Urea Cycle Disorders. </w:t>
            </w:r>
          </w:p>
        </w:tc>
        <w:tc>
          <w:tcPr>
            <w:tcW w:w="1038" w:type="pct"/>
            <w:tcBorders>
              <w:top w:val="single" w:sz="4" w:space="0" w:color="auto"/>
              <w:left w:val="single" w:sz="4" w:space="0" w:color="auto"/>
              <w:bottom w:val="nil"/>
              <w:right w:val="single" w:sz="4" w:space="0" w:color="auto"/>
            </w:tcBorders>
            <w:hideMark/>
          </w:tcPr>
          <w:p w:rsidR="006D7761" w:rsidRPr="003675E5" w:rsidRDefault="006D7761" w:rsidP="00D306CB">
            <w:pPr>
              <w:pStyle w:val="TableText"/>
              <w:widowControl w:val="0"/>
              <w:spacing w:line="256" w:lineRule="auto"/>
            </w:pPr>
            <w:r w:rsidRPr="003675E5">
              <w:t>Journal of Paediatrics 1991; 119 (6): 923-928.</w:t>
            </w:r>
          </w:p>
        </w:tc>
      </w:tr>
      <w:tr w:rsidR="006D7761" w:rsidRPr="003675E5" w:rsidTr="003E1112">
        <w:trPr>
          <w:cantSplit/>
          <w:trHeight w:val="480"/>
        </w:trPr>
        <w:tc>
          <w:tcPr>
            <w:tcW w:w="484" w:type="pct"/>
            <w:vMerge/>
            <w:tcBorders>
              <w:top w:val="single" w:sz="4" w:space="0" w:color="auto"/>
              <w:left w:val="single" w:sz="4" w:space="0" w:color="auto"/>
              <w:bottom w:val="single" w:sz="4" w:space="0" w:color="auto"/>
              <w:right w:val="single" w:sz="4" w:space="0" w:color="auto"/>
            </w:tcBorders>
            <w:vAlign w:val="center"/>
            <w:hideMark/>
          </w:tcPr>
          <w:p w:rsidR="006D7761" w:rsidRPr="003675E5" w:rsidRDefault="006D7761" w:rsidP="00D306CB">
            <w:pPr>
              <w:spacing w:before="0" w:after="0"/>
              <w:rPr>
                <w:rFonts w:ascii="Arial Narrow" w:hAnsi="Arial Narrow"/>
                <w:sz w:val="20"/>
              </w:rPr>
            </w:pPr>
          </w:p>
        </w:tc>
        <w:tc>
          <w:tcPr>
            <w:tcW w:w="3478" w:type="pct"/>
            <w:tcBorders>
              <w:top w:val="nil"/>
              <w:left w:val="single" w:sz="4" w:space="0" w:color="auto"/>
              <w:bottom w:val="single" w:sz="4" w:space="0" w:color="auto"/>
              <w:right w:val="single" w:sz="4" w:space="0" w:color="auto"/>
            </w:tcBorders>
            <w:hideMark/>
          </w:tcPr>
          <w:p w:rsidR="006D7761" w:rsidRPr="003675E5" w:rsidRDefault="006D7761" w:rsidP="00D306CB">
            <w:pPr>
              <w:pStyle w:val="TableText"/>
              <w:widowControl w:val="0"/>
              <w:spacing w:line="256" w:lineRule="auto"/>
            </w:pPr>
            <w:r w:rsidRPr="003675E5">
              <w:t xml:space="preserve">Maestri N, Hauser E, Brusilow H. Long-term survival of patients with neonatal onset of urea cycle defects (UCD).  </w:t>
            </w:r>
          </w:p>
        </w:tc>
        <w:tc>
          <w:tcPr>
            <w:tcW w:w="1038" w:type="pct"/>
            <w:tcBorders>
              <w:top w:val="nil"/>
              <w:left w:val="single" w:sz="4" w:space="0" w:color="auto"/>
              <w:bottom w:val="single" w:sz="4" w:space="0" w:color="auto"/>
              <w:right w:val="single" w:sz="4" w:space="0" w:color="auto"/>
            </w:tcBorders>
            <w:hideMark/>
          </w:tcPr>
          <w:p w:rsidR="006D7761" w:rsidRPr="003675E5" w:rsidRDefault="006D7761" w:rsidP="00D306CB">
            <w:pPr>
              <w:pStyle w:val="TableText"/>
              <w:widowControl w:val="0"/>
              <w:spacing w:line="256" w:lineRule="auto"/>
            </w:pPr>
            <w:r w:rsidRPr="003675E5">
              <w:t>Inborn Errors of Metabolism 1990; A163.</w:t>
            </w:r>
          </w:p>
        </w:tc>
      </w:tr>
      <w:tr w:rsidR="006D7761" w:rsidRPr="003675E5" w:rsidTr="003E1112">
        <w:trPr>
          <w:cantSplit/>
        </w:trPr>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D7761" w:rsidRPr="003675E5" w:rsidRDefault="006D7761" w:rsidP="00D306CB">
            <w:pPr>
              <w:pStyle w:val="TableText"/>
              <w:keepNext w:val="0"/>
              <w:widowControl w:val="0"/>
              <w:spacing w:line="256" w:lineRule="auto"/>
            </w:pPr>
            <w:r w:rsidRPr="003675E5">
              <w:t>Maestri 1995</w:t>
            </w:r>
          </w:p>
        </w:tc>
        <w:tc>
          <w:tcPr>
            <w:tcW w:w="34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D7761" w:rsidRPr="003675E5" w:rsidRDefault="006D7761" w:rsidP="00D306CB">
            <w:pPr>
              <w:pStyle w:val="TableText"/>
              <w:keepNext w:val="0"/>
              <w:widowControl w:val="0"/>
              <w:spacing w:line="256" w:lineRule="auto"/>
            </w:pPr>
            <w:r w:rsidRPr="003675E5">
              <w:t>Maestri N, Clissold D, and Brusilow S. Long-term survival of patients with argininosuccinate synthetase deficiency.</w:t>
            </w:r>
          </w:p>
        </w:tc>
        <w:tc>
          <w:tcPr>
            <w:tcW w:w="1038" w:type="pct"/>
            <w:tcBorders>
              <w:top w:val="single" w:sz="4" w:space="0" w:color="auto"/>
              <w:left w:val="single" w:sz="4" w:space="0" w:color="auto"/>
              <w:bottom w:val="single" w:sz="4" w:space="0" w:color="auto"/>
              <w:right w:val="single" w:sz="4" w:space="0" w:color="auto"/>
            </w:tcBorders>
            <w:hideMark/>
          </w:tcPr>
          <w:p w:rsidR="006D7761" w:rsidRPr="003675E5" w:rsidRDefault="006D7761" w:rsidP="00D306CB">
            <w:pPr>
              <w:pStyle w:val="TableText"/>
              <w:keepNext w:val="0"/>
              <w:widowControl w:val="0"/>
              <w:spacing w:line="256" w:lineRule="auto"/>
            </w:pPr>
            <w:r w:rsidRPr="003675E5">
              <w:t>Journal of Paediatrics 1995; 127 (6): 929-935.</w:t>
            </w:r>
          </w:p>
        </w:tc>
      </w:tr>
      <w:tr w:rsidR="006D7761" w:rsidRPr="003675E5" w:rsidTr="003E1112">
        <w:trPr>
          <w:cantSplit/>
        </w:trPr>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D7761" w:rsidRPr="003675E5" w:rsidRDefault="006D7761" w:rsidP="00D306CB">
            <w:pPr>
              <w:pStyle w:val="TableText"/>
              <w:keepNext w:val="0"/>
              <w:widowControl w:val="0"/>
              <w:spacing w:line="256" w:lineRule="auto"/>
            </w:pPr>
            <w:r w:rsidRPr="003675E5">
              <w:t>Maestri 1996</w:t>
            </w:r>
          </w:p>
        </w:tc>
        <w:tc>
          <w:tcPr>
            <w:tcW w:w="34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D7761" w:rsidRPr="003675E5" w:rsidRDefault="006D7761" w:rsidP="00D306CB">
            <w:pPr>
              <w:pStyle w:val="TableText"/>
              <w:keepNext w:val="0"/>
              <w:widowControl w:val="0"/>
              <w:spacing w:line="256" w:lineRule="auto"/>
            </w:pPr>
            <w:r w:rsidRPr="003675E5">
              <w:t>Maestri N, Brusilow S, Clissold D, Bassett S. Long-term treatment of girls with ornithine transcarbamylase deficiency.</w:t>
            </w:r>
          </w:p>
        </w:tc>
        <w:tc>
          <w:tcPr>
            <w:tcW w:w="1038" w:type="pct"/>
            <w:tcBorders>
              <w:top w:val="single" w:sz="4" w:space="0" w:color="auto"/>
              <w:left w:val="single" w:sz="4" w:space="0" w:color="auto"/>
              <w:bottom w:val="single" w:sz="4" w:space="0" w:color="auto"/>
              <w:right w:val="single" w:sz="4" w:space="0" w:color="auto"/>
            </w:tcBorders>
            <w:hideMark/>
          </w:tcPr>
          <w:p w:rsidR="006D7761" w:rsidRPr="003675E5" w:rsidRDefault="006D7761" w:rsidP="00D306CB">
            <w:pPr>
              <w:pStyle w:val="TableText"/>
              <w:keepNext w:val="0"/>
              <w:widowControl w:val="0"/>
              <w:spacing w:line="256" w:lineRule="auto"/>
            </w:pPr>
            <w:r w:rsidRPr="003675E5">
              <w:t>New England Journal of Medicine 1996; 335 (12): 855-859.</w:t>
            </w:r>
          </w:p>
        </w:tc>
      </w:tr>
      <w:tr w:rsidR="006D7761" w:rsidRPr="003675E5" w:rsidTr="003E1112">
        <w:trPr>
          <w:cantSplit/>
        </w:trPr>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D7761" w:rsidRPr="003675E5" w:rsidRDefault="006D7761" w:rsidP="00D306CB">
            <w:pPr>
              <w:pStyle w:val="TableText"/>
              <w:keepNext w:val="0"/>
              <w:widowControl w:val="0"/>
              <w:spacing w:line="256" w:lineRule="auto"/>
            </w:pPr>
            <w:r w:rsidRPr="003675E5">
              <w:t>Kido 2012</w:t>
            </w:r>
          </w:p>
        </w:tc>
        <w:tc>
          <w:tcPr>
            <w:tcW w:w="34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D7761" w:rsidRPr="003675E5" w:rsidRDefault="006D7761" w:rsidP="00D306CB">
            <w:pPr>
              <w:pStyle w:val="TableText"/>
              <w:keepNext w:val="0"/>
              <w:widowControl w:val="0"/>
              <w:spacing w:line="256" w:lineRule="auto"/>
            </w:pPr>
            <w:r w:rsidRPr="003675E5">
              <w:t>Kido J, Nakamura K, et al. Long-term outcome and intervention of urea cycle disorders in Japan.</w:t>
            </w:r>
          </w:p>
        </w:tc>
        <w:tc>
          <w:tcPr>
            <w:tcW w:w="1038" w:type="pct"/>
            <w:tcBorders>
              <w:top w:val="single" w:sz="4" w:space="0" w:color="auto"/>
              <w:left w:val="single" w:sz="4" w:space="0" w:color="auto"/>
              <w:bottom w:val="single" w:sz="4" w:space="0" w:color="auto"/>
              <w:right w:val="single" w:sz="4" w:space="0" w:color="auto"/>
            </w:tcBorders>
            <w:hideMark/>
          </w:tcPr>
          <w:p w:rsidR="006D7761" w:rsidRPr="003675E5" w:rsidRDefault="009C1FF6" w:rsidP="00D306CB">
            <w:pPr>
              <w:pStyle w:val="TableText"/>
              <w:keepNext w:val="0"/>
              <w:widowControl w:val="0"/>
              <w:spacing w:line="256" w:lineRule="auto"/>
            </w:pPr>
            <w:r w:rsidRPr="003675E5">
              <w:t xml:space="preserve">Journal of Inherited Metabolic Disease </w:t>
            </w:r>
            <w:r w:rsidR="006D7761" w:rsidRPr="003675E5">
              <w:t>2012; 35 (5): 777-785.</w:t>
            </w:r>
          </w:p>
        </w:tc>
      </w:tr>
      <w:tr w:rsidR="006D7761" w:rsidRPr="003675E5" w:rsidTr="00D306CB">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6D7761" w:rsidRPr="003675E5" w:rsidRDefault="006D7761" w:rsidP="00D306CB">
            <w:pPr>
              <w:pStyle w:val="TableText"/>
              <w:keepNext w:val="0"/>
              <w:widowControl w:val="0"/>
              <w:spacing w:line="256" w:lineRule="auto"/>
            </w:pPr>
            <w:r w:rsidRPr="003675E5">
              <w:rPr>
                <w:b/>
              </w:rPr>
              <w:t>Uncoated NaPb studies</w:t>
            </w:r>
          </w:p>
        </w:tc>
      </w:tr>
      <w:tr w:rsidR="006D7761" w:rsidRPr="003675E5" w:rsidTr="003E1112">
        <w:trPr>
          <w:cantSplit/>
        </w:trPr>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D7761" w:rsidRPr="003675E5" w:rsidRDefault="006D7761" w:rsidP="00D306CB">
            <w:pPr>
              <w:pStyle w:val="TableText"/>
              <w:keepNext w:val="0"/>
              <w:widowControl w:val="0"/>
              <w:spacing w:line="256" w:lineRule="auto"/>
            </w:pPr>
            <w:r w:rsidRPr="003675E5">
              <w:t>Burlina 2001</w:t>
            </w:r>
          </w:p>
        </w:tc>
        <w:tc>
          <w:tcPr>
            <w:tcW w:w="34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D7761" w:rsidRPr="003675E5" w:rsidRDefault="006D7761" w:rsidP="00D306CB">
            <w:pPr>
              <w:pStyle w:val="TableText"/>
              <w:keepNext w:val="0"/>
              <w:widowControl w:val="0"/>
              <w:spacing w:line="256" w:lineRule="auto"/>
            </w:pPr>
            <w:r w:rsidRPr="003675E5">
              <w:t>Burlina A, Ogier H, Korall H, Trefz F. Long-term treatment with sodium phenylbutyrate in ornithine transcarbamylase-deficient patients.</w:t>
            </w:r>
          </w:p>
        </w:tc>
        <w:tc>
          <w:tcPr>
            <w:tcW w:w="1038" w:type="pct"/>
            <w:tcBorders>
              <w:top w:val="single" w:sz="4" w:space="0" w:color="auto"/>
              <w:left w:val="single" w:sz="4" w:space="0" w:color="auto"/>
              <w:bottom w:val="single" w:sz="4" w:space="0" w:color="auto"/>
              <w:right w:val="single" w:sz="4" w:space="0" w:color="auto"/>
            </w:tcBorders>
            <w:hideMark/>
          </w:tcPr>
          <w:p w:rsidR="006D7761" w:rsidRPr="003675E5" w:rsidRDefault="006D7761" w:rsidP="00D306CB">
            <w:pPr>
              <w:pStyle w:val="TableText"/>
              <w:keepNext w:val="0"/>
              <w:widowControl w:val="0"/>
              <w:spacing w:line="256" w:lineRule="auto"/>
            </w:pPr>
            <w:r w:rsidRPr="003675E5">
              <w:t>Molecular Genetics and Metabolism 2001; 72 (4): 351-355.</w:t>
            </w:r>
          </w:p>
        </w:tc>
      </w:tr>
      <w:tr w:rsidR="006D7761" w:rsidRPr="003675E5" w:rsidTr="003E1112">
        <w:trPr>
          <w:cantSplit/>
        </w:trPr>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tcPr>
          <w:p w:rsidR="006D7761" w:rsidRPr="003675E5" w:rsidRDefault="006D7761" w:rsidP="00D306CB">
            <w:pPr>
              <w:pStyle w:val="TableText"/>
              <w:keepNext w:val="0"/>
              <w:widowControl w:val="0"/>
              <w:spacing w:line="256" w:lineRule="auto"/>
            </w:pPr>
            <w:r w:rsidRPr="003675E5">
              <w:t>Diaz 2013</w:t>
            </w:r>
          </w:p>
        </w:tc>
        <w:tc>
          <w:tcPr>
            <w:tcW w:w="3478" w:type="pct"/>
            <w:tcBorders>
              <w:top w:val="single" w:sz="4" w:space="0" w:color="auto"/>
              <w:left w:val="single" w:sz="4" w:space="0" w:color="auto"/>
              <w:bottom w:val="single" w:sz="4" w:space="0" w:color="auto"/>
              <w:right w:val="single" w:sz="4" w:space="0" w:color="auto"/>
            </w:tcBorders>
            <w:shd w:val="clear" w:color="auto" w:fill="FFFFFF" w:themeFill="background1"/>
          </w:tcPr>
          <w:p w:rsidR="006D7761" w:rsidRPr="003675E5" w:rsidRDefault="006D7761" w:rsidP="00ED2F70">
            <w:pPr>
              <w:pStyle w:val="TableText"/>
              <w:widowControl w:val="0"/>
              <w:spacing w:line="256" w:lineRule="auto"/>
            </w:pPr>
            <w:r w:rsidRPr="003675E5">
              <w:t>Diaz G, Krivitzky L, Mokhtarani M, Rhead W, Bartley, J et al.</w:t>
            </w:r>
            <w:r w:rsidR="00A816F8" w:rsidRPr="003675E5" w:rsidDel="00A816F8">
              <w:t xml:space="preserve"> </w:t>
            </w:r>
            <w:r w:rsidRPr="003675E5">
              <w:t>“Ammonia control and neurocognitive outcome among urea cycle disorder patients treated with glycerol phenylbutyrate.”</w:t>
            </w:r>
          </w:p>
        </w:tc>
        <w:tc>
          <w:tcPr>
            <w:tcW w:w="1038" w:type="pct"/>
            <w:tcBorders>
              <w:top w:val="single" w:sz="4" w:space="0" w:color="auto"/>
              <w:left w:val="single" w:sz="4" w:space="0" w:color="auto"/>
              <w:bottom w:val="single" w:sz="4" w:space="0" w:color="auto"/>
              <w:right w:val="single" w:sz="4" w:space="0" w:color="auto"/>
            </w:tcBorders>
          </w:tcPr>
          <w:p w:rsidR="006D7761" w:rsidRPr="003675E5" w:rsidRDefault="006D7761" w:rsidP="00D306CB">
            <w:pPr>
              <w:pStyle w:val="TableText"/>
              <w:keepNext w:val="0"/>
              <w:widowControl w:val="0"/>
              <w:spacing w:line="256" w:lineRule="auto"/>
            </w:pPr>
            <w:r w:rsidRPr="003675E5">
              <w:t>Hepatology 2013; 57 (6): 2171-2179.</w:t>
            </w:r>
          </w:p>
        </w:tc>
      </w:tr>
      <w:tr w:rsidR="006D7761" w:rsidRPr="003675E5" w:rsidTr="00D306CB">
        <w:trPr>
          <w:cantSplit/>
        </w:trPr>
        <w:tc>
          <w:tcPr>
            <w:tcW w:w="5000" w:type="pct"/>
            <w:gridSpan w:val="3"/>
            <w:tcBorders>
              <w:top w:val="single" w:sz="4" w:space="0" w:color="auto"/>
              <w:left w:val="single" w:sz="4" w:space="0" w:color="auto"/>
              <w:bottom w:val="single" w:sz="4" w:space="0" w:color="auto"/>
              <w:right w:val="single" w:sz="4" w:space="0" w:color="auto"/>
            </w:tcBorders>
            <w:hideMark/>
          </w:tcPr>
          <w:p w:rsidR="006D7761" w:rsidRPr="003675E5" w:rsidRDefault="006D7761" w:rsidP="00D306CB">
            <w:pPr>
              <w:pStyle w:val="TableText"/>
              <w:keepNext w:val="0"/>
              <w:widowControl w:val="0"/>
              <w:spacing w:line="256" w:lineRule="auto"/>
              <w:rPr>
                <w:b/>
              </w:rPr>
            </w:pPr>
            <w:r w:rsidRPr="003675E5">
              <w:rPr>
                <w:b/>
              </w:rPr>
              <w:t>NaBz studies</w:t>
            </w:r>
          </w:p>
        </w:tc>
      </w:tr>
      <w:tr w:rsidR="006D7761" w:rsidRPr="003675E5" w:rsidTr="003E1112">
        <w:trPr>
          <w:cantSplit/>
        </w:trPr>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D7761" w:rsidRPr="003675E5" w:rsidRDefault="006D7761" w:rsidP="00D306CB">
            <w:pPr>
              <w:pStyle w:val="TableText"/>
              <w:keepNext w:val="0"/>
              <w:widowControl w:val="0"/>
              <w:spacing w:line="256" w:lineRule="auto"/>
            </w:pPr>
            <w:r w:rsidRPr="003675E5">
              <w:t>Ibarra-Gonzalez 2010</w:t>
            </w:r>
          </w:p>
        </w:tc>
        <w:tc>
          <w:tcPr>
            <w:tcW w:w="34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D7761" w:rsidRPr="003675E5" w:rsidRDefault="006D7761" w:rsidP="00D306CB">
            <w:pPr>
              <w:pStyle w:val="TableText"/>
              <w:keepNext w:val="0"/>
              <w:widowControl w:val="0"/>
              <w:spacing w:line="256" w:lineRule="auto"/>
            </w:pPr>
            <w:r w:rsidRPr="003675E5">
              <w:t>Ibarra-Gonzalez I, Fernandez-Lainez C, Vela-Amieva M. Clinical and biochemical characteristics of patients with urea cycle disorders in a developing country.</w:t>
            </w:r>
          </w:p>
        </w:tc>
        <w:tc>
          <w:tcPr>
            <w:tcW w:w="1038" w:type="pct"/>
            <w:tcBorders>
              <w:top w:val="single" w:sz="4" w:space="0" w:color="auto"/>
              <w:left w:val="single" w:sz="4" w:space="0" w:color="auto"/>
              <w:bottom w:val="single" w:sz="4" w:space="0" w:color="auto"/>
              <w:right w:val="single" w:sz="4" w:space="0" w:color="auto"/>
            </w:tcBorders>
            <w:hideMark/>
          </w:tcPr>
          <w:p w:rsidR="006D7761" w:rsidRPr="003675E5" w:rsidRDefault="006D7761" w:rsidP="00D306CB">
            <w:pPr>
              <w:pStyle w:val="TableText"/>
              <w:keepNext w:val="0"/>
              <w:widowControl w:val="0"/>
              <w:spacing w:line="256" w:lineRule="auto"/>
            </w:pPr>
            <w:r w:rsidRPr="003675E5">
              <w:t>Clin</w:t>
            </w:r>
            <w:r w:rsidR="00F917F6" w:rsidRPr="003675E5">
              <w:t>ical</w:t>
            </w:r>
            <w:r w:rsidRPr="003675E5">
              <w:t xml:space="preserve"> Biochem</w:t>
            </w:r>
            <w:r w:rsidR="00F917F6" w:rsidRPr="003675E5">
              <w:t>istry</w:t>
            </w:r>
            <w:r w:rsidRPr="003675E5">
              <w:t xml:space="preserve"> 2010; 43 (4-5): 461-466.</w:t>
            </w:r>
          </w:p>
        </w:tc>
      </w:tr>
      <w:tr w:rsidR="006D7761" w:rsidRPr="003675E5" w:rsidTr="003E1112">
        <w:trPr>
          <w:cantSplit/>
        </w:trPr>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D7761" w:rsidRPr="003675E5" w:rsidRDefault="006D7761" w:rsidP="00D306CB">
            <w:pPr>
              <w:pStyle w:val="TableText"/>
              <w:keepNext w:val="0"/>
              <w:widowControl w:val="0"/>
              <w:spacing w:line="256" w:lineRule="auto"/>
            </w:pPr>
            <w:r w:rsidRPr="003675E5">
              <w:t>Matsuda 1991</w:t>
            </w:r>
          </w:p>
        </w:tc>
        <w:tc>
          <w:tcPr>
            <w:tcW w:w="34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D7761" w:rsidRPr="003675E5" w:rsidRDefault="006D7761" w:rsidP="00D306CB">
            <w:pPr>
              <w:pStyle w:val="TableText"/>
              <w:keepNext w:val="0"/>
              <w:widowControl w:val="0"/>
              <w:spacing w:line="256" w:lineRule="auto"/>
            </w:pPr>
            <w:r w:rsidRPr="003675E5">
              <w:t>Matsuda I, Nagata N, Matsuura T, Oyanagi K, Tada K, Narisawa K, Kitagawa T, Sakiyama T, Yamashita F, Yoshino M. Retrospective survey of urea cycle disorders: Part 1. Clinical and laboratory observations of thirty-two Japanese male patients with ornithine transcarbamylase deficiency.</w:t>
            </w:r>
          </w:p>
        </w:tc>
        <w:tc>
          <w:tcPr>
            <w:tcW w:w="1038" w:type="pct"/>
            <w:tcBorders>
              <w:top w:val="single" w:sz="4" w:space="0" w:color="auto"/>
              <w:left w:val="single" w:sz="4" w:space="0" w:color="auto"/>
              <w:bottom w:val="single" w:sz="4" w:space="0" w:color="auto"/>
              <w:right w:val="single" w:sz="4" w:space="0" w:color="auto"/>
            </w:tcBorders>
            <w:hideMark/>
          </w:tcPr>
          <w:p w:rsidR="006D7761" w:rsidRPr="003675E5" w:rsidRDefault="006D7761" w:rsidP="00D306CB">
            <w:pPr>
              <w:pStyle w:val="TableText"/>
              <w:keepNext w:val="0"/>
              <w:widowControl w:val="0"/>
              <w:spacing w:line="256" w:lineRule="auto"/>
            </w:pPr>
            <w:r w:rsidRPr="003675E5">
              <w:t>American Journal of Medical Genetics 1991; 38 (1): 85-89.</w:t>
            </w:r>
          </w:p>
        </w:tc>
      </w:tr>
      <w:tr w:rsidR="006D7761" w:rsidRPr="003675E5" w:rsidTr="00D306CB">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6D7761" w:rsidRPr="003675E5" w:rsidRDefault="006D7761" w:rsidP="00D306CB">
            <w:pPr>
              <w:pStyle w:val="TableText"/>
              <w:keepNext w:val="0"/>
              <w:widowControl w:val="0"/>
              <w:spacing w:line="256" w:lineRule="auto"/>
            </w:pPr>
            <w:r w:rsidRPr="003675E5">
              <w:rPr>
                <w:b/>
              </w:rPr>
              <w:t>Combined ammonia scavenger treatment (NaPb + NaBz)</w:t>
            </w:r>
          </w:p>
        </w:tc>
      </w:tr>
      <w:tr w:rsidR="006D7761" w:rsidRPr="003675E5" w:rsidTr="003E1112">
        <w:trPr>
          <w:cantSplit/>
        </w:trPr>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D7761" w:rsidRPr="003675E5" w:rsidRDefault="006D7761" w:rsidP="00D306CB">
            <w:pPr>
              <w:pStyle w:val="TableText"/>
              <w:keepNext w:val="0"/>
              <w:widowControl w:val="0"/>
              <w:spacing w:line="256" w:lineRule="auto"/>
            </w:pPr>
            <w:r w:rsidRPr="003675E5">
              <w:t>Choi 2015</w:t>
            </w:r>
          </w:p>
        </w:tc>
        <w:tc>
          <w:tcPr>
            <w:tcW w:w="34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D7761" w:rsidRPr="003675E5" w:rsidRDefault="006D7761" w:rsidP="00D306CB">
            <w:pPr>
              <w:pStyle w:val="TableText"/>
              <w:keepNext w:val="0"/>
              <w:widowControl w:val="0"/>
              <w:spacing w:line="256" w:lineRule="auto"/>
            </w:pPr>
            <w:r w:rsidRPr="003675E5">
              <w:t>Choi J, Lee H, Kim J, Kim G, Kim Y, Cho J, et al. Clinical outcomes and the mutation spectrum of the OTC gene in patients with ornithine transcarbamylase deficiency.</w:t>
            </w:r>
          </w:p>
        </w:tc>
        <w:tc>
          <w:tcPr>
            <w:tcW w:w="1038" w:type="pct"/>
            <w:tcBorders>
              <w:top w:val="single" w:sz="4" w:space="0" w:color="auto"/>
              <w:left w:val="single" w:sz="4" w:space="0" w:color="auto"/>
              <w:bottom w:val="single" w:sz="4" w:space="0" w:color="auto"/>
              <w:right w:val="single" w:sz="4" w:space="0" w:color="auto"/>
            </w:tcBorders>
            <w:hideMark/>
          </w:tcPr>
          <w:p w:rsidR="006D7761" w:rsidRPr="003675E5" w:rsidRDefault="008734D1" w:rsidP="00D306CB">
            <w:pPr>
              <w:pStyle w:val="TableText"/>
              <w:keepNext w:val="0"/>
              <w:widowControl w:val="0"/>
              <w:spacing w:line="256" w:lineRule="auto"/>
            </w:pPr>
            <w:r w:rsidRPr="003675E5">
              <w:t xml:space="preserve">Journal of Human Genetics </w:t>
            </w:r>
            <w:r w:rsidR="006D7761" w:rsidRPr="003675E5">
              <w:t>2015; 60 (9): 501-507.</w:t>
            </w:r>
          </w:p>
        </w:tc>
      </w:tr>
      <w:tr w:rsidR="006D7761" w:rsidRPr="003675E5" w:rsidTr="00D306CB">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6D7761" w:rsidRPr="003675E5" w:rsidRDefault="006D7761" w:rsidP="00D306CB">
            <w:pPr>
              <w:pStyle w:val="TableText"/>
              <w:keepNext w:val="0"/>
              <w:widowControl w:val="0"/>
              <w:spacing w:line="256" w:lineRule="auto"/>
              <w:rPr>
                <w:b/>
              </w:rPr>
            </w:pPr>
            <w:r w:rsidRPr="003675E5">
              <w:rPr>
                <w:b/>
              </w:rPr>
              <w:t>Natural history (no ammonia scavengers)</w:t>
            </w:r>
          </w:p>
        </w:tc>
      </w:tr>
      <w:tr w:rsidR="006D7761" w:rsidRPr="003675E5" w:rsidTr="003E1112">
        <w:trPr>
          <w:cantSplit/>
        </w:trPr>
        <w:tc>
          <w:tcPr>
            <w:tcW w:w="484" w:type="pct"/>
            <w:tcBorders>
              <w:top w:val="single" w:sz="4" w:space="0" w:color="auto"/>
              <w:left w:val="single" w:sz="4" w:space="0" w:color="auto"/>
              <w:bottom w:val="single" w:sz="4" w:space="0" w:color="auto"/>
              <w:right w:val="single" w:sz="4" w:space="0" w:color="auto"/>
            </w:tcBorders>
            <w:hideMark/>
          </w:tcPr>
          <w:p w:rsidR="006D7761" w:rsidRPr="003675E5" w:rsidRDefault="006D7761" w:rsidP="00D306CB">
            <w:pPr>
              <w:pStyle w:val="TableText"/>
              <w:keepNext w:val="0"/>
              <w:widowControl w:val="0"/>
              <w:spacing w:line="256" w:lineRule="auto"/>
            </w:pPr>
            <w:r w:rsidRPr="003675E5">
              <w:t>Nassogne 2005</w:t>
            </w:r>
          </w:p>
        </w:tc>
        <w:tc>
          <w:tcPr>
            <w:tcW w:w="34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D7761" w:rsidRPr="003675E5" w:rsidRDefault="006D7761" w:rsidP="00D306CB">
            <w:pPr>
              <w:pStyle w:val="TableText"/>
              <w:keepNext w:val="0"/>
              <w:widowControl w:val="0"/>
              <w:spacing w:line="256" w:lineRule="auto"/>
            </w:pPr>
            <w:r w:rsidRPr="003675E5">
              <w:t xml:space="preserve">Nassogne M, Heron B, Touati G, Rabier D, Saudubray J. Urea cycle defects: management and outcome. </w:t>
            </w:r>
          </w:p>
        </w:tc>
        <w:tc>
          <w:tcPr>
            <w:tcW w:w="1038" w:type="pct"/>
            <w:tcBorders>
              <w:top w:val="single" w:sz="4" w:space="0" w:color="auto"/>
              <w:left w:val="single" w:sz="4" w:space="0" w:color="auto"/>
              <w:bottom w:val="single" w:sz="4" w:space="0" w:color="auto"/>
              <w:right w:val="single" w:sz="4" w:space="0" w:color="auto"/>
            </w:tcBorders>
            <w:hideMark/>
          </w:tcPr>
          <w:p w:rsidR="006D7761" w:rsidRPr="003675E5" w:rsidRDefault="009C1FF6" w:rsidP="00D306CB">
            <w:pPr>
              <w:pStyle w:val="TableText"/>
              <w:keepNext w:val="0"/>
              <w:widowControl w:val="0"/>
              <w:spacing w:line="256" w:lineRule="auto"/>
            </w:pPr>
            <w:r w:rsidRPr="003675E5">
              <w:t>Journal of Inherited Metabolic Disease</w:t>
            </w:r>
            <w:r w:rsidR="006D7761" w:rsidRPr="003675E5">
              <w:t xml:space="preserve"> 2005; 28 (3), 407-414.</w:t>
            </w:r>
          </w:p>
        </w:tc>
      </w:tr>
      <w:tr w:rsidR="006D7761" w:rsidRPr="003675E5" w:rsidTr="003E1112">
        <w:trPr>
          <w:cantSplit/>
        </w:trPr>
        <w:tc>
          <w:tcPr>
            <w:tcW w:w="484" w:type="pct"/>
            <w:tcBorders>
              <w:top w:val="single" w:sz="4" w:space="0" w:color="auto"/>
              <w:left w:val="single" w:sz="4" w:space="0" w:color="auto"/>
              <w:bottom w:val="single" w:sz="4" w:space="0" w:color="auto"/>
              <w:right w:val="single" w:sz="4" w:space="0" w:color="auto"/>
            </w:tcBorders>
            <w:hideMark/>
          </w:tcPr>
          <w:p w:rsidR="006D7761" w:rsidRPr="003675E5" w:rsidRDefault="006D7761" w:rsidP="00D306CB">
            <w:pPr>
              <w:pStyle w:val="TableText"/>
              <w:keepNext w:val="0"/>
              <w:widowControl w:val="0"/>
              <w:spacing w:line="256" w:lineRule="auto"/>
            </w:pPr>
            <w:r w:rsidRPr="003675E5">
              <w:t>Uchino 1998</w:t>
            </w:r>
          </w:p>
        </w:tc>
        <w:tc>
          <w:tcPr>
            <w:tcW w:w="34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D7761" w:rsidRPr="003675E5" w:rsidRDefault="006D7761" w:rsidP="00D306CB">
            <w:pPr>
              <w:pStyle w:val="TableText"/>
              <w:keepNext w:val="0"/>
              <w:widowControl w:val="0"/>
              <w:spacing w:line="256" w:lineRule="auto"/>
            </w:pPr>
            <w:r w:rsidRPr="003675E5">
              <w:t xml:space="preserve">Uchino T, Endo F, Matsuda I. Neurodevelopmental outcome of long-term therapy of urea cycle disorders in Japan. </w:t>
            </w:r>
          </w:p>
        </w:tc>
        <w:tc>
          <w:tcPr>
            <w:tcW w:w="1038" w:type="pct"/>
            <w:tcBorders>
              <w:top w:val="single" w:sz="4" w:space="0" w:color="auto"/>
              <w:left w:val="single" w:sz="4" w:space="0" w:color="auto"/>
              <w:bottom w:val="single" w:sz="4" w:space="0" w:color="auto"/>
              <w:right w:val="single" w:sz="4" w:space="0" w:color="auto"/>
            </w:tcBorders>
            <w:hideMark/>
          </w:tcPr>
          <w:p w:rsidR="006D7761" w:rsidRPr="003675E5" w:rsidRDefault="009C1FF6" w:rsidP="00D306CB">
            <w:pPr>
              <w:pStyle w:val="TableText"/>
              <w:keepNext w:val="0"/>
              <w:widowControl w:val="0"/>
              <w:spacing w:line="256" w:lineRule="auto"/>
            </w:pPr>
            <w:r w:rsidRPr="003675E5">
              <w:t xml:space="preserve">Journal of Inherited Metabolic Disease </w:t>
            </w:r>
            <w:r w:rsidR="006D7761" w:rsidRPr="003675E5">
              <w:t>1998; 21 Suppl 1: p. 151-</w:t>
            </w:r>
            <w:r w:rsidR="00DD1E9D" w:rsidRPr="003675E5">
              <w:t>15</w:t>
            </w:r>
            <w:r w:rsidR="006D7761" w:rsidRPr="003675E5">
              <w:t>9.</w:t>
            </w:r>
          </w:p>
        </w:tc>
      </w:tr>
      <w:tr w:rsidR="006D7761" w:rsidRPr="003675E5" w:rsidTr="00D306CB">
        <w:trPr>
          <w:cantSplit/>
        </w:trPr>
        <w:tc>
          <w:tcPr>
            <w:tcW w:w="5000" w:type="pct"/>
            <w:gridSpan w:val="3"/>
            <w:tcBorders>
              <w:top w:val="single" w:sz="4" w:space="0" w:color="auto"/>
              <w:left w:val="single" w:sz="4" w:space="0" w:color="auto"/>
              <w:bottom w:val="single" w:sz="4" w:space="0" w:color="auto"/>
              <w:right w:val="single" w:sz="4" w:space="0" w:color="auto"/>
            </w:tcBorders>
            <w:hideMark/>
          </w:tcPr>
          <w:p w:rsidR="006D7761" w:rsidRPr="003675E5" w:rsidRDefault="006D7761" w:rsidP="00D306CB">
            <w:pPr>
              <w:pStyle w:val="TableText"/>
              <w:keepNext w:val="0"/>
              <w:widowControl w:val="0"/>
              <w:spacing w:line="256" w:lineRule="auto"/>
              <w:rPr>
                <w:b/>
              </w:rPr>
            </w:pPr>
            <w:r w:rsidRPr="003675E5">
              <w:rPr>
                <w:b/>
              </w:rPr>
              <w:t>Ammonia scavengers versus natural history</w:t>
            </w:r>
          </w:p>
        </w:tc>
      </w:tr>
      <w:tr w:rsidR="006D7761" w:rsidRPr="003675E5" w:rsidTr="003E1112">
        <w:trPr>
          <w:cantSplit/>
        </w:trPr>
        <w:tc>
          <w:tcPr>
            <w:tcW w:w="484" w:type="pct"/>
            <w:tcBorders>
              <w:top w:val="single" w:sz="4" w:space="0" w:color="auto"/>
              <w:left w:val="single" w:sz="4" w:space="0" w:color="auto"/>
              <w:bottom w:val="single" w:sz="4" w:space="0" w:color="auto"/>
              <w:right w:val="single" w:sz="4" w:space="0" w:color="auto"/>
            </w:tcBorders>
            <w:hideMark/>
          </w:tcPr>
          <w:p w:rsidR="006D7761" w:rsidRPr="003675E5" w:rsidRDefault="006D7761" w:rsidP="00D306CB">
            <w:pPr>
              <w:pStyle w:val="TableText"/>
              <w:keepNext w:val="0"/>
              <w:widowControl w:val="0"/>
              <w:spacing w:line="256" w:lineRule="auto"/>
            </w:pPr>
            <w:r w:rsidRPr="003675E5">
              <w:t>Bachmann 2003</w:t>
            </w:r>
          </w:p>
        </w:tc>
        <w:tc>
          <w:tcPr>
            <w:tcW w:w="34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D7761" w:rsidRPr="003675E5" w:rsidRDefault="006D7761">
            <w:pPr>
              <w:pStyle w:val="TableText"/>
              <w:keepNext w:val="0"/>
              <w:widowControl w:val="0"/>
              <w:spacing w:line="256" w:lineRule="auto"/>
            </w:pPr>
            <w:r w:rsidRPr="003675E5">
              <w:t xml:space="preserve">Bachmann C. Long-term outcome of patients with urea cycle disorders and the question of neonatal screening. </w:t>
            </w:r>
          </w:p>
        </w:tc>
        <w:tc>
          <w:tcPr>
            <w:tcW w:w="1038" w:type="pct"/>
            <w:tcBorders>
              <w:top w:val="single" w:sz="4" w:space="0" w:color="auto"/>
              <w:left w:val="single" w:sz="4" w:space="0" w:color="auto"/>
              <w:bottom w:val="single" w:sz="4" w:space="0" w:color="auto"/>
              <w:right w:val="single" w:sz="4" w:space="0" w:color="auto"/>
            </w:tcBorders>
            <w:hideMark/>
          </w:tcPr>
          <w:p w:rsidR="006D7761" w:rsidRPr="003675E5" w:rsidRDefault="006D7761" w:rsidP="00D306CB">
            <w:pPr>
              <w:pStyle w:val="TableText"/>
              <w:keepNext w:val="0"/>
              <w:widowControl w:val="0"/>
              <w:spacing w:line="256" w:lineRule="auto"/>
            </w:pPr>
            <w:r w:rsidRPr="003675E5">
              <w:t>European Journal of Paediatrics, Supplement 2003; 162</w:t>
            </w:r>
            <w:r w:rsidR="00DD1E9D" w:rsidRPr="003675E5">
              <w:t xml:space="preserve"> </w:t>
            </w:r>
            <w:r w:rsidRPr="003675E5">
              <w:t>(1): S29-S33.</w:t>
            </w:r>
          </w:p>
        </w:tc>
      </w:tr>
    </w:tbl>
    <w:p w:rsidR="006D7761" w:rsidRPr="003675E5" w:rsidRDefault="006D7761" w:rsidP="006D7761">
      <w:pPr>
        <w:pStyle w:val="TableFooter"/>
      </w:pPr>
      <w:r w:rsidRPr="003675E5">
        <w:t>Source: Table 2-4, pp2-17 to 2-20 of the submission; and compiled during evaluation based on the studies included in the meta-analysis.</w:t>
      </w:r>
    </w:p>
    <w:p w:rsidR="006D7761" w:rsidRPr="003675E5" w:rsidRDefault="006D7761">
      <w:pPr>
        <w:pStyle w:val="TableFooter"/>
      </w:pPr>
      <w:r w:rsidRPr="003675E5">
        <w:t>NaBz = sodium benzoate; NaPb = sodium phenylbutyrate; OTC = Ornithine transcarbamylase; UCD = urea cycle disorder</w:t>
      </w:r>
    </w:p>
    <w:p w:rsidR="006D7761" w:rsidRPr="003675E5" w:rsidRDefault="006D7761" w:rsidP="00881F91">
      <w:pPr>
        <w:pStyle w:val="ListParagraph"/>
      </w:pPr>
      <w:r w:rsidRPr="003675E5">
        <w:t xml:space="preserve">The features of the key studies are summarised in the table below. </w:t>
      </w:r>
    </w:p>
    <w:p w:rsidR="006D7761" w:rsidRPr="003675E5" w:rsidRDefault="006D7761" w:rsidP="006D7761">
      <w:pPr>
        <w:pStyle w:val="TableHeading0"/>
      </w:pPr>
      <w:r w:rsidRPr="003675E5">
        <w:t xml:space="preserve">Table 3: Key features of the evidence, coated NaPb (± NaBz) vs uncoated Nab (± NaBz) vs NaBz vs natural history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992"/>
        <w:gridCol w:w="2127"/>
        <w:gridCol w:w="708"/>
        <w:gridCol w:w="1419"/>
        <w:gridCol w:w="1417"/>
        <w:gridCol w:w="1540"/>
      </w:tblGrid>
      <w:tr w:rsidR="006D7761" w:rsidRPr="003675E5" w:rsidTr="009B0DD7">
        <w:tc>
          <w:tcPr>
            <w:tcW w:w="484" w:type="pct"/>
            <w:shd w:val="clear" w:color="auto" w:fill="auto"/>
            <w:vAlign w:val="center"/>
          </w:tcPr>
          <w:p w:rsidR="006D7761" w:rsidRPr="003675E5" w:rsidRDefault="006D7761" w:rsidP="00D306CB">
            <w:pPr>
              <w:pStyle w:val="TableText"/>
              <w:rPr>
                <w:b/>
              </w:rPr>
            </w:pPr>
            <w:r w:rsidRPr="003675E5">
              <w:rPr>
                <w:b/>
              </w:rPr>
              <w:t>Study</w:t>
            </w:r>
          </w:p>
        </w:tc>
        <w:tc>
          <w:tcPr>
            <w:tcW w:w="546" w:type="pct"/>
            <w:shd w:val="clear" w:color="auto" w:fill="auto"/>
            <w:vAlign w:val="center"/>
          </w:tcPr>
          <w:p w:rsidR="006D7761" w:rsidRPr="003675E5" w:rsidRDefault="006D7761" w:rsidP="00D306CB">
            <w:pPr>
              <w:pStyle w:val="TableText"/>
              <w:rPr>
                <w:b/>
              </w:rPr>
            </w:pPr>
            <w:r w:rsidRPr="003675E5">
              <w:rPr>
                <w:b/>
              </w:rPr>
              <w:t>N</w:t>
            </w:r>
          </w:p>
        </w:tc>
        <w:tc>
          <w:tcPr>
            <w:tcW w:w="1171" w:type="pct"/>
            <w:shd w:val="clear" w:color="auto" w:fill="auto"/>
            <w:vAlign w:val="center"/>
          </w:tcPr>
          <w:p w:rsidR="006D7761" w:rsidRPr="003675E5" w:rsidRDefault="006D7761" w:rsidP="00D306CB">
            <w:pPr>
              <w:pStyle w:val="TableText"/>
              <w:rPr>
                <w:b/>
              </w:rPr>
            </w:pPr>
            <w:r w:rsidRPr="003675E5">
              <w:rPr>
                <w:b/>
              </w:rPr>
              <w:t>Design/ duration of follow-up</w:t>
            </w:r>
          </w:p>
        </w:tc>
        <w:tc>
          <w:tcPr>
            <w:tcW w:w="390" w:type="pct"/>
            <w:shd w:val="clear" w:color="auto" w:fill="auto"/>
            <w:vAlign w:val="center"/>
          </w:tcPr>
          <w:p w:rsidR="006D7761" w:rsidRPr="003675E5" w:rsidRDefault="006D7761" w:rsidP="00D306CB">
            <w:pPr>
              <w:pStyle w:val="TableText"/>
              <w:rPr>
                <w:b/>
              </w:rPr>
            </w:pPr>
            <w:r w:rsidRPr="003675E5">
              <w:rPr>
                <w:b/>
              </w:rPr>
              <w:t>Risk of bias</w:t>
            </w:r>
          </w:p>
        </w:tc>
        <w:tc>
          <w:tcPr>
            <w:tcW w:w="781" w:type="pct"/>
            <w:shd w:val="clear" w:color="auto" w:fill="auto"/>
            <w:vAlign w:val="center"/>
          </w:tcPr>
          <w:p w:rsidR="006D7761" w:rsidRPr="003675E5" w:rsidRDefault="006D7761" w:rsidP="00D306CB">
            <w:pPr>
              <w:pStyle w:val="TableText"/>
              <w:rPr>
                <w:b/>
              </w:rPr>
            </w:pPr>
            <w:r w:rsidRPr="003675E5">
              <w:rPr>
                <w:b/>
              </w:rPr>
              <w:t>Patient population</w:t>
            </w:r>
          </w:p>
        </w:tc>
        <w:tc>
          <w:tcPr>
            <w:tcW w:w="780" w:type="pct"/>
            <w:shd w:val="clear" w:color="auto" w:fill="auto"/>
            <w:vAlign w:val="center"/>
          </w:tcPr>
          <w:p w:rsidR="006D7761" w:rsidRPr="003675E5" w:rsidRDefault="006D7761" w:rsidP="00D306CB">
            <w:pPr>
              <w:pStyle w:val="TableText"/>
              <w:rPr>
                <w:b/>
              </w:rPr>
            </w:pPr>
            <w:r w:rsidRPr="003675E5">
              <w:rPr>
                <w:b/>
              </w:rPr>
              <w:t>Outcome(s)</w:t>
            </w:r>
          </w:p>
        </w:tc>
        <w:tc>
          <w:tcPr>
            <w:tcW w:w="848" w:type="pct"/>
            <w:shd w:val="clear" w:color="auto" w:fill="auto"/>
            <w:vAlign w:val="center"/>
          </w:tcPr>
          <w:p w:rsidR="006D7761" w:rsidRPr="003675E5" w:rsidRDefault="006D7761" w:rsidP="00D306CB">
            <w:pPr>
              <w:pStyle w:val="TableText"/>
              <w:rPr>
                <w:b/>
              </w:rPr>
            </w:pPr>
            <w:r w:rsidRPr="003675E5">
              <w:rPr>
                <w:b/>
              </w:rPr>
              <w:t>Use in modelled evaluation</w:t>
            </w:r>
          </w:p>
        </w:tc>
      </w:tr>
      <w:tr w:rsidR="006D7761" w:rsidRPr="003675E5" w:rsidTr="00D306CB">
        <w:tc>
          <w:tcPr>
            <w:tcW w:w="5000" w:type="pct"/>
            <w:gridSpan w:val="7"/>
            <w:shd w:val="clear" w:color="auto" w:fill="auto"/>
            <w:vAlign w:val="center"/>
          </w:tcPr>
          <w:p w:rsidR="006D7761" w:rsidRPr="003675E5" w:rsidRDefault="006D7761" w:rsidP="00D306CB">
            <w:pPr>
              <w:pStyle w:val="TableText"/>
            </w:pPr>
            <w:r w:rsidRPr="003675E5">
              <w:rPr>
                <w:b/>
              </w:rPr>
              <w:t>Coated NaPb versus uncoated NaPb</w:t>
            </w:r>
          </w:p>
        </w:tc>
      </w:tr>
      <w:tr w:rsidR="006D7761" w:rsidRPr="003675E5" w:rsidTr="009B0DD7">
        <w:tc>
          <w:tcPr>
            <w:tcW w:w="484" w:type="pct"/>
            <w:shd w:val="clear" w:color="auto" w:fill="auto"/>
            <w:vAlign w:val="center"/>
          </w:tcPr>
          <w:p w:rsidR="006D7761" w:rsidRPr="003675E5" w:rsidRDefault="006D7761" w:rsidP="00D306CB">
            <w:pPr>
              <w:pStyle w:val="TableText"/>
            </w:pPr>
            <w:r w:rsidRPr="003675E5">
              <w:t>Kibleur 2014</w:t>
            </w:r>
          </w:p>
        </w:tc>
        <w:tc>
          <w:tcPr>
            <w:tcW w:w="546" w:type="pct"/>
            <w:shd w:val="clear" w:color="auto" w:fill="auto"/>
            <w:vAlign w:val="center"/>
          </w:tcPr>
          <w:p w:rsidR="006D7761" w:rsidRPr="003675E5" w:rsidRDefault="006D7761" w:rsidP="00D306CB">
            <w:pPr>
              <w:pStyle w:val="TableText"/>
            </w:pPr>
            <w:r w:rsidRPr="003675E5">
              <w:t>25 (uncoated NaPb);</w:t>
            </w:r>
          </w:p>
          <w:p w:rsidR="006D7761" w:rsidRPr="003675E5" w:rsidRDefault="006D7761" w:rsidP="00D306CB">
            <w:pPr>
              <w:pStyle w:val="TableText"/>
            </w:pPr>
            <w:r w:rsidRPr="003675E5">
              <w:t>20 (coated NaPb)</w:t>
            </w:r>
          </w:p>
        </w:tc>
        <w:tc>
          <w:tcPr>
            <w:tcW w:w="1171" w:type="pct"/>
            <w:shd w:val="clear" w:color="auto" w:fill="auto"/>
            <w:vAlign w:val="center"/>
          </w:tcPr>
          <w:p w:rsidR="006D7761" w:rsidRPr="003675E5" w:rsidRDefault="006D7761" w:rsidP="00D306CB">
            <w:pPr>
              <w:pStyle w:val="TableText"/>
            </w:pPr>
            <w:r w:rsidRPr="003675E5">
              <w:t>Before-and-after, OL, retrospective for uncoated NaPb (before); prospective for coated NaPb (after).</w:t>
            </w:r>
          </w:p>
          <w:p w:rsidR="006D7761" w:rsidRPr="003675E5" w:rsidRDefault="006D7761" w:rsidP="00D306CB">
            <w:pPr>
              <w:pStyle w:val="TableText"/>
            </w:pPr>
            <w:r w:rsidRPr="003675E5">
              <w:t>~ 6 mths in each arm</w:t>
            </w:r>
          </w:p>
        </w:tc>
        <w:tc>
          <w:tcPr>
            <w:tcW w:w="390" w:type="pct"/>
            <w:shd w:val="clear" w:color="auto" w:fill="auto"/>
            <w:vAlign w:val="center"/>
          </w:tcPr>
          <w:p w:rsidR="006D7761" w:rsidRPr="003675E5" w:rsidRDefault="006D7761" w:rsidP="00D306CB">
            <w:pPr>
              <w:pStyle w:val="TableText"/>
              <w:rPr>
                <w:highlight w:val="yellow"/>
              </w:rPr>
            </w:pPr>
            <w:r w:rsidRPr="003675E5">
              <w:t>Serious</w:t>
            </w:r>
          </w:p>
        </w:tc>
        <w:tc>
          <w:tcPr>
            <w:tcW w:w="781" w:type="pct"/>
            <w:shd w:val="clear" w:color="auto" w:fill="auto"/>
            <w:vAlign w:val="center"/>
          </w:tcPr>
          <w:p w:rsidR="006D7761" w:rsidRPr="003675E5" w:rsidRDefault="006D7761" w:rsidP="00D306CB">
            <w:pPr>
              <w:pStyle w:val="TableText"/>
            </w:pPr>
            <w:r w:rsidRPr="003675E5">
              <w:t xml:space="preserve">All UCD types. Pts who found uncoated NaPb to be unacceptable. </w:t>
            </w:r>
          </w:p>
        </w:tc>
        <w:tc>
          <w:tcPr>
            <w:tcW w:w="780" w:type="pct"/>
            <w:shd w:val="clear" w:color="auto" w:fill="auto"/>
            <w:vAlign w:val="center"/>
          </w:tcPr>
          <w:p w:rsidR="006D7761" w:rsidRPr="003675E5" w:rsidRDefault="006D7761" w:rsidP="00D306CB">
            <w:pPr>
              <w:pStyle w:val="TableText"/>
            </w:pPr>
            <w:r w:rsidRPr="003675E5">
              <w:t xml:space="preserve">Taste, ease of administration, hyperammonemic episodes </w:t>
            </w:r>
          </w:p>
        </w:tc>
        <w:tc>
          <w:tcPr>
            <w:tcW w:w="848" w:type="pct"/>
            <w:shd w:val="clear" w:color="auto" w:fill="auto"/>
            <w:vAlign w:val="center"/>
          </w:tcPr>
          <w:p w:rsidR="006D7761" w:rsidRPr="003675E5" w:rsidRDefault="006D7761" w:rsidP="00D306CB">
            <w:pPr>
              <w:pStyle w:val="TableText"/>
            </w:pPr>
            <w:r w:rsidRPr="003675E5">
              <w:t>Hyperammonemic episodes</w:t>
            </w:r>
          </w:p>
        </w:tc>
      </w:tr>
      <w:tr w:rsidR="006D7761" w:rsidRPr="003675E5" w:rsidTr="00D306CB">
        <w:tc>
          <w:tcPr>
            <w:tcW w:w="5000" w:type="pct"/>
            <w:gridSpan w:val="7"/>
            <w:shd w:val="clear" w:color="auto" w:fill="auto"/>
            <w:vAlign w:val="center"/>
          </w:tcPr>
          <w:p w:rsidR="006D7761" w:rsidRPr="003675E5" w:rsidRDefault="006D7761" w:rsidP="00D306CB">
            <w:pPr>
              <w:pStyle w:val="TableText"/>
              <w:rPr>
                <w:b/>
              </w:rPr>
            </w:pPr>
            <w:r w:rsidRPr="003675E5">
              <w:rPr>
                <w:b/>
              </w:rPr>
              <w:t>Different ammonia scavenger regimens: Uncoated NaPb vs NaBz vs uncoated NaPb + NaBz</w:t>
            </w:r>
          </w:p>
        </w:tc>
      </w:tr>
      <w:tr w:rsidR="006D7761" w:rsidRPr="003675E5" w:rsidTr="009B0DD7">
        <w:tc>
          <w:tcPr>
            <w:tcW w:w="484" w:type="pct"/>
            <w:shd w:val="clear" w:color="auto" w:fill="auto"/>
            <w:vAlign w:val="center"/>
          </w:tcPr>
          <w:p w:rsidR="006D7761" w:rsidRPr="003675E5" w:rsidRDefault="006D7761" w:rsidP="00D306CB">
            <w:pPr>
              <w:pStyle w:val="TableText"/>
            </w:pPr>
            <w:r w:rsidRPr="003675E5">
              <w:t>Maestri 1996</w:t>
            </w:r>
          </w:p>
        </w:tc>
        <w:tc>
          <w:tcPr>
            <w:tcW w:w="546" w:type="pct"/>
            <w:shd w:val="clear" w:color="auto" w:fill="auto"/>
            <w:vAlign w:val="center"/>
          </w:tcPr>
          <w:p w:rsidR="006D7761" w:rsidRPr="003675E5" w:rsidRDefault="006D7761" w:rsidP="00D306CB">
            <w:pPr>
              <w:pStyle w:val="TableText"/>
            </w:pPr>
            <w:r w:rsidRPr="003675E5">
              <w:t>32</w:t>
            </w:r>
          </w:p>
        </w:tc>
        <w:tc>
          <w:tcPr>
            <w:tcW w:w="1171" w:type="pct"/>
            <w:vMerge w:val="restart"/>
            <w:shd w:val="clear" w:color="auto" w:fill="auto"/>
            <w:vAlign w:val="center"/>
          </w:tcPr>
          <w:p w:rsidR="006D7761" w:rsidRPr="003675E5" w:rsidRDefault="006D7761" w:rsidP="00D306CB">
            <w:pPr>
              <w:pStyle w:val="TableText"/>
            </w:pPr>
            <w:r w:rsidRPr="003675E5">
              <w:t>Observational, single-centre; OL from 1981 to 1996, &gt; 3 yrs mean follow-up in most arms</w:t>
            </w:r>
          </w:p>
        </w:tc>
        <w:tc>
          <w:tcPr>
            <w:tcW w:w="390" w:type="pct"/>
            <w:vMerge w:val="restart"/>
            <w:shd w:val="clear" w:color="auto" w:fill="auto"/>
            <w:vAlign w:val="center"/>
          </w:tcPr>
          <w:p w:rsidR="006D7761" w:rsidRPr="003675E5" w:rsidRDefault="006D7761" w:rsidP="00D306CB">
            <w:pPr>
              <w:pStyle w:val="TableText"/>
              <w:rPr>
                <w:highlight w:val="yellow"/>
              </w:rPr>
            </w:pPr>
            <w:r w:rsidRPr="003675E5">
              <w:t xml:space="preserve">Serious </w:t>
            </w:r>
          </w:p>
        </w:tc>
        <w:tc>
          <w:tcPr>
            <w:tcW w:w="781" w:type="pct"/>
            <w:shd w:val="clear" w:color="auto" w:fill="auto"/>
            <w:vAlign w:val="center"/>
          </w:tcPr>
          <w:p w:rsidR="006D7761" w:rsidRPr="003675E5" w:rsidRDefault="006D7761" w:rsidP="00D306CB">
            <w:pPr>
              <w:pStyle w:val="TableText"/>
            </w:pPr>
            <w:r w:rsidRPr="003675E5">
              <w:t>Female OTC, prior HAC</w:t>
            </w:r>
          </w:p>
        </w:tc>
        <w:tc>
          <w:tcPr>
            <w:tcW w:w="780" w:type="pct"/>
            <w:vMerge w:val="restart"/>
            <w:shd w:val="clear" w:color="auto" w:fill="auto"/>
            <w:vAlign w:val="center"/>
          </w:tcPr>
          <w:p w:rsidR="006D7761" w:rsidRPr="003675E5" w:rsidRDefault="006D7761" w:rsidP="00D306CB">
            <w:pPr>
              <w:pStyle w:val="TableText"/>
            </w:pPr>
            <w:r w:rsidRPr="003675E5">
              <w:t xml:space="preserve">Hyperammonemic episodes; OS in meta-analysis </w:t>
            </w:r>
          </w:p>
        </w:tc>
        <w:tc>
          <w:tcPr>
            <w:tcW w:w="848" w:type="pct"/>
            <w:vMerge w:val="restart"/>
            <w:shd w:val="clear" w:color="auto" w:fill="auto"/>
            <w:vAlign w:val="center"/>
          </w:tcPr>
          <w:p w:rsidR="006D7761" w:rsidRPr="003675E5" w:rsidRDefault="006D7761" w:rsidP="00D306CB">
            <w:pPr>
              <w:pStyle w:val="TableText"/>
            </w:pPr>
            <w:r w:rsidRPr="003675E5">
              <w:t>Not used</w:t>
            </w:r>
          </w:p>
        </w:tc>
      </w:tr>
      <w:tr w:rsidR="006D7761" w:rsidRPr="003675E5" w:rsidTr="009B0DD7">
        <w:tc>
          <w:tcPr>
            <w:tcW w:w="484" w:type="pct"/>
            <w:shd w:val="clear" w:color="auto" w:fill="auto"/>
            <w:vAlign w:val="center"/>
          </w:tcPr>
          <w:p w:rsidR="006D7761" w:rsidRPr="003675E5" w:rsidRDefault="006D7761" w:rsidP="00D306CB">
            <w:pPr>
              <w:pStyle w:val="TableText"/>
            </w:pPr>
            <w:r w:rsidRPr="003675E5">
              <w:t>Maestri 1995</w:t>
            </w:r>
          </w:p>
        </w:tc>
        <w:tc>
          <w:tcPr>
            <w:tcW w:w="546" w:type="pct"/>
            <w:shd w:val="clear" w:color="auto" w:fill="auto"/>
            <w:vAlign w:val="center"/>
          </w:tcPr>
          <w:p w:rsidR="006D7761" w:rsidRPr="003675E5" w:rsidRDefault="006D7761" w:rsidP="00D306CB">
            <w:pPr>
              <w:pStyle w:val="TableText"/>
            </w:pPr>
            <w:r w:rsidRPr="003675E5">
              <w:t>24</w:t>
            </w:r>
          </w:p>
        </w:tc>
        <w:tc>
          <w:tcPr>
            <w:tcW w:w="1171" w:type="pct"/>
            <w:vMerge/>
            <w:shd w:val="clear" w:color="auto" w:fill="auto"/>
            <w:vAlign w:val="center"/>
          </w:tcPr>
          <w:p w:rsidR="006D7761" w:rsidRPr="003675E5" w:rsidRDefault="006D7761" w:rsidP="00D306CB">
            <w:pPr>
              <w:pStyle w:val="TableText"/>
            </w:pPr>
          </w:p>
        </w:tc>
        <w:tc>
          <w:tcPr>
            <w:tcW w:w="390" w:type="pct"/>
            <w:vMerge/>
            <w:shd w:val="clear" w:color="auto" w:fill="auto"/>
            <w:vAlign w:val="center"/>
          </w:tcPr>
          <w:p w:rsidR="006D7761" w:rsidRPr="003675E5" w:rsidRDefault="006D7761" w:rsidP="00D306CB">
            <w:pPr>
              <w:pStyle w:val="TableText"/>
              <w:rPr>
                <w:highlight w:val="yellow"/>
              </w:rPr>
            </w:pPr>
          </w:p>
        </w:tc>
        <w:tc>
          <w:tcPr>
            <w:tcW w:w="781" w:type="pct"/>
            <w:shd w:val="clear" w:color="auto" w:fill="auto"/>
            <w:vAlign w:val="center"/>
          </w:tcPr>
          <w:p w:rsidR="006D7761" w:rsidRPr="003675E5" w:rsidRDefault="006D7761" w:rsidP="00D306CB">
            <w:pPr>
              <w:pStyle w:val="TableText"/>
            </w:pPr>
            <w:r w:rsidRPr="003675E5">
              <w:t>ASS, neonatal rescue</w:t>
            </w:r>
          </w:p>
        </w:tc>
        <w:tc>
          <w:tcPr>
            <w:tcW w:w="780" w:type="pct"/>
            <w:vMerge/>
            <w:shd w:val="clear" w:color="auto" w:fill="auto"/>
            <w:vAlign w:val="center"/>
          </w:tcPr>
          <w:p w:rsidR="006D7761" w:rsidRPr="003675E5" w:rsidRDefault="006D7761" w:rsidP="00D306CB">
            <w:pPr>
              <w:pStyle w:val="TableText"/>
            </w:pPr>
          </w:p>
        </w:tc>
        <w:tc>
          <w:tcPr>
            <w:tcW w:w="848" w:type="pct"/>
            <w:vMerge/>
            <w:shd w:val="clear" w:color="auto" w:fill="auto"/>
            <w:vAlign w:val="center"/>
          </w:tcPr>
          <w:p w:rsidR="006D7761" w:rsidRPr="003675E5" w:rsidRDefault="006D7761" w:rsidP="00D306CB">
            <w:pPr>
              <w:pStyle w:val="TableText"/>
            </w:pPr>
          </w:p>
        </w:tc>
      </w:tr>
      <w:tr w:rsidR="006D7761" w:rsidRPr="003675E5" w:rsidTr="00D306CB">
        <w:tc>
          <w:tcPr>
            <w:tcW w:w="5000" w:type="pct"/>
            <w:gridSpan w:val="7"/>
            <w:shd w:val="clear" w:color="auto" w:fill="auto"/>
            <w:vAlign w:val="center"/>
          </w:tcPr>
          <w:p w:rsidR="006D7761" w:rsidRPr="003675E5" w:rsidRDefault="006D7761" w:rsidP="00D306CB">
            <w:pPr>
              <w:pStyle w:val="TableText"/>
              <w:rPr>
                <w:b/>
              </w:rPr>
            </w:pPr>
            <w:r w:rsidRPr="003675E5">
              <w:rPr>
                <w:b/>
              </w:rPr>
              <w:t>Ammonia scavengers versus natural history</w:t>
            </w:r>
          </w:p>
        </w:tc>
      </w:tr>
      <w:tr w:rsidR="006D7761" w:rsidRPr="003675E5" w:rsidTr="009B0DD7">
        <w:tc>
          <w:tcPr>
            <w:tcW w:w="484" w:type="pct"/>
            <w:shd w:val="clear" w:color="auto" w:fill="auto"/>
            <w:vAlign w:val="center"/>
          </w:tcPr>
          <w:p w:rsidR="006D7761" w:rsidRPr="003675E5" w:rsidRDefault="006D7761" w:rsidP="00D306CB">
            <w:pPr>
              <w:pStyle w:val="TableText"/>
            </w:pPr>
            <w:r w:rsidRPr="003675E5">
              <w:t>Bachmann 2003</w:t>
            </w:r>
          </w:p>
        </w:tc>
        <w:tc>
          <w:tcPr>
            <w:tcW w:w="546" w:type="pct"/>
            <w:shd w:val="clear" w:color="auto" w:fill="auto"/>
            <w:vAlign w:val="center"/>
          </w:tcPr>
          <w:p w:rsidR="006D7761" w:rsidRPr="003675E5" w:rsidRDefault="006D7761" w:rsidP="00D306CB">
            <w:pPr>
              <w:pStyle w:val="TableText"/>
            </w:pPr>
            <w:r w:rsidRPr="003675E5">
              <w:t>88</w:t>
            </w:r>
          </w:p>
        </w:tc>
        <w:tc>
          <w:tcPr>
            <w:tcW w:w="1171" w:type="pct"/>
            <w:shd w:val="clear" w:color="auto" w:fill="auto"/>
            <w:vAlign w:val="center"/>
          </w:tcPr>
          <w:p w:rsidR="006D7761" w:rsidRPr="003675E5" w:rsidRDefault="006D7761" w:rsidP="00D306CB">
            <w:pPr>
              <w:pStyle w:val="TableText"/>
            </w:pPr>
            <w:r w:rsidRPr="003675E5">
              <w:t>Retrospective survey</w:t>
            </w:r>
          </w:p>
        </w:tc>
        <w:tc>
          <w:tcPr>
            <w:tcW w:w="390" w:type="pct"/>
            <w:shd w:val="clear" w:color="auto" w:fill="auto"/>
            <w:vAlign w:val="center"/>
          </w:tcPr>
          <w:p w:rsidR="006D7761" w:rsidRPr="003675E5" w:rsidRDefault="006D7761" w:rsidP="00D306CB">
            <w:pPr>
              <w:pStyle w:val="TableText"/>
            </w:pPr>
            <w:r w:rsidRPr="003675E5">
              <w:t xml:space="preserve">Serious </w:t>
            </w:r>
          </w:p>
        </w:tc>
        <w:tc>
          <w:tcPr>
            <w:tcW w:w="781" w:type="pct"/>
            <w:shd w:val="clear" w:color="auto" w:fill="auto"/>
            <w:vAlign w:val="center"/>
          </w:tcPr>
          <w:p w:rsidR="006D7761" w:rsidRPr="003675E5" w:rsidRDefault="006D7761" w:rsidP="00D306CB">
            <w:pPr>
              <w:pStyle w:val="TableText"/>
            </w:pPr>
            <w:r w:rsidRPr="003675E5">
              <w:t>All UCD types. Pts treated 1975-1986</w:t>
            </w:r>
          </w:p>
        </w:tc>
        <w:tc>
          <w:tcPr>
            <w:tcW w:w="780" w:type="pct"/>
            <w:shd w:val="clear" w:color="auto" w:fill="auto"/>
            <w:vAlign w:val="center"/>
          </w:tcPr>
          <w:p w:rsidR="006D7761" w:rsidRPr="003675E5" w:rsidRDefault="006D7761" w:rsidP="00D306CB">
            <w:pPr>
              <w:pStyle w:val="TableText"/>
            </w:pPr>
            <w:r w:rsidRPr="003675E5">
              <w:t>OS</w:t>
            </w:r>
          </w:p>
        </w:tc>
        <w:tc>
          <w:tcPr>
            <w:tcW w:w="848" w:type="pct"/>
            <w:shd w:val="clear" w:color="auto" w:fill="auto"/>
            <w:vAlign w:val="center"/>
          </w:tcPr>
          <w:p w:rsidR="006D7761" w:rsidRPr="003675E5" w:rsidRDefault="006D7761" w:rsidP="00D306CB">
            <w:pPr>
              <w:pStyle w:val="TableText"/>
            </w:pPr>
            <w:r w:rsidRPr="003675E5">
              <w:t xml:space="preserve">Survival </w:t>
            </w:r>
          </w:p>
        </w:tc>
      </w:tr>
      <w:tr w:rsidR="006D7761" w:rsidRPr="003675E5" w:rsidTr="00D306CB">
        <w:tc>
          <w:tcPr>
            <w:tcW w:w="5000" w:type="pct"/>
            <w:gridSpan w:val="7"/>
            <w:shd w:val="clear" w:color="auto" w:fill="auto"/>
            <w:vAlign w:val="center"/>
          </w:tcPr>
          <w:p w:rsidR="006D7761" w:rsidRPr="003675E5" w:rsidRDefault="006D7761" w:rsidP="00D306CB">
            <w:pPr>
              <w:pStyle w:val="TableText"/>
              <w:rPr>
                <w:b/>
              </w:rPr>
            </w:pPr>
            <w:r w:rsidRPr="003675E5">
              <w:rPr>
                <w:b/>
              </w:rPr>
              <w:t>All comparisons</w:t>
            </w:r>
          </w:p>
        </w:tc>
      </w:tr>
      <w:tr w:rsidR="007306FE" w:rsidRPr="003675E5" w:rsidTr="007306FE">
        <w:tc>
          <w:tcPr>
            <w:tcW w:w="484" w:type="pct"/>
            <w:shd w:val="clear" w:color="auto" w:fill="auto"/>
            <w:vAlign w:val="center"/>
          </w:tcPr>
          <w:p w:rsidR="007306FE" w:rsidRPr="003675E5" w:rsidRDefault="007306FE" w:rsidP="00D306CB">
            <w:pPr>
              <w:pStyle w:val="TableText"/>
            </w:pPr>
            <w:r w:rsidRPr="003675E5">
              <w:t>Meta-analyses</w:t>
            </w:r>
          </w:p>
        </w:tc>
        <w:tc>
          <w:tcPr>
            <w:tcW w:w="3668" w:type="pct"/>
            <w:gridSpan w:val="5"/>
            <w:shd w:val="clear" w:color="auto" w:fill="auto"/>
            <w:vAlign w:val="center"/>
          </w:tcPr>
          <w:p w:rsidR="007306FE" w:rsidRPr="003675E5" w:rsidRDefault="007306FE" w:rsidP="00265B97">
            <w:pPr>
              <w:pStyle w:val="TableText"/>
            </w:pPr>
            <w:r w:rsidRPr="003675E5">
              <w:t>Included Kibleur 2014, Maestri studies, Kido 2012, Burlina 2001, Ibarra- Gonzales 2010</w:t>
            </w:r>
            <w:r w:rsidR="00205803" w:rsidRPr="003675E5">
              <w:t>,</w:t>
            </w:r>
            <w:r w:rsidRPr="003675E5">
              <w:t xml:space="preserve"> Matsuda 1991, Choi 2015, Nassogne 2005, Uchino 1998 (Diaz 2013 included during evaluation). Assessed frequency of hyperammonemic episodes and </w:t>
            </w:r>
            <w:r w:rsidR="00265B97" w:rsidRPr="003675E5">
              <w:t>OS</w:t>
            </w:r>
            <w:r w:rsidRPr="003675E5">
              <w:t>.</w:t>
            </w:r>
          </w:p>
        </w:tc>
        <w:tc>
          <w:tcPr>
            <w:tcW w:w="848" w:type="pct"/>
            <w:shd w:val="clear" w:color="auto" w:fill="auto"/>
            <w:vAlign w:val="center"/>
          </w:tcPr>
          <w:p w:rsidR="007306FE" w:rsidRPr="003675E5" w:rsidRDefault="007306FE" w:rsidP="00D306CB">
            <w:pPr>
              <w:pStyle w:val="TableText"/>
            </w:pPr>
            <w:r w:rsidRPr="003675E5">
              <w:t>Not used</w:t>
            </w:r>
          </w:p>
        </w:tc>
      </w:tr>
    </w:tbl>
    <w:p w:rsidR="00205803" w:rsidRPr="003675E5" w:rsidRDefault="00205803" w:rsidP="00205803">
      <w:pPr>
        <w:pStyle w:val="TableFooter"/>
      </w:pPr>
      <w:r w:rsidRPr="003675E5">
        <w:t xml:space="preserve">Source: compiled during the evaluation; </w:t>
      </w:r>
    </w:p>
    <w:p w:rsidR="006D7761" w:rsidRPr="003675E5" w:rsidRDefault="00EB44FB" w:rsidP="006D7761">
      <w:pPr>
        <w:pStyle w:val="TableFooter"/>
      </w:pPr>
      <w:r w:rsidRPr="003675E5">
        <w:t xml:space="preserve">ASS = arginosuccinate synthase; HAC = hyperammonemic crisis; </w:t>
      </w:r>
      <w:r w:rsidR="00C43B52" w:rsidRPr="003675E5">
        <w:t xml:space="preserve">NaBz = sodium benzoate; NaPb = sodium phenylbutyrate; </w:t>
      </w:r>
      <w:r w:rsidR="006D7761" w:rsidRPr="003675E5">
        <w:t xml:space="preserve">OL=open label; </w:t>
      </w:r>
      <w:r w:rsidRPr="003675E5">
        <w:t xml:space="preserve">OS = overall survival; OTC = Ornithine transcarbamylase; </w:t>
      </w:r>
      <w:r w:rsidR="006F55B0" w:rsidRPr="003675E5">
        <w:t xml:space="preserve">mths = months; </w:t>
      </w:r>
      <w:r w:rsidR="00205803" w:rsidRPr="003675E5">
        <w:t xml:space="preserve">pts = patients; </w:t>
      </w:r>
      <w:r w:rsidRPr="003675E5">
        <w:t>UCD = urea cycle disorder</w:t>
      </w:r>
      <w:r w:rsidR="006D7761" w:rsidRPr="003675E5">
        <w:t>.</w:t>
      </w:r>
    </w:p>
    <w:p w:rsidR="006D7761" w:rsidRPr="003675E5" w:rsidRDefault="006D7761" w:rsidP="006D7761">
      <w:pPr>
        <w:pStyle w:val="Heading2"/>
        <w:rPr>
          <w:i w:val="0"/>
        </w:rPr>
      </w:pPr>
      <w:bookmarkStart w:id="21" w:name="_Toc413139278"/>
      <w:bookmarkStart w:id="22" w:name="_Toc493064828"/>
      <w:r w:rsidRPr="003675E5">
        <w:rPr>
          <w:i w:val="0"/>
        </w:rPr>
        <w:t>Comparative effectiveness</w:t>
      </w:r>
      <w:bookmarkEnd w:id="21"/>
      <w:bookmarkEnd w:id="22"/>
      <w:r w:rsidRPr="003675E5">
        <w:rPr>
          <w:i w:val="0"/>
        </w:rPr>
        <w:t xml:space="preserve"> </w:t>
      </w:r>
    </w:p>
    <w:p w:rsidR="006D7761" w:rsidRPr="003675E5" w:rsidRDefault="006D7761" w:rsidP="006D7761">
      <w:pPr>
        <w:jc w:val="both"/>
        <w:rPr>
          <w:u w:val="single"/>
        </w:rPr>
      </w:pPr>
      <w:r w:rsidRPr="003675E5">
        <w:rPr>
          <w:u w:val="single"/>
        </w:rPr>
        <w:t>Coated NaPb (± NaBz) versus uncoated NaPb (± NaBz): Kibleur 2014</w:t>
      </w:r>
    </w:p>
    <w:p w:rsidR="006D7761" w:rsidRPr="003675E5" w:rsidRDefault="006D7761" w:rsidP="00881F91">
      <w:pPr>
        <w:pStyle w:val="ListParagraph"/>
      </w:pPr>
      <w:r w:rsidRPr="003675E5">
        <w:t xml:space="preserve">Kibleur 2014 recruited patients who found uncoated NaPb to be “unacceptable”. Patients were either unable to take NaPb (even if reformulated) or required special administration due to the taste e.g. by naso-gastric tube or gastrostomy. This </w:t>
      </w:r>
      <w:r w:rsidR="007306FE" w:rsidRPr="003675E5">
        <w:t xml:space="preserve">was narrower that </w:t>
      </w:r>
      <w:r w:rsidRPr="003675E5">
        <w:t xml:space="preserve">the proposed </w:t>
      </w:r>
      <w:r w:rsidR="00FF12C6" w:rsidRPr="003675E5">
        <w:t xml:space="preserve">PBS </w:t>
      </w:r>
      <w:r w:rsidRPr="003675E5">
        <w:t>population of all patients with UCD. Further, this eligibility criteri</w:t>
      </w:r>
      <w:r w:rsidR="006C39B9" w:rsidRPr="003675E5">
        <w:t>on</w:t>
      </w:r>
      <w:r w:rsidRPr="003675E5">
        <w:t xml:space="preserve"> meant that some patients in the uncoated NaPb arm may have received sub-optimal doses of NaPb</w:t>
      </w:r>
      <w:r w:rsidR="003446CE" w:rsidRPr="003675E5">
        <w:t xml:space="preserve"> and there were </w:t>
      </w:r>
      <w:r w:rsidRPr="003675E5">
        <w:t xml:space="preserve">high rates of use of concomitant NaBz (60% in both arms). </w:t>
      </w:r>
      <w:r w:rsidR="00FE5ACC" w:rsidRPr="003675E5">
        <w:t xml:space="preserve">The </w:t>
      </w:r>
      <w:r w:rsidR="00FF12C6" w:rsidRPr="003675E5">
        <w:t>ESC noted that the submission did not provide information on the overall unacceptability of the uncoated NaP</w:t>
      </w:r>
      <w:r w:rsidR="00905C63">
        <w:t>b</w:t>
      </w:r>
      <w:r w:rsidR="00FF12C6" w:rsidRPr="003675E5">
        <w:t xml:space="preserve"> beyond the 25 patients included in the after arm of this study.</w:t>
      </w:r>
    </w:p>
    <w:p w:rsidR="006D7761" w:rsidRDefault="00FE5ACC" w:rsidP="00881F91">
      <w:pPr>
        <w:pStyle w:val="ListParagraph"/>
      </w:pPr>
      <w:r w:rsidRPr="003675E5">
        <w:t xml:space="preserve">The </w:t>
      </w:r>
      <w:r w:rsidR="00FF12C6" w:rsidRPr="003675E5">
        <w:t>ESC agreed that</w:t>
      </w:r>
      <w:r w:rsidR="006D7761" w:rsidRPr="003675E5">
        <w:t xml:space="preserve"> Kibleur 2014 was considered to have a serious risk of bias as it included a retrospective assessment of hyperammonemic episodes in the six months preceding study entry (while patients were on uncoated NaPb) versus a prospective assessment while patients were on coated NaPb as part of a clinical study. </w:t>
      </w:r>
      <w:r w:rsidRPr="003675E5">
        <w:t xml:space="preserve">The </w:t>
      </w:r>
      <w:r w:rsidR="00FF12C6" w:rsidRPr="003675E5">
        <w:t xml:space="preserve">ESC </w:t>
      </w:r>
      <w:r w:rsidRPr="003675E5">
        <w:t xml:space="preserve">also </w:t>
      </w:r>
      <w:r w:rsidR="00FF12C6" w:rsidRPr="003675E5">
        <w:t>agreed that t</w:t>
      </w:r>
      <w:r w:rsidR="006D7761" w:rsidRPr="003675E5">
        <w:t>he study design ha</w:t>
      </w:r>
      <w:r w:rsidR="00265B97" w:rsidRPr="003675E5">
        <w:t>d a high risk of survivor bias</w:t>
      </w:r>
      <w:r w:rsidR="006D7761" w:rsidRPr="003675E5">
        <w:t xml:space="preserve"> and it was not clear how outcome data were collected, particularly in the uncoated NaPb (retrospective) arm where there may have been potential for recall bias. </w:t>
      </w:r>
    </w:p>
    <w:p w:rsidR="0091410D" w:rsidRDefault="0091410D" w:rsidP="00881F91">
      <w:pPr>
        <w:pStyle w:val="ListParagraph"/>
      </w:pPr>
      <w:r>
        <w:t xml:space="preserve">The PBAC further considered there was a serious risk </w:t>
      </w:r>
      <w:r w:rsidR="00C30F25">
        <w:t xml:space="preserve">of </w:t>
      </w:r>
      <w:r>
        <w:t xml:space="preserve">bias </w:t>
      </w:r>
      <w:r w:rsidR="00C30F25">
        <w:t xml:space="preserve">and confounding </w:t>
      </w:r>
      <w:r>
        <w:t xml:space="preserve">as patients elected to </w:t>
      </w:r>
      <w:r w:rsidR="00911F56">
        <w:t xml:space="preserve">enter </w:t>
      </w:r>
      <w:r>
        <w:t xml:space="preserve">the study on the basis that they were having difficulty taking ammonia scavenger therapy. </w:t>
      </w:r>
    </w:p>
    <w:p w:rsidR="006D7761" w:rsidRPr="003675E5" w:rsidRDefault="006D7761" w:rsidP="00881F91">
      <w:pPr>
        <w:pStyle w:val="ListParagraph"/>
      </w:pPr>
      <w:r w:rsidRPr="003675E5">
        <w:t xml:space="preserve">Table 4 presents the number of hyperammonemic episodes reported in Kibleur 2014. </w:t>
      </w:r>
    </w:p>
    <w:p w:rsidR="006D7761" w:rsidRPr="003675E5" w:rsidRDefault="006D7761" w:rsidP="006D7761">
      <w:pPr>
        <w:keepNext/>
        <w:spacing w:before="0" w:after="60"/>
        <w:jc w:val="both"/>
        <w:rPr>
          <w:rFonts w:ascii="Arial Narrow" w:hAnsi="Arial Narrow"/>
          <w:b/>
          <w:sz w:val="20"/>
        </w:rPr>
      </w:pPr>
      <w:r w:rsidRPr="003675E5">
        <w:rPr>
          <w:rFonts w:ascii="Arial Narrow" w:hAnsi="Arial Narrow"/>
          <w:b/>
          <w:sz w:val="20"/>
        </w:rPr>
        <w:t>Table 4: Results of hyperammonemic episodes in Kibleur 2014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4"/>
        <w:gridCol w:w="1161"/>
        <w:gridCol w:w="1658"/>
        <w:gridCol w:w="2819"/>
      </w:tblGrid>
      <w:tr w:rsidR="00AF145A" w:rsidRPr="003675E5" w:rsidTr="003039B9">
        <w:trPr>
          <w:tblHeader/>
        </w:trPr>
        <w:tc>
          <w:tcPr>
            <w:tcW w:w="1950" w:type="pct"/>
          </w:tcPr>
          <w:p w:rsidR="00AF145A" w:rsidRPr="003675E5" w:rsidRDefault="00AF145A" w:rsidP="00D306CB">
            <w:pPr>
              <w:keepNext/>
              <w:spacing w:before="40" w:after="40"/>
              <w:rPr>
                <w:rFonts w:ascii="Arial Narrow" w:hAnsi="Arial Narrow"/>
                <w:b/>
                <w:sz w:val="20"/>
              </w:rPr>
            </w:pPr>
            <w:r w:rsidRPr="003675E5">
              <w:rPr>
                <w:rFonts w:ascii="Arial Narrow" w:hAnsi="Arial Narrow"/>
                <w:b/>
                <w:sz w:val="20"/>
              </w:rPr>
              <w:t>Outcome</w:t>
            </w:r>
          </w:p>
        </w:tc>
        <w:tc>
          <w:tcPr>
            <w:tcW w:w="628" w:type="pct"/>
          </w:tcPr>
          <w:p w:rsidR="00AF145A" w:rsidRPr="003675E5" w:rsidRDefault="00AF145A" w:rsidP="00D306CB">
            <w:pPr>
              <w:keepNext/>
              <w:spacing w:before="40" w:after="40"/>
              <w:rPr>
                <w:rFonts w:ascii="Arial Narrow" w:hAnsi="Arial Narrow"/>
                <w:b/>
                <w:sz w:val="20"/>
              </w:rPr>
            </w:pPr>
            <w:r w:rsidRPr="003675E5">
              <w:rPr>
                <w:rFonts w:ascii="Arial Narrow" w:hAnsi="Arial Narrow"/>
                <w:b/>
                <w:sz w:val="20"/>
              </w:rPr>
              <w:t>Coated NaPb (± NaBz)</w:t>
            </w:r>
          </w:p>
        </w:tc>
        <w:tc>
          <w:tcPr>
            <w:tcW w:w="897" w:type="pct"/>
          </w:tcPr>
          <w:p w:rsidR="00AF145A" w:rsidRPr="003675E5" w:rsidRDefault="00AF145A" w:rsidP="00D306CB">
            <w:pPr>
              <w:keepNext/>
              <w:spacing w:before="40" w:after="40"/>
              <w:rPr>
                <w:rFonts w:ascii="Arial Narrow" w:hAnsi="Arial Narrow"/>
                <w:b/>
                <w:sz w:val="20"/>
              </w:rPr>
            </w:pPr>
            <w:r w:rsidRPr="003675E5">
              <w:rPr>
                <w:rFonts w:ascii="Arial Narrow" w:hAnsi="Arial Narrow"/>
                <w:b/>
                <w:sz w:val="20"/>
              </w:rPr>
              <w:t>Uncoated NaPb (± NaBz)</w:t>
            </w:r>
          </w:p>
        </w:tc>
        <w:tc>
          <w:tcPr>
            <w:tcW w:w="1525" w:type="pct"/>
          </w:tcPr>
          <w:p w:rsidR="00AF145A" w:rsidRPr="003675E5" w:rsidRDefault="00AF145A" w:rsidP="00EB4489">
            <w:pPr>
              <w:keepNext/>
              <w:spacing w:before="40" w:after="40"/>
              <w:rPr>
                <w:rFonts w:ascii="Arial Narrow" w:hAnsi="Arial Narrow"/>
                <w:b/>
                <w:sz w:val="20"/>
              </w:rPr>
            </w:pPr>
            <w:r w:rsidRPr="003675E5">
              <w:rPr>
                <w:rFonts w:ascii="Arial Narrow" w:hAnsi="Arial Narrow"/>
                <w:b/>
                <w:sz w:val="20"/>
              </w:rPr>
              <w:t>Difference (95% CI)</w:t>
            </w:r>
          </w:p>
        </w:tc>
      </w:tr>
      <w:tr w:rsidR="00AF145A" w:rsidRPr="003675E5" w:rsidTr="003039B9">
        <w:tc>
          <w:tcPr>
            <w:tcW w:w="1950" w:type="pct"/>
          </w:tcPr>
          <w:p w:rsidR="00AF145A" w:rsidRPr="003675E5" w:rsidRDefault="00AF145A" w:rsidP="00D306CB">
            <w:pPr>
              <w:keepNext/>
              <w:spacing w:before="40" w:after="40"/>
              <w:rPr>
                <w:rFonts w:ascii="Arial Narrow" w:hAnsi="Arial Narrow"/>
                <w:sz w:val="20"/>
              </w:rPr>
            </w:pPr>
            <w:r w:rsidRPr="003675E5">
              <w:rPr>
                <w:rFonts w:ascii="Arial Narrow" w:hAnsi="Arial Narrow"/>
                <w:sz w:val="20"/>
              </w:rPr>
              <w:t>Follow-up</w:t>
            </w:r>
          </w:p>
        </w:tc>
        <w:tc>
          <w:tcPr>
            <w:tcW w:w="628" w:type="pct"/>
          </w:tcPr>
          <w:p w:rsidR="00AF145A" w:rsidRPr="003675E5" w:rsidRDefault="00AF145A" w:rsidP="00D306CB">
            <w:pPr>
              <w:keepNext/>
              <w:spacing w:before="40" w:after="40"/>
              <w:rPr>
                <w:rFonts w:ascii="Arial Narrow" w:hAnsi="Arial Narrow"/>
                <w:sz w:val="20"/>
                <w:vertAlign w:val="superscript"/>
              </w:rPr>
            </w:pPr>
            <w:r w:rsidRPr="003675E5">
              <w:rPr>
                <w:rFonts w:ascii="Arial Narrow" w:hAnsi="Arial Narrow"/>
                <w:sz w:val="20"/>
              </w:rPr>
              <w:t xml:space="preserve">Range: 3-11 months </w:t>
            </w:r>
          </w:p>
        </w:tc>
        <w:tc>
          <w:tcPr>
            <w:tcW w:w="897" w:type="pct"/>
          </w:tcPr>
          <w:p w:rsidR="00AF145A" w:rsidRPr="003675E5" w:rsidRDefault="00AF145A" w:rsidP="00D306CB">
            <w:pPr>
              <w:keepNext/>
              <w:spacing w:before="40" w:after="40"/>
              <w:rPr>
                <w:rFonts w:ascii="Arial Narrow" w:hAnsi="Arial Narrow"/>
                <w:sz w:val="20"/>
              </w:rPr>
            </w:pPr>
            <w:r w:rsidRPr="003675E5">
              <w:rPr>
                <w:rFonts w:ascii="Arial Narrow" w:hAnsi="Arial Narrow"/>
                <w:sz w:val="20"/>
              </w:rPr>
              <w:t>6 months (retrospective)</w:t>
            </w:r>
          </w:p>
        </w:tc>
        <w:tc>
          <w:tcPr>
            <w:tcW w:w="1525" w:type="pct"/>
          </w:tcPr>
          <w:p w:rsidR="00AF145A" w:rsidRPr="003675E5" w:rsidRDefault="00AF145A" w:rsidP="00D306CB">
            <w:pPr>
              <w:keepNext/>
              <w:spacing w:before="40" w:after="40"/>
              <w:rPr>
                <w:rFonts w:ascii="Arial Narrow" w:hAnsi="Arial Narrow"/>
                <w:sz w:val="20"/>
              </w:rPr>
            </w:pPr>
          </w:p>
        </w:tc>
      </w:tr>
      <w:tr w:rsidR="00AF145A" w:rsidRPr="003675E5" w:rsidTr="003039B9">
        <w:tc>
          <w:tcPr>
            <w:tcW w:w="1950" w:type="pct"/>
          </w:tcPr>
          <w:p w:rsidR="00AF145A" w:rsidRPr="003675E5" w:rsidRDefault="00AF145A" w:rsidP="00EB4489">
            <w:pPr>
              <w:keepNext/>
              <w:spacing w:before="40" w:after="40"/>
              <w:rPr>
                <w:rFonts w:ascii="Arial Narrow" w:hAnsi="Arial Narrow"/>
                <w:sz w:val="20"/>
              </w:rPr>
            </w:pPr>
            <w:r w:rsidRPr="003675E5">
              <w:rPr>
                <w:rFonts w:ascii="Arial Narrow" w:hAnsi="Arial Narrow"/>
                <w:sz w:val="20"/>
              </w:rPr>
              <w:t>No. of hyperammonemic episodes, n/N (average no. of episodes per patient)</w:t>
            </w:r>
            <w:r w:rsidRPr="003675E5">
              <w:rPr>
                <w:rFonts w:ascii="Arial Narrow" w:hAnsi="Arial Narrow"/>
                <w:sz w:val="20"/>
                <w:vertAlign w:val="superscript"/>
              </w:rPr>
              <w:t>a</w:t>
            </w:r>
          </w:p>
        </w:tc>
        <w:tc>
          <w:tcPr>
            <w:tcW w:w="628" w:type="pct"/>
          </w:tcPr>
          <w:p w:rsidR="00AF145A" w:rsidRPr="003675E5" w:rsidRDefault="00AF145A" w:rsidP="00AB5850">
            <w:pPr>
              <w:keepNext/>
              <w:spacing w:before="40" w:after="40"/>
              <w:rPr>
                <w:rFonts w:ascii="Times" w:hAnsi="Times" w:cs="Times New Roman"/>
                <w:sz w:val="20"/>
              </w:rPr>
            </w:pPr>
            <w:r w:rsidRPr="003675E5">
              <w:rPr>
                <w:rFonts w:ascii="Arial Narrow" w:hAnsi="Arial Narrow"/>
                <w:sz w:val="20"/>
              </w:rPr>
              <w:t>0 / 20 (0)</w:t>
            </w:r>
          </w:p>
        </w:tc>
        <w:tc>
          <w:tcPr>
            <w:tcW w:w="897" w:type="pct"/>
          </w:tcPr>
          <w:p w:rsidR="00AF145A" w:rsidRPr="003675E5" w:rsidRDefault="00AF145A" w:rsidP="00D306CB">
            <w:pPr>
              <w:keepNext/>
              <w:spacing w:before="40" w:after="40"/>
              <w:rPr>
                <w:rFonts w:ascii="Times" w:hAnsi="Times" w:cs="Times New Roman"/>
                <w:sz w:val="20"/>
              </w:rPr>
            </w:pPr>
            <w:r w:rsidRPr="003675E5">
              <w:rPr>
                <w:rFonts w:ascii="Arial Narrow" w:hAnsi="Arial Narrow"/>
                <w:sz w:val="20"/>
              </w:rPr>
              <w:t>22 / 24 (0.92)</w:t>
            </w:r>
          </w:p>
        </w:tc>
        <w:tc>
          <w:tcPr>
            <w:tcW w:w="1525" w:type="pct"/>
          </w:tcPr>
          <w:p w:rsidR="00AF145A" w:rsidRPr="003675E5" w:rsidRDefault="00AF145A" w:rsidP="005273E3">
            <w:pPr>
              <w:keepNext/>
              <w:spacing w:before="40" w:after="40"/>
              <w:rPr>
                <w:rFonts w:ascii="Arial Narrow" w:hAnsi="Arial Narrow"/>
                <w:sz w:val="20"/>
              </w:rPr>
            </w:pPr>
            <w:r w:rsidRPr="003675E5">
              <w:rPr>
                <w:rFonts w:ascii="Arial Narrow" w:hAnsi="Arial Narrow"/>
                <w:sz w:val="20"/>
              </w:rPr>
              <w:t>-0.92 (-1.03, -0.81) episodes per patient (average)</w:t>
            </w:r>
          </w:p>
        </w:tc>
      </w:tr>
      <w:tr w:rsidR="00AF145A" w:rsidRPr="003675E5" w:rsidTr="003039B9">
        <w:tc>
          <w:tcPr>
            <w:tcW w:w="1950" w:type="pct"/>
          </w:tcPr>
          <w:p w:rsidR="00AF145A" w:rsidRPr="003675E5" w:rsidRDefault="00AF145A" w:rsidP="00EB4489">
            <w:pPr>
              <w:keepNext/>
              <w:spacing w:before="40" w:after="40"/>
              <w:rPr>
                <w:rFonts w:ascii="Arial Narrow" w:hAnsi="Arial Narrow"/>
                <w:sz w:val="20"/>
                <w:vertAlign w:val="superscript"/>
              </w:rPr>
            </w:pPr>
            <w:r w:rsidRPr="003675E5">
              <w:rPr>
                <w:rFonts w:ascii="Arial Narrow" w:hAnsi="Arial Narrow"/>
                <w:sz w:val="20"/>
              </w:rPr>
              <w:t>No. of patients who experienced ≥ 1 hyperammonemic episode/s, n/N (%)</w:t>
            </w:r>
            <w:r w:rsidRPr="003675E5">
              <w:rPr>
                <w:rFonts w:ascii="Arial Narrow" w:hAnsi="Arial Narrow"/>
                <w:sz w:val="20"/>
                <w:vertAlign w:val="superscript"/>
              </w:rPr>
              <w:t>a</w:t>
            </w:r>
          </w:p>
        </w:tc>
        <w:tc>
          <w:tcPr>
            <w:tcW w:w="628" w:type="pct"/>
          </w:tcPr>
          <w:p w:rsidR="00AF145A" w:rsidRPr="003675E5" w:rsidRDefault="00AF145A" w:rsidP="00D306CB">
            <w:pPr>
              <w:keepNext/>
              <w:spacing w:before="40" w:after="40"/>
              <w:rPr>
                <w:rFonts w:ascii="Arial Narrow" w:hAnsi="Arial Narrow"/>
                <w:sz w:val="20"/>
              </w:rPr>
            </w:pPr>
            <w:r w:rsidRPr="003675E5">
              <w:rPr>
                <w:rFonts w:ascii="Arial Narrow" w:hAnsi="Arial Narrow"/>
                <w:sz w:val="20"/>
              </w:rPr>
              <w:t>0 / 20 (0%)</w:t>
            </w:r>
          </w:p>
        </w:tc>
        <w:tc>
          <w:tcPr>
            <w:tcW w:w="897" w:type="pct"/>
          </w:tcPr>
          <w:p w:rsidR="00AF145A" w:rsidRPr="003675E5" w:rsidRDefault="00AF145A" w:rsidP="00C15B07">
            <w:pPr>
              <w:keepNext/>
              <w:spacing w:before="40" w:after="40"/>
              <w:rPr>
                <w:rFonts w:ascii="Arial Narrow" w:hAnsi="Arial Narrow"/>
                <w:sz w:val="20"/>
                <w:vertAlign w:val="superscript"/>
              </w:rPr>
            </w:pPr>
            <w:r w:rsidRPr="003675E5">
              <w:rPr>
                <w:rFonts w:ascii="Arial Narrow" w:hAnsi="Arial Narrow"/>
                <w:sz w:val="20"/>
              </w:rPr>
              <w:t xml:space="preserve">12 / 24 (50%) </w:t>
            </w:r>
            <w:r w:rsidRPr="003675E5">
              <w:rPr>
                <w:rFonts w:ascii="Arial Narrow" w:hAnsi="Arial Narrow"/>
                <w:sz w:val="20"/>
                <w:vertAlign w:val="superscript"/>
              </w:rPr>
              <w:t>b</w:t>
            </w:r>
          </w:p>
        </w:tc>
        <w:tc>
          <w:tcPr>
            <w:tcW w:w="1525" w:type="pct"/>
          </w:tcPr>
          <w:p w:rsidR="00AF145A" w:rsidRPr="003675E5" w:rsidRDefault="00AF145A" w:rsidP="005273E3">
            <w:pPr>
              <w:keepNext/>
              <w:spacing w:before="40" w:after="40"/>
              <w:rPr>
                <w:rFonts w:ascii="Arial Narrow" w:hAnsi="Arial Narrow"/>
                <w:sz w:val="20"/>
              </w:rPr>
            </w:pPr>
            <w:r w:rsidRPr="003675E5">
              <w:rPr>
                <w:rFonts w:ascii="Arial Narrow" w:hAnsi="Arial Narrow"/>
                <w:sz w:val="20"/>
              </w:rPr>
              <w:t>-50% (-0.70, -0.30) of patients</w:t>
            </w:r>
          </w:p>
        </w:tc>
      </w:tr>
    </w:tbl>
    <w:p w:rsidR="006D7761" w:rsidRPr="003675E5" w:rsidRDefault="006D7761" w:rsidP="006D7761">
      <w:pPr>
        <w:pStyle w:val="TableFooter"/>
        <w:rPr>
          <w:sz w:val="20"/>
        </w:rPr>
      </w:pPr>
      <w:r w:rsidRPr="003675E5">
        <w:t xml:space="preserve">Source: Table 2-21, p2-58 of the submission; </w:t>
      </w:r>
    </w:p>
    <w:p w:rsidR="006D7761" w:rsidRPr="003675E5" w:rsidRDefault="006D7761" w:rsidP="006D7761">
      <w:pPr>
        <w:pStyle w:val="TableFooter"/>
        <w:rPr>
          <w:sz w:val="20"/>
        </w:rPr>
      </w:pPr>
      <w:r w:rsidRPr="003675E5">
        <w:t xml:space="preserve">CI = confidence interval; ITT = intention-to-treat; NaBz = sodium benzoate; NaPb = sodium phenylbutyrate; </w:t>
      </w:r>
      <w:r w:rsidR="00EB4489" w:rsidRPr="003675E5">
        <w:t xml:space="preserve">No. = number; </w:t>
      </w:r>
      <w:r w:rsidRPr="003675E5">
        <w:t xml:space="preserve">PP = per protocol </w:t>
      </w:r>
    </w:p>
    <w:p w:rsidR="006D7761" w:rsidRPr="003675E5" w:rsidRDefault="006D7761">
      <w:pPr>
        <w:pStyle w:val="TableFooter"/>
      </w:pPr>
      <w:r w:rsidRPr="003675E5">
        <w:rPr>
          <w:vertAlign w:val="superscript"/>
        </w:rPr>
        <w:t>a</w:t>
      </w:r>
      <w:r w:rsidRPr="003675E5">
        <w:t xml:space="preserve"> Calculated using the same method as used in the economic model (also used on p414, Kibleur 2014). The economic model used the ITT population in the uncoated arm versus PP in the coated arm. That is, for the before (uncoated NaPb) arm, it was based on the 24 patients who were included in the study and for whom prior data for this outcome were available (data not available for 1 patient). For the after (coated NaPb) arm, this was based on the 20 patients who received ≥ 1 week of treatment. While not methodologically appropriate, this was likely conservative as the 5 excluded patients had fewer hyperammonemic episodes than average in the before arm. </w:t>
      </w:r>
    </w:p>
    <w:p w:rsidR="00695D12" w:rsidRPr="003675E5" w:rsidRDefault="00695D12">
      <w:pPr>
        <w:pStyle w:val="TableFooter"/>
      </w:pPr>
      <w:r w:rsidRPr="003675E5">
        <w:rPr>
          <w:vertAlign w:val="superscript"/>
        </w:rPr>
        <w:t>b</w:t>
      </w:r>
      <w:r w:rsidRPr="003675E5">
        <w:t xml:space="preserve"> </w:t>
      </w:r>
      <w:r w:rsidR="00682DD5" w:rsidRPr="003675E5">
        <w:t xml:space="preserve">The number of hyperammonemic episodes per patient ranged from 0 to 3. In the group of </w:t>
      </w:r>
      <w:r w:rsidRPr="003675E5">
        <w:t xml:space="preserve">patients who experienced </w:t>
      </w:r>
      <w:r w:rsidR="005026D2" w:rsidRPr="003675E5">
        <w:t xml:space="preserve">≥ 1 </w:t>
      </w:r>
      <w:r w:rsidRPr="003675E5">
        <w:t>hyperammonemic episode</w:t>
      </w:r>
      <w:r w:rsidR="00682DD5" w:rsidRPr="003675E5">
        <w:t xml:space="preserve"> with uncoated NaPb</w:t>
      </w:r>
      <w:r w:rsidRPr="003675E5">
        <w:t xml:space="preserve">, </w:t>
      </w:r>
      <w:r w:rsidR="00EB4489" w:rsidRPr="003675E5">
        <w:t>each</w:t>
      </w:r>
      <w:r w:rsidR="00682DD5" w:rsidRPr="003675E5">
        <w:t xml:space="preserve"> patient</w:t>
      </w:r>
      <w:r w:rsidR="00EB4489" w:rsidRPr="003675E5">
        <w:t xml:space="preserve"> </w:t>
      </w:r>
      <w:r w:rsidRPr="003675E5">
        <w:t>experienced an average of 1.8 episodes.</w:t>
      </w:r>
      <w:r w:rsidR="005026D2" w:rsidRPr="003675E5">
        <w:t xml:space="preserve"> Of note, there were 3 patients who each experienced 3 hyperammonemic episodes, indicating a refractory patient group. </w:t>
      </w:r>
    </w:p>
    <w:p w:rsidR="008512EA" w:rsidRPr="003675E5" w:rsidRDefault="006D7761" w:rsidP="00881F91">
      <w:pPr>
        <w:pStyle w:val="ListParagraph"/>
      </w:pPr>
      <w:r w:rsidRPr="003675E5">
        <w:t>The submission stated that uncoated NaPb (± NaBz) was associated with a</w:t>
      </w:r>
      <w:r w:rsidR="00695D12" w:rsidRPr="003675E5">
        <w:t>n average</w:t>
      </w:r>
      <w:r w:rsidRPr="003675E5">
        <w:t xml:space="preserve"> decrease of 0.9 hyperammonemic episodes per patient per six months. </w:t>
      </w:r>
      <w:r w:rsidR="005273E3" w:rsidRPr="003675E5">
        <w:t xml:space="preserve">Half of the patients experienced one or more hyperammonemic episodes with uncoated NaPb (± NaBz), versus none with </w:t>
      </w:r>
      <w:r w:rsidR="005026D2" w:rsidRPr="003675E5">
        <w:t xml:space="preserve">coated NaPb (± NaBz). </w:t>
      </w:r>
      <w:r w:rsidRPr="003675E5">
        <w:t xml:space="preserve">However, the comparison was not informative because: </w:t>
      </w:r>
    </w:p>
    <w:p w:rsidR="00536358" w:rsidRPr="003675E5" w:rsidRDefault="00536358" w:rsidP="001D70B4">
      <w:pPr>
        <w:pStyle w:val="ListParagraph"/>
        <w:numPr>
          <w:ilvl w:val="0"/>
          <w:numId w:val="7"/>
        </w:numPr>
      </w:pPr>
      <w:r w:rsidRPr="003675E5">
        <w:t xml:space="preserve">The study recruited patients who found uncoated NaPb to be unacceptable. </w:t>
      </w:r>
      <w:r w:rsidR="00FE5ACC" w:rsidRPr="003675E5">
        <w:t xml:space="preserve">The </w:t>
      </w:r>
      <w:r w:rsidRPr="003675E5">
        <w:t xml:space="preserve">ESC advised that this may have been a refractory population, which would only represent a subset of the population requested for PBS-listing. </w:t>
      </w:r>
    </w:p>
    <w:p w:rsidR="00FD37A9" w:rsidRPr="003675E5" w:rsidRDefault="00FE5ACC" w:rsidP="001D70B4">
      <w:pPr>
        <w:pStyle w:val="ListParagraph"/>
        <w:numPr>
          <w:ilvl w:val="0"/>
          <w:numId w:val="7"/>
        </w:numPr>
      </w:pPr>
      <w:r w:rsidRPr="003675E5">
        <w:t xml:space="preserve">The </w:t>
      </w:r>
      <w:r w:rsidR="00EA74F1" w:rsidRPr="003675E5">
        <w:t xml:space="preserve">ESC </w:t>
      </w:r>
      <w:r w:rsidR="00266CE6" w:rsidRPr="003675E5">
        <w:t xml:space="preserve">considered </w:t>
      </w:r>
      <w:r w:rsidR="00EA74F1" w:rsidRPr="003675E5">
        <w:t>that the h</w:t>
      </w:r>
      <w:r w:rsidR="006D7761" w:rsidRPr="003675E5">
        <w:t xml:space="preserve">yperammonemic episodes were not </w:t>
      </w:r>
      <w:r w:rsidR="00536358" w:rsidRPr="003675E5">
        <w:t xml:space="preserve">adequately </w:t>
      </w:r>
      <w:r w:rsidR="006D7761" w:rsidRPr="003675E5">
        <w:t xml:space="preserve">defined </w:t>
      </w:r>
      <w:r w:rsidR="00EA74F1" w:rsidRPr="003675E5">
        <w:t xml:space="preserve">within the submission. </w:t>
      </w:r>
      <w:r w:rsidR="00FD37A9" w:rsidRPr="003675E5">
        <w:t xml:space="preserve">Kibleur 2014 did not provide a definition of hyperammonemic episodes, and there is potential for this to include symptoms that resolve without hospitalisation. None of the studies that reported hyperammonemic episodes stated a standardised protocol for collecting this data, leading to a risk of inaccurate data recording (e.g. a high risk of recall bias in retrospective studies such as the before arm of Kibleur 2014). </w:t>
      </w:r>
      <w:r w:rsidR="006D7761" w:rsidRPr="003675E5">
        <w:t xml:space="preserve">The European Guidelines </w:t>
      </w:r>
      <w:r w:rsidR="00265B97" w:rsidRPr="003675E5">
        <w:t>stat</w:t>
      </w:r>
      <w:r w:rsidR="006D7761" w:rsidRPr="003675E5">
        <w:t xml:space="preserve">e that symptoms can be subtle, particularly after the neonatal period (i.e. the population in Kibleur 2014), and symptomatic episodes can resolve with nonspecific interventions. </w:t>
      </w:r>
      <w:r w:rsidR="00494959" w:rsidRPr="003675E5">
        <w:t xml:space="preserve">It was not possible to determine what proportion of the episodes reported in Kibleur 2014 required hospitalisation. </w:t>
      </w:r>
    </w:p>
    <w:p w:rsidR="006D7761" w:rsidRPr="003675E5" w:rsidRDefault="00EA74F1" w:rsidP="001D70B4">
      <w:pPr>
        <w:pStyle w:val="ListParagraph"/>
        <w:numPr>
          <w:ilvl w:val="0"/>
          <w:numId w:val="7"/>
        </w:numPr>
      </w:pPr>
      <w:r w:rsidRPr="003675E5">
        <w:t>The PSCR</w:t>
      </w:r>
      <w:r w:rsidR="00EB59C4" w:rsidRPr="003675E5">
        <w:t xml:space="preserve"> (p4)</w:t>
      </w:r>
      <w:r w:rsidRPr="003675E5">
        <w:t xml:space="preserve"> stated that the lead author of the Kibleur 2014 study was contacted and it was confirmed that each of the episodes reported were decompensations requiring hospitalisation and would not be left ambulatory without a full </w:t>
      </w:r>
      <w:r w:rsidR="005D521A" w:rsidRPr="003675E5">
        <w:t>check-up</w:t>
      </w:r>
      <w:r w:rsidRPr="003675E5">
        <w:t xml:space="preserve">. </w:t>
      </w:r>
      <w:r w:rsidR="0091410D" w:rsidRPr="0091410D">
        <w:t>The Pre-PBAC response</w:t>
      </w:r>
      <w:r w:rsidR="0091410D">
        <w:t xml:space="preserve"> further sta</w:t>
      </w:r>
      <w:r w:rsidR="0091410D" w:rsidRPr="0091410D">
        <w:t>ted that</w:t>
      </w:r>
      <w:r w:rsidR="0091410D">
        <w:t xml:space="preserve">, as such, these events would have </w:t>
      </w:r>
      <w:r w:rsidR="0091410D" w:rsidRPr="0091410D">
        <w:t>been documented in the patient’s medical records</w:t>
      </w:r>
      <w:r w:rsidR="00D2149E">
        <w:t>, reducing the aforementioned risk of recall bias</w:t>
      </w:r>
      <w:r w:rsidR="0091410D" w:rsidRPr="0091410D">
        <w:t xml:space="preserve">. </w:t>
      </w:r>
      <w:r w:rsidR="001074B6" w:rsidRPr="003675E5">
        <w:t xml:space="preserve">The lead author in the Kibleur 2014 study is identified in the paper, as also being the medical director at the marketing company of Pheburane® in France. </w:t>
      </w:r>
      <w:r w:rsidRPr="003675E5">
        <w:t>The PSCR</w:t>
      </w:r>
      <w:r w:rsidR="00EB59C4" w:rsidRPr="003675E5">
        <w:t xml:space="preserve"> (p3)</w:t>
      </w:r>
      <w:r w:rsidRPr="003675E5">
        <w:t xml:space="preserve"> did acknowledge that a weakness of the study was the failure to report the outcomes of the HACs in terms of resources use. </w:t>
      </w:r>
    </w:p>
    <w:p w:rsidR="006D7761" w:rsidRPr="003675E5" w:rsidRDefault="006D7761" w:rsidP="00881F91">
      <w:pPr>
        <w:pStyle w:val="ListParagraph"/>
      </w:pPr>
      <w:r w:rsidRPr="003675E5">
        <w:t xml:space="preserve">Follow-up in the coated NaPb arm was shorter for </w:t>
      </w:r>
      <w:r w:rsidR="007306FE" w:rsidRPr="003675E5">
        <w:t xml:space="preserve">those </w:t>
      </w:r>
      <w:r w:rsidRPr="003675E5">
        <w:t xml:space="preserve">patients who had the most hyperammonemic episodes </w:t>
      </w:r>
      <w:r w:rsidR="0012117A" w:rsidRPr="003675E5">
        <w:t xml:space="preserve">when receiving </w:t>
      </w:r>
      <w:r w:rsidRPr="003675E5">
        <w:t>the uncoated NaPb</w:t>
      </w:r>
      <w:r w:rsidR="00B56191">
        <w:t xml:space="preserve"> (</w:t>
      </w:r>
      <w:r w:rsidR="00B56191" w:rsidRPr="003675E5">
        <w:t>50% of the patients followed-up for three months had the highest number of hyperammonemic events during the control period</w:t>
      </w:r>
      <w:r w:rsidR="00B56191">
        <w:t>)</w:t>
      </w:r>
      <w:r w:rsidRPr="003675E5">
        <w:t>. Thus, there was a risk of under-reporting outcomes with coated NaPb in patients with the most severe disease.</w:t>
      </w:r>
      <w:r w:rsidR="00FD37A9" w:rsidRPr="003675E5">
        <w:t xml:space="preserve"> </w:t>
      </w:r>
    </w:p>
    <w:p w:rsidR="006D7761" w:rsidRPr="003675E5" w:rsidRDefault="006D7761" w:rsidP="00881F91">
      <w:pPr>
        <w:pStyle w:val="ListParagraph"/>
      </w:pPr>
      <w:r w:rsidRPr="003675E5">
        <w:t>Changes in the ease of administration of NaPb from Kibleur 2014 are reported in the table below</w:t>
      </w:r>
      <w:r w:rsidR="00265B97" w:rsidRPr="003675E5">
        <w:t xml:space="preserve">, based on the </w:t>
      </w:r>
      <w:r w:rsidRPr="003675E5">
        <w:t>per</w:t>
      </w:r>
      <w:r w:rsidR="00265B97" w:rsidRPr="003675E5">
        <w:t>-protocol population</w:t>
      </w:r>
      <w:r w:rsidRPr="003675E5">
        <w:t xml:space="preserve">.  </w:t>
      </w:r>
    </w:p>
    <w:p w:rsidR="006D7761" w:rsidRPr="003675E5" w:rsidRDefault="006D7761" w:rsidP="006D7761">
      <w:pPr>
        <w:keepNext/>
        <w:widowControl w:val="0"/>
        <w:spacing w:before="0" w:after="60"/>
        <w:jc w:val="both"/>
        <w:rPr>
          <w:rFonts w:ascii="Arial Narrow" w:hAnsi="Arial Narrow"/>
          <w:b/>
          <w:sz w:val="20"/>
        </w:rPr>
      </w:pPr>
      <w:r w:rsidRPr="003675E5">
        <w:rPr>
          <w:rFonts w:ascii="Arial Narrow" w:hAnsi="Arial Narrow"/>
          <w:b/>
          <w:sz w:val="20"/>
        </w:rPr>
        <w:t xml:space="preserve">Table 5: Ease of administration of coated NaPb versus uncoated NaPb in Kibleur 2014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418"/>
        <w:gridCol w:w="1479"/>
      </w:tblGrid>
      <w:tr w:rsidR="006D7761" w:rsidRPr="003675E5" w:rsidTr="00D306CB">
        <w:trPr>
          <w:tblHeader/>
        </w:trPr>
        <w:tc>
          <w:tcPr>
            <w:tcW w:w="3433" w:type="pct"/>
          </w:tcPr>
          <w:p w:rsidR="006D7761" w:rsidRPr="003675E5" w:rsidRDefault="006D7761" w:rsidP="00D306CB">
            <w:pPr>
              <w:keepNext/>
              <w:spacing w:before="40" w:after="40"/>
              <w:jc w:val="both"/>
              <w:rPr>
                <w:rFonts w:ascii="Arial Narrow" w:hAnsi="Arial Narrow"/>
                <w:b/>
                <w:sz w:val="20"/>
              </w:rPr>
            </w:pPr>
            <w:r w:rsidRPr="003675E5">
              <w:rPr>
                <w:rFonts w:ascii="Arial Narrow" w:hAnsi="Arial Narrow"/>
                <w:b/>
                <w:sz w:val="20"/>
              </w:rPr>
              <w:t>Outcome</w:t>
            </w:r>
          </w:p>
        </w:tc>
        <w:tc>
          <w:tcPr>
            <w:tcW w:w="767" w:type="pct"/>
          </w:tcPr>
          <w:p w:rsidR="006D7761" w:rsidRPr="003675E5" w:rsidRDefault="006D7761" w:rsidP="00D306CB">
            <w:pPr>
              <w:keepNext/>
              <w:spacing w:before="40" w:after="40"/>
              <w:jc w:val="both"/>
              <w:rPr>
                <w:rFonts w:ascii="Arial Narrow" w:hAnsi="Arial Narrow"/>
                <w:b/>
                <w:sz w:val="20"/>
              </w:rPr>
            </w:pPr>
            <w:r w:rsidRPr="003675E5">
              <w:rPr>
                <w:rFonts w:ascii="Arial Narrow" w:hAnsi="Arial Narrow"/>
                <w:b/>
                <w:sz w:val="20"/>
              </w:rPr>
              <w:t>Coated NaPb</w:t>
            </w:r>
          </w:p>
          <w:p w:rsidR="006D7761" w:rsidRPr="003675E5" w:rsidRDefault="006D7761" w:rsidP="00D306CB">
            <w:pPr>
              <w:keepNext/>
              <w:spacing w:before="40" w:after="40"/>
              <w:jc w:val="both"/>
              <w:rPr>
                <w:rFonts w:ascii="Arial Narrow" w:hAnsi="Arial Narrow"/>
                <w:b/>
                <w:sz w:val="20"/>
                <w:vertAlign w:val="superscript"/>
              </w:rPr>
            </w:pPr>
            <w:r w:rsidRPr="003675E5">
              <w:rPr>
                <w:rFonts w:ascii="Arial Narrow" w:hAnsi="Arial Narrow"/>
                <w:b/>
                <w:sz w:val="20"/>
              </w:rPr>
              <w:t xml:space="preserve">N = 20 (PP) </w:t>
            </w:r>
          </w:p>
        </w:tc>
        <w:tc>
          <w:tcPr>
            <w:tcW w:w="800" w:type="pct"/>
          </w:tcPr>
          <w:p w:rsidR="006D7761" w:rsidRPr="003675E5" w:rsidRDefault="006D7761" w:rsidP="00D306CB">
            <w:pPr>
              <w:keepNext/>
              <w:spacing w:before="40" w:after="40"/>
              <w:jc w:val="both"/>
              <w:rPr>
                <w:rFonts w:ascii="Arial Narrow" w:hAnsi="Arial Narrow"/>
                <w:b/>
                <w:sz w:val="20"/>
              </w:rPr>
            </w:pPr>
            <w:r w:rsidRPr="003675E5">
              <w:rPr>
                <w:rFonts w:ascii="Arial Narrow" w:hAnsi="Arial Narrow"/>
                <w:b/>
                <w:sz w:val="20"/>
              </w:rPr>
              <w:t>Uncoated NaPb</w:t>
            </w:r>
          </w:p>
          <w:p w:rsidR="006D7761" w:rsidRPr="003675E5" w:rsidRDefault="006D7761" w:rsidP="00D306CB">
            <w:pPr>
              <w:keepNext/>
              <w:spacing w:before="40" w:after="40"/>
              <w:jc w:val="both"/>
              <w:rPr>
                <w:rFonts w:ascii="Arial Narrow" w:hAnsi="Arial Narrow"/>
                <w:b/>
                <w:sz w:val="20"/>
              </w:rPr>
            </w:pPr>
            <w:r w:rsidRPr="003675E5">
              <w:rPr>
                <w:rFonts w:ascii="Arial Narrow" w:hAnsi="Arial Narrow"/>
                <w:b/>
                <w:sz w:val="20"/>
              </w:rPr>
              <w:t>N = 20 (PP)</w:t>
            </w:r>
          </w:p>
        </w:tc>
      </w:tr>
      <w:tr w:rsidR="006D7761" w:rsidRPr="003675E5" w:rsidTr="00D306CB">
        <w:tc>
          <w:tcPr>
            <w:tcW w:w="3433" w:type="pct"/>
          </w:tcPr>
          <w:p w:rsidR="006D7761" w:rsidRPr="003675E5" w:rsidRDefault="006D7761" w:rsidP="00D306CB">
            <w:pPr>
              <w:keepNext/>
              <w:spacing w:before="40" w:after="40"/>
              <w:jc w:val="both"/>
              <w:rPr>
                <w:rFonts w:ascii="Arial Narrow" w:hAnsi="Arial Narrow"/>
                <w:sz w:val="20"/>
              </w:rPr>
            </w:pPr>
            <w:r w:rsidRPr="003675E5">
              <w:rPr>
                <w:rFonts w:ascii="Arial Narrow" w:hAnsi="Arial Narrow"/>
                <w:sz w:val="20"/>
              </w:rPr>
              <w:t>“Normal” oral administration for 6 months</w:t>
            </w:r>
            <w:r w:rsidR="006F7FD1" w:rsidRPr="003675E5">
              <w:rPr>
                <w:rFonts w:ascii="Arial Narrow" w:hAnsi="Arial Narrow"/>
                <w:sz w:val="20"/>
              </w:rPr>
              <w:t>:</w:t>
            </w:r>
          </w:p>
          <w:p w:rsidR="006D7761" w:rsidRPr="003675E5" w:rsidRDefault="006D7761" w:rsidP="001D70B4">
            <w:pPr>
              <w:keepNext/>
              <w:numPr>
                <w:ilvl w:val="0"/>
                <w:numId w:val="6"/>
              </w:numPr>
              <w:spacing w:before="40" w:after="40"/>
              <w:ind w:left="142" w:hanging="142"/>
              <w:jc w:val="both"/>
              <w:rPr>
                <w:rFonts w:ascii="Arial Narrow" w:hAnsi="Arial Narrow"/>
                <w:sz w:val="20"/>
              </w:rPr>
            </w:pPr>
            <w:r w:rsidRPr="003675E5">
              <w:rPr>
                <w:rFonts w:ascii="Arial Narrow" w:hAnsi="Arial Narrow"/>
                <w:sz w:val="20"/>
              </w:rPr>
              <w:t>difficulty with the granularity at 1</w:t>
            </w:r>
            <w:r w:rsidRPr="003675E5">
              <w:rPr>
                <w:rFonts w:ascii="Arial Narrow" w:hAnsi="Arial Narrow"/>
                <w:sz w:val="20"/>
                <w:vertAlign w:val="superscript"/>
              </w:rPr>
              <w:t>st</w:t>
            </w:r>
            <w:r w:rsidRPr="003675E5">
              <w:rPr>
                <w:rFonts w:ascii="Arial Narrow" w:hAnsi="Arial Narrow"/>
                <w:sz w:val="20"/>
              </w:rPr>
              <w:t xml:space="preserve"> dose but subsequently resumed with no issues;</w:t>
            </w:r>
          </w:p>
          <w:p w:rsidR="006D7761" w:rsidRPr="003675E5" w:rsidRDefault="006D7761" w:rsidP="001D70B4">
            <w:pPr>
              <w:keepNext/>
              <w:numPr>
                <w:ilvl w:val="0"/>
                <w:numId w:val="6"/>
              </w:numPr>
              <w:spacing w:before="40" w:after="40"/>
              <w:ind w:left="142" w:hanging="142"/>
              <w:jc w:val="both"/>
              <w:rPr>
                <w:rFonts w:ascii="Arial Narrow" w:hAnsi="Arial Narrow"/>
                <w:sz w:val="20"/>
              </w:rPr>
            </w:pPr>
            <w:r w:rsidRPr="003675E5">
              <w:rPr>
                <w:rFonts w:ascii="Arial Narrow" w:hAnsi="Arial Narrow"/>
                <w:sz w:val="20"/>
              </w:rPr>
              <w:t>after 6 months, discontinued due to the granularity of coated NaPb</w:t>
            </w:r>
            <w:r w:rsidR="006F7FD1" w:rsidRPr="003675E5">
              <w:rPr>
                <w:rFonts w:ascii="Arial Narrow" w:hAnsi="Arial Narrow"/>
                <w:sz w:val="20"/>
              </w:rPr>
              <w:t>.</w:t>
            </w:r>
          </w:p>
        </w:tc>
        <w:tc>
          <w:tcPr>
            <w:tcW w:w="767" w:type="pct"/>
          </w:tcPr>
          <w:p w:rsidR="006D7761" w:rsidRPr="003675E5" w:rsidRDefault="006D7761" w:rsidP="00D306CB">
            <w:pPr>
              <w:keepNext/>
              <w:spacing w:before="40" w:after="40"/>
              <w:jc w:val="both"/>
              <w:rPr>
                <w:rFonts w:ascii="Arial Narrow" w:hAnsi="Arial Narrow"/>
                <w:sz w:val="20"/>
              </w:rPr>
            </w:pPr>
            <w:r w:rsidRPr="003675E5">
              <w:rPr>
                <w:rFonts w:ascii="Arial Narrow" w:hAnsi="Arial Narrow"/>
                <w:sz w:val="20"/>
              </w:rPr>
              <w:t>20 (100%)</w:t>
            </w:r>
          </w:p>
          <w:p w:rsidR="006D7761" w:rsidRPr="003675E5" w:rsidRDefault="006D7761" w:rsidP="00D306CB">
            <w:pPr>
              <w:keepNext/>
              <w:spacing w:before="40" w:after="40"/>
              <w:jc w:val="both"/>
              <w:rPr>
                <w:rFonts w:ascii="Arial Narrow" w:hAnsi="Arial Narrow"/>
                <w:sz w:val="20"/>
              </w:rPr>
            </w:pPr>
            <w:r w:rsidRPr="003675E5">
              <w:rPr>
                <w:rFonts w:ascii="Arial Narrow" w:hAnsi="Arial Narrow"/>
                <w:sz w:val="20"/>
              </w:rPr>
              <w:t>1 (5%)</w:t>
            </w:r>
          </w:p>
          <w:p w:rsidR="006D7761" w:rsidRPr="003675E5" w:rsidRDefault="006D7761" w:rsidP="00D306CB">
            <w:pPr>
              <w:keepNext/>
              <w:spacing w:before="40" w:after="40"/>
              <w:jc w:val="both"/>
              <w:rPr>
                <w:rFonts w:ascii="Arial Narrow" w:hAnsi="Arial Narrow"/>
                <w:sz w:val="20"/>
              </w:rPr>
            </w:pPr>
            <w:r w:rsidRPr="003675E5">
              <w:rPr>
                <w:rFonts w:ascii="Arial Narrow" w:hAnsi="Arial Narrow"/>
                <w:sz w:val="20"/>
              </w:rPr>
              <w:t>1 (5%)</w:t>
            </w:r>
          </w:p>
        </w:tc>
        <w:tc>
          <w:tcPr>
            <w:tcW w:w="800" w:type="pct"/>
          </w:tcPr>
          <w:p w:rsidR="006D7761" w:rsidRPr="003675E5" w:rsidRDefault="006D7761" w:rsidP="00D306CB">
            <w:pPr>
              <w:keepNext/>
              <w:spacing w:before="40" w:after="40"/>
              <w:jc w:val="both"/>
              <w:rPr>
                <w:rFonts w:ascii="Arial Narrow" w:hAnsi="Arial Narrow"/>
                <w:sz w:val="20"/>
              </w:rPr>
            </w:pPr>
          </w:p>
        </w:tc>
      </w:tr>
      <w:tr w:rsidR="006D7761" w:rsidRPr="003675E5" w:rsidTr="00D306CB">
        <w:tc>
          <w:tcPr>
            <w:tcW w:w="3433" w:type="pct"/>
          </w:tcPr>
          <w:p w:rsidR="006D7761" w:rsidRPr="003675E5" w:rsidRDefault="006D7761" w:rsidP="00D306CB">
            <w:pPr>
              <w:keepNext/>
              <w:spacing w:before="40" w:after="40"/>
              <w:jc w:val="both"/>
              <w:rPr>
                <w:rFonts w:ascii="Arial Narrow" w:hAnsi="Arial Narrow"/>
                <w:sz w:val="20"/>
              </w:rPr>
            </w:pPr>
            <w:r w:rsidRPr="003675E5">
              <w:rPr>
                <w:rFonts w:ascii="Arial Narrow" w:hAnsi="Arial Narrow"/>
                <w:sz w:val="20"/>
              </w:rPr>
              <w:t>Impossible to take NaPb orally (unclear whether any scavengers were given)</w:t>
            </w:r>
          </w:p>
        </w:tc>
        <w:tc>
          <w:tcPr>
            <w:tcW w:w="767" w:type="pct"/>
          </w:tcPr>
          <w:p w:rsidR="006D7761" w:rsidRPr="003675E5" w:rsidRDefault="006D7761" w:rsidP="00D306CB">
            <w:pPr>
              <w:keepNext/>
              <w:spacing w:before="40" w:after="40"/>
              <w:jc w:val="both"/>
              <w:rPr>
                <w:rFonts w:ascii="Arial Narrow" w:hAnsi="Arial Narrow"/>
                <w:sz w:val="20"/>
              </w:rPr>
            </w:pPr>
          </w:p>
        </w:tc>
        <w:tc>
          <w:tcPr>
            <w:tcW w:w="800" w:type="pct"/>
          </w:tcPr>
          <w:p w:rsidR="006D7761" w:rsidRPr="003675E5" w:rsidRDefault="006D7761" w:rsidP="00D306CB">
            <w:pPr>
              <w:keepNext/>
              <w:spacing w:before="40" w:after="40"/>
              <w:jc w:val="both"/>
              <w:rPr>
                <w:rFonts w:ascii="Arial Narrow" w:hAnsi="Arial Narrow"/>
                <w:sz w:val="20"/>
              </w:rPr>
            </w:pPr>
            <w:r w:rsidRPr="003675E5">
              <w:rPr>
                <w:rFonts w:ascii="Arial Narrow" w:hAnsi="Arial Narrow"/>
                <w:sz w:val="20"/>
              </w:rPr>
              <w:t>1 (5%)</w:t>
            </w:r>
          </w:p>
        </w:tc>
      </w:tr>
      <w:tr w:rsidR="006D7761" w:rsidRPr="003675E5" w:rsidTr="00D306CB">
        <w:tc>
          <w:tcPr>
            <w:tcW w:w="3433" w:type="pct"/>
          </w:tcPr>
          <w:p w:rsidR="006D7761" w:rsidRPr="003675E5" w:rsidRDefault="006D7761" w:rsidP="00D306CB">
            <w:pPr>
              <w:keepNext/>
              <w:spacing w:before="40" w:after="40"/>
              <w:jc w:val="both"/>
              <w:rPr>
                <w:rFonts w:ascii="Arial Narrow" w:hAnsi="Arial Narrow"/>
                <w:sz w:val="20"/>
              </w:rPr>
            </w:pPr>
            <w:r w:rsidRPr="003675E5">
              <w:rPr>
                <w:rFonts w:ascii="Arial Narrow" w:hAnsi="Arial Narrow"/>
                <w:sz w:val="20"/>
              </w:rPr>
              <w:t>Administered via naso-gastric tube</w:t>
            </w:r>
          </w:p>
        </w:tc>
        <w:tc>
          <w:tcPr>
            <w:tcW w:w="767" w:type="pct"/>
          </w:tcPr>
          <w:p w:rsidR="006D7761" w:rsidRPr="003675E5" w:rsidRDefault="006D7761" w:rsidP="00D306CB">
            <w:pPr>
              <w:keepNext/>
              <w:spacing w:before="40" w:after="40"/>
              <w:jc w:val="both"/>
              <w:rPr>
                <w:rFonts w:ascii="Arial Narrow" w:hAnsi="Arial Narrow"/>
                <w:sz w:val="20"/>
              </w:rPr>
            </w:pPr>
          </w:p>
        </w:tc>
        <w:tc>
          <w:tcPr>
            <w:tcW w:w="800" w:type="pct"/>
          </w:tcPr>
          <w:p w:rsidR="006D7761" w:rsidRPr="003675E5" w:rsidRDefault="006D7761" w:rsidP="00D306CB">
            <w:pPr>
              <w:keepNext/>
              <w:spacing w:before="40" w:after="40"/>
              <w:jc w:val="both"/>
              <w:rPr>
                <w:rFonts w:ascii="Arial Narrow" w:hAnsi="Arial Narrow"/>
                <w:sz w:val="20"/>
              </w:rPr>
            </w:pPr>
            <w:r w:rsidRPr="003675E5">
              <w:rPr>
                <w:rFonts w:ascii="Arial Narrow" w:hAnsi="Arial Narrow"/>
                <w:sz w:val="20"/>
              </w:rPr>
              <w:t>4 (20%)</w:t>
            </w:r>
          </w:p>
        </w:tc>
      </w:tr>
      <w:tr w:rsidR="006D7761" w:rsidRPr="003675E5" w:rsidTr="00D306CB">
        <w:tc>
          <w:tcPr>
            <w:tcW w:w="3433" w:type="pct"/>
          </w:tcPr>
          <w:p w:rsidR="006D7761" w:rsidRPr="003675E5" w:rsidRDefault="006D7761" w:rsidP="00D306CB">
            <w:pPr>
              <w:keepNext/>
              <w:spacing w:before="40" w:after="40"/>
              <w:jc w:val="both"/>
              <w:rPr>
                <w:rFonts w:ascii="Arial Narrow" w:hAnsi="Arial Narrow"/>
                <w:sz w:val="20"/>
              </w:rPr>
            </w:pPr>
            <w:r w:rsidRPr="003675E5">
              <w:rPr>
                <w:rFonts w:ascii="Arial Narrow" w:hAnsi="Arial Narrow"/>
                <w:sz w:val="20"/>
              </w:rPr>
              <w:t>Administered via gastrostomy</w:t>
            </w:r>
          </w:p>
        </w:tc>
        <w:tc>
          <w:tcPr>
            <w:tcW w:w="767" w:type="pct"/>
          </w:tcPr>
          <w:p w:rsidR="006D7761" w:rsidRPr="003675E5" w:rsidRDefault="006D7761" w:rsidP="00D306CB">
            <w:pPr>
              <w:keepNext/>
              <w:spacing w:before="40" w:after="40"/>
              <w:jc w:val="both"/>
              <w:rPr>
                <w:rFonts w:ascii="Arial Narrow" w:hAnsi="Arial Narrow"/>
                <w:sz w:val="20"/>
              </w:rPr>
            </w:pPr>
          </w:p>
        </w:tc>
        <w:tc>
          <w:tcPr>
            <w:tcW w:w="800" w:type="pct"/>
          </w:tcPr>
          <w:p w:rsidR="006D7761" w:rsidRPr="003675E5" w:rsidRDefault="006D7761" w:rsidP="00D306CB">
            <w:pPr>
              <w:keepNext/>
              <w:spacing w:before="40" w:after="40"/>
              <w:jc w:val="both"/>
              <w:rPr>
                <w:rFonts w:ascii="Arial Narrow" w:hAnsi="Arial Narrow"/>
                <w:sz w:val="20"/>
              </w:rPr>
            </w:pPr>
            <w:r w:rsidRPr="003675E5">
              <w:rPr>
                <w:rFonts w:ascii="Arial Narrow" w:hAnsi="Arial Narrow"/>
                <w:sz w:val="20"/>
              </w:rPr>
              <w:t xml:space="preserve">1 (5%) </w:t>
            </w:r>
          </w:p>
        </w:tc>
      </w:tr>
      <w:tr w:rsidR="006D7761" w:rsidRPr="003675E5" w:rsidTr="00D306CB">
        <w:tc>
          <w:tcPr>
            <w:tcW w:w="3433" w:type="pct"/>
          </w:tcPr>
          <w:p w:rsidR="006D7761" w:rsidRPr="003675E5" w:rsidRDefault="006D7761" w:rsidP="00D306CB">
            <w:pPr>
              <w:keepNext/>
              <w:spacing w:before="40" w:after="40"/>
              <w:jc w:val="both"/>
              <w:rPr>
                <w:rFonts w:ascii="Arial Narrow" w:hAnsi="Arial Narrow"/>
                <w:sz w:val="20"/>
              </w:rPr>
            </w:pPr>
            <w:r w:rsidRPr="003675E5">
              <w:rPr>
                <w:rFonts w:ascii="Arial Narrow" w:hAnsi="Arial Narrow"/>
                <w:sz w:val="20"/>
              </w:rPr>
              <w:t>Dose too low to compound easily (unclear what was taken)</w:t>
            </w:r>
          </w:p>
        </w:tc>
        <w:tc>
          <w:tcPr>
            <w:tcW w:w="767" w:type="pct"/>
          </w:tcPr>
          <w:p w:rsidR="006D7761" w:rsidRPr="003675E5" w:rsidRDefault="006D7761" w:rsidP="00D306CB">
            <w:pPr>
              <w:keepNext/>
              <w:spacing w:before="40" w:after="40"/>
              <w:jc w:val="both"/>
              <w:rPr>
                <w:rFonts w:ascii="Arial Narrow" w:hAnsi="Arial Narrow"/>
                <w:sz w:val="20"/>
              </w:rPr>
            </w:pPr>
          </w:p>
        </w:tc>
        <w:tc>
          <w:tcPr>
            <w:tcW w:w="800" w:type="pct"/>
          </w:tcPr>
          <w:p w:rsidR="006D7761" w:rsidRPr="003675E5" w:rsidRDefault="006D7761" w:rsidP="00D306CB">
            <w:pPr>
              <w:keepNext/>
              <w:spacing w:before="40" w:after="40"/>
              <w:jc w:val="both"/>
              <w:rPr>
                <w:rFonts w:ascii="Arial Narrow" w:hAnsi="Arial Narrow"/>
                <w:sz w:val="20"/>
              </w:rPr>
            </w:pPr>
            <w:r w:rsidRPr="003675E5">
              <w:rPr>
                <w:rFonts w:ascii="Arial Narrow" w:hAnsi="Arial Narrow"/>
                <w:sz w:val="20"/>
              </w:rPr>
              <w:t>1 (5%)</w:t>
            </w:r>
          </w:p>
        </w:tc>
      </w:tr>
      <w:tr w:rsidR="006D7761" w:rsidRPr="003675E5" w:rsidTr="00D306CB">
        <w:tc>
          <w:tcPr>
            <w:tcW w:w="3433" w:type="pct"/>
          </w:tcPr>
          <w:p w:rsidR="006D7761" w:rsidRPr="003675E5" w:rsidRDefault="006D7761" w:rsidP="00D306CB">
            <w:pPr>
              <w:keepNext/>
              <w:spacing w:before="40" w:after="40"/>
              <w:jc w:val="both"/>
              <w:rPr>
                <w:rFonts w:ascii="Arial Narrow" w:hAnsi="Arial Narrow"/>
                <w:sz w:val="20"/>
              </w:rPr>
            </w:pPr>
            <w:r w:rsidRPr="003675E5">
              <w:rPr>
                <w:rFonts w:ascii="Arial Narrow" w:hAnsi="Arial Narrow"/>
                <w:sz w:val="20"/>
              </w:rPr>
              <w:t>Required re-formulation (e.g. into capsules)</w:t>
            </w:r>
          </w:p>
        </w:tc>
        <w:tc>
          <w:tcPr>
            <w:tcW w:w="767" w:type="pct"/>
          </w:tcPr>
          <w:p w:rsidR="006D7761" w:rsidRPr="003675E5" w:rsidRDefault="006D7761" w:rsidP="00D306CB">
            <w:pPr>
              <w:keepNext/>
              <w:spacing w:before="40" w:after="40"/>
              <w:jc w:val="both"/>
              <w:rPr>
                <w:rFonts w:ascii="Arial Narrow" w:hAnsi="Arial Narrow"/>
                <w:sz w:val="20"/>
              </w:rPr>
            </w:pPr>
          </w:p>
        </w:tc>
        <w:tc>
          <w:tcPr>
            <w:tcW w:w="800" w:type="pct"/>
          </w:tcPr>
          <w:p w:rsidR="006D7761" w:rsidRPr="003675E5" w:rsidRDefault="006D7761" w:rsidP="00D306CB">
            <w:pPr>
              <w:keepNext/>
              <w:spacing w:before="40" w:after="40"/>
              <w:jc w:val="both"/>
              <w:rPr>
                <w:rFonts w:ascii="Arial Narrow" w:hAnsi="Arial Narrow"/>
                <w:sz w:val="20"/>
              </w:rPr>
            </w:pPr>
            <w:r w:rsidRPr="003675E5">
              <w:rPr>
                <w:rFonts w:ascii="Arial Narrow" w:hAnsi="Arial Narrow"/>
                <w:sz w:val="20"/>
              </w:rPr>
              <w:t>1 (5%)</w:t>
            </w:r>
          </w:p>
        </w:tc>
      </w:tr>
      <w:tr w:rsidR="006D7761" w:rsidRPr="003675E5" w:rsidTr="00D306CB">
        <w:tc>
          <w:tcPr>
            <w:tcW w:w="3433" w:type="pct"/>
          </w:tcPr>
          <w:p w:rsidR="006D7761" w:rsidRPr="003675E5" w:rsidRDefault="006D7761" w:rsidP="00D306CB">
            <w:pPr>
              <w:keepNext/>
              <w:spacing w:before="40" w:after="40"/>
              <w:jc w:val="both"/>
              <w:rPr>
                <w:rFonts w:ascii="Arial Narrow" w:hAnsi="Arial Narrow"/>
                <w:sz w:val="20"/>
                <w:vertAlign w:val="superscript"/>
              </w:rPr>
            </w:pPr>
            <w:r w:rsidRPr="003675E5">
              <w:rPr>
                <w:rFonts w:ascii="Arial Narrow" w:hAnsi="Arial Narrow"/>
                <w:sz w:val="20"/>
              </w:rPr>
              <w:t xml:space="preserve">Impossible or difficult to take NaPb so were treated with NaBz </w:t>
            </w:r>
          </w:p>
        </w:tc>
        <w:tc>
          <w:tcPr>
            <w:tcW w:w="767" w:type="pct"/>
          </w:tcPr>
          <w:p w:rsidR="006D7761" w:rsidRPr="003675E5" w:rsidRDefault="006D7761" w:rsidP="00D306CB">
            <w:pPr>
              <w:keepNext/>
              <w:spacing w:before="40" w:after="40"/>
              <w:jc w:val="both"/>
              <w:rPr>
                <w:rFonts w:ascii="Arial Narrow" w:hAnsi="Arial Narrow"/>
                <w:sz w:val="20"/>
              </w:rPr>
            </w:pPr>
          </w:p>
        </w:tc>
        <w:tc>
          <w:tcPr>
            <w:tcW w:w="800" w:type="pct"/>
          </w:tcPr>
          <w:p w:rsidR="006D7761" w:rsidRPr="003675E5" w:rsidRDefault="006D7761" w:rsidP="00D306CB">
            <w:pPr>
              <w:keepNext/>
              <w:spacing w:before="40" w:after="40"/>
              <w:jc w:val="both"/>
              <w:rPr>
                <w:rFonts w:ascii="Arial Narrow" w:hAnsi="Arial Narrow"/>
                <w:sz w:val="20"/>
              </w:rPr>
            </w:pPr>
            <w:r w:rsidRPr="003675E5">
              <w:rPr>
                <w:rFonts w:ascii="Arial Narrow" w:hAnsi="Arial Narrow"/>
                <w:sz w:val="20"/>
              </w:rPr>
              <w:t>4 (20%)</w:t>
            </w:r>
          </w:p>
        </w:tc>
      </w:tr>
      <w:tr w:rsidR="006D7761" w:rsidRPr="003675E5" w:rsidTr="00D306CB">
        <w:tc>
          <w:tcPr>
            <w:tcW w:w="3433" w:type="pct"/>
          </w:tcPr>
          <w:p w:rsidR="006D7761" w:rsidRPr="003675E5" w:rsidRDefault="006D7761" w:rsidP="00D306CB">
            <w:pPr>
              <w:keepNext/>
              <w:spacing w:before="40" w:after="40"/>
              <w:jc w:val="both"/>
              <w:rPr>
                <w:rFonts w:ascii="Arial Narrow" w:hAnsi="Arial Narrow"/>
                <w:sz w:val="20"/>
              </w:rPr>
            </w:pPr>
            <w:r w:rsidRPr="003675E5">
              <w:rPr>
                <w:rFonts w:ascii="Arial Narrow" w:hAnsi="Arial Narrow"/>
                <w:sz w:val="20"/>
              </w:rPr>
              <w:t>Difficult to take NaPb orally (assumed NaPb still taken)</w:t>
            </w:r>
          </w:p>
        </w:tc>
        <w:tc>
          <w:tcPr>
            <w:tcW w:w="767" w:type="pct"/>
          </w:tcPr>
          <w:p w:rsidR="006D7761" w:rsidRPr="003675E5" w:rsidRDefault="006D7761" w:rsidP="00D306CB">
            <w:pPr>
              <w:keepNext/>
              <w:spacing w:before="40" w:after="40"/>
              <w:jc w:val="both"/>
              <w:rPr>
                <w:rFonts w:ascii="Arial Narrow" w:hAnsi="Arial Narrow"/>
                <w:sz w:val="20"/>
              </w:rPr>
            </w:pPr>
          </w:p>
        </w:tc>
        <w:tc>
          <w:tcPr>
            <w:tcW w:w="800" w:type="pct"/>
          </w:tcPr>
          <w:p w:rsidR="006D7761" w:rsidRPr="003675E5" w:rsidRDefault="006D7761" w:rsidP="00D306CB">
            <w:pPr>
              <w:keepNext/>
              <w:spacing w:before="40" w:after="40"/>
              <w:jc w:val="both"/>
              <w:rPr>
                <w:rFonts w:ascii="Arial Narrow" w:hAnsi="Arial Narrow"/>
                <w:sz w:val="20"/>
              </w:rPr>
            </w:pPr>
            <w:r w:rsidRPr="003675E5">
              <w:rPr>
                <w:rFonts w:ascii="Arial Narrow" w:hAnsi="Arial Narrow"/>
                <w:sz w:val="20"/>
              </w:rPr>
              <w:t xml:space="preserve">7 (35%) </w:t>
            </w:r>
          </w:p>
        </w:tc>
      </w:tr>
      <w:tr w:rsidR="006D7761" w:rsidRPr="003675E5" w:rsidTr="00D306CB">
        <w:tc>
          <w:tcPr>
            <w:tcW w:w="3433" w:type="pct"/>
          </w:tcPr>
          <w:p w:rsidR="006D7761" w:rsidRPr="003675E5" w:rsidRDefault="006D7761" w:rsidP="00D306CB">
            <w:pPr>
              <w:keepNext/>
              <w:spacing w:before="40" w:after="40"/>
              <w:jc w:val="both"/>
              <w:rPr>
                <w:rFonts w:ascii="Arial Narrow" w:hAnsi="Arial Narrow"/>
                <w:sz w:val="20"/>
              </w:rPr>
            </w:pPr>
            <w:r w:rsidRPr="003675E5">
              <w:rPr>
                <w:rFonts w:ascii="Arial Narrow" w:hAnsi="Arial Narrow"/>
                <w:sz w:val="20"/>
              </w:rPr>
              <w:t xml:space="preserve">Not treated before </w:t>
            </w:r>
          </w:p>
        </w:tc>
        <w:tc>
          <w:tcPr>
            <w:tcW w:w="767" w:type="pct"/>
          </w:tcPr>
          <w:p w:rsidR="006D7761" w:rsidRPr="003675E5" w:rsidRDefault="006D7761" w:rsidP="00D306CB">
            <w:pPr>
              <w:keepNext/>
              <w:spacing w:before="40" w:after="40"/>
              <w:jc w:val="both"/>
              <w:rPr>
                <w:rFonts w:ascii="Arial Narrow" w:hAnsi="Arial Narrow"/>
                <w:sz w:val="20"/>
              </w:rPr>
            </w:pPr>
          </w:p>
        </w:tc>
        <w:tc>
          <w:tcPr>
            <w:tcW w:w="800" w:type="pct"/>
          </w:tcPr>
          <w:p w:rsidR="006D7761" w:rsidRPr="003675E5" w:rsidRDefault="006D7761" w:rsidP="00D306CB">
            <w:pPr>
              <w:keepNext/>
              <w:spacing w:before="40" w:after="40"/>
              <w:jc w:val="both"/>
              <w:rPr>
                <w:rFonts w:ascii="Arial Narrow" w:hAnsi="Arial Narrow"/>
                <w:sz w:val="20"/>
              </w:rPr>
            </w:pPr>
            <w:r w:rsidRPr="003675E5">
              <w:rPr>
                <w:rFonts w:ascii="Arial Narrow" w:hAnsi="Arial Narrow"/>
                <w:sz w:val="20"/>
              </w:rPr>
              <w:t>1 (5%)</w:t>
            </w:r>
          </w:p>
        </w:tc>
      </w:tr>
    </w:tbl>
    <w:p w:rsidR="006D7761" w:rsidRPr="003675E5" w:rsidRDefault="006D7761" w:rsidP="006D7761">
      <w:pPr>
        <w:spacing w:before="0" w:after="0"/>
        <w:jc w:val="both"/>
        <w:rPr>
          <w:rFonts w:ascii="Arial Narrow" w:hAnsi="Arial Narrow"/>
          <w:snapToGrid w:val="0"/>
          <w:sz w:val="18"/>
          <w:szCs w:val="20"/>
        </w:rPr>
      </w:pPr>
      <w:r w:rsidRPr="003675E5">
        <w:rPr>
          <w:rFonts w:ascii="Arial Narrow" w:hAnsi="Arial Narrow"/>
          <w:snapToGrid w:val="0"/>
          <w:sz w:val="18"/>
          <w:szCs w:val="20"/>
        </w:rPr>
        <w:t xml:space="preserve">Source: Compiled during evaluation based on text p2-58 of the submission; Table 2-33 p2-97 of the submission; Table 2, p412 of Kibleur 2014 </w:t>
      </w:r>
    </w:p>
    <w:p w:rsidR="006D7761" w:rsidRPr="003675E5" w:rsidRDefault="006D7761" w:rsidP="00955C7D">
      <w:pPr>
        <w:spacing w:before="0" w:after="120"/>
        <w:jc w:val="both"/>
        <w:rPr>
          <w:rFonts w:ascii="Arial Narrow" w:hAnsi="Arial Narrow"/>
          <w:snapToGrid w:val="0"/>
          <w:sz w:val="18"/>
          <w:szCs w:val="20"/>
        </w:rPr>
      </w:pPr>
      <w:r w:rsidRPr="003675E5">
        <w:rPr>
          <w:rFonts w:ascii="Arial Narrow" w:hAnsi="Arial Narrow"/>
          <w:snapToGrid w:val="0"/>
          <w:sz w:val="18"/>
          <w:szCs w:val="20"/>
        </w:rPr>
        <w:t>NaBz = sodium benzoate; NaPb = sodium phenylbutyrate; PP = per protocol</w:t>
      </w:r>
    </w:p>
    <w:p w:rsidR="006D7761" w:rsidRPr="003675E5" w:rsidRDefault="006D7761" w:rsidP="00881F91">
      <w:pPr>
        <w:pStyle w:val="ListParagraph"/>
      </w:pPr>
      <w:r w:rsidRPr="003675E5">
        <w:t xml:space="preserve">The change in formulation allowed all 20 of the patients </w:t>
      </w:r>
      <w:r w:rsidR="006F55B0" w:rsidRPr="003675E5">
        <w:t xml:space="preserve">in the “after” arm </w:t>
      </w:r>
      <w:r w:rsidRPr="003675E5">
        <w:t xml:space="preserve">to receive NaPb orally, whereas </w:t>
      </w:r>
      <w:r w:rsidR="006F55B0" w:rsidRPr="003675E5">
        <w:t>previously</w:t>
      </w:r>
      <w:r w:rsidRPr="003675E5">
        <w:t xml:space="preserve">: five patients (25%) were administered NaPb via a naso-gastric tube or gastrostomy; one (5%) required reformulation of NaPb; and four (20%) found it impossible or difficult to take NaPb and were given NaBz instead. </w:t>
      </w:r>
    </w:p>
    <w:p w:rsidR="006D7761" w:rsidRDefault="006D7761" w:rsidP="00881F91">
      <w:pPr>
        <w:pStyle w:val="ListParagraph"/>
      </w:pPr>
      <w:r w:rsidRPr="003675E5">
        <w:t>Th</w:t>
      </w:r>
      <w:r w:rsidR="002F0988" w:rsidRPr="003675E5">
        <w:t>ese results would not be representative of UCD patients more generally as this was based on a</w:t>
      </w:r>
      <w:r w:rsidRPr="003675E5">
        <w:t xml:space="preserve"> group of patients who found the uncoated form unacceptable, and </w:t>
      </w:r>
      <w:r w:rsidR="003979AE" w:rsidRPr="003675E5">
        <w:t xml:space="preserve">for </w:t>
      </w:r>
      <w:r w:rsidRPr="003675E5">
        <w:t>who</w:t>
      </w:r>
      <w:r w:rsidR="003979AE" w:rsidRPr="003675E5">
        <w:t xml:space="preserve">m a granule formulation </w:t>
      </w:r>
      <w:r w:rsidRPr="003675E5">
        <w:t>w</w:t>
      </w:r>
      <w:r w:rsidR="003979AE" w:rsidRPr="003675E5">
        <w:t>as</w:t>
      </w:r>
      <w:r w:rsidRPr="003675E5">
        <w:t xml:space="preserve"> suitable. The submission did not discuss the likely proportion of Australian patients with UCDs who cannot tolerate the uncoated form</w:t>
      </w:r>
      <w:r w:rsidR="005E1518" w:rsidRPr="003675E5">
        <w:t>, and whether NaBz would be a suitable alternative in these patients.</w:t>
      </w:r>
      <w:r w:rsidRPr="003675E5">
        <w:t xml:space="preserve"> </w:t>
      </w:r>
    </w:p>
    <w:p w:rsidR="00D2024C" w:rsidRPr="003675E5" w:rsidRDefault="00D2024C" w:rsidP="00881F91">
      <w:pPr>
        <w:pStyle w:val="ListParagraph"/>
      </w:pPr>
      <w:r>
        <w:t xml:space="preserve">Overall, the </w:t>
      </w:r>
      <w:r w:rsidRPr="00D2024C">
        <w:t xml:space="preserve">ESC considered </w:t>
      </w:r>
      <w:r>
        <w:t xml:space="preserve">that </w:t>
      </w:r>
      <w:r w:rsidRPr="00D2024C">
        <w:t xml:space="preserve">Kibleur 2014 supported the improved palatability of coated NaPb compared </w:t>
      </w:r>
      <w:r w:rsidR="00D2149E">
        <w:t>with</w:t>
      </w:r>
      <w:r w:rsidRPr="00D2024C">
        <w:t xml:space="preserve"> uncoated NaPb</w:t>
      </w:r>
      <w:r w:rsidR="00D2149E">
        <w:t>,</w:t>
      </w:r>
      <w:r w:rsidRPr="00D2024C">
        <w:t xml:space="preserve"> however there was insufficient evidence to support an efficacy claim. The ESC also noted that palatability could potentially be achieved, as an alternative, by compound pharmacy using capsules or syrup.</w:t>
      </w:r>
    </w:p>
    <w:p w:rsidR="006D7761" w:rsidRPr="003675E5" w:rsidRDefault="006D7761" w:rsidP="006D7761">
      <w:pPr>
        <w:jc w:val="both"/>
        <w:rPr>
          <w:u w:val="single"/>
        </w:rPr>
      </w:pPr>
      <w:r w:rsidRPr="003675E5">
        <w:rPr>
          <w:u w:val="single"/>
        </w:rPr>
        <w:t xml:space="preserve">Uncoated NaPb (± NaBz) versus NaBz </w:t>
      </w:r>
      <w:r w:rsidR="00796EE6" w:rsidRPr="003675E5">
        <w:rPr>
          <w:u w:val="single"/>
        </w:rPr>
        <w:t xml:space="preserve">monotherapy </w:t>
      </w:r>
      <w:r w:rsidRPr="003675E5">
        <w:rPr>
          <w:u w:val="single"/>
        </w:rPr>
        <w:t xml:space="preserve">(Maestri) </w:t>
      </w:r>
    </w:p>
    <w:p w:rsidR="006D7761" w:rsidRPr="003675E5" w:rsidRDefault="006D7761" w:rsidP="00881F91">
      <w:pPr>
        <w:pStyle w:val="ListParagraph"/>
      </w:pPr>
      <w:r w:rsidRPr="003675E5">
        <w:t xml:space="preserve">The key data for other ammonia scavengers were Maestri </w:t>
      </w:r>
      <w:r w:rsidR="003446CE" w:rsidRPr="003675E5">
        <w:t>(</w:t>
      </w:r>
      <w:r w:rsidRPr="003675E5">
        <w:t>1995 and 1996</w:t>
      </w:r>
      <w:r w:rsidR="003446CE" w:rsidRPr="003675E5">
        <w:t>)</w:t>
      </w:r>
      <w:r w:rsidRPr="003675E5">
        <w:t xml:space="preserve">. These were studies of patients with specific sub-types of UCD who were treated with emerging protocols as new ammonia scavengers became available in the US and Canada over 15 years (1981 to 1996). The data </w:t>
      </w:r>
      <w:r w:rsidR="003446CE" w:rsidRPr="003675E5">
        <w:t>are</w:t>
      </w:r>
      <w:r w:rsidRPr="003675E5">
        <w:t xml:space="preserve"> somewhat akin to an interrupted time series study: prior to 1985 these patients received NaBz monotherapy; between 1984 and 1987 patients received uncoated NaPb + NaBz</w:t>
      </w:r>
      <w:r w:rsidR="003E60B0" w:rsidRPr="003675E5">
        <w:t xml:space="preserve">; </w:t>
      </w:r>
      <w:r w:rsidRPr="003675E5">
        <w:t xml:space="preserve">and beginning in 1987, patients received uncoated NaPb monotherapy in higher doses. </w:t>
      </w:r>
    </w:p>
    <w:p w:rsidR="006D7761" w:rsidRPr="003675E5" w:rsidRDefault="006D7761" w:rsidP="00881F91">
      <w:pPr>
        <w:pStyle w:val="ListParagraph"/>
      </w:pPr>
      <w:r w:rsidRPr="003675E5">
        <w:t>Table 6 outlines the frequency of hyperammonemic episodes from Maestri (1995 and 1996) as treatment protocols changed over time.</w:t>
      </w:r>
      <w:r w:rsidR="00494959" w:rsidRPr="003675E5">
        <w:t xml:space="preserve"> In Maestri, hyperammonemic episodes were generally defined as hyperammonemia requiring hospitalisation for intravenous ammonia scavenger therapy.</w:t>
      </w:r>
    </w:p>
    <w:p w:rsidR="006D7761" w:rsidRPr="003675E5" w:rsidRDefault="006D7761" w:rsidP="006D7761">
      <w:pPr>
        <w:pStyle w:val="TableHeading0"/>
        <w:jc w:val="both"/>
      </w:pPr>
      <w:r w:rsidRPr="003675E5">
        <w:t>Table 6: Hyperammonemic episode frequency in Maestri 1995 and 1996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852"/>
        <w:gridCol w:w="991"/>
        <w:gridCol w:w="993"/>
        <w:gridCol w:w="1560"/>
        <w:gridCol w:w="1904"/>
      </w:tblGrid>
      <w:tr w:rsidR="006D7761" w:rsidRPr="003675E5" w:rsidTr="00D306CB">
        <w:trPr>
          <w:tblHeader/>
        </w:trPr>
        <w:tc>
          <w:tcPr>
            <w:tcW w:w="1592" w:type="pct"/>
          </w:tcPr>
          <w:p w:rsidR="006D7761" w:rsidRPr="003675E5" w:rsidRDefault="006D7761" w:rsidP="00D306CB">
            <w:pPr>
              <w:pStyle w:val="TableText"/>
              <w:rPr>
                <w:b/>
              </w:rPr>
            </w:pPr>
            <w:r w:rsidRPr="003675E5">
              <w:rPr>
                <w:b/>
              </w:rPr>
              <w:t>Therapeutic protocol</w:t>
            </w:r>
          </w:p>
        </w:tc>
        <w:tc>
          <w:tcPr>
            <w:tcW w:w="461" w:type="pct"/>
          </w:tcPr>
          <w:p w:rsidR="006D7761" w:rsidRPr="003675E5" w:rsidRDefault="006D7761" w:rsidP="00D306CB">
            <w:pPr>
              <w:pStyle w:val="TableText"/>
              <w:jc w:val="center"/>
              <w:rPr>
                <w:b/>
                <w:vertAlign w:val="superscript"/>
              </w:rPr>
            </w:pPr>
            <w:r w:rsidRPr="003675E5">
              <w:rPr>
                <w:b/>
              </w:rPr>
              <w:t xml:space="preserve">Years </w:t>
            </w:r>
            <w:r w:rsidRPr="003675E5">
              <w:rPr>
                <w:b/>
                <w:vertAlign w:val="superscript"/>
              </w:rPr>
              <w:t>a</w:t>
            </w:r>
          </w:p>
        </w:tc>
        <w:tc>
          <w:tcPr>
            <w:tcW w:w="536" w:type="pct"/>
          </w:tcPr>
          <w:p w:rsidR="006D7761" w:rsidRPr="003675E5" w:rsidRDefault="006D7761" w:rsidP="00D306CB">
            <w:pPr>
              <w:pStyle w:val="TableText"/>
              <w:jc w:val="center"/>
              <w:rPr>
                <w:b/>
                <w:vertAlign w:val="superscript"/>
              </w:rPr>
            </w:pPr>
            <w:r w:rsidRPr="003675E5">
              <w:rPr>
                <w:b/>
              </w:rPr>
              <w:t xml:space="preserve">Patients </w:t>
            </w:r>
            <w:r w:rsidRPr="003675E5">
              <w:rPr>
                <w:b/>
                <w:vertAlign w:val="superscript"/>
              </w:rPr>
              <w:t>b</w:t>
            </w:r>
          </w:p>
        </w:tc>
        <w:tc>
          <w:tcPr>
            <w:tcW w:w="537" w:type="pct"/>
          </w:tcPr>
          <w:p w:rsidR="006D7761" w:rsidRPr="003675E5" w:rsidRDefault="006D7761" w:rsidP="00D306CB">
            <w:pPr>
              <w:pStyle w:val="TableText"/>
              <w:jc w:val="center"/>
              <w:rPr>
                <w:b/>
                <w:vertAlign w:val="superscript"/>
              </w:rPr>
            </w:pPr>
            <w:r w:rsidRPr="003675E5">
              <w:rPr>
                <w:b/>
              </w:rPr>
              <w:t xml:space="preserve">Number of HAEs </w:t>
            </w:r>
            <w:r w:rsidRPr="003675E5">
              <w:rPr>
                <w:b/>
                <w:vertAlign w:val="superscript"/>
              </w:rPr>
              <w:t>c</w:t>
            </w:r>
          </w:p>
        </w:tc>
        <w:tc>
          <w:tcPr>
            <w:tcW w:w="844" w:type="pct"/>
          </w:tcPr>
          <w:p w:rsidR="006D7761" w:rsidRPr="003675E5" w:rsidRDefault="006D7761" w:rsidP="00D306CB">
            <w:pPr>
              <w:pStyle w:val="TableText"/>
              <w:jc w:val="center"/>
              <w:rPr>
                <w:b/>
              </w:rPr>
            </w:pPr>
            <w:r w:rsidRPr="003675E5">
              <w:rPr>
                <w:b/>
              </w:rPr>
              <w:t>Total patient-years</w:t>
            </w:r>
          </w:p>
        </w:tc>
        <w:tc>
          <w:tcPr>
            <w:tcW w:w="1030" w:type="pct"/>
          </w:tcPr>
          <w:p w:rsidR="006D7761" w:rsidRPr="003675E5" w:rsidRDefault="006D7761" w:rsidP="00D306CB">
            <w:pPr>
              <w:pStyle w:val="TableText"/>
              <w:jc w:val="center"/>
              <w:rPr>
                <w:b/>
              </w:rPr>
            </w:pPr>
            <w:r w:rsidRPr="003675E5">
              <w:rPr>
                <w:b/>
              </w:rPr>
              <w:t>Frequency (episodes / patient-year)</w:t>
            </w:r>
          </w:p>
        </w:tc>
      </w:tr>
      <w:tr w:rsidR="006D7761" w:rsidRPr="003675E5" w:rsidTr="00D306CB">
        <w:trPr>
          <w:tblHeader/>
        </w:trPr>
        <w:tc>
          <w:tcPr>
            <w:tcW w:w="5000" w:type="pct"/>
            <w:gridSpan w:val="6"/>
          </w:tcPr>
          <w:p w:rsidR="006D7761" w:rsidRPr="003675E5" w:rsidRDefault="006D7761" w:rsidP="00D306CB">
            <w:pPr>
              <w:pStyle w:val="TableText"/>
              <w:rPr>
                <w:b/>
              </w:rPr>
            </w:pPr>
            <w:r w:rsidRPr="003675E5">
              <w:rPr>
                <w:b/>
              </w:rPr>
              <w:t>Maestri 1995, ASS deficiency, neonatal rescue, born before 1990</w:t>
            </w:r>
          </w:p>
        </w:tc>
      </w:tr>
      <w:tr w:rsidR="006D7761" w:rsidRPr="003675E5" w:rsidTr="00D306CB">
        <w:tc>
          <w:tcPr>
            <w:tcW w:w="1592" w:type="pct"/>
          </w:tcPr>
          <w:p w:rsidR="006D7761" w:rsidRPr="003675E5" w:rsidRDefault="006D7761" w:rsidP="00D306CB">
            <w:pPr>
              <w:pStyle w:val="TableText"/>
            </w:pPr>
            <w:r w:rsidRPr="003675E5">
              <w:t>NaBz alone</w:t>
            </w:r>
          </w:p>
        </w:tc>
        <w:tc>
          <w:tcPr>
            <w:tcW w:w="461" w:type="pct"/>
          </w:tcPr>
          <w:p w:rsidR="006D7761" w:rsidRPr="003675E5" w:rsidRDefault="006D7761" w:rsidP="00D306CB">
            <w:pPr>
              <w:pStyle w:val="TableText"/>
            </w:pPr>
            <w:r w:rsidRPr="003675E5">
              <w:t>1980-84</w:t>
            </w:r>
          </w:p>
        </w:tc>
        <w:tc>
          <w:tcPr>
            <w:tcW w:w="536" w:type="pct"/>
          </w:tcPr>
          <w:p w:rsidR="006D7761" w:rsidRPr="003675E5" w:rsidRDefault="006D7761" w:rsidP="00D306CB">
            <w:pPr>
              <w:pStyle w:val="TableText"/>
              <w:rPr>
                <w:vertAlign w:val="superscript"/>
              </w:rPr>
            </w:pPr>
            <w:r w:rsidRPr="003675E5">
              <w:t xml:space="preserve">12 </w:t>
            </w:r>
          </w:p>
        </w:tc>
        <w:tc>
          <w:tcPr>
            <w:tcW w:w="537" w:type="pct"/>
          </w:tcPr>
          <w:p w:rsidR="006D7761" w:rsidRPr="003675E5" w:rsidRDefault="006D7761" w:rsidP="00D306CB">
            <w:pPr>
              <w:pStyle w:val="TableText"/>
            </w:pPr>
            <w:r w:rsidRPr="003675E5">
              <w:t>41</w:t>
            </w:r>
          </w:p>
        </w:tc>
        <w:tc>
          <w:tcPr>
            <w:tcW w:w="844" w:type="pct"/>
          </w:tcPr>
          <w:p w:rsidR="006D7761" w:rsidRPr="003675E5" w:rsidRDefault="006D7761" w:rsidP="00D306CB">
            <w:pPr>
              <w:pStyle w:val="TableText"/>
            </w:pPr>
            <w:r w:rsidRPr="003675E5">
              <w:t>29</w:t>
            </w:r>
          </w:p>
        </w:tc>
        <w:tc>
          <w:tcPr>
            <w:tcW w:w="1030" w:type="pct"/>
          </w:tcPr>
          <w:p w:rsidR="006D7761" w:rsidRPr="003675E5" w:rsidRDefault="006D7761" w:rsidP="00D306CB">
            <w:pPr>
              <w:pStyle w:val="TableText"/>
            </w:pPr>
            <w:r w:rsidRPr="003675E5">
              <w:t>1.4</w:t>
            </w:r>
          </w:p>
        </w:tc>
      </w:tr>
      <w:tr w:rsidR="006D7761" w:rsidRPr="003675E5" w:rsidTr="00D306CB">
        <w:tc>
          <w:tcPr>
            <w:tcW w:w="1592" w:type="pct"/>
          </w:tcPr>
          <w:p w:rsidR="006D7761" w:rsidRPr="003675E5" w:rsidRDefault="006D7761" w:rsidP="00D306CB">
            <w:pPr>
              <w:pStyle w:val="TableText"/>
            </w:pPr>
            <w:r w:rsidRPr="003675E5">
              <w:t>NaBz + uncoated NaPb</w:t>
            </w:r>
          </w:p>
        </w:tc>
        <w:tc>
          <w:tcPr>
            <w:tcW w:w="461" w:type="pct"/>
          </w:tcPr>
          <w:p w:rsidR="006D7761" w:rsidRPr="003675E5" w:rsidRDefault="006D7761" w:rsidP="00D306CB">
            <w:pPr>
              <w:pStyle w:val="TableText"/>
            </w:pPr>
            <w:r w:rsidRPr="003675E5">
              <w:t>1984-87</w:t>
            </w:r>
          </w:p>
        </w:tc>
        <w:tc>
          <w:tcPr>
            <w:tcW w:w="536" w:type="pct"/>
          </w:tcPr>
          <w:p w:rsidR="006D7761" w:rsidRPr="003675E5" w:rsidRDefault="006D7761" w:rsidP="00D306CB">
            <w:pPr>
              <w:pStyle w:val="TableText"/>
            </w:pPr>
            <w:r w:rsidRPr="003675E5">
              <w:t>7</w:t>
            </w:r>
          </w:p>
        </w:tc>
        <w:tc>
          <w:tcPr>
            <w:tcW w:w="537" w:type="pct"/>
          </w:tcPr>
          <w:p w:rsidR="006D7761" w:rsidRPr="003675E5" w:rsidRDefault="006D7761" w:rsidP="00D306CB">
            <w:pPr>
              <w:pStyle w:val="TableText"/>
            </w:pPr>
            <w:r w:rsidRPr="003675E5">
              <w:t>18</w:t>
            </w:r>
          </w:p>
        </w:tc>
        <w:tc>
          <w:tcPr>
            <w:tcW w:w="844" w:type="pct"/>
          </w:tcPr>
          <w:p w:rsidR="006D7761" w:rsidRPr="003675E5" w:rsidRDefault="006D7761" w:rsidP="00D306CB">
            <w:pPr>
              <w:pStyle w:val="TableText"/>
            </w:pPr>
            <w:r w:rsidRPr="003675E5">
              <w:t>26</w:t>
            </w:r>
          </w:p>
        </w:tc>
        <w:tc>
          <w:tcPr>
            <w:tcW w:w="1030" w:type="pct"/>
          </w:tcPr>
          <w:p w:rsidR="006D7761" w:rsidRPr="003675E5" w:rsidRDefault="006D7761" w:rsidP="00D306CB">
            <w:pPr>
              <w:pStyle w:val="TableText"/>
            </w:pPr>
            <w:r w:rsidRPr="003675E5">
              <w:t>0.7</w:t>
            </w:r>
          </w:p>
        </w:tc>
      </w:tr>
      <w:tr w:rsidR="006D7761" w:rsidRPr="003675E5" w:rsidTr="00D306CB">
        <w:tc>
          <w:tcPr>
            <w:tcW w:w="1592" w:type="pct"/>
          </w:tcPr>
          <w:p w:rsidR="006D7761" w:rsidRPr="003675E5" w:rsidRDefault="006D7761" w:rsidP="00D306CB">
            <w:pPr>
              <w:pStyle w:val="TableText"/>
            </w:pPr>
            <w:r w:rsidRPr="003675E5">
              <w:t>Uncoated NaPb monotherapy</w:t>
            </w:r>
          </w:p>
        </w:tc>
        <w:tc>
          <w:tcPr>
            <w:tcW w:w="461" w:type="pct"/>
          </w:tcPr>
          <w:p w:rsidR="006D7761" w:rsidRPr="003675E5" w:rsidRDefault="006D7761" w:rsidP="00D306CB">
            <w:pPr>
              <w:pStyle w:val="TableText"/>
            </w:pPr>
            <w:r w:rsidRPr="003675E5">
              <w:t>1987+</w:t>
            </w:r>
          </w:p>
        </w:tc>
        <w:tc>
          <w:tcPr>
            <w:tcW w:w="536" w:type="pct"/>
          </w:tcPr>
          <w:p w:rsidR="006D7761" w:rsidRPr="003675E5" w:rsidRDefault="006D7761" w:rsidP="00D306CB">
            <w:pPr>
              <w:pStyle w:val="TableText"/>
            </w:pPr>
            <w:r w:rsidRPr="003675E5">
              <w:t>18</w:t>
            </w:r>
          </w:p>
        </w:tc>
        <w:tc>
          <w:tcPr>
            <w:tcW w:w="537" w:type="pct"/>
          </w:tcPr>
          <w:p w:rsidR="006D7761" w:rsidRPr="003675E5" w:rsidRDefault="006D7761" w:rsidP="00D306CB">
            <w:pPr>
              <w:pStyle w:val="TableText"/>
            </w:pPr>
            <w:r w:rsidRPr="003675E5">
              <w:t>52</w:t>
            </w:r>
          </w:p>
        </w:tc>
        <w:tc>
          <w:tcPr>
            <w:tcW w:w="844" w:type="pct"/>
          </w:tcPr>
          <w:p w:rsidR="006D7761" w:rsidRPr="003675E5" w:rsidRDefault="006D7761" w:rsidP="00D306CB">
            <w:pPr>
              <w:pStyle w:val="TableText"/>
            </w:pPr>
            <w:r w:rsidRPr="003675E5">
              <w:t>72</w:t>
            </w:r>
          </w:p>
        </w:tc>
        <w:tc>
          <w:tcPr>
            <w:tcW w:w="1030" w:type="pct"/>
          </w:tcPr>
          <w:p w:rsidR="006D7761" w:rsidRPr="003675E5" w:rsidRDefault="006D7761" w:rsidP="00D306CB">
            <w:pPr>
              <w:pStyle w:val="TableText"/>
            </w:pPr>
            <w:r w:rsidRPr="003675E5">
              <w:t>0.7</w:t>
            </w:r>
          </w:p>
        </w:tc>
      </w:tr>
      <w:tr w:rsidR="006D7761" w:rsidRPr="003675E5" w:rsidTr="00D306CB">
        <w:tc>
          <w:tcPr>
            <w:tcW w:w="1592" w:type="pct"/>
            <w:tcBorders>
              <w:bottom w:val="double" w:sz="4" w:space="0" w:color="auto"/>
            </w:tcBorders>
          </w:tcPr>
          <w:p w:rsidR="006D7761" w:rsidRPr="003675E5" w:rsidRDefault="006D7761" w:rsidP="00D306CB">
            <w:pPr>
              <w:pStyle w:val="TableText"/>
            </w:pPr>
            <w:r w:rsidRPr="003675E5">
              <w:t>Total</w:t>
            </w:r>
          </w:p>
        </w:tc>
        <w:tc>
          <w:tcPr>
            <w:tcW w:w="461" w:type="pct"/>
            <w:tcBorders>
              <w:bottom w:val="double" w:sz="4" w:space="0" w:color="auto"/>
            </w:tcBorders>
          </w:tcPr>
          <w:p w:rsidR="006D7761" w:rsidRPr="003675E5" w:rsidRDefault="006D7761" w:rsidP="00D306CB">
            <w:pPr>
              <w:pStyle w:val="TableText"/>
            </w:pPr>
          </w:p>
        </w:tc>
        <w:tc>
          <w:tcPr>
            <w:tcW w:w="536" w:type="pct"/>
            <w:tcBorders>
              <w:bottom w:val="double" w:sz="4" w:space="0" w:color="auto"/>
            </w:tcBorders>
          </w:tcPr>
          <w:p w:rsidR="006D7761" w:rsidRPr="003675E5" w:rsidRDefault="006D7761" w:rsidP="00D306CB">
            <w:pPr>
              <w:pStyle w:val="TableText"/>
            </w:pPr>
            <w:r w:rsidRPr="003675E5">
              <w:t>-</w:t>
            </w:r>
          </w:p>
        </w:tc>
        <w:tc>
          <w:tcPr>
            <w:tcW w:w="537" w:type="pct"/>
            <w:tcBorders>
              <w:bottom w:val="double" w:sz="4" w:space="0" w:color="auto"/>
            </w:tcBorders>
          </w:tcPr>
          <w:p w:rsidR="006D7761" w:rsidRPr="003675E5" w:rsidRDefault="006D7761" w:rsidP="00D306CB">
            <w:pPr>
              <w:pStyle w:val="TableText"/>
            </w:pPr>
            <w:r w:rsidRPr="003675E5">
              <w:t>111</w:t>
            </w:r>
          </w:p>
        </w:tc>
        <w:tc>
          <w:tcPr>
            <w:tcW w:w="844" w:type="pct"/>
            <w:tcBorders>
              <w:bottom w:val="double" w:sz="4" w:space="0" w:color="auto"/>
            </w:tcBorders>
          </w:tcPr>
          <w:p w:rsidR="006D7761" w:rsidRPr="003675E5" w:rsidRDefault="006D7761" w:rsidP="00D306CB">
            <w:pPr>
              <w:pStyle w:val="TableText"/>
            </w:pPr>
            <w:r w:rsidRPr="003675E5">
              <w:t>127</w:t>
            </w:r>
          </w:p>
        </w:tc>
        <w:tc>
          <w:tcPr>
            <w:tcW w:w="1030" w:type="pct"/>
            <w:tcBorders>
              <w:bottom w:val="double" w:sz="4" w:space="0" w:color="auto"/>
            </w:tcBorders>
          </w:tcPr>
          <w:p w:rsidR="006D7761" w:rsidRPr="003675E5" w:rsidRDefault="006D7761" w:rsidP="00D306CB">
            <w:pPr>
              <w:pStyle w:val="TableText"/>
            </w:pPr>
            <w:r w:rsidRPr="003675E5">
              <w:t>0.9</w:t>
            </w:r>
          </w:p>
        </w:tc>
      </w:tr>
      <w:tr w:rsidR="006D7761" w:rsidRPr="003675E5" w:rsidTr="00D306CB">
        <w:tc>
          <w:tcPr>
            <w:tcW w:w="5000" w:type="pct"/>
            <w:gridSpan w:val="6"/>
            <w:tcBorders>
              <w:top w:val="double" w:sz="4" w:space="0" w:color="auto"/>
            </w:tcBorders>
          </w:tcPr>
          <w:p w:rsidR="006D7761" w:rsidRPr="003675E5" w:rsidRDefault="006D7761" w:rsidP="00D306CB">
            <w:pPr>
              <w:pStyle w:val="TableText"/>
              <w:rPr>
                <w:b/>
              </w:rPr>
            </w:pPr>
            <w:r w:rsidRPr="003675E5">
              <w:rPr>
                <w:b/>
              </w:rPr>
              <w:t>Maestri 1996, girls with OTC deficiency aged 1-17 at enrolment (enrolment 1979 to 1990)</w:t>
            </w:r>
          </w:p>
        </w:tc>
      </w:tr>
      <w:tr w:rsidR="006D7761" w:rsidRPr="003675E5" w:rsidTr="00D306CB">
        <w:tc>
          <w:tcPr>
            <w:tcW w:w="1592" w:type="pct"/>
          </w:tcPr>
          <w:p w:rsidR="006D7761" w:rsidRPr="003675E5" w:rsidRDefault="006D7761" w:rsidP="00D306CB">
            <w:pPr>
              <w:pStyle w:val="TableText"/>
              <w:rPr>
                <w:b/>
              </w:rPr>
            </w:pPr>
            <w:r w:rsidRPr="003675E5">
              <w:t>NaBz alone</w:t>
            </w:r>
          </w:p>
        </w:tc>
        <w:tc>
          <w:tcPr>
            <w:tcW w:w="461" w:type="pct"/>
          </w:tcPr>
          <w:p w:rsidR="006D7761" w:rsidRPr="003675E5" w:rsidRDefault="006D7761" w:rsidP="00D306CB">
            <w:pPr>
              <w:pStyle w:val="TableText"/>
            </w:pPr>
            <w:r w:rsidRPr="003675E5">
              <w:t>1980-84</w:t>
            </w:r>
          </w:p>
        </w:tc>
        <w:tc>
          <w:tcPr>
            <w:tcW w:w="536" w:type="pct"/>
          </w:tcPr>
          <w:p w:rsidR="006D7761" w:rsidRPr="003675E5" w:rsidRDefault="006D7761" w:rsidP="00D306CB">
            <w:pPr>
              <w:pStyle w:val="TableText"/>
              <w:rPr>
                <w:b/>
              </w:rPr>
            </w:pPr>
            <w:r w:rsidRPr="003675E5">
              <w:t>11</w:t>
            </w:r>
          </w:p>
        </w:tc>
        <w:tc>
          <w:tcPr>
            <w:tcW w:w="537" w:type="pct"/>
          </w:tcPr>
          <w:p w:rsidR="006D7761" w:rsidRPr="003675E5" w:rsidRDefault="006D7761" w:rsidP="00D306CB">
            <w:pPr>
              <w:pStyle w:val="TableText"/>
              <w:rPr>
                <w:b/>
              </w:rPr>
            </w:pPr>
            <w:r w:rsidRPr="003675E5">
              <w:t>25</w:t>
            </w:r>
          </w:p>
        </w:tc>
        <w:tc>
          <w:tcPr>
            <w:tcW w:w="844" w:type="pct"/>
          </w:tcPr>
          <w:p w:rsidR="006D7761" w:rsidRPr="003675E5" w:rsidRDefault="006D7761" w:rsidP="00D306CB">
            <w:pPr>
              <w:pStyle w:val="TableText"/>
              <w:rPr>
                <w:b/>
              </w:rPr>
            </w:pPr>
            <w:r w:rsidRPr="003675E5">
              <w:t>35</w:t>
            </w:r>
          </w:p>
        </w:tc>
        <w:tc>
          <w:tcPr>
            <w:tcW w:w="1030" w:type="pct"/>
          </w:tcPr>
          <w:p w:rsidR="006D7761" w:rsidRPr="003675E5" w:rsidRDefault="006D7761" w:rsidP="00D306CB">
            <w:pPr>
              <w:pStyle w:val="TableText"/>
              <w:rPr>
                <w:b/>
              </w:rPr>
            </w:pPr>
            <w:r w:rsidRPr="003675E5">
              <w:t>0.7</w:t>
            </w:r>
          </w:p>
        </w:tc>
      </w:tr>
      <w:tr w:rsidR="006D7761" w:rsidRPr="003675E5" w:rsidTr="00D306CB">
        <w:tc>
          <w:tcPr>
            <w:tcW w:w="1592" w:type="pct"/>
          </w:tcPr>
          <w:p w:rsidR="006D7761" w:rsidRPr="003675E5" w:rsidRDefault="006D7761" w:rsidP="00D306CB">
            <w:pPr>
              <w:pStyle w:val="TableText"/>
              <w:rPr>
                <w:b/>
              </w:rPr>
            </w:pPr>
            <w:r w:rsidRPr="003675E5">
              <w:t xml:space="preserve">NaBz + uncoated NaPb </w:t>
            </w:r>
            <w:r w:rsidRPr="003675E5">
              <w:rPr>
                <w:vertAlign w:val="superscript"/>
              </w:rPr>
              <w:t>d</w:t>
            </w:r>
          </w:p>
        </w:tc>
        <w:tc>
          <w:tcPr>
            <w:tcW w:w="461" w:type="pct"/>
          </w:tcPr>
          <w:p w:rsidR="006D7761" w:rsidRPr="003675E5" w:rsidRDefault="006D7761" w:rsidP="00D306CB">
            <w:pPr>
              <w:pStyle w:val="TableText"/>
            </w:pPr>
            <w:r w:rsidRPr="003675E5">
              <w:t>1984-87</w:t>
            </w:r>
          </w:p>
        </w:tc>
        <w:tc>
          <w:tcPr>
            <w:tcW w:w="536" w:type="pct"/>
          </w:tcPr>
          <w:p w:rsidR="006D7761" w:rsidRPr="003675E5" w:rsidRDefault="006D7761" w:rsidP="00D306CB">
            <w:pPr>
              <w:pStyle w:val="TableText"/>
              <w:rPr>
                <w:b/>
              </w:rPr>
            </w:pPr>
            <w:r w:rsidRPr="003675E5">
              <w:t>22</w:t>
            </w:r>
          </w:p>
        </w:tc>
        <w:tc>
          <w:tcPr>
            <w:tcW w:w="537" w:type="pct"/>
          </w:tcPr>
          <w:p w:rsidR="006D7761" w:rsidRPr="003675E5" w:rsidRDefault="006D7761" w:rsidP="00D306CB">
            <w:pPr>
              <w:pStyle w:val="TableText"/>
              <w:rPr>
                <w:b/>
              </w:rPr>
            </w:pPr>
            <w:r w:rsidRPr="003675E5">
              <w:t>32</w:t>
            </w:r>
          </w:p>
        </w:tc>
        <w:tc>
          <w:tcPr>
            <w:tcW w:w="844" w:type="pct"/>
          </w:tcPr>
          <w:p w:rsidR="006D7761" w:rsidRPr="003675E5" w:rsidRDefault="006D7761" w:rsidP="00D306CB">
            <w:pPr>
              <w:pStyle w:val="TableText"/>
              <w:rPr>
                <w:b/>
              </w:rPr>
            </w:pPr>
            <w:r w:rsidRPr="003675E5">
              <w:t>81</w:t>
            </w:r>
          </w:p>
        </w:tc>
        <w:tc>
          <w:tcPr>
            <w:tcW w:w="1030" w:type="pct"/>
          </w:tcPr>
          <w:p w:rsidR="006D7761" w:rsidRPr="003675E5" w:rsidRDefault="006D7761" w:rsidP="00D306CB">
            <w:pPr>
              <w:pStyle w:val="TableText"/>
              <w:rPr>
                <w:b/>
              </w:rPr>
            </w:pPr>
            <w:r w:rsidRPr="003675E5">
              <w:t>0.4</w:t>
            </w:r>
          </w:p>
        </w:tc>
      </w:tr>
      <w:tr w:rsidR="006D7761" w:rsidRPr="003675E5" w:rsidTr="00D306CB">
        <w:tc>
          <w:tcPr>
            <w:tcW w:w="1592" w:type="pct"/>
          </w:tcPr>
          <w:p w:rsidR="006D7761" w:rsidRPr="003675E5" w:rsidRDefault="006D7761" w:rsidP="00D306CB">
            <w:pPr>
              <w:pStyle w:val="TableText"/>
              <w:rPr>
                <w:b/>
              </w:rPr>
            </w:pPr>
            <w:r w:rsidRPr="003675E5">
              <w:t xml:space="preserve">Uncoated NaPb monotherapy </w:t>
            </w:r>
            <w:r w:rsidRPr="003675E5">
              <w:rPr>
                <w:vertAlign w:val="superscript"/>
              </w:rPr>
              <w:t xml:space="preserve">d </w:t>
            </w:r>
          </w:p>
        </w:tc>
        <w:tc>
          <w:tcPr>
            <w:tcW w:w="461" w:type="pct"/>
          </w:tcPr>
          <w:p w:rsidR="006D7761" w:rsidRPr="003675E5" w:rsidRDefault="006D7761" w:rsidP="00D306CB">
            <w:pPr>
              <w:pStyle w:val="TableText"/>
            </w:pPr>
            <w:r w:rsidRPr="003675E5">
              <w:t>1987+</w:t>
            </w:r>
          </w:p>
        </w:tc>
        <w:tc>
          <w:tcPr>
            <w:tcW w:w="536" w:type="pct"/>
          </w:tcPr>
          <w:p w:rsidR="006D7761" w:rsidRPr="003675E5" w:rsidRDefault="006D7761" w:rsidP="00D306CB">
            <w:pPr>
              <w:pStyle w:val="TableText"/>
              <w:rPr>
                <w:b/>
              </w:rPr>
            </w:pPr>
            <w:r w:rsidRPr="003675E5">
              <w:t>28</w:t>
            </w:r>
          </w:p>
        </w:tc>
        <w:tc>
          <w:tcPr>
            <w:tcW w:w="537" w:type="pct"/>
          </w:tcPr>
          <w:p w:rsidR="006D7761" w:rsidRPr="003675E5" w:rsidRDefault="006D7761" w:rsidP="00D306CB">
            <w:pPr>
              <w:pStyle w:val="TableText"/>
              <w:rPr>
                <w:b/>
              </w:rPr>
            </w:pPr>
            <w:r w:rsidRPr="003675E5">
              <w:t>76</w:t>
            </w:r>
          </w:p>
        </w:tc>
        <w:tc>
          <w:tcPr>
            <w:tcW w:w="844" w:type="pct"/>
          </w:tcPr>
          <w:p w:rsidR="006D7761" w:rsidRPr="003675E5" w:rsidRDefault="006D7761" w:rsidP="00D306CB">
            <w:pPr>
              <w:pStyle w:val="TableText"/>
              <w:rPr>
                <w:b/>
              </w:rPr>
            </w:pPr>
            <w:r w:rsidRPr="003675E5">
              <w:t>165</w:t>
            </w:r>
          </w:p>
        </w:tc>
        <w:tc>
          <w:tcPr>
            <w:tcW w:w="1030" w:type="pct"/>
          </w:tcPr>
          <w:p w:rsidR="006D7761" w:rsidRPr="003675E5" w:rsidRDefault="006D7761" w:rsidP="00D306CB">
            <w:pPr>
              <w:pStyle w:val="TableText"/>
              <w:rPr>
                <w:b/>
              </w:rPr>
            </w:pPr>
            <w:r w:rsidRPr="003675E5">
              <w:t>0.5</w:t>
            </w:r>
          </w:p>
        </w:tc>
      </w:tr>
      <w:tr w:rsidR="006D7761" w:rsidRPr="003675E5" w:rsidTr="00D306CB">
        <w:trPr>
          <w:trHeight w:val="56"/>
        </w:trPr>
        <w:tc>
          <w:tcPr>
            <w:tcW w:w="1592" w:type="pct"/>
          </w:tcPr>
          <w:p w:rsidR="006D7761" w:rsidRPr="003675E5" w:rsidRDefault="006D7761" w:rsidP="00D306CB">
            <w:pPr>
              <w:pStyle w:val="TableText"/>
            </w:pPr>
            <w:r w:rsidRPr="003675E5">
              <w:t>Total</w:t>
            </w:r>
          </w:p>
        </w:tc>
        <w:tc>
          <w:tcPr>
            <w:tcW w:w="461" w:type="pct"/>
          </w:tcPr>
          <w:p w:rsidR="006D7761" w:rsidRPr="003675E5" w:rsidRDefault="006D7761" w:rsidP="00D306CB">
            <w:pPr>
              <w:pStyle w:val="TableText"/>
            </w:pPr>
          </w:p>
        </w:tc>
        <w:tc>
          <w:tcPr>
            <w:tcW w:w="536" w:type="pct"/>
          </w:tcPr>
          <w:p w:rsidR="006D7761" w:rsidRPr="003675E5" w:rsidRDefault="006D7761" w:rsidP="00D306CB">
            <w:pPr>
              <w:pStyle w:val="TableText"/>
            </w:pPr>
            <w:r w:rsidRPr="003675E5">
              <w:t>-</w:t>
            </w:r>
          </w:p>
        </w:tc>
        <w:tc>
          <w:tcPr>
            <w:tcW w:w="537" w:type="pct"/>
          </w:tcPr>
          <w:p w:rsidR="006D7761" w:rsidRPr="003675E5" w:rsidRDefault="006D7761" w:rsidP="00D306CB">
            <w:pPr>
              <w:pStyle w:val="TableText"/>
            </w:pPr>
            <w:r w:rsidRPr="003675E5">
              <w:t>133</w:t>
            </w:r>
          </w:p>
        </w:tc>
        <w:tc>
          <w:tcPr>
            <w:tcW w:w="844" w:type="pct"/>
          </w:tcPr>
          <w:p w:rsidR="006D7761" w:rsidRPr="003675E5" w:rsidRDefault="006D7761" w:rsidP="00D306CB">
            <w:pPr>
              <w:pStyle w:val="TableText"/>
            </w:pPr>
            <w:r w:rsidRPr="003675E5">
              <w:t>281</w:t>
            </w:r>
          </w:p>
        </w:tc>
        <w:tc>
          <w:tcPr>
            <w:tcW w:w="1030" w:type="pct"/>
          </w:tcPr>
          <w:p w:rsidR="006D7761" w:rsidRPr="003675E5" w:rsidRDefault="006D7761" w:rsidP="00D306CB">
            <w:pPr>
              <w:pStyle w:val="TableText"/>
            </w:pPr>
            <w:r w:rsidRPr="003675E5">
              <w:t>0.5</w:t>
            </w:r>
          </w:p>
        </w:tc>
      </w:tr>
    </w:tbl>
    <w:p w:rsidR="006D7761" w:rsidRPr="003675E5" w:rsidRDefault="006D7761" w:rsidP="006D7761">
      <w:pPr>
        <w:pStyle w:val="TableFooter"/>
      </w:pPr>
      <w:r w:rsidRPr="003675E5">
        <w:t>Source: Table</w:t>
      </w:r>
      <w:r w:rsidR="00841877" w:rsidRPr="003675E5">
        <w:t>s</w:t>
      </w:r>
      <w:r w:rsidRPr="003675E5">
        <w:t xml:space="preserve"> 2-24 to 2-25, pp2-69 to 2-73 of the submission </w:t>
      </w:r>
    </w:p>
    <w:p w:rsidR="006D7761" w:rsidRPr="003675E5" w:rsidRDefault="006D7761" w:rsidP="006D7761">
      <w:pPr>
        <w:pStyle w:val="TableFooter"/>
      </w:pPr>
      <w:r w:rsidRPr="003675E5">
        <w:t>ASS = arginosuccinic acid synthetase; HAE = hyperammonemic episodes; NaBz = sodium benzoate; NaPb = sodium phenylbutyrate; OTC = ornithine transcarbamylase</w:t>
      </w:r>
    </w:p>
    <w:p w:rsidR="006D7761" w:rsidRPr="003675E5" w:rsidRDefault="006D7761" w:rsidP="006D7761">
      <w:pPr>
        <w:pStyle w:val="TableFooter"/>
      </w:pPr>
      <w:r w:rsidRPr="003675E5">
        <w:rPr>
          <w:vertAlign w:val="superscript"/>
        </w:rPr>
        <w:t xml:space="preserve">a </w:t>
      </w:r>
      <w:r w:rsidRPr="003675E5">
        <w:t>Years when this was the protocol was used</w:t>
      </w:r>
    </w:p>
    <w:p w:rsidR="006D7761" w:rsidRPr="003675E5" w:rsidRDefault="006D7761" w:rsidP="006D7761">
      <w:pPr>
        <w:pStyle w:val="TableFooter"/>
      </w:pPr>
      <w:r w:rsidRPr="003675E5">
        <w:rPr>
          <w:vertAlign w:val="superscript"/>
        </w:rPr>
        <w:t xml:space="preserve">b </w:t>
      </w:r>
      <w:r w:rsidRPr="003675E5">
        <w:t xml:space="preserve">There were a total of 24 patients in Maestri 1995 and 32 patients in Maestri 1996. Patient numbers sum to more than 100% as some patients received changing treatment as protocols evolved over time. </w:t>
      </w:r>
    </w:p>
    <w:p w:rsidR="006D7761" w:rsidRPr="003675E5" w:rsidRDefault="006D7761" w:rsidP="006D7761">
      <w:pPr>
        <w:pStyle w:val="TableFooter"/>
        <w:rPr>
          <w:vertAlign w:val="superscript"/>
        </w:rPr>
      </w:pPr>
      <w:r w:rsidRPr="003675E5">
        <w:rPr>
          <w:vertAlign w:val="superscript"/>
        </w:rPr>
        <w:t xml:space="preserve">c </w:t>
      </w:r>
      <w:r w:rsidRPr="003675E5">
        <w:t>Definition of HAEs was generally overnight hospitalisation for intravenous drug therapy.</w:t>
      </w:r>
      <w:r w:rsidRPr="003675E5">
        <w:rPr>
          <w:vertAlign w:val="superscript"/>
        </w:rPr>
        <w:t xml:space="preserve"> </w:t>
      </w:r>
    </w:p>
    <w:p w:rsidR="006D7761" w:rsidRPr="003675E5" w:rsidRDefault="006D7761">
      <w:pPr>
        <w:pStyle w:val="TableFooter"/>
      </w:pPr>
      <w:r w:rsidRPr="003675E5">
        <w:rPr>
          <w:vertAlign w:val="superscript"/>
        </w:rPr>
        <w:t xml:space="preserve">d </w:t>
      </w:r>
      <w:r w:rsidRPr="003675E5">
        <w:t>Also included some patients who were treated with sodium phenylacetate rather than NaPb as data were not available separately. NaPb and sodium phenylacetate have similar mechanisms of action.</w:t>
      </w:r>
    </w:p>
    <w:p w:rsidR="006D7761" w:rsidRPr="003675E5" w:rsidRDefault="006D7761" w:rsidP="00881F91">
      <w:pPr>
        <w:pStyle w:val="ListParagraph"/>
      </w:pPr>
      <w:r w:rsidRPr="003675E5">
        <w:rPr>
          <w:rFonts w:cs="Arial"/>
          <w:bCs/>
          <w:snapToGrid w:val="0"/>
        </w:rPr>
        <w:t>In</w:t>
      </w:r>
      <w:r w:rsidRPr="003675E5">
        <w:t xml:space="preserve"> both cohorts, uncoated NaPb monotherapy was associated with a lower rate of hyperammonemic episodes than NaBz monotherapy.</w:t>
      </w:r>
    </w:p>
    <w:p w:rsidR="006D7761" w:rsidRPr="003675E5" w:rsidRDefault="006D7761" w:rsidP="00881F91">
      <w:pPr>
        <w:pStyle w:val="ListParagraph"/>
      </w:pPr>
      <w:r w:rsidRPr="003675E5">
        <w:t xml:space="preserve">Maestri 1995 stated that strict comparisons between the protocols were difficult due to the variability in the frequency of episodes in individual patients, and the different treatment histories among the patients. Further, each protocol was used in a different time period so comparisons </w:t>
      </w:r>
      <w:r w:rsidR="003446CE" w:rsidRPr="003675E5">
        <w:t>were</w:t>
      </w:r>
      <w:r w:rsidRPr="003675E5">
        <w:t xml:space="preserve"> confounded by improvements in acute management and co-therapies. NaBz reflected outcomes of patients who entered the study closer to its commencement (risk of survivor bias). Considering these limitations, the claim that uncoated NaPb (± NaBz) was superior to NaBz </w:t>
      </w:r>
      <w:r w:rsidR="003446CE" w:rsidRPr="003675E5">
        <w:t xml:space="preserve">monotherapy </w:t>
      </w:r>
      <w:r w:rsidRPr="003675E5">
        <w:t xml:space="preserve">was not adequately justified. </w:t>
      </w:r>
    </w:p>
    <w:p w:rsidR="006D7761" w:rsidRPr="0047765E" w:rsidRDefault="006D7761" w:rsidP="0047765E">
      <w:pPr>
        <w:rPr>
          <w:u w:val="single"/>
        </w:rPr>
      </w:pPr>
      <w:r w:rsidRPr="0047765E">
        <w:rPr>
          <w:u w:val="single"/>
        </w:rPr>
        <w:t>Standard care versus natural history (Bachmann 2003)</w:t>
      </w:r>
    </w:p>
    <w:p w:rsidR="006D7761" w:rsidRPr="003675E5" w:rsidRDefault="006D7761" w:rsidP="00881F91">
      <w:pPr>
        <w:pStyle w:val="ListParagraph"/>
      </w:pPr>
      <w:r w:rsidRPr="003675E5">
        <w:t xml:space="preserve">Bachmann 2003 was a retrospective survey of European patients with UCD who were treated between 1975 and 1986. It compared patients who had been treated with “old therapy” (protein restriction) versus “new therapy” (ammonia scavengers (generally NaBz) arginine, citrulline, essential amino acids and protein restriction). The survival curves of the old versus new therapies group are presented in Figure </w:t>
      </w:r>
      <w:r w:rsidR="00841877" w:rsidRPr="003675E5">
        <w:t>2</w:t>
      </w:r>
      <w:r w:rsidRPr="003675E5">
        <w:t xml:space="preserve">. </w:t>
      </w:r>
      <w:r w:rsidR="00837DFE" w:rsidRPr="003675E5">
        <w:t xml:space="preserve">Bachmann 2003 </w:t>
      </w:r>
      <w:r w:rsidR="00F726DA" w:rsidRPr="003675E5">
        <w:t xml:space="preserve">included neonates who did not survive their first </w:t>
      </w:r>
      <w:r w:rsidR="00837DFE" w:rsidRPr="003675E5">
        <w:t>HAC, so the survival rates are markedly lower than observed in other studies.</w:t>
      </w:r>
    </w:p>
    <w:p w:rsidR="006D7761" w:rsidRPr="003675E5" w:rsidRDefault="006D7761" w:rsidP="00955C7D">
      <w:pPr>
        <w:pStyle w:val="TableHeading0"/>
        <w:keepLines/>
        <w:rPr>
          <w:b w:val="0"/>
        </w:rPr>
      </w:pPr>
      <w:r w:rsidRPr="003675E5">
        <w:t xml:space="preserve">Figure </w:t>
      </w:r>
      <w:r w:rsidR="00841877" w:rsidRPr="003675E5">
        <w:t>2</w:t>
      </w:r>
      <w:r w:rsidRPr="003675E5">
        <w:t xml:space="preserve">: Kaplan-Meier OS curves of patients on new therapies (lines) versus old therapies (dotted lines). </w:t>
      </w:r>
      <w:r w:rsidRPr="003675E5">
        <w:rPr>
          <w:b w:val="0"/>
        </w:rPr>
        <w:t>The outer thinner lines are the corresponding 95% confidence limits.</w:t>
      </w:r>
    </w:p>
    <w:p w:rsidR="006D7761" w:rsidRPr="003675E5" w:rsidRDefault="005B2D09" w:rsidP="00955C7D">
      <w:pPr>
        <w:keepNext/>
        <w:keepLines/>
      </w:pPr>
      <w:r w:rsidRPr="003675E5">
        <w:rPr>
          <w:noProof/>
          <w:lang w:eastAsia="en-AU"/>
        </w:rPr>
        <w:drawing>
          <wp:inline distT="0" distB="0" distL="0" distR="0" wp14:anchorId="5181F5BC" wp14:editId="6E9923E9">
            <wp:extent cx="4828540" cy="3072765"/>
            <wp:effectExtent l="0" t="0" r="0" b="0"/>
            <wp:docPr id="8" name="Picture 8" title="Figure 2: Kaplan-Meier OS curves of patients on new therapies (lines) versus old therapies (dotted 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8540" cy="3072765"/>
                    </a:xfrm>
                    <a:prstGeom prst="rect">
                      <a:avLst/>
                    </a:prstGeom>
                    <a:noFill/>
                  </pic:spPr>
                </pic:pic>
              </a:graphicData>
            </a:graphic>
          </wp:inline>
        </w:drawing>
      </w:r>
    </w:p>
    <w:p w:rsidR="006D7761" w:rsidRPr="003675E5" w:rsidRDefault="006D7761" w:rsidP="00955C7D">
      <w:pPr>
        <w:pStyle w:val="TableFooter"/>
        <w:keepNext/>
        <w:keepLines/>
      </w:pPr>
      <w:r w:rsidRPr="003675E5">
        <w:t xml:space="preserve">Source: Figure 3-3, p3-20 of the submission </w:t>
      </w:r>
    </w:p>
    <w:p w:rsidR="006D7761" w:rsidRPr="003675E5" w:rsidRDefault="006D7761" w:rsidP="00955C7D">
      <w:pPr>
        <w:pStyle w:val="TableFooter"/>
        <w:keepNext/>
        <w:keepLines/>
      </w:pPr>
      <w:r w:rsidRPr="003675E5">
        <w:t xml:space="preserve">OS = overall survival </w:t>
      </w:r>
    </w:p>
    <w:p w:rsidR="006D7761" w:rsidRPr="003675E5" w:rsidRDefault="006D7761" w:rsidP="00881F91">
      <w:pPr>
        <w:pStyle w:val="ListParagraph"/>
      </w:pPr>
      <w:r w:rsidRPr="003675E5">
        <w:t xml:space="preserve">Survival was improved in the new therapies group up to three years of age, mainly due to improved survival in the newborn group. It was </w:t>
      </w:r>
      <w:r w:rsidR="00F726DA" w:rsidRPr="003675E5">
        <w:t xml:space="preserve">not </w:t>
      </w:r>
      <w:r w:rsidRPr="003675E5">
        <w:t xml:space="preserve">clear the extent to which chronic ammonia scavenger therapy would have contributed to this compared with other changes over time (e.g. liver transplants, access to acute therapies such as haemodialysis and intravenous ammonia scavengers). </w:t>
      </w:r>
    </w:p>
    <w:p w:rsidR="00245D0A" w:rsidRPr="003675E5" w:rsidRDefault="006D7761" w:rsidP="00881F91">
      <w:pPr>
        <w:pStyle w:val="ListParagraph"/>
      </w:pPr>
      <w:r w:rsidRPr="003675E5">
        <w:t xml:space="preserve">The Kaplan-Meier curve did not appear to show any increase in survival with new therapies after about four years of age. </w:t>
      </w:r>
      <w:r w:rsidR="00245D0A" w:rsidRPr="003675E5">
        <w:t>A key limitation of this analysis was that it did not include the impact of prospective treatment of newborns, i.e. when neonates are treated prior to their first HAC (through newborn screening or in utero diagnosis if at genetic risk). Other limitations included: it was not clear how clinicians recalled the treatments patients received and whether there was overlap in treatments</w:t>
      </w:r>
      <w:r w:rsidR="00EA2654" w:rsidRPr="003675E5">
        <w:t>.</w:t>
      </w:r>
    </w:p>
    <w:p w:rsidR="006D7761" w:rsidRPr="003675E5" w:rsidRDefault="006D7761" w:rsidP="001E2E50">
      <w:pPr>
        <w:spacing w:before="0" w:after="120"/>
        <w:jc w:val="both"/>
      </w:pPr>
      <w:r w:rsidRPr="003675E5">
        <w:rPr>
          <w:u w:val="single"/>
        </w:rPr>
        <w:t xml:space="preserve">Meta-analyses </w:t>
      </w:r>
    </w:p>
    <w:p w:rsidR="006D7761" w:rsidRPr="003675E5" w:rsidRDefault="006D7761" w:rsidP="00881F91">
      <w:pPr>
        <w:pStyle w:val="ListParagraph"/>
      </w:pPr>
      <w:r w:rsidRPr="003675E5">
        <w:t xml:space="preserve">The submission presented indirect comparisons </w:t>
      </w:r>
      <w:r w:rsidR="003446CE" w:rsidRPr="003675E5">
        <w:t>based on non-randomised studies</w:t>
      </w:r>
      <w:r w:rsidR="00244031" w:rsidRPr="003675E5">
        <w:t xml:space="preserve"> to further </w:t>
      </w:r>
      <w:r w:rsidRPr="003675E5">
        <w:t>support the claim</w:t>
      </w:r>
      <w:r w:rsidR="00244031" w:rsidRPr="003675E5">
        <w:t>s</w:t>
      </w:r>
      <w:r w:rsidRPr="003675E5">
        <w:t xml:space="preserve"> shown in Figure 1</w:t>
      </w:r>
      <w:r w:rsidR="00245D0A" w:rsidRPr="003675E5">
        <w:t>.</w:t>
      </w:r>
      <w:r w:rsidRPr="003675E5">
        <w:t xml:space="preserve"> </w:t>
      </w:r>
      <w:r w:rsidR="00244031" w:rsidRPr="003675E5">
        <w:t>These analyses were based on combining</w:t>
      </w:r>
      <w:r w:rsidR="00796EE6" w:rsidRPr="003675E5">
        <w:t xml:space="preserve"> and comparing</w:t>
      </w:r>
      <w:r w:rsidR="00244031" w:rsidRPr="003675E5">
        <w:t xml:space="preserve"> data from studies with distinctly different patient groups (different enzyme deficiencies, patient ages) from different decades (which affects management of acute attacks and co-therapies)</w:t>
      </w:r>
      <w:r w:rsidR="00796EE6" w:rsidRPr="003675E5">
        <w:t>,</w:t>
      </w:r>
      <w:r w:rsidR="00244031" w:rsidRPr="003675E5">
        <w:t xml:space="preserve"> and reporting different outcomes. This meant the results from the studies were not comparable. </w:t>
      </w:r>
      <w:r w:rsidR="001E2E50" w:rsidRPr="003675E5">
        <w:t>While these meta-analyses were appropriate to include given the lack of other data for patients with this rare disease, the meta-analyses did not allow distinction between direct treatment effects and prognostic effects.</w:t>
      </w:r>
      <w:r w:rsidR="00796EE6" w:rsidRPr="003675E5">
        <w:t xml:space="preserve"> </w:t>
      </w:r>
      <w:r w:rsidRPr="003675E5">
        <w:t>In particular, the natural history arm was not informative because it was likely to have included patients who received ammonia scavengers.</w:t>
      </w:r>
    </w:p>
    <w:p w:rsidR="006D7761" w:rsidRPr="003675E5" w:rsidRDefault="006D7761" w:rsidP="00E7451D">
      <w:pPr>
        <w:pStyle w:val="Heading2"/>
        <w:jc w:val="both"/>
        <w:rPr>
          <w:i w:val="0"/>
        </w:rPr>
      </w:pPr>
      <w:bookmarkStart w:id="23" w:name="_Toc413139279"/>
      <w:bookmarkStart w:id="24" w:name="_Toc493064829"/>
      <w:r w:rsidRPr="003675E5">
        <w:rPr>
          <w:i w:val="0"/>
        </w:rPr>
        <w:t>Comparative harms</w:t>
      </w:r>
      <w:bookmarkEnd w:id="23"/>
      <w:bookmarkEnd w:id="24"/>
    </w:p>
    <w:p w:rsidR="006D7761" w:rsidRPr="003675E5" w:rsidRDefault="006D7761" w:rsidP="00881F91">
      <w:pPr>
        <w:pStyle w:val="ListParagraph"/>
      </w:pPr>
      <w:r w:rsidRPr="003675E5">
        <w:t>In Kibleur 2014 no adverse events were reported with coated NaPb, while four patients (16%) reported vomiting reflexes during treatment with uncoated NaPb. This likely reflected the recruitment of patients who found this formulation unacceptable. Longer-term data were available for eight patients from Kibleur 2014 with an average of approximately one year treatment with coated NaP</w:t>
      </w:r>
      <w:r w:rsidR="006F55B0" w:rsidRPr="003675E5">
        <w:t>b</w:t>
      </w:r>
      <w:r w:rsidRPr="003675E5">
        <w:t xml:space="preserve"> (range 8 to 30 months). No adverse events were reported in the long</w:t>
      </w:r>
      <w:r w:rsidR="00796EE6" w:rsidRPr="003675E5">
        <w:t>er</w:t>
      </w:r>
      <w:r w:rsidRPr="003675E5">
        <w:t>-term follow-up.</w:t>
      </w:r>
    </w:p>
    <w:p w:rsidR="006D7761" w:rsidRPr="003675E5" w:rsidRDefault="006D7761" w:rsidP="00881F91">
      <w:pPr>
        <w:pStyle w:val="ListParagraph"/>
      </w:pPr>
      <w:r w:rsidRPr="003675E5">
        <w:t xml:space="preserve">The low patient numbers and before-and-after nature of the study makes any analysis of comparative safety difficult. However, </w:t>
      </w:r>
      <w:r w:rsidR="00245D0A" w:rsidRPr="003675E5">
        <w:t xml:space="preserve">pharmacokinetic </w:t>
      </w:r>
      <w:r w:rsidRPr="003675E5">
        <w:t xml:space="preserve">data </w:t>
      </w:r>
      <w:r w:rsidR="00245D0A" w:rsidRPr="003675E5">
        <w:t xml:space="preserve">indicated the two formulations were bioequivalent, so </w:t>
      </w:r>
      <w:r w:rsidRPr="003675E5">
        <w:t>differences in safety would not be expected.</w:t>
      </w:r>
      <w:r w:rsidR="00245D0A" w:rsidRPr="003675E5">
        <w:t xml:space="preserve"> </w:t>
      </w:r>
    </w:p>
    <w:p w:rsidR="006D7761" w:rsidRPr="003675E5" w:rsidRDefault="006D7761" w:rsidP="006D7761">
      <w:pPr>
        <w:pStyle w:val="Heading2"/>
        <w:rPr>
          <w:i w:val="0"/>
        </w:rPr>
      </w:pPr>
      <w:bookmarkStart w:id="25" w:name="_Toc493064830"/>
      <w:r w:rsidRPr="003675E5">
        <w:rPr>
          <w:i w:val="0"/>
        </w:rPr>
        <w:t>Benefits and harms</w:t>
      </w:r>
      <w:bookmarkEnd w:id="25"/>
    </w:p>
    <w:p w:rsidR="006D7761" w:rsidRPr="003675E5" w:rsidRDefault="004661A5" w:rsidP="00881F91">
      <w:pPr>
        <w:pStyle w:val="ListParagraph"/>
      </w:pPr>
      <w:r>
        <w:t xml:space="preserve">The benefits and harms of coated </w:t>
      </w:r>
      <w:r w:rsidR="00CF4A6E">
        <w:t xml:space="preserve">NaPb </w:t>
      </w:r>
      <w:r>
        <w:t>vs uncoated NaPb is unclear due to the level of uncertainty with the available evidence</w:t>
      </w:r>
      <w:r w:rsidRPr="003675E5">
        <w:t xml:space="preserve"> </w:t>
      </w:r>
      <w:r>
        <w:t xml:space="preserve">described above. </w:t>
      </w:r>
      <w:r w:rsidR="006D7761" w:rsidRPr="003675E5">
        <w:t>.</w:t>
      </w:r>
    </w:p>
    <w:p w:rsidR="006D7761" w:rsidRPr="003675E5" w:rsidRDefault="006D7761" w:rsidP="006D7761">
      <w:pPr>
        <w:pStyle w:val="Heading2"/>
        <w:rPr>
          <w:i w:val="0"/>
        </w:rPr>
      </w:pPr>
      <w:bookmarkStart w:id="26" w:name="_Toc493064831"/>
      <w:r w:rsidRPr="003675E5">
        <w:rPr>
          <w:i w:val="0"/>
        </w:rPr>
        <w:t>Interpretation of clinical evidence</w:t>
      </w:r>
      <w:bookmarkEnd w:id="26"/>
    </w:p>
    <w:p w:rsidR="006D7761" w:rsidRPr="003675E5" w:rsidRDefault="006D7761" w:rsidP="00881F91">
      <w:pPr>
        <w:pStyle w:val="ListParagraph"/>
      </w:pPr>
      <w:r w:rsidRPr="003675E5">
        <w:t xml:space="preserve">The submission claimed that coated NaPb had superior effectiveness and non-inferior safety compared with all comparators (uncoated NaPb, NaBz and natural history). </w:t>
      </w:r>
    </w:p>
    <w:p w:rsidR="006D7761" w:rsidRPr="003675E5" w:rsidRDefault="006D7761" w:rsidP="006D7761">
      <w:pPr>
        <w:rPr>
          <w:u w:val="single"/>
        </w:rPr>
      </w:pPr>
      <w:r w:rsidRPr="003675E5">
        <w:rPr>
          <w:u w:val="single"/>
        </w:rPr>
        <w:t>Coated NaPb (± NaBz) versus uncoated NaPb (± NaBz)</w:t>
      </w:r>
    </w:p>
    <w:p w:rsidR="006D7761" w:rsidRPr="003675E5" w:rsidRDefault="006D7761" w:rsidP="00881F91">
      <w:pPr>
        <w:pStyle w:val="ListParagraph"/>
      </w:pPr>
      <w:r w:rsidRPr="003675E5">
        <w:t>The claim that coated NaPb (± NaBz) was superior to uncoated NaPb (± NaBz) was not well supported by the data presented. The claim was based on a before-and-after study (Kibleur 2014) with small patient numbers</w:t>
      </w:r>
      <w:r w:rsidR="00245D0A" w:rsidRPr="003675E5">
        <w:t xml:space="preserve"> and a high risk of bias.</w:t>
      </w:r>
      <w:r w:rsidRPr="003675E5">
        <w:t xml:space="preserve"> Further, the outcome reported (hyperammonemic episodes) may have limited clinical significance.</w:t>
      </w:r>
    </w:p>
    <w:p w:rsidR="006D7761" w:rsidRPr="003675E5" w:rsidRDefault="006D7761" w:rsidP="00881F91">
      <w:pPr>
        <w:pStyle w:val="ListParagraph"/>
      </w:pPr>
      <w:r w:rsidRPr="003675E5">
        <w:t>Limited safety data were available, however differences in safety between the coated and uncoated formulations would not be expected.</w:t>
      </w:r>
    </w:p>
    <w:p w:rsidR="006D7761" w:rsidRPr="003675E5" w:rsidRDefault="006D7761" w:rsidP="006D7761">
      <w:pPr>
        <w:spacing w:before="0" w:after="120"/>
        <w:jc w:val="both"/>
        <w:rPr>
          <w:u w:val="single"/>
        </w:rPr>
      </w:pPr>
      <w:r w:rsidRPr="003675E5">
        <w:rPr>
          <w:u w:val="single"/>
        </w:rPr>
        <w:t>Coated NaPb (± NaBz) versus NaBz</w:t>
      </w:r>
      <w:r w:rsidR="00796EE6" w:rsidRPr="003675E5">
        <w:rPr>
          <w:u w:val="single"/>
        </w:rPr>
        <w:t xml:space="preserve"> monotherapy</w:t>
      </w:r>
    </w:p>
    <w:p w:rsidR="006D7761" w:rsidRPr="003675E5" w:rsidRDefault="006D7761" w:rsidP="00881F91">
      <w:pPr>
        <w:pStyle w:val="ListParagraph"/>
      </w:pPr>
      <w:r w:rsidRPr="003675E5">
        <w:t>The claim of superiority versus NaBz relied on data from Maestri and an indirect comparison based on single arm non-transitive studies. The treatment comparisons differed significantly with respect to known treatment effect modifiers, with the studies of NaBz monotherapy being from less recent time periods. There were insufficient data to support a claim of superiority over NaBz.</w:t>
      </w:r>
    </w:p>
    <w:p w:rsidR="006D7761" w:rsidRPr="003675E5" w:rsidRDefault="006D7761" w:rsidP="006D7761">
      <w:pPr>
        <w:spacing w:before="0" w:after="120"/>
        <w:jc w:val="both"/>
        <w:rPr>
          <w:u w:val="single"/>
        </w:rPr>
      </w:pPr>
      <w:r w:rsidRPr="003675E5">
        <w:rPr>
          <w:u w:val="single"/>
        </w:rPr>
        <w:t>Standard care versus natural history</w:t>
      </w:r>
    </w:p>
    <w:p w:rsidR="006D7761" w:rsidRPr="003675E5" w:rsidRDefault="006D7761" w:rsidP="00881F91">
      <w:pPr>
        <w:pStyle w:val="ListParagraph"/>
      </w:pPr>
      <w:r w:rsidRPr="003675E5">
        <w:t xml:space="preserve">The submission also claimed that standard care (with ammonia scavengers) improves survival compared with natural history (no ammonia scavengers). This was not adequately supported by the data presented in the meta-analyses as patients in the natural history arm were likely to have received ammonia scavengers. Bachmann 2003 found that survival was better with standard care in patients up to three years of age, but found no increase in survival after this. It was acknowledged that Bachmann 2003 was a retrospective survey with several limitations. As ammonia scavengers have been used since the early 1980s it was difficult to reliably assess their effectiveness distinct from other changes in the overall management of these patients. </w:t>
      </w:r>
    </w:p>
    <w:p w:rsidR="006D7761" w:rsidRPr="003675E5" w:rsidRDefault="006D7761" w:rsidP="006D7761">
      <w:pPr>
        <w:spacing w:before="0" w:after="120"/>
        <w:jc w:val="both"/>
        <w:rPr>
          <w:u w:val="single"/>
        </w:rPr>
      </w:pPr>
      <w:r w:rsidRPr="003675E5">
        <w:rPr>
          <w:u w:val="single"/>
        </w:rPr>
        <w:t>Overall</w:t>
      </w:r>
    </w:p>
    <w:p w:rsidR="006D7761" w:rsidRPr="003675E5" w:rsidRDefault="00FE5ACC" w:rsidP="00881F91">
      <w:pPr>
        <w:pStyle w:val="ListParagraph"/>
      </w:pPr>
      <w:r w:rsidRPr="003675E5">
        <w:t xml:space="preserve">The </w:t>
      </w:r>
      <w:r w:rsidR="00FD37A9" w:rsidRPr="003675E5">
        <w:t>ESC advised that a</w:t>
      </w:r>
      <w:r w:rsidR="006D7761" w:rsidRPr="003675E5">
        <w:t xml:space="preserve"> more appropriate claim may have been that coated NaPb (± NaBz) was non-inferior to uncoated NaPb and/or NaBz. Coated NaPb may offer some advantages in the ease of administration in patients who are intolerant to current therapies (e.g. by reducing the need for </w:t>
      </w:r>
      <w:r w:rsidR="00F775AF" w:rsidRPr="003675E5">
        <w:t>a naso-gastric tube or gastronomy,</w:t>
      </w:r>
      <w:r w:rsidR="006D7761" w:rsidRPr="003675E5">
        <w:t xml:space="preserve"> and for compounding of powders).</w:t>
      </w:r>
    </w:p>
    <w:p w:rsidR="006D7761" w:rsidRPr="00A27D94" w:rsidRDefault="006D7761" w:rsidP="00881F91">
      <w:pPr>
        <w:pStyle w:val="ListParagraph"/>
      </w:pPr>
      <w:r w:rsidRPr="00A27D94">
        <w:t xml:space="preserve">If there are patients who are refractory to NaBz and also unable to be administered uncoated NaPb, then a claim of superiority may have been appropriate for this proportion of the population. However, the submission did not provide clinical justification that a refractory population exists. </w:t>
      </w:r>
    </w:p>
    <w:p w:rsidR="0047765E" w:rsidRPr="00A27D94" w:rsidRDefault="0047765E" w:rsidP="0047765E">
      <w:pPr>
        <w:pStyle w:val="ListParagraph"/>
        <w:rPr>
          <w:snapToGrid w:val="0"/>
        </w:rPr>
      </w:pPr>
      <w:r w:rsidRPr="00A27D94">
        <w:rPr>
          <w:snapToGrid w:val="0"/>
        </w:rPr>
        <w:t xml:space="preserve">The PBAC considered that the claim of superior comparative effectiveness was not adequately supported by the </w:t>
      </w:r>
      <w:r w:rsidR="00050E8B">
        <w:rPr>
          <w:snapToGrid w:val="0"/>
        </w:rPr>
        <w:t>evidence presented. A</w:t>
      </w:r>
      <w:r w:rsidRPr="00A27D94">
        <w:rPr>
          <w:snapToGrid w:val="0"/>
        </w:rPr>
        <w:t xml:space="preserve"> claim of non-inferior comparative </w:t>
      </w:r>
      <w:r w:rsidR="00D2149E" w:rsidRPr="00A27D94">
        <w:rPr>
          <w:snapToGrid w:val="0"/>
        </w:rPr>
        <w:t>effectivenes</w:t>
      </w:r>
      <w:r w:rsidR="00D2149E">
        <w:rPr>
          <w:snapToGrid w:val="0"/>
        </w:rPr>
        <w:t>s</w:t>
      </w:r>
      <w:r w:rsidRPr="00A27D94">
        <w:rPr>
          <w:snapToGrid w:val="0"/>
        </w:rPr>
        <w:t xml:space="preserve"> </w:t>
      </w:r>
      <w:r w:rsidR="00D2149E">
        <w:rPr>
          <w:snapToGrid w:val="0"/>
        </w:rPr>
        <w:t xml:space="preserve">versus other ammonia scavenger formulations </w:t>
      </w:r>
      <w:r w:rsidRPr="00A27D94">
        <w:rPr>
          <w:snapToGrid w:val="0"/>
        </w:rPr>
        <w:t>would have been appropriate.</w:t>
      </w:r>
    </w:p>
    <w:p w:rsidR="00CD33CC" w:rsidRPr="00A27D94" w:rsidRDefault="00CD33CC" w:rsidP="00881F91">
      <w:pPr>
        <w:pStyle w:val="ListParagraph"/>
        <w:rPr>
          <w:snapToGrid w:val="0"/>
        </w:rPr>
      </w:pPr>
      <w:r w:rsidRPr="00A27D94">
        <w:rPr>
          <w:snapToGrid w:val="0"/>
        </w:rPr>
        <w:t xml:space="preserve">The PBAC considered that the claim of non-inferior comparative safety was reasonable. </w:t>
      </w:r>
    </w:p>
    <w:p w:rsidR="006D7761" w:rsidRPr="003675E5" w:rsidRDefault="006D7761" w:rsidP="006D7761">
      <w:pPr>
        <w:pStyle w:val="Heading2"/>
        <w:rPr>
          <w:i w:val="0"/>
        </w:rPr>
      </w:pPr>
      <w:bookmarkStart w:id="27" w:name="_Toc413139282"/>
      <w:bookmarkStart w:id="28" w:name="_Toc493064832"/>
      <w:r w:rsidRPr="003675E5">
        <w:rPr>
          <w:i w:val="0"/>
        </w:rPr>
        <w:t>Economic analysis</w:t>
      </w:r>
      <w:bookmarkEnd w:id="27"/>
      <w:bookmarkEnd w:id="28"/>
    </w:p>
    <w:p w:rsidR="006D7761" w:rsidRPr="003675E5" w:rsidRDefault="006D7761" w:rsidP="00881F91">
      <w:pPr>
        <w:pStyle w:val="ListParagraph"/>
      </w:pPr>
      <w:r w:rsidRPr="003675E5">
        <w:t>The submission presented a stepped economic evaluation with three treatment arms:</w:t>
      </w:r>
    </w:p>
    <w:p w:rsidR="006D7761" w:rsidRPr="003675E5" w:rsidRDefault="00914EB6" w:rsidP="001D70B4">
      <w:pPr>
        <w:pStyle w:val="ListParagraph"/>
        <w:numPr>
          <w:ilvl w:val="0"/>
          <w:numId w:val="7"/>
        </w:numPr>
      </w:pPr>
      <w:r w:rsidRPr="003675E5">
        <w:t>C</w:t>
      </w:r>
      <w:r w:rsidR="006D7761" w:rsidRPr="003675E5">
        <w:t xml:space="preserve">oated NaPb (± NaBz); </w:t>
      </w:r>
    </w:p>
    <w:p w:rsidR="006D7761" w:rsidRPr="003675E5" w:rsidRDefault="00914EB6" w:rsidP="001D70B4">
      <w:pPr>
        <w:pStyle w:val="ListParagraph"/>
        <w:numPr>
          <w:ilvl w:val="0"/>
          <w:numId w:val="7"/>
        </w:numPr>
      </w:pPr>
      <w:r w:rsidRPr="003675E5">
        <w:t>S</w:t>
      </w:r>
      <w:r w:rsidR="006D7761" w:rsidRPr="003675E5">
        <w:t xml:space="preserve">tandard care with ammonia scavengers, generally </w:t>
      </w:r>
      <w:r w:rsidR="00796EE6" w:rsidRPr="003675E5">
        <w:t xml:space="preserve">informed by </w:t>
      </w:r>
      <w:r w:rsidR="006D7761" w:rsidRPr="003675E5">
        <w:t>uncoated NaPb (± NaBz);</w:t>
      </w:r>
      <w:r w:rsidR="00F775AF" w:rsidRPr="003675E5">
        <w:t xml:space="preserve"> and</w:t>
      </w:r>
    </w:p>
    <w:p w:rsidR="006D7761" w:rsidRPr="003675E5" w:rsidRDefault="00914EB6" w:rsidP="001D70B4">
      <w:pPr>
        <w:pStyle w:val="ListParagraph"/>
        <w:numPr>
          <w:ilvl w:val="0"/>
          <w:numId w:val="7"/>
        </w:numPr>
      </w:pPr>
      <w:r w:rsidRPr="003675E5">
        <w:t>N</w:t>
      </w:r>
      <w:r w:rsidR="006D7761" w:rsidRPr="003675E5">
        <w:t>atural history with no ammonia scavengers (protein restriction alone in the mid</w:t>
      </w:r>
      <w:r w:rsidR="00F775AF" w:rsidRPr="003675E5">
        <w:t>-to-</w:t>
      </w:r>
      <w:r w:rsidR="006D7761" w:rsidRPr="003675E5">
        <w:t xml:space="preserve">late 1970s and early 1980s). </w:t>
      </w:r>
    </w:p>
    <w:p w:rsidR="00F13A16" w:rsidRPr="003675E5" w:rsidRDefault="00F13A16" w:rsidP="00881F91">
      <w:pPr>
        <w:pStyle w:val="ListParagraph"/>
      </w:pPr>
      <w:r w:rsidRPr="003675E5">
        <w:t>The model was largely driven by the clinical data from Kibleur 2014. A more reasonable approach may have been a cost-minimisation analysis against uncoated NaPb and NaBz (potentially weighted for the likely proportion of use of each) incorporating changes in administration-related resource use</w:t>
      </w:r>
      <w:r w:rsidR="004F54C3" w:rsidRPr="003675E5">
        <w:t xml:space="preserve"> and costs </w:t>
      </w:r>
      <w:r w:rsidR="003406B0" w:rsidRPr="003675E5">
        <w:t>associated with</w:t>
      </w:r>
      <w:r w:rsidR="004F54C3" w:rsidRPr="003675E5">
        <w:t xml:space="preserve"> compounding</w:t>
      </w:r>
      <w:r w:rsidRPr="003675E5">
        <w:t xml:space="preserve">. </w:t>
      </w:r>
      <w:r w:rsidR="00FE5ACC" w:rsidRPr="003675E5">
        <w:t xml:space="preserve">The </w:t>
      </w:r>
      <w:r w:rsidR="00FD37A9" w:rsidRPr="003675E5">
        <w:t>ESC agreed that i</w:t>
      </w:r>
      <w:r w:rsidRPr="003675E5">
        <w:t xml:space="preserve">f there are patients who are refractory to NaBz and also unable to be administered uncoated NaPb, then a cost-utility analysis may have been appropriate for this proportion of the proposed population. </w:t>
      </w:r>
      <w:r w:rsidR="00793576" w:rsidRPr="003675E5">
        <w:t>H</w:t>
      </w:r>
      <w:r w:rsidR="00FD37A9" w:rsidRPr="003675E5">
        <w:t>owever</w:t>
      </w:r>
      <w:r w:rsidR="00793576" w:rsidRPr="003675E5">
        <w:t xml:space="preserve"> it is noted</w:t>
      </w:r>
      <w:r w:rsidR="00FD37A9" w:rsidRPr="003675E5">
        <w:t xml:space="preserve"> that subsequent PBS listing may be difficult in subsidising a medicine for a patient population who would first have to try an unregistered and non PBS subsidised medicine.</w:t>
      </w:r>
    </w:p>
    <w:p w:rsidR="006D7761" w:rsidRPr="003675E5" w:rsidRDefault="006D7761" w:rsidP="00881F91">
      <w:pPr>
        <w:pStyle w:val="ListParagraph"/>
      </w:pPr>
      <w:r w:rsidRPr="003675E5">
        <w:t xml:space="preserve">The model structure is outlined in Figure </w:t>
      </w:r>
      <w:r w:rsidR="006D01A3" w:rsidRPr="003675E5">
        <w:t xml:space="preserve">3 </w:t>
      </w:r>
      <w:r w:rsidRPr="003675E5">
        <w:t xml:space="preserve">and Table </w:t>
      </w:r>
      <w:r w:rsidR="00F77309" w:rsidRPr="003675E5">
        <w:t>8</w:t>
      </w:r>
      <w:r w:rsidRPr="003675E5">
        <w:t>.</w:t>
      </w:r>
    </w:p>
    <w:p w:rsidR="006D7761" w:rsidRPr="003675E5" w:rsidRDefault="006D7761" w:rsidP="006D7761">
      <w:pPr>
        <w:pStyle w:val="TableHeading0"/>
      </w:pPr>
      <w:r w:rsidRPr="003675E5">
        <w:t xml:space="preserve">Figure </w:t>
      </w:r>
      <w:r w:rsidR="006D01A3" w:rsidRPr="003675E5">
        <w:t>3</w:t>
      </w:r>
      <w:r w:rsidRPr="003675E5">
        <w:t>: Simplified structure of the economic model (compiled during evaluation)</w:t>
      </w:r>
    </w:p>
    <w:p w:rsidR="006D7761" w:rsidRPr="003675E5" w:rsidRDefault="006F55B0" w:rsidP="006D7761">
      <w:pPr>
        <w:pStyle w:val="TableHeading0"/>
      </w:pPr>
      <w:r w:rsidRPr="003675E5">
        <w:rPr>
          <w:noProof/>
          <w:lang w:eastAsia="en-AU"/>
        </w:rPr>
        <w:drawing>
          <wp:inline distT="0" distB="0" distL="0" distR="0" wp14:anchorId="64F5F553" wp14:editId="3AB02E20">
            <wp:extent cx="3752850" cy="3678275"/>
            <wp:effectExtent l="0" t="0" r="0" b="0"/>
            <wp:docPr id="17" name="Picture 17" title="Figure 3: Simplified structure of the economic model (compiled during e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755855" cy="3681221"/>
                    </a:xfrm>
                    <a:prstGeom prst="rect">
                      <a:avLst/>
                    </a:prstGeom>
                  </pic:spPr>
                </pic:pic>
              </a:graphicData>
            </a:graphic>
          </wp:inline>
        </w:drawing>
      </w:r>
    </w:p>
    <w:p w:rsidR="006D7761" w:rsidRPr="003675E5" w:rsidRDefault="006D7761" w:rsidP="006D7761">
      <w:pPr>
        <w:pStyle w:val="TableFooter"/>
      </w:pPr>
      <w:r w:rsidRPr="003675E5">
        <w:t xml:space="preserve">Source: Compiled during evaluation. Compared with the submission’s diagram (Figure 3-1, p3-9 of the submission), the health states were simplified: the “No previous HAC” state was removed as it was not used in the base case; “Further HACs” was relabelled to “UCD” which better described the state (HACs were events that were not experienced in one arm); the 3 “Death” health states were combined. </w:t>
      </w:r>
    </w:p>
    <w:p w:rsidR="006D7761" w:rsidRPr="003675E5" w:rsidRDefault="006D7761" w:rsidP="00DB49ED">
      <w:pPr>
        <w:pStyle w:val="TableFooter"/>
      </w:pPr>
      <w:r w:rsidRPr="003675E5">
        <w:t>HAC = hyperammonemic cris</w:t>
      </w:r>
      <w:r w:rsidR="00E70FF8" w:rsidRPr="003675E5">
        <w:t>i</w:t>
      </w:r>
      <w:r w:rsidRPr="003675E5">
        <w:t>s; UCD = urea cycle disorder</w:t>
      </w:r>
    </w:p>
    <w:p w:rsidR="00DB49ED" w:rsidRPr="003675E5" w:rsidRDefault="00DB49ED" w:rsidP="00DB49ED">
      <w:pPr>
        <w:pStyle w:val="TableFooter"/>
        <w:rPr>
          <w:color w:val="4472C4" w:themeColor="accent5"/>
        </w:rPr>
      </w:pPr>
    </w:p>
    <w:p w:rsidR="006D7761" w:rsidRPr="003675E5" w:rsidRDefault="006D7761" w:rsidP="006D7761">
      <w:pPr>
        <w:pStyle w:val="TableHeading0"/>
      </w:pPr>
      <w:r w:rsidRPr="003675E5">
        <w:t xml:space="preserve">Table </w:t>
      </w:r>
      <w:r w:rsidR="00F77309" w:rsidRPr="003675E5">
        <w:t>8</w:t>
      </w:r>
      <w:r w:rsidRPr="003675E5">
        <w:t>: Summary of model structure and rationale</w:t>
      </w:r>
      <w:r w:rsidRPr="003675E5">
        <w:rPr>
          <w:b w:val="0"/>
          <w:color w:val="4472C4" w:themeColor="accent5"/>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7636"/>
      </w:tblGrid>
      <w:tr w:rsidR="006D7761" w:rsidRPr="003675E5" w:rsidTr="00494959">
        <w:trPr>
          <w:tblHeader/>
        </w:trPr>
        <w:tc>
          <w:tcPr>
            <w:tcW w:w="796" w:type="pct"/>
            <w:shd w:val="clear" w:color="auto" w:fill="auto"/>
            <w:vAlign w:val="center"/>
          </w:tcPr>
          <w:p w:rsidR="006D7761" w:rsidRPr="003675E5" w:rsidRDefault="006D7761" w:rsidP="00D306CB">
            <w:pPr>
              <w:pStyle w:val="TableText"/>
              <w:rPr>
                <w:b/>
              </w:rPr>
            </w:pPr>
            <w:r w:rsidRPr="003675E5">
              <w:rPr>
                <w:b/>
              </w:rPr>
              <w:t>Component</w:t>
            </w:r>
          </w:p>
        </w:tc>
        <w:tc>
          <w:tcPr>
            <w:tcW w:w="4204" w:type="pct"/>
            <w:shd w:val="clear" w:color="auto" w:fill="auto"/>
            <w:vAlign w:val="center"/>
          </w:tcPr>
          <w:p w:rsidR="006D7761" w:rsidRPr="003675E5" w:rsidRDefault="006D7761" w:rsidP="00D306CB">
            <w:pPr>
              <w:pStyle w:val="TableText"/>
              <w:rPr>
                <w:b/>
              </w:rPr>
            </w:pPr>
            <w:r w:rsidRPr="003675E5">
              <w:rPr>
                <w:b/>
              </w:rPr>
              <w:t>Summary</w:t>
            </w:r>
          </w:p>
        </w:tc>
      </w:tr>
      <w:tr w:rsidR="006D7761" w:rsidRPr="003675E5" w:rsidTr="00494959">
        <w:tc>
          <w:tcPr>
            <w:tcW w:w="796" w:type="pct"/>
            <w:shd w:val="clear" w:color="auto" w:fill="auto"/>
            <w:vAlign w:val="center"/>
          </w:tcPr>
          <w:p w:rsidR="006D7761" w:rsidRPr="003675E5" w:rsidRDefault="006D7761" w:rsidP="00D306CB">
            <w:pPr>
              <w:pStyle w:val="TableText"/>
            </w:pPr>
            <w:r w:rsidRPr="003675E5">
              <w:t>Time horizon</w:t>
            </w:r>
          </w:p>
        </w:tc>
        <w:tc>
          <w:tcPr>
            <w:tcW w:w="4204" w:type="pct"/>
            <w:shd w:val="clear" w:color="auto" w:fill="auto"/>
            <w:vAlign w:val="center"/>
          </w:tcPr>
          <w:p w:rsidR="006D7761" w:rsidRPr="003675E5" w:rsidRDefault="006D7761" w:rsidP="00BD5343">
            <w:pPr>
              <w:pStyle w:val="TableText"/>
              <w:rPr>
                <w:rFonts w:ascii="Times" w:eastAsia="Times New Roman" w:hAnsi="Times" w:cs="Times New Roman"/>
              </w:rPr>
            </w:pPr>
            <w:r w:rsidRPr="003675E5">
              <w:t xml:space="preserve">100 years vs ~6 months in each arm of Kibleur 2014. </w:t>
            </w:r>
            <w:r w:rsidR="00F775AF" w:rsidRPr="003675E5">
              <w:t xml:space="preserve">A </w:t>
            </w:r>
            <w:r w:rsidR="00CB6BE1" w:rsidRPr="003675E5">
              <w:t xml:space="preserve">100 year horizon was used to incorporate life expectancy of patients with liver transplants (no incremental costs or benefits </w:t>
            </w:r>
            <w:r w:rsidR="003406B0" w:rsidRPr="003675E5">
              <w:t xml:space="preserve">were </w:t>
            </w:r>
            <w:r w:rsidR="00CB6BE1" w:rsidRPr="003675E5">
              <w:t>accrued in the liver transplant health states in the coated NaPb versus standard care analysis). Around 90% of patients in the UCD health state were dead within ten years, so the time horizon</w:t>
            </w:r>
            <w:r w:rsidRPr="003675E5">
              <w:t xml:space="preserve"> had almost no impact on the </w:t>
            </w:r>
            <w:r w:rsidR="00BD5343" w:rsidRPr="003675E5">
              <w:t>ICER</w:t>
            </w:r>
            <w:r w:rsidRPr="003675E5">
              <w:t>.</w:t>
            </w:r>
            <w:r w:rsidR="00CB6BE1" w:rsidRPr="003675E5">
              <w:t xml:space="preserve"> </w:t>
            </w:r>
            <w:r w:rsidR="00C86420" w:rsidRPr="003675E5">
              <w:t>T</w:t>
            </w:r>
            <w:r w:rsidR="00CB6BE1" w:rsidRPr="003675E5">
              <w:t xml:space="preserve">he </w:t>
            </w:r>
            <w:r w:rsidR="00C86420" w:rsidRPr="003675E5">
              <w:t xml:space="preserve">clinical </w:t>
            </w:r>
            <w:r w:rsidR="00CB6BE1" w:rsidRPr="003675E5">
              <w:t>data were not sufficiently robust to extrapolate</w:t>
            </w:r>
            <w:r w:rsidR="00C86420" w:rsidRPr="003675E5">
              <w:t xml:space="preserve"> for any length of time. </w:t>
            </w:r>
          </w:p>
        </w:tc>
      </w:tr>
      <w:tr w:rsidR="006D7761" w:rsidRPr="003675E5" w:rsidTr="00494959">
        <w:tc>
          <w:tcPr>
            <w:tcW w:w="796" w:type="pct"/>
            <w:shd w:val="clear" w:color="auto" w:fill="auto"/>
            <w:vAlign w:val="center"/>
          </w:tcPr>
          <w:p w:rsidR="006D7761" w:rsidRPr="003675E5" w:rsidRDefault="006D7761" w:rsidP="00D306CB">
            <w:pPr>
              <w:pStyle w:val="TableText"/>
              <w:rPr>
                <w:rFonts w:ascii="Times" w:eastAsia="Times New Roman" w:hAnsi="Times" w:cs="Times New Roman"/>
              </w:rPr>
            </w:pPr>
            <w:r w:rsidRPr="003675E5">
              <w:t>Outcomes</w:t>
            </w:r>
          </w:p>
        </w:tc>
        <w:tc>
          <w:tcPr>
            <w:tcW w:w="4204" w:type="pct"/>
            <w:shd w:val="clear" w:color="auto" w:fill="auto"/>
            <w:vAlign w:val="center"/>
          </w:tcPr>
          <w:p w:rsidR="006D7761" w:rsidRPr="003675E5" w:rsidRDefault="006D7761" w:rsidP="00793576">
            <w:pPr>
              <w:pStyle w:val="TableText"/>
              <w:rPr>
                <w:rFonts w:ascii="Times" w:eastAsia="Times New Roman" w:hAnsi="Times" w:cs="Times New Roman"/>
              </w:rPr>
            </w:pPr>
            <w:r w:rsidRPr="003675E5">
              <w:t>L</w:t>
            </w:r>
            <w:r w:rsidR="00BD5343" w:rsidRPr="003675E5">
              <w:t>Y</w:t>
            </w:r>
            <w:r w:rsidRPr="003675E5">
              <w:t>s</w:t>
            </w:r>
            <w:r w:rsidR="00C86420" w:rsidRPr="003675E5">
              <w:t xml:space="preserve"> and</w:t>
            </w:r>
            <w:r w:rsidRPr="003675E5">
              <w:t xml:space="preserve"> QALYs</w:t>
            </w:r>
            <w:r w:rsidR="00C86420" w:rsidRPr="003675E5">
              <w:t>. HACs</w:t>
            </w:r>
            <w:r w:rsidRPr="003675E5">
              <w:t xml:space="preserve"> </w:t>
            </w:r>
            <w:r w:rsidR="00C86420" w:rsidRPr="003675E5">
              <w:t xml:space="preserve">were an </w:t>
            </w:r>
            <w:r w:rsidRPr="003675E5">
              <w:t>event</w:t>
            </w:r>
            <w:r w:rsidR="00C86420" w:rsidRPr="003675E5">
              <w:t xml:space="preserve"> within the model (associated with a cost)</w:t>
            </w:r>
            <w:r w:rsidR="00CB6BE1" w:rsidRPr="003675E5">
              <w:t>, that w</w:t>
            </w:r>
            <w:r w:rsidR="00C86420" w:rsidRPr="003675E5">
              <w:t>ere</w:t>
            </w:r>
            <w:r w:rsidR="00CB6BE1" w:rsidRPr="003675E5">
              <w:t xml:space="preserve"> based on the rate</w:t>
            </w:r>
            <w:r w:rsidR="00046D0F" w:rsidRPr="003675E5">
              <w:t xml:space="preserve"> of</w:t>
            </w:r>
            <w:r w:rsidR="00CB6BE1" w:rsidRPr="003675E5">
              <w:t xml:space="preserve"> hyperammonemic episodes</w:t>
            </w:r>
            <w:r w:rsidR="00BD5343" w:rsidRPr="003675E5">
              <w:t xml:space="preserve"> in Kibleur 2014</w:t>
            </w:r>
            <w:r w:rsidR="00C86420" w:rsidRPr="003675E5">
              <w:t>. No evidence was provided to justify the translation of hyperammonemic episodes to crises (the latter would represent a more significant clinical event</w:t>
            </w:r>
            <w:r w:rsidRPr="003675E5">
              <w:t>)</w:t>
            </w:r>
            <w:r w:rsidR="00C86420" w:rsidRPr="003675E5">
              <w:t>.</w:t>
            </w:r>
            <w:r w:rsidR="00046D0F" w:rsidRPr="003675E5">
              <w:t xml:space="preserve"> </w:t>
            </w:r>
            <w:r w:rsidR="00FE5ACC" w:rsidRPr="003675E5">
              <w:t xml:space="preserve">The </w:t>
            </w:r>
            <w:r w:rsidR="00046D0F" w:rsidRPr="003675E5">
              <w:t>ESC reiterated the difficulty in extrapolating information from Kibleur 2014 as no information about resource use associated with HACs was reported.</w:t>
            </w:r>
          </w:p>
        </w:tc>
      </w:tr>
      <w:tr w:rsidR="006D7761" w:rsidRPr="003675E5" w:rsidTr="00494959">
        <w:tc>
          <w:tcPr>
            <w:tcW w:w="796" w:type="pct"/>
            <w:shd w:val="clear" w:color="auto" w:fill="auto"/>
            <w:vAlign w:val="center"/>
          </w:tcPr>
          <w:p w:rsidR="006D7761" w:rsidRPr="003675E5" w:rsidRDefault="006D7761" w:rsidP="00D306CB">
            <w:pPr>
              <w:pStyle w:val="TableText"/>
              <w:rPr>
                <w:rFonts w:ascii="Times" w:eastAsia="Times New Roman" w:hAnsi="Times" w:cs="Times New Roman"/>
              </w:rPr>
            </w:pPr>
            <w:r w:rsidRPr="003675E5">
              <w:t>Methods used to generate results</w:t>
            </w:r>
          </w:p>
        </w:tc>
        <w:tc>
          <w:tcPr>
            <w:tcW w:w="4204" w:type="pct"/>
            <w:shd w:val="clear" w:color="auto" w:fill="auto"/>
            <w:vAlign w:val="center"/>
          </w:tcPr>
          <w:p w:rsidR="006D7761" w:rsidRPr="003675E5" w:rsidRDefault="006D7761" w:rsidP="00D306CB">
            <w:pPr>
              <w:pStyle w:val="TableText"/>
              <w:rPr>
                <w:rFonts w:ascii="Times" w:eastAsia="Times New Roman" w:hAnsi="Times" w:cs="Times New Roman"/>
              </w:rPr>
            </w:pPr>
            <w:r w:rsidRPr="003675E5">
              <w:t>Markov model using microsimulations</w:t>
            </w:r>
          </w:p>
        </w:tc>
      </w:tr>
      <w:tr w:rsidR="006D7761" w:rsidRPr="003675E5" w:rsidTr="00494959">
        <w:tc>
          <w:tcPr>
            <w:tcW w:w="796" w:type="pct"/>
            <w:shd w:val="clear" w:color="auto" w:fill="auto"/>
            <w:vAlign w:val="center"/>
          </w:tcPr>
          <w:p w:rsidR="006D7761" w:rsidRPr="003675E5" w:rsidRDefault="006D7761" w:rsidP="00D306CB">
            <w:pPr>
              <w:pStyle w:val="TableText"/>
            </w:pPr>
            <w:r w:rsidRPr="003675E5">
              <w:t>Health states</w:t>
            </w:r>
          </w:p>
        </w:tc>
        <w:tc>
          <w:tcPr>
            <w:tcW w:w="4204" w:type="pct"/>
            <w:shd w:val="clear" w:color="auto" w:fill="auto"/>
            <w:vAlign w:val="center"/>
          </w:tcPr>
          <w:p w:rsidR="006D7761" w:rsidRPr="003675E5" w:rsidRDefault="006D7761" w:rsidP="00D306CB">
            <w:pPr>
              <w:pStyle w:val="TableText"/>
            </w:pPr>
            <w:r w:rsidRPr="003675E5">
              <w:rPr>
                <w:u w:val="single"/>
              </w:rPr>
              <w:t>UCD:</w:t>
            </w:r>
            <w:r w:rsidRPr="003675E5">
              <w:t xml:space="preserve"> HAC events could occur</w:t>
            </w:r>
            <w:r w:rsidR="00BD5343" w:rsidRPr="003675E5">
              <w:t xml:space="preserve"> in this health state</w:t>
            </w:r>
            <w:r w:rsidRPr="003675E5">
              <w:t xml:space="preserve">, which had a probability of leading to permanent cognitive impairment; </w:t>
            </w:r>
          </w:p>
          <w:p w:rsidR="006D7761" w:rsidRPr="003675E5" w:rsidRDefault="006D7761" w:rsidP="00D306CB">
            <w:pPr>
              <w:pStyle w:val="TableText"/>
            </w:pPr>
            <w:r w:rsidRPr="003675E5">
              <w:rPr>
                <w:u w:val="single"/>
              </w:rPr>
              <w:t>Liver transplants</w:t>
            </w:r>
            <w:r w:rsidRPr="003675E5">
              <w:t>: separate states for Year 1 post-transplant and subsequent years; and</w:t>
            </w:r>
          </w:p>
          <w:p w:rsidR="006D7761" w:rsidRPr="003675E5" w:rsidRDefault="006D7761" w:rsidP="00D306CB">
            <w:pPr>
              <w:pStyle w:val="TableText"/>
            </w:pPr>
            <w:r w:rsidRPr="003675E5">
              <w:rPr>
                <w:u w:val="single"/>
              </w:rPr>
              <w:t>Death:</w:t>
            </w:r>
            <w:r w:rsidRPr="003675E5">
              <w:t xml:space="preserve"> which could occur due to UCD, liver transplant (higher rates in earlier years post-transplant) and all cause mortality. </w:t>
            </w:r>
          </w:p>
        </w:tc>
      </w:tr>
      <w:tr w:rsidR="006D7761" w:rsidRPr="003675E5" w:rsidTr="00494959">
        <w:tc>
          <w:tcPr>
            <w:tcW w:w="796" w:type="pct"/>
            <w:shd w:val="clear" w:color="auto" w:fill="auto"/>
            <w:vAlign w:val="center"/>
          </w:tcPr>
          <w:p w:rsidR="006D7761" w:rsidRPr="003675E5" w:rsidRDefault="006D7761" w:rsidP="00D306CB">
            <w:pPr>
              <w:pStyle w:val="TableText"/>
              <w:rPr>
                <w:rFonts w:ascii="Times" w:eastAsia="Times New Roman" w:hAnsi="Times" w:cs="Times New Roman"/>
              </w:rPr>
            </w:pPr>
            <w:r w:rsidRPr="003675E5">
              <w:t>Utilities</w:t>
            </w:r>
          </w:p>
        </w:tc>
        <w:tc>
          <w:tcPr>
            <w:tcW w:w="4204" w:type="pct"/>
            <w:shd w:val="clear" w:color="auto" w:fill="auto"/>
            <w:vAlign w:val="center"/>
          </w:tcPr>
          <w:p w:rsidR="006D7761" w:rsidRPr="003675E5" w:rsidRDefault="00494959" w:rsidP="00046D0F">
            <w:pPr>
              <w:pStyle w:val="TableText"/>
              <w:rPr>
                <w:rFonts w:ascii="Times" w:eastAsia="Times New Roman" w:hAnsi="Times" w:cs="Times New Roman"/>
              </w:rPr>
            </w:pPr>
            <w:r w:rsidRPr="003675E5">
              <w:t>UCD health state: 0.55; Permanent cognitive impairment: 0.22; Liver transplants: 0.84</w:t>
            </w:r>
            <w:r w:rsidR="003406B0" w:rsidRPr="003675E5">
              <w:t>; Disutility for HACs: -0.50 for 7 days</w:t>
            </w:r>
            <w:r w:rsidRPr="003675E5">
              <w:t>. Based on e</w:t>
            </w:r>
            <w:r w:rsidR="006D7761" w:rsidRPr="003675E5">
              <w:t>xpert opinion (</w:t>
            </w:r>
            <w:r w:rsidR="00BD5343" w:rsidRPr="003675E5">
              <w:t>from</w:t>
            </w:r>
            <w:r w:rsidR="006D7761" w:rsidRPr="003675E5">
              <w:t xml:space="preserve"> a CADTH report) and Guest 2014 (which were in patients with hepatic encephalopathy, a neuropsychiatric disorder caused by liver disease). </w:t>
            </w:r>
            <w:r w:rsidR="00CB6BE1" w:rsidRPr="003675E5">
              <w:t>These were poorly justified (e.g. the utility for permanent cognitive impairment appeared low</w:t>
            </w:r>
            <w:r w:rsidR="00BD5343" w:rsidRPr="003675E5">
              <w:t>), however the utilities had minimal impact on the ICER.</w:t>
            </w:r>
            <w:r w:rsidR="00CB6BE1" w:rsidRPr="003675E5">
              <w:t xml:space="preserve"> </w:t>
            </w:r>
            <w:r w:rsidR="00FE5ACC" w:rsidRPr="003675E5">
              <w:t xml:space="preserve">The </w:t>
            </w:r>
            <w:r w:rsidR="00046D0F" w:rsidRPr="003675E5">
              <w:t>ESC noted the</w:t>
            </w:r>
            <w:r w:rsidR="00CB6BE1" w:rsidRPr="003675E5">
              <w:t xml:space="preserve"> lack of reliable utilities in young children. </w:t>
            </w:r>
          </w:p>
        </w:tc>
      </w:tr>
      <w:tr w:rsidR="006D7761" w:rsidRPr="003675E5" w:rsidTr="00494959">
        <w:tc>
          <w:tcPr>
            <w:tcW w:w="796" w:type="pct"/>
            <w:shd w:val="clear" w:color="auto" w:fill="auto"/>
            <w:vAlign w:val="center"/>
          </w:tcPr>
          <w:p w:rsidR="006D7761" w:rsidRPr="003675E5" w:rsidRDefault="006D7761" w:rsidP="00D306CB">
            <w:pPr>
              <w:pStyle w:val="TableText"/>
              <w:rPr>
                <w:rFonts w:ascii="Times" w:eastAsia="Times New Roman" w:hAnsi="Times" w:cs="Times New Roman"/>
              </w:rPr>
            </w:pPr>
            <w:r w:rsidRPr="003675E5">
              <w:t>Cycle length</w:t>
            </w:r>
          </w:p>
        </w:tc>
        <w:tc>
          <w:tcPr>
            <w:tcW w:w="4204" w:type="pct"/>
            <w:shd w:val="clear" w:color="auto" w:fill="auto"/>
            <w:vAlign w:val="center"/>
          </w:tcPr>
          <w:p w:rsidR="006D7761" w:rsidRPr="003675E5" w:rsidRDefault="006D7761" w:rsidP="00046D0F">
            <w:pPr>
              <w:pStyle w:val="TableText"/>
              <w:rPr>
                <w:rFonts w:ascii="Times" w:eastAsia="Times New Roman" w:hAnsi="Times" w:cs="Times New Roman"/>
              </w:rPr>
            </w:pPr>
            <w:r w:rsidRPr="003675E5">
              <w:t xml:space="preserve">One year. </w:t>
            </w:r>
            <w:r w:rsidR="00FE5ACC" w:rsidRPr="003675E5">
              <w:t xml:space="preserve">The </w:t>
            </w:r>
            <w:r w:rsidR="00046D0F" w:rsidRPr="003675E5">
              <w:t>ESC advised that one year was t</w:t>
            </w:r>
            <w:r w:rsidRPr="003675E5">
              <w:t>oo long to represent the frequency of clinical events as patients could have up to 6 HAC events per cycle, with no risk of death.</w:t>
            </w:r>
          </w:p>
        </w:tc>
      </w:tr>
      <w:tr w:rsidR="006D7761" w:rsidRPr="003675E5" w:rsidTr="00494959">
        <w:tc>
          <w:tcPr>
            <w:tcW w:w="796" w:type="pct"/>
            <w:shd w:val="clear" w:color="auto" w:fill="auto"/>
            <w:vAlign w:val="center"/>
          </w:tcPr>
          <w:p w:rsidR="006D7761" w:rsidRPr="003675E5" w:rsidRDefault="006D7761" w:rsidP="00D306CB">
            <w:pPr>
              <w:pStyle w:val="TableText"/>
              <w:rPr>
                <w:rFonts w:ascii="Times" w:eastAsia="Times New Roman" w:hAnsi="Times" w:cs="Times New Roman"/>
              </w:rPr>
            </w:pPr>
            <w:r w:rsidRPr="003675E5">
              <w:t>Transition probabilities</w:t>
            </w:r>
          </w:p>
        </w:tc>
        <w:tc>
          <w:tcPr>
            <w:tcW w:w="4204" w:type="pct"/>
            <w:shd w:val="clear" w:color="auto" w:fill="auto"/>
            <w:vAlign w:val="center"/>
          </w:tcPr>
          <w:p w:rsidR="006D7761" w:rsidRPr="003675E5" w:rsidRDefault="006D7761" w:rsidP="00D306CB">
            <w:pPr>
              <w:pStyle w:val="TableText"/>
            </w:pPr>
            <w:r w:rsidRPr="003675E5">
              <w:t xml:space="preserve">Frequency of HACs was based on hyperammonemic episode rates in Kibleur 2014. </w:t>
            </w:r>
          </w:p>
          <w:p w:rsidR="006D7761" w:rsidRPr="003675E5" w:rsidRDefault="006D7761" w:rsidP="00D306CB">
            <w:pPr>
              <w:pStyle w:val="TableText"/>
            </w:pPr>
            <w:r w:rsidRPr="003675E5">
              <w:t xml:space="preserve">UCD-related death was based on Bachmann 2003: coated NaPb and standard care arms used the “newer” therapies group (ammonia scavengers + other co-interventions); natural history arm used the “older” therapies group (protein restriction alone). </w:t>
            </w:r>
            <w:r w:rsidR="00BD5343" w:rsidRPr="003675E5">
              <w:t>This significantly overestimated mortality in the relevant population as it included the neonatal period where there is a high risk of death.</w:t>
            </w:r>
          </w:p>
          <w:p w:rsidR="006D7761" w:rsidRPr="003675E5" w:rsidRDefault="006D7761" w:rsidP="00D306CB">
            <w:pPr>
              <w:spacing w:before="40" w:after="40"/>
              <w:rPr>
                <w:rFonts w:ascii="Times" w:eastAsia="Times New Roman" w:hAnsi="Times" w:cs="Times New Roman"/>
              </w:rPr>
            </w:pPr>
            <w:r w:rsidRPr="003675E5">
              <w:rPr>
                <w:rFonts w:ascii="Arial Narrow" w:hAnsi="Arial Narrow"/>
                <w:sz w:val="20"/>
              </w:rPr>
              <w:t>Liver transplant was based on Batshaw 2014 and Unsinn 2016; 13% probability at age 2 was used in both in the coated NaPb and standard care arms; 0% probability used in natural history arm.</w:t>
            </w:r>
          </w:p>
        </w:tc>
      </w:tr>
      <w:tr w:rsidR="006D7761" w:rsidRPr="003675E5" w:rsidTr="00494959">
        <w:tc>
          <w:tcPr>
            <w:tcW w:w="796" w:type="pct"/>
            <w:shd w:val="clear" w:color="auto" w:fill="auto"/>
            <w:vAlign w:val="center"/>
          </w:tcPr>
          <w:p w:rsidR="006D7761" w:rsidRPr="003675E5" w:rsidRDefault="006D7761" w:rsidP="00D306CB">
            <w:pPr>
              <w:pStyle w:val="TableText"/>
            </w:pPr>
            <w:r w:rsidRPr="003675E5">
              <w:t>Age of entry into model</w:t>
            </w:r>
          </w:p>
        </w:tc>
        <w:tc>
          <w:tcPr>
            <w:tcW w:w="4204" w:type="pct"/>
            <w:shd w:val="clear" w:color="auto" w:fill="auto"/>
            <w:vAlign w:val="center"/>
          </w:tcPr>
          <w:p w:rsidR="006D7761" w:rsidRPr="003675E5" w:rsidRDefault="00494959" w:rsidP="00D306CB">
            <w:pPr>
              <w:pStyle w:val="TableText"/>
            </w:pPr>
            <w:r w:rsidRPr="003675E5">
              <w:t>Birth</w:t>
            </w:r>
            <w:r w:rsidR="006D7761" w:rsidRPr="003675E5">
              <w:t xml:space="preserve"> </w:t>
            </w:r>
            <w:r w:rsidR="00C86420" w:rsidRPr="003675E5">
              <w:t xml:space="preserve">(zero years) </w:t>
            </w:r>
            <w:r w:rsidR="006D7761" w:rsidRPr="003675E5">
              <w:t>versus an average age of 12.6 in Kibleur 2014 (affected the dose which was based on mg/kg or mg/m</w:t>
            </w:r>
            <w:r w:rsidR="006D7761" w:rsidRPr="003675E5">
              <w:rPr>
                <w:vertAlign w:val="superscript"/>
              </w:rPr>
              <w:t>2</w:t>
            </w:r>
            <w:r w:rsidR="006D7761" w:rsidRPr="003675E5">
              <w:t xml:space="preserve"> dosing).</w:t>
            </w:r>
          </w:p>
        </w:tc>
      </w:tr>
    </w:tbl>
    <w:p w:rsidR="006D7761" w:rsidRPr="003675E5" w:rsidRDefault="006D7761" w:rsidP="006D7761">
      <w:pPr>
        <w:pStyle w:val="TableFooter"/>
      </w:pPr>
      <w:r w:rsidRPr="003675E5">
        <w:t>Source: Compiled during the evaluation from Section 3 of the submission</w:t>
      </w:r>
    </w:p>
    <w:p w:rsidR="006D7761" w:rsidRPr="003675E5" w:rsidRDefault="005F32B5">
      <w:pPr>
        <w:pStyle w:val="TableFooter"/>
      </w:pPr>
      <w:r w:rsidRPr="003675E5">
        <w:t xml:space="preserve">CADTH = </w:t>
      </w:r>
      <w:r w:rsidR="00B93481" w:rsidRPr="003675E5">
        <w:t>Canadian Agency for Drugs and Technologies in Health</w:t>
      </w:r>
      <w:r w:rsidRPr="003675E5">
        <w:t xml:space="preserve">; HAC = hyperammonemic crisis; </w:t>
      </w:r>
      <w:r w:rsidR="00BD5343" w:rsidRPr="003675E5">
        <w:t xml:space="preserve">ICER = incremental cost-effectiveness ratio; </w:t>
      </w:r>
      <w:r w:rsidR="006D7761" w:rsidRPr="003675E5">
        <w:t xml:space="preserve">LY = life year; </w:t>
      </w:r>
      <w:r w:rsidRPr="003675E5">
        <w:t xml:space="preserve">NaPb = sodium phenylbutyrate; </w:t>
      </w:r>
      <w:r w:rsidR="006D7761" w:rsidRPr="003675E5">
        <w:t>QALY = quality-adjusted life year</w:t>
      </w:r>
      <w:r w:rsidRPr="003675E5">
        <w:t>; UCD = urea cycle disorder</w:t>
      </w:r>
    </w:p>
    <w:p w:rsidR="006D7761" w:rsidRPr="003675E5" w:rsidRDefault="006D7761" w:rsidP="00881F91">
      <w:pPr>
        <w:pStyle w:val="ListParagraph"/>
      </w:pPr>
      <w:r w:rsidRPr="003675E5">
        <w:t xml:space="preserve">The key drivers of the economic model are summarised in the table below. </w:t>
      </w:r>
    </w:p>
    <w:p w:rsidR="006D7761" w:rsidRPr="003675E5" w:rsidRDefault="00F77309" w:rsidP="006D7761">
      <w:pPr>
        <w:pStyle w:val="TableHeading0"/>
      </w:pPr>
      <w:r w:rsidRPr="003675E5">
        <w:t>Table 9</w:t>
      </w:r>
      <w:r w:rsidR="006D7761" w:rsidRPr="003675E5">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6"/>
        <w:gridCol w:w="6521"/>
        <w:gridCol w:w="1115"/>
      </w:tblGrid>
      <w:tr w:rsidR="006D7761" w:rsidRPr="003675E5" w:rsidTr="00BD5343">
        <w:trPr>
          <w:tblHeader/>
        </w:trPr>
        <w:tc>
          <w:tcPr>
            <w:tcW w:w="796" w:type="pct"/>
            <w:shd w:val="clear" w:color="auto" w:fill="auto"/>
            <w:vAlign w:val="center"/>
          </w:tcPr>
          <w:p w:rsidR="006D7761" w:rsidRPr="003675E5" w:rsidRDefault="006D7761" w:rsidP="00D306CB">
            <w:pPr>
              <w:pStyle w:val="TableText"/>
              <w:rPr>
                <w:b/>
              </w:rPr>
            </w:pPr>
            <w:r w:rsidRPr="003675E5">
              <w:rPr>
                <w:b/>
              </w:rPr>
              <w:t>Description</w:t>
            </w:r>
          </w:p>
        </w:tc>
        <w:tc>
          <w:tcPr>
            <w:tcW w:w="3590" w:type="pct"/>
            <w:shd w:val="clear" w:color="auto" w:fill="auto"/>
            <w:vAlign w:val="center"/>
          </w:tcPr>
          <w:p w:rsidR="006D7761" w:rsidRPr="003675E5" w:rsidRDefault="006D7761" w:rsidP="00D306CB">
            <w:pPr>
              <w:pStyle w:val="TableText"/>
              <w:rPr>
                <w:b/>
              </w:rPr>
            </w:pPr>
            <w:r w:rsidRPr="003675E5">
              <w:rPr>
                <w:b/>
              </w:rPr>
              <w:t>Method/Value</w:t>
            </w:r>
          </w:p>
        </w:tc>
        <w:tc>
          <w:tcPr>
            <w:tcW w:w="614" w:type="pct"/>
            <w:shd w:val="clear" w:color="auto" w:fill="auto"/>
            <w:vAlign w:val="center"/>
          </w:tcPr>
          <w:p w:rsidR="006D7761" w:rsidRPr="003675E5" w:rsidRDefault="006D7761" w:rsidP="00D306CB">
            <w:pPr>
              <w:pStyle w:val="TableText"/>
              <w:rPr>
                <w:b/>
              </w:rPr>
            </w:pPr>
            <w:r w:rsidRPr="003675E5">
              <w:rPr>
                <w:b/>
              </w:rPr>
              <w:t>Impact</w:t>
            </w:r>
          </w:p>
        </w:tc>
      </w:tr>
      <w:tr w:rsidR="006D7761" w:rsidRPr="003675E5" w:rsidTr="00D306CB">
        <w:tc>
          <w:tcPr>
            <w:tcW w:w="5000" w:type="pct"/>
            <w:gridSpan w:val="3"/>
            <w:shd w:val="clear" w:color="auto" w:fill="auto"/>
            <w:vAlign w:val="center"/>
          </w:tcPr>
          <w:p w:rsidR="006D7761" w:rsidRPr="003675E5" w:rsidRDefault="006D7761" w:rsidP="00D306CB">
            <w:pPr>
              <w:pStyle w:val="TableText"/>
              <w:rPr>
                <w:b/>
              </w:rPr>
            </w:pPr>
            <w:r w:rsidRPr="003675E5">
              <w:rPr>
                <w:b/>
              </w:rPr>
              <w:t>Coated NaPb versus standard care</w:t>
            </w:r>
          </w:p>
        </w:tc>
      </w:tr>
      <w:tr w:rsidR="006D7761" w:rsidRPr="003675E5" w:rsidTr="00BD5343">
        <w:tc>
          <w:tcPr>
            <w:tcW w:w="796" w:type="pct"/>
            <w:shd w:val="clear" w:color="auto" w:fill="auto"/>
            <w:vAlign w:val="center"/>
          </w:tcPr>
          <w:p w:rsidR="006D7761" w:rsidRPr="003675E5" w:rsidRDefault="006D7761" w:rsidP="00D306CB">
            <w:pPr>
              <w:pStyle w:val="TableText"/>
            </w:pPr>
            <w:r w:rsidRPr="003675E5">
              <w:t>Rate of HACs</w:t>
            </w:r>
          </w:p>
        </w:tc>
        <w:tc>
          <w:tcPr>
            <w:tcW w:w="3590" w:type="pct"/>
            <w:shd w:val="clear" w:color="auto" w:fill="auto"/>
            <w:vAlign w:val="center"/>
          </w:tcPr>
          <w:p w:rsidR="006D7761" w:rsidRPr="003675E5" w:rsidRDefault="006D7761" w:rsidP="00D306CB">
            <w:pPr>
              <w:pStyle w:val="TableText"/>
            </w:pPr>
            <w:r w:rsidRPr="003675E5">
              <w:t>Per Kibleur 2014. All hyperammonemic episodes were assumed to be “crises” (i.e. HACs). Coated NaPb arm: 0 HACs ever; Standard care and natural history arms: Average rate 0.9 HACs per 6 months.</w:t>
            </w:r>
          </w:p>
        </w:tc>
        <w:tc>
          <w:tcPr>
            <w:tcW w:w="614" w:type="pct"/>
            <w:shd w:val="clear" w:color="auto" w:fill="auto"/>
            <w:vAlign w:val="center"/>
          </w:tcPr>
          <w:p w:rsidR="006D7761" w:rsidRPr="003675E5" w:rsidRDefault="006D7761" w:rsidP="00D306CB">
            <w:pPr>
              <w:pStyle w:val="TableText"/>
            </w:pPr>
            <w:r w:rsidRPr="003675E5">
              <w:t>High, favours coated NaPb</w:t>
            </w:r>
          </w:p>
        </w:tc>
      </w:tr>
      <w:tr w:rsidR="006D7761" w:rsidRPr="003675E5" w:rsidTr="00BD5343">
        <w:trPr>
          <w:trHeight w:val="589"/>
        </w:trPr>
        <w:tc>
          <w:tcPr>
            <w:tcW w:w="796" w:type="pct"/>
            <w:shd w:val="clear" w:color="auto" w:fill="auto"/>
            <w:vAlign w:val="center"/>
          </w:tcPr>
          <w:p w:rsidR="006D7761" w:rsidRPr="003675E5" w:rsidRDefault="006D7761" w:rsidP="00D306CB">
            <w:pPr>
              <w:pStyle w:val="TableText"/>
            </w:pPr>
            <w:r w:rsidRPr="003675E5">
              <w:t xml:space="preserve">Hospitalisation costs for HACs </w:t>
            </w:r>
          </w:p>
        </w:tc>
        <w:tc>
          <w:tcPr>
            <w:tcW w:w="3590" w:type="pct"/>
            <w:shd w:val="clear" w:color="auto" w:fill="auto"/>
            <w:vAlign w:val="center"/>
          </w:tcPr>
          <w:p w:rsidR="006D7761" w:rsidRPr="003675E5" w:rsidRDefault="006D7761" w:rsidP="00BD5343">
            <w:pPr>
              <w:pStyle w:val="TableText"/>
            </w:pPr>
            <w:r w:rsidRPr="003675E5">
              <w:t xml:space="preserve">$21,432 per HAC in patients &lt;18 years, based on </w:t>
            </w:r>
            <w:r w:rsidR="00BD5343" w:rsidRPr="003675E5">
              <w:t xml:space="preserve">3 days in </w:t>
            </w:r>
            <w:r w:rsidRPr="003675E5">
              <w:t xml:space="preserve">ICU, and using 2 AR-DRG codes. </w:t>
            </w:r>
            <w:r w:rsidR="00BD5343" w:rsidRPr="003675E5">
              <w:t xml:space="preserve">Lower hospitalisation costs were used in adults, however the model assumed that few patients with UCD would make it to adulthood. </w:t>
            </w:r>
          </w:p>
        </w:tc>
        <w:tc>
          <w:tcPr>
            <w:tcW w:w="614" w:type="pct"/>
            <w:shd w:val="clear" w:color="auto" w:fill="auto"/>
            <w:vAlign w:val="center"/>
          </w:tcPr>
          <w:p w:rsidR="006D7761" w:rsidRPr="003675E5" w:rsidRDefault="006D7761" w:rsidP="00D306CB">
            <w:pPr>
              <w:pStyle w:val="TableText"/>
            </w:pPr>
            <w:r w:rsidRPr="003675E5">
              <w:t>High, favours coated NaPb</w:t>
            </w:r>
          </w:p>
        </w:tc>
      </w:tr>
      <w:tr w:rsidR="006D7761" w:rsidRPr="003675E5" w:rsidTr="00BD5343">
        <w:tc>
          <w:tcPr>
            <w:tcW w:w="796" w:type="pct"/>
            <w:shd w:val="clear" w:color="auto" w:fill="auto"/>
            <w:vAlign w:val="center"/>
          </w:tcPr>
          <w:p w:rsidR="006D7761" w:rsidRPr="003675E5" w:rsidRDefault="006D7761" w:rsidP="00D306CB">
            <w:pPr>
              <w:pStyle w:val="TableText"/>
            </w:pPr>
            <w:r w:rsidRPr="003675E5">
              <w:t>Percent of HACs that required a hospitalisation</w:t>
            </w:r>
          </w:p>
        </w:tc>
        <w:tc>
          <w:tcPr>
            <w:tcW w:w="3590" w:type="pct"/>
            <w:shd w:val="clear" w:color="auto" w:fill="auto"/>
            <w:vAlign w:val="center"/>
          </w:tcPr>
          <w:p w:rsidR="006D7761" w:rsidRPr="003675E5" w:rsidRDefault="006D7761" w:rsidP="00BD5343">
            <w:pPr>
              <w:pStyle w:val="TableText"/>
            </w:pPr>
            <w:r w:rsidRPr="003675E5">
              <w:t xml:space="preserve">Assumed that </w:t>
            </w:r>
            <w:r w:rsidR="00BD5343" w:rsidRPr="003675E5">
              <w:t>all</w:t>
            </w:r>
            <w:r w:rsidRPr="003675E5">
              <w:t xml:space="preserve"> HACs required hospitalisation</w:t>
            </w:r>
            <w:r w:rsidR="00BD5343" w:rsidRPr="003675E5">
              <w:t xml:space="preserve"> in patients &lt; 18 years</w:t>
            </w:r>
            <w:r w:rsidRPr="003675E5">
              <w:t xml:space="preserve">. </w:t>
            </w:r>
          </w:p>
        </w:tc>
        <w:tc>
          <w:tcPr>
            <w:tcW w:w="614" w:type="pct"/>
            <w:shd w:val="clear" w:color="auto" w:fill="auto"/>
            <w:vAlign w:val="center"/>
          </w:tcPr>
          <w:p w:rsidR="006D7761" w:rsidRPr="003675E5" w:rsidRDefault="006D7761" w:rsidP="00D306CB">
            <w:pPr>
              <w:pStyle w:val="TableText"/>
            </w:pPr>
            <w:r w:rsidRPr="003675E5">
              <w:t>High, favours coated NaPb</w:t>
            </w:r>
          </w:p>
        </w:tc>
      </w:tr>
      <w:tr w:rsidR="006D7761" w:rsidRPr="003675E5" w:rsidTr="00BD5343">
        <w:tc>
          <w:tcPr>
            <w:tcW w:w="796" w:type="pct"/>
            <w:shd w:val="clear" w:color="auto" w:fill="auto"/>
            <w:vAlign w:val="center"/>
          </w:tcPr>
          <w:p w:rsidR="006D7761" w:rsidRPr="003675E5" w:rsidRDefault="006D7761" w:rsidP="00D306CB">
            <w:pPr>
              <w:pStyle w:val="TableText"/>
            </w:pPr>
            <w:r w:rsidRPr="003675E5">
              <w:t xml:space="preserve">Dose of coated NaPb </w:t>
            </w:r>
          </w:p>
        </w:tc>
        <w:tc>
          <w:tcPr>
            <w:tcW w:w="3590" w:type="pct"/>
            <w:shd w:val="clear" w:color="auto" w:fill="auto"/>
            <w:vAlign w:val="center"/>
          </w:tcPr>
          <w:p w:rsidR="006D7761" w:rsidRPr="003675E5" w:rsidRDefault="006D7761" w:rsidP="00827F87">
            <w:pPr>
              <w:pStyle w:val="TableText"/>
            </w:pPr>
            <w:r w:rsidRPr="003675E5">
              <w:t>Based on avg mg/kg or m</w:t>
            </w:r>
            <w:r w:rsidRPr="003675E5">
              <w:rPr>
                <w:vertAlign w:val="superscript"/>
              </w:rPr>
              <w:t>2</w:t>
            </w:r>
            <w:r w:rsidRPr="003675E5">
              <w:t xml:space="preserve">/kg in Kibleur 2014, then applied to the avg weight of patients in the model, assuming all patients enter the model at </w:t>
            </w:r>
            <w:r w:rsidR="00EF62B3" w:rsidRPr="003675E5">
              <w:t>birth</w:t>
            </w:r>
            <w:r w:rsidRPr="003675E5">
              <w:t>. Dose</w:t>
            </w:r>
            <w:r w:rsidR="00827F87">
              <w:t>s per kg (or m</w:t>
            </w:r>
            <w:r w:rsidR="00827F87" w:rsidRPr="00827F87">
              <w:rPr>
                <w:vertAlign w:val="superscript"/>
              </w:rPr>
              <w:t>2</w:t>
            </w:r>
            <w:r w:rsidR="00827F87">
              <w:t xml:space="preserve">) </w:t>
            </w:r>
            <w:r w:rsidRPr="003675E5">
              <w:t>of coated NaPb were based on doses given at study entry and thus reflect doses given to patients unable to tolerate NaPb (sub-optimal doses in some patients plus high rates of use in combination with NaBz).</w:t>
            </w:r>
            <w:r w:rsidR="00B236A6" w:rsidRPr="003675E5">
              <w:t xml:space="preserve"> </w:t>
            </w:r>
            <w:r w:rsidRPr="003675E5">
              <w:t xml:space="preserve">Higher doses would be expected in the </w:t>
            </w:r>
            <w:r w:rsidR="00EF62B3" w:rsidRPr="003675E5">
              <w:t xml:space="preserve">PBS </w:t>
            </w:r>
            <w:r w:rsidRPr="003675E5">
              <w:t xml:space="preserve">population. </w:t>
            </w:r>
          </w:p>
        </w:tc>
        <w:tc>
          <w:tcPr>
            <w:tcW w:w="614" w:type="pct"/>
            <w:shd w:val="clear" w:color="auto" w:fill="auto"/>
            <w:vAlign w:val="center"/>
          </w:tcPr>
          <w:p w:rsidR="006D7761" w:rsidRPr="003675E5" w:rsidRDefault="006D7761" w:rsidP="00D306CB">
            <w:pPr>
              <w:pStyle w:val="TableText"/>
            </w:pPr>
            <w:r w:rsidRPr="003675E5">
              <w:t>Moderate, favours coated NaPb</w:t>
            </w:r>
          </w:p>
        </w:tc>
      </w:tr>
      <w:tr w:rsidR="006D7761" w:rsidRPr="003675E5" w:rsidTr="00D306CB">
        <w:tc>
          <w:tcPr>
            <w:tcW w:w="5000" w:type="pct"/>
            <w:gridSpan w:val="3"/>
            <w:shd w:val="clear" w:color="auto" w:fill="auto"/>
            <w:vAlign w:val="center"/>
          </w:tcPr>
          <w:p w:rsidR="006D7761" w:rsidRPr="003675E5" w:rsidRDefault="006D7761" w:rsidP="00D306CB">
            <w:pPr>
              <w:pStyle w:val="TableText"/>
              <w:rPr>
                <w:b/>
              </w:rPr>
            </w:pPr>
            <w:r w:rsidRPr="003675E5">
              <w:rPr>
                <w:b/>
              </w:rPr>
              <w:t>Standard care versus natural history</w:t>
            </w:r>
          </w:p>
        </w:tc>
      </w:tr>
      <w:tr w:rsidR="006D7761" w:rsidRPr="003675E5" w:rsidTr="00BD5343">
        <w:tc>
          <w:tcPr>
            <w:tcW w:w="796" w:type="pct"/>
            <w:shd w:val="clear" w:color="auto" w:fill="auto"/>
            <w:vAlign w:val="center"/>
          </w:tcPr>
          <w:p w:rsidR="006D7761" w:rsidRPr="003675E5" w:rsidRDefault="006D7761" w:rsidP="00D306CB">
            <w:pPr>
              <w:pStyle w:val="TableText"/>
            </w:pPr>
            <w:r w:rsidRPr="003675E5">
              <w:t>Rate of liver transplants</w:t>
            </w:r>
          </w:p>
        </w:tc>
        <w:tc>
          <w:tcPr>
            <w:tcW w:w="3590" w:type="pct"/>
            <w:shd w:val="clear" w:color="auto" w:fill="auto"/>
            <w:vAlign w:val="center"/>
          </w:tcPr>
          <w:p w:rsidR="006D7761" w:rsidRPr="003675E5" w:rsidRDefault="006D7761" w:rsidP="00EF62B3">
            <w:pPr>
              <w:pStyle w:val="TableText"/>
            </w:pPr>
            <w:r w:rsidRPr="003675E5">
              <w:t xml:space="preserve">13% probability of a liver transplant at </w:t>
            </w:r>
            <w:r w:rsidR="00EF62B3" w:rsidRPr="003675E5">
              <w:t>A</w:t>
            </w:r>
            <w:r w:rsidRPr="003675E5">
              <w:t xml:space="preserve">ge 2 in the standard care arm versus 0% chance in the natural history arm. </w:t>
            </w:r>
          </w:p>
        </w:tc>
        <w:tc>
          <w:tcPr>
            <w:tcW w:w="614" w:type="pct"/>
            <w:shd w:val="clear" w:color="auto" w:fill="auto"/>
            <w:vAlign w:val="center"/>
          </w:tcPr>
          <w:p w:rsidR="006D7761" w:rsidRPr="003675E5" w:rsidRDefault="006D7761" w:rsidP="00D306CB">
            <w:pPr>
              <w:pStyle w:val="TableText"/>
            </w:pPr>
            <w:r w:rsidRPr="003675E5">
              <w:t>High favours standard care</w:t>
            </w:r>
          </w:p>
        </w:tc>
      </w:tr>
    </w:tbl>
    <w:p w:rsidR="006D7761" w:rsidRPr="003675E5" w:rsidRDefault="006D7761" w:rsidP="006D7761">
      <w:pPr>
        <w:pStyle w:val="TableFooter"/>
      </w:pPr>
      <w:r w:rsidRPr="003675E5">
        <w:t>Source: Compiled during the evaluation from Section 3 of the submission</w:t>
      </w:r>
    </w:p>
    <w:p w:rsidR="00E70FF8" w:rsidRPr="003675E5" w:rsidRDefault="00E70FF8">
      <w:pPr>
        <w:pStyle w:val="TableFooter"/>
      </w:pPr>
      <w:r w:rsidRPr="003675E5">
        <w:t xml:space="preserve">AR-DRG = Australian refined diagnosis related group; </w:t>
      </w:r>
      <w:r w:rsidR="00EF62B3" w:rsidRPr="003675E5">
        <w:t xml:space="preserve">avg = average; </w:t>
      </w:r>
      <w:r w:rsidRPr="003675E5">
        <w:t>HAC = hyperammonemic crisis; ICU = intensive care unit; NaBz = sodium benzoate; NaPb = sodium phenylbutyrate</w:t>
      </w:r>
      <w:r w:rsidR="000904F1" w:rsidRPr="003675E5">
        <w:t>; PBS = Pharmaceutical Benefits Scheme</w:t>
      </w:r>
    </w:p>
    <w:p w:rsidR="00FD2C67" w:rsidRPr="003675E5" w:rsidRDefault="00FD2C67" w:rsidP="00881F91">
      <w:pPr>
        <w:pStyle w:val="ListParagraph"/>
      </w:pPr>
      <w:r w:rsidRPr="003675E5">
        <w:t xml:space="preserve">For coated NaPb versus standard care, the model was almost exclusively driven by the rate of HACs, the cost of the subsequent hospitalisations, and the drug costs (which were influenced by dose and age). </w:t>
      </w:r>
    </w:p>
    <w:p w:rsidR="00552BD5" w:rsidRPr="003675E5" w:rsidRDefault="00FE5ACC" w:rsidP="00881F91">
      <w:pPr>
        <w:pStyle w:val="ListParagraph"/>
      </w:pPr>
      <w:r w:rsidRPr="003675E5">
        <w:t xml:space="preserve">The </w:t>
      </w:r>
      <w:r w:rsidR="00552BD5" w:rsidRPr="003675E5">
        <w:t xml:space="preserve">ESC advised that it was inappropriate to combine both the early onset neonatal population with the late onset paediatric population </w:t>
      </w:r>
      <w:r w:rsidR="00207B71" w:rsidRPr="003675E5">
        <w:t>with</w:t>
      </w:r>
      <w:r w:rsidR="00552BD5" w:rsidRPr="003675E5">
        <w:t xml:space="preserve">in the economic model. These patient cohorts have distinctly different </w:t>
      </w:r>
      <w:r w:rsidR="00207B71" w:rsidRPr="003675E5">
        <w:t>disease presentations and resource utilisation will subsequently be different.</w:t>
      </w:r>
    </w:p>
    <w:p w:rsidR="006D7761" w:rsidRPr="003675E5" w:rsidRDefault="006D7761" w:rsidP="00881F91">
      <w:pPr>
        <w:pStyle w:val="ListParagraph"/>
      </w:pPr>
      <w:r w:rsidRPr="003675E5">
        <w:t xml:space="preserve">The results of the stepped economic evaluation are presented below. </w:t>
      </w:r>
      <w:r w:rsidR="00716E1E">
        <w:t>The results are based on the price of coated NaPb proposed in the submission (rather than the reduced price proposed in the Pre-PBAC response).</w:t>
      </w:r>
    </w:p>
    <w:p w:rsidR="00CF68EB" w:rsidRPr="003675E5" w:rsidRDefault="00CF68EB">
      <w:pPr>
        <w:spacing w:before="0" w:line="259" w:lineRule="auto"/>
      </w:pPr>
      <w:r w:rsidRPr="003675E5">
        <w:br w:type="page"/>
      </w:r>
    </w:p>
    <w:p w:rsidR="00CF68EB" w:rsidRPr="003675E5" w:rsidRDefault="00CF68EB" w:rsidP="00CF68EB">
      <w:pPr>
        <w:spacing w:before="0" w:after="120"/>
        <w:jc w:val="both"/>
      </w:pPr>
    </w:p>
    <w:p w:rsidR="006D7761" w:rsidRPr="003675E5" w:rsidRDefault="006D7761" w:rsidP="00F262B7">
      <w:pPr>
        <w:pStyle w:val="TableHeading0"/>
        <w:keepNext w:val="0"/>
      </w:pPr>
      <w:r w:rsidRPr="003675E5">
        <w:t>Table 1</w:t>
      </w:r>
      <w:r w:rsidR="00F77309" w:rsidRPr="003675E5">
        <w:t>0</w:t>
      </w:r>
      <w:r w:rsidRPr="003675E5">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77"/>
        <w:gridCol w:w="56"/>
        <w:gridCol w:w="1871"/>
        <w:gridCol w:w="111"/>
        <w:gridCol w:w="11"/>
        <w:gridCol w:w="1729"/>
        <w:gridCol w:w="15"/>
        <w:gridCol w:w="2512"/>
      </w:tblGrid>
      <w:tr w:rsidR="006D7761" w:rsidRPr="003675E5" w:rsidTr="00D306CB">
        <w:trPr>
          <w:tblHeader/>
        </w:trPr>
        <w:tc>
          <w:tcPr>
            <w:tcW w:w="1529" w:type="pct"/>
            <w:vAlign w:val="center"/>
          </w:tcPr>
          <w:p w:rsidR="006D7761" w:rsidRPr="003675E5" w:rsidRDefault="006D7761" w:rsidP="00CF68EB">
            <w:pPr>
              <w:pStyle w:val="TableText"/>
              <w:rPr>
                <w:b/>
              </w:rPr>
            </w:pPr>
            <w:r w:rsidRPr="003675E5">
              <w:rPr>
                <w:b/>
              </w:rPr>
              <w:t>Step and component</w:t>
            </w:r>
          </w:p>
        </w:tc>
        <w:tc>
          <w:tcPr>
            <w:tcW w:w="1061" w:type="pct"/>
            <w:gridSpan w:val="2"/>
          </w:tcPr>
          <w:p w:rsidR="006D7761" w:rsidRPr="003675E5" w:rsidRDefault="006D7761" w:rsidP="00CF68EB">
            <w:pPr>
              <w:pStyle w:val="TableText"/>
              <w:rPr>
                <w:b/>
              </w:rPr>
            </w:pPr>
            <w:r w:rsidRPr="003675E5">
              <w:rPr>
                <w:b/>
                <w:color w:val="000000"/>
                <w:szCs w:val="20"/>
                <w:lang w:eastAsia="en-AU"/>
              </w:rPr>
              <w:t xml:space="preserve">Coated NaPb </w:t>
            </w:r>
          </w:p>
        </w:tc>
        <w:tc>
          <w:tcPr>
            <w:tcW w:w="1019" w:type="pct"/>
            <w:gridSpan w:val="3"/>
          </w:tcPr>
          <w:p w:rsidR="006D7761" w:rsidRPr="003675E5" w:rsidRDefault="006D7761" w:rsidP="00CF68EB">
            <w:pPr>
              <w:pStyle w:val="TableText"/>
              <w:rPr>
                <w:b/>
              </w:rPr>
            </w:pPr>
            <w:r w:rsidRPr="003675E5">
              <w:rPr>
                <w:b/>
                <w:color w:val="000000"/>
                <w:szCs w:val="20"/>
                <w:lang w:eastAsia="en-AU"/>
              </w:rPr>
              <w:t xml:space="preserve">Standard Care </w:t>
            </w:r>
          </w:p>
        </w:tc>
        <w:tc>
          <w:tcPr>
            <w:tcW w:w="1391" w:type="pct"/>
            <w:gridSpan w:val="2"/>
            <w:vAlign w:val="center"/>
          </w:tcPr>
          <w:p w:rsidR="006D7761" w:rsidRPr="003675E5" w:rsidRDefault="006D7761" w:rsidP="00CF68EB">
            <w:pPr>
              <w:pStyle w:val="TableText"/>
              <w:rPr>
                <w:b/>
              </w:rPr>
            </w:pPr>
            <w:r w:rsidRPr="003675E5">
              <w:rPr>
                <w:b/>
              </w:rPr>
              <w:t>Increment</w:t>
            </w:r>
          </w:p>
        </w:tc>
      </w:tr>
      <w:tr w:rsidR="006D7761" w:rsidRPr="003675E5" w:rsidTr="00D306CB">
        <w:tc>
          <w:tcPr>
            <w:tcW w:w="5000" w:type="pct"/>
            <w:gridSpan w:val="8"/>
            <w:vAlign w:val="center"/>
          </w:tcPr>
          <w:p w:rsidR="006D7761" w:rsidRPr="003675E5" w:rsidRDefault="006D7761" w:rsidP="00CF68EB">
            <w:pPr>
              <w:pStyle w:val="TableText"/>
              <w:rPr>
                <w:b/>
                <w:snapToGrid w:val="0"/>
              </w:rPr>
            </w:pPr>
            <w:r w:rsidRPr="003675E5">
              <w:rPr>
                <w:b/>
                <w:snapToGrid w:val="0"/>
              </w:rPr>
              <w:t>Coated NaPb versus standard care</w:t>
            </w:r>
          </w:p>
        </w:tc>
      </w:tr>
      <w:tr w:rsidR="006D7761" w:rsidRPr="003675E5" w:rsidTr="00D306CB">
        <w:tc>
          <w:tcPr>
            <w:tcW w:w="5000" w:type="pct"/>
            <w:gridSpan w:val="8"/>
            <w:vAlign w:val="center"/>
          </w:tcPr>
          <w:p w:rsidR="006D7761" w:rsidRPr="003675E5" w:rsidRDefault="006D7761" w:rsidP="00CF68EB">
            <w:pPr>
              <w:pStyle w:val="TableText"/>
              <w:rPr>
                <w:b/>
                <w:snapToGrid w:val="0"/>
              </w:rPr>
            </w:pPr>
            <w:r w:rsidRPr="003675E5">
              <w:rPr>
                <w:b/>
                <w:snapToGrid w:val="0"/>
              </w:rPr>
              <w:t xml:space="preserve">Step 1: Study data (Kibleur 2014); 6 month study duration </w:t>
            </w:r>
          </w:p>
        </w:tc>
      </w:tr>
      <w:tr w:rsidR="006D7761" w:rsidRPr="003675E5" w:rsidTr="00D306CB">
        <w:tc>
          <w:tcPr>
            <w:tcW w:w="1529" w:type="pct"/>
            <w:vAlign w:val="center"/>
          </w:tcPr>
          <w:p w:rsidR="006D7761" w:rsidRPr="003675E5" w:rsidRDefault="006D7761" w:rsidP="00CF68EB">
            <w:pPr>
              <w:pStyle w:val="TableText"/>
              <w:rPr>
                <w:rFonts w:ascii="Times" w:eastAsia="Times New Roman" w:hAnsi="Times" w:cs="Times New Roman"/>
              </w:rPr>
            </w:pPr>
            <w:r w:rsidRPr="003675E5">
              <w:t>Costs</w:t>
            </w:r>
          </w:p>
        </w:tc>
        <w:tc>
          <w:tcPr>
            <w:tcW w:w="1061" w:type="pct"/>
            <w:gridSpan w:val="2"/>
          </w:tcPr>
          <w:p w:rsidR="006D7761" w:rsidRPr="003675E5" w:rsidRDefault="006D7761" w:rsidP="00CF68EB">
            <w:pPr>
              <w:pStyle w:val="TableText"/>
              <w:rPr>
                <w:rFonts w:ascii="Times" w:eastAsia="Times New Roman" w:hAnsi="Times" w:cs="Times New Roman"/>
              </w:rPr>
            </w:pPr>
            <w:r w:rsidRPr="003675E5">
              <w:rPr>
                <w:color w:val="000000"/>
                <w:szCs w:val="20"/>
                <w:lang w:val="en-GB"/>
              </w:rPr>
              <w:t>$</w:t>
            </w:r>
            <w:r w:rsidR="007C25B9">
              <w:rPr>
                <w:noProof/>
                <w:color w:val="000000"/>
                <w:szCs w:val="20"/>
                <w:highlight w:val="black"/>
                <w:lang w:val="en-GB"/>
              </w:rPr>
              <w:t>''''''''''''''''</w:t>
            </w:r>
          </w:p>
        </w:tc>
        <w:tc>
          <w:tcPr>
            <w:tcW w:w="1019" w:type="pct"/>
            <w:gridSpan w:val="3"/>
          </w:tcPr>
          <w:p w:rsidR="006D7761" w:rsidRPr="003675E5" w:rsidRDefault="006D7761" w:rsidP="00CF68EB">
            <w:pPr>
              <w:pStyle w:val="TableText"/>
              <w:rPr>
                <w:rFonts w:ascii="Times" w:eastAsia="Times New Roman" w:hAnsi="Times" w:cs="Times New Roman"/>
                <w:vertAlign w:val="superscript"/>
              </w:rPr>
            </w:pPr>
            <w:r w:rsidRPr="003675E5">
              <w:rPr>
                <w:color w:val="000000"/>
                <w:szCs w:val="20"/>
                <w:lang w:val="en-GB"/>
              </w:rPr>
              <w:t>$</w:t>
            </w:r>
            <w:r w:rsidR="007C25B9">
              <w:rPr>
                <w:noProof/>
                <w:color w:val="000000"/>
                <w:szCs w:val="20"/>
                <w:highlight w:val="black"/>
                <w:lang w:val="en-GB"/>
              </w:rPr>
              <w:t>''''''''''''</w:t>
            </w:r>
            <w:r w:rsidRPr="003675E5">
              <w:rPr>
                <w:color w:val="000000"/>
                <w:szCs w:val="20"/>
                <w:lang w:val="en-GB"/>
              </w:rPr>
              <w:t xml:space="preserve"> </w:t>
            </w:r>
            <w:r w:rsidRPr="003675E5">
              <w:rPr>
                <w:color w:val="000000"/>
                <w:szCs w:val="20"/>
                <w:vertAlign w:val="superscript"/>
                <w:lang w:val="en-GB"/>
              </w:rPr>
              <w:t>a</w:t>
            </w:r>
          </w:p>
        </w:tc>
        <w:tc>
          <w:tcPr>
            <w:tcW w:w="1391" w:type="pct"/>
            <w:gridSpan w:val="2"/>
          </w:tcPr>
          <w:p w:rsidR="006D7761" w:rsidRPr="003675E5" w:rsidRDefault="006D7761" w:rsidP="00CF68EB">
            <w:pPr>
              <w:pStyle w:val="TableText"/>
              <w:rPr>
                <w:rFonts w:ascii="Times" w:eastAsia="Times New Roman" w:hAnsi="Times" w:cs="Times New Roman"/>
                <w:vertAlign w:val="superscript"/>
              </w:rPr>
            </w:pPr>
            <w:r w:rsidRPr="003675E5">
              <w:rPr>
                <w:color w:val="000000"/>
                <w:szCs w:val="20"/>
                <w:lang w:val="en-GB"/>
              </w:rPr>
              <w:t>$</w:t>
            </w:r>
            <w:r w:rsidR="007C25B9">
              <w:rPr>
                <w:noProof/>
                <w:color w:val="000000"/>
                <w:szCs w:val="20"/>
                <w:highlight w:val="black"/>
                <w:lang w:val="en-GB"/>
              </w:rPr>
              <w:t>'''''''''''''''''</w:t>
            </w:r>
            <w:r w:rsidRPr="003675E5">
              <w:rPr>
                <w:color w:val="000000"/>
                <w:szCs w:val="20"/>
                <w:lang w:val="en-GB"/>
              </w:rPr>
              <w:t xml:space="preserve"> </w:t>
            </w:r>
            <w:r w:rsidRPr="003675E5">
              <w:rPr>
                <w:color w:val="000000"/>
                <w:szCs w:val="20"/>
                <w:vertAlign w:val="superscript"/>
                <w:lang w:val="en-GB"/>
              </w:rPr>
              <w:t>a</w:t>
            </w:r>
          </w:p>
        </w:tc>
      </w:tr>
      <w:tr w:rsidR="006D7761" w:rsidRPr="003675E5" w:rsidTr="00D306CB">
        <w:tc>
          <w:tcPr>
            <w:tcW w:w="1529" w:type="pct"/>
            <w:vAlign w:val="center"/>
          </w:tcPr>
          <w:p w:rsidR="006D7761" w:rsidRPr="003675E5" w:rsidRDefault="006D7761" w:rsidP="00CF68EB">
            <w:pPr>
              <w:pStyle w:val="TableText"/>
              <w:rPr>
                <w:rFonts w:ascii="Times" w:eastAsia="Times New Roman" w:hAnsi="Times" w:cs="Times New Roman"/>
              </w:rPr>
            </w:pPr>
            <w:r w:rsidRPr="003675E5">
              <w:t>HACs</w:t>
            </w:r>
          </w:p>
        </w:tc>
        <w:tc>
          <w:tcPr>
            <w:tcW w:w="1061" w:type="pct"/>
            <w:gridSpan w:val="2"/>
          </w:tcPr>
          <w:p w:rsidR="006D7761" w:rsidRPr="003675E5" w:rsidRDefault="006D7761" w:rsidP="00CF68EB">
            <w:pPr>
              <w:pStyle w:val="TableText"/>
              <w:rPr>
                <w:rFonts w:ascii="Times" w:eastAsia="Times New Roman" w:hAnsi="Times" w:cs="Times New Roman"/>
              </w:rPr>
            </w:pPr>
            <w:r w:rsidRPr="003675E5">
              <w:rPr>
                <w:color w:val="000000"/>
                <w:szCs w:val="20"/>
                <w:lang w:val="en-GB"/>
              </w:rPr>
              <w:t xml:space="preserve">0 </w:t>
            </w:r>
          </w:p>
        </w:tc>
        <w:tc>
          <w:tcPr>
            <w:tcW w:w="1019" w:type="pct"/>
            <w:gridSpan w:val="3"/>
          </w:tcPr>
          <w:p w:rsidR="006D7761" w:rsidRPr="003675E5" w:rsidRDefault="006D7761" w:rsidP="00CF68EB">
            <w:pPr>
              <w:pStyle w:val="TableText"/>
              <w:rPr>
                <w:rFonts w:ascii="Times" w:eastAsia="Times New Roman" w:hAnsi="Times" w:cs="Times New Roman"/>
              </w:rPr>
            </w:pPr>
            <w:r w:rsidRPr="003675E5">
              <w:rPr>
                <w:color w:val="000000"/>
                <w:szCs w:val="20"/>
                <w:lang w:val="en-GB"/>
              </w:rPr>
              <w:t xml:space="preserve">0.9 </w:t>
            </w:r>
          </w:p>
        </w:tc>
        <w:tc>
          <w:tcPr>
            <w:tcW w:w="1391" w:type="pct"/>
            <w:gridSpan w:val="2"/>
          </w:tcPr>
          <w:p w:rsidR="006D7761" w:rsidRPr="003675E5" w:rsidRDefault="006D7761" w:rsidP="00CF68EB">
            <w:pPr>
              <w:pStyle w:val="TableText"/>
            </w:pPr>
            <w:r w:rsidRPr="003675E5">
              <w:rPr>
                <w:color w:val="000000"/>
                <w:szCs w:val="20"/>
                <w:lang w:val="en-GB"/>
              </w:rPr>
              <w:t xml:space="preserve">- 0.9 </w:t>
            </w:r>
          </w:p>
        </w:tc>
      </w:tr>
      <w:tr w:rsidR="006D7761" w:rsidRPr="003675E5" w:rsidTr="00D306CB">
        <w:tc>
          <w:tcPr>
            <w:tcW w:w="3609" w:type="pct"/>
            <w:gridSpan w:val="6"/>
            <w:vAlign w:val="center"/>
          </w:tcPr>
          <w:p w:rsidR="006D7761" w:rsidRPr="003675E5" w:rsidRDefault="006D7761" w:rsidP="00CF68EB">
            <w:pPr>
              <w:pStyle w:val="TableText"/>
              <w:rPr>
                <w:rFonts w:ascii="Times" w:eastAsia="Times New Roman" w:hAnsi="Times" w:cs="Times New Roman"/>
                <w:snapToGrid w:val="0"/>
              </w:rPr>
            </w:pPr>
            <w:r w:rsidRPr="003675E5">
              <w:t>Incremental cost / HAC avoided</w:t>
            </w:r>
          </w:p>
        </w:tc>
        <w:tc>
          <w:tcPr>
            <w:tcW w:w="1391" w:type="pct"/>
            <w:gridSpan w:val="2"/>
            <w:vAlign w:val="center"/>
          </w:tcPr>
          <w:p w:rsidR="006D7761" w:rsidRPr="003675E5" w:rsidRDefault="006D7761" w:rsidP="00CF68EB">
            <w:pPr>
              <w:pStyle w:val="TableText"/>
              <w:rPr>
                <w:rFonts w:ascii="Times" w:eastAsia="Times New Roman" w:hAnsi="Times" w:cs="Times New Roman"/>
              </w:rPr>
            </w:pPr>
            <w:r w:rsidRPr="003675E5">
              <w:t>$</w:t>
            </w:r>
            <w:r w:rsidR="007C25B9">
              <w:rPr>
                <w:noProof/>
                <w:color w:val="000000"/>
                <w:highlight w:val="black"/>
              </w:rPr>
              <w:t>'''''''''''''''''</w:t>
            </w:r>
            <w:r w:rsidR="00EF62B3" w:rsidRPr="003675E5">
              <w:t xml:space="preserve"> cost per HAC avoided</w:t>
            </w:r>
          </w:p>
        </w:tc>
      </w:tr>
      <w:tr w:rsidR="006D7761" w:rsidRPr="003675E5" w:rsidTr="00D306CB">
        <w:tc>
          <w:tcPr>
            <w:tcW w:w="5000" w:type="pct"/>
            <w:gridSpan w:val="8"/>
            <w:vAlign w:val="center"/>
          </w:tcPr>
          <w:p w:rsidR="006D7761" w:rsidRPr="003675E5" w:rsidRDefault="006D7761" w:rsidP="00CF68EB">
            <w:pPr>
              <w:pStyle w:val="TableText"/>
              <w:rPr>
                <w:b/>
                <w:snapToGrid w:val="0"/>
              </w:rPr>
            </w:pPr>
            <w:r w:rsidRPr="003675E5">
              <w:rPr>
                <w:b/>
                <w:snapToGrid w:val="0"/>
              </w:rPr>
              <w:t>Step 2: 10 year time horizon; drug + HAC (hospitalisation) costs only; inclusion of utilities; no discounting</w:t>
            </w:r>
          </w:p>
        </w:tc>
      </w:tr>
      <w:tr w:rsidR="006D7761" w:rsidRPr="003675E5" w:rsidTr="00D306CB">
        <w:tc>
          <w:tcPr>
            <w:tcW w:w="1529" w:type="pct"/>
            <w:vAlign w:val="center"/>
          </w:tcPr>
          <w:p w:rsidR="006D7761" w:rsidRPr="003675E5" w:rsidRDefault="006D7761" w:rsidP="00CF68EB">
            <w:pPr>
              <w:pStyle w:val="TableText"/>
              <w:rPr>
                <w:rFonts w:ascii="Times" w:eastAsia="Times New Roman" w:hAnsi="Times" w:cs="Times New Roman"/>
              </w:rPr>
            </w:pPr>
            <w:r w:rsidRPr="003675E5">
              <w:t>Costs</w:t>
            </w:r>
          </w:p>
        </w:tc>
        <w:tc>
          <w:tcPr>
            <w:tcW w:w="1061" w:type="pct"/>
            <w:gridSpan w:val="2"/>
          </w:tcPr>
          <w:p w:rsidR="006D7761" w:rsidRPr="003675E5" w:rsidRDefault="006D7761" w:rsidP="00CF68EB">
            <w:pPr>
              <w:pStyle w:val="TableText"/>
              <w:rPr>
                <w:rFonts w:ascii="Times" w:eastAsia="Times New Roman" w:hAnsi="Times" w:cs="Times New Roman"/>
              </w:rPr>
            </w:pPr>
            <w:r w:rsidRPr="003675E5">
              <w:rPr>
                <w:szCs w:val="20"/>
                <w:lang w:val="en-GB"/>
              </w:rPr>
              <w:t>$</w:t>
            </w:r>
            <w:r w:rsidR="007C25B9">
              <w:rPr>
                <w:noProof/>
                <w:color w:val="000000"/>
                <w:szCs w:val="20"/>
                <w:highlight w:val="black"/>
                <w:lang w:val="en-GB"/>
              </w:rPr>
              <w:t>''''''''''''''''''''''</w:t>
            </w:r>
          </w:p>
        </w:tc>
        <w:tc>
          <w:tcPr>
            <w:tcW w:w="1019" w:type="pct"/>
            <w:gridSpan w:val="3"/>
          </w:tcPr>
          <w:p w:rsidR="006D7761" w:rsidRPr="003675E5" w:rsidRDefault="006D7761" w:rsidP="00CF68EB">
            <w:pPr>
              <w:pStyle w:val="TableText"/>
              <w:rPr>
                <w:rFonts w:ascii="Times" w:eastAsia="Times New Roman" w:hAnsi="Times" w:cs="Times New Roman"/>
              </w:rPr>
            </w:pPr>
            <w:r w:rsidRPr="003675E5">
              <w:rPr>
                <w:szCs w:val="20"/>
                <w:lang w:val="en-GB"/>
              </w:rPr>
              <w:t>$</w:t>
            </w:r>
            <w:r w:rsidR="007C25B9">
              <w:rPr>
                <w:noProof/>
                <w:color w:val="000000"/>
                <w:szCs w:val="20"/>
                <w:highlight w:val="black"/>
                <w:lang w:val="en-GB"/>
              </w:rPr>
              <w:t>''''''''''''''''''</w:t>
            </w:r>
          </w:p>
        </w:tc>
        <w:tc>
          <w:tcPr>
            <w:tcW w:w="1391" w:type="pct"/>
            <w:gridSpan w:val="2"/>
          </w:tcPr>
          <w:p w:rsidR="006D7761" w:rsidRPr="003675E5" w:rsidRDefault="006D7761" w:rsidP="00CF68EB">
            <w:pPr>
              <w:pStyle w:val="TableText"/>
              <w:rPr>
                <w:rFonts w:ascii="Times" w:eastAsia="Times New Roman" w:hAnsi="Times" w:cs="Times New Roman"/>
              </w:rPr>
            </w:pPr>
            <w:r w:rsidRPr="003675E5">
              <w:rPr>
                <w:szCs w:val="20"/>
                <w:lang w:val="en-GB"/>
              </w:rPr>
              <w:t>-$</w:t>
            </w:r>
            <w:r w:rsidR="007C25B9">
              <w:rPr>
                <w:noProof/>
                <w:color w:val="000000"/>
                <w:szCs w:val="20"/>
                <w:highlight w:val="black"/>
                <w:lang w:val="en-GB"/>
              </w:rPr>
              <w:t>'''''''''''''''''''''</w:t>
            </w:r>
          </w:p>
        </w:tc>
      </w:tr>
      <w:tr w:rsidR="006D7761" w:rsidRPr="003675E5" w:rsidTr="00D306CB">
        <w:tc>
          <w:tcPr>
            <w:tcW w:w="1529" w:type="pct"/>
            <w:vAlign w:val="center"/>
          </w:tcPr>
          <w:p w:rsidR="006D7761" w:rsidRPr="003675E5" w:rsidRDefault="006D7761" w:rsidP="00CF68EB">
            <w:pPr>
              <w:pStyle w:val="TableText"/>
              <w:rPr>
                <w:rFonts w:ascii="Times" w:eastAsia="Times New Roman" w:hAnsi="Times" w:cs="Times New Roman"/>
              </w:rPr>
            </w:pPr>
            <w:r w:rsidRPr="003675E5">
              <w:t>HACs</w:t>
            </w:r>
          </w:p>
        </w:tc>
        <w:tc>
          <w:tcPr>
            <w:tcW w:w="1061" w:type="pct"/>
            <w:gridSpan w:val="2"/>
          </w:tcPr>
          <w:p w:rsidR="006D7761" w:rsidRPr="003675E5" w:rsidRDefault="006D7761" w:rsidP="00CF68EB">
            <w:pPr>
              <w:pStyle w:val="TableText"/>
              <w:rPr>
                <w:rFonts w:ascii="Times" w:eastAsia="Times New Roman" w:hAnsi="Times" w:cs="Times New Roman"/>
              </w:rPr>
            </w:pPr>
            <w:r w:rsidRPr="003675E5">
              <w:rPr>
                <w:szCs w:val="20"/>
                <w:lang w:val="en-GB"/>
              </w:rPr>
              <w:t xml:space="preserve">0 </w:t>
            </w:r>
          </w:p>
        </w:tc>
        <w:tc>
          <w:tcPr>
            <w:tcW w:w="1019" w:type="pct"/>
            <w:gridSpan w:val="3"/>
          </w:tcPr>
          <w:p w:rsidR="006D7761" w:rsidRPr="003675E5" w:rsidRDefault="006D7761" w:rsidP="00CF68EB">
            <w:pPr>
              <w:pStyle w:val="TableText"/>
              <w:rPr>
                <w:rFonts w:ascii="Times" w:eastAsia="Times New Roman" w:hAnsi="Times" w:cs="Times New Roman"/>
              </w:rPr>
            </w:pPr>
            <w:r w:rsidRPr="003675E5">
              <w:rPr>
                <w:szCs w:val="20"/>
                <w:lang w:val="en-GB"/>
              </w:rPr>
              <w:t xml:space="preserve">8.26 </w:t>
            </w:r>
          </w:p>
        </w:tc>
        <w:tc>
          <w:tcPr>
            <w:tcW w:w="1391" w:type="pct"/>
            <w:gridSpan w:val="2"/>
          </w:tcPr>
          <w:p w:rsidR="006D7761" w:rsidRPr="003675E5" w:rsidRDefault="006D7761" w:rsidP="00CF68EB">
            <w:pPr>
              <w:pStyle w:val="TableText"/>
            </w:pPr>
            <w:r w:rsidRPr="003675E5">
              <w:rPr>
                <w:szCs w:val="20"/>
                <w:lang w:val="en-GB"/>
              </w:rPr>
              <w:t xml:space="preserve">-8.26 </w:t>
            </w:r>
          </w:p>
        </w:tc>
      </w:tr>
      <w:tr w:rsidR="006D7761" w:rsidRPr="003675E5" w:rsidTr="00D306CB">
        <w:tc>
          <w:tcPr>
            <w:tcW w:w="1529" w:type="pct"/>
            <w:vAlign w:val="center"/>
          </w:tcPr>
          <w:p w:rsidR="006D7761" w:rsidRPr="003675E5" w:rsidRDefault="006D7761" w:rsidP="00CF68EB">
            <w:pPr>
              <w:pStyle w:val="TableText"/>
            </w:pPr>
            <w:r w:rsidRPr="003675E5">
              <w:t>QALYs</w:t>
            </w:r>
          </w:p>
        </w:tc>
        <w:tc>
          <w:tcPr>
            <w:tcW w:w="1061" w:type="pct"/>
            <w:gridSpan w:val="2"/>
          </w:tcPr>
          <w:p w:rsidR="006D7761" w:rsidRPr="003675E5" w:rsidRDefault="006D7761" w:rsidP="00CF68EB">
            <w:pPr>
              <w:pStyle w:val="TableText"/>
            </w:pPr>
            <w:r w:rsidRPr="003675E5">
              <w:rPr>
                <w:color w:val="000000"/>
                <w:szCs w:val="20"/>
                <w:lang w:val="en-GB"/>
              </w:rPr>
              <w:t xml:space="preserve">2.43 </w:t>
            </w:r>
          </w:p>
        </w:tc>
        <w:tc>
          <w:tcPr>
            <w:tcW w:w="1019" w:type="pct"/>
            <w:gridSpan w:val="3"/>
          </w:tcPr>
          <w:p w:rsidR="006D7761" w:rsidRPr="003675E5" w:rsidRDefault="006D7761" w:rsidP="00CF68EB">
            <w:pPr>
              <w:pStyle w:val="TableText"/>
            </w:pPr>
            <w:r w:rsidRPr="003675E5">
              <w:rPr>
                <w:color w:val="000000"/>
                <w:szCs w:val="20"/>
                <w:lang w:val="en-GB"/>
              </w:rPr>
              <w:t xml:space="preserve">2.19 </w:t>
            </w:r>
          </w:p>
        </w:tc>
        <w:tc>
          <w:tcPr>
            <w:tcW w:w="1391" w:type="pct"/>
            <w:gridSpan w:val="2"/>
          </w:tcPr>
          <w:p w:rsidR="006D7761" w:rsidRPr="003675E5" w:rsidRDefault="006D7761" w:rsidP="00CF68EB">
            <w:pPr>
              <w:pStyle w:val="TableText"/>
            </w:pPr>
            <w:r w:rsidRPr="003675E5">
              <w:rPr>
                <w:color w:val="000000"/>
                <w:szCs w:val="20"/>
                <w:lang w:val="en-GB"/>
              </w:rPr>
              <w:t xml:space="preserve">0.24 </w:t>
            </w:r>
          </w:p>
        </w:tc>
      </w:tr>
      <w:tr w:rsidR="006D7761" w:rsidRPr="003675E5" w:rsidTr="00D306CB">
        <w:tc>
          <w:tcPr>
            <w:tcW w:w="3609" w:type="pct"/>
            <w:gridSpan w:val="6"/>
            <w:vAlign w:val="center"/>
          </w:tcPr>
          <w:p w:rsidR="006D7761" w:rsidRPr="003675E5" w:rsidRDefault="006D7761" w:rsidP="00CF68EB">
            <w:pPr>
              <w:pStyle w:val="TableText"/>
              <w:rPr>
                <w:rFonts w:ascii="Times" w:eastAsia="Times New Roman" w:hAnsi="Times" w:cs="Times New Roman"/>
                <w:snapToGrid w:val="0"/>
              </w:rPr>
            </w:pPr>
            <w:r w:rsidRPr="003675E5">
              <w:t>Incremental cost / HAC avoided</w:t>
            </w:r>
          </w:p>
        </w:tc>
        <w:tc>
          <w:tcPr>
            <w:tcW w:w="1391" w:type="pct"/>
            <w:gridSpan w:val="2"/>
          </w:tcPr>
          <w:p w:rsidR="006D7761" w:rsidRPr="003675E5" w:rsidRDefault="006D7761" w:rsidP="00CF68EB">
            <w:pPr>
              <w:pStyle w:val="TableText"/>
              <w:rPr>
                <w:rFonts w:ascii="Times" w:eastAsia="Times New Roman" w:hAnsi="Times" w:cs="Times New Roman"/>
              </w:rPr>
            </w:pPr>
            <w:r w:rsidRPr="003675E5">
              <w:rPr>
                <w:szCs w:val="20"/>
                <w:lang w:val="en-GB"/>
              </w:rPr>
              <w:t>$</w:t>
            </w:r>
            <w:r w:rsidR="007C25B9">
              <w:rPr>
                <w:noProof/>
                <w:color w:val="000000"/>
                <w:szCs w:val="20"/>
                <w:highlight w:val="black"/>
                <w:lang w:val="en-GB"/>
              </w:rPr>
              <w:t>''''''''''''''''</w:t>
            </w:r>
            <w:r w:rsidRPr="003675E5">
              <w:rPr>
                <w:szCs w:val="20"/>
                <w:lang w:val="en-GB"/>
              </w:rPr>
              <w:t xml:space="preserve"> saving per HAC avoided </w:t>
            </w:r>
          </w:p>
        </w:tc>
      </w:tr>
      <w:tr w:rsidR="006D7761" w:rsidRPr="003675E5" w:rsidTr="00D306CB">
        <w:tc>
          <w:tcPr>
            <w:tcW w:w="3609" w:type="pct"/>
            <w:gridSpan w:val="6"/>
            <w:vAlign w:val="center"/>
          </w:tcPr>
          <w:p w:rsidR="006D7761" w:rsidRPr="003675E5" w:rsidRDefault="006D7761" w:rsidP="00CF68EB">
            <w:pPr>
              <w:pStyle w:val="TableText"/>
            </w:pPr>
            <w:r w:rsidRPr="003675E5">
              <w:t>Incremental cost / QALY</w:t>
            </w:r>
          </w:p>
        </w:tc>
        <w:tc>
          <w:tcPr>
            <w:tcW w:w="1391" w:type="pct"/>
            <w:gridSpan w:val="2"/>
          </w:tcPr>
          <w:p w:rsidR="006D7761" w:rsidRPr="003675E5" w:rsidRDefault="006D7761" w:rsidP="00CF68EB">
            <w:pPr>
              <w:pStyle w:val="TableText"/>
            </w:pPr>
            <w:r w:rsidRPr="003675E5">
              <w:rPr>
                <w:color w:val="000000"/>
                <w:szCs w:val="20"/>
                <w:lang w:val="en-GB"/>
              </w:rPr>
              <w:t>Dominant</w:t>
            </w:r>
          </w:p>
        </w:tc>
      </w:tr>
      <w:tr w:rsidR="006D7761" w:rsidRPr="003675E5" w:rsidTr="00D306CB">
        <w:tc>
          <w:tcPr>
            <w:tcW w:w="5000" w:type="pct"/>
            <w:gridSpan w:val="8"/>
            <w:vAlign w:val="center"/>
          </w:tcPr>
          <w:p w:rsidR="006D7761" w:rsidRPr="003675E5" w:rsidRDefault="006D7761" w:rsidP="00CF68EB">
            <w:pPr>
              <w:pStyle w:val="TableText"/>
              <w:rPr>
                <w:b/>
                <w:snapToGrid w:val="0"/>
              </w:rPr>
            </w:pPr>
            <w:r w:rsidRPr="003675E5">
              <w:rPr>
                <w:b/>
                <w:szCs w:val="20"/>
                <w:lang w:val="en-GB"/>
              </w:rPr>
              <w:t>Step 3: Inclusion of liver transplant costs and outcomes</w:t>
            </w:r>
          </w:p>
        </w:tc>
      </w:tr>
      <w:tr w:rsidR="006D7761" w:rsidRPr="003675E5" w:rsidTr="00D306CB">
        <w:tc>
          <w:tcPr>
            <w:tcW w:w="1529" w:type="pct"/>
            <w:vAlign w:val="center"/>
          </w:tcPr>
          <w:p w:rsidR="006D7761" w:rsidRPr="003675E5" w:rsidRDefault="006D7761" w:rsidP="00CF68EB">
            <w:pPr>
              <w:pStyle w:val="TableText"/>
              <w:rPr>
                <w:rFonts w:ascii="Times" w:eastAsia="Times New Roman" w:hAnsi="Times" w:cs="Times New Roman"/>
                <w:vertAlign w:val="superscript"/>
              </w:rPr>
            </w:pPr>
            <w:r w:rsidRPr="003675E5">
              <w:t xml:space="preserve">Costs </w:t>
            </w:r>
            <w:r w:rsidRPr="003675E5">
              <w:rPr>
                <w:vertAlign w:val="superscript"/>
              </w:rPr>
              <w:t>b</w:t>
            </w:r>
          </w:p>
        </w:tc>
        <w:tc>
          <w:tcPr>
            <w:tcW w:w="1061" w:type="pct"/>
            <w:gridSpan w:val="2"/>
          </w:tcPr>
          <w:p w:rsidR="006D7761" w:rsidRPr="003675E5" w:rsidRDefault="006D7761" w:rsidP="00CF68EB">
            <w:pPr>
              <w:pStyle w:val="TableText"/>
              <w:rPr>
                <w:rFonts w:ascii="Times" w:eastAsia="Times New Roman" w:hAnsi="Times" w:cs="Times New Roman"/>
              </w:rPr>
            </w:pPr>
            <w:r w:rsidRPr="003675E5">
              <w:rPr>
                <w:szCs w:val="20"/>
                <w:lang w:val="en-GB"/>
              </w:rPr>
              <w:t>$</w:t>
            </w:r>
            <w:r w:rsidR="007C25B9">
              <w:rPr>
                <w:noProof/>
                <w:color w:val="000000"/>
                <w:szCs w:val="20"/>
                <w:highlight w:val="black"/>
                <w:lang w:val="en-GB"/>
              </w:rPr>
              <w:t>'''''''''''''''</w:t>
            </w:r>
            <w:r w:rsidRPr="003675E5">
              <w:rPr>
                <w:szCs w:val="20"/>
                <w:lang w:val="en-GB"/>
              </w:rPr>
              <w:t xml:space="preserve"> </w:t>
            </w:r>
          </w:p>
        </w:tc>
        <w:tc>
          <w:tcPr>
            <w:tcW w:w="1019" w:type="pct"/>
            <w:gridSpan w:val="3"/>
          </w:tcPr>
          <w:p w:rsidR="006D7761" w:rsidRPr="003675E5" w:rsidRDefault="006D7761" w:rsidP="00CF68EB">
            <w:pPr>
              <w:pStyle w:val="TableText"/>
              <w:rPr>
                <w:rFonts w:ascii="Times" w:eastAsia="Times New Roman" w:hAnsi="Times" w:cs="Times New Roman"/>
              </w:rPr>
            </w:pPr>
            <w:r w:rsidRPr="003675E5">
              <w:rPr>
                <w:szCs w:val="20"/>
                <w:lang w:val="en-GB"/>
              </w:rPr>
              <w:t>$</w:t>
            </w:r>
            <w:r w:rsidR="007C25B9">
              <w:rPr>
                <w:noProof/>
                <w:color w:val="000000"/>
                <w:szCs w:val="20"/>
                <w:highlight w:val="black"/>
                <w:lang w:val="en-GB"/>
              </w:rPr>
              <w:t>''''''''''''''''''</w:t>
            </w:r>
          </w:p>
        </w:tc>
        <w:tc>
          <w:tcPr>
            <w:tcW w:w="1391" w:type="pct"/>
            <w:gridSpan w:val="2"/>
          </w:tcPr>
          <w:p w:rsidR="006D7761" w:rsidRPr="003675E5" w:rsidRDefault="006D7761" w:rsidP="00CF68EB">
            <w:pPr>
              <w:pStyle w:val="TableText"/>
              <w:rPr>
                <w:rFonts w:ascii="Times" w:eastAsia="Times New Roman" w:hAnsi="Times" w:cs="Times New Roman"/>
              </w:rPr>
            </w:pPr>
            <w:r w:rsidRPr="003675E5">
              <w:rPr>
                <w:szCs w:val="20"/>
                <w:lang w:val="en-GB"/>
              </w:rPr>
              <w:t>-$</w:t>
            </w:r>
            <w:r w:rsidR="007C25B9">
              <w:rPr>
                <w:noProof/>
                <w:color w:val="000000"/>
                <w:szCs w:val="20"/>
                <w:highlight w:val="black"/>
                <w:lang w:val="en-GB"/>
              </w:rPr>
              <w:t>'''''''''''''''''</w:t>
            </w:r>
          </w:p>
        </w:tc>
      </w:tr>
      <w:tr w:rsidR="006D7761" w:rsidRPr="003675E5" w:rsidTr="00D306CB">
        <w:tc>
          <w:tcPr>
            <w:tcW w:w="1529" w:type="pct"/>
            <w:vAlign w:val="center"/>
          </w:tcPr>
          <w:p w:rsidR="006D7761" w:rsidRPr="003675E5" w:rsidRDefault="006D7761" w:rsidP="00CF68EB">
            <w:pPr>
              <w:pStyle w:val="TableText"/>
              <w:rPr>
                <w:rFonts w:ascii="Times" w:eastAsia="Times New Roman" w:hAnsi="Times" w:cs="Times New Roman"/>
              </w:rPr>
            </w:pPr>
            <w:r w:rsidRPr="003675E5">
              <w:t>HACs</w:t>
            </w:r>
          </w:p>
        </w:tc>
        <w:tc>
          <w:tcPr>
            <w:tcW w:w="1061" w:type="pct"/>
            <w:gridSpan w:val="2"/>
          </w:tcPr>
          <w:p w:rsidR="006D7761" w:rsidRPr="003675E5" w:rsidRDefault="006D7761" w:rsidP="00CF68EB">
            <w:pPr>
              <w:pStyle w:val="TableText"/>
              <w:rPr>
                <w:rFonts w:ascii="Times" w:eastAsia="Times New Roman" w:hAnsi="Times" w:cs="Times New Roman"/>
              </w:rPr>
            </w:pPr>
            <w:r w:rsidRPr="003675E5">
              <w:rPr>
                <w:szCs w:val="20"/>
                <w:lang w:val="en-GB"/>
              </w:rPr>
              <w:t xml:space="preserve">0 </w:t>
            </w:r>
          </w:p>
        </w:tc>
        <w:tc>
          <w:tcPr>
            <w:tcW w:w="1019" w:type="pct"/>
            <w:gridSpan w:val="3"/>
          </w:tcPr>
          <w:p w:rsidR="006D7761" w:rsidRPr="003675E5" w:rsidRDefault="006D7761" w:rsidP="00CF68EB">
            <w:pPr>
              <w:pStyle w:val="TableText"/>
              <w:rPr>
                <w:rFonts w:ascii="Times" w:eastAsia="Times New Roman" w:hAnsi="Times" w:cs="Times New Roman"/>
              </w:rPr>
            </w:pPr>
            <w:r w:rsidRPr="003675E5">
              <w:rPr>
                <w:szCs w:val="20"/>
                <w:lang w:val="en-GB"/>
              </w:rPr>
              <w:t xml:space="preserve">7.37 </w:t>
            </w:r>
          </w:p>
        </w:tc>
        <w:tc>
          <w:tcPr>
            <w:tcW w:w="1391" w:type="pct"/>
            <w:gridSpan w:val="2"/>
          </w:tcPr>
          <w:p w:rsidR="006D7761" w:rsidRPr="003675E5" w:rsidRDefault="006D7761" w:rsidP="00CF68EB">
            <w:pPr>
              <w:pStyle w:val="TableText"/>
            </w:pPr>
            <w:r w:rsidRPr="003675E5">
              <w:rPr>
                <w:szCs w:val="20"/>
                <w:lang w:val="en-GB"/>
              </w:rPr>
              <w:t xml:space="preserve">-7.37 </w:t>
            </w:r>
          </w:p>
        </w:tc>
      </w:tr>
      <w:tr w:rsidR="006D7761" w:rsidRPr="003675E5" w:rsidTr="00D306CB">
        <w:tc>
          <w:tcPr>
            <w:tcW w:w="1529" w:type="pct"/>
            <w:vAlign w:val="center"/>
          </w:tcPr>
          <w:p w:rsidR="006D7761" w:rsidRPr="003675E5" w:rsidRDefault="006D7761" w:rsidP="00CF68EB">
            <w:pPr>
              <w:pStyle w:val="TableText"/>
            </w:pPr>
            <w:r w:rsidRPr="003675E5">
              <w:t>QALYs</w:t>
            </w:r>
          </w:p>
        </w:tc>
        <w:tc>
          <w:tcPr>
            <w:tcW w:w="1061" w:type="pct"/>
            <w:gridSpan w:val="2"/>
          </w:tcPr>
          <w:p w:rsidR="006D7761" w:rsidRPr="003675E5" w:rsidRDefault="006D7761" w:rsidP="00CF68EB">
            <w:pPr>
              <w:pStyle w:val="TableText"/>
            </w:pPr>
            <w:r w:rsidRPr="003675E5">
              <w:rPr>
                <w:color w:val="000000"/>
                <w:szCs w:val="20"/>
                <w:lang w:val="en-GB"/>
              </w:rPr>
              <w:t xml:space="preserve">2.89 </w:t>
            </w:r>
          </w:p>
        </w:tc>
        <w:tc>
          <w:tcPr>
            <w:tcW w:w="1019" w:type="pct"/>
            <w:gridSpan w:val="3"/>
          </w:tcPr>
          <w:p w:rsidR="006D7761" w:rsidRPr="003675E5" w:rsidRDefault="006D7761" w:rsidP="00CF68EB">
            <w:pPr>
              <w:pStyle w:val="TableText"/>
            </w:pPr>
            <w:r w:rsidRPr="003675E5">
              <w:rPr>
                <w:color w:val="000000"/>
                <w:szCs w:val="20"/>
                <w:lang w:val="en-GB"/>
              </w:rPr>
              <w:t xml:space="preserve">2.69 </w:t>
            </w:r>
          </w:p>
        </w:tc>
        <w:tc>
          <w:tcPr>
            <w:tcW w:w="1391" w:type="pct"/>
            <w:gridSpan w:val="2"/>
          </w:tcPr>
          <w:p w:rsidR="006D7761" w:rsidRPr="003675E5" w:rsidRDefault="006D7761" w:rsidP="00CF68EB">
            <w:pPr>
              <w:pStyle w:val="TableText"/>
            </w:pPr>
            <w:r w:rsidRPr="003675E5">
              <w:rPr>
                <w:color w:val="000000"/>
                <w:szCs w:val="20"/>
                <w:lang w:val="en-GB"/>
              </w:rPr>
              <w:t xml:space="preserve">0.20 </w:t>
            </w:r>
          </w:p>
        </w:tc>
      </w:tr>
      <w:tr w:rsidR="006D7761" w:rsidRPr="003675E5" w:rsidTr="00D306CB">
        <w:tc>
          <w:tcPr>
            <w:tcW w:w="3609" w:type="pct"/>
            <w:gridSpan w:val="6"/>
            <w:vAlign w:val="center"/>
          </w:tcPr>
          <w:p w:rsidR="006D7761" w:rsidRPr="003675E5" w:rsidRDefault="006D7761" w:rsidP="00CF68EB">
            <w:pPr>
              <w:pStyle w:val="TableText"/>
              <w:rPr>
                <w:rFonts w:ascii="Times" w:eastAsia="Times New Roman" w:hAnsi="Times" w:cs="Times New Roman"/>
              </w:rPr>
            </w:pPr>
            <w:r w:rsidRPr="003675E5">
              <w:t>Incremental cost / HAC avoided</w:t>
            </w:r>
          </w:p>
        </w:tc>
        <w:tc>
          <w:tcPr>
            <w:tcW w:w="1391" w:type="pct"/>
            <w:gridSpan w:val="2"/>
          </w:tcPr>
          <w:p w:rsidR="006D7761" w:rsidRPr="003675E5" w:rsidRDefault="006D7761" w:rsidP="00CF68EB">
            <w:pPr>
              <w:pStyle w:val="TableText"/>
              <w:rPr>
                <w:rFonts w:ascii="Times" w:eastAsia="Times New Roman" w:hAnsi="Times" w:cs="Times New Roman"/>
              </w:rPr>
            </w:pPr>
            <w:r w:rsidRPr="003675E5">
              <w:rPr>
                <w:szCs w:val="20"/>
                <w:lang w:val="en-GB"/>
              </w:rPr>
              <w:t>$</w:t>
            </w:r>
            <w:r w:rsidR="007C25B9">
              <w:rPr>
                <w:noProof/>
                <w:color w:val="000000"/>
                <w:szCs w:val="20"/>
                <w:highlight w:val="black"/>
                <w:lang w:val="en-GB"/>
              </w:rPr>
              <w:t>''''''''''''''''</w:t>
            </w:r>
            <w:r w:rsidRPr="003675E5">
              <w:rPr>
                <w:szCs w:val="20"/>
                <w:lang w:val="en-GB"/>
              </w:rPr>
              <w:t xml:space="preserve"> saving per HAC avoided </w:t>
            </w:r>
          </w:p>
        </w:tc>
      </w:tr>
      <w:tr w:rsidR="006D7761" w:rsidRPr="003675E5" w:rsidTr="00D306CB">
        <w:tc>
          <w:tcPr>
            <w:tcW w:w="3609" w:type="pct"/>
            <w:gridSpan w:val="6"/>
            <w:vAlign w:val="center"/>
          </w:tcPr>
          <w:p w:rsidR="006D7761" w:rsidRPr="003675E5" w:rsidRDefault="006D7761" w:rsidP="00CF68EB">
            <w:pPr>
              <w:pStyle w:val="TableText"/>
            </w:pPr>
            <w:r w:rsidRPr="003675E5">
              <w:t>Incremental cost / QALY</w:t>
            </w:r>
          </w:p>
        </w:tc>
        <w:tc>
          <w:tcPr>
            <w:tcW w:w="1391" w:type="pct"/>
            <w:gridSpan w:val="2"/>
          </w:tcPr>
          <w:p w:rsidR="006D7761" w:rsidRPr="003675E5" w:rsidRDefault="006D7761" w:rsidP="00CF68EB">
            <w:pPr>
              <w:pStyle w:val="TableText"/>
            </w:pPr>
            <w:r w:rsidRPr="003675E5">
              <w:rPr>
                <w:color w:val="000000"/>
                <w:szCs w:val="20"/>
                <w:lang w:val="en-GB"/>
              </w:rPr>
              <w:t>Dominant</w:t>
            </w:r>
          </w:p>
        </w:tc>
      </w:tr>
      <w:tr w:rsidR="006D7761" w:rsidRPr="003675E5" w:rsidTr="00D306CB">
        <w:tc>
          <w:tcPr>
            <w:tcW w:w="5000" w:type="pct"/>
            <w:gridSpan w:val="8"/>
            <w:vAlign w:val="center"/>
          </w:tcPr>
          <w:p w:rsidR="006D7761" w:rsidRPr="003675E5" w:rsidRDefault="006D7761" w:rsidP="00CF68EB">
            <w:pPr>
              <w:pStyle w:val="TableText"/>
              <w:rPr>
                <w:b/>
                <w:snapToGrid w:val="0"/>
              </w:rPr>
            </w:pPr>
            <w:r w:rsidRPr="003675E5">
              <w:rPr>
                <w:b/>
                <w:snapToGrid w:val="0"/>
              </w:rPr>
              <w:t>Base Case: All costs included; 100-year time horizon; 5% discounting</w:t>
            </w:r>
          </w:p>
        </w:tc>
      </w:tr>
      <w:tr w:rsidR="006D7761" w:rsidRPr="003675E5" w:rsidTr="00D306CB">
        <w:tc>
          <w:tcPr>
            <w:tcW w:w="1529" w:type="pct"/>
            <w:vAlign w:val="center"/>
          </w:tcPr>
          <w:p w:rsidR="006D7761" w:rsidRPr="003675E5" w:rsidRDefault="006D7761" w:rsidP="00CF68EB">
            <w:pPr>
              <w:pStyle w:val="TableText"/>
              <w:rPr>
                <w:rFonts w:ascii="Times" w:eastAsia="Times New Roman" w:hAnsi="Times" w:cs="Times New Roman"/>
              </w:rPr>
            </w:pPr>
            <w:r w:rsidRPr="003675E5">
              <w:t>Costs</w:t>
            </w:r>
          </w:p>
        </w:tc>
        <w:tc>
          <w:tcPr>
            <w:tcW w:w="1061" w:type="pct"/>
            <w:gridSpan w:val="2"/>
          </w:tcPr>
          <w:p w:rsidR="006D7761" w:rsidRPr="003675E5" w:rsidRDefault="006D7761" w:rsidP="00CF68EB">
            <w:pPr>
              <w:pStyle w:val="TableText"/>
              <w:rPr>
                <w:rFonts w:ascii="Times" w:eastAsia="Times New Roman" w:hAnsi="Times" w:cs="Times New Roman"/>
              </w:rPr>
            </w:pPr>
            <w:r w:rsidRPr="003675E5">
              <w:rPr>
                <w:szCs w:val="20"/>
                <w:lang w:val="en-GB"/>
              </w:rPr>
              <w:t>$</w:t>
            </w:r>
            <w:r w:rsidR="007C25B9">
              <w:rPr>
                <w:noProof/>
                <w:color w:val="000000"/>
                <w:szCs w:val="20"/>
                <w:highlight w:val="black"/>
                <w:lang w:val="en-GB"/>
              </w:rPr>
              <w:t>'''''''''''''''''''''</w:t>
            </w:r>
          </w:p>
        </w:tc>
        <w:tc>
          <w:tcPr>
            <w:tcW w:w="1019" w:type="pct"/>
            <w:gridSpan w:val="3"/>
          </w:tcPr>
          <w:p w:rsidR="006D7761" w:rsidRPr="003675E5" w:rsidRDefault="006D7761" w:rsidP="00CF68EB">
            <w:pPr>
              <w:pStyle w:val="TableText"/>
              <w:rPr>
                <w:rFonts w:ascii="Times" w:eastAsia="Times New Roman" w:hAnsi="Times" w:cs="Times New Roman"/>
              </w:rPr>
            </w:pPr>
            <w:r w:rsidRPr="003675E5">
              <w:rPr>
                <w:szCs w:val="20"/>
                <w:lang w:val="en-GB"/>
              </w:rPr>
              <w:t>$</w:t>
            </w:r>
            <w:r w:rsidR="007C25B9">
              <w:rPr>
                <w:noProof/>
                <w:color w:val="000000"/>
                <w:szCs w:val="20"/>
                <w:highlight w:val="black"/>
                <w:lang w:val="en-GB"/>
              </w:rPr>
              <w:t>''''''''''''''''''''</w:t>
            </w:r>
          </w:p>
        </w:tc>
        <w:tc>
          <w:tcPr>
            <w:tcW w:w="1391" w:type="pct"/>
            <w:gridSpan w:val="2"/>
          </w:tcPr>
          <w:p w:rsidR="006D7761" w:rsidRPr="003675E5" w:rsidRDefault="006D7761" w:rsidP="00CF68EB">
            <w:pPr>
              <w:pStyle w:val="TableText"/>
              <w:rPr>
                <w:rFonts w:ascii="Times" w:eastAsia="Times New Roman" w:hAnsi="Times" w:cs="Times New Roman"/>
              </w:rPr>
            </w:pPr>
            <w:r w:rsidRPr="003675E5">
              <w:rPr>
                <w:szCs w:val="20"/>
                <w:lang w:val="en-GB"/>
              </w:rPr>
              <w:t>-$</w:t>
            </w:r>
            <w:r w:rsidR="007C25B9">
              <w:rPr>
                <w:noProof/>
                <w:color w:val="000000"/>
                <w:szCs w:val="20"/>
                <w:highlight w:val="black"/>
                <w:lang w:val="en-GB"/>
              </w:rPr>
              <w:t>'''''''''''''''''</w:t>
            </w:r>
          </w:p>
        </w:tc>
      </w:tr>
      <w:tr w:rsidR="006D7761" w:rsidRPr="003675E5" w:rsidTr="00D306CB">
        <w:tc>
          <w:tcPr>
            <w:tcW w:w="1529" w:type="pct"/>
            <w:vAlign w:val="center"/>
          </w:tcPr>
          <w:p w:rsidR="006D7761" w:rsidRPr="003675E5" w:rsidRDefault="006D7761" w:rsidP="00CF68EB">
            <w:pPr>
              <w:pStyle w:val="TableText"/>
              <w:rPr>
                <w:rFonts w:ascii="Times" w:eastAsia="Times New Roman" w:hAnsi="Times" w:cs="Times New Roman"/>
              </w:rPr>
            </w:pPr>
            <w:r w:rsidRPr="003675E5">
              <w:t>HACs</w:t>
            </w:r>
          </w:p>
        </w:tc>
        <w:tc>
          <w:tcPr>
            <w:tcW w:w="1061" w:type="pct"/>
            <w:gridSpan w:val="2"/>
          </w:tcPr>
          <w:p w:rsidR="006D7761" w:rsidRPr="003675E5" w:rsidRDefault="006D7761" w:rsidP="00CF68EB">
            <w:pPr>
              <w:pStyle w:val="TableText"/>
              <w:rPr>
                <w:rFonts w:ascii="Times" w:eastAsia="Times New Roman" w:hAnsi="Times" w:cs="Times New Roman"/>
              </w:rPr>
            </w:pPr>
            <w:r w:rsidRPr="003675E5">
              <w:rPr>
                <w:szCs w:val="20"/>
                <w:lang w:val="en-GB"/>
              </w:rPr>
              <w:t xml:space="preserve">0 </w:t>
            </w:r>
          </w:p>
        </w:tc>
        <w:tc>
          <w:tcPr>
            <w:tcW w:w="1019" w:type="pct"/>
            <w:gridSpan w:val="3"/>
          </w:tcPr>
          <w:p w:rsidR="006D7761" w:rsidRPr="003675E5" w:rsidRDefault="006D7761" w:rsidP="00CF68EB">
            <w:pPr>
              <w:pStyle w:val="TableText"/>
              <w:rPr>
                <w:rFonts w:ascii="Times" w:eastAsia="Times New Roman" w:hAnsi="Times" w:cs="Times New Roman"/>
              </w:rPr>
            </w:pPr>
            <w:r w:rsidRPr="003675E5">
              <w:rPr>
                <w:szCs w:val="20"/>
                <w:lang w:val="en-GB"/>
              </w:rPr>
              <w:t xml:space="preserve">9.59 </w:t>
            </w:r>
          </w:p>
        </w:tc>
        <w:tc>
          <w:tcPr>
            <w:tcW w:w="1391" w:type="pct"/>
            <w:gridSpan w:val="2"/>
          </w:tcPr>
          <w:p w:rsidR="006D7761" w:rsidRPr="003675E5" w:rsidRDefault="006D7761" w:rsidP="00CF68EB">
            <w:pPr>
              <w:pStyle w:val="TableText"/>
            </w:pPr>
            <w:r w:rsidRPr="003675E5">
              <w:rPr>
                <w:szCs w:val="20"/>
                <w:lang w:val="en-GB"/>
              </w:rPr>
              <w:t xml:space="preserve">-9.59 </w:t>
            </w:r>
          </w:p>
        </w:tc>
      </w:tr>
      <w:tr w:rsidR="006D7761" w:rsidRPr="003675E5" w:rsidTr="00D306CB">
        <w:tc>
          <w:tcPr>
            <w:tcW w:w="1529" w:type="pct"/>
            <w:vAlign w:val="center"/>
          </w:tcPr>
          <w:p w:rsidR="006D7761" w:rsidRPr="003675E5" w:rsidRDefault="006D7761" w:rsidP="00CF68EB">
            <w:pPr>
              <w:pStyle w:val="TableText"/>
            </w:pPr>
            <w:r w:rsidRPr="003675E5">
              <w:t>QALYs</w:t>
            </w:r>
          </w:p>
        </w:tc>
        <w:tc>
          <w:tcPr>
            <w:tcW w:w="1061" w:type="pct"/>
            <w:gridSpan w:val="2"/>
          </w:tcPr>
          <w:p w:rsidR="006D7761" w:rsidRPr="003675E5" w:rsidRDefault="006D7761" w:rsidP="00CF68EB">
            <w:pPr>
              <w:pStyle w:val="TableText"/>
              <w:rPr>
                <w:szCs w:val="20"/>
                <w:vertAlign w:val="superscript"/>
                <w:lang w:val="en-GB"/>
              </w:rPr>
            </w:pPr>
            <w:r w:rsidRPr="003675E5">
              <w:rPr>
                <w:color w:val="000000"/>
                <w:szCs w:val="20"/>
                <w:lang w:val="en-GB"/>
              </w:rPr>
              <w:t>3.58</w:t>
            </w:r>
            <w:r w:rsidR="00C86420" w:rsidRPr="003675E5">
              <w:rPr>
                <w:color w:val="000000"/>
                <w:szCs w:val="20"/>
                <w:lang w:val="en-GB"/>
              </w:rPr>
              <w:t xml:space="preserve"> </w:t>
            </w:r>
          </w:p>
        </w:tc>
        <w:tc>
          <w:tcPr>
            <w:tcW w:w="1019" w:type="pct"/>
            <w:gridSpan w:val="3"/>
          </w:tcPr>
          <w:p w:rsidR="006D7761" w:rsidRPr="003675E5" w:rsidRDefault="006D7761" w:rsidP="00CF68EB">
            <w:pPr>
              <w:pStyle w:val="TableText"/>
              <w:rPr>
                <w:szCs w:val="20"/>
                <w:lang w:val="en-GB"/>
              </w:rPr>
            </w:pPr>
            <w:r w:rsidRPr="003675E5">
              <w:rPr>
                <w:color w:val="000000"/>
                <w:szCs w:val="20"/>
                <w:lang w:val="en-GB"/>
              </w:rPr>
              <w:t>3.34</w:t>
            </w:r>
          </w:p>
        </w:tc>
        <w:tc>
          <w:tcPr>
            <w:tcW w:w="1391" w:type="pct"/>
            <w:gridSpan w:val="2"/>
          </w:tcPr>
          <w:p w:rsidR="006D7761" w:rsidRPr="003675E5" w:rsidRDefault="006D7761" w:rsidP="00CF68EB">
            <w:pPr>
              <w:pStyle w:val="TableText"/>
              <w:rPr>
                <w:szCs w:val="20"/>
                <w:lang w:val="en-GB"/>
              </w:rPr>
            </w:pPr>
            <w:r w:rsidRPr="003675E5">
              <w:rPr>
                <w:color w:val="000000"/>
                <w:szCs w:val="20"/>
                <w:lang w:val="en-GB"/>
              </w:rPr>
              <w:t>0.24</w:t>
            </w:r>
          </w:p>
        </w:tc>
      </w:tr>
      <w:tr w:rsidR="006D7761" w:rsidRPr="003675E5" w:rsidTr="00D306CB">
        <w:tc>
          <w:tcPr>
            <w:tcW w:w="3609" w:type="pct"/>
            <w:gridSpan w:val="6"/>
            <w:vAlign w:val="center"/>
          </w:tcPr>
          <w:p w:rsidR="006D7761" w:rsidRPr="003675E5" w:rsidRDefault="006D7761" w:rsidP="00CF68EB">
            <w:pPr>
              <w:pStyle w:val="TableText"/>
              <w:rPr>
                <w:rFonts w:ascii="Times" w:eastAsia="Times New Roman" w:hAnsi="Times" w:cs="Times New Roman"/>
              </w:rPr>
            </w:pPr>
            <w:r w:rsidRPr="003675E5">
              <w:t>Incremental cost / HAC avoided</w:t>
            </w:r>
          </w:p>
        </w:tc>
        <w:tc>
          <w:tcPr>
            <w:tcW w:w="1391" w:type="pct"/>
            <w:gridSpan w:val="2"/>
          </w:tcPr>
          <w:p w:rsidR="006D7761" w:rsidRPr="003675E5" w:rsidRDefault="006D7761" w:rsidP="00CF68EB">
            <w:pPr>
              <w:pStyle w:val="TableText"/>
              <w:rPr>
                <w:rFonts w:ascii="Times" w:eastAsia="Times New Roman" w:hAnsi="Times" w:cs="Times New Roman"/>
              </w:rPr>
            </w:pPr>
            <w:r w:rsidRPr="003675E5">
              <w:rPr>
                <w:szCs w:val="20"/>
                <w:lang w:val="en-GB"/>
              </w:rPr>
              <w:t>$</w:t>
            </w:r>
            <w:r w:rsidR="007C25B9">
              <w:rPr>
                <w:noProof/>
                <w:color w:val="000000"/>
                <w:szCs w:val="20"/>
                <w:highlight w:val="black"/>
                <w:lang w:val="en-GB"/>
              </w:rPr>
              <w:t>''''''''''''</w:t>
            </w:r>
            <w:r w:rsidRPr="003675E5">
              <w:rPr>
                <w:szCs w:val="20"/>
                <w:lang w:val="en-GB"/>
              </w:rPr>
              <w:t xml:space="preserve"> saving per HAC avoided </w:t>
            </w:r>
          </w:p>
        </w:tc>
      </w:tr>
      <w:tr w:rsidR="006D7761" w:rsidRPr="003675E5" w:rsidTr="00D306CB">
        <w:tc>
          <w:tcPr>
            <w:tcW w:w="3609" w:type="pct"/>
            <w:gridSpan w:val="6"/>
            <w:tcBorders>
              <w:bottom w:val="double" w:sz="4" w:space="0" w:color="auto"/>
            </w:tcBorders>
            <w:vAlign w:val="center"/>
          </w:tcPr>
          <w:p w:rsidR="006D7761" w:rsidRPr="003675E5" w:rsidRDefault="006D7761" w:rsidP="00CF68EB">
            <w:pPr>
              <w:pStyle w:val="TableText"/>
            </w:pPr>
            <w:r w:rsidRPr="003675E5">
              <w:t>Incremental cost / QALY</w:t>
            </w:r>
          </w:p>
        </w:tc>
        <w:tc>
          <w:tcPr>
            <w:tcW w:w="1391" w:type="pct"/>
            <w:gridSpan w:val="2"/>
            <w:tcBorders>
              <w:bottom w:val="double" w:sz="4" w:space="0" w:color="auto"/>
            </w:tcBorders>
          </w:tcPr>
          <w:p w:rsidR="006D7761" w:rsidRPr="003675E5" w:rsidRDefault="006D7761" w:rsidP="00CF68EB">
            <w:pPr>
              <w:pStyle w:val="TableText"/>
            </w:pPr>
            <w:r w:rsidRPr="003675E5">
              <w:rPr>
                <w:color w:val="000000"/>
                <w:szCs w:val="20"/>
                <w:lang w:val="en-GB"/>
              </w:rPr>
              <w:t>Dominant</w:t>
            </w:r>
          </w:p>
        </w:tc>
      </w:tr>
      <w:tr w:rsidR="006D7761" w:rsidRPr="003675E5" w:rsidTr="00D306CB">
        <w:tc>
          <w:tcPr>
            <w:tcW w:w="5000" w:type="pct"/>
            <w:gridSpan w:val="8"/>
            <w:tcBorders>
              <w:top w:val="double" w:sz="4" w:space="0" w:color="auto"/>
            </w:tcBorders>
          </w:tcPr>
          <w:p w:rsidR="006D7761" w:rsidRPr="003675E5" w:rsidRDefault="006D7761" w:rsidP="00CF68EB">
            <w:pPr>
              <w:pStyle w:val="TableText"/>
              <w:rPr>
                <w:b/>
                <w:snapToGrid w:val="0"/>
              </w:rPr>
            </w:pPr>
            <w:r w:rsidRPr="003675E5">
              <w:rPr>
                <w:b/>
                <w:color w:val="000000"/>
                <w:szCs w:val="20"/>
                <w:lang w:eastAsia="en-AU"/>
              </w:rPr>
              <w:t>Standard care (includes ammonium scavengers) versus natural history (no ammonium scavengers)</w:t>
            </w:r>
          </w:p>
        </w:tc>
      </w:tr>
      <w:tr w:rsidR="006D7761" w:rsidRPr="003675E5" w:rsidTr="00D306CB">
        <w:tc>
          <w:tcPr>
            <w:tcW w:w="1529" w:type="pct"/>
            <w:tcBorders>
              <w:top w:val="single" w:sz="4" w:space="0" w:color="auto"/>
            </w:tcBorders>
          </w:tcPr>
          <w:p w:rsidR="006D7761" w:rsidRPr="003675E5" w:rsidRDefault="006D7761" w:rsidP="00CF68EB">
            <w:pPr>
              <w:pStyle w:val="TableText"/>
              <w:rPr>
                <w:b/>
                <w:snapToGrid w:val="0"/>
              </w:rPr>
            </w:pPr>
            <w:r w:rsidRPr="003675E5">
              <w:rPr>
                <w:b/>
                <w:szCs w:val="20"/>
                <w:lang w:val="en-GB"/>
              </w:rPr>
              <w:t>Base Case</w:t>
            </w:r>
          </w:p>
        </w:tc>
        <w:tc>
          <w:tcPr>
            <w:tcW w:w="1061" w:type="pct"/>
            <w:gridSpan w:val="2"/>
            <w:tcBorders>
              <w:top w:val="single" w:sz="4" w:space="0" w:color="auto"/>
            </w:tcBorders>
          </w:tcPr>
          <w:p w:rsidR="006D7761" w:rsidRPr="003675E5" w:rsidRDefault="006D7761" w:rsidP="00CF68EB">
            <w:pPr>
              <w:pStyle w:val="TableText"/>
              <w:rPr>
                <w:b/>
                <w:snapToGrid w:val="0"/>
              </w:rPr>
            </w:pPr>
            <w:r w:rsidRPr="003675E5">
              <w:rPr>
                <w:b/>
                <w:snapToGrid w:val="0"/>
              </w:rPr>
              <w:t>Standard care</w:t>
            </w:r>
          </w:p>
        </w:tc>
        <w:tc>
          <w:tcPr>
            <w:tcW w:w="1027" w:type="pct"/>
            <w:gridSpan w:val="4"/>
            <w:tcBorders>
              <w:top w:val="single" w:sz="4" w:space="0" w:color="auto"/>
            </w:tcBorders>
          </w:tcPr>
          <w:p w:rsidR="006D7761" w:rsidRPr="003675E5" w:rsidRDefault="006D7761" w:rsidP="00CF68EB">
            <w:pPr>
              <w:pStyle w:val="TableText"/>
              <w:rPr>
                <w:b/>
                <w:snapToGrid w:val="0"/>
              </w:rPr>
            </w:pPr>
            <w:r w:rsidRPr="003675E5">
              <w:rPr>
                <w:b/>
                <w:snapToGrid w:val="0"/>
              </w:rPr>
              <w:t>Natural history</w:t>
            </w:r>
          </w:p>
        </w:tc>
        <w:tc>
          <w:tcPr>
            <w:tcW w:w="1383" w:type="pct"/>
            <w:tcBorders>
              <w:top w:val="single" w:sz="4" w:space="0" w:color="auto"/>
            </w:tcBorders>
          </w:tcPr>
          <w:p w:rsidR="006D7761" w:rsidRPr="003675E5" w:rsidRDefault="006D7761" w:rsidP="00CF68EB">
            <w:pPr>
              <w:pStyle w:val="TableText"/>
              <w:rPr>
                <w:b/>
                <w:snapToGrid w:val="0"/>
              </w:rPr>
            </w:pPr>
            <w:r w:rsidRPr="003675E5">
              <w:rPr>
                <w:b/>
              </w:rPr>
              <w:t>Increment</w:t>
            </w:r>
          </w:p>
        </w:tc>
      </w:tr>
      <w:tr w:rsidR="006D7761" w:rsidRPr="003675E5" w:rsidTr="00D306CB">
        <w:tc>
          <w:tcPr>
            <w:tcW w:w="1529" w:type="pct"/>
            <w:vAlign w:val="center"/>
          </w:tcPr>
          <w:p w:rsidR="006D7761" w:rsidRPr="003675E5" w:rsidRDefault="006D7761" w:rsidP="00CF68EB">
            <w:pPr>
              <w:pStyle w:val="TableText"/>
              <w:rPr>
                <w:rFonts w:ascii="Times" w:eastAsia="Times New Roman" w:hAnsi="Times" w:cs="Times New Roman"/>
              </w:rPr>
            </w:pPr>
            <w:r w:rsidRPr="003675E5">
              <w:t>Costs</w:t>
            </w:r>
          </w:p>
        </w:tc>
        <w:tc>
          <w:tcPr>
            <w:tcW w:w="1061" w:type="pct"/>
            <w:gridSpan w:val="2"/>
          </w:tcPr>
          <w:p w:rsidR="006D7761" w:rsidRPr="003675E5" w:rsidRDefault="006D7761" w:rsidP="00CF68EB">
            <w:pPr>
              <w:pStyle w:val="TableText"/>
              <w:rPr>
                <w:rFonts w:ascii="Times" w:eastAsia="Times New Roman" w:hAnsi="Times" w:cs="Times New Roman"/>
              </w:rPr>
            </w:pPr>
            <w:r w:rsidRPr="003675E5">
              <w:rPr>
                <w:color w:val="000000"/>
                <w:szCs w:val="20"/>
                <w:lang w:val="en-GB"/>
              </w:rPr>
              <w:t>$</w:t>
            </w:r>
            <w:r w:rsidR="007C25B9">
              <w:rPr>
                <w:noProof/>
                <w:color w:val="000000"/>
                <w:szCs w:val="20"/>
                <w:highlight w:val="black"/>
                <w:lang w:val="en-GB"/>
              </w:rPr>
              <w:t>''''''''''''''''''''''</w:t>
            </w:r>
          </w:p>
        </w:tc>
        <w:tc>
          <w:tcPr>
            <w:tcW w:w="1019" w:type="pct"/>
            <w:gridSpan w:val="3"/>
          </w:tcPr>
          <w:p w:rsidR="006D7761" w:rsidRPr="003675E5" w:rsidRDefault="006D7761" w:rsidP="00CF68EB">
            <w:pPr>
              <w:pStyle w:val="TableText"/>
              <w:rPr>
                <w:rFonts w:ascii="Times" w:eastAsia="Times New Roman" w:hAnsi="Times" w:cs="Times New Roman"/>
              </w:rPr>
            </w:pPr>
            <w:r w:rsidRPr="003675E5">
              <w:rPr>
                <w:color w:val="000000"/>
                <w:szCs w:val="20"/>
                <w:lang w:val="en-GB"/>
              </w:rPr>
              <w:t>$</w:t>
            </w:r>
            <w:r w:rsidR="007C25B9">
              <w:rPr>
                <w:noProof/>
                <w:color w:val="000000"/>
                <w:szCs w:val="20"/>
                <w:highlight w:val="black"/>
                <w:lang w:val="en-GB"/>
              </w:rPr>
              <w:t>'''''''''''''''''''''</w:t>
            </w:r>
          </w:p>
        </w:tc>
        <w:tc>
          <w:tcPr>
            <w:tcW w:w="1391" w:type="pct"/>
            <w:gridSpan w:val="2"/>
          </w:tcPr>
          <w:p w:rsidR="006D7761" w:rsidRPr="003675E5" w:rsidRDefault="006D7761" w:rsidP="00CF68EB">
            <w:pPr>
              <w:pStyle w:val="TableText"/>
              <w:rPr>
                <w:rFonts w:ascii="Times" w:eastAsia="Times New Roman" w:hAnsi="Times" w:cs="Times New Roman"/>
              </w:rPr>
            </w:pPr>
            <w:r w:rsidRPr="003675E5">
              <w:rPr>
                <w:color w:val="000000"/>
                <w:szCs w:val="20"/>
                <w:lang w:val="en-GB"/>
              </w:rPr>
              <w:t>$</w:t>
            </w:r>
            <w:r w:rsidR="007C25B9">
              <w:rPr>
                <w:noProof/>
                <w:color w:val="000000"/>
                <w:szCs w:val="20"/>
                <w:highlight w:val="black"/>
                <w:lang w:val="en-GB"/>
              </w:rPr>
              <w:t>''''''''''''''''</w:t>
            </w:r>
          </w:p>
        </w:tc>
      </w:tr>
      <w:tr w:rsidR="006D7761" w:rsidRPr="003675E5" w:rsidTr="00D306CB">
        <w:tc>
          <w:tcPr>
            <w:tcW w:w="1529" w:type="pct"/>
            <w:vAlign w:val="center"/>
          </w:tcPr>
          <w:p w:rsidR="006D7761" w:rsidRPr="003675E5" w:rsidRDefault="006D7761" w:rsidP="00CF68EB">
            <w:pPr>
              <w:pStyle w:val="TableText"/>
              <w:rPr>
                <w:rFonts w:ascii="Times" w:eastAsia="Times New Roman" w:hAnsi="Times" w:cs="Times New Roman"/>
              </w:rPr>
            </w:pPr>
            <w:r w:rsidRPr="003675E5">
              <w:t>HACs</w:t>
            </w:r>
          </w:p>
        </w:tc>
        <w:tc>
          <w:tcPr>
            <w:tcW w:w="1061" w:type="pct"/>
            <w:gridSpan w:val="2"/>
          </w:tcPr>
          <w:p w:rsidR="006D7761" w:rsidRPr="003675E5" w:rsidRDefault="006D7761" w:rsidP="00CF68EB">
            <w:pPr>
              <w:pStyle w:val="TableText"/>
              <w:rPr>
                <w:rFonts w:ascii="Times" w:eastAsia="Times New Roman" w:hAnsi="Times" w:cs="Times New Roman"/>
              </w:rPr>
            </w:pPr>
            <w:r w:rsidRPr="003675E5">
              <w:rPr>
                <w:color w:val="000000"/>
                <w:szCs w:val="20"/>
                <w:lang w:eastAsia="en-AU"/>
              </w:rPr>
              <w:t xml:space="preserve">9.59 </w:t>
            </w:r>
          </w:p>
        </w:tc>
        <w:tc>
          <w:tcPr>
            <w:tcW w:w="1019" w:type="pct"/>
            <w:gridSpan w:val="3"/>
          </w:tcPr>
          <w:p w:rsidR="006D7761" w:rsidRPr="003675E5" w:rsidRDefault="006D7761" w:rsidP="00CF68EB">
            <w:pPr>
              <w:pStyle w:val="TableText"/>
              <w:rPr>
                <w:rFonts w:ascii="Times" w:eastAsia="Times New Roman" w:hAnsi="Times" w:cs="Times New Roman"/>
              </w:rPr>
            </w:pPr>
            <w:r w:rsidRPr="003675E5">
              <w:rPr>
                <w:color w:val="000000"/>
                <w:szCs w:val="20"/>
                <w:lang w:val="en-GB"/>
              </w:rPr>
              <w:t xml:space="preserve">12.03 </w:t>
            </w:r>
          </w:p>
        </w:tc>
        <w:tc>
          <w:tcPr>
            <w:tcW w:w="1391" w:type="pct"/>
            <w:gridSpan w:val="2"/>
          </w:tcPr>
          <w:p w:rsidR="006D7761" w:rsidRPr="003675E5" w:rsidRDefault="006D7761" w:rsidP="00CF68EB">
            <w:pPr>
              <w:pStyle w:val="TableText"/>
            </w:pPr>
            <w:r w:rsidRPr="003675E5">
              <w:rPr>
                <w:color w:val="000000"/>
                <w:szCs w:val="20"/>
                <w:lang w:eastAsia="en-AU"/>
              </w:rPr>
              <w:t xml:space="preserve">-2.44 </w:t>
            </w:r>
          </w:p>
        </w:tc>
      </w:tr>
      <w:tr w:rsidR="006D7761" w:rsidRPr="003675E5" w:rsidTr="00D306CB">
        <w:tc>
          <w:tcPr>
            <w:tcW w:w="1529" w:type="pct"/>
            <w:vAlign w:val="center"/>
          </w:tcPr>
          <w:p w:rsidR="006D7761" w:rsidRPr="003675E5" w:rsidRDefault="006D7761" w:rsidP="00CF68EB">
            <w:pPr>
              <w:pStyle w:val="TableText"/>
            </w:pPr>
            <w:r w:rsidRPr="003675E5">
              <w:t>QALYs</w:t>
            </w:r>
          </w:p>
        </w:tc>
        <w:tc>
          <w:tcPr>
            <w:tcW w:w="1061" w:type="pct"/>
            <w:gridSpan w:val="2"/>
          </w:tcPr>
          <w:p w:rsidR="006D7761" w:rsidRPr="003675E5" w:rsidRDefault="006D7761" w:rsidP="00CF68EB">
            <w:pPr>
              <w:pStyle w:val="TableText"/>
              <w:rPr>
                <w:vertAlign w:val="superscript"/>
              </w:rPr>
            </w:pPr>
            <w:r w:rsidRPr="003675E5">
              <w:rPr>
                <w:color w:val="000000"/>
                <w:szCs w:val="20"/>
                <w:lang w:val="en-GB"/>
              </w:rPr>
              <w:t xml:space="preserve">3.34 </w:t>
            </w:r>
          </w:p>
        </w:tc>
        <w:tc>
          <w:tcPr>
            <w:tcW w:w="1019" w:type="pct"/>
            <w:gridSpan w:val="3"/>
          </w:tcPr>
          <w:p w:rsidR="006D7761" w:rsidRPr="003675E5" w:rsidRDefault="006D7761" w:rsidP="00CF68EB">
            <w:pPr>
              <w:pStyle w:val="TableText"/>
            </w:pPr>
            <w:r w:rsidRPr="003675E5">
              <w:rPr>
                <w:color w:val="000000"/>
                <w:szCs w:val="20"/>
                <w:lang w:val="en-GB"/>
              </w:rPr>
              <w:t xml:space="preserve">2.01 </w:t>
            </w:r>
          </w:p>
        </w:tc>
        <w:tc>
          <w:tcPr>
            <w:tcW w:w="1391" w:type="pct"/>
            <w:gridSpan w:val="2"/>
          </w:tcPr>
          <w:p w:rsidR="006D7761" w:rsidRPr="003675E5" w:rsidRDefault="006D7761" w:rsidP="00CF68EB">
            <w:pPr>
              <w:pStyle w:val="TableText"/>
            </w:pPr>
            <w:r w:rsidRPr="003675E5">
              <w:rPr>
                <w:color w:val="000000"/>
                <w:szCs w:val="20"/>
                <w:lang w:val="en-GB"/>
              </w:rPr>
              <w:t xml:space="preserve">1.33 </w:t>
            </w:r>
          </w:p>
        </w:tc>
      </w:tr>
      <w:tr w:rsidR="006D7761" w:rsidRPr="003675E5" w:rsidTr="00D306CB">
        <w:tc>
          <w:tcPr>
            <w:tcW w:w="3609" w:type="pct"/>
            <w:gridSpan w:val="6"/>
            <w:vAlign w:val="center"/>
          </w:tcPr>
          <w:p w:rsidR="006D7761" w:rsidRPr="003675E5" w:rsidRDefault="006D7761" w:rsidP="00CF68EB">
            <w:pPr>
              <w:pStyle w:val="TableText"/>
              <w:rPr>
                <w:rFonts w:ascii="Times" w:eastAsia="Times New Roman" w:hAnsi="Times" w:cs="Times New Roman"/>
              </w:rPr>
            </w:pPr>
            <w:r w:rsidRPr="003675E5">
              <w:t>Incremental cost / HAC avoided</w:t>
            </w:r>
          </w:p>
        </w:tc>
        <w:tc>
          <w:tcPr>
            <w:tcW w:w="1391" w:type="pct"/>
            <w:gridSpan w:val="2"/>
          </w:tcPr>
          <w:p w:rsidR="006D7761" w:rsidRPr="003675E5" w:rsidRDefault="006D7761" w:rsidP="00CF68EB">
            <w:pPr>
              <w:pStyle w:val="TableText"/>
              <w:rPr>
                <w:rFonts w:ascii="Times" w:eastAsia="Times New Roman" w:hAnsi="Times" w:cs="Times New Roman"/>
              </w:rPr>
            </w:pPr>
            <w:r w:rsidRPr="003675E5">
              <w:rPr>
                <w:color w:val="000000"/>
                <w:szCs w:val="20"/>
                <w:lang w:val="en-GB"/>
              </w:rPr>
              <w:t>$</w:t>
            </w:r>
            <w:r w:rsidR="007C25B9">
              <w:rPr>
                <w:noProof/>
                <w:color w:val="000000"/>
                <w:szCs w:val="20"/>
                <w:highlight w:val="black"/>
                <w:lang w:val="en-GB"/>
              </w:rPr>
              <w:t>'''''''''''''''</w:t>
            </w:r>
            <w:r w:rsidRPr="003675E5">
              <w:rPr>
                <w:color w:val="000000"/>
                <w:szCs w:val="20"/>
                <w:lang w:val="en-GB"/>
              </w:rPr>
              <w:t xml:space="preserve"> cost HAC avoided</w:t>
            </w:r>
          </w:p>
        </w:tc>
      </w:tr>
      <w:tr w:rsidR="006D7761" w:rsidRPr="003675E5" w:rsidTr="00D306CB">
        <w:tc>
          <w:tcPr>
            <w:tcW w:w="3609" w:type="pct"/>
            <w:gridSpan w:val="6"/>
            <w:tcBorders>
              <w:bottom w:val="double" w:sz="4" w:space="0" w:color="auto"/>
            </w:tcBorders>
            <w:vAlign w:val="center"/>
          </w:tcPr>
          <w:p w:rsidR="006D7761" w:rsidRPr="003675E5" w:rsidRDefault="006D7761" w:rsidP="00CF68EB">
            <w:pPr>
              <w:pStyle w:val="TableText"/>
            </w:pPr>
            <w:r w:rsidRPr="003675E5">
              <w:t>Incremental cost / QALY</w:t>
            </w:r>
          </w:p>
        </w:tc>
        <w:tc>
          <w:tcPr>
            <w:tcW w:w="1391" w:type="pct"/>
            <w:gridSpan w:val="2"/>
            <w:tcBorders>
              <w:bottom w:val="double" w:sz="4" w:space="0" w:color="auto"/>
            </w:tcBorders>
          </w:tcPr>
          <w:p w:rsidR="006D7761" w:rsidRPr="003675E5" w:rsidRDefault="006D7761" w:rsidP="00CF68EB">
            <w:pPr>
              <w:pStyle w:val="TableText"/>
            </w:pPr>
            <w:r w:rsidRPr="003675E5">
              <w:rPr>
                <w:color w:val="000000"/>
                <w:szCs w:val="20"/>
                <w:lang w:val="en-GB"/>
              </w:rPr>
              <w:t>$</w:t>
            </w:r>
            <w:r w:rsidR="007C25B9">
              <w:rPr>
                <w:noProof/>
                <w:color w:val="000000"/>
                <w:szCs w:val="20"/>
                <w:highlight w:val="black"/>
                <w:lang w:val="en-GB"/>
              </w:rPr>
              <w:t>'''''''''''''''</w:t>
            </w:r>
            <w:r w:rsidRPr="003675E5">
              <w:rPr>
                <w:color w:val="000000"/>
                <w:szCs w:val="20"/>
                <w:lang w:val="en-GB"/>
              </w:rPr>
              <w:t>/QALY</w:t>
            </w:r>
          </w:p>
        </w:tc>
      </w:tr>
      <w:tr w:rsidR="006D7761" w:rsidRPr="003675E5" w:rsidTr="00D306CB">
        <w:tc>
          <w:tcPr>
            <w:tcW w:w="5000" w:type="pct"/>
            <w:gridSpan w:val="8"/>
            <w:tcBorders>
              <w:top w:val="double" w:sz="4" w:space="0" w:color="auto"/>
            </w:tcBorders>
          </w:tcPr>
          <w:p w:rsidR="006D7761" w:rsidRPr="003675E5" w:rsidRDefault="006D7761" w:rsidP="00CF68EB">
            <w:pPr>
              <w:pStyle w:val="TableText"/>
              <w:rPr>
                <w:b/>
                <w:color w:val="000000"/>
                <w:szCs w:val="20"/>
                <w:lang w:val="en-GB"/>
              </w:rPr>
            </w:pPr>
            <w:r w:rsidRPr="003675E5">
              <w:rPr>
                <w:b/>
                <w:color w:val="000000"/>
                <w:szCs w:val="20"/>
                <w:lang w:eastAsia="en-AU"/>
              </w:rPr>
              <w:t>Coated NaPb versus natural history (no ammonium scavengers)</w:t>
            </w:r>
          </w:p>
        </w:tc>
      </w:tr>
      <w:tr w:rsidR="006D7761" w:rsidRPr="003675E5" w:rsidTr="00D306CB">
        <w:tc>
          <w:tcPr>
            <w:tcW w:w="1560" w:type="pct"/>
            <w:gridSpan w:val="2"/>
          </w:tcPr>
          <w:p w:rsidR="006D7761" w:rsidRPr="003675E5" w:rsidRDefault="006D7761" w:rsidP="00CF68EB">
            <w:pPr>
              <w:pStyle w:val="TableText"/>
              <w:rPr>
                <w:b/>
                <w:color w:val="000000"/>
                <w:szCs w:val="20"/>
                <w:lang w:val="en-GB"/>
              </w:rPr>
            </w:pPr>
            <w:r w:rsidRPr="003675E5">
              <w:rPr>
                <w:b/>
                <w:szCs w:val="20"/>
                <w:lang w:val="en-GB"/>
              </w:rPr>
              <w:t>Base Case</w:t>
            </w:r>
          </w:p>
        </w:tc>
        <w:tc>
          <w:tcPr>
            <w:tcW w:w="1091" w:type="pct"/>
            <w:gridSpan w:val="2"/>
          </w:tcPr>
          <w:p w:rsidR="006D7761" w:rsidRPr="003675E5" w:rsidRDefault="006D7761" w:rsidP="00CF68EB">
            <w:pPr>
              <w:pStyle w:val="TableText"/>
              <w:rPr>
                <w:b/>
                <w:color w:val="000000"/>
                <w:szCs w:val="20"/>
                <w:lang w:val="en-GB"/>
              </w:rPr>
            </w:pPr>
            <w:r w:rsidRPr="003675E5">
              <w:rPr>
                <w:b/>
                <w:color w:val="000000"/>
                <w:szCs w:val="20"/>
                <w:lang w:eastAsia="en-AU"/>
              </w:rPr>
              <w:t>Coated NaPb</w:t>
            </w:r>
          </w:p>
        </w:tc>
        <w:tc>
          <w:tcPr>
            <w:tcW w:w="958" w:type="pct"/>
            <w:gridSpan w:val="2"/>
          </w:tcPr>
          <w:p w:rsidR="006D7761" w:rsidRPr="003675E5" w:rsidRDefault="006D7761" w:rsidP="00CF68EB">
            <w:pPr>
              <w:pStyle w:val="TableText"/>
              <w:rPr>
                <w:b/>
                <w:color w:val="000000"/>
                <w:szCs w:val="20"/>
                <w:lang w:val="en-GB"/>
              </w:rPr>
            </w:pPr>
            <w:r w:rsidRPr="003675E5">
              <w:rPr>
                <w:b/>
                <w:snapToGrid w:val="0"/>
              </w:rPr>
              <w:t>Natural history</w:t>
            </w:r>
          </w:p>
        </w:tc>
        <w:tc>
          <w:tcPr>
            <w:tcW w:w="1391" w:type="pct"/>
            <w:gridSpan w:val="2"/>
          </w:tcPr>
          <w:p w:rsidR="006D7761" w:rsidRPr="003675E5" w:rsidRDefault="006D7761" w:rsidP="00CF68EB">
            <w:pPr>
              <w:pStyle w:val="TableText"/>
              <w:rPr>
                <w:b/>
                <w:color w:val="000000"/>
                <w:szCs w:val="20"/>
                <w:lang w:val="en-GB"/>
              </w:rPr>
            </w:pPr>
            <w:r w:rsidRPr="003675E5">
              <w:rPr>
                <w:b/>
              </w:rPr>
              <w:t>Increment</w:t>
            </w:r>
          </w:p>
        </w:tc>
      </w:tr>
      <w:tr w:rsidR="006D7761" w:rsidRPr="003675E5" w:rsidTr="00D306CB">
        <w:tc>
          <w:tcPr>
            <w:tcW w:w="1560" w:type="pct"/>
            <w:gridSpan w:val="2"/>
            <w:vAlign w:val="center"/>
          </w:tcPr>
          <w:p w:rsidR="006D7761" w:rsidRPr="003675E5" w:rsidRDefault="006D7761" w:rsidP="00CF68EB">
            <w:pPr>
              <w:pStyle w:val="TableText"/>
            </w:pPr>
            <w:r w:rsidRPr="003675E5">
              <w:t>Costs</w:t>
            </w:r>
          </w:p>
        </w:tc>
        <w:tc>
          <w:tcPr>
            <w:tcW w:w="1097" w:type="pct"/>
            <w:gridSpan w:val="3"/>
          </w:tcPr>
          <w:p w:rsidR="006D7761" w:rsidRPr="003675E5" w:rsidRDefault="006D7761" w:rsidP="00CF68EB">
            <w:pPr>
              <w:pStyle w:val="TableText"/>
            </w:pPr>
            <w:r w:rsidRPr="003675E5">
              <w:rPr>
                <w:szCs w:val="20"/>
                <w:lang w:val="en-GB"/>
              </w:rPr>
              <w:t>$</w:t>
            </w:r>
            <w:r w:rsidR="007C25B9">
              <w:rPr>
                <w:noProof/>
                <w:color w:val="000000"/>
                <w:szCs w:val="20"/>
                <w:highlight w:val="black"/>
                <w:lang w:val="en-GB"/>
              </w:rPr>
              <w:t>'''''''''''''''''''''</w:t>
            </w:r>
          </w:p>
        </w:tc>
        <w:tc>
          <w:tcPr>
            <w:tcW w:w="952" w:type="pct"/>
          </w:tcPr>
          <w:p w:rsidR="006D7761" w:rsidRPr="003675E5" w:rsidRDefault="006D7761" w:rsidP="00CF68EB">
            <w:pPr>
              <w:pStyle w:val="TableText"/>
            </w:pPr>
            <w:r w:rsidRPr="003675E5">
              <w:rPr>
                <w:color w:val="000000"/>
                <w:szCs w:val="20"/>
                <w:lang w:val="en-GB"/>
              </w:rPr>
              <w:t>$</w:t>
            </w:r>
            <w:r w:rsidR="007C25B9">
              <w:rPr>
                <w:noProof/>
                <w:color w:val="000000"/>
                <w:szCs w:val="20"/>
                <w:highlight w:val="black"/>
                <w:lang w:val="en-GB"/>
              </w:rPr>
              <w:t>''''''''''''''''''''</w:t>
            </w:r>
          </w:p>
        </w:tc>
        <w:tc>
          <w:tcPr>
            <w:tcW w:w="1391" w:type="pct"/>
            <w:gridSpan w:val="2"/>
            <w:vAlign w:val="bottom"/>
          </w:tcPr>
          <w:p w:rsidR="006D7761" w:rsidRPr="003675E5" w:rsidRDefault="006D7761" w:rsidP="00CF68EB">
            <w:pPr>
              <w:pStyle w:val="TableText"/>
              <w:rPr>
                <w:color w:val="000000"/>
                <w:szCs w:val="20"/>
                <w:lang w:val="en-GB"/>
              </w:rPr>
            </w:pPr>
            <w:r w:rsidRPr="003675E5">
              <w:rPr>
                <w:color w:val="000000"/>
                <w:szCs w:val="20"/>
                <w:lang w:val="en-GB"/>
              </w:rPr>
              <w:t>-$</w:t>
            </w:r>
            <w:r w:rsidR="007C25B9">
              <w:rPr>
                <w:noProof/>
                <w:color w:val="000000"/>
                <w:szCs w:val="20"/>
                <w:highlight w:val="black"/>
                <w:lang w:val="en-GB"/>
              </w:rPr>
              <w:t>'''''''''''''</w:t>
            </w:r>
          </w:p>
        </w:tc>
      </w:tr>
      <w:tr w:rsidR="006D7761" w:rsidRPr="003675E5" w:rsidTr="00D306CB">
        <w:tc>
          <w:tcPr>
            <w:tcW w:w="1560" w:type="pct"/>
            <w:gridSpan w:val="2"/>
            <w:vAlign w:val="center"/>
          </w:tcPr>
          <w:p w:rsidR="006D7761" w:rsidRPr="003675E5" w:rsidRDefault="006D7761" w:rsidP="00CF68EB">
            <w:pPr>
              <w:pStyle w:val="TableText"/>
            </w:pPr>
            <w:r w:rsidRPr="003675E5">
              <w:t>HACs</w:t>
            </w:r>
          </w:p>
        </w:tc>
        <w:tc>
          <w:tcPr>
            <w:tcW w:w="1097" w:type="pct"/>
            <w:gridSpan w:val="3"/>
          </w:tcPr>
          <w:p w:rsidR="006D7761" w:rsidRPr="003675E5" w:rsidRDefault="006D7761" w:rsidP="00CF68EB">
            <w:pPr>
              <w:pStyle w:val="TableText"/>
            </w:pPr>
            <w:r w:rsidRPr="003675E5">
              <w:rPr>
                <w:szCs w:val="20"/>
                <w:lang w:val="en-GB"/>
              </w:rPr>
              <w:t xml:space="preserve">0 </w:t>
            </w:r>
          </w:p>
        </w:tc>
        <w:tc>
          <w:tcPr>
            <w:tcW w:w="952" w:type="pct"/>
          </w:tcPr>
          <w:p w:rsidR="006D7761" w:rsidRPr="003675E5" w:rsidRDefault="006D7761" w:rsidP="00CF68EB">
            <w:pPr>
              <w:pStyle w:val="TableText"/>
            </w:pPr>
            <w:r w:rsidRPr="003675E5">
              <w:rPr>
                <w:color w:val="000000"/>
                <w:szCs w:val="20"/>
                <w:lang w:val="en-GB"/>
              </w:rPr>
              <w:t xml:space="preserve">12.03 </w:t>
            </w:r>
          </w:p>
        </w:tc>
        <w:tc>
          <w:tcPr>
            <w:tcW w:w="1391" w:type="pct"/>
            <w:gridSpan w:val="2"/>
            <w:vAlign w:val="bottom"/>
          </w:tcPr>
          <w:p w:rsidR="006D7761" w:rsidRPr="003675E5" w:rsidRDefault="006D7761" w:rsidP="00CF68EB">
            <w:pPr>
              <w:pStyle w:val="TableText"/>
              <w:rPr>
                <w:color w:val="000000"/>
                <w:szCs w:val="20"/>
                <w:lang w:val="en-GB"/>
              </w:rPr>
            </w:pPr>
            <w:r w:rsidRPr="003675E5">
              <w:rPr>
                <w:color w:val="000000"/>
                <w:szCs w:val="20"/>
                <w:lang w:val="en-GB"/>
              </w:rPr>
              <w:t>-12.03</w:t>
            </w:r>
          </w:p>
        </w:tc>
      </w:tr>
      <w:tr w:rsidR="006D7761" w:rsidRPr="003675E5" w:rsidTr="00D306CB">
        <w:tc>
          <w:tcPr>
            <w:tcW w:w="1560" w:type="pct"/>
            <w:gridSpan w:val="2"/>
            <w:vAlign w:val="center"/>
          </w:tcPr>
          <w:p w:rsidR="006D7761" w:rsidRPr="003675E5" w:rsidRDefault="006D7761" w:rsidP="00CF68EB">
            <w:pPr>
              <w:pStyle w:val="TableText"/>
            </w:pPr>
            <w:r w:rsidRPr="003675E5">
              <w:t>QALYs</w:t>
            </w:r>
          </w:p>
        </w:tc>
        <w:tc>
          <w:tcPr>
            <w:tcW w:w="1097" w:type="pct"/>
            <w:gridSpan w:val="3"/>
          </w:tcPr>
          <w:p w:rsidR="006D7761" w:rsidRPr="003675E5" w:rsidRDefault="006D7761" w:rsidP="00CF68EB">
            <w:pPr>
              <w:pStyle w:val="TableText"/>
            </w:pPr>
            <w:r w:rsidRPr="003675E5">
              <w:rPr>
                <w:color w:val="000000"/>
                <w:szCs w:val="20"/>
                <w:lang w:val="en-GB"/>
              </w:rPr>
              <w:t>3.58</w:t>
            </w:r>
          </w:p>
        </w:tc>
        <w:tc>
          <w:tcPr>
            <w:tcW w:w="952" w:type="pct"/>
          </w:tcPr>
          <w:p w:rsidR="006D7761" w:rsidRPr="003675E5" w:rsidRDefault="006D7761" w:rsidP="00CF68EB">
            <w:pPr>
              <w:pStyle w:val="TableText"/>
            </w:pPr>
            <w:r w:rsidRPr="003675E5">
              <w:rPr>
                <w:color w:val="000000"/>
                <w:szCs w:val="20"/>
                <w:lang w:val="en-GB"/>
              </w:rPr>
              <w:t xml:space="preserve">2.01 </w:t>
            </w:r>
          </w:p>
        </w:tc>
        <w:tc>
          <w:tcPr>
            <w:tcW w:w="1391" w:type="pct"/>
            <w:gridSpan w:val="2"/>
            <w:vAlign w:val="bottom"/>
          </w:tcPr>
          <w:p w:rsidR="006D7761" w:rsidRPr="003675E5" w:rsidRDefault="006D7761" w:rsidP="00CF68EB">
            <w:pPr>
              <w:pStyle w:val="TableText"/>
              <w:rPr>
                <w:color w:val="000000"/>
                <w:szCs w:val="20"/>
                <w:lang w:val="en-GB"/>
              </w:rPr>
            </w:pPr>
            <w:r w:rsidRPr="003675E5">
              <w:rPr>
                <w:color w:val="000000"/>
                <w:szCs w:val="20"/>
                <w:lang w:val="en-GB"/>
              </w:rPr>
              <w:t>1.57</w:t>
            </w:r>
          </w:p>
        </w:tc>
      </w:tr>
      <w:tr w:rsidR="006D7761" w:rsidRPr="003675E5" w:rsidTr="00D306CB">
        <w:tc>
          <w:tcPr>
            <w:tcW w:w="3609" w:type="pct"/>
            <w:gridSpan w:val="6"/>
            <w:vAlign w:val="center"/>
          </w:tcPr>
          <w:p w:rsidR="006D7761" w:rsidRPr="003675E5" w:rsidRDefault="006D7761" w:rsidP="00CF68EB">
            <w:pPr>
              <w:pStyle w:val="TableText"/>
            </w:pPr>
            <w:r w:rsidRPr="003675E5">
              <w:t>Incremental cost / HAC avoided</w:t>
            </w:r>
          </w:p>
        </w:tc>
        <w:tc>
          <w:tcPr>
            <w:tcW w:w="1391" w:type="pct"/>
            <w:gridSpan w:val="2"/>
          </w:tcPr>
          <w:p w:rsidR="006D7761" w:rsidRPr="003675E5" w:rsidRDefault="006D7761" w:rsidP="00CF68EB">
            <w:pPr>
              <w:pStyle w:val="TableText"/>
              <w:rPr>
                <w:color w:val="000000"/>
                <w:szCs w:val="20"/>
                <w:lang w:val="en-GB"/>
              </w:rPr>
            </w:pPr>
            <w:r w:rsidRPr="003675E5">
              <w:rPr>
                <w:color w:val="000000"/>
                <w:szCs w:val="20"/>
                <w:lang w:val="en-GB"/>
              </w:rPr>
              <w:t>$</w:t>
            </w:r>
            <w:r w:rsidR="007C25B9">
              <w:rPr>
                <w:noProof/>
                <w:color w:val="000000"/>
                <w:szCs w:val="20"/>
                <w:highlight w:val="black"/>
                <w:lang w:val="en-GB"/>
              </w:rPr>
              <w:t>'''''</w:t>
            </w:r>
            <w:r w:rsidRPr="003675E5">
              <w:rPr>
                <w:color w:val="000000"/>
                <w:szCs w:val="20"/>
                <w:lang w:val="en-GB"/>
              </w:rPr>
              <w:t xml:space="preserve"> cost per HAC avoided</w:t>
            </w:r>
          </w:p>
        </w:tc>
      </w:tr>
      <w:tr w:rsidR="006D7761" w:rsidRPr="003675E5" w:rsidTr="00D306CB">
        <w:tc>
          <w:tcPr>
            <w:tcW w:w="3609" w:type="pct"/>
            <w:gridSpan w:val="6"/>
            <w:vAlign w:val="center"/>
          </w:tcPr>
          <w:p w:rsidR="006D7761" w:rsidRPr="003675E5" w:rsidRDefault="006D7761" w:rsidP="00CF68EB">
            <w:pPr>
              <w:pStyle w:val="TableText"/>
            </w:pPr>
            <w:r w:rsidRPr="003675E5">
              <w:t>Incremental cost / QALY</w:t>
            </w:r>
          </w:p>
        </w:tc>
        <w:tc>
          <w:tcPr>
            <w:tcW w:w="1391" w:type="pct"/>
            <w:gridSpan w:val="2"/>
          </w:tcPr>
          <w:p w:rsidR="006D7761" w:rsidRPr="003675E5" w:rsidRDefault="006D7761" w:rsidP="00CF68EB">
            <w:pPr>
              <w:pStyle w:val="TableText"/>
              <w:rPr>
                <w:color w:val="000000"/>
                <w:szCs w:val="20"/>
                <w:lang w:val="en-GB"/>
              </w:rPr>
            </w:pPr>
            <w:r w:rsidRPr="003675E5">
              <w:rPr>
                <w:color w:val="000000"/>
                <w:szCs w:val="20"/>
                <w:lang w:val="en-GB"/>
              </w:rPr>
              <w:t>Dominant</w:t>
            </w:r>
          </w:p>
        </w:tc>
      </w:tr>
    </w:tbl>
    <w:p w:rsidR="006D7761" w:rsidRPr="003675E5" w:rsidRDefault="006D7761" w:rsidP="00F262B7">
      <w:pPr>
        <w:pStyle w:val="TableFooter"/>
      </w:pPr>
      <w:r w:rsidRPr="003675E5">
        <w:t>Source: Table 3-8, p3-51 of the submission; Table 3-18, p3-65 of the submission</w:t>
      </w:r>
    </w:p>
    <w:p w:rsidR="006D7761" w:rsidRPr="003675E5" w:rsidRDefault="006D7761" w:rsidP="00F262B7">
      <w:pPr>
        <w:pStyle w:val="TableFooter"/>
      </w:pPr>
      <w:r w:rsidRPr="003675E5">
        <w:t>HAC = hyperammonemic crises; NaPb = sodium phenylbutyrate; QALY = quality adjusted life year</w:t>
      </w:r>
    </w:p>
    <w:p w:rsidR="006D7761" w:rsidRPr="003675E5" w:rsidRDefault="006D7761" w:rsidP="00F262B7">
      <w:pPr>
        <w:pStyle w:val="TableFooter"/>
      </w:pPr>
      <w:r w:rsidRPr="003675E5">
        <w:rPr>
          <w:vertAlign w:val="superscript"/>
        </w:rPr>
        <w:t>a</w:t>
      </w:r>
      <w:r w:rsidRPr="003675E5">
        <w:t xml:space="preserve"> Based on NaPb powder (the submission used the cost of NaPb powder in the standard care arm). If the cost of the tablet formulation had been used, the cost in the standard care arm would be $</w:t>
      </w:r>
      <w:r w:rsidR="007C25B9">
        <w:rPr>
          <w:noProof/>
          <w:color w:val="000000"/>
          <w:highlight w:val="black"/>
        </w:rPr>
        <w:t>''''''''''''''''''</w:t>
      </w:r>
      <w:r w:rsidRPr="003675E5">
        <w:t>, and the incremental cost would be $</w:t>
      </w:r>
      <w:r w:rsidR="007C25B9">
        <w:rPr>
          <w:noProof/>
          <w:color w:val="000000"/>
          <w:highlight w:val="black"/>
        </w:rPr>
        <w:t>'''''''''''''</w:t>
      </w:r>
      <w:r w:rsidRPr="003675E5">
        <w:t xml:space="preserve"> per HAC avoided. </w:t>
      </w:r>
    </w:p>
    <w:p w:rsidR="006D7761" w:rsidRPr="003675E5" w:rsidRDefault="006D7761" w:rsidP="00F262B7">
      <w:pPr>
        <w:pStyle w:val="TableFooter"/>
      </w:pPr>
      <w:r w:rsidRPr="003675E5">
        <w:rPr>
          <w:vertAlign w:val="superscript"/>
        </w:rPr>
        <w:t>b</w:t>
      </w:r>
      <w:r w:rsidRPr="003675E5">
        <w:t xml:space="preserve"> 13% probability of liver transplant at age 2 in both the </w:t>
      </w:r>
      <w:r w:rsidR="002C4171" w:rsidRPr="003675E5">
        <w:t>c</w:t>
      </w:r>
      <w:r w:rsidRPr="003675E5">
        <w:t>oated NaPb and standard care arms.</w:t>
      </w:r>
    </w:p>
    <w:p w:rsidR="00796EE6" w:rsidRPr="003675E5" w:rsidRDefault="006D7761" w:rsidP="00881F91">
      <w:pPr>
        <w:pStyle w:val="ListParagraph"/>
      </w:pPr>
      <w:r w:rsidRPr="003675E5">
        <w:t>Based on the data from Kibleur 2014, coated NaPb would cost $</w:t>
      </w:r>
      <w:r w:rsidR="007C25B9">
        <w:rPr>
          <w:noProof/>
          <w:color w:val="000000"/>
          <w:highlight w:val="black"/>
        </w:rPr>
        <w:t>''''''''''''''</w:t>
      </w:r>
      <w:r w:rsidRPr="003675E5">
        <w:t xml:space="preserve"> per hyperammonemic episode avoided</w:t>
      </w:r>
      <w:r w:rsidR="00796EE6" w:rsidRPr="003675E5">
        <w:t xml:space="preserve"> in a population who found uncoated NaPb to be “unacceptable”</w:t>
      </w:r>
      <w:r w:rsidRPr="003675E5">
        <w:t xml:space="preserve">. </w:t>
      </w:r>
    </w:p>
    <w:p w:rsidR="006D7761" w:rsidRPr="003675E5" w:rsidRDefault="006D7761" w:rsidP="00881F91">
      <w:pPr>
        <w:pStyle w:val="ListParagraph"/>
      </w:pPr>
      <w:r w:rsidRPr="003675E5">
        <w:t xml:space="preserve">For the comparison of coated NaPb versus standard care, the key drivers of the model were the rate of HACs and the cost of the subsequent hospitalisations. The model directly used the rates of hyperammonemic episodes from Kibleur 2014, but assumed each episode represented a </w:t>
      </w:r>
      <w:r w:rsidR="00EF62B3" w:rsidRPr="003675E5">
        <w:t xml:space="preserve">HAC (i.e. a </w:t>
      </w:r>
      <w:r w:rsidRPr="003675E5">
        <w:t xml:space="preserve">crisis, </w:t>
      </w:r>
      <w:r w:rsidR="00EF62B3" w:rsidRPr="003675E5">
        <w:t xml:space="preserve">rather than an episode). </w:t>
      </w:r>
      <w:r w:rsidR="00FE5ACC" w:rsidRPr="003675E5">
        <w:t xml:space="preserve">The </w:t>
      </w:r>
      <w:r w:rsidR="00046D0F" w:rsidRPr="003675E5">
        <w:t xml:space="preserve">ESC </w:t>
      </w:r>
      <w:r w:rsidR="00FE733D" w:rsidRPr="003675E5">
        <w:t>considered this issue</w:t>
      </w:r>
      <w:r w:rsidR="005F331F" w:rsidRPr="003675E5">
        <w:t xml:space="preserve"> was not</w:t>
      </w:r>
      <w:r w:rsidR="00046D0F" w:rsidRPr="003675E5">
        <w:t xml:space="preserve"> adequately</w:t>
      </w:r>
      <w:r w:rsidR="005F331F" w:rsidRPr="003675E5">
        <w:t xml:space="preserve"> justified</w:t>
      </w:r>
      <w:r w:rsidR="00046D0F" w:rsidRPr="003675E5">
        <w:t xml:space="preserve"> in the submission or </w:t>
      </w:r>
      <w:r w:rsidR="00FE733D" w:rsidRPr="003675E5">
        <w:t xml:space="preserve">in </w:t>
      </w:r>
      <w:r w:rsidR="00046D0F" w:rsidRPr="003675E5">
        <w:t xml:space="preserve">the PSCR. </w:t>
      </w:r>
      <w:r w:rsidRPr="003675E5">
        <w:t xml:space="preserve">Thus, in the coated NaPb arm patients never experienced a HAC, versus an average rate of 0.9 HACs every six months in the standard care arm. This rate was assumed to </w:t>
      </w:r>
      <w:r w:rsidR="00111A02" w:rsidRPr="003675E5">
        <w:t>persist</w:t>
      </w:r>
      <w:r w:rsidRPr="003675E5">
        <w:t xml:space="preserve"> every six months that the patient remained alive (unless the patient received a liver transplant). </w:t>
      </w:r>
      <w:r w:rsidR="00FE5ACC" w:rsidRPr="003675E5">
        <w:t xml:space="preserve">The </w:t>
      </w:r>
      <w:r w:rsidR="00046D0F" w:rsidRPr="003675E5">
        <w:t>ESC agreed that i</w:t>
      </w:r>
      <w:r w:rsidRPr="003675E5">
        <w:t xml:space="preserve">t was unreasonable to assume that </w:t>
      </w:r>
      <w:r w:rsidR="005F331F" w:rsidRPr="003675E5">
        <w:t xml:space="preserve">these rates would apply to the broader population and that these rates would persist. </w:t>
      </w:r>
    </w:p>
    <w:p w:rsidR="006D7761" w:rsidRPr="003675E5" w:rsidRDefault="006D7761" w:rsidP="00881F91">
      <w:pPr>
        <w:pStyle w:val="ListParagraph"/>
      </w:pPr>
      <w:r w:rsidRPr="003675E5">
        <w:t xml:space="preserve">Each HAC event was assumed to require a hospitalisation costing $21,432 (in patients aged under 18 years). This was based on patients spending three days in an Intensive Care Unit per hospitalisation and each episode </w:t>
      </w:r>
      <w:r w:rsidR="00803095" w:rsidRPr="003675E5">
        <w:t>incurring</w:t>
      </w:r>
      <w:r w:rsidRPr="003675E5">
        <w:t xml:space="preserve"> two AR-DRG admission codes. This significantly overestimated hospitalisation costs. Further, the rate of hospitalisations was not clinically plausible because HACs were based on hyperammonemic episodes which </w:t>
      </w:r>
      <w:r w:rsidR="00F13A16" w:rsidRPr="003675E5">
        <w:t xml:space="preserve">were not defined in Kibleur 2014 and </w:t>
      </w:r>
      <w:r w:rsidRPr="003675E5">
        <w:t>may encompass a broad spectrum of severity</w:t>
      </w:r>
      <w:r w:rsidR="00F13A16" w:rsidRPr="003675E5">
        <w:t xml:space="preserve">; it was not known what proportion of these episodes would require hospitalisation. </w:t>
      </w:r>
      <w:r w:rsidRPr="003675E5">
        <w:t xml:space="preserve"> </w:t>
      </w:r>
    </w:p>
    <w:p w:rsidR="006D7761" w:rsidRPr="003675E5" w:rsidRDefault="006D7761" w:rsidP="00881F91">
      <w:pPr>
        <w:pStyle w:val="ListParagraph"/>
      </w:pPr>
      <w:r w:rsidRPr="003675E5">
        <w:t xml:space="preserve">Doses of both formulations of NaPb were underestimated compared with doses likely to be used in the Australian population (favoured coated NaPb). The model used the dose of coated NaPb at study entry, thus reflecting doses given to patients who were unable to tolerate NaPb (and thus experiencing poor outcomes). The proportion of patients who had their dose increased during the coated NaPb arm was not known. The doses also reflect high rates of concomitant </w:t>
      </w:r>
      <w:r w:rsidR="00EF62B3" w:rsidRPr="003675E5">
        <w:t xml:space="preserve">use of </w:t>
      </w:r>
      <w:r w:rsidRPr="003675E5">
        <w:t xml:space="preserve">NaBz (lower doses are used in combination therapy). Further, the model assumed all patients entered the model at </w:t>
      </w:r>
      <w:r w:rsidR="00C86420" w:rsidRPr="003675E5">
        <w:t xml:space="preserve">birth </w:t>
      </w:r>
      <w:r w:rsidRPr="003675E5">
        <w:t>and thus required low doses (versus an average age of 12.6 in Kibleur 2014).</w:t>
      </w:r>
    </w:p>
    <w:p w:rsidR="006D7761" w:rsidRPr="003675E5" w:rsidRDefault="00803095" w:rsidP="00881F91">
      <w:pPr>
        <w:pStyle w:val="ListParagraph"/>
      </w:pPr>
      <w:r w:rsidRPr="003675E5">
        <w:t>The comparison of s</w:t>
      </w:r>
      <w:r w:rsidR="006D7761" w:rsidRPr="003675E5">
        <w:t xml:space="preserve">tandard care versus natural history </w:t>
      </w:r>
      <w:r w:rsidRPr="003675E5">
        <w:t>compared</w:t>
      </w:r>
      <w:r w:rsidR="006D7761" w:rsidRPr="003675E5">
        <w:t>:</w:t>
      </w:r>
    </w:p>
    <w:p w:rsidR="006D7761" w:rsidRPr="003675E5" w:rsidRDefault="006D7761" w:rsidP="001D70B4">
      <w:pPr>
        <w:pStyle w:val="ListParagraph"/>
        <w:numPr>
          <w:ilvl w:val="0"/>
          <w:numId w:val="7"/>
        </w:numPr>
      </w:pPr>
      <w:r w:rsidRPr="003675E5">
        <w:t xml:space="preserve">Standard care: the “new therapies” arm of Bachmann 2003 (comprising ammonia scavengers, co-therapies, and more recent practices for the acute management of HACs) plus a 13% probability of a liver transplant at Age 2; versus </w:t>
      </w:r>
    </w:p>
    <w:p w:rsidR="006D7761" w:rsidRPr="003675E5" w:rsidRDefault="006D7761" w:rsidP="001D70B4">
      <w:pPr>
        <w:pStyle w:val="ListParagraph"/>
        <w:numPr>
          <w:ilvl w:val="0"/>
          <w:numId w:val="7"/>
        </w:numPr>
      </w:pPr>
      <w:r w:rsidRPr="003675E5">
        <w:t xml:space="preserve">Natural history: the “old therapies” arm (protein restriction only) of Bachmann 2003 plus a 0% probability of receiving a liver transplant. </w:t>
      </w:r>
    </w:p>
    <w:p w:rsidR="006D7761" w:rsidRPr="003675E5" w:rsidRDefault="006D7761" w:rsidP="00881F91">
      <w:pPr>
        <w:pStyle w:val="ListParagraph"/>
      </w:pPr>
      <w:r w:rsidRPr="003675E5">
        <w:t>Thus</w:t>
      </w:r>
      <w:r w:rsidR="006F55B0" w:rsidRPr="003675E5">
        <w:t>,</w:t>
      </w:r>
      <w:r w:rsidRPr="003675E5">
        <w:t xml:space="preserve"> the comparison was broader than the impact of ammonia scavengers alone, and was driven by differences in liver transplants rate. However, the submission did not apply a differential rate of HACs between the two arms. </w:t>
      </w:r>
    </w:p>
    <w:p w:rsidR="006D7761" w:rsidRPr="003675E5" w:rsidRDefault="006D7761" w:rsidP="00881F91">
      <w:pPr>
        <w:pStyle w:val="ListParagraph"/>
      </w:pPr>
      <w:r w:rsidRPr="003675E5">
        <w:t>The key sensitiv</w:t>
      </w:r>
      <w:r w:rsidR="00A77597">
        <w:t xml:space="preserve">ity analyses conducted by the </w:t>
      </w:r>
      <w:r w:rsidRPr="003675E5">
        <w:t>submission and during evaluation are presented below.</w:t>
      </w:r>
    </w:p>
    <w:p w:rsidR="00767F3C" w:rsidRPr="0047765E" w:rsidRDefault="00F77309" w:rsidP="00767F3C">
      <w:pPr>
        <w:keepNext/>
        <w:spacing w:before="0" w:after="0"/>
        <w:jc w:val="both"/>
        <w:rPr>
          <w:rFonts w:ascii="Arial Narrow" w:eastAsia="Times New Roman" w:hAnsi="Arial Narrow" w:cs="Arial"/>
          <w:b/>
          <w:snapToGrid w:val="0"/>
          <w:sz w:val="20"/>
          <w:szCs w:val="20"/>
          <w:vertAlign w:val="superscript"/>
        </w:rPr>
      </w:pPr>
      <w:r w:rsidRPr="003675E5">
        <w:rPr>
          <w:rFonts w:ascii="Arial Narrow" w:eastAsia="Times New Roman" w:hAnsi="Arial Narrow" w:cs="Arial"/>
          <w:b/>
          <w:snapToGrid w:val="0"/>
          <w:sz w:val="20"/>
          <w:szCs w:val="20"/>
        </w:rPr>
        <w:t>Table 11</w:t>
      </w:r>
      <w:r w:rsidR="00767F3C" w:rsidRPr="003675E5">
        <w:rPr>
          <w:rFonts w:ascii="Arial Narrow" w:eastAsia="Times New Roman" w:hAnsi="Arial Narrow" w:cs="Arial"/>
          <w:b/>
          <w:snapToGrid w:val="0"/>
          <w:sz w:val="20"/>
          <w:szCs w:val="20"/>
        </w:rPr>
        <w:t>: Sensitivity analyses presented in submission and conducted during evaluation</w:t>
      </w:r>
      <w:r w:rsidR="00716E1E">
        <w:rPr>
          <w:rFonts w:ascii="Arial Narrow" w:eastAsia="Times New Roman" w:hAnsi="Arial Narrow" w:cs="Arial"/>
          <w:b/>
          <w:snapToGrid w:val="0"/>
          <w:sz w:val="20"/>
          <w:szCs w:val="20"/>
        </w:rPr>
        <w:t xml:space="preserve"> </w:t>
      </w:r>
      <w:r w:rsidR="00716E1E">
        <w:rPr>
          <w:rFonts w:ascii="Arial Narrow" w:eastAsia="Times New Roman" w:hAnsi="Arial Narrow" w:cs="Arial"/>
          <w:b/>
          <w:snapToGrid w:val="0"/>
          <w:sz w:val="20"/>
          <w:szCs w:val="20"/>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96"/>
        <w:gridCol w:w="994"/>
        <w:gridCol w:w="1275"/>
        <w:gridCol w:w="1117"/>
      </w:tblGrid>
      <w:tr w:rsidR="00767F3C" w:rsidRPr="003675E5" w:rsidTr="004B57F5">
        <w:trPr>
          <w:cantSplit/>
          <w:tblHeader/>
        </w:trPr>
        <w:tc>
          <w:tcPr>
            <w:tcW w:w="3136" w:type="pct"/>
            <w:tcBorders>
              <w:top w:val="single" w:sz="4" w:space="0" w:color="auto"/>
              <w:left w:val="single" w:sz="4" w:space="0" w:color="auto"/>
              <w:bottom w:val="single" w:sz="4" w:space="0" w:color="auto"/>
              <w:right w:val="single" w:sz="4" w:space="0" w:color="auto"/>
            </w:tcBorders>
            <w:vAlign w:val="center"/>
            <w:hideMark/>
          </w:tcPr>
          <w:p w:rsidR="00767F3C" w:rsidRPr="003675E5" w:rsidRDefault="00767F3C" w:rsidP="006050B2">
            <w:pPr>
              <w:keepNext/>
              <w:spacing w:before="40" w:after="40" w:line="257" w:lineRule="auto"/>
              <w:rPr>
                <w:rFonts w:ascii="Arial Narrow" w:eastAsia="Calibri" w:hAnsi="Arial Narrow" w:cs="Arial"/>
                <w:b/>
                <w:color w:val="00000A"/>
                <w:sz w:val="20"/>
              </w:rPr>
            </w:pPr>
          </w:p>
        </w:tc>
        <w:tc>
          <w:tcPr>
            <w:tcW w:w="547" w:type="pct"/>
            <w:tcBorders>
              <w:top w:val="single" w:sz="4" w:space="0" w:color="auto"/>
              <w:left w:val="single" w:sz="4" w:space="0" w:color="auto"/>
              <w:bottom w:val="single" w:sz="4" w:space="0" w:color="auto"/>
              <w:right w:val="single" w:sz="4" w:space="0" w:color="auto"/>
            </w:tcBorders>
            <w:vAlign w:val="center"/>
            <w:hideMark/>
          </w:tcPr>
          <w:p w:rsidR="00767F3C" w:rsidRPr="003675E5" w:rsidRDefault="004B57F5" w:rsidP="006050B2">
            <w:pPr>
              <w:keepNext/>
              <w:spacing w:before="40" w:after="40" w:line="257" w:lineRule="auto"/>
              <w:rPr>
                <w:rFonts w:ascii="Arial Narrow" w:eastAsia="Calibri" w:hAnsi="Arial Narrow" w:cs="Arial"/>
                <w:b/>
                <w:color w:val="00000A"/>
                <w:sz w:val="20"/>
              </w:rPr>
            </w:pPr>
            <w:r w:rsidRPr="003675E5">
              <w:rPr>
                <w:rFonts w:ascii="Arial Narrow" w:eastAsia="Calibri" w:hAnsi="Arial Narrow" w:cs="Arial"/>
                <w:b/>
                <w:color w:val="00000A"/>
                <w:sz w:val="20"/>
              </w:rPr>
              <w:t xml:space="preserve">∆ </w:t>
            </w:r>
            <w:r w:rsidR="00767F3C" w:rsidRPr="003675E5">
              <w:rPr>
                <w:rFonts w:ascii="Arial Narrow" w:eastAsia="Calibri" w:hAnsi="Arial Narrow" w:cs="Arial"/>
                <w:b/>
                <w:color w:val="00000A"/>
                <w:sz w:val="20"/>
              </w:rPr>
              <w:t>costs</w:t>
            </w:r>
          </w:p>
        </w:tc>
        <w:tc>
          <w:tcPr>
            <w:tcW w:w="702" w:type="pct"/>
            <w:tcBorders>
              <w:top w:val="single" w:sz="4" w:space="0" w:color="auto"/>
              <w:left w:val="single" w:sz="4" w:space="0" w:color="auto"/>
              <w:bottom w:val="single" w:sz="4" w:space="0" w:color="auto"/>
              <w:right w:val="single" w:sz="4" w:space="0" w:color="auto"/>
            </w:tcBorders>
            <w:vAlign w:val="center"/>
            <w:hideMark/>
          </w:tcPr>
          <w:p w:rsidR="00767F3C" w:rsidRPr="003675E5" w:rsidRDefault="004B57F5" w:rsidP="006050B2">
            <w:pPr>
              <w:keepNext/>
              <w:spacing w:before="40" w:after="40" w:line="257" w:lineRule="auto"/>
              <w:rPr>
                <w:rFonts w:ascii="Arial Narrow" w:eastAsia="Calibri" w:hAnsi="Arial Narrow" w:cs="Arial"/>
                <w:b/>
                <w:color w:val="00000A"/>
                <w:sz w:val="20"/>
              </w:rPr>
            </w:pPr>
            <w:r w:rsidRPr="003675E5">
              <w:rPr>
                <w:rFonts w:ascii="Arial Narrow" w:eastAsia="Calibri" w:hAnsi="Arial Narrow" w:cs="Arial"/>
                <w:b/>
                <w:color w:val="00000A"/>
                <w:sz w:val="20"/>
              </w:rPr>
              <w:t xml:space="preserve">∆ </w:t>
            </w:r>
            <w:r w:rsidR="00767F3C" w:rsidRPr="003675E5">
              <w:rPr>
                <w:rFonts w:ascii="Arial Narrow" w:eastAsia="Calibri" w:hAnsi="Arial Narrow" w:cs="Arial"/>
                <w:b/>
                <w:color w:val="00000A"/>
                <w:sz w:val="20"/>
              </w:rPr>
              <w:t>effectiveness</w:t>
            </w:r>
          </w:p>
        </w:tc>
        <w:tc>
          <w:tcPr>
            <w:tcW w:w="614" w:type="pct"/>
            <w:tcBorders>
              <w:top w:val="single" w:sz="4" w:space="0" w:color="auto"/>
              <w:left w:val="single" w:sz="4" w:space="0" w:color="auto"/>
              <w:bottom w:val="single" w:sz="4" w:space="0" w:color="auto"/>
              <w:right w:val="single" w:sz="4" w:space="0" w:color="auto"/>
            </w:tcBorders>
            <w:vAlign w:val="center"/>
            <w:hideMark/>
          </w:tcPr>
          <w:p w:rsidR="00767F3C" w:rsidRPr="003675E5" w:rsidRDefault="00767F3C" w:rsidP="006050B2">
            <w:pPr>
              <w:keepNext/>
              <w:spacing w:before="40" w:after="40" w:line="257" w:lineRule="auto"/>
              <w:rPr>
                <w:rFonts w:ascii="Arial Narrow" w:eastAsia="Calibri" w:hAnsi="Arial Narrow" w:cs="Arial"/>
                <w:b/>
                <w:color w:val="00000A"/>
                <w:sz w:val="20"/>
              </w:rPr>
            </w:pPr>
            <w:r w:rsidRPr="003675E5">
              <w:rPr>
                <w:rFonts w:ascii="Arial Narrow" w:eastAsia="Calibri" w:hAnsi="Arial Narrow" w:cs="Arial"/>
                <w:b/>
                <w:color w:val="00000A"/>
                <w:sz w:val="20"/>
              </w:rPr>
              <w:t>ICER</w:t>
            </w:r>
          </w:p>
        </w:tc>
      </w:tr>
      <w:tr w:rsidR="00767F3C" w:rsidRPr="003675E5" w:rsidTr="006050B2">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rsidR="00767F3C" w:rsidRPr="003675E5" w:rsidRDefault="00767F3C" w:rsidP="006050B2">
            <w:pPr>
              <w:keepNext/>
              <w:spacing w:before="40" w:after="40" w:line="257" w:lineRule="auto"/>
              <w:rPr>
                <w:rFonts w:ascii="Arial Narrow" w:eastAsia="Calibri" w:hAnsi="Arial Narrow" w:cs="Arial"/>
                <w:b/>
                <w:color w:val="00000A"/>
                <w:sz w:val="20"/>
              </w:rPr>
            </w:pPr>
            <w:r w:rsidRPr="003675E5">
              <w:rPr>
                <w:rFonts w:ascii="Arial Narrow" w:eastAsia="Calibri" w:hAnsi="Arial Narrow" w:cs="Arial"/>
                <w:b/>
                <w:color w:val="00000A"/>
                <w:sz w:val="20"/>
              </w:rPr>
              <w:t>Coated NaPb versus standard care</w:t>
            </w:r>
          </w:p>
        </w:tc>
      </w:tr>
      <w:tr w:rsidR="00767F3C" w:rsidRPr="003675E5" w:rsidTr="004B57F5">
        <w:trPr>
          <w:cantSplit/>
        </w:trPr>
        <w:tc>
          <w:tcPr>
            <w:tcW w:w="3136" w:type="pct"/>
            <w:tcBorders>
              <w:top w:val="single" w:sz="4" w:space="0" w:color="auto"/>
              <w:left w:val="single" w:sz="4" w:space="0" w:color="auto"/>
              <w:bottom w:val="single" w:sz="4" w:space="0" w:color="auto"/>
              <w:right w:val="single" w:sz="4" w:space="0" w:color="auto"/>
            </w:tcBorders>
            <w:vAlign w:val="center"/>
            <w:hideMark/>
          </w:tcPr>
          <w:p w:rsidR="00767F3C" w:rsidRPr="003675E5" w:rsidRDefault="00767F3C" w:rsidP="006050B2">
            <w:pPr>
              <w:keepNext/>
              <w:spacing w:before="40" w:after="40" w:line="257" w:lineRule="auto"/>
              <w:rPr>
                <w:rFonts w:ascii="Arial Narrow" w:eastAsia="Calibri" w:hAnsi="Arial Narrow" w:cs="Arial"/>
                <w:b/>
                <w:color w:val="00000A"/>
                <w:sz w:val="20"/>
              </w:rPr>
            </w:pPr>
            <w:r w:rsidRPr="003675E5">
              <w:rPr>
                <w:rFonts w:ascii="Arial Narrow" w:eastAsia="Calibri" w:hAnsi="Arial Narrow" w:cs="Arial"/>
                <w:b/>
                <w:color w:val="00000A"/>
                <w:sz w:val="20"/>
              </w:rPr>
              <w:t>Base case</w:t>
            </w:r>
          </w:p>
        </w:tc>
        <w:tc>
          <w:tcPr>
            <w:tcW w:w="547" w:type="pct"/>
            <w:tcBorders>
              <w:top w:val="single" w:sz="4" w:space="0" w:color="auto"/>
              <w:left w:val="single" w:sz="4" w:space="0" w:color="auto"/>
              <w:bottom w:val="single" w:sz="4" w:space="0" w:color="auto"/>
              <w:right w:val="single" w:sz="4" w:space="0" w:color="auto"/>
            </w:tcBorders>
          </w:tcPr>
          <w:p w:rsidR="00767F3C" w:rsidRPr="007C25B9" w:rsidRDefault="007C25B9" w:rsidP="006050B2">
            <w:pPr>
              <w:keepNext/>
              <w:spacing w:before="40" w:after="40" w:line="257" w:lineRule="auto"/>
              <w:rPr>
                <w:rFonts w:ascii="Arial Narrow" w:eastAsia="Calibri" w:hAnsi="Arial Narrow" w:cs="Arial"/>
                <w:b/>
                <w:color w:val="00000A"/>
                <w:sz w:val="20"/>
                <w:highlight w:val="black"/>
              </w:rPr>
            </w:pPr>
            <w:r>
              <w:rPr>
                <w:rFonts w:ascii="Arial Narrow" w:eastAsia="Calibri" w:hAnsi="Arial Narrow" w:cs="Arial"/>
                <w:b/>
                <w:noProof/>
                <w:color w:val="000000"/>
                <w:sz w:val="20"/>
                <w:highlight w:val="black"/>
              </w:rPr>
              <w:t>''''''''''''''''''</w:t>
            </w:r>
          </w:p>
        </w:tc>
        <w:tc>
          <w:tcPr>
            <w:tcW w:w="702" w:type="pct"/>
            <w:tcBorders>
              <w:top w:val="single" w:sz="4" w:space="0" w:color="auto"/>
              <w:left w:val="single" w:sz="4" w:space="0" w:color="auto"/>
              <w:bottom w:val="single" w:sz="4" w:space="0" w:color="auto"/>
              <w:right w:val="single" w:sz="4" w:space="0" w:color="auto"/>
            </w:tcBorders>
          </w:tcPr>
          <w:p w:rsidR="00767F3C" w:rsidRPr="003675E5" w:rsidRDefault="00767F3C" w:rsidP="006050B2">
            <w:pPr>
              <w:keepNext/>
              <w:spacing w:before="40" w:after="40" w:line="257" w:lineRule="auto"/>
              <w:rPr>
                <w:rFonts w:ascii="Arial Narrow" w:eastAsia="Calibri" w:hAnsi="Arial Narrow" w:cs="Arial"/>
                <w:b/>
                <w:color w:val="00000A"/>
                <w:sz w:val="20"/>
              </w:rPr>
            </w:pPr>
            <w:r w:rsidRPr="003675E5">
              <w:rPr>
                <w:rFonts w:ascii="Arial Narrow" w:eastAsia="Calibri" w:hAnsi="Arial Narrow" w:cs="Arial"/>
                <w:b/>
                <w:color w:val="00000A"/>
                <w:sz w:val="20"/>
              </w:rPr>
              <w:t>0.24</w:t>
            </w:r>
          </w:p>
        </w:tc>
        <w:tc>
          <w:tcPr>
            <w:tcW w:w="614" w:type="pct"/>
            <w:tcBorders>
              <w:top w:val="single" w:sz="4" w:space="0" w:color="auto"/>
              <w:left w:val="single" w:sz="4" w:space="0" w:color="auto"/>
              <w:bottom w:val="single" w:sz="4" w:space="0" w:color="auto"/>
              <w:right w:val="single" w:sz="4" w:space="0" w:color="auto"/>
            </w:tcBorders>
          </w:tcPr>
          <w:p w:rsidR="00767F3C" w:rsidRPr="007C25B9" w:rsidRDefault="007C25B9" w:rsidP="006050B2">
            <w:pPr>
              <w:keepNext/>
              <w:spacing w:before="40" w:after="40" w:line="257" w:lineRule="auto"/>
              <w:rPr>
                <w:rFonts w:ascii="Arial Narrow" w:eastAsia="Calibri" w:hAnsi="Arial Narrow" w:cs="Arial"/>
                <w:b/>
                <w:color w:val="00000A"/>
                <w:sz w:val="20"/>
                <w:highlight w:val="black"/>
              </w:rPr>
            </w:pPr>
            <w:r>
              <w:rPr>
                <w:rFonts w:ascii="Arial Narrow" w:eastAsia="Calibri" w:hAnsi="Arial Narrow" w:cs="Arial"/>
                <w:b/>
                <w:noProof/>
                <w:color w:val="000000"/>
                <w:sz w:val="20"/>
                <w:highlight w:val="black"/>
              </w:rPr>
              <w:t>''''''''''''''''''''</w:t>
            </w:r>
          </w:p>
        </w:tc>
      </w:tr>
      <w:tr w:rsidR="00767F3C" w:rsidRPr="003675E5" w:rsidTr="004B57F5">
        <w:trPr>
          <w:cantSplit/>
        </w:trPr>
        <w:tc>
          <w:tcPr>
            <w:tcW w:w="3136" w:type="pct"/>
            <w:tcBorders>
              <w:top w:val="single" w:sz="4" w:space="0" w:color="auto"/>
              <w:left w:val="single" w:sz="4" w:space="0" w:color="auto"/>
              <w:bottom w:val="single" w:sz="4" w:space="0" w:color="auto"/>
              <w:right w:val="single" w:sz="4" w:space="0" w:color="auto"/>
            </w:tcBorders>
          </w:tcPr>
          <w:p w:rsidR="00767F3C" w:rsidRPr="003675E5" w:rsidRDefault="00767F3C" w:rsidP="006050B2">
            <w:pPr>
              <w:keepNext/>
              <w:spacing w:before="40" w:after="40" w:line="257" w:lineRule="auto"/>
              <w:rPr>
                <w:rFonts w:ascii="Arial Narrow" w:eastAsia="Calibri" w:hAnsi="Arial Narrow" w:cs="Arial"/>
                <w:color w:val="00000A"/>
                <w:sz w:val="20"/>
              </w:rPr>
            </w:pPr>
            <w:r w:rsidRPr="003675E5">
              <w:rPr>
                <w:rFonts w:ascii="Arial Narrow" w:eastAsia="Calibri" w:hAnsi="Arial Narrow" w:cs="Arial"/>
                <w:color w:val="00000A"/>
                <w:sz w:val="20"/>
                <w:u w:val="single"/>
              </w:rPr>
              <w:t>Number of HACs in standard care arm</w:t>
            </w:r>
            <w:r w:rsidRPr="003675E5">
              <w:rPr>
                <w:rFonts w:ascii="Arial Narrow" w:eastAsia="Calibri" w:hAnsi="Arial Narrow" w:cs="Arial"/>
                <w:color w:val="00000A"/>
                <w:sz w:val="20"/>
              </w:rPr>
              <w:t xml:space="preserve"> (base case: avg 1.8 per year per pt)</w:t>
            </w:r>
          </w:p>
          <w:p w:rsidR="00767F3C" w:rsidRPr="003675E5" w:rsidRDefault="00767F3C" w:rsidP="006050B2">
            <w:pPr>
              <w:keepNext/>
              <w:spacing w:before="40" w:after="40" w:line="257" w:lineRule="auto"/>
              <w:ind w:left="284"/>
              <w:rPr>
                <w:rFonts w:ascii="Arial Narrow" w:eastAsia="Calibri" w:hAnsi="Arial Narrow" w:cs="Arial"/>
                <w:color w:val="00000A"/>
                <w:sz w:val="20"/>
                <w:vertAlign w:val="superscript"/>
              </w:rPr>
            </w:pPr>
            <w:r w:rsidRPr="003675E5">
              <w:rPr>
                <w:rFonts w:ascii="Arial Narrow" w:eastAsia="Calibri" w:hAnsi="Arial Narrow" w:cs="Arial"/>
                <w:color w:val="00000A"/>
                <w:sz w:val="20"/>
              </w:rPr>
              <w:t xml:space="preserve">Per Diaz 2013: 0.3 per year (avg) </w:t>
            </w:r>
          </w:p>
          <w:p w:rsidR="00767F3C" w:rsidRPr="003675E5" w:rsidRDefault="00767F3C" w:rsidP="006050B2">
            <w:pPr>
              <w:keepNext/>
              <w:spacing w:before="40" w:after="40" w:line="257" w:lineRule="auto"/>
              <w:ind w:left="284"/>
              <w:rPr>
                <w:rFonts w:ascii="Arial Narrow" w:eastAsia="Calibri" w:hAnsi="Arial Narrow" w:cs="Arial"/>
                <w:color w:val="00000A"/>
                <w:sz w:val="20"/>
              </w:rPr>
            </w:pPr>
            <w:r w:rsidRPr="003675E5">
              <w:rPr>
                <w:rFonts w:ascii="Arial Narrow" w:eastAsia="Calibri" w:hAnsi="Arial Narrow" w:cs="Arial"/>
                <w:color w:val="00000A"/>
                <w:sz w:val="20"/>
              </w:rPr>
              <w:t>Per Maestri 1995: 0.73 per year (avg)</w:t>
            </w:r>
          </w:p>
        </w:tc>
        <w:tc>
          <w:tcPr>
            <w:tcW w:w="547" w:type="pct"/>
            <w:tcBorders>
              <w:top w:val="single" w:sz="4" w:space="0" w:color="auto"/>
              <w:left w:val="single" w:sz="4" w:space="0" w:color="auto"/>
              <w:bottom w:val="single" w:sz="4" w:space="0" w:color="auto"/>
              <w:right w:val="single" w:sz="4" w:space="0" w:color="auto"/>
            </w:tcBorders>
          </w:tcPr>
          <w:p w:rsidR="00767F3C" w:rsidRPr="007C25B9" w:rsidRDefault="00767F3C" w:rsidP="006050B2">
            <w:pPr>
              <w:keepNext/>
              <w:spacing w:before="40" w:after="40" w:line="257" w:lineRule="auto"/>
              <w:rPr>
                <w:rFonts w:ascii="Arial Narrow" w:eastAsia="Calibri" w:hAnsi="Arial Narrow" w:cs="Arial"/>
                <w:color w:val="00000A"/>
                <w:sz w:val="20"/>
              </w:rPr>
            </w:pPr>
          </w:p>
          <w:p w:rsidR="00767F3C" w:rsidRPr="007C25B9" w:rsidRDefault="007C25B9" w:rsidP="006050B2">
            <w:pPr>
              <w:keepNext/>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p w:rsidR="00767F3C" w:rsidRPr="007C25B9" w:rsidRDefault="007C25B9" w:rsidP="006050B2">
            <w:pPr>
              <w:keepNext/>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c>
          <w:tcPr>
            <w:tcW w:w="702" w:type="pct"/>
            <w:tcBorders>
              <w:top w:val="single" w:sz="4" w:space="0" w:color="auto"/>
              <w:left w:val="single" w:sz="4" w:space="0" w:color="auto"/>
              <w:bottom w:val="single" w:sz="4" w:space="0" w:color="auto"/>
              <w:right w:val="single" w:sz="4" w:space="0" w:color="auto"/>
            </w:tcBorders>
          </w:tcPr>
          <w:p w:rsidR="00767F3C" w:rsidRPr="003675E5" w:rsidRDefault="00767F3C" w:rsidP="006050B2">
            <w:pPr>
              <w:keepNext/>
              <w:spacing w:before="40" w:after="40" w:line="257" w:lineRule="auto"/>
              <w:rPr>
                <w:rFonts w:ascii="Arial Narrow" w:eastAsia="Calibri" w:hAnsi="Arial Narrow" w:cs="Arial"/>
                <w:color w:val="00000A"/>
                <w:sz w:val="20"/>
              </w:rPr>
            </w:pPr>
          </w:p>
          <w:p w:rsidR="00767F3C" w:rsidRPr="003675E5" w:rsidRDefault="00767F3C" w:rsidP="006050B2">
            <w:pPr>
              <w:keepNext/>
              <w:spacing w:before="40" w:after="40" w:line="257" w:lineRule="auto"/>
              <w:rPr>
                <w:rFonts w:ascii="Arial Narrow" w:eastAsia="Calibri" w:hAnsi="Arial Narrow" w:cs="Arial"/>
                <w:color w:val="00000A"/>
                <w:sz w:val="20"/>
              </w:rPr>
            </w:pPr>
            <w:r w:rsidRPr="003675E5">
              <w:rPr>
                <w:rFonts w:ascii="Arial Narrow" w:eastAsia="Calibri" w:hAnsi="Arial Narrow" w:cs="Arial"/>
                <w:color w:val="00000A"/>
                <w:sz w:val="20"/>
              </w:rPr>
              <w:t>0.26</w:t>
            </w:r>
          </w:p>
          <w:p w:rsidR="00767F3C" w:rsidRPr="003675E5" w:rsidRDefault="00767F3C" w:rsidP="006050B2">
            <w:pPr>
              <w:keepNext/>
              <w:spacing w:before="40" w:after="40" w:line="257" w:lineRule="auto"/>
              <w:rPr>
                <w:rFonts w:ascii="Arial Narrow" w:eastAsia="Calibri" w:hAnsi="Arial Narrow" w:cs="Arial"/>
                <w:color w:val="00000A"/>
                <w:sz w:val="20"/>
              </w:rPr>
            </w:pPr>
            <w:r w:rsidRPr="003675E5">
              <w:rPr>
                <w:rFonts w:ascii="Arial Narrow" w:eastAsia="Calibri" w:hAnsi="Arial Narrow" w:cs="Arial"/>
                <w:color w:val="00000A"/>
                <w:sz w:val="20"/>
              </w:rPr>
              <w:t>0.27</w:t>
            </w:r>
          </w:p>
        </w:tc>
        <w:tc>
          <w:tcPr>
            <w:tcW w:w="614" w:type="pct"/>
            <w:tcBorders>
              <w:top w:val="single" w:sz="4" w:space="0" w:color="auto"/>
              <w:left w:val="single" w:sz="4" w:space="0" w:color="auto"/>
              <w:bottom w:val="single" w:sz="4" w:space="0" w:color="auto"/>
              <w:right w:val="single" w:sz="4" w:space="0" w:color="auto"/>
            </w:tcBorders>
          </w:tcPr>
          <w:p w:rsidR="00767F3C" w:rsidRPr="007C25B9" w:rsidRDefault="00767F3C" w:rsidP="006050B2">
            <w:pPr>
              <w:keepNext/>
              <w:spacing w:before="40" w:after="40" w:line="257" w:lineRule="auto"/>
              <w:rPr>
                <w:rFonts w:ascii="Arial Narrow" w:eastAsia="Calibri" w:hAnsi="Arial Narrow" w:cs="Arial"/>
                <w:color w:val="00000A"/>
                <w:sz w:val="20"/>
              </w:rPr>
            </w:pPr>
          </w:p>
          <w:p w:rsidR="00767F3C" w:rsidRPr="007C25B9" w:rsidRDefault="007C25B9" w:rsidP="006050B2">
            <w:pPr>
              <w:keepNext/>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p w:rsidR="00767F3C" w:rsidRPr="007C25B9" w:rsidRDefault="007C25B9" w:rsidP="006050B2">
            <w:pPr>
              <w:keepNext/>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r>
      <w:tr w:rsidR="00767F3C" w:rsidRPr="003675E5" w:rsidTr="004B57F5">
        <w:trPr>
          <w:cantSplit/>
        </w:trPr>
        <w:tc>
          <w:tcPr>
            <w:tcW w:w="3136" w:type="pct"/>
            <w:tcBorders>
              <w:top w:val="single" w:sz="4" w:space="0" w:color="auto"/>
              <w:left w:val="single" w:sz="4" w:space="0" w:color="auto"/>
              <w:bottom w:val="single" w:sz="4" w:space="0" w:color="auto"/>
              <w:right w:val="single" w:sz="4" w:space="0" w:color="auto"/>
            </w:tcBorders>
          </w:tcPr>
          <w:p w:rsidR="00767F3C" w:rsidRPr="003675E5" w:rsidRDefault="00767F3C" w:rsidP="006050B2">
            <w:pPr>
              <w:widowControl w:val="0"/>
              <w:spacing w:before="40" w:after="40" w:line="257" w:lineRule="auto"/>
              <w:rPr>
                <w:rFonts w:ascii="Arial Narrow" w:eastAsia="Calibri" w:hAnsi="Arial Narrow" w:cs="Arial"/>
                <w:color w:val="00000A"/>
                <w:sz w:val="20"/>
              </w:rPr>
            </w:pPr>
            <w:r w:rsidRPr="003675E5">
              <w:rPr>
                <w:rFonts w:ascii="Arial Narrow" w:eastAsia="Calibri" w:hAnsi="Arial Narrow" w:cs="Arial"/>
                <w:color w:val="00000A"/>
                <w:sz w:val="20"/>
                <w:u w:val="single"/>
              </w:rPr>
              <w:t>HAC hospitalisation costs</w:t>
            </w:r>
            <w:r w:rsidRPr="003675E5">
              <w:rPr>
                <w:rFonts w:ascii="Arial Narrow" w:eastAsia="Calibri" w:hAnsi="Arial Narrow" w:cs="Arial"/>
                <w:color w:val="00000A"/>
                <w:sz w:val="20"/>
              </w:rPr>
              <w:t xml:space="preserve"> (base case:$21,432 if &lt;18 yrs)</w:t>
            </w:r>
          </w:p>
          <w:p w:rsidR="00767F3C" w:rsidRPr="003675E5" w:rsidRDefault="00767F3C" w:rsidP="006050B2">
            <w:pPr>
              <w:widowControl w:val="0"/>
              <w:spacing w:before="40" w:after="40" w:line="257" w:lineRule="auto"/>
              <w:ind w:left="284"/>
              <w:rPr>
                <w:rFonts w:ascii="Arial Narrow" w:eastAsia="Calibri" w:hAnsi="Arial Narrow" w:cs="Arial"/>
                <w:color w:val="00000A"/>
                <w:sz w:val="20"/>
              </w:rPr>
            </w:pPr>
            <w:r w:rsidRPr="003675E5">
              <w:rPr>
                <w:rFonts w:ascii="Arial Narrow" w:eastAsia="Calibri" w:hAnsi="Arial Narrow" w:cs="Arial"/>
                <w:color w:val="00000A"/>
                <w:sz w:val="20"/>
              </w:rPr>
              <w:t>$5,118 (AR-DRG P60A; which was one of the two AR-DRGs used)</w:t>
            </w:r>
          </w:p>
        </w:tc>
        <w:tc>
          <w:tcPr>
            <w:tcW w:w="547" w:type="pct"/>
            <w:tcBorders>
              <w:top w:val="single" w:sz="4" w:space="0" w:color="auto"/>
              <w:left w:val="single" w:sz="4" w:space="0" w:color="auto"/>
              <w:bottom w:val="single" w:sz="4" w:space="0" w:color="auto"/>
              <w:right w:val="single" w:sz="4" w:space="0" w:color="auto"/>
            </w:tcBorders>
          </w:tcPr>
          <w:p w:rsidR="00767F3C" w:rsidRPr="007C25B9" w:rsidRDefault="00767F3C" w:rsidP="006050B2">
            <w:pPr>
              <w:widowControl w:val="0"/>
              <w:spacing w:before="40" w:after="40" w:line="257" w:lineRule="auto"/>
              <w:rPr>
                <w:rFonts w:ascii="Arial Narrow" w:eastAsia="Calibri" w:hAnsi="Arial Narrow" w:cs="Arial"/>
                <w:color w:val="00000A"/>
                <w:sz w:val="20"/>
              </w:rPr>
            </w:pPr>
          </w:p>
          <w:p w:rsidR="00767F3C" w:rsidRPr="007C25B9" w:rsidRDefault="007C25B9" w:rsidP="006050B2">
            <w:pPr>
              <w:widowControl w:val="0"/>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c>
          <w:tcPr>
            <w:tcW w:w="702" w:type="pct"/>
            <w:tcBorders>
              <w:top w:val="single" w:sz="4" w:space="0" w:color="auto"/>
              <w:left w:val="single" w:sz="4" w:space="0" w:color="auto"/>
              <w:bottom w:val="single" w:sz="4" w:space="0" w:color="auto"/>
              <w:right w:val="single" w:sz="4" w:space="0" w:color="auto"/>
            </w:tcBorders>
          </w:tcPr>
          <w:p w:rsidR="00767F3C" w:rsidRPr="003675E5" w:rsidRDefault="00767F3C" w:rsidP="006050B2">
            <w:pPr>
              <w:widowControl w:val="0"/>
              <w:spacing w:before="40" w:after="40" w:line="257" w:lineRule="auto"/>
              <w:rPr>
                <w:rFonts w:ascii="Arial Narrow" w:eastAsia="Calibri" w:hAnsi="Arial Narrow" w:cs="Arial"/>
                <w:color w:val="00000A"/>
                <w:sz w:val="20"/>
              </w:rPr>
            </w:pPr>
          </w:p>
          <w:p w:rsidR="00767F3C" w:rsidRPr="003675E5" w:rsidRDefault="00767F3C" w:rsidP="006050B2">
            <w:pPr>
              <w:widowControl w:val="0"/>
              <w:spacing w:before="40" w:after="40" w:line="257" w:lineRule="auto"/>
              <w:rPr>
                <w:rFonts w:ascii="Arial Narrow" w:eastAsia="Calibri" w:hAnsi="Arial Narrow" w:cs="Arial"/>
                <w:color w:val="00000A"/>
                <w:sz w:val="20"/>
              </w:rPr>
            </w:pPr>
            <w:r w:rsidRPr="003675E5">
              <w:rPr>
                <w:rFonts w:ascii="Arial Narrow" w:eastAsia="Calibri" w:hAnsi="Arial Narrow" w:cs="Arial"/>
                <w:color w:val="00000A"/>
                <w:sz w:val="20"/>
              </w:rPr>
              <w:t>0.25</w:t>
            </w:r>
          </w:p>
        </w:tc>
        <w:tc>
          <w:tcPr>
            <w:tcW w:w="614" w:type="pct"/>
            <w:tcBorders>
              <w:top w:val="single" w:sz="4" w:space="0" w:color="auto"/>
              <w:left w:val="single" w:sz="4" w:space="0" w:color="auto"/>
              <w:bottom w:val="single" w:sz="4" w:space="0" w:color="auto"/>
              <w:right w:val="single" w:sz="4" w:space="0" w:color="auto"/>
            </w:tcBorders>
          </w:tcPr>
          <w:p w:rsidR="00767F3C" w:rsidRPr="007C25B9" w:rsidRDefault="00767F3C" w:rsidP="006050B2">
            <w:pPr>
              <w:widowControl w:val="0"/>
              <w:spacing w:before="40" w:after="40" w:line="257" w:lineRule="auto"/>
              <w:rPr>
                <w:rFonts w:ascii="Arial Narrow" w:eastAsia="Calibri" w:hAnsi="Arial Narrow" w:cs="Arial"/>
                <w:color w:val="00000A"/>
                <w:sz w:val="20"/>
              </w:rPr>
            </w:pPr>
          </w:p>
          <w:p w:rsidR="00767F3C" w:rsidRPr="007C25B9" w:rsidRDefault="007C25B9" w:rsidP="006050B2">
            <w:pPr>
              <w:widowControl w:val="0"/>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r w:rsidRPr="007C25B9">
              <w:rPr>
                <w:rFonts w:ascii="Times New Roman" w:hAnsi="Times New Roman" w:cs="Times New Roman"/>
                <w:noProof/>
                <w:color w:val="000000"/>
                <w:szCs w:val="24"/>
                <w:highlight w:val="black"/>
                <w:lang w:val="en-US"/>
              </w:rPr>
              <w:t xml:space="preserve"> </w:t>
            </w:r>
          </w:p>
        </w:tc>
      </w:tr>
      <w:tr w:rsidR="00767F3C" w:rsidRPr="003675E5" w:rsidTr="004B57F5">
        <w:trPr>
          <w:cantSplit/>
        </w:trPr>
        <w:tc>
          <w:tcPr>
            <w:tcW w:w="3136" w:type="pct"/>
            <w:tcBorders>
              <w:top w:val="single" w:sz="4" w:space="0" w:color="auto"/>
              <w:left w:val="single" w:sz="4" w:space="0" w:color="auto"/>
              <w:bottom w:val="single" w:sz="4" w:space="0" w:color="auto"/>
              <w:right w:val="single" w:sz="4" w:space="0" w:color="auto"/>
            </w:tcBorders>
          </w:tcPr>
          <w:p w:rsidR="00767F3C" w:rsidRPr="003675E5" w:rsidRDefault="00767F3C" w:rsidP="006050B2">
            <w:pPr>
              <w:widowControl w:val="0"/>
              <w:spacing w:before="40" w:after="40" w:line="257" w:lineRule="auto"/>
              <w:rPr>
                <w:rFonts w:ascii="Arial Narrow" w:eastAsia="Calibri" w:hAnsi="Arial Narrow" w:cs="Arial"/>
                <w:color w:val="00000A"/>
                <w:sz w:val="20"/>
              </w:rPr>
            </w:pPr>
            <w:r w:rsidRPr="003675E5">
              <w:rPr>
                <w:rFonts w:ascii="Arial Narrow" w:eastAsia="Calibri" w:hAnsi="Arial Narrow" w:cs="Arial"/>
                <w:color w:val="00000A"/>
                <w:sz w:val="20"/>
                <w:u w:val="single"/>
              </w:rPr>
              <w:t xml:space="preserve">Cost of comparator </w:t>
            </w:r>
            <w:r w:rsidRPr="003675E5">
              <w:rPr>
                <w:rFonts w:ascii="Arial Narrow" w:eastAsia="Calibri" w:hAnsi="Arial Narrow" w:cs="Arial"/>
                <w:color w:val="00000A"/>
                <w:sz w:val="20"/>
              </w:rPr>
              <w:t>(base case: uncoated NaPb powder only at $4.75/g)</w:t>
            </w:r>
          </w:p>
          <w:p w:rsidR="00767F3C" w:rsidRPr="003675E5" w:rsidRDefault="00767F3C" w:rsidP="006050B2">
            <w:pPr>
              <w:widowControl w:val="0"/>
              <w:spacing w:before="40" w:after="40" w:line="257" w:lineRule="auto"/>
              <w:ind w:left="284"/>
              <w:rPr>
                <w:rFonts w:ascii="Arial Narrow" w:eastAsia="Calibri" w:hAnsi="Arial Narrow" w:cs="Arial"/>
                <w:color w:val="00000A"/>
                <w:sz w:val="20"/>
                <w:highlight w:val="yellow"/>
              </w:rPr>
            </w:pPr>
            <w:r w:rsidRPr="003675E5">
              <w:rPr>
                <w:rFonts w:ascii="Arial Narrow" w:eastAsia="Calibri" w:hAnsi="Arial Narrow" w:cs="Arial"/>
                <w:color w:val="00000A"/>
                <w:sz w:val="20"/>
              </w:rPr>
              <w:t>Uncoated NaPb tablets at $17.60/g</w:t>
            </w:r>
          </w:p>
        </w:tc>
        <w:tc>
          <w:tcPr>
            <w:tcW w:w="547" w:type="pct"/>
            <w:tcBorders>
              <w:top w:val="single" w:sz="4" w:space="0" w:color="auto"/>
              <w:left w:val="single" w:sz="4" w:space="0" w:color="auto"/>
              <w:bottom w:val="single" w:sz="4" w:space="0" w:color="auto"/>
              <w:right w:val="single" w:sz="4" w:space="0" w:color="auto"/>
            </w:tcBorders>
          </w:tcPr>
          <w:p w:rsidR="00767F3C" w:rsidRPr="007C25B9" w:rsidRDefault="00767F3C" w:rsidP="006050B2">
            <w:pPr>
              <w:widowControl w:val="0"/>
              <w:spacing w:before="40" w:after="40" w:line="257" w:lineRule="auto"/>
              <w:rPr>
                <w:rFonts w:ascii="Arial Narrow" w:eastAsia="Calibri" w:hAnsi="Arial Narrow" w:cs="Arial"/>
                <w:color w:val="00000A"/>
                <w:sz w:val="20"/>
              </w:rPr>
            </w:pPr>
          </w:p>
          <w:p w:rsidR="00767F3C" w:rsidRPr="007C25B9" w:rsidRDefault="007C25B9" w:rsidP="006050B2">
            <w:pPr>
              <w:widowControl w:val="0"/>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c>
          <w:tcPr>
            <w:tcW w:w="702" w:type="pct"/>
            <w:tcBorders>
              <w:top w:val="single" w:sz="4" w:space="0" w:color="auto"/>
              <w:left w:val="single" w:sz="4" w:space="0" w:color="auto"/>
              <w:bottom w:val="single" w:sz="4" w:space="0" w:color="auto"/>
              <w:right w:val="single" w:sz="4" w:space="0" w:color="auto"/>
            </w:tcBorders>
          </w:tcPr>
          <w:p w:rsidR="00767F3C" w:rsidRPr="003675E5" w:rsidRDefault="00767F3C" w:rsidP="006050B2">
            <w:pPr>
              <w:widowControl w:val="0"/>
              <w:spacing w:before="40" w:after="40" w:line="257" w:lineRule="auto"/>
              <w:rPr>
                <w:rFonts w:ascii="Arial Narrow" w:eastAsia="Calibri" w:hAnsi="Arial Narrow" w:cs="Arial"/>
                <w:color w:val="00000A"/>
                <w:sz w:val="20"/>
              </w:rPr>
            </w:pPr>
          </w:p>
          <w:p w:rsidR="00767F3C" w:rsidRPr="003675E5" w:rsidRDefault="00767F3C" w:rsidP="006050B2">
            <w:pPr>
              <w:widowControl w:val="0"/>
              <w:spacing w:before="40" w:after="40" w:line="257" w:lineRule="auto"/>
              <w:rPr>
                <w:rFonts w:ascii="Arial Narrow" w:eastAsia="Calibri" w:hAnsi="Arial Narrow" w:cs="Arial"/>
                <w:color w:val="00000A"/>
                <w:sz w:val="20"/>
                <w:highlight w:val="yellow"/>
              </w:rPr>
            </w:pPr>
            <w:r w:rsidRPr="003675E5">
              <w:rPr>
                <w:rFonts w:ascii="Arial Narrow" w:eastAsia="Calibri" w:hAnsi="Arial Narrow" w:cs="Arial"/>
                <w:color w:val="00000A"/>
                <w:sz w:val="20"/>
              </w:rPr>
              <w:t>0.25</w:t>
            </w:r>
          </w:p>
        </w:tc>
        <w:tc>
          <w:tcPr>
            <w:tcW w:w="614" w:type="pct"/>
            <w:tcBorders>
              <w:top w:val="single" w:sz="4" w:space="0" w:color="auto"/>
              <w:left w:val="single" w:sz="4" w:space="0" w:color="auto"/>
              <w:bottom w:val="single" w:sz="4" w:space="0" w:color="auto"/>
              <w:right w:val="single" w:sz="4" w:space="0" w:color="auto"/>
            </w:tcBorders>
          </w:tcPr>
          <w:p w:rsidR="00767F3C" w:rsidRPr="007C25B9" w:rsidRDefault="00767F3C" w:rsidP="006050B2">
            <w:pPr>
              <w:widowControl w:val="0"/>
              <w:spacing w:before="40" w:after="40" w:line="257" w:lineRule="auto"/>
              <w:rPr>
                <w:rFonts w:ascii="Arial Narrow" w:eastAsia="Calibri" w:hAnsi="Arial Narrow" w:cs="Arial"/>
                <w:color w:val="00000A"/>
                <w:sz w:val="20"/>
              </w:rPr>
            </w:pPr>
          </w:p>
          <w:p w:rsidR="00767F3C" w:rsidRPr="007C25B9" w:rsidRDefault="007C25B9" w:rsidP="006050B2">
            <w:pPr>
              <w:widowControl w:val="0"/>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r>
      <w:tr w:rsidR="00767F3C" w:rsidRPr="003675E5" w:rsidTr="004B57F5">
        <w:trPr>
          <w:cantSplit/>
        </w:trPr>
        <w:tc>
          <w:tcPr>
            <w:tcW w:w="3136" w:type="pct"/>
            <w:tcBorders>
              <w:top w:val="single" w:sz="4" w:space="0" w:color="auto"/>
              <w:left w:val="single" w:sz="4" w:space="0" w:color="auto"/>
              <w:bottom w:val="single" w:sz="4" w:space="0" w:color="auto"/>
              <w:right w:val="single" w:sz="4" w:space="0" w:color="auto"/>
            </w:tcBorders>
          </w:tcPr>
          <w:p w:rsidR="00767F3C" w:rsidRPr="003675E5" w:rsidRDefault="00767F3C" w:rsidP="006050B2">
            <w:pPr>
              <w:keepNext/>
              <w:spacing w:before="40" w:after="40" w:line="257" w:lineRule="auto"/>
              <w:rPr>
                <w:rFonts w:ascii="Arial Narrow" w:eastAsia="Calibri" w:hAnsi="Arial Narrow" w:cs="Arial"/>
                <w:color w:val="00000A"/>
                <w:sz w:val="20"/>
                <w:u w:val="single"/>
              </w:rPr>
            </w:pPr>
            <w:r w:rsidRPr="003675E5">
              <w:rPr>
                <w:rFonts w:ascii="Arial Narrow" w:eastAsia="Calibri" w:hAnsi="Arial Narrow" w:cs="Arial"/>
                <w:color w:val="00000A"/>
                <w:sz w:val="20"/>
                <w:u w:val="single"/>
              </w:rPr>
              <w:t>Dose</w:t>
            </w:r>
          </w:p>
          <w:p w:rsidR="00767F3C" w:rsidRPr="003675E5" w:rsidRDefault="00767F3C" w:rsidP="00406D9F">
            <w:pPr>
              <w:widowControl w:val="0"/>
              <w:spacing w:before="40" w:after="40" w:line="257" w:lineRule="auto"/>
              <w:ind w:left="284"/>
              <w:rPr>
                <w:rFonts w:ascii="Arial Narrow" w:eastAsia="Calibri" w:hAnsi="Arial Narrow" w:cs="Arial"/>
                <w:color w:val="00000A"/>
                <w:sz w:val="20"/>
                <w:u w:val="single"/>
              </w:rPr>
            </w:pPr>
            <w:r w:rsidRPr="003675E5">
              <w:rPr>
                <w:rFonts w:ascii="Arial Narrow" w:eastAsia="Calibri" w:hAnsi="Arial Narrow" w:cs="Arial"/>
                <w:color w:val="00000A"/>
                <w:sz w:val="20"/>
              </w:rPr>
              <w:t xml:space="preserve">Double the dose of coated and uncoated NaPb and remove NaBz  </w:t>
            </w:r>
          </w:p>
        </w:tc>
        <w:tc>
          <w:tcPr>
            <w:tcW w:w="547" w:type="pct"/>
            <w:tcBorders>
              <w:top w:val="single" w:sz="4" w:space="0" w:color="auto"/>
              <w:left w:val="single" w:sz="4" w:space="0" w:color="auto"/>
              <w:bottom w:val="single" w:sz="4" w:space="0" w:color="auto"/>
              <w:right w:val="single" w:sz="4" w:space="0" w:color="auto"/>
            </w:tcBorders>
          </w:tcPr>
          <w:p w:rsidR="00767F3C" w:rsidRPr="007C25B9" w:rsidRDefault="00767F3C" w:rsidP="006050B2">
            <w:pPr>
              <w:keepNext/>
              <w:spacing w:before="40" w:after="40" w:line="257" w:lineRule="auto"/>
              <w:rPr>
                <w:rFonts w:ascii="Arial Narrow" w:eastAsia="Calibri" w:hAnsi="Arial Narrow" w:cs="Arial"/>
                <w:color w:val="00000A"/>
                <w:sz w:val="20"/>
              </w:rPr>
            </w:pPr>
          </w:p>
          <w:p w:rsidR="00767F3C" w:rsidRPr="007C25B9" w:rsidRDefault="007C25B9" w:rsidP="006050B2">
            <w:pPr>
              <w:widowControl w:val="0"/>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c>
          <w:tcPr>
            <w:tcW w:w="702" w:type="pct"/>
            <w:tcBorders>
              <w:top w:val="single" w:sz="4" w:space="0" w:color="auto"/>
              <w:left w:val="single" w:sz="4" w:space="0" w:color="auto"/>
              <w:bottom w:val="single" w:sz="4" w:space="0" w:color="auto"/>
              <w:right w:val="single" w:sz="4" w:space="0" w:color="auto"/>
            </w:tcBorders>
          </w:tcPr>
          <w:p w:rsidR="00767F3C" w:rsidRPr="003675E5" w:rsidRDefault="00767F3C" w:rsidP="006050B2">
            <w:pPr>
              <w:keepNext/>
              <w:spacing w:before="40" w:after="40" w:line="257" w:lineRule="auto"/>
              <w:rPr>
                <w:rFonts w:ascii="Arial Narrow" w:eastAsia="Calibri" w:hAnsi="Arial Narrow" w:cs="Arial"/>
                <w:color w:val="00000A"/>
                <w:sz w:val="20"/>
              </w:rPr>
            </w:pPr>
          </w:p>
          <w:p w:rsidR="00767F3C" w:rsidRPr="003675E5" w:rsidRDefault="00767F3C" w:rsidP="006050B2">
            <w:pPr>
              <w:widowControl w:val="0"/>
              <w:spacing w:before="40" w:after="40" w:line="257" w:lineRule="auto"/>
              <w:rPr>
                <w:rFonts w:ascii="Arial Narrow" w:eastAsia="Calibri" w:hAnsi="Arial Narrow" w:cs="Arial"/>
                <w:color w:val="00000A"/>
                <w:sz w:val="20"/>
              </w:rPr>
            </w:pPr>
            <w:r w:rsidRPr="003675E5">
              <w:rPr>
                <w:rFonts w:ascii="Arial Narrow" w:eastAsia="Calibri" w:hAnsi="Arial Narrow" w:cs="Arial"/>
                <w:color w:val="00000A"/>
                <w:sz w:val="20"/>
              </w:rPr>
              <w:t>0.26</w:t>
            </w:r>
          </w:p>
        </w:tc>
        <w:tc>
          <w:tcPr>
            <w:tcW w:w="614" w:type="pct"/>
            <w:tcBorders>
              <w:top w:val="single" w:sz="4" w:space="0" w:color="auto"/>
              <w:left w:val="single" w:sz="4" w:space="0" w:color="auto"/>
              <w:bottom w:val="single" w:sz="4" w:space="0" w:color="auto"/>
              <w:right w:val="single" w:sz="4" w:space="0" w:color="auto"/>
            </w:tcBorders>
          </w:tcPr>
          <w:p w:rsidR="00767F3C" w:rsidRPr="007C25B9" w:rsidRDefault="00767F3C" w:rsidP="006050B2">
            <w:pPr>
              <w:keepNext/>
              <w:spacing w:before="40" w:after="40" w:line="257" w:lineRule="auto"/>
              <w:rPr>
                <w:rFonts w:ascii="Arial Narrow" w:eastAsia="Calibri" w:hAnsi="Arial Narrow" w:cs="Arial"/>
                <w:color w:val="00000A"/>
                <w:sz w:val="20"/>
              </w:rPr>
            </w:pPr>
          </w:p>
          <w:p w:rsidR="00767F3C" w:rsidRPr="007C25B9" w:rsidRDefault="007C25B9" w:rsidP="006050B2">
            <w:pPr>
              <w:widowControl w:val="0"/>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r>
      <w:tr w:rsidR="00767F3C" w:rsidRPr="003675E5" w:rsidTr="004B57F5">
        <w:trPr>
          <w:cantSplit/>
        </w:trPr>
        <w:tc>
          <w:tcPr>
            <w:tcW w:w="3136" w:type="pct"/>
            <w:tcBorders>
              <w:top w:val="single" w:sz="4" w:space="0" w:color="auto"/>
              <w:left w:val="single" w:sz="4" w:space="0" w:color="auto"/>
              <w:bottom w:val="single" w:sz="4" w:space="0" w:color="auto"/>
              <w:right w:val="single" w:sz="4" w:space="0" w:color="auto"/>
            </w:tcBorders>
          </w:tcPr>
          <w:p w:rsidR="00767F3C" w:rsidRPr="003675E5" w:rsidRDefault="00767F3C" w:rsidP="006050B2">
            <w:pPr>
              <w:widowControl w:val="0"/>
              <w:spacing w:before="40" w:after="40" w:line="257" w:lineRule="auto"/>
              <w:rPr>
                <w:rFonts w:ascii="Arial Narrow" w:eastAsia="Calibri" w:hAnsi="Arial Narrow" w:cs="Arial"/>
                <w:color w:val="00000A"/>
                <w:sz w:val="20"/>
              </w:rPr>
            </w:pPr>
            <w:r w:rsidRPr="003675E5">
              <w:rPr>
                <w:rFonts w:ascii="Arial Narrow" w:eastAsia="Calibri" w:hAnsi="Arial Narrow" w:cs="Arial"/>
                <w:color w:val="00000A"/>
                <w:sz w:val="20"/>
                <w:u w:val="single"/>
              </w:rPr>
              <w:t>Age that patients enter the model</w:t>
            </w:r>
            <w:r w:rsidRPr="003675E5">
              <w:rPr>
                <w:rFonts w:ascii="Arial Narrow" w:eastAsia="Calibri" w:hAnsi="Arial Narrow" w:cs="Arial"/>
                <w:color w:val="00000A"/>
                <w:sz w:val="20"/>
              </w:rPr>
              <w:t xml:space="preserve"> (base case: 0) </w:t>
            </w:r>
          </w:p>
          <w:p w:rsidR="00767F3C" w:rsidRPr="003675E5" w:rsidRDefault="00767F3C" w:rsidP="006050B2">
            <w:pPr>
              <w:widowControl w:val="0"/>
              <w:spacing w:before="40" w:after="40" w:line="257" w:lineRule="auto"/>
              <w:ind w:left="284"/>
              <w:rPr>
                <w:rFonts w:ascii="Arial Narrow" w:eastAsia="Calibri" w:hAnsi="Arial Narrow" w:cs="Arial"/>
                <w:color w:val="00000A"/>
                <w:sz w:val="20"/>
              </w:rPr>
            </w:pPr>
            <w:r w:rsidRPr="003675E5">
              <w:rPr>
                <w:rFonts w:ascii="Arial Narrow" w:eastAsia="Calibri" w:hAnsi="Arial Narrow" w:cs="Arial"/>
                <w:color w:val="00000A"/>
                <w:sz w:val="20"/>
              </w:rPr>
              <w:t>7 years (median age in Kibleur 2014)</w:t>
            </w:r>
          </w:p>
        </w:tc>
        <w:tc>
          <w:tcPr>
            <w:tcW w:w="547" w:type="pct"/>
            <w:tcBorders>
              <w:top w:val="single" w:sz="4" w:space="0" w:color="auto"/>
              <w:left w:val="single" w:sz="4" w:space="0" w:color="auto"/>
              <w:bottom w:val="single" w:sz="4" w:space="0" w:color="auto"/>
              <w:right w:val="single" w:sz="4" w:space="0" w:color="auto"/>
            </w:tcBorders>
          </w:tcPr>
          <w:p w:rsidR="00767F3C" w:rsidRPr="007C25B9" w:rsidRDefault="00767F3C" w:rsidP="006050B2">
            <w:pPr>
              <w:widowControl w:val="0"/>
              <w:spacing w:before="40" w:after="40" w:line="257" w:lineRule="auto"/>
              <w:rPr>
                <w:rFonts w:ascii="Arial Narrow" w:eastAsia="Calibri" w:hAnsi="Arial Narrow" w:cs="Arial"/>
                <w:color w:val="00000A"/>
                <w:sz w:val="20"/>
              </w:rPr>
            </w:pPr>
          </w:p>
          <w:p w:rsidR="00767F3C" w:rsidRPr="007C25B9" w:rsidRDefault="007C25B9" w:rsidP="006050B2">
            <w:pPr>
              <w:widowControl w:val="0"/>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c>
          <w:tcPr>
            <w:tcW w:w="702" w:type="pct"/>
            <w:tcBorders>
              <w:top w:val="single" w:sz="4" w:space="0" w:color="auto"/>
              <w:left w:val="single" w:sz="4" w:space="0" w:color="auto"/>
              <w:bottom w:val="single" w:sz="4" w:space="0" w:color="auto"/>
              <w:right w:val="single" w:sz="4" w:space="0" w:color="auto"/>
            </w:tcBorders>
          </w:tcPr>
          <w:p w:rsidR="00767F3C" w:rsidRPr="003675E5" w:rsidRDefault="00767F3C" w:rsidP="006050B2">
            <w:pPr>
              <w:widowControl w:val="0"/>
              <w:spacing w:before="40" w:after="40" w:line="257" w:lineRule="auto"/>
              <w:rPr>
                <w:rFonts w:ascii="Arial Narrow" w:eastAsia="Calibri" w:hAnsi="Arial Narrow" w:cs="Arial"/>
                <w:color w:val="00000A"/>
                <w:sz w:val="20"/>
              </w:rPr>
            </w:pPr>
          </w:p>
          <w:p w:rsidR="00767F3C" w:rsidRPr="003675E5" w:rsidRDefault="00767F3C" w:rsidP="006050B2">
            <w:pPr>
              <w:widowControl w:val="0"/>
              <w:spacing w:before="40" w:after="40" w:line="257" w:lineRule="auto"/>
              <w:rPr>
                <w:rFonts w:ascii="Arial Narrow" w:eastAsia="Calibri" w:hAnsi="Arial Narrow" w:cs="Arial"/>
                <w:color w:val="00000A"/>
                <w:sz w:val="20"/>
              </w:rPr>
            </w:pPr>
            <w:r w:rsidRPr="003675E5">
              <w:rPr>
                <w:rFonts w:ascii="Arial Narrow" w:eastAsia="Calibri" w:hAnsi="Arial Narrow" w:cs="Arial"/>
                <w:color w:val="00000A"/>
                <w:sz w:val="20"/>
              </w:rPr>
              <w:t>0.48</w:t>
            </w:r>
          </w:p>
        </w:tc>
        <w:tc>
          <w:tcPr>
            <w:tcW w:w="614" w:type="pct"/>
            <w:tcBorders>
              <w:top w:val="single" w:sz="4" w:space="0" w:color="auto"/>
              <w:left w:val="single" w:sz="4" w:space="0" w:color="auto"/>
              <w:bottom w:val="single" w:sz="4" w:space="0" w:color="auto"/>
              <w:right w:val="single" w:sz="4" w:space="0" w:color="auto"/>
            </w:tcBorders>
          </w:tcPr>
          <w:p w:rsidR="00767F3C" w:rsidRPr="007C25B9" w:rsidRDefault="00767F3C" w:rsidP="006050B2">
            <w:pPr>
              <w:widowControl w:val="0"/>
              <w:spacing w:before="40" w:after="40" w:line="257" w:lineRule="auto"/>
              <w:rPr>
                <w:rFonts w:ascii="Arial Narrow" w:eastAsia="Calibri" w:hAnsi="Arial Narrow" w:cs="Arial"/>
                <w:color w:val="00000A"/>
                <w:sz w:val="20"/>
              </w:rPr>
            </w:pPr>
          </w:p>
          <w:p w:rsidR="00767F3C" w:rsidRPr="007C25B9" w:rsidRDefault="007C25B9" w:rsidP="006050B2">
            <w:pPr>
              <w:widowControl w:val="0"/>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r>
      <w:tr w:rsidR="00767F3C" w:rsidRPr="003675E5" w:rsidTr="004B57F5">
        <w:trPr>
          <w:cantSplit/>
        </w:trPr>
        <w:tc>
          <w:tcPr>
            <w:tcW w:w="3136" w:type="pct"/>
            <w:tcBorders>
              <w:top w:val="single" w:sz="4" w:space="0" w:color="auto"/>
              <w:left w:val="single" w:sz="4" w:space="0" w:color="auto"/>
              <w:bottom w:val="single" w:sz="4" w:space="0" w:color="auto"/>
              <w:right w:val="single" w:sz="4" w:space="0" w:color="auto"/>
            </w:tcBorders>
          </w:tcPr>
          <w:p w:rsidR="00767F3C" w:rsidRPr="003675E5" w:rsidRDefault="00767F3C" w:rsidP="006050B2">
            <w:pPr>
              <w:widowControl w:val="0"/>
              <w:spacing w:before="40" w:after="40" w:line="257" w:lineRule="auto"/>
              <w:rPr>
                <w:rFonts w:ascii="Arial Narrow" w:eastAsia="Calibri" w:hAnsi="Arial Narrow" w:cs="Arial"/>
                <w:color w:val="00000A"/>
                <w:sz w:val="20"/>
              </w:rPr>
            </w:pPr>
            <w:r w:rsidRPr="003675E5">
              <w:rPr>
                <w:rFonts w:ascii="Arial Narrow" w:eastAsia="Calibri" w:hAnsi="Arial Narrow" w:cs="Arial"/>
                <w:color w:val="00000A"/>
                <w:sz w:val="20"/>
              </w:rPr>
              <w:t>Time horizon (base case: 100 years)</w:t>
            </w:r>
          </w:p>
          <w:p w:rsidR="00767F3C" w:rsidRPr="003675E5" w:rsidRDefault="00767F3C" w:rsidP="006050B2">
            <w:pPr>
              <w:widowControl w:val="0"/>
              <w:spacing w:before="40" w:after="40" w:line="257" w:lineRule="auto"/>
              <w:ind w:left="284"/>
              <w:rPr>
                <w:rFonts w:ascii="Arial Narrow" w:eastAsia="Calibri" w:hAnsi="Arial Narrow" w:cs="Arial"/>
                <w:color w:val="00000A"/>
                <w:sz w:val="20"/>
              </w:rPr>
            </w:pPr>
            <w:r w:rsidRPr="003675E5">
              <w:rPr>
                <w:rFonts w:ascii="Arial Narrow" w:eastAsia="Calibri" w:hAnsi="Arial Narrow" w:cs="Arial"/>
                <w:color w:val="00000A"/>
                <w:sz w:val="20"/>
              </w:rPr>
              <w:t>10 years</w:t>
            </w:r>
          </w:p>
        </w:tc>
        <w:tc>
          <w:tcPr>
            <w:tcW w:w="547" w:type="pct"/>
            <w:tcBorders>
              <w:top w:val="single" w:sz="4" w:space="0" w:color="auto"/>
              <w:left w:val="single" w:sz="4" w:space="0" w:color="auto"/>
              <w:bottom w:val="single" w:sz="4" w:space="0" w:color="auto"/>
              <w:right w:val="single" w:sz="4" w:space="0" w:color="auto"/>
            </w:tcBorders>
          </w:tcPr>
          <w:p w:rsidR="00767F3C" w:rsidRPr="007C25B9" w:rsidRDefault="00767F3C" w:rsidP="006050B2">
            <w:pPr>
              <w:widowControl w:val="0"/>
              <w:spacing w:before="40" w:after="40" w:line="257" w:lineRule="auto"/>
              <w:rPr>
                <w:rFonts w:ascii="Arial Narrow" w:eastAsia="Calibri" w:hAnsi="Arial Narrow" w:cs="Arial"/>
                <w:color w:val="00000A"/>
                <w:sz w:val="20"/>
              </w:rPr>
            </w:pPr>
          </w:p>
          <w:p w:rsidR="00767F3C" w:rsidRPr="007C25B9" w:rsidRDefault="007C25B9" w:rsidP="006050B2">
            <w:pPr>
              <w:widowControl w:val="0"/>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c>
          <w:tcPr>
            <w:tcW w:w="702" w:type="pct"/>
            <w:tcBorders>
              <w:top w:val="single" w:sz="4" w:space="0" w:color="auto"/>
              <w:left w:val="single" w:sz="4" w:space="0" w:color="auto"/>
              <w:bottom w:val="single" w:sz="4" w:space="0" w:color="auto"/>
              <w:right w:val="single" w:sz="4" w:space="0" w:color="auto"/>
            </w:tcBorders>
          </w:tcPr>
          <w:p w:rsidR="00767F3C" w:rsidRPr="003675E5" w:rsidRDefault="00767F3C" w:rsidP="006050B2">
            <w:pPr>
              <w:widowControl w:val="0"/>
              <w:spacing w:before="40" w:after="40" w:line="257" w:lineRule="auto"/>
              <w:rPr>
                <w:rFonts w:ascii="Arial Narrow" w:eastAsia="Calibri" w:hAnsi="Arial Narrow" w:cs="Arial"/>
                <w:color w:val="00000A"/>
                <w:sz w:val="20"/>
              </w:rPr>
            </w:pPr>
          </w:p>
          <w:p w:rsidR="00767F3C" w:rsidRPr="003675E5" w:rsidRDefault="00767F3C" w:rsidP="006050B2">
            <w:pPr>
              <w:widowControl w:val="0"/>
              <w:spacing w:before="40" w:after="40" w:line="257" w:lineRule="auto"/>
              <w:rPr>
                <w:rFonts w:ascii="Arial Narrow" w:eastAsia="Calibri" w:hAnsi="Arial Narrow" w:cs="Arial"/>
                <w:color w:val="00000A"/>
                <w:sz w:val="20"/>
              </w:rPr>
            </w:pPr>
            <w:r w:rsidRPr="003675E5">
              <w:rPr>
                <w:rFonts w:ascii="Arial Narrow" w:eastAsia="Calibri" w:hAnsi="Arial Narrow" w:cs="Arial"/>
                <w:color w:val="00000A"/>
                <w:sz w:val="20"/>
              </w:rPr>
              <w:t>0.16</w:t>
            </w:r>
          </w:p>
        </w:tc>
        <w:tc>
          <w:tcPr>
            <w:tcW w:w="614" w:type="pct"/>
            <w:tcBorders>
              <w:top w:val="single" w:sz="4" w:space="0" w:color="auto"/>
              <w:left w:val="single" w:sz="4" w:space="0" w:color="auto"/>
              <w:bottom w:val="single" w:sz="4" w:space="0" w:color="auto"/>
              <w:right w:val="single" w:sz="4" w:space="0" w:color="auto"/>
            </w:tcBorders>
          </w:tcPr>
          <w:p w:rsidR="00767F3C" w:rsidRPr="007C25B9" w:rsidRDefault="00767F3C" w:rsidP="006050B2">
            <w:pPr>
              <w:widowControl w:val="0"/>
              <w:spacing w:before="40" w:after="40" w:line="257" w:lineRule="auto"/>
              <w:rPr>
                <w:rFonts w:ascii="Arial Narrow" w:eastAsia="Calibri" w:hAnsi="Arial Narrow" w:cs="Arial"/>
                <w:color w:val="00000A"/>
                <w:sz w:val="20"/>
              </w:rPr>
            </w:pPr>
          </w:p>
          <w:p w:rsidR="00767F3C" w:rsidRPr="007C25B9" w:rsidRDefault="007C25B9" w:rsidP="006050B2">
            <w:pPr>
              <w:widowControl w:val="0"/>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r>
      <w:tr w:rsidR="00767F3C" w:rsidRPr="003675E5" w:rsidTr="004B57F5">
        <w:trPr>
          <w:cantSplit/>
        </w:trPr>
        <w:tc>
          <w:tcPr>
            <w:tcW w:w="3136" w:type="pct"/>
            <w:tcBorders>
              <w:top w:val="single" w:sz="4" w:space="0" w:color="auto"/>
              <w:left w:val="single" w:sz="4" w:space="0" w:color="auto"/>
              <w:bottom w:val="single" w:sz="4" w:space="0" w:color="auto"/>
              <w:right w:val="single" w:sz="4" w:space="0" w:color="auto"/>
            </w:tcBorders>
          </w:tcPr>
          <w:p w:rsidR="00767F3C" w:rsidRPr="003675E5" w:rsidRDefault="00767F3C" w:rsidP="006050B2">
            <w:pPr>
              <w:widowControl w:val="0"/>
              <w:spacing w:before="40" w:after="40" w:line="257" w:lineRule="auto"/>
              <w:rPr>
                <w:rFonts w:ascii="Arial Narrow" w:eastAsia="Calibri" w:hAnsi="Arial Narrow" w:cs="Arial"/>
                <w:b/>
                <w:color w:val="00000A"/>
                <w:sz w:val="20"/>
              </w:rPr>
            </w:pPr>
            <w:r w:rsidRPr="003675E5">
              <w:rPr>
                <w:rFonts w:ascii="Arial Narrow" w:eastAsia="Calibri" w:hAnsi="Arial Narrow" w:cs="Arial"/>
                <w:b/>
                <w:color w:val="00000A"/>
                <w:sz w:val="20"/>
              </w:rPr>
              <w:t>Multivariate sensitivity analysis</w:t>
            </w:r>
          </w:p>
          <w:p w:rsidR="00767F3C" w:rsidRPr="003675E5" w:rsidRDefault="00767F3C" w:rsidP="006050B2">
            <w:pPr>
              <w:widowControl w:val="0"/>
              <w:spacing w:before="40" w:after="40" w:line="257" w:lineRule="auto"/>
              <w:ind w:left="284"/>
              <w:rPr>
                <w:rFonts w:ascii="Arial Narrow" w:eastAsia="Calibri" w:hAnsi="Arial Narrow" w:cs="Arial"/>
                <w:color w:val="00000A"/>
                <w:sz w:val="20"/>
              </w:rPr>
            </w:pPr>
            <w:r w:rsidRPr="003675E5">
              <w:rPr>
                <w:rFonts w:ascii="Arial Narrow" w:eastAsia="Calibri" w:hAnsi="Arial Narrow" w:cs="Arial"/>
                <w:color w:val="00000A"/>
                <w:sz w:val="20"/>
              </w:rPr>
              <w:t>50% reduction in hospitalisation costs ($10,716 per HAC if &lt;18 yrs) and halve probability of HACs in standard care arm (0.9 per year)</w:t>
            </w:r>
          </w:p>
        </w:tc>
        <w:tc>
          <w:tcPr>
            <w:tcW w:w="547" w:type="pct"/>
            <w:tcBorders>
              <w:top w:val="single" w:sz="4" w:space="0" w:color="auto"/>
              <w:left w:val="single" w:sz="4" w:space="0" w:color="auto"/>
              <w:bottom w:val="single" w:sz="4" w:space="0" w:color="auto"/>
              <w:right w:val="single" w:sz="4" w:space="0" w:color="auto"/>
            </w:tcBorders>
          </w:tcPr>
          <w:p w:rsidR="00767F3C" w:rsidRPr="007C25B9" w:rsidRDefault="00767F3C" w:rsidP="006050B2">
            <w:pPr>
              <w:widowControl w:val="0"/>
              <w:spacing w:before="40" w:after="40" w:line="257" w:lineRule="auto"/>
              <w:rPr>
                <w:rFonts w:ascii="Arial Narrow" w:eastAsia="Calibri" w:hAnsi="Arial Narrow" w:cs="Arial"/>
                <w:color w:val="00000A"/>
                <w:sz w:val="20"/>
              </w:rPr>
            </w:pPr>
          </w:p>
          <w:p w:rsidR="00767F3C" w:rsidRPr="007C25B9" w:rsidRDefault="007C25B9" w:rsidP="006050B2">
            <w:pPr>
              <w:widowControl w:val="0"/>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c>
          <w:tcPr>
            <w:tcW w:w="702" w:type="pct"/>
            <w:tcBorders>
              <w:top w:val="single" w:sz="4" w:space="0" w:color="auto"/>
              <w:left w:val="single" w:sz="4" w:space="0" w:color="auto"/>
              <w:bottom w:val="single" w:sz="4" w:space="0" w:color="auto"/>
              <w:right w:val="single" w:sz="4" w:space="0" w:color="auto"/>
            </w:tcBorders>
          </w:tcPr>
          <w:p w:rsidR="00767F3C" w:rsidRPr="003675E5" w:rsidRDefault="00767F3C" w:rsidP="006050B2">
            <w:pPr>
              <w:widowControl w:val="0"/>
              <w:spacing w:before="40" w:after="40" w:line="257" w:lineRule="auto"/>
              <w:rPr>
                <w:rFonts w:ascii="Arial Narrow" w:eastAsia="Calibri" w:hAnsi="Arial Narrow" w:cs="Arial"/>
                <w:color w:val="00000A"/>
                <w:sz w:val="20"/>
              </w:rPr>
            </w:pPr>
          </w:p>
          <w:p w:rsidR="00767F3C" w:rsidRPr="003675E5" w:rsidRDefault="00767F3C" w:rsidP="006050B2">
            <w:pPr>
              <w:widowControl w:val="0"/>
              <w:spacing w:before="40" w:after="40" w:line="257" w:lineRule="auto"/>
              <w:rPr>
                <w:rFonts w:ascii="Arial Narrow" w:eastAsia="Calibri" w:hAnsi="Arial Narrow" w:cs="Arial"/>
                <w:color w:val="00000A"/>
                <w:sz w:val="20"/>
              </w:rPr>
            </w:pPr>
            <w:r w:rsidRPr="003675E5">
              <w:rPr>
                <w:rFonts w:ascii="Arial Narrow" w:eastAsia="Calibri" w:hAnsi="Arial Narrow" w:cs="Arial"/>
                <w:color w:val="00000A"/>
                <w:sz w:val="20"/>
              </w:rPr>
              <w:t>0.29</w:t>
            </w:r>
          </w:p>
        </w:tc>
        <w:tc>
          <w:tcPr>
            <w:tcW w:w="614" w:type="pct"/>
            <w:tcBorders>
              <w:top w:val="single" w:sz="4" w:space="0" w:color="auto"/>
              <w:left w:val="single" w:sz="4" w:space="0" w:color="auto"/>
              <w:bottom w:val="single" w:sz="4" w:space="0" w:color="auto"/>
              <w:right w:val="single" w:sz="4" w:space="0" w:color="auto"/>
            </w:tcBorders>
          </w:tcPr>
          <w:p w:rsidR="00767F3C" w:rsidRPr="007C25B9" w:rsidRDefault="00767F3C" w:rsidP="006050B2">
            <w:pPr>
              <w:widowControl w:val="0"/>
              <w:spacing w:before="40" w:after="40" w:line="257" w:lineRule="auto"/>
              <w:rPr>
                <w:rFonts w:ascii="Arial Narrow" w:eastAsia="Calibri" w:hAnsi="Arial Narrow" w:cs="Arial"/>
                <w:color w:val="00000A"/>
                <w:sz w:val="20"/>
              </w:rPr>
            </w:pPr>
          </w:p>
          <w:p w:rsidR="00767F3C" w:rsidRPr="007C25B9" w:rsidRDefault="007C25B9" w:rsidP="006050B2">
            <w:pPr>
              <w:widowControl w:val="0"/>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r>
      <w:tr w:rsidR="00767F3C" w:rsidRPr="003675E5" w:rsidTr="006050B2">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rsidR="00767F3C" w:rsidRPr="003675E5" w:rsidRDefault="00767F3C" w:rsidP="00D648D5">
            <w:pPr>
              <w:keepNext/>
              <w:keepLines/>
              <w:widowControl w:val="0"/>
              <w:spacing w:before="40" w:after="40" w:line="257" w:lineRule="auto"/>
              <w:rPr>
                <w:rFonts w:ascii="Arial Narrow" w:eastAsia="Calibri" w:hAnsi="Arial Narrow" w:cs="Arial"/>
                <w:b/>
                <w:color w:val="00000A"/>
                <w:sz w:val="20"/>
              </w:rPr>
            </w:pPr>
            <w:r w:rsidRPr="003675E5">
              <w:rPr>
                <w:rFonts w:ascii="Arial Narrow" w:eastAsia="Calibri" w:hAnsi="Arial Narrow" w:cs="Arial"/>
                <w:b/>
                <w:color w:val="00000A"/>
                <w:sz w:val="20"/>
              </w:rPr>
              <w:t>Standard care versus natural history</w:t>
            </w:r>
          </w:p>
        </w:tc>
      </w:tr>
      <w:tr w:rsidR="00767F3C" w:rsidRPr="003675E5" w:rsidTr="004B57F5">
        <w:trPr>
          <w:cantSplit/>
        </w:trPr>
        <w:tc>
          <w:tcPr>
            <w:tcW w:w="3136" w:type="pct"/>
            <w:tcBorders>
              <w:top w:val="single" w:sz="4" w:space="0" w:color="auto"/>
              <w:left w:val="single" w:sz="4" w:space="0" w:color="auto"/>
              <w:bottom w:val="single" w:sz="4" w:space="0" w:color="auto"/>
              <w:right w:val="single" w:sz="4" w:space="0" w:color="auto"/>
            </w:tcBorders>
            <w:vAlign w:val="center"/>
          </w:tcPr>
          <w:p w:rsidR="00767F3C" w:rsidRPr="003675E5" w:rsidRDefault="00767F3C" w:rsidP="00D648D5">
            <w:pPr>
              <w:keepNext/>
              <w:keepLines/>
              <w:widowControl w:val="0"/>
              <w:spacing w:before="40" w:after="40" w:line="257" w:lineRule="auto"/>
              <w:rPr>
                <w:rFonts w:ascii="Arial Narrow" w:eastAsia="Calibri" w:hAnsi="Arial Narrow" w:cs="Arial"/>
                <w:color w:val="00000A"/>
                <w:sz w:val="20"/>
              </w:rPr>
            </w:pPr>
            <w:r w:rsidRPr="003675E5">
              <w:rPr>
                <w:rFonts w:ascii="Arial Narrow" w:eastAsia="Calibri" w:hAnsi="Arial Narrow" w:cs="Arial"/>
                <w:b/>
                <w:color w:val="00000A"/>
                <w:sz w:val="20"/>
              </w:rPr>
              <w:t>Base case</w:t>
            </w:r>
          </w:p>
        </w:tc>
        <w:tc>
          <w:tcPr>
            <w:tcW w:w="547" w:type="pct"/>
            <w:tcBorders>
              <w:top w:val="single" w:sz="4" w:space="0" w:color="auto"/>
              <w:left w:val="single" w:sz="4" w:space="0" w:color="auto"/>
              <w:bottom w:val="single" w:sz="4" w:space="0" w:color="auto"/>
              <w:right w:val="single" w:sz="4" w:space="0" w:color="auto"/>
            </w:tcBorders>
            <w:vAlign w:val="center"/>
          </w:tcPr>
          <w:p w:rsidR="00767F3C" w:rsidRPr="007C25B9" w:rsidRDefault="007C25B9" w:rsidP="00D648D5">
            <w:pPr>
              <w:keepNext/>
              <w:keepLines/>
              <w:widowControl w:val="0"/>
              <w:spacing w:before="40" w:after="40" w:line="257" w:lineRule="auto"/>
              <w:rPr>
                <w:rFonts w:ascii="Arial Narrow" w:eastAsia="Calibri" w:hAnsi="Arial Narrow" w:cs="Arial"/>
                <w:b/>
                <w:color w:val="00000A"/>
                <w:sz w:val="20"/>
                <w:highlight w:val="black"/>
              </w:rPr>
            </w:pPr>
            <w:r>
              <w:rPr>
                <w:rFonts w:ascii="Arial Narrow" w:eastAsia="Calibri" w:hAnsi="Arial Narrow" w:cs="Arial"/>
                <w:b/>
                <w:noProof/>
                <w:color w:val="000000"/>
                <w:sz w:val="20"/>
                <w:highlight w:val="black"/>
              </w:rPr>
              <w:t>''''''''''''''''</w:t>
            </w:r>
          </w:p>
        </w:tc>
        <w:tc>
          <w:tcPr>
            <w:tcW w:w="702" w:type="pct"/>
            <w:tcBorders>
              <w:top w:val="single" w:sz="4" w:space="0" w:color="auto"/>
              <w:left w:val="single" w:sz="4" w:space="0" w:color="auto"/>
              <w:bottom w:val="single" w:sz="4" w:space="0" w:color="auto"/>
              <w:right w:val="single" w:sz="4" w:space="0" w:color="auto"/>
            </w:tcBorders>
            <w:vAlign w:val="center"/>
          </w:tcPr>
          <w:p w:rsidR="00767F3C" w:rsidRPr="003675E5" w:rsidRDefault="00767F3C" w:rsidP="00D648D5">
            <w:pPr>
              <w:keepNext/>
              <w:keepLines/>
              <w:widowControl w:val="0"/>
              <w:spacing w:before="40" w:after="40" w:line="257" w:lineRule="auto"/>
              <w:rPr>
                <w:rFonts w:ascii="Arial Narrow" w:eastAsia="Calibri" w:hAnsi="Arial Narrow" w:cs="Arial"/>
                <w:b/>
                <w:color w:val="00000A"/>
                <w:sz w:val="20"/>
              </w:rPr>
            </w:pPr>
            <w:r w:rsidRPr="003675E5">
              <w:rPr>
                <w:rFonts w:ascii="Arial Narrow" w:eastAsia="Calibri" w:hAnsi="Arial Narrow" w:cs="Arial"/>
                <w:b/>
                <w:color w:val="00000A"/>
                <w:sz w:val="20"/>
              </w:rPr>
              <w:t>1.33</w:t>
            </w:r>
          </w:p>
        </w:tc>
        <w:tc>
          <w:tcPr>
            <w:tcW w:w="614" w:type="pct"/>
            <w:tcBorders>
              <w:top w:val="single" w:sz="4" w:space="0" w:color="auto"/>
              <w:left w:val="single" w:sz="4" w:space="0" w:color="auto"/>
              <w:bottom w:val="single" w:sz="4" w:space="0" w:color="auto"/>
              <w:right w:val="single" w:sz="4" w:space="0" w:color="auto"/>
            </w:tcBorders>
            <w:vAlign w:val="center"/>
          </w:tcPr>
          <w:p w:rsidR="00767F3C" w:rsidRPr="007C25B9" w:rsidRDefault="007C25B9" w:rsidP="00D648D5">
            <w:pPr>
              <w:keepNext/>
              <w:keepLines/>
              <w:widowControl w:val="0"/>
              <w:spacing w:before="40" w:after="40" w:line="257" w:lineRule="auto"/>
              <w:rPr>
                <w:rFonts w:ascii="Arial Narrow" w:eastAsia="Calibri" w:hAnsi="Arial Narrow" w:cs="Arial"/>
                <w:b/>
                <w:color w:val="00000A"/>
                <w:sz w:val="20"/>
                <w:highlight w:val="black"/>
              </w:rPr>
            </w:pPr>
            <w:r>
              <w:rPr>
                <w:rFonts w:ascii="Arial Narrow" w:eastAsia="Calibri" w:hAnsi="Arial Narrow" w:cs="Arial"/>
                <w:b/>
                <w:noProof/>
                <w:color w:val="000000"/>
                <w:sz w:val="20"/>
                <w:highlight w:val="black"/>
              </w:rPr>
              <w:t>''''''''''''''''</w:t>
            </w:r>
          </w:p>
        </w:tc>
      </w:tr>
      <w:tr w:rsidR="00767F3C" w:rsidRPr="003675E5" w:rsidTr="004B57F5">
        <w:trPr>
          <w:cantSplit/>
        </w:trPr>
        <w:tc>
          <w:tcPr>
            <w:tcW w:w="3136" w:type="pct"/>
            <w:tcBorders>
              <w:top w:val="single" w:sz="4" w:space="0" w:color="auto"/>
              <w:left w:val="single" w:sz="4" w:space="0" w:color="auto"/>
              <w:bottom w:val="single" w:sz="4" w:space="0" w:color="auto"/>
              <w:right w:val="single" w:sz="4" w:space="0" w:color="auto"/>
            </w:tcBorders>
          </w:tcPr>
          <w:p w:rsidR="00767F3C" w:rsidRPr="003675E5" w:rsidRDefault="00767F3C" w:rsidP="00D648D5">
            <w:pPr>
              <w:keepNext/>
              <w:keepLines/>
              <w:widowControl w:val="0"/>
              <w:spacing w:before="40" w:after="40" w:line="257" w:lineRule="auto"/>
              <w:rPr>
                <w:rFonts w:ascii="Arial Narrow" w:eastAsia="Calibri" w:hAnsi="Arial Narrow" w:cs="Arial"/>
                <w:color w:val="00000A"/>
                <w:sz w:val="20"/>
              </w:rPr>
            </w:pPr>
            <w:r w:rsidRPr="003675E5">
              <w:rPr>
                <w:rFonts w:ascii="Arial Narrow" w:eastAsia="Calibri" w:hAnsi="Arial Narrow" w:cs="Arial"/>
                <w:color w:val="00000A"/>
                <w:sz w:val="20"/>
                <w:u w:val="single"/>
              </w:rPr>
              <w:t>Liver transplants</w:t>
            </w:r>
            <w:r w:rsidRPr="003675E5">
              <w:rPr>
                <w:rFonts w:ascii="Arial Narrow" w:eastAsia="Calibri" w:hAnsi="Arial Narrow" w:cs="Arial"/>
                <w:color w:val="00000A"/>
                <w:sz w:val="20"/>
              </w:rPr>
              <w:t xml:space="preserve"> (base case: 13% in standard care, 0% in natural history)</w:t>
            </w:r>
          </w:p>
          <w:p w:rsidR="00767F3C" w:rsidRPr="003675E5" w:rsidRDefault="00767F3C" w:rsidP="00D648D5">
            <w:pPr>
              <w:keepNext/>
              <w:keepLines/>
              <w:widowControl w:val="0"/>
              <w:spacing w:before="40" w:after="40" w:line="257" w:lineRule="auto"/>
              <w:ind w:left="284"/>
              <w:rPr>
                <w:rFonts w:ascii="Arial Narrow" w:eastAsia="Calibri" w:hAnsi="Arial Narrow" w:cs="Arial"/>
                <w:color w:val="00000A"/>
                <w:sz w:val="20"/>
                <w:vertAlign w:val="superscript"/>
              </w:rPr>
            </w:pPr>
            <w:r w:rsidRPr="003675E5">
              <w:rPr>
                <w:rFonts w:ascii="Arial Narrow" w:eastAsia="Calibri" w:hAnsi="Arial Narrow" w:cs="Arial"/>
                <w:color w:val="00000A"/>
                <w:sz w:val="20"/>
              </w:rPr>
              <w:t xml:space="preserve">13% in both </w:t>
            </w:r>
          </w:p>
          <w:p w:rsidR="00767F3C" w:rsidRPr="003675E5" w:rsidRDefault="00767F3C" w:rsidP="00D648D5">
            <w:pPr>
              <w:keepNext/>
              <w:keepLines/>
              <w:widowControl w:val="0"/>
              <w:spacing w:before="40" w:after="40" w:line="257" w:lineRule="auto"/>
              <w:ind w:left="284"/>
              <w:rPr>
                <w:rFonts w:ascii="Arial Narrow" w:eastAsia="Calibri" w:hAnsi="Arial Narrow" w:cs="Arial"/>
                <w:color w:val="00000A"/>
                <w:sz w:val="20"/>
              </w:rPr>
            </w:pPr>
            <w:r w:rsidRPr="003675E5">
              <w:rPr>
                <w:rFonts w:ascii="Arial Narrow" w:eastAsia="Calibri" w:hAnsi="Arial Narrow" w:cs="Arial"/>
                <w:color w:val="00000A"/>
                <w:sz w:val="20"/>
              </w:rPr>
              <w:t>0% in both</w:t>
            </w:r>
          </w:p>
        </w:tc>
        <w:tc>
          <w:tcPr>
            <w:tcW w:w="547" w:type="pct"/>
            <w:tcBorders>
              <w:top w:val="single" w:sz="4" w:space="0" w:color="auto"/>
              <w:left w:val="single" w:sz="4" w:space="0" w:color="auto"/>
              <w:bottom w:val="single" w:sz="4" w:space="0" w:color="auto"/>
              <w:right w:val="single" w:sz="4" w:space="0" w:color="auto"/>
            </w:tcBorders>
          </w:tcPr>
          <w:p w:rsidR="00767F3C" w:rsidRPr="007C25B9" w:rsidRDefault="00767F3C" w:rsidP="00D648D5">
            <w:pPr>
              <w:keepNext/>
              <w:keepLines/>
              <w:widowControl w:val="0"/>
              <w:spacing w:before="40" w:after="40" w:line="257" w:lineRule="auto"/>
              <w:rPr>
                <w:rFonts w:ascii="Arial Narrow" w:eastAsia="Calibri" w:hAnsi="Arial Narrow" w:cs="Arial"/>
                <w:color w:val="00000A"/>
                <w:sz w:val="20"/>
              </w:rPr>
            </w:pPr>
          </w:p>
          <w:p w:rsidR="00767F3C" w:rsidRPr="007C25B9" w:rsidRDefault="007C25B9" w:rsidP="00D648D5">
            <w:pPr>
              <w:keepNext/>
              <w:keepLines/>
              <w:widowControl w:val="0"/>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p w:rsidR="00767F3C" w:rsidRPr="007C25B9" w:rsidRDefault="007C25B9" w:rsidP="00D648D5">
            <w:pPr>
              <w:keepNext/>
              <w:keepLines/>
              <w:widowControl w:val="0"/>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c>
          <w:tcPr>
            <w:tcW w:w="702" w:type="pct"/>
            <w:tcBorders>
              <w:top w:val="single" w:sz="4" w:space="0" w:color="auto"/>
              <w:left w:val="single" w:sz="4" w:space="0" w:color="auto"/>
              <w:bottom w:val="single" w:sz="4" w:space="0" w:color="auto"/>
              <w:right w:val="single" w:sz="4" w:space="0" w:color="auto"/>
            </w:tcBorders>
          </w:tcPr>
          <w:p w:rsidR="00767F3C" w:rsidRPr="003675E5" w:rsidRDefault="00767F3C" w:rsidP="00D648D5">
            <w:pPr>
              <w:keepNext/>
              <w:keepLines/>
              <w:widowControl w:val="0"/>
              <w:spacing w:before="40" w:after="40" w:line="257" w:lineRule="auto"/>
              <w:rPr>
                <w:rFonts w:ascii="Arial Narrow" w:eastAsia="Calibri" w:hAnsi="Arial Narrow" w:cs="Arial"/>
                <w:color w:val="00000A"/>
                <w:sz w:val="20"/>
              </w:rPr>
            </w:pPr>
          </w:p>
          <w:p w:rsidR="00767F3C" w:rsidRPr="003675E5" w:rsidRDefault="00767F3C" w:rsidP="00D648D5">
            <w:pPr>
              <w:keepNext/>
              <w:keepLines/>
              <w:widowControl w:val="0"/>
              <w:spacing w:before="40" w:after="40" w:line="257" w:lineRule="auto"/>
              <w:rPr>
                <w:rFonts w:ascii="Arial Narrow" w:eastAsia="Calibri" w:hAnsi="Arial Narrow" w:cs="Arial"/>
                <w:color w:val="00000A"/>
                <w:sz w:val="20"/>
              </w:rPr>
            </w:pPr>
            <w:r w:rsidRPr="003675E5">
              <w:rPr>
                <w:rFonts w:ascii="Arial Narrow" w:eastAsia="Calibri" w:hAnsi="Arial Narrow" w:cs="Arial"/>
                <w:color w:val="00000A"/>
                <w:sz w:val="20"/>
              </w:rPr>
              <w:t>0.42</w:t>
            </w:r>
          </w:p>
          <w:p w:rsidR="00767F3C" w:rsidRPr="003675E5" w:rsidRDefault="00767F3C" w:rsidP="00D648D5">
            <w:pPr>
              <w:keepNext/>
              <w:keepLines/>
              <w:widowControl w:val="0"/>
              <w:spacing w:before="40" w:after="40" w:line="257" w:lineRule="auto"/>
              <w:rPr>
                <w:rFonts w:ascii="Arial Narrow" w:eastAsia="Calibri" w:hAnsi="Arial Narrow" w:cs="Arial"/>
                <w:color w:val="00000A"/>
                <w:sz w:val="20"/>
              </w:rPr>
            </w:pPr>
            <w:r w:rsidRPr="003675E5">
              <w:rPr>
                <w:rFonts w:ascii="Arial Narrow" w:eastAsia="Calibri" w:hAnsi="Arial Narrow" w:cs="Arial"/>
                <w:color w:val="00000A"/>
                <w:sz w:val="20"/>
              </w:rPr>
              <w:t>0.12</w:t>
            </w:r>
          </w:p>
        </w:tc>
        <w:tc>
          <w:tcPr>
            <w:tcW w:w="614" w:type="pct"/>
            <w:tcBorders>
              <w:top w:val="single" w:sz="4" w:space="0" w:color="auto"/>
              <w:left w:val="single" w:sz="4" w:space="0" w:color="auto"/>
              <w:bottom w:val="single" w:sz="4" w:space="0" w:color="auto"/>
              <w:right w:val="single" w:sz="4" w:space="0" w:color="auto"/>
            </w:tcBorders>
          </w:tcPr>
          <w:p w:rsidR="00767F3C" w:rsidRPr="007C25B9" w:rsidRDefault="00767F3C" w:rsidP="00D648D5">
            <w:pPr>
              <w:keepNext/>
              <w:keepLines/>
              <w:widowControl w:val="0"/>
              <w:spacing w:before="40" w:after="40" w:line="257" w:lineRule="auto"/>
              <w:rPr>
                <w:rFonts w:ascii="Arial Narrow" w:eastAsia="Calibri" w:hAnsi="Arial Narrow" w:cs="Arial"/>
                <w:color w:val="00000A"/>
                <w:sz w:val="20"/>
              </w:rPr>
            </w:pPr>
          </w:p>
          <w:p w:rsidR="00767F3C" w:rsidRPr="007C25B9" w:rsidRDefault="007C25B9" w:rsidP="00D648D5">
            <w:pPr>
              <w:keepNext/>
              <w:keepLines/>
              <w:widowControl w:val="0"/>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p w:rsidR="00767F3C" w:rsidRPr="007C25B9" w:rsidRDefault="007C25B9" w:rsidP="00D648D5">
            <w:pPr>
              <w:keepNext/>
              <w:keepLines/>
              <w:widowControl w:val="0"/>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r>
      <w:tr w:rsidR="00767F3C" w:rsidRPr="003675E5" w:rsidTr="004B57F5">
        <w:trPr>
          <w:cantSplit/>
        </w:trPr>
        <w:tc>
          <w:tcPr>
            <w:tcW w:w="3136" w:type="pct"/>
            <w:tcBorders>
              <w:top w:val="single" w:sz="4" w:space="0" w:color="auto"/>
              <w:left w:val="single" w:sz="4" w:space="0" w:color="auto"/>
              <w:bottom w:val="single" w:sz="4" w:space="0" w:color="auto"/>
              <w:right w:val="single" w:sz="4" w:space="0" w:color="auto"/>
            </w:tcBorders>
          </w:tcPr>
          <w:p w:rsidR="00767F3C" w:rsidRPr="003675E5" w:rsidRDefault="00767F3C" w:rsidP="006050B2">
            <w:pPr>
              <w:keepNext/>
              <w:spacing w:before="40" w:after="40" w:line="257" w:lineRule="auto"/>
              <w:rPr>
                <w:rFonts w:ascii="Arial Narrow" w:eastAsia="Calibri" w:hAnsi="Arial Narrow" w:cs="Arial"/>
                <w:color w:val="00000A"/>
                <w:sz w:val="20"/>
              </w:rPr>
            </w:pPr>
            <w:r w:rsidRPr="003675E5">
              <w:rPr>
                <w:rFonts w:ascii="Arial Narrow" w:eastAsia="Calibri" w:hAnsi="Arial Narrow" w:cs="Arial"/>
                <w:color w:val="00000A"/>
                <w:sz w:val="20"/>
                <w:u w:val="single"/>
              </w:rPr>
              <w:t xml:space="preserve">Number of HACs per patient </w:t>
            </w:r>
            <w:r w:rsidRPr="003675E5">
              <w:rPr>
                <w:rFonts w:ascii="Arial Narrow" w:eastAsia="Calibri" w:hAnsi="Arial Narrow" w:cs="Arial"/>
                <w:color w:val="00000A"/>
                <w:sz w:val="20"/>
              </w:rPr>
              <w:t>(base case: same in both arms at 1.8 per year)</w:t>
            </w:r>
          </w:p>
          <w:p w:rsidR="00767F3C" w:rsidRPr="003675E5" w:rsidRDefault="00767F3C" w:rsidP="00406D9F">
            <w:pPr>
              <w:widowControl w:val="0"/>
              <w:spacing w:before="40" w:after="40" w:line="257" w:lineRule="auto"/>
              <w:ind w:left="284"/>
              <w:rPr>
                <w:rFonts w:ascii="Arial Narrow" w:eastAsia="Calibri" w:hAnsi="Arial Narrow" w:cs="Arial"/>
                <w:color w:val="00000A"/>
                <w:sz w:val="20"/>
                <w:vertAlign w:val="superscript"/>
              </w:rPr>
            </w:pPr>
            <w:r w:rsidRPr="003675E5">
              <w:rPr>
                <w:rFonts w:ascii="Arial Narrow" w:eastAsia="Calibri" w:hAnsi="Arial Narrow" w:cs="Arial"/>
                <w:color w:val="00000A"/>
                <w:sz w:val="20"/>
              </w:rPr>
              <w:t xml:space="preserve">Increase </w:t>
            </w:r>
            <w:r w:rsidR="00406D9F" w:rsidRPr="003675E5">
              <w:rPr>
                <w:rFonts w:ascii="Arial Narrow" w:eastAsia="Calibri" w:hAnsi="Arial Narrow" w:cs="Arial"/>
                <w:color w:val="00000A"/>
                <w:sz w:val="20"/>
              </w:rPr>
              <w:t>to 2.2 HACs per year in n</w:t>
            </w:r>
            <w:r w:rsidRPr="003675E5">
              <w:rPr>
                <w:rFonts w:ascii="Arial Narrow" w:eastAsia="Calibri" w:hAnsi="Arial Narrow" w:cs="Arial"/>
                <w:color w:val="00000A"/>
                <w:sz w:val="20"/>
              </w:rPr>
              <w:t xml:space="preserve">atural </w:t>
            </w:r>
            <w:r w:rsidR="00406D9F" w:rsidRPr="003675E5">
              <w:rPr>
                <w:rFonts w:ascii="Arial Narrow" w:eastAsia="Calibri" w:hAnsi="Arial Narrow" w:cs="Arial"/>
                <w:color w:val="00000A"/>
                <w:sz w:val="20"/>
              </w:rPr>
              <w:t>h</w:t>
            </w:r>
            <w:r w:rsidRPr="003675E5">
              <w:rPr>
                <w:rFonts w:ascii="Arial Narrow" w:eastAsia="Calibri" w:hAnsi="Arial Narrow" w:cs="Arial"/>
                <w:color w:val="00000A"/>
                <w:sz w:val="20"/>
              </w:rPr>
              <w:t xml:space="preserve">istory arm </w:t>
            </w:r>
            <w:r w:rsidR="00406D9F" w:rsidRPr="003675E5">
              <w:rPr>
                <w:rFonts w:ascii="Arial Narrow" w:eastAsia="Calibri" w:hAnsi="Arial Narrow" w:cs="Arial"/>
                <w:color w:val="00000A"/>
                <w:sz w:val="20"/>
              </w:rPr>
              <w:t xml:space="preserve">only </w:t>
            </w:r>
            <w:r w:rsidRPr="003675E5">
              <w:rPr>
                <w:rFonts w:ascii="Arial Narrow" w:eastAsia="Calibri" w:hAnsi="Arial Narrow" w:cs="Arial"/>
                <w:color w:val="00000A"/>
                <w:sz w:val="20"/>
              </w:rPr>
              <w:t>(20% increase)</w:t>
            </w:r>
          </w:p>
        </w:tc>
        <w:tc>
          <w:tcPr>
            <w:tcW w:w="547" w:type="pct"/>
            <w:tcBorders>
              <w:top w:val="single" w:sz="4" w:space="0" w:color="auto"/>
              <w:left w:val="single" w:sz="4" w:space="0" w:color="auto"/>
              <w:bottom w:val="single" w:sz="4" w:space="0" w:color="auto"/>
              <w:right w:val="single" w:sz="4" w:space="0" w:color="auto"/>
            </w:tcBorders>
          </w:tcPr>
          <w:p w:rsidR="00767F3C" w:rsidRPr="007C25B9" w:rsidRDefault="00767F3C" w:rsidP="006050B2">
            <w:pPr>
              <w:widowControl w:val="0"/>
              <w:spacing w:before="40" w:after="40" w:line="257" w:lineRule="auto"/>
              <w:rPr>
                <w:rFonts w:ascii="Arial Narrow" w:eastAsia="Calibri" w:hAnsi="Arial Narrow" w:cs="Arial"/>
                <w:color w:val="00000A"/>
                <w:sz w:val="20"/>
              </w:rPr>
            </w:pPr>
          </w:p>
          <w:p w:rsidR="00767F3C" w:rsidRPr="007C25B9" w:rsidRDefault="007C25B9" w:rsidP="006050B2">
            <w:pPr>
              <w:widowControl w:val="0"/>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c>
          <w:tcPr>
            <w:tcW w:w="702" w:type="pct"/>
            <w:tcBorders>
              <w:top w:val="single" w:sz="4" w:space="0" w:color="auto"/>
              <w:left w:val="single" w:sz="4" w:space="0" w:color="auto"/>
              <w:bottom w:val="single" w:sz="4" w:space="0" w:color="auto"/>
              <w:right w:val="single" w:sz="4" w:space="0" w:color="auto"/>
            </w:tcBorders>
          </w:tcPr>
          <w:p w:rsidR="00767F3C" w:rsidRPr="003675E5" w:rsidRDefault="00767F3C" w:rsidP="006050B2">
            <w:pPr>
              <w:widowControl w:val="0"/>
              <w:spacing w:before="40" w:after="40" w:line="257" w:lineRule="auto"/>
              <w:rPr>
                <w:rFonts w:ascii="Arial Narrow" w:eastAsia="Calibri" w:hAnsi="Arial Narrow" w:cs="Arial"/>
                <w:color w:val="00000A"/>
                <w:sz w:val="20"/>
              </w:rPr>
            </w:pPr>
          </w:p>
          <w:p w:rsidR="00767F3C" w:rsidRPr="003675E5" w:rsidRDefault="00767F3C" w:rsidP="006050B2">
            <w:pPr>
              <w:widowControl w:val="0"/>
              <w:spacing w:before="40" w:after="40" w:line="257" w:lineRule="auto"/>
              <w:rPr>
                <w:rFonts w:ascii="Arial Narrow" w:eastAsia="Calibri" w:hAnsi="Arial Narrow" w:cs="Arial"/>
                <w:color w:val="00000A"/>
                <w:sz w:val="20"/>
              </w:rPr>
            </w:pPr>
            <w:r w:rsidRPr="003675E5">
              <w:rPr>
                <w:rFonts w:ascii="Arial Narrow" w:eastAsia="Calibri" w:hAnsi="Arial Narrow" w:cs="Arial"/>
                <w:color w:val="00000A"/>
                <w:sz w:val="20"/>
              </w:rPr>
              <w:t>1.41</w:t>
            </w:r>
          </w:p>
        </w:tc>
        <w:tc>
          <w:tcPr>
            <w:tcW w:w="614" w:type="pct"/>
            <w:tcBorders>
              <w:top w:val="single" w:sz="4" w:space="0" w:color="auto"/>
              <w:left w:val="single" w:sz="4" w:space="0" w:color="auto"/>
              <w:bottom w:val="single" w:sz="4" w:space="0" w:color="auto"/>
              <w:right w:val="single" w:sz="4" w:space="0" w:color="auto"/>
            </w:tcBorders>
          </w:tcPr>
          <w:p w:rsidR="00767F3C" w:rsidRPr="007C25B9" w:rsidRDefault="00767F3C" w:rsidP="006050B2">
            <w:pPr>
              <w:widowControl w:val="0"/>
              <w:spacing w:before="40" w:after="40" w:line="257" w:lineRule="auto"/>
              <w:rPr>
                <w:rFonts w:ascii="Arial Narrow" w:eastAsia="Calibri" w:hAnsi="Arial Narrow" w:cs="Arial"/>
                <w:color w:val="00000A"/>
                <w:sz w:val="20"/>
              </w:rPr>
            </w:pPr>
          </w:p>
          <w:p w:rsidR="00767F3C" w:rsidRPr="007C25B9" w:rsidRDefault="007C25B9" w:rsidP="006050B2">
            <w:pPr>
              <w:widowControl w:val="0"/>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r>
      <w:tr w:rsidR="00767F3C" w:rsidRPr="003675E5" w:rsidTr="004B57F5">
        <w:trPr>
          <w:cantSplit/>
        </w:trPr>
        <w:tc>
          <w:tcPr>
            <w:tcW w:w="3136" w:type="pct"/>
            <w:tcBorders>
              <w:top w:val="single" w:sz="4" w:space="0" w:color="auto"/>
              <w:left w:val="single" w:sz="4" w:space="0" w:color="auto"/>
              <w:bottom w:val="single" w:sz="4" w:space="0" w:color="auto"/>
              <w:right w:val="single" w:sz="4" w:space="0" w:color="auto"/>
            </w:tcBorders>
          </w:tcPr>
          <w:p w:rsidR="00767F3C" w:rsidRPr="003675E5" w:rsidRDefault="00767F3C" w:rsidP="006050B2">
            <w:pPr>
              <w:widowControl w:val="0"/>
              <w:spacing w:before="40" w:after="40" w:line="257" w:lineRule="auto"/>
              <w:rPr>
                <w:rFonts w:ascii="Arial Narrow" w:eastAsia="Calibri" w:hAnsi="Arial Narrow" w:cs="Arial"/>
                <w:b/>
                <w:color w:val="00000A"/>
                <w:sz w:val="20"/>
              </w:rPr>
            </w:pPr>
            <w:r w:rsidRPr="003675E5">
              <w:rPr>
                <w:rFonts w:ascii="Arial Narrow" w:eastAsia="Calibri" w:hAnsi="Arial Narrow" w:cs="Arial"/>
                <w:b/>
                <w:color w:val="00000A"/>
                <w:sz w:val="20"/>
              </w:rPr>
              <w:t>Multivariate sensitivity analyses</w:t>
            </w:r>
          </w:p>
          <w:p w:rsidR="00767F3C" w:rsidRPr="003675E5" w:rsidRDefault="00767F3C" w:rsidP="006050B2">
            <w:pPr>
              <w:widowControl w:val="0"/>
              <w:spacing w:before="40" w:after="40" w:line="257" w:lineRule="auto"/>
              <w:ind w:left="284"/>
              <w:rPr>
                <w:rFonts w:ascii="Arial Narrow" w:eastAsia="Calibri" w:hAnsi="Arial Narrow" w:cs="Arial"/>
                <w:color w:val="00000A"/>
                <w:sz w:val="20"/>
              </w:rPr>
            </w:pPr>
            <w:r w:rsidRPr="003675E5">
              <w:rPr>
                <w:rFonts w:ascii="Arial Narrow" w:eastAsia="Calibri" w:hAnsi="Arial Narrow" w:cs="Arial"/>
                <w:color w:val="00000A"/>
                <w:sz w:val="20"/>
              </w:rPr>
              <w:t>Liver transplant 13% in both arms plus increase in HACs to 2.2 (20% increase) in Natural History arm only</w:t>
            </w:r>
          </w:p>
        </w:tc>
        <w:tc>
          <w:tcPr>
            <w:tcW w:w="547" w:type="pct"/>
            <w:tcBorders>
              <w:top w:val="single" w:sz="4" w:space="0" w:color="auto"/>
              <w:left w:val="single" w:sz="4" w:space="0" w:color="auto"/>
              <w:bottom w:val="single" w:sz="4" w:space="0" w:color="auto"/>
              <w:right w:val="single" w:sz="4" w:space="0" w:color="auto"/>
            </w:tcBorders>
          </w:tcPr>
          <w:p w:rsidR="00767F3C" w:rsidRPr="007C25B9" w:rsidRDefault="00767F3C" w:rsidP="006050B2">
            <w:pPr>
              <w:widowControl w:val="0"/>
              <w:spacing w:before="40" w:after="40" w:line="257" w:lineRule="auto"/>
              <w:rPr>
                <w:rFonts w:ascii="Arial Narrow" w:eastAsia="Calibri" w:hAnsi="Arial Narrow" w:cs="Arial"/>
                <w:color w:val="00000A"/>
                <w:sz w:val="20"/>
              </w:rPr>
            </w:pPr>
          </w:p>
          <w:p w:rsidR="00767F3C" w:rsidRPr="007C25B9" w:rsidRDefault="007C25B9" w:rsidP="006050B2">
            <w:pPr>
              <w:widowControl w:val="0"/>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c>
          <w:tcPr>
            <w:tcW w:w="702" w:type="pct"/>
            <w:tcBorders>
              <w:top w:val="single" w:sz="4" w:space="0" w:color="auto"/>
              <w:left w:val="single" w:sz="4" w:space="0" w:color="auto"/>
              <w:bottom w:val="single" w:sz="4" w:space="0" w:color="auto"/>
              <w:right w:val="single" w:sz="4" w:space="0" w:color="auto"/>
            </w:tcBorders>
          </w:tcPr>
          <w:p w:rsidR="00767F3C" w:rsidRPr="003675E5" w:rsidRDefault="00767F3C" w:rsidP="006050B2">
            <w:pPr>
              <w:widowControl w:val="0"/>
              <w:spacing w:before="40" w:after="40" w:line="257" w:lineRule="auto"/>
              <w:rPr>
                <w:rFonts w:ascii="Arial Narrow" w:eastAsia="Calibri" w:hAnsi="Arial Narrow" w:cs="Arial"/>
                <w:color w:val="00000A"/>
                <w:sz w:val="20"/>
              </w:rPr>
            </w:pPr>
          </w:p>
          <w:p w:rsidR="00767F3C" w:rsidRPr="003675E5" w:rsidRDefault="00767F3C" w:rsidP="006050B2">
            <w:pPr>
              <w:widowControl w:val="0"/>
              <w:spacing w:before="40" w:after="40" w:line="257" w:lineRule="auto"/>
              <w:rPr>
                <w:rFonts w:ascii="Arial Narrow" w:eastAsia="Calibri" w:hAnsi="Arial Narrow" w:cs="Arial"/>
                <w:color w:val="00000A"/>
                <w:sz w:val="20"/>
              </w:rPr>
            </w:pPr>
            <w:r w:rsidRPr="003675E5">
              <w:rPr>
                <w:rFonts w:ascii="Arial Narrow" w:eastAsia="Calibri" w:hAnsi="Arial Narrow" w:cs="Arial"/>
                <w:color w:val="00000A"/>
                <w:sz w:val="20"/>
              </w:rPr>
              <w:t>0.50</w:t>
            </w:r>
          </w:p>
        </w:tc>
        <w:tc>
          <w:tcPr>
            <w:tcW w:w="614" w:type="pct"/>
            <w:tcBorders>
              <w:top w:val="single" w:sz="4" w:space="0" w:color="auto"/>
              <w:left w:val="single" w:sz="4" w:space="0" w:color="auto"/>
              <w:bottom w:val="single" w:sz="4" w:space="0" w:color="auto"/>
              <w:right w:val="single" w:sz="4" w:space="0" w:color="auto"/>
            </w:tcBorders>
          </w:tcPr>
          <w:p w:rsidR="00767F3C" w:rsidRPr="007C25B9" w:rsidRDefault="00767F3C" w:rsidP="006050B2">
            <w:pPr>
              <w:widowControl w:val="0"/>
              <w:spacing w:before="40" w:after="40" w:line="257" w:lineRule="auto"/>
              <w:rPr>
                <w:rFonts w:ascii="Arial Narrow" w:eastAsia="Calibri" w:hAnsi="Arial Narrow" w:cs="Arial"/>
                <w:color w:val="00000A"/>
                <w:sz w:val="20"/>
              </w:rPr>
            </w:pPr>
          </w:p>
          <w:p w:rsidR="00767F3C" w:rsidRPr="007C25B9" w:rsidRDefault="007C25B9" w:rsidP="006050B2">
            <w:pPr>
              <w:widowControl w:val="0"/>
              <w:spacing w:before="40" w:after="40" w:line="257" w:lineRule="auto"/>
              <w:rPr>
                <w:rFonts w:ascii="Arial Narrow" w:eastAsia="Calibri" w:hAnsi="Arial Narrow" w:cs="Arial"/>
                <w:color w:val="00000A"/>
                <w:sz w:val="20"/>
                <w:highlight w:val="black"/>
              </w:rPr>
            </w:pPr>
            <w:r>
              <w:rPr>
                <w:rFonts w:ascii="Arial Narrow" w:eastAsia="Calibri" w:hAnsi="Arial Narrow" w:cs="Arial"/>
                <w:noProof/>
                <w:color w:val="000000"/>
                <w:sz w:val="20"/>
                <w:highlight w:val="black"/>
              </w:rPr>
              <w:t>'''''''''''''''''''</w:t>
            </w:r>
          </w:p>
        </w:tc>
      </w:tr>
    </w:tbl>
    <w:p w:rsidR="00767F3C" w:rsidRPr="003675E5" w:rsidRDefault="00767F3C" w:rsidP="00767F3C">
      <w:pPr>
        <w:pStyle w:val="TableFooter"/>
        <w:rPr>
          <w:rFonts w:eastAsia="Calibri"/>
        </w:rPr>
      </w:pPr>
      <w:r w:rsidRPr="003675E5">
        <w:rPr>
          <w:rFonts w:eastAsia="Calibri"/>
        </w:rPr>
        <w:t xml:space="preserve">Source: Constructed during evaluation; Ital = sensitivity analyses conducted during evaluation  </w:t>
      </w:r>
    </w:p>
    <w:p w:rsidR="00767F3C" w:rsidRDefault="00767F3C" w:rsidP="00767F3C">
      <w:pPr>
        <w:pStyle w:val="TableFooter"/>
        <w:rPr>
          <w:rFonts w:eastAsia="Calibri"/>
        </w:rPr>
      </w:pPr>
      <w:r w:rsidRPr="003675E5">
        <w:rPr>
          <w:rFonts w:eastAsia="Calibri"/>
        </w:rPr>
        <w:t>AR-DRG = Australian refined diagnosis-related groups; avg = average; HAC = hyperammonemic crisis; ICER = incremental cost effectiveness ratio; NaBz = sodium benzoate; NaPb = sodium phenylbutyrate; pt = patient</w:t>
      </w:r>
    </w:p>
    <w:p w:rsidR="00716E1E" w:rsidRPr="00716E1E" w:rsidRDefault="00716E1E" w:rsidP="00767F3C">
      <w:pPr>
        <w:pStyle w:val="TableFooter"/>
        <w:rPr>
          <w:rFonts w:eastAsia="Calibri"/>
        </w:rPr>
      </w:pPr>
      <w:r>
        <w:rPr>
          <w:rFonts w:eastAsia="Calibri"/>
          <w:vertAlign w:val="superscript"/>
        </w:rPr>
        <w:t>a</w:t>
      </w:r>
      <w:r>
        <w:rPr>
          <w:rFonts w:eastAsia="Calibri"/>
        </w:rPr>
        <w:t xml:space="preserve"> Based on price proposed in the submission </w:t>
      </w:r>
      <w:r w:rsidRPr="00716E1E">
        <w:rPr>
          <w:rFonts w:eastAsia="Calibri"/>
        </w:rPr>
        <w:t>(rather than the reduced price proposed in the Pre-PBAC response)</w:t>
      </w:r>
      <w:r>
        <w:rPr>
          <w:rFonts w:eastAsia="Calibri"/>
        </w:rPr>
        <w:t>.</w:t>
      </w:r>
    </w:p>
    <w:p w:rsidR="00F21171" w:rsidRDefault="00F21171" w:rsidP="00E6088B">
      <w:pPr>
        <w:ind w:left="576" w:hanging="576"/>
      </w:pPr>
      <w:r w:rsidRPr="00A4327D">
        <w:t xml:space="preserve">The redacted table shows ICERs in the range of </w:t>
      </w:r>
      <w:r>
        <w:t>‘dominant’ to more than $200,000/QALY</w:t>
      </w:r>
    </w:p>
    <w:p w:rsidR="00A17005" w:rsidRPr="003675E5" w:rsidRDefault="006D7761" w:rsidP="00881F91">
      <w:pPr>
        <w:pStyle w:val="ListParagraph"/>
      </w:pPr>
      <w:r w:rsidRPr="003675E5">
        <w:t xml:space="preserve">For the comparison of </w:t>
      </w:r>
      <w:r w:rsidRPr="003675E5">
        <w:rPr>
          <w:rFonts w:ascii="Calibri" w:eastAsia="Calibri" w:hAnsi="Calibri" w:cs="Arial"/>
        </w:rPr>
        <w:t>coated NaPb versus standard care, t</w:t>
      </w:r>
      <w:r w:rsidRPr="003675E5">
        <w:t>he model was most sensitive to changes in the number of HACs per patient, the cost of hospitalisations for HACs and the dose</w:t>
      </w:r>
      <w:r w:rsidR="00851366" w:rsidRPr="003675E5">
        <w:t>/cost</w:t>
      </w:r>
      <w:r w:rsidRPr="003675E5">
        <w:t xml:space="preserve"> of NaPb (all favoured coated NaPb). For standard care versus natural history, the key drivers of the model were the rate of liver transplants and the number of HACs per patient.</w:t>
      </w:r>
    </w:p>
    <w:p w:rsidR="00C317F3" w:rsidRPr="0047765E" w:rsidRDefault="00C317F3" w:rsidP="00772501">
      <w:pPr>
        <w:pStyle w:val="Heading2"/>
        <w:rPr>
          <w:b w:val="0"/>
          <w:i w:val="0"/>
          <w:sz w:val="24"/>
          <w:szCs w:val="24"/>
        </w:rPr>
      </w:pPr>
      <w:bookmarkStart w:id="29" w:name="_Toc493064833"/>
      <w:r w:rsidRPr="003675E5">
        <w:rPr>
          <w:i w:val="0"/>
        </w:rPr>
        <w:t>Drug cost/patient</w:t>
      </w:r>
      <w:r w:rsidR="009B0DD7" w:rsidRPr="003675E5">
        <w:rPr>
          <w:i w:val="0"/>
        </w:rPr>
        <w:t>/year: $</w:t>
      </w:r>
      <w:r w:rsidR="007C25B9">
        <w:rPr>
          <w:i w:val="0"/>
          <w:noProof/>
          <w:color w:val="000000"/>
          <w:highlight w:val="black"/>
        </w:rPr>
        <w:t>''''''''''''</w:t>
      </w:r>
      <w:r w:rsidR="00A93895">
        <w:rPr>
          <w:i w:val="0"/>
        </w:rPr>
        <w:t xml:space="preserve"> </w:t>
      </w:r>
      <w:r w:rsidR="00A93895" w:rsidRPr="0047765E">
        <w:rPr>
          <w:b w:val="0"/>
          <w:i w:val="0"/>
          <w:sz w:val="24"/>
          <w:szCs w:val="24"/>
        </w:rPr>
        <w:t>(based on price proposed in Pre-PBAC response)</w:t>
      </w:r>
      <w:bookmarkEnd w:id="0"/>
      <w:bookmarkEnd w:id="29"/>
    </w:p>
    <w:p w:rsidR="009B0DD7" w:rsidRPr="003675E5" w:rsidRDefault="009B0DD7" w:rsidP="00881F91">
      <w:pPr>
        <w:pStyle w:val="ListParagraph"/>
      </w:pPr>
      <w:r w:rsidRPr="003675E5">
        <w:t>The average cost of coated NaPb was based on</w:t>
      </w:r>
      <w:r w:rsidR="00B6586D" w:rsidRPr="003675E5">
        <w:t>:</w:t>
      </w:r>
      <w:r w:rsidRPr="003675E5">
        <w:t xml:space="preserve"> the average dose used in Kibleur 2014 </w:t>
      </w:r>
      <w:r w:rsidR="00B6586D" w:rsidRPr="003675E5">
        <w:t>of</w:t>
      </w:r>
      <w:r w:rsidRPr="003675E5">
        <w:t xml:space="preserve"> 5.26 g per day</w:t>
      </w:r>
      <w:r w:rsidR="00B6586D" w:rsidRPr="003675E5">
        <w:t>;</w:t>
      </w:r>
      <w:r w:rsidRPr="003675E5">
        <w:t xml:space="preserve"> and the </w:t>
      </w:r>
      <w:r w:rsidR="004A34E0" w:rsidRPr="004A34E0">
        <w:t xml:space="preserve">dispensed price for maximum quantity </w:t>
      </w:r>
      <w:r w:rsidRPr="003675E5">
        <w:t xml:space="preserve">proposed in the </w:t>
      </w:r>
      <w:r w:rsidR="004A34E0">
        <w:t>Pre-PBAC response</w:t>
      </w:r>
      <w:r w:rsidR="004A34E0" w:rsidRPr="003675E5">
        <w:t xml:space="preserve"> </w:t>
      </w:r>
      <w:r w:rsidRPr="003675E5">
        <w:t>of $</w:t>
      </w:r>
      <w:r w:rsidR="007C25B9">
        <w:rPr>
          <w:noProof/>
          <w:color w:val="000000"/>
          <w:highlight w:val="black"/>
        </w:rPr>
        <w:t>'''''''''''''''</w:t>
      </w:r>
      <w:r w:rsidR="001D70B4">
        <w:t xml:space="preserve"> </w:t>
      </w:r>
      <w:r w:rsidRPr="003675E5">
        <w:t xml:space="preserve">per pack with </w:t>
      </w:r>
      <w:r w:rsidR="004A34E0">
        <w:t>168</w:t>
      </w:r>
      <w:r w:rsidRPr="003675E5">
        <w:t xml:space="preserve"> g of active drug ($</w:t>
      </w:r>
      <w:r w:rsidR="007C25B9">
        <w:rPr>
          <w:noProof/>
          <w:color w:val="000000"/>
          <w:highlight w:val="black"/>
        </w:rPr>
        <w:t>'''''''''''</w:t>
      </w:r>
      <w:r w:rsidRPr="003675E5">
        <w:t xml:space="preserve">/g). </w:t>
      </w:r>
      <w:r w:rsidR="00B6586D" w:rsidRPr="003675E5">
        <w:t>This cost does not include compliance or</w:t>
      </w:r>
      <w:r w:rsidRPr="003675E5">
        <w:t xml:space="preserve"> wastage </w:t>
      </w:r>
      <w:r w:rsidR="00B6586D" w:rsidRPr="003675E5">
        <w:t xml:space="preserve">assumptions. </w:t>
      </w:r>
      <w:r w:rsidRPr="003675E5">
        <w:t>Treatment is life</w:t>
      </w:r>
      <w:r w:rsidR="00EF62B3" w:rsidRPr="003675E5">
        <w:t>-long</w:t>
      </w:r>
      <w:r w:rsidRPr="003675E5">
        <w:t xml:space="preserve">. </w:t>
      </w:r>
    </w:p>
    <w:p w:rsidR="009B0DD7" w:rsidRPr="003675E5" w:rsidRDefault="009B0DD7" w:rsidP="00881F91">
      <w:pPr>
        <w:pStyle w:val="ListParagraph"/>
      </w:pPr>
      <w:r w:rsidRPr="003675E5">
        <w:t>The average cost of potential comparators would be:</w:t>
      </w:r>
    </w:p>
    <w:p w:rsidR="009B0DD7" w:rsidRPr="003675E5" w:rsidRDefault="00914EB6" w:rsidP="001D70B4">
      <w:pPr>
        <w:pStyle w:val="ListParagraph"/>
        <w:numPr>
          <w:ilvl w:val="0"/>
          <w:numId w:val="7"/>
        </w:numPr>
      </w:pPr>
      <w:r w:rsidRPr="003675E5">
        <w:t>U</w:t>
      </w:r>
      <w:r w:rsidR="009B0DD7" w:rsidRPr="003675E5">
        <w:t>ncoated NaPb tablets: $33,790 (based on: $17.60/g)</w:t>
      </w:r>
      <w:r w:rsidR="00F13A16" w:rsidRPr="003675E5">
        <w:t xml:space="preserve">. Thus the proposed price of coated NaPb was </w:t>
      </w:r>
      <w:r w:rsidR="007C25B9">
        <w:rPr>
          <w:noProof/>
          <w:color w:val="000000"/>
          <w:highlight w:val="black"/>
        </w:rPr>
        <w:t>'''''</w:t>
      </w:r>
      <w:r w:rsidR="00F13A16" w:rsidRPr="003675E5">
        <w:t>% higher than the uncoated tablets.</w:t>
      </w:r>
    </w:p>
    <w:p w:rsidR="009B0DD7" w:rsidRPr="003675E5" w:rsidRDefault="00914EB6" w:rsidP="001D70B4">
      <w:pPr>
        <w:pStyle w:val="ListParagraph"/>
        <w:numPr>
          <w:ilvl w:val="0"/>
          <w:numId w:val="7"/>
        </w:numPr>
      </w:pPr>
      <w:r w:rsidRPr="003675E5">
        <w:t>U</w:t>
      </w:r>
      <w:r w:rsidR="009B0DD7" w:rsidRPr="003675E5">
        <w:t xml:space="preserve">ncoated NaPb powder: $9,120 (based on: $4.75/g). </w:t>
      </w:r>
      <w:r w:rsidR="00B6586D" w:rsidRPr="003675E5">
        <w:t>Th</w:t>
      </w:r>
      <w:r w:rsidR="009B0DD7" w:rsidRPr="003675E5">
        <w:t xml:space="preserve">e cost of the powder was used in the economic model. </w:t>
      </w:r>
      <w:r w:rsidR="00B6586D" w:rsidRPr="003675E5">
        <w:t>Note that</w:t>
      </w:r>
      <w:r w:rsidR="00F13A16" w:rsidRPr="003675E5">
        <w:t xml:space="preserve"> this did not include any costs associated with compounding. </w:t>
      </w:r>
    </w:p>
    <w:p w:rsidR="009B0DD7" w:rsidRPr="003675E5" w:rsidRDefault="009B0DD7" w:rsidP="001D70B4">
      <w:pPr>
        <w:pStyle w:val="ListParagraph"/>
        <w:numPr>
          <w:ilvl w:val="0"/>
          <w:numId w:val="7"/>
        </w:numPr>
      </w:pPr>
      <w:r w:rsidRPr="003675E5">
        <w:t>NaBz tablets</w:t>
      </w:r>
      <w:r w:rsidR="00F13A16" w:rsidRPr="003675E5">
        <w:t xml:space="preserve"> are</w:t>
      </w:r>
      <w:r w:rsidRPr="003675E5">
        <w:t xml:space="preserve"> $</w:t>
      </w:r>
      <w:r w:rsidR="00F13A16" w:rsidRPr="003675E5">
        <w:t>1.10</w:t>
      </w:r>
      <w:r w:rsidRPr="003675E5">
        <w:t>/g</w:t>
      </w:r>
      <w:r w:rsidR="00F13A16" w:rsidRPr="003675E5">
        <w:t xml:space="preserve">. The equi-effective doses were not discussed in the submission so an average cost could not be determined. </w:t>
      </w:r>
    </w:p>
    <w:p w:rsidR="00577377" w:rsidRPr="003675E5" w:rsidRDefault="00577377" w:rsidP="00881F91">
      <w:pPr>
        <w:pStyle w:val="ListParagraph"/>
      </w:pPr>
      <w:r w:rsidRPr="003675E5">
        <w:t>The ESC noted that the direct costs associated with coated NaPb, uncoated NaPb and NaBz were unable to be verified during the evaluation.</w:t>
      </w:r>
    </w:p>
    <w:p w:rsidR="00C317F3" w:rsidRPr="003675E5" w:rsidRDefault="00C317F3" w:rsidP="00772501">
      <w:pPr>
        <w:pStyle w:val="Heading2"/>
        <w:rPr>
          <w:i w:val="0"/>
        </w:rPr>
      </w:pPr>
      <w:bookmarkStart w:id="30" w:name="_Toc413139284"/>
      <w:bookmarkStart w:id="31" w:name="_Toc493064834"/>
      <w:r w:rsidRPr="003675E5">
        <w:rPr>
          <w:i w:val="0"/>
        </w:rPr>
        <w:t>Estimated PBS usage &amp; financial implications</w:t>
      </w:r>
      <w:bookmarkEnd w:id="30"/>
      <w:bookmarkEnd w:id="31"/>
    </w:p>
    <w:p w:rsidR="006D7761" w:rsidRPr="003675E5" w:rsidRDefault="006D7761" w:rsidP="00881F91">
      <w:pPr>
        <w:pStyle w:val="ListParagraph"/>
      </w:pPr>
      <w:bookmarkStart w:id="32" w:name="_Toc413139285"/>
      <w:r w:rsidRPr="003675E5">
        <w:t>This submission w</w:t>
      </w:r>
      <w:r w:rsidR="00056A00" w:rsidRPr="003675E5">
        <w:t>as</w:t>
      </w:r>
      <w:r w:rsidRPr="003675E5">
        <w:t xml:space="preserve"> not considered by DUSC.  </w:t>
      </w:r>
    </w:p>
    <w:p w:rsidR="0037380E" w:rsidRPr="003675E5" w:rsidRDefault="0037380E" w:rsidP="00881F91">
      <w:pPr>
        <w:pStyle w:val="ListParagraph"/>
      </w:pPr>
      <w:r w:rsidRPr="003675E5">
        <w:t xml:space="preserve">The submission used a mixed epidemiological and market share approach to estimate the number of patients who would be treated with coated NaPb. Market share assumptions were applied to account for both the market share of NaPb within the ammonia scavenger market and also the share of coated NaPb in the total NaPb market. The submission assumed that the current drug costs for ammonia scavengers, which are not TGA-registered, are currently paid by hospital budgets. </w:t>
      </w:r>
    </w:p>
    <w:p w:rsidR="0037380E" w:rsidRPr="003675E5" w:rsidRDefault="0037380E" w:rsidP="00881F91">
      <w:pPr>
        <w:pStyle w:val="ListParagraph"/>
      </w:pPr>
      <w:r w:rsidRPr="003675E5">
        <w:t xml:space="preserve">In the financial estimates, the submission applied the same cost-offsets for hospitalisations due to HACs as </w:t>
      </w:r>
      <w:r w:rsidR="00FA4E54" w:rsidRPr="003675E5">
        <w:t>per</w:t>
      </w:r>
      <w:r w:rsidRPr="003675E5">
        <w:t xml:space="preserve"> the economic model, except that 25% of patients were </w:t>
      </w:r>
      <w:r w:rsidR="00FA4E54" w:rsidRPr="003675E5">
        <w:t xml:space="preserve">assumed to be </w:t>
      </w:r>
      <w:r w:rsidRPr="003675E5">
        <w:t>adults</w:t>
      </w:r>
      <w:r w:rsidR="00FA4E54" w:rsidRPr="003675E5">
        <w:t xml:space="preserve"> who</w:t>
      </w:r>
      <w:r w:rsidRPr="003675E5">
        <w:t xml:space="preserve"> would require dialysis rather than hospitalisation. (While this was assumed in the economic model, very few patients made it to adulthood in the</w:t>
      </w:r>
      <w:r w:rsidR="00FA4E54" w:rsidRPr="003675E5">
        <w:t xml:space="preserve"> UCD health state in the</w:t>
      </w:r>
      <w:r w:rsidRPr="003675E5">
        <w:t xml:space="preserve"> </w:t>
      </w:r>
      <w:r w:rsidR="00FA4E54" w:rsidRPr="003675E5">
        <w:t>economic model</w:t>
      </w:r>
      <w:r w:rsidRPr="003675E5">
        <w:t xml:space="preserve">).  </w:t>
      </w:r>
    </w:p>
    <w:p w:rsidR="00D2174F" w:rsidRPr="003675E5" w:rsidRDefault="007D2051" w:rsidP="00881F91">
      <w:pPr>
        <w:pStyle w:val="ListParagraph"/>
      </w:pPr>
      <w:r w:rsidRPr="007D2051">
        <w:t xml:space="preserve">The overall share of the total ammonia scavenger market was assumed to be </w:t>
      </w:r>
      <w:r w:rsidR="007C25B9">
        <w:rPr>
          <w:noProof/>
          <w:color w:val="000000"/>
          <w:highlight w:val="black"/>
        </w:rPr>
        <w:t>'''''</w:t>
      </w:r>
      <w:r w:rsidRPr="007D2051">
        <w:t xml:space="preserve">% in Year 1 and </w:t>
      </w:r>
      <w:r w:rsidR="007C25B9">
        <w:rPr>
          <w:noProof/>
          <w:color w:val="000000"/>
          <w:highlight w:val="black"/>
        </w:rPr>
        <w:t>'''''</w:t>
      </w:r>
      <w:r w:rsidRPr="007D2051">
        <w:t xml:space="preserve">% in Year 2, which appeared low given the lack of TGA-registered alternatives. </w:t>
      </w:r>
      <w:r w:rsidR="002F3B16" w:rsidRPr="003675E5">
        <w:t xml:space="preserve">The </w:t>
      </w:r>
      <w:r w:rsidR="00D2174F" w:rsidRPr="003675E5">
        <w:t>ESC estimated th</w:t>
      </w:r>
      <w:r w:rsidR="002F3B16" w:rsidRPr="003675E5">
        <w:t>at, if coated NaPb w</w:t>
      </w:r>
      <w:r w:rsidR="00D2174F" w:rsidRPr="003675E5">
        <w:t>ere</w:t>
      </w:r>
      <w:r w:rsidR="002F3B16" w:rsidRPr="003675E5">
        <w:t xml:space="preserve"> to be PBS listed, this could lead to an immediate shift from SAS access to PBS subsidised therapy for UCD patients. </w:t>
      </w:r>
      <w:r w:rsidRPr="007D2051">
        <w:t>The ESC considered that product substitution would be closer to 80% reflecting the rate in Kibleur 2014 in the first yea</w:t>
      </w:r>
      <w:r>
        <w:t xml:space="preserve">r. </w:t>
      </w:r>
      <w:r w:rsidR="00827F87">
        <w:t xml:space="preserve">The Pre-PBAC response agreed </w:t>
      </w:r>
      <w:r>
        <w:t xml:space="preserve">that uptake would be higher than estimated in the submission </w:t>
      </w:r>
      <w:r w:rsidR="00827F87">
        <w:t xml:space="preserve">and </w:t>
      </w:r>
      <w:r w:rsidR="001D70B4">
        <w:t>agreed</w:t>
      </w:r>
      <w:r w:rsidR="00827F87">
        <w:t xml:space="preserve"> that the </w:t>
      </w:r>
      <w:r w:rsidR="008410FF">
        <w:t>financial</w:t>
      </w:r>
      <w:r w:rsidR="00827F87">
        <w:t xml:space="preserve"> estimates would need to be revised accordingly. </w:t>
      </w:r>
    </w:p>
    <w:p w:rsidR="0037380E" w:rsidRPr="003675E5" w:rsidRDefault="0037380E" w:rsidP="0037380E">
      <w:pPr>
        <w:keepNext/>
        <w:spacing w:before="0" w:after="60"/>
        <w:rPr>
          <w:rFonts w:ascii="Arial Narrow" w:eastAsia="Calibri" w:hAnsi="Arial Narrow" w:cs="Arial"/>
          <w:b/>
          <w:sz w:val="20"/>
        </w:rPr>
      </w:pPr>
      <w:r w:rsidRPr="003675E5">
        <w:rPr>
          <w:rFonts w:ascii="Arial Narrow" w:eastAsia="Calibri" w:hAnsi="Arial Narrow" w:cs="Arial"/>
          <w:b/>
          <w:sz w:val="20"/>
        </w:rPr>
        <w:t xml:space="preserve">Table </w:t>
      </w:r>
      <w:r w:rsidR="00FA4E54" w:rsidRPr="003675E5">
        <w:rPr>
          <w:rFonts w:ascii="Arial Narrow" w:eastAsia="Calibri" w:hAnsi="Arial Narrow" w:cs="Arial"/>
          <w:b/>
          <w:sz w:val="20"/>
        </w:rPr>
        <w:t>1</w:t>
      </w:r>
      <w:r w:rsidR="00F77309" w:rsidRPr="003675E5">
        <w:rPr>
          <w:rFonts w:ascii="Arial Narrow" w:eastAsia="Calibri" w:hAnsi="Arial Narrow" w:cs="Arial"/>
          <w:b/>
          <w:sz w:val="20"/>
        </w:rPr>
        <w:t>2</w:t>
      </w:r>
      <w:r w:rsidRPr="003675E5">
        <w:rPr>
          <w:rFonts w:ascii="Arial Narrow" w:eastAsia="Calibri" w:hAnsi="Arial Narrow" w:cs="Arial"/>
          <w:b/>
          <w:sz w:val="20"/>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89"/>
        <w:gridCol w:w="1031"/>
        <w:gridCol w:w="1050"/>
        <w:gridCol w:w="1159"/>
        <w:gridCol w:w="1159"/>
        <w:gridCol w:w="1159"/>
        <w:gridCol w:w="1157"/>
      </w:tblGrid>
      <w:tr w:rsidR="0037380E" w:rsidRPr="003675E5" w:rsidTr="000904F1">
        <w:trPr>
          <w:tblHeader/>
        </w:trPr>
        <w:tc>
          <w:tcPr>
            <w:tcW w:w="1275" w:type="pct"/>
            <w:shd w:val="clear" w:color="auto" w:fill="auto"/>
            <w:vAlign w:val="center"/>
          </w:tcPr>
          <w:p w:rsidR="0037380E" w:rsidRPr="003675E5" w:rsidRDefault="0037380E" w:rsidP="0037380E">
            <w:pPr>
              <w:keepNext/>
              <w:spacing w:before="40" w:after="40"/>
              <w:rPr>
                <w:rFonts w:ascii="Arial Narrow" w:eastAsia="Calibri" w:hAnsi="Arial Narrow" w:cs="Arial"/>
                <w:sz w:val="20"/>
              </w:rPr>
            </w:pPr>
          </w:p>
        </w:tc>
        <w:tc>
          <w:tcPr>
            <w:tcW w:w="551" w:type="pct"/>
            <w:shd w:val="clear" w:color="auto" w:fill="auto"/>
            <w:vAlign w:val="center"/>
          </w:tcPr>
          <w:p w:rsidR="0037380E" w:rsidRPr="003675E5" w:rsidRDefault="0037380E" w:rsidP="0037380E">
            <w:pPr>
              <w:keepNext/>
              <w:spacing w:before="40" w:after="40"/>
              <w:jc w:val="center"/>
              <w:rPr>
                <w:rFonts w:ascii="Arial Narrow" w:eastAsia="Calibri" w:hAnsi="Arial Narrow" w:cs="Arial"/>
                <w:b/>
                <w:sz w:val="20"/>
              </w:rPr>
            </w:pPr>
            <w:r w:rsidRPr="003675E5">
              <w:rPr>
                <w:rFonts w:ascii="Arial Narrow" w:eastAsia="Calibri" w:hAnsi="Arial Narrow" w:cs="Arial"/>
                <w:b/>
                <w:sz w:val="20"/>
              </w:rPr>
              <w:t>Year 1</w:t>
            </w:r>
          </w:p>
        </w:tc>
        <w:tc>
          <w:tcPr>
            <w:tcW w:w="587" w:type="pct"/>
            <w:shd w:val="clear" w:color="auto" w:fill="auto"/>
            <w:vAlign w:val="center"/>
          </w:tcPr>
          <w:p w:rsidR="0037380E" w:rsidRPr="003675E5" w:rsidRDefault="0037380E" w:rsidP="0037380E">
            <w:pPr>
              <w:keepNext/>
              <w:spacing w:before="40" w:after="40"/>
              <w:jc w:val="center"/>
              <w:rPr>
                <w:rFonts w:ascii="Arial Narrow" w:eastAsia="Calibri" w:hAnsi="Arial Narrow" w:cs="Arial"/>
                <w:b/>
                <w:sz w:val="20"/>
              </w:rPr>
            </w:pPr>
            <w:r w:rsidRPr="003675E5">
              <w:rPr>
                <w:rFonts w:ascii="Arial Narrow" w:eastAsia="Calibri" w:hAnsi="Arial Narrow" w:cs="Arial"/>
                <w:b/>
                <w:sz w:val="20"/>
              </w:rPr>
              <w:t>Year 2</w:t>
            </w:r>
          </w:p>
        </w:tc>
        <w:tc>
          <w:tcPr>
            <w:tcW w:w="647" w:type="pct"/>
            <w:shd w:val="clear" w:color="auto" w:fill="auto"/>
            <w:vAlign w:val="center"/>
          </w:tcPr>
          <w:p w:rsidR="0037380E" w:rsidRPr="003675E5" w:rsidRDefault="0037380E" w:rsidP="0037380E">
            <w:pPr>
              <w:keepNext/>
              <w:spacing w:before="40" w:after="40"/>
              <w:jc w:val="center"/>
              <w:rPr>
                <w:rFonts w:ascii="Arial Narrow" w:eastAsia="Calibri" w:hAnsi="Arial Narrow" w:cs="Arial"/>
                <w:b/>
                <w:sz w:val="20"/>
              </w:rPr>
            </w:pPr>
            <w:r w:rsidRPr="003675E5">
              <w:rPr>
                <w:rFonts w:ascii="Arial Narrow" w:eastAsia="Calibri" w:hAnsi="Arial Narrow" w:cs="Arial"/>
                <w:b/>
                <w:sz w:val="20"/>
              </w:rPr>
              <w:t>Year 3</w:t>
            </w:r>
          </w:p>
        </w:tc>
        <w:tc>
          <w:tcPr>
            <w:tcW w:w="647" w:type="pct"/>
            <w:shd w:val="clear" w:color="auto" w:fill="auto"/>
            <w:vAlign w:val="center"/>
          </w:tcPr>
          <w:p w:rsidR="0037380E" w:rsidRPr="003675E5" w:rsidRDefault="0037380E" w:rsidP="0037380E">
            <w:pPr>
              <w:keepNext/>
              <w:spacing w:before="40" w:after="40"/>
              <w:jc w:val="center"/>
              <w:rPr>
                <w:rFonts w:ascii="Arial Narrow" w:eastAsia="Calibri" w:hAnsi="Arial Narrow" w:cs="Arial"/>
                <w:b/>
                <w:sz w:val="20"/>
              </w:rPr>
            </w:pPr>
            <w:r w:rsidRPr="003675E5">
              <w:rPr>
                <w:rFonts w:ascii="Arial Narrow" w:eastAsia="Calibri" w:hAnsi="Arial Narrow" w:cs="Arial"/>
                <w:b/>
                <w:sz w:val="20"/>
              </w:rPr>
              <w:t>Year 4</w:t>
            </w:r>
          </w:p>
        </w:tc>
        <w:tc>
          <w:tcPr>
            <w:tcW w:w="647" w:type="pct"/>
            <w:shd w:val="clear" w:color="auto" w:fill="auto"/>
            <w:vAlign w:val="center"/>
          </w:tcPr>
          <w:p w:rsidR="0037380E" w:rsidRPr="003675E5" w:rsidRDefault="0037380E" w:rsidP="0037380E">
            <w:pPr>
              <w:keepNext/>
              <w:spacing w:before="40" w:after="40"/>
              <w:jc w:val="center"/>
              <w:rPr>
                <w:rFonts w:ascii="Arial Narrow" w:eastAsia="Calibri" w:hAnsi="Arial Narrow" w:cs="Arial"/>
                <w:b/>
                <w:sz w:val="20"/>
              </w:rPr>
            </w:pPr>
            <w:r w:rsidRPr="003675E5">
              <w:rPr>
                <w:rFonts w:ascii="Arial Narrow" w:eastAsia="Calibri" w:hAnsi="Arial Narrow" w:cs="Arial"/>
                <w:b/>
                <w:sz w:val="20"/>
              </w:rPr>
              <w:t>Year 5</w:t>
            </w:r>
          </w:p>
        </w:tc>
        <w:tc>
          <w:tcPr>
            <w:tcW w:w="646" w:type="pct"/>
          </w:tcPr>
          <w:p w:rsidR="0037380E" w:rsidRPr="003675E5" w:rsidRDefault="0037380E" w:rsidP="0037380E">
            <w:pPr>
              <w:keepNext/>
              <w:spacing w:before="40" w:after="40"/>
              <w:jc w:val="center"/>
              <w:rPr>
                <w:rFonts w:ascii="Arial Narrow" w:eastAsia="Calibri" w:hAnsi="Arial Narrow" w:cs="Arial"/>
                <w:b/>
                <w:sz w:val="20"/>
              </w:rPr>
            </w:pPr>
            <w:r w:rsidRPr="003675E5">
              <w:rPr>
                <w:rFonts w:ascii="Arial Narrow" w:eastAsia="Calibri" w:hAnsi="Arial Narrow" w:cs="Arial"/>
                <w:b/>
                <w:sz w:val="20"/>
              </w:rPr>
              <w:t>Year 6</w:t>
            </w:r>
          </w:p>
        </w:tc>
      </w:tr>
      <w:tr w:rsidR="0037380E" w:rsidRPr="003675E5" w:rsidTr="0037380E">
        <w:tc>
          <w:tcPr>
            <w:tcW w:w="5000" w:type="pct"/>
            <w:gridSpan w:val="7"/>
            <w:shd w:val="clear" w:color="auto" w:fill="auto"/>
            <w:vAlign w:val="center"/>
          </w:tcPr>
          <w:p w:rsidR="0037380E" w:rsidRPr="003675E5" w:rsidRDefault="0037380E" w:rsidP="0037380E">
            <w:pPr>
              <w:keepNext/>
              <w:spacing w:before="40" w:after="40"/>
              <w:rPr>
                <w:rFonts w:ascii="Arial Narrow" w:eastAsia="Calibri" w:hAnsi="Arial Narrow" w:cs="Arial"/>
                <w:b/>
                <w:bCs/>
                <w:color w:val="000000"/>
                <w:sz w:val="20"/>
              </w:rPr>
            </w:pPr>
            <w:r w:rsidRPr="003675E5">
              <w:rPr>
                <w:rFonts w:ascii="Arial Narrow" w:eastAsia="Calibri" w:hAnsi="Arial Narrow" w:cs="Arial"/>
                <w:b/>
                <w:bCs/>
                <w:color w:val="000000"/>
                <w:sz w:val="20"/>
              </w:rPr>
              <w:t>Estimated extent of use</w:t>
            </w:r>
          </w:p>
        </w:tc>
      </w:tr>
      <w:tr w:rsidR="0037380E" w:rsidRPr="003675E5" w:rsidTr="000904F1">
        <w:tc>
          <w:tcPr>
            <w:tcW w:w="1275" w:type="pct"/>
            <w:shd w:val="clear" w:color="auto" w:fill="auto"/>
            <w:vAlign w:val="center"/>
          </w:tcPr>
          <w:p w:rsidR="0037380E" w:rsidRPr="003675E5" w:rsidRDefault="0037380E" w:rsidP="0037380E">
            <w:pPr>
              <w:keepNext/>
              <w:spacing w:before="40" w:after="40"/>
              <w:rPr>
                <w:rFonts w:ascii="Times" w:eastAsia="Times New Roman" w:hAnsi="Times" w:cs="Times New Roman"/>
                <w:sz w:val="20"/>
              </w:rPr>
            </w:pPr>
            <w:r w:rsidRPr="003675E5">
              <w:rPr>
                <w:rFonts w:ascii="Arial Narrow" w:eastAsia="Calibri" w:hAnsi="Arial Narrow" w:cs="Arial"/>
                <w:sz w:val="20"/>
              </w:rPr>
              <w:t>Number of patients treated</w:t>
            </w:r>
          </w:p>
        </w:tc>
        <w:tc>
          <w:tcPr>
            <w:tcW w:w="551" w:type="pct"/>
            <w:shd w:val="clear" w:color="auto" w:fill="auto"/>
            <w:vAlign w:val="center"/>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587" w:type="pct"/>
            <w:shd w:val="clear" w:color="auto" w:fill="auto"/>
            <w:vAlign w:val="center"/>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47" w:type="pct"/>
            <w:shd w:val="clear" w:color="auto" w:fill="auto"/>
            <w:vAlign w:val="center"/>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 xml:space="preserve">''''''''' </w:t>
            </w:r>
          </w:p>
        </w:tc>
        <w:tc>
          <w:tcPr>
            <w:tcW w:w="647" w:type="pct"/>
            <w:shd w:val="clear" w:color="auto" w:fill="auto"/>
            <w:vAlign w:val="center"/>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 xml:space="preserve">''''''''' </w:t>
            </w:r>
          </w:p>
        </w:tc>
        <w:tc>
          <w:tcPr>
            <w:tcW w:w="647" w:type="pct"/>
            <w:shd w:val="clear" w:color="auto" w:fill="auto"/>
            <w:vAlign w:val="center"/>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 xml:space="preserve">'''''''''' </w:t>
            </w:r>
          </w:p>
        </w:tc>
        <w:tc>
          <w:tcPr>
            <w:tcW w:w="646" w:type="pct"/>
            <w:vAlign w:val="center"/>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 xml:space="preserve">'''''''''' </w:t>
            </w:r>
          </w:p>
        </w:tc>
      </w:tr>
      <w:tr w:rsidR="0037380E" w:rsidRPr="003675E5" w:rsidTr="000904F1">
        <w:tc>
          <w:tcPr>
            <w:tcW w:w="1275" w:type="pct"/>
            <w:shd w:val="clear" w:color="auto" w:fill="auto"/>
            <w:vAlign w:val="center"/>
          </w:tcPr>
          <w:p w:rsidR="0037380E" w:rsidRPr="003675E5" w:rsidRDefault="0037380E" w:rsidP="0037380E">
            <w:pPr>
              <w:keepNext/>
              <w:spacing w:before="40" w:after="40"/>
              <w:rPr>
                <w:rFonts w:ascii="Times" w:eastAsia="Times New Roman" w:hAnsi="Times" w:cs="Times New Roman"/>
                <w:sz w:val="20"/>
              </w:rPr>
            </w:pPr>
            <w:r w:rsidRPr="003675E5">
              <w:rPr>
                <w:rFonts w:ascii="Arial Narrow" w:eastAsia="Calibri" w:hAnsi="Arial Narrow" w:cs="Arial"/>
                <w:sz w:val="20"/>
              </w:rPr>
              <w:t>Number of scripts dispensed</w:t>
            </w:r>
            <w:r w:rsidRPr="003675E5">
              <w:rPr>
                <w:rFonts w:ascii="Arial Narrow" w:eastAsia="Calibri" w:hAnsi="Arial Narrow" w:cs="Arial"/>
                <w:sz w:val="20"/>
                <w:vertAlign w:val="superscript"/>
              </w:rPr>
              <w:t>a</w:t>
            </w:r>
          </w:p>
        </w:tc>
        <w:tc>
          <w:tcPr>
            <w:tcW w:w="551" w:type="pct"/>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 xml:space="preserve">'''''''''' </w:t>
            </w:r>
          </w:p>
        </w:tc>
        <w:tc>
          <w:tcPr>
            <w:tcW w:w="587" w:type="pct"/>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 xml:space="preserve">''''''''' </w:t>
            </w:r>
          </w:p>
        </w:tc>
        <w:tc>
          <w:tcPr>
            <w:tcW w:w="647" w:type="pct"/>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 xml:space="preserve">'''''''''''' </w:t>
            </w:r>
          </w:p>
        </w:tc>
        <w:tc>
          <w:tcPr>
            <w:tcW w:w="647" w:type="pct"/>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 xml:space="preserve">'''''''''''''' </w:t>
            </w:r>
          </w:p>
        </w:tc>
        <w:tc>
          <w:tcPr>
            <w:tcW w:w="647" w:type="pct"/>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 xml:space="preserve">''''''''''''' </w:t>
            </w:r>
          </w:p>
        </w:tc>
        <w:tc>
          <w:tcPr>
            <w:tcW w:w="646" w:type="pct"/>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 xml:space="preserve">'''''''''''''' </w:t>
            </w:r>
          </w:p>
        </w:tc>
      </w:tr>
      <w:tr w:rsidR="0037380E" w:rsidRPr="003675E5" w:rsidTr="0037380E">
        <w:tc>
          <w:tcPr>
            <w:tcW w:w="5000" w:type="pct"/>
            <w:gridSpan w:val="7"/>
            <w:shd w:val="clear" w:color="auto" w:fill="auto"/>
            <w:vAlign w:val="center"/>
          </w:tcPr>
          <w:p w:rsidR="0037380E" w:rsidRPr="003675E5" w:rsidRDefault="0037380E" w:rsidP="0037380E">
            <w:pPr>
              <w:keepNext/>
              <w:spacing w:before="40" w:after="40"/>
              <w:rPr>
                <w:rFonts w:ascii="Arial Narrow" w:eastAsia="Calibri" w:hAnsi="Arial Narrow" w:cs="Arial"/>
                <w:b/>
                <w:bCs/>
                <w:color w:val="000000"/>
                <w:sz w:val="20"/>
              </w:rPr>
            </w:pPr>
            <w:r w:rsidRPr="003675E5">
              <w:rPr>
                <w:rFonts w:ascii="Arial Narrow" w:eastAsia="Calibri" w:hAnsi="Arial Narrow" w:cs="Arial"/>
                <w:b/>
                <w:bCs/>
                <w:color w:val="000000"/>
                <w:sz w:val="20"/>
              </w:rPr>
              <w:t>Estimated financial implications of coated NaPb</w:t>
            </w:r>
          </w:p>
        </w:tc>
      </w:tr>
      <w:tr w:rsidR="0037380E" w:rsidRPr="003675E5" w:rsidTr="000904F1">
        <w:tc>
          <w:tcPr>
            <w:tcW w:w="1275" w:type="pct"/>
            <w:shd w:val="clear" w:color="auto" w:fill="auto"/>
            <w:vAlign w:val="center"/>
          </w:tcPr>
          <w:p w:rsidR="0037380E" w:rsidRPr="003675E5" w:rsidRDefault="0037380E" w:rsidP="0037380E">
            <w:pPr>
              <w:keepNext/>
              <w:spacing w:before="40" w:after="40"/>
              <w:rPr>
                <w:rFonts w:ascii="Times" w:eastAsia="Times New Roman" w:hAnsi="Times" w:cs="Times New Roman"/>
                <w:sz w:val="20"/>
              </w:rPr>
            </w:pPr>
            <w:r w:rsidRPr="003675E5">
              <w:rPr>
                <w:rFonts w:ascii="Arial Narrow" w:eastAsia="Calibri" w:hAnsi="Arial Narrow" w:cs="Arial"/>
                <w:sz w:val="19"/>
                <w:szCs w:val="19"/>
              </w:rPr>
              <w:t>Cost to PBS/RPBS</w:t>
            </w:r>
          </w:p>
        </w:tc>
        <w:tc>
          <w:tcPr>
            <w:tcW w:w="551" w:type="pct"/>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587" w:type="pct"/>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47" w:type="pct"/>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47" w:type="pct"/>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47" w:type="pct"/>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46" w:type="pct"/>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r>
      <w:tr w:rsidR="0037380E" w:rsidRPr="003675E5" w:rsidTr="000904F1">
        <w:tc>
          <w:tcPr>
            <w:tcW w:w="1275" w:type="pct"/>
            <w:shd w:val="clear" w:color="auto" w:fill="auto"/>
            <w:vAlign w:val="center"/>
          </w:tcPr>
          <w:p w:rsidR="0037380E" w:rsidRPr="003675E5" w:rsidRDefault="0037380E" w:rsidP="0037380E">
            <w:pPr>
              <w:keepNext/>
              <w:spacing w:before="40" w:after="40"/>
              <w:rPr>
                <w:rFonts w:ascii="Arial Narrow" w:eastAsia="Calibri" w:hAnsi="Arial Narrow" w:cs="Arial"/>
                <w:sz w:val="19"/>
                <w:szCs w:val="19"/>
              </w:rPr>
            </w:pPr>
            <w:r w:rsidRPr="003675E5">
              <w:rPr>
                <w:rFonts w:ascii="Arial Narrow" w:eastAsia="Calibri" w:hAnsi="Arial Narrow" w:cs="Arial"/>
                <w:sz w:val="19"/>
                <w:szCs w:val="19"/>
              </w:rPr>
              <w:t>Copayments</w:t>
            </w:r>
          </w:p>
        </w:tc>
        <w:tc>
          <w:tcPr>
            <w:tcW w:w="551"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587"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47"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47"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47"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46" w:type="pct"/>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r>
      <w:tr w:rsidR="0037380E" w:rsidRPr="003675E5" w:rsidTr="000904F1">
        <w:tc>
          <w:tcPr>
            <w:tcW w:w="1275" w:type="pct"/>
            <w:shd w:val="clear" w:color="auto" w:fill="auto"/>
            <w:vAlign w:val="center"/>
          </w:tcPr>
          <w:p w:rsidR="0037380E" w:rsidRPr="003675E5" w:rsidRDefault="0037380E" w:rsidP="0037380E">
            <w:pPr>
              <w:keepNext/>
              <w:spacing w:before="40" w:after="40"/>
              <w:rPr>
                <w:rFonts w:ascii="Arial Narrow" w:eastAsia="Calibri" w:hAnsi="Arial Narrow" w:cs="Arial"/>
                <w:sz w:val="19"/>
                <w:szCs w:val="19"/>
              </w:rPr>
            </w:pPr>
            <w:r w:rsidRPr="003675E5">
              <w:rPr>
                <w:rFonts w:ascii="Arial Narrow" w:eastAsia="Calibri" w:hAnsi="Arial Narrow" w:cs="Arial"/>
                <w:sz w:val="19"/>
                <w:szCs w:val="19"/>
              </w:rPr>
              <w:t>Cost to PBS/RPBS less copayments</w:t>
            </w:r>
          </w:p>
        </w:tc>
        <w:tc>
          <w:tcPr>
            <w:tcW w:w="551"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587"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47"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47"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47"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c>
          <w:tcPr>
            <w:tcW w:w="646" w:type="pct"/>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Arial"/>
                <w:noProof/>
                <w:color w:val="000000"/>
                <w:sz w:val="20"/>
                <w:highlight w:val="black"/>
              </w:rPr>
              <w:t>''''''''''''''''''''''''''''''''</w:t>
            </w:r>
          </w:p>
        </w:tc>
      </w:tr>
      <w:tr w:rsidR="0037380E" w:rsidRPr="003675E5" w:rsidTr="0037380E">
        <w:tc>
          <w:tcPr>
            <w:tcW w:w="5000" w:type="pct"/>
            <w:gridSpan w:val="7"/>
            <w:shd w:val="clear" w:color="auto" w:fill="auto"/>
            <w:vAlign w:val="center"/>
          </w:tcPr>
          <w:p w:rsidR="0037380E" w:rsidRPr="003675E5" w:rsidRDefault="0037380E" w:rsidP="0037380E">
            <w:pPr>
              <w:keepNext/>
              <w:spacing w:before="40" w:after="40"/>
              <w:rPr>
                <w:rFonts w:ascii="Arial Narrow" w:eastAsia="Calibri" w:hAnsi="Arial Narrow" w:cs="Arial"/>
                <w:bCs/>
                <w:color w:val="000000"/>
                <w:sz w:val="20"/>
              </w:rPr>
            </w:pPr>
            <w:r w:rsidRPr="003675E5">
              <w:rPr>
                <w:rFonts w:ascii="Arial Narrow" w:eastAsia="Calibri" w:hAnsi="Arial Narrow" w:cs="Arial"/>
                <w:b/>
                <w:bCs/>
                <w:color w:val="000000"/>
                <w:sz w:val="20"/>
              </w:rPr>
              <w:t>Estimated financial implications for increased use of essential amino acids</w:t>
            </w:r>
          </w:p>
        </w:tc>
      </w:tr>
      <w:tr w:rsidR="0037380E" w:rsidRPr="003675E5" w:rsidTr="000904F1">
        <w:tc>
          <w:tcPr>
            <w:tcW w:w="1275" w:type="pct"/>
            <w:shd w:val="clear" w:color="auto" w:fill="auto"/>
            <w:vAlign w:val="center"/>
          </w:tcPr>
          <w:p w:rsidR="0037380E" w:rsidRPr="003675E5" w:rsidRDefault="0037380E" w:rsidP="0037380E">
            <w:pPr>
              <w:keepNext/>
              <w:spacing w:before="40" w:after="40"/>
              <w:rPr>
                <w:rFonts w:ascii="Arial Narrow" w:eastAsia="Calibri" w:hAnsi="Arial Narrow" w:cs="Arial"/>
                <w:sz w:val="19"/>
                <w:szCs w:val="19"/>
              </w:rPr>
            </w:pPr>
            <w:r w:rsidRPr="003675E5">
              <w:rPr>
                <w:rFonts w:ascii="Arial Narrow" w:eastAsia="Calibri" w:hAnsi="Arial Narrow" w:cs="Arial"/>
                <w:sz w:val="19"/>
                <w:szCs w:val="19"/>
              </w:rPr>
              <w:t>Cost to PBS/RPBS</w:t>
            </w:r>
          </w:p>
        </w:tc>
        <w:tc>
          <w:tcPr>
            <w:tcW w:w="551"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587"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647"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647"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647"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646" w:type="pct"/>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r>
      <w:tr w:rsidR="0037380E" w:rsidRPr="003675E5" w:rsidTr="000904F1">
        <w:tc>
          <w:tcPr>
            <w:tcW w:w="1275" w:type="pct"/>
            <w:shd w:val="clear" w:color="auto" w:fill="auto"/>
            <w:vAlign w:val="center"/>
          </w:tcPr>
          <w:p w:rsidR="0037380E" w:rsidRPr="003675E5" w:rsidRDefault="0037380E" w:rsidP="0037380E">
            <w:pPr>
              <w:keepNext/>
              <w:spacing w:before="40" w:after="40"/>
              <w:rPr>
                <w:rFonts w:ascii="Arial Narrow" w:eastAsia="Calibri" w:hAnsi="Arial Narrow" w:cs="Arial"/>
                <w:sz w:val="19"/>
                <w:szCs w:val="19"/>
              </w:rPr>
            </w:pPr>
            <w:r w:rsidRPr="003675E5">
              <w:rPr>
                <w:rFonts w:ascii="Arial Narrow" w:eastAsia="Calibri" w:hAnsi="Arial Narrow" w:cs="Arial"/>
                <w:sz w:val="19"/>
                <w:szCs w:val="19"/>
              </w:rPr>
              <w:t>Copayments</w:t>
            </w:r>
          </w:p>
        </w:tc>
        <w:tc>
          <w:tcPr>
            <w:tcW w:w="551"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587"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647"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647"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647"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646" w:type="pct"/>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r>
      <w:tr w:rsidR="0037380E" w:rsidRPr="003675E5" w:rsidTr="000904F1">
        <w:tc>
          <w:tcPr>
            <w:tcW w:w="1275" w:type="pct"/>
            <w:shd w:val="clear" w:color="auto" w:fill="auto"/>
            <w:vAlign w:val="center"/>
          </w:tcPr>
          <w:p w:rsidR="0037380E" w:rsidRPr="003675E5" w:rsidRDefault="0037380E" w:rsidP="0037380E">
            <w:pPr>
              <w:keepNext/>
              <w:spacing w:before="40" w:after="40"/>
              <w:rPr>
                <w:rFonts w:ascii="Arial Narrow" w:eastAsia="Calibri" w:hAnsi="Arial Narrow" w:cs="Arial"/>
                <w:sz w:val="19"/>
                <w:szCs w:val="19"/>
              </w:rPr>
            </w:pPr>
            <w:r w:rsidRPr="003675E5">
              <w:rPr>
                <w:rFonts w:ascii="Arial Narrow" w:eastAsia="Calibri" w:hAnsi="Arial Narrow" w:cs="Arial"/>
                <w:sz w:val="19"/>
                <w:szCs w:val="19"/>
              </w:rPr>
              <w:t>Cost to PBS/RPBS less copayments</w:t>
            </w:r>
          </w:p>
        </w:tc>
        <w:tc>
          <w:tcPr>
            <w:tcW w:w="551"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587"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647"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647"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647" w:type="pct"/>
            <w:shd w:val="clear" w:color="auto" w:fill="auto"/>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646" w:type="pct"/>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r>
      <w:tr w:rsidR="0037380E" w:rsidRPr="003675E5" w:rsidTr="0037380E">
        <w:tc>
          <w:tcPr>
            <w:tcW w:w="5000" w:type="pct"/>
            <w:gridSpan w:val="7"/>
            <w:shd w:val="clear" w:color="auto" w:fill="auto"/>
            <w:vAlign w:val="center"/>
          </w:tcPr>
          <w:p w:rsidR="0037380E" w:rsidRPr="003675E5" w:rsidRDefault="0037380E" w:rsidP="0037380E">
            <w:pPr>
              <w:keepNext/>
              <w:spacing w:before="40" w:after="40"/>
              <w:rPr>
                <w:rFonts w:ascii="Arial Narrow" w:eastAsia="Calibri" w:hAnsi="Arial Narrow" w:cs="Arial"/>
                <w:b/>
                <w:bCs/>
                <w:color w:val="000000"/>
                <w:sz w:val="20"/>
              </w:rPr>
            </w:pPr>
            <w:r w:rsidRPr="003675E5">
              <w:rPr>
                <w:rFonts w:ascii="Arial Narrow" w:eastAsia="Calibri" w:hAnsi="Arial Narrow" w:cs="Arial"/>
                <w:b/>
                <w:bCs/>
                <w:color w:val="000000"/>
                <w:sz w:val="20"/>
              </w:rPr>
              <w:t>Net financial implications</w:t>
            </w:r>
            <w:r w:rsidRPr="003675E5">
              <w:rPr>
                <w:rFonts w:ascii="Arial Narrow" w:eastAsia="Calibri" w:hAnsi="Arial Narrow" w:cs="Arial"/>
                <w:b/>
                <w:bCs/>
                <w:color w:val="4472C4"/>
                <w:sz w:val="20"/>
              </w:rPr>
              <w:t xml:space="preserve"> </w:t>
            </w:r>
          </w:p>
        </w:tc>
      </w:tr>
      <w:tr w:rsidR="0037380E" w:rsidRPr="003675E5" w:rsidTr="000904F1">
        <w:tc>
          <w:tcPr>
            <w:tcW w:w="1275" w:type="pct"/>
            <w:shd w:val="clear" w:color="auto" w:fill="auto"/>
            <w:vAlign w:val="center"/>
          </w:tcPr>
          <w:p w:rsidR="0037380E" w:rsidRPr="003675E5" w:rsidRDefault="0037380E" w:rsidP="0037380E">
            <w:pPr>
              <w:keepNext/>
              <w:spacing w:before="40" w:after="40"/>
              <w:rPr>
                <w:rFonts w:ascii="Arial Narrow" w:eastAsia="Calibri" w:hAnsi="Arial Narrow" w:cs="Arial"/>
                <w:sz w:val="19"/>
                <w:szCs w:val="19"/>
              </w:rPr>
            </w:pPr>
            <w:r w:rsidRPr="003675E5">
              <w:rPr>
                <w:rFonts w:ascii="Arial Narrow" w:eastAsia="Calibri" w:hAnsi="Arial Narrow" w:cs="Arial"/>
                <w:sz w:val="19"/>
                <w:szCs w:val="19"/>
              </w:rPr>
              <w:t>Net cost to PBS/RPBS</w:t>
            </w:r>
          </w:p>
        </w:tc>
        <w:tc>
          <w:tcPr>
            <w:tcW w:w="551" w:type="pct"/>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587" w:type="pct"/>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647" w:type="pct"/>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647" w:type="pct"/>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647" w:type="pct"/>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646" w:type="pct"/>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r>
      <w:tr w:rsidR="0037380E" w:rsidRPr="003675E5" w:rsidTr="0037380E">
        <w:tc>
          <w:tcPr>
            <w:tcW w:w="5000" w:type="pct"/>
            <w:gridSpan w:val="7"/>
            <w:shd w:val="clear" w:color="auto" w:fill="auto"/>
            <w:vAlign w:val="center"/>
          </w:tcPr>
          <w:p w:rsidR="0037380E" w:rsidRPr="003675E5" w:rsidRDefault="0037380E" w:rsidP="0037380E">
            <w:pPr>
              <w:keepNext/>
              <w:spacing w:before="40" w:after="40"/>
              <w:rPr>
                <w:rFonts w:ascii="Arial Narrow" w:eastAsia="Calibri" w:hAnsi="Arial Narrow" w:cs="Arial"/>
                <w:b/>
                <w:bCs/>
                <w:color w:val="000000"/>
                <w:sz w:val="20"/>
              </w:rPr>
            </w:pPr>
            <w:r w:rsidRPr="003675E5">
              <w:rPr>
                <w:rFonts w:ascii="Arial Narrow" w:eastAsia="Calibri" w:hAnsi="Arial Narrow" w:cs="Arial"/>
                <w:b/>
                <w:bCs/>
                <w:color w:val="000000"/>
                <w:sz w:val="20"/>
              </w:rPr>
              <w:t xml:space="preserve">Reduction in HACs in adults </w:t>
            </w:r>
            <w:r w:rsidRPr="003675E5">
              <w:rPr>
                <w:rFonts w:ascii="Arial Narrow" w:eastAsia="Calibri" w:hAnsi="Arial Narrow" w:cs="Arial"/>
                <w:bCs/>
                <w:color w:val="000000"/>
                <w:sz w:val="20"/>
              </w:rPr>
              <w:t xml:space="preserve">(assumed </w:t>
            </w:r>
            <w:r w:rsidR="007C25B9">
              <w:rPr>
                <w:rFonts w:ascii="Arial Narrow" w:eastAsia="Calibri" w:hAnsi="Arial Narrow" w:cs="Arial"/>
                <w:bCs/>
                <w:noProof/>
                <w:color w:val="000000"/>
                <w:sz w:val="20"/>
                <w:highlight w:val="black"/>
              </w:rPr>
              <w:t>'''''''</w:t>
            </w:r>
            <w:r w:rsidRPr="003675E5">
              <w:rPr>
                <w:rFonts w:ascii="Arial Narrow" w:eastAsia="Calibri" w:hAnsi="Arial Narrow" w:cs="Arial"/>
                <w:bCs/>
                <w:color w:val="000000"/>
                <w:sz w:val="20"/>
              </w:rPr>
              <w:t>% of patients were adults; all patients had 1.8 fewer HACs per year; and each HAC in an adult would require MBS items for dialysis totalling $</w:t>
            </w:r>
            <w:r w:rsidR="007C25B9">
              <w:rPr>
                <w:rFonts w:ascii="Arial Narrow" w:eastAsia="Calibri" w:hAnsi="Arial Narrow" w:cs="Arial"/>
                <w:bCs/>
                <w:noProof/>
                <w:color w:val="000000"/>
                <w:sz w:val="20"/>
                <w:highlight w:val="black"/>
              </w:rPr>
              <w:t>'''''''''''''''''</w:t>
            </w:r>
            <w:r w:rsidRPr="003675E5">
              <w:rPr>
                <w:rFonts w:ascii="Arial Narrow" w:eastAsia="Calibri" w:hAnsi="Arial Narrow" w:cs="Arial"/>
                <w:bCs/>
                <w:color w:val="000000"/>
                <w:sz w:val="20"/>
              </w:rPr>
              <w:t>)</w:t>
            </w:r>
          </w:p>
        </w:tc>
      </w:tr>
      <w:tr w:rsidR="0037380E" w:rsidRPr="003675E5" w:rsidTr="000904F1">
        <w:tc>
          <w:tcPr>
            <w:tcW w:w="1275" w:type="pct"/>
            <w:shd w:val="clear" w:color="auto" w:fill="auto"/>
            <w:vAlign w:val="center"/>
          </w:tcPr>
          <w:p w:rsidR="0037380E" w:rsidRPr="003675E5" w:rsidRDefault="0037380E" w:rsidP="0037380E">
            <w:pPr>
              <w:keepNext/>
              <w:spacing w:before="40" w:after="40"/>
              <w:rPr>
                <w:rFonts w:ascii="Arial Narrow" w:eastAsia="Calibri" w:hAnsi="Arial Narrow" w:cs="Arial"/>
                <w:sz w:val="19"/>
                <w:szCs w:val="19"/>
              </w:rPr>
            </w:pPr>
            <w:r w:rsidRPr="003675E5">
              <w:rPr>
                <w:rFonts w:ascii="Arial Narrow" w:eastAsia="Calibri" w:hAnsi="Arial Narrow" w:cs="Times New Roman"/>
                <w:sz w:val="20"/>
              </w:rPr>
              <w:t xml:space="preserve">Cost savings to MBS </w:t>
            </w:r>
          </w:p>
        </w:tc>
        <w:tc>
          <w:tcPr>
            <w:tcW w:w="551" w:type="pct"/>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587" w:type="pct"/>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647" w:type="pct"/>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647" w:type="pct"/>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647" w:type="pct"/>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c>
          <w:tcPr>
            <w:tcW w:w="646" w:type="pct"/>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noProof/>
                <w:color w:val="000000"/>
                <w:sz w:val="20"/>
                <w:highlight w:val="black"/>
              </w:rPr>
              <w:t>''''''''''''''''''''</w:t>
            </w:r>
          </w:p>
        </w:tc>
      </w:tr>
      <w:tr w:rsidR="0037380E" w:rsidRPr="003675E5" w:rsidTr="000904F1">
        <w:tc>
          <w:tcPr>
            <w:tcW w:w="1275" w:type="pct"/>
            <w:tcBorders>
              <w:bottom w:val="double" w:sz="4" w:space="0" w:color="auto"/>
            </w:tcBorders>
            <w:shd w:val="clear" w:color="auto" w:fill="auto"/>
            <w:vAlign w:val="center"/>
          </w:tcPr>
          <w:p w:rsidR="0037380E" w:rsidRPr="003675E5" w:rsidRDefault="0037380E" w:rsidP="0037380E">
            <w:pPr>
              <w:keepNext/>
              <w:spacing w:before="40" w:after="40"/>
              <w:rPr>
                <w:rFonts w:ascii="Arial Narrow" w:eastAsia="Calibri" w:hAnsi="Arial Narrow" w:cs="Arial"/>
                <w:b/>
                <w:sz w:val="19"/>
                <w:szCs w:val="19"/>
              </w:rPr>
            </w:pPr>
            <w:r w:rsidRPr="003675E5">
              <w:rPr>
                <w:rFonts w:ascii="Arial Narrow" w:eastAsia="Calibri" w:hAnsi="Arial Narrow" w:cs="Arial"/>
                <w:b/>
                <w:sz w:val="19"/>
                <w:szCs w:val="19"/>
              </w:rPr>
              <w:t>Net cost to PBS/RPBS/MBS</w:t>
            </w:r>
          </w:p>
        </w:tc>
        <w:tc>
          <w:tcPr>
            <w:tcW w:w="551" w:type="pct"/>
            <w:tcBorders>
              <w:bottom w:val="double" w:sz="4" w:space="0" w:color="auto"/>
            </w:tcBorders>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b/>
                <w:noProof/>
                <w:color w:val="000000"/>
                <w:sz w:val="20"/>
                <w:highlight w:val="black"/>
              </w:rPr>
              <w:t>''''''''''''''''''''''''</w:t>
            </w:r>
          </w:p>
        </w:tc>
        <w:tc>
          <w:tcPr>
            <w:tcW w:w="587" w:type="pct"/>
            <w:tcBorders>
              <w:bottom w:val="double" w:sz="4" w:space="0" w:color="auto"/>
            </w:tcBorders>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b/>
                <w:noProof/>
                <w:color w:val="000000"/>
                <w:sz w:val="20"/>
                <w:highlight w:val="black"/>
              </w:rPr>
              <w:t>'''''''''''''''''''''''</w:t>
            </w:r>
          </w:p>
        </w:tc>
        <w:tc>
          <w:tcPr>
            <w:tcW w:w="647" w:type="pct"/>
            <w:tcBorders>
              <w:bottom w:val="double" w:sz="4" w:space="0" w:color="auto"/>
            </w:tcBorders>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b/>
                <w:noProof/>
                <w:color w:val="000000"/>
                <w:sz w:val="20"/>
                <w:highlight w:val="black"/>
              </w:rPr>
              <w:t>'''''''''''''''''''''</w:t>
            </w:r>
          </w:p>
        </w:tc>
        <w:tc>
          <w:tcPr>
            <w:tcW w:w="647" w:type="pct"/>
            <w:tcBorders>
              <w:bottom w:val="double" w:sz="4" w:space="0" w:color="auto"/>
            </w:tcBorders>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b/>
                <w:noProof/>
                <w:color w:val="000000"/>
                <w:sz w:val="20"/>
                <w:highlight w:val="black"/>
              </w:rPr>
              <w:t>''''''''''''''''''''''</w:t>
            </w:r>
          </w:p>
        </w:tc>
        <w:tc>
          <w:tcPr>
            <w:tcW w:w="647" w:type="pct"/>
            <w:tcBorders>
              <w:bottom w:val="double" w:sz="4" w:space="0" w:color="auto"/>
            </w:tcBorders>
            <w:shd w:val="clear" w:color="auto" w:fill="auto"/>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b/>
                <w:noProof/>
                <w:color w:val="000000"/>
                <w:sz w:val="20"/>
                <w:highlight w:val="black"/>
              </w:rPr>
              <w:t>'''''''''''''''''''''</w:t>
            </w:r>
          </w:p>
        </w:tc>
        <w:tc>
          <w:tcPr>
            <w:tcW w:w="646" w:type="pct"/>
            <w:tcBorders>
              <w:bottom w:val="double" w:sz="4" w:space="0" w:color="auto"/>
            </w:tcBorders>
            <w:vAlign w:val="bottom"/>
          </w:tcPr>
          <w:p w:rsidR="0037380E" w:rsidRPr="007C25B9" w:rsidRDefault="007C25B9" w:rsidP="0037380E">
            <w:pPr>
              <w:keepNext/>
              <w:spacing w:before="40" w:after="40"/>
              <w:rPr>
                <w:rFonts w:ascii="Arial Narrow" w:eastAsia="Calibri" w:hAnsi="Arial Narrow" w:cs="Arial"/>
                <w:bCs/>
                <w:color w:val="000000"/>
                <w:sz w:val="20"/>
                <w:highlight w:val="black"/>
              </w:rPr>
            </w:pPr>
            <w:r>
              <w:rPr>
                <w:rFonts w:ascii="Arial Narrow" w:eastAsia="Calibri" w:hAnsi="Arial Narrow" w:cs="Times New Roman"/>
                <w:b/>
                <w:noProof/>
                <w:color w:val="000000"/>
                <w:sz w:val="20"/>
                <w:highlight w:val="black"/>
              </w:rPr>
              <w:t>'''''''''''''''''''''''''</w:t>
            </w:r>
          </w:p>
        </w:tc>
      </w:tr>
      <w:tr w:rsidR="0037380E" w:rsidRPr="003675E5" w:rsidTr="0037380E">
        <w:tc>
          <w:tcPr>
            <w:tcW w:w="5000" w:type="pct"/>
            <w:gridSpan w:val="7"/>
            <w:tcBorders>
              <w:top w:val="double" w:sz="4" w:space="0" w:color="auto"/>
            </w:tcBorders>
            <w:shd w:val="clear" w:color="auto" w:fill="auto"/>
            <w:vAlign w:val="center"/>
          </w:tcPr>
          <w:p w:rsidR="0037380E" w:rsidRPr="003675E5" w:rsidRDefault="0037380E" w:rsidP="0037380E">
            <w:pPr>
              <w:keepNext/>
              <w:spacing w:before="40" w:after="40"/>
              <w:rPr>
                <w:rFonts w:ascii="Arial Narrow" w:eastAsia="Calibri" w:hAnsi="Arial Narrow" w:cs="Times New Roman"/>
                <w:b/>
                <w:sz w:val="20"/>
              </w:rPr>
            </w:pPr>
            <w:r w:rsidRPr="003675E5">
              <w:rPr>
                <w:rFonts w:ascii="Arial Narrow" w:eastAsia="Calibri" w:hAnsi="Arial Narrow" w:cs="Times New Roman"/>
                <w:b/>
                <w:sz w:val="20"/>
              </w:rPr>
              <w:t>Hospital costs</w:t>
            </w:r>
          </w:p>
        </w:tc>
      </w:tr>
      <w:tr w:rsidR="0037380E" w:rsidRPr="003675E5" w:rsidTr="0037380E">
        <w:tc>
          <w:tcPr>
            <w:tcW w:w="5000" w:type="pct"/>
            <w:gridSpan w:val="7"/>
            <w:shd w:val="clear" w:color="auto" w:fill="auto"/>
            <w:vAlign w:val="center"/>
          </w:tcPr>
          <w:p w:rsidR="0037380E" w:rsidRPr="003675E5" w:rsidRDefault="0037380E" w:rsidP="0037380E">
            <w:pPr>
              <w:keepNext/>
              <w:spacing w:before="40" w:after="40"/>
              <w:rPr>
                <w:rFonts w:ascii="Arial Narrow" w:eastAsia="Calibri" w:hAnsi="Arial Narrow" w:cs="Times New Roman"/>
                <w:sz w:val="20"/>
              </w:rPr>
            </w:pPr>
            <w:r w:rsidRPr="003675E5">
              <w:rPr>
                <w:rFonts w:ascii="Arial Narrow" w:eastAsia="Calibri" w:hAnsi="Arial Narrow" w:cs="Arial"/>
                <w:b/>
                <w:bCs/>
                <w:color w:val="000000"/>
                <w:sz w:val="20"/>
              </w:rPr>
              <w:t xml:space="preserve">Reduction in HACs in patients aged &lt; 18 years </w:t>
            </w:r>
            <w:r w:rsidRPr="003675E5">
              <w:rPr>
                <w:rFonts w:ascii="Arial Narrow" w:eastAsia="Calibri" w:hAnsi="Arial Narrow" w:cs="Arial"/>
                <w:bCs/>
                <w:color w:val="000000"/>
                <w:sz w:val="20"/>
              </w:rPr>
              <w:t xml:space="preserve">(assumed </w:t>
            </w:r>
            <w:r w:rsidR="007C25B9">
              <w:rPr>
                <w:rFonts w:ascii="Arial Narrow" w:eastAsia="Calibri" w:hAnsi="Arial Narrow" w:cs="Arial"/>
                <w:bCs/>
                <w:noProof/>
                <w:color w:val="000000"/>
                <w:sz w:val="20"/>
                <w:highlight w:val="black"/>
              </w:rPr>
              <w:t>'''''''</w:t>
            </w:r>
            <w:r w:rsidRPr="003675E5">
              <w:rPr>
                <w:rFonts w:ascii="Arial Narrow" w:eastAsia="Calibri" w:hAnsi="Arial Narrow" w:cs="Arial"/>
                <w:bCs/>
                <w:color w:val="000000"/>
                <w:sz w:val="20"/>
              </w:rPr>
              <w:t>% of patients were &lt; 18 years; all patients had 1.8 fewer HACs per year; and each HAC in a patient &lt; 18 years would require a hospitalisation costing $</w:t>
            </w:r>
            <w:r w:rsidR="007C25B9">
              <w:rPr>
                <w:rFonts w:ascii="Arial Narrow" w:eastAsia="Calibri" w:hAnsi="Arial Narrow" w:cs="Arial"/>
                <w:bCs/>
                <w:noProof/>
                <w:color w:val="000000"/>
                <w:sz w:val="20"/>
                <w:highlight w:val="black"/>
              </w:rPr>
              <w:t>'''''''''''''''''</w:t>
            </w:r>
            <w:r w:rsidRPr="003675E5">
              <w:rPr>
                <w:rFonts w:ascii="Arial Narrow" w:eastAsia="Calibri" w:hAnsi="Arial Narrow" w:cs="Arial"/>
                <w:bCs/>
                <w:color w:val="000000"/>
                <w:sz w:val="20"/>
              </w:rPr>
              <w:t>)</w:t>
            </w:r>
          </w:p>
        </w:tc>
      </w:tr>
      <w:tr w:rsidR="0037380E" w:rsidRPr="003675E5" w:rsidTr="000904F1">
        <w:tc>
          <w:tcPr>
            <w:tcW w:w="1275" w:type="pct"/>
            <w:shd w:val="clear" w:color="auto" w:fill="auto"/>
            <w:vAlign w:val="center"/>
          </w:tcPr>
          <w:p w:rsidR="0037380E" w:rsidRPr="003675E5" w:rsidRDefault="0037380E" w:rsidP="000904F1">
            <w:pPr>
              <w:keepNext/>
              <w:spacing w:before="40" w:after="40"/>
              <w:rPr>
                <w:rFonts w:ascii="Arial Narrow" w:eastAsia="Calibri" w:hAnsi="Arial Narrow" w:cs="Arial"/>
                <w:sz w:val="20"/>
                <w:szCs w:val="20"/>
              </w:rPr>
            </w:pPr>
            <w:r w:rsidRPr="003675E5">
              <w:rPr>
                <w:rFonts w:ascii="Arial Narrow" w:eastAsia="Calibri" w:hAnsi="Arial Narrow" w:cs="Arial"/>
                <w:sz w:val="20"/>
              </w:rPr>
              <w:t>Cost savings</w:t>
            </w:r>
            <w:r w:rsidR="000904F1" w:rsidRPr="003675E5">
              <w:rPr>
                <w:rFonts w:ascii="Arial Narrow" w:eastAsia="Calibri" w:hAnsi="Arial Narrow" w:cs="Arial"/>
                <w:sz w:val="20"/>
              </w:rPr>
              <w:t>:</w:t>
            </w:r>
            <w:r w:rsidRPr="003675E5">
              <w:rPr>
                <w:rFonts w:ascii="Arial Narrow" w:eastAsia="Calibri" w:hAnsi="Arial Narrow" w:cs="Arial"/>
                <w:sz w:val="20"/>
              </w:rPr>
              <w:t xml:space="preserve"> hospitalisations</w:t>
            </w:r>
          </w:p>
        </w:tc>
        <w:tc>
          <w:tcPr>
            <w:tcW w:w="551" w:type="pct"/>
            <w:shd w:val="clear" w:color="auto" w:fill="auto"/>
            <w:vAlign w:val="center"/>
          </w:tcPr>
          <w:p w:rsidR="0037380E" w:rsidRPr="007C25B9" w:rsidRDefault="007C25B9" w:rsidP="0037380E">
            <w:pPr>
              <w:keepNext/>
              <w:spacing w:before="40" w:after="40"/>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w:t>
            </w:r>
          </w:p>
        </w:tc>
        <w:tc>
          <w:tcPr>
            <w:tcW w:w="587" w:type="pct"/>
            <w:shd w:val="clear" w:color="auto" w:fill="auto"/>
            <w:vAlign w:val="center"/>
          </w:tcPr>
          <w:p w:rsidR="0037380E" w:rsidRPr="007C25B9" w:rsidRDefault="007C25B9" w:rsidP="0037380E">
            <w:pPr>
              <w:keepNext/>
              <w:spacing w:before="40" w:after="40"/>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w:t>
            </w:r>
          </w:p>
        </w:tc>
        <w:tc>
          <w:tcPr>
            <w:tcW w:w="647" w:type="pct"/>
            <w:shd w:val="clear" w:color="auto" w:fill="auto"/>
            <w:vAlign w:val="center"/>
          </w:tcPr>
          <w:p w:rsidR="0037380E" w:rsidRPr="007C25B9" w:rsidRDefault="007C25B9" w:rsidP="0037380E">
            <w:pPr>
              <w:keepNext/>
              <w:spacing w:before="40" w:after="40"/>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w:t>
            </w:r>
          </w:p>
        </w:tc>
        <w:tc>
          <w:tcPr>
            <w:tcW w:w="647" w:type="pct"/>
            <w:shd w:val="clear" w:color="auto" w:fill="auto"/>
            <w:vAlign w:val="center"/>
          </w:tcPr>
          <w:p w:rsidR="0037380E" w:rsidRPr="007C25B9" w:rsidRDefault="007C25B9" w:rsidP="0037380E">
            <w:pPr>
              <w:keepNext/>
              <w:spacing w:before="40" w:after="40"/>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w:t>
            </w:r>
          </w:p>
        </w:tc>
        <w:tc>
          <w:tcPr>
            <w:tcW w:w="647" w:type="pct"/>
            <w:shd w:val="clear" w:color="auto" w:fill="auto"/>
            <w:vAlign w:val="center"/>
          </w:tcPr>
          <w:p w:rsidR="0037380E" w:rsidRPr="007C25B9" w:rsidRDefault="007C25B9" w:rsidP="0037380E">
            <w:pPr>
              <w:keepNext/>
              <w:spacing w:before="40" w:after="40"/>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w:t>
            </w:r>
          </w:p>
        </w:tc>
        <w:tc>
          <w:tcPr>
            <w:tcW w:w="646" w:type="pct"/>
            <w:vAlign w:val="center"/>
          </w:tcPr>
          <w:p w:rsidR="0037380E" w:rsidRPr="007C25B9" w:rsidRDefault="007C25B9" w:rsidP="0037380E">
            <w:pPr>
              <w:keepNext/>
              <w:spacing w:before="40" w:after="40"/>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w:t>
            </w:r>
          </w:p>
        </w:tc>
      </w:tr>
      <w:tr w:rsidR="0037380E" w:rsidRPr="003675E5" w:rsidTr="0037380E">
        <w:tc>
          <w:tcPr>
            <w:tcW w:w="5000" w:type="pct"/>
            <w:gridSpan w:val="7"/>
            <w:shd w:val="clear" w:color="auto" w:fill="auto"/>
            <w:vAlign w:val="center"/>
          </w:tcPr>
          <w:p w:rsidR="0037380E" w:rsidRPr="003675E5" w:rsidRDefault="0037380E" w:rsidP="0037380E">
            <w:pPr>
              <w:keepNext/>
              <w:spacing w:before="40" w:after="40"/>
              <w:rPr>
                <w:rFonts w:ascii="Arial Narrow" w:eastAsia="Calibri" w:hAnsi="Arial Narrow" w:cs="Times New Roman"/>
                <w:sz w:val="20"/>
              </w:rPr>
            </w:pPr>
            <w:r w:rsidRPr="003675E5">
              <w:rPr>
                <w:rFonts w:ascii="Arial Narrow" w:eastAsia="Calibri" w:hAnsi="Arial Narrow" w:cs="Arial"/>
                <w:b/>
                <w:sz w:val="20"/>
              </w:rPr>
              <w:t xml:space="preserve">Drug cost savings </w:t>
            </w:r>
            <w:r w:rsidRPr="003675E5">
              <w:rPr>
                <w:rFonts w:ascii="Arial Narrow" w:eastAsia="Calibri" w:hAnsi="Arial Narrow" w:cs="Arial"/>
                <w:sz w:val="20"/>
              </w:rPr>
              <w:t>(reduction in drugs access through the Special Access Scheme)</w:t>
            </w:r>
          </w:p>
        </w:tc>
      </w:tr>
      <w:tr w:rsidR="0037380E" w:rsidRPr="003675E5" w:rsidTr="000904F1">
        <w:tc>
          <w:tcPr>
            <w:tcW w:w="1275" w:type="pct"/>
            <w:tcBorders>
              <w:bottom w:val="double" w:sz="4" w:space="0" w:color="auto"/>
            </w:tcBorders>
            <w:shd w:val="clear" w:color="auto" w:fill="auto"/>
            <w:vAlign w:val="center"/>
          </w:tcPr>
          <w:p w:rsidR="0037380E" w:rsidRPr="003675E5" w:rsidRDefault="0037380E" w:rsidP="0037380E">
            <w:pPr>
              <w:keepNext/>
              <w:spacing w:before="40" w:after="40"/>
              <w:rPr>
                <w:rFonts w:ascii="Arial Narrow" w:eastAsia="Calibri" w:hAnsi="Arial Narrow" w:cs="Arial"/>
                <w:sz w:val="20"/>
                <w:szCs w:val="20"/>
              </w:rPr>
            </w:pPr>
            <w:r w:rsidRPr="003675E5">
              <w:rPr>
                <w:rFonts w:ascii="Arial Narrow" w:eastAsia="Calibri" w:hAnsi="Arial Narrow" w:cs="Arial"/>
                <w:sz w:val="20"/>
                <w:szCs w:val="20"/>
              </w:rPr>
              <w:t>Total hospital drug cost savings</w:t>
            </w:r>
          </w:p>
        </w:tc>
        <w:tc>
          <w:tcPr>
            <w:tcW w:w="551" w:type="pct"/>
            <w:tcBorders>
              <w:bottom w:val="double" w:sz="4" w:space="0" w:color="auto"/>
            </w:tcBorders>
            <w:shd w:val="clear" w:color="auto" w:fill="auto"/>
            <w:vAlign w:val="center"/>
          </w:tcPr>
          <w:p w:rsidR="0037380E" w:rsidRPr="007C25B9" w:rsidRDefault="007C25B9" w:rsidP="0037380E">
            <w:pPr>
              <w:keepNext/>
              <w:spacing w:before="40" w:after="40"/>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w:t>
            </w:r>
          </w:p>
        </w:tc>
        <w:tc>
          <w:tcPr>
            <w:tcW w:w="587" w:type="pct"/>
            <w:tcBorders>
              <w:bottom w:val="double" w:sz="4" w:space="0" w:color="auto"/>
            </w:tcBorders>
            <w:shd w:val="clear" w:color="auto" w:fill="auto"/>
            <w:vAlign w:val="center"/>
          </w:tcPr>
          <w:p w:rsidR="0037380E" w:rsidRPr="007C25B9" w:rsidRDefault="007C25B9" w:rsidP="0037380E">
            <w:pPr>
              <w:keepNext/>
              <w:spacing w:before="40" w:after="40"/>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w:t>
            </w:r>
          </w:p>
        </w:tc>
        <w:tc>
          <w:tcPr>
            <w:tcW w:w="647" w:type="pct"/>
            <w:tcBorders>
              <w:bottom w:val="double" w:sz="4" w:space="0" w:color="auto"/>
            </w:tcBorders>
            <w:shd w:val="clear" w:color="auto" w:fill="auto"/>
            <w:vAlign w:val="center"/>
          </w:tcPr>
          <w:p w:rsidR="0037380E" w:rsidRPr="007C25B9" w:rsidRDefault="007C25B9" w:rsidP="0037380E">
            <w:pPr>
              <w:keepNext/>
              <w:spacing w:before="40" w:after="40"/>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w:t>
            </w:r>
          </w:p>
        </w:tc>
        <w:tc>
          <w:tcPr>
            <w:tcW w:w="647" w:type="pct"/>
            <w:tcBorders>
              <w:bottom w:val="double" w:sz="4" w:space="0" w:color="auto"/>
            </w:tcBorders>
            <w:shd w:val="clear" w:color="auto" w:fill="auto"/>
            <w:vAlign w:val="center"/>
          </w:tcPr>
          <w:p w:rsidR="0037380E" w:rsidRPr="007C25B9" w:rsidRDefault="007C25B9" w:rsidP="0037380E">
            <w:pPr>
              <w:keepNext/>
              <w:spacing w:before="40" w:after="40"/>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w:t>
            </w:r>
          </w:p>
        </w:tc>
        <w:tc>
          <w:tcPr>
            <w:tcW w:w="647" w:type="pct"/>
            <w:tcBorders>
              <w:bottom w:val="double" w:sz="4" w:space="0" w:color="auto"/>
            </w:tcBorders>
            <w:shd w:val="clear" w:color="auto" w:fill="auto"/>
            <w:vAlign w:val="center"/>
          </w:tcPr>
          <w:p w:rsidR="0037380E" w:rsidRPr="007C25B9" w:rsidRDefault="007C25B9" w:rsidP="0037380E">
            <w:pPr>
              <w:keepNext/>
              <w:spacing w:before="40" w:after="40"/>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w:t>
            </w:r>
          </w:p>
        </w:tc>
        <w:tc>
          <w:tcPr>
            <w:tcW w:w="646" w:type="pct"/>
            <w:tcBorders>
              <w:bottom w:val="double" w:sz="4" w:space="0" w:color="auto"/>
            </w:tcBorders>
            <w:vAlign w:val="center"/>
          </w:tcPr>
          <w:p w:rsidR="0037380E" w:rsidRPr="007C25B9" w:rsidRDefault="007C25B9" w:rsidP="0037380E">
            <w:pPr>
              <w:keepNext/>
              <w:spacing w:before="40" w:after="40"/>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w:t>
            </w:r>
          </w:p>
        </w:tc>
      </w:tr>
      <w:tr w:rsidR="0037380E" w:rsidRPr="003675E5" w:rsidTr="000904F1">
        <w:tc>
          <w:tcPr>
            <w:tcW w:w="1275" w:type="pct"/>
            <w:tcBorders>
              <w:top w:val="double" w:sz="4" w:space="0" w:color="auto"/>
            </w:tcBorders>
            <w:shd w:val="clear" w:color="auto" w:fill="auto"/>
            <w:vAlign w:val="center"/>
          </w:tcPr>
          <w:p w:rsidR="0037380E" w:rsidRPr="003675E5" w:rsidRDefault="0037380E" w:rsidP="0037380E">
            <w:pPr>
              <w:keepNext/>
              <w:spacing w:before="40" w:after="40"/>
              <w:rPr>
                <w:rFonts w:ascii="Arial Narrow" w:eastAsia="Calibri" w:hAnsi="Arial Narrow" w:cs="Arial"/>
                <w:sz w:val="20"/>
                <w:szCs w:val="20"/>
              </w:rPr>
            </w:pPr>
            <w:r w:rsidRPr="003675E5">
              <w:rPr>
                <w:rFonts w:ascii="Arial Narrow" w:eastAsia="Calibri" w:hAnsi="Arial Narrow" w:cs="Arial"/>
                <w:sz w:val="20"/>
                <w:szCs w:val="20"/>
              </w:rPr>
              <w:t>Net cost to government</w:t>
            </w:r>
          </w:p>
        </w:tc>
        <w:tc>
          <w:tcPr>
            <w:tcW w:w="551" w:type="pct"/>
            <w:tcBorders>
              <w:top w:val="double" w:sz="4" w:space="0" w:color="auto"/>
            </w:tcBorders>
            <w:shd w:val="clear" w:color="auto" w:fill="auto"/>
            <w:vAlign w:val="bottom"/>
          </w:tcPr>
          <w:p w:rsidR="0037380E" w:rsidRPr="007C25B9" w:rsidRDefault="007C25B9" w:rsidP="0037380E">
            <w:pPr>
              <w:keepNext/>
              <w:spacing w:before="40" w:after="40"/>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w:t>
            </w:r>
          </w:p>
        </w:tc>
        <w:tc>
          <w:tcPr>
            <w:tcW w:w="587" w:type="pct"/>
            <w:tcBorders>
              <w:top w:val="double" w:sz="4" w:space="0" w:color="auto"/>
            </w:tcBorders>
            <w:shd w:val="clear" w:color="auto" w:fill="auto"/>
            <w:vAlign w:val="bottom"/>
          </w:tcPr>
          <w:p w:rsidR="0037380E" w:rsidRPr="007C25B9" w:rsidRDefault="007C25B9" w:rsidP="0037380E">
            <w:pPr>
              <w:keepNext/>
              <w:spacing w:before="40" w:after="40"/>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w:t>
            </w:r>
          </w:p>
        </w:tc>
        <w:tc>
          <w:tcPr>
            <w:tcW w:w="647" w:type="pct"/>
            <w:tcBorders>
              <w:top w:val="double" w:sz="4" w:space="0" w:color="auto"/>
            </w:tcBorders>
            <w:shd w:val="clear" w:color="auto" w:fill="auto"/>
            <w:vAlign w:val="bottom"/>
          </w:tcPr>
          <w:p w:rsidR="0037380E" w:rsidRPr="007C25B9" w:rsidRDefault="007C25B9" w:rsidP="0037380E">
            <w:pPr>
              <w:keepNext/>
              <w:spacing w:before="40" w:after="40"/>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w:t>
            </w:r>
          </w:p>
        </w:tc>
        <w:tc>
          <w:tcPr>
            <w:tcW w:w="647" w:type="pct"/>
            <w:tcBorders>
              <w:top w:val="double" w:sz="4" w:space="0" w:color="auto"/>
            </w:tcBorders>
            <w:shd w:val="clear" w:color="auto" w:fill="auto"/>
            <w:vAlign w:val="bottom"/>
          </w:tcPr>
          <w:p w:rsidR="0037380E" w:rsidRPr="007C25B9" w:rsidRDefault="007C25B9" w:rsidP="0037380E">
            <w:pPr>
              <w:keepNext/>
              <w:spacing w:before="40" w:after="40"/>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w:t>
            </w:r>
          </w:p>
        </w:tc>
        <w:tc>
          <w:tcPr>
            <w:tcW w:w="647" w:type="pct"/>
            <w:tcBorders>
              <w:top w:val="double" w:sz="4" w:space="0" w:color="auto"/>
            </w:tcBorders>
            <w:shd w:val="clear" w:color="auto" w:fill="auto"/>
            <w:vAlign w:val="bottom"/>
          </w:tcPr>
          <w:p w:rsidR="0037380E" w:rsidRPr="007C25B9" w:rsidRDefault="007C25B9" w:rsidP="0037380E">
            <w:pPr>
              <w:keepNext/>
              <w:spacing w:before="40" w:after="40"/>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w:t>
            </w:r>
          </w:p>
        </w:tc>
        <w:tc>
          <w:tcPr>
            <w:tcW w:w="646" w:type="pct"/>
            <w:tcBorders>
              <w:top w:val="double" w:sz="4" w:space="0" w:color="auto"/>
            </w:tcBorders>
            <w:vAlign w:val="bottom"/>
          </w:tcPr>
          <w:p w:rsidR="0037380E" w:rsidRPr="007C25B9" w:rsidRDefault="007C25B9" w:rsidP="0037380E">
            <w:pPr>
              <w:keepNext/>
              <w:spacing w:before="40" w:after="40"/>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w:t>
            </w:r>
          </w:p>
        </w:tc>
      </w:tr>
    </w:tbl>
    <w:p w:rsidR="0037380E" w:rsidRPr="003675E5" w:rsidRDefault="0037380E" w:rsidP="0037380E">
      <w:pPr>
        <w:widowControl w:val="0"/>
        <w:spacing w:before="0" w:after="120"/>
        <w:contextualSpacing/>
        <w:jc w:val="both"/>
        <w:rPr>
          <w:rFonts w:ascii="Arial Narrow" w:eastAsia="Times New Roman" w:hAnsi="Arial Narrow" w:cs="Arial"/>
          <w:snapToGrid w:val="0"/>
          <w:sz w:val="18"/>
          <w:szCs w:val="20"/>
        </w:rPr>
      </w:pPr>
      <w:r w:rsidRPr="003675E5">
        <w:rPr>
          <w:rFonts w:ascii="Arial Narrow" w:eastAsia="Times New Roman" w:hAnsi="Arial Narrow" w:cs="Arial"/>
          <w:snapToGrid w:val="0"/>
          <w:sz w:val="18"/>
          <w:szCs w:val="20"/>
          <w:vertAlign w:val="superscript"/>
        </w:rPr>
        <w:t>a</w:t>
      </w:r>
      <w:r w:rsidRPr="003675E5">
        <w:rPr>
          <w:rFonts w:ascii="Arial Narrow" w:eastAsia="Times New Roman" w:hAnsi="Arial Narrow" w:cs="Arial"/>
          <w:snapToGrid w:val="0"/>
          <w:sz w:val="18"/>
          <w:szCs w:val="20"/>
        </w:rPr>
        <w:t xml:space="preserve"> Assuming 12 per year as estimated by the submission.</w:t>
      </w:r>
      <w:r w:rsidR="00DA178E" w:rsidRPr="003675E5">
        <w:rPr>
          <w:rFonts w:ascii="Arial Narrow" w:eastAsia="Times New Roman" w:hAnsi="Arial Narrow" w:cs="Arial"/>
          <w:snapToGrid w:val="0"/>
          <w:sz w:val="18"/>
          <w:szCs w:val="20"/>
        </w:rPr>
        <w:t xml:space="preserve"> Estimates were corrected during evaluation to remove double-counting of the early onset incidence pool</w:t>
      </w:r>
    </w:p>
    <w:p w:rsidR="0037380E" w:rsidRPr="003675E5" w:rsidRDefault="0037380E" w:rsidP="0037380E">
      <w:pPr>
        <w:widowControl w:val="0"/>
        <w:spacing w:before="0" w:after="120"/>
        <w:contextualSpacing/>
        <w:jc w:val="both"/>
        <w:rPr>
          <w:rFonts w:ascii="Arial Narrow" w:eastAsia="Times New Roman" w:hAnsi="Arial Narrow" w:cs="Arial"/>
          <w:snapToGrid w:val="0"/>
          <w:sz w:val="18"/>
          <w:szCs w:val="20"/>
        </w:rPr>
      </w:pPr>
      <w:r w:rsidRPr="003675E5">
        <w:rPr>
          <w:rFonts w:ascii="Arial Narrow" w:eastAsia="Times New Roman" w:hAnsi="Arial Narrow" w:cs="Arial"/>
          <w:snapToGrid w:val="0"/>
          <w:sz w:val="18"/>
          <w:szCs w:val="20"/>
        </w:rPr>
        <w:t xml:space="preserve">Source: </w:t>
      </w:r>
      <w:r w:rsidR="000904F1" w:rsidRPr="003675E5">
        <w:rPr>
          <w:rFonts w:ascii="Arial Narrow" w:eastAsia="Times New Roman" w:hAnsi="Arial Narrow" w:cs="Arial"/>
          <w:snapToGrid w:val="0"/>
          <w:sz w:val="18"/>
          <w:szCs w:val="20"/>
        </w:rPr>
        <w:t xml:space="preserve">Tables 4-4 to 4-12, pp4-13 to 4-19 of the submission; </w:t>
      </w:r>
    </w:p>
    <w:p w:rsidR="000904F1" w:rsidRPr="003675E5" w:rsidRDefault="000904F1" w:rsidP="0037380E">
      <w:pPr>
        <w:widowControl w:val="0"/>
        <w:spacing w:before="0" w:after="120"/>
        <w:contextualSpacing/>
        <w:jc w:val="both"/>
        <w:rPr>
          <w:rFonts w:ascii="Arial Narrow" w:eastAsia="Times New Roman" w:hAnsi="Arial Narrow" w:cs="Arial"/>
          <w:snapToGrid w:val="0"/>
          <w:sz w:val="18"/>
          <w:szCs w:val="20"/>
        </w:rPr>
      </w:pPr>
      <w:r w:rsidRPr="003675E5">
        <w:rPr>
          <w:rFonts w:ascii="Arial Narrow" w:eastAsia="Times New Roman" w:hAnsi="Arial Narrow" w:cs="Arial"/>
          <w:snapToGrid w:val="0"/>
          <w:sz w:val="18"/>
          <w:szCs w:val="20"/>
        </w:rPr>
        <w:t>HAC = hyperammonemic crisis; MBS = Medicare Benefits Schedule; NaPb = sodium phenylbutyrate; PBS = Pharmaceutical Benefits Scheme</w:t>
      </w:r>
      <w:r w:rsidR="006F55B0" w:rsidRPr="003675E5">
        <w:rPr>
          <w:rFonts w:ascii="Arial Narrow" w:eastAsia="Times New Roman" w:hAnsi="Arial Narrow" w:cs="Arial"/>
          <w:snapToGrid w:val="0"/>
          <w:sz w:val="18"/>
          <w:szCs w:val="20"/>
        </w:rPr>
        <w:t>;</w:t>
      </w:r>
      <w:r w:rsidRPr="003675E5">
        <w:rPr>
          <w:rFonts w:ascii="Arial Narrow" w:eastAsia="Times New Roman" w:hAnsi="Arial Narrow" w:cs="Arial"/>
          <w:snapToGrid w:val="0"/>
          <w:sz w:val="18"/>
          <w:szCs w:val="20"/>
        </w:rPr>
        <w:t xml:space="preserve"> RPBS = Repatriation Pharmaceutical Benefits Scheme</w:t>
      </w:r>
    </w:p>
    <w:p w:rsidR="0037380E" w:rsidRPr="003675E5" w:rsidRDefault="0037380E" w:rsidP="0037380E">
      <w:pPr>
        <w:widowControl w:val="0"/>
        <w:spacing w:before="0" w:after="120"/>
        <w:contextualSpacing/>
        <w:jc w:val="both"/>
        <w:rPr>
          <w:rFonts w:ascii="Arial Narrow" w:eastAsia="Times New Roman" w:hAnsi="Arial Narrow" w:cs="Arial"/>
          <w:snapToGrid w:val="0"/>
          <w:sz w:val="18"/>
          <w:szCs w:val="20"/>
        </w:rPr>
      </w:pPr>
    </w:p>
    <w:p w:rsidR="00F21171" w:rsidRPr="00F21171" w:rsidRDefault="00F21171" w:rsidP="00E6088B">
      <w:pPr>
        <w:pStyle w:val="ListParagraph"/>
        <w:numPr>
          <w:ilvl w:val="0"/>
          <w:numId w:val="0"/>
        </w:numPr>
        <w:spacing w:after="0"/>
        <w:contextualSpacing/>
        <w:rPr>
          <w:rFonts w:eastAsia="Times New Roman" w:cs="Times New Roman"/>
          <w:szCs w:val="24"/>
          <w:lang w:eastAsia="en-AU"/>
        </w:rPr>
      </w:pPr>
      <w:r w:rsidRPr="00F21171">
        <w:rPr>
          <w:rFonts w:eastAsia="Times New Roman" w:cs="Times New Roman"/>
          <w:szCs w:val="24"/>
          <w:lang w:eastAsia="en-AU"/>
        </w:rPr>
        <w:t>The redacted table shows that at year 5, the estimated number of patients was less than 10,000 per year and the net cost to the PBS would be less than $10 million per year.</w:t>
      </w:r>
    </w:p>
    <w:p w:rsidR="00F21171" w:rsidRDefault="00F21171" w:rsidP="00F21171">
      <w:pPr>
        <w:pStyle w:val="ListParagraph"/>
        <w:numPr>
          <w:ilvl w:val="0"/>
          <w:numId w:val="0"/>
        </w:numPr>
        <w:ind w:left="576"/>
      </w:pPr>
    </w:p>
    <w:p w:rsidR="0037380E" w:rsidRPr="003675E5" w:rsidRDefault="0037380E" w:rsidP="00881F91">
      <w:pPr>
        <w:pStyle w:val="ListParagraph"/>
      </w:pPr>
      <w:r w:rsidRPr="003675E5">
        <w:t>The</w:t>
      </w:r>
      <w:r w:rsidR="00A77597">
        <w:rPr>
          <w:lang w:val="en-GB"/>
        </w:rPr>
        <w:t xml:space="preserve"> </w:t>
      </w:r>
      <w:r w:rsidRPr="003675E5">
        <w:rPr>
          <w:lang w:val="en-GB"/>
        </w:rPr>
        <w:t>submission estimated that the net cost to the PBS/RPBS would be $</w:t>
      </w:r>
      <w:r w:rsidR="00F21171">
        <w:rPr>
          <w:lang w:val="en-GB"/>
        </w:rPr>
        <w:t>30- $60</w:t>
      </w:r>
      <w:r w:rsidRPr="003675E5">
        <w:rPr>
          <w:lang w:val="en-GB"/>
        </w:rPr>
        <w:t xml:space="preserve">million over six years. </w:t>
      </w:r>
    </w:p>
    <w:p w:rsidR="0037380E" w:rsidRPr="003675E5" w:rsidRDefault="0037380E" w:rsidP="00881F91">
      <w:pPr>
        <w:pStyle w:val="ListParagraph"/>
      </w:pPr>
      <w:r w:rsidRPr="003675E5">
        <w:t>The net cost to PBS/RPBS may be different to that estimated because:</w:t>
      </w:r>
    </w:p>
    <w:p w:rsidR="0037380E" w:rsidRPr="003675E5" w:rsidRDefault="0037380E" w:rsidP="001D70B4">
      <w:pPr>
        <w:pStyle w:val="ListParagraph"/>
        <w:numPr>
          <w:ilvl w:val="0"/>
          <w:numId w:val="7"/>
        </w:numPr>
      </w:pPr>
      <w:r w:rsidRPr="003675E5">
        <w:t xml:space="preserve">The prevalent population was overestimated because prevalence rates in adults were assumed to be the same as patients aged under 18 (overestimated cost); </w:t>
      </w:r>
    </w:p>
    <w:p w:rsidR="0037380E" w:rsidRPr="003675E5" w:rsidRDefault="00DB49ED" w:rsidP="001D70B4">
      <w:pPr>
        <w:pStyle w:val="ListParagraph"/>
        <w:numPr>
          <w:ilvl w:val="0"/>
          <w:numId w:val="7"/>
        </w:numPr>
      </w:pPr>
      <w:r w:rsidRPr="003675E5">
        <w:rPr>
          <w:lang w:val="en-GB"/>
        </w:rPr>
        <w:t xml:space="preserve">The incident population was added to </w:t>
      </w:r>
      <w:r w:rsidR="00975141" w:rsidRPr="003675E5">
        <w:rPr>
          <w:lang w:val="en-GB"/>
        </w:rPr>
        <w:t xml:space="preserve">the </w:t>
      </w:r>
      <w:r w:rsidRPr="003675E5">
        <w:rPr>
          <w:lang w:val="en-GB"/>
        </w:rPr>
        <w:t xml:space="preserve">prevalent population, despite no survival advantage being claimed against standard care </w:t>
      </w:r>
      <w:r w:rsidR="00D2174F" w:rsidRPr="003675E5">
        <w:t>and no rate of death was applied to the prevalent pool</w:t>
      </w:r>
      <w:r w:rsidR="00D2174F" w:rsidRPr="003675E5">
        <w:rPr>
          <w:lang w:val="en-GB"/>
        </w:rPr>
        <w:t xml:space="preserve"> </w:t>
      </w:r>
      <w:r w:rsidRPr="003675E5">
        <w:rPr>
          <w:lang w:val="en-GB"/>
        </w:rPr>
        <w:t>(overestimated cost);</w:t>
      </w:r>
      <w:r w:rsidR="00D2174F" w:rsidRPr="003675E5">
        <w:t xml:space="preserve"> </w:t>
      </w:r>
    </w:p>
    <w:p w:rsidR="0037380E" w:rsidRPr="003675E5" w:rsidRDefault="00FA4E54" w:rsidP="001D70B4">
      <w:pPr>
        <w:pStyle w:val="ListParagraph"/>
        <w:numPr>
          <w:ilvl w:val="0"/>
          <w:numId w:val="7"/>
        </w:numPr>
      </w:pPr>
      <w:r w:rsidRPr="003675E5">
        <w:t>T</w:t>
      </w:r>
      <w:r w:rsidR="0037380E" w:rsidRPr="003675E5">
        <w:t xml:space="preserve">he overall share of the total ammonia scavenger market was </w:t>
      </w:r>
      <w:r w:rsidR="007D2051">
        <w:t xml:space="preserve">underestimated </w:t>
      </w:r>
      <w:r w:rsidR="0037380E" w:rsidRPr="003675E5">
        <w:t>(underestimated cost</w:t>
      </w:r>
      <w:r w:rsidR="007D2051">
        <w:t>) as outlined in Paragraph 6.</w:t>
      </w:r>
      <w:r w:rsidR="00BB6CC6">
        <w:t>60</w:t>
      </w:r>
      <w:r w:rsidR="0037380E" w:rsidRPr="003675E5">
        <w:t>; and</w:t>
      </w:r>
    </w:p>
    <w:p w:rsidR="0037380E" w:rsidRPr="003675E5" w:rsidRDefault="0037380E" w:rsidP="001D70B4">
      <w:pPr>
        <w:pStyle w:val="ListParagraph"/>
        <w:numPr>
          <w:ilvl w:val="0"/>
          <w:numId w:val="7"/>
        </w:numPr>
      </w:pPr>
      <w:r w:rsidRPr="003675E5">
        <w:t>Doses were based on Kibleur 2014</w:t>
      </w:r>
      <w:r w:rsidR="00DB49ED" w:rsidRPr="003675E5">
        <w:t>,</w:t>
      </w:r>
      <w:r w:rsidR="00FA4E54" w:rsidRPr="003675E5">
        <w:t xml:space="preserve"> while</w:t>
      </w:r>
      <w:r w:rsidRPr="003675E5">
        <w:t xml:space="preserve"> doses in the proposed PBS population would likely be higher (underestimated cost).</w:t>
      </w:r>
    </w:p>
    <w:p w:rsidR="0037380E" w:rsidRPr="003675E5" w:rsidRDefault="0037380E" w:rsidP="00881F91">
      <w:pPr>
        <w:pStyle w:val="ListParagraph"/>
      </w:pPr>
      <w:r w:rsidRPr="003675E5">
        <w:t xml:space="preserve">The </w:t>
      </w:r>
      <w:r w:rsidR="00975141" w:rsidRPr="003675E5">
        <w:t xml:space="preserve">estimated </w:t>
      </w:r>
      <w:r w:rsidRPr="003675E5">
        <w:t xml:space="preserve">hospital cost offsets for displacement of NaPb and NaBz may be different as: </w:t>
      </w:r>
    </w:p>
    <w:p w:rsidR="0037380E" w:rsidRPr="003675E5" w:rsidRDefault="00FA4E54" w:rsidP="001D70B4">
      <w:pPr>
        <w:pStyle w:val="ListParagraph"/>
        <w:numPr>
          <w:ilvl w:val="0"/>
          <w:numId w:val="7"/>
        </w:numPr>
      </w:pPr>
      <w:r w:rsidRPr="003675E5">
        <w:t>T</w:t>
      </w:r>
      <w:r w:rsidR="0037380E" w:rsidRPr="003675E5">
        <w:t>he submission assumed all patients would transfer from uncoated NaPb and that all use of concomitant NaBz would cease (overestimated cost-offsets); and</w:t>
      </w:r>
    </w:p>
    <w:p w:rsidR="0037380E" w:rsidRPr="003675E5" w:rsidRDefault="00FA4E54" w:rsidP="001D70B4">
      <w:pPr>
        <w:pStyle w:val="ListParagraph"/>
        <w:numPr>
          <w:ilvl w:val="0"/>
          <w:numId w:val="7"/>
        </w:numPr>
      </w:pPr>
      <w:r w:rsidRPr="003675E5">
        <w:t>T</w:t>
      </w:r>
      <w:r w:rsidR="0037380E" w:rsidRPr="003675E5">
        <w:t>he submission off-set the costs of the uncoated NaPb powder and not any of the uncoated NaPb tablets (underestimated cost-offsets).</w:t>
      </w:r>
    </w:p>
    <w:p w:rsidR="0037380E" w:rsidRPr="003675E5" w:rsidRDefault="0037380E" w:rsidP="00881F91">
      <w:pPr>
        <w:pStyle w:val="ListParagraph"/>
      </w:pPr>
      <w:r w:rsidRPr="003675E5">
        <w:t>Cost offsets for MBS and hospitalisations were significantly overestimated as the rate and costs of hospitalisation for HACs were overestimated.</w:t>
      </w:r>
    </w:p>
    <w:p w:rsidR="0037380E" w:rsidRPr="003675E5" w:rsidRDefault="0037380E" w:rsidP="0037380E">
      <w:pPr>
        <w:keepNext/>
        <w:keepLines/>
        <w:spacing w:before="240" w:after="120"/>
        <w:outlineLvl w:val="1"/>
        <w:rPr>
          <w:rFonts w:ascii="Calibri" w:eastAsia="Times New Roman" w:hAnsi="Calibri" w:cs="Times New Roman"/>
          <w:b/>
          <w:sz w:val="28"/>
          <w:szCs w:val="28"/>
        </w:rPr>
      </w:pPr>
      <w:bookmarkStart w:id="33" w:name="_Toc476306895"/>
      <w:r w:rsidRPr="003675E5">
        <w:rPr>
          <w:rFonts w:ascii="Calibri" w:eastAsia="Times New Roman" w:hAnsi="Calibri" w:cs="Times New Roman"/>
          <w:b/>
          <w:sz w:val="28"/>
          <w:szCs w:val="28"/>
        </w:rPr>
        <w:t>Quality use of medicines</w:t>
      </w:r>
      <w:bookmarkEnd w:id="33"/>
    </w:p>
    <w:p w:rsidR="0037380E" w:rsidRDefault="0037380E" w:rsidP="00881F91">
      <w:pPr>
        <w:pStyle w:val="ListParagraph"/>
      </w:pPr>
      <w:r w:rsidRPr="003675E5">
        <w:t xml:space="preserve">Overall it would be expected that coated NaPb would increase </w:t>
      </w:r>
      <w:r w:rsidR="00E7451D" w:rsidRPr="003675E5">
        <w:t xml:space="preserve">compliance </w:t>
      </w:r>
      <w:r w:rsidRPr="003675E5">
        <w:t xml:space="preserve">for patients who find </w:t>
      </w:r>
      <w:r w:rsidR="00E7451D" w:rsidRPr="003675E5">
        <w:t xml:space="preserve">uncoated </w:t>
      </w:r>
      <w:r w:rsidRPr="003675E5">
        <w:t xml:space="preserve">NaPb to be unpalatable (e.g. reduce administration times in children and reduce the need for naso-gastric tubes in some patients). </w:t>
      </w:r>
    </w:p>
    <w:p w:rsidR="0019761C" w:rsidRPr="0019761C" w:rsidRDefault="0019761C" w:rsidP="00881F91">
      <w:pPr>
        <w:pStyle w:val="ListParagraph"/>
      </w:pPr>
      <w:r w:rsidRPr="0019761C">
        <w:t xml:space="preserve">The PSCR requested </w:t>
      </w:r>
      <w:r>
        <w:t xml:space="preserve">that the PBAC consider applying the </w:t>
      </w:r>
      <w:r w:rsidRPr="0019761C">
        <w:t>rule of rescue. The ESC considered that coated NaPb d</w:t>
      </w:r>
      <w:r w:rsidR="00A44E5E">
        <w:t>id</w:t>
      </w:r>
      <w:r w:rsidRPr="0019761C">
        <w:t xml:space="preserve"> not meet the necessary criteria because:</w:t>
      </w:r>
    </w:p>
    <w:p w:rsidR="0019761C" w:rsidRPr="00A44E5E" w:rsidRDefault="0019761C" w:rsidP="001D70B4">
      <w:pPr>
        <w:pStyle w:val="ListParagraph"/>
        <w:numPr>
          <w:ilvl w:val="0"/>
          <w:numId w:val="7"/>
        </w:numPr>
      </w:pPr>
      <w:r w:rsidRPr="00A44E5E">
        <w:t>Alternative ammonia scavenger</w:t>
      </w:r>
      <w:r w:rsidR="0047765E">
        <w:t>s</w:t>
      </w:r>
      <w:r w:rsidRPr="00A44E5E">
        <w:t xml:space="preserve"> (uncoated NaPb and NaBz) are available in Australia (via the TGA SAS)</w:t>
      </w:r>
      <w:r w:rsidR="00A44E5E" w:rsidRPr="00A44E5E">
        <w:t xml:space="preserve">. The Pre-PBAC response argued that this would not be the case if the TGA </w:t>
      </w:r>
      <w:r w:rsidR="00A44E5E">
        <w:t xml:space="preserve">were to </w:t>
      </w:r>
      <w:r w:rsidR="00A44E5E" w:rsidRPr="00A44E5E">
        <w:t>restrict SAS access to other ammonia</w:t>
      </w:r>
      <w:r w:rsidR="00E41E5E">
        <w:t xml:space="preserve"> scavengers</w:t>
      </w:r>
      <w:r w:rsidRPr="00A44E5E">
        <w:t>;</w:t>
      </w:r>
    </w:p>
    <w:p w:rsidR="0019761C" w:rsidRPr="00A44E5E" w:rsidRDefault="0019761C" w:rsidP="001D70B4">
      <w:pPr>
        <w:pStyle w:val="ListParagraph"/>
        <w:numPr>
          <w:ilvl w:val="0"/>
          <w:numId w:val="7"/>
        </w:numPr>
      </w:pPr>
      <w:r w:rsidRPr="00A44E5E">
        <w:t>The condition is not severe, progressive and expected to lead to premature death in all patients (UCD are a heterogeneous population and severity varies greatly); and</w:t>
      </w:r>
    </w:p>
    <w:p w:rsidR="0019761C" w:rsidRDefault="0019761C" w:rsidP="001D70B4">
      <w:pPr>
        <w:pStyle w:val="ListParagraph"/>
        <w:numPr>
          <w:ilvl w:val="0"/>
          <w:numId w:val="7"/>
        </w:numPr>
        <w:rPr>
          <w:rFonts w:ascii="Calibri" w:eastAsia="Calibri" w:hAnsi="Calibri" w:cs="Arial"/>
        </w:rPr>
      </w:pPr>
      <w:r w:rsidRPr="00A44E5E">
        <w:t>It is unclear if coated NaPb provides a worthwhile clinical improvement sufficient to qualify as rescue</w:t>
      </w:r>
      <w:r w:rsidRPr="0019761C">
        <w:rPr>
          <w:rFonts w:ascii="Calibri" w:eastAsia="Calibri" w:hAnsi="Calibri" w:cs="Arial"/>
        </w:rPr>
        <w:t xml:space="preserve"> from the medical condition as no overall survival data for coated NaPb were provided.</w:t>
      </w:r>
    </w:p>
    <w:p w:rsidR="00D57D4A" w:rsidRPr="00D57D4A" w:rsidRDefault="00E41E5E" w:rsidP="00D57D4A">
      <w:pPr>
        <w:spacing w:before="0" w:after="120"/>
        <w:ind w:left="709"/>
        <w:jc w:val="both"/>
        <w:rPr>
          <w:rFonts w:ascii="Calibri" w:eastAsia="Calibri" w:hAnsi="Calibri" w:cs="Arial"/>
        </w:rPr>
      </w:pPr>
      <w:r>
        <w:rPr>
          <w:rFonts w:ascii="Calibri" w:eastAsia="Calibri" w:hAnsi="Calibri" w:cs="Arial"/>
        </w:rPr>
        <w:t>Per the PBAC Guidelines (Version 5.0), a</w:t>
      </w:r>
      <w:r w:rsidR="00D57D4A" w:rsidRPr="00D57D4A">
        <w:rPr>
          <w:rFonts w:ascii="Calibri" w:eastAsia="Calibri" w:hAnsi="Calibri" w:cs="Arial"/>
        </w:rPr>
        <w:t xml:space="preserve"> decision on whether the rule of</w:t>
      </w:r>
      <w:r w:rsidR="00D57D4A">
        <w:rPr>
          <w:rFonts w:ascii="Calibri" w:eastAsia="Calibri" w:hAnsi="Calibri" w:cs="Arial"/>
        </w:rPr>
        <w:t xml:space="preserve"> </w:t>
      </w:r>
      <w:r w:rsidR="00D57D4A" w:rsidRPr="00D57D4A">
        <w:rPr>
          <w:rFonts w:ascii="Calibri" w:eastAsia="Calibri" w:hAnsi="Calibri" w:cs="Arial"/>
        </w:rPr>
        <w:t>rescue is relevant is only necessary if the PBAC would be inclined to reject a submission because of</w:t>
      </w:r>
      <w:r w:rsidR="00D57D4A">
        <w:rPr>
          <w:rFonts w:ascii="Calibri" w:eastAsia="Calibri" w:hAnsi="Calibri" w:cs="Arial"/>
        </w:rPr>
        <w:t xml:space="preserve"> </w:t>
      </w:r>
      <w:r w:rsidR="00D57D4A" w:rsidRPr="00D57D4A">
        <w:rPr>
          <w:rFonts w:ascii="Calibri" w:eastAsia="Calibri" w:hAnsi="Calibri" w:cs="Arial"/>
        </w:rPr>
        <w:t>its consideration of comparative cost-effectiveness (and any other relevant factors)</w:t>
      </w:r>
      <w:r w:rsidR="00D57D4A">
        <w:rPr>
          <w:rFonts w:ascii="Calibri" w:eastAsia="Calibri" w:hAnsi="Calibri" w:cs="Arial"/>
        </w:rPr>
        <w:t>.</w:t>
      </w:r>
    </w:p>
    <w:bookmarkEnd w:id="32"/>
    <w:p w:rsidR="003675E5" w:rsidRPr="00F126C6" w:rsidRDefault="003675E5" w:rsidP="00881F91">
      <w:pPr>
        <w:pStyle w:val="ListParagraph"/>
      </w:pPr>
      <w:r w:rsidRPr="00F126C6">
        <w:t>For more detail on PBAC’s view, see section 7 PBAC outcome.</w:t>
      </w:r>
    </w:p>
    <w:p w:rsidR="003675E5" w:rsidRPr="003675E5" w:rsidRDefault="003675E5" w:rsidP="003675E5">
      <w:pPr>
        <w:pStyle w:val="Heading1"/>
        <w:ind w:left="709" w:hanging="709"/>
      </w:pPr>
      <w:r w:rsidRPr="003675E5">
        <w:t>PBAC Outcome</w:t>
      </w:r>
    </w:p>
    <w:p w:rsidR="00211C17" w:rsidRPr="001953CC" w:rsidRDefault="001953CC" w:rsidP="00881F91">
      <w:pPr>
        <w:pStyle w:val="ListParagraph"/>
        <w:rPr>
          <w:snapToGrid w:val="0"/>
          <w:lang w:val="en-GB"/>
        </w:rPr>
      </w:pPr>
      <w:r w:rsidRPr="00211C17">
        <w:rPr>
          <w:snapToGrid w:val="0"/>
          <w:lang w:val="en-GB"/>
        </w:rPr>
        <w:t xml:space="preserve">The PBAC </w:t>
      </w:r>
      <w:r w:rsidR="00B55721">
        <w:rPr>
          <w:snapToGrid w:val="0"/>
          <w:lang w:val="en-GB"/>
        </w:rPr>
        <w:t>did</w:t>
      </w:r>
      <w:r w:rsidR="00B55721" w:rsidRPr="00211C17">
        <w:rPr>
          <w:snapToGrid w:val="0"/>
          <w:lang w:val="en-GB"/>
        </w:rPr>
        <w:t xml:space="preserve"> </w:t>
      </w:r>
      <w:r w:rsidRPr="00211C17">
        <w:rPr>
          <w:snapToGrid w:val="0"/>
          <w:lang w:val="en-GB"/>
        </w:rPr>
        <w:t xml:space="preserve">not recommend the listing of </w:t>
      </w:r>
      <w:r w:rsidR="00564DB6" w:rsidRPr="00564DB6">
        <w:rPr>
          <w:snapToGrid w:val="0"/>
          <w:lang w:val="en-GB"/>
        </w:rPr>
        <w:t xml:space="preserve">a sugar-coated granule formulation of sodium phenylbutyrate </w:t>
      </w:r>
      <w:r w:rsidR="00564DB6">
        <w:rPr>
          <w:snapToGrid w:val="0"/>
          <w:lang w:val="en-GB"/>
        </w:rPr>
        <w:t xml:space="preserve">(referred to as </w:t>
      </w:r>
      <w:r w:rsidR="003778DA" w:rsidRPr="00211C17">
        <w:rPr>
          <w:snapToGrid w:val="0"/>
          <w:lang w:val="en-GB"/>
        </w:rPr>
        <w:t xml:space="preserve">coated </w:t>
      </w:r>
      <w:r w:rsidR="00564DB6">
        <w:rPr>
          <w:snapToGrid w:val="0"/>
          <w:lang w:val="en-GB"/>
        </w:rPr>
        <w:t xml:space="preserve">NaPb) </w:t>
      </w:r>
      <w:r w:rsidRPr="00211C17">
        <w:rPr>
          <w:snapToGrid w:val="0"/>
          <w:lang w:val="en-GB"/>
        </w:rPr>
        <w:t xml:space="preserve">on the basis of unclear </w:t>
      </w:r>
      <w:r w:rsidR="00346FBD">
        <w:rPr>
          <w:snapToGrid w:val="0"/>
          <w:lang w:val="en-GB"/>
        </w:rPr>
        <w:t xml:space="preserve">incremental </w:t>
      </w:r>
      <w:r w:rsidRPr="00211C17">
        <w:rPr>
          <w:snapToGrid w:val="0"/>
          <w:lang w:val="en-GB"/>
        </w:rPr>
        <w:t xml:space="preserve">clinical benefit </w:t>
      </w:r>
      <w:r w:rsidR="00211C17" w:rsidRPr="00211C17">
        <w:rPr>
          <w:snapToGrid w:val="0"/>
          <w:lang w:val="en-GB"/>
        </w:rPr>
        <w:t>and high incremental cost compared with other ammonia scavenger formulations.</w:t>
      </w:r>
      <w:r w:rsidR="00211C17" w:rsidRPr="00211C17">
        <w:t xml:space="preserve"> </w:t>
      </w:r>
      <w:r w:rsidR="00211C17">
        <w:t>In particular, the PBAC</w:t>
      </w:r>
      <w:r w:rsidR="00211C17" w:rsidRPr="00211C17">
        <w:rPr>
          <w:snapToGrid w:val="0"/>
          <w:lang w:val="en-GB"/>
        </w:rPr>
        <w:t xml:space="preserve"> considered that the clinical evidence w</w:t>
      </w:r>
      <w:r w:rsidR="00331033">
        <w:rPr>
          <w:snapToGrid w:val="0"/>
          <w:lang w:val="en-GB"/>
        </w:rPr>
        <w:t>as</w:t>
      </w:r>
      <w:r w:rsidR="00211C17" w:rsidRPr="00211C17">
        <w:rPr>
          <w:snapToGrid w:val="0"/>
          <w:lang w:val="en-GB"/>
        </w:rPr>
        <w:t xml:space="preserve"> insufficient to support a claim of superior efficacy versus other ammonia scavenger formulations</w:t>
      </w:r>
      <w:r w:rsidR="00211C17">
        <w:rPr>
          <w:snapToGrid w:val="0"/>
          <w:lang w:val="en-GB"/>
        </w:rPr>
        <w:t>.</w:t>
      </w:r>
    </w:p>
    <w:p w:rsidR="001953CC" w:rsidRPr="00211C17" w:rsidRDefault="001953CC" w:rsidP="00881F91">
      <w:pPr>
        <w:pStyle w:val="ListParagraph"/>
      </w:pPr>
      <w:r w:rsidRPr="00211C17">
        <w:t xml:space="preserve">The PBAC </w:t>
      </w:r>
      <w:r w:rsidR="00E41E5E">
        <w:t xml:space="preserve">considered that </w:t>
      </w:r>
      <w:r w:rsidR="001B5162" w:rsidRPr="00211C17">
        <w:t>ammonia scavengers</w:t>
      </w:r>
      <w:r w:rsidR="00E41E5E">
        <w:t xml:space="preserve"> have an important clinical place in the treatment of UCDs</w:t>
      </w:r>
      <w:r w:rsidR="007757D5" w:rsidRPr="00211C17">
        <w:t xml:space="preserve">. </w:t>
      </w:r>
      <w:r w:rsidR="00222913">
        <w:t>Thus, t</w:t>
      </w:r>
      <w:r w:rsidR="007757D5" w:rsidRPr="00211C17">
        <w:t xml:space="preserve">he PBAC was of the view that there was a need </w:t>
      </w:r>
      <w:r w:rsidRPr="00211C17">
        <w:t xml:space="preserve">to ensure the </w:t>
      </w:r>
      <w:r w:rsidR="001B5162" w:rsidRPr="00211C17">
        <w:t xml:space="preserve">continuing </w:t>
      </w:r>
      <w:r w:rsidRPr="00211C17">
        <w:t xml:space="preserve">availability of </w:t>
      </w:r>
      <w:r w:rsidR="00564DB6">
        <w:t>NaPb</w:t>
      </w:r>
      <w:r w:rsidR="00E41E5E">
        <w:t>,</w:t>
      </w:r>
      <w:r w:rsidR="001A5742" w:rsidRPr="00211C17">
        <w:t xml:space="preserve"> </w:t>
      </w:r>
      <w:r w:rsidR="00331033">
        <w:t>which could be achieved</w:t>
      </w:r>
      <w:r w:rsidRPr="00211C17">
        <w:t xml:space="preserve"> </w:t>
      </w:r>
      <w:r w:rsidR="007757D5" w:rsidRPr="00211C17">
        <w:t>through</w:t>
      </w:r>
      <w:r w:rsidR="00073FCE" w:rsidRPr="00211C17">
        <w:t xml:space="preserve"> compounding of the raw material </w:t>
      </w:r>
      <w:r w:rsidR="006C5B25" w:rsidRPr="00211C17">
        <w:t xml:space="preserve">into capsules or syrup </w:t>
      </w:r>
      <w:r w:rsidR="00073FCE" w:rsidRPr="00211C17">
        <w:t xml:space="preserve">by </w:t>
      </w:r>
      <w:r w:rsidR="006C5B25" w:rsidRPr="00211C17">
        <w:t xml:space="preserve">compounding </w:t>
      </w:r>
      <w:r w:rsidR="00073FCE" w:rsidRPr="00211C17">
        <w:t>pharmacis</w:t>
      </w:r>
      <w:r w:rsidR="007757D5" w:rsidRPr="00211C17">
        <w:t>ts</w:t>
      </w:r>
      <w:r w:rsidR="00073FCE" w:rsidRPr="00211C17">
        <w:t>.</w:t>
      </w:r>
      <w:r w:rsidRPr="00211C17">
        <w:t xml:space="preserve"> </w:t>
      </w:r>
    </w:p>
    <w:p w:rsidR="007757D5" w:rsidRDefault="001953CC" w:rsidP="00881F91">
      <w:pPr>
        <w:pStyle w:val="ListParagraph"/>
      </w:pPr>
      <w:r>
        <w:t>The PBAC considered that other formulations of NaPb and/or NaBz were the appropriate c</w:t>
      </w:r>
      <w:r w:rsidR="003675E5" w:rsidRPr="003675E5">
        <w:t>omparator</w:t>
      </w:r>
      <w:r>
        <w:t xml:space="preserve">s. </w:t>
      </w:r>
    </w:p>
    <w:p w:rsidR="007757D5" w:rsidRDefault="007757D5" w:rsidP="00881F91">
      <w:pPr>
        <w:pStyle w:val="ListParagraph"/>
      </w:pPr>
      <w:r>
        <w:t>The PBAC considered that coated NaPb may be more palatable than uncoated formulations for some patients</w:t>
      </w:r>
      <w:r w:rsidR="006C5B25">
        <w:t>,</w:t>
      </w:r>
      <w:r>
        <w:t xml:space="preserve"> predominantly paediatric patients unable to swallow capsules. </w:t>
      </w:r>
      <w:r w:rsidR="00E41E5E">
        <w:t>However</w:t>
      </w:r>
      <w:r>
        <w:t xml:space="preserve">, the PBAC </w:t>
      </w:r>
      <w:r w:rsidR="006C5B25">
        <w:t xml:space="preserve">considered </w:t>
      </w:r>
      <w:r w:rsidR="00E41E5E">
        <w:t>this</w:t>
      </w:r>
      <w:r w:rsidR="006C5B25" w:rsidRPr="006C5B25">
        <w:t xml:space="preserve"> taste advantage would not be realised in </w:t>
      </w:r>
      <w:r w:rsidR="006C5B25">
        <w:t xml:space="preserve">all </w:t>
      </w:r>
      <w:r w:rsidR="006C5B25" w:rsidRPr="006C5B25">
        <w:t>patients</w:t>
      </w:r>
      <w:r w:rsidR="006C5B25">
        <w:t>. For example, the PBAC</w:t>
      </w:r>
      <w:r>
        <w:t xml:space="preserve"> not</w:t>
      </w:r>
      <w:r w:rsidR="006C5B25">
        <w:t>ed</w:t>
      </w:r>
      <w:r>
        <w:t xml:space="preserve"> that</w:t>
      </w:r>
      <w:r w:rsidRPr="00C41B43">
        <w:t xml:space="preserve"> in </w:t>
      </w:r>
      <w:r w:rsidR="00E41E5E">
        <w:t>a</w:t>
      </w:r>
      <w:r w:rsidR="00E41E5E" w:rsidRPr="00C41B43">
        <w:t xml:space="preserve"> </w:t>
      </w:r>
      <w:r w:rsidRPr="00C41B43">
        <w:t>bioequivalence study, 21% of the volunteers (3/14) preferred the taste of the uncoated formulation</w:t>
      </w:r>
      <w:r>
        <w:t xml:space="preserve">. </w:t>
      </w:r>
    </w:p>
    <w:p w:rsidR="00BF116D" w:rsidRPr="00076017" w:rsidRDefault="00BF116D" w:rsidP="00BF116D">
      <w:pPr>
        <w:pStyle w:val="ListParagraph"/>
      </w:pPr>
      <w:r w:rsidRPr="00076017">
        <w:t xml:space="preserve">The PBAC considered </w:t>
      </w:r>
      <w:r>
        <w:t>that the clinical evidence was of low quality and</w:t>
      </w:r>
      <w:r w:rsidRPr="00076017">
        <w:t xml:space="preserve"> insufficient to support a claim of superior</w:t>
      </w:r>
      <w:r w:rsidRPr="001A5742">
        <w:t xml:space="preserve"> </w:t>
      </w:r>
      <w:r w:rsidRPr="00076017">
        <w:t xml:space="preserve">efficacy versus other </w:t>
      </w:r>
      <w:r>
        <w:t>ammonia scavenger formulations</w:t>
      </w:r>
      <w:r w:rsidRPr="00076017">
        <w:t xml:space="preserve">. In particular, the PBAC noted the claim was based on a before-and-after study (Kibleur 2014), which had a serious </w:t>
      </w:r>
      <w:r w:rsidRPr="007757D5">
        <w:t xml:space="preserve">risk of </w:t>
      </w:r>
      <w:r>
        <w:t xml:space="preserve">selection </w:t>
      </w:r>
      <w:r w:rsidRPr="007757D5">
        <w:t>bias as patients were recruited on the basis that they were having difficulty taking ammonia scavenger therapy (i.e. patients were self-selected on the basis of low compliance).</w:t>
      </w:r>
      <w:r>
        <w:t xml:space="preserve"> If such patients were also preferentially enrolled because of poorly controlled hyperammonemic episodes, regression to the null will also tend to result in overestimation of any benefit.</w:t>
      </w:r>
      <w:r w:rsidRPr="00076017">
        <w:t xml:space="preserve"> Further, the</w:t>
      </w:r>
      <w:r>
        <w:t xml:space="preserve"> PBAC considered</w:t>
      </w:r>
      <w:r w:rsidRPr="00076017">
        <w:t xml:space="preserve"> that </w:t>
      </w:r>
      <w:r>
        <w:t xml:space="preserve">the outcome of </w:t>
      </w:r>
      <w:r w:rsidRPr="00076017">
        <w:t>hyperammonemic episode</w:t>
      </w:r>
      <w:r>
        <w:t>s was poorly defined in the publication of</w:t>
      </w:r>
      <w:r w:rsidRPr="00076017">
        <w:t xml:space="preserve"> Kibleur 2014. </w:t>
      </w:r>
    </w:p>
    <w:p w:rsidR="006C4A82" w:rsidRPr="00A60ADF" w:rsidRDefault="00DB7721" w:rsidP="00881F91">
      <w:pPr>
        <w:pStyle w:val="ListParagraph"/>
      </w:pPr>
      <w:r w:rsidRPr="00A60ADF">
        <w:t>The PBAC considered that the evidence provided did not support a difference in health outcomes between the ammonia scavengers. Overall</w:t>
      </w:r>
      <w:r w:rsidR="006C4A82" w:rsidRPr="00A60ADF">
        <w:t>, the PBAC considered that is was inappropriate to e</w:t>
      </w:r>
      <w:r w:rsidRPr="00A60ADF">
        <w:t xml:space="preserve">xtrapolate </w:t>
      </w:r>
      <w:r w:rsidR="006C4A82" w:rsidRPr="00A60ADF">
        <w:t xml:space="preserve">changes in administration to improved health outcomes. </w:t>
      </w:r>
    </w:p>
    <w:p w:rsidR="006C4A82" w:rsidRPr="00A60ADF" w:rsidRDefault="006C4A82" w:rsidP="00881F91">
      <w:pPr>
        <w:pStyle w:val="ListParagraph"/>
      </w:pPr>
      <w:r w:rsidRPr="00A60ADF">
        <w:t xml:space="preserve">The PBAC considered that a claim of non-inferior comparative efficacy and safety </w:t>
      </w:r>
      <w:r w:rsidR="003778DA" w:rsidRPr="003778DA">
        <w:t xml:space="preserve">compared with other ammonia scavenger formulations </w:t>
      </w:r>
      <w:r w:rsidRPr="00A60ADF">
        <w:t xml:space="preserve">would have been more appropriate given the clinical evidence available. </w:t>
      </w:r>
    </w:p>
    <w:p w:rsidR="006C4A82" w:rsidRPr="006C5B25" w:rsidRDefault="006C4A82" w:rsidP="00881F91">
      <w:pPr>
        <w:pStyle w:val="ListParagraph"/>
      </w:pPr>
      <w:r w:rsidRPr="00A60ADF">
        <w:t xml:space="preserve">Therefore, </w:t>
      </w:r>
      <w:r w:rsidR="006C5B25" w:rsidRPr="006C5B25">
        <w:t>given the lack of reliable clinical data to inform a cost utility analysis,</w:t>
      </w:r>
      <w:r w:rsidR="006C5B25">
        <w:t xml:space="preserve"> </w:t>
      </w:r>
      <w:r w:rsidRPr="00A60ADF">
        <w:t xml:space="preserve">the PBAC considered that a cost-minimisation analysis </w:t>
      </w:r>
      <w:r w:rsidR="00DB7721" w:rsidRPr="00A60ADF">
        <w:t xml:space="preserve">against other ammonia scavengers </w:t>
      </w:r>
      <w:r w:rsidRPr="00A60ADF">
        <w:t>would have been appropriate.</w:t>
      </w:r>
      <w:r w:rsidR="002C466B" w:rsidRPr="00A60ADF">
        <w:t xml:space="preserve"> </w:t>
      </w:r>
    </w:p>
    <w:p w:rsidR="00CD33CC" w:rsidRPr="001B5162" w:rsidRDefault="006C4A82" w:rsidP="00881F91">
      <w:pPr>
        <w:pStyle w:val="ListParagraph"/>
      </w:pPr>
      <w:r w:rsidRPr="00A60ADF">
        <w:t>The PBAC</w:t>
      </w:r>
      <w:r w:rsidRPr="001B5162">
        <w:t xml:space="preserve"> consider</w:t>
      </w:r>
      <w:r w:rsidR="001B5162" w:rsidRPr="001B5162">
        <w:t>e</w:t>
      </w:r>
      <w:r w:rsidRPr="001B5162">
        <w:t xml:space="preserve">d that market </w:t>
      </w:r>
      <w:r w:rsidRPr="00A27D94">
        <w:t>uptake would be considerably higher than estimated in the submission</w:t>
      </w:r>
      <w:r w:rsidR="00A60ADF" w:rsidRPr="00A27D94">
        <w:t xml:space="preserve"> </w:t>
      </w:r>
      <w:r w:rsidR="001B5162" w:rsidRPr="00A27D94">
        <w:t xml:space="preserve">as coated NaPb </w:t>
      </w:r>
      <w:r w:rsidR="00073FCE" w:rsidRPr="00A27D94">
        <w:t xml:space="preserve">would likely replace the majority of use of current SAS products. </w:t>
      </w:r>
      <w:r w:rsidR="001B5162" w:rsidRPr="00A27D94">
        <w:t>Further, t</w:t>
      </w:r>
      <w:r w:rsidR="00CD33CC" w:rsidRPr="00A27D94">
        <w:t>he PBAC considered that</w:t>
      </w:r>
      <w:r w:rsidR="001B5162" w:rsidRPr="00A27D94">
        <w:t xml:space="preserve"> </w:t>
      </w:r>
      <w:r w:rsidR="002A25AD" w:rsidRPr="00A27D94">
        <w:t>the financial estimates</w:t>
      </w:r>
      <w:r w:rsidR="001B5162" w:rsidRPr="00A27D94">
        <w:t xml:space="preserve"> had </w:t>
      </w:r>
      <w:r w:rsidR="007D2051" w:rsidRPr="00331033">
        <w:t>under</w:t>
      </w:r>
      <w:r w:rsidR="001B5162" w:rsidRPr="00331033">
        <w:t>estim</w:t>
      </w:r>
      <w:r w:rsidR="001B5162" w:rsidRPr="00A27D94">
        <w:t xml:space="preserve">ated </w:t>
      </w:r>
      <w:r w:rsidR="00CD33CC" w:rsidRPr="00A27D94">
        <w:t xml:space="preserve">the dose </w:t>
      </w:r>
      <w:r w:rsidR="002A25AD" w:rsidRPr="00A27D94">
        <w:t xml:space="preserve">of coated NaPb </w:t>
      </w:r>
      <w:r w:rsidR="00CD33CC" w:rsidRPr="00A27D94">
        <w:t xml:space="preserve">and </w:t>
      </w:r>
      <w:r w:rsidR="001B5162" w:rsidRPr="00A27D94">
        <w:t xml:space="preserve">overestimated the </w:t>
      </w:r>
      <w:r w:rsidR="00CD33CC" w:rsidRPr="00A27D94">
        <w:t>cost offsets for hosp</w:t>
      </w:r>
      <w:r w:rsidR="002A25AD" w:rsidRPr="00A27D94">
        <w:t>italisations</w:t>
      </w:r>
      <w:r w:rsidR="001B5162" w:rsidRPr="001B5162">
        <w:t>,</w:t>
      </w:r>
      <w:r w:rsidR="002A25AD" w:rsidRPr="001B5162">
        <w:t xml:space="preserve"> as </w:t>
      </w:r>
      <w:r w:rsidR="002A25AD" w:rsidRPr="00BB6CC6">
        <w:t>outlined in Paragraphs 6.6</w:t>
      </w:r>
      <w:r w:rsidR="00BB6CC6" w:rsidRPr="00BB6CC6">
        <w:t>0</w:t>
      </w:r>
      <w:r w:rsidR="002A25AD" w:rsidRPr="00BB6CC6">
        <w:t xml:space="preserve"> to 6.6</w:t>
      </w:r>
      <w:r w:rsidR="00BB6CC6" w:rsidRPr="00BB6CC6">
        <w:t>4.</w:t>
      </w:r>
    </w:p>
    <w:p w:rsidR="002C466B" w:rsidRPr="001D70B4" w:rsidRDefault="002C466B" w:rsidP="00881F91">
      <w:pPr>
        <w:pStyle w:val="ListParagraph"/>
      </w:pPr>
      <w:r>
        <w:t xml:space="preserve">The PBAC noted the </w:t>
      </w:r>
      <w:r w:rsidR="004F15B2">
        <w:t xml:space="preserve">PSCR’s </w:t>
      </w:r>
      <w:r>
        <w:t xml:space="preserve">request </w:t>
      </w:r>
      <w:r w:rsidRPr="006C5B25">
        <w:t>to apply the</w:t>
      </w:r>
      <w:r w:rsidRPr="00A60ADF">
        <w:t xml:space="preserve"> rule</w:t>
      </w:r>
      <w:r w:rsidRPr="002C466B">
        <w:t xml:space="preserve"> of rescue. </w:t>
      </w:r>
      <w:r w:rsidR="006C5B25">
        <w:t>Ho</w:t>
      </w:r>
      <w:r w:rsidR="00054719">
        <w:t>w</w:t>
      </w:r>
      <w:r w:rsidR="006C5B25">
        <w:t>ever, the rule of rescue was not relevant in this case as a</w:t>
      </w:r>
      <w:r w:rsidR="006C5B25" w:rsidRPr="00A60ADF">
        <w:t xml:space="preserve"> decision is only necessary if the PBAC would be inclined to reject a submission because of its consideration of comparative cost-effectiveness (and any other relevant factors</w:t>
      </w:r>
      <w:r w:rsidR="006C5B25">
        <w:t xml:space="preserve">). In this case, the PBAC rejected the submission because of its consideration of comparative efficacy (i.e. it considered that the clinical evidence were </w:t>
      </w:r>
      <w:r w:rsidR="006C5B25" w:rsidRPr="00A60ADF">
        <w:t>insufficient to support a claim of superior efficacy</w:t>
      </w:r>
      <w:r w:rsidR="006C5B25">
        <w:t xml:space="preserve"> versus the nominated comparators).</w:t>
      </w:r>
      <w:r w:rsidR="007D2051">
        <w:t xml:space="preserve"> Furthermore, t</w:t>
      </w:r>
      <w:r w:rsidRPr="002C466B">
        <w:t xml:space="preserve">he </w:t>
      </w:r>
      <w:r>
        <w:t>PBAC</w:t>
      </w:r>
      <w:r w:rsidRPr="002C466B">
        <w:t xml:space="preserve"> considered that coated NaPb </w:t>
      </w:r>
      <w:r w:rsidR="00A60ADF">
        <w:t xml:space="preserve">would not have </w:t>
      </w:r>
      <w:r w:rsidRPr="002C466B">
        <w:t>met the necessary criteria</w:t>
      </w:r>
      <w:r>
        <w:t xml:space="preserve"> for the reasons outlined in </w:t>
      </w:r>
      <w:r w:rsidRPr="001D70B4">
        <w:t>Paragraph 6.</w:t>
      </w:r>
      <w:r w:rsidR="004F15B2" w:rsidRPr="001D70B4">
        <w:t>6</w:t>
      </w:r>
      <w:r w:rsidR="00BB6CC6">
        <w:t>6</w:t>
      </w:r>
      <w:r w:rsidR="004F15B2" w:rsidRPr="001D70B4">
        <w:t xml:space="preserve">. </w:t>
      </w:r>
    </w:p>
    <w:p w:rsidR="003675E5" w:rsidRPr="001D70B4" w:rsidRDefault="001B5162" w:rsidP="008410FF">
      <w:pPr>
        <w:pStyle w:val="ListParagraph"/>
      </w:pPr>
      <w:r w:rsidRPr="001D70B4">
        <w:t xml:space="preserve">The PBAC considered that any resubmission </w:t>
      </w:r>
      <w:r w:rsidR="00B456F0" w:rsidRPr="001D70B4">
        <w:t>should</w:t>
      </w:r>
      <w:r w:rsidRPr="001D70B4">
        <w:t xml:space="preserve"> be a major submission made on a cost-minim</w:t>
      </w:r>
      <w:r w:rsidR="005D18B2" w:rsidRPr="001D70B4">
        <w:t>i</w:t>
      </w:r>
      <w:r w:rsidRPr="001D70B4">
        <w:t>sation basis against other ammonia scavengers</w:t>
      </w:r>
      <w:r w:rsidR="005D18B2" w:rsidRPr="001D70B4">
        <w:t xml:space="preserve">. </w:t>
      </w:r>
      <w:r w:rsidR="00331033" w:rsidRPr="001D70B4">
        <w:t>R</w:t>
      </w:r>
      <w:r w:rsidRPr="001D70B4">
        <w:t>evised financial estimates</w:t>
      </w:r>
      <w:r w:rsidR="00331033" w:rsidRPr="001D70B4">
        <w:t xml:space="preserve"> would also need to be provided</w:t>
      </w:r>
      <w:r w:rsidRPr="001D70B4">
        <w:t xml:space="preserve"> (as outlined in Paragraphs 6.6</w:t>
      </w:r>
      <w:r w:rsidR="00BB6CC6">
        <w:t>2</w:t>
      </w:r>
      <w:r w:rsidRPr="001D70B4">
        <w:t xml:space="preserve"> to 6.6</w:t>
      </w:r>
      <w:r w:rsidR="00BB6CC6">
        <w:t>4</w:t>
      </w:r>
      <w:r w:rsidRPr="001D70B4">
        <w:t xml:space="preserve"> and 7.</w:t>
      </w:r>
      <w:r w:rsidR="008410FF" w:rsidRPr="001D70B4">
        <w:t>9</w:t>
      </w:r>
      <w:r w:rsidRPr="001D70B4">
        <w:t xml:space="preserve">). </w:t>
      </w:r>
    </w:p>
    <w:p w:rsidR="003675E5" w:rsidRDefault="003675E5" w:rsidP="00881F91">
      <w:pPr>
        <w:pStyle w:val="ListParagraph"/>
        <w:rPr>
          <w:snapToGrid w:val="0"/>
          <w:lang w:val="en-GB"/>
        </w:rPr>
      </w:pPr>
      <w:r w:rsidRPr="003675E5">
        <w:rPr>
          <w:snapToGrid w:val="0"/>
          <w:lang w:val="en-GB"/>
        </w:rPr>
        <w:t>The PBAC noted that this submission is eligible for an Independent Review.</w:t>
      </w:r>
    </w:p>
    <w:p w:rsidR="00653CF3" w:rsidRPr="00331033" w:rsidRDefault="00653CF3" w:rsidP="00653CF3">
      <w:pPr>
        <w:spacing w:before="240" w:after="120"/>
        <w:jc w:val="both"/>
        <w:rPr>
          <w:rFonts w:ascii="Calibri" w:eastAsia="Times New Roman" w:hAnsi="Calibri" w:cs="Arial"/>
          <w:b/>
          <w:bCs/>
          <w:snapToGrid w:val="0"/>
          <w:szCs w:val="24"/>
          <w:lang w:val="en-GB"/>
        </w:rPr>
      </w:pPr>
      <w:r w:rsidRPr="00331033">
        <w:rPr>
          <w:rFonts w:ascii="Calibri" w:eastAsia="Times New Roman" w:hAnsi="Calibri" w:cs="Arial"/>
          <w:b/>
          <w:bCs/>
          <w:snapToGrid w:val="0"/>
          <w:szCs w:val="24"/>
          <w:lang w:val="en-GB"/>
        </w:rPr>
        <w:t>Outcome:</w:t>
      </w:r>
    </w:p>
    <w:p w:rsidR="00653CF3" w:rsidRPr="00331033" w:rsidRDefault="00653CF3" w:rsidP="00653CF3">
      <w:pPr>
        <w:spacing w:before="0" w:after="120"/>
        <w:jc w:val="both"/>
        <w:rPr>
          <w:rFonts w:ascii="Calibri" w:eastAsia="Times New Roman" w:hAnsi="Calibri" w:cs="Arial"/>
          <w:bCs/>
          <w:snapToGrid w:val="0"/>
          <w:szCs w:val="24"/>
          <w:lang w:val="en-GB"/>
        </w:rPr>
      </w:pPr>
      <w:r w:rsidRPr="00331033">
        <w:rPr>
          <w:rFonts w:ascii="Calibri" w:eastAsia="Times New Roman" w:hAnsi="Calibri" w:cs="Arial"/>
          <w:bCs/>
          <w:snapToGrid w:val="0"/>
          <w:szCs w:val="24"/>
          <w:lang w:val="en-GB"/>
        </w:rPr>
        <w:t xml:space="preserve">Rejected </w:t>
      </w:r>
    </w:p>
    <w:p w:rsidR="00653CF3" w:rsidRPr="00331033" w:rsidRDefault="00653CF3" w:rsidP="00653CF3">
      <w:pPr>
        <w:widowControl w:val="0"/>
        <w:spacing w:before="0" w:after="120"/>
        <w:jc w:val="both"/>
        <w:rPr>
          <w:rFonts w:ascii="Calibri" w:eastAsia="Times New Roman" w:hAnsi="Calibri" w:cs="Arial"/>
          <w:b/>
          <w:bCs/>
          <w:snapToGrid w:val="0"/>
          <w:szCs w:val="24"/>
        </w:rPr>
      </w:pPr>
    </w:p>
    <w:p w:rsidR="00F21171" w:rsidRPr="00C85FB6" w:rsidRDefault="00F21171" w:rsidP="00F21171">
      <w:pPr>
        <w:pStyle w:val="Heading1"/>
        <w:ind w:left="709" w:hanging="709"/>
      </w:pPr>
      <w:r w:rsidRPr="00C85FB6">
        <w:t>Context for Decision</w:t>
      </w:r>
    </w:p>
    <w:p w:rsidR="00F21171" w:rsidRPr="00C85FB6" w:rsidRDefault="00F21171" w:rsidP="00F21171">
      <w:pPr>
        <w:spacing w:after="120"/>
        <w:rPr>
          <w:rFonts w:ascii="Calibri" w:eastAsia="Calibri" w:hAnsi="Calibri" w:cs="Arial"/>
        </w:rPr>
      </w:pPr>
      <w:r w:rsidRPr="00C85FB6">
        <w:rPr>
          <w:rFonts w:ascii="Calibri" w:eastAsia="Calibri" w:hAnsi="Calibr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21171" w:rsidRPr="003B613F" w:rsidRDefault="00F21171" w:rsidP="003B613F">
      <w:pPr>
        <w:pStyle w:val="Heading1"/>
        <w:ind w:left="709" w:hanging="709"/>
      </w:pPr>
      <w:r w:rsidRPr="00C85FB6">
        <w:t>Sponsor’s Comment</w:t>
      </w:r>
    </w:p>
    <w:p w:rsidR="003B613F" w:rsidRPr="00481944" w:rsidRDefault="003B613F" w:rsidP="003B613F">
      <w:pPr>
        <w:jc w:val="both"/>
        <w:rPr>
          <w:rFonts w:ascii="Arial" w:hAnsi="Arial" w:cs="Arial"/>
          <w:bCs/>
          <w:sz w:val="22"/>
        </w:rPr>
      </w:pPr>
      <w:r>
        <w:rPr>
          <w:rFonts w:ascii="Calibri" w:eastAsia="Calibri" w:hAnsi="Calibri" w:cs="Arial"/>
          <w:snapToGrid w:val="0"/>
          <w:szCs w:val="20"/>
        </w:rPr>
        <w:t xml:space="preserve">The Sponsor will continue working with the PBAC to ensure that this necessary and life changing medication is made available to patients. </w:t>
      </w:r>
    </w:p>
    <w:p w:rsidR="00653CF3" w:rsidRPr="00481944" w:rsidRDefault="00653CF3" w:rsidP="00E6088B">
      <w:pPr>
        <w:jc w:val="both"/>
        <w:rPr>
          <w:rFonts w:ascii="Arial" w:hAnsi="Arial" w:cs="Arial"/>
          <w:bCs/>
          <w:sz w:val="22"/>
        </w:rPr>
      </w:pPr>
    </w:p>
    <w:p w:rsidR="00653CF3" w:rsidRPr="003675E5" w:rsidRDefault="00653CF3" w:rsidP="008410FF">
      <w:pPr>
        <w:pStyle w:val="ListParagraph"/>
        <w:numPr>
          <w:ilvl w:val="0"/>
          <w:numId w:val="0"/>
        </w:numPr>
        <w:ind w:left="576"/>
        <w:rPr>
          <w:snapToGrid w:val="0"/>
          <w:lang w:val="en-GB"/>
        </w:rPr>
      </w:pPr>
    </w:p>
    <w:sectPr w:rsidR="00653CF3" w:rsidRPr="003675E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D28073" w16cid:durableId="1D1F069E"/>
  <w16cid:commentId w16cid:paraId="16A196C7" w16cid:durableId="1D1F069F"/>
  <w16cid:commentId w16cid:paraId="29C9E907" w16cid:durableId="1D1F06A0"/>
  <w16cid:commentId w16cid:paraId="7B0961B4" w16cid:durableId="1D1F06A1"/>
  <w16cid:commentId w16cid:paraId="14EDB71B" w16cid:durableId="1D1F06A2"/>
  <w16cid:commentId w16cid:paraId="717F3D74" w16cid:durableId="1D1F06A3"/>
  <w16cid:commentId w16cid:paraId="0C45EDBB" w16cid:durableId="1D1F06A4"/>
  <w16cid:commentId w16cid:paraId="34C01315" w16cid:durableId="1D1F06A5"/>
  <w16cid:commentId w16cid:paraId="39F1787A" w16cid:durableId="1D1F06A6"/>
  <w16cid:commentId w16cid:paraId="45287A7D" w16cid:durableId="1D1F06A7"/>
  <w16cid:commentId w16cid:paraId="2329786E" w16cid:durableId="1D1F06A8"/>
  <w16cid:commentId w16cid:paraId="2C4B6CF7" w16cid:durableId="1D1F06A9"/>
  <w16cid:commentId w16cid:paraId="526D48F5" w16cid:durableId="1D1F06AA"/>
  <w16cid:commentId w16cid:paraId="408F0DB8" w16cid:durableId="1D1F06AB"/>
  <w16cid:commentId w16cid:paraId="78CE5223" w16cid:durableId="1D1F06AC"/>
  <w16cid:commentId w16cid:paraId="7EE38441" w16cid:durableId="1D1F06AD"/>
  <w16cid:commentId w16cid:paraId="0D455178" w16cid:durableId="1D1F06AE"/>
  <w16cid:commentId w16cid:paraId="32AAE784" w16cid:durableId="1D1F06AF"/>
  <w16cid:commentId w16cid:paraId="5DDB523E" w16cid:durableId="1D1F340E"/>
  <w16cid:commentId w16cid:paraId="560895BF" w16cid:durableId="1D1F06B0"/>
  <w16cid:commentId w16cid:paraId="6BDF9729" w16cid:durableId="1D1F3F17"/>
  <w16cid:commentId w16cid:paraId="4708AB18" w16cid:durableId="1D22F777"/>
  <w16cid:commentId w16cid:paraId="3C4BFDAC" w16cid:durableId="1D22F778"/>
  <w16cid:commentId w16cid:paraId="41EF0291" w16cid:durableId="1D22F779"/>
  <w16cid:commentId w16cid:paraId="7AA22967" w16cid:durableId="1D22F77A"/>
  <w16cid:commentId w16cid:paraId="1E05C7ED" w16cid:durableId="1D22F77B"/>
  <w16cid:commentId w16cid:paraId="54560C15" w16cid:durableId="1D22F77C"/>
  <w16cid:commentId w16cid:paraId="3DC1889D" w16cid:durableId="1D22F77D"/>
  <w16cid:commentId w16cid:paraId="16C99C16" w16cid:durableId="1D22F77E"/>
  <w16cid:commentId w16cid:paraId="6622ABCF" w16cid:durableId="1D22F77F"/>
  <w16cid:commentId w16cid:paraId="78AB4F19" w16cid:durableId="1D1F06B1"/>
  <w16cid:commentId w16cid:paraId="4E766283" w16cid:durableId="1D1F06B2"/>
  <w16cid:commentId w16cid:paraId="0AB47E33" w16cid:durableId="1D1F54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5B9" w:rsidRDefault="007C25B9" w:rsidP="00BA3306">
      <w:pPr>
        <w:spacing w:before="0" w:after="0"/>
      </w:pPr>
      <w:r>
        <w:separator/>
      </w:r>
    </w:p>
  </w:endnote>
  <w:endnote w:type="continuationSeparator" w:id="0">
    <w:p w:rsidR="007C25B9" w:rsidRDefault="007C25B9"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5B9" w:rsidRDefault="007C25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171" w:rsidRDefault="00F21171">
    <w:pPr>
      <w:pStyle w:val="Footer"/>
      <w:jc w:val="center"/>
    </w:pPr>
  </w:p>
  <w:p w:rsidR="00F21171" w:rsidRDefault="007C25B9">
    <w:pPr>
      <w:pStyle w:val="Footer"/>
      <w:jc w:val="center"/>
    </w:pPr>
    <w:sdt>
      <w:sdtPr>
        <w:id w:val="1370648179"/>
        <w:docPartObj>
          <w:docPartGallery w:val="Page Numbers (Bottom of Page)"/>
          <w:docPartUnique/>
        </w:docPartObj>
      </w:sdtPr>
      <w:sdtEndPr>
        <w:rPr>
          <w:noProof/>
        </w:rPr>
      </w:sdtEndPr>
      <w:sdtContent>
        <w:r w:rsidR="00F21171">
          <w:fldChar w:fldCharType="begin"/>
        </w:r>
        <w:r w:rsidR="00F21171">
          <w:instrText xml:space="preserve"> PAGE   \* MERGEFORMAT </w:instrText>
        </w:r>
        <w:r w:rsidR="00F21171">
          <w:fldChar w:fldCharType="separate"/>
        </w:r>
        <w:r>
          <w:rPr>
            <w:noProof/>
          </w:rPr>
          <w:t>1</w:t>
        </w:r>
        <w:r w:rsidR="00F21171">
          <w:rPr>
            <w:noProof/>
          </w:rPr>
          <w:fldChar w:fldCharType="end"/>
        </w:r>
      </w:sdtContent>
    </w:sdt>
  </w:p>
  <w:p w:rsidR="00F21171" w:rsidRPr="00076139" w:rsidRDefault="00F21171" w:rsidP="00076139">
    <w:pPr>
      <w:pStyle w:val="Footer"/>
      <w:jc w:val="cen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5B9" w:rsidRDefault="007C25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5B9" w:rsidRDefault="007C25B9" w:rsidP="00BA3306">
      <w:pPr>
        <w:spacing w:before="0" w:after="0"/>
      </w:pPr>
      <w:r>
        <w:separator/>
      </w:r>
    </w:p>
  </w:footnote>
  <w:footnote w:type="continuationSeparator" w:id="0">
    <w:p w:rsidR="007C25B9" w:rsidRDefault="007C25B9" w:rsidP="00BA330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5B9" w:rsidRDefault="007C25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171" w:rsidRPr="00076139" w:rsidRDefault="00F21171" w:rsidP="00B732A6">
    <w:pPr>
      <w:tabs>
        <w:tab w:val="center" w:pos="4153"/>
        <w:tab w:val="right" w:pos="8306"/>
      </w:tabs>
      <w:spacing w:before="0" w:after="0"/>
      <w:ind w:left="357"/>
      <w:jc w:val="center"/>
      <w:rPr>
        <w:rFonts w:ascii="Calibri" w:eastAsia="Times New Roman" w:hAnsi="Calibri" w:cs="Arial"/>
        <w:i/>
        <w:color w:val="808080"/>
        <w:sz w:val="22"/>
        <w:szCs w:val="24"/>
      </w:rPr>
    </w:pPr>
    <w:r>
      <w:rPr>
        <w:rFonts w:ascii="Calibri" w:eastAsia="Times New Roman" w:hAnsi="Calibri" w:cs="Arial"/>
        <w:i/>
        <w:color w:val="808080"/>
        <w:sz w:val="22"/>
        <w:szCs w:val="24"/>
      </w:rPr>
      <w:t>Public Summary Document</w:t>
    </w:r>
    <w:r w:rsidRPr="00076139">
      <w:rPr>
        <w:rFonts w:ascii="Calibri" w:eastAsia="Times New Roman" w:hAnsi="Calibri" w:cs="Arial"/>
        <w:i/>
        <w:color w:val="808080"/>
        <w:sz w:val="22"/>
        <w:szCs w:val="24"/>
      </w:rPr>
      <w:t>– November 2017 PBAC Meeting</w:t>
    </w:r>
  </w:p>
  <w:p w:rsidR="00F21171" w:rsidRPr="00076139" w:rsidRDefault="00F21171" w:rsidP="00B732A6">
    <w:pPr>
      <w:tabs>
        <w:tab w:val="center" w:pos="4153"/>
        <w:tab w:val="right" w:pos="8306"/>
      </w:tabs>
      <w:spacing w:before="0" w:after="0"/>
      <w:ind w:left="357"/>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5B9" w:rsidRDefault="007C25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B5DBD"/>
    <w:multiLevelType w:val="hybridMultilevel"/>
    <w:tmpl w:val="1D50E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84E6825"/>
    <w:multiLevelType w:val="multilevel"/>
    <w:tmpl w:val="A8D2308E"/>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Paragraph"/>
      <w:lvlText w:val="%1.%2"/>
      <w:lvlJc w:val="left"/>
      <w:pPr>
        <w:ind w:left="576" w:hanging="576"/>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3730680"/>
    <w:multiLevelType w:val="hybridMultilevel"/>
    <w:tmpl w:val="AF2EEF9E"/>
    <w:lvl w:ilvl="0" w:tplc="0C09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D93B5A"/>
    <w:multiLevelType w:val="hybridMultilevel"/>
    <w:tmpl w:val="CD9EA872"/>
    <w:lvl w:ilvl="0" w:tplc="0C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84D033C"/>
    <w:multiLevelType w:val="multilevel"/>
    <w:tmpl w:val="A8F8C95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6"/>
  </w:num>
  <w:num w:numId="3">
    <w:abstractNumId w:val="2"/>
  </w:num>
  <w:num w:numId="4">
    <w:abstractNumId w:val="5"/>
  </w:num>
  <w:num w:numId="5">
    <w:abstractNumId w:val="0"/>
  </w:num>
  <w:num w:numId="6">
    <w:abstractNumId w:val="3"/>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EBC"/>
    <w:rsid w:val="0000002D"/>
    <w:rsid w:val="00000449"/>
    <w:rsid w:val="000006C9"/>
    <w:rsid w:val="000019BF"/>
    <w:rsid w:val="00001AB4"/>
    <w:rsid w:val="000046F8"/>
    <w:rsid w:val="00005605"/>
    <w:rsid w:val="0000652E"/>
    <w:rsid w:val="00006DBD"/>
    <w:rsid w:val="00007801"/>
    <w:rsid w:val="0001066F"/>
    <w:rsid w:val="000125FF"/>
    <w:rsid w:val="00012649"/>
    <w:rsid w:val="00013222"/>
    <w:rsid w:val="000133F7"/>
    <w:rsid w:val="00015330"/>
    <w:rsid w:val="00016281"/>
    <w:rsid w:val="00016AEB"/>
    <w:rsid w:val="00016EB1"/>
    <w:rsid w:val="000178F2"/>
    <w:rsid w:val="00020545"/>
    <w:rsid w:val="0002095B"/>
    <w:rsid w:val="00022495"/>
    <w:rsid w:val="0002294A"/>
    <w:rsid w:val="0002362D"/>
    <w:rsid w:val="0002368C"/>
    <w:rsid w:val="000243BB"/>
    <w:rsid w:val="000256B7"/>
    <w:rsid w:val="00025C4D"/>
    <w:rsid w:val="00026B53"/>
    <w:rsid w:val="0002749F"/>
    <w:rsid w:val="00027CEE"/>
    <w:rsid w:val="00030632"/>
    <w:rsid w:val="00030959"/>
    <w:rsid w:val="00030CBF"/>
    <w:rsid w:val="0003115B"/>
    <w:rsid w:val="0003175D"/>
    <w:rsid w:val="000324D5"/>
    <w:rsid w:val="000330A7"/>
    <w:rsid w:val="00033380"/>
    <w:rsid w:val="00034404"/>
    <w:rsid w:val="000369F3"/>
    <w:rsid w:val="00036D22"/>
    <w:rsid w:val="00037510"/>
    <w:rsid w:val="00040C66"/>
    <w:rsid w:val="0004212C"/>
    <w:rsid w:val="0004261D"/>
    <w:rsid w:val="00042CA3"/>
    <w:rsid w:val="00043864"/>
    <w:rsid w:val="0004398A"/>
    <w:rsid w:val="00044132"/>
    <w:rsid w:val="00045754"/>
    <w:rsid w:val="000461CF"/>
    <w:rsid w:val="00046215"/>
    <w:rsid w:val="00046BE5"/>
    <w:rsid w:val="00046C60"/>
    <w:rsid w:val="00046D0F"/>
    <w:rsid w:val="000471A9"/>
    <w:rsid w:val="00047941"/>
    <w:rsid w:val="00047D02"/>
    <w:rsid w:val="00050E8B"/>
    <w:rsid w:val="00051774"/>
    <w:rsid w:val="00051E84"/>
    <w:rsid w:val="00053232"/>
    <w:rsid w:val="00054719"/>
    <w:rsid w:val="000559F2"/>
    <w:rsid w:val="000563CA"/>
    <w:rsid w:val="00056A00"/>
    <w:rsid w:val="00057A4A"/>
    <w:rsid w:val="00057E54"/>
    <w:rsid w:val="00057F71"/>
    <w:rsid w:val="00060D62"/>
    <w:rsid w:val="00062067"/>
    <w:rsid w:val="00062533"/>
    <w:rsid w:val="00062AB8"/>
    <w:rsid w:val="00062EA5"/>
    <w:rsid w:val="00062FB9"/>
    <w:rsid w:val="00062FF3"/>
    <w:rsid w:val="00063DC1"/>
    <w:rsid w:val="00065C62"/>
    <w:rsid w:val="00065CDE"/>
    <w:rsid w:val="00065F4A"/>
    <w:rsid w:val="000665FB"/>
    <w:rsid w:val="000667DA"/>
    <w:rsid w:val="00067318"/>
    <w:rsid w:val="00067983"/>
    <w:rsid w:val="00070D1E"/>
    <w:rsid w:val="00073FCE"/>
    <w:rsid w:val="000746BD"/>
    <w:rsid w:val="00075652"/>
    <w:rsid w:val="00075938"/>
    <w:rsid w:val="00075939"/>
    <w:rsid w:val="00076017"/>
    <w:rsid w:val="00076139"/>
    <w:rsid w:val="0007687E"/>
    <w:rsid w:val="000771B1"/>
    <w:rsid w:val="000774DD"/>
    <w:rsid w:val="00077FD2"/>
    <w:rsid w:val="00080182"/>
    <w:rsid w:val="000805D0"/>
    <w:rsid w:val="00080FF3"/>
    <w:rsid w:val="00083152"/>
    <w:rsid w:val="000835B5"/>
    <w:rsid w:val="000847FE"/>
    <w:rsid w:val="00084B42"/>
    <w:rsid w:val="00084D92"/>
    <w:rsid w:val="00086133"/>
    <w:rsid w:val="00087F9C"/>
    <w:rsid w:val="00087FD5"/>
    <w:rsid w:val="000904F1"/>
    <w:rsid w:val="000917A0"/>
    <w:rsid w:val="000922E9"/>
    <w:rsid w:val="000957EC"/>
    <w:rsid w:val="000A1C06"/>
    <w:rsid w:val="000A2694"/>
    <w:rsid w:val="000A2B7A"/>
    <w:rsid w:val="000A2EF1"/>
    <w:rsid w:val="000A30B9"/>
    <w:rsid w:val="000A3262"/>
    <w:rsid w:val="000A3B92"/>
    <w:rsid w:val="000A3E36"/>
    <w:rsid w:val="000A4DAD"/>
    <w:rsid w:val="000A4F24"/>
    <w:rsid w:val="000A4FDF"/>
    <w:rsid w:val="000A5716"/>
    <w:rsid w:val="000A5DC1"/>
    <w:rsid w:val="000A6FBD"/>
    <w:rsid w:val="000A71D7"/>
    <w:rsid w:val="000A7D1C"/>
    <w:rsid w:val="000B3A4C"/>
    <w:rsid w:val="000B4E91"/>
    <w:rsid w:val="000B56CD"/>
    <w:rsid w:val="000B5735"/>
    <w:rsid w:val="000B5C82"/>
    <w:rsid w:val="000B656B"/>
    <w:rsid w:val="000B6B69"/>
    <w:rsid w:val="000B6CA4"/>
    <w:rsid w:val="000B7291"/>
    <w:rsid w:val="000B7464"/>
    <w:rsid w:val="000B7B96"/>
    <w:rsid w:val="000B7C3A"/>
    <w:rsid w:val="000C0142"/>
    <w:rsid w:val="000C0424"/>
    <w:rsid w:val="000C0597"/>
    <w:rsid w:val="000C1373"/>
    <w:rsid w:val="000C42E6"/>
    <w:rsid w:val="000C4F55"/>
    <w:rsid w:val="000C503C"/>
    <w:rsid w:val="000C55B6"/>
    <w:rsid w:val="000C61D4"/>
    <w:rsid w:val="000C6A40"/>
    <w:rsid w:val="000C6A75"/>
    <w:rsid w:val="000C6C4F"/>
    <w:rsid w:val="000C7191"/>
    <w:rsid w:val="000C7633"/>
    <w:rsid w:val="000C7A7C"/>
    <w:rsid w:val="000D0023"/>
    <w:rsid w:val="000D07D8"/>
    <w:rsid w:val="000D0F12"/>
    <w:rsid w:val="000D14BB"/>
    <w:rsid w:val="000D1572"/>
    <w:rsid w:val="000D15BA"/>
    <w:rsid w:val="000D1DE0"/>
    <w:rsid w:val="000D1FA4"/>
    <w:rsid w:val="000D2157"/>
    <w:rsid w:val="000D2E92"/>
    <w:rsid w:val="000D3274"/>
    <w:rsid w:val="000D3B99"/>
    <w:rsid w:val="000D4E49"/>
    <w:rsid w:val="000D59D9"/>
    <w:rsid w:val="000D611F"/>
    <w:rsid w:val="000D6D62"/>
    <w:rsid w:val="000D740E"/>
    <w:rsid w:val="000D7BEC"/>
    <w:rsid w:val="000D7C25"/>
    <w:rsid w:val="000D7F5C"/>
    <w:rsid w:val="000E043A"/>
    <w:rsid w:val="000E0642"/>
    <w:rsid w:val="000E068E"/>
    <w:rsid w:val="000E152D"/>
    <w:rsid w:val="000E19C9"/>
    <w:rsid w:val="000E1A74"/>
    <w:rsid w:val="000E2983"/>
    <w:rsid w:val="000E45B9"/>
    <w:rsid w:val="000E4E72"/>
    <w:rsid w:val="000E58CD"/>
    <w:rsid w:val="000E6719"/>
    <w:rsid w:val="000F1D67"/>
    <w:rsid w:val="000F2141"/>
    <w:rsid w:val="000F2534"/>
    <w:rsid w:val="000F2AB9"/>
    <w:rsid w:val="000F2CB5"/>
    <w:rsid w:val="000F30EE"/>
    <w:rsid w:val="000F3652"/>
    <w:rsid w:val="000F4444"/>
    <w:rsid w:val="000F49E0"/>
    <w:rsid w:val="000F5A31"/>
    <w:rsid w:val="000F60C8"/>
    <w:rsid w:val="000F635C"/>
    <w:rsid w:val="000F65E1"/>
    <w:rsid w:val="000F6841"/>
    <w:rsid w:val="000F7E84"/>
    <w:rsid w:val="000F7EBC"/>
    <w:rsid w:val="00100CB2"/>
    <w:rsid w:val="0010271E"/>
    <w:rsid w:val="001027D8"/>
    <w:rsid w:val="00102AB3"/>
    <w:rsid w:val="00102C14"/>
    <w:rsid w:val="00104273"/>
    <w:rsid w:val="001053D3"/>
    <w:rsid w:val="00106FE3"/>
    <w:rsid w:val="001074B6"/>
    <w:rsid w:val="00107C93"/>
    <w:rsid w:val="00111A02"/>
    <w:rsid w:val="001125DF"/>
    <w:rsid w:val="001148F9"/>
    <w:rsid w:val="0011505A"/>
    <w:rsid w:val="001156A2"/>
    <w:rsid w:val="00116300"/>
    <w:rsid w:val="001167E1"/>
    <w:rsid w:val="001168A6"/>
    <w:rsid w:val="0012117A"/>
    <w:rsid w:val="0012192A"/>
    <w:rsid w:val="00123717"/>
    <w:rsid w:val="00124127"/>
    <w:rsid w:val="001241BD"/>
    <w:rsid w:val="0012515A"/>
    <w:rsid w:val="00125710"/>
    <w:rsid w:val="001265AF"/>
    <w:rsid w:val="001268BF"/>
    <w:rsid w:val="00126EDE"/>
    <w:rsid w:val="0012701F"/>
    <w:rsid w:val="00127631"/>
    <w:rsid w:val="001279AE"/>
    <w:rsid w:val="00130263"/>
    <w:rsid w:val="0013092C"/>
    <w:rsid w:val="00131344"/>
    <w:rsid w:val="001315A8"/>
    <w:rsid w:val="00131B33"/>
    <w:rsid w:val="0013355A"/>
    <w:rsid w:val="001342D1"/>
    <w:rsid w:val="001347AC"/>
    <w:rsid w:val="00134D17"/>
    <w:rsid w:val="00136E76"/>
    <w:rsid w:val="0013741C"/>
    <w:rsid w:val="001403AB"/>
    <w:rsid w:val="00140A77"/>
    <w:rsid w:val="00141264"/>
    <w:rsid w:val="00141279"/>
    <w:rsid w:val="001418F0"/>
    <w:rsid w:val="00141938"/>
    <w:rsid w:val="00142682"/>
    <w:rsid w:val="001429F7"/>
    <w:rsid w:val="00144E29"/>
    <w:rsid w:val="001468C6"/>
    <w:rsid w:val="00146C47"/>
    <w:rsid w:val="001505D6"/>
    <w:rsid w:val="00150BAD"/>
    <w:rsid w:val="0015104F"/>
    <w:rsid w:val="00152A77"/>
    <w:rsid w:val="00153EE8"/>
    <w:rsid w:val="001554DA"/>
    <w:rsid w:val="00157BC4"/>
    <w:rsid w:val="00160811"/>
    <w:rsid w:val="00161168"/>
    <w:rsid w:val="001622C9"/>
    <w:rsid w:val="001626C0"/>
    <w:rsid w:val="001637B5"/>
    <w:rsid w:val="00164092"/>
    <w:rsid w:val="00164867"/>
    <w:rsid w:val="001651AD"/>
    <w:rsid w:val="00165A49"/>
    <w:rsid w:val="00166BDB"/>
    <w:rsid w:val="0016743D"/>
    <w:rsid w:val="00167AA2"/>
    <w:rsid w:val="00171F4F"/>
    <w:rsid w:val="001722AD"/>
    <w:rsid w:val="00172420"/>
    <w:rsid w:val="0017268F"/>
    <w:rsid w:val="0017295B"/>
    <w:rsid w:val="0017295E"/>
    <w:rsid w:val="00172E4B"/>
    <w:rsid w:val="00173577"/>
    <w:rsid w:val="0017638E"/>
    <w:rsid w:val="00176AA5"/>
    <w:rsid w:val="00176B15"/>
    <w:rsid w:val="0017720E"/>
    <w:rsid w:val="00177893"/>
    <w:rsid w:val="00177D66"/>
    <w:rsid w:val="00177FBA"/>
    <w:rsid w:val="00180EAC"/>
    <w:rsid w:val="00181AD7"/>
    <w:rsid w:val="001820CC"/>
    <w:rsid w:val="001829E5"/>
    <w:rsid w:val="00182E0D"/>
    <w:rsid w:val="00182E2B"/>
    <w:rsid w:val="00184221"/>
    <w:rsid w:val="0018541A"/>
    <w:rsid w:val="00185C17"/>
    <w:rsid w:val="00186307"/>
    <w:rsid w:val="00186A7B"/>
    <w:rsid w:val="00186CE7"/>
    <w:rsid w:val="00186E5B"/>
    <w:rsid w:val="00186EBC"/>
    <w:rsid w:val="00186F12"/>
    <w:rsid w:val="001907A3"/>
    <w:rsid w:val="00194B37"/>
    <w:rsid w:val="001953CC"/>
    <w:rsid w:val="00195CB3"/>
    <w:rsid w:val="00195DA4"/>
    <w:rsid w:val="00195F68"/>
    <w:rsid w:val="00196FC6"/>
    <w:rsid w:val="0019761C"/>
    <w:rsid w:val="00197AAB"/>
    <w:rsid w:val="00197E86"/>
    <w:rsid w:val="00197F42"/>
    <w:rsid w:val="001A0142"/>
    <w:rsid w:val="001A02B2"/>
    <w:rsid w:val="001A07DC"/>
    <w:rsid w:val="001A0AD5"/>
    <w:rsid w:val="001A153F"/>
    <w:rsid w:val="001A36CB"/>
    <w:rsid w:val="001A43BA"/>
    <w:rsid w:val="001A52EB"/>
    <w:rsid w:val="001A5742"/>
    <w:rsid w:val="001A6FA2"/>
    <w:rsid w:val="001A79DD"/>
    <w:rsid w:val="001B00CE"/>
    <w:rsid w:val="001B1524"/>
    <w:rsid w:val="001B21D1"/>
    <w:rsid w:val="001B3AA1"/>
    <w:rsid w:val="001B4381"/>
    <w:rsid w:val="001B5162"/>
    <w:rsid w:val="001B6389"/>
    <w:rsid w:val="001B6787"/>
    <w:rsid w:val="001B7C50"/>
    <w:rsid w:val="001C04CC"/>
    <w:rsid w:val="001C051E"/>
    <w:rsid w:val="001C07A4"/>
    <w:rsid w:val="001C1470"/>
    <w:rsid w:val="001C1B14"/>
    <w:rsid w:val="001C1C72"/>
    <w:rsid w:val="001C21E1"/>
    <w:rsid w:val="001C2314"/>
    <w:rsid w:val="001C2824"/>
    <w:rsid w:val="001C4013"/>
    <w:rsid w:val="001C42DD"/>
    <w:rsid w:val="001C43E5"/>
    <w:rsid w:val="001C5F0B"/>
    <w:rsid w:val="001C61BE"/>
    <w:rsid w:val="001C6E6D"/>
    <w:rsid w:val="001C75B4"/>
    <w:rsid w:val="001D0020"/>
    <w:rsid w:val="001D1815"/>
    <w:rsid w:val="001D1E40"/>
    <w:rsid w:val="001D2740"/>
    <w:rsid w:val="001D3621"/>
    <w:rsid w:val="001D5DE3"/>
    <w:rsid w:val="001D70B4"/>
    <w:rsid w:val="001E0703"/>
    <w:rsid w:val="001E0C0D"/>
    <w:rsid w:val="001E1951"/>
    <w:rsid w:val="001E1C17"/>
    <w:rsid w:val="001E1D83"/>
    <w:rsid w:val="001E2E50"/>
    <w:rsid w:val="001E3D10"/>
    <w:rsid w:val="001E4361"/>
    <w:rsid w:val="001E44B0"/>
    <w:rsid w:val="001E49B0"/>
    <w:rsid w:val="001E4E36"/>
    <w:rsid w:val="001E4EDB"/>
    <w:rsid w:val="001E52BE"/>
    <w:rsid w:val="001E5918"/>
    <w:rsid w:val="001E649B"/>
    <w:rsid w:val="001F073C"/>
    <w:rsid w:val="001F0C59"/>
    <w:rsid w:val="001F0E12"/>
    <w:rsid w:val="001F26ED"/>
    <w:rsid w:val="001F2912"/>
    <w:rsid w:val="001F2AFE"/>
    <w:rsid w:val="001F2FC1"/>
    <w:rsid w:val="001F37C6"/>
    <w:rsid w:val="001F3B56"/>
    <w:rsid w:val="001F3E59"/>
    <w:rsid w:val="001F4AB2"/>
    <w:rsid w:val="001F5118"/>
    <w:rsid w:val="001F52CD"/>
    <w:rsid w:val="001F555C"/>
    <w:rsid w:val="001F66AE"/>
    <w:rsid w:val="001F6807"/>
    <w:rsid w:val="001F70CE"/>
    <w:rsid w:val="001F713E"/>
    <w:rsid w:val="002001C6"/>
    <w:rsid w:val="00200296"/>
    <w:rsid w:val="00200C5B"/>
    <w:rsid w:val="00201ADB"/>
    <w:rsid w:val="00202377"/>
    <w:rsid w:val="00202F21"/>
    <w:rsid w:val="00203337"/>
    <w:rsid w:val="00205803"/>
    <w:rsid w:val="002058E5"/>
    <w:rsid w:val="00205F83"/>
    <w:rsid w:val="00206642"/>
    <w:rsid w:val="00207A86"/>
    <w:rsid w:val="00207B71"/>
    <w:rsid w:val="00210FAA"/>
    <w:rsid w:val="002111E2"/>
    <w:rsid w:val="0021153A"/>
    <w:rsid w:val="00211C17"/>
    <w:rsid w:val="00211F46"/>
    <w:rsid w:val="00213473"/>
    <w:rsid w:val="0021392F"/>
    <w:rsid w:val="00221F94"/>
    <w:rsid w:val="00222913"/>
    <w:rsid w:val="002232B2"/>
    <w:rsid w:val="002234A6"/>
    <w:rsid w:val="00225833"/>
    <w:rsid w:val="00225CC9"/>
    <w:rsid w:val="00226F60"/>
    <w:rsid w:val="002309F9"/>
    <w:rsid w:val="0023103D"/>
    <w:rsid w:val="00232820"/>
    <w:rsid w:val="00237043"/>
    <w:rsid w:val="00237B98"/>
    <w:rsid w:val="002418C3"/>
    <w:rsid w:val="002425EA"/>
    <w:rsid w:val="00242DF8"/>
    <w:rsid w:val="00242EA0"/>
    <w:rsid w:val="00243685"/>
    <w:rsid w:val="00243E2C"/>
    <w:rsid w:val="00244031"/>
    <w:rsid w:val="002456E0"/>
    <w:rsid w:val="00245953"/>
    <w:rsid w:val="00245D0A"/>
    <w:rsid w:val="00245DD5"/>
    <w:rsid w:val="0024728F"/>
    <w:rsid w:val="0025024F"/>
    <w:rsid w:val="002508B6"/>
    <w:rsid w:val="00250E31"/>
    <w:rsid w:val="00251102"/>
    <w:rsid w:val="00251E17"/>
    <w:rsid w:val="00252D70"/>
    <w:rsid w:val="00252EF2"/>
    <w:rsid w:val="00253CA4"/>
    <w:rsid w:val="00254566"/>
    <w:rsid w:val="00254974"/>
    <w:rsid w:val="0025512B"/>
    <w:rsid w:val="00256071"/>
    <w:rsid w:val="0025613F"/>
    <w:rsid w:val="00257243"/>
    <w:rsid w:val="0026051A"/>
    <w:rsid w:val="00260965"/>
    <w:rsid w:val="00261DC6"/>
    <w:rsid w:val="00262B5F"/>
    <w:rsid w:val="00263EF8"/>
    <w:rsid w:val="0026417B"/>
    <w:rsid w:val="00264623"/>
    <w:rsid w:val="0026502D"/>
    <w:rsid w:val="00265B97"/>
    <w:rsid w:val="00266723"/>
    <w:rsid w:val="00266CE6"/>
    <w:rsid w:val="00267BF2"/>
    <w:rsid w:val="00270778"/>
    <w:rsid w:val="0027077D"/>
    <w:rsid w:val="002726FB"/>
    <w:rsid w:val="00273C92"/>
    <w:rsid w:val="0027487F"/>
    <w:rsid w:val="002756C4"/>
    <w:rsid w:val="0027626B"/>
    <w:rsid w:val="002769FD"/>
    <w:rsid w:val="00276AF1"/>
    <w:rsid w:val="002775D7"/>
    <w:rsid w:val="002778E5"/>
    <w:rsid w:val="00277DDF"/>
    <w:rsid w:val="00280B5B"/>
    <w:rsid w:val="00281928"/>
    <w:rsid w:val="00282D1F"/>
    <w:rsid w:val="002836DF"/>
    <w:rsid w:val="00283C75"/>
    <w:rsid w:val="002843E8"/>
    <w:rsid w:val="002859EF"/>
    <w:rsid w:val="00285F96"/>
    <w:rsid w:val="00290093"/>
    <w:rsid w:val="002928F4"/>
    <w:rsid w:val="00294429"/>
    <w:rsid w:val="0029469B"/>
    <w:rsid w:val="002946CF"/>
    <w:rsid w:val="00296659"/>
    <w:rsid w:val="00296B96"/>
    <w:rsid w:val="00296C4C"/>
    <w:rsid w:val="002A0E1D"/>
    <w:rsid w:val="002A1A29"/>
    <w:rsid w:val="002A25AD"/>
    <w:rsid w:val="002A2C9B"/>
    <w:rsid w:val="002A318A"/>
    <w:rsid w:val="002A4503"/>
    <w:rsid w:val="002A5452"/>
    <w:rsid w:val="002A5798"/>
    <w:rsid w:val="002A67C2"/>
    <w:rsid w:val="002A67D2"/>
    <w:rsid w:val="002A68C8"/>
    <w:rsid w:val="002A6BF9"/>
    <w:rsid w:val="002A6C2C"/>
    <w:rsid w:val="002A7802"/>
    <w:rsid w:val="002B03DA"/>
    <w:rsid w:val="002B0B2C"/>
    <w:rsid w:val="002B481F"/>
    <w:rsid w:val="002B4941"/>
    <w:rsid w:val="002B55B8"/>
    <w:rsid w:val="002B5869"/>
    <w:rsid w:val="002B5D3C"/>
    <w:rsid w:val="002B5D74"/>
    <w:rsid w:val="002B6769"/>
    <w:rsid w:val="002B7ADB"/>
    <w:rsid w:val="002B7B33"/>
    <w:rsid w:val="002C03F7"/>
    <w:rsid w:val="002C0612"/>
    <w:rsid w:val="002C1787"/>
    <w:rsid w:val="002C1D2F"/>
    <w:rsid w:val="002C220E"/>
    <w:rsid w:val="002C4171"/>
    <w:rsid w:val="002C44CE"/>
    <w:rsid w:val="002C4629"/>
    <w:rsid w:val="002C466B"/>
    <w:rsid w:val="002C4FC9"/>
    <w:rsid w:val="002C5EB8"/>
    <w:rsid w:val="002C6B86"/>
    <w:rsid w:val="002D17C9"/>
    <w:rsid w:val="002D2FCA"/>
    <w:rsid w:val="002D34C2"/>
    <w:rsid w:val="002D35B1"/>
    <w:rsid w:val="002D39D0"/>
    <w:rsid w:val="002D5300"/>
    <w:rsid w:val="002D53C1"/>
    <w:rsid w:val="002D5DB4"/>
    <w:rsid w:val="002D6ED9"/>
    <w:rsid w:val="002D75F5"/>
    <w:rsid w:val="002D7823"/>
    <w:rsid w:val="002E1127"/>
    <w:rsid w:val="002E3A39"/>
    <w:rsid w:val="002E400F"/>
    <w:rsid w:val="002E42FD"/>
    <w:rsid w:val="002E4C2D"/>
    <w:rsid w:val="002E5BDC"/>
    <w:rsid w:val="002E5DEA"/>
    <w:rsid w:val="002E6056"/>
    <w:rsid w:val="002E6793"/>
    <w:rsid w:val="002E724A"/>
    <w:rsid w:val="002F078A"/>
    <w:rsid w:val="002F0988"/>
    <w:rsid w:val="002F0CC4"/>
    <w:rsid w:val="002F1997"/>
    <w:rsid w:val="002F1D73"/>
    <w:rsid w:val="002F1FFF"/>
    <w:rsid w:val="002F311E"/>
    <w:rsid w:val="002F327D"/>
    <w:rsid w:val="002F3B16"/>
    <w:rsid w:val="002F42D4"/>
    <w:rsid w:val="002F469B"/>
    <w:rsid w:val="002F6E24"/>
    <w:rsid w:val="002F6FB8"/>
    <w:rsid w:val="002F71B8"/>
    <w:rsid w:val="0030057F"/>
    <w:rsid w:val="00300652"/>
    <w:rsid w:val="00300B85"/>
    <w:rsid w:val="003013F6"/>
    <w:rsid w:val="00301C3D"/>
    <w:rsid w:val="00301EA1"/>
    <w:rsid w:val="0030233D"/>
    <w:rsid w:val="00302FCC"/>
    <w:rsid w:val="003034D2"/>
    <w:rsid w:val="003039B9"/>
    <w:rsid w:val="00304809"/>
    <w:rsid w:val="003049AF"/>
    <w:rsid w:val="00304F5F"/>
    <w:rsid w:val="00305B43"/>
    <w:rsid w:val="003062AE"/>
    <w:rsid w:val="0030643D"/>
    <w:rsid w:val="003078AD"/>
    <w:rsid w:val="003112EB"/>
    <w:rsid w:val="00312FB4"/>
    <w:rsid w:val="003131D7"/>
    <w:rsid w:val="003147AB"/>
    <w:rsid w:val="00315514"/>
    <w:rsid w:val="00316EA7"/>
    <w:rsid w:val="00316F58"/>
    <w:rsid w:val="003212AF"/>
    <w:rsid w:val="0032339A"/>
    <w:rsid w:val="00324709"/>
    <w:rsid w:val="00327453"/>
    <w:rsid w:val="003276E4"/>
    <w:rsid w:val="0033033B"/>
    <w:rsid w:val="00331033"/>
    <w:rsid w:val="00332BC8"/>
    <w:rsid w:val="00332CC2"/>
    <w:rsid w:val="00332CE1"/>
    <w:rsid w:val="00332EDB"/>
    <w:rsid w:val="00332F71"/>
    <w:rsid w:val="00334926"/>
    <w:rsid w:val="00334ACF"/>
    <w:rsid w:val="0033686D"/>
    <w:rsid w:val="00337D74"/>
    <w:rsid w:val="003406B0"/>
    <w:rsid w:val="003411EC"/>
    <w:rsid w:val="00341A14"/>
    <w:rsid w:val="00342FF2"/>
    <w:rsid w:val="003433D5"/>
    <w:rsid w:val="00344337"/>
    <w:rsid w:val="003446CE"/>
    <w:rsid w:val="00344E3B"/>
    <w:rsid w:val="003458AA"/>
    <w:rsid w:val="00345CA2"/>
    <w:rsid w:val="00345F93"/>
    <w:rsid w:val="00346FBD"/>
    <w:rsid w:val="00347C62"/>
    <w:rsid w:val="00351124"/>
    <w:rsid w:val="00351368"/>
    <w:rsid w:val="00351381"/>
    <w:rsid w:val="00351D03"/>
    <w:rsid w:val="003530A6"/>
    <w:rsid w:val="00353627"/>
    <w:rsid w:val="00353D69"/>
    <w:rsid w:val="0035444F"/>
    <w:rsid w:val="00354C6A"/>
    <w:rsid w:val="00355F72"/>
    <w:rsid w:val="00356FF9"/>
    <w:rsid w:val="00357657"/>
    <w:rsid w:val="00360601"/>
    <w:rsid w:val="00360DB0"/>
    <w:rsid w:val="00362A02"/>
    <w:rsid w:val="00362F6C"/>
    <w:rsid w:val="003639A6"/>
    <w:rsid w:val="00363F91"/>
    <w:rsid w:val="00364350"/>
    <w:rsid w:val="003665DB"/>
    <w:rsid w:val="00367541"/>
    <w:rsid w:val="003675E5"/>
    <w:rsid w:val="003679AE"/>
    <w:rsid w:val="003703B5"/>
    <w:rsid w:val="003712E4"/>
    <w:rsid w:val="0037180E"/>
    <w:rsid w:val="00371B1C"/>
    <w:rsid w:val="00371E69"/>
    <w:rsid w:val="003721E0"/>
    <w:rsid w:val="003725B1"/>
    <w:rsid w:val="00372E8E"/>
    <w:rsid w:val="0037380E"/>
    <w:rsid w:val="003743B0"/>
    <w:rsid w:val="003743E4"/>
    <w:rsid w:val="00376058"/>
    <w:rsid w:val="003763F4"/>
    <w:rsid w:val="00376A70"/>
    <w:rsid w:val="0037739A"/>
    <w:rsid w:val="003777D8"/>
    <w:rsid w:val="003778DA"/>
    <w:rsid w:val="00381913"/>
    <w:rsid w:val="00381B2A"/>
    <w:rsid w:val="0038281C"/>
    <w:rsid w:val="003834E3"/>
    <w:rsid w:val="00384CB7"/>
    <w:rsid w:val="003851FE"/>
    <w:rsid w:val="0038548F"/>
    <w:rsid w:val="00385673"/>
    <w:rsid w:val="00385A64"/>
    <w:rsid w:val="00385B51"/>
    <w:rsid w:val="0038624A"/>
    <w:rsid w:val="00386AF4"/>
    <w:rsid w:val="00386D1A"/>
    <w:rsid w:val="003873C4"/>
    <w:rsid w:val="00390DB9"/>
    <w:rsid w:val="0039220E"/>
    <w:rsid w:val="0039368B"/>
    <w:rsid w:val="00395DD5"/>
    <w:rsid w:val="00396E94"/>
    <w:rsid w:val="00397170"/>
    <w:rsid w:val="003975BF"/>
    <w:rsid w:val="003979AE"/>
    <w:rsid w:val="00397BC1"/>
    <w:rsid w:val="003A0879"/>
    <w:rsid w:val="003A1277"/>
    <w:rsid w:val="003A1442"/>
    <w:rsid w:val="003A27F9"/>
    <w:rsid w:val="003A2A11"/>
    <w:rsid w:val="003A2CD6"/>
    <w:rsid w:val="003A3433"/>
    <w:rsid w:val="003A3688"/>
    <w:rsid w:val="003A4635"/>
    <w:rsid w:val="003A499D"/>
    <w:rsid w:val="003A4F77"/>
    <w:rsid w:val="003A4FCC"/>
    <w:rsid w:val="003A537E"/>
    <w:rsid w:val="003A580C"/>
    <w:rsid w:val="003A5C70"/>
    <w:rsid w:val="003A5D14"/>
    <w:rsid w:val="003A660F"/>
    <w:rsid w:val="003A72A5"/>
    <w:rsid w:val="003B0557"/>
    <w:rsid w:val="003B083C"/>
    <w:rsid w:val="003B095E"/>
    <w:rsid w:val="003B1428"/>
    <w:rsid w:val="003B2848"/>
    <w:rsid w:val="003B3A86"/>
    <w:rsid w:val="003B45E3"/>
    <w:rsid w:val="003B4C70"/>
    <w:rsid w:val="003B5B4D"/>
    <w:rsid w:val="003B613F"/>
    <w:rsid w:val="003B6480"/>
    <w:rsid w:val="003B7090"/>
    <w:rsid w:val="003C0BF9"/>
    <w:rsid w:val="003C0EAF"/>
    <w:rsid w:val="003C1A9F"/>
    <w:rsid w:val="003C239C"/>
    <w:rsid w:val="003C2D15"/>
    <w:rsid w:val="003C3D29"/>
    <w:rsid w:val="003C43DF"/>
    <w:rsid w:val="003C4F4D"/>
    <w:rsid w:val="003C56DC"/>
    <w:rsid w:val="003C5B6F"/>
    <w:rsid w:val="003C5F28"/>
    <w:rsid w:val="003C646F"/>
    <w:rsid w:val="003C6A5E"/>
    <w:rsid w:val="003C6F2F"/>
    <w:rsid w:val="003C71BE"/>
    <w:rsid w:val="003C79BA"/>
    <w:rsid w:val="003D007D"/>
    <w:rsid w:val="003D09A9"/>
    <w:rsid w:val="003D11A9"/>
    <w:rsid w:val="003D2A37"/>
    <w:rsid w:val="003D2BAC"/>
    <w:rsid w:val="003D2BC7"/>
    <w:rsid w:val="003D53FA"/>
    <w:rsid w:val="003D57A0"/>
    <w:rsid w:val="003D620C"/>
    <w:rsid w:val="003D69EF"/>
    <w:rsid w:val="003D7092"/>
    <w:rsid w:val="003D721B"/>
    <w:rsid w:val="003D7F8C"/>
    <w:rsid w:val="003E0EDB"/>
    <w:rsid w:val="003E1112"/>
    <w:rsid w:val="003E14B0"/>
    <w:rsid w:val="003E199B"/>
    <w:rsid w:val="003E1E92"/>
    <w:rsid w:val="003E2C4E"/>
    <w:rsid w:val="003E30AC"/>
    <w:rsid w:val="003E3126"/>
    <w:rsid w:val="003E37A1"/>
    <w:rsid w:val="003E40E4"/>
    <w:rsid w:val="003E4F27"/>
    <w:rsid w:val="003E4FBA"/>
    <w:rsid w:val="003E5DE2"/>
    <w:rsid w:val="003E60B0"/>
    <w:rsid w:val="003E6475"/>
    <w:rsid w:val="003E67F1"/>
    <w:rsid w:val="003E6F39"/>
    <w:rsid w:val="003E71D8"/>
    <w:rsid w:val="003E7409"/>
    <w:rsid w:val="003F0801"/>
    <w:rsid w:val="003F105A"/>
    <w:rsid w:val="003F283D"/>
    <w:rsid w:val="003F33D3"/>
    <w:rsid w:val="003F3FBB"/>
    <w:rsid w:val="003F49C0"/>
    <w:rsid w:val="003F4B52"/>
    <w:rsid w:val="003F4FE0"/>
    <w:rsid w:val="003F5003"/>
    <w:rsid w:val="003F5FEE"/>
    <w:rsid w:val="003F6031"/>
    <w:rsid w:val="003F6199"/>
    <w:rsid w:val="00400094"/>
    <w:rsid w:val="00401EB6"/>
    <w:rsid w:val="00402968"/>
    <w:rsid w:val="004033BF"/>
    <w:rsid w:val="00405D91"/>
    <w:rsid w:val="004064FB"/>
    <w:rsid w:val="00406D9F"/>
    <w:rsid w:val="00407B1C"/>
    <w:rsid w:val="00407CB8"/>
    <w:rsid w:val="004104B0"/>
    <w:rsid w:val="004105A8"/>
    <w:rsid w:val="00410C37"/>
    <w:rsid w:val="00412D14"/>
    <w:rsid w:val="00413F02"/>
    <w:rsid w:val="004140FE"/>
    <w:rsid w:val="00414145"/>
    <w:rsid w:val="00415848"/>
    <w:rsid w:val="00415850"/>
    <w:rsid w:val="00415B23"/>
    <w:rsid w:val="00417E33"/>
    <w:rsid w:val="00417F92"/>
    <w:rsid w:val="0042077D"/>
    <w:rsid w:val="00421450"/>
    <w:rsid w:val="00423759"/>
    <w:rsid w:val="004254E4"/>
    <w:rsid w:val="00425EB1"/>
    <w:rsid w:val="00425F24"/>
    <w:rsid w:val="004267A6"/>
    <w:rsid w:val="00427453"/>
    <w:rsid w:val="004274FD"/>
    <w:rsid w:val="00427E55"/>
    <w:rsid w:val="00430A1B"/>
    <w:rsid w:val="0043213B"/>
    <w:rsid w:val="0043256F"/>
    <w:rsid w:val="0043361A"/>
    <w:rsid w:val="00433AF5"/>
    <w:rsid w:val="00433B45"/>
    <w:rsid w:val="00433BC5"/>
    <w:rsid w:val="00433D5E"/>
    <w:rsid w:val="00435585"/>
    <w:rsid w:val="0043569D"/>
    <w:rsid w:val="00437346"/>
    <w:rsid w:val="00437BB5"/>
    <w:rsid w:val="00437FD6"/>
    <w:rsid w:val="00443469"/>
    <w:rsid w:val="004438CB"/>
    <w:rsid w:val="00445E73"/>
    <w:rsid w:val="004518BE"/>
    <w:rsid w:val="00453BAE"/>
    <w:rsid w:val="00453D59"/>
    <w:rsid w:val="004541E3"/>
    <w:rsid w:val="004542F0"/>
    <w:rsid w:val="00454493"/>
    <w:rsid w:val="00455259"/>
    <w:rsid w:val="00455C39"/>
    <w:rsid w:val="004560A8"/>
    <w:rsid w:val="004579A2"/>
    <w:rsid w:val="0046015F"/>
    <w:rsid w:val="004619BB"/>
    <w:rsid w:val="00464E25"/>
    <w:rsid w:val="004656F9"/>
    <w:rsid w:val="00465D3F"/>
    <w:rsid w:val="004661A5"/>
    <w:rsid w:val="0046621E"/>
    <w:rsid w:val="00467279"/>
    <w:rsid w:val="00467925"/>
    <w:rsid w:val="00467D05"/>
    <w:rsid w:val="00471096"/>
    <w:rsid w:val="004715DF"/>
    <w:rsid w:val="00472D4D"/>
    <w:rsid w:val="004739DC"/>
    <w:rsid w:val="00473BDE"/>
    <w:rsid w:val="00473CCB"/>
    <w:rsid w:val="004749C7"/>
    <w:rsid w:val="0047546D"/>
    <w:rsid w:val="004767D8"/>
    <w:rsid w:val="0047742C"/>
    <w:rsid w:val="0047765E"/>
    <w:rsid w:val="0048045C"/>
    <w:rsid w:val="00482827"/>
    <w:rsid w:val="00482D8B"/>
    <w:rsid w:val="00483BB2"/>
    <w:rsid w:val="00483CB2"/>
    <w:rsid w:val="00483EB3"/>
    <w:rsid w:val="00486082"/>
    <w:rsid w:val="00486766"/>
    <w:rsid w:val="00487B18"/>
    <w:rsid w:val="004908AD"/>
    <w:rsid w:val="00490CA0"/>
    <w:rsid w:val="004919DD"/>
    <w:rsid w:val="00492E81"/>
    <w:rsid w:val="00493576"/>
    <w:rsid w:val="004936D0"/>
    <w:rsid w:val="00493A02"/>
    <w:rsid w:val="00494959"/>
    <w:rsid w:val="00494B22"/>
    <w:rsid w:val="00494DBB"/>
    <w:rsid w:val="00494F7C"/>
    <w:rsid w:val="00496AF3"/>
    <w:rsid w:val="004974A1"/>
    <w:rsid w:val="004A050C"/>
    <w:rsid w:val="004A2DF5"/>
    <w:rsid w:val="004A348E"/>
    <w:rsid w:val="004A34E0"/>
    <w:rsid w:val="004A47D3"/>
    <w:rsid w:val="004A48B5"/>
    <w:rsid w:val="004A48BC"/>
    <w:rsid w:val="004A4CA9"/>
    <w:rsid w:val="004A4DC5"/>
    <w:rsid w:val="004A4EF3"/>
    <w:rsid w:val="004A5F46"/>
    <w:rsid w:val="004A623B"/>
    <w:rsid w:val="004A6267"/>
    <w:rsid w:val="004A7A48"/>
    <w:rsid w:val="004B1257"/>
    <w:rsid w:val="004B1280"/>
    <w:rsid w:val="004B34F5"/>
    <w:rsid w:val="004B3C00"/>
    <w:rsid w:val="004B536E"/>
    <w:rsid w:val="004B570C"/>
    <w:rsid w:val="004B57F5"/>
    <w:rsid w:val="004B774A"/>
    <w:rsid w:val="004B79FC"/>
    <w:rsid w:val="004C3184"/>
    <w:rsid w:val="004C34C5"/>
    <w:rsid w:val="004C474E"/>
    <w:rsid w:val="004C6EE4"/>
    <w:rsid w:val="004D0035"/>
    <w:rsid w:val="004D0408"/>
    <w:rsid w:val="004D1006"/>
    <w:rsid w:val="004D1FA4"/>
    <w:rsid w:val="004D29E2"/>
    <w:rsid w:val="004D31F1"/>
    <w:rsid w:val="004D345B"/>
    <w:rsid w:val="004D45DF"/>
    <w:rsid w:val="004D4CEE"/>
    <w:rsid w:val="004D6E75"/>
    <w:rsid w:val="004D76C2"/>
    <w:rsid w:val="004E0C0B"/>
    <w:rsid w:val="004E1110"/>
    <w:rsid w:val="004E1AA5"/>
    <w:rsid w:val="004E1F55"/>
    <w:rsid w:val="004E2125"/>
    <w:rsid w:val="004E4CA4"/>
    <w:rsid w:val="004E5AB9"/>
    <w:rsid w:val="004E6167"/>
    <w:rsid w:val="004E6576"/>
    <w:rsid w:val="004E7006"/>
    <w:rsid w:val="004E79E4"/>
    <w:rsid w:val="004E7B36"/>
    <w:rsid w:val="004E7CA0"/>
    <w:rsid w:val="004F0E1C"/>
    <w:rsid w:val="004F15B2"/>
    <w:rsid w:val="004F15D2"/>
    <w:rsid w:val="004F2E21"/>
    <w:rsid w:val="004F32F6"/>
    <w:rsid w:val="004F361F"/>
    <w:rsid w:val="004F3688"/>
    <w:rsid w:val="004F3AAE"/>
    <w:rsid w:val="004F4415"/>
    <w:rsid w:val="004F4709"/>
    <w:rsid w:val="004F4BDE"/>
    <w:rsid w:val="004F53FE"/>
    <w:rsid w:val="004F54C3"/>
    <w:rsid w:val="004F595C"/>
    <w:rsid w:val="004F6163"/>
    <w:rsid w:val="004F6B1D"/>
    <w:rsid w:val="004F7CAC"/>
    <w:rsid w:val="005015D2"/>
    <w:rsid w:val="005026D2"/>
    <w:rsid w:val="00502C8D"/>
    <w:rsid w:val="005033F3"/>
    <w:rsid w:val="005035DC"/>
    <w:rsid w:val="00503BD9"/>
    <w:rsid w:val="0050532F"/>
    <w:rsid w:val="00505646"/>
    <w:rsid w:val="0050582B"/>
    <w:rsid w:val="005058CF"/>
    <w:rsid w:val="00505915"/>
    <w:rsid w:val="00505931"/>
    <w:rsid w:val="005066A0"/>
    <w:rsid w:val="00507713"/>
    <w:rsid w:val="00507F3F"/>
    <w:rsid w:val="00507FF2"/>
    <w:rsid w:val="00510952"/>
    <w:rsid w:val="00510E8F"/>
    <w:rsid w:val="00511181"/>
    <w:rsid w:val="00511320"/>
    <w:rsid w:val="00511736"/>
    <w:rsid w:val="00512226"/>
    <w:rsid w:val="0051282D"/>
    <w:rsid w:val="00512873"/>
    <w:rsid w:val="005143F9"/>
    <w:rsid w:val="005146A7"/>
    <w:rsid w:val="00514A5B"/>
    <w:rsid w:val="00515537"/>
    <w:rsid w:val="00515D78"/>
    <w:rsid w:val="00516566"/>
    <w:rsid w:val="005170D0"/>
    <w:rsid w:val="005204E0"/>
    <w:rsid w:val="00520759"/>
    <w:rsid w:val="0052161F"/>
    <w:rsid w:val="005218C3"/>
    <w:rsid w:val="00521A7C"/>
    <w:rsid w:val="005220B0"/>
    <w:rsid w:val="00523063"/>
    <w:rsid w:val="00524A1D"/>
    <w:rsid w:val="00524BA0"/>
    <w:rsid w:val="00526597"/>
    <w:rsid w:val="005273E3"/>
    <w:rsid w:val="00527B5E"/>
    <w:rsid w:val="00531C11"/>
    <w:rsid w:val="005334AB"/>
    <w:rsid w:val="00534451"/>
    <w:rsid w:val="005347EB"/>
    <w:rsid w:val="00535C74"/>
    <w:rsid w:val="005361AB"/>
    <w:rsid w:val="00536358"/>
    <w:rsid w:val="00540AF6"/>
    <w:rsid w:val="00541D43"/>
    <w:rsid w:val="00542068"/>
    <w:rsid w:val="00542532"/>
    <w:rsid w:val="00543AF9"/>
    <w:rsid w:val="00543EBD"/>
    <w:rsid w:val="00545271"/>
    <w:rsid w:val="00545C89"/>
    <w:rsid w:val="00546B7C"/>
    <w:rsid w:val="00547684"/>
    <w:rsid w:val="005477D7"/>
    <w:rsid w:val="005501F0"/>
    <w:rsid w:val="00550509"/>
    <w:rsid w:val="00550DBA"/>
    <w:rsid w:val="00551022"/>
    <w:rsid w:val="005518F3"/>
    <w:rsid w:val="00552BD5"/>
    <w:rsid w:val="0055323C"/>
    <w:rsid w:val="00553C0C"/>
    <w:rsid w:val="0055446B"/>
    <w:rsid w:val="0055532F"/>
    <w:rsid w:val="005558A9"/>
    <w:rsid w:val="005560E0"/>
    <w:rsid w:val="00557356"/>
    <w:rsid w:val="0055790D"/>
    <w:rsid w:val="00561D24"/>
    <w:rsid w:val="00561D5F"/>
    <w:rsid w:val="00563F37"/>
    <w:rsid w:val="00564DB6"/>
    <w:rsid w:val="00564F77"/>
    <w:rsid w:val="00565960"/>
    <w:rsid w:val="005664DF"/>
    <w:rsid w:val="00566F3A"/>
    <w:rsid w:val="00567DDC"/>
    <w:rsid w:val="00567F29"/>
    <w:rsid w:val="00571D11"/>
    <w:rsid w:val="00573177"/>
    <w:rsid w:val="00573C76"/>
    <w:rsid w:val="005741DE"/>
    <w:rsid w:val="00574B8F"/>
    <w:rsid w:val="00576ADE"/>
    <w:rsid w:val="00576DF7"/>
    <w:rsid w:val="00577107"/>
    <w:rsid w:val="00577377"/>
    <w:rsid w:val="0057740A"/>
    <w:rsid w:val="0057745C"/>
    <w:rsid w:val="00577CFD"/>
    <w:rsid w:val="00577DEF"/>
    <w:rsid w:val="0058107E"/>
    <w:rsid w:val="00581826"/>
    <w:rsid w:val="00581B44"/>
    <w:rsid w:val="00582239"/>
    <w:rsid w:val="0058226A"/>
    <w:rsid w:val="005838F7"/>
    <w:rsid w:val="00584059"/>
    <w:rsid w:val="0058602E"/>
    <w:rsid w:val="00586C21"/>
    <w:rsid w:val="00586E3E"/>
    <w:rsid w:val="00587023"/>
    <w:rsid w:val="00590F57"/>
    <w:rsid w:val="00591449"/>
    <w:rsid w:val="005924A7"/>
    <w:rsid w:val="005928F7"/>
    <w:rsid w:val="00592C4C"/>
    <w:rsid w:val="00592DF0"/>
    <w:rsid w:val="00593267"/>
    <w:rsid w:val="005948F6"/>
    <w:rsid w:val="00595F04"/>
    <w:rsid w:val="005964CB"/>
    <w:rsid w:val="005967A6"/>
    <w:rsid w:val="00597972"/>
    <w:rsid w:val="005A2A1F"/>
    <w:rsid w:val="005A6BB7"/>
    <w:rsid w:val="005A6E19"/>
    <w:rsid w:val="005A725F"/>
    <w:rsid w:val="005A7677"/>
    <w:rsid w:val="005A7914"/>
    <w:rsid w:val="005A7D0C"/>
    <w:rsid w:val="005B1A0A"/>
    <w:rsid w:val="005B220A"/>
    <w:rsid w:val="005B2D09"/>
    <w:rsid w:val="005B3AB0"/>
    <w:rsid w:val="005B446C"/>
    <w:rsid w:val="005B6B4E"/>
    <w:rsid w:val="005B6D5E"/>
    <w:rsid w:val="005B76D5"/>
    <w:rsid w:val="005C0E38"/>
    <w:rsid w:val="005C0F36"/>
    <w:rsid w:val="005C2366"/>
    <w:rsid w:val="005C2E77"/>
    <w:rsid w:val="005C33BF"/>
    <w:rsid w:val="005C3BD2"/>
    <w:rsid w:val="005C6285"/>
    <w:rsid w:val="005D038C"/>
    <w:rsid w:val="005D16D4"/>
    <w:rsid w:val="005D18B2"/>
    <w:rsid w:val="005D1959"/>
    <w:rsid w:val="005D1AA4"/>
    <w:rsid w:val="005D20C1"/>
    <w:rsid w:val="005D2A18"/>
    <w:rsid w:val="005D2E1D"/>
    <w:rsid w:val="005D521A"/>
    <w:rsid w:val="005D5BA1"/>
    <w:rsid w:val="005D622E"/>
    <w:rsid w:val="005D70F3"/>
    <w:rsid w:val="005E1518"/>
    <w:rsid w:val="005E1B19"/>
    <w:rsid w:val="005E2580"/>
    <w:rsid w:val="005E25BB"/>
    <w:rsid w:val="005E261E"/>
    <w:rsid w:val="005E3AF0"/>
    <w:rsid w:val="005E3E98"/>
    <w:rsid w:val="005E49B2"/>
    <w:rsid w:val="005E542B"/>
    <w:rsid w:val="005E6A9A"/>
    <w:rsid w:val="005E6ACC"/>
    <w:rsid w:val="005E6F51"/>
    <w:rsid w:val="005E6FEF"/>
    <w:rsid w:val="005F05C7"/>
    <w:rsid w:val="005F078E"/>
    <w:rsid w:val="005F0AE8"/>
    <w:rsid w:val="005F0E5A"/>
    <w:rsid w:val="005F2A6B"/>
    <w:rsid w:val="005F32B5"/>
    <w:rsid w:val="005F331F"/>
    <w:rsid w:val="005F3536"/>
    <w:rsid w:val="005F40C1"/>
    <w:rsid w:val="005F610A"/>
    <w:rsid w:val="005F69CD"/>
    <w:rsid w:val="005F6E38"/>
    <w:rsid w:val="005F753C"/>
    <w:rsid w:val="00600511"/>
    <w:rsid w:val="0060162E"/>
    <w:rsid w:val="00601A7C"/>
    <w:rsid w:val="006024D3"/>
    <w:rsid w:val="00604104"/>
    <w:rsid w:val="006050B2"/>
    <w:rsid w:val="00606BE8"/>
    <w:rsid w:val="00606EF9"/>
    <w:rsid w:val="0060706A"/>
    <w:rsid w:val="006070C4"/>
    <w:rsid w:val="00607758"/>
    <w:rsid w:val="00610D5E"/>
    <w:rsid w:val="006110E8"/>
    <w:rsid w:val="006121AC"/>
    <w:rsid w:val="00612BA7"/>
    <w:rsid w:val="00612D90"/>
    <w:rsid w:val="00613467"/>
    <w:rsid w:val="0061372C"/>
    <w:rsid w:val="006146F5"/>
    <w:rsid w:val="00614974"/>
    <w:rsid w:val="00616E2A"/>
    <w:rsid w:val="00617F7D"/>
    <w:rsid w:val="00617FBB"/>
    <w:rsid w:val="00620B95"/>
    <w:rsid w:val="00622569"/>
    <w:rsid w:val="006233EE"/>
    <w:rsid w:val="0062428A"/>
    <w:rsid w:val="00624315"/>
    <w:rsid w:val="006244D0"/>
    <w:rsid w:val="006247B6"/>
    <w:rsid w:val="0062487F"/>
    <w:rsid w:val="00624E83"/>
    <w:rsid w:val="006252CD"/>
    <w:rsid w:val="0062545B"/>
    <w:rsid w:val="0062552A"/>
    <w:rsid w:val="00625CD1"/>
    <w:rsid w:val="00625CF3"/>
    <w:rsid w:val="0062618B"/>
    <w:rsid w:val="00626A39"/>
    <w:rsid w:val="006278A1"/>
    <w:rsid w:val="0063003D"/>
    <w:rsid w:val="00631278"/>
    <w:rsid w:val="006332BE"/>
    <w:rsid w:val="006337E4"/>
    <w:rsid w:val="00633DE4"/>
    <w:rsid w:val="00635808"/>
    <w:rsid w:val="00635CA5"/>
    <w:rsid w:val="00637AF8"/>
    <w:rsid w:val="0064036F"/>
    <w:rsid w:val="006408C3"/>
    <w:rsid w:val="00640B46"/>
    <w:rsid w:val="00641DFA"/>
    <w:rsid w:val="0064223A"/>
    <w:rsid w:val="00643BE7"/>
    <w:rsid w:val="00643C62"/>
    <w:rsid w:val="00644267"/>
    <w:rsid w:val="006459F5"/>
    <w:rsid w:val="00645B0F"/>
    <w:rsid w:val="00645C29"/>
    <w:rsid w:val="00645F64"/>
    <w:rsid w:val="0064620D"/>
    <w:rsid w:val="00647F44"/>
    <w:rsid w:val="00650494"/>
    <w:rsid w:val="00650CDF"/>
    <w:rsid w:val="00650DF1"/>
    <w:rsid w:val="00652217"/>
    <w:rsid w:val="00652499"/>
    <w:rsid w:val="00652CBF"/>
    <w:rsid w:val="00653CF3"/>
    <w:rsid w:val="00654559"/>
    <w:rsid w:val="006553B1"/>
    <w:rsid w:val="0065541F"/>
    <w:rsid w:val="006565DD"/>
    <w:rsid w:val="00656F37"/>
    <w:rsid w:val="0065722E"/>
    <w:rsid w:val="0065767B"/>
    <w:rsid w:val="00657754"/>
    <w:rsid w:val="00657B77"/>
    <w:rsid w:val="00660055"/>
    <w:rsid w:val="00661246"/>
    <w:rsid w:val="00661286"/>
    <w:rsid w:val="00661D34"/>
    <w:rsid w:val="00662DFF"/>
    <w:rsid w:val="006633A9"/>
    <w:rsid w:val="00663537"/>
    <w:rsid w:val="00664356"/>
    <w:rsid w:val="006653BA"/>
    <w:rsid w:val="00665928"/>
    <w:rsid w:val="006701BD"/>
    <w:rsid w:val="006709DD"/>
    <w:rsid w:val="006711BE"/>
    <w:rsid w:val="006714BC"/>
    <w:rsid w:val="00671B77"/>
    <w:rsid w:val="00672120"/>
    <w:rsid w:val="00672642"/>
    <w:rsid w:val="0067270A"/>
    <w:rsid w:val="00672B2E"/>
    <w:rsid w:val="00672E84"/>
    <w:rsid w:val="0067390F"/>
    <w:rsid w:val="00676690"/>
    <w:rsid w:val="0068002E"/>
    <w:rsid w:val="00680389"/>
    <w:rsid w:val="00682237"/>
    <w:rsid w:val="00682DD5"/>
    <w:rsid w:val="0068468F"/>
    <w:rsid w:val="00684E6D"/>
    <w:rsid w:val="0068584D"/>
    <w:rsid w:val="00685EF6"/>
    <w:rsid w:val="00687189"/>
    <w:rsid w:val="0069106B"/>
    <w:rsid w:val="00691913"/>
    <w:rsid w:val="00692FB3"/>
    <w:rsid w:val="0069314F"/>
    <w:rsid w:val="006945E5"/>
    <w:rsid w:val="0069531F"/>
    <w:rsid w:val="00695D12"/>
    <w:rsid w:val="00696FB1"/>
    <w:rsid w:val="006A0F50"/>
    <w:rsid w:val="006A0F9A"/>
    <w:rsid w:val="006A138B"/>
    <w:rsid w:val="006A2260"/>
    <w:rsid w:val="006A2C7B"/>
    <w:rsid w:val="006A37D3"/>
    <w:rsid w:val="006A6C19"/>
    <w:rsid w:val="006B02C0"/>
    <w:rsid w:val="006B123C"/>
    <w:rsid w:val="006B140A"/>
    <w:rsid w:val="006B1993"/>
    <w:rsid w:val="006B319F"/>
    <w:rsid w:val="006B3BAA"/>
    <w:rsid w:val="006B6F6A"/>
    <w:rsid w:val="006B7178"/>
    <w:rsid w:val="006B7278"/>
    <w:rsid w:val="006B72B5"/>
    <w:rsid w:val="006B792D"/>
    <w:rsid w:val="006C08F7"/>
    <w:rsid w:val="006C181A"/>
    <w:rsid w:val="006C1AFF"/>
    <w:rsid w:val="006C2669"/>
    <w:rsid w:val="006C39B9"/>
    <w:rsid w:val="006C3F56"/>
    <w:rsid w:val="006C4906"/>
    <w:rsid w:val="006C4A82"/>
    <w:rsid w:val="006C5083"/>
    <w:rsid w:val="006C55BA"/>
    <w:rsid w:val="006C5B25"/>
    <w:rsid w:val="006C5DB8"/>
    <w:rsid w:val="006C6462"/>
    <w:rsid w:val="006C7060"/>
    <w:rsid w:val="006D01A3"/>
    <w:rsid w:val="006D02B5"/>
    <w:rsid w:val="006D0F9A"/>
    <w:rsid w:val="006D1223"/>
    <w:rsid w:val="006D179E"/>
    <w:rsid w:val="006D1FA3"/>
    <w:rsid w:val="006D20B1"/>
    <w:rsid w:val="006D2DB0"/>
    <w:rsid w:val="006D2F46"/>
    <w:rsid w:val="006D30BC"/>
    <w:rsid w:val="006D3271"/>
    <w:rsid w:val="006D35F6"/>
    <w:rsid w:val="006D3D03"/>
    <w:rsid w:val="006D401E"/>
    <w:rsid w:val="006D486B"/>
    <w:rsid w:val="006D58FB"/>
    <w:rsid w:val="006D5C49"/>
    <w:rsid w:val="006D63B2"/>
    <w:rsid w:val="006D7761"/>
    <w:rsid w:val="006D7819"/>
    <w:rsid w:val="006E07AA"/>
    <w:rsid w:val="006E192C"/>
    <w:rsid w:val="006E1BA4"/>
    <w:rsid w:val="006E1C0F"/>
    <w:rsid w:val="006E2CEF"/>
    <w:rsid w:val="006E3C7F"/>
    <w:rsid w:val="006E58E1"/>
    <w:rsid w:val="006E5BDF"/>
    <w:rsid w:val="006E6445"/>
    <w:rsid w:val="006E71C8"/>
    <w:rsid w:val="006E7302"/>
    <w:rsid w:val="006E7793"/>
    <w:rsid w:val="006F0C84"/>
    <w:rsid w:val="006F161E"/>
    <w:rsid w:val="006F2161"/>
    <w:rsid w:val="006F21CC"/>
    <w:rsid w:val="006F2447"/>
    <w:rsid w:val="006F2A32"/>
    <w:rsid w:val="006F3323"/>
    <w:rsid w:val="006F410C"/>
    <w:rsid w:val="006F4B85"/>
    <w:rsid w:val="006F55B0"/>
    <w:rsid w:val="006F574C"/>
    <w:rsid w:val="006F6AB0"/>
    <w:rsid w:val="006F7AC1"/>
    <w:rsid w:val="006F7FD1"/>
    <w:rsid w:val="00700135"/>
    <w:rsid w:val="0070043A"/>
    <w:rsid w:val="007008AD"/>
    <w:rsid w:val="00700AB9"/>
    <w:rsid w:val="00701624"/>
    <w:rsid w:val="00702114"/>
    <w:rsid w:val="0070290B"/>
    <w:rsid w:val="0070318A"/>
    <w:rsid w:val="00703B8C"/>
    <w:rsid w:val="00704659"/>
    <w:rsid w:val="00704681"/>
    <w:rsid w:val="00705218"/>
    <w:rsid w:val="007055EC"/>
    <w:rsid w:val="00705659"/>
    <w:rsid w:val="00707082"/>
    <w:rsid w:val="00707A0D"/>
    <w:rsid w:val="0071127C"/>
    <w:rsid w:val="007112D0"/>
    <w:rsid w:val="007114B8"/>
    <w:rsid w:val="00711E22"/>
    <w:rsid w:val="00712C73"/>
    <w:rsid w:val="0071443E"/>
    <w:rsid w:val="00715BF2"/>
    <w:rsid w:val="00715D8D"/>
    <w:rsid w:val="0071633D"/>
    <w:rsid w:val="00716E1E"/>
    <w:rsid w:val="007171D7"/>
    <w:rsid w:val="00717E7C"/>
    <w:rsid w:val="0072165E"/>
    <w:rsid w:val="007219A6"/>
    <w:rsid w:val="00721B45"/>
    <w:rsid w:val="00723AB1"/>
    <w:rsid w:val="00723E1E"/>
    <w:rsid w:val="0072456E"/>
    <w:rsid w:val="00724D72"/>
    <w:rsid w:val="00725C27"/>
    <w:rsid w:val="007267A7"/>
    <w:rsid w:val="00726B64"/>
    <w:rsid w:val="007306FE"/>
    <w:rsid w:val="007316B1"/>
    <w:rsid w:val="00731C96"/>
    <w:rsid w:val="00732B2E"/>
    <w:rsid w:val="00732D70"/>
    <w:rsid w:val="007333A4"/>
    <w:rsid w:val="007337F5"/>
    <w:rsid w:val="00733B1A"/>
    <w:rsid w:val="00736969"/>
    <w:rsid w:val="00736EE7"/>
    <w:rsid w:val="007370BE"/>
    <w:rsid w:val="00737713"/>
    <w:rsid w:val="007377FB"/>
    <w:rsid w:val="00737A6C"/>
    <w:rsid w:val="00737F57"/>
    <w:rsid w:val="007401AD"/>
    <w:rsid w:val="0074212B"/>
    <w:rsid w:val="00742720"/>
    <w:rsid w:val="00742AA5"/>
    <w:rsid w:val="00742E73"/>
    <w:rsid w:val="00742EC6"/>
    <w:rsid w:val="00744266"/>
    <w:rsid w:val="00745318"/>
    <w:rsid w:val="00746606"/>
    <w:rsid w:val="00747333"/>
    <w:rsid w:val="00747749"/>
    <w:rsid w:val="007501A0"/>
    <w:rsid w:val="007506DF"/>
    <w:rsid w:val="007509A6"/>
    <w:rsid w:val="00750B5A"/>
    <w:rsid w:val="00751984"/>
    <w:rsid w:val="007523A9"/>
    <w:rsid w:val="00753755"/>
    <w:rsid w:val="00754709"/>
    <w:rsid w:val="00756BB9"/>
    <w:rsid w:val="00757958"/>
    <w:rsid w:val="00762D32"/>
    <w:rsid w:val="007633B0"/>
    <w:rsid w:val="00764B65"/>
    <w:rsid w:val="00764CB0"/>
    <w:rsid w:val="00765794"/>
    <w:rsid w:val="00766210"/>
    <w:rsid w:val="0076656E"/>
    <w:rsid w:val="00766BEA"/>
    <w:rsid w:val="00766E51"/>
    <w:rsid w:val="00767BF8"/>
    <w:rsid w:val="00767F3C"/>
    <w:rsid w:val="007706C5"/>
    <w:rsid w:val="007715D2"/>
    <w:rsid w:val="00772053"/>
    <w:rsid w:val="007724E0"/>
    <w:rsid w:val="00772501"/>
    <w:rsid w:val="00772C70"/>
    <w:rsid w:val="00775339"/>
    <w:rsid w:val="007757D5"/>
    <w:rsid w:val="007767A7"/>
    <w:rsid w:val="0078019D"/>
    <w:rsid w:val="0078322F"/>
    <w:rsid w:val="0078415C"/>
    <w:rsid w:val="007844AC"/>
    <w:rsid w:val="007847FA"/>
    <w:rsid w:val="00784A08"/>
    <w:rsid w:val="00785940"/>
    <w:rsid w:val="00785CF8"/>
    <w:rsid w:val="0078636F"/>
    <w:rsid w:val="00787133"/>
    <w:rsid w:val="00787D59"/>
    <w:rsid w:val="007900CB"/>
    <w:rsid w:val="0079059D"/>
    <w:rsid w:val="00790757"/>
    <w:rsid w:val="007908EC"/>
    <w:rsid w:val="00790910"/>
    <w:rsid w:val="00791CCE"/>
    <w:rsid w:val="00791DE1"/>
    <w:rsid w:val="00791F44"/>
    <w:rsid w:val="007926A6"/>
    <w:rsid w:val="00792982"/>
    <w:rsid w:val="00793576"/>
    <w:rsid w:val="00794400"/>
    <w:rsid w:val="007957ED"/>
    <w:rsid w:val="00796CD0"/>
    <w:rsid w:val="00796EE6"/>
    <w:rsid w:val="00797820"/>
    <w:rsid w:val="007A123C"/>
    <w:rsid w:val="007A2D94"/>
    <w:rsid w:val="007A3767"/>
    <w:rsid w:val="007A3A8C"/>
    <w:rsid w:val="007A3B0C"/>
    <w:rsid w:val="007A4504"/>
    <w:rsid w:val="007A4ABD"/>
    <w:rsid w:val="007A4EA3"/>
    <w:rsid w:val="007A7B01"/>
    <w:rsid w:val="007B0B28"/>
    <w:rsid w:val="007B0D28"/>
    <w:rsid w:val="007B0E0C"/>
    <w:rsid w:val="007B10F3"/>
    <w:rsid w:val="007B1674"/>
    <w:rsid w:val="007B1D0B"/>
    <w:rsid w:val="007B28AF"/>
    <w:rsid w:val="007B37CD"/>
    <w:rsid w:val="007B48AC"/>
    <w:rsid w:val="007C00FE"/>
    <w:rsid w:val="007C0207"/>
    <w:rsid w:val="007C0B8D"/>
    <w:rsid w:val="007C13A6"/>
    <w:rsid w:val="007C191C"/>
    <w:rsid w:val="007C25B9"/>
    <w:rsid w:val="007C26E5"/>
    <w:rsid w:val="007C2729"/>
    <w:rsid w:val="007C2FBC"/>
    <w:rsid w:val="007C31C4"/>
    <w:rsid w:val="007C43C7"/>
    <w:rsid w:val="007C69EF"/>
    <w:rsid w:val="007C6B48"/>
    <w:rsid w:val="007C720A"/>
    <w:rsid w:val="007C773B"/>
    <w:rsid w:val="007C7EBB"/>
    <w:rsid w:val="007D0F96"/>
    <w:rsid w:val="007D1092"/>
    <w:rsid w:val="007D1F69"/>
    <w:rsid w:val="007D2051"/>
    <w:rsid w:val="007D2621"/>
    <w:rsid w:val="007D270B"/>
    <w:rsid w:val="007D27D6"/>
    <w:rsid w:val="007D2A81"/>
    <w:rsid w:val="007D3062"/>
    <w:rsid w:val="007D3749"/>
    <w:rsid w:val="007D39C9"/>
    <w:rsid w:val="007D4056"/>
    <w:rsid w:val="007D53B2"/>
    <w:rsid w:val="007D5478"/>
    <w:rsid w:val="007D5FF3"/>
    <w:rsid w:val="007D6E98"/>
    <w:rsid w:val="007D7045"/>
    <w:rsid w:val="007E04B5"/>
    <w:rsid w:val="007E06AB"/>
    <w:rsid w:val="007E0AD0"/>
    <w:rsid w:val="007E11C7"/>
    <w:rsid w:val="007E1DDB"/>
    <w:rsid w:val="007E3331"/>
    <w:rsid w:val="007E3562"/>
    <w:rsid w:val="007E3933"/>
    <w:rsid w:val="007E5354"/>
    <w:rsid w:val="007E57FA"/>
    <w:rsid w:val="007E6279"/>
    <w:rsid w:val="007E6897"/>
    <w:rsid w:val="007E7424"/>
    <w:rsid w:val="007E7F16"/>
    <w:rsid w:val="007F08CA"/>
    <w:rsid w:val="007F1225"/>
    <w:rsid w:val="007F1270"/>
    <w:rsid w:val="007F1430"/>
    <w:rsid w:val="007F1AC1"/>
    <w:rsid w:val="007F2A2F"/>
    <w:rsid w:val="007F2BBA"/>
    <w:rsid w:val="007F2F9E"/>
    <w:rsid w:val="007F382D"/>
    <w:rsid w:val="007F3B6E"/>
    <w:rsid w:val="007F3BF6"/>
    <w:rsid w:val="007F493B"/>
    <w:rsid w:val="007F499F"/>
    <w:rsid w:val="007F59B7"/>
    <w:rsid w:val="00800267"/>
    <w:rsid w:val="00800535"/>
    <w:rsid w:val="0080256E"/>
    <w:rsid w:val="00803095"/>
    <w:rsid w:val="008048E6"/>
    <w:rsid w:val="008049BA"/>
    <w:rsid w:val="00804A71"/>
    <w:rsid w:val="008058E8"/>
    <w:rsid w:val="00805BE1"/>
    <w:rsid w:val="00806434"/>
    <w:rsid w:val="008065C5"/>
    <w:rsid w:val="00807065"/>
    <w:rsid w:val="008075F7"/>
    <w:rsid w:val="00811936"/>
    <w:rsid w:val="00811AF6"/>
    <w:rsid w:val="0081286C"/>
    <w:rsid w:val="00813288"/>
    <w:rsid w:val="00814216"/>
    <w:rsid w:val="00814CAA"/>
    <w:rsid w:val="008158DB"/>
    <w:rsid w:val="00815A4E"/>
    <w:rsid w:val="00815C53"/>
    <w:rsid w:val="008174F9"/>
    <w:rsid w:val="0082007B"/>
    <w:rsid w:val="00821A29"/>
    <w:rsid w:val="00823233"/>
    <w:rsid w:val="00824426"/>
    <w:rsid w:val="00824F0D"/>
    <w:rsid w:val="00827403"/>
    <w:rsid w:val="00827619"/>
    <w:rsid w:val="00827F87"/>
    <w:rsid w:val="00830A7A"/>
    <w:rsid w:val="00830AE8"/>
    <w:rsid w:val="00830E52"/>
    <w:rsid w:val="008324E3"/>
    <w:rsid w:val="00833DD8"/>
    <w:rsid w:val="008349A7"/>
    <w:rsid w:val="00834DD9"/>
    <w:rsid w:val="00835D80"/>
    <w:rsid w:val="00836106"/>
    <w:rsid w:val="00836E8D"/>
    <w:rsid w:val="00837B70"/>
    <w:rsid w:val="00837DFE"/>
    <w:rsid w:val="008403DE"/>
    <w:rsid w:val="008410FF"/>
    <w:rsid w:val="00841877"/>
    <w:rsid w:val="00842E3F"/>
    <w:rsid w:val="0084430D"/>
    <w:rsid w:val="00845946"/>
    <w:rsid w:val="00846884"/>
    <w:rsid w:val="00847167"/>
    <w:rsid w:val="00847215"/>
    <w:rsid w:val="008476A0"/>
    <w:rsid w:val="008503CD"/>
    <w:rsid w:val="008505F0"/>
    <w:rsid w:val="0085072E"/>
    <w:rsid w:val="008512EA"/>
    <w:rsid w:val="00851366"/>
    <w:rsid w:val="00852156"/>
    <w:rsid w:val="00852F38"/>
    <w:rsid w:val="0085381D"/>
    <w:rsid w:val="00853DDB"/>
    <w:rsid w:val="00853FDA"/>
    <w:rsid w:val="008544F6"/>
    <w:rsid w:val="00854C36"/>
    <w:rsid w:val="00855260"/>
    <w:rsid w:val="00855A75"/>
    <w:rsid w:val="00855E98"/>
    <w:rsid w:val="00856C34"/>
    <w:rsid w:val="00857396"/>
    <w:rsid w:val="008576E2"/>
    <w:rsid w:val="00860309"/>
    <w:rsid w:val="00860B07"/>
    <w:rsid w:val="00861559"/>
    <w:rsid w:val="0086305B"/>
    <w:rsid w:val="00863410"/>
    <w:rsid w:val="00863CE6"/>
    <w:rsid w:val="00864BCC"/>
    <w:rsid w:val="008653DC"/>
    <w:rsid w:val="00865DC1"/>
    <w:rsid w:val="008668FA"/>
    <w:rsid w:val="00870089"/>
    <w:rsid w:val="00871466"/>
    <w:rsid w:val="00871CF9"/>
    <w:rsid w:val="00871E2F"/>
    <w:rsid w:val="008731A1"/>
    <w:rsid w:val="008734D1"/>
    <w:rsid w:val="00874BB5"/>
    <w:rsid w:val="008750F9"/>
    <w:rsid w:val="00875341"/>
    <w:rsid w:val="0087536F"/>
    <w:rsid w:val="00875ACD"/>
    <w:rsid w:val="00876023"/>
    <w:rsid w:val="00876B33"/>
    <w:rsid w:val="00877812"/>
    <w:rsid w:val="0088033B"/>
    <w:rsid w:val="00880A40"/>
    <w:rsid w:val="00880E2F"/>
    <w:rsid w:val="008815CE"/>
    <w:rsid w:val="00881D36"/>
    <w:rsid w:val="00881F91"/>
    <w:rsid w:val="0088236A"/>
    <w:rsid w:val="008828EA"/>
    <w:rsid w:val="008829DE"/>
    <w:rsid w:val="008832B1"/>
    <w:rsid w:val="008835C7"/>
    <w:rsid w:val="00883894"/>
    <w:rsid w:val="00883D5A"/>
    <w:rsid w:val="00883DD0"/>
    <w:rsid w:val="00884399"/>
    <w:rsid w:val="00885A31"/>
    <w:rsid w:val="00886103"/>
    <w:rsid w:val="00886549"/>
    <w:rsid w:val="008867E3"/>
    <w:rsid w:val="008869F4"/>
    <w:rsid w:val="0088778A"/>
    <w:rsid w:val="00887E9A"/>
    <w:rsid w:val="00890225"/>
    <w:rsid w:val="00893060"/>
    <w:rsid w:val="00893D67"/>
    <w:rsid w:val="00893EEF"/>
    <w:rsid w:val="00896BC8"/>
    <w:rsid w:val="00896FC5"/>
    <w:rsid w:val="008A1AD4"/>
    <w:rsid w:val="008A1BED"/>
    <w:rsid w:val="008A2397"/>
    <w:rsid w:val="008A288C"/>
    <w:rsid w:val="008A2FA8"/>
    <w:rsid w:val="008A3C58"/>
    <w:rsid w:val="008A4880"/>
    <w:rsid w:val="008A52B1"/>
    <w:rsid w:val="008A59A2"/>
    <w:rsid w:val="008A6AFE"/>
    <w:rsid w:val="008A7036"/>
    <w:rsid w:val="008B123B"/>
    <w:rsid w:val="008B3345"/>
    <w:rsid w:val="008B3648"/>
    <w:rsid w:val="008B4941"/>
    <w:rsid w:val="008B49F5"/>
    <w:rsid w:val="008B51D1"/>
    <w:rsid w:val="008B5B32"/>
    <w:rsid w:val="008B65C8"/>
    <w:rsid w:val="008B6D2B"/>
    <w:rsid w:val="008B7C03"/>
    <w:rsid w:val="008C00C2"/>
    <w:rsid w:val="008C1EA6"/>
    <w:rsid w:val="008C25B2"/>
    <w:rsid w:val="008C2D2C"/>
    <w:rsid w:val="008C4DDF"/>
    <w:rsid w:val="008C51E7"/>
    <w:rsid w:val="008C56C3"/>
    <w:rsid w:val="008C5FD6"/>
    <w:rsid w:val="008C7D30"/>
    <w:rsid w:val="008D0369"/>
    <w:rsid w:val="008D2256"/>
    <w:rsid w:val="008D23EF"/>
    <w:rsid w:val="008D2D6D"/>
    <w:rsid w:val="008D2F05"/>
    <w:rsid w:val="008D3634"/>
    <w:rsid w:val="008D3B66"/>
    <w:rsid w:val="008D4EED"/>
    <w:rsid w:val="008D504A"/>
    <w:rsid w:val="008D6139"/>
    <w:rsid w:val="008D78FF"/>
    <w:rsid w:val="008E0339"/>
    <w:rsid w:val="008E06BD"/>
    <w:rsid w:val="008E486E"/>
    <w:rsid w:val="008E4E35"/>
    <w:rsid w:val="008E5BA2"/>
    <w:rsid w:val="008E6DC7"/>
    <w:rsid w:val="008E721F"/>
    <w:rsid w:val="008E7239"/>
    <w:rsid w:val="008E7C1B"/>
    <w:rsid w:val="008F13E0"/>
    <w:rsid w:val="008F2EDD"/>
    <w:rsid w:val="008F43C2"/>
    <w:rsid w:val="008F47D4"/>
    <w:rsid w:val="008F4EC8"/>
    <w:rsid w:val="008F769D"/>
    <w:rsid w:val="008F7EE3"/>
    <w:rsid w:val="009005F3"/>
    <w:rsid w:val="00900DE5"/>
    <w:rsid w:val="009019D5"/>
    <w:rsid w:val="00901F56"/>
    <w:rsid w:val="0090203B"/>
    <w:rsid w:val="00902C66"/>
    <w:rsid w:val="009046CE"/>
    <w:rsid w:val="00905C18"/>
    <w:rsid w:val="00905C63"/>
    <w:rsid w:val="0090625D"/>
    <w:rsid w:val="009063C3"/>
    <w:rsid w:val="009064DF"/>
    <w:rsid w:val="0090732A"/>
    <w:rsid w:val="00907767"/>
    <w:rsid w:val="0091002E"/>
    <w:rsid w:val="009100E6"/>
    <w:rsid w:val="009112AC"/>
    <w:rsid w:val="009114C8"/>
    <w:rsid w:val="0091152C"/>
    <w:rsid w:val="00911950"/>
    <w:rsid w:val="00911F56"/>
    <w:rsid w:val="00912074"/>
    <w:rsid w:val="00912AED"/>
    <w:rsid w:val="0091410D"/>
    <w:rsid w:val="0091486F"/>
    <w:rsid w:val="00914DA7"/>
    <w:rsid w:val="00914EB6"/>
    <w:rsid w:val="00915F63"/>
    <w:rsid w:val="009177E9"/>
    <w:rsid w:val="00917EA1"/>
    <w:rsid w:val="00920847"/>
    <w:rsid w:val="00921CC3"/>
    <w:rsid w:val="00922071"/>
    <w:rsid w:val="009222F8"/>
    <w:rsid w:val="00922420"/>
    <w:rsid w:val="0092243D"/>
    <w:rsid w:val="00922A84"/>
    <w:rsid w:val="00923AA8"/>
    <w:rsid w:val="009240FD"/>
    <w:rsid w:val="00924655"/>
    <w:rsid w:val="0092606A"/>
    <w:rsid w:val="00926232"/>
    <w:rsid w:val="009266B8"/>
    <w:rsid w:val="0092677E"/>
    <w:rsid w:val="0092684E"/>
    <w:rsid w:val="009274DF"/>
    <w:rsid w:val="0093015D"/>
    <w:rsid w:val="0093124E"/>
    <w:rsid w:val="009331CF"/>
    <w:rsid w:val="009333D2"/>
    <w:rsid w:val="009334AC"/>
    <w:rsid w:val="009338BC"/>
    <w:rsid w:val="00934DF6"/>
    <w:rsid w:val="009357E1"/>
    <w:rsid w:val="00936120"/>
    <w:rsid w:val="00936A30"/>
    <w:rsid w:val="00937C84"/>
    <w:rsid w:val="009405BB"/>
    <w:rsid w:val="00940D29"/>
    <w:rsid w:val="00941496"/>
    <w:rsid w:val="009419CA"/>
    <w:rsid w:val="00942010"/>
    <w:rsid w:val="0094320A"/>
    <w:rsid w:val="009436B7"/>
    <w:rsid w:val="00945415"/>
    <w:rsid w:val="009454D5"/>
    <w:rsid w:val="00945E29"/>
    <w:rsid w:val="009463E1"/>
    <w:rsid w:val="00946E6A"/>
    <w:rsid w:val="0094785A"/>
    <w:rsid w:val="0095170D"/>
    <w:rsid w:val="009529EF"/>
    <w:rsid w:val="0095307F"/>
    <w:rsid w:val="00953300"/>
    <w:rsid w:val="00953D0B"/>
    <w:rsid w:val="0095449A"/>
    <w:rsid w:val="00954516"/>
    <w:rsid w:val="00955526"/>
    <w:rsid w:val="00955C7D"/>
    <w:rsid w:val="009567AC"/>
    <w:rsid w:val="00956FEF"/>
    <w:rsid w:val="009616C2"/>
    <w:rsid w:val="009617BE"/>
    <w:rsid w:val="009621DF"/>
    <w:rsid w:val="009624B2"/>
    <w:rsid w:val="00962695"/>
    <w:rsid w:val="009627B0"/>
    <w:rsid w:val="00962946"/>
    <w:rsid w:val="00962D34"/>
    <w:rsid w:val="009635C1"/>
    <w:rsid w:val="009667F0"/>
    <w:rsid w:val="00966C09"/>
    <w:rsid w:val="00966C79"/>
    <w:rsid w:val="00967236"/>
    <w:rsid w:val="009722E3"/>
    <w:rsid w:val="009728AE"/>
    <w:rsid w:val="00975141"/>
    <w:rsid w:val="009758CD"/>
    <w:rsid w:val="00975ED8"/>
    <w:rsid w:val="00976472"/>
    <w:rsid w:val="009764F0"/>
    <w:rsid w:val="009778F2"/>
    <w:rsid w:val="009779DE"/>
    <w:rsid w:val="0098078D"/>
    <w:rsid w:val="009808F0"/>
    <w:rsid w:val="009813A5"/>
    <w:rsid w:val="00981539"/>
    <w:rsid w:val="009818E9"/>
    <w:rsid w:val="00981A1F"/>
    <w:rsid w:val="00981EB9"/>
    <w:rsid w:val="009829C4"/>
    <w:rsid w:val="009831A1"/>
    <w:rsid w:val="009833E1"/>
    <w:rsid w:val="00984441"/>
    <w:rsid w:val="009844CF"/>
    <w:rsid w:val="0098477A"/>
    <w:rsid w:val="00984DD8"/>
    <w:rsid w:val="009863F5"/>
    <w:rsid w:val="00986B22"/>
    <w:rsid w:val="0098724A"/>
    <w:rsid w:val="00987486"/>
    <w:rsid w:val="00987AB8"/>
    <w:rsid w:val="0099085F"/>
    <w:rsid w:val="00991274"/>
    <w:rsid w:val="009925DB"/>
    <w:rsid w:val="0099329D"/>
    <w:rsid w:val="00993BB4"/>
    <w:rsid w:val="00993CC9"/>
    <w:rsid w:val="00993FB1"/>
    <w:rsid w:val="009944C9"/>
    <w:rsid w:val="0099476F"/>
    <w:rsid w:val="0099485C"/>
    <w:rsid w:val="00994BB2"/>
    <w:rsid w:val="00995083"/>
    <w:rsid w:val="009950F1"/>
    <w:rsid w:val="00995716"/>
    <w:rsid w:val="0099578E"/>
    <w:rsid w:val="00995B23"/>
    <w:rsid w:val="00997089"/>
    <w:rsid w:val="0099730F"/>
    <w:rsid w:val="009A0510"/>
    <w:rsid w:val="009A2143"/>
    <w:rsid w:val="009A21BB"/>
    <w:rsid w:val="009A3D28"/>
    <w:rsid w:val="009A40C7"/>
    <w:rsid w:val="009A42BF"/>
    <w:rsid w:val="009A4732"/>
    <w:rsid w:val="009A50D0"/>
    <w:rsid w:val="009A6F74"/>
    <w:rsid w:val="009A7453"/>
    <w:rsid w:val="009B0DD7"/>
    <w:rsid w:val="009B1836"/>
    <w:rsid w:val="009B2089"/>
    <w:rsid w:val="009B2EFD"/>
    <w:rsid w:val="009B376D"/>
    <w:rsid w:val="009B3784"/>
    <w:rsid w:val="009B52AE"/>
    <w:rsid w:val="009B57EF"/>
    <w:rsid w:val="009B5D4D"/>
    <w:rsid w:val="009B614F"/>
    <w:rsid w:val="009B63CA"/>
    <w:rsid w:val="009B7F57"/>
    <w:rsid w:val="009C0B83"/>
    <w:rsid w:val="009C1FF6"/>
    <w:rsid w:val="009C2E9B"/>
    <w:rsid w:val="009C385A"/>
    <w:rsid w:val="009C4D39"/>
    <w:rsid w:val="009C6FA0"/>
    <w:rsid w:val="009C7F8E"/>
    <w:rsid w:val="009D01FB"/>
    <w:rsid w:val="009D0ECA"/>
    <w:rsid w:val="009D3203"/>
    <w:rsid w:val="009D3628"/>
    <w:rsid w:val="009D4C2A"/>
    <w:rsid w:val="009D5F02"/>
    <w:rsid w:val="009D6914"/>
    <w:rsid w:val="009D6E3A"/>
    <w:rsid w:val="009D7344"/>
    <w:rsid w:val="009E01FA"/>
    <w:rsid w:val="009E1C22"/>
    <w:rsid w:val="009E2481"/>
    <w:rsid w:val="009E296A"/>
    <w:rsid w:val="009E3657"/>
    <w:rsid w:val="009E3E47"/>
    <w:rsid w:val="009E4776"/>
    <w:rsid w:val="009F070C"/>
    <w:rsid w:val="009F0F6A"/>
    <w:rsid w:val="009F1E51"/>
    <w:rsid w:val="009F3530"/>
    <w:rsid w:val="009F3631"/>
    <w:rsid w:val="009F3790"/>
    <w:rsid w:val="009F5728"/>
    <w:rsid w:val="009F6814"/>
    <w:rsid w:val="009F6D82"/>
    <w:rsid w:val="009F72C1"/>
    <w:rsid w:val="009F7CEB"/>
    <w:rsid w:val="00A00773"/>
    <w:rsid w:val="00A00BFB"/>
    <w:rsid w:val="00A0325C"/>
    <w:rsid w:val="00A040FD"/>
    <w:rsid w:val="00A0426A"/>
    <w:rsid w:val="00A04C0D"/>
    <w:rsid w:val="00A0504C"/>
    <w:rsid w:val="00A057A1"/>
    <w:rsid w:val="00A079E7"/>
    <w:rsid w:val="00A07A7F"/>
    <w:rsid w:val="00A07EF3"/>
    <w:rsid w:val="00A10185"/>
    <w:rsid w:val="00A10219"/>
    <w:rsid w:val="00A1040C"/>
    <w:rsid w:val="00A10B75"/>
    <w:rsid w:val="00A11C69"/>
    <w:rsid w:val="00A11D92"/>
    <w:rsid w:val="00A12083"/>
    <w:rsid w:val="00A12983"/>
    <w:rsid w:val="00A13415"/>
    <w:rsid w:val="00A135B4"/>
    <w:rsid w:val="00A13855"/>
    <w:rsid w:val="00A13DB3"/>
    <w:rsid w:val="00A1474C"/>
    <w:rsid w:val="00A14840"/>
    <w:rsid w:val="00A1600A"/>
    <w:rsid w:val="00A17005"/>
    <w:rsid w:val="00A1794C"/>
    <w:rsid w:val="00A2094D"/>
    <w:rsid w:val="00A20B1A"/>
    <w:rsid w:val="00A21BBB"/>
    <w:rsid w:val="00A21C77"/>
    <w:rsid w:val="00A22837"/>
    <w:rsid w:val="00A22A39"/>
    <w:rsid w:val="00A27004"/>
    <w:rsid w:val="00A2726C"/>
    <w:rsid w:val="00A27D94"/>
    <w:rsid w:val="00A31048"/>
    <w:rsid w:val="00A322AE"/>
    <w:rsid w:val="00A378A4"/>
    <w:rsid w:val="00A4054F"/>
    <w:rsid w:val="00A41577"/>
    <w:rsid w:val="00A418F3"/>
    <w:rsid w:val="00A41D4E"/>
    <w:rsid w:val="00A41E5D"/>
    <w:rsid w:val="00A42A14"/>
    <w:rsid w:val="00A431AF"/>
    <w:rsid w:val="00A44CAB"/>
    <w:rsid w:val="00A44E5E"/>
    <w:rsid w:val="00A45492"/>
    <w:rsid w:val="00A45537"/>
    <w:rsid w:val="00A45B19"/>
    <w:rsid w:val="00A464AB"/>
    <w:rsid w:val="00A50323"/>
    <w:rsid w:val="00A50D07"/>
    <w:rsid w:val="00A51275"/>
    <w:rsid w:val="00A51F59"/>
    <w:rsid w:val="00A52A7D"/>
    <w:rsid w:val="00A535FB"/>
    <w:rsid w:val="00A5364B"/>
    <w:rsid w:val="00A53B9E"/>
    <w:rsid w:val="00A5521B"/>
    <w:rsid w:val="00A556A2"/>
    <w:rsid w:val="00A567B3"/>
    <w:rsid w:val="00A57183"/>
    <w:rsid w:val="00A57A88"/>
    <w:rsid w:val="00A57EEA"/>
    <w:rsid w:val="00A60233"/>
    <w:rsid w:val="00A60535"/>
    <w:rsid w:val="00A60ADF"/>
    <w:rsid w:val="00A61591"/>
    <w:rsid w:val="00A6196B"/>
    <w:rsid w:val="00A62BB8"/>
    <w:rsid w:val="00A62EF9"/>
    <w:rsid w:val="00A6374D"/>
    <w:rsid w:val="00A661EF"/>
    <w:rsid w:val="00A67467"/>
    <w:rsid w:val="00A707C0"/>
    <w:rsid w:val="00A70AB0"/>
    <w:rsid w:val="00A741F4"/>
    <w:rsid w:val="00A74D54"/>
    <w:rsid w:val="00A75330"/>
    <w:rsid w:val="00A77597"/>
    <w:rsid w:val="00A778EB"/>
    <w:rsid w:val="00A77DF8"/>
    <w:rsid w:val="00A8163C"/>
    <w:rsid w:val="00A816F8"/>
    <w:rsid w:val="00A81E86"/>
    <w:rsid w:val="00A81F82"/>
    <w:rsid w:val="00A82961"/>
    <w:rsid w:val="00A84008"/>
    <w:rsid w:val="00A841B0"/>
    <w:rsid w:val="00A842EE"/>
    <w:rsid w:val="00A84D08"/>
    <w:rsid w:val="00A85320"/>
    <w:rsid w:val="00A85A2B"/>
    <w:rsid w:val="00A8636C"/>
    <w:rsid w:val="00A90837"/>
    <w:rsid w:val="00A93543"/>
    <w:rsid w:val="00A93895"/>
    <w:rsid w:val="00A93E57"/>
    <w:rsid w:val="00A94EFC"/>
    <w:rsid w:val="00A96FB1"/>
    <w:rsid w:val="00AA0423"/>
    <w:rsid w:val="00AA1681"/>
    <w:rsid w:val="00AA19B1"/>
    <w:rsid w:val="00AA2FA1"/>
    <w:rsid w:val="00AA3892"/>
    <w:rsid w:val="00AA3C9A"/>
    <w:rsid w:val="00AA40CC"/>
    <w:rsid w:val="00AA51C1"/>
    <w:rsid w:val="00AA6156"/>
    <w:rsid w:val="00AA73AC"/>
    <w:rsid w:val="00AA7B77"/>
    <w:rsid w:val="00AA7FBC"/>
    <w:rsid w:val="00AB10E1"/>
    <w:rsid w:val="00AB1176"/>
    <w:rsid w:val="00AB187A"/>
    <w:rsid w:val="00AB1C48"/>
    <w:rsid w:val="00AB22D8"/>
    <w:rsid w:val="00AB24D0"/>
    <w:rsid w:val="00AB42EB"/>
    <w:rsid w:val="00AB43AF"/>
    <w:rsid w:val="00AB514A"/>
    <w:rsid w:val="00AB5850"/>
    <w:rsid w:val="00AB5BDF"/>
    <w:rsid w:val="00AB7B67"/>
    <w:rsid w:val="00AB7CB3"/>
    <w:rsid w:val="00AB7EAE"/>
    <w:rsid w:val="00AC0719"/>
    <w:rsid w:val="00AC0F40"/>
    <w:rsid w:val="00AC1135"/>
    <w:rsid w:val="00AC240F"/>
    <w:rsid w:val="00AC273E"/>
    <w:rsid w:val="00AC4323"/>
    <w:rsid w:val="00AC4CFE"/>
    <w:rsid w:val="00AC50E3"/>
    <w:rsid w:val="00AC5324"/>
    <w:rsid w:val="00AC5866"/>
    <w:rsid w:val="00AC58DA"/>
    <w:rsid w:val="00AC62D4"/>
    <w:rsid w:val="00AC6568"/>
    <w:rsid w:val="00AC7594"/>
    <w:rsid w:val="00AD17AA"/>
    <w:rsid w:val="00AD2D14"/>
    <w:rsid w:val="00AD3C4D"/>
    <w:rsid w:val="00AD4BA8"/>
    <w:rsid w:val="00AD51C9"/>
    <w:rsid w:val="00AD5A00"/>
    <w:rsid w:val="00AD5A8E"/>
    <w:rsid w:val="00AD5DF6"/>
    <w:rsid w:val="00AD786B"/>
    <w:rsid w:val="00AE057D"/>
    <w:rsid w:val="00AE1184"/>
    <w:rsid w:val="00AE1585"/>
    <w:rsid w:val="00AE2A68"/>
    <w:rsid w:val="00AE513E"/>
    <w:rsid w:val="00AE6832"/>
    <w:rsid w:val="00AE6EC6"/>
    <w:rsid w:val="00AE7AA8"/>
    <w:rsid w:val="00AF07EB"/>
    <w:rsid w:val="00AF0DF9"/>
    <w:rsid w:val="00AF1345"/>
    <w:rsid w:val="00AF145A"/>
    <w:rsid w:val="00AF1D2B"/>
    <w:rsid w:val="00AF4923"/>
    <w:rsid w:val="00AF4BE4"/>
    <w:rsid w:val="00AF51B7"/>
    <w:rsid w:val="00AF70AE"/>
    <w:rsid w:val="00AF7A20"/>
    <w:rsid w:val="00AF7C9E"/>
    <w:rsid w:val="00B0048C"/>
    <w:rsid w:val="00B015E3"/>
    <w:rsid w:val="00B01E6D"/>
    <w:rsid w:val="00B0262C"/>
    <w:rsid w:val="00B039AD"/>
    <w:rsid w:val="00B04576"/>
    <w:rsid w:val="00B050AE"/>
    <w:rsid w:val="00B052EB"/>
    <w:rsid w:val="00B05A6C"/>
    <w:rsid w:val="00B06238"/>
    <w:rsid w:val="00B063D5"/>
    <w:rsid w:val="00B06EDB"/>
    <w:rsid w:val="00B07173"/>
    <w:rsid w:val="00B101EA"/>
    <w:rsid w:val="00B10A6C"/>
    <w:rsid w:val="00B113A0"/>
    <w:rsid w:val="00B11986"/>
    <w:rsid w:val="00B11B19"/>
    <w:rsid w:val="00B11EA0"/>
    <w:rsid w:val="00B126F5"/>
    <w:rsid w:val="00B136C1"/>
    <w:rsid w:val="00B13F19"/>
    <w:rsid w:val="00B1555D"/>
    <w:rsid w:val="00B15EB0"/>
    <w:rsid w:val="00B168FF"/>
    <w:rsid w:val="00B17236"/>
    <w:rsid w:val="00B174CF"/>
    <w:rsid w:val="00B175A9"/>
    <w:rsid w:val="00B17FDB"/>
    <w:rsid w:val="00B21BB1"/>
    <w:rsid w:val="00B21BD3"/>
    <w:rsid w:val="00B21F74"/>
    <w:rsid w:val="00B22130"/>
    <w:rsid w:val="00B228DB"/>
    <w:rsid w:val="00B22F9E"/>
    <w:rsid w:val="00B236A6"/>
    <w:rsid w:val="00B23C8A"/>
    <w:rsid w:val="00B259CE"/>
    <w:rsid w:val="00B25D68"/>
    <w:rsid w:val="00B2636A"/>
    <w:rsid w:val="00B268AA"/>
    <w:rsid w:val="00B26BBE"/>
    <w:rsid w:val="00B2777B"/>
    <w:rsid w:val="00B3013E"/>
    <w:rsid w:val="00B30E40"/>
    <w:rsid w:val="00B321BB"/>
    <w:rsid w:val="00B372BC"/>
    <w:rsid w:val="00B42C72"/>
    <w:rsid w:val="00B456F0"/>
    <w:rsid w:val="00B45DB0"/>
    <w:rsid w:val="00B4668E"/>
    <w:rsid w:val="00B50BF3"/>
    <w:rsid w:val="00B51266"/>
    <w:rsid w:val="00B5264C"/>
    <w:rsid w:val="00B53117"/>
    <w:rsid w:val="00B539FB"/>
    <w:rsid w:val="00B543F8"/>
    <w:rsid w:val="00B545FB"/>
    <w:rsid w:val="00B54AED"/>
    <w:rsid w:val="00B55721"/>
    <w:rsid w:val="00B55DC5"/>
    <w:rsid w:val="00B56191"/>
    <w:rsid w:val="00B575C2"/>
    <w:rsid w:val="00B57648"/>
    <w:rsid w:val="00B579A7"/>
    <w:rsid w:val="00B633AF"/>
    <w:rsid w:val="00B6367E"/>
    <w:rsid w:val="00B63713"/>
    <w:rsid w:val="00B63B06"/>
    <w:rsid w:val="00B64170"/>
    <w:rsid w:val="00B64C4A"/>
    <w:rsid w:val="00B6586D"/>
    <w:rsid w:val="00B669CD"/>
    <w:rsid w:val="00B66C37"/>
    <w:rsid w:val="00B670D5"/>
    <w:rsid w:val="00B67119"/>
    <w:rsid w:val="00B67472"/>
    <w:rsid w:val="00B6748A"/>
    <w:rsid w:val="00B677A4"/>
    <w:rsid w:val="00B67944"/>
    <w:rsid w:val="00B6795F"/>
    <w:rsid w:val="00B70E20"/>
    <w:rsid w:val="00B71675"/>
    <w:rsid w:val="00B71B62"/>
    <w:rsid w:val="00B71CBD"/>
    <w:rsid w:val="00B72C19"/>
    <w:rsid w:val="00B731B9"/>
    <w:rsid w:val="00B732A6"/>
    <w:rsid w:val="00B7460D"/>
    <w:rsid w:val="00B7594B"/>
    <w:rsid w:val="00B75BC0"/>
    <w:rsid w:val="00B75E1B"/>
    <w:rsid w:val="00B75E8A"/>
    <w:rsid w:val="00B77564"/>
    <w:rsid w:val="00B7796D"/>
    <w:rsid w:val="00B77C13"/>
    <w:rsid w:val="00B77E48"/>
    <w:rsid w:val="00B804BF"/>
    <w:rsid w:val="00B80B83"/>
    <w:rsid w:val="00B80E58"/>
    <w:rsid w:val="00B81A5A"/>
    <w:rsid w:val="00B8313D"/>
    <w:rsid w:val="00B8480E"/>
    <w:rsid w:val="00B863A0"/>
    <w:rsid w:val="00B915D3"/>
    <w:rsid w:val="00B92DF1"/>
    <w:rsid w:val="00B93481"/>
    <w:rsid w:val="00B9565A"/>
    <w:rsid w:val="00B96675"/>
    <w:rsid w:val="00B96777"/>
    <w:rsid w:val="00B9737A"/>
    <w:rsid w:val="00B9796A"/>
    <w:rsid w:val="00BA01AB"/>
    <w:rsid w:val="00BA169A"/>
    <w:rsid w:val="00BA169E"/>
    <w:rsid w:val="00BA22E8"/>
    <w:rsid w:val="00BA3306"/>
    <w:rsid w:val="00BA3F40"/>
    <w:rsid w:val="00BA6304"/>
    <w:rsid w:val="00BA63D6"/>
    <w:rsid w:val="00BA73EE"/>
    <w:rsid w:val="00BA77E3"/>
    <w:rsid w:val="00BB0447"/>
    <w:rsid w:val="00BB06FC"/>
    <w:rsid w:val="00BB0A96"/>
    <w:rsid w:val="00BB184E"/>
    <w:rsid w:val="00BB1D9D"/>
    <w:rsid w:val="00BB2A04"/>
    <w:rsid w:val="00BB2BBC"/>
    <w:rsid w:val="00BB3B5E"/>
    <w:rsid w:val="00BB4588"/>
    <w:rsid w:val="00BB4DCF"/>
    <w:rsid w:val="00BB5CF3"/>
    <w:rsid w:val="00BB66E3"/>
    <w:rsid w:val="00BB6CC6"/>
    <w:rsid w:val="00BB707B"/>
    <w:rsid w:val="00BB7BF4"/>
    <w:rsid w:val="00BB7E06"/>
    <w:rsid w:val="00BC1414"/>
    <w:rsid w:val="00BC1DE5"/>
    <w:rsid w:val="00BC332C"/>
    <w:rsid w:val="00BC535E"/>
    <w:rsid w:val="00BC58E4"/>
    <w:rsid w:val="00BC5E4F"/>
    <w:rsid w:val="00BC6ED4"/>
    <w:rsid w:val="00BC7FCB"/>
    <w:rsid w:val="00BD02F6"/>
    <w:rsid w:val="00BD03EC"/>
    <w:rsid w:val="00BD03ED"/>
    <w:rsid w:val="00BD05E2"/>
    <w:rsid w:val="00BD1F2D"/>
    <w:rsid w:val="00BD2796"/>
    <w:rsid w:val="00BD406F"/>
    <w:rsid w:val="00BD5343"/>
    <w:rsid w:val="00BD5A7B"/>
    <w:rsid w:val="00BD5B9B"/>
    <w:rsid w:val="00BD5CC1"/>
    <w:rsid w:val="00BD5DAD"/>
    <w:rsid w:val="00BD5E36"/>
    <w:rsid w:val="00BD73CD"/>
    <w:rsid w:val="00BD79A9"/>
    <w:rsid w:val="00BE01A6"/>
    <w:rsid w:val="00BE1B4D"/>
    <w:rsid w:val="00BE3385"/>
    <w:rsid w:val="00BE3CAA"/>
    <w:rsid w:val="00BE3E5F"/>
    <w:rsid w:val="00BE4D21"/>
    <w:rsid w:val="00BE583A"/>
    <w:rsid w:val="00BE6FFC"/>
    <w:rsid w:val="00BF116D"/>
    <w:rsid w:val="00BF1931"/>
    <w:rsid w:val="00BF1E93"/>
    <w:rsid w:val="00BF26A5"/>
    <w:rsid w:val="00BF2BAB"/>
    <w:rsid w:val="00BF445D"/>
    <w:rsid w:val="00BF6880"/>
    <w:rsid w:val="00BF7518"/>
    <w:rsid w:val="00C01963"/>
    <w:rsid w:val="00C03558"/>
    <w:rsid w:val="00C042ED"/>
    <w:rsid w:val="00C04B15"/>
    <w:rsid w:val="00C054BE"/>
    <w:rsid w:val="00C06418"/>
    <w:rsid w:val="00C06EC4"/>
    <w:rsid w:val="00C07417"/>
    <w:rsid w:val="00C07470"/>
    <w:rsid w:val="00C07BBA"/>
    <w:rsid w:val="00C07E2E"/>
    <w:rsid w:val="00C10208"/>
    <w:rsid w:val="00C104C2"/>
    <w:rsid w:val="00C11033"/>
    <w:rsid w:val="00C124AE"/>
    <w:rsid w:val="00C12FDD"/>
    <w:rsid w:val="00C152C6"/>
    <w:rsid w:val="00C15985"/>
    <w:rsid w:val="00C15B07"/>
    <w:rsid w:val="00C16079"/>
    <w:rsid w:val="00C20BAB"/>
    <w:rsid w:val="00C22508"/>
    <w:rsid w:val="00C23570"/>
    <w:rsid w:val="00C23FEA"/>
    <w:rsid w:val="00C24A4A"/>
    <w:rsid w:val="00C26200"/>
    <w:rsid w:val="00C269DF"/>
    <w:rsid w:val="00C26E54"/>
    <w:rsid w:val="00C27FE1"/>
    <w:rsid w:val="00C300EA"/>
    <w:rsid w:val="00C30F25"/>
    <w:rsid w:val="00C317F3"/>
    <w:rsid w:val="00C3389A"/>
    <w:rsid w:val="00C33909"/>
    <w:rsid w:val="00C3398A"/>
    <w:rsid w:val="00C3457F"/>
    <w:rsid w:val="00C349E5"/>
    <w:rsid w:val="00C354AC"/>
    <w:rsid w:val="00C36E92"/>
    <w:rsid w:val="00C40142"/>
    <w:rsid w:val="00C4134F"/>
    <w:rsid w:val="00C417A8"/>
    <w:rsid w:val="00C41B43"/>
    <w:rsid w:val="00C42AC0"/>
    <w:rsid w:val="00C43B52"/>
    <w:rsid w:val="00C44C37"/>
    <w:rsid w:val="00C46AE5"/>
    <w:rsid w:val="00C46E1C"/>
    <w:rsid w:val="00C47145"/>
    <w:rsid w:val="00C47654"/>
    <w:rsid w:val="00C47A03"/>
    <w:rsid w:val="00C47DCC"/>
    <w:rsid w:val="00C5036D"/>
    <w:rsid w:val="00C50F3C"/>
    <w:rsid w:val="00C524BB"/>
    <w:rsid w:val="00C52ACF"/>
    <w:rsid w:val="00C53CB5"/>
    <w:rsid w:val="00C54102"/>
    <w:rsid w:val="00C55D2B"/>
    <w:rsid w:val="00C57E4D"/>
    <w:rsid w:val="00C626E2"/>
    <w:rsid w:val="00C628C8"/>
    <w:rsid w:val="00C629E4"/>
    <w:rsid w:val="00C641F5"/>
    <w:rsid w:val="00C64331"/>
    <w:rsid w:val="00C64B60"/>
    <w:rsid w:val="00C65873"/>
    <w:rsid w:val="00C6599D"/>
    <w:rsid w:val="00C6642C"/>
    <w:rsid w:val="00C666DE"/>
    <w:rsid w:val="00C66786"/>
    <w:rsid w:val="00C7133D"/>
    <w:rsid w:val="00C7208E"/>
    <w:rsid w:val="00C723F2"/>
    <w:rsid w:val="00C7519E"/>
    <w:rsid w:val="00C754AE"/>
    <w:rsid w:val="00C75A13"/>
    <w:rsid w:val="00C76169"/>
    <w:rsid w:val="00C76296"/>
    <w:rsid w:val="00C76F0E"/>
    <w:rsid w:val="00C77B4B"/>
    <w:rsid w:val="00C77B64"/>
    <w:rsid w:val="00C801AA"/>
    <w:rsid w:val="00C803DE"/>
    <w:rsid w:val="00C80533"/>
    <w:rsid w:val="00C80586"/>
    <w:rsid w:val="00C81A12"/>
    <w:rsid w:val="00C81B85"/>
    <w:rsid w:val="00C82111"/>
    <w:rsid w:val="00C846BE"/>
    <w:rsid w:val="00C84FBD"/>
    <w:rsid w:val="00C85327"/>
    <w:rsid w:val="00C85389"/>
    <w:rsid w:val="00C86420"/>
    <w:rsid w:val="00C87DC3"/>
    <w:rsid w:val="00C9209A"/>
    <w:rsid w:val="00C92228"/>
    <w:rsid w:val="00C9225E"/>
    <w:rsid w:val="00C9361F"/>
    <w:rsid w:val="00C95272"/>
    <w:rsid w:val="00C9577E"/>
    <w:rsid w:val="00C963DE"/>
    <w:rsid w:val="00C96540"/>
    <w:rsid w:val="00C972CA"/>
    <w:rsid w:val="00CA0A04"/>
    <w:rsid w:val="00CA0AC1"/>
    <w:rsid w:val="00CA0C26"/>
    <w:rsid w:val="00CA237F"/>
    <w:rsid w:val="00CA261B"/>
    <w:rsid w:val="00CA3330"/>
    <w:rsid w:val="00CA39E1"/>
    <w:rsid w:val="00CA42B8"/>
    <w:rsid w:val="00CA554E"/>
    <w:rsid w:val="00CA557D"/>
    <w:rsid w:val="00CA5B8B"/>
    <w:rsid w:val="00CA68CE"/>
    <w:rsid w:val="00CA6AE9"/>
    <w:rsid w:val="00CA6BC9"/>
    <w:rsid w:val="00CB0579"/>
    <w:rsid w:val="00CB07A8"/>
    <w:rsid w:val="00CB13F0"/>
    <w:rsid w:val="00CB14A1"/>
    <w:rsid w:val="00CB313B"/>
    <w:rsid w:val="00CB3EAD"/>
    <w:rsid w:val="00CB4416"/>
    <w:rsid w:val="00CB489A"/>
    <w:rsid w:val="00CB4B1F"/>
    <w:rsid w:val="00CB5389"/>
    <w:rsid w:val="00CB5BC0"/>
    <w:rsid w:val="00CB6AAD"/>
    <w:rsid w:val="00CB6BE1"/>
    <w:rsid w:val="00CC0390"/>
    <w:rsid w:val="00CC0F87"/>
    <w:rsid w:val="00CC10E1"/>
    <w:rsid w:val="00CC24C9"/>
    <w:rsid w:val="00CC2F8D"/>
    <w:rsid w:val="00CC3914"/>
    <w:rsid w:val="00CC4467"/>
    <w:rsid w:val="00CC4E5E"/>
    <w:rsid w:val="00CC4FA8"/>
    <w:rsid w:val="00CC50F7"/>
    <w:rsid w:val="00CC7AF5"/>
    <w:rsid w:val="00CC7C6E"/>
    <w:rsid w:val="00CD0164"/>
    <w:rsid w:val="00CD0870"/>
    <w:rsid w:val="00CD09A1"/>
    <w:rsid w:val="00CD100D"/>
    <w:rsid w:val="00CD1130"/>
    <w:rsid w:val="00CD12E3"/>
    <w:rsid w:val="00CD1737"/>
    <w:rsid w:val="00CD1B83"/>
    <w:rsid w:val="00CD1F6C"/>
    <w:rsid w:val="00CD2196"/>
    <w:rsid w:val="00CD248E"/>
    <w:rsid w:val="00CD2F91"/>
    <w:rsid w:val="00CD33CC"/>
    <w:rsid w:val="00CD457D"/>
    <w:rsid w:val="00CD5234"/>
    <w:rsid w:val="00CD6146"/>
    <w:rsid w:val="00CD6248"/>
    <w:rsid w:val="00CD6327"/>
    <w:rsid w:val="00CD667E"/>
    <w:rsid w:val="00CD7B3B"/>
    <w:rsid w:val="00CE0310"/>
    <w:rsid w:val="00CE1524"/>
    <w:rsid w:val="00CE1532"/>
    <w:rsid w:val="00CE1F84"/>
    <w:rsid w:val="00CE2B78"/>
    <w:rsid w:val="00CE44C3"/>
    <w:rsid w:val="00CE621A"/>
    <w:rsid w:val="00CE6801"/>
    <w:rsid w:val="00CE74A3"/>
    <w:rsid w:val="00CF0199"/>
    <w:rsid w:val="00CF1C85"/>
    <w:rsid w:val="00CF2679"/>
    <w:rsid w:val="00CF4249"/>
    <w:rsid w:val="00CF4A6E"/>
    <w:rsid w:val="00CF4C7D"/>
    <w:rsid w:val="00CF5240"/>
    <w:rsid w:val="00CF5639"/>
    <w:rsid w:val="00CF62F3"/>
    <w:rsid w:val="00CF68EB"/>
    <w:rsid w:val="00CF6ECA"/>
    <w:rsid w:val="00CF7046"/>
    <w:rsid w:val="00D007C0"/>
    <w:rsid w:val="00D00EC7"/>
    <w:rsid w:val="00D014F3"/>
    <w:rsid w:val="00D020BE"/>
    <w:rsid w:val="00D02DB7"/>
    <w:rsid w:val="00D034DD"/>
    <w:rsid w:val="00D03D0C"/>
    <w:rsid w:val="00D0423D"/>
    <w:rsid w:val="00D04952"/>
    <w:rsid w:val="00D04A5B"/>
    <w:rsid w:val="00D051F8"/>
    <w:rsid w:val="00D061A6"/>
    <w:rsid w:val="00D06A16"/>
    <w:rsid w:val="00D1012A"/>
    <w:rsid w:val="00D101FE"/>
    <w:rsid w:val="00D1078F"/>
    <w:rsid w:val="00D10E60"/>
    <w:rsid w:val="00D10FE5"/>
    <w:rsid w:val="00D11F67"/>
    <w:rsid w:val="00D12B83"/>
    <w:rsid w:val="00D12CD2"/>
    <w:rsid w:val="00D1443B"/>
    <w:rsid w:val="00D1484A"/>
    <w:rsid w:val="00D14B31"/>
    <w:rsid w:val="00D14D23"/>
    <w:rsid w:val="00D15D8B"/>
    <w:rsid w:val="00D1661A"/>
    <w:rsid w:val="00D17984"/>
    <w:rsid w:val="00D17AD7"/>
    <w:rsid w:val="00D2024C"/>
    <w:rsid w:val="00D2149E"/>
    <w:rsid w:val="00D2174F"/>
    <w:rsid w:val="00D22804"/>
    <w:rsid w:val="00D23670"/>
    <w:rsid w:val="00D23DE9"/>
    <w:rsid w:val="00D24DAD"/>
    <w:rsid w:val="00D2577D"/>
    <w:rsid w:val="00D25916"/>
    <w:rsid w:val="00D25B43"/>
    <w:rsid w:val="00D2723A"/>
    <w:rsid w:val="00D30087"/>
    <w:rsid w:val="00D303DC"/>
    <w:rsid w:val="00D306CB"/>
    <w:rsid w:val="00D3155B"/>
    <w:rsid w:val="00D316C1"/>
    <w:rsid w:val="00D319F5"/>
    <w:rsid w:val="00D328CE"/>
    <w:rsid w:val="00D329E6"/>
    <w:rsid w:val="00D32FA6"/>
    <w:rsid w:val="00D32FE7"/>
    <w:rsid w:val="00D3448E"/>
    <w:rsid w:val="00D36161"/>
    <w:rsid w:val="00D37972"/>
    <w:rsid w:val="00D37CFC"/>
    <w:rsid w:val="00D4077F"/>
    <w:rsid w:val="00D40896"/>
    <w:rsid w:val="00D41534"/>
    <w:rsid w:val="00D44740"/>
    <w:rsid w:val="00D45051"/>
    <w:rsid w:val="00D451FC"/>
    <w:rsid w:val="00D45A08"/>
    <w:rsid w:val="00D46486"/>
    <w:rsid w:val="00D46D7E"/>
    <w:rsid w:val="00D4707A"/>
    <w:rsid w:val="00D47B1E"/>
    <w:rsid w:val="00D47B95"/>
    <w:rsid w:val="00D50D56"/>
    <w:rsid w:val="00D50DFB"/>
    <w:rsid w:val="00D51840"/>
    <w:rsid w:val="00D52545"/>
    <w:rsid w:val="00D52C07"/>
    <w:rsid w:val="00D5477C"/>
    <w:rsid w:val="00D55B7A"/>
    <w:rsid w:val="00D57870"/>
    <w:rsid w:val="00D57D4A"/>
    <w:rsid w:val="00D63A41"/>
    <w:rsid w:val="00D63C48"/>
    <w:rsid w:val="00D64289"/>
    <w:rsid w:val="00D64485"/>
    <w:rsid w:val="00D648D5"/>
    <w:rsid w:val="00D64C4A"/>
    <w:rsid w:val="00D6553F"/>
    <w:rsid w:val="00D6667B"/>
    <w:rsid w:val="00D66867"/>
    <w:rsid w:val="00D668E5"/>
    <w:rsid w:val="00D67083"/>
    <w:rsid w:val="00D67602"/>
    <w:rsid w:val="00D67E9D"/>
    <w:rsid w:val="00D703D1"/>
    <w:rsid w:val="00D70A50"/>
    <w:rsid w:val="00D71400"/>
    <w:rsid w:val="00D7219D"/>
    <w:rsid w:val="00D72694"/>
    <w:rsid w:val="00D728CF"/>
    <w:rsid w:val="00D72B99"/>
    <w:rsid w:val="00D72BEC"/>
    <w:rsid w:val="00D72C23"/>
    <w:rsid w:val="00D73B93"/>
    <w:rsid w:val="00D73BE1"/>
    <w:rsid w:val="00D74094"/>
    <w:rsid w:val="00D74C54"/>
    <w:rsid w:val="00D751D6"/>
    <w:rsid w:val="00D759F5"/>
    <w:rsid w:val="00D75C8C"/>
    <w:rsid w:val="00D804EC"/>
    <w:rsid w:val="00D8102C"/>
    <w:rsid w:val="00D822DC"/>
    <w:rsid w:val="00D823DC"/>
    <w:rsid w:val="00D83043"/>
    <w:rsid w:val="00D83616"/>
    <w:rsid w:val="00D8435D"/>
    <w:rsid w:val="00D8483B"/>
    <w:rsid w:val="00D84A70"/>
    <w:rsid w:val="00D869F8"/>
    <w:rsid w:val="00D912C6"/>
    <w:rsid w:val="00D92827"/>
    <w:rsid w:val="00D92E40"/>
    <w:rsid w:val="00D95394"/>
    <w:rsid w:val="00D95D29"/>
    <w:rsid w:val="00D95F5F"/>
    <w:rsid w:val="00D9645E"/>
    <w:rsid w:val="00D970E7"/>
    <w:rsid w:val="00D974F8"/>
    <w:rsid w:val="00D97AF2"/>
    <w:rsid w:val="00DA032B"/>
    <w:rsid w:val="00DA0456"/>
    <w:rsid w:val="00DA178E"/>
    <w:rsid w:val="00DA19FC"/>
    <w:rsid w:val="00DA344E"/>
    <w:rsid w:val="00DA395E"/>
    <w:rsid w:val="00DA55BB"/>
    <w:rsid w:val="00DA5922"/>
    <w:rsid w:val="00DA6A16"/>
    <w:rsid w:val="00DA71E3"/>
    <w:rsid w:val="00DA73EE"/>
    <w:rsid w:val="00DB0545"/>
    <w:rsid w:val="00DB07BC"/>
    <w:rsid w:val="00DB14A9"/>
    <w:rsid w:val="00DB1E26"/>
    <w:rsid w:val="00DB250B"/>
    <w:rsid w:val="00DB29FA"/>
    <w:rsid w:val="00DB2BB4"/>
    <w:rsid w:val="00DB33BA"/>
    <w:rsid w:val="00DB4937"/>
    <w:rsid w:val="00DB49ED"/>
    <w:rsid w:val="00DB529E"/>
    <w:rsid w:val="00DB7721"/>
    <w:rsid w:val="00DB7D57"/>
    <w:rsid w:val="00DB7F2C"/>
    <w:rsid w:val="00DC0C42"/>
    <w:rsid w:val="00DC0D32"/>
    <w:rsid w:val="00DC1743"/>
    <w:rsid w:val="00DC1F02"/>
    <w:rsid w:val="00DC1F73"/>
    <w:rsid w:val="00DC335E"/>
    <w:rsid w:val="00DC34D0"/>
    <w:rsid w:val="00DC484B"/>
    <w:rsid w:val="00DC4CC9"/>
    <w:rsid w:val="00DC5F6E"/>
    <w:rsid w:val="00DC6149"/>
    <w:rsid w:val="00DC63A7"/>
    <w:rsid w:val="00DC71AE"/>
    <w:rsid w:val="00DC7746"/>
    <w:rsid w:val="00DD0B1F"/>
    <w:rsid w:val="00DD1E9D"/>
    <w:rsid w:val="00DD28D2"/>
    <w:rsid w:val="00DD3049"/>
    <w:rsid w:val="00DD3460"/>
    <w:rsid w:val="00DD4DE4"/>
    <w:rsid w:val="00DD4EA3"/>
    <w:rsid w:val="00DE09F0"/>
    <w:rsid w:val="00DE0AE0"/>
    <w:rsid w:val="00DE1176"/>
    <w:rsid w:val="00DE153D"/>
    <w:rsid w:val="00DE30E2"/>
    <w:rsid w:val="00DE3A9A"/>
    <w:rsid w:val="00DE49B7"/>
    <w:rsid w:val="00DE4D31"/>
    <w:rsid w:val="00DE6419"/>
    <w:rsid w:val="00DE6421"/>
    <w:rsid w:val="00DE666D"/>
    <w:rsid w:val="00DE6E1E"/>
    <w:rsid w:val="00DE7DDB"/>
    <w:rsid w:val="00DF16C0"/>
    <w:rsid w:val="00DF28CF"/>
    <w:rsid w:val="00DF3171"/>
    <w:rsid w:val="00DF548B"/>
    <w:rsid w:val="00DF5585"/>
    <w:rsid w:val="00DF6223"/>
    <w:rsid w:val="00DF6735"/>
    <w:rsid w:val="00DF6850"/>
    <w:rsid w:val="00DF6BDF"/>
    <w:rsid w:val="00DF6FC6"/>
    <w:rsid w:val="00E0111C"/>
    <w:rsid w:val="00E03DDA"/>
    <w:rsid w:val="00E04EB7"/>
    <w:rsid w:val="00E0506C"/>
    <w:rsid w:val="00E05FBC"/>
    <w:rsid w:val="00E06C84"/>
    <w:rsid w:val="00E06CFC"/>
    <w:rsid w:val="00E10B7D"/>
    <w:rsid w:val="00E10F27"/>
    <w:rsid w:val="00E11438"/>
    <w:rsid w:val="00E11775"/>
    <w:rsid w:val="00E130ED"/>
    <w:rsid w:val="00E133BB"/>
    <w:rsid w:val="00E1569A"/>
    <w:rsid w:val="00E16838"/>
    <w:rsid w:val="00E21139"/>
    <w:rsid w:val="00E21F85"/>
    <w:rsid w:val="00E22402"/>
    <w:rsid w:val="00E227EA"/>
    <w:rsid w:val="00E23606"/>
    <w:rsid w:val="00E23660"/>
    <w:rsid w:val="00E23F0E"/>
    <w:rsid w:val="00E244F8"/>
    <w:rsid w:val="00E24FFE"/>
    <w:rsid w:val="00E257DA"/>
    <w:rsid w:val="00E2634A"/>
    <w:rsid w:val="00E2761D"/>
    <w:rsid w:val="00E27672"/>
    <w:rsid w:val="00E27E4F"/>
    <w:rsid w:val="00E30D89"/>
    <w:rsid w:val="00E30DD7"/>
    <w:rsid w:val="00E3165A"/>
    <w:rsid w:val="00E31A1E"/>
    <w:rsid w:val="00E33B41"/>
    <w:rsid w:val="00E33D09"/>
    <w:rsid w:val="00E34484"/>
    <w:rsid w:val="00E3501F"/>
    <w:rsid w:val="00E359AF"/>
    <w:rsid w:val="00E37424"/>
    <w:rsid w:val="00E4024D"/>
    <w:rsid w:val="00E4041E"/>
    <w:rsid w:val="00E419F1"/>
    <w:rsid w:val="00E41E5E"/>
    <w:rsid w:val="00E43CFB"/>
    <w:rsid w:val="00E441E2"/>
    <w:rsid w:val="00E44B8C"/>
    <w:rsid w:val="00E45180"/>
    <w:rsid w:val="00E45305"/>
    <w:rsid w:val="00E4634C"/>
    <w:rsid w:val="00E46AC9"/>
    <w:rsid w:val="00E46D86"/>
    <w:rsid w:val="00E46EA0"/>
    <w:rsid w:val="00E5071C"/>
    <w:rsid w:val="00E51410"/>
    <w:rsid w:val="00E51A31"/>
    <w:rsid w:val="00E53C68"/>
    <w:rsid w:val="00E53DB6"/>
    <w:rsid w:val="00E54479"/>
    <w:rsid w:val="00E54FB3"/>
    <w:rsid w:val="00E55533"/>
    <w:rsid w:val="00E55904"/>
    <w:rsid w:val="00E55E72"/>
    <w:rsid w:val="00E562D6"/>
    <w:rsid w:val="00E56645"/>
    <w:rsid w:val="00E56868"/>
    <w:rsid w:val="00E6088B"/>
    <w:rsid w:val="00E615D9"/>
    <w:rsid w:val="00E62867"/>
    <w:rsid w:val="00E63554"/>
    <w:rsid w:val="00E63D13"/>
    <w:rsid w:val="00E63F76"/>
    <w:rsid w:val="00E64958"/>
    <w:rsid w:val="00E65696"/>
    <w:rsid w:val="00E65B7F"/>
    <w:rsid w:val="00E66614"/>
    <w:rsid w:val="00E67535"/>
    <w:rsid w:val="00E67F1D"/>
    <w:rsid w:val="00E700A1"/>
    <w:rsid w:val="00E70FF8"/>
    <w:rsid w:val="00E71F9F"/>
    <w:rsid w:val="00E7451D"/>
    <w:rsid w:val="00E74C84"/>
    <w:rsid w:val="00E7691B"/>
    <w:rsid w:val="00E76944"/>
    <w:rsid w:val="00E773DF"/>
    <w:rsid w:val="00E77BF0"/>
    <w:rsid w:val="00E8140A"/>
    <w:rsid w:val="00E819DA"/>
    <w:rsid w:val="00E81EA2"/>
    <w:rsid w:val="00E82650"/>
    <w:rsid w:val="00E8269B"/>
    <w:rsid w:val="00E826D8"/>
    <w:rsid w:val="00E82F05"/>
    <w:rsid w:val="00E84F87"/>
    <w:rsid w:val="00E86674"/>
    <w:rsid w:val="00E87658"/>
    <w:rsid w:val="00E877FF"/>
    <w:rsid w:val="00E87A82"/>
    <w:rsid w:val="00E92848"/>
    <w:rsid w:val="00E930FA"/>
    <w:rsid w:val="00E935D1"/>
    <w:rsid w:val="00E938B6"/>
    <w:rsid w:val="00E938DE"/>
    <w:rsid w:val="00E940BD"/>
    <w:rsid w:val="00E94398"/>
    <w:rsid w:val="00E94A52"/>
    <w:rsid w:val="00E96269"/>
    <w:rsid w:val="00E966DB"/>
    <w:rsid w:val="00EA1B29"/>
    <w:rsid w:val="00EA2654"/>
    <w:rsid w:val="00EA2ADF"/>
    <w:rsid w:val="00EA3BC5"/>
    <w:rsid w:val="00EA3BDC"/>
    <w:rsid w:val="00EA4487"/>
    <w:rsid w:val="00EA46FE"/>
    <w:rsid w:val="00EA5426"/>
    <w:rsid w:val="00EA5871"/>
    <w:rsid w:val="00EA66E6"/>
    <w:rsid w:val="00EA72ED"/>
    <w:rsid w:val="00EA74F1"/>
    <w:rsid w:val="00EB1582"/>
    <w:rsid w:val="00EB20BB"/>
    <w:rsid w:val="00EB243C"/>
    <w:rsid w:val="00EB2D4E"/>
    <w:rsid w:val="00EB3F3E"/>
    <w:rsid w:val="00EB426B"/>
    <w:rsid w:val="00EB4489"/>
    <w:rsid w:val="00EB44FB"/>
    <w:rsid w:val="00EB4CD8"/>
    <w:rsid w:val="00EB5084"/>
    <w:rsid w:val="00EB58CA"/>
    <w:rsid w:val="00EB59C4"/>
    <w:rsid w:val="00EB59FB"/>
    <w:rsid w:val="00EB5E6D"/>
    <w:rsid w:val="00EB70FB"/>
    <w:rsid w:val="00EB72DB"/>
    <w:rsid w:val="00EC3812"/>
    <w:rsid w:val="00EC4CEE"/>
    <w:rsid w:val="00EC600F"/>
    <w:rsid w:val="00EC7A3C"/>
    <w:rsid w:val="00EC7B03"/>
    <w:rsid w:val="00ED150B"/>
    <w:rsid w:val="00ED16F2"/>
    <w:rsid w:val="00ED2600"/>
    <w:rsid w:val="00ED2F70"/>
    <w:rsid w:val="00ED33F1"/>
    <w:rsid w:val="00ED5414"/>
    <w:rsid w:val="00ED557B"/>
    <w:rsid w:val="00ED7777"/>
    <w:rsid w:val="00EE088B"/>
    <w:rsid w:val="00EE3B29"/>
    <w:rsid w:val="00EE3B6C"/>
    <w:rsid w:val="00EE4833"/>
    <w:rsid w:val="00EE5102"/>
    <w:rsid w:val="00EE617A"/>
    <w:rsid w:val="00EE698C"/>
    <w:rsid w:val="00EE7156"/>
    <w:rsid w:val="00EF0064"/>
    <w:rsid w:val="00EF3278"/>
    <w:rsid w:val="00EF3E27"/>
    <w:rsid w:val="00EF4A5B"/>
    <w:rsid w:val="00EF5B7F"/>
    <w:rsid w:val="00EF62B3"/>
    <w:rsid w:val="00EF6AA5"/>
    <w:rsid w:val="00F01105"/>
    <w:rsid w:val="00F01295"/>
    <w:rsid w:val="00F014AF"/>
    <w:rsid w:val="00F02D0F"/>
    <w:rsid w:val="00F03309"/>
    <w:rsid w:val="00F0340B"/>
    <w:rsid w:val="00F03ECF"/>
    <w:rsid w:val="00F0401F"/>
    <w:rsid w:val="00F049EC"/>
    <w:rsid w:val="00F04B43"/>
    <w:rsid w:val="00F06AF2"/>
    <w:rsid w:val="00F07A3F"/>
    <w:rsid w:val="00F07A6C"/>
    <w:rsid w:val="00F10518"/>
    <w:rsid w:val="00F11C11"/>
    <w:rsid w:val="00F12C3A"/>
    <w:rsid w:val="00F1369E"/>
    <w:rsid w:val="00F13A16"/>
    <w:rsid w:val="00F14196"/>
    <w:rsid w:val="00F14B61"/>
    <w:rsid w:val="00F16013"/>
    <w:rsid w:val="00F165B0"/>
    <w:rsid w:val="00F173E9"/>
    <w:rsid w:val="00F17720"/>
    <w:rsid w:val="00F21171"/>
    <w:rsid w:val="00F22677"/>
    <w:rsid w:val="00F230AE"/>
    <w:rsid w:val="00F232F9"/>
    <w:rsid w:val="00F23C03"/>
    <w:rsid w:val="00F23D3C"/>
    <w:rsid w:val="00F24B79"/>
    <w:rsid w:val="00F24EA6"/>
    <w:rsid w:val="00F250BA"/>
    <w:rsid w:val="00F262B7"/>
    <w:rsid w:val="00F263A5"/>
    <w:rsid w:val="00F265A6"/>
    <w:rsid w:val="00F267FD"/>
    <w:rsid w:val="00F26B4B"/>
    <w:rsid w:val="00F2706C"/>
    <w:rsid w:val="00F3094A"/>
    <w:rsid w:val="00F31B15"/>
    <w:rsid w:val="00F32D23"/>
    <w:rsid w:val="00F3375C"/>
    <w:rsid w:val="00F34A91"/>
    <w:rsid w:val="00F35204"/>
    <w:rsid w:val="00F35F27"/>
    <w:rsid w:val="00F37E09"/>
    <w:rsid w:val="00F410C3"/>
    <w:rsid w:val="00F419C5"/>
    <w:rsid w:val="00F41A6A"/>
    <w:rsid w:val="00F41DA7"/>
    <w:rsid w:val="00F41E77"/>
    <w:rsid w:val="00F42371"/>
    <w:rsid w:val="00F4272F"/>
    <w:rsid w:val="00F44860"/>
    <w:rsid w:val="00F449F5"/>
    <w:rsid w:val="00F44EFB"/>
    <w:rsid w:val="00F456CC"/>
    <w:rsid w:val="00F463C8"/>
    <w:rsid w:val="00F47EA5"/>
    <w:rsid w:val="00F50562"/>
    <w:rsid w:val="00F50718"/>
    <w:rsid w:val="00F510CE"/>
    <w:rsid w:val="00F54BE5"/>
    <w:rsid w:val="00F54C51"/>
    <w:rsid w:val="00F56314"/>
    <w:rsid w:val="00F56F19"/>
    <w:rsid w:val="00F5769B"/>
    <w:rsid w:val="00F6067F"/>
    <w:rsid w:val="00F61A18"/>
    <w:rsid w:val="00F61FCE"/>
    <w:rsid w:val="00F626BA"/>
    <w:rsid w:val="00F6329D"/>
    <w:rsid w:val="00F63D2B"/>
    <w:rsid w:val="00F670B6"/>
    <w:rsid w:val="00F726DA"/>
    <w:rsid w:val="00F7272E"/>
    <w:rsid w:val="00F72957"/>
    <w:rsid w:val="00F72B42"/>
    <w:rsid w:val="00F7320E"/>
    <w:rsid w:val="00F733F3"/>
    <w:rsid w:val="00F73A39"/>
    <w:rsid w:val="00F749F3"/>
    <w:rsid w:val="00F7525B"/>
    <w:rsid w:val="00F75D3A"/>
    <w:rsid w:val="00F77309"/>
    <w:rsid w:val="00F773F1"/>
    <w:rsid w:val="00F775AF"/>
    <w:rsid w:val="00F80139"/>
    <w:rsid w:val="00F8138A"/>
    <w:rsid w:val="00F81B82"/>
    <w:rsid w:val="00F829A8"/>
    <w:rsid w:val="00F82E2C"/>
    <w:rsid w:val="00F831F3"/>
    <w:rsid w:val="00F86156"/>
    <w:rsid w:val="00F870F1"/>
    <w:rsid w:val="00F87C31"/>
    <w:rsid w:val="00F902EA"/>
    <w:rsid w:val="00F917F6"/>
    <w:rsid w:val="00F91A62"/>
    <w:rsid w:val="00F91D3A"/>
    <w:rsid w:val="00F9212E"/>
    <w:rsid w:val="00F9334E"/>
    <w:rsid w:val="00F93B32"/>
    <w:rsid w:val="00F94DE2"/>
    <w:rsid w:val="00F96A83"/>
    <w:rsid w:val="00F96BAE"/>
    <w:rsid w:val="00F975DC"/>
    <w:rsid w:val="00F9783F"/>
    <w:rsid w:val="00FA0329"/>
    <w:rsid w:val="00FA1AA7"/>
    <w:rsid w:val="00FA32FF"/>
    <w:rsid w:val="00FA3C10"/>
    <w:rsid w:val="00FA44C6"/>
    <w:rsid w:val="00FA4C33"/>
    <w:rsid w:val="00FA4CD4"/>
    <w:rsid w:val="00FA4E54"/>
    <w:rsid w:val="00FA54B9"/>
    <w:rsid w:val="00FA5891"/>
    <w:rsid w:val="00FA7315"/>
    <w:rsid w:val="00FB2A84"/>
    <w:rsid w:val="00FB2BFC"/>
    <w:rsid w:val="00FB366A"/>
    <w:rsid w:val="00FB3864"/>
    <w:rsid w:val="00FB57DB"/>
    <w:rsid w:val="00FB6238"/>
    <w:rsid w:val="00FB6A1F"/>
    <w:rsid w:val="00FC06E3"/>
    <w:rsid w:val="00FC1A9F"/>
    <w:rsid w:val="00FC22AB"/>
    <w:rsid w:val="00FC2949"/>
    <w:rsid w:val="00FC3C89"/>
    <w:rsid w:val="00FC4D34"/>
    <w:rsid w:val="00FC4D9B"/>
    <w:rsid w:val="00FC594B"/>
    <w:rsid w:val="00FC5C81"/>
    <w:rsid w:val="00FC5DBA"/>
    <w:rsid w:val="00FC7685"/>
    <w:rsid w:val="00FD0DA5"/>
    <w:rsid w:val="00FD16B3"/>
    <w:rsid w:val="00FD1C4E"/>
    <w:rsid w:val="00FD22EA"/>
    <w:rsid w:val="00FD2C67"/>
    <w:rsid w:val="00FD37A9"/>
    <w:rsid w:val="00FD4E37"/>
    <w:rsid w:val="00FD6021"/>
    <w:rsid w:val="00FD65A1"/>
    <w:rsid w:val="00FD6C20"/>
    <w:rsid w:val="00FD7445"/>
    <w:rsid w:val="00FD75B0"/>
    <w:rsid w:val="00FD7841"/>
    <w:rsid w:val="00FE1F73"/>
    <w:rsid w:val="00FE2431"/>
    <w:rsid w:val="00FE3A29"/>
    <w:rsid w:val="00FE40BE"/>
    <w:rsid w:val="00FE496D"/>
    <w:rsid w:val="00FE4C58"/>
    <w:rsid w:val="00FE59F4"/>
    <w:rsid w:val="00FE5ACC"/>
    <w:rsid w:val="00FE6746"/>
    <w:rsid w:val="00FE733D"/>
    <w:rsid w:val="00FF044B"/>
    <w:rsid w:val="00FF12C6"/>
    <w:rsid w:val="00FF2288"/>
    <w:rsid w:val="00FF2550"/>
    <w:rsid w:val="00FF4011"/>
    <w:rsid w:val="00FF41C3"/>
    <w:rsid w:val="00FF4672"/>
    <w:rsid w:val="00FF4B5E"/>
    <w:rsid w:val="00FF4CC3"/>
    <w:rsid w:val="00FF57F3"/>
    <w:rsid w:val="00FF57F7"/>
    <w:rsid w:val="00FF610D"/>
    <w:rsid w:val="00FF74FF"/>
    <w:rsid w:val="00FF7550"/>
    <w:rsid w:val="00FF7BB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6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3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7A7"/>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Bullet point,List Paragraph1,List Paragraph11,Recommendation"/>
    <w:basedOn w:val="Normal"/>
    <w:link w:val="ListParagraphChar"/>
    <w:uiPriority w:val="72"/>
    <w:qFormat/>
    <w:rsid w:val="00881F91"/>
    <w:pPr>
      <w:numPr>
        <w:ilvl w:val="1"/>
        <w:numId w:val="1"/>
      </w:numPr>
      <w:spacing w:before="0" w:after="120"/>
      <w:jc w:val="both"/>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7"/>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3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spacing w:before="0" w:after="0"/>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10"/>
    <w:qFormat/>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10"/>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uiPriority w:val="2"/>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qFormat/>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qFormat/>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2"/>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72"/>
    <w:qFormat/>
    <w:locked/>
    <w:rsid w:val="00881F91"/>
    <w:rPr>
      <w:sz w:val="24"/>
    </w:rPr>
  </w:style>
  <w:style w:type="numbering" w:customStyle="1" w:styleId="Headings">
    <w:name w:val="Headings"/>
    <w:uiPriority w:val="99"/>
    <w:rsid w:val="00C317F3"/>
    <w:pPr>
      <w:numPr>
        <w:numId w:val="3"/>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4"/>
      </w:numPr>
      <w:spacing w:before="0" w:after="240"/>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paragraph" w:customStyle="1" w:styleId="KMC16-Footnotes">
    <w:name w:val="KMC16 - Footnotes"/>
    <w:basedOn w:val="Normal"/>
    <w:qFormat/>
    <w:rsid w:val="00FC3C89"/>
    <w:pPr>
      <w:spacing w:before="40" w:after="40"/>
    </w:pPr>
    <w:rPr>
      <w:rFonts w:ascii="Arial" w:hAnsi="Arial"/>
      <w:sz w:val="18"/>
    </w:rPr>
  </w:style>
  <w:style w:type="table" w:customStyle="1" w:styleId="TableGrid1">
    <w:name w:val="Table Grid1"/>
    <w:basedOn w:val="TableNormal"/>
    <w:next w:val="TableGrid"/>
    <w:uiPriority w:val="39"/>
    <w:rsid w:val="00FC3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C16-Tablecontent">
    <w:name w:val="KMC16 - Table content"/>
    <w:basedOn w:val="Normal"/>
    <w:link w:val="KMC16-TablecontentChar"/>
    <w:qFormat/>
    <w:rsid w:val="009436B7"/>
    <w:pPr>
      <w:spacing w:before="40" w:after="40"/>
    </w:pPr>
    <w:rPr>
      <w:rFonts w:ascii="Arial Narrow" w:eastAsia="Times New Roman" w:hAnsi="Arial Narrow" w:cs="Arial"/>
      <w:color w:val="000000"/>
      <w:sz w:val="20"/>
      <w:lang w:val="en-GB"/>
    </w:rPr>
  </w:style>
  <w:style w:type="character" w:customStyle="1" w:styleId="KMC16-TablecontentChar">
    <w:name w:val="KMC16 - Table content Char"/>
    <w:basedOn w:val="DefaultParagraphFont"/>
    <w:link w:val="KMC16-Tablecontent"/>
    <w:rsid w:val="009436B7"/>
    <w:rPr>
      <w:rFonts w:ascii="Arial Narrow" w:eastAsia="Times New Roman" w:hAnsi="Arial Narrow" w:cs="Arial"/>
      <w:color w:val="000000"/>
      <w:sz w:val="20"/>
      <w:lang w:val="en-GB"/>
    </w:rPr>
  </w:style>
  <w:style w:type="table" w:customStyle="1" w:styleId="TableGrid11">
    <w:name w:val="Table Grid11"/>
    <w:basedOn w:val="TableNormal"/>
    <w:next w:val="TableGrid"/>
    <w:uiPriority w:val="59"/>
    <w:rsid w:val="00967236"/>
    <w:pPr>
      <w:keepNext/>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07B1C"/>
    <w:pPr>
      <w:keepNext/>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F5A31"/>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F5A31"/>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C16-Caption">
    <w:name w:val="KMC16 - Caption"/>
    <w:basedOn w:val="Normal"/>
    <w:qFormat/>
    <w:rsid w:val="00814216"/>
    <w:pPr>
      <w:keepNext/>
      <w:tabs>
        <w:tab w:val="left" w:pos="567"/>
      </w:tabs>
      <w:spacing w:before="240" w:after="40"/>
      <w:ind w:left="1588" w:hanging="1588"/>
      <w:contextualSpacing/>
    </w:pPr>
    <w:rPr>
      <w:rFonts w:ascii="Arial" w:eastAsia="Times New Roman" w:hAnsi="Arial" w:cs="Times New Roman"/>
      <w:b/>
      <w:color w:val="000000"/>
      <w:sz w:val="20"/>
      <w:szCs w:val="20"/>
      <w:lang w:eastAsia="en-AU"/>
    </w:rPr>
  </w:style>
  <w:style w:type="paragraph" w:customStyle="1" w:styleId="KMC16-Text">
    <w:name w:val="KMC16 - Text"/>
    <w:basedOn w:val="Normal"/>
    <w:link w:val="KMC16-TextChar"/>
    <w:qFormat/>
    <w:rsid w:val="00814216"/>
    <w:pPr>
      <w:spacing w:after="240" w:line="360" w:lineRule="auto"/>
      <w:jc w:val="both"/>
    </w:pPr>
    <w:rPr>
      <w:rFonts w:ascii="Arial" w:hAnsi="Arial"/>
      <w:color w:val="000000" w:themeColor="text1"/>
      <w:sz w:val="22"/>
    </w:rPr>
  </w:style>
  <w:style w:type="character" w:customStyle="1" w:styleId="KMC16-TextChar">
    <w:name w:val="KMC16 - Text Char"/>
    <w:basedOn w:val="DefaultParagraphFont"/>
    <w:link w:val="KMC16-Text"/>
    <w:locked/>
    <w:rsid w:val="00814216"/>
    <w:rPr>
      <w:rFonts w:ascii="Arial" w:hAnsi="Arial"/>
      <w:color w:val="000000" w:themeColor="text1"/>
    </w:rPr>
  </w:style>
  <w:style w:type="paragraph" w:customStyle="1" w:styleId="KMC16-TableHeading">
    <w:name w:val="KMC16 - Table Heading"/>
    <w:basedOn w:val="Normal"/>
    <w:qFormat/>
    <w:rsid w:val="001027D8"/>
    <w:pPr>
      <w:spacing w:before="40" w:after="40"/>
      <w:jc w:val="center"/>
    </w:pPr>
    <w:rPr>
      <w:rFonts w:ascii="Arial Narrow" w:eastAsia="Times New Roman" w:hAnsi="Arial Narrow" w:cs="Arial"/>
      <w:b/>
      <w:color w:val="000000"/>
      <w:sz w:val="20"/>
      <w:lang w:eastAsia="en-AU"/>
    </w:rPr>
  </w:style>
  <w:style w:type="table" w:customStyle="1" w:styleId="TableGrid4">
    <w:name w:val="Table Grid4"/>
    <w:basedOn w:val="TableNormal"/>
    <w:next w:val="TableGrid"/>
    <w:uiPriority w:val="39"/>
    <w:locked/>
    <w:rsid w:val="006D5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67925"/>
    <w:rPr>
      <w:color w:val="808080"/>
    </w:rPr>
  </w:style>
  <w:style w:type="character" w:customStyle="1" w:styleId="SubtitleChar11">
    <w:name w:val="Subtitle Char11"/>
    <w:basedOn w:val="DefaultParagraphFont"/>
    <w:uiPriority w:val="9"/>
    <w:rsid w:val="006C08F7"/>
    <w:rPr>
      <w:rFonts w:asciiTheme="majorHAnsi" w:eastAsiaTheme="majorEastAsia" w:hAnsiTheme="majorHAnsi" w:cs="Times New Roman"/>
      <w:i/>
      <w:iCs/>
      <w:color w:val="5B9BD5" w:themeColor="accent1"/>
      <w:spacing w:val="15"/>
      <w:sz w:val="24"/>
      <w:szCs w:val="24"/>
    </w:rPr>
  </w:style>
  <w:style w:type="table" w:customStyle="1" w:styleId="CMATableTemplate1">
    <w:name w:val="CMA Table Template1"/>
    <w:basedOn w:val="TableNormal"/>
    <w:next w:val="TableGrid"/>
    <w:uiPriority w:val="39"/>
    <w:rsid w:val="006C08F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
    <w:name w:val="Table Gridbeth1"/>
    <w:basedOn w:val="TableNormal"/>
    <w:next w:val="TableGrid"/>
    <w:uiPriority w:val="39"/>
    <w:rsid w:val="006C08F7"/>
    <w:pPr>
      <w:spacing w:after="0" w:line="240" w:lineRule="auto"/>
    </w:pPr>
    <w:rPr>
      <w:rFonts w:eastAsia="Times New Roman"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Arial"/>
        <w:b/>
      </w:rPr>
      <w:tblPr/>
      <w:tcPr>
        <w:shd w:val="clear" w:color="auto" w:fill="F2F2F2"/>
      </w:tcPr>
    </w:tblStylePr>
  </w:style>
  <w:style w:type="table" w:customStyle="1" w:styleId="TableGridLight11">
    <w:name w:val="Table Grid Light11"/>
    <w:basedOn w:val="TableNormal"/>
    <w:uiPriority w:val="40"/>
    <w:rsid w:val="006C08F7"/>
    <w:pPr>
      <w:spacing w:after="0" w:line="240" w:lineRule="auto"/>
    </w:pPr>
    <w:rPr>
      <w:rFonts w:eastAsia="Times New Roman"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1">
    <w:name w:val="Plain Table 211"/>
    <w:basedOn w:val="TableNormal"/>
    <w:uiPriority w:val="42"/>
    <w:rsid w:val="006C08F7"/>
    <w:pPr>
      <w:spacing w:after="0" w:line="240" w:lineRule="auto"/>
    </w:pPr>
    <w:rPr>
      <w:rFonts w:eastAsia="Times New Roman" w:cs="Arial"/>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TableGrid13">
    <w:name w:val="Table Grid13"/>
    <w:basedOn w:val="TableNormal"/>
    <w:next w:val="TableGrid"/>
    <w:uiPriority w:val="39"/>
    <w:rsid w:val="006C08F7"/>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aliases w:val="Heading 1 - Body Char1"/>
    <w:basedOn w:val="DefaultParagraphFont"/>
    <w:uiPriority w:val="5"/>
    <w:semiHidden/>
    <w:rsid w:val="006C5DB8"/>
    <w:rPr>
      <w:rFonts w:asciiTheme="majorHAnsi" w:eastAsiaTheme="majorEastAsia" w:hAnsiTheme="majorHAnsi" w:cstheme="majorBidi"/>
      <w:b/>
      <w:bCs/>
      <w:i/>
      <w:iCs/>
      <w:color w:val="5B9BD5" w:themeColor="accent1"/>
      <w:sz w:val="24"/>
      <w:szCs w:val="22"/>
    </w:rPr>
  </w:style>
  <w:style w:type="character" w:customStyle="1" w:styleId="Heading5Char1">
    <w:name w:val="Heading 5 Char1"/>
    <w:aliases w:val="Heading 2 - Body Char1"/>
    <w:basedOn w:val="DefaultParagraphFont"/>
    <w:uiPriority w:val="7"/>
    <w:semiHidden/>
    <w:rsid w:val="006C5DB8"/>
    <w:rPr>
      <w:rFonts w:asciiTheme="majorHAnsi" w:eastAsiaTheme="majorEastAsia" w:hAnsiTheme="majorHAnsi" w:cstheme="majorBidi"/>
      <w:color w:val="1F4D78" w:themeColor="accent1" w:themeShade="7F"/>
      <w:sz w:val="24"/>
      <w:szCs w:val="22"/>
    </w:rPr>
  </w:style>
  <w:style w:type="character" w:customStyle="1" w:styleId="Heading6Char1">
    <w:name w:val="Heading 6 Char1"/>
    <w:aliases w:val="Heading 3 - Body Char1"/>
    <w:basedOn w:val="DefaultParagraphFont"/>
    <w:uiPriority w:val="7"/>
    <w:semiHidden/>
    <w:rsid w:val="006C5DB8"/>
    <w:rPr>
      <w:rFonts w:asciiTheme="majorHAnsi" w:eastAsiaTheme="majorEastAsia" w:hAnsiTheme="majorHAnsi" w:cstheme="majorBidi"/>
      <w:i/>
      <w:iCs/>
      <w:color w:val="1F4D78" w:themeColor="accent1" w:themeShade="7F"/>
      <w:sz w:val="24"/>
      <w:szCs w:val="22"/>
    </w:rPr>
  </w:style>
  <w:style w:type="character" w:customStyle="1" w:styleId="Heading9Char1">
    <w:name w:val="Heading 9 Char1"/>
    <w:aliases w:val="Section heading - Body Char1"/>
    <w:basedOn w:val="DefaultParagraphFont"/>
    <w:uiPriority w:val="7"/>
    <w:semiHidden/>
    <w:rsid w:val="006C5DB8"/>
    <w:rPr>
      <w:rFonts w:asciiTheme="majorHAnsi" w:eastAsiaTheme="majorEastAsia" w:hAnsiTheme="majorHAnsi" w:cstheme="majorBidi"/>
      <w:i/>
      <w:iCs/>
      <w:color w:val="404040" w:themeColor="text1" w:themeTint="BF"/>
    </w:rPr>
  </w:style>
  <w:style w:type="character" w:customStyle="1" w:styleId="HeaderChar1">
    <w:name w:val="Header Char1"/>
    <w:aliases w:val="Page Header Char1,Header title Char1,he=header Char1,cntr/bld Char1"/>
    <w:basedOn w:val="DefaultParagraphFont"/>
    <w:uiPriority w:val="99"/>
    <w:semiHidden/>
    <w:rsid w:val="006C5DB8"/>
    <w:rPr>
      <w:sz w:val="24"/>
    </w:rPr>
  </w:style>
  <w:style w:type="table" w:customStyle="1" w:styleId="TableGrid14">
    <w:name w:val="Table Grid14"/>
    <w:basedOn w:val="TableNormal"/>
    <w:next w:val="TableGrid"/>
    <w:uiPriority w:val="39"/>
    <w:rsid w:val="00435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1E4E36"/>
    <w:pPr>
      <w:spacing w:after="0" w:line="240" w:lineRule="auto"/>
    </w:pPr>
    <w:rPr>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ridTable1Light10">
    <w:name w:val="Grid Table 1 Light1"/>
    <w:basedOn w:val="TableNormal"/>
    <w:next w:val="GridTable1Light1"/>
    <w:uiPriority w:val="46"/>
    <w:rsid w:val="001E4E36"/>
    <w:pPr>
      <w:spacing w:after="0" w:line="240" w:lineRule="auto"/>
    </w:pPr>
    <w:rPr>
      <w:rFonts w:ascii="Calibri" w:eastAsia="Calibri" w:hAnsi="Calibri" w:cs="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1">
    <w:name w:val="Grid Table 1 Light11"/>
    <w:basedOn w:val="TableNormal"/>
    <w:next w:val="GridTable1Light1"/>
    <w:uiPriority w:val="46"/>
    <w:rsid w:val="001E4E36"/>
    <w:pPr>
      <w:spacing w:after="0" w:line="240" w:lineRule="auto"/>
    </w:pPr>
    <w:rPr>
      <w:rFonts w:ascii="Calibri" w:eastAsia="Calibri" w:hAnsi="Calibri" w:cs="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bleTextChar">
    <w:name w:val="Table Text Char"/>
    <w:basedOn w:val="DefaultParagraphFont"/>
    <w:link w:val="TableText"/>
    <w:rsid w:val="00E51A31"/>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3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7A7"/>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Bullet point,List Paragraph1,List Paragraph11,Recommendation"/>
    <w:basedOn w:val="Normal"/>
    <w:link w:val="ListParagraphChar"/>
    <w:uiPriority w:val="72"/>
    <w:qFormat/>
    <w:rsid w:val="00881F91"/>
    <w:pPr>
      <w:numPr>
        <w:ilvl w:val="1"/>
        <w:numId w:val="1"/>
      </w:numPr>
      <w:spacing w:before="0" w:after="120"/>
      <w:jc w:val="both"/>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7"/>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3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spacing w:before="0" w:after="0"/>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10"/>
    <w:qFormat/>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10"/>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uiPriority w:val="2"/>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qFormat/>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qFormat/>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2"/>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72"/>
    <w:qFormat/>
    <w:locked/>
    <w:rsid w:val="00881F91"/>
    <w:rPr>
      <w:sz w:val="24"/>
    </w:rPr>
  </w:style>
  <w:style w:type="numbering" w:customStyle="1" w:styleId="Headings">
    <w:name w:val="Headings"/>
    <w:uiPriority w:val="99"/>
    <w:rsid w:val="00C317F3"/>
    <w:pPr>
      <w:numPr>
        <w:numId w:val="3"/>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4"/>
      </w:numPr>
      <w:spacing w:before="0" w:after="240"/>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paragraph" w:customStyle="1" w:styleId="KMC16-Footnotes">
    <w:name w:val="KMC16 - Footnotes"/>
    <w:basedOn w:val="Normal"/>
    <w:qFormat/>
    <w:rsid w:val="00FC3C89"/>
    <w:pPr>
      <w:spacing w:before="40" w:after="40"/>
    </w:pPr>
    <w:rPr>
      <w:rFonts w:ascii="Arial" w:hAnsi="Arial"/>
      <w:sz w:val="18"/>
    </w:rPr>
  </w:style>
  <w:style w:type="table" w:customStyle="1" w:styleId="TableGrid1">
    <w:name w:val="Table Grid1"/>
    <w:basedOn w:val="TableNormal"/>
    <w:next w:val="TableGrid"/>
    <w:uiPriority w:val="39"/>
    <w:rsid w:val="00FC3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C16-Tablecontent">
    <w:name w:val="KMC16 - Table content"/>
    <w:basedOn w:val="Normal"/>
    <w:link w:val="KMC16-TablecontentChar"/>
    <w:qFormat/>
    <w:rsid w:val="009436B7"/>
    <w:pPr>
      <w:spacing w:before="40" w:after="40"/>
    </w:pPr>
    <w:rPr>
      <w:rFonts w:ascii="Arial Narrow" w:eastAsia="Times New Roman" w:hAnsi="Arial Narrow" w:cs="Arial"/>
      <w:color w:val="000000"/>
      <w:sz w:val="20"/>
      <w:lang w:val="en-GB"/>
    </w:rPr>
  </w:style>
  <w:style w:type="character" w:customStyle="1" w:styleId="KMC16-TablecontentChar">
    <w:name w:val="KMC16 - Table content Char"/>
    <w:basedOn w:val="DefaultParagraphFont"/>
    <w:link w:val="KMC16-Tablecontent"/>
    <w:rsid w:val="009436B7"/>
    <w:rPr>
      <w:rFonts w:ascii="Arial Narrow" w:eastAsia="Times New Roman" w:hAnsi="Arial Narrow" w:cs="Arial"/>
      <w:color w:val="000000"/>
      <w:sz w:val="20"/>
      <w:lang w:val="en-GB"/>
    </w:rPr>
  </w:style>
  <w:style w:type="table" w:customStyle="1" w:styleId="TableGrid11">
    <w:name w:val="Table Grid11"/>
    <w:basedOn w:val="TableNormal"/>
    <w:next w:val="TableGrid"/>
    <w:uiPriority w:val="59"/>
    <w:rsid w:val="00967236"/>
    <w:pPr>
      <w:keepNext/>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07B1C"/>
    <w:pPr>
      <w:keepNext/>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F5A31"/>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F5A31"/>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C16-Caption">
    <w:name w:val="KMC16 - Caption"/>
    <w:basedOn w:val="Normal"/>
    <w:qFormat/>
    <w:rsid w:val="00814216"/>
    <w:pPr>
      <w:keepNext/>
      <w:tabs>
        <w:tab w:val="left" w:pos="567"/>
      </w:tabs>
      <w:spacing w:before="240" w:after="40"/>
      <w:ind w:left="1588" w:hanging="1588"/>
      <w:contextualSpacing/>
    </w:pPr>
    <w:rPr>
      <w:rFonts w:ascii="Arial" w:eastAsia="Times New Roman" w:hAnsi="Arial" w:cs="Times New Roman"/>
      <w:b/>
      <w:color w:val="000000"/>
      <w:sz w:val="20"/>
      <w:szCs w:val="20"/>
      <w:lang w:eastAsia="en-AU"/>
    </w:rPr>
  </w:style>
  <w:style w:type="paragraph" w:customStyle="1" w:styleId="KMC16-Text">
    <w:name w:val="KMC16 - Text"/>
    <w:basedOn w:val="Normal"/>
    <w:link w:val="KMC16-TextChar"/>
    <w:qFormat/>
    <w:rsid w:val="00814216"/>
    <w:pPr>
      <w:spacing w:after="240" w:line="360" w:lineRule="auto"/>
      <w:jc w:val="both"/>
    </w:pPr>
    <w:rPr>
      <w:rFonts w:ascii="Arial" w:hAnsi="Arial"/>
      <w:color w:val="000000" w:themeColor="text1"/>
      <w:sz w:val="22"/>
    </w:rPr>
  </w:style>
  <w:style w:type="character" w:customStyle="1" w:styleId="KMC16-TextChar">
    <w:name w:val="KMC16 - Text Char"/>
    <w:basedOn w:val="DefaultParagraphFont"/>
    <w:link w:val="KMC16-Text"/>
    <w:locked/>
    <w:rsid w:val="00814216"/>
    <w:rPr>
      <w:rFonts w:ascii="Arial" w:hAnsi="Arial"/>
      <w:color w:val="000000" w:themeColor="text1"/>
    </w:rPr>
  </w:style>
  <w:style w:type="paragraph" w:customStyle="1" w:styleId="KMC16-TableHeading">
    <w:name w:val="KMC16 - Table Heading"/>
    <w:basedOn w:val="Normal"/>
    <w:qFormat/>
    <w:rsid w:val="001027D8"/>
    <w:pPr>
      <w:spacing w:before="40" w:after="40"/>
      <w:jc w:val="center"/>
    </w:pPr>
    <w:rPr>
      <w:rFonts w:ascii="Arial Narrow" w:eastAsia="Times New Roman" w:hAnsi="Arial Narrow" w:cs="Arial"/>
      <w:b/>
      <w:color w:val="000000"/>
      <w:sz w:val="20"/>
      <w:lang w:eastAsia="en-AU"/>
    </w:rPr>
  </w:style>
  <w:style w:type="table" w:customStyle="1" w:styleId="TableGrid4">
    <w:name w:val="Table Grid4"/>
    <w:basedOn w:val="TableNormal"/>
    <w:next w:val="TableGrid"/>
    <w:uiPriority w:val="39"/>
    <w:locked/>
    <w:rsid w:val="006D5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67925"/>
    <w:rPr>
      <w:color w:val="808080"/>
    </w:rPr>
  </w:style>
  <w:style w:type="character" w:customStyle="1" w:styleId="SubtitleChar11">
    <w:name w:val="Subtitle Char11"/>
    <w:basedOn w:val="DefaultParagraphFont"/>
    <w:uiPriority w:val="9"/>
    <w:rsid w:val="006C08F7"/>
    <w:rPr>
      <w:rFonts w:asciiTheme="majorHAnsi" w:eastAsiaTheme="majorEastAsia" w:hAnsiTheme="majorHAnsi" w:cs="Times New Roman"/>
      <w:i/>
      <w:iCs/>
      <w:color w:val="5B9BD5" w:themeColor="accent1"/>
      <w:spacing w:val="15"/>
      <w:sz w:val="24"/>
      <w:szCs w:val="24"/>
    </w:rPr>
  </w:style>
  <w:style w:type="table" w:customStyle="1" w:styleId="CMATableTemplate1">
    <w:name w:val="CMA Table Template1"/>
    <w:basedOn w:val="TableNormal"/>
    <w:next w:val="TableGrid"/>
    <w:uiPriority w:val="39"/>
    <w:rsid w:val="006C08F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
    <w:name w:val="Table Gridbeth1"/>
    <w:basedOn w:val="TableNormal"/>
    <w:next w:val="TableGrid"/>
    <w:uiPriority w:val="39"/>
    <w:rsid w:val="006C08F7"/>
    <w:pPr>
      <w:spacing w:after="0" w:line="240" w:lineRule="auto"/>
    </w:pPr>
    <w:rPr>
      <w:rFonts w:eastAsia="Times New Roman"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Arial"/>
        <w:b/>
      </w:rPr>
      <w:tblPr/>
      <w:tcPr>
        <w:shd w:val="clear" w:color="auto" w:fill="F2F2F2"/>
      </w:tcPr>
    </w:tblStylePr>
  </w:style>
  <w:style w:type="table" w:customStyle="1" w:styleId="TableGridLight11">
    <w:name w:val="Table Grid Light11"/>
    <w:basedOn w:val="TableNormal"/>
    <w:uiPriority w:val="40"/>
    <w:rsid w:val="006C08F7"/>
    <w:pPr>
      <w:spacing w:after="0" w:line="240" w:lineRule="auto"/>
    </w:pPr>
    <w:rPr>
      <w:rFonts w:eastAsia="Times New Roman"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1">
    <w:name w:val="Plain Table 211"/>
    <w:basedOn w:val="TableNormal"/>
    <w:uiPriority w:val="42"/>
    <w:rsid w:val="006C08F7"/>
    <w:pPr>
      <w:spacing w:after="0" w:line="240" w:lineRule="auto"/>
    </w:pPr>
    <w:rPr>
      <w:rFonts w:eastAsia="Times New Roman" w:cs="Arial"/>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TableGrid13">
    <w:name w:val="Table Grid13"/>
    <w:basedOn w:val="TableNormal"/>
    <w:next w:val="TableGrid"/>
    <w:uiPriority w:val="39"/>
    <w:rsid w:val="006C08F7"/>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aliases w:val="Heading 1 - Body Char1"/>
    <w:basedOn w:val="DefaultParagraphFont"/>
    <w:uiPriority w:val="5"/>
    <w:semiHidden/>
    <w:rsid w:val="006C5DB8"/>
    <w:rPr>
      <w:rFonts w:asciiTheme="majorHAnsi" w:eastAsiaTheme="majorEastAsia" w:hAnsiTheme="majorHAnsi" w:cstheme="majorBidi"/>
      <w:b/>
      <w:bCs/>
      <w:i/>
      <w:iCs/>
      <w:color w:val="5B9BD5" w:themeColor="accent1"/>
      <w:sz w:val="24"/>
      <w:szCs w:val="22"/>
    </w:rPr>
  </w:style>
  <w:style w:type="character" w:customStyle="1" w:styleId="Heading5Char1">
    <w:name w:val="Heading 5 Char1"/>
    <w:aliases w:val="Heading 2 - Body Char1"/>
    <w:basedOn w:val="DefaultParagraphFont"/>
    <w:uiPriority w:val="7"/>
    <w:semiHidden/>
    <w:rsid w:val="006C5DB8"/>
    <w:rPr>
      <w:rFonts w:asciiTheme="majorHAnsi" w:eastAsiaTheme="majorEastAsia" w:hAnsiTheme="majorHAnsi" w:cstheme="majorBidi"/>
      <w:color w:val="1F4D78" w:themeColor="accent1" w:themeShade="7F"/>
      <w:sz w:val="24"/>
      <w:szCs w:val="22"/>
    </w:rPr>
  </w:style>
  <w:style w:type="character" w:customStyle="1" w:styleId="Heading6Char1">
    <w:name w:val="Heading 6 Char1"/>
    <w:aliases w:val="Heading 3 - Body Char1"/>
    <w:basedOn w:val="DefaultParagraphFont"/>
    <w:uiPriority w:val="7"/>
    <w:semiHidden/>
    <w:rsid w:val="006C5DB8"/>
    <w:rPr>
      <w:rFonts w:asciiTheme="majorHAnsi" w:eastAsiaTheme="majorEastAsia" w:hAnsiTheme="majorHAnsi" w:cstheme="majorBidi"/>
      <w:i/>
      <w:iCs/>
      <w:color w:val="1F4D78" w:themeColor="accent1" w:themeShade="7F"/>
      <w:sz w:val="24"/>
      <w:szCs w:val="22"/>
    </w:rPr>
  </w:style>
  <w:style w:type="character" w:customStyle="1" w:styleId="Heading9Char1">
    <w:name w:val="Heading 9 Char1"/>
    <w:aliases w:val="Section heading - Body Char1"/>
    <w:basedOn w:val="DefaultParagraphFont"/>
    <w:uiPriority w:val="7"/>
    <w:semiHidden/>
    <w:rsid w:val="006C5DB8"/>
    <w:rPr>
      <w:rFonts w:asciiTheme="majorHAnsi" w:eastAsiaTheme="majorEastAsia" w:hAnsiTheme="majorHAnsi" w:cstheme="majorBidi"/>
      <w:i/>
      <w:iCs/>
      <w:color w:val="404040" w:themeColor="text1" w:themeTint="BF"/>
    </w:rPr>
  </w:style>
  <w:style w:type="character" w:customStyle="1" w:styleId="HeaderChar1">
    <w:name w:val="Header Char1"/>
    <w:aliases w:val="Page Header Char1,Header title Char1,he=header Char1,cntr/bld Char1"/>
    <w:basedOn w:val="DefaultParagraphFont"/>
    <w:uiPriority w:val="99"/>
    <w:semiHidden/>
    <w:rsid w:val="006C5DB8"/>
    <w:rPr>
      <w:sz w:val="24"/>
    </w:rPr>
  </w:style>
  <w:style w:type="table" w:customStyle="1" w:styleId="TableGrid14">
    <w:name w:val="Table Grid14"/>
    <w:basedOn w:val="TableNormal"/>
    <w:next w:val="TableGrid"/>
    <w:uiPriority w:val="39"/>
    <w:rsid w:val="00435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1E4E36"/>
    <w:pPr>
      <w:spacing w:after="0" w:line="240" w:lineRule="auto"/>
    </w:pPr>
    <w:rPr>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ridTable1Light10">
    <w:name w:val="Grid Table 1 Light1"/>
    <w:basedOn w:val="TableNormal"/>
    <w:next w:val="GridTable1Light1"/>
    <w:uiPriority w:val="46"/>
    <w:rsid w:val="001E4E36"/>
    <w:pPr>
      <w:spacing w:after="0" w:line="240" w:lineRule="auto"/>
    </w:pPr>
    <w:rPr>
      <w:rFonts w:ascii="Calibri" w:eastAsia="Calibri" w:hAnsi="Calibri" w:cs="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1">
    <w:name w:val="Grid Table 1 Light11"/>
    <w:basedOn w:val="TableNormal"/>
    <w:next w:val="GridTable1Light1"/>
    <w:uiPriority w:val="46"/>
    <w:rsid w:val="001E4E36"/>
    <w:pPr>
      <w:spacing w:after="0" w:line="240" w:lineRule="auto"/>
    </w:pPr>
    <w:rPr>
      <w:rFonts w:ascii="Calibri" w:eastAsia="Calibri" w:hAnsi="Calibri" w:cs="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bleTextChar">
    <w:name w:val="Table Text Char"/>
    <w:basedOn w:val="DefaultParagraphFont"/>
    <w:link w:val="TableText"/>
    <w:rsid w:val="00E51A31"/>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55874103">
      <w:bodyDiv w:val="1"/>
      <w:marLeft w:val="0"/>
      <w:marRight w:val="0"/>
      <w:marTop w:val="0"/>
      <w:marBottom w:val="0"/>
      <w:divBdr>
        <w:top w:val="none" w:sz="0" w:space="0" w:color="auto"/>
        <w:left w:val="none" w:sz="0" w:space="0" w:color="auto"/>
        <w:bottom w:val="none" w:sz="0" w:space="0" w:color="auto"/>
        <w:right w:val="none" w:sz="0" w:space="0" w:color="auto"/>
      </w:divBdr>
    </w:div>
    <w:div w:id="637957921">
      <w:bodyDiv w:val="1"/>
      <w:marLeft w:val="0"/>
      <w:marRight w:val="0"/>
      <w:marTop w:val="0"/>
      <w:marBottom w:val="0"/>
      <w:divBdr>
        <w:top w:val="none" w:sz="0" w:space="0" w:color="auto"/>
        <w:left w:val="none" w:sz="0" w:space="0" w:color="auto"/>
        <w:bottom w:val="none" w:sz="0" w:space="0" w:color="auto"/>
        <w:right w:val="none" w:sz="0" w:space="0" w:color="auto"/>
      </w:divBdr>
    </w:div>
    <w:div w:id="649138422">
      <w:bodyDiv w:val="1"/>
      <w:marLeft w:val="0"/>
      <w:marRight w:val="0"/>
      <w:marTop w:val="0"/>
      <w:marBottom w:val="0"/>
      <w:divBdr>
        <w:top w:val="none" w:sz="0" w:space="0" w:color="auto"/>
        <w:left w:val="none" w:sz="0" w:space="0" w:color="auto"/>
        <w:bottom w:val="none" w:sz="0" w:space="0" w:color="auto"/>
        <w:right w:val="none" w:sz="0" w:space="0" w:color="auto"/>
      </w:divBdr>
    </w:div>
    <w:div w:id="662512723">
      <w:bodyDiv w:val="1"/>
      <w:marLeft w:val="0"/>
      <w:marRight w:val="0"/>
      <w:marTop w:val="0"/>
      <w:marBottom w:val="0"/>
      <w:divBdr>
        <w:top w:val="none" w:sz="0" w:space="0" w:color="auto"/>
        <w:left w:val="none" w:sz="0" w:space="0" w:color="auto"/>
        <w:bottom w:val="none" w:sz="0" w:space="0" w:color="auto"/>
        <w:right w:val="none" w:sz="0" w:space="0" w:color="auto"/>
      </w:divBdr>
    </w:div>
    <w:div w:id="829102940">
      <w:bodyDiv w:val="1"/>
      <w:marLeft w:val="0"/>
      <w:marRight w:val="0"/>
      <w:marTop w:val="0"/>
      <w:marBottom w:val="0"/>
      <w:divBdr>
        <w:top w:val="none" w:sz="0" w:space="0" w:color="auto"/>
        <w:left w:val="none" w:sz="0" w:space="0" w:color="auto"/>
        <w:bottom w:val="none" w:sz="0" w:space="0" w:color="auto"/>
        <w:right w:val="none" w:sz="0" w:space="0" w:color="auto"/>
      </w:divBdr>
    </w:div>
    <w:div w:id="1017121335">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150639456">
      <w:bodyDiv w:val="1"/>
      <w:marLeft w:val="0"/>
      <w:marRight w:val="0"/>
      <w:marTop w:val="0"/>
      <w:marBottom w:val="0"/>
      <w:divBdr>
        <w:top w:val="none" w:sz="0" w:space="0" w:color="auto"/>
        <w:left w:val="none" w:sz="0" w:space="0" w:color="auto"/>
        <w:bottom w:val="none" w:sz="0" w:space="0" w:color="auto"/>
        <w:right w:val="none" w:sz="0" w:space="0" w:color="auto"/>
      </w:divBdr>
    </w:div>
    <w:div w:id="1225219788">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505777717">
      <w:bodyDiv w:val="1"/>
      <w:marLeft w:val="0"/>
      <w:marRight w:val="0"/>
      <w:marTop w:val="0"/>
      <w:marBottom w:val="0"/>
      <w:divBdr>
        <w:top w:val="none" w:sz="0" w:space="0" w:color="auto"/>
        <w:left w:val="none" w:sz="0" w:space="0" w:color="auto"/>
        <w:bottom w:val="none" w:sz="0" w:space="0" w:color="auto"/>
        <w:right w:val="none" w:sz="0" w:space="0" w:color="auto"/>
      </w:divBdr>
    </w:div>
    <w:div w:id="1521820831">
      <w:bodyDiv w:val="1"/>
      <w:marLeft w:val="0"/>
      <w:marRight w:val="0"/>
      <w:marTop w:val="0"/>
      <w:marBottom w:val="0"/>
      <w:divBdr>
        <w:top w:val="none" w:sz="0" w:space="0" w:color="auto"/>
        <w:left w:val="none" w:sz="0" w:space="0" w:color="auto"/>
        <w:bottom w:val="none" w:sz="0" w:space="0" w:color="auto"/>
        <w:right w:val="none" w:sz="0" w:space="0" w:color="auto"/>
      </w:divBdr>
    </w:div>
    <w:div w:id="1705711188">
      <w:bodyDiv w:val="1"/>
      <w:marLeft w:val="0"/>
      <w:marRight w:val="0"/>
      <w:marTop w:val="0"/>
      <w:marBottom w:val="0"/>
      <w:divBdr>
        <w:top w:val="none" w:sz="0" w:space="0" w:color="auto"/>
        <w:left w:val="none" w:sz="0" w:space="0" w:color="auto"/>
        <w:bottom w:val="none" w:sz="0" w:space="0" w:color="auto"/>
        <w:right w:val="none" w:sz="0" w:space="0" w:color="auto"/>
      </w:divBdr>
    </w:div>
    <w:div w:id="1710304064">
      <w:bodyDiv w:val="1"/>
      <w:marLeft w:val="0"/>
      <w:marRight w:val="0"/>
      <w:marTop w:val="0"/>
      <w:marBottom w:val="0"/>
      <w:divBdr>
        <w:top w:val="none" w:sz="0" w:space="0" w:color="auto"/>
        <w:left w:val="none" w:sz="0" w:space="0" w:color="auto"/>
        <w:bottom w:val="none" w:sz="0" w:space="0" w:color="auto"/>
        <w:right w:val="none" w:sz="0" w:space="0" w:color="auto"/>
      </w:divBdr>
    </w:div>
    <w:div w:id="1824588135">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 w:id="211570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63"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6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D23D0-CB2A-418F-A91F-A18727B3C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10210</Words>
  <Characters>58202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2018-02-14T23:57:00Z</dcterms:created>
  <dcterms:modified xsi:type="dcterms:W3CDTF">2018-02-14T23:58:00Z</dcterms:modified>
</cp:coreProperties>
</file>