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3E6723" w:rsidRDefault="00F91F4E" w:rsidP="00577C4D">
      <w:pPr>
        <w:pStyle w:val="Title"/>
        <w:spacing w:before="120" w:after="160"/>
        <w:ind w:left="720" w:hanging="720"/>
        <w:rPr>
          <w:rFonts w:asciiTheme="minorHAnsi" w:hAnsiTheme="minorHAnsi"/>
          <w:sz w:val="36"/>
          <w:szCs w:val="36"/>
        </w:rPr>
      </w:pPr>
      <w:bookmarkStart w:id="0" w:name="_GoBack"/>
      <w:bookmarkEnd w:id="0"/>
      <w:r w:rsidRPr="003E6723">
        <w:rPr>
          <w:rFonts w:asciiTheme="minorHAnsi" w:hAnsiTheme="minorHAnsi"/>
          <w:sz w:val="36"/>
          <w:szCs w:val="36"/>
        </w:rPr>
        <w:t>5</w:t>
      </w:r>
      <w:r w:rsidR="0004240E" w:rsidRPr="003E6723">
        <w:rPr>
          <w:rFonts w:asciiTheme="minorHAnsi" w:hAnsiTheme="minorHAnsi"/>
          <w:sz w:val="36"/>
          <w:szCs w:val="36"/>
        </w:rPr>
        <w:t>.</w:t>
      </w:r>
      <w:r w:rsidRPr="003E6723">
        <w:rPr>
          <w:rFonts w:asciiTheme="minorHAnsi" w:hAnsiTheme="minorHAnsi"/>
          <w:sz w:val="36"/>
          <w:szCs w:val="36"/>
        </w:rPr>
        <w:t>24</w:t>
      </w:r>
      <w:r w:rsidR="007C0F57" w:rsidRPr="003E6723">
        <w:rPr>
          <w:rFonts w:asciiTheme="minorHAnsi" w:hAnsiTheme="minorHAnsi"/>
          <w:sz w:val="36"/>
          <w:szCs w:val="36"/>
        </w:rPr>
        <w:tab/>
      </w:r>
      <w:r w:rsidRPr="003E6723">
        <w:rPr>
          <w:rFonts w:asciiTheme="minorHAnsi" w:hAnsiTheme="minorHAnsi"/>
          <w:sz w:val="36"/>
          <w:szCs w:val="36"/>
        </w:rPr>
        <w:t>SEVELAMER</w:t>
      </w:r>
      <w:r w:rsidR="008A50F1" w:rsidRPr="003E6723">
        <w:rPr>
          <w:rFonts w:asciiTheme="minorHAnsi" w:hAnsiTheme="minorHAnsi"/>
          <w:sz w:val="36"/>
          <w:szCs w:val="36"/>
        </w:rPr>
        <w:t xml:space="preserve"> </w:t>
      </w:r>
      <w:r w:rsidR="008A50F1" w:rsidRPr="003E6723">
        <w:rPr>
          <w:rFonts w:asciiTheme="minorHAnsi" w:hAnsiTheme="minorHAnsi"/>
          <w:sz w:val="36"/>
          <w:szCs w:val="36"/>
        </w:rPr>
        <w:br/>
      </w:r>
      <w:r w:rsidR="004521E0" w:rsidRPr="003E6723">
        <w:rPr>
          <w:rFonts w:asciiTheme="minorHAnsi" w:hAnsiTheme="minorHAnsi"/>
          <w:sz w:val="36"/>
          <w:szCs w:val="36"/>
        </w:rPr>
        <w:t xml:space="preserve">Powder for oral liquid, 2.4g (as sevelamer carbonate), </w:t>
      </w:r>
      <w:r w:rsidR="004521E0" w:rsidRPr="003E6723">
        <w:rPr>
          <w:rFonts w:asciiTheme="minorHAnsi" w:hAnsiTheme="minorHAnsi"/>
          <w:sz w:val="36"/>
          <w:szCs w:val="36"/>
        </w:rPr>
        <w:br/>
        <w:t>Renvela</w:t>
      </w:r>
      <w:r w:rsidR="004521E0" w:rsidRPr="003E6723">
        <w:rPr>
          <w:rFonts w:asciiTheme="minorHAnsi" w:hAnsiTheme="minorHAnsi"/>
          <w:sz w:val="36"/>
          <w:szCs w:val="36"/>
          <w:vertAlign w:val="superscript"/>
        </w:rPr>
        <w:t>®</w:t>
      </w:r>
      <w:r w:rsidR="004521E0" w:rsidRPr="003E6723">
        <w:rPr>
          <w:rFonts w:asciiTheme="minorHAnsi" w:hAnsiTheme="minorHAnsi"/>
          <w:sz w:val="36"/>
          <w:szCs w:val="36"/>
        </w:rPr>
        <w:t>, Sanofi-Aventis Australia Pty Ltd</w:t>
      </w:r>
    </w:p>
    <w:p w:rsidR="008A50F1" w:rsidRPr="003E6723" w:rsidRDefault="00CE10C4" w:rsidP="00EB0B63">
      <w:pPr>
        <w:pStyle w:val="PBACHeading1"/>
        <w:spacing w:before="240" w:after="120"/>
        <w:ind w:left="709" w:hanging="709"/>
        <w:rPr>
          <w:rFonts w:asciiTheme="minorHAnsi" w:hAnsiTheme="minorHAnsi"/>
          <w:sz w:val="32"/>
          <w:szCs w:val="32"/>
        </w:rPr>
      </w:pPr>
      <w:r w:rsidRPr="003E6723">
        <w:rPr>
          <w:rFonts w:asciiTheme="minorHAnsi" w:hAnsiTheme="minorHAnsi"/>
          <w:sz w:val="32"/>
          <w:szCs w:val="32"/>
        </w:rPr>
        <w:t xml:space="preserve">Purpose of </w:t>
      </w:r>
      <w:r w:rsidR="0004240E" w:rsidRPr="003E6723">
        <w:rPr>
          <w:rFonts w:asciiTheme="minorHAnsi" w:hAnsiTheme="minorHAnsi"/>
          <w:sz w:val="32"/>
          <w:szCs w:val="32"/>
        </w:rPr>
        <w:t>Application</w:t>
      </w:r>
    </w:p>
    <w:p w:rsidR="006A12A5" w:rsidRPr="003E6723" w:rsidRDefault="00EF44A0" w:rsidP="00FF5472">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t>The mi</w:t>
      </w:r>
      <w:r w:rsidR="00FF2801" w:rsidRPr="003E6723">
        <w:rPr>
          <w:rFonts w:asciiTheme="minorHAnsi" w:eastAsiaTheme="minorHAnsi" w:hAnsiTheme="minorHAnsi" w:cstheme="minorBidi"/>
          <w:snapToGrid/>
          <w:sz w:val="24"/>
          <w:szCs w:val="22"/>
        </w:rPr>
        <w:t xml:space="preserve">nor submission </w:t>
      </w:r>
      <w:r w:rsidR="002407F4" w:rsidRPr="003E6723">
        <w:rPr>
          <w:rFonts w:asciiTheme="minorHAnsi" w:eastAsiaTheme="minorHAnsi" w:hAnsiTheme="minorHAnsi" w:cstheme="minorBidi"/>
          <w:snapToGrid/>
          <w:sz w:val="24"/>
          <w:szCs w:val="22"/>
        </w:rPr>
        <w:t xml:space="preserve">requested </w:t>
      </w:r>
      <w:r w:rsidR="00660076" w:rsidRPr="003E6723">
        <w:rPr>
          <w:rFonts w:asciiTheme="minorHAnsi" w:eastAsiaTheme="minorHAnsi" w:hAnsiTheme="minorHAnsi" w:cstheme="minorBidi"/>
          <w:snapToGrid/>
          <w:sz w:val="24"/>
          <w:szCs w:val="22"/>
        </w:rPr>
        <w:t>for a General Schedule</w:t>
      </w:r>
      <w:r w:rsidR="00CB5BD0" w:rsidRPr="003E6723">
        <w:rPr>
          <w:rFonts w:asciiTheme="minorHAnsi" w:eastAsiaTheme="minorHAnsi" w:hAnsiTheme="minorHAnsi" w:cstheme="minorBidi"/>
          <w:snapToGrid/>
          <w:sz w:val="24"/>
          <w:szCs w:val="22"/>
        </w:rPr>
        <w:t xml:space="preserve"> and Section 100 (Highly Specialised Drugs Program</w:t>
      </w:r>
      <w:r w:rsidR="0040203F" w:rsidRPr="003E6723">
        <w:rPr>
          <w:rFonts w:asciiTheme="minorHAnsi" w:eastAsiaTheme="minorHAnsi" w:hAnsiTheme="minorHAnsi" w:cstheme="minorBidi"/>
          <w:snapToGrid/>
          <w:sz w:val="24"/>
          <w:szCs w:val="22"/>
        </w:rPr>
        <w:t xml:space="preserve"> – Public and Private Hospital</w:t>
      </w:r>
      <w:r w:rsidR="00CB5BD0" w:rsidRPr="003E6723">
        <w:rPr>
          <w:rFonts w:asciiTheme="minorHAnsi" w:eastAsiaTheme="minorHAnsi" w:hAnsiTheme="minorHAnsi" w:cstheme="minorBidi"/>
          <w:snapToGrid/>
          <w:sz w:val="24"/>
          <w:szCs w:val="22"/>
        </w:rPr>
        <w:t>)</w:t>
      </w:r>
      <w:r w:rsidR="00660076" w:rsidRPr="003E6723">
        <w:rPr>
          <w:rFonts w:asciiTheme="minorHAnsi" w:eastAsiaTheme="minorHAnsi" w:hAnsiTheme="minorHAnsi" w:cstheme="minorBidi"/>
          <w:snapToGrid/>
          <w:sz w:val="24"/>
          <w:szCs w:val="22"/>
        </w:rPr>
        <w:t xml:space="preserve"> </w:t>
      </w:r>
      <w:r w:rsidRPr="003E6723">
        <w:rPr>
          <w:rFonts w:asciiTheme="minorHAnsi" w:eastAsiaTheme="minorHAnsi" w:hAnsiTheme="minorHAnsi" w:cstheme="minorBidi"/>
          <w:snapToGrid/>
          <w:sz w:val="24"/>
          <w:szCs w:val="22"/>
        </w:rPr>
        <w:t>listing</w:t>
      </w:r>
      <w:r w:rsidR="002407F4" w:rsidRPr="003E6723">
        <w:rPr>
          <w:rFonts w:asciiTheme="minorHAnsi" w:eastAsiaTheme="minorHAnsi" w:hAnsiTheme="minorHAnsi" w:cstheme="minorBidi"/>
          <w:snapToGrid/>
          <w:sz w:val="24"/>
          <w:szCs w:val="22"/>
        </w:rPr>
        <w:t xml:space="preserve"> of sevelamer carbonate</w:t>
      </w:r>
      <w:r w:rsidR="00660076" w:rsidRPr="003E6723">
        <w:rPr>
          <w:rFonts w:asciiTheme="minorHAnsi" w:eastAsiaTheme="minorHAnsi" w:hAnsiTheme="minorHAnsi" w:cstheme="minorBidi"/>
          <w:snapToGrid/>
          <w:sz w:val="24"/>
          <w:szCs w:val="22"/>
        </w:rPr>
        <w:t>,</w:t>
      </w:r>
      <w:r w:rsidR="0041452F" w:rsidRPr="003E6723">
        <w:rPr>
          <w:rFonts w:asciiTheme="minorHAnsi" w:eastAsiaTheme="minorHAnsi" w:hAnsiTheme="minorHAnsi" w:cstheme="minorBidi"/>
          <w:snapToGrid/>
          <w:sz w:val="24"/>
          <w:szCs w:val="22"/>
        </w:rPr>
        <w:t xml:space="preserve"> as powder for suspension</w:t>
      </w:r>
      <w:r w:rsidR="00660076" w:rsidRPr="003E6723">
        <w:rPr>
          <w:rFonts w:asciiTheme="minorHAnsi" w:eastAsiaTheme="minorHAnsi" w:hAnsiTheme="minorHAnsi" w:cstheme="minorBidi"/>
          <w:snapToGrid/>
          <w:sz w:val="24"/>
          <w:szCs w:val="22"/>
        </w:rPr>
        <w:t>,</w:t>
      </w:r>
      <w:r w:rsidR="0041452F" w:rsidRPr="003E6723">
        <w:rPr>
          <w:rFonts w:asciiTheme="minorHAnsi" w:eastAsiaTheme="minorHAnsi" w:hAnsiTheme="minorHAnsi" w:cstheme="minorBidi"/>
          <w:snapToGrid/>
          <w:sz w:val="24"/>
          <w:szCs w:val="22"/>
        </w:rPr>
        <w:t xml:space="preserve"> for</w:t>
      </w:r>
      <w:r w:rsidR="00FF5472" w:rsidRPr="003E6723">
        <w:rPr>
          <w:rFonts w:asciiTheme="minorHAnsi" w:eastAsiaTheme="minorHAnsi" w:hAnsiTheme="minorHAnsi" w:cstheme="minorBidi"/>
          <w:snapToGrid/>
          <w:sz w:val="24"/>
          <w:szCs w:val="22"/>
        </w:rPr>
        <w:t xml:space="preserve"> hyperphosphataemia</w:t>
      </w:r>
      <w:r w:rsidR="0041452F" w:rsidRPr="003E6723">
        <w:rPr>
          <w:rFonts w:asciiTheme="minorHAnsi" w:eastAsiaTheme="minorHAnsi" w:hAnsiTheme="minorHAnsi" w:cstheme="minorBidi"/>
          <w:snapToGrid/>
          <w:sz w:val="24"/>
          <w:szCs w:val="22"/>
        </w:rPr>
        <w:t xml:space="preserve"> </w:t>
      </w:r>
      <w:r w:rsidR="00FF5472" w:rsidRPr="003E6723">
        <w:rPr>
          <w:rFonts w:asciiTheme="minorHAnsi" w:eastAsiaTheme="minorHAnsi" w:hAnsiTheme="minorHAnsi" w:cstheme="minorBidi"/>
          <w:snapToGrid/>
          <w:sz w:val="24"/>
          <w:szCs w:val="22"/>
        </w:rPr>
        <w:t xml:space="preserve">in </w:t>
      </w:r>
      <w:r w:rsidR="0041452F" w:rsidRPr="003E6723">
        <w:rPr>
          <w:rFonts w:asciiTheme="minorHAnsi" w:eastAsiaTheme="minorHAnsi" w:hAnsiTheme="minorHAnsi" w:cstheme="minorBidi"/>
          <w:snapToGrid/>
          <w:sz w:val="24"/>
          <w:szCs w:val="22"/>
        </w:rPr>
        <w:t xml:space="preserve">patients </w:t>
      </w:r>
      <w:r w:rsidR="0040203F" w:rsidRPr="003E6723">
        <w:rPr>
          <w:rFonts w:asciiTheme="minorHAnsi" w:eastAsiaTheme="minorHAnsi" w:hAnsiTheme="minorHAnsi" w:cstheme="minorBidi"/>
          <w:snapToGrid/>
          <w:sz w:val="24"/>
          <w:szCs w:val="22"/>
        </w:rPr>
        <w:t xml:space="preserve">undergoing dialysis for </w:t>
      </w:r>
      <w:r w:rsidR="0041452F" w:rsidRPr="003E6723">
        <w:rPr>
          <w:rFonts w:asciiTheme="minorHAnsi" w:eastAsiaTheme="minorHAnsi" w:hAnsiTheme="minorHAnsi" w:cstheme="minorBidi"/>
          <w:snapToGrid/>
          <w:sz w:val="24"/>
          <w:szCs w:val="22"/>
        </w:rPr>
        <w:t>chronic kidney disease</w:t>
      </w:r>
      <w:r w:rsidR="00FF5472" w:rsidRPr="003E6723">
        <w:rPr>
          <w:rFonts w:asciiTheme="minorHAnsi" w:eastAsiaTheme="minorHAnsi" w:hAnsiTheme="minorHAnsi" w:cstheme="minorBidi"/>
          <w:snapToGrid/>
          <w:sz w:val="24"/>
          <w:szCs w:val="22"/>
        </w:rPr>
        <w:t>.</w:t>
      </w:r>
      <w:r w:rsidR="00660076" w:rsidRPr="003E6723">
        <w:rPr>
          <w:rFonts w:asciiTheme="minorHAnsi" w:eastAsiaTheme="minorHAnsi" w:hAnsiTheme="minorHAnsi" w:cstheme="minorBidi"/>
          <w:snapToGrid/>
          <w:sz w:val="24"/>
          <w:szCs w:val="22"/>
        </w:rPr>
        <w:t xml:space="preserve"> </w:t>
      </w:r>
    </w:p>
    <w:p w:rsidR="006A12A5" w:rsidRPr="003E6723" w:rsidRDefault="006A12A5" w:rsidP="00EB0B63">
      <w:pPr>
        <w:pStyle w:val="PBACHeading1"/>
        <w:spacing w:before="240" w:after="120"/>
        <w:ind w:left="709" w:hanging="709"/>
        <w:rPr>
          <w:rFonts w:asciiTheme="minorHAnsi" w:hAnsiTheme="minorHAnsi"/>
          <w:sz w:val="32"/>
          <w:szCs w:val="32"/>
        </w:rPr>
      </w:pPr>
      <w:r w:rsidRPr="003E6723">
        <w:rPr>
          <w:rFonts w:asciiTheme="minorHAnsi" w:hAnsiTheme="minorHAnsi"/>
          <w:sz w:val="32"/>
          <w:szCs w:val="32"/>
        </w:rPr>
        <w:t>Requested listing</w:t>
      </w:r>
    </w:p>
    <w:p w:rsidR="00660076" w:rsidRPr="003E6723" w:rsidRDefault="00660076" w:rsidP="00660076">
      <w:pPr>
        <w:pStyle w:val="ListParagraph"/>
        <w:numPr>
          <w:ilvl w:val="1"/>
          <w:numId w:val="14"/>
        </w:numPr>
        <w:rPr>
          <w:rFonts w:asciiTheme="minorHAnsi" w:hAnsiTheme="minorHAnsi"/>
          <w:sz w:val="24"/>
          <w:szCs w:val="22"/>
        </w:rPr>
      </w:pPr>
      <w:r w:rsidRPr="003E6723">
        <w:rPr>
          <w:rFonts w:asciiTheme="minorHAnsi" w:hAnsiTheme="minorHAnsi"/>
          <w:sz w:val="24"/>
          <w:szCs w:val="22"/>
        </w:rPr>
        <w:t xml:space="preserve">The minor submission requested for the </w:t>
      </w:r>
      <w:r w:rsidR="00AB6CF2" w:rsidRPr="003E6723">
        <w:rPr>
          <w:rFonts w:asciiTheme="minorHAnsi" w:hAnsiTheme="minorHAnsi"/>
          <w:sz w:val="24"/>
          <w:szCs w:val="22"/>
        </w:rPr>
        <w:t xml:space="preserve">PBS </w:t>
      </w:r>
      <w:r w:rsidRPr="003E6723">
        <w:rPr>
          <w:rFonts w:asciiTheme="minorHAnsi" w:hAnsiTheme="minorHAnsi"/>
          <w:sz w:val="24"/>
          <w:szCs w:val="22"/>
        </w:rPr>
        <w:t xml:space="preserve">listing of </w:t>
      </w:r>
      <w:r w:rsidR="00AB6CF2" w:rsidRPr="003E6723">
        <w:rPr>
          <w:rFonts w:asciiTheme="minorHAnsi" w:hAnsiTheme="minorHAnsi"/>
          <w:sz w:val="24"/>
          <w:szCs w:val="22"/>
        </w:rPr>
        <w:t>a</w:t>
      </w:r>
      <w:r w:rsidRPr="003E6723">
        <w:rPr>
          <w:rFonts w:asciiTheme="minorHAnsi" w:hAnsiTheme="minorHAnsi"/>
          <w:sz w:val="24"/>
          <w:szCs w:val="22"/>
        </w:rPr>
        <w:t xml:space="preserve"> new form</w:t>
      </w:r>
      <w:r w:rsidR="00063F99" w:rsidRPr="003E6723">
        <w:rPr>
          <w:rFonts w:asciiTheme="minorHAnsi" w:hAnsiTheme="minorHAnsi"/>
          <w:sz w:val="24"/>
          <w:szCs w:val="22"/>
        </w:rPr>
        <w:t xml:space="preserve"> of sevelamer</w:t>
      </w:r>
      <w:r w:rsidR="00AF1772" w:rsidRPr="003E6723">
        <w:rPr>
          <w:rFonts w:asciiTheme="minorHAnsi" w:hAnsiTheme="minorHAnsi"/>
          <w:sz w:val="24"/>
          <w:szCs w:val="22"/>
        </w:rPr>
        <w:t xml:space="preserve"> </w:t>
      </w:r>
      <w:r w:rsidR="00CF00E0" w:rsidRPr="003E6723">
        <w:rPr>
          <w:rFonts w:asciiTheme="minorHAnsi" w:hAnsiTheme="minorHAnsi"/>
          <w:sz w:val="24"/>
          <w:szCs w:val="22"/>
        </w:rPr>
        <w:t xml:space="preserve">(as sevelamer </w:t>
      </w:r>
      <w:r w:rsidR="00AF1772" w:rsidRPr="003E6723">
        <w:rPr>
          <w:rFonts w:asciiTheme="minorHAnsi" w:hAnsiTheme="minorHAnsi"/>
          <w:sz w:val="24"/>
          <w:szCs w:val="22"/>
        </w:rPr>
        <w:t>carbonate</w:t>
      </w:r>
      <w:r w:rsidR="00CF00E0" w:rsidRPr="003E6723">
        <w:rPr>
          <w:rFonts w:asciiTheme="minorHAnsi" w:hAnsiTheme="minorHAnsi"/>
          <w:sz w:val="24"/>
          <w:szCs w:val="22"/>
        </w:rPr>
        <w:t>)</w:t>
      </w:r>
      <w:r w:rsidRPr="003E6723">
        <w:rPr>
          <w:rFonts w:asciiTheme="minorHAnsi" w:hAnsiTheme="minorHAnsi"/>
          <w:sz w:val="24"/>
          <w:szCs w:val="22"/>
        </w:rPr>
        <w:t>, with the same</w:t>
      </w:r>
      <w:r w:rsidRPr="003E6723">
        <w:rPr>
          <w:rFonts w:asciiTheme="minorHAnsi" w:hAnsiTheme="minorHAnsi"/>
          <w:sz w:val="24"/>
        </w:rPr>
        <w:t xml:space="preserve"> indications and restrictions as sevelamer </w:t>
      </w:r>
      <w:r w:rsidR="00CF00E0" w:rsidRPr="003E6723">
        <w:rPr>
          <w:rFonts w:asciiTheme="minorHAnsi" w:hAnsiTheme="minorHAnsi"/>
          <w:sz w:val="24"/>
        </w:rPr>
        <w:t xml:space="preserve">(as sevelamer </w:t>
      </w:r>
      <w:r w:rsidRPr="003E6723">
        <w:rPr>
          <w:rFonts w:asciiTheme="minorHAnsi" w:hAnsiTheme="minorHAnsi"/>
          <w:sz w:val="24"/>
        </w:rPr>
        <w:t>hydrochloride</w:t>
      </w:r>
      <w:r w:rsidR="00CF00E0" w:rsidRPr="003E6723">
        <w:rPr>
          <w:rFonts w:asciiTheme="minorHAnsi" w:hAnsiTheme="minorHAnsi"/>
          <w:sz w:val="24"/>
        </w:rPr>
        <w:t>)</w:t>
      </w:r>
      <w:r w:rsidR="00063F99" w:rsidRPr="003E6723">
        <w:rPr>
          <w:rFonts w:asciiTheme="minorHAnsi" w:hAnsiTheme="minorHAnsi"/>
          <w:sz w:val="24"/>
        </w:rPr>
        <w:t xml:space="preserve"> 800 mg tablet</w:t>
      </w:r>
      <w:r w:rsidR="00FF5472" w:rsidRPr="003E6723">
        <w:rPr>
          <w:rFonts w:asciiTheme="minorHAnsi" w:hAnsiTheme="minorHAnsi"/>
          <w:sz w:val="24"/>
        </w:rPr>
        <w:t>s</w:t>
      </w:r>
      <w:r w:rsidR="00063F99" w:rsidRPr="003E6723">
        <w:rPr>
          <w:rFonts w:asciiTheme="minorHAnsi" w:hAnsiTheme="minorHAnsi"/>
          <w:sz w:val="24"/>
        </w:rPr>
        <w:t xml:space="preserve"> currently listed on the PBS</w:t>
      </w:r>
      <w:r w:rsidR="00AB6CF2" w:rsidRPr="003E6723">
        <w:rPr>
          <w:rFonts w:asciiTheme="minorHAnsi" w:hAnsiTheme="minorHAnsi"/>
          <w:sz w:val="24"/>
          <w:szCs w:val="22"/>
        </w:rPr>
        <w:t>.</w:t>
      </w:r>
    </w:p>
    <w:p w:rsidR="00660076" w:rsidRPr="003E6723" w:rsidRDefault="00660076" w:rsidP="00660076">
      <w:pPr>
        <w:pStyle w:val="ListParagraph"/>
        <w:rPr>
          <w:rFonts w:asciiTheme="minorHAnsi" w:hAnsiTheme="minorHAnsi"/>
          <w:sz w:val="24"/>
          <w:szCs w:val="22"/>
        </w:rPr>
      </w:pPr>
    </w:p>
    <w:p w:rsidR="000F1AF9" w:rsidRPr="003E6723" w:rsidRDefault="00FB27DD" w:rsidP="000D57D7">
      <w:pPr>
        <w:pStyle w:val="ListParagraph"/>
        <w:numPr>
          <w:ilvl w:val="1"/>
          <w:numId w:val="14"/>
        </w:numPr>
        <w:spacing w:before="120" w:after="120"/>
        <w:rPr>
          <w:rFonts w:asciiTheme="minorHAnsi" w:eastAsiaTheme="minorHAnsi" w:hAnsiTheme="minorHAnsi" w:cstheme="minorBidi"/>
          <w:snapToGrid/>
          <w:sz w:val="24"/>
          <w:szCs w:val="22"/>
        </w:rPr>
      </w:pPr>
      <w:r w:rsidRPr="003E6723">
        <w:rPr>
          <w:rFonts w:asciiTheme="minorHAnsi" w:hAnsiTheme="minorHAnsi"/>
          <w:sz w:val="24"/>
          <w:szCs w:val="22"/>
        </w:rPr>
        <w:t>Suggestions and additions proposed by the Secretariat to the requested listing are added in italics and suggested deletions are crossed out with strikethrough</w:t>
      </w:r>
      <w:r w:rsidR="000D57D7">
        <w:rPr>
          <w:rFonts w:asciiTheme="minorHAnsi" w:hAnsiTheme="minorHAnsi"/>
          <w:sz w:val="24"/>
          <w:szCs w:val="22"/>
        </w:rPr>
        <w:t>:</w:t>
      </w:r>
      <w:r w:rsidRPr="003E6723" w:rsidDel="00724D9A">
        <w:rPr>
          <w:rFonts w:asciiTheme="minorHAnsi" w:hAnsiTheme="minorHAnsi"/>
          <w:sz w:val="24"/>
          <w:szCs w:val="22"/>
        </w:rPr>
        <w:t xml:space="preserve"> </w:t>
      </w:r>
    </w:p>
    <w:tbl>
      <w:tblPr>
        <w:tblW w:w="4915" w:type="pct"/>
        <w:tblLayout w:type="fixed"/>
        <w:tblLook w:val="0000" w:firstRow="0" w:lastRow="0" w:firstColumn="0" w:lastColumn="0" w:noHBand="0" w:noVBand="0"/>
      </w:tblPr>
      <w:tblGrid>
        <w:gridCol w:w="1954"/>
        <w:gridCol w:w="850"/>
        <w:gridCol w:w="1263"/>
        <w:gridCol w:w="721"/>
        <w:gridCol w:w="1557"/>
        <w:gridCol w:w="1276"/>
        <w:gridCol w:w="1457"/>
        <w:gridCol w:w="7"/>
      </w:tblGrid>
      <w:tr w:rsidR="00163329" w:rsidRPr="003E6723" w:rsidTr="00CB5BD0">
        <w:trPr>
          <w:cantSplit/>
          <w:trHeight w:val="465"/>
        </w:trPr>
        <w:tc>
          <w:tcPr>
            <w:tcW w:w="1543" w:type="pct"/>
            <w:gridSpan w:val="2"/>
            <w:tcBorders>
              <w:bottom w:val="single" w:sz="4" w:space="0" w:color="auto"/>
            </w:tcBorders>
          </w:tcPr>
          <w:p w:rsidR="00826F6D" w:rsidRPr="003E6723" w:rsidRDefault="00826F6D" w:rsidP="00CB5BD0">
            <w:pPr>
              <w:keepNext/>
              <w:rPr>
                <w:rFonts w:ascii="Arial Narrow" w:hAnsi="Arial Narrow" w:cs="Arial"/>
                <w:b/>
                <w:sz w:val="20"/>
                <w:szCs w:val="20"/>
              </w:rPr>
            </w:pPr>
            <w:r w:rsidRPr="003E6723">
              <w:rPr>
                <w:rFonts w:ascii="Arial Narrow" w:hAnsi="Arial Narrow" w:cs="Arial"/>
                <w:b/>
                <w:sz w:val="20"/>
                <w:szCs w:val="20"/>
              </w:rPr>
              <w:t>Name, Restriction,</w:t>
            </w:r>
          </w:p>
          <w:p w:rsidR="00826F6D" w:rsidRPr="003E6723" w:rsidRDefault="00826F6D" w:rsidP="00CB5BD0">
            <w:pPr>
              <w:keepNext/>
              <w:rPr>
                <w:rFonts w:ascii="Arial Narrow" w:hAnsi="Arial Narrow" w:cs="Arial"/>
                <w:b/>
                <w:sz w:val="20"/>
                <w:szCs w:val="20"/>
              </w:rPr>
            </w:pPr>
            <w:r w:rsidRPr="003E6723">
              <w:rPr>
                <w:rFonts w:ascii="Arial Narrow" w:hAnsi="Arial Narrow" w:cs="Arial"/>
                <w:b/>
                <w:sz w:val="20"/>
                <w:szCs w:val="20"/>
              </w:rPr>
              <w:t>Manner of administration and form</w:t>
            </w:r>
          </w:p>
        </w:tc>
        <w:tc>
          <w:tcPr>
            <w:tcW w:w="695" w:type="pct"/>
            <w:tcBorders>
              <w:bottom w:val="single" w:sz="4" w:space="0" w:color="auto"/>
            </w:tcBorders>
          </w:tcPr>
          <w:p w:rsidR="00826F6D" w:rsidRPr="003E6723" w:rsidRDefault="00826F6D" w:rsidP="00CB5BD0">
            <w:pPr>
              <w:keepNext/>
              <w:jc w:val="center"/>
              <w:rPr>
                <w:rFonts w:ascii="Arial Narrow" w:hAnsi="Arial Narrow" w:cs="Arial"/>
                <w:b/>
                <w:sz w:val="20"/>
                <w:szCs w:val="20"/>
              </w:rPr>
            </w:pPr>
            <w:r w:rsidRPr="003E6723">
              <w:rPr>
                <w:rFonts w:ascii="Arial Narrow" w:hAnsi="Arial Narrow" w:cs="Arial"/>
                <w:b/>
                <w:sz w:val="20"/>
                <w:szCs w:val="20"/>
              </w:rPr>
              <w:t>Max.</w:t>
            </w:r>
          </w:p>
          <w:p w:rsidR="00826F6D" w:rsidRPr="003E6723" w:rsidRDefault="00826F6D" w:rsidP="00CB5BD0">
            <w:pPr>
              <w:keepNext/>
              <w:jc w:val="center"/>
              <w:rPr>
                <w:rFonts w:ascii="Arial Narrow" w:hAnsi="Arial Narrow" w:cs="Arial"/>
                <w:b/>
                <w:sz w:val="20"/>
                <w:szCs w:val="20"/>
              </w:rPr>
            </w:pPr>
            <w:r w:rsidRPr="003E6723">
              <w:rPr>
                <w:rFonts w:ascii="Arial Narrow" w:hAnsi="Arial Narrow" w:cs="Arial"/>
                <w:b/>
                <w:sz w:val="20"/>
                <w:szCs w:val="20"/>
              </w:rPr>
              <w:t>Qty</w:t>
            </w:r>
            <w:r w:rsidR="00A479CE" w:rsidRPr="003E6723">
              <w:rPr>
                <w:rFonts w:ascii="Arial Narrow" w:hAnsi="Arial Narrow" w:cs="Arial"/>
                <w:b/>
                <w:sz w:val="20"/>
                <w:szCs w:val="20"/>
              </w:rPr>
              <w:t xml:space="preserve"> (</w:t>
            </w:r>
            <w:r w:rsidR="00CB5BD0" w:rsidRPr="003E6723">
              <w:rPr>
                <w:rFonts w:ascii="Arial Narrow" w:hAnsi="Arial Narrow" w:cs="Arial"/>
                <w:b/>
                <w:sz w:val="20"/>
                <w:szCs w:val="20"/>
              </w:rPr>
              <w:t>Packs</w:t>
            </w:r>
            <w:r w:rsidR="00A479CE" w:rsidRPr="003E6723">
              <w:rPr>
                <w:rFonts w:ascii="Arial Narrow" w:hAnsi="Arial Narrow" w:cs="Arial"/>
                <w:b/>
                <w:sz w:val="20"/>
                <w:szCs w:val="20"/>
              </w:rPr>
              <w:t>)</w:t>
            </w:r>
          </w:p>
        </w:tc>
        <w:tc>
          <w:tcPr>
            <w:tcW w:w="397" w:type="pct"/>
            <w:tcBorders>
              <w:bottom w:val="single" w:sz="4" w:space="0" w:color="auto"/>
            </w:tcBorders>
          </w:tcPr>
          <w:p w:rsidR="00826F6D" w:rsidRPr="003E6723" w:rsidRDefault="00826F6D" w:rsidP="00CB5BD0">
            <w:pPr>
              <w:keepNext/>
              <w:jc w:val="center"/>
              <w:rPr>
                <w:rFonts w:ascii="Arial Narrow" w:hAnsi="Arial Narrow" w:cs="Arial"/>
                <w:b/>
                <w:sz w:val="20"/>
                <w:szCs w:val="20"/>
              </w:rPr>
            </w:pPr>
            <w:r w:rsidRPr="003E6723">
              <w:rPr>
                <w:rFonts w:ascii="Arial Narrow" w:hAnsi="Arial Narrow" w:cs="Arial"/>
                <w:b/>
                <w:sz w:val="20"/>
                <w:szCs w:val="20"/>
              </w:rPr>
              <w:t>№.of</w:t>
            </w:r>
          </w:p>
          <w:p w:rsidR="00826F6D" w:rsidRPr="003E6723" w:rsidRDefault="00826F6D" w:rsidP="00CB5BD0">
            <w:pPr>
              <w:keepNext/>
              <w:jc w:val="center"/>
              <w:rPr>
                <w:rFonts w:ascii="Arial Narrow" w:hAnsi="Arial Narrow" w:cs="Arial"/>
                <w:b/>
                <w:sz w:val="20"/>
                <w:szCs w:val="20"/>
              </w:rPr>
            </w:pPr>
            <w:r w:rsidRPr="003E6723">
              <w:rPr>
                <w:rFonts w:ascii="Arial Narrow" w:hAnsi="Arial Narrow" w:cs="Arial"/>
                <w:b/>
                <w:sz w:val="20"/>
                <w:szCs w:val="20"/>
              </w:rPr>
              <w:t>Rpts</w:t>
            </w:r>
          </w:p>
        </w:tc>
        <w:tc>
          <w:tcPr>
            <w:tcW w:w="857" w:type="pct"/>
            <w:tcBorders>
              <w:bottom w:val="single" w:sz="4" w:space="0" w:color="auto"/>
            </w:tcBorders>
          </w:tcPr>
          <w:p w:rsidR="00826F6D" w:rsidRPr="003E6723" w:rsidRDefault="00826F6D" w:rsidP="00CB5BD0">
            <w:pPr>
              <w:keepNext/>
              <w:jc w:val="center"/>
              <w:rPr>
                <w:rFonts w:ascii="Arial Narrow" w:hAnsi="Arial Narrow" w:cs="Arial"/>
                <w:b/>
                <w:sz w:val="20"/>
                <w:szCs w:val="20"/>
              </w:rPr>
            </w:pPr>
            <w:r w:rsidRPr="003E6723">
              <w:rPr>
                <w:rFonts w:ascii="Arial Narrow" w:hAnsi="Arial Narrow" w:cs="Arial"/>
                <w:b/>
                <w:sz w:val="20"/>
                <w:szCs w:val="20"/>
              </w:rPr>
              <w:t>Dispensed Price for Max. Qty</w:t>
            </w:r>
          </w:p>
        </w:tc>
        <w:tc>
          <w:tcPr>
            <w:tcW w:w="1508" w:type="pct"/>
            <w:gridSpan w:val="3"/>
            <w:tcBorders>
              <w:bottom w:val="single" w:sz="4" w:space="0" w:color="auto"/>
            </w:tcBorders>
          </w:tcPr>
          <w:p w:rsidR="00826F6D" w:rsidRPr="003E6723" w:rsidRDefault="00826F6D" w:rsidP="00CB5BD0">
            <w:pPr>
              <w:keepNext/>
              <w:jc w:val="center"/>
              <w:rPr>
                <w:rFonts w:ascii="Arial Narrow" w:hAnsi="Arial Narrow" w:cs="Arial"/>
                <w:b/>
                <w:sz w:val="20"/>
                <w:szCs w:val="20"/>
              </w:rPr>
            </w:pPr>
            <w:r w:rsidRPr="003E6723">
              <w:rPr>
                <w:rFonts w:ascii="Arial Narrow" w:hAnsi="Arial Narrow" w:cs="Arial"/>
                <w:b/>
                <w:sz w:val="20"/>
                <w:szCs w:val="20"/>
              </w:rPr>
              <w:t>Proprietary Name and Manufacturer</w:t>
            </w:r>
          </w:p>
        </w:tc>
      </w:tr>
      <w:tr w:rsidR="00FF3AB6" w:rsidRPr="003E6723" w:rsidTr="00CB5BD0">
        <w:trPr>
          <w:cantSplit/>
          <w:trHeight w:val="567"/>
        </w:trPr>
        <w:tc>
          <w:tcPr>
            <w:tcW w:w="1543" w:type="pct"/>
            <w:gridSpan w:val="2"/>
            <w:vAlign w:val="center"/>
          </w:tcPr>
          <w:p w:rsidR="00826F6D" w:rsidRPr="003E6723" w:rsidRDefault="002F244A" w:rsidP="00CB5BD0">
            <w:pPr>
              <w:keepNext/>
              <w:rPr>
                <w:rFonts w:ascii="Arial Narrow" w:hAnsi="Arial Narrow" w:cs="Arial"/>
                <w:sz w:val="20"/>
                <w:szCs w:val="20"/>
              </w:rPr>
            </w:pPr>
            <w:r w:rsidRPr="003E6723">
              <w:rPr>
                <w:rFonts w:ascii="Arial Narrow" w:hAnsi="Arial Narrow" w:cs="Arial"/>
                <w:smallCaps/>
                <w:sz w:val="20"/>
                <w:szCs w:val="20"/>
              </w:rPr>
              <w:t>SEVELAMER</w:t>
            </w:r>
          </w:p>
          <w:p w:rsidR="00826F6D" w:rsidRPr="003E6723" w:rsidRDefault="007E0A8D" w:rsidP="007E0A8D">
            <w:pPr>
              <w:keepNext/>
              <w:rPr>
                <w:rFonts w:ascii="Arial Narrow" w:hAnsi="Arial Narrow" w:cs="Arial"/>
                <w:sz w:val="20"/>
                <w:szCs w:val="20"/>
              </w:rPr>
            </w:pPr>
            <w:r w:rsidRPr="003E6723">
              <w:rPr>
                <w:rFonts w:ascii="Arial Narrow" w:hAnsi="Arial Narrow" w:cs="Arial"/>
                <w:i/>
                <w:sz w:val="20"/>
                <w:szCs w:val="20"/>
              </w:rPr>
              <w:t>Sevelamer carbonate,</w:t>
            </w:r>
            <w:r w:rsidRPr="003E6723">
              <w:rPr>
                <w:rFonts w:ascii="Arial Narrow" w:hAnsi="Arial Narrow" w:cs="Arial"/>
                <w:sz w:val="20"/>
                <w:szCs w:val="20"/>
              </w:rPr>
              <w:t xml:space="preserve"> p</w:t>
            </w:r>
            <w:r w:rsidR="002F244A" w:rsidRPr="003E6723">
              <w:rPr>
                <w:rFonts w:ascii="Arial Narrow" w:hAnsi="Arial Narrow" w:cs="Arial"/>
                <w:sz w:val="20"/>
                <w:szCs w:val="20"/>
              </w:rPr>
              <w:t>owder for oral liquid, 2.4g</w:t>
            </w:r>
            <w:r w:rsidR="00CB5BD0" w:rsidRPr="003E6723">
              <w:rPr>
                <w:rFonts w:ascii="Arial Narrow" w:hAnsi="Arial Narrow" w:cs="Arial"/>
                <w:sz w:val="20"/>
                <w:szCs w:val="20"/>
              </w:rPr>
              <w:t xml:space="preserve">, </w:t>
            </w:r>
            <w:r w:rsidR="00CB5BD0" w:rsidRPr="003E6723">
              <w:rPr>
                <w:rFonts w:ascii="Arial Narrow" w:hAnsi="Arial Narrow" w:cs="Arial"/>
                <w:i/>
                <w:sz w:val="20"/>
                <w:szCs w:val="20"/>
              </w:rPr>
              <w:t>60</w:t>
            </w:r>
          </w:p>
        </w:tc>
        <w:tc>
          <w:tcPr>
            <w:tcW w:w="695" w:type="pct"/>
            <w:vAlign w:val="center"/>
          </w:tcPr>
          <w:p w:rsidR="00826F6D" w:rsidRPr="003E6723" w:rsidRDefault="00CB5BD0" w:rsidP="00CB5BD0">
            <w:pPr>
              <w:keepNext/>
              <w:jc w:val="center"/>
              <w:rPr>
                <w:rFonts w:ascii="Arial Narrow" w:hAnsi="Arial Narrow" w:cs="Arial"/>
                <w:sz w:val="20"/>
                <w:szCs w:val="20"/>
              </w:rPr>
            </w:pPr>
            <w:r w:rsidRPr="003E6723">
              <w:rPr>
                <w:rFonts w:ascii="Arial Narrow" w:hAnsi="Arial Narrow" w:cs="Arial"/>
                <w:sz w:val="20"/>
                <w:szCs w:val="20"/>
              </w:rPr>
              <w:t>1</w:t>
            </w:r>
          </w:p>
        </w:tc>
        <w:tc>
          <w:tcPr>
            <w:tcW w:w="397" w:type="pct"/>
            <w:vAlign w:val="center"/>
          </w:tcPr>
          <w:p w:rsidR="00826F6D" w:rsidRPr="003E6723" w:rsidRDefault="00FF3AB6" w:rsidP="00CB5BD0">
            <w:pPr>
              <w:keepNext/>
              <w:jc w:val="center"/>
              <w:rPr>
                <w:rFonts w:ascii="Arial Narrow" w:hAnsi="Arial Narrow" w:cs="Arial"/>
                <w:sz w:val="20"/>
                <w:szCs w:val="20"/>
              </w:rPr>
            </w:pPr>
            <w:r w:rsidRPr="003E6723">
              <w:rPr>
                <w:rFonts w:ascii="Arial Narrow" w:hAnsi="Arial Narrow" w:cs="Arial"/>
                <w:sz w:val="20"/>
                <w:szCs w:val="20"/>
              </w:rPr>
              <w:t>5</w:t>
            </w:r>
          </w:p>
        </w:tc>
        <w:tc>
          <w:tcPr>
            <w:tcW w:w="857" w:type="pct"/>
            <w:vAlign w:val="center"/>
          </w:tcPr>
          <w:p w:rsidR="00826F6D" w:rsidRPr="003E6723" w:rsidRDefault="00826F6D" w:rsidP="00CB5BD0">
            <w:pPr>
              <w:keepNext/>
              <w:jc w:val="center"/>
              <w:rPr>
                <w:rFonts w:ascii="Arial Narrow" w:hAnsi="Arial Narrow" w:cs="Arial"/>
                <w:sz w:val="20"/>
                <w:szCs w:val="20"/>
              </w:rPr>
            </w:pPr>
            <w:r w:rsidRPr="003E6723">
              <w:rPr>
                <w:rFonts w:ascii="Arial Narrow" w:hAnsi="Arial Narrow" w:cs="Arial"/>
                <w:sz w:val="20"/>
                <w:szCs w:val="20"/>
              </w:rPr>
              <w:t>$</w:t>
            </w:r>
            <w:r w:rsidR="00FF3AB6" w:rsidRPr="00DA2D17">
              <w:rPr>
                <w:rFonts w:ascii="Arial Narrow" w:hAnsi="Arial Narrow" w:cs="Arial"/>
                <w:sz w:val="20"/>
                <w:szCs w:val="20"/>
              </w:rPr>
              <w:t>332.52</w:t>
            </w:r>
          </w:p>
        </w:tc>
        <w:tc>
          <w:tcPr>
            <w:tcW w:w="702" w:type="pct"/>
            <w:vAlign w:val="center"/>
          </w:tcPr>
          <w:p w:rsidR="00826F6D" w:rsidRPr="003E6723" w:rsidRDefault="002F244A" w:rsidP="00CB5BD0">
            <w:pPr>
              <w:keepNext/>
              <w:jc w:val="center"/>
              <w:rPr>
                <w:rFonts w:ascii="Arial Narrow" w:hAnsi="Arial Narrow" w:cs="Arial"/>
                <w:sz w:val="20"/>
                <w:szCs w:val="20"/>
              </w:rPr>
            </w:pPr>
            <w:r w:rsidRPr="003E6723">
              <w:rPr>
                <w:rFonts w:ascii="Arial Narrow" w:hAnsi="Arial Narrow" w:cs="Arial"/>
                <w:sz w:val="20"/>
                <w:szCs w:val="20"/>
              </w:rPr>
              <w:t>Renvela®</w:t>
            </w:r>
          </w:p>
        </w:tc>
        <w:tc>
          <w:tcPr>
            <w:tcW w:w="806" w:type="pct"/>
            <w:gridSpan w:val="2"/>
            <w:vAlign w:val="center"/>
          </w:tcPr>
          <w:p w:rsidR="00826F6D" w:rsidRPr="003E6723" w:rsidRDefault="002F244A" w:rsidP="00CB5BD0">
            <w:pPr>
              <w:keepNext/>
              <w:jc w:val="center"/>
              <w:rPr>
                <w:rFonts w:ascii="Arial Narrow" w:hAnsi="Arial Narrow" w:cs="Arial"/>
                <w:sz w:val="20"/>
                <w:szCs w:val="20"/>
              </w:rPr>
            </w:pPr>
            <w:r w:rsidRPr="003E6723">
              <w:rPr>
                <w:rFonts w:ascii="Arial Narrow" w:hAnsi="Arial Narrow" w:cs="Arial"/>
                <w:sz w:val="20"/>
                <w:szCs w:val="20"/>
              </w:rPr>
              <w:t>Sanofi-Aventis Australia Pty Ltd</w:t>
            </w:r>
          </w:p>
        </w:tc>
      </w:tr>
      <w:tr w:rsidR="00826F6D" w:rsidRPr="003E6723" w:rsidTr="00FF3AB6">
        <w:trPr>
          <w:gridAfter w:val="1"/>
          <w:wAfter w:w="4" w:type="pct"/>
          <w:cantSplit/>
          <w:trHeight w:val="360"/>
        </w:trPr>
        <w:tc>
          <w:tcPr>
            <w:tcW w:w="1075" w:type="pct"/>
            <w:tcBorders>
              <w:top w:val="single" w:sz="4" w:space="0" w:color="auto"/>
              <w:left w:val="single" w:sz="4" w:space="0" w:color="auto"/>
              <w:bottom w:val="single" w:sz="4" w:space="0" w:color="auto"/>
              <w:right w:val="single" w:sz="4" w:space="0" w:color="auto"/>
            </w:tcBorders>
          </w:tcPr>
          <w:p w:rsidR="00826F6D" w:rsidRPr="003E6723" w:rsidRDefault="00826F6D" w:rsidP="00660076">
            <w:pPr>
              <w:jc w:val="both"/>
              <w:rPr>
                <w:rFonts w:ascii="Arial Narrow" w:hAnsi="Arial Narrow" w:cs="Arial"/>
                <w:sz w:val="20"/>
                <w:szCs w:val="20"/>
              </w:rPr>
            </w:pPr>
            <w:r w:rsidRPr="003E6723">
              <w:rPr>
                <w:rFonts w:ascii="Arial Narrow" w:hAnsi="Arial Narrow" w:cs="Arial"/>
                <w:sz w:val="20"/>
                <w:szCs w:val="20"/>
              </w:rPr>
              <w:t xml:space="preserve">Category / </w:t>
            </w:r>
          </w:p>
          <w:p w:rsidR="00826F6D" w:rsidRPr="003E6723" w:rsidRDefault="00826F6D" w:rsidP="00660076">
            <w:pPr>
              <w:jc w:val="both"/>
              <w:rPr>
                <w:rFonts w:ascii="Arial Narrow" w:hAnsi="Arial Narrow" w:cs="Arial"/>
                <w:b/>
                <w:sz w:val="20"/>
                <w:szCs w:val="20"/>
              </w:rPr>
            </w:pPr>
            <w:r w:rsidRPr="003E6723">
              <w:rPr>
                <w:rFonts w:ascii="Arial Narrow" w:hAnsi="Arial Narrow" w:cs="Arial"/>
                <w:sz w:val="20"/>
                <w:szCs w:val="20"/>
              </w:rPr>
              <w:t>Program</w:t>
            </w:r>
          </w:p>
        </w:tc>
        <w:tc>
          <w:tcPr>
            <w:tcW w:w="3921" w:type="pct"/>
            <w:gridSpan w:val="6"/>
            <w:tcBorders>
              <w:top w:val="single" w:sz="4" w:space="0" w:color="auto"/>
              <w:left w:val="single" w:sz="4" w:space="0" w:color="auto"/>
              <w:bottom w:val="single" w:sz="4" w:space="0" w:color="auto"/>
              <w:right w:val="single" w:sz="4" w:space="0" w:color="auto"/>
            </w:tcBorders>
          </w:tcPr>
          <w:p w:rsidR="00826F6D" w:rsidRPr="003E6723" w:rsidRDefault="00826F6D" w:rsidP="00660076">
            <w:pPr>
              <w:rPr>
                <w:rFonts w:ascii="Arial Narrow" w:hAnsi="Arial Narrow" w:cs="Arial"/>
                <w:sz w:val="20"/>
                <w:szCs w:val="20"/>
              </w:rPr>
            </w:pPr>
            <w:r w:rsidRPr="003E6723">
              <w:rPr>
                <w:rFonts w:ascii="Arial Narrow" w:hAnsi="Arial Narrow" w:cs="Arial"/>
                <w:sz w:val="20"/>
                <w:szCs w:val="20"/>
              </w:rPr>
              <w:t>GENERAL – General Schedule (Code GE)</w:t>
            </w:r>
          </w:p>
          <w:p w:rsidR="00826F6D" w:rsidRPr="003E6723" w:rsidRDefault="00826F6D" w:rsidP="00660076">
            <w:pPr>
              <w:rPr>
                <w:rFonts w:ascii="Arial Narrow" w:hAnsi="Arial Narrow" w:cs="Arial"/>
                <w:sz w:val="20"/>
                <w:szCs w:val="20"/>
              </w:rPr>
            </w:pPr>
          </w:p>
        </w:tc>
      </w:tr>
      <w:tr w:rsidR="00826F6D" w:rsidRPr="003E6723" w:rsidTr="00FF3AB6">
        <w:trPr>
          <w:gridAfter w:val="1"/>
          <w:wAfter w:w="4" w:type="pct"/>
          <w:cantSplit/>
          <w:trHeight w:val="360"/>
        </w:trPr>
        <w:tc>
          <w:tcPr>
            <w:tcW w:w="1075" w:type="pct"/>
            <w:tcBorders>
              <w:top w:val="single" w:sz="4" w:space="0" w:color="auto"/>
              <w:left w:val="single" w:sz="4" w:space="0" w:color="auto"/>
              <w:bottom w:val="single" w:sz="4" w:space="0" w:color="auto"/>
              <w:right w:val="single" w:sz="4" w:space="0" w:color="auto"/>
            </w:tcBorders>
          </w:tcPr>
          <w:p w:rsidR="00826F6D" w:rsidRPr="003E6723" w:rsidRDefault="00826F6D" w:rsidP="00660076">
            <w:pPr>
              <w:jc w:val="both"/>
              <w:rPr>
                <w:rFonts w:ascii="Arial Narrow" w:hAnsi="Arial Narrow" w:cs="Arial"/>
                <w:b/>
                <w:sz w:val="20"/>
                <w:szCs w:val="20"/>
              </w:rPr>
            </w:pPr>
            <w:r w:rsidRPr="003E6723">
              <w:rPr>
                <w:rFonts w:ascii="Arial Narrow" w:hAnsi="Arial Narrow" w:cs="Arial"/>
                <w:b/>
                <w:sz w:val="20"/>
                <w:szCs w:val="20"/>
              </w:rPr>
              <w:t>Prescriber type:</w:t>
            </w:r>
          </w:p>
        </w:tc>
        <w:tc>
          <w:tcPr>
            <w:tcW w:w="3921" w:type="pct"/>
            <w:gridSpan w:val="6"/>
            <w:tcBorders>
              <w:top w:val="single" w:sz="4" w:space="0" w:color="auto"/>
              <w:left w:val="single" w:sz="4" w:space="0" w:color="auto"/>
              <w:bottom w:val="single" w:sz="4" w:space="0" w:color="auto"/>
              <w:right w:val="single" w:sz="4" w:space="0" w:color="auto"/>
            </w:tcBorders>
          </w:tcPr>
          <w:p w:rsidR="00826F6D" w:rsidRPr="003E6723" w:rsidRDefault="00826F6D" w:rsidP="00660076">
            <w:pPr>
              <w:rPr>
                <w:rFonts w:ascii="Arial Narrow" w:hAnsi="Arial Narrow" w:cs="Arial"/>
                <w:sz w:val="20"/>
                <w:szCs w:val="20"/>
              </w:rPr>
            </w:pPr>
            <w:r w:rsidRPr="003E6723">
              <w:rPr>
                <w:rFonts w:ascii="Arial Narrow" w:hAnsi="Arial Narrow" w:cs="Arial"/>
                <w:sz w:val="20"/>
                <w:szCs w:val="20"/>
              </w:rPr>
              <w:fldChar w:fldCharType="begin">
                <w:ffData>
                  <w:name w:val="Check1"/>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 xml:space="preserve">Dental  </w:t>
            </w:r>
            <w:r w:rsidR="00A74CCC" w:rsidRPr="003E6723">
              <w:rPr>
                <w:rFonts w:ascii="Arial Narrow" w:hAnsi="Arial Narrow" w:cs="Arial"/>
                <w:sz w:val="20"/>
                <w:szCs w:val="20"/>
              </w:rPr>
              <w:fldChar w:fldCharType="begin">
                <w:ffData>
                  <w:name w:val=""/>
                  <w:enabled/>
                  <w:calcOnExit w:val="0"/>
                  <w:checkBox>
                    <w:sizeAuto/>
                    <w:default w:val="1"/>
                  </w:checkBox>
                </w:ffData>
              </w:fldChar>
            </w:r>
            <w:r w:rsidR="00A74CCC"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00A74CCC" w:rsidRPr="003E6723">
              <w:rPr>
                <w:rFonts w:ascii="Arial Narrow" w:hAnsi="Arial Narrow" w:cs="Arial"/>
                <w:sz w:val="20"/>
                <w:szCs w:val="20"/>
              </w:rPr>
              <w:fldChar w:fldCharType="end"/>
            </w:r>
            <w:r w:rsidRPr="003E6723">
              <w:rPr>
                <w:rFonts w:ascii="Arial Narrow" w:hAnsi="Arial Narrow" w:cs="Arial"/>
                <w:sz w:val="20"/>
                <w:szCs w:val="20"/>
              </w:rPr>
              <w:t xml:space="preserve">Medical Practitioners  </w:t>
            </w:r>
            <w:r w:rsidR="00A74CCC" w:rsidRPr="003E6723">
              <w:rPr>
                <w:rFonts w:ascii="Arial Narrow" w:hAnsi="Arial Narrow" w:cs="Arial"/>
                <w:sz w:val="20"/>
                <w:szCs w:val="20"/>
              </w:rPr>
              <w:fldChar w:fldCharType="begin">
                <w:ffData>
                  <w:name w:val="Check3"/>
                  <w:enabled/>
                  <w:calcOnExit w:val="0"/>
                  <w:checkBox>
                    <w:sizeAuto/>
                    <w:default w:val="1"/>
                  </w:checkBox>
                </w:ffData>
              </w:fldChar>
            </w:r>
            <w:bookmarkStart w:id="1" w:name="Check3"/>
            <w:r w:rsidR="00A74CCC"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00A74CCC" w:rsidRPr="003E6723">
              <w:rPr>
                <w:rFonts w:ascii="Arial Narrow" w:hAnsi="Arial Narrow" w:cs="Arial"/>
                <w:sz w:val="20"/>
                <w:szCs w:val="20"/>
              </w:rPr>
              <w:fldChar w:fldCharType="end"/>
            </w:r>
            <w:bookmarkEnd w:id="1"/>
            <w:r w:rsidRPr="003E6723">
              <w:rPr>
                <w:rFonts w:ascii="Arial Narrow" w:hAnsi="Arial Narrow" w:cs="Arial"/>
                <w:sz w:val="20"/>
                <w:szCs w:val="20"/>
              </w:rPr>
              <w:t xml:space="preserve">Nurse practitioners  </w:t>
            </w:r>
            <w:r w:rsidRPr="003E6723">
              <w:rPr>
                <w:rFonts w:ascii="Arial Narrow" w:hAnsi="Arial Narrow" w:cs="Arial"/>
                <w:sz w:val="20"/>
                <w:szCs w:val="20"/>
              </w:rPr>
              <w:fldChar w:fldCharType="begin">
                <w:ffData>
                  <w:name w:val=""/>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Optometrists</w:t>
            </w:r>
          </w:p>
          <w:p w:rsidR="00826F6D" w:rsidRPr="003E6723" w:rsidRDefault="00826F6D" w:rsidP="00660076">
            <w:pPr>
              <w:rPr>
                <w:rFonts w:ascii="Arial Narrow" w:hAnsi="Arial Narrow" w:cs="Arial"/>
                <w:sz w:val="20"/>
                <w:szCs w:val="20"/>
              </w:rPr>
            </w:pPr>
            <w:r w:rsidRPr="003E6723">
              <w:rPr>
                <w:rFonts w:ascii="Arial Narrow" w:hAnsi="Arial Narrow" w:cs="Arial"/>
                <w:sz w:val="20"/>
                <w:szCs w:val="20"/>
              </w:rPr>
              <w:fldChar w:fldCharType="begin">
                <w:ffData>
                  <w:name w:val="Check5"/>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Midwives</w:t>
            </w:r>
          </w:p>
        </w:tc>
      </w:tr>
      <w:tr w:rsidR="00826F6D" w:rsidRPr="003E6723" w:rsidTr="00FF3AB6">
        <w:trPr>
          <w:gridAfter w:val="1"/>
          <w:wAfter w:w="4" w:type="pct"/>
          <w:cantSplit/>
          <w:trHeight w:val="360"/>
        </w:trPr>
        <w:tc>
          <w:tcPr>
            <w:tcW w:w="1075" w:type="pct"/>
            <w:tcBorders>
              <w:top w:val="single" w:sz="4" w:space="0" w:color="auto"/>
              <w:left w:val="single" w:sz="4" w:space="0" w:color="auto"/>
              <w:bottom w:val="single" w:sz="4" w:space="0" w:color="auto"/>
              <w:right w:val="single" w:sz="4" w:space="0" w:color="auto"/>
            </w:tcBorders>
          </w:tcPr>
          <w:p w:rsidR="00826F6D" w:rsidRPr="003E6723" w:rsidRDefault="00826F6D" w:rsidP="00660076">
            <w:pPr>
              <w:jc w:val="both"/>
              <w:rPr>
                <w:rFonts w:ascii="Arial Narrow" w:hAnsi="Arial Narrow" w:cs="Arial"/>
                <w:b/>
                <w:sz w:val="20"/>
                <w:szCs w:val="20"/>
              </w:rPr>
            </w:pPr>
            <w:r w:rsidRPr="003E6723">
              <w:rPr>
                <w:rFonts w:ascii="Arial Narrow" w:hAnsi="Arial Narrow" w:cs="Arial"/>
                <w:b/>
                <w:sz w:val="20"/>
                <w:szCs w:val="20"/>
              </w:rPr>
              <w:t>Episodicity:</w:t>
            </w:r>
          </w:p>
        </w:tc>
        <w:tc>
          <w:tcPr>
            <w:tcW w:w="3921" w:type="pct"/>
            <w:gridSpan w:val="6"/>
            <w:tcBorders>
              <w:top w:val="single" w:sz="4" w:space="0" w:color="auto"/>
              <w:left w:val="single" w:sz="4" w:space="0" w:color="auto"/>
              <w:bottom w:val="single" w:sz="4" w:space="0" w:color="auto"/>
              <w:right w:val="single" w:sz="4" w:space="0" w:color="auto"/>
            </w:tcBorders>
          </w:tcPr>
          <w:p w:rsidR="00826F6D" w:rsidRPr="003E6723" w:rsidRDefault="00B45C5C" w:rsidP="00660076">
            <w:pPr>
              <w:rPr>
                <w:rFonts w:ascii="Arial Narrow" w:hAnsi="Arial Narrow" w:cs="Arial"/>
                <w:strike/>
                <w:sz w:val="20"/>
                <w:szCs w:val="20"/>
              </w:rPr>
            </w:pPr>
            <w:r w:rsidRPr="003E6723">
              <w:rPr>
                <w:rFonts w:ascii="Arial Narrow" w:hAnsi="Arial Narrow" w:cs="Arial"/>
                <w:strike/>
                <w:sz w:val="20"/>
                <w:szCs w:val="20"/>
              </w:rPr>
              <w:t>Chronic therapy</w:t>
            </w:r>
          </w:p>
        </w:tc>
      </w:tr>
      <w:tr w:rsidR="00826F6D" w:rsidRPr="003E6723" w:rsidTr="00FF3AB6">
        <w:trPr>
          <w:gridAfter w:val="1"/>
          <w:wAfter w:w="4" w:type="pct"/>
          <w:cantSplit/>
          <w:trHeight w:val="360"/>
        </w:trPr>
        <w:tc>
          <w:tcPr>
            <w:tcW w:w="1075" w:type="pct"/>
            <w:tcBorders>
              <w:top w:val="single" w:sz="4" w:space="0" w:color="auto"/>
              <w:left w:val="single" w:sz="4" w:space="0" w:color="auto"/>
              <w:bottom w:val="single" w:sz="4" w:space="0" w:color="auto"/>
              <w:right w:val="single" w:sz="4" w:space="0" w:color="auto"/>
            </w:tcBorders>
          </w:tcPr>
          <w:p w:rsidR="00826F6D" w:rsidRPr="003E6723" w:rsidRDefault="00826F6D" w:rsidP="00660076">
            <w:pPr>
              <w:jc w:val="both"/>
              <w:rPr>
                <w:rFonts w:ascii="Arial Narrow" w:hAnsi="Arial Narrow" w:cs="Arial"/>
                <w:b/>
                <w:sz w:val="20"/>
                <w:szCs w:val="20"/>
              </w:rPr>
            </w:pPr>
            <w:r w:rsidRPr="003E6723">
              <w:rPr>
                <w:rFonts w:ascii="Arial Narrow" w:hAnsi="Arial Narrow" w:cs="Arial"/>
                <w:b/>
                <w:sz w:val="20"/>
                <w:szCs w:val="20"/>
              </w:rPr>
              <w:t>Severity:</w:t>
            </w:r>
          </w:p>
        </w:tc>
        <w:tc>
          <w:tcPr>
            <w:tcW w:w="3921" w:type="pct"/>
            <w:gridSpan w:val="6"/>
            <w:tcBorders>
              <w:top w:val="single" w:sz="4" w:space="0" w:color="auto"/>
              <w:left w:val="single" w:sz="4" w:space="0" w:color="auto"/>
              <w:bottom w:val="single" w:sz="4" w:space="0" w:color="auto"/>
              <w:right w:val="single" w:sz="4" w:space="0" w:color="auto"/>
            </w:tcBorders>
          </w:tcPr>
          <w:p w:rsidR="00826F6D" w:rsidRPr="003E6723" w:rsidRDefault="00B45C5C" w:rsidP="00660076">
            <w:pPr>
              <w:rPr>
                <w:rFonts w:ascii="Arial Narrow" w:hAnsi="Arial Narrow" w:cs="Arial"/>
                <w:strike/>
                <w:sz w:val="20"/>
                <w:szCs w:val="20"/>
              </w:rPr>
            </w:pPr>
            <w:r w:rsidRPr="003E6723">
              <w:rPr>
                <w:rFonts w:ascii="Arial Narrow" w:hAnsi="Arial Narrow" w:cs="Arial"/>
                <w:strike/>
                <w:sz w:val="20"/>
                <w:szCs w:val="20"/>
              </w:rPr>
              <w:t>Severe</w:t>
            </w:r>
          </w:p>
        </w:tc>
      </w:tr>
      <w:tr w:rsidR="00826F6D" w:rsidRPr="003E6723" w:rsidTr="00FF3AB6">
        <w:trPr>
          <w:gridAfter w:val="1"/>
          <w:wAfter w:w="4" w:type="pct"/>
          <w:cantSplit/>
          <w:trHeight w:val="360"/>
        </w:trPr>
        <w:tc>
          <w:tcPr>
            <w:tcW w:w="1075" w:type="pct"/>
            <w:tcBorders>
              <w:top w:val="single" w:sz="4" w:space="0" w:color="auto"/>
              <w:left w:val="single" w:sz="4" w:space="0" w:color="auto"/>
              <w:bottom w:val="single" w:sz="4" w:space="0" w:color="auto"/>
              <w:right w:val="single" w:sz="4" w:space="0" w:color="auto"/>
            </w:tcBorders>
          </w:tcPr>
          <w:p w:rsidR="00826F6D" w:rsidRPr="003E6723" w:rsidRDefault="00826F6D" w:rsidP="00660076">
            <w:pPr>
              <w:jc w:val="both"/>
              <w:rPr>
                <w:rFonts w:ascii="Arial Narrow" w:hAnsi="Arial Narrow" w:cs="Arial"/>
                <w:b/>
                <w:sz w:val="20"/>
                <w:szCs w:val="20"/>
              </w:rPr>
            </w:pPr>
            <w:r w:rsidRPr="003E6723">
              <w:rPr>
                <w:rFonts w:ascii="Arial Narrow" w:hAnsi="Arial Narrow" w:cs="Arial"/>
                <w:b/>
                <w:sz w:val="20"/>
                <w:szCs w:val="20"/>
              </w:rPr>
              <w:t>Condition:</w:t>
            </w:r>
          </w:p>
        </w:tc>
        <w:tc>
          <w:tcPr>
            <w:tcW w:w="3921" w:type="pct"/>
            <w:gridSpan w:val="6"/>
            <w:tcBorders>
              <w:top w:val="single" w:sz="4" w:space="0" w:color="auto"/>
              <w:left w:val="single" w:sz="4" w:space="0" w:color="auto"/>
              <w:bottom w:val="single" w:sz="4" w:space="0" w:color="auto"/>
              <w:right w:val="single" w:sz="4" w:space="0" w:color="auto"/>
            </w:tcBorders>
          </w:tcPr>
          <w:p w:rsidR="00826F6D" w:rsidRPr="003E6723" w:rsidRDefault="00B70F2E" w:rsidP="00660076">
            <w:pPr>
              <w:rPr>
                <w:rFonts w:ascii="Arial Narrow" w:hAnsi="Arial Narrow" w:cs="Arial"/>
                <w:strike/>
                <w:sz w:val="20"/>
                <w:szCs w:val="20"/>
              </w:rPr>
            </w:pPr>
            <w:r w:rsidRPr="003E6723">
              <w:rPr>
                <w:rFonts w:ascii="Arial Narrow" w:hAnsi="Arial Narrow" w:cs="Arial"/>
                <w:strike/>
                <w:sz w:val="20"/>
                <w:szCs w:val="20"/>
              </w:rPr>
              <w:t>H</w:t>
            </w:r>
            <w:r w:rsidR="00B45C5C" w:rsidRPr="003E6723">
              <w:rPr>
                <w:rFonts w:ascii="Arial Narrow" w:hAnsi="Arial Narrow" w:cs="Arial"/>
                <w:strike/>
                <w:sz w:val="20"/>
                <w:szCs w:val="20"/>
              </w:rPr>
              <w:t>yperphosphataemia in adult patients with stage 4 and 5 chronic kidney disease</w:t>
            </w:r>
          </w:p>
        </w:tc>
      </w:tr>
      <w:tr w:rsidR="00826F6D" w:rsidRPr="003E6723" w:rsidTr="00FF3AB6">
        <w:trPr>
          <w:gridAfter w:val="1"/>
          <w:wAfter w:w="4" w:type="pct"/>
          <w:cantSplit/>
          <w:trHeight w:val="360"/>
        </w:trPr>
        <w:tc>
          <w:tcPr>
            <w:tcW w:w="1075" w:type="pct"/>
            <w:tcBorders>
              <w:top w:val="single" w:sz="4" w:space="0" w:color="auto"/>
              <w:left w:val="single" w:sz="4" w:space="0" w:color="auto"/>
              <w:bottom w:val="single" w:sz="4" w:space="0" w:color="auto"/>
              <w:right w:val="single" w:sz="4" w:space="0" w:color="auto"/>
            </w:tcBorders>
          </w:tcPr>
          <w:p w:rsidR="00826F6D" w:rsidRPr="003E6723" w:rsidRDefault="00826F6D" w:rsidP="00660076">
            <w:pPr>
              <w:jc w:val="both"/>
              <w:rPr>
                <w:rFonts w:ascii="Arial Narrow" w:hAnsi="Arial Narrow" w:cs="Arial"/>
                <w:b/>
                <w:sz w:val="20"/>
                <w:szCs w:val="20"/>
              </w:rPr>
            </w:pPr>
            <w:r w:rsidRPr="003E6723">
              <w:rPr>
                <w:rFonts w:ascii="Arial Narrow" w:hAnsi="Arial Narrow" w:cs="Arial"/>
                <w:b/>
                <w:sz w:val="20"/>
                <w:szCs w:val="20"/>
              </w:rPr>
              <w:t>PBS Indication:</w:t>
            </w:r>
          </w:p>
        </w:tc>
        <w:tc>
          <w:tcPr>
            <w:tcW w:w="3921" w:type="pct"/>
            <w:gridSpan w:val="6"/>
            <w:tcBorders>
              <w:top w:val="single" w:sz="4" w:space="0" w:color="auto"/>
              <w:left w:val="single" w:sz="4" w:space="0" w:color="auto"/>
              <w:bottom w:val="single" w:sz="4" w:space="0" w:color="auto"/>
              <w:right w:val="single" w:sz="4" w:space="0" w:color="auto"/>
            </w:tcBorders>
          </w:tcPr>
          <w:p w:rsidR="00826F6D" w:rsidRPr="003E6723" w:rsidRDefault="00B70F2E" w:rsidP="00660076">
            <w:pPr>
              <w:rPr>
                <w:rFonts w:ascii="Arial Narrow" w:hAnsi="Arial Narrow" w:cs="Arial"/>
                <w:sz w:val="20"/>
                <w:szCs w:val="20"/>
              </w:rPr>
            </w:pPr>
            <w:r w:rsidRPr="003E6723">
              <w:rPr>
                <w:rFonts w:ascii="Arial Narrow" w:hAnsi="Arial Narrow" w:cs="Arial"/>
                <w:sz w:val="20"/>
                <w:szCs w:val="20"/>
              </w:rPr>
              <w:t>Hyperphosphataemia</w:t>
            </w:r>
          </w:p>
        </w:tc>
      </w:tr>
      <w:tr w:rsidR="00826F6D" w:rsidRPr="003E6723" w:rsidTr="00FF3AB6">
        <w:trPr>
          <w:gridAfter w:val="1"/>
          <w:wAfter w:w="4" w:type="pct"/>
          <w:cantSplit/>
          <w:trHeight w:val="360"/>
        </w:trPr>
        <w:tc>
          <w:tcPr>
            <w:tcW w:w="1075" w:type="pct"/>
            <w:tcBorders>
              <w:top w:val="single" w:sz="4" w:space="0" w:color="auto"/>
              <w:left w:val="single" w:sz="4" w:space="0" w:color="auto"/>
              <w:bottom w:val="single" w:sz="4" w:space="0" w:color="auto"/>
              <w:right w:val="single" w:sz="4" w:space="0" w:color="auto"/>
            </w:tcBorders>
          </w:tcPr>
          <w:p w:rsidR="00826F6D" w:rsidRPr="003E6723" w:rsidRDefault="00826F6D" w:rsidP="00660076">
            <w:pPr>
              <w:jc w:val="both"/>
              <w:rPr>
                <w:rFonts w:ascii="Arial Narrow" w:hAnsi="Arial Narrow" w:cs="Arial"/>
                <w:b/>
                <w:sz w:val="20"/>
                <w:szCs w:val="20"/>
              </w:rPr>
            </w:pPr>
            <w:r w:rsidRPr="003E6723">
              <w:rPr>
                <w:rFonts w:ascii="Arial Narrow" w:hAnsi="Arial Narrow" w:cs="Arial"/>
                <w:b/>
                <w:sz w:val="20"/>
                <w:szCs w:val="20"/>
              </w:rPr>
              <w:t>Treatment phase:</w:t>
            </w:r>
          </w:p>
        </w:tc>
        <w:tc>
          <w:tcPr>
            <w:tcW w:w="3921" w:type="pct"/>
            <w:gridSpan w:val="6"/>
            <w:tcBorders>
              <w:top w:val="single" w:sz="4" w:space="0" w:color="auto"/>
              <w:left w:val="single" w:sz="4" w:space="0" w:color="auto"/>
              <w:bottom w:val="single" w:sz="4" w:space="0" w:color="auto"/>
              <w:right w:val="single" w:sz="4" w:space="0" w:color="auto"/>
            </w:tcBorders>
          </w:tcPr>
          <w:p w:rsidR="00826F6D" w:rsidRPr="003E6723" w:rsidRDefault="00B70F2E" w:rsidP="00660076">
            <w:pPr>
              <w:rPr>
                <w:rFonts w:ascii="Arial Narrow" w:hAnsi="Arial Narrow" w:cs="Arial"/>
                <w:sz w:val="20"/>
                <w:szCs w:val="20"/>
              </w:rPr>
            </w:pPr>
            <w:r w:rsidRPr="003E6723">
              <w:rPr>
                <w:rFonts w:ascii="Arial Narrow" w:hAnsi="Arial Narrow" w:cs="Arial"/>
                <w:sz w:val="20"/>
                <w:szCs w:val="20"/>
              </w:rPr>
              <w:t>Maintenance following initiation and stabilisation</w:t>
            </w:r>
          </w:p>
        </w:tc>
      </w:tr>
      <w:tr w:rsidR="00826F6D" w:rsidRPr="003E6723" w:rsidTr="00FF3AB6">
        <w:trPr>
          <w:gridAfter w:val="1"/>
          <w:wAfter w:w="4" w:type="pct"/>
          <w:cantSplit/>
          <w:trHeight w:val="360"/>
        </w:trPr>
        <w:tc>
          <w:tcPr>
            <w:tcW w:w="1075" w:type="pct"/>
            <w:tcBorders>
              <w:top w:val="single" w:sz="4" w:space="0" w:color="auto"/>
              <w:left w:val="single" w:sz="4" w:space="0" w:color="auto"/>
              <w:bottom w:val="single" w:sz="4" w:space="0" w:color="auto"/>
              <w:right w:val="single" w:sz="4" w:space="0" w:color="auto"/>
            </w:tcBorders>
          </w:tcPr>
          <w:p w:rsidR="00826F6D" w:rsidRPr="003E6723" w:rsidRDefault="00826F6D" w:rsidP="00660076">
            <w:pPr>
              <w:jc w:val="both"/>
              <w:rPr>
                <w:rFonts w:ascii="Arial Narrow" w:hAnsi="Arial Narrow" w:cs="Arial"/>
                <w:b/>
                <w:sz w:val="20"/>
                <w:szCs w:val="20"/>
              </w:rPr>
            </w:pPr>
            <w:r w:rsidRPr="003E6723">
              <w:rPr>
                <w:rFonts w:ascii="Arial Narrow" w:hAnsi="Arial Narrow" w:cs="Arial"/>
                <w:b/>
                <w:sz w:val="20"/>
                <w:szCs w:val="20"/>
              </w:rPr>
              <w:t>Restriction Level / Method:</w:t>
            </w:r>
          </w:p>
          <w:p w:rsidR="00826F6D" w:rsidRPr="003E6723" w:rsidRDefault="00826F6D" w:rsidP="00660076">
            <w:pPr>
              <w:rPr>
                <w:rFonts w:ascii="Arial Narrow" w:hAnsi="Arial Narrow" w:cs="Arial"/>
                <w:sz w:val="20"/>
                <w:szCs w:val="20"/>
              </w:rPr>
            </w:pPr>
          </w:p>
        </w:tc>
        <w:tc>
          <w:tcPr>
            <w:tcW w:w="3921" w:type="pct"/>
            <w:gridSpan w:val="6"/>
            <w:tcBorders>
              <w:top w:val="single" w:sz="4" w:space="0" w:color="auto"/>
              <w:left w:val="single" w:sz="4" w:space="0" w:color="auto"/>
              <w:bottom w:val="single" w:sz="4" w:space="0" w:color="auto"/>
              <w:right w:val="single" w:sz="4" w:space="0" w:color="auto"/>
            </w:tcBorders>
          </w:tcPr>
          <w:p w:rsidR="00826F6D" w:rsidRPr="003E6723" w:rsidRDefault="00826F6D" w:rsidP="00660076">
            <w:pPr>
              <w:rPr>
                <w:rFonts w:ascii="Arial Narrow" w:hAnsi="Arial Narrow" w:cs="Arial"/>
                <w:sz w:val="20"/>
                <w:szCs w:val="20"/>
              </w:rPr>
            </w:pPr>
            <w:r w:rsidRPr="003E6723">
              <w:rPr>
                <w:rFonts w:ascii="Arial Narrow" w:hAnsi="Arial Narrow" w:cs="Arial"/>
                <w:sz w:val="20"/>
                <w:szCs w:val="20"/>
              </w:rPr>
              <w:fldChar w:fldCharType="begin">
                <w:ffData>
                  <w:name w:val="Check1"/>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Restricted benefit</w:t>
            </w:r>
          </w:p>
          <w:p w:rsidR="00826F6D" w:rsidRPr="003E6723" w:rsidRDefault="00826F6D" w:rsidP="00660076">
            <w:pPr>
              <w:rPr>
                <w:rFonts w:ascii="Arial Narrow" w:hAnsi="Arial Narrow" w:cs="Arial"/>
                <w:sz w:val="20"/>
                <w:szCs w:val="20"/>
              </w:rPr>
            </w:pPr>
            <w:r w:rsidRPr="003E6723">
              <w:rPr>
                <w:rFonts w:ascii="Arial Narrow" w:hAnsi="Arial Narrow" w:cs="Arial"/>
                <w:sz w:val="20"/>
                <w:szCs w:val="20"/>
              </w:rPr>
              <w:fldChar w:fldCharType="begin">
                <w:ffData>
                  <w:name w:val=""/>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Authority Required - In Writing</w:t>
            </w:r>
          </w:p>
          <w:p w:rsidR="00826F6D" w:rsidRPr="003E6723" w:rsidRDefault="00826F6D" w:rsidP="00660076">
            <w:pPr>
              <w:rPr>
                <w:rFonts w:ascii="Arial Narrow" w:hAnsi="Arial Narrow" w:cs="Arial"/>
                <w:sz w:val="20"/>
                <w:szCs w:val="20"/>
              </w:rPr>
            </w:pPr>
            <w:r w:rsidRPr="003E6723">
              <w:rPr>
                <w:rFonts w:ascii="Arial Narrow" w:hAnsi="Arial Narrow" w:cs="Arial"/>
                <w:sz w:val="20"/>
                <w:szCs w:val="20"/>
              </w:rPr>
              <w:fldChar w:fldCharType="begin">
                <w:ffData>
                  <w:name w:val="Check3"/>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Authority Required - Telephone</w:t>
            </w:r>
          </w:p>
          <w:p w:rsidR="00826F6D" w:rsidRPr="003E6723" w:rsidRDefault="00826F6D" w:rsidP="00660076">
            <w:pPr>
              <w:rPr>
                <w:rFonts w:ascii="Arial Narrow" w:hAnsi="Arial Narrow" w:cs="Arial"/>
                <w:sz w:val="20"/>
                <w:szCs w:val="20"/>
              </w:rPr>
            </w:pPr>
            <w:r w:rsidRPr="003E6723">
              <w:rPr>
                <w:rFonts w:ascii="Arial Narrow" w:hAnsi="Arial Narrow" w:cs="Arial"/>
                <w:sz w:val="20"/>
                <w:szCs w:val="20"/>
              </w:rPr>
              <w:fldChar w:fldCharType="begin">
                <w:ffData>
                  <w:name w:val=""/>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Authority Required – Emergency</w:t>
            </w:r>
          </w:p>
          <w:p w:rsidR="00826F6D" w:rsidRPr="003E6723" w:rsidRDefault="00826F6D" w:rsidP="00660076">
            <w:pPr>
              <w:rPr>
                <w:rFonts w:ascii="Arial Narrow" w:hAnsi="Arial Narrow" w:cs="Arial"/>
                <w:sz w:val="20"/>
                <w:szCs w:val="20"/>
              </w:rPr>
            </w:pPr>
            <w:r w:rsidRPr="003E6723">
              <w:rPr>
                <w:rFonts w:ascii="Arial Narrow" w:hAnsi="Arial Narrow" w:cs="Arial"/>
                <w:sz w:val="20"/>
                <w:szCs w:val="20"/>
              </w:rPr>
              <w:fldChar w:fldCharType="begin">
                <w:ffData>
                  <w:name w:val="Check5"/>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Authority Required - Electronic</w:t>
            </w:r>
          </w:p>
          <w:p w:rsidR="00826F6D" w:rsidRPr="003E6723" w:rsidRDefault="00B45C5C" w:rsidP="00660076">
            <w:pPr>
              <w:rPr>
                <w:rFonts w:ascii="Arial Narrow" w:hAnsi="Arial Narrow" w:cs="Arial"/>
                <w:sz w:val="20"/>
                <w:szCs w:val="20"/>
              </w:rPr>
            </w:pPr>
            <w:r w:rsidRPr="003E6723">
              <w:rPr>
                <w:rFonts w:ascii="Arial Narrow" w:hAnsi="Arial Narrow" w:cs="Arial"/>
                <w:sz w:val="20"/>
                <w:szCs w:val="20"/>
              </w:rPr>
              <w:fldChar w:fldCharType="begin">
                <w:ffData>
                  <w:name w:val="Check5"/>
                  <w:enabled/>
                  <w:calcOnExit w:val="0"/>
                  <w:checkBox>
                    <w:sizeAuto/>
                    <w:default w:val="1"/>
                  </w:checkBox>
                </w:ffData>
              </w:fldChar>
            </w:r>
            <w:bookmarkStart w:id="2" w:name="Check5"/>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bookmarkEnd w:id="2"/>
            <w:r w:rsidR="00826F6D" w:rsidRPr="003E6723">
              <w:rPr>
                <w:rFonts w:ascii="Arial Narrow" w:hAnsi="Arial Narrow" w:cs="Arial"/>
                <w:sz w:val="20"/>
                <w:szCs w:val="20"/>
              </w:rPr>
              <w:t>Streamlined</w:t>
            </w:r>
          </w:p>
        </w:tc>
      </w:tr>
      <w:tr w:rsidR="00826F6D" w:rsidRPr="003E6723" w:rsidTr="00FF3AB6">
        <w:trPr>
          <w:gridAfter w:val="1"/>
          <w:wAfter w:w="4" w:type="pct"/>
          <w:cantSplit/>
          <w:trHeight w:val="360"/>
        </w:trPr>
        <w:tc>
          <w:tcPr>
            <w:tcW w:w="1075" w:type="pct"/>
            <w:tcBorders>
              <w:top w:val="single" w:sz="4" w:space="0" w:color="auto"/>
              <w:left w:val="single" w:sz="4" w:space="0" w:color="auto"/>
              <w:bottom w:val="single" w:sz="4" w:space="0" w:color="auto"/>
              <w:right w:val="single" w:sz="4" w:space="0" w:color="auto"/>
            </w:tcBorders>
          </w:tcPr>
          <w:p w:rsidR="00826F6D" w:rsidRPr="003E6723" w:rsidRDefault="00826F6D" w:rsidP="00660076">
            <w:pPr>
              <w:rPr>
                <w:rFonts w:ascii="Arial Narrow" w:hAnsi="Arial Narrow" w:cs="Arial"/>
                <w:b/>
                <w:sz w:val="20"/>
                <w:szCs w:val="20"/>
              </w:rPr>
            </w:pPr>
            <w:r w:rsidRPr="003E6723">
              <w:rPr>
                <w:rFonts w:ascii="Arial Narrow" w:hAnsi="Arial Narrow" w:cs="Arial"/>
                <w:b/>
                <w:sz w:val="20"/>
                <w:szCs w:val="20"/>
              </w:rPr>
              <w:t>Treatment criteria:</w:t>
            </w:r>
          </w:p>
        </w:tc>
        <w:tc>
          <w:tcPr>
            <w:tcW w:w="3921" w:type="pct"/>
            <w:gridSpan w:val="6"/>
            <w:tcBorders>
              <w:top w:val="single" w:sz="4" w:space="0" w:color="auto"/>
              <w:left w:val="single" w:sz="4" w:space="0" w:color="auto"/>
              <w:bottom w:val="single" w:sz="4" w:space="0" w:color="auto"/>
              <w:right w:val="single" w:sz="4" w:space="0" w:color="auto"/>
            </w:tcBorders>
          </w:tcPr>
          <w:p w:rsidR="00826F6D" w:rsidRPr="003E6723" w:rsidRDefault="00B70F2E" w:rsidP="00660076">
            <w:pPr>
              <w:rPr>
                <w:rFonts w:ascii="Arial Narrow" w:hAnsi="Arial Narrow" w:cs="Arial"/>
                <w:sz w:val="20"/>
                <w:szCs w:val="20"/>
              </w:rPr>
            </w:pPr>
            <w:r w:rsidRPr="003E6723">
              <w:rPr>
                <w:rFonts w:ascii="Arial Narrow" w:hAnsi="Arial Narrow" w:cs="Arial"/>
                <w:sz w:val="20"/>
                <w:szCs w:val="20"/>
              </w:rPr>
              <w:t>Patient must be undergoing dialysis for chronic kidney disease.</w:t>
            </w:r>
          </w:p>
        </w:tc>
      </w:tr>
      <w:tr w:rsidR="00826F6D" w:rsidRPr="003E6723" w:rsidTr="00FF3AB6">
        <w:trPr>
          <w:gridAfter w:val="1"/>
          <w:wAfter w:w="4" w:type="pct"/>
          <w:cantSplit/>
          <w:trHeight w:val="360"/>
        </w:trPr>
        <w:tc>
          <w:tcPr>
            <w:tcW w:w="1075" w:type="pct"/>
            <w:tcBorders>
              <w:top w:val="single" w:sz="4" w:space="0" w:color="auto"/>
              <w:left w:val="single" w:sz="4" w:space="0" w:color="auto"/>
              <w:bottom w:val="single" w:sz="4" w:space="0" w:color="auto"/>
              <w:right w:val="single" w:sz="4" w:space="0" w:color="auto"/>
            </w:tcBorders>
          </w:tcPr>
          <w:p w:rsidR="00826F6D" w:rsidRPr="003E6723" w:rsidRDefault="00826F6D" w:rsidP="00660076">
            <w:pPr>
              <w:jc w:val="both"/>
              <w:rPr>
                <w:rFonts w:ascii="Arial Narrow" w:hAnsi="Arial Narrow" w:cs="Arial"/>
                <w:b/>
                <w:sz w:val="20"/>
                <w:szCs w:val="20"/>
              </w:rPr>
            </w:pPr>
            <w:r w:rsidRPr="003E6723">
              <w:rPr>
                <w:rFonts w:ascii="Arial Narrow" w:hAnsi="Arial Narrow" w:cs="Arial"/>
                <w:b/>
                <w:sz w:val="20"/>
                <w:szCs w:val="20"/>
              </w:rPr>
              <w:lastRenderedPageBreak/>
              <w:t>Clinical criteria:</w:t>
            </w:r>
          </w:p>
          <w:p w:rsidR="00826F6D" w:rsidRPr="003E6723" w:rsidRDefault="00826F6D" w:rsidP="00660076">
            <w:pPr>
              <w:jc w:val="both"/>
              <w:rPr>
                <w:rFonts w:ascii="Arial Narrow" w:hAnsi="Arial Narrow" w:cs="Arial"/>
                <w:i/>
                <w:sz w:val="20"/>
                <w:szCs w:val="20"/>
              </w:rPr>
            </w:pPr>
          </w:p>
          <w:p w:rsidR="00826F6D" w:rsidRPr="003E6723" w:rsidRDefault="00826F6D" w:rsidP="00660076">
            <w:pPr>
              <w:jc w:val="both"/>
              <w:rPr>
                <w:rFonts w:ascii="Arial Narrow" w:hAnsi="Arial Narrow" w:cs="Arial"/>
                <w:sz w:val="20"/>
                <w:szCs w:val="20"/>
              </w:rPr>
            </w:pPr>
          </w:p>
        </w:tc>
        <w:tc>
          <w:tcPr>
            <w:tcW w:w="3921" w:type="pct"/>
            <w:gridSpan w:val="6"/>
            <w:tcBorders>
              <w:top w:val="single" w:sz="4" w:space="0" w:color="auto"/>
              <w:left w:val="single" w:sz="4" w:space="0" w:color="auto"/>
              <w:bottom w:val="single" w:sz="4" w:space="0" w:color="auto"/>
              <w:right w:val="single" w:sz="4" w:space="0" w:color="auto"/>
            </w:tcBorders>
          </w:tcPr>
          <w:p w:rsidR="00B70F2E" w:rsidRPr="003E6723" w:rsidRDefault="00B70F2E" w:rsidP="00660076">
            <w:pPr>
              <w:rPr>
                <w:rFonts w:ascii="Arial Narrow" w:hAnsi="Arial Narrow" w:cs="Arial"/>
                <w:sz w:val="20"/>
                <w:szCs w:val="20"/>
              </w:rPr>
            </w:pPr>
            <w:r w:rsidRPr="003E6723">
              <w:rPr>
                <w:rFonts w:ascii="Arial Narrow" w:hAnsi="Arial Narrow" w:cs="Arial"/>
                <w:sz w:val="20"/>
                <w:szCs w:val="20"/>
              </w:rPr>
              <w:t>The condition must not be adequately controlled by calcium,</w:t>
            </w:r>
          </w:p>
          <w:p w:rsidR="00B70F2E" w:rsidRPr="003E6723" w:rsidRDefault="00B70F2E" w:rsidP="00660076">
            <w:pPr>
              <w:rPr>
                <w:rFonts w:ascii="Arial Narrow" w:hAnsi="Arial Narrow" w:cs="Arial"/>
                <w:sz w:val="20"/>
                <w:szCs w:val="20"/>
              </w:rPr>
            </w:pPr>
            <w:r w:rsidRPr="003E6723">
              <w:rPr>
                <w:rFonts w:ascii="Arial Narrow" w:hAnsi="Arial Narrow" w:cs="Arial"/>
                <w:sz w:val="20"/>
                <w:szCs w:val="20"/>
              </w:rPr>
              <w:t>AND</w:t>
            </w:r>
          </w:p>
          <w:p w:rsidR="00B70F2E" w:rsidRPr="003E6723" w:rsidRDefault="00B70F2E" w:rsidP="00660076">
            <w:pPr>
              <w:rPr>
                <w:rFonts w:ascii="Arial Narrow" w:hAnsi="Arial Narrow" w:cs="Arial"/>
                <w:sz w:val="20"/>
                <w:szCs w:val="20"/>
              </w:rPr>
            </w:pPr>
            <w:r w:rsidRPr="003E6723">
              <w:rPr>
                <w:rFonts w:ascii="Arial Narrow" w:hAnsi="Arial Narrow" w:cs="Arial"/>
                <w:sz w:val="20"/>
                <w:szCs w:val="20"/>
              </w:rPr>
              <w:t>Patient must have a serum phosphate of greater than 1.6 mmol per L at the commencement of therapy; OR</w:t>
            </w:r>
          </w:p>
          <w:p w:rsidR="00B70F2E" w:rsidRPr="003E6723" w:rsidRDefault="00B70F2E" w:rsidP="00660076">
            <w:pPr>
              <w:rPr>
                <w:rFonts w:ascii="Arial Narrow" w:hAnsi="Arial Narrow" w:cs="Arial"/>
                <w:sz w:val="20"/>
                <w:szCs w:val="20"/>
              </w:rPr>
            </w:pPr>
            <w:r w:rsidRPr="003E6723">
              <w:rPr>
                <w:rFonts w:ascii="Arial Narrow" w:hAnsi="Arial Narrow" w:cs="Arial"/>
                <w:sz w:val="20"/>
                <w:szCs w:val="20"/>
              </w:rPr>
              <w:t>The condition must be where a serum calcium times phosphate product is greater than 4 at the commencement of therapy,</w:t>
            </w:r>
          </w:p>
          <w:p w:rsidR="00B70F2E" w:rsidRPr="003E6723" w:rsidRDefault="00B70F2E" w:rsidP="00660076">
            <w:pPr>
              <w:rPr>
                <w:rFonts w:ascii="Arial Narrow" w:hAnsi="Arial Narrow" w:cs="Arial"/>
                <w:sz w:val="20"/>
                <w:szCs w:val="20"/>
              </w:rPr>
            </w:pPr>
            <w:r w:rsidRPr="003E6723">
              <w:rPr>
                <w:rFonts w:ascii="Arial Narrow" w:hAnsi="Arial Narrow" w:cs="Arial"/>
                <w:sz w:val="20"/>
                <w:szCs w:val="20"/>
              </w:rPr>
              <w:t>AND</w:t>
            </w:r>
          </w:p>
          <w:p w:rsidR="00826F6D" w:rsidRPr="003E6723" w:rsidRDefault="00B70F2E" w:rsidP="00660076">
            <w:pPr>
              <w:jc w:val="both"/>
              <w:rPr>
                <w:rFonts w:ascii="Arial Narrow" w:hAnsi="Arial Narrow" w:cs="Arial"/>
                <w:sz w:val="20"/>
                <w:szCs w:val="20"/>
              </w:rPr>
            </w:pPr>
            <w:r w:rsidRPr="003E6723">
              <w:rPr>
                <w:rFonts w:ascii="Arial Narrow" w:hAnsi="Arial Narrow" w:cs="Arial"/>
                <w:sz w:val="20"/>
                <w:szCs w:val="20"/>
              </w:rPr>
              <w:t>The treatment must not be used in combination with any other non-calcium phosphate binding agents</w:t>
            </w:r>
          </w:p>
        </w:tc>
      </w:tr>
      <w:tr w:rsidR="00826F6D" w:rsidRPr="003E6723" w:rsidTr="00FF3AB6">
        <w:trPr>
          <w:gridAfter w:val="1"/>
          <w:wAfter w:w="4" w:type="pct"/>
          <w:cantSplit/>
          <w:trHeight w:val="360"/>
        </w:trPr>
        <w:tc>
          <w:tcPr>
            <w:tcW w:w="1075" w:type="pct"/>
            <w:tcBorders>
              <w:top w:val="single" w:sz="4" w:space="0" w:color="auto"/>
              <w:left w:val="single" w:sz="4" w:space="0" w:color="auto"/>
              <w:bottom w:val="single" w:sz="4" w:space="0" w:color="auto"/>
              <w:right w:val="single" w:sz="4" w:space="0" w:color="auto"/>
            </w:tcBorders>
          </w:tcPr>
          <w:p w:rsidR="00826F6D" w:rsidRPr="003E6723" w:rsidRDefault="00826F6D" w:rsidP="00660076">
            <w:pPr>
              <w:jc w:val="both"/>
              <w:rPr>
                <w:rFonts w:ascii="Arial Narrow" w:hAnsi="Arial Narrow" w:cs="Arial"/>
                <w:sz w:val="20"/>
                <w:szCs w:val="20"/>
              </w:rPr>
            </w:pPr>
            <w:r w:rsidRPr="003E6723">
              <w:rPr>
                <w:rFonts w:ascii="Arial Narrow" w:hAnsi="Arial Narrow" w:cs="Arial"/>
                <w:b/>
                <w:sz w:val="20"/>
                <w:szCs w:val="20"/>
              </w:rPr>
              <w:t>Population criteria:</w:t>
            </w:r>
          </w:p>
        </w:tc>
        <w:tc>
          <w:tcPr>
            <w:tcW w:w="3921" w:type="pct"/>
            <w:gridSpan w:val="6"/>
            <w:tcBorders>
              <w:top w:val="single" w:sz="4" w:space="0" w:color="auto"/>
              <w:left w:val="single" w:sz="4" w:space="0" w:color="auto"/>
              <w:bottom w:val="single" w:sz="4" w:space="0" w:color="auto"/>
              <w:right w:val="single" w:sz="4" w:space="0" w:color="auto"/>
            </w:tcBorders>
          </w:tcPr>
          <w:p w:rsidR="00826F6D" w:rsidRPr="003E6723" w:rsidRDefault="008A68FE" w:rsidP="00660076">
            <w:pPr>
              <w:rPr>
                <w:rFonts w:ascii="Arial Narrow" w:hAnsi="Arial Narrow" w:cs="Arial"/>
                <w:sz w:val="20"/>
                <w:szCs w:val="20"/>
              </w:rPr>
            </w:pPr>
            <w:r w:rsidRPr="003E6723">
              <w:rPr>
                <w:rFonts w:ascii="Arial Narrow" w:hAnsi="Arial Narrow" w:cs="Arial"/>
                <w:sz w:val="20"/>
                <w:szCs w:val="20"/>
              </w:rPr>
              <w:t>Patient must be 18 years old and over</w:t>
            </w:r>
          </w:p>
        </w:tc>
      </w:tr>
    </w:tbl>
    <w:p w:rsidR="00826F6D" w:rsidRPr="003E6723" w:rsidRDefault="00826F6D" w:rsidP="002D4543">
      <w:pPr>
        <w:rPr>
          <w:szCs w:val="22"/>
        </w:rPr>
      </w:pPr>
    </w:p>
    <w:p w:rsidR="00B45C5C" w:rsidRPr="003E6723" w:rsidRDefault="00B45C5C" w:rsidP="002D4543">
      <w:pPr>
        <w:rPr>
          <w:szCs w:val="22"/>
        </w:rPr>
      </w:pPr>
    </w:p>
    <w:tbl>
      <w:tblPr>
        <w:tblW w:w="4915" w:type="pct"/>
        <w:tblLayout w:type="fixed"/>
        <w:tblLook w:val="0000" w:firstRow="0" w:lastRow="0" w:firstColumn="0" w:lastColumn="0" w:noHBand="0" w:noVBand="0"/>
      </w:tblPr>
      <w:tblGrid>
        <w:gridCol w:w="1953"/>
        <w:gridCol w:w="850"/>
        <w:gridCol w:w="1263"/>
        <w:gridCol w:w="721"/>
        <w:gridCol w:w="1557"/>
        <w:gridCol w:w="1276"/>
        <w:gridCol w:w="1465"/>
      </w:tblGrid>
      <w:tr w:rsidR="00CB5BD0" w:rsidRPr="003E6723" w:rsidTr="00CB5BD0">
        <w:trPr>
          <w:cantSplit/>
          <w:trHeight w:val="465"/>
        </w:trPr>
        <w:tc>
          <w:tcPr>
            <w:tcW w:w="1543" w:type="pct"/>
            <w:gridSpan w:val="2"/>
            <w:tcBorders>
              <w:bottom w:val="single" w:sz="4" w:space="0" w:color="auto"/>
            </w:tcBorders>
          </w:tcPr>
          <w:p w:rsidR="00CB5BD0" w:rsidRPr="003E6723" w:rsidRDefault="00CB5BD0" w:rsidP="00CB5BD0">
            <w:pPr>
              <w:keepNext/>
              <w:rPr>
                <w:rFonts w:ascii="Arial Narrow" w:hAnsi="Arial Narrow" w:cs="Arial"/>
                <w:b/>
                <w:sz w:val="20"/>
                <w:szCs w:val="20"/>
              </w:rPr>
            </w:pPr>
            <w:r w:rsidRPr="003E6723">
              <w:rPr>
                <w:rFonts w:ascii="Arial Narrow" w:hAnsi="Arial Narrow" w:cs="Arial"/>
                <w:b/>
                <w:sz w:val="20"/>
                <w:szCs w:val="20"/>
              </w:rPr>
              <w:t>Name, Restriction,</w:t>
            </w:r>
          </w:p>
          <w:p w:rsidR="00CB5BD0" w:rsidRPr="003E6723" w:rsidRDefault="00CB5BD0" w:rsidP="00CB5BD0">
            <w:pPr>
              <w:keepNext/>
              <w:rPr>
                <w:rFonts w:ascii="Arial Narrow" w:hAnsi="Arial Narrow" w:cs="Arial"/>
                <w:b/>
                <w:sz w:val="20"/>
                <w:szCs w:val="20"/>
              </w:rPr>
            </w:pPr>
            <w:r w:rsidRPr="003E6723">
              <w:rPr>
                <w:rFonts w:ascii="Arial Narrow" w:hAnsi="Arial Narrow" w:cs="Arial"/>
                <w:b/>
                <w:sz w:val="20"/>
                <w:szCs w:val="20"/>
              </w:rPr>
              <w:t>Manner of administration and form</w:t>
            </w:r>
          </w:p>
        </w:tc>
        <w:tc>
          <w:tcPr>
            <w:tcW w:w="695" w:type="pct"/>
            <w:tcBorders>
              <w:bottom w:val="single" w:sz="4" w:space="0" w:color="auto"/>
            </w:tcBorders>
          </w:tcPr>
          <w:p w:rsidR="00CB5BD0" w:rsidRPr="003E6723" w:rsidRDefault="00CB5BD0" w:rsidP="00CB5BD0">
            <w:pPr>
              <w:keepNext/>
              <w:jc w:val="center"/>
              <w:rPr>
                <w:rFonts w:ascii="Arial Narrow" w:hAnsi="Arial Narrow" w:cs="Arial"/>
                <w:b/>
                <w:sz w:val="20"/>
                <w:szCs w:val="20"/>
              </w:rPr>
            </w:pPr>
            <w:r w:rsidRPr="003E6723">
              <w:rPr>
                <w:rFonts w:ascii="Arial Narrow" w:hAnsi="Arial Narrow" w:cs="Arial"/>
                <w:b/>
                <w:sz w:val="20"/>
                <w:szCs w:val="20"/>
              </w:rPr>
              <w:t>Max.</w:t>
            </w:r>
          </w:p>
          <w:p w:rsidR="00CB5BD0" w:rsidRPr="003E6723" w:rsidRDefault="00CB5BD0" w:rsidP="00CB5BD0">
            <w:pPr>
              <w:keepNext/>
              <w:jc w:val="center"/>
              <w:rPr>
                <w:rFonts w:ascii="Arial Narrow" w:hAnsi="Arial Narrow" w:cs="Arial"/>
                <w:b/>
                <w:sz w:val="20"/>
                <w:szCs w:val="20"/>
              </w:rPr>
            </w:pPr>
            <w:r w:rsidRPr="003E6723">
              <w:rPr>
                <w:rFonts w:ascii="Arial Narrow" w:hAnsi="Arial Narrow" w:cs="Arial"/>
                <w:b/>
                <w:sz w:val="20"/>
                <w:szCs w:val="20"/>
              </w:rPr>
              <w:t>Qty (Packs)</w:t>
            </w:r>
          </w:p>
        </w:tc>
        <w:tc>
          <w:tcPr>
            <w:tcW w:w="397" w:type="pct"/>
            <w:tcBorders>
              <w:bottom w:val="single" w:sz="4" w:space="0" w:color="auto"/>
            </w:tcBorders>
          </w:tcPr>
          <w:p w:rsidR="00CB5BD0" w:rsidRPr="003E6723" w:rsidRDefault="00CB5BD0" w:rsidP="00CB5BD0">
            <w:pPr>
              <w:keepNext/>
              <w:jc w:val="center"/>
              <w:rPr>
                <w:rFonts w:ascii="Arial Narrow" w:hAnsi="Arial Narrow" w:cs="Arial"/>
                <w:b/>
                <w:sz w:val="20"/>
                <w:szCs w:val="20"/>
              </w:rPr>
            </w:pPr>
            <w:r w:rsidRPr="003E6723">
              <w:rPr>
                <w:rFonts w:ascii="Arial Narrow" w:hAnsi="Arial Narrow" w:cs="Arial"/>
                <w:b/>
                <w:sz w:val="20"/>
                <w:szCs w:val="20"/>
              </w:rPr>
              <w:t>№.of</w:t>
            </w:r>
          </w:p>
          <w:p w:rsidR="00CB5BD0" w:rsidRPr="003E6723" w:rsidRDefault="00CB5BD0" w:rsidP="00CB5BD0">
            <w:pPr>
              <w:keepNext/>
              <w:jc w:val="center"/>
              <w:rPr>
                <w:rFonts w:ascii="Arial Narrow" w:hAnsi="Arial Narrow" w:cs="Arial"/>
                <w:b/>
                <w:sz w:val="20"/>
                <w:szCs w:val="20"/>
              </w:rPr>
            </w:pPr>
            <w:r w:rsidRPr="003E6723">
              <w:rPr>
                <w:rFonts w:ascii="Arial Narrow" w:hAnsi="Arial Narrow" w:cs="Arial"/>
                <w:b/>
                <w:sz w:val="20"/>
                <w:szCs w:val="20"/>
              </w:rPr>
              <w:t>Rpts</w:t>
            </w:r>
          </w:p>
        </w:tc>
        <w:tc>
          <w:tcPr>
            <w:tcW w:w="857" w:type="pct"/>
            <w:tcBorders>
              <w:bottom w:val="single" w:sz="4" w:space="0" w:color="auto"/>
            </w:tcBorders>
          </w:tcPr>
          <w:p w:rsidR="00CB5BD0" w:rsidRPr="003E6723" w:rsidRDefault="00CB5BD0" w:rsidP="00CB5BD0">
            <w:pPr>
              <w:keepNext/>
              <w:jc w:val="center"/>
              <w:rPr>
                <w:rFonts w:ascii="Arial Narrow" w:hAnsi="Arial Narrow" w:cs="Arial"/>
                <w:b/>
                <w:sz w:val="20"/>
                <w:szCs w:val="20"/>
              </w:rPr>
            </w:pPr>
            <w:r w:rsidRPr="003E6723">
              <w:rPr>
                <w:rFonts w:ascii="Arial Narrow" w:hAnsi="Arial Narrow" w:cs="Arial"/>
                <w:b/>
                <w:sz w:val="20"/>
                <w:szCs w:val="20"/>
              </w:rPr>
              <w:t>Dispensed Price for Max. Qty</w:t>
            </w:r>
          </w:p>
        </w:tc>
        <w:tc>
          <w:tcPr>
            <w:tcW w:w="1509" w:type="pct"/>
            <w:gridSpan w:val="2"/>
            <w:tcBorders>
              <w:bottom w:val="single" w:sz="4" w:space="0" w:color="auto"/>
            </w:tcBorders>
          </w:tcPr>
          <w:p w:rsidR="00CB5BD0" w:rsidRPr="003E6723" w:rsidRDefault="00CB5BD0" w:rsidP="00CB5BD0">
            <w:pPr>
              <w:keepNext/>
              <w:jc w:val="center"/>
              <w:rPr>
                <w:rFonts w:ascii="Arial Narrow" w:hAnsi="Arial Narrow" w:cs="Arial"/>
                <w:b/>
                <w:sz w:val="20"/>
                <w:szCs w:val="20"/>
              </w:rPr>
            </w:pPr>
            <w:r w:rsidRPr="003E6723">
              <w:rPr>
                <w:rFonts w:ascii="Arial Narrow" w:hAnsi="Arial Narrow" w:cs="Arial"/>
                <w:b/>
                <w:sz w:val="20"/>
                <w:szCs w:val="20"/>
              </w:rPr>
              <w:t>Proprietary Name and Manufacturer</w:t>
            </w:r>
          </w:p>
        </w:tc>
      </w:tr>
      <w:tr w:rsidR="00CB5BD0" w:rsidRPr="003E6723" w:rsidTr="00CB5BD0">
        <w:trPr>
          <w:cantSplit/>
          <w:trHeight w:val="567"/>
        </w:trPr>
        <w:tc>
          <w:tcPr>
            <w:tcW w:w="1543" w:type="pct"/>
            <w:gridSpan w:val="2"/>
            <w:vAlign w:val="center"/>
          </w:tcPr>
          <w:p w:rsidR="00CB5BD0" w:rsidRPr="003E6723" w:rsidRDefault="00CB5BD0" w:rsidP="00063F99">
            <w:pPr>
              <w:keepNext/>
              <w:rPr>
                <w:rFonts w:ascii="Arial Narrow" w:hAnsi="Arial Narrow" w:cs="Arial"/>
                <w:sz w:val="20"/>
                <w:szCs w:val="20"/>
              </w:rPr>
            </w:pPr>
            <w:r w:rsidRPr="003E6723">
              <w:rPr>
                <w:rFonts w:ascii="Arial Narrow" w:hAnsi="Arial Narrow" w:cs="Arial"/>
                <w:smallCaps/>
                <w:sz w:val="20"/>
                <w:szCs w:val="20"/>
              </w:rPr>
              <w:t>SEVELAMER</w:t>
            </w:r>
          </w:p>
          <w:p w:rsidR="00CB5BD0" w:rsidRPr="003E6723" w:rsidRDefault="007E0A8D" w:rsidP="00E22A44">
            <w:pPr>
              <w:keepNext/>
              <w:rPr>
                <w:rFonts w:ascii="Arial Narrow" w:hAnsi="Arial Narrow" w:cs="Arial"/>
                <w:sz w:val="20"/>
                <w:szCs w:val="20"/>
              </w:rPr>
            </w:pPr>
            <w:r w:rsidRPr="003E6723">
              <w:rPr>
                <w:rFonts w:ascii="Arial Narrow" w:hAnsi="Arial Narrow" w:cs="Arial"/>
                <w:i/>
                <w:sz w:val="20"/>
                <w:szCs w:val="20"/>
              </w:rPr>
              <w:t>Sevelamer carbonate, p</w:t>
            </w:r>
            <w:r w:rsidR="00CB5BD0" w:rsidRPr="003E6723">
              <w:rPr>
                <w:rFonts w:ascii="Arial Narrow" w:hAnsi="Arial Narrow" w:cs="Arial"/>
                <w:sz w:val="20"/>
                <w:szCs w:val="20"/>
              </w:rPr>
              <w:t xml:space="preserve">owder for oral liquid, 2.4g, </w:t>
            </w:r>
            <w:r w:rsidR="00CB5BD0" w:rsidRPr="003E6723">
              <w:rPr>
                <w:rFonts w:ascii="Arial Narrow" w:hAnsi="Arial Narrow" w:cs="Arial"/>
                <w:i/>
                <w:sz w:val="20"/>
                <w:szCs w:val="20"/>
              </w:rPr>
              <w:t>60</w:t>
            </w:r>
          </w:p>
        </w:tc>
        <w:tc>
          <w:tcPr>
            <w:tcW w:w="695" w:type="pct"/>
            <w:vAlign w:val="center"/>
          </w:tcPr>
          <w:p w:rsidR="00CB5BD0" w:rsidRPr="003E6723" w:rsidRDefault="00CB5BD0" w:rsidP="00CB5BD0">
            <w:pPr>
              <w:keepNext/>
              <w:jc w:val="center"/>
              <w:rPr>
                <w:rFonts w:ascii="Arial Narrow" w:hAnsi="Arial Narrow" w:cs="Arial"/>
                <w:sz w:val="20"/>
                <w:szCs w:val="20"/>
              </w:rPr>
            </w:pPr>
            <w:r w:rsidRPr="003E6723">
              <w:rPr>
                <w:rFonts w:ascii="Arial Narrow" w:hAnsi="Arial Narrow" w:cs="Arial"/>
                <w:sz w:val="20"/>
                <w:szCs w:val="20"/>
              </w:rPr>
              <w:t>1</w:t>
            </w:r>
          </w:p>
        </w:tc>
        <w:tc>
          <w:tcPr>
            <w:tcW w:w="397" w:type="pct"/>
            <w:vAlign w:val="center"/>
          </w:tcPr>
          <w:p w:rsidR="00CB5BD0" w:rsidRPr="003E6723" w:rsidRDefault="00CB5BD0" w:rsidP="00CB5BD0">
            <w:pPr>
              <w:keepNext/>
              <w:jc w:val="center"/>
              <w:rPr>
                <w:rFonts w:ascii="Arial Narrow" w:hAnsi="Arial Narrow" w:cs="Arial"/>
                <w:sz w:val="20"/>
                <w:szCs w:val="20"/>
              </w:rPr>
            </w:pPr>
            <w:r w:rsidRPr="003E6723">
              <w:rPr>
                <w:rFonts w:ascii="Arial Narrow" w:hAnsi="Arial Narrow" w:cs="Arial"/>
                <w:sz w:val="20"/>
                <w:szCs w:val="20"/>
              </w:rPr>
              <w:t>5</w:t>
            </w:r>
          </w:p>
        </w:tc>
        <w:tc>
          <w:tcPr>
            <w:tcW w:w="857" w:type="pct"/>
            <w:vAlign w:val="center"/>
          </w:tcPr>
          <w:p w:rsidR="00CB5BD0" w:rsidRPr="003E6723" w:rsidRDefault="00CB5BD0" w:rsidP="00CB5BD0">
            <w:pPr>
              <w:keepNext/>
              <w:jc w:val="center"/>
              <w:rPr>
                <w:rFonts w:ascii="Arial Narrow" w:hAnsi="Arial Narrow" w:cs="Arial"/>
                <w:sz w:val="20"/>
                <w:szCs w:val="20"/>
              </w:rPr>
            </w:pPr>
            <w:r w:rsidRPr="003E6723">
              <w:rPr>
                <w:rFonts w:ascii="Arial Narrow" w:hAnsi="Arial Narrow" w:cs="Arial"/>
                <w:sz w:val="20"/>
                <w:szCs w:val="20"/>
              </w:rPr>
              <w:t>$</w:t>
            </w:r>
            <w:r w:rsidRPr="00DA2D17">
              <w:rPr>
                <w:rFonts w:ascii="Arial Narrow" w:hAnsi="Arial Narrow" w:cs="Arial"/>
                <w:sz w:val="20"/>
                <w:szCs w:val="20"/>
              </w:rPr>
              <w:t>589.00</w:t>
            </w:r>
            <w:r w:rsidRPr="003E6723">
              <w:rPr>
                <w:rFonts w:ascii="Arial Narrow" w:hAnsi="Arial Narrow" w:cs="Arial"/>
                <w:sz w:val="20"/>
                <w:szCs w:val="20"/>
              </w:rPr>
              <w:t xml:space="preserve"> (Public) $</w:t>
            </w:r>
            <w:r w:rsidRPr="00DA2D17">
              <w:rPr>
                <w:rFonts w:ascii="Arial Narrow" w:hAnsi="Arial Narrow" w:cs="Arial"/>
                <w:sz w:val="20"/>
                <w:szCs w:val="20"/>
              </w:rPr>
              <w:t>619.71</w:t>
            </w:r>
            <w:r w:rsidRPr="003E6723">
              <w:rPr>
                <w:rFonts w:ascii="Arial Narrow" w:hAnsi="Arial Narrow" w:cs="Arial"/>
                <w:sz w:val="20"/>
                <w:szCs w:val="20"/>
              </w:rPr>
              <w:t xml:space="preserve"> (Private)</w:t>
            </w:r>
          </w:p>
        </w:tc>
        <w:tc>
          <w:tcPr>
            <w:tcW w:w="702" w:type="pct"/>
            <w:vAlign w:val="center"/>
          </w:tcPr>
          <w:p w:rsidR="00CB5BD0" w:rsidRPr="003E6723" w:rsidRDefault="00CB5BD0" w:rsidP="00CB5BD0">
            <w:pPr>
              <w:keepNext/>
              <w:jc w:val="center"/>
              <w:rPr>
                <w:rFonts w:ascii="Arial Narrow" w:hAnsi="Arial Narrow" w:cs="Arial"/>
                <w:sz w:val="20"/>
                <w:szCs w:val="20"/>
              </w:rPr>
            </w:pPr>
            <w:r w:rsidRPr="003E6723">
              <w:rPr>
                <w:rFonts w:ascii="Arial Narrow" w:hAnsi="Arial Narrow" w:cs="Arial"/>
                <w:sz w:val="20"/>
                <w:szCs w:val="20"/>
              </w:rPr>
              <w:t>Renvela®</w:t>
            </w:r>
          </w:p>
        </w:tc>
        <w:tc>
          <w:tcPr>
            <w:tcW w:w="806" w:type="pct"/>
            <w:vAlign w:val="center"/>
          </w:tcPr>
          <w:p w:rsidR="00CB5BD0" w:rsidRPr="003E6723" w:rsidRDefault="00CB5BD0" w:rsidP="00CB5BD0">
            <w:pPr>
              <w:keepNext/>
              <w:jc w:val="center"/>
              <w:rPr>
                <w:rFonts w:ascii="Arial Narrow" w:hAnsi="Arial Narrow" w:cs="Arial"/>
                <w:sz w:val="20"/>
                <w:szCs w:val="20"/>
              </w:rPr>
            </w:pPr>
            <w:r w:rsidRPr="003E6723">
              <w:rPr>
                <w:rFonts w:ascii="Arial Narrow" w:hAnsi="Arial Narrow" w:cs="Arial"/>
                <w:sz w:val="20"/>
                <w:szCs w:val="20"/>
              </w:rPr>
              <w:t>Sanofi-Aventis Australia Pty Ltd</w:t>
            </w:r>
          </w:p>
        </w:tc>
      </w:tr>
      <w:tr w:rsidR="00B45C5C" w:rsidRPr="003E6723" w:rsidTr="00CB5BD0">
        <w:trPr>
          <w:cantSplit/>
          <w:trHeight w:val="360"/>
        </w:trPr>
        <w:tc>
          <w:tcPr>
            <w:tcW w:w="1075" w:type="pct"/>
            <w:tcBorders>
              <w:top w:val="single" w:sz="4" w:space="0" w:color="auto"/>
              <w:left w:val="single" w:sz="4" w:space="0" w:color="auto"/>
              <w:bottom w:val="single" w:sz="4" w:space="0" w:color="auto"/>
              <w:right w:val="single" w:sz="4" w:space="0" w:color="auto"/>
            </w:tcBorders>
          </w:tcPr>
          <w:p w:rsidR="00B45C5C" w:rsidRPr="003E6723" w:rsidRDefault="00B45C5C" w:rsidP="00660076">
            <w:pPr>
              <w:jc w:val="both"/>
              <w:rPr>
                <w:rFonts w:ascii="Arial Narrow" w:hAnsi="Arial Narrow" w:cs="Arial"/>
                <w:sz w:val="20"/>
                <w:szCs w:val="20"/>
              </w:rPr>
            </w:pPr>
            <w:r w:rsidRPr="003E6723">
              <w:rPr>
                <w:rFonts w:ascii="Arial Narrow" w:hAnsi="Arial Narrow" w:cs="Arial"/>
                <w:sz w:val="20"/>
                <w:szCs w:val="20"/>
              </w:rPr>
              <w:t xml:space="preserve">Category / </w:t>
            </w:r>
          </w:p>
          <w:p w:rsidR="00B45C5C" w:rsidRPr="003E6723" w:rsidRDefault="00B45C5C" w:rsidP="00660076">
            <w:pPr>
              <w:jc w:val="both"/>
              <w:rPr>
                <w:rFonts w:ascii="Arial Narrow" w:hAnsi="Arial Narrow" w:cs="Arial"/>
                <w:b/>
                <w:sz w:val="20"/>
                <w:szCs w:val="20"/>
              </w:rPr>
            </w:pPr>
            <w:r w:rsidRPr="003E6723">
              <w:rPr>
                <w:rFonts w:ascii="Arial Narrow" w:hAnsi="Arial Narrow" w:cs="Arial"/>
                <w:sz w:val="20"/>
                <w:szCs w:val="20"/>
              </w:rPr>
              <w:t>Program</w:t>
            </w:r>
          </w:p>
        </w:tc>
        <w:tc>
          <w:tcPr>
            <w:tcW w:w="3925" w:type="pct"/>
            <w:gridSpan w:val="6"/>
            <w:tcBorders>
              <w:top w:val="single" w:sz="4" w:space="0" w:color="auto"/>
              <w:left w:val="single" w:sz="4" w:space="0" w:color="auto"/>
              <w:bottom w:val="single" w:sz="4" w:space="0" w:color="auto"/>
              <w:right w:val="single" w:sz="4" w:space="0" w:color="auto"/>
            </w:tcBorders>
          </w:tcPr>
          <w:p w:rsidR="00B45C5C" w:rsidRPr="003E6723" w:rsidRDefault="00B45C5C" w:rsidP="00660076">
            <w:pPr>
              <w:rPr>
                <w:rFonts w:ascii="Arial Narrow" w:hAnsi="Arial Narrow" w:cs="Arial"/>
                <w:sz w:val="20"/>
                <w:szCs w:val="20"/>
              </w:rPr>
            </w:pPr>
            <w:r w:rsidRPr="003E6723">
              <w:rPr>
                <w:rFonts w:ascii="Arial Narrow" w:hAnsi="Arial Narrow" w:cs="Arial"/>
                <w:sz w:val="20"/>
                <w:szCs w:val="20"/>
              </w:rPr>
              <w:t>Section 100 – Highly Specialised Drugs Program</w:t>
            </w:r>
            <w:r w:rsidR="002F3C14" w:rsidRPr="003E6723">
              <w:rPr>
                <w:rFonts w:ascii="Arial Narrow" w:hAnsi="Arial Narrow" w:cs="Arial"/>
                <w:sz w:val="20"/>
                <w:szCs w:val="20"/>
              </w:rPr>
              <w:t xml:space="preserve"> (Public</w:t>
            </w:r>
            <w:r w:rsidR="00063F99" w:rsidRPr="003E6723">
              <w:rPr>
                <w:rFonts w:ascii="Arial Narrow" w:hAnsi="Arial Narrow" w:cs="Arial"/>
                <w:sz w:val="20"/>
                <w:szCs w:val="20"/>
              </w:rPr>
              <w:t xml:space="preserve"> and Private</w:t>
            </w:r>
            <w:r w:rsidR="002F3C14" w:rsidRPr="003E6723">
              <w:rPr>
                <w:rFonts w:ascii="Arial Narrow" w:hAnsi="Arial Narrow" w:cs="Arial"/>
                <w:sz w:val="20"/>
                <w:szCs w:val="20"/>
              </w:rPr>
              <w:t>)</w:t>
            </w:r>
          </w:p>
          <w:p w:rsidR="00B45C5C" w:rsidRPr="003E6723" w:rsidRDefault="00B45C5C" w:rsidP="00660076">
            <w:pPr>
              <w:rPr>
                <w:rFonts w:ascii="Arial Narrow" w:hAnsi="Arial Narrow" w:cs="Arial"/>
                <w:sz w:val="20"/>
                <w:szCs w:val="20"/>
              </w:rPr>
            </w:pPr>
          </w:p>
        </w:tc>
      </w:tr>
      <w:tr w:rsidR="00B45C5C" w:rsidRPr="003E6723" w:rsidTr="00CB5BD0">
        <w:trPr>
          <w:cantSplit/>
          <w:trHeight w:val="360"/>
        </w:trPr>
        <w:tc>
          <w:tcPr>
            <w:tcW w:w="1075" w:type="pct"/>
            <w:tcBorders>
              <w:top w:val="single" w:sz="4" w:space="0" w:color="auto"/>
              <w:left w:val="single" w:sz="4" w:space="0" w:color="auto"/>
              <w:bottom w:val="single" w:sz="4" w:space="0" w:color="auto"/>
              <w:right w:val="single" w:sz="4" w:space="0" w:color="auto"/>
            </w:tcBorders>
          </w:tcPr>
          <w:p w:rsidR="00B45C5C" w:rsidRPr="003E6723" w:rsidRDefault="00B45C5C" w:rsidP="00660076">
            <w:pPr>
              <w:jc w:val="both"/>
              <w:rPr>
                <w:rFonts w:ascii="Arial Narrow" w:hAnsi="Arial Narrow" w:cs="Arial"/>
                <w:b/>
                <w:sz w:val="20"/>
                <w:szCs w:val="20"/>
              </w:rPr>
            </w:pPr>
            <w:r w:rsidRPr="003E6723">
              <w:rPr>
                <w:rFonts w:ascii="Arial Narrow" w:hAnsi="Arial Narrow" w:cs="Arial"/>
                <w:b/>
                <w:sz w:val="20"/>
                <w:szCs w:val="20"/>
              </w:rPr>
              <w:t>Prescriber type:</w:t>
            </w:r>
          </w:p>
        </w:tc>
        <w:tc>
          <w:tcPr>
            <w:tcW w:w="3925" w:type="pct"/>
            <w:gridSpan w:val="6"/>
            <w:tcBorders>
              <w:top w:val="single" w:sz="4" w:space="0" w:color="auto"/>
              <w:left w:val="single" w:sz="4" w:space="0" w:color="auto"/>
              <w:bottom w:val="single" w:sz="4" w:space="0" w:color="auto"/>
              <w:right w:val="single" w:sz="4" w:space="0" w:color="auto"/>
            </w:tcBorders>
          </w:tcPr>
          <w:p w:rsidR="00B45C5C" w:rsidRPr="003E6723" w:rsidRDefault="00B45C5C" w:rsidP="00660076">
            <w:pPr>
              <w:rPr>
                <w:rFonts w:ascii="Arial Narrow" w:hAnsi="Arial Narrow" w:cs="Arial"/>
                <w:sz w:val="20"/>
                <w:szCs w:val="20"/>
              </w:rPr>
            </w:pPr>
            <w:r w:rsidRPr="003E6723">
              <w:rPr>
                <w:rFonts w:ascii="Arial Narrow" w:hAnsi="Arial Narrow" w:cs="Arial"/>
                <w:sz w:val="20"/>
                <w:szCs w:val="20"/>
              </w:rPr>
              <w:fldChar w:fldCharType="begin">
                <w:ffData>
                  <w:name w:val="Check1"/>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 xml:space="preserve">Dental  </w:t>
            </w:r>
            <w:r w:rsidR="00C23443" w:rsidRPr="003E6723">
              <w:rPr>
                <w:rFonts w:ascii="Arial Narrow" w:hAnsi="Arial Narrow" w:cs="Arial"/>
                <w:sz w:val="20"/>
                <w:szCs w:val="20"/>
              </w:rPr>
              <w:fldChar w:fldCharType="begin">
                <w:ffData>
                  <w:name w:val=""/>
                  <w:enabled/>
                  <w:calcOnExit w:val="0"/>
                  <w:checkBox>
                    <w:sizeAuto/>
                    <w:default w:val="1"/>
                  </w:checkBox>
                </w:ffData>
              </w:fldChar>
            </w:r>
            <w:r w:rsidR="00C23443"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00C23443" w:rsidRPr="003E6723">
              <w:rPr>
                <w:rFonts w:ascii="Arial Narrow" w:hAnsi="Arial Narrow" w:cs="Arial"/>
                <w:sz w:val="20"/>
                <w:szCs w:val="20"/>
              </w:rPr>
              <w:fldChar w:fldCharType="end"/>
            </w:r>
            <w:r w:rsidRPr="003E6723">
              <w:rPr>
                <w:rFonts w:ascii="Arial Narrow" w:hAnsi="Arial Narrow" w:cs="Arial"/>
                <w:sz w:val="20"/>
                <w:szCs w:val="20"/>
              </w:rPr>
              <w:t xml:space="preserve">Medical Practitioners  </w:t>
            </w:r>
            <w:r w:rsidRPr="003E6723">
              <w:rPr>
                <w:rFonts w:ascii="Arial Narrow" w:hAnsi="Arial Narrow" w:cs="Arial"/>
                <w:sz w:val="20"/>
                <w:szCs w:val="20"/>
              </w:rPr>
              <w:fldChar w:fldCharType="begin">
                <w:ffData>
                  <w:name w:val="Check3"/>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 xml:space="preserve">Nurse practitioners  </w:t>
            </w:r>
            <w:r w:rsidRPr="003E6723">
              <w:rPr>
                <w:rFonts w:ascii="Arial Narrow" w:hAnsi="Arial Narrow" w:cs="Arial"/>
                <w:sz w:val="20"/>
                <w:szCs w:val="20"/>
              </w:rPr>
              <w:fldChar w:fldCharType="begin">
                <w:ffData>
                  <w:name w:val=""/>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Optometrists</w:t>
            </w:r>
          </w:p>
          <w:p w:rsidR="00B45C5C" w:rsidRPr="003E6723" w:rsidRDefault="00B45C5C" w:rsidP="00660076">
            <w:pPr>
              <w:rPr>
                <w:rFonts w:ascii="Arial Narrow" w:hAnsi="Arial Narrow" w:cs="Arial"/>
                <w:sz w:val="20"/>
                <w:szCs w:val="20"/>
              </w:rPr>
            </w:pPr>
            <w:r w:rsidRPr="003E6723">
              <w:rPr>
                <w:rFonts w:ascii="Arial Narrow" w:hAnsi="Arial Narrow" w:cs="Arial"/>
                <w:sz w:val="20"/>
                <w:szCs w:val="20"/>
              </w:rPr>
              <w:fldChar w:fldCharType="begin">
                <w:ffData>
                  <w:name w:val="Check5"/>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Midwives</w:t>
            </w:r>
          </w:p>
        </w:tc>
      </w:tr>
      <w:tr w:rsidR="00C23443" w:rsidRPr="003E6723" w:rsidTr="00CB5BD0">
        <w:trPr>
          <w:cantSplit/>
          <w:trHeight w:val="360"/>
        </w:trPr>
        <w:tc>
          <w:tcPr>
            <w:tcW w:w="1075" w:type="pct"/>
            <w:tcBorders>
              <w:top w:val="single" w:sz="4" w:space="0" w:color="auto"/>
              <w:left w:val="single" w:sz="4" w:space="0" w:color="auto"/>
              <w:bottom w:val="single" w:sz="4" w:space="0" w:color="auto"/>
              <w:right w:val="single" w:sz="4" w:space="0" w:color="auto"/>
            </w:tcBorders>
          </w:tcPr>
          <w:p w:rsidR="00C23443" w:rsidRPr="003E6723" w:rsidRDefault="00C23443" w:rsidP="00660076">
            <w:pPr>
              <w:jc w:val="both"/>
              <w:rPr>
                <w:rFonts w:ascii="Arial Narrow" w:hAnsi="Arial Narrow" w:cs="Arial"/>
                <w:b/>
                <w:sz w:val="20"/>
                <w:szCs w:val="20"/>
              </w:rPr>
            </w:pPr>
            <w:r w:rsidRPr="003E6723">
              <w:rPr>
                <w:rFonts w:ascii="Arial Narrow" w:hAnsi="Arial Narrow" w:cs="Arial"/>
                <w:b/>
                <w:sz w:val="20"/>
                <w:szCs w:val="20"/>
              </w:rPr>
              <w:t>Episodicity:</w:t>
            </w:r>
          </w:p>
        </w:tc>
        <w:tc>
          <w:tcPr>
            <w:tcW w:w="3925" w:type="pct"/>
            <w:gridSpan w:val="6"/>
            <w:tcBorders>
              <w:top w:val="single" w:sz="4" w:space="0" w:color="auto"/>
              <w:left w:val="single" w:sz="4" w:space="0" w:color="auto"/>
              <w:bottom w:val="single" w:sz="4" w:space="0" w:color="auto"/>
              <w:right w:val="single" w:sz="4" w:space="0" w:color="auto"/>
            </w:tcBorders>
          </w:tcPr>
          <w:p w:rsidR="00C23443" w:rsidRPr="003E6723" w:rsidRDefault="00C23443" w:rsidP="00660076">
            <w:pPr>
              <w:rPr>
                <w:rFonts w:ascii="Arial Narrow" w:hAnsi="Arial Narrow" w:cs="Arial"/>
                <w:strike/>
                <w:sz w:val="20"/>
                <w:szCs w:val="20"/>
              </w:rPr>
            </w:pPr>
            <w:r w:rsidRPr="003E6723">
              <w:rPr>
                <w:rFonts w:ascii="Arial Narrow" w:hAnsi="Arial Narrow" w:cs="Arial"/>
                <w:strike/>
                <w:sz w:val="20"/>
                <w:szCs w:val="20"/>
              </w:rPr>
              <w:t>Chronic therapy</w:t>
            </w:r>
          </w:p>
        </w:tc>
      </w:tr>
      <w:tr w:rsidR="00C23443" w:rsidRPr="003E6723" w:rsidTr="00CB5BD0">
        <w:trPr>
          <w:cantSplit/>
          <w:trHeight w:val="360"/>
        </w:trPr>
        <w:tc>
          <w:tcPr>
            <w:tcW w:w="1075" w:type="pct"/>
            <w:tcBorders>
              <w:top w:val="single" w:sz="4" w:space="0" w:color="auto"/>
              <w:left w:val="single" w:sz="4" w:space="0" w:color="auto"/>
              <w:bottom w:val="single" w:sz="4" w:space="0" w:color="auto"/>
              <w:right w:val="single" w:sz="4" w:space="0" w:color="auto"/>
            </w:tcBorders>
          </w:tcPr>
          <w:p w:rsidR="00C23443" w:rsidRPr="003E6723" w:rsidRDefault="00C23443" w:rsidP="00660076">
            <w:pPr>
              <w:jc w:val="both"/>
              <w:rPr>
                <w:rFonts w:ascii="Arial Narrow" w:hAnsi="Arial Narrow" w:cs="Arial"/>
                <w:b/>
                <w:sz w:val="20"/>
                <w:szCs w:val="20"/>
              </w:rPr>
            </w:pPr>
            <w:r w:rsidRPr="003E6723">
              <w:rPr>
                <w:rFonts w:ascii="Arial Narrow" w:hAnsi="Arial Narrow" w:cs="Arial"/>
                <w:b/>
                <w:sz w:val="20"/>
                <w:szCs w:val="20"/>
              </w:rPr>
              <w:t>Severity:</w:t>
            </w:r>
          </w:p>
        </w:tc>
        <w:tc>
          <w:tcPr>
            <w:tcW w:w="3925" w:type="pct"/>
            <w:gridSpan w:val="6"/>
            <w:tcBorders>
              <w:top w:val="single" w:sz="4" w:space="0" w:color="auto"/>
              <w:left w:val="single" w:sz="4" w:space="0" w:color="auto"/>
              <w:bottom w:val="single" w:sz="4" w:space="0" w:color="auto"/>
              <w:right w:val="single" w:sz="4" w:space="0" w:color="auto"/>
            </w:tcBorders>
          </w:tcPr>
          <w:p w:rsidR="00C23443" w:rsidRPr="003E6723" w:rsidRDefault="00C23443" w:rsidP="00660076">
            <w:pPr>
              <w:rPr>
                <w:rFonts w:ascii="Arial Narrow" w:hAnsi="Arial Narrow" w:cs="Arial"/>
                <w:strike/>
                <w:sz w:val="20"/>
                <w:szCs w:val="20"/>
              </w:rPr>
            </w:pPr>
            <w:r w:rsidRPr="003E6723">
              <w:rPr>
                <w:rFonts w:ascii="Arial Narrow" w:hAnsi="Arial Narrow" w:cs="Arial"/>
                <w:strike/>
                <w:sz w:val="20"/>
                <w:szCs w:val="20"/>
              </w:rPr>
              <w:t>Severe</w:t>
            </w:r>
          </w:p>
        </w:tc>
      </w:tr>
      <w:tr w:rsidR="00C23443" w:rsidRPr="003E6723" w:rsidTr="00CB5BD0">
        <w:trPr>
          <w:cantSplit/>
          <w:trHeight w:val="360"/>
        </w:trPr>
        <w:tc>
          <w:tcPr>
            <w:tcW w:w="1075" w:type="pct"/>
            <w:tcBorders>
              <w:top w:val="single" w:sz="4" w:space="0" w:color="auto"/>
              <w:left w:val="single" w:sz="4" w:space="0" w:color="auto"/>
              <w:bottom w:val="single" w:sz="4" w:space="0" w:color="auto"/>
              <w:right w:val="single" w:sz="4" w:space="0" w:color="auto"/>
            </w:tcBorders>
          </w:tcPr>
          <w:p w:rsidR="00C23443" w:rsidRPr="003E6723" w:rsidRDefault="00C23443" w:rsidP="00660076">
            <w:pPr>
              <w:jc w:val="both"/>
              <w:rPr>
                <w:rFonts w:ascii="Arial Narrow" w:hAnsi="Arial Narrow" w:cs="Arial"/>
                <w:b/>
                <w:sz w:val="20"/>
                <w:szCs w:val="20"/>
              </w:rPr>
            </w:pPr>
            <w:r w:rsidRPr="003E6723">
              <w:rPr>
                <w:rFonts w:ascii="Arial Narrow" w:hAnsi="Arial Narrow" w:cs="Arial"/>
                <w:b/>
                <w:sz w:val="20"/>
                <w:szCs w:val="20"/>
              </w:rPr>
              <w:t>Condition:</w:t>
            </w:r>
          </w:p>
        </w:tc>
        <w:tc>
          <w:tcPr>
            <w:tcW w:w="3925" w:type="pct"/>
            <w:gridSpan w:val="6"/>
            <w:tcBorders>
              <w:top w:val="single" w:sz="4" w:space="0" w:color="auto"/>
              <w:left w:val="single" w:sz="4" w:space="0" w:color="auto"/>
              <w:bottom w:val="single" w:sz="4" w:space="0" w:color="auto"/>
              <w:right w:val="single" w:sz="4" w:space="0" w:color="auto"/>
            </w:tcBorders>
          </w:tcPr>
          <w:p w:rsidR="00C23443" w:rsidRPr="003E6723" w:rsidRDefault="00C23443" w:rsidP="00660076">
            <w:pPr>
              <w:rPr>
                <w:rFonts w:ascii="Arial Narrow" w:hAnsi="Arial Narrow" w:cs="Arial"/>
                <w:strike/>
                <w:sz w:val="20"/>
                <w:szCs w:val="20"/>
              </w:rPr>
            </w:pPr>
            <w:r w:rsidRPr="003E6723">
              <w:rPr>
                <w:rFonts w:ascii="Arial Narrow" w:hAnsi="Arial Narrow" w:cs="Arial"/>
                <w:strike/>
                <w:sz w:val="20"/>
                <w:szCs w:val="20"/>
              </w:rPr>
              <w:t>Hyperphosphataemia in adult patients with stage 4 and 5 chronic kidney disease</w:t>
            </w:r>
          </w:p>
        </w:tc>
      </w:tr>
      <w:tr w:rsidR="00C23443" w:rsidRPr="003E6723" w:rsidTr="00CB5BD0">
        <w:trPr>
          <w:cantSplit/>
          <w:trHeight w:val="360"/>
        </w:trPr>
        <w:tc>
          <w:tcPr>
            <w:tcW w:w="1075" w:type="pct"/>
            <w:tcBorders>
              <w:top w:val="single" w:sz="4" w:space="0" w:color="auto"/>
              <w:left w:val="single" w:sz="4" w:space="0" w:color="auto"/>
              <w:bottom w:val="single" w:sz="4" w:space="0" w:color="auto"/>
              <w:right w:val="single" w:sz="4" w:space="0" w:color="auto"/>
            </w:tcBorders>
          </w:tcPr>
          <w:p w:rsidR="00C23443" w:rsidRPr="003E6723" w:rsidRDefault="00C23443" w:rsidP="00660076">
            <w:pPr>
              <w:jc w:val="both"/>
              <w:rPr>
                <w:rFonts w:ascii="Arial Narrow" w:hAnsi="Arial Narrow" w:cs="Arial"/>
                <w:b/>
                <w:sz w:val="20"/>
                <w:szCs w:val="20"/>
              </w:rPr>
            </w:pPr>
            <w:r w:rsidRPr="003E6723">
              <w:rPr>
                <w:rFonts w:ascii="Arial Narrow" w:hAnsi="Arial Narrow" w:cs="Arial"/>
                <w:b/>
                <w:sz w:val="20"/>
                <w:szCs w:val="20"/>
              </w:rPr>
              <w:t>PBS Indication:</w:t>
            </w:r>
          </w:p>
        </w:tc>
        <w:tc>
          <w:tcPr>
            <w:tcW w:w="3925" w:type="pct"/>
            <w:gridSpan w:val="6"/>
            <w:tcBorders>
              <w:top w:val="single" w:sz="4" w:space="0" w:color="auto"/>
              <w:left w:val="single" w:sz="4" w:space="0" w:color="auto"/>
              <w:bottom w:val="single" w:sz="4" w:space="0" w:color="auto"/>
              <w:right w:val="single" w:sz="4" w:space="0" w:color="auto"/>
            </w:tcBorders>
          </w:tcPr>
          <w:p w:rsidR="00C23443" w:rsidRPr="003E6723" w:rsidRDefault="00C23443" w:rsidP="00660076">
            <w:pPr>
              <w:rPr>
                <w:rFonts w:ascii="Arial Narrow" w:hAnsi="Arial Narrow" w:cs="Arial"/>
                <w:sz w:val="20"/>
                <w:szCs w:val="20"/>
              </w:rPr>
            </w:pPr>
            <w:r w:rsidRPr="003E6723">
              <w:rPr>
                <w:rFonts w:ascii="Arial Narrow" w:hAnsi="Arial Narrow" w:cs="Arial"/>
                <w:sz w:val="20"/>
                <w:szCs w:val="20"/>
              </w:rPr>
              <w:t>Hyperphosphataemia</w:t>
            </w:r>
          </w:p>
        </w:tc>
      </w:tr>
      <w:tr w:rsidR="00C23443" w:rsidRPr="003E6723" w:rsidTr="00CB5BD0">
        <w:trPr>
          <w:cantSplit/>
          <w:trHeight w:val="360"/>
        </w:trPr>
        <w:tc>
          <w:tcPr>
            <w:tcW w:w="1075" w:type="pct"/>
            <w:tcBorders>
              <w:top w:val="single" w:sz="4" w:space="0" w:color="auto"/>
              <w:left w:val="single" w:sz="4" w:space="0" w:color="auto"/>
              <w:bottom w:val="single" w:sz="4" w:space="0" w:color="auto"/>
              <w:right w:val="single" w:sz="4" w:space="0" w:color="auto"/>
            </w:tcBorders>
          </w:tcPr>
          <w:p w:rsidR="00C23443" w:rsidRPr="003E6723" w:rsidRDefault="00C23443" w:rsidP="00660076">
            <w:pPr>
              <w:jc w:val="both"/>
              <w:rPr>
                <w:rFonts w:ascii="Arial Narrow" w:hAnsi="Arial Narrow" w:cs="Arial"/>
                <w:b/>
                <w:sz w:val="20"/>
                <w:szCs w:val="20"/>
              </w:rPr>
            </w:pPr>
            <w:r w:rsidRPr="003E6723">
              <w:rPr>
                <w:rFonts w:ascii="Arial Narrow" w:hAnsi="Arial Narrow" w:cs="Arial"/>
                <w:b/>
                <w:sz w:val="20"/>
                <w:szCs w:val="20"/>
              </w:rPr>
              <w:t>Treatment phase:</w:t>
            </w:r>
          </w:p>
        </w:tc>
        <w:tc>
          <w:tcPr>
            <w:tcW w:w="3925" w:type="pct"/>
            <w:gridSpan w:val="6"/>
            <w:tcBorders>
              <w:top w:val="single" w:sz="4" w:space="0" w:color="auto"/>
              <w:left w:val="single" w:sz="4" w:space="0" w:color="auto"/>
              <w:bottom w:val="single" w:sz="4" w:space="0" w:color="auto"/>
              <w:right w:val="single" w:sz="4" w:space="0" w:color="auto"/>
            </w:tcBorders>
          </w:tcPr>
          <w:p w:rsidR="00C23443" w:rsidRPr="003E6723" w:rsidRDefault="00C23443" w:rsidP="00660076">
            <w:pPr>
              <w:rPr>
                <w:rFonts w:ascii="Arial Narrow" w:hAnsi="Arial Narrow" w:cs="Arial"/>
                <w:sz w:val="20"/>
                <w:szCs w:val="20"/>
              </w:rPr>
            </w:pPr>
            <w:r w:rsidRPr="003E6723">
              <w:rPr>
                <w:rFonts w:ascii="Arial Narrow" w:hAnsi="Arial Narrow" w:cs="Arial"/>
                <w:sz w:val="20"/>
                <w:szCs w:val="20"/>
              </w:rPr>
              <w:t>Initiation and stabilisation</w:t>
            </w:r>
          </w:p>
        </w:tc>
      </w:tr>
      <w:tr w:rsidR="00C23443" w:rsidRPr="003E6723" w:rsidTr="00CB5BD0">
        <w:trPr>
          <w:cantSplit/>
          <w:trHeight w:val="360"/>
        </w:trPr>
        <w:tc>
          <w:tcPr>
            <w:tcW w:w="1075" w:type="pct"/>
            <w:tcBorders>
              <w:top w:val="single" w:sz="4" w:space="0" w:color="auto"/>
              <w:left w:val="single" w:sz="4" w:space="0" w:color="auto"/>
              <w:bottom w:val="single" w:sz="4" w:space="0" w:color="auto"/>
              <w:right w:val="single" w:sz="4" w:space="0" w:color="auto"/>
            </w:tcBorders>
          </w:tcPr>
          <w:p w:rsidR="00C23443" w:rsidRPr="003E6723" w:rsidRDefault="00C23443" w:rsidP="00660076">
            <w:pPr>
              <w:jc w:val="both"/>
              <w:rPr>
                <w:rFonts w:ascii="Arial Narrow" w:hAnsi="Arial Narrow" w:cs="Arial"/>
                <w:b/>
                <w:sz w:val="20"/>
                <w:szCs w:val="20"/>
              </w:rPr>
            </w:pPr>
            <w:r w:rsidRPr="003E6723">
              <w:rPr>
                <w:rFonts w:ascii="Arial Narrow" w:hAnsi="Arial Narrow" w:cs="Arial"/>
                <w:b/>
                <w:sz w:val="20"/>
                <w:szCs w:val="20"/>
              </w:rPr>
              <w:t>Restriction Level / Method:</w:t>
            </w:r>
          </w:p>
          <w:p w:rsidR="00C23443" w:rsidRPr="003E6723" w:rsidRDefault="00C23443" w:rsidP="00660076">
            <w:pPr>
              <w:rPr>
                <w:rFonts w:ascii="Arial Narrow" w:hAnsi="Arial Narrow" w:cs="Arial"/>
                <w:sz w:val="20"/>
                <w:szCs w:val="20"/>
              </w:rPr>
            </w:pPr>
          </w:p>
        </w:tc>
        <w:tc>
          <w:tcPr>
            <w:tcW w:w="3925" w:type="pct"/>
            <w:gridSpan w:val="6"/>
            <w:tcBorders>
              <w:top w:val="single" w:sz="4" w:space="0" w:color="auto"/>
              <w:left w:val="single" w:sz="4" w:space="0" w:color="auto"/>
              <w:bottom w:val="single" w:sz="4" w:space="0" w:color="auto"/>
              <w:right w:val="single" w:sz="4" w:space="0" w:color="auto"/>
            </w:tcBorders>
          </w:tcPr>
          <w:p w:rsidR="00C23443" w:rsidRPr="003E6723" w:rsidRDefault="00C23443" w:rsidP="00660076">
            <w:pPr>
              <w:rPr>
                <w:rFonts w:ascii="Arial Narrow" w:hAnsi="Arial Narrow" w:cs="Arial"/>
                <w:sz w:val="20"/>
                <w:szCs w:val="20"/>
              </w:rPr>
            </w:pPr>
            <w:r w:rsidRPr="003E6723">
              <w:rPr>
                <w:rFonts w:ascii="Arial Narrow" w:hAnsi="Arial Narrow" w:cs="Arial"/>
                <w:sz w:val="20"/>
                <w:szCs w:val="20"/>
              </w:rPr>
              <w:fldChar w:fldCharType="begin">
                <w:ffData>
                  <w:name w:val="Check1"/>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Restricted benefit</w:t>
            </w:r>
          </w:p>
          <w:p w:rsidR="00C23443" w:rsidRPr="003E6723" w:rsidRDefault="00C23443" w:rsidP="00660076">
            <w:pPr>
              <w:rPr>
                <w:rFonts w:ascii="Arial Narrow" w:hAnsi="Arial Narrow" w:cs="Arial"/>
                <w:sz w:val="20"/>
                <w:szCs w:val="20"/>
              </w:rPr>
            </w:pPr>
            <w:r w:rsidRPr="003E6723">
              <w:rPr>
                <w:rFonts w:ascii="Arial Narrow" w:hAnsi="Arial Narrow" w:cs="Arial"/>
                <w:sz w:val="20"/>
                <w:szCs w:val="20"/>
              </w:rPr>
              <w:fldChar w:fldCharType="begin">
                <w:ffData>
                  <w:name w:val=""/>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Authority Required - In Writing</w:t>
            </w:r>
          </w:p>
          <w:p w:rsidR="00C23443" w:rsidRPr="003E6723" w:rsidRDefault="00C23443" w:rsidP="00660076">
            <w:pPr>
              <w:rPr>
                <w:rFonts w:ascii="Arial Narrow" w:hAnsi="Arial Narrow" w:cs="Arial"/>
                <w:sz w:val="20"/>
                <w:szCs w:val="20"/>
              </w:rPr>
            </w:pPr>
            <w:r w:rsidRPr="003E6723">
              <w:rPr>
                <w:rFonts w:ascii="Arial Narrow" w:hAnsi="Arial Narrow" w:cs="Arial"/>
                <w:sz w:val="20"/>
                <w:szCs w:val="20"/>
              </w:rPr>
              <w:fldChar w:fldCharType="begin">
                <w:ffData>
                  <w:name w:val="Check3"/>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Authority Required - Telephone</w:t>
            </w:r>
          </w:p>
          <w:p w:rsidR="00C23443" w:rsidRPr="003E6723" w:rsidRDefault="00C23443" w:rsidP="00660076">
            <w:pPr>
              <w:rPr>
                <w:rFonts w:ascii="Arial Narrow" w:hAnsi="Arial Narrow" w:cs="Arial"/>
                <w:sz w:val="20"/>
                <w:szCs w:val="20"/>
              </w:rPr>
            </w:pPr>
            <w:r w:rsidRPr="003E6723">
              <w:rPr>
                <w:rFonts w:ascii="Arial Narrow" w:hAnsi="Arial Narrow" w:cs="Arial"/>
                <w:sz w:val="20"/>
                <w:szCs w:val="20"/>
              </w:rPr>
              <w:fldChar w:fldCharType="begin">
                <w:ffData>
                  <w:name w:val=""/>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Authority Required – Emergency</w:t>
            </w:r>
          </w:p>
          <w:p w:rsidR="00C23443" w:rsidRPr="003E6723" w:rsidRDefault="00C23443" w:rsidP="00660076">
            <w:pPr>
              <w:rPr>
                <w:rFonts w:ascii="Arial Narrow" w:hAnsi="Arial Narrow" w:cs="Arial"/>
                <w:sz w:val="20"/>
                <w:szCs w:val="20"/>
              </w:rPr>
            </w:pPr>
            <w:r w:rsidRPr="003E6723">
              <w:rPr>
                <w:rFonts w:ascii="Arial Narrow" w:hAnsi="Arial Narrow" w:cs="Arial"/>
                <w:sz w:val="20"/>
                <w:szCs w:val="20"/>
              </w:rPr>
              <w:fldChar w:fldCharType="begin">
                <w:ffData>
                  <w:name w:val="Check5"/>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Authority Required - Electronic</w:t>
            </w:r>
          </w:p>
          <w:p w:rsidR="00C23443" w:rsidRPr="003E6723" w:rsidRDefault="00C23443" w:rsidP="00660076">
            <w:pPr>
              <w:rPr>
                <w:rFonts w:ascii="Arial Narrow" w:hAnsi="Arial Narrow" w:cs="Arial"/>
                <w:sz w:val="20"/>
                <w:szCs w:val="20"/>
              </w:rPr>
            </w:pPr>
            <w:r w:rsidRPr="003E6723">
              <w:rPr>
                <w:rFonts w:ascii="Arial Narrow" w:hAnsi="Arial Narrow" w:cs="Arial"/>
                <w:sz w:val="20"/>
                <w:szCs w:val="20"/>
              </w:rPr>
              <w:fldChar w:fldCharType="begin">
                <w:ffData>
                  <w:name w:val=""/>
                  <w:enabled/>
                  <w:calcOnExit w:val="0"/>
                  <w:checkBox>
                    <w:sizeAuto/>
                    <w:default w:val="1"/>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Streamlined</w:t>
            </w:r>
          </w:p>
        </w:tc>
      </w:tr>
      <w:tr w:rsidR="00C23443" w:rsidRPr="003E6723" w:rsidTr="00CB5BD0">
        <w:trPr>
          <w:cantSplit/>
          <w:trHeight w:val="360"/>
        </w:trPr>
        <w:tc>
          <w:tcPr>
            <w:tcW w:w="1075" w:type="pct"/>
            <w:tcBorders>
              <w:top w:val="single" w:sz="4" w:space="0" w:color="auto"/>
              <w:left w:val="single" w:sz="4" w:space="0" w:color="auto"/>
              <w:bottom w:val="single" w:sz="4" w:space="0" w:color="auto"/>
              <w:right w:val="single" w:sz="4" w:space="0" w:color="auto"/>
            </w:tcBorders>
          </w:tcPr>
          <w:p w:rsidR="00C23443" w:rsidRPr="003E6723" w:rsidRDefault="00C23443" w:rsidP="00660076">
            <w:pPr>
              <w:rPr>
                <w:rFonts w:ascii="Arial Narrow" w:hAnsi="Arial Narrow" w:cs="Arial"/>
                <w:b/>
                <w:sz w:val="20"/>
                <w:szCs w:val="20"/>
              </w:rPr>
            </w:pPr>
            <w:r w:rsidRPr="003E6723">
              <w:rPr>
                <w:rFonts w:ascii="Arial Narrow" w:hAnsi="Arial Narrow" w:cs="Arial"/>
                <w:b/>
                <w:sz w:val="20"/>
                <w:szCs w:val="20"/>
              </w:rPr>
              <w:t>Treatment criteria:</w:t>
            </w:r>
          </w:p>
        </w:tc>
        <w:tc>
          <w:tcPr>
            <w:tcW w:w="3925" w:type="pct"/>
            <w:gridSpan w:val="6"/>
            <w:tcBorders>
              <w:top w:val="single" w:sz="4" w:space="0" w:color="auto"/>
              <w:left w:val="single" w:sz="4" w:space="0" w:color="auto"/>
              <w:bottom w:val="single" w:sz="4" w:space="0" w:color="auto"/>
              <w:right w:val="single" w:sz="4" w:space="0" w:color="auto"/>
            </w:tcBorders>
          </w:tcPr>
          <w:p w:rsidR="00C23443" w:rsidRPr="003E6723" w:rsidRDefault="002F3C14" w:rsidP="00660076">
            <w:pPr>
              <w:rPr>
                <w:rFonts w:ascii="Arial Narrow" w:hAnsi="Arial Narrow" w:cs="Arial"/>
                <w:sz w:val="20"/>
                <w:szCs w:val="20"/>
              </w:rPr>
            </w:pPr>
            <w:r w:rsidRPr="003E6723">
              <w:rPr>
                <w:rFonts w:ascii="Arial Narrow" w:hAnsi="Arial Narrow" w:cs="Arial"/>
                <w:sz w:val="20"/>
                <w:szCs w:val="20"/>
              </w:rPr>
              <w:t>Patient must be undergoing dialysis for chronic kidney disease.</w:t>
            </w:r>
          </w:p>
        </w:tc>
      </w:tr>
      <w:tr w:rsidR="00C23443" w:rsidRPr="003E6723" w:rsidTr="00CB5BD0">
        <w:trPr>
          <w:cantSplit/>
          <w:trHeight w:val="360"/>
        </w:trPr>
        <w:tc>
          <w:tcPr>
            <w:tcW w:w="1075" w:type="pct"/>
            <w:tcBorders>
              <w:top w:val="single" w:sz="4" w:space="0" w:color="auto"/>
              <w:left w:val="single" w:sz="4" w:space="0" w:color="auto"/>
              <w:bottom w:val="single" w:sz="4" w:space="0" w:color="auto"/>
              <w:right w:val="single" w:sz="4" w:space="0" w:color="auto"/>
            </w:tcBorders>
          </w:tcPr>
          <w:p w:rsidR="00C23443" w:rsidRPr="003E6723" w:rsidRDefault="00C23443" w:rsidP="00660076">
            <w:pPr>
              <w:jc w:val="both"/>
              <w:rPr>
                <w:rFonts w:ascii="Arial Narrow" w:hAnsi="Arial Narrow" w:cs="Arial"/>
                <w:b/>
                <w:sz w:val="20"/>
                <w:szCs w:val="20"/>
              </w:rPr>
            </w:pPr>
            <w:r w:rsidRPr="003E6723">
              <w:rPr>
                <w:rFonts w:ascii="Arial Narrow" w:hAnsi="Arial Narrow" w:cs="Arial"/>
                <w:b/>
                <w:sz w:val="20"/>
                <w:szCs w:val="20"/>
              </w:rPr>
              <w:t>Clinical criteria:</w:t>
            </w:r>
          </w:p>
          <w:p w:rsidR="00C23443" w:rsidRPr="003E6723" w:rsidRDefault="00C23443" w:rsidP="00660076">
            <w:pPr>
              <w:jc w:val="both"/>
              <w:rPr>
                <w:rFonts w:ascii="Arial Narrow" w:hAnsi="Arial Narrow" w:cs="Arial"/>
                <w:i/>
                <w:sz w:val="20"/>
                <w:szCs w:val="20"/>
              </w:rPr>
            </w:pPr>
          </w:p>
          <w:p w:rsidR="00C23443" w:rsidRPr="003E6723" w:rsidRDefault="00C23443" w:rsidP="00660076">
            <w:pPr>
              <w:jc w:val="both"/>
              <w:rPr>
                <w:rFonts w:ascii="Arial Narrow" w:hAnsi="Arial Narrow" w:cs="Arial"/>
                <w:sz w:val="20"/>
                <w:szCs w:val="20"/>
              </w:rPr>
            </w:pPr>
          </w:p>
        </w:tc>
        <w:tc>
          <w:tcPr>
            <w:tcW w:w="3925" w:type="pct"/>
            <w:gridSpan w:val="6"/>
            <w:tcBorders>
              <w:top w:val="single" w:sz="4" w:space="0" w:color="auto"/>
              <w:left w:val="single" w:sz="4" w:space="0" w:color="auto"/>
              <w:bottom w:val="single" w:sz="4" w:space="0" w:color="auto"/>
              <w:right w:val="single" w:sz="4" w:space="0" w:color="auto"/>
            </w:tcBorders>
          </w:tcPr>
          <w:p w:rsidR="002F3C14" w:rsidRPr="003E6723" w:rsidRDefault="002F3C14" w:rsidP="00660076">
            <w:pPr>
              <w:rPr>
                <w:rFonts w:ascii="Arial Narrow" w:hAnsi="Arial Narrow" w:cs="Arial"/>
                <w:sz w:val="20"/>
                <w:szCs w:val="20"/>
              </w:rPr>
            </w:pPr>
            <w:r w:rsidRPr="003E6723">
              <w:rPr>
                <w:rFonts w:ascii="Arial Narrow" w:hAnsi="Arial Narrow" w:cs="Arial"/>
                <w:sz w:val="20"/>
                <w:szCs w:val="20"/>
              </w:rPr>
              <w:t>The condition must not be adequately controlled by calcium,</w:t>
            </w:r>
          </w:p>
          <w:p w:rsidR="002F3C14" w:rsidRPr="003E6723" w:rsidRDefault="002F3C14" w:rsidP="00660076">
            <w:pPr>
              <w:rPr>
                <w:rFonts w:ascii="Arial Narrow" w:hAnsi="Arial Narrow" w:cs="Arial"/>
                <w:sz w:val="20"/>
                <w:szCs w:val="20"/>
              </w:rPr>
            </w:pPr>
            <w:r w:rsidRPr="003E6723">
              <w:rPr>
                <w:rFonts w:ascii="Arial Narrow" w:hAnsi="Arial Narrow" w:cs="Arial"/>
                <w:sz w:val="20"/>
                <w:szCs w:val="20"/>
              </w:rPr>
              <w:t>AND</w:t>
            </w:r>
          </w:p>
          <w:p w:rsidR="002F3C14" w:rsidRPr="003E6723" w:rsidRDefault="002F3C14" w:rsidP="00660076">
            <w:pPr>
              <w:rPr>
                <w:rFonts w:ascii="Arial Narrow" w:hAnsi="Arial Narrow" w:cs="Arial"/>
                <w:sz w:val="20"/>
                <w:szCs w:val="20"/>
              </w:rPr>
            </w:pPr>
            <w:r w:rsidRPr="003E6723">
              <w:rPr>
                <w:rFonts w:ascii="Arial Narrow" w:hAnsi="Arial Narrow" w:cs="Arial"/>
                <w:sz w:val="20"/>
                <w:szCs w:val="20"/>
              </w:rPr>
              <w:t>Patient must have a serum phosphate of greater than 1.6 mmol per L at the commencement of therapy; OR</w:t>
            </w:r>
          </w:p>
          <w:p w:rsidR="002F3C14" w:rsidRPr="003E6723" w:rsidRDefault="002F3C14" w:rsidP="00660076">
            <w:pPr>
              <w:rPr>
                <w:rFonts w:ascii="Arial Narrow" w:hAnsi="Arial Narrow" w:cs="Arial"/>
                <w:sz w:val="20"/>
                <w:szCs w:val="20"/>
              </w:rPr>
            </w:pPr>
            <w:r w:rsidRPr="003E6723">
              <w:rPr>
                <w:rFonts w:ascii="Arial Narrow" w:hAnsi="Arial Narrow" w:cs="Arial"/>
                <w:sz w:val="20"/>
                <w:szCs w:val="20"/>
              </w:rPr>
              <w:t>The condition must be where a serum calcium times phosphate product is greater than 4 at the commencement of therapy,</w:t>
            </w:r>
          </w:p>
          <w:p w:rsidR="002F3C14" w:rsidRPr="003E6723" w:rsidRDefault="002F3C14" w:rsidP="00660076">
            <w:pPr>
              <w:rPr>
                <w:rFonts w:ascii="Arial Narrow" w:hAnsi="Arial Narrow" w:cs="Arial"/>
                <w:sz w:val="20"/>
                <w:szCs w:val="20"/>
              </w:rPr>
            </w:pPr>
            <w:r w:rsidRPr="003E6723">
              <w:rPr>
                <w:rFonts w:ascii="Arial Narrow" w:hAnsi="Arial Narrow" w:cs="Arial"/>
                <w:sz w:val="20"/>
                <w:szCs w:val="20"/>
              </w:rPr>
              <w:t>AND</w:t>
            </w:r>
          </w:p>
          <w:p w:rsidR="00C23443" w:rsidRPr="003E6723" w:rsidRDefault="002F3C14" w:rsidP="00660076">
            <w:pPr>
              <w:rPr>
                <w:rFonts w:ascii="Arial Narrow" w:hAnsi="Arial Narrow" w:cs="Arial"/>
                <w:sz w:val="20"/>
                <w:szCs w:val="20"/>
              </w:rPr>
            </w:pPr>
            <w:r w:rsidRPr="003E6723">
              <w:rPr>
                <w:rFonts w:ascii="Arial Narrow" w:hAnsi="Arial Narrow" w:cs="Arial"/>
                <w:sz w:val="20"/>
                <w:szCs w:val="20"/>
              </w:rPr>
              <w:t>The treatment must not be used in combination with any other non-calcium phosphate binding agents.</w:t>
            </w:r>
          </w:p>
        </w:tc>
      </w:tr>
      <w:tr w:rsidR="00C23443" w:rsidRPr="003E6723" w:rsidTr="00CB5BD0">
        <w:trPr>
          <w:cantSplit/>
          <w:trHeight w:val="360"/>
        </w:trPr>
        <w:tc>
          <w:tcPr>
            <w:tcW w:w="1075" w:type="pct"/>
            <w:tcBorders>
              <w:top w:val="single" w:sz="4" w:space="0" w:color="auto"/>
              <w:left w:val="single" w:sz="4" w:space="0" w:color="auto"/>
              <w:bottom w:val="single" w:sz="4" w:space="0" w:color="auto"/>
              <w:right w:val="single" w:sz="4" w:space="0" w:color="auto"/>
            </w:tcBorders>
          </w:tcPr>
          <w:p w:rsidR="00C23443" w:rsidRPr="003E6723" w:rsidRDefault="00C23443" w:rsidP="00660076">
            <w:pPr>
              <w:jc w:val="both"/>
              <w:rPr>
                <w:rFonts w:ascii="Arial Narrow" w:hAnsi="Arial Narrow" w:cs="Arial"/>
                <w:sz w:val="20"/>
                <w:szCs w:val="20"/>
              </w:rPr>
            </w:pPr>
            <w:r w:rsidRPr="003E6723">
              <w:rPr>
                <w:rFonts w:ascii="Arial Narrow" w:hAnsi="Arial Narrow" w:cs="Arial"/>
                <w:b/>
                <w:sz w:val="20"/>
                <w:szCs w:val="20"/>
              </w:rPr>
              <w:t>Population criteria:</w:t>
            </w:r>
          </w:p>
        </w:tc>
        <w:tc>
          <w:tcPr>
            <w:tcW w:w="3925" w:type="pct"/>
            <w:gridSpan w:val="6"/>
            <w:tcBorders>
              <w:top w:val="single" w:sz="4" w:space="0" w:color="auto"/>
              <w:left w:val="single" w:sz="4" w:space="0" w:color="auto"/>
              <w:bottom w:val="single" w:sz="4" w:space="0" w:color="auto"/>
              <w:right w:val="single" w:sz="4" w:space="0" w:color="auto"/>
            </w:tcBorders>
          </w:tcPr>
          <w:p w:rsidR="00C23443" w:rsidRPr="003E6723" w:rsidRDefault="008A68FE" w:rsidP="00660076">
            <w:pPr>
              <w:rPr>
                <w:rFonts w:ascii="Arial Narrow" w:hAnsi="Arial Narrow" w:cs="Arial"/>
                <w:sz w:val="20"/>
                <w:szCs w:val="20"/>
              </w:rPr>
            </w:pPr>
            <w:r w:rsidRPr="003E6723">
              <w:rPr>
                <w:rFonts w:ascii="Arial Narrow" w:hAnsi="Arial Narrow" w:cs="Arial"/>
                <w:sz w:val="20"/>
                <w:szCs w:val="20"/>
              </w:rPr>
              <w:t>Patient must be 18 years old and over</w:t>
            </w:r>
          </w:p>
        </w:tc>
      </w:tr>
    </w:tbl>
    <w:p w:rsidR="002F3C14" w:rsidRPr="003E6723" w:rsidRDefault="002F3C14" w:rsidP="002F3C14">
      <w:pPr>
        <w:rPr>
          <w:rFonts w:eastAsiaTheme="majorEastAsia"/>
          <w:lang w:eastAsia="en-US"/>
        </w:rPr>
      </w:pPr>
    </w:p>
    <w:p w:rsidR="00175EF6" w:rsidRPr="003E6723" w:rsidRDefault="00175EF6" w:rsidP="00111049">
      <w:pPr>
        <w:ind w:firstLine="709"/>
        <w:rPr>
          <w:i/>
        </w:rPr>
      </w:pPr>
      <w:r w:rsidRPr="003E6723">
        <w:rPr>
          <w:rFonts w:asciiTheme="minorHAnsi" w:hAnsiTheme="minorHAnsi"/>
          <w:i/>
        </w:rPr>
        <w:t xml:space="preserve">For more detail on PBAC’s view, see </w:t>
      </w:r>
      <w:r w:rsidR="009478C3" w:rsidRPr="003E6723">
        <w:rPr>
          <w:rFonts w:asciiTheme="minorHAnsi" w:hAnsiTheme="minorHAnsi"/>
          <w:i/>
        </w:rPr>
        <w:t>S</w:t>
      </w:r>
      <w:r w:rsidRPr="003E6723">
        <w:rPr>
          <w:rFonts w:asciiTheme="minorHAnsi" w:hAnsiTheme="minorHAnsi"/>
          <w:i/>
        </w:rPr>
        <w:t xml:space="preserve">ection </w:t>
      </w:r>
      <w:r w:rsidR="004722D7" w:rsidRPr="003E6723">
        <w:rPr>
          <w:rFonts w:asciiTheme="minorHAnsi" w:hAnsiTheme="minorHAnsi"/>
          <w:i/>
        </w:rPr>
        <w:t>5</w:t>
      </w:r>
      <w:r w:rsidRPr="003E6723">
        <w:rPr>
          <w:rFonts w:asciiTheme="minorHAnsi" w:hAnsiTheme="minorHAnsi"/>
          <w:i/>
        </w:rPr>
        <w:t xml:space="preserve"> PBAC outcome.</w:t>
      </w:r>
    </w:p>
    <w:p w:rsidR="00C603D4" w:rsidRPr="003E6723" w:rsidRDefault="00CE10C4" w:rsidP="00696129">
      <w:pPr>
        <w:pStyle w:val="PBACHeading1"/>
        <w:spacing w:before="240" w:after="120"/>
        <w:ind w:left="709" w:hanging="709"/>
        <w:rPr>
          <w:rFonts w:asciiTheme="minorHAnsi" w:hAnsiTheme="minorHAnsi"/>
          <w:sz w:val="32"/>
          <w:szCs w:val="32"/>
        </w:rPr>
      </w:pPr>
      <w:r w:rsidRPr="003E6723">
        <w:rPr>
          <w:rFonts w:asciiTheme="minorHAnsi" w:hAnsiTheme="minorHAnsi"/>
          <w:sz w:val="32"/>
          <w:szCs w:val="32"/>
        </w:rPr>
        <w:t>Background</w:t>
      </w:r>
    </w:p>
    <w:p w:rsidR="006B0D94" w:rsidRPr="003E6723" w:rsidRDefault="00724D9A" w:rsidP="00724D9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t xml:space="preserve">TGA status at time of PBAC consideration: </w:t>
      </w:r>
      <w:r w:rsidR="007F2BD1" w:rsidRPr="003E6723">
        <w:rPr>
          <w:rFonts w:asciiTheme="minorHAnsi" w:eastAsiaTheme="minorHAnsi" w:hAnsiTheme="minorHAnsi" w:cstheme="minorBidi"/>
          <w:snapToGrid/>
          <w:sz w:val="24"/>
          <w:szCs w:val="22"/>
        </w:rPr>
        <w:t>Sevelamer carbonate</w:t>
      </w:r>
      <w:r w:rsidR="00476245" w:rsidRPr="003E6723">
        <w:rPr>
          <w:rFonts w:asciiTheme="minorHAnsi" w:eastAsiaTheme="minorHAnsi" w:hAnsiTheme="minorHAnsi" w:cstheme="minorBidi"/>
          <w:snapToGrid/>
          <w:sz w:val="24"/>
          <w:szCs w:val="22"/>
        </w:rPr>
        <w:t xml:space="preserve"> </w:t>
      </w:r>
      <w:r w:rsidR="00FF5472" w:rsidRPr="003E6723">
        <w:rPr>
          <w:rFonts w:asciiTheme="minorHAnsi" w:eastAsiaTheme="minorHAnsi" w:hAnsiTheme="minorHAnsi" w:cstheme="minorBidi"/>
          <w:snapToGrid/>
          <w:sz w:val="24"/>
          <w:szCs w:val="22"/>
        </w:rPr>
        <w:t>powder f</w:t>
      </w:r>
      <w:r w:rsidR="00853623" w:rsidRPr="003E6723">
        <w:rPr>
          <w:rFonts w:asciiTheme="minorHAnsi" w:eastAsiaTheme="minorHAnsi" w:hAnsiTheme="minorHAnsi" w:cstheme="minorBidi"/>
          <w:snapToGrid/>
          <w:sz w:val="24"/>
          <w:szCs w:val="22"/>
        </w:rPr>
        <w:t>or suspension</w:t>
      </w:r>
      <w:r w:rsidR="00FF5472" w:rsidRPr="003E6723">
        <w:rPr>
          <w:rFonts w:asciiTheme="minorHAnsi" w:eastAsiaTheme="minorHAnsi" w:hAnsiTheme="minorHAnsi" w:cstheme="minorBidi"/>
          <w:snapToGrid/>
          <w:sz w:val="24"/>
          <w:szCs w:val="22"/>
        </w:rPr>
        <w:t xml:space="preserve"> </w:t>
      </w:r>
      <w:r w:rsidR="00476245" w:rsidRPr="003E6723">
        <w:rPr>
          <w:rFonts w:asciiTheme="minorHAnsi" w:eastAsiaTheme="minorHAnsi" w:hAnsiTheme="minorHAnsi" w:cstheme="minorBidi"/>
          <w:snapToGrid/>
          <w:sz w:val="24"/>
          <w:szCs w:val="22"/>
        </w:rPr>
        <w:t xml:space="preserve">is </w:t>
      </w:r>
      <w:r w:rsidR="00063F99" w:rsidRPr="003E6723">
        <w:rPr>
          <w:rFonts w:asciiTheme="minorHAnsi" w:eastAsiaTheme="minorHAnsi" w:hAnsiTheme="minorHAnsi" w:cstheme="minorBidi"/>
          <w:snapToGrid/>
          <w:sz w:val="24"/>
          <w:szCs w:val="22"/>
        </w:rPr>
        <w:t xml:space="preserve">ARTG </w:t>
      </w:r>
      <w:r w:rsidR="00476245" w:rsidRPr="003E6723">
        <w:rPr>
          <w:rFonts w:asciiTheme="minorHAnsi" w:eastAsiaTheme="minorHAnsi" w:hAnsiTheme="minorHAnsi" w:cstheme="minorBidi"/>
          <w:snapToGrid/>
          <w:sz w:val="24"/>
          <w:szCs w:val="22"/>
        </w:rPr>
        <w:t>registered for</w:t>
      </w:r>
      <w:r w:rsidR="007F2BD1" w:rsidRPr="003E6723">
        <w:rPr>
          <w:rFonts w:asciiTheme="minorHAnsi" w:eastAsiaTheme="minorHAnsi" w:hAnsiTheme="minorHAnsi" w:cstheme="minorBidi"/>
          <w:snapToGrid/>
          <w:sz w:val="24"/>
          <w:szCs w:val="22"/>
        </w:rPr>
        <w:t xml:space="preserve"> the management of hyperphosphataemia in adult patients with stage 4 and 5 chronic kidney disease.</w:t>
      </w:r>
    </w:p>
    <w:p w:rsidR="008A1956" w:rsidRPr="003E6723" w:rsidRDefault="007F2BD1" w:rsidP="00141ED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lastRenderedPageBreak/>
        <w:t xml:space="preserve">Sevelamer carbonate has not previously been considered by the PBAC. </w:t>
      </w:r>
    </w:p>
    <w:p w:rsidR="00063F99" w:rsidRPr="003E6723" w:rsidRDefault="00141EDF" w:rsidP="00141ED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t>Sevelamer is currently available on the PBS as</w:t>
      </w:r>
      <w:r w:rsidR="00063F99" w:rsidRPr="003E6723">
        <w:rPr>
          <w:rFonts w:asciiTheme="minorHAnsi" w:eastAsiaTheme="minorHAnsi" w:hAnsiTheme="minorHAnsi" w:cstheme="minorBidi"/>
          <w:snapToGrid/>
          <w:sz w:val="24"/>
          <w:szCs w:val="22"/>
        </w:rPr>
        <w:t xml:space="preserve"> </w:t>
      </w:r>
      <w:r w:rsidR="00FF5472" w:rsidRPr="003E6723">
        <w:rPr>
          <w:rFonts w:asciiTheme="minorHAnsi" w:eastAsiaTheme="minorHAnsi" w:hAnsiTheme="minorHAnsi" w:cstheme="minorBidi"/>
          <w:snapToGrid/>
          <w:sz w:val="24"/>
          <w:szCs w:val="22"/>
        </w:rPr>
        <w:t xml:space="preserve">sevelamer </w:t>
      </w:r>
      <w:r w:rsidR="00AF09EC" w:rsidRPr="003E6723">
        <w:rPr>
          <w:rFonts w:asciiTheme="minorHAnsi" w:eastAsiaTheme="minorHAnsi" w:hAnsiTheme="minorHAnsi" w:cstheme="minorBidi"/>
          <w:snapToGrid/>
          <w:sz w:val="24"/>
          <w:szCs w:val="22"/>
        </w:rPr>
        <w:t xml:space="preserve">hydrochloride </w:t>
      </w:r>
      <w:r w:rsidRPr="003E6723">
        <w:rPr>
          <w:rFonts w:asciiTheme="minorHAnsi" w:eastAsiaTheme="minorHAnsi" w:hAnsiTheme="minorHAnsi" w:cstheme="minorBidi"/>
          <w:snapToGrid/>
          <w:sz w:val="24"/>
          <w:szCs w:val="22"/>
        </w:rPr>
        <w:t xml:space="preserve">800 mg </w:t>
      </w:r>
      <w:r w:rsidR="00AF09EC" w:rsidRPr="003E6723">
        <w:rPr>
          <w:rFonts w:asciiTheme="minorHAnsi" w:eastAsiaTheme="minorHAnsi" w:hAnsiTheme="minorHAnsi" w:cstheme="minorBidi"/>
          <w:snapToGrid/>
          <w:sz w:val="24"/>
          <w:szCs w:val="22"/>
        </w:rPr>
        <w:t xml:space="preserve">tablets </w:t>
      </w:r>
      <w:r w:rsidR="00FF5472" w:rsidRPr="003E6723">
        <w:rPr>
          <w:rFonts w:asciiTheme="minorHAnsi" w:eastAsiaTheme="minorHAnsi" w:hAnsiTheme="minorHAnsi" w:cstheme="minorBidi"/>
          <w:snapToGrid/>
          <w:sz w:val="24"/>
          <w:szCs w:val="22"/>
        </w:rPr>
        <w:t>for hyperphosphataemia in patients undergoing dialysis for chronic kidney disease.</w:t>
      </w:r>
    </w:p>
    <w:p w:rsidR="00037E11" w:rsidRPr="003E6723" w:rsidRDefault="00A312D9" w:rsidP="004C7EA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t>The</w:t>
      </w:r>
      <w:r w:rsidR="00FF5472" w:rsidRPr="003E6723">
        <w:rPr>
          <w:rFonts w:asciiTheme="minorHAnsi" w:eastAsiaTheme="minorHAnsi" w:hAnsiTheme="minorHAnsi" w:cstheme="minorBidi"/>
          <w:snapToGrid/>
          <w:sz w:val="24"/>
          <w:szCs w:val="22"/>
        </w:rPr>
        <w:t xml:space="preserve"> minor</w:t>
      </w:r>
      <w:r w:rsidRPr="003E6723">
        <w:rPr>
          <w:rFonts w:asciiTheme="minorHAnsi" w:eastAsiaTheme="minorHAnsi" w:hAnsiTheme="minorHAnsi" w:cstheme="minorBidi"/>
          <w:snapToGrid/>
          <w:sz w:val="24"/>
          <w:szCs w:val="22"/>
        </w:rPr>
        <w:t xml:space="preserve"> submission </w:t>
      </w:r>
      <w:r w:rsidR="00FF5472" w:rsidRPr="003E6723">
        <w:rPr>
          <w:rFonts w:asciiTheme="minorHAnsi" w:eastAsiaTheme="minorHAnsi" w:hAnsiTheme="minorHAnsi" w:cstheme="minorBidi"/>
          <w:snapToGrid/>
          <w:sz w:val="24"/>
          <w:szCs w:val="22"/>
        </w:rPr>
        <w:t xml:space="preserve">claimed </w:t>
      </w:r>
      <w:r w:rsidRPr="003E6723">
        <w:rPr>
          <w:rFonts w:asciiTheme="minorHAnsi" w:eastAsiaTheme="minorHAnsi" w:hAnsiTheme="minorHAnsi" w:cstheme="minorBidi"/>
          <w:snapToGrid/>
          <w:sz w:val="24"/>
          <w:szCs w:val="22"/>
        </w:rPr>
        <w:t>that sevelamer carbonate</w:t>
      </w:r>
      <w:r w:rsidR="007E0A8D" w:rsidRPr="003E6723">
        <w:rPr>
          <w:rFonts w:asciiTheme="minorHAnsi" w:eastAsiaTheme="minorHAnsi" w:hAnsiTheme="minorHAnsi" w:cstheme="minorBidi"/>
          <w:snapToGrid/>
          <w:sz w:val="24"/>
          <w:szCs w:val="22"/>
        </w:rPr>
        <w:t xml:space="preserve"> </w:t>
      </w:r>
      <w:r w:rsidR="00853623" w:rsidRPr="003E6723">
        <w:rPr>
          <w:rFonts w:asciiTheme="minorHAnsi" w:eastAsiaTheme="minorHAnsi" w:hAnsiTheme="minorHAnsi" w:cstheme="minorBidi"/>
          <w:snapToGrid/>
          <w:sz w:val="24"/>
          <w:szCs w:val="22"/>
        </w:rPr>
        <w:t>powder for suspension</w:t>
      </w:r>
      <w:r w:rsidRPr="003E6723">
        <w:rPr>
          <w:rFonts w:asciiTheme="minorHAnsi" w:eastAsiaTheme="minorHAnsi" w:hAnsiTheme="minorHAnsi" w:cstheme="minorBidi"/>
          <w:snapToGrid/>
          <w:sz w:val="24"/>
          <w:szCs w:val="22"/>
        </w:rPr>
        <w:t xml:space="preserve"> may help reduce the pill burden in patients with chronic kidney disease, or as an alternative dose form for patients who have difficulty swallowing the sevelamer hydrochloride tablets.  </w:t>
      </w:r>
    </w:p>
    <w:p w:rsidR="00175EF6" w:rsidRPr="003E6723" w:rsidRDefault="00175EF6" w:rsidP="00D23570">
      <w:pPr>
        <w:pStyle w:val="ListParagraph"/>
        <w:widowControl/>
        <w:spacing w:before="120" w:after="160"/>
        <w:contextualSpacing w:val="0"/>
        <w:rPr>
          <w:rFonts w:asciiTheme="minorHAnsi" w:eastAsiaTheme="minorHAnsi" w:hAnsiTheme="minorHAnsi" w:cstheme="minorBidi"/>
          <w:i/>
          <w:snapToGrid/>
          <w:sz w:val="24"/>
          <w:szCs w:val="22"/>
        </w:rPr>
      </w:pPr>
      <w:r w:rsidRPr="003E6723">
        <w:rPr>
          <w:rFonts w:asciiTheme="minorHAnsi" w:eastAsiaTheme="minorHAnsi" w:hAnsiTheme="minorHAnsi" w:cstheme="minorBidi"/>
          <w:i/>
          <w:snapToGrid/>
          <w:sz w:val="24"/>
          <w:szCs w:val="22"/>
        </w:rPr>
        <w:t xml:space="preserve">For more detail on PBAC’s view, see </w:t>
      </w:r>
      <w:r w:rsidR="009478C3" w:rsidRPr="003E6723">
        <w:rPr>
          <w:rFonts w:asciiTheme="minorHAnsi" w:eastAsiaTheme="minorHAnsi" w:hAnsiTheme="minorHAnsi" w:cstheme="minorBidi"/>
          <w:i/>
          <w:snapToGrid/>
          <w:sz w:val="24"/>
          <w:szCs w:val="22"/>
        </w:rPr>
        <w:t>S</w:t>
      </w:r>
      <w:r w:rsidRPr="003E6723">
        <w:rPr>
          <w:rFonts w:asciiTheme="minorHAnsi" w:eastAsiaTheme="minorHAnsi" w:hAnsiTheme="minorHAnsi" w:cstheme="minorBidi"/>
          <w:i/>
          <w:snapToGrid/>
          <w:sz w:val="24"/>
          <w:szCs w:val="22"/>
        </w:rPr>
        <w:t xml:space="preserve">ection </w:t>
      </w:r>
      <w:r w:rsidR="004722D7" w:rsidRPr="003E6723">
        <w:rPr>
          <w:rFonts w:asciiTheme="minorHAnsi" w:eastAsiaTheme="minorHAnsi" w:hAnsiTheme="minorHAnsi" w:cstheme="minorBidi"/>
          <w:i/>
          <w:snapToGrid/>
          <w:sz w:val="24"/>
          <w:szCs w:val="22"/>
        </w:rPr>
        <w:t>5</w:t>
      </w:r>
      <w:r w:rsidRPr="003E6723">
        <w:rPr>
          <w:rFonts w:asciiTheme="minorHAnsi" w:eastAsiaTheme="minorHAnsi" w:hAnsiTheme="minorHAnsi" w:cstheme="minorBidi"/>
          <w:i/>
          <w:snapToGrid/>
          <w:sz w:val="24"/>
          <w:szCs w:val="22"/>
        </w:rPr>
        <w:t xml:space="preserve"> PBAC outcome.</w:t>
      </w:r>
    </w:p>
    <w:p w:rsidR="00531B3B" w:rsidRPr="003E6723" w:rsidRDefault="008D7A41" w:rsidP="00531B3B">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E6723">
        <w:rPr>
          <w:rFonts w:asciiTheme="minorHAnsi" w:hAnsiTheme="minorHAnsi"/>
          <w:sz w:val="32"/>
          <w:szCs w:val="32"/>
        </w:rPr>
        <w:t>C</w:t>
      </w:r>
      <w:r w:rsidR="00D84934" w:rsidRPr="003E6723">
        <w:rPr>
          <w:rFonts w:asciiTheme="minorHAnsi" w:hAnsiTheme="minorHAnsi"/>
          <w:sz w:val="32"/>
          <w:szCs w:val="32"/>
        </w:rPr>
        <w:t>onsideration of the evidence</w:t>
      </w:r>
    </w:p>
    <w:p w:rsidR="00531B3B" w:rsidRPr="003E6723" w:rsidRDefault="00531B3B" w:rsidP="00531B3B">
      <w:pPr>
        <w:pStyle w:val="Heading2"/>
        <w:keepLines/>
        <w:spacing w:before="240" w:after="120"/>
        <w:jc w:val="both"/>
        <w:rPr>
          <w:rFonts w:asciiTheme="minorHAnsi" w:eastAsiaTheme="majorEastAsia" w:hAnsiTheme="minorHAnsi" w:cstheme="majorBidi"/>
          <w:sz w:val="28"/>
          <w:szCs w:val="28"/>
          <w:lang w:eastAsia="en-US"/>
        </w:rPr>
      </w:pPr>
      <w:r w:rsidRPr="003E6723">
        <w:rPr>
          <w:rFonts w:asciiTheme="minorHAnsi" w:eastAsiaTheme="majorEastAsia" w:hAnsiTheme="minorHAnsi" w:cstheme="majorBidi"/>
          <w:sz w:val="28"/>
          <w:szCs w:val="28"/>
          <w:lang w:eastAsia="en-US"/>
        </w:rPr>
        <w:t>Sponsor hearing</w:t>
      </w:r>
    </w:p>
    <w:p w:rsidR="00531B3B" w:rsidRPr="003E6723" w:rsidRDefault="00282ACF" w:rsidP="00282ACF">
      <w:pPr>
        <w:pStyle w:val="ListParagraph"/>
        <w:widowControl/>
        <w:numPr>
          <w:ilvl w:val="1"/>
          <w:numId w:val="14"/>
        </w:numPr>
        <w:spacing w:before="120" w:after="160"/>
        <w:contextualSpacing w:val="0"/>
        <w:rPr>
          <w:rFonts w:asciiTheme="minorHAnsi" w:eastAsiaTheme="minorHAnsi" w:hAnsiTheme="minorHAnsi" w:cstheme="minorBidi"/>
          <w:sz w:val="24"/>
          <w:szCs w:val="22"/>
        </w:rPr>
      </w:pPr>
      <w:r w:rsidRPr="003E6723">
        <w:rPr>
          <w:rFonts w:asciiTheme="minorHAnsi" w:eastAsiaTheme="minorHAnsi" w:hAnsiTheme="minorHAnsi" w:cstheme="minorBidi"/>
          <w:sz w:val="24"/>
          <w:szCs w:val="22"/>
        </w:rPr>
        <w:t>There was no hearing for this item as it was a minor submission.</w:t>
      </w:r>
    </w:p>
    <w:p w:rsidR="00531B3B" w:rsidRPr="003E6723" w:rsidRDefault="00531B3B" w:rsidP="00531B3B">
      <w:pPr>
        <w:pStyle w:val="Heading2"/>
        <w:keepLines/>
        <w:spacing w:before="240" w:after="120"/>
        <w:jc w:val="both"/>
        <w:rPr>
          <w:rFonts w:asciiTheme="minorHAnsi" w:eastAsiaTheme="majorEastAsia" w:hAnsiTheme="minorHAnsi" w:cstheme="majorBidi"/>
          <w:sz w:val="28"/>
          <w:szCs w:val="28"/>
          <w:lang w:eastAsia="en-US"/>
        </w:rPr>
      </w:pPr>
      <w:r w:rsidRPr="003E6723">
        <w:rPr>
          <w:rFonts w:asciiTheme="minorHAnsi" w:eastAsiaTheme="majorEastAsia" w:hAnsiTheme="minorHAnsi" w:cstheme="majorBidi"/>
          <w:sz w:val="28"/>
          <w:szCs w:val="28"/>
          <w:lang w:eastAsia="en-US"/>
        </w:rPr>
        <w:t>Consumer comments</w:t>
      </w:r>
    </w:p>
    <w:p w:rsidR="00531B3B" w:rsidRPr="003E6723" w:rsidRDefault="00282ACF" w:rsidP="00282ACF">
      <w:pPr>
        <w:pStyle w:val="ListParagraph"/>
        <w:widowControl/>
        <w:numPr>
          <w:ilvl w:val="1"/>
          <w:numId w:val="14"/>
        </w:numPr>
        <w:spacing w:before="120" w:after="160"/>
        <w:contextualSpacing w:val="0"/>
        <w:rPr>
          <w:rFonts w:asciiTheme="minorHAnsi" w:eastAsiaTheme="minorHAnsi" w:hAnsiTheme="minorHAnsi" w:cstheme="minorBidi"/>
          <w:sz w:val="24"/>
          <w:szCs w:val="22"/>
        </w:rPr>
      </w:pPr>
      <w:r w:rsidRPr="003E6723">
        <w:rPr>
          <w:rFonts w:asciiTheme="minorHAnsi" w:eastAsiaTheme="minorHAnsi" w:hAnsiTheme="minorHAnsi" w:cstheme="minorBidi"/>
          <w:sz w:val="24"/>
          <w:szCs w:val="22"/>
        </w:rPr>
        <w:t>The PBAC noted that no consumer comments were received for this item.</w:t>
      </w:r>
    </w:p>
    <w:p w:rsidR="006F59A8" w:rsidRPr="003E6723" w:rsidRDefault="00F8039C" w:rsidP="00AB5BC4">
      <w:pPr>
        <w:pStyle w:val="Heading2"/>
        <w:keepLines/>
        <w:spacing w:before="240" w:after="120"/>
        <w:jc w:val="both"/>
        <w:rPr>
          <w:rFonts w:asciiTheme="minorHAnsi" w:eastAsiaTheme="majorEastAsia" w:hAnsiTheme="minorHAnsi" w:cstheme="majorBidi"/>
          <w:sz w:val="28"/>
          <w:szCs w:val="28"/>
          <w:lang w:eastAsia="en-US"/>
        </w:rPr>
      </w:pPr>
      <w:r w:rsidRPr="003E6723">
        <w:rPr>
          <w:rFonts w:asciiTheme="minorHAnsi" w:eastAsiaTheme="majorEastAsia" w:hAnsiTheme="minorHAnsi" w:cstheme="majorBidi"/>
          <w:sz w:val="28"/>
          <w:szCs w:val="28"/>
          <w:lang w:eastAsia="en-US"/>
        </w:rPr>
        <w:t>Clinical Evidence</w:t>
      </w:r>
    </w:p>
    <w:p w:rsidR="00F8039C" w:rsidRPr="003E6723" w:rsidRDefault="00F8039C" w:rsidP="00F8039C">
      <w:pPr>
        <w:pStyle w:val="ListParagraph"/>
        <w:numPr>
          <w:ilvl w:val="1"/>
          <w:numId w:val="14"/>
        </w:numPr>
        <w:rPr>
          <w:rFonts w:eastAsiaTheme="minorHAnsi"/>
          <w:snapToGrid/>
        </w:rPr>
      </w:pPr>
      <w:r w:rsidRPr="003E6723">
        <w:rPr>
          <w:rFonts w:asciiTheme="minorHAnsi" w:eastAsiaTheme="minorHAnsi" w:hAnsiTheme="minorHAnsi" w:cstheme="minorBidi"/>
          <w:snapToGrid/>
          <w:sz w:val="24"/>
          <w:szCs w:val="22"/>
        </w:rPr>
        <w:t>The TGA-approved Australian Product Information (PI) indicated that the recommended dosage of the 2.4 g powder for suspension of sevelamer carbonate is with each meal, three times a day, resulting in a daily administration of up to 7.2 g (2.4 g x 3) of powder for suspension. However, the PI also recommend</w:t>
      </w:r>
      <w:r w:rsidR="00343352" w:rsidRPr="003E6723">
        <w:rPr>
          <w:rFonts w:asciiTheme="minorHAnsi" w:eastAsiaTheme="minorHAnsi" w:hAnsiTheme="minorHAnsi" w:cstheme="minorBidi"/>
          <w:snapToGrid/>
          <w:sz w:val="24"/>
          <w:szCs w:val="22"/>
        </w:rPr>
        <w:t>ed</w:t>
      </w:r>
      <w:r w:rsidRPr="003E6723">
        <w:rPr>
          <w:rFonts w:asciiTheme="minorHAnsi" w:eastAsiaTheme="minorHAnsi" w:hAnsiTheme="minorHAnsi" w:cstheme="minorBidi"/>
          <w:snapToGrid/>
          <w:sz w:val="24"/>
          <w:szCs w:val="22"/>
        </w:rPr>
        <w:t xml:space="preserve"> a starting dose of between 2.4 g to 4.8 g per day. </w:t>
      </w:r>
    </w:p>
    <w:p w:rsidR="00F8039C" w:rsidRPr="003E6723" w:rsidRDefault="00F8039C" w:rsidP="00F8039C">
      <w:pPr>
        <w:pStyle w:val="ListParagraph"/>
        <w:rPr>
          <w:rFonts w:asciiTheme="minorHAnsi" w:eastAsiaTheme="minorHAnsi" w:hAnsiTheme="minorHAnsi" w:cstheme="minorBidi"/>
          <w:sz w:val="24"/>
          <w:szCs w:val="22"/>
        </w:rPr>
      </w:pPr>
    </w:p>
    <w:p w:rsidR="004A3DB4" w:rsidRPr="003E6723" w:rsidRDefault="008B62EA" w:rsidP="004A3DB4">
      <w:pPr>
        <w:pStyle w:val="ListParagraph"/>
        <w:numPr>
          <w:ilvl w:val="1"/>
          <w:numId w:val="14"/>
        </w:numPr>
        <w:rPr>
          <w:rFonts w:asciiTheme="minorHAnsi" w:eastAsiaTheme="minorHAnsi" w:hAnsiTheme="minorHAnsi" w:cstheme="minorBidi"/>
          <w:sz w:val="24"/>
          <w:szCs w:val="22"/>
        </w:rPr>
      </w:pPr>
      <w:r w:rsidRPr="003E6723">
        <w:rPr>
          <w:rFonts w:asciiTheme="minorHAnsi" w:eastAsiaTheme="minorHAnsi" w:hAnsiTheme="minorHAnsi" w:cstheme="minorBidi"/>
          <w:sz w:val="24"/>
          <w:szCs w:val="22"/>
        </w:rPr>
        <w:t xml:space="preserve">The submission </w:t>
      </w:r>
      <w:r w:rsidR="00343352" w:rsidRPr="003E6723">
        <w:rPr>
          <w:rFonts w:asciiTheme="minorHAnsi" w:eastAsiaTheme="minorHAnsi" w:hAnsiTheme="minorHAnsi" w:cstheme="minorBidi"/>
          <w:sz w:val="24"/>
          <w:szCs w:val="22"/>
        </w:rPr>
        <w:t>stated</w:t>
      </w:r>
      <w:r w:rsidRPr="003E6723">
        <w:rPr>
          <w:rFonts w:asciiTheme="minorHAnsi" w:eastAsiaTheme="minorHAnsi" w:hAnsiTheme="minorHAnsi" w:cstheme="minorBidi"/>
          <w:sz w:val="24"/>
          <w:szCs w:val="22"/>
        </w:rPr>
        <w:t xml:space="preserve"> that two of the efficacy and safety cross over studies considered by the TGA </w:t>
      </w:r>
      <w:r w:rsidR="00A77143" w:rsidRPr="003E6723">
        <w:rPr>
          <w:rFonts w:asciiTheme="minorHAnsi" w:eastAsiaTheme="minorHAnsi" w:hAnsiTheme="minorHAnsi" w:cstheme="minorBidi"/>
          <w:sz w:val="24"/>
          <w:szCs w:val="22"/>
        </w:rPr>
        <w:t>we</w:t>
      </w:r>
      <w:r w:rsidRPr="003E6723">
        <w:rPr>
          <w:rFonts w:asciiTheme="minorHAnsi" w:eastAsiaTheme="minorHAnsi" w:hAnsiTheme="minorHAnsi" w:cstheme="minorBidi"/>
          <w:sz w:val="24"/>
          <w:szCs w:val="22"/>
        </w:rPr>
        <w:t xml:space="preserve">re relevant to support the PBS listing of sevelamer carbonate on a cost-minimisation basis to sevelamer hydrochloride (Study SVCARB00205 and Study GD3-163-201). </w:t>
      </w:r>
      <w:r w:rsidR="004A3DB4" w:rsidRPr="003E6723">
        <w:rPr>
          <w:rFonts w:asciiTheme="minorHAnsi" w:eastAsiaTheme="minorHAnsi" w:hAnsiTheme="minorHAnsi" w:cstheme="minorBidi"/>
          <w:sz w:val="24"/>
          <w:szCs w:val="22"/>
        </w:rPr>
        <w:t>The Pre-PBAC response (p1) clarifi</w:t>
      </w:r>
      <w:r w:rsidR="008E5D3A" w:rsidRPr="003E6723">
        <w:rPr>
          <w:rFonts w:asciiTheme="minorHAnsi" w:eastAsiaTheme="minorHAnsi" w:hAnsiTheme="minorHAnsi" w:cstheme="minorBidi"/>
          <w:sz w:val="24"/>
          <w:szCs w:val="22"/>
        </w:rPr>
        <w:t xml:space="preserve">ed that although not implicitly stated, </w:t>
      </w:r>
      <w:r w:rsidR="004A3DB4" w:rsidRPr="003E6723">
        <w:rPr>
          <w:rFonts w:asciiTheme="minorHAnsi" w:eastAsiaTheme="minorHAnsi" w:hAnsiTheme="minorHAnsi" w:cstheme="minorBidi"/>
          <w:sz w:val="24"/>
          <w:szCs w:val="22"/>
        </w:rPr>
        <w:t xml:space="preserve">the submission sought for </w:t>
      </w:r>
      <w:r w:rsidR="008E5D3A" w:rsidRPr="003E6723">
        <w:rPr>
          <w:rFonts w:asciiTheme="minorHAnsi" w:eastAsiaTheme="minorHAnsi" w:hAnsiTheme="minorHAnsi" w:cstheme="minorBidi"/>
          <w:sz w:val="24"/>
          <w:szCs w:val="22"/>
        </w:rPr>
        <w:t>price parity on the basis of a per milligram equivalence.</w:t>
      </w:r>
    </w:p>
    <w:p w:rsidR="004A3DB4" w:rsidRPr="003E6723" w:rsidRDefault="004A3DB4" w:rsidP="004A3DB4">
      <w:pPr>
        <w:pStyle w:val="ListParagraph"/>
        <w:rPr>
          <w:rFonts w:asciiTheme="minorHAnsi" w:eastAsiaTheme="minorHAnsi" w:hAnsiTheme="minorHAnsi" w:cstheme="minorBidi"/>
          <w:sz w:val="24"/>
          <w:szCs w:val="22"/>
        </w:rPr>
      </w:pPr>
    </w:p>
    <w:p w:rsidR="00496BDA" w:rsidRDefault="008B62EA" w:rsidP="004521E0">
      <w:pPr>
        <w:pStyle w:val="ListParagraph"/>
        <w:rPr>
          <w:rFonts w:asciiTheme="minorHAnsi" w:eastAsiaTheme="minorHAnsi" w:hAnsiTheme="minorHAnsi" w:cstheme="minorBidi"/>
          <w:sz w:val="24"/>
          <w:szCs w:val="22"/>
        </w:rPr>
      </w:pPr>
      <w:r w:rsidRPr="003E6723">
        <w:rPr>
          <w:rFonts w:asciiTheme="minorHAnsi" w:eastAsiaTheme="minorHAnsi" w:hAnsiTheme="minorHAnsi" w:cstheme="minorBidi"/>
          <w:sz w:val="24"/>
          <w:szCs w:val="22"/>
        </w:rPr>
        <w:t xml:space="preserve">These studies directly compared the efficacy and safety between sevelamer carbonate (as tablets or powder for suspension) and sevelamer hydrochloride (as tablets) given TDS with meals in hyperphosphatemic patients with CKD.  Study GD3-119-301, which was included in the TGA dossier may also be relevant to establishing the equivalence of sevelamer hydrochloride and sevelamer carbonate.  The submission </w:t>
      </w:r>
      <w:r w:rsidR="00343352" w:rsidRPr="003E6723">
        <w:rPr>
          <w:rFonts w:asciiTheme="minorHAnsi" w:eastAsiaTheme="minorHAnsi" w:hAnsiTheme="minorHAnsi" w:cstheme="minorBidi"/>
          <w:sz w:val="24"/>
          <w:szCs w:val="22"/>
        </w:rPr>
        <w:t xml:space="preserve">excluded </w:t>
      </w:r>
      <w:r w:rsidRPr="003E6723">
        <w:rPr>
          <w:rFonts w:asciiTheme="minorHAnsi" w:eastAsiaTheme="minorHAnsi" w:hAnsiTheme="minorHAnsi" w:cstheme="minorBidi"/>
          <w:sz w:val="24"/>
          <w:szCs w:val="22"/>
        </w:rPr>
        <w:t>this study on the grounds that it compared once daily sevelamer carbonate dosing with thrice daily sevelamer hydrochloride dosing.</w:t>
      </w:r>
      <w:r w:rsidR="004A3DB4" w:rsidRPr="003E6723">
        <w:rPr>
          <w:rFonts w:asciiTheme="minorHAnsi" w:eastAsiaTheme="minorHAnsi" w:hAnsiTheme="minorHAnsi" w:cstheme="minorBidi"/>
          <w:sz w:val="24"/>
          <w:szCs w:val="22"/>
        </w:rPr>
        <w:t xml:space="preserve"> </w:t>
      </w:r>
      <w:r w:rsidR="008E5D3A" w:rsidRPr="003E6723">
        <w:rPr>
          <w:rFonts w:asciiTheme="minorHAnsi" w:eastAsiaTheme="minorHAnsi" w:hAnsiTheme="minorHAnsi" w:cstheme="minorBidi"/>
          <w:sz w:val="24"/>
          <w:szCs w:val="22"/>
        </w:rPr>
        <w:t xml:space="preserve">The Pre-PBAC response (p2) </w:t>
      </w:r>
      <w:r w:rsidR="00FD3277" w:rsidRPr="003E6723">
        <w:rPr>
          <w:rFonts w:asciiTheme="minorHAnsi" w:eastAsiaTheme="minorHAnsi" w:hAnsiTheme="minorHAnsi" w:cstheme="minorBidi"/>
          <w:sz w:val="24"/>
          <w:szCs w:val="22"/>
        </w:rPr>
        <w:t>maintained</w:t>
      </w:r>
      <w:r w:rsidR="008E5D3A" w:rsidRPr="003E6723">
        <w:rPr>
          <w:rFonts w:asciiTheme="minorHAnsi" w:eastAsiaTheme="minorHAnsi" w:hAnsiTheme="minorHAnsi" w:cstheme="minorBidi"/>
          <w:sz w:val="24"/>
          <w:szCs w:val="22"/>
        </w:rPr>
        <w:t xml:space="preserve"> that it was inappropriate to include this study in the comparison as it did not result in comparable serum phosphate levels and a once daily dosing regimen w</w:t>
      </w:r>
      <w:r w:rsidR="004521E0">
        <w:rPr>
          <w:rFonts w:asciiTheme="minorHAnsi" w:eastAsiaTheme="minorHAnsi" w:hAnsiTheme="minorHAnsi" w:cstheme="minorBidi"/>
          <w:sz w:val="24"/>
          <w:szCs w:val="22"/>
        </w:rPr>
        <w:t>as not recommended by the TGA.</w:t>
      </w:r>
    </w:p>
    <w:p w:rsidR="004521E0" w:rsidRPr="004521E0" w:rsidRDefault="004521E0" w:rsidP="004521E0">
      <w:pPr>
        <w:pStyle w:val="ListParagraph"/>
        <w:rPr>
          <w:rFonts w:asciiTheme="minorHAnsi" w:eastAsiaTheme="minorHAnsi" w:hAnsiTheme="minorHAnsi" w:cstheme="minorBidi"/>
          <w:sz w:val="24"/>
          <w:szCs w:val="22"/>
        </w:rPr>
      </w:pPr>
    </w:p>
    <w:p w:rsidR="00163973" w:rsidRPr="003E6723" w:rsidRDefault="00163973" w:rsidP="00163973">
      <w:pPr>
        <w:pStyle w:val="ListParagraph"/>
        <w:numPr>
          <w:ilvl w:val="1"/>
          <w:numId w:val="14"/>
        </w:numPr>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t xml:space="preserve">The </w:t>
      </w:r>
      <w:r w:rsidR="008B62EA" w:rsidRPr="003E6723">
        <w:rPr>
          <w:rFonts w:asciiTheme="minorHAnsi" w:eastAsiaTheme="minorHAnsi" w:hAnsiTheme="minorHAnsi" w:cstheme="minorBidi"/>
          <w:snapToGrid/>
          <w:sz w:val="24"/>
          <w:szCs w:val="22"/>
        </w:rPr>
        <w:t xml:space="preserve">TGA approved </w:t>
      </w:r>
      <w:r w:rsidRPr="003E6723">
        <w:rPr>
          <w:rFonts w:asciiTheme="minorHAnsi" w:eastAsiaTheme="minorHAnsi" w:hAnsiTheme="minorHAnsi" w:cstheme="minorBidi"/>
          <w:snapToGrid/>
          <w:sz w:val="24"/>
          <w:szCs w:val="22"/>
        </w:rPr>
        <w:t>PI stated that the average actual daily dose</w:t>
      </w:r>
      <w:r w:rsidR="00CF00E0" w:rsidRPr="003E6723">
        <w:rPr>
          <w:rFonts w:asciiTheme="minorHAnsi" w:eastAsiaTheme="minorHAnsi" w:hAnsiTheme="minorHAnsi" w:cstheme="minorBidi"/>
          <w:snapToGrid/>
          <w:sz w:val="24"/>
          <w:szCs w:val="22"/>
        </w:rPr>
        <w:t>s</w:t>
      </w:r>
      <w:r w:rsidRPr="003E6723">
        <w:rPr>
          <w:rFonts w:asciiTheme="minorHAnsi" w:eastAsiaTheme="minorHAnsi" w:hAnsiTheme="minorHAnsi" w:cstheme="minorBidi"/>
          <w:snapToGrid/>
          <w:sz w:val="24"/>
          <w:szCs w:val="22"/>
        </w:rPr>
        <w:t xml:space="preserve"> in these</w:t>
      </w:r>
      <w:r w:rsidR="008B62EA" w:rsidRPr="003E6723">
        <w:rPr>
          <w:rFonts w:asciiTheme="minorHAnsi" w:eastAsiaTheme="minorHAnsi" w:hAnsiTheme="minorHAnsi" w:cstheme="minorBidi"/>
          <w:snapToGrid/>
          <w:sz w:val="24"/>
          <w:szCs w:val="22"/>
        </w:rPr>
        <w:t xml:space="preserve"> three</w:t>
      </w:r>
      <w:r w:rsidRPr="003E6723">
        <w:rPr>
          <w:rFonts w:asciiTheme="minorHAnsi" w:eastAsiaTheme="minorHAnsi" w:hAnsiTheme="minorHAnsi" w:cstheme="minorBidi"/>
          <w:snapToGrid/>
          <w:sz w:val="24"/>
          <w:szCs w:val="22"/>
        </w:rPr>
        <w:t xml:space="preserve"> studies were:</w:t>
      </w:r>
    </w:p>
    <w:p w:rsidR="00E9255D" w:rsidRPr="003E6723" w:rsidRDefault="00163973" w:rsidP="00C12C48">
      <w:pPr>
        <w:pStyle w:val="ListParagraph"/>
        <w:numPr>
          <w:ilvl w:val="2"/>
          <w:numId w:val="14"/>
        </w:numPr>
        <w:tabs>
          <w:tab w:val="left" w:pos="1276"/>
        </w:tabs>
        <w:ind w:left="1276" w:hanging="425"/>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t>GD3-163-201 (cross-over study of sevelamer carbonate 800 mg tablets and sevelamer hydrochloride 800 mg tablets)</w:t>
      </w:r>
      <w:r w:rsidR="000F3005" w:rsidRPr="003E6723">
        <w:rPr>
          <w:rFonts w:asciiTheme="minorHAnsi" w:eastAsiaTheme="minorHAnsi" w:hAnsiTheme="minorHAnsi" w:cstheme="minorBidi"/>
          <w:snapToGrid/>
          <w:sz w:val="24"/>
          <w:szCs w:val="22"/>
        </w:rPr>
        <w:t xml:space="preserve">: </w:t>
      </w:r>
      <w:r w:rsidRPr="003E6723">
        <w:rPr>
          <w:rFonts w:asciiTheme="minorHAnsi" w:eastAsiaTheme="minorHAnsi" w:hAnsiTheme="minorHAnsi" w:cstheme="minorBidi"/>
          <w:snapToGrid/>
          <w:sz w:val="24"/>
          <w:szCs w:val="22"/>
        </w:rPr>
        <w:t xml:space="preserve"> </w:t>
      </w:r>
      <w:r w:rsidR="000F3005" w:rsidRPr="003E6723">
        <w:t>6</w:t>
      </w:r>
      <w:r w:rsidR="006D019C" w:rsidRPr="003E6723">
        <w:t>.0</w:t>
      </w:r>
      <w:r w:rsidR="000F3005" w:rsidRPr="003E6723">
        <w:t xml:space="preserve"> g/day</w:t>
      </w:r>
      <w:r w:rsidR="000F3005" w:rsidRPr="003E6723" w:rsidDel="000F3005">
        <w:rPr>
          <w:rFonts w:asciiTheme="minorHAnsi" w:eastAsiaTheme="minorHAnsi" w:hAnsiTheme="minorHAnsi" w:cstheme="minorBidi"/>
          <w:snapToGrid/>
          <w:sz w:val="24"/>
          <w:szCs w:val="22"/>
        </w:rPr>
        <w:t xml:space="preserve"> </w:t>
      </w:r>
      <w:r w:rsidR="000F3005" w:rsidRPr="003E6723">
        <w:rPr>
          <w:rFonts w:asciiTheme="minorHAnsi" w:eastAsiaTheme="minorHAnsi" w:hAnsiTheme="minorHAnsi" w:cstheme="minorBidi"/>
          <w:snapToGrid/>
          <w:sz w:val="24"/>
          <w:szCs w:val="22"/>
        </w:rPr>
        <w:t>for both treatments.</w:t>
      </w:r>
    </w:p>
    <w:p w:rsidR="000F3005" w:rsidRPr="003E6723" w:rsidRDefault="000F3005" w:rsidP="00C12C48">
      <w:pPr>
        <w:pStyle w:val="ListParagraph"/>
        <w:numPr>
          <w:ilvl w:val="2"/>
          <w:numId w:val="14"/>
        </w:numPr>
        <w:tabs>
          <w:tab w:val="left" w:pos="1276"/>
        </w:tabs>
        <w:ind w:left="1276" w:hanging="425"/>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t>SVCARB00205 (cross-over study of sevelamer carbonate powder and sevelamer hydrochloride tablets):  6.0 g/day and 6.4 g/day of sevelamer carbonate powder and sevelamer hydrochloride tablets, respectively.</w:t>
      </w:r>
    </w:p>
    <w:p w:rsidR="000F3005" w:rsidRPr="003E6723" w:rsidRDefault="000F3005" w:rsidP="00C12C48">
      <w:pPr>
        <w:pStyle w:val="ListParagraph"/>
        <w:numPr>
          <w:ilvl w:val="2"/>
          <w:numId w:val="14"/>
        </w:numPr>
        <w:tabs>
          <w:tab w:val="left" w:pos="1276"/>
        </w:tabs>
        <w:ind w:left="1276" w:hanging="425"/>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t>GD3-199-301 (sevelamer carbonate powder once daily and sevelamer hydrochloride tablets thrice daily): 6.2 g/day and 6.7 g/day of sevelamer carbonate powder and sevelamer hydrochloride tablets, respectively.</w:t>
      </w:r>
    </w:p>
    <w:p w:rsidR="008B62EA" w:rsidRPr="003E6723" w:rsidRDefault="008B62EA" w:rsidP="008B62EA">
      <w:pPr>
        <w:tabs>
          <w:tab w:val="left" w:pos="1134"/>
        </w:tabs>
        <w:rPr>
          <w:rFonts w:asciiTheme="minorHAnsi" w:eastAsiaTheme="minorHAnsi" w:hAnsiTheme="minorHAnsi" w:cstheme="minorBidi"/>
          <w:szCs w:val="22"/>
        </w:rPr>
      </w:pPr>
    </w:p>
    <w:p w:rsidR="00BE3EB6" w:rsidRPr="003E6723" w:rsidRDefault="00BE3EB6" w:rsidP="00BE3EB6">
      <w:pPr>
        <w:pStyle w:val="ListParagraph"/>
        <w:numPr>
          <w:ilvl w:val="1"/>
          <w:numId w:val="14"/>
        </w:numPr>
        <w:rPr>
          <w:rFonts w:asciiTheme="minorHAnsi" w:eastAsiaTheme="minorHAnsi" w:hAnsiTheme="minorHAnsi" w:cstheme="minorBidi"/>
          <w:snapToGrid/>
          <w:sz w:val="24"/>
          <w:szCs w:val="24"/>
        </w:rPr>
      </w:pPr>
      <w:r w:rsidRPr="003E6723">
        <w:rPr>
          <w:rFonts w:asciiTheme="minorHAnsi" w:eastAsiaTheme="minorHAnsi" w:hAnsiTheme="minorHAnsi" w:cstheme="minorBidi"/>
          <w:sz w:val="24"/>
          <w:szCs w:val="24"/>
        </w:rPr>
        <w:t>The TGA product information “Dosage and Administration” for sevelamer carbonate states that</w:t>
      </w:r>
      <w:r w:rsidR="00E03FAD" w:rsidRPr="003E6723">
        <w:rPr>
          <w:rFonts w:asciiTheme="minorHAnsi" w:eastAsiaTheme="minorHAnsi" w:hAnsiTheme="minorHAnsi" w:cstheme="minorBidi"/>
          <w:sz w:val="24"/>
          <w:szCs w:val="24"/>
        </w:rPr>
        <w:t>:</w:t>
      </w:r>
    </w:p>
    <w:p w:rsidR="00BE3EB6" w:rsidRPr="003E6723" w:rsidRDefault="007F205C" w:rsidP="00C12C48">
      <w:pPr>
        <w:pStyle w:val="ListParagraph"/>
        <w:numPr>
          <w:ilvl w:val="2"/>
          <w:numId w:val="14"/>
        </w:numPr>
        <w:ind w:left="1276" w:hanging="425"/>
        <w:rPr>
          <w:rFonts w:asciiTheme="minorHAnsi" w:eastAsiaTheme="minorHAnsi" w:hAnsiTheme="minorHAnsi" w:cstheme="minorBidi"/>
          <w:snapToGrid/>
          <w:sz w:val="24"/>
          <w:szCs w:val="24"/>
        </w:rPr>
      </w:pPr>
      <w:r w:rsidRPr="003E6723">
        <w:rPr>
          <w:rFonts w:asciiTheme="minorHAnsi" w:eastAsiaTheme="minorHAnsi" w:hAnsiTheme="minorHAnsi" w:cstheme="minorBidi"/>
          <w:snapToGrid/>
          <w:sz w:val="24"/>
          <w:szCs w:val="24"/>
        </w:rPr>
        <w:t>“</w:t>
      </w:r>
      <w:r w:rsidR="00BE3EB6" w:rsidRPr="003E6723">
        <w:rPr>
          <w:rFonts w:asciiTheme="minorHAnsi" w:eastAsiaTheme="minorHAnsi" w:hAnsiTheme="minorHAnsi" w:cstheme="minorBidi"/>
          <w:snapToGrid/>
          <w:sz w:val="24"/>
          <w:szCs w:val="24"/>
        </w:rPr>
        <w:t>The recommended starting dose of sevelamer carbonate is 2.4 to 4.8 g per day based on clinical needs and phosphorus level. Sevelamer carbonate must be taken three times per day with meals</w:t>
      </w:r>
      <w:r w:rsidRPr="003E6723">
        <w:rPr>
          <w:rFonts w:asciiTheme="minorHAnsi" w:eastAsiaTheme="minorHAnsi" w:hAnsiTheme="minorHAnsi" w:cstheme="minorBidi"/>
          <w:snapToGrid/>
          <w:sz w:val="24"/>
          <w:szCs w:val="24"/>
        </w:rPr>
        <w:t>.”</w:t>
      </w:r>
    </w:p>
    <w:p w:rsidR="008B62EA" w:rsidRPr="003E6723" w:rsidRDefault="00BE3EB6" w:rsidP="00C12C48">
      <w:pPr>
        <w:pStyle w:val="ListParagraph"/>
        <w:numPr>
          <w:ilvl w:val="2"/>
          <w:numId w:val="14"/>
        </w:numPr>
        <w:ind w:left="1276" w:hanging="425"/>
        <w:rPr>
          <w:rFonts w:asciiTheme="minorHAnsi" w:eastAsiaTheme="minorHAnsi" w:hAnsiTheme="minorHAnsi" w:cstheme="minorBidi"/>
          <w:snapToGrid/>
          <w:sz w:val="24"/>
          <w:szCs w:val="24"/>
        </w:rPr>
      </w:pPr>
      <w:r w:rsidRPr="003E6723">
        <w:rPr>
          <w:rFonts w:asciiTheme="minorHAnsi" w:eastAsiaTheme="minorHAnsi" w:hAnsiTheme="minorHAnsi" w:cstheme="minorBidi"/>
          <w:sz w:val="24"/>
          <w:szCs w:val="24"/>
        </w:rPr>
        <w:t>“In clinical practice, treatment will be continuous based on the need to control serum phosphorus levels and the daily dose is expected to be an average of approximately 6 g per day”</w:t>
      </w:r>
      <w:r w:rsidR="00343352" w:rsidRPr="003E6723">
        <w:rPr>
          <w:rFonts w:asciiTheme="minorHAnsi" w:eastAsiaTheme="minorHAnsi" w:hAnsiTheme="minorHAnsi" w:cstheme="minorBidi"/>
          <w:sz w:val="24"/>
          <w:szCs w:val="24"/>
        </w:rPr>
        <w:t>.</w:t>
      </w:r>
    </w:p>
    <w:p w:rsidR="000F3005" w:rsidRPr="003E6723" w:rsidRDefault="000F3005" w:rsidP="000F3005">
      <w:pPr>
        <w:pStyle w:val="ListParagraph"/>
        <w:tabs>
          <w:tab w:val="left" w:pos="1134"/>
        </w:tabs>
        <w:ind w:left="1134"/>
        <w:rPr>
          <w:rFonts w:asciiTheme="minorHAnsi" w:eastAsiaTheme="minorHAnsi" w:hAnsiTheme="minorHAnsi" w:cstheme="minorBidi"/>
          <w:snapToGrid/>
          <w:sz w:val="24"/>
          <w:szCs w:val="22"/>
        </w:rPr>
      </w:pPr>
    </w:p>
    <w:p w:rsidR="006B463D" w:rsidRPr="003E6723" w:rsidRDefault="00BE3EB6" w:rsidP="006F02F7">
      <w:pPr>
        <w:pStyle w:val="ListParagraph"/>
        <w:numPr>
          <w:ilvl w:val="1"/>
          <w:numId w:val="14"/>
        </w:numPr>
        <w:rPr>
          <w:rFonts w:asciiTheme="minorHAnsi" w:eastAsiaTheme="minorHAnsi" w:hAnsiTheme="minorHAnsi" w:cstheme="minorBidi"/>
          <w:i/>
          <w:snapToGrid/>
          <w:sz w:val="24"/>
          <w:szCs w:val="22"/>
        </w:rPr>
      </w:pPr>
      <w:r w:rsidRPr="003E6723">
        <w:rPr>
          <w:rFonts w:asciiTheme="minorHAnsi" w:eastAsiaTheme="minorHAnsi" w:hAnsiTheme="minorHAnsi" w:cstheme="minorBidi"/>
          <w:snapToGrid/>
          <w:sz w:val="24"/>
          <w:szCs w:val="22"/>
        </w:rPr>
        <w:t xml:space="preserve">The TGA has registered sevelamer carbonate in strengths of 1.6 g and 2.4 g. However, </w:t>
      </w:r>
      <w:r w:rsidR="000F3005" w:rsidRPr="003E6723">
        <w:rPr>
          <w:rFonts w:asciiTheme="minorHAnsi" w:eastAsiaTheme="minorHAnsi" w:hAnsiTheme="minorHAnsi" w:cstheme="minorBidi"/>
          <w:snapToGrid/>
          <w:sz w:val="24"/>
          <w:szCs w:val="22"/>
        </w:rPr>
        <w:t>the submission requested for PBS listing of the 2.4 g strength of sevelamer carbonate alone, dose titration as recommended by the PI would not be feasible in practice.</w:t>
      </w:r>
      <w:r w:rsidR="000F3005" w:rsidRPr="003E6723">
        <w:rPr>
          <w:rFonts w:asciiTheme="minorHAnsi" w:eastAsiaTheme="minorHAnsi" w:hAnsiTheme="minorHAnsi" w:cstheme="minorBidi"/>
          <w:i/>
          <w:snapToGrid/>
          <w:sz w:val="24"/>
          <w:szCs w:val="22"/>
        </w:rPr>
        <w:t xml:space="preserve"> </w:t>
      </w:r>
      <w:r w:rsidR="006F02F7" w:rsidRPr="003E6723">
        <w:rPr>
          <w:rFonts w:asciiTheme="minorHAnsi" w:eastAsiaTheme="minorHAnsi" w:hAnsiTheme="minorHAnsi" w:cstheme="minorBidi"/>
          <w:snapToGrid/>
          <w:sz w:val="24"/>
          <w:szCs w:val="22"/>
        </w:rPr>
        <w:t xml:space="preserve">The Pre-PBAC response (p2) argued that the 2.4 g strength of sevelamer carbonate alone was </w:t>
      </w:r>
      <w:r w:rsidR="003F4892" w:rsidRPr="003E6723">
        <w:rPr>
          <w:rFonts w:asciiTheme="minorHAnsi" w:eastAsiaTheme="minorHAnsi" w:hAnsiTheme="minorHAnsi" w:cstheme="minorBidi"/>
          <w:snapToGrid/>
          <w:sz w:val="24"/>
          <w:szCs w:val="22"/>
        </w:rPr>
        <w:t xml:space="preserve">the </w:t>
      </w:r>
      <w:r w:rsidR="006F02F7" w:rsidRPr="003E6723">
        <w:rPr>
          <w:rFonts w:asciiTheme="minorHAnsi" w:eastAsiaTheme="minorHAnsi" w:hAnsiTheme="minorHAnsi" w:cstheme="minorBidi"/>
          <w:snapToGrid/>
          <w:sz w:val="24"/>
          <w:szCs w:val="22"/>
        </w:rPr>
        <w:t>dose most relevant for the requested PBS population.</w:t>
      </w:r>
    </w:p>
    <w:p w:rsidR="00E03FAD" w:rsidRPr="003E6723" w:rsidRDefault="00E03FAD" w:rsidP="00E03FAD">
      <w:pPr>
        <w:pStyle w:val="ListParagraph"/>
        <w:rPr>
          <w:rFonts w:asciiTheme="minorHAnsi" w:eastAsiaTheme="minorHAnsi" w:hAnsiTheme="minorHAnsi" w:cstheme="minorBidi"/>
          <w:i/>
          <w:snapToGrid/>
          <w:sz w:val="24"/>
          <w:szCs w:val="22"/>
        </w:rPr>
      </w:pPr>
    </w:p>
    <w:p w:rsidR="006B463D" w:rsidRPr="003E6723" w:rsidRDefault="00E03FAD" w:rsidP="00E03FAD">
      <w:pPr>
        <w:pStyle w:val="ListParagraph"/>
        <w:numPr>
          <w:ilvl w:val="1"/>
          <w:numId w:val="14"/>
        </w:numPr>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t>In contrast, the currently listed presentation of sevelamer hydrochloride 800 mg tablets allows the dose to be titrated in 800 mg increments.</w:t>
      </w:r>
    </w:p>
    <w:p w:rsidR="00E03FAD" w:rsidRPr="003E6723" w:rsidRDefault="00E03FAD" w:rsidP="006B463D">
      <w:pPr>
        <w:pStyle w:val="ListParagraph"/>
        <w:rPr>
          <w:rFonts w:asciiTheme="minorHAnsi" w:eastAsiaTheme="minorHAnsi" w:hAnsiTheme="minorHAnsi" w:cstheme="minorBidi"/>
          <w:snapToGrid/>
          <w:sz w:val="24"/>
          <w:szCs w:val="22"/>
        </w:rPr>
      </w:pPr>
    </w:p>
    <w:p w:rsidR="006B463D" w:rsidRPr="003E6723" w:rsidRDefault="000F3005" w:rsidP="00C41FC9">
      <w:pPr>
        <w:pStyle w:val="ListParagraph"/>
        <w:numPr>
          <w:ilvl w:val="1"/>
          <w:numId w:val="14"/>
        </w:numPr>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t xml:space="preserve">Furthermore, as the clinical studies demonstrate that </w:t>
      </w:r>
      <w:r w:rsidR="00332285" w:rsidRPr="003E6723">
        <w:rPr>
          <w:rFonts w:asciiTheme="minorHAnsi" w:eastAsiaTheme="minorHAnsi" w:hAnsiTheme="minorHAnsi" w:cstheme="minorBidi"/>
          <w:snapToGrid/>
          <w:sz w:val="24"/>
          <w:szCs w:val="22"/>
        </w:rPr>
        <w:t>an</w:t>
      </w:r>
      <w:r w:rsidRPr="003E6723">
        <w:rPr>
          <w:rFonts w:asciiTheme="minorHAnsi" w:eastAsiaTheme="minorHAnsi" w:hAnsiTheme="minorHAnsi" w:cstheme="minorBidi"/>
          <w:snapToGrid/>
          <w:sz w:val="24"/>
          <w:szCs w:val="22"/>
        </w:rPr>
        <w:t xml:space="preserve"> average daily dose of 6g was adequate, the submission’s proposal of a daily dose of 7.2 g (2.4 g powder taken thrice daily), </w:t>
      </w:r>
      <w:r w:rsidR="006B463D" w:rsidRPr="003E6723">
        <w:rPr>
          <w:rFonts w:asciiTheme="minorHAnsi" w:eastAsiaTheme="minorHAnsi" w:hAnsiTheme="minorHAnsi" w:cstheme="minorBidi"/>
          <w:snapToGrid/>
          <w:sz w:val="24"/>
          <w:szCs w:val="22"/>
        </w:rPr>
        <w:t>was not consistent with the clinical evidence</w:t>
      </w:r>
      <w:r w:rsidR="007F205C" w:rsidRPr="003E6723">
        <w:rPr>
          <w:rFonts w:asciiTheme="minorHAnsi" w:eastAsiaTheme="minorHAnsi" w:hAnsiTheme="minorHAnsi" w:cstheme="minorBidi"/>
          <w:snapToGrid/>
          <w:sz w:val="24"/>
          <w:szCs w:val="22"/>
        </w:rPr>
        <w:t xml:space="preserve"> or the TGA approved PI</w:t>
      </w:r>
      <w:r w:rsidR="006B463D" w:rsidRPr="003E6723">
        <w:rPr>
          <w:rFonts w:asciiTheme="minorHAnsi" w:eastAsiaTheme="minorHAnsi" w:hAnsiTheme="minorHAnsi" w:cstheme="minorBidi"/>
          <w:snapToGrid/>
          <w:sz w:val="24"/>
          <w:szCs w:val="22"/>
        </w:rPr>
        <w:t xml:space="preserve">. </w:t>
      </w:r>
      <w:r w:rsidR="00C41FC9" w:rsidRPr="003E6723">
        <w:rPr>
          <w:rFonts w:asciiTheme="minorHAnsi" w:eastAsiaTheme="minorHAnsi" w:hAnsiTheme="minorHAnsi" w:cstheme="minorBidi"/>
          <w:snapToGrid/>
          <w:sz w:val="24"/>
          <w:szCs w:val="22"/>
        </w:rPr>
        <w:t>The Pre-PBAC response</w:t>
      </w:r>
      <w:r w:rsidR="00F538F4" w:rsidRPr="003E6723">
        <w:rPr>
          <w:rFonts w:asciiTheme="minorHAnsi" w:eastAsiaTheme="minorHAnsi" w:hAnsiTheme="minorHAnsi" w:cstheme="minorBidi"/>
          <w:snapToGrid/>
          <w:sz w:val="24"/>
          <w:szCs w:val="22"/>
        </w:rPr>
        <w:t xml:space="preserve"> (p 2-3)</w:t>
      </w:r>
      <w:r w:rsidR="00C41FC9" w:rsidRPr="003E6723">
        <w:rPr>
          <w:rFonts w:asciiTheme="minorHAnsi" w:eastAsiaTheme="minorHAnsi" w:hAnsiTheme="minorHAnsi" w:cstheme="minorBidi"/>
          <w:snapToGrid/>
          <w:sz w:val="24"/>
          <w:szCs w:val="22"/>
        </w:rPr>
        <w:t xml:space="preserve"> argued that this assumption was inappropriate, as the 6 g average daily dose in the trials was a result of approximately 85% compliance of the proposed daily prescribed dose of 7.2 g.</w:t>
      </w:r>
      <w:r w:rsidR="00265709" w:rsidRPr="003E6723">
        <w:rPr>
          <w:rFonts w:asciiTheme="minorHAnsi" w:eastAsiaTheme="minorHAnsi" w:hAnsiTheme="minorHAnsi" w:cstheme="minorBidi"/>
          <w:snapToGrid/>
          <w:sz w:val="24"/>
          <w:szCs w:val="22"/>
        </w:rPr>
        <w:t xml:space="preserve"> </w:t>
      </w:r>
      <w:r w:rsidR="00062BE0" w:rsidRPr="003E6723">
        <w:rPr>
          <w:rFonts w:asciiTheme="minorHAnsi" w:eastAsiaTheme="minorHAnsi" w:hAnsiTheme="minorHAnsi" w:cstheme="minorBidi"/>
          <w:snapToGrid/>
          <w:sz w:val="24"/>
          <w:szCs w:val="22"/>
        </w:rPr>
        <w:t>The PBAC noted</w:t>
      </w:r>
      <w:r w:rsidR="00CF00E0" w:rsidRPr="003E6723">
        <w:rPr>
          <w:rFonts w:asciiTheme="minorHAnsi" w:eastAsiaTheme="minorHAnsi" w:hAnsiTheme="minorHAnsi" w:cstheme="minorBidi"/>
          <w:snapToGrid/>
          <w:sz w:val="24"/>
          <w:szCs w:val="22"/>
        </w:rPr>
        <w:t xml:space="preserve"> that the TGA nonetheless considered it appropriate for the Product Information to indicate that the average dose daily dose was 6 g, and that this dose could not be achieved with the 2.4 g powder.</w:t>
      </w:r>
    </w:p>
    <w:p w:rsidR="00BE3EB6" w:rsidRPr="003E6723" w:rsidRDefault="00BE3EB6" w:rsidP="00BE3EB6">
      <w:pPr>
        <w:pStyle w:val="ListParagraph"/>
        <w:rPr>
          <w:rFonts w:asciiTheme="minorHAnsi" w:eastAsiaTheme="minorHAnsi" w:hAnsiTheme="minorHAnsi" w:cstheme="minorBidi"/>
          <w:snapToGrid/>
          <w:sz w:val="24"/>
          <w:szCs w:val="22"/>
        </w:rPr>
      </w:pPr>
    </w:p>
    <w:p w:rsidR="00BE3EB6" w:rsidRPr="003E6723" w:rsidRDefault="00BE3EB6" w:rsidP="00E03FAD">
      <w:pPr>
        <w:pStyle w:val="ListParagraph"/>
        <w:numPr>
          <w:ilvl w:val="1"/>
          <w:numId w:val="14"/>
        </w:numPr>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t>The minor submission proposed an ex-manufacturer price of $</w:t>
      </w:r>
      <w:r w:rsidRPr="00DA2D17">
        <w:rPr>
          <w:rFonts w:asciiTheme="minorHAnsi" w:eastAsiaTheme="minorHAnsi" w:hAnsiTheme="minorHAnsi" w:cstheme="minorBidi"/>
          <w:snapToGrid/>
          <w:sz w:val="24"/>
          <w:szCs w:val="22"/>
        </w:rPr>
        <w:t>294.50</w:t>
      </w:r>
      <w:r w:rsidRPr="003E6723">
        <w:rPr>
          <w:rFonts w:asciiTheme="minorHAnsi" w:eastAsiaTheme="minorHAnsi" w:hAnsiTheme="minorHAnsi" w:cstheme="minorBidi"/>
          <w:snapToGrid/>
          <w:sz w:val="24"/>
          <w:szCs w:val="22"/>
        </w:rPr>
        <w:t xml:space="preserve"> for 1 pack of sevelamer carbonate 2.4 g containing 60 sachets, which is an equivalent price per mg to one pack of 800 mg sevelamer hydrochloride containing 180 tablets.</w:t>
      </w:r>
    </w:p>
    <w:p w:rsidR="00E03FAD" w:rsidRPr="003E6723" w:rsidRDefault="00E03FAD" w:rsidP="00E03FAD">
      <w:pPr>
        <w:pStyle w:val="ListParagraph"/>
        <w:rPr>
          <w:rFonts w:asciiTheme="minorHAnsi" w:eastAsiaTheme="minorHAnsi" w:hAnsiTheme="minorHAnsi" w:cstheme="minorBidi"/>
          <w:snapToGrid/>
          <w:sz w:val="24"/>
          <w:szCs w:val="22"/>
        </w:rPr>
      </w:pPr>
    </w:p>
    <w:p w:rsidR="00E03FAD" w:rsidRPr="003E6723" w:rsidRDefault="00BE3EB6" w:rsidP="00BE3EB6">
      <w:pPr>
        <w:pStyle w:val="ListParagraph"/>
        <w:numPr>
          <w:ilvl w:val="1"/>
          <w:numId w:val="14"/>
        </w:numPr>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t>However, since the clinical studies presented in the submission and included in the PI demonstrated that an average daily dose of 6 g was adequate, the PBAC consider</w:t>
      </w:r>
      <w:r w:rsidR="00DD0F50" w:rsidRPr="003E6723">
        <w:rPr>
          <w:rFonts w:asciiTheme="minorHAnsi" w:eastAsiaTheme="minorHAnsi" w:hAnsiTheme="minorHAnsi" w:cstheme="minorBidi"/>
          <w:snapToGrid/>
          <w:sz w:val="24"/>
          <w:szCs w:val="22"/>
        </w:rPr>
        <w:t>ed</w:t>
      </w:r>
      <w:r w:rsidRPr="003E6723">
        <w:rPr>
          <w:rFonts w:asciiTheme="minorHAnsi" w:eastAsiaTheme="minorHAnsi" w:hAnsiTheme="minorHAnsi" w:cstheme="minorBidi"/>
          <w:snapToGrid/>
          <w:sz w:val="24"/>
          <w:szCs w:val="22"/>
        </w:rPr>
        <w:t xml:space="preserve"> the proposed ex-manufacturer price should be adjusted (i.e. $</w:t>
      </w:r>
      <w:r w:rsidR="004B1DA8">
        <w:rPr>
          <w:rFonts w:asciiTheme="minorHAnsi" w:eastAsiaTheme="minorHAnsi" w:hAnsiTheme="minorHAnsi" w:cstheme="minorBidi"/>
          <w:noProof/>
          <w:snapToGrid/>
          <w:color w:val="000000"/>
          <w:sz w:val="24"/>
          <w:szCs w:val="22"/>
          <w:highlight w:val="black"/>
        </w:rPr>
        <w:t>''''''''''''</w:t>
      </w:r>
      <w:r w:rsidRPr="003E6723">
        <w:rPr>
          <w:rFonts w:asciiTheme="minorHAnsi" w:eastAsiaTheme="minorHAnsi" w:hAnsiTheme="minorHAnsi" w:cstheme="minorBidi"/>
          <w:snapToGrid/>
          <w:sz w:val="24"/>
          <w:szCs w:val="22"/>
        </w:rPr>
        <w:t xml:space="preserve"> = $</w:t>
      </w:r>
      <w:r w:rsidRPr="00DA2D17">
        <w:rPr>
          <w:rFonts w:asciiTheme="minorHAnsi" w:eastAsiaTheme="minorHAnsi" w:hAnsiTheme="minorHAnsi" w:cstheme="minorBidi"/>
          <w:snapToGrid/>
          <w:sz w:val="24"/>
          <w:szCs w:val="22"/>
        </w:rPr>
        <w:t>294.50</w:t>
      </w:r>
      <w:r w:rsidRPr="003E6723">
        <w:rPr>
          <w:rFonts w:asciiTheme="minorHAnsi" w:eastAsiaTheme="minorHAnsi" w:hAnsiTheme="minorHAnsi" w:cstheme="minorBidi"/>
          <w:snapToGrid/>
          <w:sz w:val="24"/>
          <w:szCs w:val="22"/>
        </w:rPr>
        <w:t>/</w:t>
      </w:r>
      <w:r w:rsidR="004B1DA8">
        <w:rPr>
          <w:rFonts w:asciiTheme="minorHAnsi" w:eastAsiaTheme="minorHAnsi" w:hAnsiTheme="minorHAnsi" w:cstheme="minorBidi"/>
          <w:noProof/>
          <w:snapToGrid/>
          <w:color w:val="000000"/>
          <w:sz w:val="24"/>
          <w:szCs w:val="22"/>
          <w:highlight w:val="black"/>
        </w:rPr>
        <w:t>''''''''</w:t>
      </w:r>
      <w:r w:rsidRPr="003E6723">
        <w:rPr>
          <w:rFonts w:asciiTheme="minorHAnsi" w:eastAsiaTheme="minorHAnsi" w:hAnsiTheme="minorHAnsi" w:cstheme="minorBidi"/>
          <w:snapToGrid/>
          <w:sz w:val="24"/>
          <w:szCs w:val="22"/>
        </w:rPr>
        <w:t>) to account for the additional dosing that would be inevitable if the requested presentation was PBS-listed, but that may not provide additional clinical benefit</w:t>
      </w:r>
      <w:r w:rsidR="00DD0F50" w:rsidRPr="003E6723">
        <w:rPr>
          <w:rFonts w:asciiTheme="minorHAnsi" w:eastAsiaTheme="minorHAnsi" w:hAnsiTheme="minorHAnsi" w:cstheme="minorBidi"/>
          <w:snapToGrid/>
          <w:sz w:val="24"/>
          <w:szCs w:val="22"/>
        </w:rPr>
        <w:t>, or, for the situation in which the patient discards part of the contents of a sachet in order to achieve the desired dose</w:t>
      </w:r>
      <w:r w:rsidR="00265709" w:rsidRPr="003E6723">
        <w:rPr>
          <w:rFonts w:asciiTheme="minorHAnsi" w:eastAsiaTheme="minorHAnsi" w:hAnsiTheme="minorHAnsi" w:cstheme="minorBidi"/>
          <w:snapToGrid/>
          <w:sz w:val="24"/>
          <w:szCs w:val="22"/>
        </w:rPr>
        <w:t>.</w:t>
      </w:r>
    </w:p>
    <w:p w:rsidR="005A3173" w:rsidRPr="003E6723" w:rsidRDefault="005A3173" w:rsidP="00037E11">
      <w:pPr>
        <w:pStyle w:val="Heading2"/>
        <w:keepLines/>
        <w:spacing w:before="240" w:after="120"/>
        <w:rPr>
          <w:rFonts w:asciiTheme="minorHAnsi" w:eastAsiaTheme="majorEastAsia" w:hAnsiTheme="minorHAnsi" w:cstheme="majorBidi"/>
          <w:sz w:val="28"/>
          <w:szCs w:val="28"/>
          <w:lang w:eastAsia="en-US"/>
        </w:rPr>
      </w:pPr>
      <w:r w:rsidRPr="003E6723">
        <w:rPr>
          <w:rFonts w:asciiTheme="minorHAnsi" w:eastAsiaTheme="majorEastAsia" w:hAnsiTheme="minorHAnsi" w:cstheme="majorBidi"/>
          <w:sz w:val="28"/>
          <w:szCs w:val="28"/>
          <w:lang w:eastAsia="en-US"/>
        </w:rPr>
        <w:t>Estimated PBS usage &amp; financial implications</w:t>
      </w:r>
    </w:p>
    <w:p w:rsidR="007A6C21" w:rsidRPr="003E6723" w:rsidRDefault="00496BDA" w:rsidP="007A6C21">
      <w:pPr>
        <w:pStyle w:val="ListParagraph"/>
        <w:numPr>
          <w:ilvl w:val="1"/>
          <w:numId w:val="14"/>
        </w:numPr>
        <w:rPr>
          <w:rFonts w:asciiTheme="minorHAnsi" w:eastAsiaTheme="minorHAnsi" w:hAnsiTheme="minorHAnsi" w:cstheme="minorBidi"/>
          <w:snapToGrid/>
          <w:sz w:val="24"/>
          <w:szCs w:val="22"/>
        </w:rPr>
      </w:pPr>
      <w:r w:rsidRPr="003E6723">
        <w:rPr>
          <w:rFonts w:asciiTheme="minorHAnsi" w:hAnsiTheme="minorHAnsi"/>
          <w:sz w:val="24"/>
          <w:szCs w:val="24"/>
        </w:rPr>
        <w:t xml:space="preserve">The minor submission claimed that the listing of </w:t>
      </w:r>
      <w:r w:rsidRPr="003E6723">
        <w:rPr>
          <w:rFonts w:asciiTheme="minorHAnsi" w:eastAsiaTheme="minorHAnsi" w:hAnsiTheme="minorHAnsi" w:cstheme="minorBidi"/>
          <w:snapToGrid/>
          <w:sz w:val="24"/>
          <w:szCs w:val="22"/>
        </w:rPr>
        <w:t xml:space="preserve">sevelamer carbonate </w:t>
      </w:r>
      <w:r w:rsidRPr="003E6723">
        <w:rPr>
          <w:rFonts w:asciiTheme="minorHAnsi" w:hAnsiTheme="minorHAnsi"/>
          <w:sz w:val="24"/>
          <w:szCs w:val="24"/>
        </w:rPr>
        <w:t>2.4 g powder for suspension would be co</w:t>
      </w:r>
      <w:r w:rsidR="00C76D70" w:rsidRPr="003E6723">
        <w:rPr>
          <w:rFonts w:asciiTheme="minorHAnsi" w:hAnsiTheme="minorHAnsi"/>
          <w:sz w:val="24"/>
          <w:szCs w:val="24"/>
        </w:rPr>
        <w:t xml:space="preserve">st-neutral to the Commonwealth, noting that neither the </w:t>
      </w:r>
      <w:r w:rsidR="00BD79FE">
        <w:rPr>
          <w:rFonts w:asciiTheme="minorHAnsi" w:hAnsiTheme="minorHAnsi"/>
          <w:sz w:val="24"/>
          <w:szCs w:val="24"/>
        </w:rPr>
        <w:t xml:space="preserve">expected clinical outcome </w:t>
      </w:r>
      <w:r w:rsidR="00C76D70" w:rsidRPr="003E6723">
        <w:rPr>
          <w:rFonts w:asciiTheme="minorHAnsi" w:hAnsiTheme="minorHAnsi"/>
          <w:sz w:val="24"/>
          <w:szCs w:val="24"/>
        </w:rPr>
        <w:t>nor the population for sevelamer would change as a result of this PBS listing.</w:t>
      </w:r>
      <w:r w:rsidR="007A6C21" w:rsidRPr="003E6723">
        <w:t xml:space="preserve"> </w:t>
      </w:r>
      <w:r w:rsidR="00E03FAD" w:rsidRPr="003E6723">
        <w:t xml:space="preserve"> </w:t>
      </w:r>
      <w:r w:rsidR="00E03FAD" w:rsidRPr="003E6723">
        <w:rPr>
          <w:rFonts w:asciiTheme="minorHAnsi" w:eastAsiaTheme="minorHAnsi" w:hAnsiTheme="minorHAnsi" w:cstheme="minorBidi"/>
          <w:snapToGrid/>
          <w:sz w:val="24"/>
          <w:szCs w:val="22"/>
        </w:rPr>
        <w:t>It is possible that the cost to the PBS will be increased by the listing of sevelamer carbonate as the lack of ability to finely titrate doses with this presentation means that patients could be treated with higher doses than are required</w:t>
      </w:r>
      <w:r w:rsidR="006908B0" w:rsidRPr="003E6723">
        <w:rPr>
          <w:rFonts w:asciiTheme="minorHAnsi" w:eastAsiaTheme="minorHAnsi" w:hAnsiTheme="minorHAnsi" w:cstheme="minorBidi"/>
          <w:snapToGrid/>
          <w:sz w:val="24"/>
          <w:szCs w:val="22"/>
        </w:rPr>
        <w:t>, or discard partial doses</w:t>
      </w:r>
      <w:r w:rsidR="00E03FAD" w:rsidRPr="003E6723">
        <w:rPr>
          <w:rFonts w:asciiTheme="minorHAnsi" w:eastAsiaTheme="minorHAnsi" w:hAnsiTheme="minorHAnsi" w:cstheme="minorBidi"/>
          <w:snapToGrid/>
          <w:sz w:val="24"/>
          <w:szCs w:val="22"/>
        </w:rPr>
        <w:t>.</w:t>
      </w:r>
    </w:p>
    <w:p w:rsidR="00175EF6" w:rsidRPr="003E6723" w:rsidRDefault="00175EF6" w:rsidP="00D23570">
      <w:pPr>
        <w:pStyle w:val="ListParagraph"/>
        <w:widowControl/>
        <w:spacing w:before="120" w:after="160"/>
        <w:contextualSpacing w:val="0"/>
        <w:rPr>
          <w:rFonts w:asciiTheme="minorHAnsi" w:eastAsiaTheme="minorHAnsi" w:hAnsiTheme="minorHAnsi" w:cstheme="minorBidi"/>
          <w:i/>
          <w:snapToGrid/>
          <w:sz w:val="24"/>
          <w:szCs w:val="22"/>
        </w:rPr>
      </w:pPr>
      <w:r w:rsidRPr="003E6723">
        <w:rPr>
          <w:rFonts w:asciiTheme="minorHAnsi" w:eastAsiaTheme="minorHAnsi" w:hAnsiTheme="minorHAnsi" w:cstheme="minorBidi"/>
          <w:i/>
          <w:snapToGrid/>
          <w:sz w:val="24"/>
          <w:szCs w:val="22"/>
        </w:rPr>
        <w:t xml:space="preserve">For more detail on PBAC’s view, see </w:t>
      </w:r>
      <w:r w:rsidR="00343352" w:rsidRPr="003E6723">
        <w:rPr>
          <w:rFonts w:asciiTheme="minorHAnsi" w:eastAsiaTheme="minorHAnsi" w:hAnsiTheme="minorHAnsi" w:cstheme="minorBidi"/>
          <w:i/>
          <w:snapToGrid/>
          <w:sz w:val="24"/>
          <w:szCs w:val="22"/>
        </w:rPr>
        <w:t>S</w:t>
      </w:r>
      <w:r w:rsidRPr="003E6723">
        <w:rPr>
          <w:rFonts w:asciiTheme="minorHAnsi" w:eastAsiaTheme="minorHAnsi" w:hAnsiTheme="minorHAnsi" w:cstheme="minorBidi"/>
          <w:i/>
          <w:snapToGrid/>
          <w:sz w:val="24"/>
          <w:szCs w:val="22"/>
        </w:rPr>
        <w:t xml:space="preserve">ection </w:t>
      </w:r>
      <w:r w:rsidR="004722D7" w:rsidRPr="003E6723">
        <w:rPr>
          <w:rFonts w:asciiTheme="minorHAnsi" w:eastAsiaTheme="minorHAnsi" w:hAnsiTheme="minorHAnsi" w:cstheme="minorBidi"/>
          <w:i/>
          <w:snapToGrid/>
          <w:sz w:val="24"/>
          <w:szCs w:val="22"/>
        </w:rPr>
        <w:t>5</w:t>
      </w:r>
      <w:r w:rsidRPr="003E6723">
        <w:rPr>
          <w:rFonts w:asciiTheme="minorHAnsi" w:eastAsiaTheme="minorHAnsi" w:hAnsiTheme="minorHAnsi" w:cstheme="minorBidi"/>
          <w:i/>
          <w:snapToGrid/>
          <w:sz w:val="24"/>
          <w:szCs w:val="22"/>
        </w:rPr>
        <w:t xml:space="preserve"> PBAC outcome.</w:t>
      </w:r>
    </w:p>
    <w:p w:rsidR="006F59A8" w:rsidRPr="003E6723" w:rsidRDefault="006F59A8" w:rsidP="00925E42">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E6723">
        <w:rPr>
          <w:rFonts w:asciiTheme="minorHAnsi" w:hAnsiTheme="minorHAnsi"/>
          <w:sz w:val="32"/>
          <w:szCs w:val="32"/>
        </w:rPr>
        <w:t>PBAC Outcome</w:t>
      </w:r>
    </w:p>
    <w:p w:rsidR="001A171F" w:rsidRPr="003E6723" w:rsidRDefault="001A171F" w:rsidP="00DB296A">
      <w:pPr>
        <w:pStyle w:val="ListParagraph"/>
        <w:numPr>
          <w:ilvl w:val="1"/>
          <w:numId w:val="5"/>
        </w:numPr>
        <w:rPr>
          <w:rFonts w:asciiTheme="minorHAnsi" w:hAnsiTheme="minorHAnsi"/>
          <w:bCs/>
          <w:sz w:val="24"/>
          <w:szCs w:val="24"/>
        </w:rPr>
      </w:pPr>
      <w:r w:rsidRPr="003E6723">
        <w:rPr>
          <w:rFonts w:asciiTheme="minorHAnsi" w:hAnsiTheme="minorHAnsi"/>
          <w:bCs/>
          <w:sz w:val="24"/>
          <w:szCs w:val="24"/>
        </w:rPr>
        <w:t>The PBAC recommended the</w:t>
      </w:r>
      <w:r w:rsidR="00DB296A" w:rsidRPr="003E6723">
        <w:rPr>
          <w:rFonts w:asciiTheme="minorHAnsi" w:hAnsiTheme="minorHAnsi"/>
          <w:bCs/>
          <w:sz w:val="24"/>
          <w:szCs w:val="24"/>
        </w:rPr>
        <w:t xml:space="preserve"> </w:t>
      </w:r>
      <w:r w:rsidR="00583CE5" w:rsidRPr="003E6723">
        <w:rPr>
          <w:rFonts w:asciiTheme="minorHAnsi" w:hAnsiTheme="minorHAnsi"/>
          <w:bCs/>
          <w:sz w:val="24"/>
          <w:szCs w:val="24"/>
        </w:rPr>
        <w:t xml:space="preserve">General Schedule and </w:t>
      </w:r>
      <w:r w:rsidR="00DB296A" w:rsidRPr="003E6723">
        <w:rPr>
          <w:rFonts w:asciiTheme="minorHAnsi" w:hAnsiTheme="minorHAnsi"/>
          <w:bCs/>
          <w:sz w:val="24"/>
          <w:szCs w:val="24"/>
        </w:rPr>
        <w:t xml:space="preserve">Section 100 (Highly Specialised Drugs Program – Public and Private Hospital) </w:t>
      </w:r>
      <w:r w:rsidR="008109A6" w:rsidRPr="003E6723">
        <w:rPr>
          <w:rFonts w:asciiTheme="minorHAnsi" w:hAnsiTheme="minorHAnsi"/>
          <w:bCs/>
          <w:sz w:val="24"/>
          <w:szCs w:val="24"/>
        </w:rPr>
        <w:t xml:space="preserve">Authority Required </w:t>
      </w:r>
      <w:r w:rsidRPr="003E6723">
        <w:rPr>
          <w:rFonts w:asciiTheme="minorHAnsi" w:hAnsiTheme="minorHAnsi"/>
          <w:bCs/>
          <w:sz w:val="24"/>
          <w:szCs w:val="24"/>
        </w:rPr>
        <w:t xml:space="preserve">listing of sevelamer </w:t>
      </w:r>
      <w:r w:rsidR="007501B1" w:rsidRPr="003E6723">
        <w:rPr>
          <w:rFonts w:asciiTheme="minorHAnsi" w:hAnsiTheme="minorHAnsi"/>
          <w:bCs/>
          <w:sz w:val="24"/>
          <w:szCs w:val="24"/>
        </w:rPr>
        <w:t xml:space="preserve">carbonate, as powder for suspension, </w:t>
      </w:r>
      <w:r w:rsidRPr="003E6723">
        <w:rPr>
          <w:rFonts w:asciiTheme="minorHAnsi" w:hAnsiTheme="minorHAnsi"/>
          <w:bCs/>
          <w:sz w:val="24"/>
          <w:szCs w:val="24"/>
        </w:rPr>
        <w:t xml:space="preserve">for </w:t>
      </w:r>
      <w:r w:rsidR="007501B1" w:rsidRPr="003E6723">
        <w:rPr>
          <w:rFonts w:asciiTheme="minorHAnsi" w:hAnsiTheme="minorHAnsi"/>
          <w:bCs/>
          <w:sz w:val="24"/>
          <w:szCs w:val="24"/>
        </w:rPr>
        <w:t xml:space="preserve">hyperphosphataemia in patients undergoing dialysis for chronic kidney disease. </w:t>
      </w:r>
      <w:r w:rsidR="00D83A1F" w:rsidRPr="003E6723">
        <w:rPr>
          <w:rFonts w:asciiTheme="minorHAnsi" w:hAnsiTheme="minorHAnsi"/>
          <w:bCs/>
          <w:sz w:val="24"/>
          <w:szCs w:val="24"/>
        </w:rPr>
        <w:t xml:space="preserve">In making this recommendation, the PBAC </w:t>
      </w:r>
      <w:r w:rsidR="00583CE5" w:rsidRPr="003E6723">
        <w:rPr>
          <w:rFonts w:asciiTheme="minorHAnsi" w:hAnsiTheme="minorHAnsi"/>
          <w:bCs/>
          <w:sz w:val="24"/>
          <w:szCs w:val="24"/>
        </w:rPr>
        <w:t xml:space="preserve">considered that the PBS listing of this formulation could potentially reduce the pill burden for these patients, but </w:t>
      </w:r>
      <w:r w:rsidR="00D83A1F" w:rsidRPr="003E6723">
        <w:rPr>
          <w:rFonts w:asciiTheme="minorHAnsi" w:hAnsiTheme="minorHAnsi"/>
          <w:bCs/>
          <w:sz w:val="24"/>
          <w:szCs w:val="24"/>
        </w:rPr>
        <w:t>advised</w:t>
      </w:r>
      <w:r w:rsidR="00A952C1" w:rsidRPr="003E6723">
        <w:rPr>
          <w:rFonts w:asciiTheme="minorHAnsi" w:hAnsiTheme="minorHAnsi"/>
          <w:bCs/>
          <w:sz w:val="24"/>
          <w:szCs w:val="24"/>
        </w:rPr>
        <w:t xml:space="preserve"> </w:t>
      </w:r>
      <w:r w:rsidR="00D83A1F" w:rsidRPr="003E6723">
        <w:rPr>
          <w:rFonts w:asciiTheme="minorHAnsi" w:hAnsiTheme="minorHAnsi"/>
          <w:bCs/>
          <w:sz w:val="24"/>
          <w:szCs w:val="24"/>
        </w:rPr>
        <w:t xml:space="preserve">the </w:t>
      </w:r>
      <w:r w:rsidR="00265709" w:rsidRPr="003E6723">
        <w:rPr>
          <w:rFonts w:asciiTheme="minorHAnsi" w:hAnsiTheme="minorHAnsi"/>
          <w:bCs/>
          <w:sz w:val="24"/>
          <w:szCs w:val="24"/>
        </w:rPr>
        <w:t xml:space="preserve">Minister that a </w:t>
      </w:r>
      <w:r w:rsidR="00A364F3" w:rsidRPr="003E6723">
        <w:rPr>
          <w:rFonts w:asciiTheme="minorHAnsi" w:hAnsiTheme="minorHAnsi"/>
          <w:bCs/>
          <w:sz w:val="24"/>
          <w:szCs w:val="24"/>
        </w:rPr>
        <w:t xml:space="preserve">lower </w:t>
      </w:r>
      <w:r w:rsidR="00D83A1F" w:rsidRPr="003E6723">
        <w:rPr>
          <w:rFonts w:asciiTheme="minorHAnsi" w:hAnsiTheme="minorHAnsi"/>
          <w:bCs/>
          <w:sz w:val="24"/>
          <w:szCs w:val="24"/>
        </w:rPr>
        <w:t>price</w:t>
      </w:r>
      <w:r w:rsidR="00A364F3" w:rsidRPr="003E6723">
        <w:rPr>
          <w:rFonts w:asciiTheme="minorHAnsi" w:hAnsiTheme="minorHAnsi"/>
          <w:bCs/>
          <w:sz w:val="24"/>
          <w:szCs w:val="24"/>
        </w:rPr>
        <w:t xml:space="preserve"> </w:t>
      </w:r>
      <w:r w:rsidR="00D83A1F" w:rsidRPr="003E6723">
        <w:rPr>
          <w:rFonts w:asciiTheme="minorHAnsi" w:hAnsiTheme="minorHAnsi"/>
          <w:bCs/>
          <w:sz w:val="24"/>
          <w:szCs w:val="24"/>
        </w:rPr>
        <w:t>for sevelamer carbonate</w:t>
      </w:r>
      <w:r w:rsidR="00A364F3" w:rsidRPr="003E6723">
        <w:rPr>
          <w:rFonts w:asciiTheme="minorHAnsi" w:hAnsiTheme="minorHAnsi"/>
          <w:bCs/>
          <w:sz w:val="24"/>
          <w:szCs w:val="24"/>
        </w:rPr>
        <w:t xml:space="preserve"> should be negotiated to </w:t>
      </w:r>
      <w:r w:rsidR="00D83A1F" w:rsidRPr="003E6723">
        <w:rPr>
          <w:rFonts w:asciiTheme="minorHAnsi" w:hAnsiTheme="minorHAnsi"/>
          <w:bCs/>
          <w:sz w:val="24"/>
          <w:szCs w:val="24"/>
        </w:rPr>
        <w:t xml:space="preserve">take into account the Committee’s concerns regarding </w:t>
      </w:r>
      <w:r w:rsidR="00FA1945">
        <w:rPr>
          <w:rFonts w:asciiTheme="minorHAnsi" w:hAnsiTheme="minorHAnsi"/>
          <w:bCs/>
          <w:sz w:val="24"/>
          <w:szCs w:val="24"/>
        </w:rPr>
        <w:t xml:space="preserve">the </w:t>
      </w:r>
      <w:r w:rsidR="00EC1394">
        <w:rPr>
          <w:rFonts w:asciiTheme="minorHAnsi" w:hAnsiTheme="minorHAnsi"/>
          <w:bCs/>
          <w:sz w:val="24"/>
          <w:szCs w:val="24"/>
        </w:rPr>
        <w:t>higher doses</w:t>
      </w:r>
      <w:r w:rsidR="00FA1945">
        <w:rPr>
          <w:rFonts w:asciiTheme="minorHAnsi" w:hAnsiTheme="minorHAnsi"/>
          <w:bCs/>
          <w:sz w:val="24"/>
          <w:szCs w:val="24"/>
        </w:rPr>
        <w:t xml:space="preserve"> without additional clinical benefit</w:t>
      </w:r>
      <w:r w:rsidR="00EC1394" w:rsidRPr="003E6723">
        <w:rPr>
          <w:rFonts w:asciiTheme="minorHAnsi" w:hAnsiTheme="minorHAnsi"/>
          <w:bCs/>
          <w:sz w:val="24"/>
          <w:szCs w:val="24"/>
        </w:rPr>
        <w:t xml:space="preserve"> </w:t>
      </w:r>
      <w:r w:rsidR="00D83A1F" w:rsidRPr="003E6723">
        <w:rPr>
          <w:rFonts w:asciiTheme="minorHAnsi" w:hAnsiTheme="minorHAnsi"/>
          <w:bCs/>
          <w:sz w:val="24"/>
          <w:szCs w:val="24"/>
        </w:rPr>
        <w:t>and/or wastage</w:t>
      </w:r>
      <w:r w:rsidR="00B051DC" w:rsidRPr="003E6723">
        <w:rPr>
          <w:rFonts w:asciiTheme="minorHAnsi" w:hAnsiTheme="minorHAnsi"/>
          <w:bCs/>
          <w:sz w:val="24"/>
          <w:szCs w:val="24"/>
        </w:rPr>
        <w:t xml:space="preserve"> upon administration of this strength of sevelamer carbonate</w:t>
      </w:r>
      <w:r w:rsidR="00D83A1F" w:rsidRPr="003E6723">
        <w:rPr>
          <w:rFonts w:asciiTheme="minorHAnsi" w:hAnsiTheme="minorHAnsi"/>
          <w:bCs/>
          <w:sz w:val="24"/>
          <w:szCs w:val="24"/>
        </w:rPr>
        <w:t xml:space="preserve">. </w:t>
      </w:r>
    </w:p>
    <w:p w:rsidR="00E2191F" w:rsidRPr="003E6723" w:rsidRDefault="00E2191F" w:rsidP="00E2191F">
      <w:pPr>
        <w:pStyle w:val="ListParagraph"/>
        <w:rPr>
          <w:rFonts w:asciiTheme="minorHAnsi" w:hAnsiTheme="minorHAnsi"/>
          <w:bCs/>
          <w:sz w:val="24"/>
          <w:szCs w:val="24"/>
        </w:rPr>
      </w:pPr>
    </w:p>
    <w:p w:rsidR="004656E6" w:rsidRPr="003E6723" w:rsidRDefault="004656E6" w:rsidP="004F031C">
      <w:pPr>
        <w:pStyle w:val="ListParagraph"/>
        <w:numPr>
          <w:ilvl w:val="1"/>
          <w:numId w:val="5"/>
        </w:numPr>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t xml:space="preserve">The PBAC considered that the proposed restriction was appropriate, noting that </w:t>
      </w:r>
      <w:r w:rsidR="004F031C" w:rsidRPr="003E6723">
        <w:rPr>
          <w:rFonts w:asciiTheme="minorHAnsi" w:eastAsiaTheme="minorHAnsi" w:hAnsiTheme="minorHAnsi" w:cstheme="minorBidi"/>
          <w:snapToGrid/>
          <w:sz w:val="24"/>
          <w:szCs w:val="22"/>
        </w:rPr>
        <w:t>it was</w:t>
      </w:r>
      <w:r w:rsidRPr="003E6723">
        <w:rPr>
          <w:rFonts w:asciiTheme="minorHAnsi" w:eastAsiaTheme="minorHAnsi" w:hAnsiTheme="minorHAnsi" w:cstheme="minorBidi"/>
          <w:snapToGrid/>
          <w:sz w:val="24"/>
          <w:szCs w:val="22"/>
        </w:rPr>
        <w:t xml:space="preserve"> similar to the current PBS listing for sevelamer hydrochloride tablets.</w:t>
      </w:r>
      <w:r w:rsidR="004F031C" w:rsidRPr="003E6723">
        <w:rPr>
          <w:rFonts w:asciiTheme="minorHAnsi" w:eastAsiaTheme="minorHAnsi" w:hAnsiTheme="minorHAnsi" w:cstheme="minorBidi"/>
          <w:snapToGrid/>
          <w:sz w:val="24"/>
          <w:szCs w:val="22"/>
        </w:rPr>
        <w:t xml:space="preserve"> The PBAC advised that episodicity, severity and condition requiring the indication to be ‘chronic’ and of a ‘severe’ nature in ‘adult patients with stage 4 and 5 chronic kidney disease’, respectively, be removed from the indication to maintain consistency with the current PBS listing for sevelamer hydrochloride tablets.</w:t>
      </w:r>
    </w:p>
    <w:p w:rsidR="004656E6" w:rsidRPr="003E6723" w:rsidRDefault="004656E6" w:rsidP="004656E6">
      <w:pPr>
        <w:pStyle w:val="ListParagraph"/>
        <w:rPr>
          <w:rFonts w:asciiTheme="minorHAnsi" w:eastAsiaTheme="minorHAnsi" w:hAnsiTheme="minorHAnsi" w:cstheme="minorBidi"/>
          <w:snapToGrid/>
          <w:sz w:val="24"/>
          <w:szCs w:val="22"/>
        </w:rPr>
      </w:pPr>
    </w:p>
    <w:p w:rsidR="00E2191F" w:rsidRPr="003E6723" w:rsidRDefault="00E2191F" w:rsidP="00881583">
      <w:pPr>
        <w:pStyle w:val="ListParagraph"/>
        <w:numPr>
          <w:ilvl w:val="1"/>
          <w:numId w:val="5"/>
        </w:numPr>
        <w:rPr>
          <w:rFonts w:eastAsiaTheme="minorHAnsi"/>
          <w:snapToGrid/>
        </w:rPr>
      </w:pPr>
      <w:r w:rsidRPr="003E6723">
        <w:rPr>
          <w:rFonts w:asciiTheme="minorHAnsi" w:eastAsiaTheme="minorHAnsi" w:hAnsiTheme="minorHAnsi" w:cstheme="minorBidi"/>
          <w:snapToGrid/>
          <w:sz w:val="24"/>
          <w:szCs w:val="22"/>
        </w:rPr>
        <w:t>The</w:t>
      </w:r>
      <w:r w:rsidR="00FA7EB6" w:rsidRPr="003E6723">
        <w:rPr>
          <w:rFonts w:asciiTheme="minorHAnsi" w:eastAsiaTheme="minorHAnsi" w:hAnsiTheme="minorHAnsi" w:cstheme="minorBidi"/>
          <w:snapToGrid/>
          <w:sz w:val="24"/>
          <w:szCs w:val="22"/>
        </w:rPr>
        <w:t xml:space="preserve"> PBAC noted that the</w:t>
      </w:r>
      <w:r w:rsidRPr="003E6723">
        <w:rPr>
          <w:rFonts w:asciiTheme="minorHAnsi" w:eastAsiaTheme="minorHAnsi" w:hAnsiTheme="minorHAnsi" w:cstheme="minorBidi"/>
          <w:snapToGrid/>
          <w:sz w:val="24"/>
          <w:szCs w:val="22"/>
        </w:rPr>
        <w:t xml:space="preserve"> TGA-approved Australian </w:t>
      </w:r>
      <w:r w:rsidR="003F4892" w:rsidRPr="003E6723">
        <w:rPr>
          <w:rFonts w:asciiTheme="minorHAnsi" w:eastAsiaTheme="minorHAnsi" w:hAnsiTheme="minorHAnsi" w:cstheme="minorBidi"/>
          <w:snapToGrid/>
          <w:sz w:val="24"/>
          <w:szCs w:val="22"/>
        </w:rPr>
        <w:t>PI</w:t>
      </w:r>
      <w:r w:rsidRPr="003E6723" w:rsidDel="00553D32">
        <w:rPr>
          <w:rFonts w:asciiTheme="minorHAnsi" w:eastAsiaTheme="minorHAnsi" w:hAnsiTheme="minorHAnsi" w:cstheme="minorBidi"/>
          <w:snapToGrid/>
          <w:sz w:val="24"/>
          <w:szCs w:val="22"/>
        </w:rPr>
        <w:t xml:space="preserve"> </w:t>
      </w:r>
      <w:r w:rsidR="00A364F3" w:rsidRPr="003E6723">
        <w:rPr>
          <w:rFonts w:asciiTheme="minorHAnsi" w:eastAsiaTheme="minorHAnsi" w:hAnsiTheme="minorHAnsi" w:cstheme="minorBidi"/>
          <w:snapToGrid/>
          <w:sz w:val="24"/>
          <w:szCs w:val="22"/>
        </w:rPr>
        <w:t>recommends sevelamer carbonate  be taken three times per day with meals at a dosage based on individual patient requirements to control phosphate levels</w:t>
      </w:r>
      <w:r w:rsidRPr="003E6723">
        <w:rPr>
          <w:rFonts w:asciiTheme="minorHAnsi" w:eastAsiaTheme="minorHAnsi" w:hAnsiTheme="minorHAnsi" w:cstheme="minorBidi"/>
          <w:snapToGrid/>
          <w:sz w:val="24"/>
          <w:szCs w:val="22"/>
        </w:rPr>
        <w:t xml:space="preserve">. </w:t>
      </w:r>
      <w:r w:rsidR="003F4892" w:rsidRPr="003E6723">
        <w:rPr>
          <w:rFonts w:asciiTheme="minorHAnsi" w:eastAsiaTheme="minorHAnsi" w:hAnsiTheme="minorHAnsi" w:cstheme="minorBidi"/>
          <w:snapToGrid/>
          <w:sz w:val="24"/>
          <w:szCs w:val="22"/>
        </w:rPr>
        <w:t>The</w:t>
      </w:r>
      <w:r w:rsidR="00B153BE" w:rsidRPr="003E6723">
        <w:rPr>
          <w:rFonts w:asciiTheme="minorHAnsi" w:eastAsiaTheme="minorHAnsi" w:hAnsiTheme="minorHAnsi" w:cstheme="minorBidi"/>
          <w:snapToGrid/>
          <w:sz w:val="24"/>
          <w:szCs w:val="22"/>
        </w:rPr>
        <w:t xml:space="preserve"> PBAC </w:t>
      </w:r>
      <w:r w:rsidR="004656E6" w:rsidRPr="003E6723">
        <w:rPr>
          <w:rFonts w:asciiTheme="minorHAnsi" w:eastAsiaTheme="minorHAnsi" w:hAnsiTheme="minorHAnsi" w:cstheme="minorBidi"/>
          <w:snapToGrid/>
          <w:sz w:val="24"/>
          <w:szCs w:val="22"/>
        </w:rPr>
        <w:t>further</w:t>
      </w:r>
      <w:r w:rsidR="00B153BE" w:rsidRPr="003E6723">
        <w:rPr>
          <w:rFonts w:asciiTheme="minorHAnsi" w:eastAsiaTheme="minorHAnsi" w:hAnsiTheme="minorHAnsi" w:cstheme="minorBidi"/>
          <w:snapToGrid/>
          <w:sz w:val="24"/>
          <w:szCs w:val="22"/>
        </w:rPr>
        <w:t xml:space="preserve"> noted that </w:t>
      </w:r>
      <w:r w:rsidRPr="003E6723">
        <w:rPr>
          <w:rFonts w:asciiTheme="minorHAnsi" w:eastAsiaTheme="minorHAnsi" w:hAnsiTheme="minorHAnsi" w:cstheme="minorBidi"/>
          <w:snapToGrid/>
          <w:sz w:val="24"/>
          <w:szCs w:val="22"/>
        </w:rPr>
        <w:t>the PI also recommend</w:t>
      </w:r>
      <w:r w:rsidR="00881583" w:rsidRPr="003E6723">
        <w:rPr>
          <w:rFonts w:asciiTheme="minorHAnsi" w:eastAsiaTheme="minorHAnsi" w:hAnsiTheme="minorHAnsi" w:cstheme="minorBidi"/>
          <w:snapToGrid/>
          <w:sz w:val="24"/>
          <w:szCs w:val="22"/>
        </w:rPr>
        <w:t>s</w:t>
      </w:r>
      <w:r w:rsidRPr="003E6723">
        <w:rPr>
          <w:rFonts w:asciiTheme="minorHAnsi" w:eastAsiaTheme="minorHAnsi" w:hAnsiTheme="minorHAnsi" w:cstheme="minorBidi"/>
          <w:snapToGrid/>
          <w:sz w:val="24"/>
          <w:szCs w:val="22"/>
        </w:rPr>
        <w:t xml:space="preserve"> a starting dose of between 2.4 g to 4.8 g per day</w:t>
      </w:r>
      <w:r w:rsidR="00881583" w:rsidRPr="003E6723">
        <w:rPr>
          <w:rFonts w:asciiTheme="minorHAnsi" w:eastAsiaTheme="minorHAnsi" w:hAnsiTheme="minorHAnsi" w:cstheme="minorBidi"/>
          <w:snapToGrid/>
          <w:sz w:val="24"/>
          <w:szCs w:val="22"/>
        </w:rPr>
        <w:t xml:space="preserve"> and states that in clinical practice, treatment will be continuous and the daily dose is expected to be an average of approximately 6 g per day</w:t>
      </w:r>
      <w:r w:rsidR="003E6723">
        <w:rPr>
          <w:rFonts w:asciiTheme="minorHAnsi" w:eastAsiaTheme="minorHAnsi" w:hAnsiTheme="minorHAnsi" w:cstheme="minorBidi"/>
          <w:snapToGrid/>
          <w:sz w:val="24"/>
          <w:szCs w:val="22"/>
        </w:rPr>
        <w:t>.</w:t>
      </w:r>
    </w:p>
    <w:p w:rsidR="006B5690" w:rsidRPr="003E6723" w:rsidRDefault="006B5690" w:rsidP="006B5690">
      <w:pPr>
        <w:pStyle w:val="ListParagraph"/>
        <w:rPr>
          <w:rFonts w:eastAsiaTheme="minorHAnsi"/>
          <w:snapToGrid/>
        </w:rPr>
      </w:pPr>
    </w:p>
    <w:p w:rsidR="00A07018" w:rsidRPr="003E6723" w:rsidRDefault="00A07018" w:rsidP="003F4892">
      <w:pPr>
        <w:pStyle w:val="ListParagraph"/>
        <w:numPr>
          <w:ilvl w:val="1"/>
          <w:numId w:val="14"/>
        </w:numPr>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t>The PBAC noted that although a 1.6 g strength of sevelamer carbonate powder for suspension was registered in Australia, PBS listing was only sought for the 2.4 g strength</w:t>
      </w:r>
      <w:r w:rsidR="00B051DC" w:rsidRPr="003E6723">
        <w:rPr>
          <w:rFonts w:asciiTheme="minorHAnsi" w:eastAsiaTheme="minorHAnsi" w:hAnsiTheme="minorHAnsi" w:cstheme="minorBidi"/>
          <w:snapToGrid/>
          <w:sz w:val="24"/>
          <w:szCs w:val="22"/>
        </w:rPr>
        <w:t xml:space="preserve"> of the formulation</w:t>
      </w:r>
      <w:r w:rsidRPr="003E6723">
        <w:rPr>
          <w:rFonts w:asciiTheme="minorHAnsi" w:eastAsiaTheme="minorHAnsi" w:hAnsiTheme="minorHAnsi" w:cstheme="minorBidi"/>
          <w:snapToGrid/>
          <w:sz w:val="24"/>
          <w:szCs w:val="22"/>
        </w:rPr>
        <w:t xml:space="preserve">. </w:t>
      </w:r>
      <w:r w:rsidR="003F4892" w:rsidRPr="003E6723">
        <w:rPr>
          <w:rFonts w:asciiTheme="minorHAnsi" w:eastAsiaTheme="minorHAnsi" w:hAnsiTheme="minorHAnsi" w:cstheme="minorBidi"/>
          <w:snapToGrid/>
          <w:sz w:val="24"/>
          <w:szCs w:val="22"/>
        </w:rPr>
        <w:t xml:space="preserve">The PBAC </w:t>
      </w:r>
      <w:r w:rsidR="00881583" w:rsidRPr="003E6723">
        <w:rPr>
          <w:rFonts w:asciiTheme="minorHAnsi" w:eastAsiaTheme="minorHAnsi" w:hAnsiTheme="minorHAnsi" w:cstheme="minorBidi"/>
          <w:snapToGrid/>
          <w:sz w:val="24"/>
          <w:szCs w:val="22"/>
        </w:rPr>
        <w:t>did not accept</w:t>
      </w:r>
      <w:r w:rsidR="003F4892" w:rsidRPr="003E6723">
        <w:rPr>
          <w:rFonts w:asciiTheme="minorHAnsi" w:eastAsiaTheme="minorHAnsi" w:hAnsiTheme="minorHAnsi" w:cstheme="minorBidi"/>
          <w:snapToGrid/>
          <w:sz w:val="24"/>
          <w:szCs w:val="22"/>
        </w:rPr>
        <w:t xml:space="preserve"> the argument in the Pre-PBAC response (p2) stating that the 2.4 g strength </w:t>
      </w:r>
      <w:r w:rsidR="00EC1394">
        <w:rPr>
          <w:rFonts w:asciiTheme="minorHAnsi" w:eastAsiaTheme="minorHAnsi" w:hAnsiTheme="minorHAnsi" w:cstheme="minorBidi"/>
          <w:snapToGrid/>
          <w:sz w:val="24"/>
          <w:szCs w:val="22"/>
        </w:rPr>
        <w:t xml:space="preserve">sevelamer </w:t>
      </w:r>
      <w:r w:rsidR="003F4892" w:rsidRPr="003E6723">
        <w:rPr>
          <w:rFonts w:asciiTheme="minorHAnsi" w:eastAsiaTheme="minorHAnsi" w:hAnsiTheme="minorHAnsi" w:cstheme="minorBidi"/>
          <w:snapToGrid/>
          <w:sz w:val="24"/>
          <w:szCs w:val="22"/>
        </w:rPr>
        <w:t>carbonate alone was the dose most relevant for the requested PBS population.</w:t>
      </w:r>
    </w:p>
    <w:p w:rsidR="00A07018" w:rsidRPr="003E6723" w:rsidRDefault="00A07018" w:rsidP="00A07018">
      <w:pPr>
        <w:pStyle w:val="ListParagraph"/>
        <w:rPr>
          <w:rFonts w:asciiTheme="minorHAnsi" w:eastAsiaTheme="minorHAnsi" w:hAnsiTheme="minorHAnsi" w:cstheme="minorBidi"/>
          <w:snapToGrid/>
          <w:sz w:val="24"/>
          <w:szCs w:val="22"/>
        </w:rPr>
      </w:pPr>
    </w:p>
    <w:p w:rsidR="00E463E9" w:rsidRPr="003E6723" w:rsidRDefault="00E463E9" w:rsidP="00E463E9">
      <w:pPr>
        <w:pStyle w:val="ListParagraph"/>
        <w:numPr>
          <w:ilvl w:val="1"/>
          <w:numId w:val="14"/>
        </w:numPr>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t xml:space="preserve">The PBAC noted that while the currently listed presentation of sevelamer hydrochloride 800 mg tablets allows the dose to be titrated in 800 mg increments, 7.2 g of sevelamer carbonate (2.4 g powder taken thrice daily) </w:t>
      </w:r>
      <w:r w:rsidR="00881583" w:rsidRPr="003E6723">
        <w:rPr>
          <w:rFonts w:asciiTheme="minorHAnsi" w:eastAsiaTheme="minorHAnsi" w:hAnsiTheme="minorHAnsi" w:cstheme="minorBidi"/>
          <w:snapToGrid/>
          <w:sz w:val="24"/>
          <w:szCs w:val="22"/>
        </w:rPr>
        <w:t>c</w:t>
      </w:r>
      <w:r w:rsidRPr="003E6723">
        <w:rPr>
          <w:rFonts w:asciiTheme="minorHAnsi" w:eastAsiaTheme="minorHAnsi" w:hAnsiTheme="minorHAnsi" w:cstheme="minorBidi"/>
          <w:snapToGrid/>
          <w:sz w:val="24"/>
          <w:szCs w:val="22"/>
        </w:rPr>
        <w:t xml:space="preserve">ould lead to a 1.2 g </w:t>
      </w:r>
      <w:r w:rsidR="00FA1945">
        <w:rPr>
          <w:rFonts w:asciiTheme="minorHAnsi" w:eastAsiaTheme="minorHAnsi" w:hAnsiTheme="minorHAnsi" w:cstheme="minorBidi"/>
          <w:snapToGrid/>
          <w:sz w:val="24"/>
          <w:szCs w:val="22"/>
        </w:rPr>
        <w:t xml:space="preserve">excessive </w:t>
      </w:r>
      <w:r w:rsidR="00EC1394" w:rsidRPr="003E6723">
        <w:rPr>
          <w:rFonts w:asciiTheme="minorHAnsi" w:eastAsiaTheme="minorHAnsi" w:hAnsiTheme="minorHAnsi" w:cstheme="minorBidi"/>
          <w:snapToGrid/>
          <w:sz w:val="24"/>
          <w:szCs w:val="22"/>
        </w:rPr>
        <w:t>dose</w:t>
      </w:r>
      <w:r w:rsidR="00FA1945">
        <w:rPr>
          <w:rFonts w:asciiTheme="minorHAnsi" w:eastAsiaTheme="minorHAnsi" w:hAnsiTheme="minorHAnsi" w:cstheme="minorBidi"/>
          <w:snapToGrid/>
          <w:sz w:val="24"/>
          <w:szCs w:val="22"/>
        </w:rPr>
        <w:t xml:space="preserve"> to clinical need,</w:t>
      </w:r>
      <w:r w:rsidR="00BD79FE">
        <w:rPr>
          <w:rFonts w:asciiTheme="minorHAnsi" w:eastAsiaTheme="minorHAnsi" w:hAnsiTheme="minorHAnsi" w:cstheme="minorBidi"/>
          <w:snapToGrid/>
          <w:sz w:val="24"/>
          <w:szCs w:val="22"/>
        </w:rPr>
        <w:t xml:space="preserve"> </w:t>
      </w:r>
      <w:r w:rsidRPr="003E6723">
        <w:rPr>
          <w:rFonts w:asciiTheme="minorHAnsi" w:eastAsiaTheme="minorHAnsi" w:hAnsiTheme="minorHAnsi" w:cstheme="minorBidi"/>
          <w:snapToGrid/>
          <w:sz w:val="24"/>
          <w:szCs w:val="22"/>
        </w:rPr>
        <w:t>and/or wastage</w:t>
      </w:r>
      <w:r w:rsidR="00881583" w:rsidRPr="003E6723">
        <w:rPr>
          <w:rFonts w:asciiTheme="minorHAnsi" w:eastAsiaTheme="minorHAnsi" w:hAnsiTheme="minorHAnsi" w:cstheme="minorBidi"/>
          <w:snapToGrid/>
          <w:sz w:val="24"/>
          <w:szCs w:val="22"/>
        </w:rPr>
        <w:t xml:space="preserve"> in the context of an expected average dose of 6 g per day</w:t>
      </w:r>
      <w:r w:rsidRPr="003E6723">
        <w:rPr>
          <w:rFonts w:asciiTheme="minorHAnsi" w:eastAsiaTheme="minorHAnsi" w:hAnsiTheme="minorHAnsi" w:cstheme="minorBidi"/>
          <w:snapToGrid/>
          <w:sz w:val="24"/>
          <w:szCs w:val="22"/>
        </w:rPr>
        <w:t>.</w:t>
      </w:r>
    </w:p>
    <w:p w:rsidR="00B01B05" w:rsidRPr="003E6723" w:rsidRDefault="00B01B05" w:rsidP="00B01B05">
      <w:pPr>
        <w:pStyle w:val="ListParagraph"/>
        <w:rPr>
          <w:rFonts w:asciiTheme="minorHAnsi" w:eastAsiaTheme="minorHAnsi" w:hAnsiTheme="minorHAnsi" w:cstheme="minorBidi"/>
          <w:snapToGrid/>
          <w:sz w:val="24"/>
          <w:szCs w:val="22"/>
        </w:rPr>
      </w:pPr>
    </w:p>
    <w:p w:rsidR="00B01B05" w:rsidRPr="003E6723" w:rsidRDefault="00B01B05" w:rsidP="00B01B05">
      <w:pPr>
        <w:pStyle w:val="ListParagraph"/>
        <w:numPr>
          <w:ilvl w:val="1"/>
          <w:numId w:val="14"/>
        </w:numPr>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t>The PBAC considered that the long-term impact of additional dosing of sevelamer carbonate was unclear, noting that the TGA Delegate’s overview stated that “[l]ong term clinical trial efficacy data has not been submitted in support of the sevelamer carbonate salt however, by demonstrating therapeutic equivalence between sevelamer hydrochloride and sevelamer carbonate, the efficacy over years based on sevelamer hydrochloride has been extrapolated. This is acceptable because the studies were conducted in sufficiently similar patient populations in terms of baseline demographics and underlying disease processes, with similar efficacy endpoints.”</w:t>
      </w:r>
    </w:p>
    <w:p w:rsidR="00B01B05" w:rsidRPr="003E6723" w:rsidRDefault="00B01B05" w:rsidP="00B01B05">
      <w:pPr>
        <w:pStyle w:val="ListParagraph"/>
        <w:rPr>
          <w:rFonts w:asciiTheme="minorHAnsi" w:eastAsiaTheme="minorHAnsi" w:hAnsiTheme="minorHAnsi" w:cstheme="minorBidi"/>
          <w:snapToGrid/>
          <w:sz w:val="24"/>
          <w:szCs w:val="22"/>
        </w:rPr>
      </w:pPr>
    </w:p>
    <w:p w:rsidR="00E2191F" w:rsidRPr="003E6723" w:rsidRDefault="004F031C" w:rsidP="00E2191F">
      <w:pPr>
        <w:pStyle w:val="ListParagraph"/>
        <w:numPr>
          <w:ilvl w:val="1"/>
          <w:numId w:val="5"/>
        </w:numPr>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t>The PBAC advised that s</w:t>
      </w:r>
      <w:r w:rsidR="00E2191F" w:rsidRPr="003E6723">
        <w:rPr>
          <w:rFonts w:asciiTheme="minorHAnsi" w:eastAsiaTheme="minorHAnsi" w:hAnsiTheme="minorHAnsi" w:cstheme="minorBidi"/>
          <w:snapToGrid/>
          <w:sz w:val="24"/>
          <w:szCs w:val="22"/>
        </w:rPr>
        <w:t xml:space="preserve">evelamer carbonate should not be exempt from the Early </w:t>
      </w:r>
      <w:r w:rsidR="00342202">
        <w:rPr>
          <w:rFonts w:asciiTheme="minorHAnsi" w:eastAsiaTheme="minorHAnsi" w:hAnsiTheme="minorHAnsi" w:cstheme="minorBidi"/>
          <w:snapToGrid/>
          <w:sz w:val="24"/>
          <w:szCs w:val="22"/>
        </w:rPr>
        <w:t>S</w:t>
      </w:r>
      <w:r w:rsidR="00342202" w:rsidRPr="003E6723">
        <w:rPr>
          <w:rFonts w:asciiTheme="minorHAnsi" w:eastAsiaTheme="minorHAnsi" w:hAnsiTheme="minorHAnsi" w:cstheme="minorBidi"/>
          <w:snapToGrid/>
          <w:sz w:val="24"/>
          <w:szCs w:val="22"/>
        </w:rPr>
        <w:t xml:space="preserve">upply </w:t>
      </w:r>
      <w:r w:rsidR="00E2191F" w:rsidRPr="003E6723">
        <w:rPr>
          <w:rFonts w:asciiTheme="minorHAnsi" w:eastAsiaTheme="minorHAnsi" w:hAnsiTheme="minorHAnsi" w:cstheme="minorBidi"/>
          <w:snapToGrid/>
          <w:sz w:val="24"/>
          <w:szCs w:val="22"/>
        </w:rPr>
        <w:t xml:space="preserve">Rule, as it applies to the current PBS listing for sevelamer hydrochloride. </w:t>
      </w:r>
    </w:p>
    <w:p w:rsidR="006C5DF5" w:rsidRPr="003E6723" w:rsidRDefault="006C5DF5" w:rsidP="006C5DF5">
      <w:pPr>
        <w:pStyle w:val="ListParagraph"/>
        <w:rPr>
          <w:rFonts w:asciiTheme="minorHAnsi" w:eastAsiaTheme="minorHAnsi" w:hAnsiTheme="minorHAnsi" w:cstheme="minorBidi"/>
          <w:snapToGrid/>
          <w:sz w:val="24"/>
          <w:szCs w:val="22"/>
        </w:rPr>
      </w:pPr>
    </w:p>
    <w:p w:rsidR="006C5DF5" w:rsidRPr="003E6723" w:rsidRDefault="006C5DF5" w:rsidP="006C5DF5">
      <w:pPr>
        <w:pStyle w:val="ListParagraph"/>
        <w:numPr>
          <w:ilvl w:val="1"/>
          <w:numId w:val="5"/>
        </w:numPr>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t xml:space="preserve">The PBAC advised that </w:t>
      </w:r>
      <w:r w:rsidRPr="003E6723">
        <w:rPr>
          <w:rFonts w:asciiTheme="minorHAnsi" w:hAnsiTheme="minorHAnsi"/>
          <w:bCs/>
          <w:sz w:val="24"/>
          <w:szCs w:val="24"/>
        </w:rPr>
        <w:t xml:space="preserve">sevelamer carbonate </w:t>
      </w:r>
      <w:r w:rsidRPr="003E6723">
        <w:rPr>
          <w:rFonts w:asciiTheme="minorHAnsi" w:eastAsiaTheme="minorHAnsi" w:hAnsiTheme="minorHAnsi" w:cstheme="minorBidi"/>
          <w:snapToGrid/>
          <w:sz w:val="24"/>
          <w:szCs w:val="22"/>
        </w:rPr>
        <w:t>is suitable for prescribing by nurse practitioners</w:t>
      </w:r>
      <w:r w:rsidR="00925E42" w:rsidRPr="003E6723">
        <w:rPr>
          <w:rFonts w:asciiTheme="minorHAnsi" w:eastAsiaTheme="minorHAnsi" w:hAnsiTheme="minorHAnsi" w:cstheme="minorBidi"/>
          <w:snapToGrid/>
          <w:sz w:val="24"/>
          <w:szCs w:val="22"/>
        </w:rPr>
        <w:t>, in the maintenance phase, following stabilisation.</w:t>
      </w:r>
    </w:p>
    <w:p w:rsidR="00E2191F" w:rsidRPr="003E6723" w:rsidRDefault="00E2191F" w:rsidP="00E2191F">
      <w:pPr>
        <w:rPr>
          <w:rFonts w:asciiTheme="minorHAnsi" w:eastAsiaTheme="minorHAnsi" w:hAnsiTheme="minorHAnsi" w:cstheme="minorBidi"/>
          <w:szCs w:val="22"/>
        </w:rPr>
      </w:pPr>
    </w:p>
    <w:p w:rsidR="00E2191F" w:rsidRPr="003E6723" w:rsidRDefault="004F031C" w:rsidP="00E2191F">
      <w:pPr>
        <w:pStyle w:val="ListParagraph"/>
        <w:numPr>
          <w:ilvl w:val="1"/>
          <w:numId w:val="5"/>
        </w:numPr>
        <w:rPr>
          <w:rFonts w:asciiTheme="minorHAnsi" w:eastAsiaTheme="minorHAnsi" w:hAnsiTheme="minorHAnsi" w:cstheme="minorBidi"/>
          <w:snapToGrid/>
          <w:sz w:val="24"/>
          <w:szCs w:val="22"/>
        </w:rPr>
      </w:pPr>
      <w:r w:rsidRPr="003E6723">
        <w:rPr>
          <w:rFonts w:asciiTheme="minorHAnsi" w:eastAsiaTheme="minorHAnsi" w:hAnsiTheme="minorHAnsi" w:cstheme="minorBidi"/>
          <w:snapToGrid/>
          <w:sz w:val="24"/>
          <w:szCs w:val="22"/>
        </w:rPr>
        <w:t xml:space="preserve">The PBAC advised that this submission </w:t>
      </w:r>
      <w:r w:rsidR="00E2191F" w:rsidRPr="003E6723">
        <w:rPr>
          <w:rFonts w:asciiTheme="minorHAnsi" w:eastAsiaTheme="minorHAnsi" w:hAnsiTheme="minorHAnsi" w:cstheme="minorBidi"/>
          <w:snapToGrid/>
          <w:sz w:val="24"/>
          <w:szCs w:val="22"/>
        </w:rPr>
        <w:t>it would not meet the criteria for an Independent Review as it is for a new form of a currently listed drug.</w:t>
      </w:r>
    </w:p>
    <w:p w:rsidR="006F59A8" w:rsidRPr="003E6723" w:rsidRDefault="006F59A8" w:rsidP="006F59A8">
      <w:pPr>
        <w:spacing w:before="240" w:after="120"/>
        <w:jc w:val="both"/>
        <w:rPr>
          <w:rFonts w:asciiTheme="minorHAnsi" w:hAnsiTheme="minorHAnsi" w:cs="Arial"/>
          <w:b/>
          <w:bCs/>
          <w:snapToGrid w:val="0"/>
          <w:lang w:eastAsia="en-US"/>
        </w:rPr>
      </w:pPr>
      <w:r w:rsidRPr="003E6723">
        <w:rPr>
          <w:rFonts w:asciiTheme="minorHAnsi" w:hAnsiTheme="minorHAnsi" w:cs="Arial"/>
          <w:b/>
          <w:bCs/>
          <w:snapToGrid w:val="0"/>
          <w:lang w:eastAsia="en-US"/>
        </w:rPr>
        <w:t>Outcome:</w:t>
      </w:r>
    </w:p>
    <w:p w:rsidR="006F59A8" w:rsidRPr="003E6723" w:rsidRDefault="006F59A8" w:rsidP="006F59A8">
      <w:pPr>
        <w:spacing w:after="120"/>
        <w:jc w:val="both"/>
        <w:rPr>
          <w:rFonts w:asciiTheme="minorHAnsi" w:hAnsiTheme="minorHAnsi" w:cs="Arial"/>
          <w:bCs/>
          <w:snapToGrid w:val="0"/>
          <w:lang w:eastAsia="en-US"/>
        </w:rPr>
      </w:pPr>
      <w:r w:rsidRPr="003E6723">
        <w:rPr>
          <w:rFonts w:asciiTheme="minorHAnsi" w:hAnsiTheme="minorHAnsi" w:cs="Arial"/>
          <w:bCs/>
          <w:snapToGrid w:val="0"/>
          <w:lang w:eastAsia="en-US"/>
        </w:rPr>
        <w:t xml:space="preserve">Recommended </w:t>
      </w:r>
    </w:p>
    <w:p w:rsidR="006F59A8" w:rsidRPr="003E6723" w:rsidRDefault="006F59A8" w:rsidP="00925E42">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E6723">
        <w:rPr>
          <w:rFonts w:asciiTheme="minorHAnsi" w:hAnsiTheme="minorHAnsi"/>
          <w:sz w:val="32"/>
          <w:szCs w:val="32"/>
        </w:rPr>
        <w:t>Recommended listing</w:t>
      </w:r>
    </w:p>
    <w:p w:rsidR="0006058D" w:rsidRPr="003E6723" w:rsidRDefault="00261844" w:rsidP="004D4A53">
      <w:pPr>
        <w:rPr>
          <w:rFonts w:asciiTheme="minorHAnsi" w:eastAsiaTheme="minorHAnsi" w:hAnsiTheme="minorHAnsi" w:cstheme="minorBidi"/>
          <w:szCs w:val="22"/>
        </w:rPr>
      </w:pPr>
      <w:r w:rsidRPr="003E6723">
        <w:rPr>
          <w:rFonts w:ascii="Calibri" w:hAnsi="Calibri"/>
          <w:bCs/>
          <w:snapToGrid w:val="0"/>
        </w:rPr>
        <w:t xml:space="preserve">Add new item: </w:t>
      </w:r>
    </w:p>
    <w:p w:rsidR="0006058D" w:rsidRPr="003E6723" w:rsidRDefault="0006058D" w:rsidP="00261844">
      <w:pPr>
        <w:pStyle w:val="ListParagraph"/>
        <w:spacing w:after="120"/>
        <w:ind w:left="576"/>
        <w:rPr>
          <w:rFonts w:asciiTheme="minorHAnsi" w:eastAsiaTheme="minorHAnsi" w:hAnsiTheme="minorHAnsi" w:cstheme="minorBidi"/>
          <w:snapToGrid/>
          <w:sz w:val="24"/>
          <w:szCs w:val="22"/>
          <w:lang w:eastAsia="en-AU"/>
        </w:rPr>
      </w:pPr>
    </w:p>
    <w:tbl>
      <w:tblPr>
        <w:tblW w:w="4915" w:type="pct"/>
        <w:tblLayout w:type="fixed"/>
        <w:tblLook w:val="0000" w:firstRow="0" w:lastRow="0" w:firstColumn="0" w:lastColumn="0" w:noHBand="0" w:noVBand="0"/>
      </w:tblPr>
      <w:tblGrid>
        <w:gridCol w:w="1954"/>
        <w:gridCol w:w="850"/>
        <w:gridCol w:w="1263"/>
        <w:gridCol w:w="721"/>
        <w:gridCol w:w="1557"/>
        <w:gridCol w:w="2733"/>
        <w:gridCol w:w="7"/>
      </w:tblGrid>
      <w:tr w:rsidR="0006058D" w:rsidRPr="003E6723" w:rsidTr="0006058D">
        <w:trPr>
          <w:cantSplit/>
          <w:trHeight w:val="465"/>
        </w:trPr>
        <w:tc>
          <w:tcPr>
            <w:tcW w:w="1543" w:type="pct"/>
            <w:gridSpan w:val="2"/>
            <w:tcBorders>
              <w:bottom w:val="single" w:sz="4" w:space="0" w:color="auto"/>
            </w:tcBorders>
          </w:tcPr>
          <w:p w:rsidR="0006058D" w:rsidRPr="003E6723" w:rsidRDefault="0006058D" w:rsidP="0006058D">
            <w:pPr>
              <w:keepNext/>
              <w:rPr>
                <w:rFonts w:ascii="Arial Narrow" w:hAnsi="Arial Narrow" w:cs="Arial"/>
                <w:b/>
                <w:sz w:val="20"/>
                <w:szCs w:val="20"/>
              </w:rPr>
            </w:pPr>
            <w:r w:rsidRPr="003E6723">
              <w:rPr>
                <w:rFonts w:ascii="Arial Narrow" w:hAnsi="Arial Narrow" w:cs="Arial"/>
                <w:b/>
                <w:sz w:val="20"/>
                <w:szCs w:val="20"/>
              </w:rPr>
              <w:t>Name, Restriction,</w:t>
            </w:r>
          </w:p>
          <w:p w:rsidR="0006058D" w:rsidRPr="003E6723" w:rsidRDefault="0006058D" w:rsidP="0006058D">
            <w:pPr>
              <w:keepNext/>
              <w:rPr>
                <w:rFonts w:ascii="Arial Narrow" w:hAnsi="Arial Narrow" w:cs="Arial"/>
                <w:b/>
                <w:sz w:val="20"/>
                <w:szCs w:val="20"/>
              </w:rPr>
            </w:pPr>
            <w:r w:rsidRPr="003E6723">
              <w:rPr>
                <w:rFonts w:ascii="Arial Narrow" w:hAnsi="Arial Narrow" w:cs="Arial"/>
                <w:b/>
                <w:sz w:val="20"/>
                <w:szCs w:val="20"/>
              </w:rPr>
              <w:t>Manner of administration and form</w:t>
            </w:r>
          </w:p>
        </w:tc>
        <w:tc>
          <w:tcPr>
            <w:tcW w:w="695" w:type="pct"/>
            <w:tcBorders>
              <w:bottom w:val="single" w:sz="4" w:space="0" w:color="auto"/>
            </w:tcBorders>
          </w:tcPr>
          <w:p w:rsidR="0006058D" w:rsidRPr="003E6723" w:rsidRDefault="0006058D" w:rsidP="0006058D">
            <w:pPr>
              <w:keepNext/>
              <w:jc w:val="center"/>
              <w:rPr>
                <w:rFonts w:ascii="Arial Narrow" w:hAnsi="Arial Narrow" w:cs="Arial"/>
                <w:b/>
                <w:sz w:val="20"/>
                <w:szCs w:val="20"/>
              </w:rPr>
            </w:pPr>
            <w:r w:rsidRPr="003E6723">
              <w:rPr>
                <w:rFonts w:ascii="Arial Narrow" w:hAnsi="Arial Narrow" w:cs="Arial"/>
                <w:b/>
                <w:sz w:val="20"/>
                <w:szCs w:val="20"/>
              </w:rPr>
              <w:t>Max.</w:t>
            </w:r>
          </w:p>
          <w:p w:rsidR="0006058D" w:rsidRPr="003E6723" w:rsidRDefault="0006058D" w:rsidP="0006058D">
            <w:pPr>
              <w:keepNext/>
              <w:jc w:val="center"/>
              <w:rPr>
                <w:rFonts w:ascii="Arial Narrow" w:hAnsi="Arial Narrow" w:cs="Arial"/>
                <w:b/>
                <w:sz w:val="20"/>
                <w:szCs w:val="20"/>
              </w:rPr>
            </w:pPr>
            <w:r w:rsidRPr="003E6723">
              <w:rPr>
                <w:rFonts w:ascii="Arial Narrow" w:hAnsi="Arial Narrow" w:cs="Arial"/>
                <w:b/>
                <w:sz w:val="20"/>
                <w:szCs w:val="20"/>
              </w:rPr>
              <w:t>Qty (Packs)</w:t>
            </w:r>
          </w:p>
        </w:tc>
        <w:tc>
          <w:tcPr>
            <w:tcW w:w="397" w:type="pct"/>
            <w:tcBorders>
              <w:bottom w:val="single" w:sz="4" w:space="0" w:color="auto"/>
            </w:tcBorders>
          </w:tcPr>
          <w:p w:rsidR="0006058D" w:rsidRPr="003E6723" w:rsidRDefault="0006058D" w:rsidP="0006058D">
            <w:pPr>
              <w:keepNext/>
              <w:jc w:val="center"/>
              <w:rPr>
                <w:rFonts w:ascii="Arial Narrow" w:hAnsi="Arial Narrow" w:cs="Arial"/>
                <w:b/>
                <w:sz w:val="20"/>
                <w:szCs w:val="20"/>
              </w:rPr>
            </w:pPr>
            <w:r w:rsidRPr="003E6723">
              <w:rPr>
                <w:rFonts w:ascii="Arial Narrow" w:hAnsi="Arial Narrow" w:cs="Arial"/>
                <w:b/>
                <w:sz w:val="20"/>
                <w:szCs w:val="20"/>
              </w:rPr>
              <w:t>№.of</w:t>
            </w:r>
          </w:p>
          <w:p w:rsidR="0006058D" w:rsidRPr="003E6723" w:rsidRDefault="0006058D" w:rsidP="0006058D">
            <w:pPr>
              <w:keepNext/>
              <w:jc w:val="center"/>
              <w:rPr>
                <w:rFonts w:ascii="Arial Narrow" w:hAnsi="Arial Narrow" w:cs="Arial"/>
                <w:b/>
                <w:sz w:val="20"/>
                <w:szCs w:val="20"/>
              </w:rPr>
            </w:pPr>
            <w:r w:rsidRPr="003E6723">
              <w:rPr>
                <w:rFonts w:ascii="Arial Narrow" w:hAnsi="Arial Narrow" w:cs="Arial"/>
                <w:b/>
                <w:sz w:val="20"/>
                <w:szCs w:val="20"/>
              </w:rPr>
              <w:t>Rpts</w:t>
            </w:r>
          </w:p>
        </w:tc>
        <w:tc>
          <w:tcPr>
            <w:tcW w:w="857" w:type="pct"/>
            <w:tcBorders>
              <w:bottom w:val="single" w:sz="4" w:space="0" w:color="auto"/>
            </w:tcBorders>
          </w:tcPr>
          <w:p w:rsidR="0006058D" w:rsidRPr="003E6723" w:rsidRDefault="00151AB5" w:rsidP="0006058D">
            <w:pPr>
              <w:keepNext/>
              <w:jc w:val="center"/>
              <w:rPr>
                <w:rFonts w:ascii="Arial Narrow" w:hAnsi="Arial Narrow" w:cs="Arial"/>
                <w:b/>
                <w:sz w:val="20"/>
                <w:szCs w:val="20"/>
              </w:rPr>
            </w:pPr>
            <w:r w:rsidRPr="003E6723">
              <w:rPr>
                <w:rFonts w:ascii="Arial Narrow" w:hAnsi="Arial Narrow" w:cs="Arial"/>
                <w:b/>
                <w:sz w:val="20"/>
                <w:szCs w:val="20"/>
              </w:rPr>
              <w:t>Proprietary Name</w:t>
            </w:r>
          </w:p>
        </w:tc>
        <w:tc>
          <w:tcPr>
            <w:tcW w:w="1508" w:type="pct"/>
            <w:gridSpan w:val="2"/>
            <w:tcBorders>
              <w:bottom w:val="single" w:sz="4" w:space="0" w:color="auto"/>
            </w:tcBorders>
          </w:tcPr>
          <w:p w:rsidR="0006058D" w:rsidRPr="003E6723" w:rsidRDefault="0006058D" w:rsidP="00151AB5">
            <w:pPr>
              <w:keepNext/>
              <w:rPr>
                <w:rFonts w:ascii="Arial Narrow" w:hAnsi="Arial Narrow" w:cs="Arial"/>
                <w:b/>
                <w:sz w:val="20"/>
                <w:szCs w:val="20"/>
              </w:rPr>
            </w:pPr>
            <w:r w:rsidRPr="003E6723">
              <w:rPr>
                <w:rFonts w:ascii="Arial Narrow" w:hAnsi="Arial Narrow" w:cs="Arial"/>
                <w:b/>
                <w:sz w:val="20"/>
                <w:szCs w:val="20"/>
              </w:rPr>
              <w:t>Manufacturer</w:t>
            </w:r>
          </w:p>
        </w:tc>
      </w:tr>
      <w:tr w:rsidR="00B965A8" w:rsidRPr="003E6723" w:rsidTr="00B965A8">
        <w:trPr>
          <w:cantSplit/>
          <w:trHeight w:val="567"/>
        </w:trPr>
        <w:tc>
          <w:tcPr>
            <w:tcW w:w="1543" w:type="pct"/>
            <w:gridSpan w:val="2"/>
            <w:vAlign w:val="center"/>
          </w:tcPr>
          <w:p w:rsidR="00B965A8" w:rsidRPr="003E6723" w:rsidRDefault="00B965A8" w:rsidP="0006058D">
            <w:pPr>
              <w:keepNext/>
              <w:rPr>
                <w:rFonts w:ascii="Arial Narrow" w:hAnsi="Arial Narrow" w:cs="Arial"/>
                <w:sz w:val="20"/>
                <w:szCs w:val="20"/>
              </w:rPr>
            </w:pPr>
            <w:r w:rsidRPr="003E6723">
              <w:rPr>
                <w:rFonts w:ascii="Arial Narrow" w:hAnsi="Arial Narrow" w:cs="Arial"/>
                <w:smallCaps/>
                <w:sz w:val="20"/>
                <w:szCs w:val="20"/>
              </w:rPr>
              <w:t>SEVELAMER</w:t>
            </w:r>
          </w:p>
          <w:p w:rsidR="00B965A8" w:rsidRPr="003E6723" w:rsidRDefault="00B965A8" w:rsidP="0006058D">
            <w:pPr>
              <w:keepNext/>
              <w:rPr>
                <w:rFonts w:ascii="Arial Narrow" w:hAnsi="Arial Narrow" w:cs="Arial"/>
                <w:sz w:val="20"/>
                <w:szCs w:val="20"/>
              </w:rPr>
            </w:pPr>
            <w:r w:rsidRPr="003E6723">
              <w:rPr>
                <w:rFonts w:ascii="Arial Narrow" w:hAnsi="Arial Narrow" w:cs="Arial"/>
                <w:sz w:val="20"/>
                <w:szCs w:val="20"/>
              </w:rPr>
              <w:t>Sevelamer carbonate, powder for oral liquid, 2.4g, 60</w:t>
            </w:r>
          </w:p>
        </w:tc>
        <w:tc>
          <w:tcPr>
            <w:tcW w:w="695" w:type="pct"/>
            <w:vAlign w:val="center"/>
          </w:tcPr>
          <w:p w:rsidR="00B965A8" w:rsidRPr="003E6723" w:rsidRDefault="00B965A8" w:rsidP="0006058D">
            <w:pPr>
              <w:keepNext/>
              <w:jc w:val="center"/>
              <w:rPr>
                <w:rFonts w:ascii="Arial Narrow" w:hAnsi="Arial Narrow" w:cs="Arial"/>
                <w:sz w:val="20"/>
                <w:szCs w:val="20"/>
              </w:rPr>
            </w:pPr>
            <w:r w:rsidRPr="003E6723">
              <w:rPr>
                <w:rFonts w:ascii="Arial Narrow" w:hAnsi="Arial Narrow" w:cs="Arial"/>
                <w:sz w:val="20"/>
                <w:szCs w:val="20"/>
              </w:rPr>
              <w:t>1</w:t>
            </w:r>
          </w:p>
        </w:tc>
        <w:tc>
          <w:tcPr>
            <w:tcW w:w="397" w:type="pct"/>
            <w:vAlign w:val="center"/>
          </w:tcPr>
          <w:p w:rsidR="00B965A8" w:rsidRPr="003E6723" w:rsidRDefault="00B965A8" w:rsidP="0006058D">
            <w:pPr>
              <w:keepNext/>
              <w:jc w:val="center"/>
              <w:rPr>
                <w:rFonts w:ascii="Arial Narrow" w:hAnsi="Arial Narrow" w:cs="Arial"/>
                <w:sz w:val="20"/>
                <w:szCs w:val="20"/>
              </w:rPr>
            </w:pPr>
            <w:r w:rsidRPr="003E6723">
              <w:rPr>
                <w:rFonts w:ascii="Arial Narrow" w:hAnsi="Arial Narrow" w:cs="Arial"/>
                <w:sz w:val="20"/>
                <w:szCs w:val="20"/>
              </w:rPr>
              <w:t>5</w:t>
            </w:r>
          </w:p>
        </w:tc>
        <w:tc>
          <w:tcPr>
            <w:tcW w:w="857" w:type="pct"/>
            <w:vAlign w:val="center"/>
          </w:tcPr>
          <w:p w:rsidR="00B965A8" w:rsidRPr="003E6723" w:rsidRDefault="00B965A8" w:rsidP="0006058D">
            <w:pPr>
              <w:keepNext/>
              <w:jc w:val="center"/>
              <w:rPr>
                <w:rFonts w:ascii="Arial Narrow" w:hAnsi="Arial Narrow" w:cs="Arial"/>
                <w:sz w:val="20"/>
                <w:szCs w:val="20"/>
              </w:rPr>
            </w:pPr>
            <w:r w:rsidRPr="003E6723">
              <w:rPr>
                <w:rFonts w:ascii="Arial Narrow" w:hAnsi="Arial Narrow" w:cs="Arial"/>
                <w:sz w:val="20"/>
                <w:szCs w:val="20"/>
              </w:rPr>
              <w:t>Renvela®</w:t>
            </w:r>
          </w:p>
        </w:tc>
        <w:tc>
          <w:tcPr>
            <w:tcW w:w="1508" w:type="pct"/>
            <w:gridSpan w:val="2"/>
            <w:vAlign w:val="center"/>
          </w:tcPr>
          <w:p w:rsidR="00B965A8" w:rsidRPr="003E6723" w:rsidRDefault="00B965A8" w:rsidP="0006058D">
            <w:pPr>
              <w:keepNext/>
              <w:jc w:val="center"/>
              <w:rPr>
                <w:rFonts w:ascii="Arial Narrow" w:hAnsi="Arial Narrow" w:cs="Arial"/>
                <w:sz w:val="20"/>
                <w:szCs w:val="20"/>
              </w:rPr>
            </w:pPr>
            <w:r w:rsidRPr="003E6723">
              <w:rPr>
                <w:rFonts w:ascii="Arial Narrow" w:hAnsi="Arial Narrow" w:cs="Arial"/>
                <w:sz w:val="20"/>
                <w:szCs w:val="20"/>
              </w:rPr>
              <w:t>Sanofi-Aventis Australia Pty Ltd</w:t>
            </w:r>
          </w:p>
        </w:tc>
      </w:tr>
      <w:tr w:rsidR="0006058D" w:rsidRPr="003E6723" w:rsidTr="0006058D">
        <w:trPr>
          <w:gridAfter w:val="1"/>
          <w:wAfter w:w="4" w:type="pct"/>
          <w:cantSplit/>
          <w:trHeight w:val="360"/>
        </w:trPr>
        <w:tc>
          <w:tcPr>
            <w:tcW w:w="1075" w:type="pct"/>
            <w:tcBorders>
              <w:top w:val="single" w:sz="4" w:space="0" w:color="auto"/>
              <w:left w:val="single" w:sz="4" w:space="0" w:color="auto"/>
              <w:bottom w:val="single" w:sz="4" w:space="0" w:color="auto"/>
              <w:right w:val="single" w:sz="4" w:space="0" w:color="auto"/>
            </w:tcBorders>
          </w:tcPr>
          <w:p w:rsidR="0006058D" w:rsidRPr="003E6723" w:rsidRDefault="0006058D" w:rsidP="0006058D">
            <w:pPr>
              <w:jc w:val="both"/>
              <w:rPr>
                <w:rFonts w:ascii="Arial Narrow" w:hAnsi="Arial Narrow" w:cs="Arial"/>
                <w:sz w:val="20"/>
                <w:szCs w:val="20"/>
              </w:rPr>
            </w:pPr>
            <w:r w:rsidRPr="003E6723">
              <w:rPr>
                <w:rFonts w:ascii="Arial Narrow" w:hAnsi="Arial Narrow" w:cs="Arial"/>
                <w:sz w:val="20"/>
                <w:szCs w:val="20"/>
              </w:rPr>
              <w:t xml:space="preserve">Category / </w:t>
            </w:r>
          </w:p>
          <w:p w:rsidR="0006058D" w:rsidRPr="003E6723" w:rsidRDefault="0006058D" w:rsidP="0006058D">
            <w:pPr>
              <w:jc w:val="both"/>
              <w:rPr>
                <w:rFonts w:ascii="Arial Narrow" w:hAnsi="Arial Narrow" w:cs="Arial"/>
                <w:b/>
                <w:sz w:val="20"/>
                <w:szCs w:val="20"/>
              </w:rPr>
            </w:pPr>
            <w:r w:rsidRPr="003E6723">
              <w:rPr>
                <w:rFonts w:ascii="Arial Narrow" w:hAnsi="Arial Narrow" w:cs="Arial"/>
                <w:sz w:val="20"/>
                <w:szCs w:val="20"/>
              </w:rPr>
              <w:t>Program</w:t>
            </w:r>
          </w:p>
        </w:tc>
        <w:tc>
          <w:tcPr>
            <w:tcW w:w="3921" w:type="pct"/>
            <w:gridSpan w:val="5"/>
            <w:tcBorders>
              <w:top w:val="single" w:sz="4" w:space="0" w:color="auto"/>
              <w:left w:val="single" w:sz="4" w:space="0" w:color="auto"/>
              <w:bottom w:val="single" w:sz="4" w:space="0" w:color="auto"/>
              <w:right w:val="single" w:sz="4" w:space="0" w:color="auto"/>
            </w:tcBorders>
          </w:tcPr>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GENERAL – General Schedule (Code GE)</w:t>
            </w:r>
          </w:p>
          <w:p w:rsidR="0006058D" w:rsidRPr="003E6723" w:rsidRDefault="0006058D" w:rsidP="0006058D">
            <w:pPr>
              <w:rPr>
                <w:rFonts w:ascii="Arial Narrow" w:hAnsi="Arial Narrow" w:cs="Arial"/>
                <w:sz w:val="20"/>
                <w:szCs w:val="20"/>
              </w:rPr>
            </w:pPr>
          </w:p>
        </w:tc>
      </w:tr>
      <w:tr w:rsidR="0006058D" w:rsidRPr="003E6723" w:rsidTr="0006058D">
        <w:trPr>
          <w:gridAfter w:val="1"/>
          <w:wAfter w:w="4" w:type="pct"/>
          <w:cantSplit/>
          <w:trHeight w:val="360"/>
        </w:trPr>
        <w:tc>
          <w:tcPr>
            <w:tcW w:w="1075" w:type="pct"/>
            <w:tcBorders>
              <w:top w:val="single" w:sz="4" w:space="0" w:color="auto"/>
              <w:left w:val="single" w:sz="4" w:space="0" w:color="auto"/>
              <w:bottom w:val="single" w:sz="4" w:space="0" w:color="auto"/>
              <w:right w:val="single" w:sz="4" w:space="0" w:color="auto"/>
            </w:tcBorders>
          </w:tcPr>
          <w:p w:rsidR="0006058D" w:rsidRPr="003E6723" w:rsidRDefault="0006058D" w:rsidP="0006058D">
            <w:pPr>
              <w:jc w:val="both"/>
              <w:rPr>
                <w:rFonts w:ascii="Arial Narrow" w:hAnsi="Arial Narrow" w:cs="Arial"/>
                <w:b/>
                <w:sz w:val="20"/>
                <w:szCs w:val="20"/>
              </w:rPr>
            </w:pPr>
            <w:r w:rsidRPr="003E6723">
              <w:rPr>
                <w:rFonts w:ascii="Arial Narrow" w:hAnsi="Arial Narrow" w:cs="Arial"/>
                <w:b/>
                <w:sz w:val="20"/>
                <w:szCs w:val="20"/>
              </w:rPr>
              <w:t>Prescriber type:</w:t>
            </w:r>
          </w:p>
        </w:tc>
        <w:tc>
          <w:tcPr>
            <w:tcW w:w="3921" w:type="pct"/>
            <w:gridSpan w:val="5"/>
            <w:tcBorders>
              <w:top w:val="single" w:sz="4" w:space="0" w:color="auto"/>
              <w:left w:val="single" w:sz="4" w:space="0" w:color="auto"/>
              <w:bottom w:val="single" w:sz="4" w:space="0" w:color="auto"/>
              <w:right w:val="single" w:sz="4" w:space="0" w:color="auto"/>
            </w:tcBorders>
          </w:tcPr>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fldChar w:fldCharType="begin">
                <w:ffData>
                  <w:name w:val="Check1"/>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 xml:space="preserve">Dental  </w:t>
            </w:r>
            <w:r w:rsidRPr="003E6723">
              <w:rPr>
                <w:rFonts w:ascii="Arial Narrow" w:hAnsi="Arial Narrow" w:cs="Arial"/>
                <w:sz w:val="20"/>
                <w:szCs w:val="20"/>
              </w:rPr>
              <w:fldChar w:fldCharType="begin">
                <w:ffData>
                  <w:name w:val=""/>
                  <w:enabled/>
                  <w:calcOnExit w:val="0"/>
                  <w:checkBox>
                    <w:sizeAuto/>
                    <w:default w:val="1"/>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 xml:space="preserve">Medical Practitioners  </w:t>
            </w:r>
            <w:r w:rsidRPr="003E6723">
              <w:rPr>
                <w:rFonts w:ascii="Arial Narrow" w:hAnsi="Arial Narrow" w:cs="Arial"/>
                <w:sz w:val="20"/>
                <w:szCs w:val="20"/>
              </w:rPr>
              <w:fldChar w:fldCharType="begin">
                <w:ffData>
                  <w:name w:val="Check3"/>
                  <w:enabled/>
                  <w:calcOnExit w:val="0"/>
                  <w:checkBox>
                    <w:sizeAuto/>
                    <w:default w:val="1"/>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 xml:space="preserve">Nurse practitioners  </w:t>
            </w:r>
            <w:r w:rsidRPr="003E6723">
              <w:rPr>
                <w:rFonts w:ascii="Arial Narrow" w:hAnsi="Arial Narrow" w:cs="Arial"/>
                <w:sz w:val="20"/>
                <w:szCs w:val="20"/>
              </w:rPr>
              <w:fldChar w:fldCharType="begin">
                <w:ffData>
                  <w:name w:val=""/>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Optometrists</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fldChar w:fldCharType="begin">
                <w:ffData>
                  <w:name w:val="Check5"/>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Midwives</w:t>
            </w:r>
          </w:p>
        </w:tc>
      </w:tr>
      <w:tr w:rsidR="0006058D" w:rsidRPr="003E6723" w:rsidTr="0006058D">
        <w:trPr>
          <w:gridAfter w:val="1"/>
          <w:wAfter w:w="4" w:type="pct"/>
          <w:cantSplit/>
          <w:trHeight w:val="360"/>
        </w:trPr>
        <w:tc>
          <w:tcPr>
            <w:tcW w:w="1075" w:type="pct"/>
            <w:tcBorders>
              <w:top w:val="single" w:sz="4" w:space="0" w:color="auto"/>
              <w:left w:val="single" w:sz="4" w:space="0" w:color="auto"/>
              <w:bottom w:val="single" w:sz="4" w:space="0" w:color="auto"/>
              <w:right w:val="single" w:sz="4" w:space="0" w:color="auto"/>
            </w:tcBorders>
          </w:tcPr>
          <w:p w:rsidR="0006058D" w:rsidRPr="003E6723" w:rsidRDefault="0006058D" w:rsidP="0006058D">
            <w:pPr>
              <w:jc w:val="both"/>
              <w:rPr>
                <w:rFonts w:ascii="Arial Narrow" w:hAnsi="Arial Narrow" w:cs="Arial"/>
                <w:b/>
                <w:sz w:val="20"/>
                <w:szCs w:val="20"/>
              </w:rPr>
            </w:pPr>
            <w:r w:rsidRPr="003E6723">
              <w:rPr>
                <w:rFonts w:ascii="Arial Narrow" w:hAnsi="Arial Narrow" w:cs="Arial"/>
                <w:b/>
                <w:sz w:val="20"/>
                <w:szCs w:val="20"/>
              </w:rPr>
              <w:t>PBS Indication:</w:t>
            </w:r>
          </w:p>
        </w:tc>
        <w:tc>
          <w:tcPr>
            <w:tcW w:w="3921" w:type="pct"/>
            <w:gridSpan w:val="5"/>
            <w:tcBorders>
              <w:top w:val="single" w:sz="4" w:space="0" w:color="auto"/>
              <w:left w:val="single" w:sz="4" w:space="0" w:color="auto"/>
              <w:bottom w:val="single" w:sz="4" w:space="0" w:color="auto"/>
              <w:right w:val="single" w:sz="4" w:space="0" w:color="auto"/>
            </w:tcBorders>
          </w:tcPr>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Hyperphosphataemia</w:t>
            </w:r>
          </w:p>
        </w:tc>
      </w:tr>
      <w:tr w:rsidR="0006058D" w:rsidRPr="003E6723" w:rsidTr="0006058D">
        <w:trPr>
          <w:gridAfter w:val="1"/>
          <w:wAfter w:w="4" w:type="pct"/>
          <w:cantSplit/>
          <w:trHeight w:val="360"/>
        </w:trPr>
        <w:tc>
          <w:tcPr>
            <w:tcW w:w="1075" w:type="pct"/>
            <w:tcBorders>
              <w:top w:val="single" w:sz="4" w:space="0" w:color="auto"/>
              <w:left w:val="single" w:sz="4" w:space="0" w:color="auto"/>
              <w:bottom w:val="single" w:sz="4" w:space="0" w:color="auto"/>
              <w:right w:val="single" w:sz="4" w:space="0" w:color="auto"/>
            </w:tcBorders>
          </w:tcPr>
          <w:p w:rsidR="0006058D" w:rsidRPr="003E6723" w:rsidRDefault="0006058D" w:rsidP="0006058D">
            <w:pPr>
              <w:jc w:val="both"/>
              <w:rPr>
                <w:rFonts w:ascii="Arial Narrow" w:hAnsi="Arial Narrow" w:cs="Arial"/>
                <w:b/>
                <w:sz w:val="20"/>
                <w:szCs w:val="20"/>
              </w:rPr>
            </w:pPr>
            <w:r w:rsidRPr="003E6723">
              <w:rPr>
                <w:rFonts w:ascii="Arial Narrow" w:hAnsi="Arial Narrow" w:cs="Arial"/>
                <w:b/>
                <w:sz w:val="20"/>
                <w:szCs w:val="20"/>
              </w:rPr>
              <w:t>Treatment phase:</w:t>
            </w:r>
          </w:p>
        </w:tc>
        <w:tc>
          <w:tcPr>
            <w:tcW w:w="3921" w:type="pct"/>
            <w:gridSpan w:val="5"/>
            <w:tcBorders>
              <w:top w:val="single" w:sz="4" w:space="0" w:color="auto"/>
              <w:left w:val="single" w:sz="4" w:space="0" w:color="auto"/>
              <w:bottom w:val="single" w:sz="4" w:space="0" w:color="auto"/>
              <w:right w:val="single" w:sz="4" w:space="0" w:color="auto"/>
            </w:tcBorders>
          </w:tcPr>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Maintenance following initiation and stabilisation</w:t>
            </w:r>
          </w:p>
        </w:tc>
      </w:tr>
      <w:tr w:rsidR="0006058D" w:rsidRPr="003E6723" w:rsidTr="0006058D">
        <w:trPr>
          <w:gridAfter w:val="1"/>
          <w:wAfter w:w="4" w:type="pct"/>
          <w:cantSplit/>
          <w:trHeight w:val="360"/>
        </w:trPr>
        <w:tc>
          <w:tcPr>
            <w:tcW w:w="1075" w:type="pct"/>
            <w:tcBorders>
              <w:top w:val="single" w:sz="4" w:space="0" w:color="auto"/>
              <w:left w:val="single" w:sz="4" w:space="0" w:color="auto"/>
              <w:bottom w:val="single" w:sz="4" w:space="0" w:color="auto"/>
              <w:right w:val="single" w:sz="4" w:space="0" w:color="auto"/>
            </w:tcBorders>
          </w:tcPr>
          <w:p w:rsidR="0006058D" w:rsidRPr="003E6723" w:rsidRDefault="0006058D" w:rsidP="0006058D">
            <w:pPr>
              <w:jc w:val="both"/>
              <w:rPr>
                <w:rFonts w:ascii="Arial Narrow" w:hAnsi="Arial Narrow" w:cs="Arial"/>
                <w:b/>
                <w:sz w:val="20"/>
                <w:szCs w:val="20"/>
              </w:rPr>
            </w:pPr>
            <w:r w:rsidRPr="003E6723">
              <w:rPr>
                <w:rFonts w:ascii="Arial Narrow" w:hAnsi="Arial Narrow" w:cs="Arial"/>
                <w:b/>
                <w:sz w:val="20"/>
                <w:szCs w:val="20"/>
              </w:rPr>
              <w:t>Restriction Level / Method:</w:t>
            </w:r>
          </w:p>
          <w:p w:rsidR="0006058D" w:rsidRPr="003E6723" w:rsidRDefault="0006058D" w:rsidP="0006058D">
            <w:pPr>
              <w:rPr>
                <w:rFonts w:ascii="Arial Narrow" w:hAnsi="Arial Narrow" w:cs="Arial"/>
                <w:sz w:val="20"/>
                <w:szCs w:val="20"/>
              </w:rPr>
            </w:pPr>
          </w:p>
        </w:tc>
        <w:tc>
          <w:tcPr>
            <w:tcW w:w="3921" w:type="pct"/>
            <w:gridSpan w:val="5"/>
            <w:tcBorders>
              <w:top w:val="single" w:sz="4" w:space="0" w:color="auto"/>
              <w:left w:val="single" w:sz="4" w:space="0" w:color="auto"/>
              <w:bottom w:val="single" w:sz="4" w:space="0" w:color="auto"/>
              <w:right w:val="single" w:sz="4" w:space="0" w:color="auto"/>
            </w:tcBorders>
          </w:tcPr>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fldChar w:fldCharType="begin">
                <w:ffData>
                  <w:name w:val="Check1"/>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Restricted benefit</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fldChar w:fldCharType="begin">
                <w:ffData>
                  <w:name w:val=""/>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Authority Required - In Writing</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fldChar w:fldCharType="begin">
                <w:ffData>
                  <w:name w:val="Check3"/>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Authority Required - Telephone</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fldChar w:fldCharType="begin">
                <w:ffData>
                  <w:name w:val=""/>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Authority Required – Emergency</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fldChar w:fldCharType="begin">
                <w:ffData>
                  <w:name w:val="Check5"/>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Authority Required - Electronic</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fldChar w:fldCharType="begin">
                <w:ffData>
                  <w:name w:val="Check5"/>
                  <w:enabled/>
                  <w:calcOnExit w:val="0"/>
                  <w:checkBox>
                    <w:sizeAuto/>
                    <w:default w:val="1"/>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Streamlined</w:t>
            </w:r>
          </w:p>
        </w:tc>
      </w:tr>
      <w:tr w:rsidR="0006058D" w:rsidRPr="003E6723" w:rsidTr="0006058D">
        <w:trPr>
          <w:gridAfter w:val="1"/>
          <w:wAfter w:w="4" w:type="pct"/>
          <w:cantSplit/>
          <w:trHeight w:val="360"/>
        </w:trPr>
        <w:tc>
          <w:tcPr>
            <w:tcW w:w="1075" w:type="pct"/>
            <w:tcBorders>
              <w:top w:val="single" w:sz="4" w:space="0" w:color="auto"/>
              <w:left w:val="single" w:sz="4" w:space="0" w:color="auto"/>
              <w:bottom w:val="single" w:sz="4" w:space="0" w:color="auto"/>
              <w:right w:val="single" w:sz="4" w:space="0" w:color="auto"/>
            </w:tcBorders>
          </w:tcPr>
          <w:p w:rsidR="0006058D" w:rsidRPr="003E6723" w:rsidRDefault="0006058D" w:rsidP="0006058D">
            <w:pPr>
              <w:rPr>
                <w:rFonts w:ascii="Arial Narrow" w:hAnsi="Arial Narrow" w:cs="Arial"/>
                <w:b/>
                <w:sz w:val="20"/>
                <w:szCs w:val="20"/>
              </w:rPr>
            </w:pPr>
            <w:r w:rsidRPr="003E6723">
              <w:rPr>
                <w:rFonts w:ascii="Arial Narrow" w:hAnsi="Arial Narrow" w:cs="Arial"/>
                <w:b/>
                <w:sz w:val="20"/>
                <w:szCs w:val="20"/>
              </w:rPr>
              <w:t>Treatment criteria:</w:t>
            </w:r>
          </w:p>
        </w:tc>
        <w:tc>
          <w:tcPr>
            <w:tcW w:w="3921" w:type="pct"/>
            <w:gridSpan w:val="5"/>
            <w:tcBorders>
              <w:top w:val="single" w:sz="4" w:space="0" w:color="auto"/>
              <w:left w:val="single" w:sz="4" w:space="0" w:color="auto"/>
              <w:bottom w:val="single" w:sz="4" w:space="0" w:color="auto"/>
              <w:right w:val="single" w:sz="4" w:space="0" w:color="auto"/>
            </w:tcBorders>
          </w:tcPr>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Patient must be undergoing dialysis for chronic kidney disease.</w:t>
            </w:r>
          </w:p>
        </w:tc>
      </w:tr>
      <w:tr w:rsidR="0006058D" w:rsidRPr="003E6723" w:rsidTr="0006058D">
        <w:trPr>
          <w:gridAfter w:val="1"/>
          <w:wAfter w:w="4" w:type="pct"/>
          <w:cantSplit/>
          <w:trHeight w:val="360"/>
        </w:trPr>
        <w:tc>
          <w:tcPr>
            <w:tcW w:w="1075" w:type="pct"/>
            <w:tcBorders>
              <w:top w:val="single" w:sz="4" w:space="0" w:color="auto"/>
              <w:left w:val="single" w:sz="4" w:space="0" w:color="auto"/>
              <w:bottom w:val="single" w:sz="4" w:space="0" w:color="auto"/>
              <w:right w:val="single" w:sz="4" w:space="0" w:color="auto"/>
            </w:tcBorders>
          </w:tcPr>
          <w:p w:rsidR="0006058D" w:rsidRPr="003E6723" w:rsidRDefault="0006058D" w:rsidP="0006058D">
            <w:pPr>
              <w:jc w:val="both"/>
              <w:rPr>
                <w:rFonts w:ascii="Arial Narrow" w:hAnsi="Arial Narrow" w:cs="Arial"/>
                <w:b/>
                <w:sz w:val="20"/>
                <w:szCs w:val="20"/>
              </w:rPr>
            </w:pPr>
            <w:r w:rsidRPr="003E6723">
              <w:rPr>
                <w:rFonts w:ascii="Arial Narrow" w:hAnsi="Arial Narrow" w:cs="Arial"/>
                <w:b/>
                <w:sz w:val="20"/>
                <w:szCs w:val="20"/>
              </w:rPr>
              <w:t>Clinical criteria:</w:t>
            </w:r>
          </w:p>
          <w:p w:rsidR="0006058D" w:rsidRPr="003E6723" w:rsidRDefault="0006058D" w:rsidP="0006058D">
            <w:pPr>
              <w:jc w:val="both"/>
              <w:rPr>
                <w:rFonts w:ascii="Arial Narrow" w:hAnsi="Arial Narrow" w:cs="Arial"/>
                <w:i/>
                <w:sz w:val="20"/>
                <w:szCs w:val="20"/>
              </w:rPr>
            </w:pPr>
          </w:p>
          <w:p w:rsidR="0006058D" w:rsidRPr="003E6723" w:rsidRDefault="0006058D" w:rsidP="0006058D">
            <w:pPr>
              <w:jc w:val="both"/>
              <w:rPr>
                <w:rFonts w:ascii="Arial Narrow" w:hAnsi="Arial Narrow" w:cs="Arial"/>
                <w:sz w:val="20"/>
                <w:szCs w:val="20"/>
              </w:rPr>
            </w:pPr>
          </w:p>
        </w:tc>
        <w:tc>
          <w:tcPr>
            <w:tcW w:w="3921" w:type="pct"/>
            <w:gridSpan w:val="5"/>
            <w:tcBorders>
              <w:top w:val="single" w:sz="4" w:space="0" w:color="auto"/>
              <w:left w:val="single" w:sz="4" w:space="0" w:color="auto"/>
              <w:bottom w:val="single" w:sz="4" w:space="0" w:color="auto"/>
              <w:right w:val="single" w:sz="4" w:space="0" w:color="auto"/>
            </w:tcBorders>
          </w:tcPr>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The condition must not be adequately controlled by calcium,</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AND</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Patient must have a serum phosphate of greater than 1.6 mmol per L at the commencement of therapy; OR</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The condition must be where a serum calcium times phosphate product is greater than 4 at the commencement of therapy,</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AND</w:t>
            </w:r>
          </w:p>
          <w:p w:rsidR="0006058D" w:rsidRPr="003E6723" w:rsidRDefault="0006058D" w:rsidP="0006058D">
            <w:pPr>
              <w:jc w:val="both"/>
              <w:rPr>
                <w:rFonts w:ascii="Arial Narrow" w:hAnsi="Arial Narrow" w:cs="Arial"/>
                <w:sz w:val="20"/>
                <w:szCs w:val="20"/>
              </w:rPr>
            </w:pPr>
            <w:r w:rsidRPr="003E6723">
              <w:rPr>
                <w:rFonts w:ascii="Arial Narrow" w:hAnsi="Arial Narrow" w:cs="Arial"/>
                <w:sz w:val="20"/>
                <w:szCs w:val="20"/>
              </w:rPr>
              <w:t>The treatment must not be used in combination with any other non-calcium phosphate binding agents</w:t>
            </w:r>
          </w:p>
        </w:tc>
      </w:tr>
      <w:tr w:rsidR="0006058D" w:rsidRPr="003E6723" w:rsidTr="0006058D">
        <w:trPr>
          <w:gridAfter w:val="1"/>
          <w:wAfter w:w="4" w:type="pct"/>
          <w:cantSplit/>
          <w:trHeight w:val="360"/>
        </w:trPr>
        <w:tc>
          <w:tcPr>
            <w:tcW w:w="1075" w:type="pct"/>
            <w:tcBorders>
              <w:top w:val="single" w:sz="4" w:space="0" w:color="auto"/>
              <w:left w:val="single" w:sz="4" w:space="0" w:color="auto"/>
              <w:bottom w:val="single" w:sz="4" w:space="0" w:color="auto"/>
              <w:right w:val="single" w:sz="4" w:space="0" w:color="auto"/>
            </w:tcBorders>
          </w:tcPr>
          <w:p w:rsidR="0006058D" w:rsidRPr="003E6723" w:rsidRDefault="0006058D" w:rsidP="0006058D">
            <w:pPr>
              <w:jc w:val="both"/>
              <w:rPr>
                <w:rFonts w:ascii="Arial Narrow" w:hAnsi="Arial Narrow" w:cs="Arial"/>
                <w:sz w:val="20"/>
                <w:szCs w:val="20"/>
              </w:rPr>
            </w:pPr>
            <w:r w:rsidRPr="003E6723">
              <w:rPr>
                <w:rFonts w:ascii="Arial Narrow" w:hAnsi="Arial Narrow" w:cs="Arial"/>
                <w:b/>
                <w:sz w:val="20"/>
                <w:szCs w:val="20"/>
              </w:rPr>
              <w:t>Population criteria:</w:t>
            </w:r>
          </w:p>
        </w:tc>
        <w:tc>
          <w:tcPr>
            <w:tcW w:w="3921" w:type="pct"/>
            <w:gridSpan w:val="5"/>
            <w:tcBorders>
              <w:top w:val="single" w:sz="4" w:space="0" w:color="auto"/>
              <w:left w:val="single" w:sz="4" w:space="0" w:color="auto"/>
              <w:bottom w:val="single" w:sz="4" w:space="0" w:color="auto"/>
              <w:right w:val="single" w:sz="4" w:space="0" w:color="auto"/>
            </w:tcBorders>
          </w:tcPr>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Patient must be 18 years old and over</w:t>
            </w:r>
          </w:p>
        </w:tc>
      </w:tr>
    </w:tbl>
    <w:p w:rsidR="0006058D" w:rsidRPr="003E6723" w:rsidRDefault="0006058D" w:rsidP="00261844">
      <w:pPr>
        <w:widowControl w:val="0"/>
        <w:spacing w:after="120"/>
        <w:jc w:val="both"/>
        <w:rPr>
          <w:rFonts w:asciiTheme="minorHAnsi" w:hAnsiTheme="minorHAnsi" w:cs="Arial"/>
          <w:bCs/>
          <w:snapToGrid w:val="0"/>
          <w:lang w:eastAsia="en-US"/>
        </w:rPr>
      </w:pPr>
    </w:p>
    <w:tbl>
      <w:tblPr>
        <w:tblW w:w="4915" w:type="pct"/>
        <w:tblLayout w:type="fixed"/>
        <w:tblLook w:val="0000" w:firstRow="0" w:lastRow="0" w:firstColumn="0" w:lastColumn="0" w:noHBand="0" w:noVBand="0"/>
      </w:tblPr>
      <w:tblGrid>
        <w:gridCol w:w="1954"/>
        <w:gridCol w:w="850"/>
        <w:gridCol w:w="1263"/>
        <w:gridCol w:w="721"/>
        <w:gridCol w:w="1557"/>
        <w:gridCol w:w="2740"/>
      </w:tblGrid>
      <w:tr w:rsidR="0006058D" w:rsidRPr="003E6723" w:rsidTr="0006058D">
        <w:trPr>
          <w:cantSplit/>
          <w:trHeight w:val="465"/>
        </w:trPr>
        <w:tc>
          <w:tcPr>
            <w:tcW w:w="1543" w:type="pct"/>
            <w:gridSpan w:val="2"/>
            <w:tcBorders>
              <w:bottom w:val="single" w:sz="4" w:space="0" w:color="auto"/>
            </w:tcBorders>
          </w:tcPr>
          <w:p w:rsidR="0006058D" w:rsidRPr="003E6723" w:rsidRDefault="0006058D" w:rsidP="0006058D">
            <w:pPr>
              <w:keepNext/>
              <w:rPr>
                <w:rFonts w:ascii="Arial Narrow" w:hAnsi="Arial Narrow" w:cs="Arial"/>
                <w:b/>
                <w:sz w:val="20"/>
                <w:szCs w:val="20"/>
              </w:rPr>
            </w:pPr>
            <w:r w:rsidRPr="003E6723">
              <w:rPr>
                <w:rFonts w:ascii="Arial Narrow" w:hAnsi="Arial Narrow" w:cs="Arial"/>
                <w:b/>
                <w:sz w:val="20"/>
                <w:szCs w:val="20"/>
              </w:rPr>
              <w:t>Name, Restriction,</w:t>
            </w:r>
          </w:p>
          <w:p w:rsidR="0006058D" w:rsidRPr="003E6723" w:rsidRDefault="0006058D" w:rsidP="0006058D">
            <w:pPr>
              <w:keepNext/>
              <w:rPr>
                <w:rFonts w:ascii="Arial Narrow" w:hAnsi="Arial Narrow" w:cs="Arial"/>
                <w:b/>
                <w:sz w:val="20"/>
                <w:szCs w:val="20"/>
              </w:rPr>
            </w:pPr>
            <w:r w:rsidRPr="003E6723">
              <w:rPr>
                <w:rFonts w:ascii="Arial Narrow" w:hAnsi="Arial Narrow" w:cs="Arial"/>
                <w:b/>
                <w:sz w:val="20"/>
                <w:szCs w:val="20"/>
              </w:rPr>
              <w:t>Manner of administration and form</w:t>
            </w:r>
          </w:p>
        </w:tc>
        <w:tc>
          <w:tcPr>
            <w:tcW w:w="695" w:type="pct"/>
            <w:tcBorders>
              <w:bottom w:val="single" w:sz="4" w:space="0" w:color="auto"/>
            </w:tcBorders>
          </w:tcPr>
          <w:p w:rsidR="0006058D" w:rsidRPr="003E6723" w:rsidRDefault="0006058D" w:rsidP="0006058D">
            <w:pPr>
              <w:keepNext/>
              <w:jc w:val="center"/>
              <w:rPr>
                <w:rFonts w:ascii="Arial Narrow" w:hAnsi="Arial Narrow" w:cs="Arial"/>
                <w:b/>
                <w:sz w:val="20"/>
                <w:szCs w:val="20"/>
              </w:rPr>
            </w:pPr>
            <w:r w:rsidRPr="003E6723">
              <w:rPr>
                <w:rFonts w:ascii="Arial Narrow" w:hAnsi="Arial Narrow" w:cs="Arial"/>
                <w:b/>
                <w:sz w:val="20"/>
                <w:szCs w:val="20"/>
              </w:rPr>
              <w:t>Max.</w:t>
            </w:r>
          </w:p>
          <w:p w:rsidR="0006058D" w:rsidRPr="003E6723" w:rsidRDefault="0006058D" w:rsidP="0006058D">
            <w:pPr>
              <w:keepNext/>
              <w:jc w:val="center"/>
              <w:rPr>
                <w:rFonts w:ascii="Arial Narrow" w:hAnsi="Arial Narrow" w:cs="Arial"/>
                <w:b/>
                <w:sz w:val="20"/>
                <w:szCs w:val="20"/>
              </w:rPr>
            </w:pPr>
            <w:r w:rsidRPr="003E6723">
              <w:rPr>
                <w:rFonts w:ascii="Arial Narrow" w:hAnsi="Arial Narrow" w:cs="Arial"/>
                <w:b/>
                <w:sz w:val="20"/>
                <w:szCs w:val="20"/>
              </w:rPr>
              <w:t>Qty (Packs)</w:t>
            </w:r>
          </w:p>
        </w:tc>
        <w:tc>
          <w:tcPr>
            <w:tcW w:w="397" w:type="pct"/>
            <w:tcBorders>
              <w:bottom w:val="single" w:sz="4" w:space="0" w:color="auto"/>
            </w:tcBorders>
          </w:tcPr>
          <w:p w:rsidR="0006058D" w:rsidRPr="003E6723" w:rsidRDefault="0006058D" w:rsidP="0006058D">
            <w:pPr>
              <w:keepNext/>
              <w:jc w:val="center"/>
              <w:rPr>
                <w:rFonts w:ascii="Arial Narrow" w:hAnsi="Arial Narrow" w:cs="Arial"/>
                <w:b/>
                <w:sz w:val="20"/>
                <w:szCs w:val="20"/>
              </w:rPr>
            </w:pPr>
            <w:r w:rsidRPr="003E6723">
              <w:rPr>
                <w:rFonts w:ascii="Arial Narrow" w:hAnsi="Arial Narrow" w:cs="Arial"/>
                <w:b/>
                <w:sz w:val="20"/>
                <w:szCs w:val="20"/>
              </w:rPr>
              <w:t>№.of</w:t>
            </w:r>
          </w:p>
          <w:p w:rsidR="0006058D" w:rsidRPr="003E6723" w:rsidRDefault="0006058D" w:rsidP="0006058D">
            <w:pPr>
              <w:keepNext/>
              <w:jc w:val="center"/>
              <w:rPr>
                <w:rFonts w:ascii="Arial Narrow" w:hAnsi="Arial Narrow" w:cs="Arial"/>
                <w:b/>
                <w:sz w:val="20"/>
                <w:szCs w:val="20"/>
              </w:rPr>
            </w:pPr>
            <w:r w:rsidRPr="003E6723">
              <w:rPr>
                <w:rFonts w:ascii="Arial Narrow" w:hAnsi="Arial Narrow" w:cs="Arial"/>
                <w:b/>
                <w:sz w:val="20"/>
                <w:szCs w:val="20"/>
              </w:rPr>
              <w:t>Rpts</w:t>
            </w:r>
          </w:p>
        </w:tc>
        <w:tc>
          <w:tcPr>
            <w:tcW w:w="857" w:type="pct"/>
            <w:tcBorders>
              <w:bottom w:val="single" w:sz="4" w:space="0" w:color="auto"/>
            </w:tcBorders>
          </w:tcPr>
          <w:p w:rsidR="0006058D" w:rsidRPr="003E6723" w:rsidRDefault="00151AB5" w:rsidP="0006058D">
            <w:pPr>
              <w:keepNext/>
              <w:jc w:val="center"/>
              <w:rPr>
                <w:rFonts w:ascii="Arial Narrow" w:hAnsi="Arial Narrow" w:cs="Arial"/>
                <w:b/>
                <w:sz w:val="20"/>
                <w:szCs w:val="20"/>
              </w:rPr>
            </w:pPr>
            <w:r w:rsidRPr="003E6723">
              <w:rPr>
                <w:rFonts w:ascii="Arial Narrow" w:hAnsi="Arial Narrow" w:cs="Arial"/>
                <w:b/>
                <w:sz w:val="20"/>
                <w:szCs w:val="20"/>
              </w:rPr>
              <w:t>Proprietary Name</w:t>
            </w:r>
          </w:p>
        </w:tc>
        <w:tc>
          <w:tcPr>
            <w:tcW w:w="1509" w:type="pct"/>
            <w:tcBorders>
              <w:bottom w:val="single" w:sz="4" w:space="0" w:color="auto"/>
            </w:tcBorders>
          </w:tcPr>
          <w:p w:rsidR="0006058D" w:rsidRPr="003E6723" w:rsidRDefault="0006058D" w:rsidP="00151AB5">
            <w:pPr>
              <w:keepNext/>
              <w:rPr>
                <w:rFonts w:ascii="Arial Narrow" w:hAnsi="Arial Narrow" w:cs="Arial"/>
                <w:b/>
                <w:sz w:val="20"/>
                <w:szCs w:val="20"/>
              </w:rPr>
            </w:pPr>
            <w:r w:rsidRPr="003E6723">
              <w:rPr>
                <w:rFonts w:ascii="Arial Narrow" w:hAnsi="Arial Narrow" w:cs="Arial"/>
                <w:b/>
                <w:sz w:val="20"/>
                <w:szCs w:val="20"/>
              </w:rPr>
              <w:t>Manufacturer</w:t>
            </w:r>
          </w:p>
        </w:tc>
      </w:tr>
      <w:tr w:rsidR="00B965A8" w:rsidRPr="003E6723" w:rsidTr="00B965A8">
        <w:trPr>
          <w:cantSplit/>
          <w:trHeight w:val="567"/>
        </w:trPr>
        <w:tc>
          <w:tcPr>
            <w:tcW w:w="1543" w:type="pct"/>
            <w:gridSpan w:val="2"/>
            <w:vAlign w:val="center"/>
          </w:tcPr>
          <w:p w:rsidR="00B965A8" w:rsidRPr="003E6723" w:rsidRDefault="00B965A8" w:rsidP="0006058D">
            <w:pPr>
              <w:keepNext/>
              <w:rPr>
                <w:rFonts w:ascii="Arial Narrow" w:hAnsi="Arial Narrow" w:cs="Arial"/>
                <w:sz w:val="20"/>
                <w:szCs w:val="20"/>
              </w:rPr>
            </w:pPr>
            <w:r w:rsidRPr="003E6723">
              <w:rPr>
                <w:rFonts w:ascii="Arial Narrow" w:hAnsi="Arial Narrow" w:cs="Arial"/>
                <w:smallCaps/>
                <w:sz w:val="20"/>
                <w:szCs w:val="20"/>
              </w:rPr>
              <w:t>SEVELAMER</w:t>
            </w:r>
          </w:p>
          <w:p w:rsidR="00B965A8" w:rsidRPr="003E6723" w:rsidRDefault="00B965A8" w:rsidP="0006058D">
            <w:pPr>
              <w:keepNext/>
              <w:rPr>
                <w:rFonts w:ascii="Arial Narrow" w:hAnsi="Arial Narrow" w:cs="Arial"/>
                <w:sz w:val="20"/>
                <w:szCs w:val="20"/>
              </w:rPr>
            </w:pPr>
            <w:r w:rsidRPr="003E6723">
              <w:rPr>
                <w:rFonts w:ascii="Arial Narrow" w:hAnsi="Arial Narrow" w:cs="Arial"/>
                <w:sz w:val="20"/>
                <w:szCs w:val="20"/>
              </w:rPr>
              <w:t>Sevelamer carbonate</w:t>
            </w:r>
            <w:r w:rsidRPr="003E6723">
              <w:rPr>
                <w:rFonts w:ascii="Arial Narrow" w:hAnsi="Arial Narrow" w:cs="Arial"/>
                <w:i/>
                <w:sz w:val="20"/>
                <w:szCs w:val="20"/>
              </w:rPr>
              <w:t xml:space="preserve">, </w:t>
            </w:r>
            <w:r w:rsidRPr="003E6723">
              <w:rPr>
                <w:rFonts w:ascii="Arial Narrow" w:hAnsi="Arial Narrow" w:cs="Arial"/>
                <w:sz w:val="20"/>
                <w:szCs w:val="20"/>
              </w:rPr>
              <w:t>powder for oral liquid, 2.4g, 60</w:t>
            </w:r>
          </w:p>
        </w:tc>
        <w:tc>
          <w:tcPr>
            <w:tcW w:w="695" w:type="pct"/>
            <w:vAlign w:val="center"/>
          </w:tcPr>
          <w:p w:rsidR="00B965A8" w:rsidRPr="003E6723" w:rsidRDefault="00B965A8" w:rsidP="0006058D">
            <w:pPr>
              <w:keepNext/>
              <w:jc w:val="center"/>
              <w:rPr>
                <w:rFonts w:ascii="Arial Narrow" w:hAnsi="Arial Narrow" w:cs="Arial"/>
                <w:sz w:val="20"/>
                <w:szCs w:val="20"/>
              </w:rPr>
            </w:pPr>
            <w:r w:rsidRPr="003E6723">
              <w:rPr>
                <w:rFonts w:ascii="Arial Narrow" w:hAnsi="Arial Narrow" w:cs="Arial"/>
                <w:sz w:val="20"/>
                <w:szCs w:val="20"/>
              </w:rPr>
              <w:t>1</w:t>
            </w:r>
          </w:p>
        </w:tc>
        <w:tc>
          <w:tcPr>
            <w:tcW w:w="397" w:type="pct"/>
            <w:vAlign w:val="center"/>
          </w:tcPr>
          <w:p w:rsidR="00B965A8" w:rsidRPr="003E6723" w:rsidRDefault="00B965A8" w:rsidP="0006058D">
            <w:pPr>
              <w:keepNext/>
              <w:jc w:val="center"/>
              <w:rPr>
                <w:rFonts w:ascii="Arial Narrow" w:hAnsi="Arial Narrow" w:cs="Arial"/>
                <w:sz w:val="20"/>
                <w:szCs w:val="20"/>
              </w:rPr>
            </w:pPr>
            <w:r w:rsidRPr="003E6723">
              <w:rPr>
                <w:rFonts w:ascii="Arial Narrow" w:hAnsi="Arial Narrow" w:cs="Arial"/>
                <w:sz w:val="20"/>
                <w:szCs w:val="20"/>
              </w:rPr>
              <w:t>5</w:t>
            </w:r>
          </w:p>
        </w:tc>
        <w:tc>
          <w:tcPr>
            <w:tcW w:w="857" w:type="pct"/>
            <w:vAlign w:val="center"/>
          </w:tcPr>
          <w:p w:rsidR="00B965A8" w:rsidRPr="003E6723" w:rsidRDefault="00B965A8" w:rsidP="0006058D">
            <w:pPr>
              <w:keepNext/>
              <w:jc w:val="center"/>
              <w:rPr>
                <w:rFonts w:ascii="Arial Narrow" w:hAnsi="Arial Narrow" w:cs="Arial"/>
                <w:sz w:val="20"/>
                <w:szCs w:val="20"/>
              </w:rPr>
            </w:pPr>
            <w:r w:rsidRPr="003E6723">
              <w:rPr>
                <w:rFonts w:ascii="Arial Narrow" w:hAnsi="Arial Narrow" w:cs="Arial"/>
                <w:sz w:val="20"/>
                <w:szCs w:val="20"/>
              </w:rPr>
              <w:t>Renvela®</w:t>
            </w:r>
          </w:p>
        </w:tc>
        <w:tc>
          <w:tcPr>
            <w:tcW w:w="1509" w:type="pct"/>
            <w:vAlign w:val="center"/>
          </w:tcPr>
          <w:p w:rsidR="00B965A8" w:rsidRPr="003E6723" w:rsidRDefault="00B965A8" w:rsidP="0006058D">
            <w:pPr>
              <w:keepNext/>
              <w:jc w:val="center"/>
              <w:rPr>
                <w:rFonts w:ascii="Arial Narrow" w:hAnsi="Arial Narrow" w:cs="Arial"/>
                <w:sz w:val="20"/>
                <w:szCs w:val="20"/>
              </w:rPr>
            </w:pPr>
            <w:r w:rsidRPr="003E6723">
              <w:rPr>
                <w:rFonts w:ascii="Arial Narrow" w:hAnsi="Arial Narrow" w:cs="Arial"/>
                <w:sz w:val="20"/>
                <w:szCs w:val="20"/>
              </w:rPr>
              <w:t>Sanofi-Aventis Australia Pty Ltd</w:t>
            </w:r>
          </w:p>
        </w:tc>
      </w:tr>
      <w:tr w:rsidR="0006058D" w:rsidRPr="003E6723" w:rsidTr="0006058D">
        <w:trPr>
          <w:cantSplit/>
          <w:trHeight w:val="360"/>
        </w:trPr>
        <w:tc>
          <w:tcPr>
            <w:tcW w:w="1075" w:type="pct"/>
            <w:tcBorders>
              <w:top w:val="single" w:sz="4" w:space="0" w:color="auto"/>
              <w:left w:val="single" w:sz="4" w:space="0" w:color="auto"/>
              <w:bottom w:val="single" w:sz="4" w:space="0" w:color="auto"/>
              <w:right w:val="single" w:sz="4" w:space="0" w:color="auto"/>
            </w:tcBorders>
          </w:tcPr>
          <w:p w:rsidR="0006058D" w:rsidRPr="003E6723" w:rsidRDefault="0006058D" w:rsidP="0006058D">
            <w:pPr>
              <w:jc w:val="both"/>
              <w:rPr>
                <w:rFonts w:ascii="Arial Narrow" w:hAnsi="Arial Narrow" w:cs="Arial"/>
                <w:sz w:val="20"/>
                <w:szCs w:val="20"/>
              </w:rPr>
            </w:pPr>
            <w:r w:rsidRPr="003E6723">
              <w:rPr>
                <w:rFonts w:ascii="Arial Narrow" w:hAnsi="Arial Narrow" w:cs="Arial"/>
                <w:sz w:val="20"/>
                <w:szCs w:val="20"/>
              </w:rPr>
              <w:t xml:space="preserve">Category / </w:t>
            </w:r>
          </w:p>
          <w:p w:rsidR="0006058D" w:rsidRPr="003E6723" w:rsidRDefault="0006058D" w:rsidP="0006058D">
            <w:pPr>
              <w:jc w:val="both"/>
              <w:rPr>
                <w:rFonts w:ascii="Arial Narrow" w:hAnsi="Arial Narrow" w:cs="Arial"/>
                <w:b/>
                <w:sz w:val="20"/>
                <w:szCs w:val="20"/>
              </w:rPr>
            </w:pPr>
            <w:r w:rsidRPr="003E6723">
              <w:rPr>
                <w:rFonts w:ascii="Arial Narrow" w:hAnsi="Arial Narrow" w:cs="Arial"/>
                <w:sz w:val="20"/>
                <w:szCs w:val="20"/>
              </w:rPr>
              <w:t>Program</w:t>
            </w:r>
          </w:p>
        </w:tc>
        <w:tc>
          <w:tcPr>
            <w:tcW w:w="3925" w:type="pct"/>
            <w:gridSpan w:val="5"/>
            <w:tcBorders>
              <w:top w:val="single" w:sz="4" w:space="0" w:color="auto"/>
              <w:left w:val="single" w:sz="4" w:space="0" w:color="auto"/>
              <w:bottom w:val="single" w:sz="4" w:space="0" w:color="auto"/>
              <w:right w:val="single" w:sz="4" w:space="0" w:color="auto"/>
            </w:tcBorders>
          </w:tcPr>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Section 100 – Highly Specialised Drugs Program (Public and Private)</w:t>
            </w:r>
          </w:p>
          <w:p w:rsidR="0006058D" w:rsidRPr="003E6723" w:rsidRDefault="0006058D" w:rsidP="0006058D">
            <w:pPr>
              <w:rPr>
                <w:rFonts w:ascii="Arial Narrow" w:hAnsi="Arial Narrow" w:cs="Arial"/>
                <w:sz w:val="20"/>
                <w:szCs w:val="20"/>
              </w:rPr>
            </w:pPr>
          </w:p>
        </w:tc>
      </w:tr>
      <w:tr w:rsidR="0006058D" w:rsidRPr="003E6723" w:rsidTr="0006058D">
        <w:trPr>
          <w:cantSplit/>
          <w:trHeight w:val="360"/>
        </w:trPr>
        <w:tc>
          <w:tcPr>
            <w:tcW w:w="1075" w:type="pct"/>
            <w:tcBorders>
              <w:top w:val="single" w:sz="4" w:space="0" w:color="auto"/>
              <w:left w:val="single" w:sz="4" w:space="0" w:color="auto"/>
              <w:bottom w:val="single" w:sz="4" w:space="0" w:color="auto"/>
              <w:right w:val="single" w:sz="4" w:space="0" w:color="auto"/>
            </w:tcBorders>
          </w:tcPr>
          <w:p w:rsidR="0006058D" w:rsidRPr="003E6723" w:rsidRDefault="0006058D" w:rsidP="0006058D">
            <w:pPr>
              <w:jc w:val="both"/>
              <w:rPr>
                <w:rFonts w:ascii="Arial Narrow" w:hAnsi="Arial Narrow" w:cs="Arial"/>
                <w:b/>
                <w:sz w:val="20"/>
                <w:szCs w:val="20"/>
              </w:rPr>
            </w:pPr>
            <w:r w:rsidRPr="003E6723">
              <w:rPr>
                <w:rFonts w:ascii="Arial Narrow" w:hAnsi="Arial Narrow" w:cs="Arial"/>
                <w:b/>
                <w:sz w:val="20"/>
                <w:szCs w:val="20"/>
              </w:rPr>
              <w:t>Prescriber type:</w:t>
            </w:r>
          </w:p>
        </w:tc>
        <w:tc>
          <w:tcPr>
            <w:tcW w:w="3925" w:type="pct"/>
            <w:gridSpan w:val="5"/>
            <w:tcBorders>
              <w:top w:val="single" w:sz="4" w:space="0" w:color="auto"/>
              <w:left w:val="single" w:sz="4" w:space="0" w:color="auto"/>
              <w:bottom w:val="single" w:sz="4" w:space="0" w:color="auto"/>
              <w:right w:val="single" w:sz="4" w:space="0" w:color="auto"/>
            </w:tcBorders>
          </w:tcPr>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fldChar w:fldCharType="begin">
                <w:ffData>
                  <w:name w:val="Check1"/>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 xml:space="preserve">Dental  </w:t>
            </w:r>
            <w:r w:rsidRPr="003E6723">
              <w:rPr>
                <w:rFonts w:ascii="Arial Narrow" w:hAnsi="Arial Narrow" w:cs="Arial"/>
                <w:sz w:val="20"/>
                <w:szCs w:val="20"/>
              </w:rPr>
              <w:fldChar w:fldCharType="begin">
                <w:ffData>
                  <w:name w:val=""/>
                  <w:enabled/>
                  <w:calcOnExit w:val="0"/>
                  <w:checkBox>
                    <w:sizeAuto/>
                    <w:default w:val="1"/>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 xml:space="preserve">Medical Practitioners  </w:t>
            </w:r>
            <w:r w:rsidRPr="003E6723">
              <w:rPr>
                <w:rFonts w:ascii="Arial Narrow" w:hAnsi="Arial Narrow" w:cs="Arial"/>
                <w:sz w:val="20"/>
                <w:szCs w:val="20"/>
              </w:rPr>
              <w:fldChar w:fldCharType="begin">
                <w:ffData>
                  <w:name w:val="Check3"/>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 xml:space="preserve">Nurse practitioners  </w:t>
            </w:r>
            <w:r w:rsidRPr="003E6723">
              <w:rPr>
                <w:rFonts w:ascii="Arial Narrow" w:hAnsi="Arial Narrow" w:cs="Arial"/>
                <w:sz w:val="20"/>
                <w:szCs w:val="20"/>
              </w:rPr>
              <w:fldChar w:fldCharType="begin">
                <w:ffData>
                  <w:name w:val=""/>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Optometrists</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fldChar w:fldCharType="begin">
                <w:ffData>
                  <w:name w:val="Check5"/>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Midwives</w:t>
            </w:r>
          </w:p>
        </w:tc>
      </w:tr>
      <w:tr w:rsidR="0006058D" w:rsidRPr="003E6723" w:rsidTr="0006058D">
        <w:trPr>
          <w:cantSplit/>
          <w:trHeight w:val="360"/>
        </w:trPr>
        <w:tc>
          <w:tcPr>
            <w:tcW w:w="1075" w:type="pct"/>
            <w:tcBorders>
              <w:top w:val="single" w:sz="4" w:space="0" w:color="auto"/>
              <w:left w:val="single" w:sz="4" w:space="0" w:color="auto"/>
              <w:bottom w:val="single" w:sz="4" w:space="0" w:color="auto"/>
              <w:right w:val="single" w:sz="4" w:space="0" w:color="auto"/>
            </w:tcBorders>
          </w:tcPr>
          <w:p w:rsidR="0006058D" w:rsidRPr="003E6723" w:rsidRDefault="0006058D" w:rsidP="0006058D">
            <w:pPr>
              <w:jc w:val="both"/>
              <w:rPr>
                <w:rFonts w:ascii="Arial Narrow" w:hAnsi="Arial Narrow" w:cs="Arial"/>
                <w:b/>
                <w:sz w:val="20"/>
                <w:szCs w:val="20"/>
              </w:rPr>
            </w:pPr>
            <w:r w:rsidRPr="003E6723">
              <w:rPr>
                <w:rFonts w:ascii="Arial Narrow" w:hAnsi="Arial Narrow" w:cs="Arial"/>
                <w:b/>
                <w:sz w:val="20"/>
                <w:szCs w:val="20"/>
              </w:rPr>
              <w:t>PBS Indication:</w:t>
            </w:r>
          </w:p>
        </w:tc>
        <w:tc>
          <w:tcPr>
            <w:tcW w:w="3925" w:type="pct"/>
            <w:gridSpan w:val="5"/>
            <w:tcBorders>
              <w:top w:val="single" w:sz="4" w:space="0" w:color="auto"/>
              <w:left w:val="single" w:sz="4" w:space="0" w:color="auto"/>
              <w:bottom w:val="single" w:sz="4" w:space="0" w:color="auto"/>
              <w:right w:val="single" w:sz="4" w:space="0" w:color="auto"/>
            </w:tcBorders>
          </w:tcPr>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Hyperphosphataemia</w:t>
            </w:r>
          </w:p>
        </w:tc>
      </w:tr>
      <w:tr w:rsidR="0006058D" w:rsidRPr="003E6723" w:rsidTr="0006058D">
        <w:trPr>
          <w:cantSplit/>
          <w:trHeight w:val="360"/>
        </w:trPr>
        <w:tc>
          <w:tcPr>
            <w:tcW w:w="1075" w:type="pct"/>
            <w:tcBorders>
              <w:top w:val="single" w:sz="4" w:space="0" w:color="auto"/>
              <w:left w:val="single" w:sz="4" w:space="0" w:color="auto"/>
              <w:bottom w:val="single" w:sz="4" w:space="0" w:color="auto"/>
              <w:right w:val="single" w:sz="4" w:space="0" w:color="auto"/>
            </w:tcBorders>
          </w:tcPr>
          <w:p w:rsidR="0006058D" w:rsidRPr="003E6723" w:rsidRDefault="0006058D" w:rsidP="0006058D">
            <w:pPr>
              <w:jc w:val="both"/>
              <w:rPr>
                <w:rFonts w:ascii="Arial Narrow" w:hAnsi="Arial Narrow" w:cs="Arial"/>
                <w:b/>
                <w:sz w:val="20"/>
                <w:szCs w:val="20"/>
              </w:rPr>
            </w:pPr>
            <w:r w:rsidRPr="003E6723">
              <w:rPr>
                <w:rFonts w:ascii="Arial Narrow" w:hAnsi="Arial Narrow" w:cs="Arial"/>
                <w:b/>
                <w:sz w:val="20"/>
                <w:szCs w:val="20"/>
              </w:rPr>
              <w:t>Treatment phase:</w:t>
            </w:r>
          </w:p>
        </w:tc>
        <w:tc>
          <w:tcPr>
            <w:tcW w:w="3925" w:type="pct"/>
            <w:gridSpan w:val="5"/>
            <w:tcBorders>
              <w:top w:val="single" w:sz="4" w:space="0" w:color="auto"/>
              <w:left w:val="single" w:sz="4" w:space="0" w:color="auto"/>
              <w:bottom w:val="single" w:sz="4" w:space="0" w:color="auto"/>
              <w:right w:val="single" w:sz="4" w:space="0" w:color="auto"/>
            </w:tcBorders>
          </w:tcPr>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Initiation and stabilisation</w:t>
            </w:r>
          </w:p>
        </w:tc>
      </w:tr>
      <w:tr w:rsidR="0006058D" w:rsidRPr="003E6723" w:rsidTr="0006058D">
        <w:trPr>
          <w:cantSplit/>
          <w:trHeight w:val="360"/>
        </w:trPr>
        <w:tc>
          <w:tcPr>
            <w:tcW w:w="1075" w:type="pct"/>
            <w:tcBorders>
              <w:top w:val="single" w:sz="4" w:space="0" w:color="auto"/>
              <w:left w:val="single" w:sz="4" w:space="0" w:color="auto"/>
              <w:bottom w:val="single" w:sz="4" w:space="0" w:color="auto"/>
              <w:right w:val="single" w:sz="4" w:space="0" w:color="auto"/>
            </w:tcBorders>
          </w:tcPr>
          <w:p w:rsidR="0006058D" w:rsidRPr="003E6723" w:rsidRDefault="0006058D" w:rsidP="0006058D">
            <w:pPr>
              <w:jc w:val="both"/>
              <w:rPr>
                <w:rFonts w:ascii="Arial Narrow" w:hAnsi="Arial Narrow" w:cs="Arial"/>
                <w:b/>
                <w:sz w:val="20"/>
                <w:szCs w:val="20"/>
              </w:rPr>
            </w:pPr>
            <w:r w:rsidRPr="003E6723">
              <w:rPr>
                <w:rFonts w:ascii="Arial Narrow" w:hAnsi="Arial Narrow" w:cs="Arial"/>
                <w:b/>
                <w:sz w:val="20"/>
                <w:szCs w:val="20"/>
              </w:rPr>
              <w:t>Restriction Level / Method:</w:t>
            </w:r>
          </w:p>
          <w:p w:rsidR="0006058D" w:rsidRPr="003E6723" w:rsidRDefault="0006058D" w:rsidP="0006058D">
            <w:pPr>
              <w:rPr>
                <w:rFonts w:ascii="Arial Narrow" w:hAnsi="Arial Narrow" w:cs="Arial"/>
                <w:sz w:val="20"/>
                <w:szCs w:val="20"/>
              </w:rPr>
            </w:pPr>
          </w:p>
        </w:tc>
        <w:tc>
          <w:tcPr>
            <w:tcW w:w="3925" w:type="pct"/>
            <w:gridSpan w:val="5"/>
            <w:tcBorders>
              <w:top w:val="single" w:sz="4" w:space="0" w:color="auto"/>
              <w:left w:val="single" w:sz="4" w:space="0" w:color="auto"/>
              <w:bottom w:val="single" w:sz="4" w:space="0" w:color="auto"/>
              <w:right w:val="single" w:sz="4" w:space="0" w:color="auto"/>
            </w:tcBorders>
          </w:tcPr>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fldChar w:fldCharType="begin">
                <w:ffData>
                  <w:name w:val="Check1"/>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Restricted benefit</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fldChar w:fldCharType="begin">
                <w:ffData>
                  <w:name w:val=""/>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Authority Required - In Writing</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fldChar w:fldCharType="begin">
                <w:ffData>
                  <w:name w:val="Check3"/>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Authority Required - Telephone</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fldChar w:fldCharType="begin">
                <w:ffData>
                  <w:name w:val=""/>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Authority Required – Emergency</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fldChar w:fldCharType="begin">
                <w:ffData>
                  <w:name w:val="Check5"/>
                  <w:enabled/>
                  <w:calcOnExit w:val="0"/>
                  <w:checkBox>
                    <w:sizeAuto/>
                    <w:default w:val="0"/>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Authority Required - Electronic</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fldChar w:fldCharType="begin">
                <w:ffData>
                  <w:name w:val=""/>
                  <w:enabled/>
                  <w:calcOnExit w:val="0"/>
                  <w:checkBox>
                    <w:sizeAuto/>
                    <w:default w:val="1"/>
                  </w:checkBox>
                </w:ffData>
              </w:fldChar>
            </w:r>
            <w:r w:rsidRPr="003E6723">
              <w:rPr>
                <w:rFonts w:ascii="Arial Narrow" w:hAnsi="Arial Narrow" w:cs="Arial"/>
                <w:sz w:val="20"/>
                <w:szCs w:val="20"/>
              </w:rPr>
              <w:instrText xml:space="preserve"> FORMCHECKBOX </w:instrText>
            </w:r>
            <w:r w:rsidR="004B1DA8">
              <w:rPr>
                <w:rFonts w:ascii="Arial Narrow" w:hAnsi="Arial Narrow" w:cs="Arial"/>
                <w:sz w:val="20"/>
                <w:szCs w:val="20"/>
              </w:rPr>
            </w:r>
            <w:r w:rsidR="004B1DA8">
              <w:rPr>
                <w:rFonts w:ascii="Arial Narrow" w:hAnsi="Arial Narrow" w:cs="Arial"/>
                <w:sz w:val="20"/>
                <w:szCs w:val="20"/>
              </w:rPr>
              <w:fldChar w:fldCharType="separate"/>
            </w:r>
            <w:r w:rsidRPr="003E6723">
              <w:rPr>
                <w:rFonts w:ascii="Arial Narrow" w:hAnsi="Arial Narrow" w:cs="Arial"/>
                <w:sz w:val="20"/>
                <w:szCs w:val="20"/>
              </w:rPr>
              <w:fldChar w:fldCharType="end"/>
            </w:r>
            <w:r w:rsidRPr="003E6723">
              <w:rPr>
                <w:rFonts w:ascii="Arial Narrow" w:hAnsi="Arial Narrow" w:cs="Arial"/>
                <w:sz w:val="20"/>
                <w:szCs w:val="20"/>
              </w:rPr>
              <w:t>Streamlined</w:t>
            </w:r>
          </w:p>
        </w:tc>
      </w:tr>
      <w:tr w:rsidR="0006058D" w:rsidRPr="003E6723" w:rsidTr="0006058D">
        <w:trPr>
          <w:cantSplit/>
          <w:trHeight w:val="360"/>
        </w:trPr>
        <w:tc>
          <w:tcPr>
            <w:tcW w:w="1075" w:type="pct"/>
            <w:tcBorders>
              <w:top w:val="single" w:sz="4" w:space="0" w:color="auto"/>
              <w:left w:val="single" w:sz="4" w:space="0" w:color="auto"/>
              <w:bottom w:val="single" w:sz="4" w:space="0" w:color="auto"/>
              <w:right w:val="single" w:sz="4" w:space="0" w:color="auto"/>
            </w:tcBorders>
          </w:tcPr>
          <w:p w:rsidR="0006058D" w:rsidRPr="003E6723" w:rsidRDefault="0006058D" w:rsidP="0006058D">
            <w:pPr>
              <w:rPr>
                <w:rFonts w:ascii="Arial Narrow" w:hAnsi="Arial Narrow" w:cs="Arial"/>
                <w:b/>
                <w:sz w:val="20"/>
                <w:szCs w:val="20"/>
              </w:rPr>
            </w:pPr>
            <w:r w:rsidRPr="003E6723">
              <w:rPr>
                <w:rFonts w:ascii="Arial Narrow" w:hAnsi="Arial Narrow" w:cs="Arial"/>
                <w:b/>
                <w:sz w:val="20"/>
                <w:szCs w:val="20"/>
              </w:rPr>
              <w:t>Treatment criteria:</w:t>
            </w:r>
          </w:p>
        </w:tc>
        <w:tc>
          <w:tcPr>
            <w:tcW w:w="3925" w:type="pct"/>
            <w:gridSpan w:val="5"/>
            <w:tcBorders>
              <w:top w:val="single" w:sz="4" w:space="0" w:color="auto"/>
              <w:left w:val="single" w:sz="4" w:space="0" w:color="auto"/>
              <w:bottom w:val="single" w:sz="4" w:space="0" w:color="auto"/>
              <w:right w:val="single" w:sz="4" w:space="0" w:color="auto"/>
            </w:tcBorders>
          </w:tcPr>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Patient must be undergoing dialysis for chronic kidney disease.</w:t>
            </w:r>
          </w:p>
        </w:tc>
      </w:tr>
      <w:tr w:rsidR="0006058D" w:rsidRPr="003E6723" w:rsidTr="0006058D">
        <w:trPr>
          <w:cantSplit/>
          <w:trHeight w:val="360"/>
        </w:trPr>
        <w:tc>
          <w:tcPr>
            <w:tcW w:w="1075" w:type="pct"/>
            <w:tcBorders>
              <w:top w:val="single" w:sz="4" w:space="0" w:color="auto"/>
              <w:left w:val="single" w:sz="4" w:space="0" w:color="auto"/>
              <w:bottom w:val="single" w:sz="4" w:space="0" w:color="auto"/>
              <w:right w:val="single" w:sz="4" w:space="0" w:color="auto"/>
            </w:tcBorders>
          </w:tcPr>
          <w:p w:rsidR="0006058D" w:rsidRPr="003E6723" w:rsidRDefault="0006058D" w:rsidP="0006058D">
            <w:pPr>
              <w:jc w:val="both"/>
              <w:rPr>
                <w:rFonts w:ascii="Arial Narrow" w:hAnsi="Arial Narrow" w:cs="Arial"/>
                <w:b/>
                <w:sz w:val="20"/>
                <w:szCs w:val="20"/>
              </w:rPr>
            </w:pPr>
            <w:r w:rsidRPr="003E6723">
              <w:rPr>
                <w:rFonts w:ascii="Arial Narrow" w:hAnsi="Arial Narrow" w:cs="Arial"/>
                <w:b/>
                <w:sz w:val="20"/>
                <w:szCs w:val="20"/>
              </w:rPr>
              <w:t>Clinical criteria:</w:t>
            </w:r>
          </w:p>
          <w:p w:rsidR="0006058D" w:rsidRPr="003E6723" w:rsidRDefault="0006058D" w:rsidP="0006058D">
            <w:pPr>
              <w:jc w:val="both"/>
              <w:rPr>
                <w:rFonts w:ascii="Arial Narrow" w:hAnsi="Arial Narrow" w:cs="Arial"/>
                <w:i/>
                <w:sz w:val="20"/>
                <w:szCs w:val="20"/>
              </w:rPr>
            </w:pPr>
          </w:p>
          <w:p w:rsidR="0006058D" w:rsidRPr="003E6723" w:rsidRDefault="0006058D" w:rsidP="0006058D">
            <w:pPr>
              <w:jc w:val="both"/>
              <w:rPr>
                <w:rFonts w:ascii="Arial Narrow" w:hAnsi="Arial Narrow" w:cs="Arial"/>
                <w:sz w:val="20"/>
                <w:szCs w:val="20"/>
              </w:rPr>
            </w:pPr>
          </w:p>
        </w:tc>
        <w:tc>
          <w:tcPr>
            <w:tcW w:w="3925" w:type="pct"/>
            <w:gridSpan w:val="5"/>
            <w:tcBorders>
              <w:top w:val="single" w:sz="4" w:space="0" w:color="auto"/>
              <w:left w:val="single" w:sz="4" w:space="0" w:color="auto"/>
              <w:bottom w:val="single" w:sz="4" w:space="0" w:color="auto"/>
              <w:right w:val="single" w:sz="4" w:space="0" w:color="auto"/>
            </w:tcBorders>
          </w:tcPr>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The condition must not be adequately controlled by calcium,</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AND</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Patient must have a serum phosphate of greater than 1.6 mmol per L at the commencement of therapy; OR</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The condition must be where a serum calcium times phosphate product is greater than 4 at the commencement of therapy,</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AND</w:t>
            </w:r>
          </w:p>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The treatment must not be used in combination with any other non-calcium phosphate binding agents.</w:t>
            </w:r>
          </w:p>
        </w:tc>
      </w:tr>
      <w:tr w:rsidR="0006058D" w:rsidRPr="003E6723" w:rsidTr="0006058D">
        <w:trPr>
          <w:cantSplit/>
          <w:trHeight w:val="360"/>
        </w:trPr>
        <w:tc>
          <w:tcPr>
            <w:tcW w:w="1075" w:type="pct"/>
            <w:tcBorders>
              <w:top w:val="single" w:sz="4" w:space="0" w:color="auto"/>
              <w:left w:val="single" w:sz="4" w:space="0" w:color="auto"/>
              <w:bottom w:val="single" w:sz="4" w:space="0" w:color="auto"/>
              <w:right w:val="single" w:sz="4" w:space="0" w:color="auto"/>
            </w:tcBorders>
          </w:tcPr>
          <w:p w:rsidR="0006058D" w:rsidRPr="003E6723" w:rsidRDefault="0006058D" w:rsidP="0006058D">
            <w:pPr>
              <w:jc w:val="both"/>
              <w:rPr>
                <w:rFonts w:ascii="Arial Narrow" w:hAnsi="Arial Narrow" w:cs="Arial"/>
                <w:sz w:val="20"/>
                <w:szCs w:val="20"/>
              </w:rPr>
            </w:pPr>
            <w:r w:rsidRPr="003E6723">
              <w:rPr>
                <w:rFonts w:ascii="Arial Narrow" w:hAnsi="Arial Narrow" w:cs="Arial"/>
                <w:b/>
                <w:sz w:val="20"/>
                <w:szCs w:val="20"/>
              </w:rPr>
              <w:t>Population criteria:</w:t>
            </w:r>
          </w:p>
        </w:tc>
        <w:tc>
          <w:tcPr>
            <w:tcW w:w="3925" w:type="pct"/>
            <w:gridSpan w:val="5"/>
            <w:tcBorders>
              <w:top w:val="single" w:sz="4" w:space="0" w:color="auto"/>
              <w:left w:val="single" w:sz="4" w:space="0" w:color="auto"/>
              <w:bottom w:val="single" w:sz="4" w:space="0" w:color="auto"/>
              <w:right w:val="single" w:sz="4" w:space="0" w:color="auto"/>
            </w:tcBorders>
          </w:tcPr>
          <w:p w:rsidR="0006058D" w:rsidRPr="003E6723" w:rsidRDefault="0006058D" w:rsidP="0006058D">
            <w:pPr>
              <w:rPr>
                <w:rFonts w:ascii="Arial Narrow" w:hAnsi="Arial Narrow" w:cs="Arial"/>
                <w:sz w:val="20"/>
                <w:szCs w:val="20"/>
              </w:rPr>
            </w:pPr>
            <w:r w:rsidRPr="003E6723">
              <w:rPr>
                <w:rFonts w:ascii="Arial Narrow" w:hAnsi="Arial Narrow" w:cs="Arial"/>
                <w:sz w:val="20"/>
                <w:szCs w:val="20"/>
              </w:rPr>
              <w:t>Patient must be 18 years old and over</w:t>
            </w:r>
          </w:p>
        </w:tc>
      </w:tr>
    </w:tbl>
    <w:p w:rsidR="006F59A8" w:rsidRDefault="006F59A8" w:rsidP="007132F1">
      <w:pPr>
        <w:contextualSpacing/>
        <w:rPr>
          <w:rFonts w:ascii="Calibri" w:hAnsi="Calibri" w:cs="Calibri"/>
        </w:rPr>
      </w:pPr>
    </w:p>
    <w:p w:rsidR="00DD7104" w:rsidRPr="00EC2BB1" w:rsidRDefault="00DD7104" w:rsidP="00DD7104">
      <w:pPr>
        <w:pStyle w:val="PBACHeading1"/>
        <w:spacing w:before="240" w:after="120"/>
        <w:ind w:left="709" w:hanging="709"/>
        <w:rPr>
          <w:rFonts w:asciiTheme="minorHAnsi" w:hAnsiTheme="minorHAnsi"/>
          <w:sz w:val="32"/>
          <w:szCs w:val="32"/>
        </w:rPr>
      </w:pPr>
      <w:r w:rsidRPr="00EC2BB1">
        <w:rPr>
          <w:rFonts w:asciiTheme="minorHAnsi" w:hAnsiTheme="minorHAnsi"/>
          <w:sz w:val="32"/>
          <w:szCs w:val="32"/>
        </w:rPr>
        <w:t>Context for Decision</w:t>
      </w:r>
    </w:p>
    <w:p w:rsidR="00DD7104" w:rsidRPr="003D3A59" w:rsidRDefault="00DD7104" w:rsidP="008B7517">
      <w:pPr>
        <w:ind w:left="709"/>
        <w:jc w:val="both"/>
        <w:rPr>
          <w:rFonts w:asciiTheme="minorHAnsi" w:hAnsiTheme="minorHAnsi" w:cs="Arial"/>
        </w:rPr>
      </w:pPr>
      <w:r w:rsidRPr="003D3A59">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D7104" w:rsidRPr="003D3A59" w:rsidRDefault="00DD7104" w:rsidP="00DD7104">
      <w:pPr>
        <w:ind w:left="426"/>
        <w:jc w:val="both"/>
        <w:rPr>
          <w:rFonts w:asciiTheme="minorHAnsi" w:hAnsiTheme="minorHAnsi" w:cs="Arial"/>
        </w:rPr>
      </w:pPr>
    </w:p>
    <w:p w:rsidR="00DD7104" w:rsidRPr="00EC2BB1" w:rsidRDefault="00DD7104" w:rsidP="00DD7104">
      <w:pPr>
        <w:pStyle w:val="PBACHeading1"/>
        <w:spacing w:before="240" w:after="120"/>
        <w:ind w:left="709" w:hanging="709"/>
        <w:rPr>
          <w:rFonts w:asciiTheme="minorHAnsi" w:hAnsiTheme="minorHAnsi"/>
          <w:sz w:val="32"/>
          <w:szCs w:val="32"/>
        </w:rPr>
      </w:pPr>
      <w:r w:rsidRPr="00EC2BB1">
        <w:rPr>
          <w:rFonts w:asciiTheme="minorHAnsi" w:hAnsiTheme="minorHAnsi"/>
          <w:sz w:val="32"/>
          <w:szCs w:val="32"/>
        </w:rPr>
        <w:t>Sponsor’s Comment</w:t>
      </w:r>
    </w:p>
    <w:p w:rsidR="00DD7104" w:rsidRPr="003D3A59" w:rsidRDefault="00DD7104" w:rsidP="008B7517">
      <w:pPr>
        <w:spacing w:after="120"/>
        <w:ind w:left="709"/>
        <w:jc w:val="both"/>
        <w:rPr>
          <w:rFonts w:asciiTheme="minorHAnsi" w:hAnsiTheme="minorHAnsi" w:cs="Arial"/>
          <w:bCs/>
        </w:rPr>
      </w:pPr>
      <w:r w:rsidRPr="003D3A59">
        <w:rPr>
          <w:rFonts w:asciiTheme="minorHAnsi" w:hAnsiTheme="minorHAnsi" w:cs="Arial"/>
          <w:bCs/>
        </w:rPr>
        <w:t>The sponsor had no comment.</w:t>
      </w:r>
    </w:p>
    <w:p w:rsidR="00DD7104" w:rsidRPr="003E6723" w:rsidRDefault="00DD7104" w:rsidP="007132F1">
      <w:pPr>
        <w:contextualSpacing/>
        <w:rPr>
          <w:rFonts w:ascii="Calibri" w:hAnsi="Calibri" w:cs="Calibri"/>
        </w:rPr>
      </w:pPr>
    </w:p>
    <w:sectPr w:rsidR="00DD7104" w:rsidRPr="003E6723" w:rsidSect="006D019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702" w:left="1440" w:header="709" w:footer="96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DA8" w:rsidRDefault="004B1DA8">
      <w:r>
        <w:separator/>
      </w:r>
    </w:p>
    <w:p w:rsidR="004B1DA8" w:rsidRDefault="004B1DA8"/>
  </w:endnote>
  <w:endnote w:type="continuationSeparator" w:id="0">
    <w:p w:rsidR="004B1DA8" w:rsidRDefault="004B1DA8">
      <w:r>
        <w:continuationSeparator/>
      </w:r>
    </w:p>
    <w:p w:rsidR="004B1DA8" w:rsidRDefault="004B1D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51FD2" w:rsidTr="005A3173">
      <w:trPr>
        <w:trHeight w:val="151"/>
      </w:trPr>
      <w:tc>
        <w:tcPr>
          <w:tcW w:w="2250" w:type="pct"/>
          <w:tcBorders>
            <w:top w:val="nil"/>
            <w:left w:val="nil"/>
            <w:bottom w:val="single" w:sz="4" w:space="0" w:color="4F81BD"/>
            <w:right w:val="nil"/>
          </w:tcBorders>
        </w:tcPr>
        <w:p w:rsidR="00C51FD2" w:rsidRPr="005A3173" w:rsidRDefault="00C51FD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51FD2" w:rsidRPr="005A3173" w:rsidRDefault="00C51FD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51FD2" w:rsidRPr="005A3173" w:rsidRDefault="00C51FD2" w:rsidP="005A3173">
          <w:pPr>
            <w:pStyle w:val="Header"/>
            <w:spacing w:line="276" w:lineRule="auto"/>
            <w:rPr>
              <w:rFonts w:ascii="Calibri" w:eastAsia="MS Gothic" w:hAnsi="Calibri"/>
              <w:b/>
              <w:bCs/>
              <w:color w:val="4F81BD"/>
            </w:rPr>
          </w:pPr>
        </w:p>
      </w:tc>
    </w:tr>
    <w:tr w:rsidR="00C51FD2" w:rsidTr="005A3173">
      <w:trPr>
        <w:trHeight w:val="150"/>
      </w:trPr>
      <w:tc>
        <w:tcPr>
          <w:tcW w:w="2250" w:type="pct"/>
          <w:tcBorders>
            <w:top w:val="single" w:sz="4" w:space="0" w:color="4F81BD"/>
            <w:left w:val="nil"/>
            <w:bottom w:val="nil"/>
            <w:right w:val="nil"/>
          </w:tcBorders>
        </w:tcPr>
        <w:p w:rsidR="00C51FD2" w:rsidRPr="005A3173" w:rsidRDefault="00C51FD2" w:rsidP="005A3173">
          <w:pPr>
            <w:pStyle w:val="Header"/>
            <w:spacing w:line="276" w:lineRule="auto"/>
            <w:rPr>
              <w:rFonts w:ascii="Calibri" w:eastAsia="MS Gothic" w:hAnsi="Calibri"/>
              <w:b/>
              <w:bCs/>
              <w:color w:val="4F81BD"/>
            </w:rPr>
          </w:pPr>
        </w:p>
      </w:tc>
      <w:tc>
        <w:tcPr>
          <w:tcW w:w="0" w:type="auto"/>
          <w:vMerge/>
          <w:vAlign w:val="center"/>
          <w:hideMark/>
        </w:tcPr>
        <w:p w:rsidR="00C51FD2" w:rsidRPr="005A3173" w:rsidRDefault="00C51FD2" w:rsidP="005A3173">
          <w:pPr>
            <w:rPr>
              <w:rFonts w:ascii="Calibri" w:hAnsi="Calibri"/>
              <w:color w:val="365F91"/>
              <w:sz w:val="22"/>
              <w:szCs w:val="22"/>
            </w:rPr>
          </w:pPr>
        </w:p>
      </w:tc>
      <w:tc>
        <w:tcPr>
          <w:tcW w:w="2250" w:type="pct"/>
          <w:tcBorders>
            <w:top w:val="single" w:sz="4" w:space="0" w:color="4F81BD"/>
            <w:left w:val="nil"/>
            <w:bottom w:val="nil"/>
            <w:right w:val="nil"/>
          </w:tcBorders>
        </w:tcPr>
        <w:p w:rsidR="00C51FD2" w:rsidRPr="005A3173" w:rsidRDefault="00C51FD2" w:rsidP="005A3173">
          <w:pPr>
            <w:pStyle w:val="Header"/>
            <w:spacing w:line="276" w:lineRule="auto"/>
            <w:rPr>
              <w:rFonts w:ascii="Calibri" w:eastAsia="MS Gothic" w:hAnsi="Calibri"/>
              <w:b/>
              <w:bCs/>
              <w:color w:val="4F81BD"/>
            </w:rPr>
          </w:pPr>
        </w:p>
      </w:tc>
    </w:tr>
  </w:tbl>
  <w:p w:rsidR="00C51FD2" w:rsidRDefault="00C51FD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1FD2" w:rsidRDefault="00C51FD2">
    <w:pPr>
      <w:pStyle w:val="Footer"/>
    </w:pPr>
  </w:p>
  <w:p w:rsidR="00C51FD2" w:rsidRDefault="00C51F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858089"/>
      <w:docPartObj>
        <w:docPartGallery w:val="Page Numbers (Bottom of Page)"/>
        <w:docPartUnique/>
      </w:docPartObj>
    </w:sdtPr>
    <w:sdtEndPr>
      <w:rPr>
        <w:noProof/>
      </w:rPr>
    </w:sdtEndPr>
    <w:sdtContent>
      <w:p w:rsidR="00C51FD2" w:rsidRPr="00BE210B" w:rsidRDefault="00C51FD2" w:rsidP="00BE210B">
        <w:pPr>
          <w:pStyle w:val="Footer"/>
          <w:jc w:val="center"/>
        </w:pPr>
        <w:r>
          <w:fldChar w:fldCharType="begin"/>
        </w:r>
        <w:r>
          <w:instrText xml:space="preserve"> PAGE   \* MERGEFORMAT </w:instrText>
        </w:r>
        <w:r>
          <w:fldChar w:fldCharType="separate"/>
        </w:r>
        <w:r w:rsidR="004B1DA8">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51FD2" w:rsidTr="005A3173">
      <w:trPr>
        <w:trHeight w:val="151"/>
      </w:trPr>
      <w:tc>
        <w:tcPr>
          <w:tcW w:w="2250" w:type="pct"/>
          <w:tcBorders>
            <w:top w:val="nil"/>
            <w:left w:val="nil"/>
            <w:bottom w:val="single" w:sz="4" w:space="0" w:color="4F81BD"/>
            <w:right w:val="nil"/>
          </w:tcBorders>
        </w:tcPr>
        <w:p w:rsidR="00C51FD2" w:rsidRPr="005A3173" w:rsidRDefault="00C51FD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51FD2" w:rsidRPr="005A3173" w:rsidRDefault="00C51FD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51FD2" w:rsidRPr="005A3173" w:rsidRDefault="00C51FD2" w:rsidP="005A3173">
          <w:pPr>
            <w:pStyle w:val="Header"/>
            <w:spacing w:line="276" w:lineRule="auto"/>
            <w:rPr>
              <w:rFonts w:ascii="Calibri" w:eastAsia="MS Gothic" w:hAnsi="Calibri"/>
              <w:b/>
              <w:bCs/>
              <w:color w:val="4F81BD"/>
            </w:rPr>
          </w:pPr>
        </w:p>
      </w:tc>
    </w:tr>
    <w:tr w:rsidR="00C51FD2" w:rsidTr="005A3173">
      <w:trPr>
        <w:trHeight w:val="150"/>
      </w:trPr>
      <w:tc>
        <w:tcPr>
          <w:tcW w:w="2250" w:type="pct"/>
          <w:tcBorders>
            <w:top w:val="single" w:sz="4" w:space="0" w:color="4F81BD"/>
            <w:left w:val="nil"/>
            <w:bottom w:val="nil"/>
            <w:right w:val="nil"/>
          </w:tcBorders>
        </w:tcPr>
        <w:p w:rsidR="00C51FD2" w:rsidRPr="005A3173" w:rsidRDefault="00C51FD2" w:rsidP="005A3173">
          <w:pPr>
            <w:pStyle w:val="Header"/>
            <w:spacing w:line="276" w:lineRule="auto"/>
            <w:rPr>
              <w:rFonts w:ascii="Calibri" w:eastAsia="MS Gothic" w:hAnsi="Calibri"/>
              <w:b/>
              <w:bCs/>
              <w:color w:val="4F81BD"/>
            </w:rPr>
          </w:pPr>
        </w:p>
      </w:tc>
      <w:tc>
        <w:tcPr>
          <w:tcW w:w="0" w:type="auto"/>
          <w:vMerge/>
          <w:vAlign w:val="center"/>
          <w:hideMark/>
        </w:tcPr>
        <w:p w:rsidR="00C51FD2" w:rsidRPr="005A3173" w:rsidRDefault="00C51FD2" w:rsidP="005A3173">
          <w:pPr>
            <w:rPr>
              <w:rFonts w:ascii="Calibri" w:hAnsi="Calibri"/>
              <w:color w:val="365F91"/>
              <w:sz w:val="22"/>
              <w:szCs w:val="22"/>
            </w:rPr>
          </w:pPr>
        </w:p>
      </w:tc>
      <w:tc>
        <w:tcPr>
          <w:tcW w:w="2250" w:type="pct"/>
          <w:tcBorders>
            <w:top w:val="single" w:sz="4" w:space="0" w:color="4F81BD"/>
            <w:left w:val="nil"/>
            <w:bottom w:val="nil"/>
            <w:right w:val="nil"/>
          </w:tcBorders>
        </w:tcPr>
        <w:p w:rsidR="00C51FD2" w:rsidRPr="005A3173" w:rsidRDefault="00C51FD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51FD2" w:rsidTr="005A3173">
      <w:trPr>
        <w:trHeight w:val="151"/>
      </w:trPr>
      <w:tc>
        <w:tcPr>
          <w:tcW w:w="2250" w:type="pct"/>
          <w:tcBorders>
            <w:top w:val="nil"/>
            <w:left w:val="nil"/>
            <w:bottom w:val="single" w:sz="4" w:space="0" w:color="4F81BD"/>
            <w:right w:val="nil"/>
          </w:tcBorders>
        </w:tcPr>
        <w:p w:rsidR="00C51FD2" w:rsidRPr="005A3173" w:rsidRDefault="00C51FD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51FD2" w:rsidRPr="005A3173" w:rsidRDefault="00C51FD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51FD2" w:rsidRPr="005A3173" w:rsidRDefault="00C51FD2" w:rsidP="005A3173">
          <w:pPr>
            <w:pStyle w:val="Header"/>
            <w:spacing w:line="276" w:lineRule="auto"/>
            <w:rPr>
              <w:rFonts w:ascii="Calibri" w:eastAsia="MS Gothic" w:hAnsi="Calibri"/>
              <w:b/>
              <w:bCs/>
              <w:color w:val="4F81BD"/>
            </w:rPr>
          </w:pPr>
        </w:p>
      </w:tc>
    </w:tr>
    <w:tr w:rsidR="00C51FD2" w:rsidTr="005A3173">
      <w:trPr>
        <w:trHeight w:val="150"/>
      </w:trPr>
      <w:tc>
        <w:tcPr>
          <w:tcW w:w="2250" w:type="pct"/>
          <w:tcBorders>
            <w:top w:val="single" w:sz="4" w:space="0" w:color="4F81BD"/>
            <w:left w:val="nil"/>
            <w:bottom w:val="nil"/>
            <w:right w:val="nil"/>
          </w:tcBorders>
        </w:tcPr>
        <w:p w:rsidR="00C51FD2" w:rsidRPr="005A3173" w:rsidRDefault="00C51FD2" w:rsidP="005A3173">
          <w:pPr>
            <w:pStyle w:val="Header"/>
            <w:spacing w:line="276" w:lineRule="auto"/>
            <w:rPr>
              <w:rFonts w:ascii="Calibri" w:eastAsia="MS Gothic" w:hAnsi="Calibri"/>
              <w:b/>
              <w:bCs/>
              <w:color w:val="4F81BD"/>
            </w:rPr>
          </w:pPr>
        </w:p>
      </w:tc>
      <w:tc>
        <w:tcPr>
          <w:tcW w:w="0" w:type="auto"/>
          <w:vMerge/>
          <w:vAlign w:val="center"/>
          <w:hideMark/>
        </w:tcPr>
        <w:p w:rsidR="00C51FD2" w:rsidRPr="005A3173" w:rsidRDefault="00C51FD2" w:rsidP="005A3173">
          <w:pPr>
            <w:rPr>
              <w:rFonts w:ascii="Calibri" w:hAnsi="Calibri"/>
              <w:color w:val="365F91"/>
              <w:sz w:val="22"/>
              <w:szCs w:val="22"/>
            </w:rPr>
          </w:pPr>
        </w:p>
      </w:tc>
      <w:tc>
        <w:tcPr>
          <w:tcW w:w="2250" w:type="pct"/>
          <w:tcBorders>
            <w:top w:val="single" w:sz="4" w:space="0" w:color="4F81BD"/>
            <w:left w:val="nil"/>
            <w:bottom w:val="nil"/>
            <w:right w:val="nil"/>
          </w:tcBorders>
        </w:tcPr>
        <w:p w:rsidR="00C51FD2" w:rsidRPr="005A3173" w:rsidRDefault="00C51FD2" w:rsidP="005A3173">
          <w:pPr>
            <w:pStyle w:val="Header"/>
            <w:spacing w:line="276" w:lineRule="auto"/>
            <w:rPr>
              <w:rFonts w:ascii="Calibri" w:eastAsia="MS Gothic" w:hAnsi="Calibri"/>
              <w:b/>
              <w:bCs/>
              <w:color w:val="4F81BD"/>
            </w:rPr>
          </w:pPr>
        </w:p>
      </w:tc>
    </w:tr>
  </w:tbl>
  <w:p w:rsidR="00C51FD2" w:rsidRPr="007C0F57" w:rsidRDefault="00C51FD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51FD2" w:rsidRPr="007C0F57" w:rsidRDefault="00C51FD2" w:rsidP="007C0F57">
    <w:pPr>
      <w:pStyle w:val="Footer"/>
      <w:jc w:val="center"/>
      <w:rPr>
        <w:b/>
        <w:i/>
        <w:sz w:val="20"/>
        <w:szCs w:val="20"/>
      </w:rPr>
    </w:pPr>
    <w:r w:rsidRPr="007C0F57">
      <w:rPr>
        <w:b/>
        <w:i/>
        <w:sz w:val="20"/>
        <w:szCs w:val="20"/>
      </w:rPr>
      <w:t>Commercial-in-Confidence</w:t>
    </w:r>
  </w:p>
  <w:p w:rsidR="00C51FD2" w:rsidRDefault="00C51F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DA8" w:rsidRDefault="004B1DA8">
      <w:r>
        <w:separator/>
      </w:r>
    </w:p>
    <w:p w:rsidR="004B1DA8" w:rsidRDefault="004B1DA8"/>
  </w:footnote>
  <w:footnote w:type="continuationSeparator" w:id="0">
    <w:p w:rsidR="004B1DA8" w:rsidRDefault="004B1DA8">
      <w:r>
        <w:continuationSeparator/>
      </w:r>
    </w:p>
    <w:p w:rsidR="004B1DA8" w:rsidRDefault="004B1D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51FD2" w:rsidRPr="008E0D90" w:rsidTr="00A06225">
      <w:trPr>
        <w:trHeight w:val="151"/>
      </w:trPr>
      <w:tc>
        <w:tcPr>
          <w:tcW w:w="2389" w:type="pct"/>
          <w:tcBorders>
            <w:top w:val="nil"/>
            <w:left w:val="nil"/>
            <w:bottom w:val="single" w:sz="4" w:space="0" w:color="4F81BD"/>
            <w:right w:val="nil"/>
          </w:tcBorders>
        </w:tcPr>
        <w:p w:rsidR="00C51FD2" w:rsidRPr="00A06225" w:rsidRDefault="00C51FD2">
          <w:pPr>
            <w:pStyle w:val="Header"/>
            <w:spacing w:line="276" w:lineRule="auto"/>
            <w:rPr>
              <w:rFonts w:ascii="Cambria" w:eastAsia="MS Gothic" w:hAnsi="Cambria"/>
              <w:b/>
              <w:bCs/>
              <w:color w:val="4F81BD"/>
            </w:rPr>
          </w:pPr>
        </w:p>
      </w:tc>
      <w:tc>
        <w:tcPr>
          <w:tcW w:w="333" w:type="pct"/>
          <w:vMerge w:val="restart"/>
          <w:noWrap/>
          <w:vAlign w:val="center"/>
          <w:hideMark/>
        </w:tcPr>
        <w:p w:rsidR="00C51FD2" w:rsidRPr="00A06225" w:rsidRDefault="00C51FD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51FD2" w:rsidRPr="00A06225" w:rsidRDefault="00C51FD2">
          <w:pPr>
            <w:pStyle w:val="Header"/>
            <w:spacing w:line="276" w:lineRule="auto"/>
            <w:rPr>
              <w:rFonts w:ascii="Cambria" w:eastAsia="MS Gothic" w:hAnsi="Cambria"/>
              <w:b/>
              <w:bCs/>
              <w:color w:val="4F81BD"/>
            </w:rPr>
          </w:pPr>
        </w:p>
      </w:tc>
    </w:tr>
    <w:tr w:rsidR="00C51FD2" w:rsidRPr="008E0D90" w:rsidTr="00A06225">
      <w:trPr>
        <w:trHeight w:val="150"/>
      </w:trPr>
      <w:tc>
        <w:tcPr>
          <w:tcW w:w="2389" w:type="pct"/>
          <w:tcBorders>
            <w:top w:val="single" w:sz="4" w:space="0" w:color="4F81BD"/>
            <w:left w:val="nil"/>
            <w:bottom w:val="nil"/>
            <w:right w:val="nil"/>
          </w:tcBorders>
        </w:tcPr>
        <w:p w:rsidR="00C51FD2" w:rsidRPr="00A06225" w:rsidRDefault="00C51FD2">
          <w:pPr>
            <w:pStyle w:val="Header"/>
            <w:spacing w:line="276" w:lineRule="auto"/>
            <w:rPr>
              <w:rFonts w:ascii="Cambria" w:eastAsia="MS Gothic" w:hAnsi="Cambria"/>
              <w:b/>
              <w:bCs/>
              <w:color w:val="4F81BD"/>
            </w:rPr>
          </w:pPr>
        </w:p>
      </w:tc>
      <w:tc>
        <w:tcPr>
          <w:tcW w:w="0" w:type="auto"/>
          <w:vMerge/>
          <w:vAlign w:val="center"/>
          <w:hideMark/>
        </w:tcPr>
        <w:p w:rsidR="00C51FD2" w:rsidRPr="00A06225" w:rsidRDefault="00C51FD2">
          <w:pPr>
            <w:rPr>
              <w:rFonts w:ascii="Cambria" w:hAnsi="Cambria"/>
              <w:color w:val="4F81BD"/>
              <w:sz w:val="22"/>
              <w:szCs w:val="22"/>
            </w:rPr>
          </w:pPr>
        </w:p>
      </w:tc>
      <w:tc>
        <w:tcPr>
          <w:tcW w:w="2278" w:type="pct"/>
          <w:tcBorders>
            <w:top w:val="single" w:sz="4" w:space="0" w:color="4F81BD"/>
            <w:left w:val="nil"/>
            <w:bottom w:val="nil"/>
            <w:right w:val="nil"/>
          </w:tcBorders>
        </w:tcPr>
        <w:p w:rsidR="00C51FD2" w:rsidRPr="00A06225" w:rsidRDefault="00C51FD2">
          <w:pPr>
            <w:pStyle w:val="Header"/>
            <w:spacing w:line="276" w:lineRule="auto"/>
            <w:rPr>
              <w:rFonts w:ascii="Cambria" w:eastAsia="MS Gothic" w:hAnsi="Cambria"/>
              <w:b/>
              <w:bCs/>
              <w:color w:val="4F81BD"/>
            </w:rPr>
          </w:pPr>
        </w:p>
      </w:tc>
    </w:tr>
  </w:tbl>
  <w:p w:rsidR="00C51FD2" w:rsidRDefault="00C51FD2">
    <w:pPr>
      <w:pStyle w:val="Header"/>
    </w:pPr>
  </w:p>
  <w:p w:rsidR="00C51FD2" w:rsidRDefault="00C51F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FD2" w:rsidRPr="003F6A27" w:rsidRDefault="00EC2484" w:rsidP="00EC2484">
    <w:pPr>
      <w:pStyle w:val="Header"/>
      <w:tabs>
        <w:tab w:val="clear" w:pos="4153"/>
        <w:tab w:val="clear" w:pos="8306"/>
        <w:tab w:val="left" w:pos="1725"/>
        <w:tab w:val="center" w:pos="4513"/>
        <w:tab w:val="left" w:pos="7725"/>
        <w:tab w:val="right" w:pos="9026"/>
      </w:tabs>
      <w:jc w:val="center"/>
      <w:rPr>
        <w:rFonts w:asciiTheme="minorHAnsi" w:eastAsiaTheme="minorHAnsi" w:hAnsiTheme="minorHAnsi" w:cstheme="minorBidi"/>
        <w:i/>
        <w:szCs w:val="22"/>
        <w:lang w:eastAsia="en-US"/>
      </w:rPr>
    </w:pPr>
    <w:r>
      <w:rPr>
        <w:rFonts w:asciiTheme="minorHAnsi" w:eastAsiaTheme="minorHAnsi" w:hAnsiTheme="minorHAnsi" w:cstheme="minorBidi"/>
        <w:i/>
        <w:szCs w:val="22"/>
        <w:lang w:eastAsia="en-US"/>
      </w:rPr>
      <w:t>Public Summary Document</w:t>
    </w:r>
    <w:r w:rsidR="00C51FD2" w:rsidRPr="003F6A27">
      <w:rPr>
        <w:rFonts w:asciiTheme="minorHAnsi" w:eastAsiaTheme="minorHAnsi" w:hAnsiTheme="minorHAnsi" w:cstheme="minorBidi"/>
        <w:i/>
        <w:szCs w:val="22"/>
        <w:lang w:eastAsia="en-US"/>
      </w:rPr>
      <w:t xml:space="preserve"> – November 2017 PBAC Meeting</w:t>
    </w:r>
  </w:p>
  <w:p w:rsidR="00C51FD2" w:rsidRDefault="00C51FD2"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DA8" w:rsidRDefault="004B1D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8C17DF2"/>
    <w:multiLevelType w:val="multilevel"/>
    <w:tmpl w:val="C6705010"/>
    <w:lvl w:ilvl="0">
      <w:start w:val="1"/>
      <w:numFmt w:val="decimal"/>
      <w:lvlText w:val="%1"/>
      <w:lvlJc w:val="left"/>
      <w:pPr>
        <w:ind w:left="720" w:hanging="720"/>
      </w:pPr>
      <w:rPr>
        <w:rFonts w:hint="default"/>
        <w:b/>
      </w:rPr>
    </w:lvl>
    <w:lvl w:ilvl="1">
      <w:start w:val="1"/>
      <w:numFmt w:val="decimal"/>
      <w:lvlText w:val="6.%2"/>
      <w:lvlJc w:val="left"/>
      <w:pPr>
        <w:ind w:left="720" w:hanging="720"/>
      </w:pPr>
      <w:rPr>
        <w:rFonts w:hint="default"/>
        <w:b w:val="0"/>
        <w:i w:val="0"/>
        <w:color w:val="auto"/>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1480B0C"/>
    <w:multiLevelType w:val="multilevel"/>
    <w:tmpl w:val="70BC3D42"/>
    <w:lvl w:ilvl="0">
      <w:start w:val="1"/>
      <w:numFmt w:val="decimal"/>
      <w:lvlText w:val="%1"/>
      <w:lvlJc w:val="left"/>
      <w:pPr>
        <w:ind w:left="720" w:hanging="720"/>
      </w:pPr>
      <w:rPr>
        <w:rFonts w:hint="default"/>
        <w:b/>
      </w:rPr>
    </w:lvl>
    <w:lvl w:ilvl="1">
      <w:start w:val="1"/>
      <w:numFmt w:val="decimal"/>
      <w:lvlText w:val="2.%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9EF752F"/>
    <w:multiLevelType w:val="hybridMultilevel"/>
    <w:tmpl w:val="A790C5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F2724BA"/>
    <w:multiLevelType w:val="hybridMultilevel"/>
    <w:tmpl w:val="058C4D0E"/>
    <w:lvl w:ilvl="0" w:tplc="775200B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9040F33"/>
    <w:multiLevelType w:val="hybridMultilevel"/>
    <w:tmpl w:val="D146E938"/>
    <w:lvl w:ilvl="0" w:tplc="C2886C36">
      <w:start w:val="5"/>
      <w:numFmt w:val="bullet"/>
      <w:lvlText w:val="-"/>
      <w:lvlJc w:val="left"/>
      <w:pPr>
        <w:ind w:left="1080" w:hanging="36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nsid w:val="70FA6D12"/>
    <w:multiLevelType w:val="hybridMultilevel"/>
    <w:tmpl w:val="27EC126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84D033C"/>
    <w:multiLevelType w:val="multilevel"/>
    <w:tmpl w:val="EAA2D30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7"/>
  </w:num>
  <w:num w:numId="4">
    <w:abstractNumId w:val="16"/>
  </w:num>
  <w:num w:numId="5">
    <w:abstractNumId w:val="22"/>
  </w:num>
  <w:num w:numId="6">
    <w:abstractNumId w:val="8"/>
  </w:num>
  <w:num w:numId="7">
    <w:abstractNumId w:val="15"/>
  </w:num>
  <w:num w:numId="8">
    <w:abstractNumId w:val="4"/>
  </w:num>
  <w:num w:numId="9">
    <w:abstractNumId w:val="14"/>
  </w:num>
  <w:num w:numId="10">
    <w:abstractNumId w:val="13"/>
  </w:num>
  <w:num w:numId="11">
    <w:abstractNumId w:val="12"/>
  </w:num>
  <w:num w:numId="12">
    <w:abstractNumId w:val="1"/>
  </w:num>
  <w:num w:numId="13">
    <w:abstractNumId w:val="0"/>
  </w:num>
  <w:num w:numId="14">
    <w:abstractNumId w:val="22"/>
  </w:num>
  <w:num w:numId="15">
    <w:abstractNumId w:val="18"/>
  </w:num>
  <w:num w:numId="16">
    <w:abstractNumId w:val="21"/>
  </w:num>
  <w:num w:numId="17">
    <w:abstractNumId w:val="20"/>
  </w:num>
  <w:num w:numId="18">
    <w:abstractNumId w:val="10"/>
  </w:num>
  <w:num w:numId="19">
    <w:abstractNumId w:val="5"/>
  </w:num>
  <w:num w:numId="20">
    <w:abstractNumId w:val="17"/>
  </w:num>
  <w:num w:numId="21">
    <w:abstractNumId w:val="6"/>
  </w:num>
  <w:num w:numId="22">
    <w:abstractNumId w:val="2"/>
  </w:num>
  <w:num w:numId="23">
    <w:abstractNumId w:val="11"/>
  </w:num>
  <w:num w:numId="24">
    <w:abstractNumId w:val="22"/>
  </w:num>
  <w:num w:numId="25">
    <w:abstractNumId w:val="22"/>
  </w:num>
  <w:num w:numId="2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16CAD"/>
    <w:rsid w:val="0002464A"/>
    <w:rsid w:val="0003106B"/>
    <w:rsid w:val="00037E11"/>
    <w:rsid w:val="000401F9"/>
    <w:rsid w:val="000421A1"/>
    <w:rsid w:val="0004240E"/>
    <w:rsid w:val="00045E26"/>
    <w:rsid w:val="0004651D"/>
    <w:rsid w:val="000514B5"/>
    <w:rsid w:val="0006058D"/>
    <w:rsid w:val="00060E64"/>
    <w:rsid w:val="00062BE0"/>
    <w:rsid w:val="00063F99"/>
    <w:rsid w:val="00066755"/>
    <w:rsid w:val="00077143"/>
    <w:rsid w:val="00082169"/>
    <w:rsid w:val="000909AA"/>
    <w:rsid w:val="000969AD"/>
    <w:rsid w:val="000A0949"/>
    <w:rsid w:val="000B4008"/>
    <w:rsid w:val="000B558D"/>
    <w:rsid w:val="000C6996"/>
    <w:rsid w:val="000D038B"/>
    <w:rsid w:val="000D23BA"/>
    <w:rsid w:val="000D3984"/>
    <w:rsid w:val="000D57D7"/>
    <w:rsid w:val="000D6B95"/>
    <w:rsid w:val="000E681E"/>
    <w:rsid w:val="000F0003"/>
    <w:rsid w:val="000F1AF9"/>
    <w:rsid w:val="000F3005"/>
    <w:rsid w:val="000F4E6A"/>
    <w:rsid w:val="00104227"/>
    <w:rsid w:val="001107BF"/>
    <w:rsid w:val="00111049"/>
    <w:rsid w:val="00121CFF"/>
    <w:rsid w:val="0012417C"/>
    <w:rsid w:val="00141EDF"/>
    <w:rsid w:val="00142395"/>
    <w:rsid w:val="00142714"/>
    <w:rsid w:val="001452ED"/>
    <w:rsid w:val="00151AB5"/>
    <w:rsid w:val="00163329"/>
    <w:rsid w:val="00163973"/>
    <w:rsid w:val="00164623"/>
    <w:rsid w:val="00165B64"/>
    <w:rsid w:val="00173FF9"/>
    <w:rsid w:val="00175EF6"/>
    <w:rsid w:val="001830CE"/>
    <w:rsid w:val="0018643B"/>
    <w:rsid w:val="00196307"/>
    <w:rsid w:val="001A171F"/>
    <w:rsid w:val="001A2CEB"/>
    <w:rsid w:val="001A33EA"/>
    <w:rsid w:val="001B017F"/>
    <w:rsid w:val="001B224D"/>
    <w:rsid w:val="001B2BBC"/>
    <w:rsid w:val="001B5129"/>
    <w:rsid w:val="001C1195"/>
    <w:rsid w:val="001C5D19"/>
    <w:rsid w:val="001F1850"/>
    <w:rsid w:val="00203FAC"/>
    <w:rsid w:val="00213CFB"/>
    <w:rsid w:val="00217BE1"/>
    <w:rsid w:val="00236329"/>
    <w:rsid w:val="002407F4"/>
    <w:rsid w:val="00241C01"/>
    <w:rsid w:val="00261844"/>
    <w:rsid w:val="00265709"/>
    <w:rsid w:val="00271BA1"/>
    <w:rsid w:val="002761C0"/>
    <w:rsid w:val="002762FA"/>
    <w:rsid w:val="00277505"/>
    <w:rsid w:val="00282ACF"/>
    <w:rsid w:val="0029458F"/>
    <w:rsid w:val="002A104C"/>
    <w:rsid w:val="002A4960"/>
    <w:rsid w:val="002B1AE6"/>
    <w:rsid w:val="002B2DE8"/>
    <w:rsid w:val="002B30F8"/>
    <w:rsid w:val="002B5596"/>
    <w:rsid w:val="002B6137"/>
    <w:rsid w:val="002C1FC5"/>
    <w:rsid w:val="002C212F"/>
    <w:rsid w:val="002D4543"/>
    <w:rsid w:val="002E3153"/>
    <w:rsid w:val="002E72CA"/>
    <w:rsid w:val="002F244A"/>
    <w:rsid w:val="002F3969"/>
    <w:rsid w:val="002F3C14"/>
    <w:rsid w:val="00300AD6"/>
    <w:rsid w:val="00317C6C"/>
    <w:rsid w:val="00322813"/>
    <w:rsid w:val="00326E79"/>
    <w:rsid w:val="00332285"/>
    <w:rsid w:val="0033518A"/>
    <w:rsid w:val="003367EF"/>
    <w:rsid w:val="003417D0"/>
    <w:rsid w:val="00341AE4"/>
    <w:rsid w:val="00342202"/>
    <w:rsid w:val="00343352"/>
    <w:rsid w:val="00357087"/>
    <w:rsid w:val="003872CF"/>
    <w:rsid w:val="0039782C"/>
    <w:rsid w:val="003A5B4A"/>
    <w:rsid w:val="003B23C5"/>
    <w:rsid w:val="003B2A75"/>
    <w:rsid w:val="003B6124"/>
    <w:rsid w:val="003B6A56"/>
    <w:rsid w:val="003C2FB5"/>
    <w:rsid w:val="003D4AC4"/>
    <w:rsid w:val="003D63B7"/>
    <w:rsid w:val="003E103A"/>
    <w:rsid w:val="003E468B"/>
    <w:rsid w:val="003E479A"/>
    <w:rsid w:val="003E669B"/>
    <w:rsid w:val="003E6723"/>
    <w:rsid w:val="003E6E4B"/>
    <w:rsid w:val="003F3228"/>
    <w:rsid w:val="003F4892"/>
    <w:rsid w:val="003F5C8C"/>
    <w:rsid w:val="003F6A27"/>
    <w:rsid w:val="0040203F"/>
    <w:rsid w:val="00412065"/>
    <w:rsid w:val="0041452F"/>
    <w:rsid w:val="004252EC"/>
    <w:rsid w:val="004315ED"/>
    <w:rsid w:val="00432CCD"/>
    <w:rsid w:val="004465BD"/>
    <w:rsid w:val="004521E0"/>
    <w:rsid w:val="004656E6"/>
    <w:rsid w:val="00466ADA"/>
    <w:rsid w:val="004722D7"/>
    <w:rsid w:val="00476245"/>
    <w:rsid w:val="00481EC4"/>
    <w:rsid w:val="004823E0"/>
    <w:rsid w:val="00483035"/>
    <w:rsid w:val="00485940"/>
    <w:rsid w:val="00496BDA"/>
    <w:rsid w:val="004A2484"/>
    <w:rsid w:val="004A3DB4"/>
    <w:rsid w:val="004A5A85"/>
    <w:rsid w:val="004A71D1"/>
    <w:rsid w:val="004B1DA8"/>
    <w:rsid w:val="004B5640"/>
    <w:rsid w:val="004C1BD7"/>
    <w:rsid w:val="004C31FE"/>
    <w:rsid w:val="004C691D"/>
    <w:rsid w:val="004C6C07"/>
    <w:rsid w:val="004C7EAA"/>
    <w:rsid w:val="004D0745"/>
    <w:rsid w:val="004D3A42"/>
    <w:rsid w:val="004D4A53"/>
    <w:rsid w:val="004D6D76"/>
    <w:rsid w:val="004E0F40"/>
    <w:rsid w:val="004E692D"/>
    <w:rsid w:val="004F031C"/>
    <w:rsid w:val="004F15A8"/>
    <w:rsid w:val="00501554"/>
    <w:rsid w:val="00514CD7"/>
    <w:rsid w:val="005319B2"/>
    <w:rsid w:val="00531B3B"/>
    <w:rsid w:val="00532402"/>
    <w:rsid w:val="00532C74"/>
    <w:rsid w:val="00534E2E"/>
    <w:rsid w:val="005374DE"/>
    <w:rsid w:val="00544552"/>
    <w:rsid w:val="00553D32"/>
    <w:rsid w:val="0056148F"/>
    <w:rsid w:val="00575ACB"/>
    <w:rsid w:val="00577C4D"/>
    <w:rsid w:val="00581932"/>
    <w:rsid w:val="00583CE5"/>
    <w:rsid w:val="005963BB"/>
    <w:rsid w:val="005A3173"/>
    <w:rsid w:val="005A3223"/>
    <w:rsid w:val="005A3DA3"/>
    <w:rsid w:val="005A52C4"/>
    <w:rsid w:val="005B3B24"/>
    <w:rsid w:val="005C3223"/>
    <w:rsid w:val="005D03AB"/>
    <w:rsid w:val="005D5017"/>
    <w:rsid w:val="005E1333"/>
    <w:rsid w:val="00601A91"/>
    <w:rsid w:val="00602BA3"/>
    <w:rsid w:val="00612268"/>
    <w:rsid w:val="00612E34"/>
    <w:rsid w:val="00614159"/>
    <w:rsid w:val="006176A1"/>
    <w:rsid w:val="00617C00"/>
    <w:rsid w:val="006263BF"/>
    <w:rsid w:val="0062748A"/>
    <w:rsid w:val="00630A2C"/>
    <w:rsid w:val="006335A7"/>
    <w:rsid w:val="0063682E"/>
    <w:rsid w:val="006436CD"/>
    <w:rsid w:val="00651169"/>
    <w:rsid w:val="00653D69"/>
    <w:rsid w:val="00660076"/>
    <w:rsid w:val="006670BE"/>
    <w:rsid w:val="006670DB"/>
    <w:rsid w:val="00670A76"/>
    <w:rsid w:val="006711AA"/>
    <w:rsid w:val="00672B57"/>
    <w:rsid w:val="00675622"/>
    <w:rsid w:val="0067751F"/>
    <w:rsid w:val="006906DB"/>
    <w:rsid w:val="006908B0"/>
    <w:rsid w:val="00691E6C"/>
    <w:rsid w:val="00696129"/>
    <w:rsid w:val="00697CF2"/>
    <w:rsid w:val="006A12A5"/>
    <w:rsid w:val="006B02E5"/>
    <w:rsid w:val="006B0965"/>
    <w:rsid w:val="006B0D94"/>
    <w:rsid w:val="006B1FC5"/>
    <w:rsid w:val="006B463D"/>
    <w:rsid w:val="006B485D"/>
    <w:rsid w:val="006B5690"/>
    <w:rsid w:val="006C3606"/>
    <w:rsid w:val="006C37DF"/>
    <w:rsid w:val="006C5DF5"/>
    <w:rsid w:val="006C708E"/>
    <w:rsid w:val="006D019C"/>
    <w:rsid w:val="006D6EC7"/>
    <w:rsid w:val="006F02F7"/>
    <w:rsid w:val="006F5125"/>
    <w:rsid w:val="006F59A8"/>
    <w:rsid w:val="00702B6F"/>
    <w:rsid w:val="007132F1"/>
    <w:rsid w:val="0071340B"/>
    <w:rsid w:val="007174BB"/>
    <w:rsid w:val="0072025D"/>
    <w:rsid w:val="00724D9A"/>
    <w:rsid w:val="00734EBF"/>
    <w:rsid w:val="007353D3"/>
    <w:rsid w:val="007501B1"/>
    <w:rsid w:val="007511C3"/>
    <w:rsid w:val="007545AB"/>
    <w:rsid w:val="0076420C"/>
    <w:rsid w:val="00772C7B"/>
    <w:rsid w:val="007753C2"/>
    <w:rsid w:val="007766FB"/>
    <w:rsid w:val="00783697"/>
    <w:rsid w:val="007838B8"/>
    <w:rsid w:val="007A6C21"/>
    <w:rsid w:val="007C0F57"/>
    <w:rsid w:val="007C40B6"/>
    <w:rsid w:val="007C729F"/>
    <w:rsid w:val="007E0A8D"/>
    <w:rsid w:val="007E1D28"/>
    <w:rsid w:val="007E6B62"/>
    <w:rsid w:val="007F205C"/>
    <w:rsid w:val="007F2641"/>
    <w:rsid w:val="007F2BD1"/>
    <w:rsid w:val="007F7C36"/>
    <w:rsid w:val="00806796"/>
    <w:rsid w:val="008109A6"/>
    <w:rsid w:val="00814F15"/>
    <w:rsid w:val="008151D6"/>
    <w:rsid w:val="00826F6D"/>
    <w:rsid w:val="008306F3"/>
    <w:rsid w:val="00853623"/>
    <w:rsid w:val="00856DDD"/>
    <w:rsid w:val="00863E68"/>
    <w:rsid w:val="008700EB"/>
    <w:rsid w:val="00872B0A"/>
    <w:rsid w:val="00876F9D"/>
    <w:rsid w:val="00877D90"/>
    <w:rsid w:val="00881583"/>
    <w:rsid w:val="00882085"/>
    <w:rsid w:val="00883188"/>
    <w:rsid w:val="0089333F"/>
    <w:rsid w:val="0089499F"/>
    <w:rsid w:val="00897D58"/>
    <w:rsid w:val="00897F22"/>
    <w:rsid w:val="008A1956"/>
    <w:rsid w:val="008A4937"/>
    <w:rsid w:val="008A50F1"/>
    <w:rsid w:val="008A68FE"/>
    <w:rsid w:val="008B62EA"/>
    <w:rsid w:val="008B7517"/>
    <w:rsid w:val="008C3425"/>
    <w:rsid w:val="008C4928"/>
    <w:rsid w:val="008D1B5C"/>
    <w:rsid w:val="008D2133"/>
    <w:rsid w:val="008D3C82"/>
    <w:rsid w:val="008D447E"/>
    <w:rsid w:val="008D4B69"/>
    <w:rsid w:val="008D7A41"/>
    <w:rsid w:val="008E3680"/>
    <w:rsid w:val="008E514D"/>
    <w:rsid w:val="008E5870"/>
    <w:rsid w:val="008E5D3A"/>
    <w:rsid w:val="008F1434"/>
    <w:rsid w:val="008F7355"/>
    <w:rsid w:val="00900BEF"/>
    <w:rsid w:val="009067B7"/>
    <w:rsid w:val="009120D3"/>
    <w:rsid w:val="00913DC5"/>
    <w:rsid w:val="00925E42"/>
    <w:rsid w:val="00930937"/>
    <w:rsid w:val="00933E6C"/>
    <w:rsid w:val="00937958"/>
    <w:rsid w:val="00942160"/>
    <w:rsid w:val="009478C3"/>
    <w:rsid w:val="0095146F"/>
    <w:rsid w:val="009602C5"/>
    <w:rsid w:val="009613B5"/>
    <w:rsid w:val="00962223"/>
    <w:rsid w:val="00966D0D"/>
    <w:rsid w:val="00974C21"/>
    <w:rsid w:val="00993316"/>
    <w:rsid w:val="00997EAC"/>
    <w:rsid w:val="009A23E1"/>
    <w:rsid w:val="009B0F67"/>
    <w:rsid w:val="009C703C"/>
    <w:rsid w:val="009D3CAA"/>
    <w:rsid w:val="009E681D"/>
    <w:rsid w:val="009F4E46"/>
    <w:rsid w:val="009F5B65"/>
    <w:rsid w:val="009F5F2E"/>
    <w:rsid w:val="00A06225"/>
    <w:rsid w:val="00A07018"/>
    <w:rsid w:val="00A128E6"/>
    <w:rsid w:val="00A163FA"/>
    <w:rsid w:val="00A2600F"/>
    <w:rsid w:val="00A312D9"/>
    <w:rsid w:val="00A32CA0"/>
    <w:rsid w:val="00A34E6C"/>
    <w:rsid w:val="00A364F3"/>
    <w:rsid w:val="00A37C8D"/>
    <w:rsid w:val="00A479CE"/>
    <w:rsid w:val="00A5273B"/>
    <w:rsid w:val="00A53A9D"/>
    <w:rsid w:val="00A55FEE"/>
    <w:rsid w:val="00A62C1A"/>
    <w:rsid w:val="00A6426D"/>
    <w:rsid w:val="00A665C1"/>
    <w:rsid w:val="00A70622"/>
    <w:rsid w:val="00A70977"/>
    <w:rsid w:val="00A70FBA"/>
    <w:rsid w:val="00A74CCC"/>
    <w:rsid w:val="00A759C6"/>
    <w:rsid w:val="00A77143"/>
    <w:rsid w:val="00A77613"/>
    <w:rsid w:val="00A8390C"/>
    <w:rsid w:val="00A902D2"/>
    <w:rsid w:val="00A928BD"/>
    <w:rsid w:val="00A952C1"/>
    <w:rsid w:val="00AA4D1C"/>
    <w:rsid w:val="00AB1550"/>
    <w:rsid w:val="00AB5BC4"/>
    <w:rsid w:val="00AB6CF2"/>
    <w:rsid w:val="00AC193C"/>
    <w:rsid w:val="00AC44E7"/>
    <w:rsid w:val="00AC5206"/>
    <w:rsid w:val="00AE11A5"/>
    <w:rsid w:val="00AE13E2"/>
    <w:rsid w:val="00AE22D3"/>
    <w:rsid w:val="00AF05C5"/>
    <w:rsid w:val="00AF09EC"/>
    <w:rsid w:val="00AF1772"/>
    <w:rsid w:val="00AF62DF"/>
    <w:rsid w:val="00AF68CC"/>
    <w:rsid w:val="00B01B05"/>
    <w:rsid w:val="00B04027"/>
    <w:rsid w:val="00B051DC"/>
    <w:rsid w:val="00B1059E"/>
    <w:rsid w:val="00B10FEA"/>
    <w:rsid w:val="00B11D15"/>
    <w:rsid w:val="00B153BE"/>
    <w:rsid w:val="00B176C8"/>
    <w:rsid w:val="00B205AA"/>
    <w:rsid w:val="00B22E84"/>
    <w:rsid w:val="00B25F75"/>
    <w:rsid w:val="00B26B3F"/>
    <w:rsid w:val="00B30DEB"/>
    <w:rsid w:val="00B43E90"/>
    <w:rsid w:val="00B45C5C"/>
    <w:rsid w:val="00B467DC"/>
    <w:rsid w:val="00B56118"/>
    <w:rsid w:val="00B6773F"/>
    <w:rsid w:val="00B70F2E"/>
    <w:rsid w:val="00B73F39"/>
    <w:rsid w:val="00B801BA"/>
    <w:rsid w:val="00B84D5C"/>
    <w:rsid w:val="00B965A8"/>
    <w:rsid w:val="00BB69F5"/>
    <w:rsid w:val="00BB7EC3"/>
    <w:rsid w:val="00BC4B9A"/>
    <w:rsid w:val="00BC6123"/>
    <w:rsid w:val="00BD60F9"/>
    <w:rsid w:val="00BD784C"/>
    <w:rsid w:val="00BD79FE"/>
    <w:rsid w:val="00BE210B"/>
    <w:rsid w:val="00BE3EB6"/>
    <w:rsid w:val="00BF4CB6"/>
    <w:rsid w:val="00BF635C"/>
    <w:rsid w:val="00C00CC2"/>
    <w:rsid w:val="00C00DA7"/>
    <w:rsid w:val="00C12768"/>
    <w:rsid w:val="00C12C48"/>
    <w:rsid w:val="00C23443"/>
    <w:rsid w:val="00C27B58"/>
    <w:rsid w:val="00C32DB5"/>
    <w:rsid w:val="00C35996"/>
    <w:rsid w:val="00C41DE9"/>
    <w:rsid w:val="00C41FC9"/>
    <w:rsid w:val="00C4747E"/>
    <w:rsid w:val="00C51FD2"/>
    <w:rsid w:val="00C5342C"/>
    <w:rsid w:val="00C55858"/>
    <w:rsid w:val="00C603D4"/>
    <w:rsid w:val="00C6256A"/>
    <w:rsid w:val="00C7393B"/>
    <w:rsid w:val="00C76D70"/>
    <w:rsid w:val="00C77891"/>
    <w:rsid w:val="00C80C7B"/>
    <w:rsid w:val="00C91449"/>
    <w:rsid w:val="00C92D10"/>
    <w:rsid w:val="00CB5BD0"/>
    <w:rsid w:val="00CC33CE"/>
    <w:rsid w:val="00CE10C4"/>
    <w:rsid w:val="00CE27B5"/>
    <w:rsid w:val="00CF00E0"/>
    <w:rsid w:val="00D0321E"/>
    <w:rsid w:val="00D07986"/>
    <w:rsid w:val="00D1455A"/>
    <w:rsid w:val="00D17497"/>
    <w:rsid w:val="00D20933"/>
    <w:rsid w:val="00D23570"/>
    <w:rsid w:val="00D31150"/>
    <w:rsid w:val="00D3138B"/>
    <w:rsid w:val="00D3280C"/>
    <w:rsid w:val="00D3406A"/>
    <w:rsid w:val="00D4572C"/>
    <w:rsid w:val="00D469B2"/>
    <w:rsid w:val="00D51EBA"/>
    <w:rsid w:val="00D57BEF"/>
    <w:rsid w:val="00D741EB"/>
    <w:rsid w:val="00D83605"/>
    <w:rsid w:val="00D83A1F"/>
    <w:rsid w:val="00D848AA"/>
    <w:rsid w:val="00D84934"/>
    <w:rsid w:val="00D90723"/>
    <w:rsid w:val="00D91271"/>
    <w:rsid w:val="00DA2CB5"/>
    <w:rsid w:val="00DA2D17"/>
    <w:rsid w:val="00DA33A5"/>
    <w:rsid w:val="00DA4A54"/>
    <w:rsid w:val="00DA4BAC"/>
    <w:rsid w:val="00DB0667"/>
    <w:rsid w:val="00DB296A"/>
    <w:rsid w:val="00DB417D"/>
    <w:rsid w:val="00DB4335"/>
    <w:rsid w:val="00DD0F50"/>
    <w:rsid w:val="00DD7104"/>
    <w:rsid w:val="00DE6D27"/>
    <w:rsid w:val="00DF217D"/>
    <w:rsid w:val="00DF26A7"/>
    <w:rsid w:val="00E03FAD"/>
    <w:rsid w:val="00E148F3"/>
    <w:rsid w:val="00E15627"/>
    <w:rsid w:val="00E164B3"/>
    <w:rsid w:val="00E16910"/>
    <w:rsid w:val="00E2191F"/>
    <w:rsid w:val="00E22A44"/>
    <w:rsid w:val="00E3005E"/>
    <w:rsid w:val="00E3110D"/>
    <w:rsid w:val="00E42BDB"/>
    <w:rsid w:val="00E4360D"/>
    <w:rsid w:val="00E463E9"/>
    <w:rsid w:val="00E52E2F"/>
    <w:rsid w:val="00E57EEB"/>
    <w:rsid w:val="00E61C6E"/>
    <w:rsid w:val="00E62D94"/>
    <w:rsid w:val="00E65E54"/>
    <w:rsid w:val="00E80155"/>
    <w:rsid w:val="00E84454"/>
    <w:rsid w:val="00E848C0"/>
    <w:rsid w:val="00E8705F"/>
    <w:rsid w:val="00E90EE1"/>
    <w:rsid w:val="00E91B96"/>
    <w:rsid w:val="00E9255D"/>
    <w:rsid w:val="00E941A1"/>
    <w:rsid w:val="00E95CE3"/>
    <w:rsid w:val="00E96D4F"/>
    <w:rsid w:val="00EA2825"/>
    <w:rsid w:val="00EB0B63"/>
    <w:rsid w:val="00EB5088"/>
    <w:rsid w:val="00EC1394"/>
    <w:rsid w:val="00EC2484"/>
    <w:rsid w:val="00ED1644"/>
    <w:rsid w:val="00ED2593"/>
    <w:rsid w:val="00ED7D9C"/>
    <w:rsid w:val="00EE2FD4"/>
    <w:rsid w:val="00EF44A0"/>
    <w:rsid w:val="00EF4FED"/>
    <w:rsid w:val="00F00F0B"/>
    <w:rsid w:val="00F0155C"/>
    <w:rsid w:val="00F050BD"/>
    <w:rsid w:val="00F05657"/>
    <w:rsid w:val="00F10C69"/>
    <w:rsid w:val="00F25578"/>
    <w:rsid w:val="00F258E5"/>
    <w:rsid w:val="00F300BC"/>
    <w:rsid w:val="00F3334E"/>
    <w:rsid w:val="00F36CCB"/>
    <w:rsid w:val="00F374E5"/>
    <w:rsid w:val="00F4386E"/>
    <w:rsid w:val="00F43AF2"/>
    <w:rsid w:val="00F50EC4"/>
    <w:rsid w:val="00F51037"/>
    <w:rsid w:val="00F538F4"/>
    <w:rsid w:val="00F550CF"/>
    <w:rsid w:val="00F57A6D"/>
    <w:rsid w:val="00F638CC"/>
    <w:rsid w:val="00F64CC1"/>
    <w:rsid w:val="00F65F55"/>
    <w:rsid w:val="00F72317"/>
    <w:rsid w:val="00F8039C"/>
    <w:rsid w:val="00F80475"/>
    <w:rsid w:val="00F8247A"/>
    <w:rsid w:val="00F91F4E"/>
    <w:rsid w:val="00F9629A"/>
    <w:rsid w:val="00F97EFC"/>
    <w:rsid w:val="00FA1945"/>
    <w:rsid w:val="00FA5883"/>
    <w:rsid w:val="00FA6055"/>
    <w:rsid w:val="00FA7EB6"/>
    <w:rsid w:val="00FB27DD"/>
    <w:rsid w:val="00FB322F"/>
    <w:rsid w:val="00FB442F"/>
    <w:rsid w:val="00FC1929"/>
    <w:rsid w:val="00FC5B46"/>
    <w:rsid w:val="00FD3277"/>
    <w:rsid w:val="00FD3301"/>
    <w:rsid w:val="00FD6D8E"/>
    <w:rsid w:val="00FE0E94"/>
    <w:rsid w:val="00FE0EDA"/>
    <w:rsid w:val="00FE4F8F"/>
    <w:rsid w:val="00FE7857"/>
    <w:rsid w:val="00FF00BD"/>
    <w:rsid w:val="00FF1ED4"/>
    <w:rsid w:val="00FF2801"/>
    <w:rsid w:val="00FF3AB6"/>
    <w:rsid w:val="00FF5472"/>
    <w:rsid w:val="00FF7A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9"/>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9"/>
    <w:rsid w:val="003C2FB5"/>
    <w:rPr>
      <w:rFonts w:ascii="Arial" w:hAnsi="Arial"/>
      <w:b/>
      <w:i/>
      <w:sz w:val="22"/>
      <w:szCs w:val="24"/>
    </w:rPr>
  </w:style>
  <w:style w:type="table" w:customStyle="1" w:styleId="Summarybox1">
    <w:name w:val="Summary box1"/>
    <w:basedOn w:val="TableNormal"/>
    <w:next w:val="TableGrid"/>
    <w:uiPriority w:val="39"/>
    <w:rsid w:val="006122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39"/>
    <w:rsid w:val="006122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39"/>
    <w:rsid w:val="006122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39"/>
    <w:rsid w:val="00900B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FF547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9"/>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9"/>
    <w:rsid w:val="003C2FB5"/>
    <w:rPr>
      <w:rFonts w:ascii="Arial" w:hAnsi="Arial"/>
      <w:b/>
      <w:i/>
      <w:sz w:val="22"/>
      <w:szCs w:val="24"/>
    </w:rPr>
  </w:style>
  <w:style w:type="table" w:customStyle="1" w:styleId="Summarybox1">
    <w:name w:val="Summary box1"/>
    <w:basedOn w:val="TableNormal"/>
    <w:next w:val="TableGrid"/>
    <w:uiPriority w:val="39"/>
    <w:rsid w:val="006122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39"/>
    <w:rsid w:val="006122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39"/>
    <w:rsid w:val="006122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39"/>
    <w:rsid w:val="00900B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FF54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3023274">
      <w:bodyDiv w:val="1"/>
      <w:marLeft w:val="0"/>
      <w:marRight w:val="0"/>
      <w:marTop w:val="0"/>
      <w:marBottom w:val="0"/>
      <w:divBdr>
        <w:top w:val="none" w:sz="0" w:space="0" w:color="auto"/>
        <w:left w:val="none" w:sz="0" w:space="0" w:color="auto"/>
        <w:bottom w:val="none" w:sz="0" w:space="0" w:color="auto"/>
        <w:right w:val="none" w:sz="0" w:space="0" w:color="auto"/>
      </w:divBdr>
      <w:divsChild>
        <w:div w:id="342513643">
          <w:marLeft w:val="1800"/>
          <w:marRight w:val="0"/>
          <w:marTop w:val="10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46716277">
      <w:bodyDiv w:val="1"/>
      <w:marLeft w:val="0"/>
      <w:marRight w:val="0"/>
      <w:marTop w:val="0"/>
      <w:marBottom w:val="0"/>
      <w:divBdr>
        <w:top w:val="none" w:sz="0" w:space="0" w:color="auto"/>
        <w:left w:val="none" w:sz="0" w:space="0" w:color="auto"/>
        <w:bottom w:val="none" w:sz="0" w:space="0" w:color="auto"/>
        <w:right w:val="none" w:sz="0" w:space="0" w:color="auto"/>
      </w:divBdr>
      <w:divsChild>
        <w:div w:id="112901354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3C756-B5E7-4E41-85DA-CB917A4AC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2501</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2018-02-14T21:56:00Z</dcterms:created>
  <dcterms:modified xsi:type="dcterms:W3CDTF">2018-02-14T21:56:00Z</dcterms:modified>
</cp:coreProperties>
</file>