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577C4D" w:rsidRDefault="00166128" w:rsidP="00901FA7">
      <w:pPr>
        <w:pStyle w:val="Title"/>
        <w:spacing w:before="120" w:after="160"/>
        <w:ind w:left="720" w:hanging="720"/>
        <w:rPr>
          <w:rFonts w:asciiTheme="minorHAnsi" w:hAnsiTheme="minorHAnsi"/>
          <w:sz w:val="36"/>
          <w:szCs w:val="36"/>
        </w:rPr>
      </w:pPr>
      <w:bookmarkStart w:id="0" w:name="_GoBack"/>
      <w:bookmarkEnd w:id="0"/>
      <w:r>
        <w:rPr>
          <w:rFonts w:asciiTheme="minorHAnsi" w:hAnsiTheme="minorHAnsi"/>
          <w:sz w:val="36"/>
          <w:szCs w:val="36"/>
        </w:rPr>
        <w:t>7.13</w:t>
      </w:r>
      <w:r w:rsidR="007C0F57" w:rsidRPr="002B5596">
        <w:rPr>
          <w:rFonts w:asciiTheme="minorHAnsi" w:hAnsiTheme="minorHAnsi"/>
          <w:sz w:val="36"/>
          <w:szCs w:val="36"/>
        </w:rPr>
        <w:tab/>
      </w:r>
      <w:r w:rsidR="0047081C">
        <w:rPr>
          <w:rFonts w:asciiTheme="minorHAnsi" w:hAnsiTheme="minorHAnsi"/>
          <w:sz w:val="36"/>
          <w:szCs w:val="36"/>
        </w:rPr>
        <w:t>POMALIDOMIDE</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r w:rsidR="00254563">
        <w:rPr>
          <w:rFonts w:asciiTheme="minorHAnsi" w:hAnsiTheme="minorHAnsi"/>
          <w:sz w:val="36"/>
          <w:szCs w:val="36"/>
        </w:rPr>
        <w:t>Capsule 3 mg</w:t>
      </w:r>
      <w:r w:rsidR="0004240E" w:rsidRPr="002B5596">
        <w:rPr>
          <w:rFonts w:asciiTheme="minorHAnsi" w:hAnsiTheme="minorHAnsi"/>
          <w:sz w:val="36"/>
          <w:szCs w:val="36"/>
        </w:rPr>
        <w:t>,</w:t>
      </w:r>
      <w:r w:rsidR="00901FA7">
        <w:rPr>
          <w:rFonts w:asciiTheme="minorHAnsi" w:hAnsiTheme="minorHAnsi"/>
          <w:sz w:val="36"/>
          <w:szCs w:val="36"/>
        </w:rPr>
        <w:br/>
      </w:r>
      <w:r w:rsidR="00254563">
        <w:rPr>
          <w:rFonts w:asciiTheme="minorHAnsi" w:hAnsiTheme="minorHAnsi"/>
          <w:sz w:val="36"/>
          <w:szCs w:val="36"/>
        </w:rPr>
        <w:t>Capsule 4 mg,</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r w:rsidR="00254563">
        <w:rPr>
          <w:rFonts w:asciiTheme="minorHAnsi" w:hAnsiTheme="minorHAnsi"/>
          <w:sz w:val="36"/>
          <w:szCs w:val="36"/>
        </w:rPr>
        <w:t>Pomalyst</w:t>
      </w:r>
      <w:r w:rsidR="0004240E" w:rsidRPr="002B5596">
        <w:rPr>
          <w:rFonts w:asciiTheme="minorHAnsi" w:hAnsiTheme="minorHAnsi"/>
          <w:sz w:val="36"/>
          <w:szCs w:val="36"/>
          <w:vertAlign w:val="superscript"/>
        </w:rPr>
        <w:t>®</w:t>
      </w:r>
      <w:r w:rsidR="00EF44A0" w:rsidRPr="002B5596">
        <w:rPr>
          <w:rFonts w:asciiTheme="minorHAnsi" w:hAnsiTheme="minorHAnsi"/>
          <w:sz w:val="36"/>
          <w:szCs w:val="36"/>
        </w:rPr>
        <w:t xml:space="preserve">, </w:t>
      </w:r>
      <w:r w:rsidR="00254563">
        <w:rPr>
          <w:rFonts w:asciiTheme="minorHAnsi" w:hAnsiTheme="minorHAnsi"/>
          <w:sz w:val="36"/>
          <w:szCs w:val="36"/>
        </w:rPr>
        <w:t xml:space="preserve">Celgene Pty Ltd </w:t>
      </w:r>
    </w:p>
    <w:p w:rsidR="008A50F1" w:rsidRPr="00D4572C" w:rsidRDefault="00CE10C4"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6A12A5" w:rsidRPr="001B2BBC" w:rsidRDefault="00EF44A0"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mi</w:t>
      </w:r>
      <w:r w:rsidR="00FF2801" w:rsidRPr="001B2BBC">
        <w:rPr>
          <w:rFonts w:asciiTheme="minorHAnsi" w:eastAsiaTheme="minorHAnsi" w:hAnsiTheme="minorHAnsi" w:cstheme="minorBidi"/>
          <w:snapToGrid/>
          <w:sz w:val="24"/>
          <w:szCs w:val="22"/>
        </w:rPr>
        <w:t xml:space="preserve">nor </w:t>
      </w:r>
      <w:r w:rsidR="00AD17B1">
        <w:rPr>
          <w:rFonts w:asciiTheme="minorHAnsi" w:eastAsiaTheme="minorHAnsi" w:hAnsiTheme="minorHAnsi" w:cstheme="minorBidi"/>
          <w:snapToGrid/>
          <w:sz w:val="24"/>
          <w:szCs w:val="22"/>
        </w:rPr>
        <w:t>re</w:t>
      </w:r>
      <w:r w:rsidR="00FF2801" w:rsidRPr="001B2BBC">
        <w:rPr>
          <w:rFonts w:asciiTheme="minorHAnsi" w:eastAsiaTheme="minorHAnsi" w:hAnsiTheme="minorHAnsi" w:cstheme="minorBidi"/>
          <w:snapToGrid/>
          <w:sz w:val="24"/>
          <w:szCs w:val="22"/>
        </w:rPr>
        <w:t>submission</w:t>
      </w:r>
      <w:r w:rsidR="00F04F14">
        <w:rPr>
          <w:rFonts w:asciiTheme="minorHAnsi" w:eastAsiaTheme="minorHAnsi" w:hAnsiTheme="minorHAnsi" w:cstheme="minorBidi"/>
          <w:snapToGrid/>
          <w:sz w:val="24"/>
          <w:szCs w:val="22"/>
        </w:rPr>
        <w:t xml:space="preserve"> sought to amend the current wording to the restriction of pomalidomide to include the treatment of patients who have experienced severe intolerance or toxicity to lenalidomide and/or bortezomib for relapsed/refractory multiple myeloma. </w:t>
      </w:r>
    </w:p>
    <w:p w:rsidR="006A12A5" w:rsidRPr="00577C4D" w:rsidRDefault="006A12A5"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Requested listing</w:t>
      </w:r>
    </w:p>
    <w:p w:rsidR="00E8557F"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submission </w:t>
      </w:r>
      <w:r w:rsidR="00741E48">
        <w:rPr>
          <w:rFonts w:asciiTheme="minorHAnsi" w:eastAsiaTheme="minorHAnsi" w:hAnsiTheme="minorHAnsi" w:cstheme="minorBidi"/>
          <w:snapToGrid/>
          <w:sz w:val="24"/>
          <w:szCs w:val="22"/>
        </w:rPr>
        <w:t>requested the following</w:t>
      </w:r>
      <w:r w:rsidR="009B0328">
        <w:rPr>
          <w:rFonts w:asciiTheme="minorHAnsi" w:eastAsiaTheme="minorHAnsi" w:hAnsiTheme="minorHAnsi" w:cstheme="minorBidi"/>
          <w:snapToGrid/>
          <w:sz w:val="24"/>
          <w:szCs w:val="22"/>
        </w:rPr>
        <w:t xml:space="preserve"> changes </w:t>
      </w:r>
      <w:r w:rsidR="00E15055">
        <w:rPr>
          <w:rFonts w:asciiTheme="minorHAnsi" w:eastAsiaTheme="minorHAnsi" w:hAnsiTheme="minorHAnsi" w:cstheme="minorBidi"/>
          <w:snapToGrid/>
          <w:sz w:val="24"/>
          <w:szCs w:val="22"/>
        </w:rPr>
        <w:t xml:space="preserve">(shown in </w:t>
      </w:r>
      <w:r w:rsidR="009B0328">
        <w:rPr>
          <w:rFonts w:asciiTheme="minorHAnsi" w:eastAsiaTheme="minorHAnsi" w:hAnsiTheme="minorHAnsi" w:cstheme="minorBidi"/>
          <w:i/>
          <w:snapToGrid/>
          <w:sz w:val="24"/>
          <w:szCs w:val="22"/>
        </w:rPr>
        <w:t>italics</w:t>
      </w:r>
      <w:r w:rsidR="00E15055">
        <w:rPr>
          <w:rFonts w:asciiTheme="minorHAnsi" w:eastAsiaTheme="minorHAnsi" w:hAnsiTheme="minorHAnsi" w:cstheme="minorBidi"/>
          <w:snapToGrid/>
          <w:sz w:val="24"/>
          <w:szCs w:val="22"/>
        </w:rPr>
        <w:t>)</w:t>
      </w:r>
      <w:r w:rsidR="009B0328">
        <w:rPr>
          <w:rFonts w:asciiTheme="minorHAnsi" w:eastAsiaTheme="minorHAnsi" w:hAnsiTheme="minorHAnsi" w:cstheme="minorBidi"/>
          <w:snapToGrid/>
          <w:sz w:val="24"/>
          <w:szCs w:val="22"/>
        </w:rPr>
        <w:t xml:space="preserve"> </w:t>
      </w:r>
      <w:r w:rsidR="00E15055">
        <w:rPr>
          <w:rFonts w:asciiTheme="minorHAnsi" w:eastAsiaTheme="minorHAnsi" w:hAnsiTheme="minorHAnsi" w:cstheme="minorBidi"/>
          <w:snapToGrid/>
          <w:sz w:val="24"/>
          <w:szCs w:val="22"/>
        </w:rPr>
        <w:t xml:space="preserve">to the existing pomalidomide initial treatment restriction as below. The requested changes </w:t>
      </w:r>
      <w:r w:rsidR="0066373C">
        <w:rPr>
          <w:rFonts w:asciiTheme="minorHAnsi" w:eastAsiaTheme="minorHAnsi" w:hAnsiTheme="minorHAnsi" w:cstheme="minorBidi"/>
          <w:snapToGrid/>
          <w:sz w:val="24"/>
          <w:szCs w:val="22"/>
        </w:rPr>
        <w:t>we</w:t>
      </w:r>
      <w:r w:rsidR="00E15055">
        <w:rPr>
          <w:rFonts w:asciiTheme="minorHAnsi" w:eastAsiaTheme="minorHAnsi" w:hAnsiTheme="minorHAnsi" w:cstheme="minorBidi"/>
          <w:snapToGrid/>
          <w:sz w:val="24"/>
          <w:szCs w:val="22"/>
        </w:rPr>
        <w:t>re based on the Secretariat’</w:t>
      </w:r>
      <w:r w:rsidR="00C22502">
        <w:rPr>
          <w:rFonts w:asciiTheme="minorHAnsi" w:eastAsiaTheme="minorHAnsi" w:hAnsiTheme="minorHAnsi" w:cstheme="minorBidi"/>
          <w:snapToGrid/>
          <w:sz w:val="24"/>
          <w:szCs w:val="22"/>
        </w:rPr>
        <w:t xml:space="preserve">s proposed changes to the restriction from the March 2017 PBAC meeting. </w:t>
      </w:r>
      <w:r w:rsidR="00E15055">
        <w:rPr>
          <w:rFonts w:asciiTheme="minorHAnsi" w:eastAsiaTheme="minorHAnsi" w:hAnsiTheme="minorHAnsi" w:cstheme="minorBidi"/>
          <w:snapToGrid/>
          <w:sz w:val="24"/>
          <w:szCs w:val="22"/>
        </w:rPr>
        <w:t xml:space="preserve"> </w:t>
      </w:r>
    </w:p>
    <w:p w:rsidR="00E8557F" w:rsidRDefault="00E8557F" w:rsidP="00E8557F">
      <w:pPr>
        <w:rPr>
          <w:rFonts w:eastAsiaTheme="minorHAnsi"/>
          <w:lang w:eastAsia="en-US"/>
        </w:rPr>
      </w:pPr>
      <w:r>
        <w:rPr>
          <w:rFonts w:eastAsiaTheme="minorHAnsi"/>
        </w:rPr>
        <w:br w:type="page"/>
      </w:r>
    </w:p>
    <w:p w:rsidR="00826F6D" w:rsidRPr="00F72317" w:rsidRDefault="00826F6D" w:rsidP="00E8557F">
      <w:pPr>
        <w:pStyle w:val="ListParagraph"/>
        <w:widowControl/>
        <w:spacing w:after="120"/>
        <w:contextualSpacing w:val="0"/>
        <w:rPr>
          <w:rFonts w:asciiTheme="minorHAnsi" w:eastAsiaTheme="minorHAnsi" w:hAnsiTheme="minorHAnsi" w:cstheme="minorBidi"/>
          <w:snapToGrid/>
          <w:sz w:val="24"/>
          <w:szCs w:val="22"/>
        </w:rPr>
      </w:pPr>
    </w:p>
    <w:tbl>
      <w:tblPr>
        <w:tblW w:w="5000" w:type="pct"/>
        <w:tblLook w:val="0000" w:firstRow="0" w:lastRow="0" w:firstColumn="0" w:lastColumn="0" w:noHBand="0" w:noVBand="0"/>
      </w:tblPr>
      <w:tblGrid>
        <w:gridCol w:w="1935"/>
        <w:gridCol w:w="1346"/>
        <w:gridCol w:w="701"/>
        <w:gridCol w:w="856"/>
        <w:gridCol w:w="1852"/>
        <w:gridCol w:w="1031"/>
        <w:gridCol w:w="1521"/>
      </w:tblGrid>
      <w:tr w:rsidR="00163329" w:rsidRPr="0039782C" w:rsidTr="00610F19">
        <w:trPr>
          <w:cantSplit/>
          <w:trHeight w:val="465"/>
        </w:trPr>
        <w:tc>
          <w:tcPr>
            <w:tcW w:w="1775" w:type="pct"/>
            <w:gridSpan w:val="2"/>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379"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463"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1002"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1381" w:type="pct"/>
            <w:gridSpan w:val="2"/>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163329" w:rsidRPr="00260CE3" w:rsidTr="009B0328">
        <w:trPr>
          <w:cantSplit/>
          <w:trHeight w:val="567"/>
        </w:trPr>
        <w:tc>
          <w:tcPr>
            <w:tcW w:w="1775" w:type="pct"/>
            <w:gridSpan w:val="2"/>
          </w:tcPr>
          <w:p w:rsidR="00826F6D" w:rsidRPr="00260CE3" w:rsidRDefault="00C22502" w:rsidP="00EB0B63">
            <w:pPr>
              <w:keepNext/>
              <w:spacing w:before="40" w:after="40"/>
              <w:jc w:val="both"/>
              <w:rPr>
                <w:rFonts w:ascii="Arial Narrow" w:hAnsi="Arial Narrow" w:cs="Arial"/>
                <w:sz w:val="20"/>
                <w:szCs w:val="20"/>
              </w:rPr>
            </w:pPr>
            <w:r>
              <w:rPr>
                <w:rFonts w:ascii="Arial Narrow" w:hAnsi="Arial Narrow" w:cs="Arial"/>
                <w:smallCaps/>
                <w:sz w:val="20"/>
                <w:szCs w:val="20"/>
              </w:rPr>
              <w:t>POMALIDOMIDE</w:t>
            </w:r>
          </w:p>
          <w:p w:rsidR="00826F6D" w:rsidRDefault="00A04427" w:rsidP="00EB0B63">
            <w:pPr>
              <w:keepNext/>
              <w:spacing w:before="40" w:after="40"/>
              <w:jc w:val="both"/>
              <w:rPr>
                <w:rFonts w:ascii="Arial Narrow" w:hAnsi="Arial Narrow" w:cs="Arial"/>
                <w:sz w:val="20"/>
                <w:szCs w:val="20"/>
              </w:rPr>
            </w:pPr>
            <w:r>
              <w:rPr>
                <w:rFonts w:ascii="Arial Narrow" w:hAnsi="Arial Narrow" w:cs="Arial"/>
                <w:sz w:val="20"/>
                <w:szCs w:val="20"/>
              </w:rPr>
              <w:t>p</w:t>
            </w:r>
            <w:r w:rsidR="00C22502">
              <w:rPr>
                <w:rFonts w:ascii="Arial Narrow" w:hAnsi="Arial Narrow" w:cs="Arial"/>
                <w:sz w:val="20"/>
                <w:szCs w:val="20"/>
              </w:rPr>
              <w:t>omalidomide 3 mg capsule, 21</w:t>
            </w:r>
          </w:p>
          <w:p w:rsidR="00A04427" w:rsidRDefault="00A04427" w:rsidP="00EB0B63">
            <w:pPr>
              <w:keepNext/>
              <w:spacing w:before="40" w:after="40"/>
              <w:jc w:val="both"/>
              <w:rPr>
                <w:rFonts w:ascii="Arial Narrow" w:hAnsi="Arial Narrow" w:cs="Arial"/>
                <w:sz w:val="20"/>
                <w:szCs w:val="20"/>
              </w:rPr>
            </w:pPr>
          </w:p>
          <w:p w:rsidR="00A04427" w:rsidRDefault="00A04427" w:rsidP="00EB0B63">
            <w:pPr>
              <w:keepNext/>
              <w:spacing w:before="40" w:after="40"/>
              <w:jc w:val="both"/>
              <w:rPr>
                <w:rFonts w:ascii="Arial Narrow" w:hAnsi="Arial Narrow" w:cs="Arial"/>
                <w:sz w:val="20"/>
                <w:szCs w:val="20"/>
              </w:rPr>
            </w:pPr>
            <w:r>
              <w:rPr>
                <w:rFonts w:ascii="Arial Narrow" w:hAnsi="Arial Narrow" w:cs="Arial"/>
                <w:sz w:val="20"/>
                <w:szCs w:val="20"/>
              </w:rPr>
              <w:t>pomalidomide 4 mg capsule, 21</w:t>
            </w:r>
          </w:p>
          <w:p w:rsidR="00A04427" w:rsidRDefault="00A04427" w:rsidP="00EB0B63">
            <w:pPr>
              <w:keepNext/>
              <w:spacing w:before="40" w:after="40"/>
              <w:jc w:val="both"/>
              <w:rPr>
                <w:rFonts w:ascii="Arial Narrow" w:hAnsi="Arial Narrow" w:cs="Arial"/>
                <w:sz w:val="20"/>
                <w:szCs w:val="20"/>
              </w:rPr>
            </w:pPr>
          </w:p>
          <w:p w:rsidR="00C22502" w:rsidRPr="00260CE3" w:rsidRDefault="00C22502" w:rsidP="00EB0B63">
            <w:pPr>
              <w:keepNext/>
              <w:spacing w:before="40" w:after="40"/>
              <w:jc w:val="both"/>
              <w:rPr>
                <w:rFonts w:ascii="Arial Narrow" w:hAnsi="Arial Narrow" w:cs="Arial"/>
                <w:sz w:val="20"/>
                <w:szCs w:val="20"/>
              </w:rPr>
            </w:pPr>
          </w:p>
        </w:tc>
        <w:tc>
          <w:tcPr>
            <w:tcW w:w="379" w:type="pct"/>
          </w:tcPr>
          <w:p w:rsidR="00826F6D" w:rsidRPr="00260CE3" w:rsidRDefault="00826F6D" w:rsidP="00EB0B63">
            <w:pPr>
              <w:keepNext/>
              <w:spacing w:before="40" w:after="40"/>
              <w:jc w:val="both"/>
              <w:rPr>
                <w:rFonts w:ascii="Arial Narrow" w:hAnsi="Arial Narrow" w:cs="Arial"/>
                <w:sz w:val="20"/>
                <w:szCs w:val="20"/>
              </w:rPr>
            </w:pPr>
          </w:p>
          <w:p w:rsidR="00826F6D" w:rsidRDefault="00C22502" w:rsidP="00EB0B63">
            <w:pPr>
              <w:keepNext/>
              <w:spacing w:before="40" w:after="40"/>
              <w:jc w:val="both"/>
              <w:rPr>
                <w:rFonts w:ascii="Arial Narrow" w:hAnsi="Arial Narrow" w:cs="Arial"/>
                <w:sz w:val="20"/>
                <w:szCs w:val="20"/>
              </w:rPr>
            </w:pPr>
            <w:r>
              <w:rPr>
                <w:rFonts w:ascii="Arial Narrow" w:hAnsi="Arial Narrow" w:cs="Arial"/>
                <w:sz w:val="20"/>
                <w:szCs w:val="20"/>
              </w:rPr>
              <w:t>1</w:t>
            </w:r>
          </w:p>
          <w:p w:rsidR="00A04427" w:rsidRDefault="00A04427" w:rsidP="00EB0B63">
            <w:pPr>
              <w:keepNext/>
              <w:spacing w:before="40" w:after="40"/>
              <w:jc w:val="both"/>
              <w:rPr>
                <w:rFonts w:ascii="Arial Narrow" w:hAnsi="Arial Narrow" w:cs="Arial"/>
                <w:sz w:val="20"/>
                <w:szCs w:val="20"/>
              </w:rPr>
            </w:pPr>
          </w:p>
          <w:p w:rsidR="00A04427" w:rsidRPr="00260CE3" w:rsidRDefault="00A04427" w:rsidP="00EB0B63">
            <w:pPr>
              <w:keepNext/>
              <w:spacing w:before="40" w:after="40"/>
              <w:jc w:val="both"/>
              <w:rPr>
                <w:rFonts w:ascii="Arial Narrow" w:hAnsi="Arial Narrow" w:cs="Arial"/>
                <w:sz w:val="20"/>
                <w:szCs w:val="20"/>
              </w:rPr>
            </w:pPr>
            <w:r>
              <w:rPr>
                <w:rFonts w:ascii="Arial Narrow" w:hAnsi="Arial Narrow" w:cs="Arial"/>
                <w:sz w:val="20"/>
                <w:szCs w:val="20"/>
              </w:rPr>
              <w:t>1</w:t>
            </w:r>
          </w:p>
        </w:tc>
        <w:tc>
          <w:tcPr>
            <w:tcW w:w="463" w:type="pct"/>
          </w:tcPr>
          <w:p w:rsidR="00826F6D" w:rsidRPr="00260CE3" w:rsidRDefault="00826F6D" w:rsidP="00EB0B63">
            <w:pPr>
              <w:keepNext/>
              <w:spacing w:before="40" w:after="40"/>
              <w:jc w:val="both"/>
              <w:rPr>
                <w:rFonts w:ascii="Arial Narrow" w:hAnsi="Arial Narrow" w:cs="Arial"/>
                <w:sz w:val="20"/>
                <w:szCs w:val="20"/>
              </w:rPr>
            </w:pPr>
          </w:p>
          <w:p w:rsidR="00826F6D" w:rsidRDefault="00C22502" w:rsidP="00EB0B63">
            <w:pPr>
              <w:keepNext/>
              <w:spacing w:before="40" w:after="40"/>
              <w:jc w:val="both"/>
              <w:rPr>
                <w:rFonts w:ascii="Arial Narrow" w:hAnsi="Arial Narrow" w:cs="Arial"/>
                <w:sz w:val="20"/>
                <w:szCs w:val="20"/>
              </w:rPr>
            </w:pPr>
            <w:r>
              <w:rPr>
                <w:rFonts w:ascii="Arial Narrow" w:hAnsi="Arial Narrow" w:cs="Arial"/>
                <w:sz w:val="20"/>
                <w:szCs w:val="20"/>
              </w:rPr>
              <w:t>0</w:t>
            </w:r>
          </w:p>
          <w:p w:rsidR="00A04427" w:rsidRDefault="00A04427" w:rsidP="00EB0B63">
            <w:pPr>
              <w:keepNext/>
              <w:spacing w:before="40" w:after="40"/>
              <w:jc w:val="both"/>
              <w:rPr>
                <w:rFonts w:ascii="Arial Narrow" w:hAnsi="Arial Narrow" w:cs="Arial"/>
                <w:sz w:val="20"/>
                <w:szCs w:val="20"/>
              </w:rPr>
            </w:pPr>
          </w:p>
          <w:p w:rsidR="00A04427" w:rsidRPr="00260CE3" w:rsidRDefault="00A04427" w:rsidP="00EB0B63">
            <w:pPr>
              <w:keepNext/>
              <w:spacing w:before="40" w:after="40"/>
              <w:jc w:val="both"/>
              <w:rPr>
                <w:rFonts w:ascii="Arial Narrow" w:hAnsi="Arial Narrow" w:cs="Arial"/>
                <w:sz w:val="20"/>
                <w:szCs w:val="20"/>
              </w:rPr>
            </w:pPr>
            <w:r>
              <w:rPr>
                <w:rFonts w:ascii="Arial Narrow" w:hAnsi="Arial Narrow" w:cs="Arial"/>
                <w:sz w:val="20"/>
                <w:szCs w:val="20"/>
              </w:rPr>
              <w:t>0</w:t>
            </w:r>
          </w:p>
        </w:tc>
        <w:tc>
          <w:tcPr>
            <w:tcW w:w="1002" w:type="pct"/>
          </w:tcPr>
          <w:p w:rsidR="00826F6D" w:rsidRPr="00260CE3" w:rsidRDefault="00826F6D" w:rsidP="00EB0B63">
            <w:pPr>
              <w:keepNext/>
              <w:spacing w:before="40" w:after="40"/>
              <w:jc w:val="both"/>
              <w:rPr>
                <w:rFonts w:ascii="Arial Narrow" w:hAnsi="Arial Narrow" w:cs="Arial"/>
                <w:sz w:val="20"/>
                <w:szCs w:val="20"/>
              </w:rPr>
            </w:pPr>
          </w:p>
          <w:p w:rsidR="00826F6D" w:rsidRDefault="00C22502" w:rsidP="00EB0B63">
            <w:pPr>
              <w:keepNext/>
              <w:spacing w:before="40" w:after="40"/>
              <w:jc w:val="both"/>
              <w:rPr>
                <w:rFonts w:ascii="Arial Narrow" w:hAnsi="Arial Narrow" w:cs="Arial"/>
                <w:sz w:val="20"/>
                <w:szCs w:val="20"/>
              </w:rPr>
            </w:pPr>
            <w:r>
              <w:rPr>
                <w:rFonts w:ascii="Arial Narrow" w:hAnsi="Arial Narrow" w:cs="Arial"/>
                <w:sz w:val="20"/>
                <w:szCs w:val="20"/>
              </w:rPr>
              <w:t>$10,500</w:t>
            </w:r>
            <w:r w:rsidR="00A04427">
              <w:rPr>
                <w:rFonts w:ascii="Arial Narrow" w:hAnsi="Arial Narrow" w:cs="Arial"/>
                <w:sz w:val="20"/>
                <w:szCs w:val="20"/>
              </w:rPr>
              <w:t xml:space="preserve"> (Public)</w:t>
            </w:r>
          </w:p>
          <w:p w:rsidR="00A04427" w:rsidRDefault="00A04427" w:rsidP="00EB0B63">
            <w:pPr>
              <w:keepNext/>
              <w:spacing w:before="40" w:after="40"/>
              <w:jc w:val="both"/>
              <w:rPr>
                <w:rFonts w:ascii="Arial Narrow" w:hAnsi="Arial Narrow" w:cs="Arial"/>
                <w:sz w:val="20"/>
                <w:szCs w:val="20"/>
              </w:rPr>
            </w:pPr>
            <w:r>
              <w:rPr>
                <w:rFonts w:ascii="Arial Narrow" w:hAnsi="Arial Narrow" w:cs="Arial"/>
                <w:sz w:val="20"/>
                <w:szCs w:val="20"/>
              </w:rPr>
              <w:t>$10,547.15 (Private)</w:t>
            </w:r>
          </w:p>
          <w:p w:rsidR="00A04427" w:rsidRDefault="00A04427" w:rsidP="00EB0B63">
            <w:pPr>
              <w:keepNext/>
              <w:spacing w:before="40" w:after="40"/>
              <w:jc w:val="both"/>
              <w:rPr>
                <w:rFonts w:ascii="Arial Narrow" w:hAnsi="Arial Narrow" w:cs="Arial"/>
                <w:sz w:val="20"/>
                <w:szCs w:val="20"/>
              </w:rPr>
            </w:pPr>
            <w:r>
              <w:rPr>
                <w:rFonts w:ascii="Arial Narrow" w:hAnsi="Arial Narrow" w:cs="Arial"/>
                <w:sz w:val="20"/>
                <w:szCs w:val="20"/>
              </w:rPr>
              <w:t>$10,500 (Public)</w:t>
            </w:r>
          </w:p>
          <w:p w:rsidR="00A04427" w:rsidRPr="00260CE3" w:rsidRDefault="00A04427" w:rsidP="00EB0B63">
            <w:pPr>
              <w:keepNext/>
              <w:spacing w:before="40" w:after="40"/>
              <w:jc w:val="both"/>
              <w:rPr>
                <w:rFonts w:ascii="Arial Narrow" w:hAnsi="Arial Narrow" w:cs="Arial"/>
                <w:sz w:val="20"/>
                <w:szCs w:val="20"/>
              </w:rPr>
            </w:pPr>
            <w:r>
              <w:rPr>
                <w:rFonts w:ascii="Arial Narrow" w:hAnsi="Arial Narrow" w:cs="Arial"/>
                <w:sz w:val="20"/>
                <w:szCs w:val="20"/>
              </w:rPr>
              <w:t>$10,547.15 (Private)</w:t>
            </w:r>
          </w:p>
        </w:tc>
        <w:tc>
          <w:tcPr>
            <w:tcW w:w="558" w:type="pct"/>
          </w:tcPr>
          <w:p w:rsidR="00C27B58" w:rsidRDefault="00C27B58" w:rsidP="00EB0B63">
            <w:pPr>
              <w:keepNext/>
              <w:spacing w:before="40" w:after="40"/>
              <w:jc w:val="both"/>
              <w:rPr>
                <w:rFonts w:ascii="Arial Narrow" w:hAnsi="Arial Narrow" w:cs="Arial"/>
                <w:sz w:val="20"/>
                <w:szCs w:val="20"/>
              </w:rPr>
            </w:pPr>
          </w:p>
          <w:p w:rsidR="00826F6D" w:rsidRPr="00260CE3" w:rsidRDefault="00C22502" w:rsidP="00EB0B63">
            <w:pPr>
              <w:keepNext/>
              <w:spacing w:before="40" w:after="40"/>
              <w:jc w:val="both"/>
              <w:rPr>
                <w:rFonts w:ascii="Arial Narrow" w:hAnsi="Arial Narrow" w:cs="Arial"/>
                <w:sz w:val="20"/>
                <w:szCs w:val="20"/>
              </w:rPr>
            </w:pPr>
            <w:r w:rsidRPr="00C22502">
              <w:rPr>
                <w:rFonts w:ascii="Arial Narrow" w:hAnsi="Arial Narrow" w:cs="Arial"/>
                <w:sz w:val="20"/>
                <w:szCs w:val="20"/>
              </w:rPr>
              <w:t>Pomalyst®</w:t>
            </w:r>
          </w:p>
        </w:tc>
        <w:tc>
          <w:tcPr>
            <w:tcW w:w="823" w:type="pct"/>
          </w:tcPr>
          <w:p w:rsidR="00C27B58" w:rsidRDefault="00C27B58" w:rsidP="00EB0B63">
            <w:pPr>
              <w:keepNext/>
              <w:spacing w:before="40" w:after="40"/>
              <w:jc w:val="both"/>
              <w:rPr>
                <w:rFonts w:ascii="Arial Narrow" w:hAnsi="Arial Narrow" w:cs="Arial"/>
                <w:sz w:val="20"/>
                <w:szCs w:val="20"/>
              </w:rPr>
            </w:pPr>
          </w:p>
          <w:p w:rsidR="00826F6D" w:rsidRPr="00260CE3" w:rsidRDefault="00C22502" w:rsidP="00C22502">
            <w:pPr>
              <w:keepNext/>
              <w:spacing w:before="40" w:after="40"/>
              <w:jc w:val="both"/>
              <w:rPr>
                <w:rFonts w:ascii="Arial Narrow" w:hAnsi="Arial Narrow" w:cs="Arial"/>
                <w:sz w:val="20"/>
                <w:szCs w:val="20"/>
              </w:rPr>
            </w:pPr>
            <w:r>
              <w:rPr>
                <w:rFonts w:ascii="Arial Narrow" w:hAnsi="Arial Narrow" w:cs="Arial"/>
                <w:sz w:val="20"/>
                <w:szCs w:val="20"/>
              </w:rPr>
              <w:t xml:space="preserve">Celgene Pty Ltd </w:t>
            </w:r>
          </w:p>
        </w:tc>
      </w:tr>
      <w:tr w:rsidR="00826F6D" w:rsidRPr="00260CE3" w:rsidTr="00610F19">
        <w:trPr>
          <w:cantSplit/>
          <w:trHeight w:val="360"/>
        </w:trPr>
        <w:tc>
          <w:tcPr>
            <w:tcW w:w="1047" w:type="pct"/>
            <w:tcBorders>
              <w:top w:val="single" w:sz="4" w:space="0" w:color="auto"/>
              <w:left w:val="single" w:sz="4" w:space="0" w:color="auto"/>
              <w:bottom w:val="single" w:sz="4" w:space="0" w:color="auto"/>
              <w:right w:val="single" w:sz="4" w:space="0" w:color="auto"/>
            </w:tcBorders>
          </w:tcPr>
          <w:p w:rsidR="00826F6D" w:rsidRPr="004C6C07" w:rsidRDefault="00826F6D" w:rsidP="00EB0B63">
            <w:pPr>
              <w:spacing w:before="40" w:after="40"/>
              <w:jc w:val="both"/>
              <w:rPr>
                <w:rFonts w:ascii="Arial Narrow" w:hAnsi="Arial Narrow" w:cs="Arial"/>
                <w:sz w:val="20"/>
                <w:szCs w:val="20"/>
              </w:rPr>
            </w:pPr>
            <w:r w:rsidRPr="004C6C07">
              <w:rPr>
                <w:rFonts w:ascii="Arial Narrow" w:hAnsi="Arial Narrow" w:cs="Arial"/>
                <w:sz w:val="20"/>
                <w:szCs w:val="20"/>
              </w:rPr>
              <w:t xml:space="preserve">Category / </w:t>
            </w:r>
          </w:p>
          <w:p w:rsidR="00826F6D" w:rsidRPr="00260CE3" w:rsidRDefault="00826F6D" w:rsidP="00EB0B63">
            <w:pPr>
              <w:spacing w:before="40" w:after="40"/>
              <w:jc w:val="both"/>
              <w:rPr>
                <w:rFonts w:ascii="Arial Narrow" w:hAnsi="Arial Narrow" w:cs="Arial"/>
                <w:b/>
                <w:sz w:val="20"/>
                <w:szCs w:val="20"/>
              </w:rPr>
            </w:pPr>
            <w:r w:rsidRPr="004C6C07">
              <w:rPr>
                <w:rFonts w:ascii="Arial Narrow" w:hAnsi="Arial Narrow" w:cs="Arial"/>
                <w:sz w:val="20"/>
                <w:szCs w:val="20"/>
              </w:rPr>
              <w:t>Program</w:t>
            </w:r>
          </w:p>
        </w:tc>
        <w:tc>
          <w:tcPr>
            <w:tcW w:w="3953" w:type="pct"/>
            <w:gridSpan w:val="6"/>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rPr>
                <w:rFonts w:ascii="Arial Narrow" w:hAnsi="Arial Narrow" w:cs="Arial"/>
                <w:sz w:val="20"/>
                <w:szCs w:val="20"/>
              </w:rPr>
            </w:pPr>
            <w:r w:rsidRPr="00260CE3">
              <w:rPr>
                <w:rFonts w:ascii="Arial Narrow" w:hAnsi="Arial Narrow" w:cs="Arial"/>
                <w:sz w:val="20"/>
                <w:szCs w:val="20"/>
              </w:rPr>
              <w:t>Section 100 – Highly Specialised Drugs Program</w:t>
            </w:r>
          </w:p>
          <w:p w:rsidR="00826F6D" w:rsidRPr="00260CE3" w:rsidRDefault="00826F6D" w:rsidP="00EB0B63">
            <w:pPr>
              <w:spacing w:before="40" w:after="40"/>
              <w:rPr>
                <w:rFonts w:ascii="Arial Narrow" w:hAnsi="Arial Narrow" w:cs="Arial"/>
                <w:sz w:val="20"/>
                <w:szCs w:val="20"/>
              </w:rPr>
            </w:pPr>
          </w:p>
        </w:tc>
      </w:tr>
      <w:tr w:rsidR="00826F6D" w:rsidRPr="00260CE3" w:rsidTr="00610F19">
        <w:trPr>
          <w:cantSplit/>
          <w:trHeight w:val="360"/>
        </w:trPr>
        <w:tc>
          <w:tcPr>
            <w:tcW w:w="1047"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53" w:type="pct"/>
            <w:gridSpan w:val="6"/>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567B39">
              <w:rPr>
                <w:rFonts w:ascii="Arial Narrow" w:hAnsi="Arial Narrow" w:cs="Arial"/>
                <w:sz w:val="20"/>
                <w:szCs w:val="20"/>
              </w:rPr>
            </w:r>
            <w:r w:rsidR="00567B3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6D39CF">
              <w:rPr>
                <w:rFonts w:ascii="Arial Narrow" w:hAnsi="Arial Narrow" w:cs="Arial"/>
                <w:sz w:val="20"/>
                <w:szCs w:val="20"/>
              </w:rPr>
              <w:fldChar w:fldCharType="begin">
                <w:ffData>
                  <w:name w:val=""/>
                  <w:enabled/>
                  <w:calcOnExit w:val="0"/>
                  <w:checkBox>
                    <w:sizeAuto/>
                    <w:default w:val="1"/>
                  </w:checkBox>
                </w:ffData>
              </w:fldChar>
            </w:r>
            <w:r w:rsidR="006D39CF">
              <w:rPr>
                <w:rFonts w:ascii="Arial Narrow" w:hAnsi="Arial Narrow" w:cs="Arial"/>
                <w:sz w:val="20"/>
                <w:szCs w:val="20"/>
              </w:rPr>
              <w:instrText xml:space="preserve"> FORMCHECKBOX </w:instrText>
            </w:r>
            <w:r w:rsidR="00567B39">
              <w:rPr>
                <w:rFonts w:ascii="Arial Narrow" w:hAnsi="Arial Narrow" w:cs="Arial"/>
                <w:sz w:val="20"/>
                <w:szCs w:val="20"/>
              </w:rPr>
            </w:r>
            <w:r w:rsidR="00567B39">
              <w:rPr>
                <w:rFonts w:ascii="Arial Narrow" w:hAnsi="Arial Narrow" w:cs="Arial"/>
                <w:sz w:val="20"/>
                <w:szCs w:val="20"/>
              </w:rPr>
              <w:fldChar w:fldCharType="separate"/>
            </w:r>
            <w:r w:rsidR="006D39CF">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567B39">
              <w:rPr>
                <w:rFonts w:ascii="Arial Narrow" w:hAnsi="Arial Narrow" w:cs="Arial"/>
                <w:sz w:val="20"/>
                <w:szCs w:val="20"/>
              </w:rPr>
            </w:r>
            <w:r w:rsidR="00567B3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567B39">
              <w:rPr>
                <w:rFonts w:ascii="Arial Narrow" w:hAnsi="Arial Narrow" w:cs="Arial"/>
                <w:sz w:val="20"/>
                <w:szCs w:val="20"/>
              </w:rPr>
            </w:r>
            <w:r w:rsidR="00567B3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EB0B63">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567B39">
              <w:rPr>
                <w:rFonts w:ascii="Arial Narrow" w:hAnsi="Arial Narrow" w:cs="Arial"/>
                <w:sz w:val="20"/>
                <w:szCs w:val="20"/>
              </w:rPr>
            </w:r>
            <w:r w:rsidR="00567B3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610F19">
        <w:trPr>
          <w:cantSplit/>
          <w:trHeight w:val="360"/>
        </w:trPr>
        <w:tc>
          <w:tcPr>
            <w:tcW w:w="1047"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53" w:type="pct"/>
            <w:gridSpan w:val="6"/>
            <w:tcBorders>
              <w:top w:val="single" w:sz="4" w:space="0" w:color="auto"/>
              <w:left w:val="single" w:sz="4" w:space="0" w:color="auto"/>
              <w:bottom w:val="single" w:sz="4" w:space="0" w:color="auto"/>
              <w:right w:val="single" w:sz="4" w:space="0" w:color="auto"/>
            </w:tcBorders>
          </w:tcPr>
          <w:p w:rsidR="00826F6D" w:rsidRPr="00260CE3" w:rsidRDefault="00D4034D" w:rsidP="00EB0B63">
            <w:pPr>
              <w:spacing w:before="40" w:after="40"/>
              <w:rPr>
                <w:rFonts w:ascii="Arial Narrow" w:hAnsi="Arial Narrow" w:cs="Arial"/>
                <w:sz w:val="20"/>
                <w:szCs w:val="20"/>
              </w:rPr>
            </w:pPr>
            <w:r>
              <w:rPr>
                <w:rFonts w:ascii="Arial Narrow" w:hAnsi="Arial Narrow" w:cs="Arial"/>
                <w:sz w:val="20"/>
                <w:szCs w:val="20"/>
              </w:rPr>
              <w:t>Multiple myeloma</w:t>
            </w:r>
          </w:p>
        </w:tc>
      </w:tr>
      <w:tr w:rsidR="00826F6D" w:rsidRPr="00260CE3" w:rsidTr="00610F19">
        <w:trPr>
          <w:cantSplit/>
          <w:trHeight w:val="360"/>
        </w:trPr>
        <w:tc>
          <w:tcPr>
            <w:tcW w:w="1047"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53" w:type="pct"/>
            <w:gridSpan w:val="6"/>
            <w:tcBorders>
              <w:top w:val="single" w:sz="4" w:space="0" w:color="auto"/>
              <w:left w:val="single" w:sz="4" w:space="0" w:color="auto"/>
              <w:bottom w:val="single" w:sz="4" w:space="0" w:color="auto"/>
              <w:right w:val="single" w:sz="4" w:space="0" w:color="auto"/>
            </w:tcBorders>
          </w:tcPr>
          <w:p w:rsidR="00826F6D" w:rsidRPr="00260CE3" w:rsidRDefault="005D74AF" w:rsidP="00EB0B63">
            <w:pPr>
              <w:spacing w:before="40" w:after="40"/>
              <w:rPr>
                <w:rFonts w:ascii="Arial Narrow" w:hAnsi="Arial Narrow" w:cs="Arial"/>
                <w:sz w:val="20"/>
                <w:szCs w:val="20"/>
              </w:rPr>
            </w:pPr>
            <w:r>
              <w:rPr>
                <w:rFonts w:ascii="Arial Narrow" w:hAnsi="Arial Narrow" w:cs="Arial"/>
                <w:sz w:val="20"/>
                <w:szCs w:val="20"/>
              </w:rPr>
              <w:t xml:space="preserve">Multiple myeloma </w:t>
            </w:r>
          </w:p>
        </w:tc>
      </w:tr>
      <w:tr w:rsidR="00826F6D" w:rsidRPr="00260CE3" w:rsidTr="00610F19">
        <w:trPr>
          <w:cantSplit/>
          <w:trHeight w:val="360"/>
        </w:trPr>
        <w:tc>
          <w:tcPr>
            <w:tcW w:w="1047" w:type="pct"/>
            <w:tcBorders>
              <w:top w:val="single" w:sz="4" w:space="0" w:color="auto"/>
              <w:left w:val="single" w:sz="4" w:space="0" w:color="auto"/>
              <w:bottom w:val="single" w:sz="4" w:space="0" w:color="auto"/>
              <w:right w:val="single" w:sz="4" w:space="0" w:color="auto"/>
            </w:tcBorders>
          </w:tcPr>
          <w:p w:rsidR="00826F6D" w:rsidRPr="005D74AF"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Treatment phase:</w:t>
            </w:r>
          </w:p>
        </w:tc>
        <w:tc>
          <w:tcPr>
            <w:tcW w:w="3953" w:type="pct"/>
            <w:gridSpan w:val="6"/>
            <w:tcBorders>
              <w:top w:val="single" w:sz="4" w:space="0" w:color="auto"/>
              <w:left w:val="single" w:sz="4" w:space="0" w:color="auto"/>
              <w:bottom w:val="single" w:sz="4" w:space="0" w:color="auto"/>
              <w:right w:val="single" w:sz="4" w:space="0" w:color="auto"/>
            </w:tcBorders>
          </w:tcPr>
          <w:p w:rsidR="00826F6D" w:rsidRPr="00260CE3" w:rsidRDefault="005D74AF" w:rsidP="00EB0B63">
            <w:pPr>
              <w:spacing w:before="40" w:after="40"/>
              <w:rPr>
                <w:rFonts w:ascii="Arial Narrow" w:hAnsi="Arial Narrow" w:cs="Arial"/>
                <w:sz w:val="20"/>
                <w:szCs w:val="20"/>
              </w:rPr>
            </w:pPr>
            <w:r>
              <w:rPr>
                <w:rFonts w:ascii="Arial Narrow" w:hAnsi="Arial Narrow" w:cs="Arial"/>
                <w:sz w:val="20"/>
                <w:szCs w:val="20"/>
              </w:rPr>
              <w:t xml:space="preserve">Initial treatment </w:t>
            </w:r>
          </w:p>
        </w:tc>
      </w:tr>
      <w:tr w:rsidR="00826F6D" w:rsidRPr="00260CE3" w:rsidTr="00610F19">
        <w:trPr>
          <w:cantSplit/>
          <w:trHeight w:val="360"/>
        </w:trPr>
        <w:tc>
          <w:tcPr>
            <w:tcW w:w="1047" w:type="pct"/>
            <w:tcBorders>
              <w:top w:val="single" w:sz="4" w:space="0" w:color="auto"/>
              <w:left w:val="single" w:sz="4" w:space="0" w:color="auto"/>
              <w:bottom w:val="single" w:sz="4" w:space="0" w:color="auto"/>
              <w:right w:val="single" w:sz="4" w:space="0" w:color="auto"/>
            </w:tcBorders>
          </w:tcPr>
          <w:p w:rsidR="00826F6D" w:rsidRPr="00260CE3" w:rsidRDefault="00826F6D" w:rsidP="00F646D2">
            <w:pPr>
              <w:spacing w:before="40" w:after="40"/>
              <w:jc w:val="both"/>
              <w:rPr>
                <w:rFonts w:ascii="Arial Narrow" w:hAnsi="Arial Narrow" w:cs="Arial"/>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3953" w:type="pct"/>
            <w:gridSpan w:val="6"/>
            <w:tcBorders>
              <w:top w:val="single" w:sz="4" w:space="0" w:color="auto"/>
              <w:left w:val="single" w:sz="4" w:space="0" w:color="auto"/>
              <w:bottom w:val="single" w:sz="4" w:space="0" w:color="auto"/>
              <w:right w:val="single" w:sz="4" w:space="0" w:color="auto"/>
            </w:tcBorders>
          </w:tcPr>
          <w:p w:rsidR="00826F6D" w:rsidRPr="00106BCF" w:rsidRDefault="005D74AF" w:rsidP="00EB0B63">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67B39">
              <w:rPr>
                <w:rFonts w:ascii="Arial Narrow" w:hAnsi="Arial Narrow" w:cs="Arial"/>
                <w:sz w:val="20"/>
                <w:szCs w:val="20"/>
              </w:rPr>
            </w:r>
            <w:r w:rsidR="00567B39">
              <w:rPr>
                <w:rFonts w:ascii="Arial Narrow" w:hAnsi="Arial Narrow" w:cs="Arial"/>
                <w:sz w:val="20"/>
                <w:szCs w:val="20"/>
              </w:rPr>
              <w:fldChar w:fldCharType="separate"/>
            </w:r>
            <w:r>
              <w:rPr>
                <w:rFonts w:ascii="Arial Narrow" w:hAnsi="Arial Narrow" w:cs="Arial"/>
                <w:sz w:val="20"/>
                <w:szCs w:val="20"/>
              </w:rPr>
              <w:fldChar w:fldCharType="end"/>
            </w:r>
            <w:r w:rsidR="00826F6D" w:rsidRPr="00106BCF">
              <w:rPr>
                <w:rFonts w:ascii="Arial Narrow" w:hAnsi="Arial Narrow" w:cs="Arial"/>
                <w:sz w:val="20"/>
                <w:szCs w:val="20"/>
              </w:rPr>
              <w:t>Authority Required - In Writing</w:t>
            </w:r>
          </w:p>
          <w:p w:rsidR="00826F6D" w:rsidRPr="00260CE3" w:rsidRDefault="00826F6D" w:rsidP="00EB0B63">
            <w:pPr>
              <w:spacing w:before="40" w:after="40"/>
              <w:rPr>
                <w:rFonts w:ascii="Arial Narrow" w:hAnsi="Arial Narrow" w:cs="Arial"/>
                <w:sz w:val="20"/>
                <w:szCs w:val="20"/>
              </w:rPr>
            </w:pPr>
          </w:p>
        </w:tc>
      </w:tr>
      <w:tr w:rsidR="00826F6D" w:rsidRPr="00260CE3" w:rsidTr="00610F19">
        <w:trPr>
          <w:cantSplit/>
          <w:trHeight w:val="360"/>
        </w:trPr>
        <w:tc>
          <w:tcPr>
            <w:tcW w:w="1047"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p w:rsidR="00826F6D" w:rsidRPr="00260CE3" w:rsidRDefault="00826F6D" w:rsidP="00C15F62">
            <w:pPr>
              <w:spacing w:before="40" w:after="40"/>
              <w:jc w:val="both"/>
              <w:rPr>
                <w:rFonts w:ascii="Arial Narrow" w:hAnsi="Arial Narrow" w:cs="Arial"/>
                <w:sz w:val="20"/>
                <w:szCs w:val="20"/>
              </w:rPr>
            </w:pPr>
          </w:p>
        </w:tc>
        <w:tc>
          <w:tcPr>
            <w:tcW w:w="3953" w:type="pct"/>
            <w:gridSpan w:val="6"/>
            <w:tcBorders>
              <w:top w:val="single" w:sz="4" w:space="0" w:color="auto"/>
              <w:left w:val="single" w:sz="4" w:space="0" w:color="auto"/>
              <w:bottom w:val="single" w:sz="4" w:space="0" w:color="auto"/>
              <w:right w:val="single" w:sz="4" w:space="0" w:color="auto"/>
            </w:tcBorders>
          </w:tcPr>
          <w:p w:rsidR="00C15F62" w:rsidRDefault="00C15F62" w:rsidP="00C15F62">
            <w:pPr>
              <w:keepLines/>
              <w:rPr>
                <w:rFonts w:ascii="Arial Narrow" w:eastAsia="MS Gothic" w:hAnsi="Arial Narrow"/>
                <w:sz w:val="20"/>
                <w:szCs w:val="22"/>
                <w:lang w:eastAsia="en-US" w:bidi="en-US"/>
              </w:rPr>
            </w:pPr>
            <w:r w:rsidRPr="00C15F62">
              <w:rPr>
                <w:rFonts w:ascii="Arial Narrow" w:eastAsia="MS Gothic" w:hAnsi="Arial Narrow"/>
                <w:sz w:val="20"/>
                <w:szCs w:val="22"/>
                <w:lang w:eastAsia="en-US" w:bidi="en-US"/>
              </w:rPr>
              <w:t>The treatment must be in combination with dexamethasone,</w:t>
            </w:r>
          </w:p>
          <w:p w:rsidR="00CB57B8" w:rsidRPr="00C15F62" w:rsidRDefault="00C15F62" w:rsidP="00C15F62">
            <w:pPr>
              <w:keepLines/>
              <w:rPr>
                <w:rFonts w:ascii="Arial Narrow" w:eastAsia="MS Gothic" w:hAnsi="Arial Narrow"/>
                <w:sz w:val="20"/>
                <w:szCs w:val="22"/>
                <w:lang w:eastAsia="en-US" w:bidi="en-US"/>
              </w:rPr>
            </w:pPr>
            <w:r w:rsidRPr="00C15F62">
              <w:rPr>
                <w:rFonts w:ascii="Arial Narrow" w:eastAsia="MS Gothic" w:hAnsi="Arial Narrow"/>
                <w:sz w:val="20"/>
                <w:szCs w:val="22"/>
                <w:lang w:eastAsia="en-US" w:bidi="en-US"/>
              </w:rPr>
              <w:t>AND</w:t>
            </w:r>
          </w:p>
          <w:p w:rsidR="00CB57B8" w:rsidRPr="00C15F62" w:rsidRDefault="00C15F62" w:rsidP="00C15F62">
            <w:pPr>
              <w:keepLines/>
              <w:rPr>
                <w:rFonts w:ascii="Arial Narrow" w:eastAsia="MS Gothic" w:hAnsi="Arial Narrow"/>
                <w:sz w:val="20"/>
                <w:szCs w:val="22"/>
                <w:lang w:eastAsia="en-US" w:bidi="en-US"/>
              </w:rPr>
            </w:pPr>
            <w:r w:rsidRPr="00C15F62">
              <w:rPr>
                <w:rFonts w:ascii="Arial Narrow" w:eastAsia="MS Gothic" w:hAnsi="Arial Narrow"/>
                <w:sz w:val="20"/>
                <w:szCs w:val="22"/>
                <w:lang w:eastAsia="en-US" w:bidi="en-US"/>
              </w:rPr>
              <w:t>Patient must have undergone or be ineligible for a primary stem cell transplant,</w:t>
            </w:r>
          </w:p>
          <w:p w:rsidR="00CB57B8" w:rsidRPr="00C15F62" w:rsidRDefault="00C15F62" w:rsidP="00C15F62">
            <w:pPr>
              <w:keepLines/>
              <w:rPr>
                <w:rFonts w:ascii="Arial Narrow" w:eastAsia="MS Gothic" w:hAnsi="Arial Narrow"/>
                <w:sz w:val="20"/>
                <w:szCs w:val="22"/>
                <w:lang w:eastAsia="en-US" w:bidi="en-US"/>
              </w:rPr>
            </w:pPr>
            <w:r w:rsidRPr="00C15F62">
              <w:rPr>
                <w:rFonts w:ascii="Arial Narrow" w:eastAsia="MS Gothic" w:hAnsi="Arial Narrow"/>
                <w:sz w:val="20"/>
                <w:szCs w:val="22"/>
                <w:lang w:eastAsia="en-US" w:bidi="en-US"/>
              </w:rPr>
              <w:t>AND</w:t>
            </w:r>
          </w:p>
          <w:p w:rsidR="00CB57B8" w:rsidRPr="00C15F62" w:rsidRDefault="00C15F62" w:rsidP="00C15F62">
            <w:pPr>
              <w:keepLines/>
              <w:rPr>
                <w:rFonts w:ascii="Arial Narrow" w:eastAsia="MS Gothic" w:hAnsi="Arial Narrow" w:cs="Calibri"/>
                <w:i/>
                <w:sz w:val="20"/>
                <w:szCs w:val="22"/>
                <w:lang w:eastAsia="en-US" w:bidi="en-US"/>
              </w:rPr>
            </w:pPr>
            <w:r w:rsidRPr="00C15F62">
              <w:rPr>
                <w:rFonts w:ascii="Arial Narrow" w:eastAsia="MS Gothic" w:hAnsi="Arial Narrow"/>
                <w:sz w:val="20"/>
                <w:szCs w:val="22"/>
                <w:lang w:eastAsia="en-US" w:bidi="en-US"/>
              </w:rPr>
              <w:t>Patient must have experienced treatment failure with bortezomib</w:t>
            </w:r>
            <w:r w:rsidRPr="00C15F62">
              <w:rPr>
                <w:rFonts w:ascii="Arial Narrow" w:eastAsia="MS Gothic" w:hAnsi="Arial Narrow"/>
                <w:i/>
                <w:sz w:val="20"/>
                <w:szCs w:val="22"/>
                <w:lang w:eastAsia="en-US" w:bidi="en-US"/>
              </w:rPr>
              <w:t>, unless contraindicated or not tolerated according to the Therapeutic Goods Administration (TGA) approved Product Information;</w:t>
            </w:r>
            <w:r w:rsidRPr="009B0328">
              <w:rPr>
                <w:rFonts w:ascii="Arial Narrow" w:eastAsia="MS Gothic" w:hAnsi="Arial Narrow" w:cs="Calibri"/>
                <w:i/>
                <w:sz w:val="20"/>
                <w:szCs w:val="22"/>
                <w:lang w:eastAsia="en-US" w:bidi="en-US"/>
              </w:rPr>
              <w:t xml:space="preserve"> </w:t>
            </w:r>
          </w:p>
          <w:p w:rsidR="00CB57B8" w:rsidRPr="00C15F62" w:rsidRDefault="00C15F62" w:rsidP="00C15F62">
            <w:pPr>
              <w:keepLines/>
              <w:rPr>
                <w:rFonts w:ascii="Arial Narrow" w:eastAsia="MS Gothic" w:hAnsi="Arial Narrow"/>
                <w:sz w:val="20"/>
                <w:szCs w:val="22"/>
                <w:lang w:eastAsia="en-US" w:bidi="en-US"/>
              </w:rPr>
            </w:pPr>
            <w:r w:rsidRPr="00C15F62">
              <w:rPr>
                <w:rFonts w:ascii="Arial Narrow" w:eastAsia="MS Gothic" w:hAnsi="Arial Narrow"/>
                <w:sz w:val="20"/>
                <w:szCs w:val="22"/>
                <w:lang w:eastAsia="en-US" w:bidi="en-US"/>
              </w:rPr>
              <w:t>AND</w:t>
            </w:r>
          </w:p>
          <w:p w:rsidR="00CB57B8" w:rsidRPr="00C15F62" w:rsidRDefault="00C15F62" w:rsidP="00C15F62">
            <w:pPr>
              <w:keepLines/>
              <w:rPr>
                <w:rFonts w:ascii="Arial Narrow" w:eastAsia="MS Gothic" w:hAnsi="Arial Narrow"/>
                <w:sz w:val="20"/>
                <w:szCs w:val="22"/>
                <w:lang w:eastAsia="en-US" w:bidi="en-US"/>
              </w:rPr>
            </w:pPr>
            <w:r w:rsidRPr="00C15F62">
              <w:rPr>
                <w:rFonts w:ascii="Arial Narrow" w:eastAsia="MS Gothic" w:hAnsi="Arial Narrow"/>
                <w:sz w:val="20"/>
                <w:szCs w:val="22"/>
                <w:lang w:eastAsia="en-US" w:bidi="en-US"/>
              </w:rPr>
              <w:t>Patient must have experienced treatment failure with lenalidomide</w:t>
            </w:r>
            <w:r w:rsidRPr="00C15F62">
              <w:rPr>
                <w:rFonts w:ascii="Arial Narrow" w:eastAsia="MS Gothic" w:hAnsi="Arial Narrow"/>
                <w:i/>
                <w:sz w:val="20"/>
                <w:szCs w:val="22"/>
                <w:lang w:eastAsia="en-US" w:bidi="en-US"/>
              </w:rPr>
              <w:t xml:space="preserve">, unless contraindicated or not tolerated according to the TGA approved Product Information; </w:t>
            </w:r>
          </w:p>
          <w:p w:rsidR="00CB57B8" w:rsidRPr="00C15F62" w:rsidRDefault="00C15F62" w:rsidP="00C15F62">
            <w:pPr>
              <w:keepLines/>
              <w:rPr>
                <w:rFonts w:ascii="Arial Narrow" w:eastAsia="MS Gothic" w:hAnsi="Arial Narrow"/>
                <w:sz w:val="20"/>
                <w:szCs w:val="22"/>
                <w:lang w:eastAsia="en-US" w:bidi="en-US"/>
              </w:rPr>
            </w:pPr>
            <w:r w:rsidRPr="00C15F62">
              <w:rPr>
                <w:rFonts w:ascii="Arial Narrow" w:eastAsia="MS Gothic" w:hAnsi="Arial Narrow"/>
                <w:sz w:val="20"/>
                <w:szCs w:val="22"/>
                <w:lang w:eastAsia="en-US" w:bidi="en-US"/>
              </w:rPr>
              <w:t>AND</w:t>
            </w:r>
          </w:p>
          <w:p w:rsidR="00CB57B8" w:rsidRPr="00260CE3" w:rsidRDefault="00C15F62" w:rsidP="00CB57B8">
            <w:pPr>
              <w:spacing w:before="40" w:after="40"/>
              <w:rPr>
                <w:rFonts w:ascii="Arial Narrow" w:hAnsi="Arial Narrow" w:cs="Arial"/>
                <w:sz w:val="20"/>
                <w:szCs w:val="20"/>
              </w:rPr>
            </w:pPr>
            <w:r w:rsidRPr="00C15F62">
              <w:rPr>
                <w:rFonts w:ascii="Arial Narrow" w:eastAsia="MS Gothic" w:hAnsi="Arial Narrow"/>
                <w:sz w:val="20"/>
                <w:szCs w:val="22"/>
                <w:lang w:eastAsia="en-US" w:bidi="en-US"/>
              </w:rPr>
              <w:t>Patient must not be receiving concomitant PBS-subsidised thalidomide, lenalidomide or bortezomib.</w:t>
            </w:r>
          </w:p>
        </w:tc>
      </w:tr>
      <w:tr w:rsidR="00826F6D" w:rsidRPr="00260CE3" w:rsidTr="00610F19">
        <w:trPr>
          <w:cantSplit/>
          <w:trHeight w:val="360"/>
        </w:trPr>
        <w:tc>
          <w:tcPr>
            <w:tcW w:w="1047" w:type="pct"/>
            <w:tcBorders>
              <w:top w:val="single" w:sz="4" w:space="0" w:color="auto"/>
              <w:left w:val="single" w:sz="4" w:space="0" w:color="auto"/>
              <w:bottom w:val="single" w:sz="4" w:space="0" w:color="auto"/>
              <w:right w:val="single" w:sz="4" w:space="0" w:color="auto"/>
            </w:tcBorders>
          </w:tcPr>
          <w:p w:rsidR="00826F6D" w:rsidRPr="00610F19"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Prescriber Instructions</w:t>
            </w:r>
          </w:p>
          <w:p w:rsidR="00826F6D" w:rsidRPr="00260CE3" w:rsidRDefault="00826F6D" w:rsidP="00EB0B63">
            <w:pPr>
              <w:spacing w:before="40" w:after="40"/>
              <w:jc w:val="both"/>
              <w:rPr>
                <w:rFonts w:ascii="Arial Narrow" w:hAnsi="Arial Narrow" w:cs="Arial"/>
                <w:sz w:val="20"/>
                <w:szCs w:val="20"/>
              </w:rPr>
            </w:pPr>
          </w:p>
        </w:tc>
        <w:tc>
          <w:tcPr>
            <w:tcW w:w="3953" w:type="pct"/>
            <w:gridSpan w:val="6"/>
            <w:tcBorders>
              <w:top w:val="single" w:sz="4" w:space="0" w:color="auto"/>
              <w:left w:val="single" w:sz="4" w:space="0" w:color="auto"/>
              <w:bottom w:val="single" w:sz="4" w:space="0" w:color="auto"/>
              <w:right w:val="single" w:sz="4" w:space="0" w:color="auto"/>
            </w:tcBorders>
          </w:tcPr>
          <w:p w:rsidR="00AA6BD3" w:rsidRPr="00AA6BD3" w:rsidRDefault="00AA6BD3" w:rsidP="00AA6BD3">
            <w:pPr>
              <w:keepLines/>
              <w:spacing w:after="200" w:line="276" w:lineRule="auto"/>
              <w:rPr>
                <w:rFonts w:ascii="Arial Narrow" w:eastAsia="MS Gothic" w:hAnsi="Arial Narrow" w:cs="Arial"/>
                <w:sz w:val="20"/>
                <w:szCs w:val="20"/>
                <w:lang w:eastAsia="en-US" w:bidi="en-US"/>
              </w:rPr>
            </w:pPr>
            <w:r w:rsidRPr="00AA6BD3">
              <w:rPr>
                <w:rFonts w:ascii="Arial Narrow" w:eastAsia="MS Gothic" w:hAnsi="Arial Narrow" w:cs="Arial"/>
                <w:sz w:val="20"/>
                <w:szCs w:val="20"/>
                <w:lang w:eastAsia="en-US" w:bidi="en-US"/>
              </w:rPr>
              <w:t>Bortezomib treatment failure is the absence of achieving at least a partial response or as progressive disease during treatment or within 6 months of discontinuing treatment with bortezomib.</w:t>
            </w:r>
            <w:r w:rsidRPr="00AA6BD3">
              <w:rPr>
                <w:rFonts w:ascii="Calibri" w:eastAsia="MS Gothic" w:hAnsi="Calibri"/>
                <w:szCs w:val="22"/>
                <w:lang w:eastAsia="en-US" w:bidi="en-US"/>
              </w:rPr>
              <w:t xml:space="preserve"> </w:t>
            </w:r>
            <w:r w:rsidRPr="00AA6BD3">
              <w:rPr>
                <w:rFonts w:ascii="Arial Narrow" w:eastAsia="MS Gothic" w:hAnsi="Arial Narrow" w:cs="Arial"/>
                <w:sz w:val="20"/>
                <w:szCs w:val="20"/>
                <w:lang w:eastAsia="en-US" w:bidi="en-US"/>
              </w:rPr>
              <w:t xml:space="preserve">Lenalidomide treatment failure is progressive disease during treatment or within 6 months of discontinuing treatment with lenalidomide. </w:t>
            </w:r>
          </w:p>
          <w:p w:rsidR="00AA6BD3" w:rsidRPr="00AA6BD3" w:rsidRDefault="00AA6BD3" w:rsidP="00AA6BD3">
            <w:pPr>
              <w:keepLines/>
              <w:spacing w:after="200" w:line="276" w:lineRule="auto"/>
              <w:rPr>
                <w:rFonts w:ascii="Arial Narrow" w:eastAsia="MS Gothic" w:hAnsi="Arial Narrow" w:cs="Arial"/>
                <w:i/>
                <w:sz w:val="20"/>
                <w:szCs w:val="20"/>
                <w:lang w:eastAsia="en-US" w:bidi="en-US"/>
              </w:rPr>
            </w:pPr>
            <w:r w:rsidRPr="00AA6BD3">
              <w:rPr>
                <w:rFonts w:ascii="Arial Narrow" w:eastAsia="MS Gothic" w:hAnsi="Arial Narrow" w:cs="Arial"/>
                <w:i/>
                <w:sz w:val="20"/>
                <w:szCs w:val="20"/>
                <w:lang w:eastAsia="en-US" w:bidi="en-US"/>
              </w:rPr>
              <w:t>If treatment with either bortezomib or lenalidomide is contraindicated according to the relevant TGA-approved Product Information</w:t>
            </w:r>
            <w:r w:rsidR="00DC173C">
              <w:rPr>
                <w:rFonts w:ascii="Arial Narrow" w:eastAsia="MS Gothic" w:hAnsi="Arial Narrow" w:cs="Arial"/>
                <w:i/>
                <w:sz w:val="20"/>
                <w:szCs w:val="20"/>
                <w:lang w:eastAsia="en-US" w:bidi="en-US"/>
              </w:rPr>
              <w:t>,</w:t>
            </w:r>
            <w:r w:rsidRPr="00AA6BD3">
              <w:rPr>
                <w:rFonts w:ascii="Arial Narrow" w:eastAsia="MS Gothic" w:hAnsi="Arial Narrow" w:cs="Arial"/>
                <w:i/>
                <w:sz w:val="20"/>
                <w:szCs w:val="20"/>
                <w:lang w:eastAsia="en-US" w:bidi="en-US"/>
              </w:rPr>
              <w:t xml:space="preserve"> </w:t>
            </w:r>
            <w:r w:rsidR="00DC173C">
              <w:rPr>
                <w:rFonts w:ascii="Arial Narrow" w:eastAsia="MS Gothic" w:hAnsi="Arial Narrow" w:cs="Arial"/>
                <w:i/>
                <w:sz w:val="20"/>
                <w:szCs w:val="20"/>
                <w:lang w:eastAsia="en-US" w:bidi="en-US"/>
              </w:rPr>
              <w:t>t</w:t>
            </w:r>
            <w:r w:rsidRPr="00AA6BD3">
              <w:rPr>
                <w:rFonts w:ascii="Arial Narrow" w:eastAsia="MS Gothic" w:hAnsi="Arial Narrow" w:cs="Arial"/>
                <w:i/>
                <w:sz w:val="20"/>
                <w:szCs w:val="20"/>
                <w:lang w:eastAsia="en-US" w:bidi="en-US"/>
              </w:rPr>
              <w:t xml:space="preserve">he application must provide details of the contraindication. </w:t>
            </w:r>
          </w:p>
          <w:p w:rsidR="00AA6BD3" w:rsidRPr="00AA6BD3" w:rsidRDefault="00AA6BD3" w:rsidP="00AA6BD3">
            <w:pPr>
              <w:keepLines/>
              <w:spacing w:after="200" w:line="276" w:lineRule="auto"/>
              <w:rPr>
                <w:rFonts w:ascii="Arial Narrow" w:eastAsia="MS Gothic" w:hAnsi="Arial Narrow" w:cs="Arial"/>
                <w:i/>
                <w:sz w:val="20"/>
                <w:szCs w:val="20"/>
                <w:lang w:eastAsia="en-US" w:bidi="en-US"/>
              </w:rPr>
            </w:pPr>
            <w:r w:rsidRPr="00AA6BD3">
              <w:rPr>
                <w:rFonts w:ascii="Arial Narrow" w:eastAsia="MS Gothic" w:hAnsi="Arial Narrow" w:cs="Arial"/>
                <w:i/>
                <w:sz w:val="20"/>
                <w:szCs w:val="20"/>
                <w:lang w:eastAsia="en-US" w:bidi="en-US"/>
              </w:rPr>
              <w:t xml:space="preserve">If intolerance to either bortezomib or lenalidomide treatment develops during the relevant period of use which is of a severity to necessitate withdrawal of the treatment, the application must provide details of the nature and severity of this intolerance. </w:t>
            </w:r>
          </w:p>
          <w:p w:rsidR="00826F6D" w:rsidRPr="00260CE3" w:rsidRDefault="00AA6BD3" w:rsidP="00AA6BD3">
            <w:pPr>
              <w:spacing w:before="40" w:after="40"/>
              <w:rPr>
                <w:rFonts w:ascii="Arial Narrow" w:hAnsi="Arial Narrow" w:cs="Arial"/>
                <w:sz w:val="20"/>
                <w:szCs w:val="20"/>
              </w:rPr>
            </w:pPr>
            <w:r w:rsidRPr="00AA6BD3">
              <w:rPr>
                <w:rFonts w:ascii="Arial Narrow" w:eastAsia="MS Gothic" w:hAnsi="Arial Narrow" w:cs="Arial"/>
                <w:sz w:val="20"/>
                <w:szCs w:val="20"/>
                <w:lang w:eastAsia="en-US" w:bidi="en-US"/>
              </w:rPr>
              <w:t>Progressive disease defined as per existing restriction (no changes proposed)</w:t>
            </w:r>
          </w:p>
        </w:tc>
      </w:tr>
      <w:tr w:rsidR="00826F6D" w:rsidRPr="00260CE3" w:rsidTr="00610F19">
        <w:trPr>
          <w:cantSplit/>
          <w:trHeight w:val="360"/>
        </w:trPr>
        <w:tc>
          <w:tcPr>
            <w:tcW w:w="1047" w:type="pct"/>
            <w:tcBorders>
              <w:top w:val="single" w:sz="4" w:space="0" w:color="auto"/>
              <w:left w:val="single" w:sz="4" w:space="0" w:color="auto"/>
              <w:bottom w:val="single" w:sz="4" w:space="0" w:color="auto"/>
              <w:right w:val="single" w:sz="4" w:space="0" w:color="auto"/>
            </w:tcBorders>
          </w:tcPr>
          <w:p w:rsidR="00826F6D" w:rsidRPr="00F83E17" w:rsidRDefault="00826F6D" w:rsidP="005D74AF">
            <w:pPr>
              <w:spacing w:before="40" w:after="40"/>
              <w:jc w:val="both"/>
              <w:rPr>
                <w:rFonts w:ascii="Arial Narrow" w:hAnsi="Arial Narrow" w:cs="Arial"/>
                <w:b/>
                <w:sz w:val="20"/>
                <w:szCs w:val="20"/>
              </w:rPr>
            </w:pPr>
            <w:r w:rsidRPr="00260CE3">
              <w:rPr>
                <w:rFonts w:ascii="Arial Narrow" w:hAnsi="Arial Narrow" w:cs="Arial"/>
                <w:b/>
                <w:sz w:val="20"/>
                <w:szCs w:val="20"/>
              </w:rPr>
              <w:t>Administrative Advice</w:t>
            </w:r>
          </w:p>
        </w:tc>
        <w:tc>
          <w:tcPr>
            <w:tcW w:w="3953" w:type="pct"/>
            <w:gridSpan w:val="6"/>
            <w:tcBorders>
              <w:top w:val="single" w:sz="4" w:space="0" w:color="auto"/>
              <w:left w:val="single" w:sz="4" w:space="0" w:color="auto"/>
              <w:bottom w:val="single" w:sz="4" w:space="0" w:color="auto"/>
              <w:right w:val="single" w:sz="4" w:space="0" w:color="auto"/>
            </w:tcBorders>
          </w:tcPr>
          <w:p w:rsidR="00826F6D" w:rsidRPr="00260CE3" w:rsidRDefault="005D74AF" w:rsidP="00EB0B63">
            <w:pPr>
              <w:spacing w:before="40" w:after="40"/>
              <w:rPr>
                <w:rFonts w:ascii="Arial Narrow" w:hAnsi="Arial Narrow" w:cs="Arial"/>
                <w:sz w:val="20"/>
                <w:szCs w:val="20"/>
              </w:rPr>
            </w:pPr>
            <w:r w:rsidRPr="005D74AF">
              <w:rPr>
                <w:rFonts w:ascii="Arial Narrow" w:hAnsi="Arial Narrow" w:cs="Arial"/>
                <w:sz w:val="20"/>
                <w:szCs w:val="20"/>
              </w:rPr>
              <w:t>As per existing restriction (no changes proposed)</w:t>
            </w:r>
          </w:p>
        </w:tc>
      </w:tr>
      <w:tr w:rsidR="00826F6D" w:rsidRPr="00260CE3" w:rsidTr="00610F19">
        <w:trPr>
          <w:cantSplit/>
          <w:trHeight w:val="360"/>
        </w:trPr>
        <w:tc>
          <w:tcPr>
            <w:tcW w:w="1047" w:type="pct"/>
            <w:tcBorders>
              <w:top w:val="single" w:sz="4" w:space="0" w:color="auto"/>
              <w:left w:val="single" w:sz="4" w:space="0" w:color="auto"/>
              <w:bottom w:val="single" w:sz="4" w:space="0" w:color="auto"/>
              <w:right w:val="single" w:sz="4" w:space="0" w:color="auto"/>
            </w:tcBorders>
          </w:tcPr>
          <w:p w:rsidR="00826F6D" w:rsidRPr="005D74AF"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Cautions</w:t>
            </w:r>
          </w:p>
        </w:tc>
        <w:tc>
          <w:tcPr>
            <w:tcW w:w="3953" w:type="pct"/>
            <w:gridSpan w:val="6"/>
            <w:tcBorders>
              <w:top w:val="single" w:sz="4" w:space="0" w:color="auto"/>
              <w:left w:val="single" w:sz="4" w:space="0" w:color="auto"/>
              <w:bottom w:val="single" w:sz="4" w:space="0" w:color="auto"/>
              <w:right w:val="single" w:sz="4" w:space="0" w:color="auto"/>
            </w:tcBorders>
          </w:tcPr>
          <w:p w:rsidR="00826F6D" w:rsidRPr="00260CE3" w:rsidRDefault="005D74AF" w:rsidP="00EB0B63">
            <w:pPr>
              <w:spacing w:before="40" w:after="40"/>
              <w:rPr>
                <w:rFonts w:ascii="Arial Narrow" w:hAnsi="Arial Narrow" w:cs="Arial"/>
                <w:sz w:val="20"/>
                <w:szCs w:val="20"/>
              </w:rPr>
            </w:pPr>
            <w:r w:rsidRPr="005D74AF">
              <w:rPr>
                <w:rFonts w:ascii="Arial Narrow" w:hAnsi="Arial Narrow" w:cs="Arial"/>
                <w:sz w:val="20"/>
                <w:szCs w:val="20"/>
              </w:rPr>
              <w:t>As per existing restriction (no changes proposed)</w:t>
            </w:r>
          </w:p>
        </w:tc>
      </w:tr>
    </w:tbl>
    <w:p w:rsidR="00D02271" w:rsidRDefault="00D02271" w:rsidP="00D02271">
      <w:pPr>
        <w:pStyle w:val="PBACHeading1"/>
        <w:numPr>
          <w:ilvl w:val="0"/>
          <w:numId w:val="0"/>
        </w:numPr>
        <w:spacing w:before="240" w:after="120"/>
        <w:ind w:left="709"/>
        <w:outlineLvl w:val="9"/>
        <w:rPr>
          <w:rFonts w:asciiTheme="minorHAnsi" w:hAnsiTheme="minorHAnsi"/>
          <w:sz w:val="32"/>
          <w:szCs w:val="32"/>
        </w:rPr>
      </w:pPr>
    </w:p>
    <w:p w:rsidR="00C603D4" w:rsidRPr="00FD6D8E" w:rsidRDefault="00CE10C4" w:rsidP="00696129">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lastRenderedPageBreak/>
        <w:t>Background</w:t>
      </w:r>
    </w:p>
    <w:p w:rsidR="000855AD" w:rsidRPr="003519BA" w:rsidRDefault="000855AD" w:rsidP="003519BA">
      <w:pPr>
        <w:pStyle w:val="ListParagraph"/>
        <w:numPr>
          <w:ilvl w:val="1"/>
          <w:numId w:val="14"/>
        </w:numPr>
        <w:spacing w:after="120"/>
        <w:contextualSpacing w:val="0"/>
        <w:rPr>
          <w:rFonts w:asciiTheme="minorHAnsi" w:eastAsiaTheme="minorHAnsi" w:hAnsiTheme="minorHAnsi" w:cstheme="minorBidi"/>
          <w:snapToGrid/>
          <w:sz w:val="24"/>
          <w:szCs w:val="22"/>
        </w:rPr>
      </w:pPr>
      <w:r w:rsidRPr="000855AD">
        <w:rPr>
          <w:rFonts w:asciiTheme="minorHAnsi" w:eastAsiaTheme="minorHAnsi" w:hAnsiTheme="minorHAnsi" w:cstheme="minorBidi"/>
          <w:snapToGrid/>
          <w:sz w:val="24"/>
          <w:szCs w:val="22"/>
        </w:rPr>
        <w:t xml:space="preserve">Pomalidomide (in combination with dexamethasone) is TGA registered for the treatment of patients with relapsed and refractory multiple myeloma who have received at least two prior treatment regimens, including both lenalidomide and bortezomib, and have demonstrated disease progression on the last therapy. </w:t>
      </w:r>
    </w:p>
    <w:p w:rsidR="000B02B0" w:rsidRPr="003519BA" w:rsidRDefault="000855AD" w:rsidP="003519BA">
      <w:pPr>
        <w:pStyle w:val="ListParagraph"/>
        <w:numPr>
          <w:ilvl w:val="1"/>
          <w:numId w:val="14"/>
        </w:numPr>
        <w:spacing w:after="120"/>
        <w:contextualSpacing w:val="0"/>
        <w:rPr>
          <w:rFonts w:asciiTheme="minorHAnsi" w:eastAsiaTheme="minorHAnsi" w:hAnsiTheme="minorHAnsi" w:cstheme="minorBidi"/>
          <w:snapToGrid/>
          <w:sz w:val="24"/>
          <w:szCs w:val="22"/>
        </w:rPr>
      </w:pPr>
      <w:r w:rsidRPr="000855AD">
        <w:rPr>
          <w:rFonts w:asciiTheme="minorHAnsi" w:eastAsiaTheme="minorHAnsi" w:hAnsiTheme="minorHAnsi" w:cstheme="minorBidi"/>
          <w:snapToGrid/>
          <w:sz w:val="24"/>
          <w:szCs w:val="22"/>
        </w:rPr>
        <w:t>A major submission for pomalidomide seeking listing for treatment of patients with multiple myeloma who have previously received and failed, or are intolerant to treatment with lenalidomide or bortezomib was rejected by the PBAC at the July 2014 meeting on the basis that cost-effectiveness had not been demonstrated. The PBAC also considered that the words “or are intolerant to” should be removed from the proposed restriction, so that the restriction could read “for treatment of patients with multiple myeloma who have previously received and failed treatment w</w:t>
      </w:r>
      <w:r w:rsidR="00BE1E43">
        <w:rPr>
          <w:rFonts w:asciiTheme="minorHAnsi" w:eastAsiaTheme="minorHAnsi" w:hAnsiTheme="minorHAnsi" w:cstheme="minorBidi"/>
          <w:snapToGrid/>
          <w:sz w:val="24"/>
          <w:szCs w:val="22"/>
        </w:rPr>
        <w:t>ith lenalidomide and bortezomib</w:t>
      </w:r>
      <w:r w:rsidRPr="000855AD">
        <w:rPr>
          <w:rFonts w:asciiTheme="minorHAnsi" w:eastAsiaTheme="minorHAnsi" w:hAnsiTheme="minorHAnsi" w:cstheme="minorBidi"/>
          <w:snapToGrid/>
          <w:sz w:val="24"/>
          <w:szCs w:val="22"/>
        </w:rPr>
        <w:t>”</w:t>
      </w:r>
      <w:r w:rsidR="00BE1E43">
        <w:rPr>
          <w:rFonts w:asciiTheme="minorHAnsi" w:eastAsiaTheme="minorHAnsi" w:hAnsiTheme="minorHAnsi" w:cstheme="minorBidi"/>
          <w:snapToGrid/>
          <w:sz w:val="24"/>
          <w:szCs w:val="22"/>
        </w:rPr>
        <w:t>.</w:t>
      </w:r>
      <w:r w:rsidRPr="000855AD">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 xml:space="preserve">Subsequently at its November 2014 meeting, the PBAC recommended the listing of pomalidomide for the treatment of </w:t>
      </w:r>
      <w:r w:rsidRPr="000855AD">
        <w:rPr>
          <w:rFonts w:asciiTheme="minorHAnsi" w:eastAsiaTheme="minorHAnsi" w:hAnsiTheme="minorHAnsi" w:cstheme="minorBidi"/>
          <w:snapToGrid/>
          <w:sz w:val="24"/>
          <w:szCs w:val="22"/>
        </w:rPr>
        <w:t xml:space="preserve">patients who have received and failed prior treatment with both bortezomib and lenalidomide (with reference to “or are intolerant to” removed from the restriction).  </w:t>
      </w:r>
    </w:p>
    <w:p w:rsidR="000B02B0" w:rsidRPr="000B02B0" w:rsidRDefault="000B02B0" w:rsidP="003519BA">
      <w:pPr>
        <w:pStyle w:val="ListParagraph"/>
        <w:numPr>
          <w:ilvl w:val="1"/>
          <w:numId w:val="14"/>
        </w:numPr>
        <w:spacing w:after="120"/>
        <w:contextualSpacing w:val="0"/>
        <w:rPr>
          <w:rFonts w:asciiTheme="minorHAnsi" w:eastAsiaTheme="minorHAnsi" w:hAnsiTheme="minorHAnsi" w:cstheme="minorBidi"/>
          <w:snapToGrid/>
          <w:sz w:val="24"/>
          <w:szCs w:val="22"/>
        </w:rPr>
      </w:pPr>
      <w:r w:rsidRPr="000B02B0">
        <w:rPr>
          <w:rFonts w:asciiTheme="minorHAnsi" w:eastAsiaTheme="minorHAnsi" w:hAnsiTheme="minorHAnsi" w:cstheme="minorBidi"/>
          <w:snapToGrid/>
          <w:sz w:val="24"/>
          <w:szCs w:val="22"/>
        </w:rPr>
        <w:t xml:space="preserve">At the March 2016 meeting, the PBAC rejected the request to change the definition of treatment failure of bortezomib and lenalidomide and amend the listing to include patients who have ‘experienced severe intolerance or toxicity to bortezomib (or lenalidomide), unresponsive to clinically appropriate dose adjustment’. The PBAC considered that the issue was not whether pomalidomide is effective in these populations, but whether pomalidomide is cost-effective against the additional comparators that would apply in those circumstances (for example re-use of lenalidomide or bortezomib with adjusted scheduling). At this meeting, the PBAC also recommended changes to the restriction for lenalidomide to enable a treatment holiday, which it considered would address some of the issues raised in the submission. </w:t>
      </w:r>
      <w:r w:rsidR="00D77A50">
        <w:rPr>
          <w:rFonts w:asciiTheme="minorHAnsi" w:eastAsiaTheme="minorHAnsi" w:hAnsiTheme="minorHAnsi" w:cstheme="minorBidi"/>
          <w:snapToGrid/>
          <w:sz w:val="24"/>
          <w:szCs w:val="22"/>
        </w:rPr>
        <w:t>At the time of consideration of t</w:t>
      </w:r>
      <w:r w:rsidRPr="000B02B0">
        <w:rPr>
          <w:rFonts w:asciiTheme="minorHAnsi" w:eastAsiaTheme="minorHAnsi" w:hAnsiTheme="minorHAnsi" w:cstheme="minorBidi"/>
          <w:snapToGrid/>
          <w:sz w:val="24"/>
          <w:szCs w:val="22"/>
        </w:rPr>
        <w:t xml:space="preserve">his recommendation </w:t>
      </w:r>
      <w:r w:rsidR="00CA2EAC">
        <w:rPr>
          <w:rFonts w:asciiTheme="minorHAnsi" w:eastAsiaTheme="minorHAnsi" w:hAnsiTheme="minorHAnsi" w:cstheme="minorBidi"/>
          <w:snapToGrid/>
          <w:sz w:val="24"/>
          <w:szCs w:val="22"/>
        </w:rPr>
        <w:t>wa</w:t>
      </w:r>
      <w:r w:rsidRPr="000B02B0">
        <w:rPr>
          <w:rFonts w:asciiTheme="minorHAnsi" w:eastAsiaTheme="minorHAnsi" w:hAnsiTheme="minorHAnsi" w:cstheme="minorBidi"/>
          <w:snapToGrid/>
          <w:sz w:val="24"/>
          <w:szCs w:val="22"/>
        </w:rPr>
        <w:t xml:space="preserve">s yet to be implemented.  </w:t>
      </w:r>
    </w:p>
    <w:p w:rsidR="008A1956" w:rsidRDefault="000B02B0" w:rsidP="003519BA">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At its March 2017 meeting, the PBAC </w:t>
      </w:r>
      <w:r w:rsidR="004F3264">
        <w:rPr>
          <w:rFonts w:asciiTheme="minorHAnsi" w:eastAsiaTheme="minorHAnsi" w:hAnsiTheme="minorHAnsi" w:cstheme="minorBidi"/>
          <w:snapToGrid/>
          <w:sz w:val="24"/>
          <w:szCs w:val="22"/>
        </w:rPr>
        <w:t xml:space="preserve">rejected </w:t>
      </w:r>
      <w:r>
        <w:rPr>
          <w:rFonts w:asciiTheme="minorHAnsi" w:eastAsiaTheme="minorHAnsi" w:hAnsiTheme="minorHAnsi" w:cstheme="minorBidi"/>
          <w:snapToGrid/>
          <w:sz w:val="24"/>
          <w:szCs w:val="22"/>
        </w:rPr>
        <w:t xml:space="preserve">a submission requesting to amend the current restriction for pomalidomide to include the treatment of patients who have experienced </w:t>
      </w:r>
      <w:r w:rsidRPr="000B02B0">
        <w:rPr>
          <w:rFonts w:asciiTheme="minorHAnsi" w:eastAsiaTheme="minorHAnsi" w:hAnsiTheme="minorHAnsi" w:cstheme="minorBidi"/>
          <w:snapToGrid/>
          <w:sz w:val="24"/>
          <w:szCs w:val="22"/>
        </w:rPr>
        <w:t>severe intolerance or toxicity to lenalidomide and/or bortezomib for relapsed/refractory multiple myeloma</w:t>
      </w:r>
      <w:r w:rsidR="00AD7D64">
        <w:rPr>
          <w:rFonts w:asciiTheme="minorHAnsi" w:eastAsiaTheme="minorHAnsi" w:hAnsiTheme="minorHAnsi" w:cstheme="minorBidi"/>
          <w:snapToGrid/>
          <w:sz w:val="24"/>
          <w:szCs w:val="22"/>
        </w:rPr>
        <w:t xml:space="preserve"> on the basis of unknown cost</w:t>
      </w:r>
      <w:r w:rsidR="004F3264">
        <w:rPr>
          <w:rFonts w:asciiTheme="minorHAnsi" w:eastAsiaTheme="minorHAnsi" w:hAnsiTheme="minorHAnsi" w:cstheme="minorBidi"/>
          <w:snapToGrid/>
          <w:sz w:val="24"/>
          <w:szCs w:val="22"/>
        </w:rPr>
        <w:noBreakHyphen/>
      </w:r>
      <w:r w:rsidR="00AD7D64">
        <w:rPr>
          <w:rFonts w:asciiTheme="minorHAnsi" w:eastAsiaTheme="minorHAnsi" w:hAnsiTheme="minorHAnsi" w:cstheme="minorBidi"/>
          <w:snapToGrid/>
          <w:sz w:val="24"/>
          <w:szCs w:val="22"/>
        </w:rPr>
        <w:t xml:space="preserve">effectiveness of pomalidomide in this treatment setting. </w:t>
      </w:r>
    </w:p>
    <w:p w:rsidR="00E8557F" w:rsidRDefault="00AD7D64" w:rsidP="003519BA">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 summary of the March 2016, March 2017 and current November 2017 submission </w:t>
      </w:r>
      <w:r w:rsidR="00391ECF">
        <w:rPr>
          <w:rFonts w:asciiTheme="minorHAnsi" w:eastAsiaTheme="minorHAnsi" w:hAnsiTheme="minorHAnsi" w:cstheme="minorBidi"/>
          <w:snapToGrid/>
          <w:sz w:val="24"/>
          <w:szCs w:val="22"/>
        </w:rPr>
        <w:t>is presented below in Table 1.</w:t>
      </w:r>
    </w:p>
    <w:p w:rsidR="00E8557F" w:rsidRDefault="00E8557F" w:rsidP="00E8557F">
      <w:pPr>
        <w:rPr>
          <w:rFonts w:eastAsiaTheme="minorHAnsi"/>
          <w:lang w:eastAsia="en-US"/>
        </w:rPr>
      </w:pPr>
      <w:r>
        <w:rPr>
          <w:rFonts w:eastAsiaTheme="minorHAnsi"/>
        </w:rPr>
        <w:br w:type="page"/>
      </w:r>
    </w:p>
    <w:p w:rsidR="00391ECF" w:rsidRDefault="00391ECF" w:rsidP="00E8557F">
      <w:pPr>
        <w:pStyle w:val="ListParagraph"/>
        <w:widowControl/>
        <w:spacing w:after="120"/>
        <w:contextualSpacing w:val="0"/>
        <w:rPr>
          <w:rFonts w:asciiTheme="minorHAnsi" w:eastAsiaTheme="minorHAnsi" w:hAnsiTheme="minorHAnsi" w:cstheme="minorBidi"/>
          <w:snapToGrid/>
          <w:sz w:val="24"/>
          <w:szCs w:val="22"/>
        </w:rPr>
      </w:pPr>
    </w:p>
    <w:p w:rsidR="00391ECF" w:rsidRPr="00391ECF" w:rsidRDefault="00391ECF" w:rsidP="00391ECF">
      <w:pPr>
        <w:rPr>
          <w:rFonts w:ascii="Arial Narrow" w:hAnsi="Arial Narrow" w:cs="Arial"/>
          <w:b/>
          <w:snapToGrid w:val="0"/>
          <w:sz w:val="20"/>
          <w:szCs w:val="20"/>
          <w:lang w:eastAsia="en-US"/>
        </w:rPr>
      </w:pPr>
      <w:r w:rsidRPr="00391ECF">
        <w:rPr>
          <w:rFonts w:ascii="Arial Narrow" w:hAnsi="Arial Narrow" w:cs="Arial"/>
          <w:b/>
          <w:snapToGrid w:val="0"/>
          <w:sz w:val="20"/>
          <w:szCs w:val="20"/>
          <w:lang w:eastAsia="en-US"/>
        </w:rPr>
        <w:t xml:space="preserve">Table 1: Summary of March 2016, March 2017 and November 2017 minor submissions </w:t>
      </w:r>
    </w:p>
    <w:tbl>
      <w:tblPr>
        <w:tblStyle w:val="TableGrid"/>
        <w:tblW w:w="5000" w:type="pct"/>
        <w:tblLook w:val="04A0" w:firstRow="1" w:lastRow="0" w:firstColumn="1" w:lastColumn="0" w:noHBand="0" w:noVBand="1"/>
        <w:tblCaption w:val="Table 1: Summary of March 2016, March 2017 and November 2017 minor submissions "/>
      </w:tblPr>
      <w:tblGrid>
        <w:gridCol w:w="2258"/>
        <w:gridCol w:w="2426"/>
        <w:gridCol w:w="2268"/>
        <w:gridCol w:w="2290"/>
      </w:tblGrid>
      <w:tr w:rsidR="00391ECF" w:rsidRPr="00391ECF" w:rsidTr="00C0300D">
        <w:trPr>
          <w:tblHeader/>
        </w:trPr>
        <w:tc>
          <w:tcPr>
            <w:tcW w:w="1221" w:type="pct"/>
          </w:tcPr>
          <w:p w:rsidR="00391ECF" w:rsidRPr="00391ECF" w:rsidRDefault="00391ECF" w:rsidP="00391ECF">
            <w:pPr>
              <w:widowControl w:val="0"/>
              <w:jc w:val="center"/>
              <w:rPr>
                <w:rFonts w:ascii="Arial Narrow" w:hAnsi="Arial Narrow" w:cs="Arial"/>
                <w:snapToGrid w:val="0"/>
                <w:sz w:val="20"/>
                <w:szCs w:val="20"/>
                <w:lang w:eastAsia="en-US"/>
              </w:rPr>
            </w:pPr>
          </w:p>
        </w:tc>
        <w:tc>
          <w:tcPr>
            <w:tcW w:w="1312" w:type="pct"/>
          </w:tcPr>
          <w:p w:rsidR="00391ECF" w:rsidRPr="00391ECF" w:rsidRDefault="00391ECF" w:rsidP="00391ECF">
            <w:pPr>
              <w:widowControl w:val="0"/>
              <w:jc w:val="center"/>
              <w:rPr>
                <w:rFonts w:ascii="Arial Narrow" w:hAnsi="Arial Narrow" w:cs="Arial"/>
                <w:b/>
                <w:snapToGrid w:val="0"/>
                <w:sz w:val="20"/>
                <w:szCs w:val="20"/>
                <w:lang w:eastAsia="en-US"/>
              </w:rPr>
            </w:pPr>
            <w:r w:rsidRPr="00391ECF">
              <w:rPr>
                <w:rFonts w:ascii="Arial Narrow" w:hAnsi="Arial Narrow" w:cs="Arial"/>
                <w:b/>
                <w:snapToGrid w:val="0"/>
                <w:sz w:val="20"/>
                <w:szCs w:val="20"/>
                <w:lang w:eastAsia="en-US"/>
              </w:rPr>
              <w:t>March 2016 minor submission</w:t>
            </w:r>
          </w:p>
        </w:tc>
        <w:tc>
          <w:tcPr>
            <w:tcW w:w="1227" w:type="pct"/>
          </w:tcPr>
          <w:p w:rsidR="00391ECF" w:rsidRPr="00391ECF" w:rsidRDefault="00391ECF" w:rsidP="00391ECF">
            <w:pPr>
              <w:widowControl w:val="0"/>
              <w:jc w:val="center"/>
              <w:rPr>
                <w:rFonts w:ascii="Arial Narrow" w:hAnsi="Arial Narrow" w:cs="Arial"/>
                <w:b/>
                <w:snapToGrid w:val="0"/>
                <w:sz w:val="20"/>
                <w:szCs w:val="20"/>
                <w:lang w:eastAsia="en-US"/>
              </w:rPr>
            </w:pPr>
            <w:r w:rsidRPr="00391ECF">
              <w:rPr>
                <w:rFonts w:ascii="Arial Narrow" w:hAnsi="Arial Narrow" w:cs="Arial"/>
                <w:b/>
                <w:snapToGrid w:val="0"/>
                <w:sz w:val="20"/>
                <w:szCs w:val="20"/>
                <w:lang w:eastAsia="en-US"/>
              </w:rPr>
              <w:t>March 2017 minor resubmission</w:t>
            </w:r>
          </w:p>
        </w:tc>
        <w:tc>
          <w:tcPr>
            <w:tcW w:w="1239" w:type="pct"/>
          </w:tcPr>
          <w:p w:rsidR="00391ECF" w:rsidRPr="00391ECF" w:rsidRDefault="00391ECF" w:rsidP="00391ECF">
            <w:pPr>
              <w:widowControl w:val="0"/>
              <w:jc w:val="center"/>
              <w:rPr>
                <w:rFonts w:ascii="Arial Narrow" w:hAnsi="Arial Narrow" w:cs="Arial"/>
                <w:b/>
                <w:snapToGrid w:val="0"/>
                <w:sz w:val="20"/>
                <w:szCs w:val="20"/>
                <w:lang w:eastAsia="en-US"/>
              </w:rPr>
            </w:pPr>
            <w:r w:rsidRPr="00391ECF">
              <w:rPr>
                <w:rFonts w:ascii="Arial Narrow" w:hAnsi="Arial Narrow" w:cs="Arial"/>
                <w:b/>
                <w:snapToGrid w:val="0"/>
                <w:sz w:val="20"/>
                <w:szCs w:val="20"/>
                <w:lang w:eastAsia="en-US"/>
              </w:rPr>
              <w:t>November 2017 minor resubmission</w:t>
            </w:r>
          </w:p>
        </w:tc>
      </w:tr>
      <w:tr w:rsidR="00391ECF" w:rsidRPr="00391ECF" w:rsidTr="00661F5F">
        <w:tc>
          <w:tcPr>
            <w:tcW w:w="1221" w:type="pct"/>
          </w:tcPr>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 xml:space="preserve">Requested amendment  to listing </w:t>
            </w:r>
          </w:p>
        </w:tc>
        <w:tc>
          <w:tcPr>
            <w:tcW w:w="1312" w:type="pct"/>
          </w:tcPr>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Include patients who have experienced severe intolerance or toxicity to bortezomib and/or lenalidomide unresponsive to clinically appropriate dose.</w:t>
            </w:r>
          </w:p>
          <w:p w:rsidR="00391ECF" w:rsidRPr="00391ECF" w:rsidRDefault="00391ECF" w:rsidP="00391ECF">
            <w:pPr>
              <w:widowControl w:val="0"/>
              <w:rPr>
                <w:rFonts w:ascii="Arial Narrow" w:hAnsi="Arial Narrow" w:cs="Arial"/>
                <w:snapToGrid w:val="0"/>
                <w:sz w:val="20"/>
                <w:szCs w:val="20"/>
                <w:lang w:eastAsia="en-US"/>
              </w:rPr>
            </w:pPr>
          </w:p>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Remove requirement that patients must have demonstrated progressive disease within 6 months of discontinuing treatment with lenalidomide and bortezomib</w:t>
            </w:r>
          </w:p>
          <w:p w:rsidR="00391ECF" w:rsidRPr="00391ECF" w:rsidRDefault="00391ECF" w:rsidP="00391ECF">
            <w:pPr>
              <w:widowControl w:val="0"/>
              <w:rPr>
                <w:rFonts w:ascii="Arial Narrow" w:hAnsi="Arial Narrow" w:cs="Arial"/>
                <w:snapToGrid w:val="0"/>
                <w:sz w:val="20"/>
                <w:szCs w:val="20"/>
                <w:lang w:eastAsia="en-US"/>
              </w:rPr>
            </w:pPr>
          </w:p>
        </w:tc>
        <w:tc>
          <w:tcPr>
            <w:tcW w:w="1227" w:type="pct"/>
          </w:tcPr>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 xml:space="preserve">Include patients who have ‘experienced severe intolerance unresponsive to clinically appropriate dose adjustment scheduling and/or are contraindicated to bortezomib and lenalidomide. </w:t>
            </w:r>
          </w:p>
        </w:tc>
        <w:tc>
          <w:tcPr>
            <w:tcW w:w="1239" w:type="pct"/>
          </w:tcPr>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Include patients who are contraindicated and/or not tolerant to bortezomib and lenalidomide according to the TGA approved PI.</w:t>
            </w:r>
          </w:p>
          <w:p w:rsidR="00391ECF" w:rsidRPr="00391ECF" w:rsidRDefault="00391ECF" w:rsidP="00391ECF">
            <w:pPr>
              <w:widowControl w:val="0"/>
              <w:rPr>
                <w:rFonts w:ascii="Arial Narrow" w:hAnsi="Arial Narrow" w:cs="Arial"/>
                <w:snapToGrid w:val="0"/>
                <w:sz w:val="20"/>
                <w:szCs w:val="20"/>
                <w:lang w:eastAsia="en-US"/>
              </w:rPr>
            </w:pPr>
          </w:p>
          <w:p w:rsidR="00391ECF" w:rsidRPr="00391ECF" w:rsidRDefault="00391ECF" w:rsidP="00391ECF">
            <w:pPr>
              <w:widowControl w:val="0"/>
              <w:rPr>
                <w:rFonts w:ascii="Arial Narrow" w:hAnsi="Arial Narrow" w:cs="Arial"/>
                <w:i/>
                <w:snapToGrid w:val="0"/>
                <w:sz w:val="20"/>
                <w:szCs w:val="20"/>
                <w:lang w:eastAsia="en-US"/>
              </w:rPr>
            </w:pPr>
            <w:r w:rsidRPr="00391ECF">
              <w:rPr>
                <w:rFonts w:ascii="Arial Narrow" w:hAnsi="Arial Narrow" w:cs="Arial"/>
                <w:i/>
                <w:snapToGrid w:val="0"/>
                <w:sz w:val="20"/>
                <w:szCs w:val="20"/>
                <w:lang w:eastAsia="en-US"/>
              </w:rPr>
              <w:t xml:space="preserve">Reference to clinically appropriate dose adjustment scheduling has been removed </w:t>
            </w:r>
          </w:p>
        </w:tc>
      </w:tr>
      <w:tr w:rsidR="00391ECF" w:rsidRPr="00391ECF" w:rsidTr="00661F5F">
        <w:tc>
          <w:tcPr>
            <w:tcW w:w="1221" w:type="pct"/>
          </w:tcPr>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 xml:space="preserve">Requested DPMQ </w:t>
            </w:r>
          </w:p>
        </w:tc>
        <w:tc>
          <w:tcPr>
            <w:tcW w:w="1312" w:type="pct"/>
          </w:tcPr>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 xml:space="preserve">No change from November 2014 submission </w:t>
            </w:r>
          </w:p>
        </w:tc>
        <w:tc>
          <w:tcPr>
            <w:tcW w:w="1227" w:type="pct"/>
          </w:tcPr>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No change from November 2014 submission</w:t>
            </w:r>
          </w:p>
        </w:tc>
        <w:tc>
          <w:tcPr>
            <w:tcW w:w="1239" w:type="pct"/>
          </w:tcPr>
          <w:p w:rsidR="00391ECF" w:rsidRPr="00391ECF" w:rsidRDefault="00391ECF" w:rsidP="004F3264">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 xml:space="preserve">Weighted average </w:t>
            </w:r>
            <w:r w:rsidR="004F3264">
              <w:rPr>
                <w:rFonts w:ascii="Arial Narrow" w:hAnsi="Arial Narrow" w:cs="Arial"/>
                <w:snapToGrid w:val="0"/>
                <w:sz w:val="20"/>
                <w:szCs w:val="20"/>
                <w:lang w:eastAsia="en-US"/>
              </w:rPr>
              <w:t>effective price of</w:t>
            </w:r>
            <w:r w:rsidRPr="00391ECF">
              <w:rPr>
                <w:rFonts w:ascii="Arial Narrow" w:hAnsi="Arial Narrow" w:cs="Arial"/>
                <w:snapToGrid w:val="0"/>
                <w:sz w:val="20"/>
                <w:szCs w:val="20"/>
                <w:lang w:eastAsia="en-US"/>
              </w:rPr>
              <w:t xml:space="preserve"> $</w:t>
            </w:r>
            <w:r w:rsidR="00567B39">
              <w:rPr>
                <w:rFonts w:ascii="Arial Narrow" w:hAnsi="Arial Narrow" w:cs="Arial"/>
                <w:noProof/>
                <w:snapToGrid w:val="0"/>
                <w:color w:val="000000"/>
                <w:sz w:val="20"/>
                <w:szCs w:val="20"/>
                <w:highlight w:val="black"/>
                <w:lang w:eastAsia="en-US"/>
              </w:rPr>
              <w:t>'''''''''''''''''''''''</w:t>
            </w:r>
            <w:r w:rsidRPr="00391ECF">
              <w:rPr>
                <w:rFonts w:ascii="Arial Narrow" w:hAnsi="Arial Narrow" w:cs="Arial"/>
                <w:snapToGrid w:val="0"/>
                <w:sz w:val="20"/>
                <w:szCs w:val="20"/>
                <w:lang w:eastAsia="en-US"/>
              </w:rPr>
              <w:t xml:space="preserve"> (includes </w:t>
            </w:r>
            <w:r w:rsidR="00567B39">
              <w:rPr>
                <w:rFonts w:ascii="Arial Narrow" w:hAnsi="Arial Narrow" w:cs="Arial"/>
                <w:noProof/>
                <w:snapToGrid w:val="0"/>
                <w:color w:val="000000"/>
                <w:sz w:val="20"/>
                <w:szCs w:val="20"/>
                <w:highlight w:val="black"/>
                <w:lang w:eastAsia="en-US"/>
              </w:rPr>
              <w:t>''''''</w:t>
            </w:r>
            <w:r w:rsidRPr="00391ECF">
              <w:rPr>
                <w:rFonts w:ascii="Arial Narrow" w:hAnsi="Arial Narrow" w:cs="Arial"/>
                <w:snapToGrid w:val="0"/>
                <w:sz w:val="20"/>
                <w:szCs w:val="20"/>
                <w:lang w:eastAsia="en-US"/>
              </w:rPr>
              <w:t>% rebate for the requested extended patient population only</w:t>
            </w:r>
            <w:r w:rsidR="004F3264">
              <w:rPr>
                <w:rFonts w:ascii="Arial Narrow" w:hAnsi="Arial Narrow" w:cs="Arial"/>
                <w:snapToGrid w:val="0"/>
                <w:sz w:val="20"/>
                <w:szCs w:val="20"/>
                <w:lang w:eastAsia="en-US"/>
              </w:rPr>
              <w:t xml:space="preserve">, </w:t>
            </w:r>
            <w:r w:rsidRPr="00391ECF">
              <w:rPr>
                <w:rFonts w:ascii="Arial Narrow" w:hAnsi="Arial Narrow" w:cs="Arial"/>
                <w:snapToGrid w:val="0"/>
                <w:sz w:val="20"/>
                <w:szCs w:val="20"/>
                <w:lang w:eastAsia="en-US"/>
              </w:rPr>
              <w:t xml:space="preserve">estimated to be </w:t>
            </w:r>
            <w:r w:rsidR="00567B39">
              <w:rPr>
                <w:rFonts w:ascii="Arial Narrow" w:hAnsi="Arial Narrow" w:cs="Arial"/>
                <w:noProof/>
                <w:snapToGrid w:val="0"/>
                <w:color w:val="000000"/>
                <w:sz w:val="20"/>
                <w:szCs w:val="20"/>
                <w:highlight w:val="black"/>
                <w:lang w:eastAsia="en-US"/>
              </w:rPr>
              <w:t>'''</w:t>
            </w:r>
            <w:r w:rsidRPr="00391ECF">
              <w:rPr>
                <w:rFonts w:ascii="Arial Narrow" w:hAnsi="Arial Narrow" w:cs="Arial"/>
                <w:snapToGrid w:val="0"/>
                <w:sz w:val="20"/>
                <w:szCs w:val="20"/>
                <w:lang w:eastAsia="en-US"/>
              </w:rPr>
              <w:t xml:space="preserve">% of total </w:t>
            </w:r>
            <w:r w:rsidR="004F3264">
              <w:rPr>
                <w:rFonts w:ascii="Arial Narrow" w:hAnsi="Arial Narrow" w:cs="Arial"/>
                <w:snapToGrid w:val="0"/>
                <w:sz w:val="20"/>
                <w:szCs w:val="20"/>
                <w:lang w:eastAsia="en-US"/>
              </w:rPr>
              <w:t xml:space="preserve">pomalidomide </w:t>
            </w:r>
            <w:r w:rsidRPr="00391ECF">
              <w:rPr>
                <w:rFonts w:ascii="Arial Narrow" w:hAnsi="Arial Narrow" w:cs="Arial"/>
                <w:snapToGrid w:val="0"/>
                <w:sz w:val="20"/>
                <w:szCs w:val="20"/>
                <w:lang w:eastAsia="en-US"/>
              </w:rPr>
              <w:t xml:space="preserve">PBS population) </w:t>
            </w:r>
          </w:p>
        </w:tc>
      </w:tr>
      <w:tr w:rsidR="00391ECF" w:rsidRPr="00391ECF" w:rsidTr="00661F5F">
        <w:tc>
          <w:tcPr>
            <w:tcW w:w="1221" w:type="pct"/>
          </w:tcPr>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 xml:space="preserve">Clinical evidence </w:t>
            </w:r>
          </w:p>
        </w:tc>
        <w:tc>
          <w:tcPr>
            <w:tcW w:w="1312" w:type="pct"/>
          </w:tcPr>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Presented subgroup analysis of trial MM-003 (Key trial of November 2014 submission) of following three patient groups:</w:t>
            </w:r>
          </w:p>
          <w:p w:rsidR="00391ECF" w:rsidRPr="00391ECF" w:rsidRDefault="00391ECF" w:rsidP="00391ECF">
            <w:pPr>
              <w:widowControl w:val="0"/>
              <w:numPr>
                <w:ilvl w:val="0"/>
                <w:numId w:val="16"/>
              </w:numPr>
              <w:contextualSpacing/>
              <w:jc w:val="both"/>
              <w:rPr>
                <w:rFonts w:ascii="Arial Narrow" w:hAnsi="Arial Narrow" w:cs="Arial"/>
                <w:snapToGrid w:val="0"/>
                <w:sz w:val="20"/>
                <w:szCs w:val="20"/>
              </w:rPr>
            </w:pPr>
            <w:r w:rsidRPr="00391ECF">
              <w:rPr>
                <w:rFonts w:ascii="Arial Narrow" w:hAnsi="Arial Narrow" w:cs="Arial"/>
                <w:snapToGrid w:val="0"/>
                <w:sz w:val="20"/>
                <w:szCs w:val="20"/>
              </w:rPr>
              <w:t>Refractory subjects not progressed on or within 60 days of both lenalidomide and bortezomib based treatments (82.5%)</w:t>
            </w:r>
          </w:p>
          <w:p w:rsidR="00391ECF" w:rsidRPr="00391ECF" w:rsidRDefault="00391ECF" w:rsidP="00391ECF">
            <w:pPr>
              <w:widowControl w:val="0"/>
              <w:numPr>
                <w:ilvl w:val="0"/>
                <w:numId w:val="16"/>
              </w:numPr>
              <w:contextualSpacing/>
              <w:jc w:val="both"/>
              <w:rPr>
                <w:rFonts w:ascii="Arial Narrow" w:hAnsi="Arial Narrow" w:cs="Arial"/>
                <w:snapToGrid w:val="0"/>
                <w:sz w:val="20"/>
                <w:szCs w:val="20"/>
              </w:rPr>
            </w:pPr>
            <w:r w:rsidRPr="00391ECF">
              <w:rPr>
                <w:rFonts w:ascii="Arial Narrow" w:hAnsi="Arial Narrow" w:cs="Arial"/>
                <w:snapToGrid w:val="0"/>
                <w:sz w:val="20"/>
                <w:szCs w:val="20"/>
              </w:rPr>
              <w:t>Relapsed refractory patients who achieved at least partial response and progressed within 6 months after stopping treatment with lenalidomide and/or bortezomib (2.6%)</w:t>
            </w:r>
          </w:p>
          <w:p w:rsidR="00391ECF" w:rsidRPr="00391ECF" w:rsidRDefault="00391ECF" w:rsidP="00391ECF">
            <w:pPr>
              <w:widowControl w:val="0"/>
              <w:numPr>
                <w:ilvl w:val="0"/>
                <w:numId w:val="16"/>
              </w:numPr>
              <w:contextualSpacing/>
              <w:jc w:val="both"/>
              <w:rPr>
                <w:rFonts w:ascii="Arial Narrow" w:hAnsi="Arial Narrow" w:cs="Arial"/>
                <w:snapToGrid w:val="0"/>
                <w:sz w:val="20"/>
                <w:szCs w:val="20"/>
              </w:rPr>
            </w:pPr>
            <w:r w:rsidRPr="00391ECF">
              <w:rPr>
                <w:rFonts w:ascii="Arial Narrow" w:hAnsi="Arial Narrow" w:cs="Arial"/>
                <w:snapToGrid w:val="0"/>
                <w:sz w:val="20"/>
                <w:szCs w:val="20"/>
              </w:rPr>
              <w:t>Refractory/indolent patients who have developed intolerance/toxicity after a minimum of 2 cycles of bortezomib (14.9%)</w:t>
            </w:r>
          </w:p>
        </w:tc>
        <w:tc>
          <w:tcPr>
            <w:tcW w:w="1227" w:type="pct"/>
          </w:tcPr>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No clinical data provided</w:t>
            </w:r>
          </w:p>
        </w:tc>
        <w:tc>
          <w:tcPr>
            <w:tcW w:w="1239" w:type="pct"/>
          </w:tcPr>
          <w:p w:rsidR="00391ECF" w:rsidRPr="00391ECF" w:rsidRDefault="00391ECF" w:rsidP="00391ECF">
            <w:pPr>
              <w:widowControl w:val="0"/>
              <w:jc w:val="both"/>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No clinical data provided</w:t>
            </w:r>
          </w:p>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Presented subgroup analysis of trial MM-003 as per March 2016 submission</w:t>
            </w:r>
            <w:r w:rsidR="009843FB">
              <w:rPr>
                <w:rFonts w:ascii="Arial Narrow" w:hAnsi="Arial Narrow" w:cs="Arial"/>
                <w:snapToGrid w:val="0"/>
                <w:sz w:val="20"/>
                <w:szCs w:val="20"/>
                <w:lang w:eastAsia="en-US"/>
              </w:rPr>
              <w:t>.</w:t>
            </w:r>
          </w:p>
          <w:p w:rsidR="00391ECF" w:rsidRPr="00391ECF" w:rsidRDefault="00391ECF" w:rsidP="00391ECF">
            <w:pPr>
              <w:widowControl w:val="0"/>
              <w:rPr>
                <w:rFonts w:ascii="Arial Narrow" w:hAnsi="Arial Narrow" w:cs="Arial"/>
                <w:snapToGrid w:val="0"/>
                <w:sz w:val="20"/>
                <w:szCs w:val="20"/>
                <w:lang w:eastAsia="en-US"/>
              </w:rPr>
            </w:pPr>
          </w:p>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 xml:space="preserve"> </w:t>
            </w:r>
          </w:p>
        </w:tc>
      </w:tr>
      <w:tr w:rsidR="00391ECF" w:rsidRPr="00391ECF" w:rsidTr="00661F5F">
        <w:tc>
          <w:tcPr>
            <w:tcW w:w="1221" w:type="pct"/>
          </w:tcPr>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Comparative safety</w:t>
            </w:r>
          </w:p>
        </w:tc>
        <w:tc>
          <w:tcPr>
            <w:tcW w:w="1312" w:type="pct"/>
          </w:tcPr>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No safety data provided</w:t>
            </w:r>
          </w:p>
        </w:tc>
        <w:tc>
          <w:tcPr>
            <w:tcW w:w="1227" w:type="pct"/>
          </w:tcPr>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 xml:space="preserve">No safety data provided </w:t>
            </w:r>
          </w:p>
          <w:p w:rsidR="00391ECF" w:rsidRPr="00391ECF" w:rsidRDefault="00391ECF" w:rsidP="00391ECF">
            <w:pPr>
              <w:widowControl w:val="0"/>
              <w:rPr>
                <w:rFonts w:ascii="Arial Narrow" w:hAnsi="Arial Narrow" w:cs="Arial"/>
                <w:snapToGrid w:val="0"/>
                <w:sz w:val="20"/>
                <w:szCs w:val="20"/>
                <w:lang w:eastAsia="en-US"/>
              </w:rPr>
            </w:pPr>
          </w:p>
          <w:p w:rsidR="00391ECF" w:rsidRPr="00391ECF" w:rsidRDefault="00391ECF" w:rsidP="00391ECF">
            <w:pPr>
              <w:widowControl w:val="0"/>
              <w:rPr>
                <w:rFonts w:ascii="Arial Narrow" w:hAnsi="Arial Narrow" w:cs="Arial"/>
                <w:b/>
                <w:snapToGrid w:val="0"/>
                <w:sz w:val="20"/>
                <w:szCs w:val="20"/>
                <w:lang w:eastAsia="en-US"/>
              </w:rPr>
            </w:pPr>
            <w:r w:rsidRPr="00391ECF">
              <w:rPr>
                <w:rFonts w:ascii="Arial Narrow" w:hAnsi="Arial Narrow" w:cs="Arial"/>
                <w:b/>
                <w:snapToGrid w:val="0"/>
                <w:sz w:val="20"/>
                <w:szCs w:val="20"/>
                <w:lang w:eastAsia="en-US"/>
              </w:rPr>
              <w:t xml:space="preserve">PBAC comment: </w:t>
            </w:r>
            <w:r w:rsidRPr="00391ECF">
              <w:rPr>
                <w:rFonts w:ascii="Arial Narrow" w:hAnsi="Arial Narrow" w:cs="Arial"/>
                <w:snapToGrid w:val="0"/>
                <w:sz w:val="20"/>
                <w:szCs w:val="20"/>
                <w:lang w:eastAsia="en-US"/>
              </w:rPr>
              <w:t>(paragraph 7.2)</w:t>
            </w:r>
            <w:r w:rsidRPr="00391ECF">
              <w:rPr>
                <w:rFonts w:asciiTheme="minorHAnsi" w:hAnsiTheme="minorHAnsi" w:cs="Arial"/>
                <w:snapToGrid w:val="0"/>
                <w:szCs w:val="20"/>
                <w:lang w:eastAsia="en-US"/>
              </w:rPr>
              <w:t xml:space="preserve"> </w:t>
            </w:r>
            <w:r w:rsidRPr="00391ECF">
              <w:rPr>
                <w:rFonts w:ascii="Arial Narrow" w:hAnsi="Arial Narrow" w:cs="Arial"/>
                <w:snapToGrid w:val="0"/>
                <w:sz w:val="20"/>
                <w:szCs w:val="20"/>
                <w:lang w:eastAsia="en-US"/>
              </w:rPr>
              <w:t xml:space="preserve">The PBAC considered there was a high risk that patients experiencing severe intolerance to lenalidomide would experience similar adverse effects on treatment with pomalidomide, given lenalidomide and pomalidomide have similar mechanisms of action. </w:t>
            </w:r>
          </w:p>
        </w:tc>
        <w:tc>
          <w:tcPr>
            <w:tcW w:w="1239" w:type="pct"/>
          </w:tcPr>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 xml:space="preserve">Naïve comparison of AEs in patients from MM-09/-10 trials (lenalidomide) vs the MM-003 trial. </w:t>
            </w:r>
          </w:p>
        </w:tc>
      </w:tr>
      <w:tr w:rsidR="00391ECF" w:rsidRPr="00391ECF" w:rsidTr="00661F5F">
        <w:tc>
          <w:tcPr>
            <w:tcW w:w="1221" w:type="pct"/>
          </w:tcPr>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 xml:space="preserve">Comparator </w:t>
            </w:r>
          </w:p>
        </w:tc>
        <w:tc>
          <w:tcPr>
            <w:tcW w:w="1312" w:type="pct"/>
          </w:tcPr>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No comparator nominated</w:t>
            </w:r>
          </w:p>
          <w:p w:rsidR="00391ECF" w:rsidRPr="00391ECF" w:rsidRDefault="00391ECF" w:rsidP="00391ECF">
            <w:pPr>
              <w:widowControl w:val="0"/>
              <w:rPr>
                <w:rFonts w:ascii="Arial Narrow" w:hAnsi="Arial Narrow" w:cs="Arial"/>
                <w:snapToGrid w:val="0"/>
                <w:sz w:val="20"/>
                <w:szCs w:val="20"/>
                <w:lang w:eastAsia="en-US"/>
              </w:rPr>
            </w:pPr>
          </w:p>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b/>
                <w:snapToGrid w:val="0"/>
                <w:sz w:val="20"/>
                <w:szCs w:val="20"/>
                <w:lang w:eastAsia="en-US"/>
              </w:rPr>
              <w:t>PBAC comment:</w:t>
            </w:r>
            <w:r w:rsidRPr="00391ECF">
              <w:rPr>
                <w:rFonts w:ascii="Arial Narrow" w:hAnsi="Arial Narrow" w:cs="Arial"/>
                <w:snapToGrid w:val="0"/>
                <w:sz w:val="20"/>
                <w:szCs w:val="20"/>
                <w:lang w:eastAsia="en-US"/>
              </w:rPr>
              <w:t xml:space="preserve"> (paragraph 5.2) The PBAC considered that the issue was not whether pomalidomide works in the broader group requested (that is those who have previously received lenalidomide or bortezomib), but whether pomalidomide in this setting is cost-effective against the additional comparators that would apply in those circumstances (for example re-use of lenalidomide or bortezomib with adjusted scheduling).</w:t>
            </w:r>
          </w:p>
        </w:tc>
        <w:tc>
          <w:tcPr>
            <w:tcW w:w="1227" w:type="pct"/>
          </w:tcPr>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High dose dexamethasone (HDD)</w:t>
            </w:r>
            <w:r w:rsidRPr="00391ECF">
              <w:rPr>
                <w:rFonts w:asciiTheme="minorHAnsi" w:hAnsiTheme="minorHAnsi" w:cs="Arial"/>
                <w:snapToGrid w:val="0"/>
                <w:szCs w:val="20"/>
                <w:lang w:eastAsia="en-US"/>
              </w:rPr>
              <w:t xml:space="preserve"> </w:t>
            </w:r>
            <w:r w:rsidRPr="00391ECF">
              <w:rPr>
                <w:rFonts w:ascii="Arial Narrow" w:hAnsi="Arial Narrow" w:cs="Arial"/>
                <w:snapToGrid w:val="0"/>
                <w:sz w:val="20"/>
                <w:szCs w:val="20"/>
                <w:lang w:eastAsia="en-US"/>
              </w:rPr>
              <w:t xml:space="preserve">on the basis that the requested restriction has been revised to only include patients who are intolerant to bortezomib or lenalidomide with clinically appropriate dose adjustment. </w:t>
            </w:r>
          </w:p>
          <w:p w:rsidR="00391ECF" w:rsidRPr="00391ECF" w:rsidRDefault="00391ECF" w:rsidP="00391ECF">
            <w:pPr>
              <w:widowControl w:val="0"/>
              <w:rPr>
                <w:rFonts w:ascii="Arial Narrow" w:hAnsi="Arial Narrow" w:cs="Arial"/>
                <w:snapToGrid w:val="0"/>
                <w:sz w:val="20"/>
                <w:szCs w:val="20"/>
                <w:lang w:eastAsia="en-US"/>
              </w:rPr>
            </w:pPr>
          </w:p>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b/>
                <w:snapToGrid w:val="0"/>
                <w:sz w:val="20"/>
                <w:szCs w:val="20"/>
                <w:lang w:eastAsia="en-US"/>
              </w:rPr>
              <w:t>PBAC comment:</w:t>
            </w:r>
            <w:r w:rsidRPr="00391ECF">
              <w:rPr>
                <w:rFonts w:ascii="Arial Narrow" w:hAnsi="Arial Narrow" w:cs="Arial"/>
                <w:snapToGrid w:val="0"/>
                <w:sz w:val="20"/>
                <w:szCs w:val="20"/>
                <w:lang w:eastAsia="en-US"/>
              </w:rPr>
              <w:t xml:space="preserve"> (paragraph 5.1)</w:t>
            </w:r>
            <w:r w:rsidRPr="00391ECF">
              <w:rPr>
                <w:rFonts w:asciiTheme="minorHAnsi" w:hAnsiTheme="minorHAnsi" w:cs="Arial"/>
                <w:snapToGrid w:val="0"/>
                <w:szCs w:val="20"/>
                <w:lang w:eastAsia="en-US"/>
              </w:rPr>
              <w:t xml:space="preserve"> </w:t>
            </w:r>
            <w:r w:rsidRPr="00391ECF">
              <w:rPr>
                <w:rFonts w:ascii="Arial Narrow" w:hAnsi="Arial Narrow" w:cs="Arial"/>
                <w:snapToGrid w:val="0"/>
                <w:sz w:val="20"/>
                <w:szCs w:val="20"/>
                <w:lang w:eastAsia="en-US"/>
              </w:rPr>
              <w:t>The PBAC previously accepted that HDD was the appropriate main comparator in this context, while noting that other salvage therapies would also be replaced in practice (paragraph 7.</w:t>
            </w:r>
            <w:r w:rsidR="00264040">
              <w:rPr>
                <w:rFonts w:ascii="Arial Narrow" w:hAnsi="Arial Narrow" w:cs="Arial"/>
                <w:snapToGrid w:val="0"/>
                <w:sz w:val="20"/>
                <w:szCs w:val="20"/>
                <w:lang w:eastAsia="en-US"/>
              </w:rPr>
              <w:t>3</w:t>
            </w:r>
            <w:r w:rsidRPr="00391ECF">
              <w:rPr>
                <w:rFonts w:ascii="Arial Narrow" w:hAnsi="Arial Narrow" w:cs="Arial"/>
                <w:snapToGrid w:val="0"/>
                <w:sz w:val="20"/>
                <w:szCs w:val="20"/>
                <w:lang w:eastAsia="en-US"/>
              </w:rPr>
              <w:t>, July 2014</w:t>
            </w:r>
            <w:r w:rsidR="00264040">
              <w:rPr>
                <w:rFonts w:ascii="Arial Narrow" w:hAnsi="Arial Narrow" w:cs="Arial"/>
                <w:snapToGrid w:val="0"/>
                <w:sz w:val="20"/>
                <w:szCs w:val="20"/>
                <w:lang w:eastAsia="en-US"/>
              </w:rPr>
              <w:t xml:space="preserve"> Public Summary Document (PSD)</w:t>
            </w:r>
            <w:r w:rsidRPr="00391ECF">
              <w:rPr>
                <w:rFonts w:ascii="Arial Narrow" w:hAnsi="Arial Narrow" w:cs="Arial"/>
                <w:snapToGrid w:val="0"/>
                <w:sz w:val="20"/>
                <w:szCs w:val="20"/>
                <w:lang w:eastAsia="en-US"/>
              </w:rPr>
              <w:t>).</w:t>
            </w:r>
          </w:p>
          <w:p w:rsidR="00391ECF" w:rsidRPr="00391ECF" w:rsidRDefault="00391ECF" w:rsidP="00391ECF">
            <w:pPr>
              <w:widowControl w:val="0"/>
              <w:rPr>
                <w:rFonts w:ascii="Arial Narrow" w:hAnsi="Arial Narrow" w:cs="Arial"/>
                <w:snapToGrid w:val="0"/>
                <w:sz w:val="20"/>
                <w:szCs w:val="20"/>
                <w:lang w:eastAsia="en-US"/>
              </w:rPr>
            </w:pPr>
          </w:p>
        </w:tc>
        <w:tc>
          <w:tcPr>
            <w:tcW w:w="1239" w:type="pct"/>
          </w:tcPr>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HDD</w:t>
            </w:r>
          </w:p>
          <w:p w:rsidR="00391ECF" w:rsidRPr="00391ECF" w:rsidRDefault="00391ECF" w:rsidP="00391ECF">
            <w:pPr>
              <w:widowControl w:val="0"/>
              <w:rPr>
                <w:rFonts w:ascii="Arial Narrow" w:hAnsi="Arial Narrow" w:cs="Arial"/>
                <w:snapToGrid w:val="0"/>
                <w:sz w:val="20"/>
                <w:szCs w:val="20"/>
                <w:lang w:eastAsia="en-US"/>
              </w:rPr>
            </w:pPr>
          </w:p>
          <w:p w:rsidR="00391ECF" w:rsidRPr="00391ECF" w:rsidRDefault="00391ECF" w:rsidP="00391ECF">
            <w:pPr>
              <w:widowControl w:val="0"/>
              <w:rPr>
                <w:rFonts w:ascii="Arial Narrow" w:hAnsi="Arial Narrow" w:cs="Arial"/>
                <w:snapToGrid w:val="0"/>
                <w:sz w:val="20"/>
                <w:szCs w:val="20"/>
                <w:lang w:eastAsia="en-US"/>
              </w:rPr>
            </w:pPr>
          </w:p>
        </w:tc>
      </w:tr>
      <w:tr w:rsidR="00391ECF" w:rsidRPr="00391ECF" w:rsidTr="00661F5F">
        <w:tc>
          <w:tcPr>
            <w:tcW w:w="1221" w:type="pct"/>
          </w:tcPr>
          <w:p w:rsidR="00391ECF" w:rsidRPr="00391ECF" w:rsidRDefault="00391ECF" w:rsidP="00391ECF">
            <w:pPr>
              <w:widowControl w:val="0"/>
              <w:jc w:val="both"/>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 xml:space="preserve">Economic analysis </w:t>
            </w:r>
          </w:p>
        </w:tc>
        <w:tc>
          <w:tcPr>
            <w:tcW w:w="1312" w:type="pct"/>
          </w:tcPr>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 xml:space="preserve">No economic analysis provided </w:t>
            </w:r>
          </w:p>
        </w:tc>
        <w:tc>
          <w:tcPr>
            <w:tcW w:w="1227" w:type="pct"/>
          </w:tcPr>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 xml:space="preserve">No economic analysis provided </w:t>
            </w:r>
          </w:p>
          <w:p w:rsidR="00391ECF" w:rsidRPr="00391ECF" w:rsidRDefault="00391ECF" w:rsidP="00391ECF">
            <w:pPr>
              <w:widowControl w:val="0"/>
              <w:rPr>
                <w:rFonts w:ascii="Arial Narrow" w:hAnsi="Arial Narrow" w:cs="Arial"/>
                <w:snapToGrid w:val="0"/>
                <w:sz w:val="20"/>
                <w:szCs w:val="20"/>
                <w:lang w:eastAsia="en-US"/>
              </w:rPr>
            </w:pPr>
          </w:p>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b/>
                <w:snapToGrid w:val="0"/>
                <w:sz w:val="20"/>
                <w:szCs w:val="20"/>
                <w:lang w:eastAsia="en-US"/>
              </w:rPr>
              <w:t>PBAC comment:</w:t>
            </w:r>
            <w:r w:rsidRPr="00391ECF">
              <w:rPr>
                <w:rFonts w:ascii="Arial Narrow" w:hAnsi="Arial Narrow" w:cs="Arial"/>
                <w:snapToGrid w:val="0"/>
                <w:sz w:val="20"/>
                <w:szCs w:val="20"/>
                <w:lang w:eastAsia="en-US"/>
              </w:rPr>
              <w:t xml:space="preserve"> (paragraph 7.3) The PBAC considered that the cost-effectiveness of pomalidomide in this treatment setting was unknown. Further, the PBAC recalled that at the November 2014 meeting when it recommended pomalidomide for treatment of patients who have received and failed prior treatment with both bortezomib and lenalidomide, it considered the ICER to be at the high end of what they would consider cost effective.</w:t>
            </w:r>
          </w:p>
        </w:tc>
        <w:tc>
          <w:tcPr>
            <w:tcW w:w="1239" w:type="pct"/>
          </w:tcPr>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 xml:space="preserve">Presented analysis of cost-effectiveness in requested extended patient population </w:t>
            </w:r>
          </w:p>
          <w:p w:rsidR="00391ECF" w:rsidRPr="00391ECF" w:rsidRDefault="00391ECF" w:rsidP="00391ECF">
            <w:pPr>
              <w:widowControl w:val="0"/>
              <w:rPr>
                <w:rFonts w:ascii="Arial Narrow" w:hAnsi="Arial Narrow" w:cs="Arial"/>
                <w:snapToGrid w:val="0"/>
                <w:sz w:val="20"/>
                <w:szCs w:val="20"/>
                <w:lang w:eastAsia="en-US"/>
              </w:rPr>
            </w:pPr>
          </w:p>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 xml:space="preserve">Same model structure as November 2014 submission </w:t>
            </w:r>
            <w:r w:rsidR="00147BE0">
              <w:rPr>
                <w:rFonts w:ascii="Arial Narrow" w:hAnsi="Arial Narrow" w:cs="Arial"/>
                <w:snapToGrid w:val="0"/>
                <w:sz w:val="20"/>
                <w:szCs w:val="20"/>
                <w:lang w:eastAsia="en-US"/>
              </w:rPr>
              <w:t xml:space="preserve">incorporating </w:t>
            </w:r>
            <w:r w:rsidR="00567B39">
              <w:rPr>
                <w:rFonts w:ascii="Arial Narrow" w:hAnsi="Arial Narrow" w:cs="Arial"/>
                <w:noProof/>
                <w:snapToGrid w:val="0"/>
                <w:color w:val="000000"/>
                <w:sz w:val="20"/>
                <w:szCs w:val="20"/>
                <w:highlight w:val="black"/>
                <w:lang w:eastAsia="en-US"/>
              </w:rPr>
              <w:t>'''''</w:t>
            </w:r>
            <w:r w:rsidR="00147BE0">
              <w:rPr>
                <w:rFonts w:ascii="Arial Narrow" w:hAnsi="Arial Narrow" w:cs="Arial"/>
                <w:snapToGrid w:val="0"/>
                <w:sz w:val="20"/>
                <w:szCs w:val="20"/>
                <w:lang w:eastAsia="en-US"/>
              </w:rPr>
              <w:t>% rebate for the proposed extended population and revised weighted total dose per pack of 80.7 (from 84.0)</w:t>
            </w:r>
            <w:r w:rsidR="00526133">
              <w:rPr>
                <w:rFonts w:ascii="Arial Narrow" w:hAnsi="Arial Narrow" w:cs="Arial"/>
                <w:snapToGrid w:val="0"/>
                <w:sz w:val="20"/>
                <w:szCs w:val="20"/>
                <w:lang w:eastAsia="en-US"/>
              </w:rPr>
              <w:t>.</w:t>
            </w:r>
          </w:p>
          <w:p w:rsidR="00391ECF" w:rsidRPr="00391ECF" w:rsidRDefault="00391ECF" w:rsidP="00391ECF">
            <w:pPr>
              <w:widowControl w:val="0"/>
              <w:rPr>
                <w:rFonts w:ascii="Arial Narrow" w:hAnsi="Arial Narrow" w:cs="Arial"/>
                <w:snapToGrid w:val="0"/>
                <w:sz w:val="20"/>
                <w:szCs w:val="20"/>
                <w:lang w:eastAsia="en-US"/>
              </w:rPr>
            </w:pPr>
          </w:p>
          <w:p w:rsidR="00391ECF" w:rsidRPr="00391ECF" w:rsidRDefault="00391ECF" w:rsidP="00D75EF3">
            <w:pPr>
              <w:widowControl w:val="0"/>
              <w:rPr>
                <w:rFonts w:ascii="Arial Narrow" w:hAnsi="Arial Narrow" w:cs="Arial"/>
                <w:snapToGrid w:val="0"/>
                <w:sz w:val="20"/>
                <w:szCs w:val="20"/>
              </w:rPr>
            </w:pPr>
            <w:r w:rsidRPr="00391ECF">
              <w:rPr>
                <w:rFonts w:ascii="Arial Narrow" w:hAnsi="Arial Narrow" w:cs="Arial"/>
                <w:snapToGrid w:val="0"/>
                <w:sz w:val="20"/>
                <w:szCs w:val="20"/>
                <w:lang w:eastAsia="en-US"/>
              </w:rPr>
              <w:t>ICER:</w:t>
            </w:r>
            <w:r w:rsidR="004F3264" w:rsidRPr="00391ECF" w:rsidDel="004F3264">
              <w:rPr>
                <w:rFonts w:ascii="Arial Narrow" w:hAnsi="Arial Narrow" w:cs="Arial"/>
                <w:snapToGrid w:val="0"/>
                <w:sz w:val="20"/>
                <w:szCs w:val="20"/>
                <w:lang w:eastAsia="en-US"/>
              </w:rPr>
              <w:t xml:space="preserve"> </w:t>
            </w:r>
            <w:r w:rsidR="004F3264">
              <w:rPr>
                <w:rFonts w:ascii="Arial Narrow" w:hAnsi="Arial Narrow" w:cs="Arial"/>
                <w:snapToGrid w:val="0"/>
                <w:sz w:val="20"/>
                <w:szCs w:val="20"/>
              </w:rPr>
              <w:t xml:space="preserve"> </w:t>
            </w:r>
            <w:r w:rsidR="009B3CD2">
              <w:rPr>
                <w:rFonts w:ascii="Arial Narrow" w:hAnsi="Arial Narrow" w:cs="Arial"/>
                <w:snapToGrid w:val="0"/>
                <w:sz w:val="20"/>
                <w:szCs w:val="20"/>
              </w:rPr>
              <w:t>$45,000/QALY - $75,000/QALY</w:t>
            </w:r>
            <w:r w:rsidRPr="00391ECF">
              <w:rPr>
                <w:rFonts w:ascii="Arial Narrow" w:hAnsi="Arial Narrow" w:cs="Arial"/>
                <w:snapToGrid w:val="0"/>
                <w:sz w:val="20"/>
                <w:szCs w:val="20"/>
              </w:rPr>
              <w:t xml:space="preserve"> gained (discounted)</w:t>
            </w:r>
          </w:p>
          <w:p w:rsidR="00391ECF" w:rsidRPr="00391ECF" w:rsidRDefault="00391ECF" w:rsidP="00D75EF3">
            <w:pPr>
              <w:widowControl w:val="0"/>
              <w:ind w:left="643"/>
              <w:contextualSpacing/>
              <w:jc w:val="both"/>
              <w:rPr>
                <w:rFonts w:ascii="Arial Narrow" w:hAnsi="Arial Narrow" w:cs="Arial"/>
                <w:snapToGrid w:val="0"/>
                <w:sz w:val="20"/>
                <w:szCs w:val="20"/>
              </w:rPr>
            </w:pPr>
          </w:p>
        </w:tc>
      </w:tr>
      <w:tr w:rsidR="00391ECF" w:rsidRPr="00391ECF" w:rsidTr="00661F5F">
        <w:tc>
          <w:tcPr>
            <w:tcW w:w="1221" w:type="pct"/>
          </w:tcPr>
          <w:p w:rsidR="00391ECF" w:rsidRPr="00391ECF" w:rsidRDefault="00391ECF" w:rsidP="00391ECF">
            <w:pPr>
              <w:widowControl w:val="0"/>
              <w:jc w:val="both"/>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 xml:space="preserve">Estimated PBS usage </w:t>
            </w:r>
          </w:p>
        </w:tc>
        <w:tc>
          <w:tcPr>
            <w:tcW w:w="1312" w:type="pct"/>
          </w:tcPr>
          <w:p w:rsidR="00391ECF" w:rsidRPr="00391ECF" w:rsidRDefault="00391ECF" w:rsidP="00391ECF">
            <w:pPr>
              <w:widowControl w:val="0"/>
              <w:jc w:val="both"/>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 xml:space="preserve">No estimates of PBS usage provided </w:t>
            </w:r>
          </w:p>
        </w:tc>
        <w:tc>
          <w:tcPr>
            <w:tcW w:w="1227" w:type="pct"/>
          </w:tcPr>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 xml:space="preserve">Additional </w:t>
            </w:r>
            <w:r w:rsidR="00567B39">
              <w:rPr>
                <w:rFonts w:ascii="Arial Narrow" w:hAnsi="Arial Narrow" w:cs="Arial"/>
                <w:noProof/>
                <w:snapToGrid w:val="0"/>
                <w:color w:val="000000"/>
                <w:sz w:val="20"/>
                <w:szCs w:val="20"/>
                <w:highlight w:val="black"/>
                <w:lang w:eastAsia="en-US"/>
              </w:rPr>
              <w:t>'''''</w:t>
            </w:r>
            <w:r w:rsidRPr="00391ECF">
              <w:rPr>
                <w:rFonts w:ascii="Arial Narrow" w:hAnsi="Arial Narrow" w:cs="Arial"/>
                <w:snapToGrid w:val="0"/>
                <w:sz w:val="20"/>
                <w:szCs w:val="20"/>
                <w:lang w:eastAsia="en-US"/>
              </w:rPr>
              <w:t xml:space="preserve"> patients in year 1 increasing to </w:t>
            </w:r>
            <w:r w:rsidR="00567B39">
              <w:rPr>
                <w:rFonts w:ascii="Arial Narrow" w:hAnsi="Arial Narrow" w:cs="Arial"/>
                <w:noProof/>
                <w:snapToGrid w:val="0"/>
                <w:color w:val="000000"/>
                <w:sz w:val="20"/>
                <w:szCs w:val="20"/>
                <w:highlight w:val="black"/>
                <w:lang w:eastAsia="en-US"/>
              </w:rPr>
              <w:t>''''''</w:t>
            </w:r>
            <w:r w:rsidRPr="00391ECF">
              <w:rPr>
                <w:rFonts w:ascii="Arial Narrow" w:hAnsi="Arial Narrow" w:cs="Arial"/>
                <w:snapToGrid w:val="0"/>
                <w:sz w:val="20"/>
                <w:szCs w:val="20"/>
                <w:lang w:eastAsia="en-US"/>
              </w:rPr>
              <w:t xml:space="preserve"> patients in year 5</w:t>
            </w:r>
          </w:p>
        </w:tc>
        <w:tc>
          <w:tcPr>
            <w:tcW w:w="1239" w:type="pct"/>
          </w:tcPr>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 xml:space="preserve">Additional </w:t>
            </w:r>
            <w:r w:rsidR="00567B39">
              <w:rPr>
                <w:rFonts w:ascii="Arial Narrow" w:hAnsi="Arial Narrow" w:cs="Arial"/>
                <w:noProof/>
                <w:snapToGrid w:val="0"/>
                <w:color w:val="000000"/>
                <w:sz w:val="20"/>
                <w:szCs w:val="20"/>
                <w:highlight w:val="black"/>
                <w:lang w:eastAsia="en-US"/>
              </w:rPr>
              <w:t>''''''</w:t>
            </w:r>
            <w:r w:rsidRPr="00391ECF">
              <w:rPr>
                <w:rFonts w:ascii="Arial Narrow" w:hAnsi="Arial Narrow" w:cs="Arial"/>
                <w:snapToGrid w:val="0"/>
                <w:sz w:val="20"/>
                <w:szCs w:val="20"/>
                <w:lang w:eastAsia="en-US"/>
              </w:rPr>
              <w:t xml:space="preserve"> patients in year 1 increasing to </w:t>
            </w:r>
            <w:r w:rsidR="00567B39">
              <w:rPr>
                <w:rFonts w:ascii="Arial Narrow" w:hAnsi="Arial Narrow" w:cs="Arial"/>
                <w:noProof/>
                <w:snapToGrid w:val="0"/>
                <w:color w:val="000000"/>
                <w:sz w:val="20"/>
                <w:szCs w:val="20"/>
                <w:highlight w:val="black"/>
                <w:lang w:eastAsia="en-US"/>
              </w:rPr>
              <w:t>''''''</w:t>
            </w:r>
            <w:r w:rsidRPr="00391ECF">
              <w:rPr>
                <w:rFonts w:ascii="Arial Narrow" w:hAnsi="Arial Narrow" w:cs="Arial"/>
                <w:snapToGrid w:val="0"/>
                <w:sz w:val="20"/>
                <w:szCs w:val="20"/>
                <w:lang w:eastAsia="en-US"/>
              </w:rPr>
              <w:t xml:space="preserve"> patients in year 5</w:t>
            </w:r>
          </w:p>
        </w:tc>
      </w:tr>
      <w:tr w:rsidR="00391ECF" w:rsidRPr="00391ECF" w:rsidTr="00661F5F">
        <w:tc>
          <w:tcPr>
            <w:tcW w:w="1221" w:type="pct"/>
          </w:tcPr>
          <w:p w:rsidR="00391ECF" w:rsidRPr="00391ECF" w:rsidRDefault="00391ECF" w:rsidP="00391ECF">
            <w:pPr>
              <w:widowControl w:val="0"/>
              <w:jc w:val="both"/>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 xml:space="preserve">Cost to PBS </w:t>
            </w:r>
          </w:p>
        </w:tc>
        <w:tc>
          <w:tcPr>
            <w:tcW w:w="1312" w:type="pct"/>
          </w:tcPr>
          <w:p w:rsidR="00391ECF" w:rsidRPr="00391ECF" w:rsidRDefault="00391ECF" w:rsidP="00391ECF">
            <w:pPr>
              <w:widowControl w:val="0"/>
              <w:rPr>
                <w:rFonts w:ascii="Arial Narrow" w:hAnsi="Arial Narrow" w:cs="Arial"/>
                <w:snapToGrid w:val="0"/>
                <w:sz w:val="20"/>
                <w:szCs w:val="20"/>
                <w:lang w:eastAsia="en-US"/>
              </w:rPr>
            </w:pPr>
            <w:r w:rsidRPr="00391ECF">
              <w:rPr>
                <w:rFonts w:ascii="Arial Narrow" w:hAnsi="Arial Narrow" w:cs="Arial"/>
                <w:snapToGrid w:val="0"/>
                <w:sz w:val="20"/>
                <w:szCs w:val="20"/>
                <w:lang w:eastAsia="en-US"/>
              </w:rPr>
              <w:t xml:space="preserve">No financial implications provided </w:t>
            </w:r>
          </w:p>
        </w:tc>
        <w:tc>
          <w:tcPr>
            <w:tcW w:w="1227" w:type="pct"/>
          </w:tcPr>
          <w:p w:rsidR="00391ECF" w:rsidRPr="00391ECF" w:rsidRDefault="009B3CD2" w:rsidP="00391ECF">
            <w:pPr>
              <w:widowControl w:val="0"/>
              <w:rPr>
                <w:rFonts w:ascii="Arial Narrow" w:hAnsi="Arial Narrow" w:cs="Arial"/>
                <w:snapToGrid w:val="0"/>
                <w:sz w:val="20"/>
                <w:szCs w:val="20"/>
                <w:lang w:eastAsia="en-US"/>
              </w:rPr>
            </w:pPr>
            <w:r>
              <w:rPr>
                <w:rFonts w:ascii="Arial Narrow" w:hAnsi="Arial Narrow" w:cs="Arial"/>
                <w:snapToGrid w:val="0"/>
                <w:sz w:val="20"/>
                <w:szCs w:val="20"/>
                <w:lang w:eastAsia="en-US"/>
              </w:rPr>
              <w:t>less than $10 million</w:t>
            </w:r>
            <w:r w:rsidR="00391ECF" w:rsidRPr="00391ECF">
              <w:rPr>
                <w:rFonts w:ascii="Arial Narrow" w:hAnsi="Arial Narrow" w:cs="Arial"/>
                <w:snapToGrid w:val="0"/>
                <w:sz w:val="20"/>
                <w:szCs w:val="20"/>
                <w:lang w:eastAsia="en-US"/>
              </w:rPr>
              <w:t xml:space="preserve"> in year 1 increasing to </w:t>
            </w:r>
            <w:r>
              <w:rPr>
                <w:rFonts w:ascii="Arial Narrow" w:hAnsi="Arial Narrow" w:cs="Arial"/>
                <w:snapToGrid w:val="0"/>
                <w:sz w:val="20"/>
                <w:szCs w:val="20"/>
                <w:lang w:eastAsia="en-US"/>
              </w:rPr>
              <w:t>less than $10 million</w:t>
            </w:r>
            <w:r w:rsidRPr="00391ECF">
              <w:rPr>
                <w:rFonts w:ascii="Arial Narrow" w:hAnsi="Arial Narrow" w:cs="Arial"/>
                <w:snapToGrid w:val="0"/>
                <w:sz w:val="20"/>
                <w:szCs w:val="20"/>
                <w:lang w:eastAsia="en-US"/>
              </w:rPr>
              <w:t xml:space="preserve"> </w:t>
            </w:r>
            <w:r w:rsidR="00391ECF" w:rsidRPr="00391ECF">
              <w:rPr>
                <w:rFonts w:ascii="Arial Narrow" w:hAnsi="Arial Narrow" w:cs="Arial"/>
                <w:snapToGrid w:val="0"/>
                <w:sz w:val="20"/>
                <w:szCs w:val="20"/>
                <w:lang w:eastAsia="en-US"/>
              </w:rPr>
              <w:t xml:space="preserve">in year 5 </w:t>
            </w:r>
          </w:p>
        </w:tc>
        <w:tc>
          <w:tcPr>
            <w:tcW w:w="1239" w:type="pct"/>
          </w:tcPr>
          <w:p w:rsidR="00391ECF" w:rsidRPr="00391ECF" w:rsidRDefault="009B3CD2" w:rsidP="00391ECF">
            <w:pPr>
              <w:widowControl w:val="0"/>
              <w:rPr>
                <w:rFonts w:ascii="Arial Narrow" w:hAnsi="Arial Narrow" w:cs="Arial"/>
                <w:snapToGrid w:val="0"/>
                <w:sz w:val="20"/>
                <w:szCs w:val="20"/>
                <w:lang w:eastAsia="en-US"/>
              </w:rPr>
            </w:pPr>
            <w:r>
              <w:rPr>
                <w:rFonts w:ascii="Arial Narrow" w:hAnsi="Arial Narrow" w:cs="Arial"/>
                <w:snapToGrid w:val="0"/>
                <w:sz w:val="20"/>
                <w:szCs w:val="20"/>
                <w:lang w:eastAsia="en-US"/>
              </w:rPr>
              <w:t>less than $10 million</w:t>
            </w:r>
            <w:r w:rsidRPr="00391ECF">
              <w:rPr>
                <w:rFonts w:ascii="Arial Narrow" w:hAnsi="Arial Narrow" w:cs="Arial"/>
                <w:snapToGrid w:val="0"/>
                <w:sz w:val="20"/>
                <w:szCs w:val="20"/>
                <w:lang w:eastAsia="en-US"/>
              </w:rPr>
              <w:t xml:space="preserve"> </w:t>
            </w:r>
            <w:r w:rsidR="00391ECF" w:rsidRPr="00391ECF">
              <w:rPr>
                <w:rFonts w:ascii="Arial Narrow" w:hAnsi="Arial Narrow" w:cs="Arial"/>
                <w:snapToGrid w:val="0"/>
                <w:sz w:val="20"/>
                <w:szCs w:val="20"/>
                <w:lang w:eastAsia="en-US"/>
              </w:rPr>
              <w:t xml:space="preserve">in year 1 increasing to </w:t>
            </w:r>
            <w:r>
              <w:rPr>
                <w:rFonts w:ascii="Arial Narrow" w:hAnsi="Arial Narrow" w:cs="Arial"/>
                <w:snapToGrid w:val="0"/>
                <w:sz w:val="20"/>
                <w:szCs w:val="20"/>
                <w:lang w:eastAsia="en-US"/>
              </w:rPr>
              <w:t>less than $10 million</w:t>
            </w:r>
            <w:r w:rsidRPr="00391ECF">
              <w:rPr>
                <w:rFonts w:ascii="Arial Narrow" w:hAnsi="Arial Narrow" w:cs="Arial"/>
                <w:snapToGrid w:val="0"/>
                <w:sz w:val="20"/>
                <w:szCs w:val="20"/>
                <w:lang w:eastAsia="en-US"/>
              </w:rPr>
              <w:t xml:space="preserve"> </w:t>
            </w:r>
            <w:r w:rsidR="00391ECF" w:rsidRPr="00391ECF">
              <w:rPr>
                <w:rFonts w:ascii="Arial Narrow" w:hAnsi="Arial Narrow" w:cs="Arial"/>
                <w:snapToGrid w:val="0"/>
                <w:sz w:val="20"/>
                <w:szCs w:val="20"/>
                <w:lang w:eastAsia="en-US"/>
              </w:rPr>
              <w:t>in year 5</w:t>
            </w:r>
          </w:p>
        </w:tc>
      </w:tr>
    </w:tbl>
    <w:p w:rsidR="008A1956" w:rsidRDefault="00EF4DE2" w:rsidP="00391ECF">
      <w:pPr>
        <w:rPr>
          <w:rFonts w:ascii="Arial Narrow" w:eastAsiaTheme="minorHAnsi" w:hAnsi="Arial Narrow" w:cstheme="minorBidi"/>
          <w:sz w:val="20"/>
          <w:szCs w:val="22"/>
        </w:rPr>
      </w:pPr>
      <w:r>
        <w:rPr>
          <w:rFonts w:ascii="Arial Narrow" w:eastAsiaTheme="minorHAnsi" w:hAnsi="Arial Narrow" w:cstheme="minorBidi"/>
          <w:sz w:val="20"/>
          <w:szCs w:val="22"/>
        </w:rPr>
        <w:t>Abbreviations:</w:t>
      </w:r>
      <w:r w:rsidR="00D12499">
        <w:rPr>
          <w:rFonts w:ascii="Arial Narrow" w:eastAsiaTheme="minorHAnsi" w:hAnsi="Arial Narrow" w:cstheme="minorBidi"/>
          <w:sz w:val="20"/>
          <w:szCs w:val="22"/>
        </w:rPr>
        <w:t xml:space="preserve"> AEs=adverse events;</w:t>
      </w:r>
      <w:r>
        <w:rPr>
          <w:rFonts w:ascii="Arial Narrow" w:eastAsiaTheme="minorHAnsi" w:hAnsi="Arial Narrow" w:cstheme="minorBidi"/>
          <w:sz w:val="20"/>
          <w:szCs w:val="22"/>
        </w:rPr>
        <w:t xml:space="preserve"> </w:t>
      </w:r>
      <w:r w:rsidR="009843FB">
        <w:rPr>
          <w:rFonts w:ascii="Arial Narrow" w:eastAsiaTheme="minorHAnsi" w:hAnsi="Arial Narrow" w:cstheme="minorBidi"/>
          <w:sz w:val="20"/>
          <w:szCs w:val="22"/>
        </w:rPr>
        <w:t>DPMQ=dispensed price for maximum quantity;</w:t>
      </w:r>
      <w:r w:rsidR="00E74E37">
        <w:rPr>
          <w:rFonts w:ascii="Arial Narrow" w:eastAsiaTheme="minorHAnsi" w:hAnsi="Arial Narrow" w:cstheme="minorBidi"/>
          <w:sz w:val="20"/>
          <w:szCs w:val="22"/>
        </w:rPr>
        <w:t xml:space="preserve"> ICER=incremental cost-effectiveness ratio;</w:t>
      </w:r>
      <w:r w:rsidR="009843FB">
        <w:rPr>
          <w:rFonts w:ascii="Arial Narrow" w:eastAsiaTheme="minorHAnsi" w:hAnsi="Arial Narrow" w:cstheme="minorBidi"/>
          <w:sz w:val="20"/>
          <w:szCs w:val="22"/>
        </w:rPr>
        <w:t xml:space="preserve"> PI=Product Information;</w:t>
      </w:r>
      <w:r w:rsidR="008F01B3">
        <w:rPr>
          <w:rFonts w:ascii="Arial Narrow" w:eastAsiaTheme="minorHAnsi" w:hAnsi="Arial Narrow" w:cstheme="minorBidi"/>
          <w:sz w:val="20"/>
          <w:szCs w:val="22"/>
        </w:rPr>
        <w:t xml:space="preserve"> QALY= quality adjusted life year;</w:t>
      </w:r>
      <w:r w:rsidR="009843FB">
        <w:rPr>
          <w:rFonts w:ascii="Arial Narrow" w:eastAsiaTheme="minorHAnsi" w:hAnsi="Arial Narrow" w:cstheme="minorBidi"/>
          <w:sz w:val="20"/>
          <w:szCs w:val="22"/>
        </w:rPr>
        <w:t xml:space="preserve"> TGA=Therapeutic Goods Administration</w:t>
      </w:r>
    </w:p>
    <w:p w:rsidR="00661F5F" w:rsidRPr="00391ECF" w:rsidRDefault="00661F5F" w:rsidP="005169EF">
      <w:pPr>
        <w:spacing w:before="40" w:after="40"/>
        <w:rPr>
          <w:rFonts w:ascii="Arial Narrow" w:eastAsiaTheme="minorHAnsi" w:hAnsi="Arial Narrow" w:cstheme="minorBidi"/>
          <w:sz w:val="20"/>
          <w:szCs w:val="22"/>
        </w:rPr>
      </w:pPr>
      <w:r>
        <w:rPr>
          <w:rFonts w:ascii="Arial Narrow" w:eastAsiaTheme="minorHAnsi" w:hAnsi="Arial Narrow" w:cstheme="minorBidi"/>
          <w:sz w:val="20"/>
          <w:szCs w:val="22"/>
        </w:rPr>
        <w:t xml:space="preserve">Source: compiled from the July 2014 </w:t>
      </w:r>
      <w:r w:rsidR="00264040">
        <w:rPr>
          <w:rFonts w:ascii="Arial Narrow" w:eastAsiaTheme="minorHAnsi" w:hAnsi="Arial Narrow" w:cstheme="minorBidi"/>
          <w:sz w:val="20"/>
          <w:szCs w:val="22"/>
        </w:rPr>
        <w:t>PSD</w:t>
      </w:r>
      <w:r>
        <w:rPr>
          <w:rFonts w:ascii="Arial Narrow" w:eastAsiaTheme="minorHAnsi" w:hAnsi="Arial Narrow" w:cstheme="minorBidi"/>
          <w:sz w:val="20"/>
          <w:szCs w:val="22"/>
        </w:rPr>
        <w:t xml:space="preserve">, November 2014 </w:t>
      </w:r>
      <w:r w:rsidR="00264040">
        <w:rPr>
          <w:rFonts w:ascii="Arial Narrow" w:eastAsiaTheme="minorHAnsi" w:hAnsi="Arial Narrow" w:cstheme="minorBidi"/>
          <w:sz w:val="20"/>
          <w:szCs w:val="22"/>
        </w:rPr>
        <w:t>PSD</w:t>
      </w:r>
      <w:r>
        <w:rPr>
          <w:rFonts w:ascii="Arial Narrow" w:eastAsiaTheme="minorHAnsi" w:hAnsi="Arial Narrow" w:cstheme="minorBidi"/>
          <w:sz w:val="20"/>
          <w:szCs w:val="22"/>
        </w:rPr>
        <w:t xml:space="preserve">, March 2017 </w:t>
      </w:r>
      <w:r w:rsidR="00264040">
        <w:rPr>
          <w:rFonts w:ascii="Arial Narrow" w:eastAsiaTheme="minorHAnsi" w:hAnsi="Arial Narrow" w:cstheme="minorBidi"/>
          <w:sz w:val="20"/>
          <w:szCs w:val="22"/>
        </w:rPr>
        <w:t>PSD</w:t>
      </w:r>
      <w:r>
        <w:rPr>
          <w:rFonts w:ascii="Arial Narrow" w:eastAsiaTheme="minorHAnsi" w:hAnsi="Arial Narrow" w:cstheme="minorBidi"/>
          <w:sz w:val="20"/>
          <w:szCs w:val="22"/>
        </w:rPr>
        <w:t xml:space="preserve"> and</w:t>
      </w:r>
      <w:r w:rsidR="00792353">
        <w:rPr>
          <w:rFonts w:ascii="Arial Narrow" w:eastAsiaTheme="minorHAnsi" w:hAnsi="Arial Narrow" w:cstheme="minorBidi"/>
          <w:sz w:val="20"/>
          <w:szCs w:val="22"/>
        </w:rPr>
        <w:t xml:space="preserve"> November 2017 minor submission.</w:t>
      </w:r>
    </w:p>
    <w:p w:rsidR="005A3173" w:rsidRPr="00E42BDB" w:rsidRDefault="005A3173" w:rsidP="00E06658">
      <w:pPr>
        <w:pStyle w:val="PBACHeading1"/>
        <w:keepNext/>
        <w:spacing w:before="240" w:after="120"/>
        <w:ind w:left="709" w:hanging="709"/>
        <w:rPr>
          <w:rFonts w:asciiTheme="minorHAnsi" w:hAnsiTheme="minorHAnsi"/>
          <w:sz w:val="32"/>
          <w:szCs w:val="32"/>
        </w:rPr>
      </w:pPr>
      <w:r w:rsidRPr="003C2FB5">
        <w:rPr>
          <w:rFonts w:asciiTheme="minorHAnsi" w:hAnsiTheme="minorHAnsi"/>
          <w:sz w:val="32"/>
          <w:szCs w:val="32"/>
        </w:rPr>
        <w:t>Comparator</w:t>
      </w:r>
    </w:p>
    <w:p w:rsidR="00E06658" w:rsidRDefault="00FF2801" w:rsidP="00E06658">
      <w:pPr>
        <w:pStyle w:val="ListParagraph"/>
        <w:keepNext/>
        <w:widowControl/>
        <w:numPr>
          <w:ilvl w:val="1"/>
          <w:numId w:val="14"/>
        </w:numPr>
        <w:spacing w:after="12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w:t>
      </w:r>
      <w:r w:rsidR="000964A0">
        <w:rPr>
          <w:rFonts w:asciiTheme="minorHAnsi" w:eastAsiaTheme="minorHAnsi" w:hAnsiTheme="minorHAnsi" w:cstheme="minorBidi"/>
          <w:snapToGrid/>
          <w:sz w:val="24"/>
          <w:szCs w:val="22"/>
        </w:rPr>
        <w:t xml:space="preserve">submission nominated </w:t>
      </w:r>
      <w:r w:rsidR="004D5114">
        <w:rPr>
          <w:rFonts w:asciiTheme="minorHAnsi" w:eastAsiaTheme="minorHAnsi" w:hAnsiTheme="minorHAnsi" w:cstheme="minorBidi"/>
          <w:snapToGrid/>
          <w:sz w:val="24"/>
          <w:szCs w:val="22"/>
        </w:rPr>
        <w:t>salvage therapy (high dose dexamethasone; HDD)</w:t>
      </w:r>
      <w:r w:rsidR="00E06658">
        <w:rPr>
          <w:rFonts w:asciiTheme="minorHAnsi" w:eastAsiaTheme="minorHAnsi" w:hAnsiTheme="minorHAnsi" w:cstheme="minorBidi"/>
          <w:snapToGrid/>
          <w:sz w:val="24"/>
          <w:szCs w:val="22"/>
        </w:rPr>
        <w:t>,</w:t>
      </w:r>
      <w:r w:rsidR="004D5114">
        <w:rPr>
          <w:rFonts w:asciiTheme="minorHAnsi" w:eastAsiaTheme="minorHAnsi" w:hAnsiTheme="minorHAnsi" w:cstheme="minorBidi"/>
          <w:snapToGrid/>
          <w:sz w:val="24"/>
          <w:szCs w:val="22"/>
        </w:rPr>
        <w:t xml:space="preserve"> or palliative care as the comparators (as per the July 2014 major submission)</w:t>
      </w:r>
      <w:r w:rsidR="00AD4210">
        <w:rPr>
          <w:rFonts w:asciiTheme="minorHAnsi" w:eastAsiaTheme="minorHAnsi" w:hAnsiTheme="minorHAnsi" w:cstheme="minorBidi"/>
          <w:snapToGrid/>
          <w:sz w:val="24"/>
          <w:szCs w:val="22"/>
        </w:rPr>
        <w:t>.</w:t>
      </w:r>
      <w:r w:rsidR="00AD4210" w:rsidRPr="00AD4210">
        <w:rPr>
          <w:rFonts w:asciiTheme="minorHAnsi" w:eastAsiaTheme="minorHAnsi" w:hAnsiTheme="minorHAnsi" w:cstheme="minorBidi"/>
          <w:snapToGrid/>
          <w:sz w:val="24"/>
          <w:szCs w:val="22"/>
        </w:rPr>
        <w:t xml:space="preserve"> </w:t>
      </w:r>
    </w:p>
    <w:p w:rsidR="00E06658" w:rsidRDefault="00E06658" w:rsidP="00E06658">
      <w:pPr>
        <w:pStyle w:val="ListParagraph"/>
        <w:keepNext/>
        <w:widowControl/>
        <w:spacing w:after="120"/>
        <w:rPr>
          <w:rFonts w:asciiTheme="minorHAnsi" w:eastAsiaTheme="minorHAnsi" w:hAnsiTheme="minorHAnsi" w:cstheme="minorBidi"/>
          <w:snapToGrid/>
          <w:sz w:val="24"/>
          <w:szCs w:val="22"/>
        </w:rPr>
      </w:pPr>
    </w:p>
    <w:p w:rsidR="00C35996" w:rsidRDefault="00AD4210" w:rsidP="00E06658">
      <w:pPr>
        <w:pStyle w:val="ListParagraph"/>
        <w:keepNext/>
        <w:widowControl/>
        <w:numPr>
          <w:ilvl w:val="1"/>
          <w:numId w:val="14"/>
        </w:numPr>
        <w:spacing w:after="120"/>
        <w:rPr>
          <w:rFonts w:asciiTheme="minorHAnsi" w:eastAsiaTheme="minorHAnsi" w:hAnsiTheme="minorHAnsi" w:cstheme="minorBidi"/>
          <w:snapToGrid/>
          <w:sz w:val="24"/>
          <w:szCs w:val="22"/>
        </w:rPr>
      </w:pPr>
      <w:r w:rsidRPr="00AD4210">
        <w:rPr>
          <w:rFonts w:asciiTheme="minorHAnsi" w:eastAsiaTheme="minorHAnsi" w:hAnsiTheme="minorHAnsi" w:cstheme="minorBidi"/>
          <w:snapToGrid/>
          <w:sz w:val="24"/>
          <w:szCs w:val="22"/>
        </w:rPr>
        <w:t>The PBAC previously accepted that HDD was the app</w:t>
      </w:r>
      <w:r w:rsidR="00E06658">
        <w:rPr>
          <w:rFonts w:asciiTheme="minorHAnsi" w:eastAsiaTheme="minorHAnsi" w:hAnsiTheme="minorHAnsi" w:cstheme="minorBidi"/>
          <w:snapToGrid/>
          <w:sz w:val="24"/>
          <w:szCs w:val="22"/>
        </w:rPr>
        <w:t>ropriate main comparator in the</w:t>
      </w:r>
      <w:r w:rsidRPr="00AD4210">
        <w:rPr>
          <w:rFonts w:asciiTheme="minorHAnsi" w:eastAsiaTheme="minorHAnsi" w:hAnsiTheme="minorHAnsi" w:cstheme="minorBidi"/>
          <w:snapToGrid/>
          <w:sz w:val="24"/>
          <w:szCs w:val="22"/>
        </w:rPr>
        <w:t xml:space="preserve"> context</w:t>
      </w:r>
      <w:r w:rsidR="00E06658">
        <w:rPr>
          <w:rFonts w:asciiTheme="minorHAnsi" w:eastAsiaTheme="minorHAnsi" w:hAnsiTheme="minorHAnsi" w:cstheme="minorBidi"/>
          <w:snapToGrid/>
          <w:sz w:val="24"/>
          <w:szCs w:val="22"/>
        </w:rPr>
        <w:t xml:space="preserve"> of the restriction only included patients who are intolerant to bortezomib or lenalidomide with clinically appropriate dose adjustment</w:t>
      </w:r>
      <w:r w:rsidRPr="00AD4210">
        <w:rPr>
          <w:rFonts w:asciiTheme="minorHAnsi" w:eastAsiaTheme="minorHAnsi" w:hAnsiTheme="minorHAnsi" w:cstheme="minorBidi"/>
          <w:snapToGrid/>
          <w:sz w:val="24"/>
          <w:szCs w:val="22"/>
        </w:rPr>
        <w:t>, while noting that other salvage therapies would also be rep</w:t>
      </w:r>
      <w:r>
        <w:rPr>
          <w:rFonts w:asciiTheme="minorHAnsi" w:eastAsiaTheme="minorHAnsi" w:hAnsiTheme="minorHAnsi" w:cstheme="minorBidi"/>
          <w:snapToGrid/>
          <w:sz w:val="24"/>
          <w:szCs w:val="22"/>
        </w:rPr>
        <w:t>laced in practice (paragraph 7.3</w:t>
      </w:r>
      <w:r w:rsidRPr="00AD4210">
        <w:rPr>
          <w:rFonts w:asciiTheme="minorHAnsi" w:eastAsiaTheme="minorHAnsi" w:hAnsiTheme="minorHAnsi" w:cstheme="minorBidi"/>
          <w:snapToGrid/>
          <w:sz w:val="24"/>
          <w:szCs w:val="22"/>
        </w:rPr>
        <w:t xml:space="preserve">, July 2014 </w:t>
      </w:r>
      <w:r>
        <w:rPr>
          <w:rFonts w:asciiTheme="minorHAnsi" w:eastAsiaTheme="minorHAnsi" w:hAnsiTheme="minorHAnsi" w:cstheme="minorBidi"/>
          <w:snapToGrid/>
          <w:sz w:val="24"/>
          <w:szCs w:val="22"/>
        </w:rPr>
        <w:t>Public Summary Document</w:t>
      </w:r>
      <w:r w:rsidR="00264040">
        <w:rPr>
          <w:rFonts w:asciiTheme="minorHAnsi" w:eastAsiaTheme="minorHAnsi" w:hAnsiTheme="minorHAnsi" w:cstheme="minorBidi"/>
          <w:snapToGrid/>
          <w:sz w:val="24"/>
          <w:szCs w:val="22"/>
        </w:rPr>
        <w:t>, PSD</w:t>
      </w:r>
      <w:r w:rsidRPr="00AD4210">
        <w:rPr>
          <w:rFonts w:asciiTheme="minorHAnsi" w:eastAsiaTheme="minorHAnsi" w:hAnsiTheme="minorHAnsi" w:cstheme="minorBidi"/>
          <w:snapToGrid/>
          <w:sz w:val="24"/>
          <w:szCs w:val="22"/>
        </w:rPr>
        <w:t>).</w:t>
      </w:r>
    </w:p>
    <w:p w:rsidR="005A7EAB" w:rsidRDefault="005A7EAB" w:rsidP="002624BF">
      <w:pPr>
        <w:pStyle w:val="ListParagraph"/>
        <w:widowControl/>
        <w:spacing w:after="120"/>
        <w:rPr>
          <w:rFonts w:asciiTheme="minorHAnsi" w:eastAsiaTheme="minorHAnsi" w:hAnsiTheme="minorHAnsi" w:cstheme="minorBidi"/>
          <w:snapToGrid/>
          <w:sz w:val="24"/>
          <w:szCs w:val="22"/>
        </w:rPr>
      </w:pPr>
    </w:p>
    <w:p w:rsidR="009D6044" w:rsidRPr="003449A6" w:rsidRDefault="005A7EAB" w:rsidP="00E06658">
      <w:pPr>
        <w:pStyle w:val="ListParagraph"/>
        <w:numPr>
          <w:ilvl w:val="1"/>
          <w:numId w:val="14"/>
        </w:numPr>
        <w:spacing w:after="120"/>
        <w:rPr>
          <w:rFonts w:asciiTheme="minorHAnsi" w:eastAsiaTheme="minorHAnsi" w:hAnsiTheme="minorHAnsi" w:cstheme="minorBidi"/>
          <w:snapToGrid/>
          <w:sz w:val="24"/>
          <w:szCs w:val="22"/>
        </w:rPr>
      </w:pPr>
      <w:r w:rsidRPr="003449A6">
        <w:rPr>
          <w:rFonts w:asciiTheme="minorHAnsi" w:eastAsiaTheme="minorHAnsi" w:hAnsiTheme="minorHAnsi" w:cstheme="minorBidi"/>
          <w:snapToGrid/>
          <w:sz w:val="24"/>
          <w:szCs w:val="22"/>
        </w:rPr>
        <w:t>The restriction</w:t>
      </w:r>
      <w:r w:rsidR="00E06658" w:rsidRPr="003449A6">
        <w:rPr>
          <w:rFonts w:asciiTheme="minorHAnsi" w:eastAsiaTheme="minorHAnsi" w:hAnsiTheme="minorHAnsi" w:cstheme="minorBidi"/>
          <w:snapToGrid/>
          <w:sz w:val="24"/>
          <w:szCs w:val="22"/>
        </w:rPr>
        <w:t xml:space="preserve"> requested</w:t>
      </w:r>
      <w:r w:rsidRPr="003449A6">
        <w:rPr>
          <w:rFonts w:asciiTheme="minorHAnsi" w:eastAsiaTheme="minorHAnsi" w:hAnsiTheme="minorHAnsi" w:cstheme="minorBidi"/>
          <w:snapToGrid/>
          <w:sz w:val="24"/>
          <w:szCs w:val="22"/>
        </w:rPr>
        <w:t xml:space="preserve"> in the current submission </w:t>
      </w:r>
      <w:r w:rsidR="0066373C" w:rsidRPr="003449A6">
        <w:rPr>
          <w:rFonts w:asciiTheme="minorHAnsi" w:eastAsiaTheme="minorHAnsi" w:hAnsiTheme="minorHAnsi" w:cstheme="minorBidi"/>
          <w:snapToGrid/>
          <w:sz w:val="24"/>
          <w:szCs w:val="22"/>
        </w:rPr>
        <w:t>d</w:t>
      </w:r>
      <w:r w:rsidR="0066373C">
        <w:rPr>
          <w:rFonts w:asciiTheme="minorHAnsi" w:eastAsiaTheme="minorHAnsi" w:hAnsiTheme="minorHAnsi" w:cstheme="minorBidi"/>
          <w:snapToGrid/>
          <w:sz w:val="24"/>
          <w:szCs w:val="22"/>
        </w:rPr>
        <w:t>id not specifically</w:t>
      </w:r>
      <w:r w:rsidRPr="003449A6">
        <w:rPr>
          <w:rFonts w:asciiTheme="minorHAnsi" w:eastAsiaTheme="minorHAnsi" w:hAnsiTheme="minorHAnsi" w:cstheme="minorBidi"/>
          <w:snapToGrid/>
          <w:sz w:val="24"/>
          <w:szCs w:val="22"/>
        </w:rPr>
        <w:t xml:space="preserve"> preclude patients who are intolerant to bortezomib or lenalidomide with clinically appropriate dose adjustment</w:t>
      </w:r>
      <w:r w:rsidR="00E06658" w:rsidRPr="003449A6">
        <w:rPr>
          <w:rFonts w:asciiTheme="minorHAnsi" w:eastAsiaTheme="minorHAnsi" w:hAnsiTheme="minorHAnsi" w:cstheme="minorBidi"/>
          <w:snapToGrid/>
          <w:sz w:val="24"/>
          <w:szCs w:val="22"/>
        </w:rPr>
        <w:t xml:space="preserve"> and </w:t>
      </w:r>
      <w:r w:rsidR="004E026A" w:rsidRPr="003449A6">
        <w:rPr>
          <w:rFonts w:asciiTheme="minorHAnsi" w:eastAsiaTheme="minorHAnsi" w:hAnsiTheme="minorHAnsi" w:cstheme="minorBidi"/>
          <w:snapToGrid/>
          <w:sz w:val="24"/>
          <w:szCs w:val="22"/>
        </w:rPr>
        <w:t xml:space="preserve">therefore notes that lenalidomide and/or bortezomib adjusted scheduling may be appropriate comparators in this context. </w:t>
      </w:r>
      <w:r w:rsidR="0066373C">
        <w:rPr>
          <w:rFonts w:asciiTheme="minorHAnsi" w:eastAsiaTheme="minorHAnsi" w:hAnsiTheme="minorHAnsi" w:cstheme="minorBidi"/>
          <w:snapToGrid/>
          <w:sz w:val="24"/>
          <w:szCs w:val="22"/>
        </w:rPr>
        <w:t>However, t</w:t>
      </w:r>
      <w:r w:rsidR="00E06658" w:rsidRPr="003449A6">
        <w:rPr>
          <w:rFonts w:asciiTheme="minorHAnsi" w:eastAsiaTheme="minorHAnsi" w:hAnsiTheme="minorHAnsi" w:cstheme="minorBidi"/>
          <w:snapToGrid/>
          <w:sz w:val="24"/>
          <w:szCs w:val="22"/>
        </w:rPr>
        <w:t>he submission argued that patients are only deemed intolerant/contraindicated to therapy after clinically appropriate dose adjustment has been attempted</w:t>
      </w:r>
      <w:r w:rsidR="0066373C">
        <w:rPr>
          <w:rFonts w:asciiTheme="minorHAnsi" w:eastAsiaTheme="minorHAnsi" w:hAnsiTheme="minorHAnsi" w:cstheme="minorBidi"/>
          <w:snapToGrid/>
          <w:sz w:val="24"/>
          <w:szCs w:val="22"/>
        </w:rPr>
        <w:t xml:space="preserve"> and therefore this was unnecessary</w:t>
      </w:r>
      <w:r w:rsidR="003449A6">
        <w:rPr>
          <w:rFonts w:asciiTheme="minorHAnsi" w:eastAsiaTheme="minorHAnsi" w:hAnsiTheme="minorHAnsi" w:cstheme="minorBidi"/>
          <w:snapToGrid/>
          <w:sz w:val="24"/>
          <w:szCs w:val="22"/>
        </w:rPr>
        <w:t>.</w:t>
      </w:r>
    </w:p>
    <w:p w:rsidR="000B558D"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t>C</w:t>
      </w:r>
      <w:r w:rsidR="00D84934" w:rsidRPr="003C2FB5">
        <w:rPr>
          <w:rFonts w:asciiTheme="minorHAnsi" w:hAnsiTheme="minorHAnsi"/>
          <w:sz w:val="32"/>
          <w:szCs w:val="32"/>
        </w:rPr>
        <w:t>onsideration of the evidence</w:t>
      </w:r>
    </w:p>
    <w:p w:rsidR="004A20EB" w:rsidRPr="003449A6" w:rsidRDefault="004A20EB" w:rsidP="00901FA7">
      <w:pPr>
        <w:widowControl w:val="0"/>
        <w:spacing w:before="240" w:line="276" w:lineRule="auto"/>
        <w:jc w:val="both"/>
        <w:outlineLvl w:val="1"/>
        <w:rPr>
          <w:rFonts w:asciiTheme="minorHAnsi" w:hAnsiTheme="minorHAnsi" w:cs="Arial"/>
          <w:b/>
          <w:bCs/>
          <w:i/>
          <w:snapToGrid w:val="0"/>
          <w:sz w:val="28"/>
          <w:szCs w:val="28"/>
        </w:rPr>
      </w:pPr>
      <w:r w:rsidRPr="003449A6">
        <w:rPr>
          <w:rFonts w:asciiTheme="minorHAnsi" w:hAnsiTheme="minorHAnsi" w:cs="Arial"/>
          <w:b/>
          <w:bCs/>
          <w:i/>
          <w:snapToGrid w:val="0"/>
          <w:sz w:val="28"/>
          <w:szCs w:val="28"/>
        </w:rPr>
        <w:t>Sponsor hearing</w:t>
      </w:r>
    </w:p>
    <w:p w:rsidR="004A20EB" w:rsidRPr="003449A6" w:rsidRDefault="004A20EB" w:rsidP="004A20EB">
      <w:pPr>
        <w:widowControl w:val="0"/>
        <w:numPr>
          <w:ilvl w:val="1"/>
          <w:numId w:val="5"/>
        </w:numPr>
        <w:spacing w:after="120"/>
        <w:jc w:val="both"/>
        <w:rPr>
          <w:rFonts w:asciiTheme="minorHAnsi" w:hAnsiTheme="minorHAnsi" w:cs="Arial"/>
          <w:bCs/>
          <w:snapToGrid w:val="0"/>
        </w:rPr>
      </w:pPr>
      <w:r w:rsidRPr="003449A6">
        <w:rPr>
          <w:rFonts w:asciiTheme="minorHAnsi" w:hAnsiTheme="minorHAnsi" w:cs="Arial"/>
          <w:bCs/>
          <w:snapToGrid w:val="0"/>
        </w:rPr>
        <w:t>There was no hearing for this item as it was a minor submission.</w:t>
      </w:r>
    </w:p>
    <w:p w:rsidR="004A20EB" w:rsidRPr="00FD0882" w:rsidRDefault="004A20EB" w:rsidP="00901FA7">
      <w:pPr>
        <w:widowControl w:val="0"/>
        <w:spacing w:before="240" w:line="276" w:lineRule="auto"/>
        <w:jc w:val="both"/>
        <w:outlineLvl w:val="1"/>
        <w:rPr>
          <w:rFonts w:asciiTheme="minorHAnsi" w:hAnsiTheme="minorHAnsi" w:cs="Arial"/>
          <w:b/>
          <w:bCs/>
          <w:i/>
          <w:snapToGrid w:val="0"/>
          <w:sz w:val="28"/>
          <w:szCs w:val="28"/>
        </w:rPr>
      </w:pPr>
      <w:r w:rsidRPr="00FD0882">
        <w:rPr>
          <w:rFonts w:asciiTheme="minorHAnsi" w:hAnsiTheme="minorHAnsi" w:cs="Arial"/>
          <w:b/>
          <w:bCs/>
          <w:i/>
          <w:snapToGrid w:val="0"/>
          <w:sz w:val="28"/>
          <w:szCs w:val="28"/>
        </w:rPr>
        <w:t>Consumer comments</w:t>
      </w:r>
    </w:p>
    <w:p w:rsidR="004A20EB" w:rsidRPr="00FD0882" w:rsidRDefault="004A20EB" w:rsidP="004A20EB">
      <w:pPr>
        <w:widowControl w:val="0"/>
        <w:numPr>
          <w:ilvl w:val="1"/>
          <w:numId w:val="5"/>
        </w:numPr>
        <w:spacing w:after="120"/>
        <w:jc w:val="both"/>
        <w:rPr>
          <w:rFonts w:asciiTheme="minorHAnsi" w:hAnsiTheme="minorHAnsi" w:cs="Arial"/>
          <w:bCs/>
          <w:snapToGrid w:val="0"/>
        </w:rPr>
      </w:pPr>
      <w:r w:rsidRPr="00FD0882">
        <w:rPr>
          <w:rFonts w:asciiTheme="minorHAnsi" w:hAnsiTheme="minorHAnsi" w:cs="Arial"/>
          <w:bCs/>
          <w:snapToGrid w:val="0"/>
        </w:rPr>
        <w:t>The PBAC noted that no consumer comments were received for this item.</w:t>
      </w:r>
    </w:p>
    <w:p w:rsidR="00D84934" w:rsidRPr="00937958" w:rsidRDefault="00D84934" w:rsidP="00937958">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trials</w:t>
      </w:r>
    </w:p>
    <w:p w:rsidR="0076420C" w:rsidRDefault="00FB00A2"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No new clinical trials were presented in the submission. </w:t>
      </w:r>
    </w:p>
    <w:p w:rsidR="00904A93" w:rsidRDefault="00904A93" w:rsidP="00904A9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Comparative effectiveness</w:t>
      </w:r>
    </w:p>
    <w:p w:rsidR="00B33987" w:rsidRDefault="00B33987" w:rsidP="00904A9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submission </w:t>
      </w:r>
      <w:r w:rsidR="004C5000">
        <w:rPr>
          <w:rFonts w:asciiTheme="minorHAnsi" w:eastAsiaTheme="minorHAnsi" w:hAnsiTheme="minorHAnsi" w:cstheme="minorBidi"/>
          <w:snapToGrid/>
          <w:sz w:val="24"/>
          <w:szCs w:val="22"/>
        </w:rPr>
        <w:t>claimed</w:t>
      </w:r>
      <w:r w:rsidR="00B56CC0">
        <w:rPr>
          <w:rFonts w:asciiTheme="minorHAnsi" w:eastAsiaTheme="minorHAnsi" w:hAnsiTheme="minorHAnsi" w:cstheme="minorBidi"/>
          <w:snapToGrid/>
          <w:sz w:val="24"/>
          <w:szCs w:val="22"/>
        </w:rPr>
        <w:t xml:space="preserve"> that the clinical evidence from the primary clinical trial MM</w:t>
      </w:r>
      <w:r w:rsidR="00344315">
        <w:rPr>
          <w:rFonts w:asciiTheme="minorHAnsi" w:eastAsiaTheme="minorHAnsi" w:hAnsiTheme="minorHAnsi" w:cstheme="minorBidi"/>
          <w:snapToGrid/>
          <w:sz w:val="24"/>
          <w:szCs w:val="22"/>
        </w:rPr>
        <w:noBreakHyphen/>
      </w:r>
      <w:r w:rsidR="00B56CC0">
        <w:rPr>
          <w:rFonts w:asciiTheme="minorHAnsi" w:eastAsiaTheme="minorHAnsi" w:hAnsiTheme="minorHAnsi" w:cstheme="minorBidi"/>
          <w:snapToGrid/>
          <w:sz w:val="24"/>
          <w:szCs w:val="22"/>
        </w:rPr>
        <w:t xml:space="preserve">003 on which the pomalidomide PBS listing was based, demonstrates that </w:t>
      </w:r>
      <w:r w:rsidR="004C5000">
        <w:rPr>
          <w:rFonts w:asciiTheme="minorHAnsi" w:eastAsiaTheme="minorHAnsi" w:hAnsiTheme="minorHAnsi" w:cstheme="minorBidi"/>
          <w:snapToGrid/>
          <w:sz w:val="24"/>
          <w:szCs w:val="22"/>
        </w:rPr>
        <w:t>the reason for discontinuation of treatment with bortezomib is unlikely to be a treatment effect modifier</w:t>
      </w:r>
      <w:r w:rsidR="009F7CCE">
        <w:rPr>
          <w:rFonts w:asciiTheme="minorHAnsi" w:eastAsiaTheme="minorHAnsi" w:hAnsiTheme="minorHAnsi" w:cstheme="minorBidi"/>
          <w:snapToGrid/>
          <w:sz w:val="24"/>
          <w:szCs w:val="22"/>
        </w:rPr>
        <w:t>. The submission presented a subgroup analysis of trial MM-003 including</w:t>
      </w:r>
      <w:r w:rsidR="0047265B">
        <w:rPr>
          <w:rFonts w:asciiTheme="minorHAnsi" w:eastAsiaTheme="minorHAnsi" w:hAnsiTheme="minorHAnsi" w:cstheme="minorBidi"/>
          <w:snapToGrid/>
          <w:sz w:val="24"/>
          <w:szCs w:val="22"/>
        </w:rPr>
        <w:t xml:space="preserve"> the patient group comprised of patients who were refractory/intolerant to </w:t>
      </w:r>
      <w:r w:rsidR="003C76CD">
        <w:rPr>
          <w:rFonts w:asciiTheme="minorHAnsi" w:eastAsiaTheme="minorHAnsi" w:hAnsiTheme="minorHAnsi" w:cstheme="minorBidi"/>
          <w:snapToGrid/>
          <w:sz w:val="24"/>
          <w:szCs w:val="22"/>
        </w:rPr>
        <w:t xml:space="preserve">bortezomib </w:t>
      </w:r>
      <w:r w:rsidR="0047265B">
        <w:rPr>
          <w:rFonts w:asciiTheme="minorHAnsi" w:eastAsiaTheme="minorHAnsi" w:hAnsiTheme="minorHAnsi" w:cstheme="minorBidi"/>
          <w:snapToGrid/>
          <w:sz w:val="24"/>
          <w:szCs w:val="22"/>
        </w:rPr>
        <w:t>after a minimum of 2 cycles (N=45, 14.9%)</w:t>
      </w:r>
      <w:r w:rsidR="00A001F0">
        <w:rPr>
          <w:rFonts w:asciiTheme="minorHAnsi" w:eastAsiaTheme="minorHAnsi" w:hAnsiTheme="minorHAnsi" w:cstheme="minorBidi"/>
          <w:snapToGrid/>
          <w:sz w:val="24"/>
          <w:szCs w:val="22"/>
        </w:rPr>
        <w:t>.</w:t>
      </w:r>
      <w:r w:rsidR="00390735">
        <w:rPr>
          <w:rFonts w:asciiTheme="minorHAnsi" w:eastAsiaTheme="minorHAnsi" w:hAnsiTheme="minorHAnsi" w:cstheme="minorBidi"/>
          <w:snapToGrid/>
          <w:sz w:val="24"/>
          <w:szCs w:val="22"/>
        </w:rPr>
        <w:t xml:space="preserve"> The subgroup analysis was previously presented in the March 2016 submission.</w:t>
      </w:r>
      <w:r w:rsidR="00C035D9">
        <w:rPr>
          <w:rFonts w:asciiTheme="minorHAnsi" w:eastAsiaTheme="minorHAnsi" w:hAnsiTheme="minorHAnsi" w:cstheme="minorBidi"/>
          <w:snapToGrid/>
          <w:sz w:val="24"/>
          <w:szCs w:val="22"/>
        </w:rPr>
        <w:t xml:space="preserve"> </w:t>
      </w:r>
      <w:r w:rsidR="005E0E3E">
        <w:rPr>
          <w:rFonts w:asciiTheme="minorHAnsi" w:eastAsiaTheme="minorHAnsi" w:hAnsiTheme="minorHAnsi" w:cstheme="minorBidi"/>
          <w:snapToGrid/>
          <w:sz w:val="24"/>
          <w:szCs w:val="22"/>
        </w:rPr>
        <w:t xml:space="preserve">The </w:t>
      </w:r>
      <w:r w:rsidR="00C7439E">
        <w:rPr>
          <w:rFonts w:asciiTheme="minorHAnsi" w:eastAsiaTheme="minorHAnsi" w:hAnsiTheme="minorHAnsi" w:cstheme="minorBidi"/>
          <w:snapToGrid/>
          <w:sz w:val="24"/>
          <w:szCs w:val="22"/>
        </w:rPr>
        <w:t xml:space="preserve">submission claimed there was no significant difference in terms of progression free survival or overall survival for this patient subgroup compared with the broader trial population. </w:t>
      </w:r>
      <w:r w:rsidR="006A2FD7">
        <w:rPr>
          <w:rFonts w:asciiTheme="minorHAnsi" w:eastAsiaTheme="minorHAnsi" w:hAnsiTheme="minorHAnsi" w:cstheme="minorBidi"/>
          <w:snapToGrid/>
          <w:sz w:val="24"/>
          <w:szCs w:val="22"/>
        </w:rPr>
        <w:t>The progression free survival and overall survival results for the</w:t>
      </w:r>
      <w:r w:rsidR="00B24064">
        <w:rPr>
          <w:rFonts w:asciiTheme="minorHAnsi" w:eastAsiaTheme="minorHAnsi" w:hAnsiTheme="minorHAnsi" w:cstheme="minorBidi"/>
          <w:snapToGrid/>
          <w:sz w:val="24"/>
          <w:szCs w:val="22"/>
        </w:rPr>
        <w:t xml:space="preserve"> subgroup and</w:t>
      </w:r>
      <w:r w:rsidR="006A2FD7">
        <w:rPr>
          <w:rFonts w:asciiTheme="minorHAnsi" w:eastAsiaTheme="minorHAnsi" w:hAnsiTheme="minorHAnsi" w:cstheme="minorBidi"/>
          <w:snapToGrid/>
          <w:sz w:val="24"/>
          <w:szCs w:val="22"/>
        </w:rPr>
        <w:t xml:space="preserve"> broader trial population are presented in Table </w:t>
      </w:r>
      <w:r w:rsidR="00B24064">
        <w:rPr>
          <w:rFonts w:asciiTheme="minorHAnsi" w:eastAsiaTheme="minorHAnsi" w:hAnsiTheme="minorHAnsi" w:cstheme="minorBidi"/>
          <w:snapToGrid/>
          <w:sz w:val="24"/>
          <w:szCs w:val="22"/>
        </w:rPr>
        <w:t xml:space="preserve">2 </w:t>
      </w:r>
      <w:r w:rsidR="006A2FD7">
        <w:rPr>
          <w:rFonts w:asciiTheme="minorHAnsi" w:eastAsiaTheme="minorHAnsi" w:hAnsiTheme="minorHAnsi" w:cstheme="minorBidi"/>
          <w:snapToGrid/>
          <w:sz w:val="24"/>
          <w:szCs w:val="22"/>
        </w:rPr>
        <w:t>below.</w:t>
      </w:r>
    </w:p>
    <w:p w:rsidR="006A2FD7" w:rsidRPr="00113F13" w:rsidRDefault="00B24064" w:rsidP="009B4C90">
      <w:pPr>
        <w:keepNext/>
        <w:widowControl w:val="0"/>
        <w:jc w:val="both"/>
        <w:rPr>
          <w:rFonts w:ascii="Arial Narrow" w:hAnsi="Arial Narrow" w:cs="Arial"/>
          <w:b/>
          <w:snapToGrid w:val="0"/>
          <w:sz w:val="20"/>
          <w:szCs w:val="16"/>
          <w:lang w:eastAsia="en-US"/>
        </w:rPr>
      </w:pPr>
      <w:r>
        <w:rPr>
          <w:rFonts w:ascii="Arial Narrow" w:hAnsi="Arial Narrow" w:cs="Arial"/>
          <w:b/>
          <w:snapToGrid w:val="0"/>
          <w:sz w:val="20"/>
          <w:szCs w:val="16"/>
          <w:lang w:eastAsia="en-US"/>
        </w:rPr>
        <w:t xml:space="preserve">Table 2: </w:t>
      </w:r>
      <w:r w:rsidR="006A2FD7" w:rsidRPr="00113F13">
        <w:rPr>
          <w:rFonts w:ascii="Arial Narrow" w:hAnsi="Arial Narrow" w:cs="Arial"/>
          <w:b/>
          <w:snapToGrid w:val="0"/>
          <w:sz w:val="20"/>
          <w:szCs w:val="16"/>
          <w:lang w:eastAsia="en-US"/>
        </w:rPr>
        <w:t xml:space="preserve">Results of PFS and OS from Trial MM-003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59"/>
        <w:gridCol w:w="2154"/>
        <w:gridCol w:w="1540"/>
        <w:gridCol w:w="1538"/>
        <w:gridCol w:w="1691"/>
      </w:tblGrid>
      <w:tr w:rsidR="006A2FD7" w:rsidRPr="00113F13" w:rsidTr="009F6A12">
        <w:tc>
          <w:tcPr>
            <w:tcW w:w="1188" w:type="pct"/>
            <w:shd w:val="clear" w:color="auto" w:fill="auto"/>
            <w:vAlign w:val="bottom"/>
          </w:tcPr>
          <w:p w:rsidR="006A2FD7" w:rsidRPr="00113F13" w:rsidRDefault="006A2FD7" w:rsidP="009B4C90">
            <w:pPr>
              <w:keepNext/>
              <w:widowControl w:val="0"/>
              <w:jc w:val="both"/>
              <w:rPr>
                <w:rFonts w:ascii="Arial Narrow" w:hAnsi="Arial Narrow" w:cs="Arial"/>
                <w:b/>
                <w:snapToGrid w:val="0"/>
                <w:sz w:val="20"/>
                <w:szCs w:val="20"/>
                <w:lang w:val="en-US" w:eastAsia="en-US"/>
              </w:rPr>
            </w:pPr>
          </w:p>
        </w:tc>
        <w:tc>
          <w:tcPr>
            <w:tcW w:w="1186" w:type="pct"/>
            <w:shd w:val="clear" w:color="auto" w:fill="auto"/>
            <w:vAlign w:val="bottom"/>
          </w:tcPr>
          <w:p w:rsidR="006A2FD7" w:rsidRPr="00113F13" w:rsidRDefault="006A2FD7" w:rsidP="009B4C90">
            <w:pPr>
              <w:keepNext/>
              <w:widowControl w:val="0"/>
              <w:jc w:val="center"/>
              <w:rPr>
                <w:rFonts w:ascii="Arial Narrow" w:hAnsi="Arial Narrow" w:cs="Arial"/>
                <w:b/>
                <w:snapToGrid w:val="0"/>
                <w:sz w:val="20"/>
                <w:szCs w:val="20"/>
                <w:lang w:val="en-US" w:eastAsia="en-US"/>
              </w:rPr>
            </w:pPr>
            <w:r w:rsidRPr="00113F13">
              <w:rPr>
                <w:rFonts w:ascii="Arial Narrow" w:hAnsi="Arial Narrow" w:cs="Arial"/>
                <w:b/>
                <w:snapToGrid w:val="0"/>
                <w:sz w:val="20"/>
                <w:szCs w:val="20"/>
                <w:lang w:val="en-US" w:eastAsia="en-US"/>
              </w:rPr>
              <w:t>Pomalidomide plus LDD</w:t>
            </w:r>
          </w:p>
          <w:p w:rsidR="006A2FD7" w:rsidRPr="00113F13" w:rsidRDefault="006A2FD7" w:rsidP="009B4C90">
            <w:pPr>
              <w:keepNext/>
              <w:widowControl w:val="0"/>
              <w:jc w:val="center"/>
              <w:rPr>
                <w:rFonts w:ascii="Arial Narrow" w:hAnsi="Arial Narrow" w:cs="Arial"/>
                <w:b/>
                <w:snapToGrid w:val="0"/>
                <w:sz w:val="20"/>
                <w:szCs w:val="20"/>
                <w:lang w:val="en-US" w:eastAsia="en-US"/>
              </w:rPr>
            </w:pPr>
            <w:r w:rsidRPr="00113F13">
              <w:rPr>
                <w:rFonts w:ascii="Arial Narrow" w:hAnsi="Arial Narrow" w:cs="Arial"/>
                <w:b/>
                <w:snapToGrid w:val="0"/>
                <w:sz w:val="20"/>
                <w:szCs w:val="20"/>
                <w:lang w:val="en-US" w:eastAsia="en-US"/>
              </w:rPr>
              <w:t>(n = 302)</w:t>
            </w:r>
          </w:p>
        </w:tc>
        <w:tc>
          <w:tcPr>
            <w:tcW w:w="848" w:type="pct"/>
            <w:shd w:val="clear" w:color="auto" w:fill="auto"/>
            <w:vAlign w:val="bottom"/>
          </w:tcPr>
          <w:p w:rsidR="006A2FD7" w:rsidRPr="00113F13" w:rsidRDefault="006A2FD7" w:rsidP="009B4C90">
            <w:pPr>
              <w:keepNext/>
              <w:widowControl w:val="0"/>
              <w:jc w:val="center"/>
              <w:rPr>
                <w:rFonts w:ascii="Arial Narrow" w:hAnsi="Arial Narrow" w:cs="Arial"/>
                <w:b/>
                <w:snapToGrid w:val="0"/>
                <w:sz w:val="20"/>
                <w:szCs w:val="20"/>
                <w:lang w:val="en-US" w:eastAsia="en-US"/>
              </w:rPr>
            </w:pPr>
            <w:r w:rsidRPr="00113F13">
              <w:rPr>
                <w:rFonts w:ascii="Arial Narrow" w:hAnsi="Arial Narrow" w:cs="Arial"/>
                <w:b/>
                <w:snapToGrid w:val="0"/>
                <w:sz w:val="20"/>
                <w:szCs w:val="20"/>
                <w:lang w:val="en-US" w:eastAsia="en-US"/>
              </w:rPr>
              <w:t>HDD</w:t>
            </w:r>
          </w:p>
          <w:p w:rsidR="006A2FD7" w:rsidRPr="00113F13" w:rsidRDefault="006A2FD7" w:rsidP="009B4C90">
            <w:pPr>
              <w:keepNext/>
              <w:widowControl w:val="0"/>
              <w:jc w:val="center"/>
              <w:rPr>
                <w:rFonts w:ascii="Arial Narrow" w:hAnsi="Arial Narrow" w:cs="Arial"/>
                <w:b/>
                <w:snapToGrid w:val="0"/>
                <w:sz w:val="20"/>
                <w:szCs w:val="20"/>
                <w:lang w:val="en-US" w:eastAsia="en-US"/>
              </w:rPr>
            </w:pPr>
            <w:r w:rsidRPr="00113F13">
              <w:rPr>
                <w:rFonts w:ascii="Arial Narrow" w:hAnsi="Arial Narrow" w:cs="Arial"/>
                <w:b/>
                <w:snapToGrid w:val="0"/>
                <w:sz w:val="20"/>
                <w:szCs w:val="20"/>
                <w:lang w:val="en-US" w:eastAsia="en-US"/>
              </w:rPr>
              <w:t>(n=153)</w:t>
            </w:r>
          </w:p>
        </w:tc>
        <w:tc>
          <w:tcPr>
            <w:tcW w:w="847" w:type="pct"/>
            <w:shd w:val="clear" w:color="auto" w:fill="auto"/>
            <w:vAlign w:val="bottom"/>
          </w:tcPr>
          <w:p w:rsidR="006A2FD7" w:rsidRPr="00113F13" w:rsidRDefault="006A2FD7" w:rsidP="009B4C90">
            <w:pPr>
              <w:keepNext/>
              <w:widowControl w:val="0"/>
              <w:jc w:val="center"/>
              <w:rPr>
                <w:rFonts w:ascii="Arial Narrow" w:hAnsi="Arial Narrow" w:cs="Arial"/>
                <w:b/>
                <w:snapToGrid w:val="0"/>
                <w:sz w:val="20"/>
                <w:szCs w:val="20"/>
                <w:lang w:val="en-US" w:eastAsia="en-US"/>
              </w:rPr>
            </w:pPr>
            <w:r w:rsidRPr="00113F13">
              <w:rPr>
                <w:rFonts w:ascii="Arial Narrow" w:hAnsi="Arial Narrow" w:cs="Arial"/>
                <w:b/>
                <w:snapToGrid w:val="0"/>
                <w:sz w:val="20"/>
                <w:szCs w:val="20"/>
                <w:lang w:val="en-US" w:eastAsia="en-US"/>
              </w:rPr>
              <w:t xml:space="preserve">Absolute difference </w:t>
            </w:r>
          </w:p>
        </w:tc>
        <w:tc>
          <w:tcPr>
            <w:tcW w:w="932" w:type="pct"/>
            <w:shd w:val="clear" w:color="auto" w:fill="auto"/>
            <w:vAlign w:val="bottom"/>
          </w:tcPr>
          <w:p w:rsidR="006A2FD7" w:rsidRPr="00113F13" w:rsidRDefault="006A2FD7" w:rsidP="009B4C90">
            <w:pPr>
              <w:keepNext/>
              <w:widowControl w:val="0"/>
              <w:jc w:val="center"/>
              <w:rPr>
                <w:rFonts w:ascii="Arial Narrow" w:hAnsi="Arial Narrow" w:cs="Arial"/>
                <w:b/>
                <w:snapToGrid w:val="0"/>
                <w:sz w:val="20"/>
                <w:szCs w:val="20"/>
                <w:lang w:val="en-US" w:eastAsia="en-US"/>
              </w:rPr>
            </w:pPr>
            <w:r w:rsidRPr="00113F13">
              <w:rPr>
                <w:rFonts w:ascii="Arial Narrow" w:hAnsi="Arial Narrow" w:cs="Arial"/>
                <w:b/>
                <w:snapToGrid w:val="0"/>
                <w:sz w:val="20"/>
                <w:szCs w:val="20"/>
                <w:lang w:val="en-US" w:eastAsia="en-US"/>
              </w:rPr>
              <w:t>HR</w:t>
            </w:r>
          </w:p>
          <w:p w:rsidR="006A2FD7" w:rsidRPr="00113F13" w:rsidRDefault="006A2FD7" w:rsidP="009B4C90">
            <w:pPr>
              <w:keepNext/>
              <w:widowControl w:val="0"/>
              <w:jc w:val="center"/>
              <w:rPr>
                <w:rFonts w:ascii="Arial Narrow" w:hAnsi="Arial Narrow" w:cs="Arial"/>
                <w:b/>
                <w:snapToGrid w:val="0"/>
                <w:sz w:val="20"/>
                <w:szCs w:val="20"/>
                <w:lang w:val="en-US" w:eastAsia="en-US"/>
              </w:rPr>
            </w:pPr>
            <w:r w:rsidRPr="00113F13">
              <w:rPr>
                <w:rFonts w:ascii="Arial Narrow" w:hAnsi="Arial Narrow" w:cs="Arial"/>
                <w:b/>
                <w:snapToGrid w:val="0"/>
                <w:sz w:val="20"/>
                <w:szCs w:val="20"/>
                <w:lang w:val="en-US" w:eastAsia="en-US"/>
              </w:rPr>
              <w:t>(95% CI)</w:t>
            </w:r>
          </w:p>
        </w:tc>
      </w:tr>
      <w:tr w:rsidR="006A2FD7" w:rsidRPr="00113F13" w:rsidTr="006A2FD7">
        <w:tc>
          <w:tcPr>
            <w:tcW w:w="5000" w:type="pct"/>
            <w:gridSpan w:val="5"/>
            <w:shd w:val="clear" w:color="auto" w:fill="auto"/>
            <w:vAlign w:val="center"/>
          </w:tcPr>
          <w:p w:rsidR="006A2FD7" w:rsidRPr="00113F13" w:rsidRDefault="006A2FD7" w:rsidP="009B4C90">
            <w:pPr>
              <w:keepNext/>
              <w:widowControl w:val="0"/>
              <w:rPr>
                <w:rFonts w:ascii="Arial Narrow" w:hAnsi="Arial Narrow" w:cs="Arial"/>
                <w:b/>
                <w:snapToGrid w:val="0"/>
                <w:sz w:val="20"/>
                <w:szCs w:val="20"/>
                <w:lang w:val="en-US" w:eastAsia="en-US"/>
              </w:rPr>
            </w:pPr>
            <w:r w:rsidRPr="00113F13">
              <w:rPr>
                <w:rFonts w:ascii="Arial Narrow" w:hAnsi="Arial Narrow" w:cs="Arial"/>
                <w:b/>
                <w:snapToGrid w:val="0"/>
                <w:sz w:val="20"/>
                <w:szCs w:val="20"/>
                <w:lang w:val="en-US" w:eastAsia="en-US"/>
              </w:rPr>
              <w:t>September 2012 cut-off</w:t>
            </w:r>
          </w:p>
        </w:tc>
      </w:tr>
      <w:tr w:rsidR="006A2FD7" w:rsidRPr="00113F13" w:rsidTr="009F6A12">
        <w:tc>
          <w:tcPr>
            <w:tcW w:w="1188" w:type="pct"/>
            <w:shd w:val="clear" w:color="auto" w:fill="auto"/>
            <w:vAlign w:val="center"/>
          </w:tcPr>
          <w:p w:rsidR="006A2FD7" w:rsidRPr="00113F13" w:rsidRDefault="006A2FD7" w:rsidP="009B4C90">
            <w:pPr>
              <w:keepNext/>
              <w:widowControl w:val="0"/>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 xml:space="preserve">Median PFS (weeks) </w:t>
            </w:r>
          </w:p>
          <w:p w:rsidR="006A2FD7" w:rsidRPr="00113F13" w:rsidRDefault="006A2FD7" w:rsidP="009B4C90">
            <w:pPr>
              <w:keepNext/>
              <w:widowControl w:val="0"/>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(95% CI)</w:t>
            </w:r>
          </w:p>
        </w:tc>
        <w:tc>
          <w:tcPr>
            <w:tcW w:w="1186" w:type="pct"/>
            <w:shd w:val="clear" w:color="auto" w:fill="auto"/>
            <w:vAlign w:val="center"/>
          </w:tcPr>
          <w:p w:rsidR="006A2FD7" w:rsidRPr="00113F13" w:rsidRDefault="006A2FD7" w:rsidP="009B4C90">
            <w:pPr>
              <w:keepNext/>
              <w:widowControl w:val="0"/>
              <w:jc w:val="center"/>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15.7 (13.0, 20.1)</w:t>
            </w:r>
          </w:p>
        </w:tc>
        <w:tc>
          <w:tcPr>
            <w:tcW w:w="848" w:type="pct"/>
            <w:shd w:val="clear" w:color="auto" w:fill="auto"/>
            <w:vAlign w:val="center"/>
          </w:tcPr>
          <w:p w:rsidR="006A2FD7" w:rsidRPr="00113F13" w:rsidRDefault="006A2FD7" w:rsidP="009B4C90">
            <w:pPr>
              <w:keepNext/>
              <w:widowControl w:val="0"/>
              <w:jc w:val="center"/>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8.0 (7.0, 9.0)</w:t>
            </w:r>
          </w:p>
        </w:tc>
        <w:tc>
          <w:tcPr>
            <w:tcW w:w="847" w:type="pct"/>
            <w:shd w:val="clear" w:color="auto" w:fill="auto"/>
            <w:vAlign w:val="center"/>
          </w:tcPr>
          <w:p w:rsidR="006A2FD7" w:rsidRPr="00113F13" w:rsidRDefault="006A2FD7" w:rsidP="009B4C90">
            <w:pPr>
              <w:keepNext/>
              <w:widowControl w:val="0"/>
              <w:jc w:val="center"/>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7.7</w:t>
            </w:r>
          </w:p>
        </w:tc>
        <w:tc>
          <w:tcPr>
            <w:tcW w:w="932" w:type="pct"/>
            <w:shd w:val="clear" w:color="auto" w:fill="auto"/>
            <w:vAlign w:val="center"/>
          </w:tcPr>
          <w:p w:rsidR="006A2FD7" w:rsidRPr="00113F13" w:rsidRDefault="006A2FD7" w:rsidP="009B4C90">
            <w:pPr>
              <w:keepNext/>
              <w:widowControl w:val="0"/>
              <w:jc w:val="center"/>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0.45 (0.35, 0.59)</w:t>
            </w:r>
          </w:p>
        </w:tc>
      </w:tr>
      <w:tr w:rsidR="006A2FD7" w:rsidRPr="00113F13" w:rsidTr="009F6A12">
        <w:tc>
          <w:tcPr>
            <w:tcW w:w="1188" w:type="pct"/>
            <w:shd w:val="clear" w:color="auto" w:fill="auto"/>
            <w:vAlign w:val="center"/>
          </w:tcPr>
          <w:p w:rsidR="006A2FD7" w:rsidRPr="00113F13" w:rsidRDefault="006A2FD7" w:rsidP="009B4C90">
            <w:pPr>
              <w:keepNext/>
              <w:widowControl w:val="0"/>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 xml:space="preserve">Median OS (weeks) </w:t>
            </w:r>
          </w:p>
          <w:p w:rsidR="006A2FD7" w:rsidRPr="00113F13" w:rsidRDefault="006A2FD7" w:rsidP="009B4C90">
            <w:pPr>
              <w:keepNext/>
              <w:widowControl w:val="0"/>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(95% CI)</w:t>
            </w:r>
          </w:p>
        </w:tc>
        <w:tc>
          <w:tcPr>
            <w:tcW w:w="1186" w:type="pct"/>
            <w:shd w:val="clear" w:color="auto" w:fill="auto"/>
            <w:vAlign w:val="center"/>
          </w:tcPr>
          <w:p w:rsidR="006A2FD7" w:rsidRPr="00113F13" w:rsidRDefault="006A2FD7" w:rsidP="009B4C90">
            <w:pPr>
              <w:keepNext/>
              <w:widowControl w:val="0"/>
              <w:jc w:val="center"/>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NE (48.1, NE)</w:t>
            </w:r>
          </w:p>
        </w:tc>
        <w:tc>
          <w:tcPr>
            <w:tcW w:w="848" w:type="pct"/>
            <w:shd w:val="clear" w:color="auto" w:fill="auto"/>
            <w:vAlign w:val="center"/>
          </w:tcPr>
          <w:p w:rsidR="006A2FD7" w:rsidRPr="00113F13" w:rsidRDefault="006A2FD7" w:rsidP="009B4C90">
            <w:pPr>
              <w:keepNext/>
              <w:widowControl w:val="0"/>
              <w:jc w:val="center"/>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34.0 (23.4, 39.9)</w:t>
            </w:r>
          </w:p>
        </w:tc>
        <w:tc>
          <w:tcPr>
            <w:tcW w:w="847" w:type="pct"/>
            <w:shd w:val="clear" w:color="auto" w:fill="auto"/>
            <w:vAlign w:val="center"/>
          </w:tcPr>
          <w:p w:rsidR="006A2FD7" w:rsidRPr="00113F13" w:rsidRDefault="006A2FD7" w:rsidP="009B4C90">
            <w:pPr>
              <w:keepNext/>
              <w:widowControl w:val="0"/>
              <w:jc w:val="center"/>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NE</w:t>
            </w:r>
          </w:p>
        </w:tc>
        <w:tc>
          <w:tcPr>
            <w:tcW w:w="932" w:type="pct"/>
            <w:shd w:val="clear" w:color="auto" w:fill="auto"/>
            <w:vAlign w:val="center"/>
          </w:tcPr>
          <w:p w:rsidR="006A2FD7" w:rsidRPr="00113F13" w:rsidRDefault="006A2FD7" w:rsidP="009B4C90">
            <w:pPr>
              <w:keepNext/>
              <w:widowControl w:val="0"/>
              <w:jc w:val="center"/>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0.53 (0.37, 0.74)</w:t>
            </w:r>
          </w:p>
        </w:tc>
      </w:tr>
      <w:tr w:rsidR="006A2FD7" w:rsidRPr="00113F13" w:rsidTr="006A2FD7">
        <w:tc>
          <w:tcPr>
            <w:tcW w:w="5000" w:type="pct"/>
            <w:gridSpan w:val="5"/>
            <w:shd w:val="clear" w:color="auto" w:fill="auto"/>
            <w:vAlign w:val="center"/>
          </w:tcPr>
          <w:p w:rsidR="006A2FD7" w:rsidRPr="00113F13" w:rsidRDefault="006A2FD7" w:rsidP="009B4C90">
            <w:pPr>
              <w:keepNext/>
              <w:widowControl w:val="0"/>
              <w:rPr>
                <w:rFonts w:ascii="Arial Narrow" w:hAnsi="Arial Narrow" w:cs="Arial"/>
                <w:b/>
                <w:snapToGrid w:val="0"/>
                <w:sz w:val="20"/>
                <w:szCs w:val="20"/>
                <w:lang w:val="en-US" w:eastAsia="en-US"/>
              </w:rPr>
            </w:pPr>
            <w:r w:rsidRPr="00113F13">
              <w:rPr>
                <w:rFonts w:ascii="Arial Narrow" w:hAnsi="Arial Narrow" w:cs="Arial"/>
                <w:b/>
                <w:snapToGrid w:val="0"/>
                <w:sz w:val="20"/>
                <w:szCs w:val="20"/>
                <w:lang w:val="en-US" w:eastAsia="en-US"/>
              </w:rPr>
              <w:t>March 2013 cut-off</w:t>
            </w:r>
          </w:p>
        </w:tc>
      </w:tr>
      <w:tr w:rsidR="006A2FD7" w:rsidRPr="00113F13" w:rsidTr="009F6A12">
        <w:tc>
          <w:tcPr>
            <w:tcW w:w="1188" w:type="pct"/>
            <w:shd w:val="clear" w:color="auto" w:fill="auto"/>
            <w:vAlign w:val="center"/>
          </w:tcPr>
          <w:p w:rsidR="006A2FD7" w:rsidRPr="00113F13" w:rsidRDefault="006A2FD7" w:rsidP="009B4C90">
            <w:pPr>
              <w:keepNext/>
              <w:widowControl w:val="0"/>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 xml:space="preserve">Median PFS (weeks)  </w:t>
            </w:r>
          </w:p>
          <w:p w:rsidR="006A2FD7" w:rsidRPr="00113F13" w:rsidRDefault="006A2FD7" w:rsidP="009B4C90">
            <w:pPr>
              <w:keepNext/>
              <w:widowControl w:val="0"/>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(95% CI)</w:t>
            </w:r>
          </w:p>
        </w:tc>
        <w:tc>
          <w:tcPr>
            <w:tcW w:w="1186" w:type="pct"/>
            <w:shd w:val="clear" w:color="auto" w:fill="auto"/>
            <w:vAlign w:val="center"/>
          </w:tcPr>
          <w:p w:rsidR="006A2FD7" w:rsidRPr="00567B39" w:rsidRDefault="00567B39" w:rsidP="009B4C90">
            <w:pPr>
              <w:keepNext/>
              <w:widowControl w:val="0"/>
              <w:jc w:val="center"/>
              <w:rPr>
                <w:rFonts w:ascii="Arial Narrow" w:hAnsi="Arial Narrow" w:cs="Arial"/>
                <w:snapToGrid w:val="0"/>
                <w:sz w:val="20"/>
                <w:szCs w:val="20"/>
                <w:highlight w:val="black"/>
                <w:lang w:val="en-US" w:eastAsia="en-US"/>
              </w:rPr>
            </w:pPr>
            <w:r>
              <w:rPr>
                <w:rFonts w:ascii="Arial Narrow" w:hAnsi="Arial Narrow" w:cs="Arial"/>
                <w:noProof/>
                <w:snapToGrid w:val="0"/>
                <w:color w:val="000000"/>
                <w:sz w:val="20"/>
                <w:szCs w:val="20"/>
                <w:highlight w:val="black"/>
                <w:lang w:val="en-US" w:eastAsia="en-US"/>
              </w:rPr>
              <w:t>''''''''''' '''''''''''''' ''''''''''''</w:t>
            </w:r>
          </w:p>
        </w:tc>
        <w:tc>
          <w:tcPr>
            <w:tcW w:w="848" w:type="pct"/>
            <w:shd w:val="clear" w:color="auto" w:fill="auto"/>
            <w:vAlign w:val="center"/>
          </w:tcPr>
          <w:p w:rsidR="006A2FD7" w:rsidRPr="00567B39" w:rsidRDefault="00567B39" w:rsidP="009B4C90">
            <w:pPr>
              <w:keepNext/>
              <w:widowControl w:val="0"/>
              <w:jc w:val="center"/>
              <w:rPr>
                <w:rFonts w:ascii="Arial Narrow" w:hAnsi="Arial Narrow" w:cs="Arial"/>
                <w:snapToGrid w:val="0"/>
                <w:sz w:val="20"/>
                <w:szCs w:val="20"/>
                <w:highlight w:val="black"/>
                <w:lang w:val="en-US" w:eastAsia="en-US"/>
              </w:rPr>
            </w:pPr>
            <w:r>
              <w:rPr>
                <w:rFonts w:ascii="Arial Narrow" w:hAnsi="Arial Narrow" w:cs="Arial"/>
                <w:noProof/>
                <w:snapToGrid w:val="0"/>
                <w:color w:val="000000"/>
                <w:sz w:val="20"/>
                <w:szCs w:val="20"/>
                <w:highlight w:val="black"/>
                <w:lang w:val="en-US" w:eastAsia="en-US"/>
              </w:rPr>
              <w:t>'''''''''''''''''' ''''''''''</w:t>
            </w:r>
          </w:p>
        </w:tc>
        <w:tc>
          <w:tcPr>
            <w:tcW w:w="847" w:type="pct"/>
            <w:shd w:val="clear" w:color="auto" w:fill="auto"/>
            <w:vAlign w:val="center"/>
          </w:tcPr>
          <w:p w:rsidR="006A2FD7" w:rsidRPr="00567B39" w:rsidRDefault="00567B39" w:rsidP="009B4C90">
            <w:pPr>
              <w:keepNext/>
              <w:widowControl w:val="0"/>
              <w:jc w:val="center"/>
              <w:rPr>
                <w:rFonts w:ascii="Arial Narrow" w:hAnsi="Arial Narrow" w:cs="Arial"/>
                <w:snapToGrid w:val="0"/>
                <w:sz w:val="20"/>
                <w:szCs w:val="20"/>
                <w:highlight w:val="black"/>
                <w:lang w:val="en-US" w:eastAsia="en-US"/>
              </w:rPr>
            </w:pPr>
            <w:r>
              <w:rPr>
                <w:rFonts w:ascii="Arial Narrow" w:hAnsi="Arial Narrow" w:cs="Arial"/>
                <w:noProof/>
                <w:snapToGrid w:val="0"/>
                <w:color w:val="000000"/>
                <w:sz w:val="20"/>
                <w:szCs w:val="20"/>
                <w:highlight w:val="black"/>
                <w:lang w:val="en-US" w:eastAsia="en-US"/>
              </w:rPr>
              <w:t>''''''''</w:t>
            </w:r>
          </w:p>
        </w:tc>
        <w:tc>
          <w:tcPr>
            <w:tcW w:w="932" w:type="pct"/>
            <w:shd w:val="clear" w:color="auto" w:fill="auto"/>
            <w:vAlign w:val="center"/>
          </w:tcPr>
          <w:p w:rsidR="006A2FD7" w:rsidRPr="00567B39" w:rsidRDefault="00567B39" w:rsidP="009B4C90">
            <w:pPr>
              <w:keepNext/>
              <w:widowControl w:val="0"/>
              <w:jc w:val="center"/>
              <w:rPr>
                <w:rFonts w:ascii="Arial Narrow" w:hAnsi="Arial Narrow" w:cs="Arial"/>
                <w:snapToGrid w:val="0"/>
                <w:sz w:val="20"/>
                <w:szCs w:val="20"/>
                <w:highlight w:val="black"/>
                <w:lang w:val="en-US" w:eastAsia="en-US"/>
              </w:rPr>
            </w:pPr>
            <w:r>
              <w:rPr>
                <w:rFonts w:ascii="Arial Narrow" w:hAnsi="Arial Narrow" w:cs="Arial"/>
                <w:noProof/>
                <w:snapToGrid w:val="0"/>
                <w:color w:val="000000"/>
                <w:sz w:val="20"/>
                <w:szCs w:val="20"/>
                <w:highlight w:val="black"/>
                <w:lang w:val="en-US" w:eastAsia="en-US"/>
              </w:rPr>
              <w:t>'''''''''' '''''''''''''' ''''''''''''''</w:t>
            </w:r>
          </w:p>
        </w:tc>
      </w:tr>
      <w:tr w:rsidR="006A2FD7" w:rsidRPr="00113F13" w:rsidTr="009F6A12">
        <w:tc>
          <w:tcPr>
            <w:tcW w:w="1188" w:type="pct"/>
            <w:shd w:val="clear" w:color="auto" w:fill="auto"/>
            <w:vAlign w:val="center"/>
          </w:tcPr>
          <w:p w:rsidR="006A2FD7" w:rsidRPr="00113F13" w:rsidRDefault="006A2FD7" w:rsidP="009B4C90">
            <w:pPr>
              <w:keepNext/>
              <w:widowControl w:val="0"/>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 xml:space="preserve">Median OS (weeks) </w:t>
            </w:r>
          </w:p>
          <w:p w:rsidR="006A2FD7" w:rsidRPr="00113F13" w:rsidRDefault="006A2FD7" w:rsidP="009B4C90">
            <w:pPr>
              <w:keepNext/>
              <w:widowControl w:val="0"/>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(95% CI)</w:t>
            </w:r>
          </w:p>
        </w:tc>
        <w:tc>
          <w:tcPr>
            <w:tcW w:w="1186" w:type="pct"/>
            <w:shd w:val="clear" w:color="auto" w:fill="auto"/>
            <w:vAlign w:val="center"/>
          </w:tcPr>
          <w:p w:rsidR="006A2FD7" w:rsidRPr="00567B39" w:rsidRDefault="00567B39" w:rsidP="009B4C90">
            <w:pPr>
              <w:keepNext/>
              <w:widowControl w:val="0"/>
              <w:jc w:val="center"/>
              <w:rPr>
                <w:rFonts w:ascii="Arial Narrow" w:hAnsi="Arial Narrow" w:cs="Arial"/>
                <w:snapToGrid w:val="0"/>
                <w:sz w:val="20"/>
                <w:szCs w:val="20"/>
                <w:highlight w:val="black"/>
                <w:lang w:val="en-US" w:eastAsia="en-US"/>
              </w:rPr>
            </w:pPr>
            <w:r>
              <w:rPr>
                <w:rFonts w:ascii="Arial Narrow" w:hAnsi="Arial Narrow" w:cs="Arial"/>
                <w:noProof/>
                <w:snapToGrid w:val="0"/>
                <w:color w:val="000000"/>
                <w:sz w:val="20"/>
                <w:szCs w:val="20"/>
                <w:highlight w:val="black"/>
                <w:lang w:val="en-US" w:eastAsia="en-US"/>
              </w:rPr>
              <w:t>'''''''''' ''''''''''''''' '''''''''''''</w:t>
            </w:r>
          </w:p>
        </w:tc>
        <w:tc>
          <w:tcPr>
            <w:tcW w:w="848" w:type="pct"/>
            <w:shd w:val="clear" w:color="auto" w:fill="auto"/>
            <w:vAlign w:val="center"/>
          </w:tcPr>
          <w:p w:rsidR="006A2FD7" w:rsidRPr="00567B39" w:rsidRDefault="00567B39" w:rsidP="009B4C90">
            <w:pPr>
              <w:keepNext/>
              <w:widowControl w:val="0"/>
              <w:jc w:val="center"/>
              <w:rPr>
                <w:rFonts w:ascii="Arial Narrow" w:hAnsi="Arial Narrow" w:cs="Arial"/>
                <w:snapToGrid w:val="0"/>
                <w:sz w:val="20"/>
                <w:szCs w:val="20"/>
                <w:highlight w:val="black"/>
                <w:lang w:val="en-US" w:eastAsia="en-US"/>
              </w:rPr>
            </w:pPr>
            <w:r>
              <w:rPr>
                <w:rFonts w:ascii="Arial Narrow" w:hAnsi="Arial Narrow" w:cs="Arial"/>
                <w:noProof/>
                <w:snapToGrid w:val="0"/>
                <w:color w:val="000000"/>
                <w:sz w:val="20"/>
                <w:szCs w:val="20"/>
                <w:highlight w:val="black"/>
                <w:lang w:val="en-US" w:eastAsia="en-US"/>
              </w:rPr>
              <w:t>'''''''''''' ''''''''''''''' '''''''''''</w:t>
            </w:r>
          </w:p>
        </w:tc>
        <w:tc>
          <w:tcPr>
            <w:tcW w:w="847" w:type="pct"/>
            <w:shd w:val="clear" w:color="auto" w:fill="auto"/>
            <w:vAlign w:val="center"/>
          </w:tcPr>
          <w:p w:rsidR="006A2FD7" w:rsidRPr="00567B39" w:rsidRDefault="00567B39" w:rsidP="009B4C90">
            <w:pPr>
              <w:keepNext/>
              <w:widowControl w:val="0"/>
              <w:jc w:val="center"/>
              <w:rPr>
                <w:rFonts w:ascii="Arial Narrow" w:hAnsi="Arial Narrow" w:cs="Arial"/>
                <w:snapToGrid w:val="0"/>
                <w:sz w:val="20"/>
                <w:szCs w:val="20"/>
                <w:highlight w:val="black"/>
                <w:lang w:val="en-US" w:eastAsia="en-US"/>
              </w:rPr>
            </w:pPr>
            <w:r>
              <w:rPr>
                <w:rFonts w:ascii="Arial Narrow" w:hAnsi="Arial Narrow" w:cs="Arial"/>
                <w:noProof/>
                <w:snapToGrid w:val="0"/>
                <w:color w:val="000000"/>
                <w:sz w:val="20"/>
                <w:szCs w:val="20"/>
                <w:highlight w:val="black"/>
                <w:lang w:val="en-US" w:eastAsia="en-US"/>
              </w:rPr>
              <w:t>'''''''''''</w:t>
            </w:r>
          </w:p>
        </w:tc>
        <w:tc>
          <w:tcPr>
            <w:tcW w:w="932" w:type="pct"/>
            <w:shd w:val="clear" w:color="auto" w:fill="auto"/>
            <w:vAlign w:val="center"/>
          </w:tcPr>
          <w:p w:rsidR="006A2FD7" w:rsidRPr="00567B39" w:rsidRDefault="00567B39" w:rsidP="009B4C90">
            <w:pPr>
              <w:keepNext/>
              <w:widowControl w:val="0"/>
              <w:jc w:val="center"/>
              <w:rPr>
                <w:rFonts w:ascii="Arial Narrow" w:hAnsi="Arial Narrow" w:cs="Arial"/>
                <w:snapToGrid w:val="0"/>
                <w:sz w:val="20"/>
                <w:szCs w:val="20"/>
                <w:highlight w:val="black"/>
                <w:lang w:val="en-US" w:eastAsia="en-US"/>
              </w:rPr>
            </w:pPr>
            <w:r>
              <w:rPr>
                <w:rFonts w:ascii="Arial Narrow" w:hAnsi="Arial Narrow" w:cs="Arial"/>
                <w:noProof/>
                <w:snapToGrid w:val="0"/>
                <w:color w:val="000000"/>
                <w:sz w:val="20"/>
                <w:szCs w:val="20"/>
                <w:highlight w:val="black"/>
                <w:lang w:val="en-US" w:eastAsia="en-US"/>
              </w:rPr>
              <w:t>''''''''''' '''''''''''''' ''''''''''''</w:t>
            </w:r>
          </w:p>
        </w:tc>
      </w:tr>
      <w:tr w:rsidR="009F6A12" w:rsidRPr="00113F13" w:rsidTr="009F6A12">
        <w:tc>
          <w:tcPr>
            <w:tcW w:w="5000" w:type="pct"/>
            <w:gridSpan w:val="5"/>
            <w:shd w:val="clear" w:color="auto" w:fill="auto"/>
            <w:vAlign w:val="center"/>
          </w:tcPr>
          <w:p w:rsidR="009F6A12" w:rsidRPr="009F6A12" w:rsidRDefault="009F6A12" w:rsidP="009B4C90">
            <w:pPr>
              <w:keepNext/>
              <w:widowControl w:val="0"/>
              <w:rPr>
                <w:rFonts w:ascii="Arial Narrow" w:hAnsi="Arial Narrow" w:cs="Arial"/>
                <w:b/>
                <w:snapToGrid w:val="0"/>
                <w:sz w:val="20"/>
                <w:szCs w:val="20"/>
                <w:lang w:val="en-US" w:eastAsia="en-US"/>
              </w:rPr>
            </w:pPr>
            <w:r>
              <w:rPr>
                <w:rFonts w:ascii="Arial Narrow" w:hAnsi="Arial Narrow" w:cs="Arial"/>
                <w:b/>
                <w:snapToGrid w:val="0"/>
                <w:sz w:val="20"/>
                <w:szCs w:val="20"/>
                <w:lang w:val="en-US" w:eastAsia="en-US"/>
              </w:rPr>
              <w:t xml:space="preserve">patients refractory/intolerant to </w:t>
            </w:r>
            <w:r w:rsidR="003C76CD">
              <w:rPr>
                <w:rFonts w:ascii="Arial Narrow" w:hAnsi="Arial Narrow" w:cs="Arial"/>
                <w:b/>
                <w:snapToGrid w:val="0"/>
                <w:sz w:val="20"/>
                <w:szCs w:val="20"/>
                <w:lang w:val="en-US" w:eastAsia="en-US"/>
              </w:rPr>
              <w:t xml:space="preserve">bortezomib </w:t>
            </w:r>
            <w:r>
              <w:rPr>
                <w:rFonts w:ascii="Arial Narrow" w:hAnsi="Arial Narrow" w:cs="Arial"/>
                <w:b/>
                <w:snapToGrid w:val="0"/>
                <w:sz w:val="20"/>
                <w:szCs w:val="20"/>
                <w:lang w:val="en-US" w:eastAsia="en-US"/>
              </w:rPr>
              <w:t>after a minimum 2 cycles (March 2013 cut-off)</w:t>
            </w:r>
          </w:p>
        </w:tc>
      </w:tr>
      <w:tr w:rsidR="009F6A12" w:rsidRPr="00113F13" w:rsidTr="009F6A12">
        <w:tc>
          <w:tcPr>
            <w:tcW w:w="1188" w:type="pct"/>
            <w:shd w:val="clear" w:color="auto" w:fill="auto"/>
            <w:vAlign w:val="center"/>
          </w:tcPr>
          <w:p w:rsidR="009F6A12" w:rsidRPr="00113F13" w:rsidRDefault="009F6A12" w:rsidP="009B4C90">
            <w:pPr>
              <w:keepNext/>
              <w:widowControl w:val="0"/>
              <w:rPr>
                <w:rFonts w:ascii="Arial Narrow" w:hAnsi="Arial Narrow" w:cs="Arial"/>
                <w:snapToGrid w:val="0"/>
                <w:sz w:val="20"/>
                <w:szCs w:val="20"/>
                <w:lang w:val="en-US" w:eastAsia="en-US"/>
              </w:rPr>
            </w:pPr>
          </w:p>
        </w:tc>
        <w:tc>
          <w:tcPr>
            <w:tcW w:w="1186" w:type="pct"/>
            <w:shd w:val="clear" w:color="auto" w:fill="auto"/>
            <w:vAlign w:val="center"/>
          </w:tcPr>
          <w:p w:rsidR="009F6A12" w:rsidRPr="002B15C8" w:rsidRDefault="002B15C8" w:rsidP="009B4C90">
            <w:pPr>
              <w:keepNext/>
              <w:widowControl w:val="0"/>
              <w:jc w:val="center"/>
              <w:rPr>
                <w:rFonts w:ascii="Arial Narrow" w:hAnsi="Arial Narrow" w:cs="Arial"/>
                <w:b/>
                <w:snapToGrid w:val="0"/>
                <w:sz w:val="20"/>
                <w:szCs w:val="20"/>
                <w:lang w:val="en-US" w:eastAsia="en-US"/>
              </w:rPr>
            </w:pPr>
            <w:r>
              <w:rPr>
                <w:rFonts w:ascii="Arial Narrow" w:hAnsi="Arial Narrow" w:cs="Arial"/>
                <w:b/>
                <w:snapToGrid w:val="0"/>
                <w:sz w:val="20"/>
                <w:szCs w:val="20"/>
                <w:lang w:val="en-US" w:eastAsia="en-US"/>
              </w:rPr>
              <w:t>n=45</w:t>
            </w:r>
          </w:p>
        </w:tc>
        <w:tc>
          <w:tcPr>
            <w:tcW w:w="848" w:type="pct"/>
            <w:shd w:val="clear" w:color="auto" w:fill="auto"/>
            <w:vAlign w:val="center"/>
          </w:tcPr>
          <w:p w:rsidR="009F6A12" w:rsidRPr="002B15C8" w:rsidRDefault="002B15C8" w:rsidP="009B4C90">
            <w:pPr>
              <w:keepNext/>
              <w:widowControl w:val="0"/>
              <w:jc w:val="center"/>
              <w:rPr>
                <w:rFonts w:ascii="Arial Narrow" w:hAnsi="Arial Narrow" w:cs="Arial"/>
                <w:b/>
                <w:snapToGrid w:val="0"/>
                <w:sz w:val="20"/>
                <w:szCs w:val="20"/>
                <w:lang w:val="en-US" w:eastAsia="en-US"/>
              </w:rPr>
            </w:pPr>
            <w:r>
              <w:rPr>
                <w:rFonts w:ascii="Arial Narrow" w:hAnsi="Arial Narrow" w:cs="Arial"/>
                <w:b/>
                <w:snapToGrid w:val="0"/>
                <w:sz w:val="20"/>
                <w:szCs w:val="20"/>
                <w:lang w:val="en-US" w:eastAsia="en-US"/>
              </w:rPr>
              <w:t>n=23</w:t>
            </w:r>
          </w:p>
        </w:tc>
        <w:tc>
          <w:tcPr>
            <w:tcW w:w="847" w:type="pct"/>
            <w:shd w:val="clear" w:color="auto" w:fill="auto"/>
            <w:vAlign w:val="center"/>
          </w:tcPr>
          <w:p w:rsidR="009F6A12" w:rsidRPr="00113F13" w:rsidRDefault="009F6A12" w:rsidP="009B4C90">
            <w:pPr>
              <w:keepNext/>
              <w:widowControl w:val="0"/>
              <w:jc w:val="center"/>
              <w:rPr>
                <w:rFonts w:ascii="Arial Narrow" w:hAnsi="Arial Narrow" w:cs="Arial"/>
                <w:snapToGrid w:val="0"/>
                <w:sz w:val="20"/>
                <w:szCs w:val="20"/>
                <w:lang w:val="en-US" w:eastAsia="en-US"/>
              </w:rPr>
            </w:pPr>
          </w:p>
        </w:tc>
        <w:tc>
          <w:tcPr>
            <w:tcW w:w="932" w:type="pct"/>
            <w:shd w:val="clear" w:color="auto" w:fill="auto"/>
            <w:vAlign w:val="center"/>
          </w:tcPr>
          <w:p w:rsidR="009F6A12" w:rsidRPr="00113F13" w:rsidRDefault="009F6A12" w:rsidP="009B4C90">
            <w:pPr>
              <w:keepNext/>
              <w:widowControl w:val="0"/>
              <w:jc w:val="center"/>
              <w:rPr>
                <w:rFonts w:ascii="Arial Narrow" w:hAnsi="Arial Narrow" w:cs="Arial"/>
                <w:snapToGrid w:val="0"/>
                <w:sz w:val="20"/>
                <w:szCs w:val="20"/>
                <w:lang w:val="en-US" w:eastAsia="en-US"/>
              </w:rPr>
            </w:pPr>
          </w:p>
        </w:tc>
      </w:tr>
      <w:tr w:rsidR="006A2FD7" w:rsidRPr="00113F13" w:rsidTr="009F6A12">
        <w:tc>
          <w:tcPr>
            <w:tcW w:w="1188" w:type="pct"/>
            <w:shd w:val="clear" w:color="auto" w:fill="auto"/>
            <w:vAlign w:val="center"/>
          </w:tcPr>
          <w:p w:rsidR="009F6A12" w:rsidRPr="00113F13" w:rsidRDefault="009F6A12" w:rsidP="009B4C90">
            <w:pPr>
              <w:keepNext/>
              <w:widowControl w:val="0"/>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 xml:space="preserve">Median PFS (weeks)  </w:t>
            </w:r>
          </w:p>
          <w:p w:rsidR="006A2FD7" w:rsidRPr="00113F13" w:rsidRDefault="009F6A12" w:rsidP="009B4C90">
            <w:pPr>
              <w:keepNext/>
              <w:widowControl w:val="0"/>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(95% CI)</w:t>
            </w:r>
          </w:p>
        </w:tc>
        <w:tc>
          <w:tcPr>
            <w:tcW w:w="1186" w:type="pct"/>
            <w:shd w:val="clear" w:color="auto" w:fill="auto"/>
            <w:vAlign w:val="center"/>
          </w:tcPr>
          <w:p w:rsidR="006A2FD7" w:rsidRPr="00113F13" w:rsidRDefault="00567B39" w:rsidP="009B4C90">
            <w:pPr>
              <w:keepNext/>
              <w:widowControl w:val="0"/>
              <w:jc w:val="center"/>
              <w:rPr>
                <w:rFonts w:ascii="Arial Narrow" w:hAnsi="Arial Narrow" w:cs="Arial"/>
                <w:snapToGrid w:val="0"/>
                <w:sz w:val="20"/>
                <w:szCs w:val="20"/>
                <w:lang w:val="en-US" w:eastAsia="en-US"/>
              </w:rPr>
            </w:pPr>
            <w:r>
              <w:rPr>
                <w:rFonts w:ascii="Arial Narrow" w:hAnsi="Arial Narrow" w:cs="Arial"/>
                <w:noProof/>
                <w:snapToGrid w:val="0"/>
                <w:color w:val="000000"/>
                <w:sz w:val="20"/>
                <w:szCs w:val="20"/>
                <w:highlight w:val="black"/>
                <w:lang w:val="en-US" w:eastAsia="en-US"/>
              </w:rPr>
              <w:t>''''''' ''''''''''''''''''''</w:t>
            </w:r>
            <w:r w:rsidR="009321F2">
              <w:rPr>
                <w:rFonts w:ascii="Arial Narrow" w:hAnsi="Arial Narrow" w:cs="Arial"/>
                <w:snapToGrid w:val="0"/>
                <w:sz w:val="20"/>
                <w:szCs w:val="20"/>
                <w:lang w:val="en-US" w:eastAsia="en-US"/>
              </w:rPr>
              <w:t>*</w:t>
            </w:r>
          </w:p>
        </w:tc>
        <w:tc>
          <w:tcPr>
            <w:tcW w:w="848" w:type="pct"/>
            <w:shd w:val="clear" w:color="auto" w:fill="auto"/>
            <w:vAlign w:val="center"/>
          </w:tcPr>
          <w:p w:rsidR="006A2FD7" w:rsidRPr="00567B39" w:rsidRDefault="00567B39" w:rsidP="009B4C90">
            <w:pPr>
              <w:keepNext/>
              <w:widowControl w:val="0"/>
              <w:jc w:val="center"/>
              <w:rPr>
                <w:rFonts w:ascii="Arial Narrow" w:hAnsi="Arial Narrow" w:cs="Arial"/>
                <w:snapToGrid w:val="0"/>
                <w:sz w:val="20"/>
                <w:szCs w:val="20"/>
                <w:highlight w:val="black"/>
                <w:lang w:val="en-US" w:eastAsia="en-US"/>
              </w:rPr>
            </w:pPr>
            <w:r>
              <w:rPr>
                <w:rFonts w:ascii="Arial Narrow" w:hAnsi="Arial Narrow" w:cs="Arial"/>
                <w:noProof/>
                <w:snapToGrid w:val="0"/>
                <w:color w:val="000000"/>
                <w:sz w:val="20"/>
                <w:szCs w:val="20"/>
                <w:highlight w:val="black"/>
                <w:lang w:val="en-US" w:eastAsia="en-US"/>
              </w:rPr>
              <w:t>'''''''''' ''''''''''' '''''''''''''</w:t>
            </w:r>
          </w:p>
        </w:tc>
        <w:tc>
          <w:tcPr>
            <w:tcW w:w="847" w:type="pct"/>
            <w:shd w:val="clear" w:color="auto" w:fill="auto"/>
            <w:vAlign w:val="center"/>
          </w:tcPr>
          <w:p w:rsidR="006A2FD7" w:rsidRPr="00567B39" w:rsidRDefault="00567B39" w:rsidP="009B4C90">
            <w:pPr>
              <w:keepNext/>
              <w:widowControl w:val="0"/>
              <w:jc w:val="center"/>
              <w:rPr>
                <w:rFonts w:ascii="Arial Narrow" w:hAnsi="Arial Narrow" w:cs="Arial"/>
                <w:snapToGrid w:val="0"/>
                <w:sz w:val="20"/>
                <w:szCs w:val="20"/>
                <w:highlight w:val="black"/>
                <w:lang w:val="en-US" w:eastAsia="en-US"/>
              </w:rPr>
            </w:pPr>
            <w:r>
              <w:rPr>
                <w:rFonts w:ascii="Arial Narrow" w:hAnsi="Arial Narrow" w:cs="Arial"/>
                <w:noProof/>
                <w:snapToGrid w:val="0"/>
                <w:color w:val="000000"/>
                <w:sz w:val="20"/>
                <w:szCs w:val="20"/>
                <w:highlight w:val="black"/>
                <w:lang w:val="en-US" w:eastAsia="en-US"/>
              </w:rPr>
              <w:t>'''''''''</w:t>
            </w:r>
          </w:p>
        </w:tc>
        <w:tc>
          <w:tcPr>
            <w:tcW w:w="932" w:type="pct"/>
            <w:shd w:val="clear" w:color="auto" w:fill="auto"/>
            <w:vAlign w:val="center"/>
          </w:tcPr>
          <w:p w:rsidR="006A2FD7" w:rsidRPr="00567B39" w:rsidRDefault="00567B39" w:rsidP="009B4C90">
            <w:pPr>
              <w:keepNext/>
              <w:widowControl w:val="0"/>
              <w:jc w:val="center"/>
              <w:rPr>
                <w:rFonts w:ascii="Arial Narrow" w:hAnsi="Arial Narrow" w:cs="Arial"/>
                <w:snapToGrid w:val="0"/>
                <w:sz w:val="20"/>
                <w:szCs w:val="20"/>
                <w:highlight w:val="black"/>
                <w:lang w:val="en-US" w:eastAsia="en-US"/>
              </w:rPr>
            </w:pPr>
            <w:r>
              <w:rPr>
                <w:rFonts w:ascii="Arial Narrow" w:hAnsi="Arial Narrow" w:cs="Arial"/>
                <w:noProof/>
                <w:snapToGrid w:val="0"/>
                <w:color w:val="000000"/>
                <w:sz w:val="20"/>
                <w:szCs w:val="20"/>
                <w:highlight w:val="black"/>
                <w:lang w:val="en-US" w:eastAsia="en-US"/>
              </w:rPr>
              <w:t>'''''''''' ''''''''''''''' ''''''''''''''</w:t>
            </w:r>
          </w:p>
        </w:tc>
      </w:tr>
      <w:tr w:rsidR="009F6A12" w:rsidRPr="00113F13" w:rsidTr="009F6A12">
        <w:tc>
          <w:tcPr>
            <w:tcW w:w="1188" w:type="pct"/>
            <w:shd w:val="clear" w:color="auto" w:fill="auto"/>
            <w:vAlign w:val="center"/>
          </w:tcPr>
          <w:p w:rsidR="009F6A12" w:rsidRPr="00113F13" w:rsidRDefault="009F6A12" w:rsidP="009B4C90">
            <w:pPr>
              <w:keepNext/>
              <w:widowControl w:val="0"/>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 xml:space="preserve">Median OS (weeks) </w:t>
            </w:r>
          </w:p>
          <w:p w:rsidR="009F6A12" w:rsidRPr="00113F13" w:rsidRDefault="009F6A12" w:rsidP="009B4C90">
            <w:pPr>
              <w:keepNext/>
              <w:widowControl w:val="0"/>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(95% CI)</w:t>
            </w:r>
          </w:p>
        </w:tc>
        <w:tc>
          <w:tcPr>
            <w:tcW w:w="1186" w:type="pct"/>
            <w:shd w:val="clear" w:color="auto" w:fill="auto"/>
            <w:vAlign w:val="center"/>
          </w:tcPr>
          <w:p w:rsidR="009F6A12" w:rsidRPr="00567B39" w:rsidRDefault="00567B39" w:rsidP="009B4C90">
            <w:pPr>
              <w:keepNext/>
              <w:widowControl w:val="0"/>
              <w:jc w:val="center"/>
              <w:rPr>
                <w:rFonts w:ascii="Arial Narrow" w:hAnsi="Arial Narrow" w:cs="Arial"/>
                <w:snapToGrid w:val="0"/>
                <w:sz w:val="20"/>
                <w:szCs w:val="20"/>
                <w:highlight w:val="black"/>
                <w:lang w:val="en-US" w:eastAsia="en-US"/>
              </w:rPr>
            </w:pPr>
            <w:r>
              <w:rPr>
                <w:rFonts w:ascii="Arial Narrow" w:hAnsi="Arial Narrow" w:cs="Arial"/>
                <w:noProof/>
                <w:snapToGrid w:val="0"/>
                <w:color w:val="000000"/>
                <w:sz w:val="20"/>
                <w:szCs w:val="20"/>
                <w:highlight w:val="black"/>
                <w:lang w:val="en-US" w:eastAsia="en-US"/>
              </w:rPr>
              <w:t>''''''''''' '''''''''''''''' '''''''''''''</w:t>
            </w:r>
          </w:p>
        </w:tc>
        <w:tc>
          <w:tcPr>
            <w:tcW w:w="848" w:type="pct"/>
            <w:shd w:val="clear" w:color="auto" w:fill="auto"/>
            <w:vAlign w:val="center"/>
          </w:tcPr>
          <w:p w:rsidR="009F6A12" w:rsidRPr="00567B39" w:rsidRDefault="00567B39" w:rsidP="009B4C90">
            <w:pPr>
              <w:keepNext/>
              <w:widowControl w:val="0"/>
              <w:jc w:val="center"/>
              <w:rPr>
                <w:rFonts w:ascii="Arial Narrow" w:hAnsi="Arial Narrow" w:cs="Arial"/>
                <w:snapToGrid w:val="0"/>
                <w:sz w:val="20"/>
                <w:szCs w:val="20"/>
                <w:highlight w:val="black"/>
                <w:lang w:val="en-US" w:eastAsia="en-US"/>
              </w:rPr>
            </w:pPr>
            <w:r>
              <w:rPr>
                <w:rFonts w:ascii="Arial Narrow" w:hAnsi="Arial Narrow" w:cs="Arial"/>
                <w:noProof/>
                <w:snapToGrid w:val="0"/>
                <w:color w:val="000000"/>
                <w:sz w:val="20"/>
                <w:szCs w:val="20"/>
                <w:highlight w:val="black"/>
                <w:lang w:val="en-US" w:eastAsia="en-US"/>
              </w:rPr>
              <w:t>'''''''''' ''''''''''''' '''''''''</w:t>
            </w:r>
          </w:p>
        </w:tc>
        <w:tc>
          <w:tcPr>
            <w:tcW w:w="847" w:type="pct"/>
            <w:shd w:val="clear" w:color="auto" w:fill="auto"/>
            <w:vAlign w:val="center"/>
          </w:tcPr>
          <w:p w:rsidR="009F6A12" w:rsidRPr="00567B39" w:rsidRDefault="00567B39" w:rsidP="009B4C90">
            <w:pPr>
              <w:keepNext/>
              <w:widowControl w:val="0"/>
              <w:jc w:val="center"/>
              <w:rPr>
                <w:rFonts w:ascii="Arial Narrow" w:hAnsi="Arial Narrow" w:cs="Arial"/>
                <w:snapToGrid w:val="0"/>
                <w:sz w:val="20"/>
                <w:szCs w:val="20"/>
                <w:highlight w:val="black"/>
                <w:lang w:val="en-US" w:eastAsia="en-US"/>
              </w:rPr>
            </w:pPr>
            <w:r>
              <w:rPr>
                <w:rFonts w:ascii="Arial Narrow" w:hAnsi="Arial Narrow" w:cs="Arial"/>
                <w:noProof/>
                <w:snapToGrid w:val="0"/>
                <w:color w:val="000000"/>
                <w:sz w:val="20"/>
                <w:szCs w:val="20"/>
                <w:highlight w:val="black"/>
                <w:lang w:val="en-US" w:eastAsia="en-US"/>
              </w:rPr>
              <w:t>''''''''''</w:t>
            </w:r>
          </w:p>
        </w:tc>
        <w:tc>
          <w:tcPr>
            <w:tcW w:w="932" w:type="pct"/>
            <w:shd w:val="clear" w:color="auto" w:fill="auto"/>
            <w:vAlign w:val="center"/>
          </w:tcPr>
          <w:p w:rsidR="009F6A12" w:rsidRPr="00567B39" w:rsidRDefault="00567B39" w:rsidP="009B4C90">
            <w:pPr>
              <w:keepNext/>
              <w:widowControl w:val="0"/>
              <w:jc w:val="center"/>
              <w:rPr>
                <w:rFonts w:ascii="Arial Narrow" w:hAnsi="Arial Narrow" w:cs="Arial"/>
                <w:snapToGrid w:val="0"/>
                <w:sz w:val="20"/>
                <w:szCs w:val="20"/>
                <w:highlight w:val="black"/>
                <w:lang w:val="en-US" w:eastAsia="en-US"/>
              </w:rPr>
            </w:pPr>
            <w:r>
              <w:rPr>
                <w:rFonts w:ascii="Arial Narrow" w:hAnsi="Arial Narrow" w:cs="Arial"/>
                <w:noProof/>
                <w:snapToGrid w:val="0"/>
                <w:color w:val="000000"/>
                <w:sz w:val="20"/>
                <w:szCs w:val="20"/>
                <w:highlight w:val="black"/>
                <w:lang w:val="en-US" w:eastAsia="en-US"/>
              </w:rPr>
              <w:t>'''''''''' ''''''''''''''' ''''''''''''</w:t>
            </w:r>
          </w:p>
        </w:tc>
      </w:tr>
    </w:tbl>
    <w:p w:rsidR="006A2FD7" w:rsidRDefault="006A2FD7" w:rsidP="009B4C90">
      <w:pPr>
        <w:keepNext/>
        <w:widowControl w:val="0"/>
        <w:jc w:val="both"/>
        <w:rPr>
          <w:rFonts w:ascii="Arial Narrow" w:hAnsi="Arial Narrow" w:cs="Arial"/>
          <w:snapToGrid w:val="0"/>
          <w:sz w:val="20"/>
          <w:szCs w:val="20"/>
          <w:lang w:eastAsia="en-US"/>
        </w:rPr>
      </w:pPr>
      <w:r w:rsidRPr="009321F2">
        <w:rPr>
          <w:rFonts w:ascii="Arial Narrow" w:hAnsi="Arial Narrow" w:cs="Arial"/>
          <w:snapToGrid w:val="0"/>
          <w:sz w:val="20"/>
          <w:szCs w:val="20"/>
          <w:lang w:eastAsia="en-US"/>
        </w:rPr>
        <w:t>PFS = progression free survival; OS = overall survival; NE = not estimable; HR = hazard ratio</w:t>
      </w:r>
      <w:r w:rsidR="003C76CD">
        <w:rPr>
          <w:rFonts w:ascii="Arial Narrow" w:hAnsi="Arial Narrow" w:cs="Arial"/>
          <w:snapToGrid w:val="0"/>
          <w:sz w:val="20"/>
          <w:szCs w:val="20"/>
          <w:lang w:eastAsia="en-US"/>
        </w:rPr>
        <w:t>; HDD = High dose dexamethasone; LDD = Low dose dexamethasone</w:t>
      </w:r>
    </w:p>
    <w:p w:rsidR="001166A5" w:rsidRPr="009321F2" w:rsidRDefault="001166A5" w:rsidP="009B4C90">
      <w:pPr>
        <w:keepNext/>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w:t>
      </w:r>
      <w:r w:rsidR="00A477E0">
        <w:rPr>
          <w:rFonts w:ascii="Arial Narrow" w:hAnsi="Arial Narrow" w:cs="Arial"/>
          <w:snapToGrid w:val="0"/>
          <w:sz w:val="20"/>
          <w:szCs w:val="20"/>
          <w:lang w:eastAsia="en-US"/>
        </w:rPr>
        <w:t xml:space="preserve">PFS time is stated to be consistent with overall ITT population, no value was provided. </w:t>
      </w:r>
    </w:p>
    <w:p w:rsidR="00526133" w:rsidRPr="006A2FD7" w:rsidRDefault="00625FAD" w:rsidP="00BB61D2">
      <w:pPr>
        <w:keepNext/>
        <w:widowControl w:val="0"/>
        <w:jc w:val="both"/>
        <w:rPr>
          <w:rFonts w:asciiTheme="minorHAnsi" w:eastAsiaTheme="minorHAnsi" w:hAnsiTheme="minorHAnsi" w:cstheme="minorBidi"/>
          <w:szCs w:val="22"/>
        </w:rPr>
      </w:pPr>
      <w:r>
        <w:rPr>
          <w:rFonts w:ascii="Arial Narrow" w:hAnsi="Arial Narrow" w:cs="Arial"/>
          <w:snapToGrid w:val="0"/>
          <w:sz w:val="20"/>
          <w:szCs w:val="20"/>
          <w:lang w:eastAsia="en-US"/>
        </w:rPr>
        <w:t xml:space="preserve">Source: p6 of July 2014 </w:t>
      </w:r>
      <w:r w:rsidR="00264040">
        <w:rPr>
          <w:rFonts w:ascii="Arial Narrow" w:hAnsi="Arial Narrow" w:cs="Arial"/>
          <w:snapToGrid w:val="0"/>
          <w:sz w:val="20"/>
          <w:szCs w:val="20"/>
          <w:lang w:eastAsia="en-US"/>
        </w:rPr>
        <w:t>PSD</w:t>
      </w:r>
      <w:r>
        <w:rPr>
          <w:rFonts w:ascii="Arial Narrow" w:hAnsi="Arial Narrow" w:cs="Arial"/>
          <w:snapToGrid w:val="0"/>
          <w:sz w:val="20"/>
          <w:szCs w:val="20"/>
          <w:lang w:eastAsia="en-US"/>
        </w:rPr>
        <w:t xml:space="preserve">, Figure 1 &amp; 2 p13 of the submission and p104 &amp; 115 of CSR MM-003.  </w:t>
      </w:r>
    </w:p>
    <w:p w:rsidR="003C76CD" w:rsidRPr="004418B9" w:rsidRDefault="003C76CD" w:rsidP="00904A93">
      <w:pPr>
        <w:pStyle w:val="ListParagraph"/>
        <w:widowControl/>
        <w:numPr>
          <w:ilvl w:val="1"/>
          <w:numId w:val="14"/>
        </w:numPr>
        <w:spacing w:before="120" w:after="160"/>
        <w:contextualSpacing w:val="0"/>
        <w:rPr>
          <w:rFonts w:asciiTheme="minorHAnsi" w:eastAsiaTheme="minorHAnsi" w:hAnsiTheme="minorHAnsi" w:cstheme="minorBidi"/>
          <w:snapToGrid/>
          <w:sz w:val="24"/>
          <w:szCs w:val="24"/>
        </w:rPr>
      </w:pPr>
      <w:r w:rsidRPr="004418B9">
        <w:rPr>
          <w:rFonts w:asciiTheme="minorHAnsi" w:eastAsiaTheme="minorHAnsi" w:hAnsiTheme="minorHAnsi" w:cstheme="minorBidi"/>
          <w:snapToGrid/>
          <w:sz w:val="24"/>
          <w:szCs w:val="24"/>
        </w:rPr>
        <w:t>The submission claimed that there was no significant difference in terms of progression free survival or overal</w:t>
      </w:r>
      <w:r w:rsidRPr="0048057E">
        <w:rPr>
          <w:rFonts w:asciiTheme="minorHAnsi" w:eastAsiaTheme="minorHAnsi" w:hAnsiTheme="minorHAnsi" w:cstheme="minorBidi"/>
          <w:snapToGrid/>
          <w:sz w:val="24"/>
          <w:szCs w:val="24"/>
        </w:rPr>
        <w:t>l survival</w:t>
      </w:r>
      <w:r w:rsidRPr="004418B9">
        <w:rPr>
          <w:rFonts w:asciiTheme="minorHAnsi" w:eastAsiaTheme="minorHAnsi" w:hAnsiTheme="minorHAnsi" w:cstheme="minorBidi"/>
          <w:snapToGrid/>
          <w:sz w:val="24"/>
          <w:szCs w:val="24"/>
        </w:rPr>
        <w:t xml:space="preserve"> for patients who discontinued prior treatment with bortezomib due to intolerance or toxicity compared with the broader trial population</w:t>
      </w:r>
      <w:r w:rsidR="00F237EE">
        <w:rPr>
          <w:rFonts w:asciiTheme="minorHAnsi" w:eastAsiaTheme="minorHAnsi" w:hAnsiTheme="minorHAnsi" w:cstheme="minorBidi"/>
          <w:snapToGrid/>
          <w:sz w:val="24"/>
          <w:szCs w:val="24"/>
        </w:rPr>
        <w:t xml:space="preserve"> (population 3(c) Figures 1 and 2)</w:t>
      </w:r>
      <w:r w:rsidRPr="004418B9">
        <w:rPr>
          <w:rFonts w:asciiTheme="minorHAnsi" w:eastAsiaTheme="minorHAnsi" w:hAnsiTheme="minorHAnsi" w:cstheme="minorBidi"/>
          <w:snapToGrid/>
          <w:sz w:val="24"/>
          <w:szCs w:val="24"/>
        </w:rPr>
        <w:t xml:space="preserve">. </w:t>
      </w:r>
      <w:r w:rsidRPr="00F239C4">
        <w:rPr>
          <w:rFonts w:asciiTheme="minorHAnsi" w:eastAsiaTheme="minorHAnsi" w:hAnsiTheme="minorHAnsi" w:cstheme="minorBidi"/>
          <w:snapToGrid/>
          <w:sz w:val="24"/>
          <w:szCs w:val="24"/>
        </w:rPr>
        <w:t xml:space="preserve">However, this </w:t>
      </w:r>
      <w:r w:rsidR="00F237EE" w:rsidRPr="00F239C4">
        <w:rPr>
          <w:rFonts w:asciiTheme="minorHAnsi" w:eastAsiaTheme="minorHAnsi" w:hAnsiTheme="minorHAnsi" w:cstheme="minorBidi"/>
          <w:snapToGrid/>
          <w:sz w:val="24"/>
          <w:szCs w:val="24"/>
        </w:rPr>
        <w:t xml:space="preserve">analysis </w:t>
      </w:r>
      <w:r w:rsidRPr="00F239C4">
        <w:rPr>
          <w:rFonts w:asciiTheme="minorHAnsi" w:eastAsiaTheme="minorHAnsi" w:hAnsiTheme="minorHAnsi" w:cstheme="minorBidi"/>
          <w:snapToGrid/>
          <w:sz w:val="24"/>
          <w:szCs w:val="24"/>
        </w:rPr>
        <w:t xml:space="preserve">was based on small patient numbers </w:t>
      </w:r>
      <w:r w:rsidR="00F237EE" w:rsidRPr="00F239C4">
        <w:rPr>
          <w:rFonts w:asciiTheme="minorHAnsi" w:eastAsiaTheme="minorHAnsi" w:hAnsiTheme="minorHAnsi" w:cstheme="minorBidi"/>
          <w:snapToGrid/>
          <w:sz w:val="24"/>
          <w:szCs w:val="24"/>
        </w:rPr>
        <w:t xml:space="preserve">(n=45) </w:t>
      </w:r>
      <w:r w:rsidRPr="00F239C4">
        <w:rPr>
          <w:rFonts w:asciiTheme="minorHAnsi" w:eastAsiaTheme="minorHAnsi" w:hAnsiTheme="minorHAnsi" w:cstheme="minorBidi"/>
          <w:snapToGrid/>
          <w:sz w:val="24"/>
          <w:szCs w:val="24"/>
        </w:rPr>
        <w:t xml:space="preserve">and </w:t>
      </w:r>
      <w:r w:rsidR="00344315" w:rsidRPr="00F239C4">
        <w:rPr>
          <w:rFonts w:asciiTheme="minorHAnsi" w:eastAsiaTheme="minorHAnsi" w:hAnsiTheme="minorHAnsi" w:cstheme="minorBidi"/>
          <w:snapToGrid/>
          <w:sz w:val="24"/>
          <w:szCs w:val="24"/>
        </w:rPr>
        <w:t xml:space="preserve">while there was a statistically significant improvement in PFS </w:t>
      </w:r>
      <w:r w:rsidRPr="00F239C4">
        <w:rPr>
          <w:rFonts w:asciiTheme="minorHAnsi" w:eastAsiaTheme="minorHAnsi" w:hAnsiTheme="minorHAnsi" w:cstheme="minorBidi"/>
          <w:snapToGrid/>
          <w:sz w:val="24"/>
          <w:szCs w:val="24"/>
        </w:rPr>
        <w:t>for pomalidomide</w:t>
      </w:r>
      <w:r w:rsidR="00ED4CB8" w:rsidRPr="00F239C4">
        <w:rPr>
          <w:rFonts w:asciiTheme="minorHAnsi" w:eastAsiaTheme="minorHAnsi" w:hAnsiTheme="minorHAnsi" w:cstheme="minorBidi"/>
          <w:snapToGrid/>
          <w:sz w:val="24"/>
          <w:szCs w:val="24"/>
        </w:rPr>
        <w:t xml:space="preserve"> + LDD</w:t>
      </w:r>
      <w:r w:rsidRPr="00F239C4">
        <w:rPr>
          <w:rFonts w:asciiTheme="minorHAnsi" w:eastAsiaTheme="minorHAnsi" w:hAnsiTheme="minorHAnsi" w:cstheme="minorBidi"/>
          <w:snapToGrid/>
          <w:sz w:val="24"/>
          <w:szCs w:val="24"/>
        </w:rPr>
        <w:t xml:space="preserve"> compared to HDD </w:t>
      </w:r>
      <w:r w:rsidR="00344315" w:rsidRPr="00F239C4">
        <w:rPr>
          <w:rFonts w:asciiTheme="minorHAnsi" w:eastAsiaTheme="minorHAnsi" w:hAnsiTheme="minorHAnsi" w:cstheme="minorBidi"/>
          <w:snapToGrid/>
          <w:sz w:val="24"/>
          <w:szCs w:val="24"/>
        </w:rPr>
        <w:t xml:space="preserve">(HR </w:t>
      </w:r>
      <w:r w:rsidR="00567B39">
        <w:rPr>
          <w:rFonts w:asciiTheme="minorHAnsi" w:eastAsiaTheme="minorHAnsi" w:hAnsiTheme="minorHAnsi" w:cstheme="minorBidi"/>
          <w:noProof/>
          <w:snapToGrid/>
          <w:color w:val="000000"/>
          <w:sz w:val="24"/>
          <w:szCs w:val="24"/>
          <w:highlight w:val="black"/>
        </w:rPr>
        <w:t>'''''''''</w:t>
      </w:r>
      <w:r w:rsidR="00A2078F" w:rsidRPr="00F239C4">
        <w:rPr>
          <w:rFonts w:asciiTheme="minorHAnsi" w:eastAsiaTheme="minorHAnsi" w:hAnsiTheme="minorHAnsi" w:cstheme="minorBidi"/>
          <w:snapToGrid/>
          <w:sz w:val="24"/>
          <w:szCs w:val="24"/>
        </w:rPr>
        <w:t xml:space="preserve">, 95%CI: </w:t>
      </w:r>
      <w:r w:rsidR="00567B39">
        <w:rPr>
          <w:rFonts w:asciiTheme="minorHAnsi" w:eastAsiaTheme="minorHAnsi" w:hAnsiTheme="minorHAnsi" w:cstheme="minorBidi"/>
          <w:noProof/>
          <w:snapToGrid/>
          <w:color w:val="000000"/>
          <w:sz w:val="24"/>
          <w:szCs w:val="24"/>
          <w:highlight w:val="black"/>
        </w:rPr>
        <w:t>''''''''' ''''''''</w:t>
      </w:r>
      <w:r w:rsidR="00F237EE" w:rsidRPr="00F239C4">
        <w:rPr>
          <w:rFonts w:asciiTheme="minorHAnsi" w:eastAsiaTheme="minorHAnsi" w:hAnsiTheme="minorHAnsi" w:cstheme="minorBidi"/>
          <w:snapToGrid/>
          <w:sz w:val="24"/>
          <w:szCs w:val="24"/>
        </w:rPr>
        <w:t xml:space="preserve">), </w:t>
      </w:r>
      <w:r w:rsidR="00344315" w:rsidRPr="00F239C4">
        <w:rPr>
          <w:rFonts w:asciiTheme="minorHAnsi" w:eastAsiaTheme="minorHAnsi" w:hAnsiTheme="minorHAnsi" w:cstheme="minorBidi"/>
          <w:snapToGrid/>
          <w:sz w:val="24"/>
          <w:szCs w:val="24"/>
        </w:rPr>
        <w:t xml:space="preserve">the difference in OS </w:t>
      </w:r>
      <w:r w:rsidRPr="00F239C4">
        <w:rPr>
          <w:rFonts w:asciiTheme="minorHAnsi" w:eastAsiaTheme="minorHAnsi" w:hAnsiTheme="minorHAnsi" w:cstheme="minorBidi"/>
          <w:snapToGrid/>
          <w:sz w:val="24"/>
          <w:szCs w:val="24"/>
        </w:rPr>
        <w:t>was not significant</w:t>
      </w:r>
      <w:r w:rsidR="00344315" w:rsidRPr="00F239C4">
        <w:rPr>
          <w:rFonts w:asciiTheme="minorHAnsi" w:eastAsiaTheme="minorHAnsi" w:hAnsiTheme="minorHAnsi" w:cstheme="minorBidi"/>
          <w:snapToGrid/>
          <w:sz w:val="24"/>
          <w:szCs w:val="24"/>
        </w:rPr>
        <w:t xml:space="preserve"> (HR </w:t>
      </w:r>
      <w:r w:rsidR="00567B39">
        <w:rPr>
          <w:rFonts w:asciiTheme="minorHAnsi" w:eastAsiaTheme="minorHAnsi" w:hAnsiTheme="minorHAnsi" w:cstheme="minorBidi"/>
          <w:noProof/>
          <w:snapToGrid/>
          <w:color w:val="000000"/>
          <w:sz w:val="24"/>
          <w:szCs w:val="24"/>
          <w:highlight w:val="black"/>
        </w:rPr>
        <w:t>'''''''''</w:t>
      </w:r>
      <w:r w:rsidR="00F237EE" w:rsidRPr="00F239C4">
        <w:rPr>
          <w:rFonts w:asciiTheme="minorHAnsi" w:eastAsiaTheme="minorHAnsi" w:hAnsiTheme="minorHAnsi" w:cstheme="minorBidi"/>
          <w:snapToGrid/>
          <w:sz w:val="24"/>
          <w:szCs w:val="24"/>
        </w:rPr>
        <w:t xml:space="preserve">, 95%CI </w:t>
      </w:r>
      <w:r w:rsidR="00567B39">
        <w:rPr>
          <w:rFonts w:asciiTheme="minorHAnsi" w:eastAsiaTheme="minorHAnsi" w:hAnsiTheme="minorHAnsi" w:cstheme="minorBidi"/>
          <w:noProof/>
          <w:snapToGrid/>
          <w:color w:val="000000"/>
          <w:sz w:val="24"/>
          <w:szCs w:val="24"/>
          <w:highlight w:val="black"/>
        </w:rPr>
        <w:t>''''''''' ''''''''</w:t>
      </w:r>
      <w:r w:rsidR="00F237EE" w:rsidRPr="00F239C4">
        <w:rPr>
          <w:rFonts w:asciiTheme="minorHAnsi" w:eastAsiaTheme="minorHAnsi" w:hAnsiTheme="minorHAnsi" w:cstheme="minorBidi"/>
          <w:snapToGrid/>
          <w:sz w:val="24"/>
          <w:szCs w:val="24"/>
        </w:rPr>
        <w:t>)</w:t>
      </w:r>
      <w:r w:rsidRPr="00F239C4">
        <w:rPr>
          <w:rFonts w:asciiTheme="minorHAnsi" w:eastAsiaTheme="minorHAnsi" w:hAnsiTheme="minorHAnsi" w:cstheme="minorBidi"/>
          <w:snapToGrid/>
          <w:sz w:val="24"/>
          <w:szCs w:val="24"/>
        </w:rPr>
        <w:t>.</w:t>
      </w:r>
    </w:p>
    <w:p w:rsidR="0066373C" w:rsidRPr="0066373C" w:rsidRDefault="00F55A9E" w:rsidP="0066373C">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submission </w:t>
      </w:r>
      <w:r w:rsidR="00F237EE">
        <w:rPr>
          <w:rFonts w:asciiTheme="minorHAnsi" w:eastAsiaTheme="minorHAnsi" w:hAnsiTheme="minorHAnsi" w:cstheme="minorBidi"/>
          <w:snapToGrid/>
          <w:sz w:val="24"/>
          <w:szCs w:val="22"/>
        </w:rPr>
        <w:t>claim</w:t>
      </w:r>
      <w:r w:rsidR="00EA7F0C">
        <w:rPr>
          <w:rFonts w:asciiTheme="minorHAnsi" w:eastAsiaTheme="minorHAnsi" w:hAnsiTheme="minorHAnsi" w:cstheme="minorBidi"/>
          <w:snapToGrid/>
          <w:sz w:val="24"/>
          <w:szCs w:val="22"/>
        </w:rPr>
        <w:t>ed</w:t>
      </w:r>
      <w:r w:rsidR="00F237EE">
        <w:rPr>
          <w:rFonts w:asciiTheme="minorHAnsi" w:eastAsiaTheme="minorHAnsi" w:hAnsiTheme="minorHAnsi" w:cstheme="minorBidi"/>
          <w:snapToGrid/>
          <w:sz w:val="24"/>
          <w:szCs w:val="22"/>
        </w:rPr>
        <w:t xml:space="preserve"> that because</w:t>
      </w:r>
      <w:r w:rsidR="00904A93">
        <w:rPr>
          <w:rFonts w:asciiTheme="minorHAnsi" w:eastAsiaTheme="minorHAnsi" w:hAnsiTheme="minorHAnsi" w:cstheme="minorBidi"/>
          <w:snapToGrid/>
          <w:sz w:val="24"/>
          <w:szCs w:val="22"/>
        </w:rPr>
        <w:t xml:space="preserve"> </w:t>
      </w:r>
      <w:r w:rsidR="00C35716">
        <w:rPr>
          <w:rFonts w:asciiTheme="minorHAnsi" w:eastAsiaTheme="minorHAnsi" w:hAnsiTheme="minorHAnsi" w:cstheme="minorBidi"/>
          <w:snapToGrid/>
          <w:sz w:val="24"/>
          <w:szCs w:val="22"/>
        </w:rPr>
        <w:t xml:space="preserve">the average </w:t>
      </w:r>
      <w:r w:rsidR="00327C69">
        <w:rPr>
          <w:rFonts w:asciiTheme="minorHAnsi" w:eastAsiaTheme="minorHAnsi" w:hAnsiTheme="minorHAnsi" w:cstheme="minorBidi"/>
          <w:snapToGrid/>
          <w:sz w:val="24"/>
          <w:szCs w:val="22"/>
        </w:rPr>
        <w:t xml:space="preserve">pomalidomide </w:t>
      </w:r>
      <w:r w:rsidR="00C35716">
        <w:rPr>
          <w:rFonts w:asciiTheme="minorHAnsi" w:eastAsiaTheme="minorHAnsi" w:hAnsiTheme="minorHAnsi" w:cstheme="minorBidi"/>
          <w:snapToGrid/>
          <w:sz w:val="24"/>
          <w:szCs w:val="22"/>
        </w:rPr>
        <w:t xml:space="preserve">treatment duration for patients intolerant to lenalidomide </w:t>
      </w:r>
      <w:r w:rsidR="00EA7F0C">
        <w:rPr>
          <w:rFonts w:asciiTheme="minorHAnsi" w:eastAsiaTheme="minorHAnsi" w:hAnsiTheme="minorHAnsi" w:cstheme="minorBidi"/>
          <w:snapToGrid/>
          <w:sz w:val="24"/>
          <w:szCs w:val="22"/>
        </w:rPr>
        <w:t>on the sponsor</w:t>
      </w:r>
      <w:r w:rsidR="00327C69">
        <w:rPr>
          <w:rFonts w:asciiTheme="minorHAnsi" w:eastAsiaTheme="minorHAnsi" w:hAnsiTheme="minorHAnsi" w:cstheme="minorBidi"/>
          <w:snapToGrid/>
          <w:sz w:val="24"/>
          <w:szCs w:val="22"/>
        </w:rPr>
        <w:t>’</w:t>
      </w:r>
      <w:r w:rsidR="00EA7F0C">
        <w:rPr>
          <w:rFonts w:asciiTheme="minorHAnsi" w:eastAsiaTheme="minorHAnsi" w:hAnsiTheme="minorHAnsi" w:cstheme="minorBidi"/>
          <w:snapToGrid/>
          <w:sz w:val="24"/>
          <w:szCs w:val="22"/>
        </w:rPr>
        <w:t xml:space="preserve">s compassionate access program </w:t>
      </w:r>
      <w:r w:rsidR="00C35716">
        <w:rPr>
          <w:rFonts w:asciiTheme="minorHAnsi" w:eastAsiaTheme="minorHAnsi" w:hAnsiTheme="minorHAnsi" w:cstheme="minorBidi"/>
          <w:snapToGrid/>
          <w:sz w:val="24"/>
          <w:szCs w:val="22"/>
        </w:rPr>
        <w:t>is comparable to that of the broader compassionate access program population</w:t>
      </w:r>
      <w:r w:rsidR="00327C69">
        <w:rPr>
          <w:rFonts w:asciiTheme="minorHAnsi" w:eastAsiaTheme="minorHAnsi" w:hAnsiTheme="minorHAnsi" w:cstheme="minorBidi"/>
          <w:snapToGrid/>
          <w:sz w:val="24"/>
          <w:szCs w:val="22"/>
        </w:rPr>
        <w:t>,</w:t>
      </w:r>
      <w:r w:rsidR="00EA7F0C" w:rsidRPr="00EA7F0C">
        <w:rPr>
          <w:rFonts w:asciiTheme="minorHAnsi" w:eastAsiaTheme="minorHAnsi" w:hAnsiTheme="minorHAnsi" w:cstheme="minorBidi"/>
          <w:snapToGrid/>
          <w:sz w:val="24"/>
          <w:szCs w:val="22"/>
        </w:rPr>
        <w:t xml:space="preserve"> </w:t>
      </w:r>
      <w:r w:rsidR="00EA7F0C">
        <w:rPr>
          <w:rFonts w:asciiTheme="minorHAnsi" w:eastAsiaTheme="minorHAnsi" w:hAnsiTheme="minorHAnsi" w:cstheme="minorBidi"/>
          <w:snapToGrid/>
          <w:sz w:val="24"/>
          <w:szCs w:val="22"/>
        </w:rPr>
        <w:t>pomalidomide is an effective treatment option in the proposed patient group</w:t>
      </w:r>
      <w:r w:rsidR="00C35716">
        <w:rPr>
          <w:rFonts w:asciiTheme="minorHAnsi" w:eastAsiaTheme="minorHAnsi" w:hAnsiTheme="minorHAnsi" w:cstheme="minorBidi"/>
          <w:snapToGrid/>
          <w:sz w:val="24"/>
          <w:szCs w:val="22"/>
        </w:rPr>
        <w:t>.</w:t>
      </w:r>
    </w:p>
    <w:p w:rsidR="005A3173" w:rsidRPr="00937958" w:rsidRDefault="005A3173" w:rsidP="00937958">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Comparative harms</w:t>
      </w:r>
    </w:p>
    <w:p w:rsidR="00877957" w:rsidRPr="00877957" w:rsidRDefault="005E0E3E" w:rsidP="00877957">
      <w:pPr>
        <w:pStyle w:val="ListParagraph"/>
        <w:widowControl/>
        <w:numPr>
          <w:ilvl w:val="1"/>
          <w:numId w:val="14"/>
        </w:numPr>
        <w:spacing w:after="120"/>
        <w:contextualSpacing w:val="0"/>
        <w:rPr>
          <w:rFonts w:asciiTheme="minorHAnsi" w:eastAsiaTheme="minorHAnsi" w:hAnsiTheme="minorHAnsi" w:cstheme="minorBidi"/>
          <w:snapToGrid/>
          <w:color w:val="FF00FF"/>
          <w:sz w:val="24"/>
          <w:szCs w:val="22"/>
        </w:rPr>
      </w:pPr>
      <w:r>
        <w:rPr>
          <w:rFonts w:asciiTheme="minorHAnsi" w:eastAsiaTheme="minorHAnsi" w:hAnsiTheme="minorHAnsi" w:cstheme="minorBidi"/>
          <w:snapToGrid/>
          <w:sz w:val="24"/>
          <w:szCs w:val="22"/>
        </w:rPr>
        <w:t xml:space="preserve">At its March 2017 meeting, the PBAC noted the </w:t>
      </w:r>
      <w:r w:rsidRPr="005E0E3E">
        <w:rPr>
          <w:rFonts w:asciiTheme="minorHAnsi" w:eastAsiaTheme="minorHAnsi" w:hAnsiTheme="minorHAnsi" w:cstheme="minorBidi"/>
          <w:snapToGrid/>
          <w:sz w:val="24"/>
          <w:szCs w:val="22"/>
        </w:rPr>
        <w:t>submission did not provide any safety data on the use of pomalidomide in patients with severe intolerance to lenalidomide. The PBAC considered there was a high risk that patients experiencing severe intolerance to lenalidomide would experience similar adverse effects on treatment with pomalidomide, given lenalidomide and pomalidomide have similar mechanisms of action</w:t>
      </w:r>
      <w:r>
        <w:rPr>
          <w:rFonts w:asciiTheme="minorHAnsi" w:eastAsiaTheme="minorHAnsi" w:hAnsiTheme="minorHAnsi" w:cstheme="minorBidi"/>
          <w:snapToGrid/>
          <w:sz w:val="24"/>
          <w:szCs w:val="22"/>
        </w:rPr>
        <w:t xml:space="preserve"> (paragraph 7.2, March 2017 </w:t>
      </w:r>
      <w:r w:rsidR="00264040">
        <w:rPr>
          <w:rFonts w:asciiTheme="minorHAnsi" w:eastAsiaTheme="minorHAnsi" w:hAnsiTheme="minorHAnsi" w:cstheme="minorBidi"/>
          <w:snapToGrid/>
          <w:sz w:val="24"/>
          <w:szCs w:val="22"/>
        </w:rPr>
        <w:t>PSD</w:t>
      </w:r>
      <w:r>
        <w:rPr>
          <w:rFonts w:asciiTheme="minorHAnsi" w:eastAsiaTheme="minorHAnsi" w:hAnsiTheme="minorHAnsi" w:cstheme="minorBidi"/>
          <w:snapToGrid/>
          <w:sz w:val="24"/>
          <w:szCs w:val="22"/>
        </w:rPr>
        <w:t xml:space="preserve">). </w:t>
      </w:r>
    </w:p>
    <w:p w:rsidR="009B0F67" w:rsidRPr="009B4C90" w:rsidRDefault="00877957" w:rsidP="00630044">
      <w:pPr>
        <w:pStyle w:val="ListParagraph"/>
        <w:widowControl/>
        <w:numPr>
          <w:ilvl w:val="1"/>
          <w:numId w:val="14"/>
        </w:numPr>
        <w:spacing w:after="120"/>
        <w:contextualSpacing w:val="0"/>
        <w:rPr>
          <w:rFonts w:asciiTheme="minorHAnsi" w:eastAsiaTheme="minorHAnsi" w:hAnsiTheme="minorHAnsi" w:cstheme="minorBidi"/>
          <w:i/>
          <w:snapToGrid/>
          <w:sz w:val="24"/>
          <w:szCs w:val="22"/>
        </w:rPr>
      </w:pPr>
      <w:r>
        <w:rPr>
          <w:rFonts w:asciiTheme="minorHAnsi" w:eastAsiaTheme="minorHAnsi" w:hAnsiTheme="minorHAnsi" w:cstheme="minorBidi"/>
          <w:snapToGrid/>
          <w:sz w:val="24"/>
          <w:szCs w:val="22"/>
        </w:rPr>
        <w:t xml:space="preserve">To address the PBAC’s concern, the submission presented </w:t>
      </w:r>
      <w:r w:rsidR="00D110EA">
        <w:rPr>
          <w:rFonts w:asciiTheme="minorHAnsi" w:eastAsiaTheme="minorHAnsi" w:hAnsiTheme="minorHAnsi" w:cstheme="minorBidi"/>
          <w:snapToGrid/>
          <w:sz w:val="24"/>
          <w:szCs w:val="22"/>
        </w:rPr>
        <w:t xml:space="preserve">a comparison of the </w:t>
      </w:r>
      <w:r w:rsidR="00454315">
        <w:rPr>
          <w:rFonts w:asciiTheme="minorHAnsi" w:eastAsiaTheme="minorHAnsi" w:hAnsiTheme="minorHAnsi" w:cstheme="minorBidi"/>
          <w:snapToGrid/>
          <w:sz w:val="24"/>
          <w:szCs w:val="22"/>
        </w:rPr>
        <w:t xml:space="preserve">most frequently (≥ 10.0%) reported treatment-emergent adverse events in the treatment arms of trial MM-003 and trials </w:t>
      </w:r>
      <w:r w:rsidR="000C1C37">
        <w:rPr>
          <w:rFonts w:asciiTheme="minorHAnsi" w:eastAsiaTheme="minorHAnsi" w:hAnsiTheme="minorHAnsi" w:cstheme="minorBidi"/>
          <w:snapToGrid/>
          <w:sz w:val="24"/>
          <w:szCs w:val="22"/>
        </w:rPr>
        <w:t>MM-009/010 (lenalidomide key trials on which the current lenalidomide listings for the treatment of multiple myeloma are based). The submission argued that</w:t>
      </w:r>
      <w:r w:rsidR="001B5090">
        <w:rPr>
          <w:rFonts w:asciiTheme="minorHAnsi" w:eastAsiaTheme="minorHAnsi" w:hAnsiTheme="minorHAnsi" w:cstheme="minorBidi"/>
          <w:snapToGrid/>
          <w:sz w:val="24"/>
          <w:szCs w:val="22"/>
        </w:rPr>
        <w:t xml:space="preserve"> because</w:t>
      </w:r>
      <w:r w:rsidR="000C1C37">
        <w:rPr>
          <w:rFonts w:asciiTheme="minorHAnsi" w:eastAsiaTheme="minorHAnsi" w:hAnsiTheme="minorHAnsi" w:cstheme="minorBidi"/>
          <w:snapToGrid/>
          <w:sz w:val="24"/>
          <w:szCs w:val="22"/>
        </w:rPr>
        <w:t xml:space="preserve"> the dose</w:t>
      </w:r>
      <w:r w:rsidR="00D25FFB">
        <w:rPr>
          <w:rFonts w:asciiTheme="minorHAnsi" w:eastAsiaTheme="minorHAnsi" w:hAnsiTheme="minorHAnsi" w:cstheme="minorBidi"/>
          <w:snapToGrid/>
          <w:sz w:val="24"/>
          <w:szCs w:val="22"/>
        </w:rPr>
        <w:t xml:space="preserve">-limiting toxicities observed in the pomalidomide + </w:t>
      </w:r>
      <w:r w:rsidR="00A852FA">
        <w:rPr>
          <w:rFonts w:asciiTheme="minorHAnsi" w:eastAsiaTheme="minorHAnsi" w:hAnsiTheme="minorHAnsi" w:cstheme="minorBidi"/>
          <w:snapToGrid/>
          <w:sz w:val="24"/>
          <w:szCs w:val="22"/>
        </w:rPr>
        <w:t>LDD</w:t>
      </w:r>
      <w:r w:rsidR="00D25FFB">
        <w:rPr>
          <w:rFonts w:asciiTheme="minorHAnsi" w:eastAsiaTheme="minorHAnsi" w:hAnsiTheme="minorHAnsi" w:cstheme="minorBidi"/>
          <w:snapToGrid/>
          <w:sz w:val="24"/>
          <w:szCs w:val="22"/>
        </w:rPr>
        <w:t xml:space="preserve"> treatment arm of trial MM-003 differ</w:t>
      </w:r>
      <w:r w:rsidR="001B5090">
        <w:rPr>
          <w:rFonts w:asciiTheme="minorHAnsi" w:eastAsiaTheme="minorHAnsi" w:hAnsiTheme="minorHAnsi" w:cstheme="minorBidi"/>
          <w:snapToGrid/>
          <w:sz w:val="24"/>
          <w:szCs w:val="22"/>
        </w:rPr>
        <w:t>ed</w:t>
      </w:r>
      <w:r w:rsidR="00D25FFB">
        <w:rPr>
          <w:rFonts w:asciiTheme="minorHAnsi" w:eastAsiaTheme="minorHAnsi" w:hAnsiTheme="minorHAnsi" w:cstheme="minorBidi"/>
          <w:snapToGrid/>
          <w:sz w:val="24"/>
          <w:szCs w:val="22"/>
        </w:rPr>
        <w:t xml:space="preserve"> from those observed</w:t>
      </w:r>
      <w:r w:rsidR="001B5090">
        <w:rPr>
          <w:rFonts w:asciiTheme="minorHAnsi" w:eastAsiaTheme="minorHAnsi" w:hAnsiTheme="minorHAnsi" w:cstheme="minorBidi"/>
          <w:snapToGrid/>
          <w:sz w:val="24"/>
          <w:szCs w:val="22"/>
        </w:rPr>
        <w:t xml:space="preserve"> in the lenalidomide + high dose dexamethasone treatment arms of trials MM-009/010, there appears to </w:t>
      </w:r>
      <w:r w:rsidR="009E63F7">
        <w:rPr>
          <w:rFonts w:asciiTheme="minorHAnsi" w:eastAsiaTheme="minorHAnsi" w:hAnsiTheme="minorHAnsi" w:cstheme="minorBidi"/>
          <w:snapToGrid/>
          <w:sz w:val="24"/>
          <w:szCs w:val="22"/>
        </w:rPr>
        <w:t xml:space="preserve">be no class </w:t>
      </w:r>
      <w:r w:rsidR="001B5090">
        <w:rPr>
          <w:rFonts w:asciiTheme="minorHAnsi" w:eastAsiaTheme="minorHAnsi" w:hAnsiTheme="minorHAnsi" w:cstheme="minorBidi"/>
          <w:snapToGrid/>
          <w:sz w:val="24"/>
          <w:szCs w:val="22"/>
        </w:rPr>
        <w:t xml:space="preserve">effect between pomalidomide and lenalidomide with regards to safety. </w:t>
      </w:r>
      <w:r w:rsidR="009E63F7" w:rsidRPr="00F239C4">
        <w:rPr>
          <w:rFonts w:asciiTheme="minorHAnsi" w:eastAsiaTheme="minorHAnsi" w:hAnsiTheme="minorHAnsi" w:cstheme="minorBidi"/>
          <w:snapToGrid/>
          <w:sz w:val="24"/>
          <w:szCs w:val="22"/>
        </w:rPr>
        <w:t xml:space="preserve">The submission did not present any data </w:t>
      </w:r>
      <w:r w:rsidR="003C76CD" w:rsidRPr="00F239C4">
        <w:rPr>
          <w:rFonts w:asciiTheme="minorHAnsi" w:eastAsiaTheme="minorHAnsi" w:hAnsiTheme="minorHAnsi" w:cstheme="minorBidi"/>
          <w:snapToGrid/>
          <w:sz w:val="24"/>
          <w:szCs w:val="22"/>
        </w:rPr>
        <w:t xml:space="preserve">specifically relating to </w:t>
      </w:r>
      <w:r w:rsidR="00630044" w:rsidRPr="00F239C4">
        <w:rPr>
          <w:rFonts w:asciiTheme="minorHAnsi" w:eastAsiaTheme="minorHAnsi" w:hAnsiTheme="minorHAnsi" w:cstheme="minorBidi"/>
          <w:snapToGrid/>
          <w:sz w:val="24"/>
          <w:szCs w:val="22"/>
        </w:rPr>
        <w:t>adverse events in patients with severe intolerance to lenalidomide who have been treated with pomalidomide.</w:t>
      </w:r>
      <w:r w:rsidR="00630044" w:rsidRPr="009B4C90">
        <w:rPr>
          <w:rFonts w:asciiTheme="minorHAnsi" w:eastAsiaTheme="minorHAnsi" w:hAnsiTheme="minorHAnsi" w:cstheme="minorBidi"/>
          <w:i/>
          <w:snapToGrid/>
          <w:sz w:val="24"/>
          <w:szCs w:val="22"/>
        </w:rPr>
        <w:t xml:space="preserve"> </w:t>
      </w:r>
    </w:p>
    <w:p w:rsidR="003203F3" w:rsidRPr="009B4C90" w:rsidRDefault="003203F3" w:rsidP="003203F3">
      <w:pPr>
        <w:pStyle w:val="Heading2"/>
        <w:keepLines/>
        <w:spacing w:before="240" w:after="120"/>
        <w:rPr>
          <w:rFonts w:asciiTheme="minorHAnsi" w:eastAsiaTheme="majorEastAsia" w:hAnsiTheme="minorHAnsi" w:cstheme="majorBidi"/>
          <w:sz w:val="28"/>
          <w:szCs w:val="28"/>
          <w:lang w:eastAsia="en-US"/>
        </w:rPr>
      </w:pPr>
      <w:r w:rsidRPr="009B4C90">
        <w:rPr>
          <w:rFonts w:asciiTheme="minorHAnsi" w:eastAsiaTheme="majorEastAsia" w:hAnsiTheme="minorHAnsi" w:cstheme="majorBidi"/>
          <w:sz w:val="28"/>
          <w:szCs w:val="28"/>
          <w:lang w:eastAsia="en-US"/>
        </w:rPr>
        <w:t>Special pricing arrangement</w:t>
      </w:r>
    </w:p>
    <w:p w:rsidR="003203F3" w:rsidRPr="009B4C90" w:rsidRDefault="00013F8B" w:rsidP="003203F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9B4C90">
        <w:rPr>
          <w:rFonts w:asciiTheme="minorHAnsi" w:eastAsiaTheme="minorHAnsi" w:hAnsiTheme="minorHAnsi" w:cstheme="minorBidi"/>
          <w:snapToGrid/>
          <w:sz w:val="24"/>
          <w:szCs w:val="22"/>
        </w:rPr>
        <w:t xml:space="preserve">The special pricing arrangement (SPA) outlined in the current deed for pomalidomide consists of a rebate of </w:t>
      </w:r>
      <w:r w:rsidR="00567B39">
        <w:rPr>
          <w:rFonts w:asciiTheme="minorHAnsi" w:eastAsiaTheme="minorHAnsi" w:hAnsiTheme="minorHAnsi" w:cstheme="minorBidi"/>
          <w:noProof/>
          <w:snapToGrid/>
          <w:color w:val="000000"/>
          <w:sz w:val="24"/>
          <w:szCs w:val="22"/>
          <w:highlight w:val="black"/>
        </w:rPr>
        <w:t>'''''''''''</w:t>
      </w:r>
      <w:r w:rsidRPr="009B4C90">
        <w:rPr>
          <w:rFonts w:asciiTheme="minorHAnsi" w:eastAsiaTheme="minorHAnsi" w:hAnsiTheme="minorHAnsi" w:cstheme="minorBidi"/>
          <w:snapToGrid/>
          <w:sz w:val="24"/>
          <w:szCs w:val="22"/>
        </w:rPr>
        <w:t>% for all expenditure.</w:t>
      </w:r>
    </w:p>
    <w:p w:rsidR="003C76CD" w:rsidRPr="009B4C90" w:rsidRDefault="00013F8B" w:rsidP="001656B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9B4C90">
        <w:rPr>
          <w:rFonts w:asciiTheme="minorHAnsi" w:eastAsiaTheme="minorHAnsi" w:hAnsiTheme="minorHAnsi" w:cstheme="minorBidi"/>
          <w:snapToGrid/>
          <w:sz w:val="24"/>
          <w:szCs w:val="22"/>
        </w:rPr>
        <w:t xml:space="preserve">The submission proposed a further </w:t>
      </w:r>
      <w:r w:rsidR="00567B39">
        <w:rPr>
          <w:rFonts w:asciiTheme="minorHAnsi" w:eastAsiaTheme="minorHAnsi" w:hAnsiTheme="minorHAnsi" w:cstheme="minorBidi"/>
          <w:noProof/>
          <w:snapToGrid/>
          <w:color w:val="000000"/>
          <w:sz w:val="24"/>
          <w:szCs w:val="22"/>
          <w:highlight w:val="black"/>
        </w:rPr>
        <w:t>'''''</w:t>
      </w:r>
      <w:r w:rsidRPr="009B4C90">
        <w:rPr>
          <w:rFonts w:asciiTheme="minorHAnsi" w:eastAsiaTheme="minorHAnsi" w:hAnsiTheme="minorHAnsi" w:cstheme="minorBidi"/>
          <w:snapToGrid/>
          <w:sz w:val="24"/>
          <w:szCs w:val="22"/>
        </w:rPr>
        <w:t xml:space="preserve">% rebate for the </w:t>
      </w:r>
      <w:r w:rsidR="003C76CD" w:rsidRPr="009B4C90">
        <w:rPr>
          <w:rFonts w:asciiTheme="minorHAnsi" w:eastAsiaTheme="minorHAnsi" w:hAnsiTheme="minorHAnsi" w:cstheme="minorBidi"/>
          <w:snapToGrid/>
          <w:sz w:val="24"/>
          <w:szCs w:val="22"/>
        </w:rPr>
        <w:t xml:space="preserve">proportion of patients in the </w:t>
      </w:r>
      <w:r w:rsidRPr="009B4C90">
        <w:rPr>
          <w:rFonts w:asciiTheme="minorHAnsi" w:eastAsiaTheme="minorHAnsi" w:hAnsiTheme="minorHAnsi" w:cstheme="minorBidi"/>
          <w:snapToGrid/>
          <w:sz w:val="24"/>
          <w:szCs w:val="22"/>
        </w:rPr>
        <w:t>proposed extended population</w:t>
      </w:r>
      <w:r w:rsidR="003C76CD" w:rsidRPr="009B4C90">
        <w:rPr>
          <w:rFonts w:asciiTheme="minorHAnsi" w:eastAsiaTheme="minorHAnsi" w:hAnsiTheme="minorHAnsi" w:cstheme="minorBidi"/>
          <w:snapToGrid/>
          <w:sz w:val="24"/>
          <w:szCs w:val="22"/>
        </w:rPr>
        <w:t>,</w:t>
      </w:r>
      <w:r w:rsidRPr="009B4C90">
        <w:rPr>
          <w:rFonts w:asciiTheme="minorHAnsi" w:eastAsiaTheme="minorHAnsi" w:hAnsiTheme="minorHAnsi" w:cstheme="minorBidi"/>
          <w:snapToGrid/>
          <w:sz w:val="24"/>
          <w:szCs w:val="22"/>
        </w:rPr>
        <w:t xml:space="preserve"> to offset uncertainty around the cost-effectiveness of pomalidomide in the proposed population.</w:t>
      </w:r>
      <w:r w:rsidR="001656B3" w:rsidRPr="009B4C90">
        <w:rPr>
          <w:rFonts w:asciiTheme="minorHAnsi" w:eastAsiaTheme="minorHAnsi" w:hAnsiTheme="minorHAnsi" w:cstheme="minorBidi"/>
          <w:snapToGrid/>
          <w:sz w:val="24"/>
          <w:szCs w:val="22"/>
        </w:rPr>
        <w:t xml:space="preserve"> </w:t>
      </w:r>
    </w:p>
    <w:p w:rsidR="00013F8B" w:rsidRPr="009B4C90" w:rsidRDefault="001831C4" w:rsidP="001656B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9B4C90">
        <w:rPr>
          <w:rFonts w:asciiTheme="minorHAnsi" w:eastAsiaTheme="minorHAnsi" w:hAnsiTheme="minorHAnsi" w:cstheme="minorBidi"/>
          <w:snapToGrid/>
          <w:sz w:val="24"/>
          <w:szCs w:val="22"/>
        </w:rPr>
        <w:t xml:space="preserve">At its March 2016 meeting, the PBAC considered that to enable use in a broader group, a price reduction, in the order of </w:t>
      </w:r>
      <w:r w:rsidR="00567B39">
        <w:rPr>
          <w:rFonts w:asciiTheme="minorHAnsi" w:eastAsiaTheme="minorHAnsi" w:hAnsiTheme="minorHAnsi" w:cstheme="minorBidi"/>
          <w:noProof/>
          <w:snapToGrid/>
          <w:color w:val="000000"/>
          <w:sz w:val="24"/>
          <w:szCs w:val="22"/>
          <w:highlight w:val="black"/>
        </w:rPr>
        <w:t>''''''</w:t>
      </w:r>
      <w:r w:rsidRPr="009B4C90">
        <w:rPr>
          <w:rFonts w:asciiTheme="minorHAnsi" w:eastAsiaTheme="minorHAnsi" w:hAnsiTheme="minorHAnsi" w:cstheme="minorBidi"/>
          <w:snapToGrid/>
          <w:sz w:val="24"/>
          <w:szCs w:val="22"/>
        </w:rPr>
        <w:t>% would be required to address the concern about cost-effectiveness.</w:t>
      </w:r>
      <w:r w:rsidR="00834B97" w:rsidRPr="009B4C90">
        <w:rPr>
          <w:rFonts w:asciiTheme="minorHAnsi" w:eastAsiaTheme="minorHAnsi" w:hAnsiTheme="minorHAnsi" w:cstheme="minorBidi"/>
          <w:snapToGrid/>
          <w:sz w:val="24"/>
          <w:szCs w:val="22"/>
        </w:rPr>
        <w:t xml:space="preserve"> The PBAC did not specify whe</w:t>
      </w:r>
      <w:r w:rsidR="001656B3" w:rsidRPr="009B4C90">
        <w:rPr>
          <w:rFonts w:asciiTheme="minorHAnsi" w:eastAsiaTheme="minorHAnsi" w:hAnsiTheme="minorHAnsi" w:cstheme="minorBidi"/>
          <w:snapToGrid/>
          <w:sz w:val="24"/>
          <w:szCs w:val="22"/>
        </w:rPr>
        <w:t xml:space="preserve">ther </w:t>
      </w:r>
      <w:r w:rsidR="00834B97" w:rsidRPr="009B4C90">
        <w:rPr>
          <w:rFonts w:asciiTheme="minorHAnsi" w:eastAsiaTheme="minorHAnsi" w:hAnsiTheme="minorHAnsi" w:cstheme="minorBidi"/>
          <w:snapToGrid/>
          <w:sz w:val="24"/>
          <w:szCs w:val="22"/>
        </w:rPr>
        <w:t xml:space="preserve">the price reduction should apply to the total population or </w:t>
      </w:r>
      <w:r w:rsidR="003C76CD" w:rsidRPr="009B4C90">
        <w:rPr>
          <w:rFonts w:asciiTheme="minorHAnsi" w:eastAsiaTheme="minorHAnsi" w:hAnsiTheme="minorHAnsi" w:cstheme="minorBidi"/>
          <w:snapToGrid/>
          <w:sz w:val="24"/>
          <w:szCs w:val="22"/>
        </w:rPr>
        <w:t xml:space="preserve">the </w:t>
      </w:r>
      <w:r w:rsidR="00834B97" w:rsidRPr="009B4C90">
        <w:rPr>
          <w:rFonts w:asciiTheme="minorHAnsi" w:eastAsiaTheme="minorHAnsi" w:hAnsiTheme="minorHAnsi" w:cstheme="minorBidi"/>
          <w:snapToGrid/>
          <w:sz w:val="24"/>
          <w:szCs w:val="22"/>
        </w:rPr>
        <w:t xml:space="preserve">proposed extended population only. </w:t>
      </w:r>
    </w:p>
    <w:p w:rsidR="003203F3" w:rsidRPr="009B4C90" w:rsidRDefault="001656B3" w:rsidP="003203F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9B4C90">
        <w:rPr>
          <w:rFonts w:asciiTheme="minorHAnsi" w:eastAsiaTheme="minorHAnsi" w:hAnsiTheme="minorHAnsi" w:cstheme="minorBidi"/>
          <w:snapToGrid/>
          <w:sz w:val="24"/>
          <w:szCs w:val="22"/>
        </w:rPr>
        <w:t xml:space="preserve">The submission proposed a single weighted </w:t>
      </w:r>
      <w:r w:rsidR="001352F1" w:rsidRPr="009B4C90">
        <w:rPr>
          <w:rFonts w:asciiTheme="minorHAnsi" w:eastAsiaTheme="minorHAnsi" w:hAnsiTheme="minorHAnsi" w:cstheme="minorBidi"/>
          <w:snapToGrid/>
          <w:sz w:val="24"/>
          <w:szCs w:val="22"/>
        </w:rPr>
        <w:t xml:space="preserve">average </w:t>
      </w:r>
      <w:r w:rsidRPr="009B4C90">
        <w:rPr>
          <w:rFonts w:asciiTheme="minorHAnsi" w:eastAsiaTheme="minorHAnsi" w:hAnsiTheme="minorHAnsi" w:cstheme="minorBidi"/>
          <w:snapToGrid/>
          <w:sz w:val="24"/>
          <w:szCs w:val="22"/>
        </w:rPr>
        <w:t>effective price</w:t>
      </w:r>
      <w:r w:rsidR="001352F1" w:rsidRPr="009B4C90">
        <w:rPr>
          <w:rFonts w:asciiTheme="minorHAnsi" w:eastAsiaTheme="minorHAnsi" w:hAnsiTheme="minorHAnsi" w:cstheme="minorBidi"/>
          <w:snapToGrid/>
          <w:sz w:val="24"/>
          <w:szCs w:val="22"/>
        </w:rPr>
        <w:t xml:space="preserve"> ($</w:t>
      </w:r>
      <w:r w:rsidR="00567B39">
        <w:rPr>
          <w:rFonts w:asciiTheme="minorHAnsi" w:eastAsiaTheme="minorHAnsi" w:hAnsiTheme="minorHAnsi" w:cstheme="minorBidi"/>
          <w:noProof/>
          <w:snapToGrid/>
          <w:color w:val="000000"/>
          <w:sz w:val="24"/>
          <w:szCs w:val="22"/>
          <w:highlight w:val="black"/>
        </w:rPr>
        <w:t>''''''''''''''''''</w:t>
      </w:r>
      <w:r w:rsidR="001352F1" w:rsidRPr="009B4C90">
        <w:rPr>
          <w:rFonts w:asciiTheme="minorHAnsi" w:eastAsiaTheme="minorHAnsi" w:hAnsiTheme="minorHAnsi" w:cstheme="minorBidi"/>
          <w:snapToGrid/>
          <w:sz w:val="24"/>
          <w:szCs w:val="22"/>
        </w:rPr>
        <w:t>)</w:t>
      </w:r>
      <w:r w:rsidR="00BA63DF" w:rsidRPr="009B4C90">
        <w:rPr>
          <w:rFonts w:asciiTheme="minorHAnsi" w:eastAsiaTheme="minorHAnsi" w:hAnsiTheme="minorHAnsi" w:cstheme="minorBidi"/>
          <w:snapToGrid/>
          <w:sz w:val="24"/>
          <w:szCs w:val="22"/>
        </w:rPr>
        <w:t xml:space="preserve"> calculated usin</w:t>
      </w:r>
      <w:r w:rsidR="006D3AD9" w:rsidRPr="009B4C90">
        <w:rPr>
          <w:rFonts w:asciiTheme="minorHAnsi" w:eastAsiaTheme="minorHAnsi" w:hAnsiTheme="minorHAnsi" w:cstheme="minorBidi"/>
          <w:snapToGrid/>
          <w:sz w:val="24"/>
          <w:szCs w:val="22"/>
        </w:rPr>
        <w:t>g the number of PBS/RPBS items processed from January 2016 to December 2016 and</w:t>
      </w:r>
      <w:r w:rsidRPr="009B4C90">
        <w:rPr>
          <w:rFonts w:asciiTheme="minorHAnsi" w:eastAsiaTheme="minorHAnsi" w:hAnsiTheme="minorHAnsi" w:cstheme="minorBidi"/>
          <w:snapToGrid/>
          <w:sz w:val="24"/>
          <w:szCs w:val="22"/>
        </w:rPr>
        <w:t xml:space="preserve"> based on the assumpti</w:t>
      </w:r>
      <w:r w:rsidR="001352F1" w:rsidRPr="009B4C90">
        <w:rPr>
          <w:rFonts w:asciiTheme="minorHAnsi" w:eastAsiaTheme="minorHAnsi" w:hAnsiTheme="minorHAnsi" w:cstheme="minorBidi"/>
          <w:snapToGrid/>
          <w:sz w:val="24"/>
          <w:szCs w:val="22"/>
        </w:rPr>
        <w:t>on that the proposed extended population constitutes</w:t>
      </w:r>
      <w:r w:rsidR="00061B0D" w:rsidRPr="009B4C90">
        <w:rPr>
          <w:rFonts w:asciiTheme="minorHAnsi" w:eastAsiaTheme="minorHAnsi" w:hAnsiTheme="minorHAnsi" w:cstheme="minorBidi"/>
          <w:snapToGrid/>
          <w:sz w:val="24"/>
          <w:szCs w:val="22"/>
        </w:rPr>
        <w:t xml:space="preserve"> </w:t>
      </w:r>
      <w:r w:rsidR="00567B39">
        <w:rPr>
          <w:rFonts w:asciiTheme="minorHAnsi" w:eastAsiaTheme="minorHAnsi" w:hAnsiTheme="minorHAnsi" w:cstheme="minorBidi"/>
          <w:noProof/>
          <w:snapToGrid/>
          <w:color w:val="000000"/>
          <w:sz w:val="24"/>
          <w:szCs w:val="22"/>
          <w:highlight w:val="black"/>
        </w:rPr>
        <w:t>'''</w:t>
      </w:r>
      <w:r w:rsidR="001352F1" w:rsidRPr="009B4C90">
        <w:rPr>
          <w:rFonts w:asciiTheme="minorHAnsi" w:eastAsiaTheme="minorHAnsi" w:hAnsiTheme="minorHAnsi" w:cstheme="minorBidi"/>
          <w:snapToGrid/>
          <w:sz w:val="24"/>
          <w:szCs w:val="22"/>
        </w:rPr>
        <w:t>% of the total population</w:t>
      </w:r>
      <w:r w:rsidR="006D3AD9" w:rsidRPr="009B4C90">
        <w:rPr>
          <w:rFonts w:asciiTheme="minorHAnsi" w:eastAsiaTheme="minorHAnsi" w:hAnsiTheme="minorHAnsi" w:cstheme="minorBidi"/>
          <w:snapToGrid/>
          <w:sz w:val="24"/>
          <w:szCs w:val="22"/>
        </w:rPr>
        <w:t xml:space="preserve">. The submission calculated </w:t>
      </w:r>
      <w:r w:rsidR="001352F1" w:rsidRPr="009B4C90">
        <w:rPr>
          <w:rFonts w:asciiTheme="minorHAnsi" w:eastAsiaTheme="minorHAnsi" w:hAnsiTheme="minorHAnsi" w:cstheme="minorBidi"/>
          <w:snapToGrid/>
          <w:sz w:val="24"/>
          <w:szCs w:val="22"/>
        </w:rPr>
        <w:t xml:space="preserve">a revised rebate of </w:t>
      </w:r>
      <w:r w:rsidR="00567B39">
        <w:rPr>
          <w:rFonts w:asciiTheme="minorHAnsi" w:eastAsiaTheme="minorHAnsi" w:hAnsiTheme="minorHAnsi" w:cstheme="minorBidi"/>
          <w:noProof/>
          <w:snapToGrid/>
          <w:color w:val="000000"/>
          <w:sz w:val="24"/>
          <w:szCs w:val="22"/>
          <w:highlight w:val="black"/>
        </w:rPr>
        <w:t>'''''''''''</w:t>
      </w:r>
      <w:r w:rsidR="001352F1" w:rsidRPr="009B4C90">
        <w:rPr>
          <w:rFonts w:asciiTheme="minorHAnsi" w:eastAsiaTheme="minorHAnsi" w:hAnsiTheme="minorHAnsi" w:cstheme="minorBidi"/>
          <w:snapToGrid/>
          <w:sz w:val="24"/>
          <w:szCs w:val="22"/>
        </w:rPr>
        <w:t xml:space="preserve">%. </w:t>
      </w:r>
    </w:p>
    <w:p w:rsidR="005A3173" w:rsidRPr="00966D0D" w:rsidRDefault="005A3173" w:rsidP="00966D0D">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Economic analysis</w:t>
      </w:r>
    </w:p>
    <w:p w:rsidR="00A03346" w:rsidRDefault="00A03346" w:rsidP="00A03346">
      <w:pPr>
        <w:pStyle w:val="ListParagraph"/>
        <w:widowControl/>
        <w:numPr>
          <w:ilvl w:val="1"/>
          <w:numId w:val="14"/>
        </w:numPr>
        <w:spacing w:after="120"/>
        <w:contextualSpacing w:val="0"/>
        <w:rPr>
          <w:rFonts w:asciiTheme="minorHAnsi" w:hAnsiTheme="minorHAnsi"/>
          <w:sz w:val="24"/>
          <w:szCs w:val="24"/>
        </w:rPr>
      </w:pPr>
      <w:r>
        <w:rPr>
          <w:rFonts w:asciiTheme="minorHAnsi" w:hAnsiTheme="minorHAnsi"/>
          <w:sz w:val="24"/>
          <w:szCs w:val="24"/>
        </w:rPr>
        <w:t>The submission presented an economic analysis using the same economic model structure presented in the July 201</w:t>
      </w:r>
      <w:r w:rsidR="00052132">
        <w:rPr>
          <w:rFonts w:asciiTheme="minorHAnsi" w:hAnsiTheme="minorHAnsi"/>
          <w:sz w:val="24"/>
          <w:szCs w:val="24"/>
        </w:rPr>
        <w:t>4 and November 2014 submissions to estimate the cost-effectiveness of pomalidomide in the extended population.</w:t>
      </w:r>
      <w:r w:rsidR="00176ADB">
        <w:rPr>
          <w:rFonts w:asciiTheme="minorHAnsi" w:hAnsiTheme="minorHAnsi"/>
          <w:sz w:val="24"/>
          <w:szCs w:val="24"/>
        </w:rPr>
        <w:t xml:space="preserve"> The </w:t>
      </w:r>
      <w:r w:rsidR="006D3AD9">
        <w:rPr>
          <w:rFonts w:asciiTheme="minorHAnsi" w:hAnsiTheme="minorHAnsi"/>
          <w:sz w:val="24"/>
          <w:szCs w:val="24"/>
        </w:rPr>
        <w:t>economic analysis i</w:t>
      </w:r>
      <w:r w:rsidR="009644CC">
        <w:rPr>
          <w:rFonts w:asciiTheme="minorHAnsi" w:hAnsiTheme="minorHAnsi"/>
          <w:sz w:val="24"/>
          <w:szCs w:val="24"/>
        </w:rPr>
        <w:t xml:space="preserve">ncorporated the </w:t>
      </w:r>
      <w:r w:rsidR="00567B39">
        <w:rPr>
          <w:rFonts w:asciiTheme="minorHAnsi" w:hAnsiTheme="minorHAnsi"/>
          <w:noProof/>
          <w:color w:val="000000"/>
          <w:sz w:val="24"/>
          <w:szCs w:val="24"/>
          <w:highlight w:val="black"/>
        </w:rPr>
        <w:t>'''''</w:t>
      </w:r>
      <w:r w:rsidR="009644CC">
        <w:rPr>
          <w:rFonts w:asciiTheme="minorHAnsi" w:hAnsiTheme="minorHAnsi"/>
          <w:sz w:val="24"/>
          <w:szCs w:val="24"/>
        </w:rPr>
        <w:t>% rebate for the proposed extended population and a revised weighted total dose per pack of 80.7 (from 84.0) based on the number of PBS &amp; RPBS items processed from January 2016 to December 2016</w:t>
      </w:r>
      <w:r w:rsidR="00D85AE1">
        <w:rPr>
          <w:rFonts w:asciiTheme="minorHAnsi" w:hAnsiTheme="minorHAnsi"/>
          <w:sz w:val="24"/>
          <w:szCs w:val="24"/>
        </w:rPr>
        <w:t>.</w:t>
      </w:r>
    </w:p>
    <w:p w:rsidR="00B90B00" w:rsidRDefault="00B90B00" w:rsidP="00A03346">
      <w:pPr>
        <w:pStyle w:val="ListParagraph"/>
        <w:widowControl/>
        <w:numPr>
          <w:ilvl w:val="1"/>
          <w:numId w:val="14"/>
        </w:numPr>
        <w:spacing w:after="120"/>
        <w:contextualSpacing w:val="0"/>
        <w:rPr>
          <w:rFonts w:asciiTheme="minorHAnsi" w:hAnsiTheme="minorHAnsi"/>
          <w:sz w:val="24"/>
          <w:szCs w:val="24"/>
        </w:rPr>
      </w:pPr>
      <w:r>
        <w:rPr>
          <w:rFonts w:asciiTheme="minorHAnsi" w:hAnsiTheme="minorHAnsi"/>
          <w:sz w:val="24"/>
          <w:szCs w:val="24"/>
        </w:rPr>
        <w:t xml:space="preserve">A summary of the overall incremental costs and outcomes, both discounted and undiscounted, along with the ICERs is presented in Table </w:t>
      </w:r>
      <w:r w:rsidR="00382DB8">
        <w:rPr>
          <w:rFonts w:asciiTheme="minorHAnsi" w:hAnsiTheme="minorHAnsi"/>
          <w:sz w:val="24"/>
          <w:szCs w:val="24"/>
        </w:rPr>
        <w:t>3</w:t>
      </w:r>
      <w:r>
        <w:rPr>
          <w:rFonts w:asciiTheme="minorHAnsi" w:hAnsiTheme="minorHAnsi"/>
          <w:sz w:val="24"/>
          <w:szCs w:val="24"/>
        </w:rPr>
        <w:t xml:space="preserve"> below. </w:t>
      </w:r>
    </w:p>
    <w:p w:rsidR="00592978" w:rsidRPr="00592978" w:rsidRDefault="005169EF" w:rsidP="009B4C90">
      <w:pPr>
        <w:keepNext/>
        <w:spacing w:after="40"/>
        <w:rPr>
          <w:rFonts w:ascii="Arial Narrow" w:hAnsi="Arial Narrow"/>
          <w:b/>
          <w:sz w:val="20"/>
        </w:rPr>
      </w:pPr>
      <w:r>
        <w:rPr>
          <w:rFonts w:ascii="Arial Narrow" w:hAnsi="Arial Narrow"/>
          <w:b/>
          <w:sz w:val="20"/>
        </w:rPr>
        <w:t xml:space="preserve">Table </w:t>
      </w:r>
      <w:r w:rsidR="00382DB8">
        <w:rPr>
          <w:rFonts w:ascii="Arial Narrow" w:hAnsi="Arial Narrow"/>
          <w:b/>
          <w:sz w:val="20"/>
        </w:rPr>
        <w:t>3</w:t>
      </w:r>
      <w:r w:rsidR="00592978">
        <w:rPr>
          <w:rFonts w:ascii="Arial Narrow" w:hAnsi="Arial Narrow"/>
          <w:b/>
          <w:sz w:val="20"/>
        </w:rPr>
        <w:t xml:space="preserve">: Results of the economic analysis </w:t>
      </w:r>
    </w:p>
    <w:tbl>
      <w:tblPr>
        <w:tblStyle w:val="TableGrid"/>
        <w:tblW w:w="5000" w:type="pct"/>
        <w:tblLook w:val="04A0" w:firstRow="1" w:lastRow="0" w:firstColumn="1" w:lastColumn="0" w:noHBand="0" w:noVBand="1"/>
        <w:tblCaption w:val="Table 3: Results of the economic analysis "/>
      </w:tblPr>
      <w:tblGrid>
        <w:gridCol w:w="2858"/>
        <w:gridCol w:w="2935"/>
        <w:gridCol w:w="3449"/>
      </w:tblGrid>
      <w:tr w:rsidR="00176ADB" w:rsidTr="002F4453">
        <w:trPr>
          <w:tblHeader/>
        </w:trPr>
        <w:tc>
          <w:tcPr>
            <w:tcW w:w="1546" w:type="pct"/>
          </w:tcPr>
          <w:p w:rsidR="00176ADB" w:rsidRPr="00176ADB" w:rsidRDefault="00176ADB" w:rsidP="009B4C90">
            <w:pPr>
              <w:pStyle w:val="ListParagraph"/>
              <w:keepNext/>
              <w:widowControl/>
              <w:spacing w:before="40" w:after="40"/>
              <w:ind w:left="0"/>
              <w:contextualSpacing w:val="0"/>
              <w:rPr>
                <w:rFonts w:ascii="Arial Narrow" w:hAnsi="Arial Narrow"/>
                <w:sz w:val="20"/>
                <w:szCs w:val="24"/>
              </w:rPr>
            </w:pPr>
          </w:p>
        </w:tc>
        <w:tc>
          <w:tcPr>
            <w:tcW w:w="1588" w:type="pct"/>
          </w:tcPr>
          <w:p w:rsidR="00176ADB" w:rsidRPr="00176ADB" w:rsidRDefault="00176ADB" w:rsidP="009B4C90">
            <w:pPr>
              <w:pStyle w:val="ListParagraph"/>
              <w:keepNext/>
              <w:widowControl/>
              <w:spacing w:before="40" w:after="40"/>
              <w:ind w:left="0"/>
              <w:contextualSpacing w:val="0"/>
              <w:rPr>
                <w:rFonts w:ascii="Arial Narrow" w:hAnsi="Arial Narrow"/>
                <w:sz w:val="20"/>
                <w:szCs w:val="24"/>
              </w:rPr>
            </w:pPr>
            <w:r>
              <w:rPr>
                <w:rFonts w:ascii="Arial Narrow" w:hAnsi="Arial Narrow"/>
                <w:sz w:val="20"/>
                <w:szCs w:val="24"/>
              </w:rPr>
              <w:t>Discounted</w:t>
            </w:r>
          </w:p>
        </w:tc>
        <w:tc>
          <w:tcPr>
            <w:tcW w:w="1866" w:type="pct"/>
          </w:tcPr>
          <w:p w:rsidR="00176ADB" w:rsidRPr="00176ADB" w:rsidRDefault="00176ADB" w:rsidP="009B4C90">
            <w:pPr>
              <w:pStyle w:val="ListParagraph"/>
              <w:keepNext/>
              <w:widowControl/>
              <w:spacing w:before="40" w:after="40"/>
              <w:ind w:left="0"/>
              <w:contextualSpacing w:val="0"/>
              <w:rPr>
                <w:rFonts w:ascii="Arial Narrow" w:hAnsi="Arial Narrow"/>
                <w:sz w:val="20"/>
                <w:szCs w:val="24"/>
              </w:rPr>
            </w:pPr>
            <w:r>
              <w:rPr>
                <w:rFonts w:ascii="Arial Narrow" w:hAnsi="Arial Narrow"/>
                <w:sz w:val="20"/>
                <w:szCs w:val="24"/>
              </w:rPr>
              <w:t>Undiscounted</w:t>
            </w:r>
          </w:p>
        </w:tc>
      </w:tr>
      <w:tr w:rsidR="00176ADB" w:rsidTr="00592978">
        <w:tc>
          <w:tcPr>
            <w:tcW w:w="1546" w:type="pct"/>
          </w:tcPr>
          <w:p w:rsidR="00176ADB" w:rsidRPr="00176ADB" w:rsidRDefault="00176ADB" w:rsidP="009B4C90">
            <w:pPr>
              <w:pStyle w:val="ListParagraph"/>
              <w:keepNext/>
              <w:widowControl/>
              <w:spacing w:before="40" w:after="40"/>
              <w:ind w:left="0"/>
              <w:contextualSpacing w:val="0"/>
              <w:rPr>
                <w:rFonts w:ascii="Arial Narrow" w:hAnsi="Arial Narrow"/>
                <w:sz w:val="20"/>
                <w:szCs w:val="24"/>
              </w:rPr>
            </w:pPr>
            <w:r>
              <w:rPr>
                <w:rFonts w:ascii="Arial Narrow" w:hAnsi="Arial Narrow"/>
                <w:sz w:val="20"/>
                <w:szCs w:val="24"/>
              </w:rPr>
              <w:t>Total costs</w:t>
            </w:r>
          </w:p>
        </w:tc>
        <w:tc>
          <w:tcPr>
            <w:tcW w:w="1588" w:type="pct"/>
          </w:tcPr>
          <w:p w:rsidR="00176ADB" w:rsidRPr="00176ADB" w:rsidRDefault="00176ADB" w:rsidP="009B4C90">
            <w:pPr>
              <w:pStyle w:val="ListParagraph"/>
              <w:keepNext/>
              <w:widowControl/>
              <w:spacing w:before="40" w:after="40"/>
              <w:ind w:left="0"/>
              <w:contextualSpacing w:val="0"/>
              <w:rPr>
                <w:rFonts w:ascii="Arial Narrow" w:hAnsi="Arial Narrow"/>
                <w:sz w:val="20"/>
                <w:szCs w:val="24"/>
              </w:rPr>
            </w:pPr>
            <w:r w:rsidRPr="00176ADB">
              <w:rPr>
                <w:rFonts w:ascii="Arial Narrow" w:hAnsi="Arial Narrow"/>
                <w:sz w:val="20"/>
                <w:szCs w:val="24"/>
              </w:rPr>
              <w:t>$</w:t>
            </w:r>
            <w:r w:rsidR="00567B39">
              <w:rPr>
                <w:rFonts w:ascii="Arial Narrow" w:hAnsi="Arial Narrow"/>
                <w:noProof/>
                <w:color w:val="000000"/>
                <w:sz w:val="20"/>
                <w:szCs w:val="24"/>
                <w:highlight w:val="black"/>
              </w:rPr>
              <w:t>'''''''''''''''''</w:t>
            </w:r>
          </w:p>
        </w:tc>
        <w:tc>
          <w:tcPr>
            <w:tcW w:w="1866" w:type="pct"/>
          </w:tcPr>
          <w:p w:rsidR="00176ADB" w:rsidRPr="00176ADB" w:rsidRDefault="00176ADB" w:rsidP="009B4C90">
            <w:pPr>
              <w:keepNext/>
              <w:spacing w:before="40" w:after="40"/>
              <w:rPr>
                <w:rFonts w:ascii="Arial Narrow" w:hAnsi="Arial Narrow" w:cs="Arial"/>
                <w:sz w:val="20"/>
              </w:rPr>
            </w:pPr>
            <w:r w:rsidRPr="00176ADB">
              <w:rPr>
                <w:rFonts w:ascii="Arial Narrow" w:hAnsi="Arial Narrow"/>
                <w:sz w:val="20"/>
              </w:rPr>
              <w:t>$</w:t>
            </w:r>
            <w:r w:rsidR="00567B39">
              <w:rPr>
                <w:rFonts w:ascii="Arial Narrow" w:hAnsi="Arial Narrow"/>
                <w:noProof/>
                <w:color w:val="000000"/>
                <w:sz w:val="20"/>
                <w:highlight w:val="black"/>
              </w:rPr>
              <w:t>'''''''''''''''</w:t>
            </w:r>
          </w:p>
        </w:tc>
      </w:tr>
      <w:tr w:rsidR="00176ADB" w:rsidTr="00592978">
        <w:tc>
          <w:tcPr>
            <w:tcW w:w="1546" w:type="pct"/>
          </w:tcPr>
          <w:p w:rsidR="00176ADB" w:rsidRPr="00176ADB" w:rsidRDefault="00176ADB" w:rsidP="009B4C90">
            <w:pPr>
              <w:pStyle w:val="ListParagraph"/>
              <w:keepNext/>
              <w:widowControl/>
              <w:spacing w:before="40" w:after="40"/>
              <w:ind w:left="0"/>
              <w:contextualSpacing w:val="0"/>
              <w:rPr>
                <w:rFonts w:ascii="Arial Narrow" w:hAnsi="Arial Narrow"/>
                <w:sz w:val="20"/>
                <w:szCs w:val="24"/>
              </w:rPr>
            </w:pPr>
            <w:r>
              <w:rPr>
                <w:rFonts w:ascii="Arial Narrow" w:hAnsi="Arial Narrow"/>
                <w:sz w:val="20"/>
                <w:szCs w:val="24"/>
              </w:rPr>
              <w:t>LYs</w:t>
            </w:r>
          </w:p>
        </w:tc>
        <w:tc>
          <w:tcPr>
            <w:tcW w:w="1588" w:type="pct"/>
          </w:tcPr>
          <w:p w:rsidR="00176ADB" w:rsidRPr="00176ADB" w:rsidRDefault="00176ADB" w:rsidP="009B4C90">
            <w:pPr>
              <w:pStyle w:val="ListParagraph"/>
              <w:keepNext/>
              <w:widowControl/>
              <w:spacing w:before="40" w:after="40"/>
              <w:ind w:left="0"/>
              <w:contextualSpacing w:val="0"/>
              <w:rPr>
                <w:rFonts w:ascii="Arial Narrow" w:hAnsi="Arial Narrow"/>
                <w:sz w:val="20"/>
                <w:szCs w:val="24"/>
              </w:rPr>
            </w:pPr>
            <w:r w:rsidRPr="00176ADB">
              <w:rPr>
                <w:rFonts w:ascii="Arial Narrow" w:hAnsi="Arial Narrow"/>
                <w:sz w:val="20"/>
                <w:szCs w:val="24"/>
              </w:rPr>
              <w:t>1.00</w:t>
            </w:r>
          </w:p>
        </w:tc>
        <w:tc>
          <w:tcPr>
            <w:tcW w:w="1866" w:type="pct"/>
          </w:tcPr>
          <w:p w:rsidR="00176ADB" w:rsidRPr="00176ADB" w:rsidRDefault="00176ADB" w:rsidP="009B4C90">
            <w:pPr>
              <w:pStyle w:val="ListParagraph"/>
              <w:keepNext/>
              <w:widowControl/>
              <w:spacing w:before="40" w:after="40"/>
              <w:ind w:left="0"/>
              <w:contextualSpacing w:val="0"/>
              <w:rPr>
                <w:rFonts w:ascii="Arial Narrow" w:hAnsi="Arial Narrow"/>
                <w:sz w:val="20"/>
                <w:szCs w:val="24"/>
              </w:rPr>
            </w:pPr>
            <w:r w:rsidRPr="00176ADB">
              <w:rPr>
                <w:rFonts w:ascii="Arial Narrow" w:hAnsi="Arial Narrow"/>
                <w:sz w:val="20"/>
                <w:szCs w:val="24"/>
              </w:rPr>
              <w:t>1.07</w:t>
            </w:r>
          </w:p>
        </w:tc>
      </w:tr>
      <w:tr w:rsidR="00176ADB" w:rsidTr="00592978">
        <w:tc>
          <w:tcPr>
            <w:tcW w:w="1546" w:type="pct"/>
          </w:tcPr>
          <w:p w:rsidR="00176ADB" w:rsidRPr="00176ADB" w:rsidRDefault="00176ADB" w:rsidP="009B4C90">
            <w:pPr>
              <w:pStyle w:val="ListParagraph"/>
              <w:keepNext/>
              <w:widowControl/>
              <w:spacing w:before="40" w:after="40"/>
              <w:ind w:left="0"/>
              <w:contextualSpacing w:val="0"/>
              <w:rPr>
                <w:rFonts w:ascii="Arial Narrow" w:hAnsi="Arial Narrow"/>
                <w:sz w:val="20"/>
                <w:szCs w:val="24"/>
              </w:rPr>
            </w:pPr>
            <w:r>
              <w:rPr>
                <w:rFonts w:ascii="Arial Narrow" w:hAnsi="Arial Narrow"/>
                <w:sz w:val="20"/>
                <w:szCs w:val="24"/>
              </w:rPr>
              <w:t>QALYs</w:t>
            </w:r>
          </w:p>
        </w:tc>
        <w:tc>
          <w:tcPr>
            <w:tcW w:w="1588" w:type="pct"/>
          </w:tcPr>
          <w:p w:rsidR="00176ADB" w:rsidRPr="00176ADB" w:rsidRDefault="00176ADB" w:rsidP="009B4C90">
            <w:pPr>
              <w:pStyle w:val="ListParagraph"/>
              <w:keepNext/>
              <w:widowControl/>
              <w:spacing w:before="40" w:after="40"/>
              <w:ind w:left="0"/>
              <w:contextualSpacing w:val="0"/>
              <w:rPr>
                <w:rFonts w:ascii="Arial Narrow" w:hAnsi="Arial Narrow"/>
                <w:sz w:val="20"/>
                <w:szCs w:val="24"/>
              </w:rPr>
            </w:pPr>
            <w:r w:rsidRPr="00176ADB">
              <w:rPr>
                <w:rFonts w:ascii="Arial Narrow" w:hAnsi="Arial Narrow"/>
                <w:sz w:val="20"/>
                <w:szCs w:val="24"/>
              </w:rPr>
              <w:t>0.52</w:t>
            </w:r>
          </w:p>
        </w:tc>
        <w:tc>
          <w:tcPr>
            <w:tcW w:w="1866" w:type="pct"/>
          </w:tcPr>
          <w:p w:rsidR="00176ADB" w:rsidRPr="00176ADB" w:rsidRDefault="00176ADB" w:rsidP="009B4C90">
            <w:pPr>
              <w:pStyle w:val="ListParagraph"/>
              <w:keepNext/>
              <w:widowControl/>
              <w:spacing w:before="40" w:after="40"/>
              <w:ind w:left="0"/>
              <w:contextualSpacing w:val="0"/>
              <w:rPr>
                <w:rFonts w:ascii="Arial Narrow" w:hAnsi="Arial Narrow"/>
                <w:sz w:val="20"/>
                <w:szCs w:val="24"/>
              </w:rPr>
            </w:pPr>
            <w:r w:rsidRPr="00176ADB">
              <w:rPr>
                <w:rFonts w:ascii="Arial Narrow" w:hAnsi="Arial Narrow"/>
                <w:sz w:val="20"/>
                <w:szCs w:val="24"/>
              </w:rPr>
              <w:t>0.56</w:t>
            </w:r>
          </w:p>
        </w:tc>
      </w:tr>
      <w:tr w:rsidR="00592978" w:rsidTr="00592978">
        <w:tc>
          <w:tcPr>
            <w:tcW w:w="5000" w:type="pct"/>
            <w:gridSpan w:val="3"/>
          </w:tcPr>
          <w:p w:rsidR="00592978" w:rsidRPr="00176ADB" w:rsidRDefault="00592978" w:rsidP="009B4C90">
            <w:pPr>
              <w:pStyle w:val="ListParagraph"/>
              <w:keepNext/>
              <w:widowControl/>
              <w:spacing w:before="40" w:after="40"/>
              <w:ind w:left="0"/>
              <w:contextualSpacing w:val="0"/>
              <w:rPr>
                <w:rFonts w:ascii="Arial Narrow" w:hAnsi="Arial Narrow"/>
                <w:sz w:val="20"/>
                <w:szCs w:val="24"/>
              </w:rPr>
            </w:pPr>
            <w:r>
              <w:rPr>
                <w:rFonts w:ascii="Arial Narrow" w:hAnsi="Arial Narrow"/>
                <w:sz w:val="20"/>
                <w:szCs w:val="24"/>
              </w:rPr>
              <w:t>ICER</w:t>
            </w:r>
          </w:p>
        </w:tc>
      </w:tr>
      <w:tr w:rsidR="00176ADB" w:rsidTr="00592978">
        <w:tc>
          <w:tcPr>
            <w:tcW w:w="1546" w:type="pct"/>
          </w:tcPr>
          <w:p w:rsidR="00176ADB" w:rsidRPr="00176ADB" w:rsidRDefault="00176ADB" w:rsidP="009B4C90">
            <w:pPr>
              <w:pStyle w:val="ListParagraph"/>
              <w:keepNext/>
              <w:widowControl/>
              <w:spacing w:before="40" w:after="40"/>
              <w:ind w:left="0"/>
              <w:contextualSpacing w:val="0"/>
              <w:rPr>
                <w:rFonts w:ascii="Arial Narrow" w:hAnsi="Arial Narrow"/>
                <w:sz w:val="20"/>
                <w:szCs w:val="24"/>
              </w:rPr>
            </w:pPr>
            <w:r>
              <w:rPr>
                <w:rFonts w:ascii="Arial Narrow" w:hAnsi="Arial Narrow"/>
                <w:sz w:val="20"/>
                <w:szCs w:val="24"/>
              </w:rPr>
              <w:t>Cost/LY</w:t>
            </w:r>
          </w:p>
        </w:tc>
        <w:tc>
          <w:tcPr>
            <w:tcW w:w="1588" w:type="pct"/>
          </w:tcPr>
          <w:p w:rsidR="00176ADB" w:rsidRPr="00176ADB" w:rsidRDefault="00176ADB" w:rsidP="009B4C90">
            <w:pPr>
              <w:pStyle w:val="ListParagraph"/>
              <w:keepNext/>
              <w:widowControl/>
              <w:spacing w:before="40" w:after="40"/>
              <w:ind w:left="0"/>
              <w:contextualSpacing w:val="0"/>
              <w:rPr>
                <w:rFonts w:ascii="Arial Narrow" w:hAnsi="Arial Narrow"/>
                <w:sz w:val="20"/>
                <w:szCs w:val="24"/>
              </w:rPr>
            </w:pPr>
            <w:r w:rsidRPr="00176ADB">
              <w:rPr>
                <w:rFonts w:ascii="Arial Narrow" w:hAnsi="Arial Narrow"/>
                <w:sz w:val="20"/>
                <w:szCs w:val="24"/>
              </w:rPr>
              <w:t>$</w:t>
            </w:r>
            <w:r w:rsidR="00567B39">
              <w:rPr>
                <w:rFonts w:ascii="Arial Narrow" w:hAnsi="Arial Narrow"/>
                <w:noProof/>
                <w:color w:val="000000"/>
                <w:sz w:val="20"/>
                <w:szCs w:val="24"/>
                <w:highlight w:val="black"/>
              </w:rPr>
              <w:t>''''''''''''''''</w:t>
            </w:r>
          </w:p>
        </w:tc>
        <w:tc>
          <w:tcPr>
            <w:tcW w:w="1866" w:type="pct"/>
          </w:tcPr>
          <w:p w:rsidR="00176ADB" w:rsidRPr="00176ADB" w:rsidRDefault="00176ADB" w:rsidP="009B4C90">
            <w:pPr>
              <w:pStyle w:val="ListParagraph"/>
              <w:keepNext/>
              <w:widowControl/>
              <w:spacing w:before="40" w:after="40"/>
              <w:ind w:left="0"/>
              <w:contextualSpacing w:val="0"/>
              <w:rPr>
                <w:rFonts w:ascii="Arial Narrow" w:hAnsi="Arial Narrow"/>
                <w:sz w:val="20"/>
                <w:szCs w:val="24"/>
              </w:rPr>
            </w:pPr>
            <w:r w:rsidRPr="00176ADB">
              <w:rPr>
                <w:rFonts w:ascii="Arial Narrow" w:hAnsi="Arial Narrow"/>
                <w:sz w:val="20"/>
                <w:szCs w:val="24"/>
              </w:rPr>
              <w:t>$</w:t>
            </w:r>
            <w:r w:rsidR="00567B39">
              <w:rPr>
                <w:rFonts w:ascii="Arial Narrow" w:hAnsi="Arial Narrow"/>
                <w:noProof/>
                <w:color w:val="000000"/>
                <w:sz w:val="20"/>
                <w:szCs w:val="24"/>
                <w:highlight w:val="black"/>
              </w:rPr>
              <w:t>''''''''''''''''</w:t>
            </w:r>
          </w:p>
        </w:tc>
      </w:tr>
      <w:tr w:rsidR="00176ADB" w:rsidTr="00592978">
        <w:tc>
          <w:tcPr>
            <w:tcW w:w="1546" w:type="pct"/>
          </w:tcPr>
          <w:p w:rsidR="00176ADB" w:rsidRPr="00176ADB" w:rsidRDefault="00592978" w:rsidP="009B4C90">
            <w:pPr>
              <w:keepNext/>
              <w:spacing w:before="40" w:after="40"/>
              <w:rPr>
                <w:rFonts w:ascii="Arial Narrow" w:hAnsi="Arial Narrow"/>
                <w:sz w:val="20"/>
              </w:rPr>
            </w:pPr>
            <w:r>
              <w:rPr>
                <w:rFonts w:ascii="Arial Narrow" w:hAnsi="Arial Narrow"/>
                <w:sz w:val="20"/>
              </w:rPr>
              <w:t>Cost/QALY</w:t>
            </w:r>
          </w:p>
        </w:tc>
        <w:tc>
          <w:tcPr>
            <w:tcW w:w="1588" w:type="pct"/>
          </w:tcPr>
          <w:p w:rsidR="00176ADB" w:rsidRPr="00176ADB" w:rsidRDefault="00176ADB" w:rsidP="009B4C90">
            <w:pPr>
              <w:pStyle w:val="ListParagraph"/>
              <w:keepNext/>
              <w:widowControl/>
              <w:spacing w:before="40" w:after="40"/>
              <w:ind w:left="0"/>
              <w:contextualSpacing w:val="0"/>
              <w:rPr>
                <w:rFonts w:ascii="Arial Narrow" w:hAnsi="Arial Narrow"/>
                <w:sz w:val="20"/>
                <w:szCs w:val="24"/>
              </w:rPr>
            </w:pPr>
            <w:r w:rsidRPr="00176ADB">
              <w:rPr>
                <w:rFonts w:ascii="Arial Narrow" w:hAnsi="Arial Narrow"/>
                <w:sz w:val="20"/>
                <w:szCs w:val="24"/>
              </w:rPr>
              <w:t>$</w:t>
            </w:r>
            <w:r w:rsidR="00567B39">
              <w:rPr>
                <w:rFonts w:ascii="Arial Narrow" w:hAnsi="Arial Narrow"/>
                <w:noProof/>
                <w:color w:val="000000"/>
                <w:sz w:val="20"/>
                <w:szCs w:val="24"/>
                <w:highlight w:val="black"/>
              </w:rPr>
              <w:t>'''''''''''''''</w:t>
            </w:r>
          </w:p>
        </w:tc>
        <w:tc>
          <w:tcPr>
            <w:tcW w:w="1866" w:type="pct"/>
          </w:tcPr>
          <w:p w:rsidR="00176ADB" w:rsidRPr="00176ADB" w:rsidRDefault="00176ADB" w:rsidP="009B4C90">
            <w:pPr>
              <w:pStyle w:val="ListParagraph"/>
              <w:keepNext/>
              <w:widowControl/>
              <w:spacing w:before="40" w:after="40"/>
              <w:ind w:left="0"/>
              <w:contextualSpacing w:val="0"/>
              <w:rPr>
                <w:rFonts w:ascii="Arial Narrow" w:hAnsi="Arial Narrow"/>
                <w:sz w:val="20"/>
                <w:szCs w:val="24"/>
              </w:rPr>
            </w:pPr>
            <w:r w:rsidRPr="00176ADB">
              <w:rPr>
                <w:rFonts w:ascii="Arial Narrow" w:hAnsi="Arial Narrow"/>
                <w:sz w:val="20"/>
                <w:szCs w:val="24"/>
              </w:rPr>
              <w:t>$</w:t>
            </w:r>
            <w:r w:rsidR="00567B39">
              <w:rPr>
                <w:rFonts w:ascii="Arial Narrow" w:hAnsi="Arial Narrow"/>
                <w:noProof/>
                <w:color w:val="000000"/>
                <w:sz w:val="20"/>
                <w:szCs w:val="24"/>
                <w:highlight w:val="black"/>
              </w:rPr>
              <w:t>''''''''''''''''</w:t>
            </w:r>
            <w:r>
              <w:rPr>
                <w:rFonts w:ascii="Arial Narrow" w:hAnsi="Arial Narrow"/>
                <w:sz w:val="20"/>
                <w:szCs w:val="24"/>
              </w:rPr>
              <w:t xml:space="preserve"> </w:t>
            </w:r>
          </w:p>
        </w:tc>
      </w:tr>
    </w:tbl>
    <w:p w:rsidR="00176ADB" w:rsidRDefault="00592978" w:rsidP="009B4C90">
      <w:pPr>
        <w:keepNext/>
        <w:rPr>
          <w:rFonts w:ascii="Arial Narrow" w:hAnsi="Arial Narrow"/>
          <w:sz w:val="20"/>
        </w:rPr>
      </w:pPr>
      <w:r>
        <w:rPr>
          <w:rFonts w:ascii="Arial Narrow" w:hAnsi="Arial Narrow"/>
          <w:sz w:val="20"/>
        </w:rPr>
        <w:t>Abbreviations: LY=life year; QALY=quality adjusted life year; ICER= incremental cost-effectiveness ratio.</w:t>
      </w:r>
    </w:p>
    <w:p w:rsidR="00592978" w:rsidRDefault="00592978" w:rsidP="009B4C90">
      <w:pPr>
        <w:keepNext/>
        <w:spacing w:after="120"/>
        <w:rPr>
          <w:rFonts w:ascii="Arial Narrow" w:hAnsi="Arial Narrow"/>
          <w:sz w:val="20"/>
        </w:rPr>
      </w:pPr>
      <w:r>
        <w:rPr>
          <w:rFonts w:ascii="Arial Narrow" w:hAnsi="Arial Narrow"/>
          <w:sz w:val="20"/>
        </w:rPr>
        <w:t xml:space="preserve">Source: Table 11, p19 of the submission. </w:t>
      </w:r>
    </w:p>
    <w:p w:rsidR="00EF1F3A" w:rsidRPr="00EF1F3A" w:rsidRDefault="00EF1F3A" w:rsidP="009B4C90">
      <w:pPr>
        <w:keepNext/>
        <w:spacing w:after="120"/>
        <w:rPr>
          <w:rFonts w:asciiTheme="minorHAnsi" w:hAnsiTheme="minorHAnsi" w:cs="Arial"/>
          <w:snapToGrid w:val="0"/>
          <w:lang w:eastAsia="en-US"/>
        </w:rPr>
      </w:pPr>
      <w:r w:rsidRPr="00EF1F3A">
        <w:rPr>
          <w:rFonts w:asciiTheme="minorHAnsi" w:hAnsiTheme="minorHAnsi" w:cs="Arial"/>
          <w:snapToGrid w:val="0"/>
          <w:lang w:eastAsia="en-US"/>
        </w:rPr>
        <w:t>The redacted table shows ICERs in the range of $15,000/LY - $45,000/LY and $45,000/QALY - $75,000/QALY.</w:t>
      </w:r>
    </w:p>
    <w:p w:rsidR="005963BB" w:rsidRPr="00F239C4" w:rsidRDefault="009644CC" w:rsidP="00A03346">
      <w:pPr>
        <w:pStyle w:val="ListParagraph"/>
        <w:widowControl/>
        <w:numPr>
          <w:ilvl w:val="1"/>
          <w:numId w:val="14"/>
        </w:numPr>
        <w:spacing w:after="120"/>
        <w:contextualSpacing w:val="0"/>
        <w:rPr>
          <w:rFonts w:asciiTheme="minorHAnsi" w:hAnsiTheme="minorHAnsi"/>
          <w:sz w:val="24"/>
          <w:szCs w:val="24"/>
        </w:rPr>
      </w:pPr>
      <w:r w:rsidRPr="00F239C4">
        <w:rPr>
          <w:rFonts w:asciiTheme="minorHAnsi" w:hAnsiTheme="minorHAnsi"/>
          <w:sz w:val="24"/>
          <w:szCs w:val="24"/>
        </w:rPr>
        <w:t xml:space="preserve">The Department has verified </w:t>
      </w:r>
      <w:r w:rsidR="00D85AE1" w:rsidRPr="00F239C4">
        <w:rPr>
          <w:rFonts w:asciiTheme="minorHAnsi" w:hAnsiTheme="minorHAnsi"/>
          <w:sz w:val="24"/>
          <w:szCs w:val="24"/>
        </w:rPr>
        <w:t xml:space="preserve">that no additional revisions to the economic model have been incorporated apart from the inputs mentioned above (paragraph 5.9) to result in the ICER of </w:t>
      </w:r>
      <w:r w:rsidR="00EF1F3A">
        <w:rPr>
          <w:rFonts w:asciiTheme="minorHAnsi" w:hAnsiTheme="minorHAnsi"/>
          <w:sz w:val="24"/>
          <w:szCs w:val="24"/>
        </w:rPr>
        <w:t>$45,000/QALY - %75,000/QALY</w:t>
      </w:r>
      <w:r w:rsidR="00D85AE1" w:rsidRPr="00F239C4">
        <w:rPr>
          <w:rFonts w:asciiTheme="minorHAnsi" w:hAnsiTheme="minorHAnsi"/>
          <w:sz w:val="24"/>
          <w:szCs w:val="24"/>
        </w:rPr>
        <w:t xml:space="preserve"> gained. </w:t>
      </w:r>
    </w:p>
    <w:p w:rsidR="002624BF" w:rsidRPr="008306F3" w:rsidRDefault="002624BF" w:rsidP="00A03346">
      <w:pPr>
        <w:pStyle w:val="ListParagraph"/>
        <w:widowControl/>
        <w:numPr>
          <w:ilvl w:val="1"/>
          <w:numId w:val="14"/>
        </w:numPr>
        <w:spacing w:after="120"/>
        <w:contextualSpacing w:val="0"/>
        <w:rPr>
          <w:rFonts w:asciiTheme="minorHAnsi" w:hAnsiTheme="minorHAnsi"/>
          <w:sz w:val="24"/>
          <w:szCs w:val="24"/>
        </w:rPr>
      </w:pPr>
      <w:r>
        <w:rPr>
          <w:rFonts w:asciiTheme="minorHAnsi" w:hAnsiTheme="minorHAnsi"/>
          <w:sz w:val="24"/>
          <w:szCs w:val="24"/>
        </w:rPr>
        <w:t xml:space="preserve">The submission noted that the ICER of </w:t>
      </w:r>
      <w:r w:rsidR="00EF1F3A">
        <w:rPr>
          <w:rFonts w:asciiTheme="minorHAnsi" w:hAnsiTheme="minorHAnsi"/>
          <w:sz w:val="24"/>
          <w:szCs w:val="24"/>
        </w:rPr>
        <w:t>$45,000/QALY - %75,000/QALY</w:t>
      </w:r>
      <w:r w:rsidR="00EF1F3A" w:rsidRPr="00F239C4">
        <w:rPr>
          <w:rFonts w:asciiTheme="minorHAnsi" w:hAnsiTheme="minorHAnsi"/>
          <w:sz w:val="24"/>
          <w:szCs w:val="24"/>
        </w:rPr>
        <w:t xml:space="preserve"> </w:t>
      </w:r>
      <w:r>
        <w:rPr>
          <w:rFonts w:asciiTheme="minorHAnsi" w:hAnsiTheme="minorHAnsi"/>
          <w:sz w:val="24"/>
          <w:szCs w:val="24"/>
        </w:rPr>
        <w:t xml:space="preserve">gained for the proposed extended population is below the range of </w:t>
      </w:r>
      <w:r w:rsidR="00EF1F3A">
        <w:rPr>
          <w:rFonts w:asciiTheme="minorHAnsi" w:hAnsiTheme="minorHAnsi"/>
          <w:sz w:val="24"/>
          <w:szCs w:val="24"/>
        </w:rPr>
        <w:t>$45,000/QALY - %75,000/QALY</w:t>
      </w:r>
      <w:r>
        <w:rPr>
          <w:rFonts w:asciiTheme="minorHAnsi" w:hAnsiTheme="minorHAnsi"/>
          <w:sz w:val="24"/>
          <w:szCs w:val="24"/>
        </w:rPr>
        <w:t xml:space="preserve"> per QALY gained previously considered to be cost-effective by the PBAC</w:t>
      </w:r>
      <w:r w:rsidR="003C76CD">
        <w:rPr>
          <w:rFonts w:asciiTheme="minorHAnsi" w:hAnsiTheme="minorHAnsi"/>
          <w:sz w:val="24"/>
          <w:szCs w:val="24"/>
        </w:rPr>
        <w:t xml:space="preserve"> for this treatment</w:t>
      </w:r>
      <w:r>
        <w:rPr>
          <w:rFonts w:asciiTheme="minorHAnsi" w:hAnsiTheme="minorHAnsi"/>
          <w:sz w:val="24"/>
          <w:szCs w:val="24"/>
        </w:rPr>
        <w:t xml:space="preserve">.  </w:t>
      </w:r>
    </w:p>
    <w:p w:rsidR="005A3173" w:rsidRPr="008306F3" w:rsidRDefault="005A3173" w:rsidP="008306F3">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Estimated PBS usage &amp; financial implications</w:t>
      </w:r>
    </w:p>
    <w:p w:rsidR="00D706B1" w:rsidRPr="00080346" w:rsidRDefault="00FF432A" w:rsidP="00080346">
      <w:pPr>
        <w:pStyle w:val="ListParagraph"/>
        <w:widowControl/>
        <w:numPr>
          <w:ilvl w:val="1"/>
          <w:numId w:val="15"/>
        </w:numPr>
        <w:spacing w:after="120"/>
        <w:contextualSpacing w:val="0"/>
        <w:rPr>
          <w:rFonts w:asciiTheme="minorHAnsi" w:hAnsiTheme="minorHAnsi"/>
          <w:szCs w:val="22"/>
        </w:rPr>
      </w:pPr>
      <w:r>
        <w:rPr>
          <w:rFonts w:asciiTheme="minorHAnsi" w:hAnsiTheme="minorHAnsi"/>
          <w:sz w:val="24"/>
        </w:rPr>
        <w:t xml:space="preserve">The </w:t>
      </w:r>
      <w:r w:rsidR="00080346">
        <w:rPr>
          <w:rFonts w:asciiTheme="minorHAnsi" w:hAnsiTheme="minorHAnsi"/>
          <w:sz w:val="24"/>
        </w:rPr>
        <w:t>March</w:t>
      </w:r>
      <w:r>
        <w:rPr>
          <w:rFonts w:asciiTheme="minorHAnsi" w:hAnsiTheme="minorHAnsi"/>
          <w:sz w:val="24"/>
        </w:rPr>
        <w:t xml:space="preserve"> 2017 submission estimated the utilisation for the proposed patient population </w:t>
      </w:r>
      <w:r w:rsidR="00AA4674">
        <w:rPr>
          <w:rFonts w:asciiTheme="minorHAnsi" w:hAnsiTheme="minorHAnsi"/>
          <w:sz w:val="24"/>
        </w:rPr>
        <w:t>based on the estimated number of patients left untreated under the current pomalidomide restriction who are intolerant to bortezomib and/or lenalidomide.</w:t>
      </w:r>
      <w:r w:rsidR="00080346">
        <w:rPr>
          <w:rFonts w:asciiTheme="minorHAnsi" w:hAnsiTheme="minorHAnsi"/>
          <w:sz w:val="24"/>
          <w:szCs w:val="22"/>
        </w:rPr>
        <w:t xml:space="preserve"> </w:t>
      </w:r>
      <w:r w:rsidR="007910DB" w:rsidRPr="00080346">
        <w:rPr>
          <w:rFonts w:asciiTheme="minorHAnsi" w:hAnsiTheme="minorHAnsi"/>
          <w:sz w:val="24"/>
        </w:rPr>
        <w:t xml:space="preserve">The PBAC considered that the utilisation estimates were uncertain (paragraph 7.1 March 2017 </w:t>
      </w:r>
      <w:r w:rsidR="00264040">
        <w:rPr>
          <w:rFonts w:asciiTheme="minorHAnsi" w:hAnsiTheme="minorHAnsi"/>
          <w:sz w:val="24"/>
        </w:rPr>
        <w:t>PSD</w:t>
      </w:r>
      <w:r w:rsidR="007910DB" w:rsidRPr="00080346">
        <w:rPr>
          <w:rFonts w:asciiTheme="minorHAnsi" w:hAnsiTheme="minorHAnsi"/>
          <w:sz w:val="24"/>
        </w:rPr>
        <w:t xml:space="preserve">). </w:t>
      </w:r>
    </w:p>
    <w:p w:rsidR="00DD6015" w:rsidRPr="00DB5B41" w:rsidRDefault="00962990" w:rsidP="00710099">
      <w:pPr>
        <w:pStyle w:val="ListParagraph"/>
        <w:widowControl/>
        <w:numPr>
          <w:ilvl w:val="1"/>
          <w:numId w:val="14"/>
        </w:numPr>
        <w:spacing w:after="120"/>
        <w:contextualSpacing w:val="0"/>
        <w:rPr>
          <w:rFonts w:asciiTheme="minorHAnsi" w:hAnsiTheme="minorHAnsi"/>
          <w:sz w:val="24"/>
        </w:rPr>
      </w:pPr>
      <w:r>
        <w:rPr>
          <w:rFonts w:asciiTheme="minorHAnsi" w:hAnsiTheme="minorHAnsi"/>
          <w:sz w:val="24"/>
        </w:rPr>
        <w:t>The current submission</w:t>
      </w:r>
      <w:r w:rsidR="00E207C2">
        <w:rPr>
          <w:rFonts w:asciiTheme="minorHAnsi" w:hAnsiTheme="minorHAnsi"/>
          <w:sz w:val="24"/>
        </w:rPr>
        <w:t xml:space="preserve"> assumed </w:t>
      </w:r>
      <w:r w:rsidR="004327D1">
        <w:rPr>
          <w:rFonts w:asciiTheme="minorHAnsi" w:hAnsiTheme="minorHAnsi"/>
          <w:sz w:val="24"/>
        </w:rPr>
        <w:t xml:space="preserve">an additional </w:t>
      </w:r>
      <w:r w:rsidR="00567B39">
        <w:rPr>
          <w:rFonts w:asciiTheme="minorHAnsi" w:hAnsiTheme="minorHAnsi"/>
          <w:noProof/>
          <w:color w:val="000000"/>
          <w:sz w:val="24"/>
          <w:highlight w:val="black"/>
        </w:rPr>
        <w:t>'''</w:t>
      </w:r>
      <w:r w:rsidR="004327D1">
        <w:rPr>
          <w:rFonts w:asciiTheme="minorHAnsi" w:hAnsiTheme="minorHAnsi"/>
          <w:sz w:val="24"/>
        </w:rPr>
        <w:t>% of patients each year would access treatment with pomalidomide under the expanded PBS listing</w:t>
      </w:r>
      <w:r w:rsidR="007910DB">
        <w:rPr>
          <w:rFonts w:asciiTheme="minorHAnsi" w:hAnsiTheme="minorHAnsi"/>
          <w:sz w:val="24"/>
        </w:rPr>
        <w:t xml:space="preserve">. A summary of the utilisation </w:t>
      </w:r>
      <w:r w:rsidR="00080346">
        <w:rPr>
          <w:rFonts w:asciiTheme="minorHAnsi" w:hAnsiTheme="minorHAnsi"/>
          <w:sz w:val="24"/>
        </w:rPr>
        <w:t xml:space="preserve">estimates presented in the March 2017 submission and current submission are presented in Table </w:t>
      </w:r>
      <w:r w:rsidR="00382DB8">
        <w:rPr>
          <w:rFonts w:asciiTheme="minorHAnsi" w:hAnsiTheme="minorHAnsi"/>
          <w:sz w:val="24"/>
        </w:rPr>
        <w:t>4</w:t>
      </w:r>
      <w:r w:rsidR="00080346">
        <w:rPr>
          <w:rFonts w:asciiTheme="minorHAnsi" w:hAnsiTheme="minorHAnsi"/>
          <w:sz w:val="24"/>
        </w:rPr>
        <w:t xml:space="preserve"> below.</w:t>
      </w:r>
      <w:r w:rsidR="002C21E1">
        <w:rPr>
          <w:rFonts w:asciiTheme="minorHAnsi" w:hAnsiTheme="minorHAnsi"/>
          <w:sz w:val="24"/>
        </w:rPr>
        <w:t xml:space="preserve"> </w:t>
      </w:r>
      <w:r w:rsidR="002C21E1" w:rsidRPr="00F239C4">
        <w:rPr>
          <w:rFonts w:asciiTheme="minorHAnsi" w:hAnsiTheme="minorHAnsi"/>
          <w:sz w:val="24"/>
        </w:rPr>
        <w:t>The resubmission did not provide an explanation for the difference in</w:t>
      </w:r>
      <w:r w:rsidR="005957DF" w:rsidRPr="00F239C4">
        <w:rPr>
          <w:rFonts w:asciiTheme="minorHAnsi" w:hAnsiTheme="minorHAnsi"/>
          <w:sz w:val="24"/>
        </w:rPr>
        <w:t xml:space="preserve"> estimated</w:t>
      </w:r>
      <w:r w:rsidR="002C21E1" w:rsidRPr="00F239C4">
        <w:rPr>
          <w:rFonts w:asciiTheme="minorHAnsi" w:hAnsiTheme="minorHAnsi"/>
          <w:sz w:val="24"/>
        </w:rPr>
        <w:t xml:space="preserve"> patient numbers between the two submissions.</w:t>
      </w:r>
    </w:p>
    <w:p w:rsidR="00DB5B41" w:rsidRPr="00BB61D2" w:rsidRDefault="00DC7E2A" w:rsidP="00710099">
      <w:pPr>
        <w:pStyle w:val="ListParagraph"/>
        <w:widowControl/>
        <w:numPr>
          <w:ilvl w:val="1"/>
          <w:numId w:val="14"/>
        </w:numPr>
        <w:spacing w:after="120"/>
        <w:contextualSpacing w:val="0"/>
        <w:rPr>
          <w:rFonts w:asciiTheme="minorHAnsi" w:hAnsiTheme="minorHAnsi"/>
          <w:sz w:val="24"/>
        </w:rPr>
      </w:pPr>
      <w:r w:rsidRPr="00BB61D2">
        <w:rPr>
          <w:rFonts w:asciiTheme="minorHAnsi" w:hAnsiTheme="minorHAnsi"/>
          <w:sz w:val="24"/>
        </w:rPr>
        <w:t>The pre-PBAC Response</w:t>
      </w:r>
      <w:r w:rsidR="008168AB" w:rsidRPr="00BB61D2">
        <w:rPr>
          <w:rFonts w:asciiTheme="minorHAnsi" w:hAnsiTheme="minorHAnsi"/>
          <w:sz w:val="24"/>
        </w:rPr>
        <w:t xml:space="preserve"> (p3)</w:t>
      </w:r>
      <w:r w:rsidRPr="00BB61D2">
        <w:rPr>
          <w:rFonts w:asciiTheme="minorHAnsi" w:hAnsiTheme="minorHAnsi"/>
          <w:sz w:val="24"/>
        </w:rPr>
        <w:t xml:space="preserve"> clarified that </w:t>
      </w:r>
      <w:r w:rsidR="008168AB" w:rsidRPr="00BB61D2">
        <w:rPr>
          <w:rFonts w:asciiTheme="minorHAnsi" w:hAnsiTheme="minorHAnsi"/>
          <w:sz w:val="24"/>
        </w:rPr>
        <w:t>the estimated patient numbers presented in the March 2017 submission were based on the difference between predicted and actual patient numbers accessing PBS subsidised pomalidomide</w:t>
      </w:r>
      <w:r w:rsidR="0066373C">
        <w:rPr>
          <w:rFonts w:asciiTheme="minorHAnsi" w:hAnsiTheme="minorHAnsi"/>
          <w:sz w:val="24"/>
        </w:rPr>
        <w:t>, whereas the current predicted patient numbers were based on the number of patients accessing pomalidomide through the company’s compassionate access program</w:t>
      </w:r>
      <w:r w:rsidR="008168AB" w:rsidRPr="00BB61D2">
        <w:rPr>
          <w:rFonts w:asciiTheme="minorHAnsi" w:hAnsiTheme="minorHAnsi"/>
          <w:sz w:val="24"/>
        </w:rPr>
        <w:t xml:space="preserve">. </w:t>
      </w:r>
      <w:r w:rsidR="00B05D23">
        <w:rPr>
          <w:rFonts w:asciiTheme="minorHAnsi" w:hAnsiTheme="minorHAnsi"/>
          <w:sz w:val="24"/>
        </w:rPr>
        <w:t>In November 2017, t</w:t>
      </w:r>
      <w:r w:rsidR="0066373C">
        <w:rPr>
          <w:rFonts w:asciiTheme="minorHAnsi" w:hAnsiTheme="minorHAnsi"/>
          <w:sz w:val="24"/>
        </w:rPr>
        <w:t xml:space="preserve">he </w:t>
      </w:r>
      <w:r w:rsidR="008E5D23">
        <w:rPr>
          <w:rFonts w:asciiTheme="minorHAnsi" w:hAnsiTheme="minorHAnsi"/>
          <w:sz w:val="24"/>
        </w:rPr>
        <w:t>PBAC considered</w:t>
      </w:r>
      <w:r w:rsidR="0066373C">
        <w:rPr>
          <w:rFonts w:asciiTheme="minorHAnsi" w:hAnsiTheme="minorHAnsi"/>
          <w:sz w:val="24"/>
        </w:rPr>
        <w:t xml:space="preserve"> that this was likely an underestimate, as there are also compassionate access programs available for other medicines used in this treatment setting which means that there may be a larger pool of eligible patients than just those in the pomalidomide access program.</w:t>
      </w:r>
    </w:p>
    <w:p w:rsidR="002C21E1" w:rsidRPr="00710099" w:rsidRDefault="002C21E1" w:rsidP="00710099">
      <w:pPr>
        <w:pStyle w:val="ListParagraph"/>
        <w:widowControl/>
        <w:numPr>
          <w:ilvl w:val="1"/>
          <w:numId w:val="14"/>
        </w:numPr>
        <w:spacing w:after="120"/>
        <w:contextualSpacing w:val="0"/>
        <w:rPr>
          <w:rFonts w:asciiTheme="minorHAnsi" w:hAnsiTheme="minorHAnsi"/>
        </w:rPr>
      </w:pPr>
      <w:r>
        <w:rPr>
          <w:rFonts w:asciiTheme="minorHAnsi" w:hAnsiTheme="minorHAnsi"/>
          <w:sz w:val="24"/>
        </w:rPr>
        <w:t>The sponsor also indicated that it would be willing to include this expenditure within the current risk sharing arrangement patient number cap for pomalidomide.</w:t>
      </w:r>
    </w:p>
    <w:p w:rsidR="00C26BC9" w:rsidRPr="00C26BC9" w:rsidRDefault="005169EF" w:rsidP="009B4C90">
      <w:pPr>
        <w:keepNext/>
        <w:spacing w:after="40"/>
        <w:rPr>
          <w:rFonts w:ascii="Arial Narrow" w:hAnsi="Arial Narrow"/>
          <w:b/>
          <w:sz w:val="20"/>
          <w:szCs w:val="20"/>
        </w:rPr>
      </w:pPr>
      <w:r>
        <w:rPr>
          <w:rFonts w:ascii="Arial Narrow" w:hAnsi="Arial Narrow"/>
          <w:b/>
          <w:sz w:val="20"/>
          <w:szCs w:val="20"/>
        </w:rPr>
        <w:t xml:space="preserve">Table </w:t>
      </w:r>
      <w:r w:rsidR="00382DB8">
        <w:rPr>
          <w:rFonts w:ascii="Arial Narrow" w:hAnsi="Arial Narrow"/>
          <w:b/>
          <w:sz w:val="20"/>
          <w:szCs w:val="20"/>
        </w:rPr>
        <w:t>4</w:t>
      </w:r>
      <w:r w:rsidR="006F71F7">
        <w:rPr>
          <w:rFonts w:ascii="Arial Narrow" w:hAnsi="Arial Narrow"/>
          <w:b/>
          <w:sz w:val="20"/>
          <w:szCs w:val="20"/>
        </w:rPr>
        <w:t xml:space="preserve">: </w:t>
      </w:r>
      <w:r w:rsidR="00DD6015">
        <w:rPr>
          <w:rFonts w:ascii="Arial Narrow" w:hAnsi="Arial Narrow"/>
          <w:b/>
          <w:sz w:val="20"/>
          <w:szCs w:val="20"/>
        </w:rPr>
        <w:t>Summary of utilisation estimates presented in the March 2017 and November 2017 submission</w:t>
      </w:r>
    </w:p>
    <w:tbl>
      <w:tblPr>
        <w:tblStyle w:val="TableGrid"/>
        <w:tblW w:w="5000" w:type="pct"/>
        <w:tblLook w:val="04A0" w:firstRow="1" w:lastRow="0" w:firstColumn="1" w:lastColumn="0" w:noHBand="0" w:noVBand="1"/>
        <w:tblCaption w:val="Table 4: Summary of utilisation estimates presented in the March 2017 and November 2017 submission"/>
      </w:tblPr>
      <w:tblGrid>
        <w:gridCol w:w="1677"/>
        <w:gridCol w:w="1260"/>
        <w:gridCol w:w="1261"/>
        <w:gridCol w:w="1261"/>
        <w:gridCol w:w="1261"/>
        <w:gridCol w:w="1261"/>
        <w:gridCol w:w="1261"/>
      </w:tblGrid>
      <w:tr w:rsidR="00F8510A" w:rsidTr="002F4453">
        <w:trPr>
          <w:tblHeader/>
        </w:trPr>
        <w:tc>
          <w:tcPr>
            <w:tcW w:w="908" w:type="pct"/>
          </w:tcPr>
          <w:p w:rsidR="00F8510A" w:rsidRPr="00080346" w:rsidRDefault="00F8510A" w:rsidP="009B4C90">
            <w:pPr>
              <w:pStyle w:val="ListParagraph"/>
              <w:keepNext/>
              <w:widowControl/>
              <w:spacing w:before="40" w:after="40"/>
              <w:ind w:left="0"/>
              <w:rPr>
                <w:rFonts w:ascii="Arial Narrow" w:hAnsi="Arial Narrow"/>
                <w:sz w:val="20"/>
              </w:rPr>
            </w:pPr>
          </w:p>
        </w:tc>
        <w:tc>
          <w:tcPr>
            <w:tcW w:w="682" w:type="pct"/>
          </w:tcPr>
          <w:p w:rsidR="00F8510A" w:rsidRPr="005957DF" w:rsidRDefault="00F8510A" w:rsidP="009B4C90">
            <w:pPr>
              <w:pStyle w:val="ListParagraph"/>
              <w:keepNext/>
              <w:widowControl/>
              <w:spacing w:before="40" w:after="40"/>
              <w:ind w:left="0"/>
              <w:rPr>
                <w:rFonts w:ascii="Arial Narrow" w:hAnsi="Arial Narrow"/>
                <w:b/>
                <w:sz w:val="20"/>
              </w:rPr>
            </w:pPr>
            <w:r w:rsidRPr="005957DF">
              <w:rPr>
                <w:rFonts w:ascii="Arial Narrow" w:hAnsi="Arial Narrow"/>
                <w:b/>
                <w:sz w:val="20"/>
              </w:rPr>
              <w:t>Year 1</w:t>
            </w:r>
          </w:p>
        </w:tc>
        <w:tc>
          <w:tcPr>
            <w:tcW w:w="682" w:type="pct"/>
          </w:tcPr>
          <w:p w:rsidR="00F8510A" w:rsidRPr="005957DF" w:rsidRDefault="00F8510A" w:rsidP="009B4C90">
            <w:pPr>
              <w:pStyle w:val="ListParagraph"/>
              <w:keepNext/>
              <w:widowControl/>
              <w:spacing w:before="40" w:after="40"/>
              <w:ind w:left="0"/>
              <w:rPr>
                <w:rFonts w:ascii="Arial Narrow" w:hAnsi="Arial Narrow"/>
                <w:b/>
                <w:sz w:val="20"/>
              </w:rPr>
            </w:pPr>
            <w:r w:rsidRPr="005957DF">
              <w:rPr>
                <w:rFonts w:ascii="Arial Narrow" w:hAnsi="Arial Narrow"/>
                <w:b/>
                <w:sz w:val="20"/>
              </w:rPr>
              <w:t>Year 2</w:t>
            </w:r>
          </w:p>
        </w:tc>
        <w:tc>
          <w:tcPr>
            <w:tcW w:w="682" w:type="pct"/>
          </w:tcPr>
          <w:p w:rsidR="00F8510A" w:rsidRPr="005957DF" w:rsidRDefault="00F8510A" w:rsidP="009B4C90">
            <w:pPr>
              <w:pStyle w:val="ListParagraph"/>
              <w:keepNext/>
              <w:widowControl/>
              <w:spacing w:before="40" w:after="40"/>
              <w:ind w:left="0"/>
              <w:rPr>
                <w:rFonts w:ascii="Arial Narrow" w:hAnsi="Arial Narrow"/>
                <w:b/>
                <w:sz w:val="20"/>
              </w:rPr>
            </w:pPr>
            <w:r w:rsidRPr="005957DF">
              <w:rPr>
                <w:rFonts w:ascii="Arial Narrow" w:hAnsi="Arial Narrow"/>
                <w:b/>
                <w:sz w:val="20"/>
              </w:rPr>
              <w:t>Year 3</w:t>
            </w:r>
          </w:p>
        </w:tc>
        <w:tc>
          <w:tcPr>
            <w:tcW w:w="682" w:type="pct"/>
          </w:tcPr>
          <w:p w:rsidR="00F8510A" w:rsidRPr="005957DF" w:rsidRDefault="00F8510A" w:rsidP="009B4C90">
            <w:pPr>
              <w:pStyle w:val="ListParagraph"/>
              <w:keepNext/>
              <w:widowControl/>
              <w:spacing w:before="40" w:after="40"/>
              <w:ind w:left="0"/>
              <w:rPr>
                <w:rFonts w:ascii="Arial Narrow" w:hAnsi="Arial Narrow"/>
                <w:b/>
                <w:sz w:val="20"/>
              </w:rPr>
            </w:pPr>
            <w:r w:rsidRPr="005957DF">
              <w:rPr>
                <w:rFonts w:ascii="Arial Narrow" w:hAnsi="Arial Narrow"/>
                <w:b/>
                <w:sz w:val="20"/>
              </w:rPr>
              <w:t>Year 4</w:t>
            </w:r>
          </w:p>
        </w:tc>
        <w:tc>
          <w:tcPr>
            <w:tcW w:w="682" w:type="pct"/>
          </w:tcPr>
          <w:p w:rsidR="00F8510A" w:rsidRPr="005957DF" w:rsidRDefault="00F8510A" w:rsidP="009B4C90">
            <w:pPr>
              <w:pStyle w:val="ListParagraph"/>
              <w:keepNext/>
              <w:widowControl/>
              <w:spacing w:before="40" w:after="40"/>
              <w:ind w:left="0"/>
              <w:rPr>
                <w:rFonts w:ascii="Arial Narrow" w:hAnsi="Arial Narrow"/>
                <w:b/>
                <w:sz w:val="20"/>
              </w:rPr>
            </w:pPr>
            <w:r w:rsidRPr="005957DF">
              <w:rPr>
                <w:rFonts w:ascii="Arial Narrow" w:hAnsi="Arial Narrow"/>
                <w:b/>
                <w:sz w:val="20"/>
              </w:rPr>
              <w:t>Year 5</w:t>
            </w:r>
          </w:p>
        </w:tc>
        <w:tc>
          <w:tcPr>
            <w:tcW w:w="681" w:type="pct"/>
          </w:tcPr>
          <w:p w:rsidR="00F8510A" w:rsidRPr="005957DF" w:rsidRDefault="00F8510A" w:rsidP="009B4C90">
            <w:pPr>
              <w:pStyle w:val="ListParagraph"/>
              <w:keepNext/>
              <w:widowControl/>
              <w:spacing w:before="40" w:after="40"/>
              <w:ind w:left="0"/>
              <w:rPr>
                <w:rFonts w:ascii="Arial Narrow" w:hAnsi="Arial Narrow"/>
                <w:b/>
                <w:sz w:val="20"/>
              </w:rPr>
            </w:pPr>
            <w:r w:rsidRPr="005957DF">
              <w:rPr>
                <w:rFonts w:ascii="Arial Narrow" w:hAnsi="Arial Narrow"/>
                <w:b/>
                <w:sz w:val="20"/>
              </w:rPr>
              <w:t>Total</w:t>
            </w:r>
          </w:p>
        </w:tc>
      </w:tr>
      <w:tr w:rsidR="00F8510A" w:rsidTr="005E7F76">
        <w:tc>
          <w:tcPr>
            <w:tcW w:w="5000" w:type="pct"/>
            <w:gridSpan w:val="7"/>
          </w:tcPr>
          <w:p w:rsidR="00F8510A" w:rsidRPr="005957DF" w:rsidRDefault="00BF13AA" w:rsidP="009B4C90">
            <w:pPr>
              <w:pStyle w:val="ListParagraph"/>
              <w:keepNext/>
              <w:widowControl/>
              <w:spacing w:before="40" w:after="40"/>
              <w:ind w:left="0"/>
              <w:rPr>
                <w:rFonts w:ascii="Arial Narrow" w:hAnsi="Arial Narrow"/>
                <w:b/>
                <w:sz w:val="20"/>
              </w:rPr>
            </w:pPr>
            <w:r w:rsidRPr="005957DF">
              <w:rPr>
                <w:rFonts w:ascii="Arial Narrow" w:hAnsi="Arial Narrow"/>
                <w:b/>
                <w:sz w:val="20"/>
              </w:rPr>
              <w:t>Estimated additional patients treated</w:t>
            </w:r>
          </w:p>
        </w:tc>
      </w:tr>
      <w:tr w:rsidR="00F8510A" w:rsidTr="005957DF">
        <w:tc>
          <w:tcPr>
            <w:tcW w:w="908" w:type="pct"/>
          </w:tcPr>
          <w:p w:rsidR="00F8510A" w:rsidRPr="00080346" w:rsidRDefault="00F8510A" w:rsidP="009B4C90">
            <w:pPr>
              <w:pStyle w:val="ListParagraph"/>
              <w:keepNext/>
              <w:widowControl/>
              <w:spacing w:before="40" w:after="40"/>
              <w:ind w:left="0"/>
              <w:rPr>
                <w:rFonts w:ascii="Arial Narrow" w:hAnsi="Arial Narrow"/>
                <w:sz w:val="20"/>
              </w:rPr>
            </w:pPr>
            <w:r>
              <w:rPr>
                <w:rFonts w:ascii="Arial Narrow" w:hAnsi="Arial Narrow"/>
                <w:sz w:val="20"/>
              </w:rPr>
              <w:t>March 2017</w:t>
            </w:r>
          </w:p>
        </w:tc>
        <w:tc>
          <w:tcPr>
            <w:tcW w:w="682" w:type="pct"/>
          </w:tcPr>
          <w:p w:rsidR="00F8510A" w:rsidRPr="00567B39" w:rsidRDefault="00567B39" w:rsidP="009B4C90">
            <w:pPr>
              <w:pStyle w:val="ListParagraph"/>
              <w:keepNext/>
              <w:widowControl/>
              <w:spacing w:before="40" w:after="40"/>
              <w:ind w:left="0"/>
              <w:jc w:val="center"/>
              <w:rPr>
                <w:rFonts w:ascii="Arial Narrow" w:hAnsi="Arial Narrow"/>
                <w:sz w:val="20"/>
                <w:highlight w:val="black"/>
              </w:rPr>
            </w:pPr>
            <w:r>
              <w:rPr>
                <w:rFonts w:ascii="Arial Narrow" w:hAnsi="Arial Narrow"/>
                <w:noProof/>
                <w:color w:val="000000"/>
                <w:sz w:val="20"/>
                <w:highlight w:val="black"/>
              </w:rPr>
              <w:t>''''''</w:t>
            </w:r>
          </w:p>
        </w:tc>
        <w:tc>
          <w:tcPr>
            <w:tcW w:w="682" w:type="pct"/>
          </w:tcPr>
          <w:p w:rsidR="00F8510A" w:rsidRPr="00567B39" w:rsidRDefault="00567B39" w:rsidP="009B4C90">
            <w:pPr>
              <w:pStyle w:val="ListParagraph"/>
              <w:keepNext/>
              <w:widowControl/>
              <w:spacing w:before="40" w:after="40"/>
              <w:ind w:left="0"/>
              <w:jc w:val="center"/>
              <w:rPr>
                <w:rFonts w:ascii="Arial Narrow" w:hAnsi="Arial Narrow"/>
                <w:sz w:val="20"/>
                <w:highlight w:val="black"/>
              </w:rPr>
            </w:pPr>
            <w:r>
              <w:rPr>
                <w:rFonts w:ascii="Arial Narrow" w:hAnsi="Arial Narrow"/>
                <w:noProof/>
                <w:color w:val="000000"/>
                <w:sz w:val="20"/>
                <w:highlight w:val="black"/>
              </w:rPr>
              <w:t>''''''</w:t>
            </w:r>
          </w:p>
        </w:tc>
        <w:tc>
          <w:tcPr>
            <w:tcW w:w="682" w:type="pct"/>
          </w:tcPr>
          <w:p w:rsidR="00F8510A" w:rsidRPr="00567B39" w:rsidRDefault="00567B39" w:rsidP="009B4C90">
            <w:pPr>
              <w:pStyle w:val="ListParagraph"/>
              <w:keepNext/>
              <w:widowControl/>
              <w:spacing w:before="40" w:after="40"/>
              <w:ind w:left="0"/>
              <w:jc w:val="center"/>
              <w:rPr>
                <w:rFonts w:ascii="Arial Narrow" w:hAnsi="Arial Narrow"/>
                <w:sz w:val="20"/>
                <w:highlight w:val="black"/>
              </w:rPr>
            </w:pPr>
            <w:r>
              <w:rPr>
                <w:rFonts w:ascii="Arial Narrow" w:hAnsi="Arial Narrow"/>
                <w:noProof/>
                <w:color w:val="000000"/>
                <w:sz w:val="20"/>
                <w:highlight w:val="black"/>
              </w:rPr>
              <w:t>'''''</w:t>
            </w:r>
          </w:p>
        </w:tc>
        <w:tc>
          <w:tcPr>
            <w:tcW w:w="682" w:type="pct"/>
          </w:tcPr>
          <w:p w:rsidR="00F8510A" w:rsidRPr="00567B39" w:rsidRDefault="00567B39" w:rsidP="009B4C90">
            <w:pPr>
              <w:pStyle w:val="ListParagraph"/>
              <w:keepNext/>
              <w:widowControl/>
              <w:spacing w:before="40" w:after="40"/>
              <w:ind w:left="0"/>
              <w:jc w:val="center"/>
              <w:rPr>
                <w:rFonts w:ascii="Arial Narrow" w:hAnsi="Arial Narrow"/>
                <w:sz w:val="20"/>
                <w:highlight w:val="black"/>
              </w:rPr>
            </w:pPr>
            <w:r>
              <w:rPr>
                <w:rFonts w:ascii="Arial Narrow" w:hAnsi="Arial Narrow"/>
                <w:noProof/>
                <w:color w:val="000000"/>
                <w:sz w:val="20"/>
                <w:highlight w:val="black"/>
              </w:rPr>
              <w:t>''''''</w:t>
            </w:r>
          </w:p>
        </w:tc>
        <w:tc>
          <w:tcPr>
            <w:tcW w:w="682" w:type="pct"/>
          </w:tcPr>
          <w:p w:rsidR="00F8510A" w:rsidRPr="00567B39" w:rsidRDefault="00567B39" w:rsidP="009B4C90">
            <w:pPr>
              <w:pStyle w:val="ListParagraph"/>
              <w:keepNext/>
              <w:widowControl/>
              <w:spacing w:before="40" w:after="40"/>
              <w:ind w:left="0"/>
              <w:jc w:val="center"/>
              <w:rPr>
                <w:rFonts w:ascii="Arial Narrow" w:hAnsi="Arial Narrow"/>
                <w:sz w:val="20"/>
                <w:highlight w:val="black"/>
              </w:rPr>
            </w:pPr>
            <w:r>
              <w:rPr>
                <w:rFonts w:ascii="Arial Narrow" w:hAnsi="Arial Narrow"/>
                <w:noProof/>
                <w:color w:val="000000"/>
                <w:sz w:val="20"/>
                <w:highlight w:val="black"/>
              </w:rPr>
              <w:t>'''''''</w:t>
            </w:r>
          </w:p>
        </w:tc>
        <w:tc>
          <w:tcPr>
            <w:tcW w:w="681" w:type="pct"/>
          </w:tcPr>
          <w:p w:rsidR="00F8510A" w:rsidRPr="00080346" w:rsidRDefault="00F8510A" w:rsidP="009B4C90">
            <w:pPr>
              <w:pStyle w:val="ListParagraph"/>
              <w:keepNext/>
              <w:widowControl/>
              <w:spacing w:before="40" w:after="40"/>
              <w:ind w:left="0"/>
              <w:rPr>
                <w:rFonts w:ascii="Arial Narrow" w:hAnsi="Arial Narrow"/>
                <w:sz w:val="20"/>
              </w:rPr>
            </w:pPr>
          </w:p>
        </w:tc>
      </w:tr>
      <w:tr w:rsidR="00F8510A" w:rsidTr="005957DF">
        <w:tc>
          <w:tcPr>
            <w:tcW w:w="908" w:type="pct"/>
          </w:tcPr>
          <w:p w:rsidR="00F8510A" w:rsidRPr="005D2027" w:rsidRDefault="00F8510A" w:rsidP="009B4C90">
            <w:pPr>
              <w:pStyle w:val="ListParagraph"/>
              <w:keepNext/>
              <w:widowControl/>
              <w:spacing w:before="40" w:after="40"/>
              <w:ind w:left="0"/>
              <w:rPr>
                <w:rFonts w:ascii="Arial Narrow" w:hAnsi="Arial Narrow"/>
                <w:sz w:val="20"/>
                <w:vertAlign w:val="superscript"/>
              </w:rPr>
            </w:pPr>
            <w:r>
              <w:rPr>
                <w:rFonts w:ascii="Arial Narrow" w:hAnsi="Arial Narrow"/>
                <w:sz w:val="20"/>
              </w:rPr>
              <w:t>November 2017</w:t>
            </w:r>
            <w:r w:rsidR="005D2027">
              <w:rPr>
                <w:rFonts w:ascii="Arial Narrow" w:hAnsi="Arial Narrow"/>
                <w:sz w:val="20"/>
                <w:vertAlign w:val="superscript"/>
              </w:rPr>
              <w:t>1</w:t>
            </w:r>
          </w:p>
        </w:tc>
        <w:tc>
          <w:tcPr>
            <w:tcW w:w="682" w:type="pct"/>
          </w:tcPr>
          <w:p w:rsidR="00F8510A" w:rsidRPr="00567B39" w:rsidRDefault="00567B39" w:rsidP="009B4C90">
            <w:pPr>
              <w:pStyle w:val="ListParagraph"/>
              <w:keepNext/>
              <w:widowControl/>
              <w:spacing w:before="40" w:after="40"/>
              <w:ind w:left="0"/>
              <w:jc w:val="center"/>
              <w:rPr>
                <w:rFonts w:ascii="Arial Narrow" w:hAnsi="Arial Narrow"/>
                <w:sz w:val="20"/>
                <w:highlight w:val="black"/>
              </w:rPr>
            </w:pPr>
            <w:r>
              <w:rPr>
                <w:rFonts w:ascii="Arial Narrow" w:hAnsi="Arial Narrow"/>
                <w:noProof/>
                <w:color w:val="000000"/>
                <w:sz w:val="20"/>
                <w:highlight w:val="black"/>
              </w:rPr>
              <w:t>''''''</w:t>
            </w:r>
          </w:p>
        </w:tc>
        <w:tc>
          <w:tcPr>
            <w:tcW w:w="682" w:type="pct"/>
          </w:tcPr>
          <w:p w:rsidR="00F8510A" w:rsidRPr="00567B39" w:rsidRDefault="00567B39" w:rsidP="009B4C90">
            <w:pPr>
              <w:pStyle w:val="ListParagraph"/>
              <w:keepNext/>
              <w:widowControl/>
              <w:spacing w:before="40" w:after="40"/>
              <w:ind w:left="0"/>
              <w:jc w:val="center"/>
              <w:rPr>
                <w:rFonts w:ascii="Arial Narrow" w:hAnsi="Arial Narrow"/>
                <w:sz w:val="20"/>
                <w:highlight w:val="black"/>
              </w:rPr>
            </w:pPr>
            <w:r>
              <w:rPr>
                <w:rFonts w:ascii="Arial Narrow" w:hAnsi="Arial Narrow"/>
                <w:noProof/>
                <w:color w:val="000000"/>
                <w:sz w:val="20"/>
                <w:highlight w:val="black"/>
              </w:rPr>
              <w:t>''''''</w:t>
            </w:r>
          </w:p>
        </w:tc>
        <w:tc>
          <w:tcPr>
            <w:tcW w:w="682" w:type="pct"/>
          </w:tcPr>
          <w:p w:rsidR="00F8510A" w:rsidRPr="00567B39" w:rsidRDefault="00567B39" w:rsidP="009B4C90">
            <w:pPr>
              <w:pStyle w:val="ListParagraph"/>
              <w:keepNext/>
              <w:widowControl/>
              <w:spacing w:before="40" w:after="40"/>
              <w:ind w:left="0"/>
              <w:jc w:val="center"/>
              <w:rPr>
                <w:rFonts w:ascii="Arial Narrow" w:hAnsi="Arial Narrow"/>
                <w:sz w:val="20"/>
                <w:highlight w:val="black"/>
              </w:rPr>
            </w:pPr>
            <w:r>
              <w:rPr>
                <w:rFonts w:ascii="Arial Narrow" w:hAnsi="Arial Narrow"/>
                <w:noProof/>
                <w:color w:val="000000"/>
                <w:sz w:val="20"/>
                <w:highlight w:val="black"/>
              </w:rPr>
              <w:t>'''''</w:t>
            </w:r>
          </w:p>
        </w:tc>
        <w:tc>
          <w:tcPr>
            <w:tcW w:w="682" w:type="pct"/>
          </w:tcPr>
          <w:p w:rsidR="00F8510A" w:rsidRPr="00567B39" w:rsidRDefault="00567B39" w:rsidP="009B4C90">
            <w:pPr>
              <w:pStyle w:val="ListParagraph"/>
              <w:keepNext/>
              <w:widowControl/>
              <w:spacing w:before="40" w:after="40"/>
              <w:ind w:left="0"/>
              <w:jc w:val="center"/>
              <w:rPr>
                <w:rFonts w:ascii="Arial Narrow" w:hAnsi="Arial Narrow"/>
                <w:sz w:val="20"/>
                <w:highlight w:val="black"/>
              </w:rPr>
            </w:pPr>
            <w:r>
              <w:rPr>
                <w:rFonts w:ascii="Arial Narrow" w:hAnsi="Arial Narrow"/>
                <w:noProof/>
                <w:color w:val="000000"/>
                <w:sz w:val="20"/>
                <w:highlight w:val="black"/>
              </w:rPr>
              <w:t>'''''''</w:t>
            </w:r>
          </w:p>
        </w:tc>
        <w:tc>
          <w:tcPr>
            <w:tcW w:w="682" w:type="pct"/>
          </w:tcPr>
          <w:p w:rsidR="00F8510A" w:rsidRPr="00567B39" w:rsidRDefault="00567B39" w:rsidP="009B4C90">
            <w:pPr>
              <w:pStyle w:val="ListParagraph"/>
              <w:keepNext/>
              <w:widowControl/>
              <w:spacing w:before="40" w:after="40"/>
              <w:ind w:left="0"/>
              <w:jc w:val="center"/>
              <w:rPr>
                <w:rFonts w:ascii="Arial Narrow" w:hAnsi="Arial Narrow"/>
                <w:sz w:val="20"/>
                <w:highlight w:val="black"/>
              </w:rPr>
            </w:pPr>
            <w:r>
              <w:rPr>
                <w:rFonts w:ascii="Arial Narrow" w:hAnsi="Arial Narrow"/>
                <w:noProof/>
                <w:color w:val="000000"/>
                <w:sz w:val="20"/>
                <w:highlight w:val="black"/>
              </w:rPr>
              <w:t>''''''</w:t>
            </w:r>
          </w:p>
        </w:tc>
        <w:tc>
          <w:tcPr>
            <w:tcW w:w="681" w:type="pct"/>
          </w:tcPr>
          <w:p w:rsidR="00F8510A" w:rsidRDefault="00F8510A" w:rsidP="009B4C90">
            <w:pPr>
              <w:pStyle w:val="ListParagraph"/>
              <w:keepNext/>
              <w:widowControl/>
              <w:spacing w:before="40" w:after="40"/>
              <w:ind w:left="0"/>
              <w:rPr>
                <w:rFonts w:ascii="Arial Narrow" w:hAnsi="Arial Narrow"/>
                <w:sz w:val="20"/>
              </w:rPr>
            </w:pPr>
          </w:p>
        </w:tc>
      </w:tr>
      <w:tr w:rsidR="00BF13AA" w:rsidTr="005E7F76">
        <w:tc>
          <w:tcPr>
            <w:tcW w:w="5000" w:type="pct"/>
            <w:gridSpan w:val="7"/>
          </w:tcPr>
          <w:p w:rsidR="00BF13AA" w:rsidRPr="005957DF" w:rsidRDefault="00BF13AA" w:rsidP="009B4C90">
            <w:pPr>
              <w:pStyle w:val="ListParagraph"/>
              <w:keepNext/>
              <w:widowControl/>
              <w:spacing w:before="40" w:after="40"/>
              <w:ind w:left="0"/>
              <w:rPr>
                <w:rFonts w:ascii="Arial Narrow" w:hAnsi="Arial Narrow"/>
                <w:b/>
                <w:sz w:val="20"/>
              </w:rPr>
            </w:pPr>
            <w:r w:rsidRPr="005957DF">
              <w:rPr>
                <w:rFonts w:ascii="Arial Narrow" w:hAnsi="Arial Narrow"/>
                <w:b/>
                <w:sz w:val="20"/>
              </w:rPr>
              <w:t>Total cost (PBS)</w:t>
            </w:r>
          </w:p>
        </w:tc>
      </w:tr>
      <w:tr w:rsidR="005E7F76" w:rsidTr="005957DF">
        <w:tc>
          <w:tcPr>
            <w:tcW w:w="908" w:type="pct"/>
          </w:tcPr>
          <w:p w:rsidR="00BF13AA" w:rsidRPr="00080346" w:rsidRDefault="00BF13AA" w:rsidP="009B4C90">
            <w:pPr>
              <w:pStyle w:val="ListParagraph"/>
              <w:keepNext/>
              <w:widowControl/>
              <w:spacing w:before="40" w:after="40"/>
              <w:ind w:left="0"/>
              <w:rPr>
                <w:rFonts w:ascii="Arial Narrow" w:hAnsi="Arial Narrow"/>
                <w:sz w:val="20"/>
              </w:rPr>
            </w:pPr>
            <w:r>
              <w:rPr>
                <w:rFonts w:ascii="Arial Narrow" w:hAnsi="Arial Narrow"/>
                <w:sz w:val="20"/>
              </w:rPr>
              <w:t>March 2017</w:t>
            </w:r>
          </w:p>
        </w:tc>
        <w:tc>
          <w:tcPr>
            <w:tcW w:w="682" w:type="pct"/>
            <w:vAlign w:val="center"/>
          </w:tcPr>
          <w:p w:rsidR="00BF13AA" w:rsidRPr="00567B39" w:rsidRDefault="00567B39" w:rsidP="009B4C90">
            <w:pPr>
              <w:keepNext/>
              <w:spacing w:before="40" w:after="40"/>
              <w:contextual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center"/>
          </w:tcPr>
          <w:p w:rsidR="00BF13AA" w:rsidRPr="00567B39" w:rsidRDefault="00567B39" w:rsidP="009B4C90">
            <w:pPr>
              <w:keepNext/>
              <w:spacing w:before="40" w:after="40"/>
              <w:contextual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center"/>
          </w:tcPr>
          <w:p w:rsidR="00BF13AA" w:rsidRPr="00567B39" w:rsidRDefault="00567B39" w:rsidP="009B4C90">
            <w:pPr>
              <w:keepNext/>
              <w:spacing w:before="40" w:after="40"/>
              <w:contextual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center"/>
          </w:tcPr>
          <w:p w:rsidR="00BF13AA" w:rsidRPr="00567B39" w:rsidRDefault="00567B39" w:rsidP="009B4C90">
            <w:pPr>
              <w:keepNext/>
              <w:spacing w:before="40" w:after="40"/>
              <w:contextual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center"/>
          </w:tcPr>
          <w:p w:rsidR="00BF13AA" w:rsidRPr="00567B39" w:rsidRDefault="00567B39" w:rsidP="009B4C90">
            <w:pPr>
              <w:keepNext/>
              <w:spacing w:before="40" w:after="40"/>
              <w:contextual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1" w:type="pct"/>
          </w:tcPr>
          <w:p w:rsidR="00BF13AA" w:rsidRPr="00080346" w:rsidRDefault="00BF13AA" w:rsidP="009B4C90">
            <w:pPr>
              <w:pStyle w:val="ListParagraph"/>
              <w:keepNext/>
              <w:widowControl/>
              <w:spacing w:before="40" w:after="40"/>
              <w:ind w:left="0"/>
              <w:rPr>
                <w:rFonts w:ascii="Arial Narrow" w:hAnsi="Arial Narrow"/>
                <w:sz w:val="20"/>
              </w:rPr>
            </w:pPr>
          </w:p>
        </w:tc>
      </w:tr>
      <w:tr w:rsidR="00BF13AA" w:rsidTr="005957DF">
        <w:tc>
          <w:tcPr>
            <w:tcW w:w="908" w:type="pct"/>
          </w:tcPr>
          <w:p w:rsidR="00BF13AA" w:rsidRPr="00080346" w:rsidRDefault="00BF13AA" w:rsidP="009B4C90">
            <w:pPr>
              <w:pStyle w:val="ListParagraph"/>
              <w:keepNext/>
              <w:widowControl/>
              <w:spacing w:before="40" w:after="40"/>
              <w:ind w:left="0"/>
              <w:rPr>
                <w:rFonts w:ascii="Arial Narrow" w:hAnsi="Arial Narrow"/>
                <w:sz w:val="20"/>
              </w:rPr>
            </w:pPr>
            <w:r>
              <w:rPr>
                <w:rFonts w:ascii="Arial Narrow" w:hAnsi="Arial Narrow"/>
                <w:sz w:val="20"/>
              </w:rPr>
              <w:t>November 2017</w:t>
            </w:r>
          </w:p>
        </w:tc>
        <w:tc>
          <w:tcPr>
            <w:tcW w:w="682" w:type="pct"/>
            <w:vAlign w:val="center"/>
          </w:tcPr>
          <w:p w:rsidR="00BF13AA" w:rsidRPr="00567B39" w:rsidRDefault="00567B39" w:rsidP="009B4C90">
            <w:pPr>
              <w:pStyle w:val="ListParagraph"/>
              <w:keepNext/>
              <w:widowControl/>
              <w:spacing w:before="40" w:after="40"/>
              <w:ind w:left="0"/>
              <w:jc w:val="center"/>
              <w:rPr>
                <w:rFonts w:ascii="Arial Narrow" w:hAnsi="Arial Narrow"/>
                <w:sz w:val="20"/>
                <w:highlight w:val="black"/>
              </w:rPr>
            </w:pPr>
            <w:r>
              <w:rPr>
                <w:rFonts w:ascii="Arial Narrow" w:hAnsi="Arial Narrow"/>
                <w:noProof/>
                <w:color w:val="000000"/>
                <w:sz w:val="20"/>
                <w:highlight w:val="black"/>
              </w:rPr>
              <w:t>'''''''''''''''''''''</w:t>
            </w:r>
          </w:p>
        </w:tc>
        <w:tc>
          <w:tcPr>
            <w:tcW w:w="682" w:type="pct"/>
            <w:vAlign w:val="center"/>
          </w:tcPr>
          <w:p w:rsidR="00BF13AA" w:rsidRPr="00567B39" w:rsidRDefault="00567B39" w:rsidP="009B4C90">
            <w:pPr>
              <w:pStyle w:val="ListParagraph"/>
              <w:keepNext/>
              <w:widowControl/>
              <w:spacing w:before="40" w:after="40"/>
              <w:ind w:left="0"/>
              <w:jc w:val="center"/>
              <w:rPr>
                <w:rFonts w:ascii="Arial Narrow" w:hAnsi="Arial Narrow"/>
                <w:sz w:val="20"/>
                <w:highlight w:val="black"/>
              </w:rPr>
            </w:pPr>
            <w:r>
              <w:rPr>
                <w:rFonts w:ascii="Arial Narrow" w:hAnsi="Arial Narrow"/>
                <w:noProof/>
                <w:color w:val="000000"/>
                <w:sz w:val="20"/>
                <w:highlight w:val="black"/>
              </w:rPr>
              <w:t>'''''''''''''''''''''''</w:t>
            </w:r>
          </w:p>
        </w:tc>
        <w:tc>
          <w:tcPr>
            <w:tcW w:w="682" w:type="pct"/>
            <w:vAlign w:val="center"/>
          </w:tcPr>
          <w:p w:rsidR="00BF13AA" w:rsidRPr="00567B39" w:rsidRDefault="00567B39" w:rsidP="009B4C90">
            <w:pPr>
              <w:keepNext/>
              <w:spacing w:before="40" w:after="40"/>
              <w:contextualSpacing/>
              <w:jc w:val="center"/>
              <w:rPr>
                <w:rFonts w:ascii="Arial Narrow" w:hAnsi="Arial Narrow" w:cs="Calibri"/>
                <w:sz w:val="20"/>
                <w:szCs w:val="20"/>
                <w:highlight w:val="black"/>
              </w:rPr>
            </w:pPr>
            <w:r>
              <w:rPr>
                <w:rFonts w:ascii="Arial Narrow" w:hAnsi="Arial Narrow" w:cs="Arial"/>
                <w:noProof/>
                <w:color w:val="000000"/>
                <w:sz w:val="20"/>
                <w:szCs w:val="20"/>
                <w:highlight w:val="black"/>
              </w:rPr>
              <w:t>'''''''''''''''''''''''</w:t>
            </w:r>
          </w:p>
        </w:tc>
        <w:tc>
          <w:tcPr>
            <w:tcW w:w="682" w:type="pct"/>
            <w:vAlign w:val="center"/>
          </w:tcPr>
          <w:p w:rsidR="00BF13AA" w:rsidRPr="00567B39" w:rsidRDefault="00567B39" w:rsidP="009B4C90">
            <w:pPr>
              <w:keepNext/>
              <w:spacing w:before="40" w:after="40"/>
              <w:contextualSpacing/>
              <w:jc w:val="center"/>
              <w:rPr>
                <w:rFonts w:ascii="Arial Narrow" w:hAnsi="Arial Narrow" w:cs="Calibri"/>
                <w:sz w:val="20"/>
                <w:szCs w:val="20"/>
                <w:highlight w:val="black"/>
              </w:rPr>
            </w:pPr>
            <w:r>
              <w:rPr>
                <w:rFonts w:ascii="Arial Narrow" w:hAnsi="Arial Narrow" w:cs="Arial"/>
                <w:noProof/>
                <w:color w:val="000000"/>
                <w:sz w:val="20"/>
                <w:szCs w:val="20"/>
                <w:highlight w:val="black"/>
              </w:rPr>
              <w:t>'''''''''''''''''''''''</w:t>
            </w:r>
          </w:p>
        </w:tc>
        <w:tc>
          <w:tcPr>
            <w:tcW w:w="682" w:type="pct"/>
            <w:vAlign w:val="center"/>
          </w:tcPr>
          <w:p w:rsidR="00BF13AA" w:rsidRPr="00567B39" w:rsidRDefault="00567B39" w:rsidP="009B4C90">
            <w:pPr>
              <w:keepNext/>
              <w:spacing w:before="40" w:after="40"/>
              <w:contextualSpacing/>
              <w:jc w:val="center"/>
              <w:rPr>
                <w:rFonts w:ascii="Arial Narrow" w:hAnsi="Arial Narrow" w:cs="Calibri"/>
                <w:sz w:val="20"/>
                <w:szCs w:val="20"/>
                <w:highlight w:val="black"/>
              </w:rPr>
            </w:pPr>
            <w:r>
              <w:rPr>
                <w:rFonts w:ascii="Arial Narrow" w:hAnsi="Arial Narrow" w:cs="Arial"/>
                <w:noProof/>
                <w:color w:val="000000"/>
                <w:sz w:val="20"/>
                <w:szCs w:val="20"/>
                <w:highlight w:val="black"/>
              </w:rPr>
              <w:t>''''''''''''''''''''</w:t>
            </w:r>
          </w:p>
        </w:tc>
        <w:tc>
          <w:tcPr>
            <w:tcW w:w="681" w:type="pct"/>
          </w:tcPr>
          <w:p w:rsidR="00BF13AA" w:rsidRPr="00080346" w:rsidRDefault="00BF13AA" w:rsidP="009B4C90">
            <w:pPr>
              <w:pStyle w:val="ListParagraph"/>
              <w:keepNext/>
              <w:widowControl/>
              <w:spacing w:before="40" w:after="40"/>
              <w:ind w:left="0"/>
              <w:rPr>
                <w:rFonts w:ascii="Arial Narrow" w:hAnsi="Arial Narrow"/>
                <w:sz w:val="20"/>
              </w:rPr>
            </w:pPr>
          </w:p>
        </w:tc>
      </w:tr>
      <w:tr w:rsidR="00E1788A" w:rsidTr="005E7F76">
        <w:tc>
          <w:tcPr>
            <w:tcW w:w="5000" w:type="pct"/>
            <w:gridSpan w:val="7"/>
          </w:tcPr>
          <w:p w:rsidR="00E1788A" w:rsidRPr="005957DF" w:rsidRDefault="00E1788A" w:rsidP="009B4C90">
            <w:pPr>
              <w:pStyle w:val="ListParagraph"/>
              <w:keepNext/>
              <w:widowControl/>
              <w:spacing w:before="40" w:after="40"/>
              <w:ind w:left="0"/>
              <w:rPr>
                <w:rFonts w:ascii="Arial Narrow" w:hAnsi="Arial Narrow"/>
                <w:b/>
                <w:sz w:val="20"/>
              </w:rPr>
            </w:pPr>
            <w:r w:rsidRPr="005957DF">
              <w:rPr>
                <w:rFonts w:ascii="Arial Narrow" w:hAnsi="Arial Narrow"/>
                <w:b/>
                <w:sz w:val="20"/>
              </w:rPr>
              <w:t>Total cost (RPBS)</w:t>
            </w:r>
          </w:p>
        </w:tc>
      </w:tr>
      <w:tr w:rsidR="000760CA" w:rsidTr="005957DF">
        <w:tc>
          <w:tcPr>
            <w:tcW w:w="908" w:type="pct"/>
          </w:tcPr>
          <w:p w:rsidR="000760CA" w:rsidRDefault="000760CA" w:rsidP="009B4C90">
            <w:pPr>
              <w:pStyle w:val="ListParagraph"/>
              <w:keepNext/>
              <w:widowControl/>
              <w:spacing w:before="40" w:after="40"/>
              <w:ind w:left="0"/>
              <w:rPr>
                <w:rFonts w:ascii="Arial Narrow" w:hAnsi="Arial Narrow"/>
                <w:sz w:val="20"/>
              </w:rPr>
            </w:pPr>
            <w:r>
              <w:rPr>
                <w:rFonts w:ascii="Arial Narrow" w:hAnsi="Arial Narrow"/>
                <w:sz w:val="20"/>
              </w:rPr>
              <w:t>March 2017</w:t>
            </w:r>
          </w:p>
        </w:tc>
        <w:tc>
          <w:tcPr>
            <w:tcW w:w="682" w:type="pct"/>
            <w:vAlign w:val="center"/>
          </w:tcPr>
          <w:p w:rsidR="000760CA"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center"/>
          </w:tcPr>
          <w:p w:rsidR="000760CA"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center"/>
          </w:tcPr>
          <w:p w:rsidR="000760CA"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center"/>
          </w:tcPr>
          <w:p w:rsidR="000760CA"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center"/>
          </w:tcPr>
          <w:p w:rsidR="000760CA"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1" w:type="pct"/>
          </w:tcPr>
          <w:p w:rsidR="000760CA" w:rsidRPr="00080346" w:rsidRDefault="000760CA" w:rsidP="009B4C90">
            <w:pPr>
              <w:pStyle w:val="ListParagraph"/>
              <w:keepNext/>
              <w:widowControl/>
              <w:spacing w:before="40" w:after="40"/>
              <w:ind w:left="0"/>
              <w:rPr>
                <w:rFonts w:ascii="Arial Narrow" w:hAnsi="Arial Narrow"/>
                <w:sz w:val="20"/>
              </w:rPr>
            </w:pPr>
          </w:p>
        </w:tc>
      </w:tr>
      <w:tr w:rsidR="000760CA" w:rsidTr="005957DF">
        <w:tc>
          <w:tcPr>
            <w:tcW w:w="908" w:type="pct"/>
          </w:tcPr>
          <w:p w:rsidR="000760CA" w:rsidRDefault="000760CA" w:rsidP="009B4C90">
            <w:pPr>
              <w:pStyle w:val="ListParagraph"/>
              <w:keepNext/>
              <w:widowControl/>
              <w:spacing w:before="40" w:after="40"/>
              <w:ind w:left="0"/>
              <w:rPr>
                <w:rFonts w:ascii="Arial Narrow" w:hAnsi="Arial Narrow"/>
                <w:sz w:val="20"/>
              </w:rPr>
            </w:pPr>
            <w:r>
              <w:rPr>
                <w:rFonts w:ascii="Arial Narrow" w:hAnsi="Arial Narrow"/>
                <w:sz w:val="20"/>
              </w:rPr>
              <w:t>November 2017</w:t>
            </w:r>
          </w:p>
        </w:tc>
        <w:tc>
          <w:tcPr>
            <w:tcW w:w="682" w:type="pct"/>
            <w:vAlign w:val="center"/>
          </w:tcPr>
          <w:p w:rsidR="000760CA"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center"/>
          </w:tcPr>
          <w:p w:rsidR="000760CA"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center"/>
          </w:tcPr>
          <w:p w:rsidR="000760CA"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center"/>
          </w:tcPr>
          <w:p w:rsidR="000760CA"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center"/>
          </w:tcPr>
          <w:p w:rsidR="000760CA"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1" w:type="pct"/>
          </w:tcPr>
          <w:p w:rsidR="000760CA" w:rsidRPr="00080346" w:rsidRDefault="000760CA" w:rsidP="009B4C90">
            <w:pPr>
              <w:pStyle w:val="ListParagraph"/>
              <w:keepNext/>
              <w:widowControl/>
              <w:spacing w:before="40" w:after="40"/>
              <w:ind w:left="0"/>
              <w:rPr>
                <w:rFonts w:ascii="Arial Narrow" w:hAnsi="Arial Narrow"/>
                <w:sz w:val="20"/>
              </w:rPr>
            </w:pPr>
          </w:p>
        </w:tc>
      </w:tr>
      <w:tr w:rsidR="00D03AB7" w:rsidTr="005E7F76">
        <w:tc>
          <w:tcPr>
            <w:tcW w:w="5000" w:type="pct"/>
            <w:gridSpan w:val="7"/>
          </w:tcPr>
          <w:p w:rsidR="00D03AB7" w:rsidRPr="005957DF" w:rsidRDefault="00D03AB7" w:rsidP="009B4C90">
            <w:pPr>
              <w:pStyle w:val="ListParagraph"/>
              <w:keepNext/>
              <w:widowControl/>
              <w:spacing w:before="40" w:after="40"/>
              <w:ind w:left="0"/>
              <w:rPr>
                <w:rFonts w:ascii="Arial Narrow" w:hAnsi="Arial Narrow"/>
                <w:b/>
                <w:sz w:val="20"/>
              </w:rPr>
            </w:pPr>
            <w:r w:rsidRPr="005957DF">
              <w:rPr>
                <w:rFonts w:ascii="Arial Narrow" w:hAnsi="Arial Narrow"/>
                <w:b/>
                <w:sz w:val="20"/>
              </w:rPr>
              <w:t>Net cost to PBS</w:t>
            </w:r>
          </w:p>
        </w:tc>
      </w:tr>
      <w:tr w:rsidR="00D03AB7" w:rsidTr="005957DF">
        <w:tc>
          <w:tcPr>
            <w:tcW w:w="908" w:type="pct"/>
          </w:tcPr>
          <w:p w:rsidR="00D03AB7" w:rsidRDefault="00D03AB7" w:rsidP="009B4C90">
            <w:pPr>
              <w:pStyle w:val="ListParagraph"/>
              <w:keepNext/>
              <w:widowControl/>
              <w:spacing w:before="40" w:after="40"/>
              <w:ind w:left="0"/>
              <w:rPr>
                <w:rFonts w:ascii="Arial Narrow" w:hAnsi="Arial Narrow"/>
                <w:sz w:val="20"/>
              </w:rPr>
            </w:pPr>
            <w:r>
              <w:rPr>
                <w:rFonts w:ascii="Arial Narrow" w:hAnsi="Arial Narrow"/>
                <w:sz w:val="20"/>
              </w:rPr>
              <w:t>March 2017</w:t>
            </w:r>
          </w:p>
        </w:tc>
        <w:tc>
          <w:tcPr>
            <w:tcW w:w="682" w:type="pct"/>
            <w:vAlign w:val="center"/>
          </w:tcPr>
          <w:p w:rsidR="00D03AB7"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center"/>
          </w:tcPr>
          <w:p w:rsidR="00D03AB7"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center"/>
          </w:tcPr>
          <w:p w:rsidR="00D03AB7"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center"/>
          </w:tcPr>
          <w:p w:rsidR="00D03AB7"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center"/>
          </w:tcPr>
          <w:p w:rsidR="00D03AB7"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1" w:type="pct"/>
          </w:tcPr>
          <w:p w:rsidR="00D03AB7" w:rsidRPr="00080346" w:rsidRDefault="00D03AB7" w:rsidP="009B4C90">
            <w:pPr>
              <w:pStyle w:val="ListParagraph"/>
              <w:keepNext/>
              <w:widowControl/>
              <w:spacing w:before="40" w:after="40"/>
              <w:ind w:left="0"/>
              <w:rPr>
                <w:rFonts w:ascii="Arial Narrow" w:hAnsi="Arial Narrow"/>
                <w:sz w:val="20"/>
              </w:rPr>
            </w:pPr>
          </w:p>
        </w:tc>
      </w:tr>
      <w:tr w:rsidR="00EA0A2D" w:rsidTr="005957DF">
        <w:tc>
          <w:tcPr>
            <w:tcW w:w="908" w:type="pct"/>
          </w:tcPr>
          <w:p w:rsidR="00EA0A2D" w:rsidRDefault="00EA0A2D" w:rsidP="009B4C90">
            <w:pPr>
              <w:pStyle w:val="ListParagraph"/>
              <w:keepNext/>
              <w:widowControl/>
              <w:spacing w:before="40" w:after="40"/>
              <w:ind w:left="0"/>
              <w:rPr>
                <w:rFonts w:ascii="Arial Narrow" w:hAnsi="Arial Narrow"/>
                <w:sz w:val="20"/>
              </w:rPr>
            </w:pPr>
            <w:r>
              <w:rPr>
                <w:rFonts w:ascii="Arial Narrow" w:hAnsi="Arial Narrow"/>
                <w:sz w:val="20"/>
              </w:rPr>
              <w:t>November 2017</w:t>
            </w:r>
          </w:p>
        </w:tc>
        <w:tc>
          <w:tcPr>
            <w:tcW w:w="682" w:type="pct"/>
            <w:vAlign w:val="bottom"/>
          </w:tcPr>
          <w:p w:rsidR="00EA0A2D"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bottom"/>
          </w:tcPr>
          <w:p w:rsidR="00EA0A2D"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bottom"/>
          </w:tcPr>
          <w:p w:rsidR="00EA0A2D"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bottom"/>
          </w:tcPr>
          <w:p w:rsidR="00EA0A2D"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bottom"/>
          </w:tcPr>
          <w:p w:rsidR="00EA0A2D"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1" w:type="pct"/>
          </w:tcPr>
          <w:p w:rsidR="00EA0A2D" w:rsidRPr="00080346" w:rsidRDefault="00EA0A2D" w:rsidP="009B4C90">
            <w:pPr>
              <w:pStyle w:val="ListParagraph"/>
              <w:keepNext/>
              <w:widowControl/>
              <w:spacing w:before="40" w:after="40"/>
              <w:ind w:left="0"/>
              <w:rPr>
                <w:rFonts w:ascii="Arial Narrow" w:hAnsi="Arial Narrow"/>
                <w:sz w:val="20"/>
              </w:rPr>
            </w:pPr>
          </w:p>
        </w:tc>
      </w:tr>
      <w:tr w:rsidR="00D03AB7" w:rsidTr="005E7F76">
        <w:tc>
          <w:tcPr>
            <w:tcW w:w="5000" w:type="pct"/>
            <w:gridSpan w:val="7"/>
          </w:tcPr>
          <w:p w:rsidR="00D03AB7" w:rsidRPr="005957DF" w:rsidRDefault="00D03AB7" w:rsidP="009B4C90">
            <w:pPr>
              <w:pStyle w:val="ListParagraph"/>
              <w:keepNext/>
              <w:widowControl/>
              <w:spacing w:before="40" w:after="40"/>
              <w:ind w:left="0"/>
              <w:rPr>
                <w:rFonts w:ascii="Arial Narrow" w:hAnsi="Arial Narrow"/>
                <w:b/>
                <w:sz w:val="20"/>
              </w:rPr>
            </w:pPr>
            <w:r w:rsidRPr="005957DF">
              <w:rPr>
                <w:rFonts w:ascii="Arial Narrow" w:hAnsi="Arial Narrow"/>
                <w:b/>
                <w:sz w:val="20"/>
              </w:rPr>
              <w:t xml:space="preserve">Net cost to RPBS </w:t>
            </w:r>
          </w:p>
        </w:tc>
      </w:tr>
      <w:tr w:rsidR="00EA0A2D" w:rsidTr="005957DF">
        <w:tc>
          <w:tcPr>
            <w:tcW w:w="908" w:type="pct"/>
          </w:tcPr>
          <w:p w:rsidR="00EA0A2D" w:rsidRDefault="00EA0A2D" w:rsidP="009B4C90">
            <w:pPr>
              <w:pStyle w:val="ListParagraph"/>
              <w:keepNext/>
              <w:widowControl/>
              <w:spacing w:before="40" w:after="40"/>
              <w:ind w:left="0"/>
              <w:rPr>
                <w:rFonts w:ascii="Arial Narrow" w:hAnsi="Arial Narrow"/>
                <w:sz w:val="20"/>
              </w:rPr>
            </w:pPr>
            <w:r>
              <w:rPr>
                <w:rFonts w:ascii="Arial Narrow" w:hAnsi="Arial Narrow"/>
                <w:sz w:val="20"/>
              </w:rPr>
              <w:t>March 2017</w:t>
            </w:r>
          </w:p>
        </w:tc>
        <w:tc>
          <w:tcPr>
            <w:tcW w:w="682" w:type="pct"/>
            <w:vAlign w:val="center"/>
          </w:tcPr>
          <w:p w:rsidR="00EA0A2D"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center"/>
          </w:tcPr>
          <w:p w:rsidR="00EA0A2D"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center"/>
          </w:tcPr>
          <w:p w:rsidR="00EA0A2D"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center"/>
          </w:tcPr>
          <w:p w:rsidR="00EA0A2D"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center"/>
          </w:tcPr>
          <w:p w:rsidR="00EA0A2D"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1" w:type="pct"/>
          </w:tcPr>
          <w:p w:rsidR="00EA0A2D" w:rsidRPr="00080346" w:rsidRDefault="00EA0A2D" w:rsidP="009B4C90">
            <w:pPr>
              <w:pStyle w:val="ListParagraph"/>
              <w:keepNext/>
              <w:widowControl/>
              <w:spacing w:before="40" w:after="40"/>
              <w:ind w:left="0"/>
              <w:rPr>
                <w:rFonts w:ascii="Arial Narrow" w:hAnsi="Arial Narrow"/>
                <w:sz w:val="20"/>
              </w:rPr>
            </w:pPr>
          </w:p>
        </w:tc>
      </w:tr>
      <w:tr w:rsidR="00EA0A2D" w:rsidTr="005957DF">
        <w:tc>
          <w:tcPr>
            <w:tcW w:w="908" w:type="pct"/>
          </w:tcPr>
          <w:p w:rsidR="00EA0A2D" w:rsidRDefault="00EA0A2D" w:rsidP="009B4C90">
            <w:pPr>
              <w:pStyle w:val="ListParagraph"/>
              <w:keepNext/>
              <w:widowControl/>
              <w:spacing w:before="40" w:after="40"/>
              <w:ind w:left="0"/>
              <w:rPr>
                <w:rFonts w:ascii="Arial Narrow" w:hAnsi="Arial Narrow"/>
                <w:sz w:val="20"/>
              </w:rPr>
            </w:pPr>
            <w:r>
              <w:rPr>
                <w:rFonts w:ascii="Arial Narrow" w:hAnsi="Arial Narrow"/>
                <w:sz w:val="20"/>
              </w:rPr>
              <w:t>November 2017</w:t>
            </w:r>
          </w:p>
        </w:tc>
        <w:tc>
          <w:tcPr>
            <w:tcW w:w="682" w:type="pct"/>
            <w:vAlign w:val="center"/>
          </w:tcPr>
          <w:p w:rsidR="00EA0A2D" w:rsidRPr="00567B39" w:rsidRDefault="00567B39" w:rsidP="009B4C90">
            <w:pPr>
              <w:keepNext/>
              <w:spacing w:before="40" w:after="40"/>
              <w:jc w:val="center"/>
              <w:rPr>
                <w:rFonts w:ascii="Arial Narrow" w:hAnsi="Arial Narrow" w:cs="Calibri"/>
                <w:sz w:val="20"/>
                <w:szCs w:val="20"/>
                <w:highlight w:val="black"/>
              </w:rPr>
            </w:pPr>
            <w:r>
              <w:rPr>
                <w:rFonts w:ascii="Arial Narrow" w:hAnsi="Arial Narrow" w:cs="Arial"/>
                <w:noProof/>
                <w:color w:val="000000"/>
                <w:sz w:val="20"/>
                <w:szCs w:val="20"/>
                <w:highlight w:val="black"/>
              </w:rPr>
              <w:t>'''''''''''''''''</w:t>
            </w:r>
          </w:p>
        </w:tc>
        <w:tc>
          <w:tcPr>
            <w:tcW w:w="682" w:type="pct"/>
            <w:vAlign w:val="center"/>
          </w:tcPr>
          <w:p w:rsidR="00EA0A2D" w:rsidRPr="00567B39" w:rsidRDefault="00567B39" w:rsidP="009B4C90">
            <w:pPr>
              <w:keepNext/>
              <w:spacing w:before="40" w:after="40"/>
              <w:jc w:val="center"/>
              <w:rPr>
                <w:rFonts w:ascii="Arial Narrow" w:hAnsi="Arial Narrow" w:cs="Calibri"/>
                <w:sz w:val="20"/>
                <w:szCs w:val="20"/>
                <w:highlight w:val="black"/>
              </w:rPr>
            </w:pPr>
            <w:r>
              <w:rPr>
                <w:rFonts w:ascii="Arial Narrow" w:hAnsi="Arial Narrow" w:cs="Arial"/>
                <w:noProof/>
                <w:color w:val="000000"/>
                <w:sz w:val="20"/>
                <w:szCs w:val="20"/>
                <w:highlight w:val="black"/>
              </w:rPr>
              <w:t>''''''''''''''''</w:t>
            </w:r>
          </w:p>
        </w:tc>
        <w:tc>
          <w:tcPr>
            <w:tcW w:w="682" w:type="pct"/>
            <w:vAlign w:val="center"/>
          </w:tcPr>
          <w:p w:rsidR="00EA0A2D" w:rsidRPr="00567B39" w:rsidRDefault="00567B39" w:rsidP="009B4C90">
            <w:pPr>
              <w:keepNext/>
              <w:spacing w:before="40" w:after="40"/>
              <w:jc w:val="center"/>
              <w:rPr>
                <w:rFonts w:ascii="Arial Narrow" w:hAnsi="Arial Narrow" w:cs="Calibri"/>
                <w:sz w:val="20"/>
                <w:szCs w:val="20"/>
                <w:highlight w:val="black"/>
              </w:rPr>
            </w:pPr>
            <w:r>
              <w:rPr>
                <w:rFonts w:ascii="Arial Narrow" w:hAnsi="Arial Narrow" w:cs="Arial"/>
                <w:noProof/>
                <w:color w:val="000000"/>
                <w:sz w:val="20"/>
                <w:szCs w:val="20"/>
                <w:highlight w:val="black"/>
              </w:rPr>
              <w:t>''''''''''''''''''</w:t>
            </w:r>
          </w:p>
        </w:tc>
        <w:tc>
          <w:tcPr>
            <w:tcW w:w="682" w:type="pct"/>
            <w:vAlign w:val="center"/>
          </w:tcPr>
          <w:p w:rsidR="00EA0A2D" w:rsidRPr="00567B39" w:rsidRDefault="00567B39" w:rsidP="009B4C90">
            <w:pPr>
              <w:keepNext/>
              <w:spacing w:before="40" w:after="40"/>
              <w:jc w:val="center"/>
              <w:rPr>
                <w:rFonts w:ascii="Arial Narrow" w:hAnsi="Arial Narrow" w:cs="Calibri"/>
                <w:sz w:val="20"/>
                <w:szCs w:val="20"/>
                <w:highlight w:val="black"/>
              </w:rPr>
            </w:pPr>
            <w:r>
              <w:rPr>
                <w:rFonts w:ascii="Arial Narrow" w:hAnsi="Arial Narrow" w:cs="Arial"/>
                <w:noProof/>
                <w:color w:val="000000"/>
                <w:sz w:val="20"/>
                <w:szCs w:val="20"/>
                <w:highlight w:val="black"/>
              </w:rPr>
              <w:t>'''''''''''''''''''''</w:t>
            </w:r>
          </w:p>
        </w:tc>
        <w:tc>
          <w:tcPr>
            <w:tcW w:w="682" w:type="pct"/>
            <w:vAlign w:val="center"/>
          </w:tcPr>
          <w:p w:rsidR="00EA0A2D" w:rsidRPr="00567B39" w:rsidRDefault="00567B39" w:rsidP="009B4C90">
            <w:pPr>
              <w:keepNext/>
              <w:spacing w:before="40" w:after="40"/>
              <w:jc w:val="center"/>
              <w:rPr>
                <w:rFonts w:ascii="Arial Narrow" w:hAnsi="Arial Narrow" w:cs="Calibri"/>
                <w:sz w:val="20"/>
                <w:szCs w:val="20"/>
                <w:highlight w:val="black"/>
              </w:rPr>
            </w:pPr>
            <w:r>
              <w:rPr>
                <w:rFonts w:ascii="Arial Narrow" w:hAnsi="Arial Narrow" w:cs="Arial"/>
                <w:noProof/>
                <w:color w:val="000000"/>
                <w:sz w:val="20"/>
                <w:szCs w:val="20"/>
                <w:highlight w:val="black"/>
              </w:rPr>
              <w:t>'''''''''''''''''</w:t>
            </w:r>
          </w:p>
        </w:tc>
        <w:tc>
          <w:tcPr>
            <w:tcW w:w="681" w:type="pct"/>
          </w:tcPr>
          <w:p w:rsidR="00EA0A2D" w:rsidRPr="00080346" w:rsidRDefault="00EA0A2D" w:rsidP="009B4C90">
            <w:pPr>
              <w:pStyle w:val="ListParagraph"/>
              <w:keepNext/>
              <w:widowControl/>
              <w:spacing w:before="40" w:after="40"/>
              <w:ind w:left="0"/>
              <w:rPr>
                <w:rFonts w:ascii="Arial Narrow" w:hAnsi="Arial Narrow"/>
                <w:sz w:val="20"/>
              </w:rPr>
            </w:pPr>
          </w:p>
        </w:tc>
      </w:tr>
      <w:tr w:rsidR="00EA0A2D" w:rsidTr="005E7F76">
        <w:tc>
          <w:tcPr>
            <w:tcW w:w="5000" w:type="pct"/>
            <w:gridSpan w:val="7"/>
          </w:tcPr>
          <w:p w:rsidR="00EA0A2D" w:rsidRPr="005957DF" w:rsidRDefault="00EA0A2D" w:rsidP="009B4C90">
            <w:pPr>
              <w:pStyle w:val="ListParagraph"/>
              <w:keepNext/>
              <w:widowControl/>
              <w:spacing w:before="40" w:after="40"/>
              <w:ind w:left="0"/>
              <w:rPr>
                <w:rFonts w:ascii="Arial Narrow" w:hAnsi="Arial Narrow"/>
                <w:b/>
                <w:sz w:val="20"/>
              </w:rPr>
            </w:pPr>
            <w:r w:rsidRPr="005957DF">
              <w:rPr>
                <w:rFonts w:ascii="Arial Narrow" w:hAnsi="Arial Narrow"/>
                <w:b/>
                <w:sz w:val="20"/>
              </w:rPr>
              <w:t>Net cost to PBS/RPBS</w:t>
            </w:r>
          </w:p>
        </w:tc>
      </w:tr>
      <w:tr w:rsidR="00410BA6" w:rsidTr="005957DF">
        <w:tc>
          <w:tcPr>
            <w:tcW w:w="908" w:type="pct"/>
          </w:tcPr>
          <w:p w:rsidR="00410BA6" w:rsidRDefault="00410BA6" w:rsidP="009B4C90">
            <w:pPr>
              <w:pStyle w:val="ListParagraph"/>
              <w:keepNext/>
              <w:widowControl/>
              <w:spacing w:before="40" w:after="40"/>
              <w:ind w:left="0"/>
              <w:rPr>
                <w:rFonts w:ascii="Arial Narrow" w:hAnsi="Arial Narrow"/>
                <w:sz w:val="20"/>
              </w:rPr>
            </w:pPr>
            <w:r>
              <w:rPr>
                <w:rFonts w:ascii="Arial Narrow" w:hAnsi="Arial Narrow"/>
                <w:sz w:val="20"/>
              </w:rPr>
              <w:t>March 2017</w:t>
            </w:r>
          </w:p>
        </w:tc>
        <w:tc>
          <w:tcPr>
            <w:tcW w:w="682" w:type="pct"/>
            <w:vAlign w:val="center"/>
          </w:tcPr>
          <w:p w:rsidR="00410BA6"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center"/>
          </w:tcPr>
          <w:p w:rsidR="00410BA6"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center"/>
          </w:tcPr>
          <w:p w:rsidR="00410BA6"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center"/>
          </w:tcPr>
          <w:p w:rsidR="00410BA6"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2" w:type="pct"/>
            <w:vAlign w:val="center"/>
          </w:tcPr>
          <w:p w:rsidR="00410BA6" w:rsidRPr="00567B39" w:rsidRDefault="00567B39" w:rsidP="009B4C90">
            <w:pPr>
              <w:keepNext/>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81" w:type="pct"/>
          </w:tcPr>
          <w:p w:rsidR="00410BA6" w:rsidRPr="00567B39" w:rsidRDefault="00567B39" w:rsidP="009B4C90">
            <w:pPr>
              <w:pStyle w:val="ListParagraph"/>
              <w:keepNext/>
              <w:widowControl/>
              <w:spacing w:before="40" w:after="40"/>
              <w:ind w:left="0"/>
              <w:rPr>
                <w:rFonts w:ascii="Arial Narrow" w:hAnsi="Arial Narrow"/>
                <w:sz w:val="20"/>
                <w:highlight w:val="black"/>
              </w:rPr>
            </w:pPr>
            <w:r>
              <w:rPr>
                <w:rFonts w:ascii="Arial Narrow" w:hAnsi="Arial Narrow"/>
                <w:noProof/>
                <w:color w:val="000000"/>
                <w:sz w:val="20"/>
                <w:highlight w:val="black"/>
              </w:rPr>
              <w:t>''''''''''''''''''''''''''</w:t>
            </w:r>
          </w:p>
        </w:tc>
      </w:tr>
      <w:tr w:rsidR="00410BA6" w:rsidTr="005957DF">
        <w:tc>
          <w:tcPr>
            <w:tcW w:w="908" w:type="pct"/>
          </w:tcPr>
          <w:p w:rsidR="00410BA6" w:rsidRDefault="00410BA6" w:rsidP="009B4C90">
            <w:pPr>
              <w:pStyle w:val="ListParagraph"/>
              <w:keepNext/>
              <w:widowControl/>
              <w:spacing w:before="40" w:after="40"/>
              <w:ind w:left="0"/>
              <w:rPr>
                <w:rFonts w:ascii="Arial Narrow" w:hAnsi="Arial Narrow"/>
                <w:sz w:val="20"/>
              </w:rPr>
            </w:pPr>
            <w:r>
              <w:rPr>
                <w:rFonts w:ascii="Arial Narrow" w:hAnsi="Arial Narrow"/>
                <w:sz w:val="20"/>
              </w:rPr>
              <w:t>November 2017</w:t>
            </w:r>
          </w:p>
        </w:tc>
        <w:tc>
          <w:tcPr>
            <w:tcW w:w="682" w:type="pct"/>
            <w:vAlign w:val="center"/>
          </w:tcPr>
          <w:p w:rsidR="00410BA6" w:rsidRPr="00567B39" w:rsidRDefault="00567B39" w:rsidP="009B4C90">
            <w:pPr>
              <w:keepNext/>
              <w:spacing w:before="40" w:after="40"/>
              <w:jc w:val="center"/>
              <w:rPr>
                <w:rFonts w:ascii="Arial Narrow" w:hAnsi="Arial Narrow" w:cs="Calibri"/>
                <w:sz w:val="20"/>
                <w:szCs w:val="20"/>
                <w:highlight w:val="black"/>
              </w:rPr>
            </w:pPr>
            <w:r>
              <w:rPr>
                <w:rFonts w:ascii="Arial Narrow" w:hAnsi="Arial Narrow" w:cs="Arial"/>
                <w:noProof/>
                <w:color w:val="000000"/>
                <w:sz w:val="20"/>
                <w:szCs w:val="20"/>
                <w:highlight w:val="black"/>
              </w:rPr>
              <w:t>''''''''''''''''''''''</w:t>
            </w:r>
          </w:p>
        </w:tc>
        <w:tc>
          <w:tcPr>
            <w:tcW w:w="682" w:type="pct"/>
            <w:vAlign w:val="center"/>
          </w:tcPr>
          <w:p w:rsidR="00410BA6" w:rsidRPr="00567B39" w:rsidRDefault="00567B39" w:rsidP="009B4C90">
            <w:pPr>
              <w:keepNext/>
              <w:spacing w:before="40" w:after="40"/>
              <w:jc w:val="center"/>
              <w:rPr>
                <w:rFonts w:ascii="Arial Narrow" w:hAnsi="Arial Narrow" w:cs="Calibri"/>
                <w:sz w:val="20"/>
                <w:szCs w:val="20"/>
                <w:highlight w:val="black"/>
              </w:rPr>
            </w:pPr>
            <w:r>
              <w:rPr>
                <w:rFonts w:ascii="Arial Narrow" w:hAnsi="Arial Narrow" w:cs="Arial"/>
                <w:noProof/>
                <w:color w:val="000000"/>
                <w:sz w:val="20"/>
                <w:szCs w:val="20"/>
                <w:highlight w:val="black"/>
              </w:rPr>
              <w:t>'''''''''''''''''''''</w:t>
            </w:r>
          </w:p>
        </w:tc>
        <w:tc>
          <w:tcPr>
            <w:tcW w:w="682" w:type="pct"/>
            <w:vAlign w:val="center"/>
          </w:tcPr>
          <w:p w:rsidR="00410BA6" w:rsidRPr="00567B39" w:rsidRDefault="00567B39" w:rsidP="009B4C90">
            <w:pPr>
              <w:keepNext/>
              <w:spacing w:before="40" w:after="40"/>
              <w:jc w:val="center"/>
              <w:rPr>
                <w:rFonts w:ascii="Arial Narrow" w:hAnsi="Arial Narrow" w:cs="Calibri"/>
                <w:sz w:val="20"/>
                <w:szCs w:val="20"/>
                <w:highlight w:val="black"/>
              </w:rPr>
            </w:pPr>
            <w:r>
              <w:rPr>
                <w:rFonts w:ascii="Arial Narrow" w:hAnsi="Arial Narrow" w:cs="Arial"/>
                <w:noProof/>
                <w:color w:val="000000"/>
                <w:sz w:val="20"/>
                <w:szCs w:val="20"/>
                <w:highlight w:val="black"/>
              </w:rPr>
              <w:t>''''''''''''''''''''''''</w:t>
            </w:r>
          </w:p>
        </w:tc>
        <w:tc>
          <w:tcPr>
            <w:tcW w:w="682" w:type="pct"/>
            <w:vAlign w:val="center"/>
          </w:tcPr>
          <w:p w:rsidR="00410BA6" w:rsidRPr="00567B39" w:rsidRDefault="00567B39" w:rsidP="009B4C90">
            <w:pPr>
              <w:keepNext/>
              <w:spacing w:before="40" w:after="40"/>
              <w:jc w:val="center"/>
              <w:rPr>
                <w:rFonts w:ascii="Arial Narrow" w:hAnsi="Arial Narrow" w:cs="Calibri"/>
                <w:sz w:val="20"/>
                <w:szCs w:val="20"/>
                <w:highlight w:val="black"/>
              </w:rPr>
            </w:pPr>
            <w:r>
              <w:rPr>
                <w:rFonts w:ascii="Arial Narrow" w:hAnsi="Arial Narrow" w:cs="Arial"/>
                <w:noProof/>
                <w:color w:val="000000"/>
                <w:sz w:val="20"/>
                <w:szCs w:val="20"/>
                <w:highlight w:val="black"/>
              </w:rPr>
              <w:t>'''''''''''''''''''''''</w:t>
            </w:r>
          </w:p>
        </w:tc>
        <w:tc>
          <w:tcPr>
            <w:tcW w:w="682" w:type="pct"/>
            <w:vAlign w:val="center"/>
          </w:tcPr>
          <w:p w:rsidR="00410BA6" w:rsidRPr="00567B39" w:rsidRDefault="00567B39" w:rsidP="009B4C90">
            <w:pPr>
              <w:keepNext/>
              <w:spacing w:before="40" w:after="40"/>
              <w:jc w:val="center"/>
              <w:rPr>
                <w:rFonts w:ascii="Arial Narrow" w:hAnsi="Arial Narrow" w:cs="Calibri"/>
                <w:sz w:val="20"/>
                <w:szCs w:val="20"/>
                <w:highlight w:val="black"/>
              </w:rPr>
            </w:pPr>
            <w:r>
              <w:rPr>
                <w:rFonts w:ascii="Arial Narrow" w:hAnsi="Arial Narrow" w:cs="Arial"/>
                <w:noProof/>
                <w:color w:val="000000"/>
                <w:sz w:val="20"/>
                <w:szCs w:val="20"/>
                <w:highlight w:val="black"/>
              </w:rPr>
              <w:t>'''''''''''''''''''''''</w:t>
            </w:r>
          </w:p>
        </w:tc>
        <w:tc>
          <w:tcPr>
            <w:tcW w:w="681" w:type="pct"/>
          </w:tcPr>
          <w:p w:rsidR="00410BA6" w:rsidRPr="00567B39" w:rsidRDefault="00567B39" w:rsidP="009B4C90">
            <w:pPr>
              <w:pStyle w:val="ListParagraph"/>
              <w:keepNext/>
              <w:widowControl/>
              <w:spacing w:before="40" w:after="40"/>
              <w:ind w:left="0"/>
              <w:rPr>
                <w:rFonts w:ascii="Arial Narrow" w:hAnsi="Arial Narrow"/>
                <w:sz w:val="20"/>
                <w:highlight w:val="black"/>
              </w:rPr>
            </w:pPr>
            <w:r>
              <w:rPr>
                <w:rFonts w:ascii="Arial Narrow" w:hAnsi="Arial Narrow"/>
                <w:noProof/>
                <w:color w:val="000000"/>
                <w:sz w:val="20"/>
                <w:highlight w:val="black"/>
              </w:rPr>
              <w:t>''''''''''''''''''''''''</w:t>
            </w:r>
          </w:p>
        </w:tc>
      </w:tr>
    </w:tbl>
    <w:p w:rsidR="005D2027" w:rsidRPr="005D2027" w:rsidRDefault="005D2027" w:rsidP="009B4C90">
      <w:pPr>
        <w:keepNext/>
        <w:spacing w:after="40"/>
        <w:rPr>
          <w:rFonts w:ascii="Arial Narrow" w:hAnsi="Arial Narrow"/>
          <w:sz w:val="20"/>
        </w:rPr>
      </w:pPr>
      <w:r>
        <w:rPr>
          <w:rFonts w:ascii="Arial Narrow" w:hAnsi="Arial Narrow"/>
          <w:sz w:val="20"/>
          <w:vertAlign w:val="superscript"/>
        </w:rPr>
        <w:t>1</w:t>
      </w:r>
      <w:r>
        <w:rPr>
          <w:rFonts w:ascii="Arial Narrow" w:hAnsi="Arial Narrow"/>
          <w:sz w:val="20"/>
        </w:rPr>
        <w:t xml:space="preserve">Estimated patient numbers based on 5% of patients accessing PBS subsidised pomalidomide between Jan 2017-Dec 2017 with assumption of 3% growth in each year </w:t>
      </w:r>
    </w:p>
    <w:p w:rsidR="00080346" w:rsidRPr="00DD6015" w:rsidRDefault="00DD6015" w:rsidP="009B4C90">
      <w:pPr>
        <w:keepNext/>
        <w:spacing w:after="120"/>
        <w:rPr>
          <w:rFonts w:ascii="Arial Narrow" w:hAnsi="Arial Narrow"/>
          <w:sz w:val="20"/>
        </w:rPr>
      </w:pPr>
      <w:r>
        <w:rPr>
          <w:rFonts w:ascii="Arial Narrow" w:hAnsi="Arial Narrow"/>
          <w:sz w:val="20"/>
        </w:rPr>
        <w:t xml:space="preserve">Source: </w:t>
      </w:r>
      <w:r w:rsidR="00710099">
        <w:rPr>
          <w:rFonts w:ascii="Arial Narrow" w:hAnsi="Arial Narrow"/>
          <w:sz w:val="20"/>
        </w:rPr>
        <w:t>Table 1 &amp; 2 p2 March 2017 pre-PBAC response, Table 13 p21 of the submission.</w:t>
      </w:r>
    </w:p>
    <w:p w:rsidR="00080346" w:rsidRPr="00504810" w:rsidRDefault="00080346" w:rsidP="0061545F">
      <w:pPr>
        <w:pStyle w:val="ListParagraph"/>
        <w:widowControl/>
        <w:numPr>
          <w:ilvl w:val="1"/>
          <w:numId w:val="14"/>
        </w:numPr>
        <w:spacing w:after="120"/>
        <w:contextualSpacing w:val="0"/>
        <w:rPr>
          <w:rFonts w:asciiTheme="minorHAnsi" w:hAnsiTheme="minorHAnsi"/>
        </w:rPr>
      </w:pPr>
      <w:r>
        <w:rPr>
          <w:rFonts w:asciiTheme="minorHAnsi" w:hAnsiTheme="minorHAnsi"/>
          <w:sz w:val="24"/>
          <w:szCs w:val="22"/>
        </w:rPr>
        <w:t>The submission estimated an addition</w:t>
      </w:r>
      <w:r w:rsidR="00181886">
        <w:rPr>
          <w:rFonts w:asciiTheme="minorHAnsi" w:hAnsiTheme="minorHAnsi"/>
          <w:sz w:val="24"/>
          <w:szCs w:val="22"/>
        </w:rPr>
        <w:t>al</w:t>
      </w:r>
      <w:r>
        <w:rPr>
          <w:rFonts w:asciiTheme="minorHAnsi" w:hAnsiTheme="minorHAnsi"/>
          <w:sz w:val="24"/>
          <w:szCs w:val="22"/>
        </w:rPr>
        <w:t xml:space="preserve"> </w:t>
      </w:r>
      <w:r w:rsidR="00567B39">
        <w:rPr>
          <w:rFonts w:asciiTheme="minorHAnsi" w:hAnsiTheme="minorHAnsi"/>
          <w:noProof/>
          <w:color w:val="000000"/>
          <w:sz w:val="24"/>
          <w:szCs w:val="22"/>
          <w:highlight w:val="black"/>
        </w:rPr>
        <w:t>''''''</w:t>
      </w:r>
      <w:r>
        <w:rPr>
          <w:rFonts w:asciiTheme="minorHAnsi" w:hAnsiTheme="minorHAnsi"/>
          <w:sz w:val="24"/>
          <w:szCs w:val="22"/>
        </w:rPr>
        <w:t xml:space="preserve"> patients under the proposed extended PBS lis</w:t>
      </w:r>
      <w:r w:rsidR="00F8510A">
        <w:rPr>
          <w:rFonts w:asciiTheme="minorHAnsi" w:hAnsiTheme="minorHAnsi"/>
          <w:sz w:val="24"/>
          <w:szCs w:val="22"/>
        </w:rPr>
        <w:t xml:space="preserve">ting in Year 1, increasing to </w:t>
      </w:r>
      <w:r w:rsidR="00567B39">
        <w:rPr>
          <w:rFonts w:asciiTheme="minorHAnsi" w:hAnsiTheme="minorHAnsi"/>
          <w:noProof/>
          <w:color w:val="000000"/>
          <w:sz w:val="24"/>
          <w:szCs w:val="22"/>
          <w:highlight w:val="black"/>
        </w:rPr>
        <w:t>'''''</w:t>
      </w:r>
      <w:r w:rsidR="00F8510A">
        <w:rPr>
          <w:rFonts w:asciiTheme="minorHAnsi" w:hAnsiTheme="minorHAnsi"/>
          <w:sz w:val="24"/>
          <w:szCs w:val="22"/>
        </w:rPr>
        <w:t xml:space="preserve"> in Year 5</w:t>
      </w:r>
      <w:r>
        <w:rPr>
          <w:rFonts w:asciiTheme="minorHAnsi" w:hAnsiTheme="minorHAnsi"/>
          <w:sz w:val="24"/>
          <w:szCs w:val="22"/>
        </w:rPr>
        <w:t>. The submission estimated a net cost to th</w:t>
      </w:r>
      <w:r w:rsidR="0061545F">
        <w:rPr>
          <w:rFonts w:asciiTheme="minorHAnsi" w:hAnsiTheme="minorHAnsi"/>
          <w:sz w:val="24"/>
          <w:szCs w:val="22"/>
        </w:rPr>
        <w:t xml:space="preserve">e PBS/RPBS of </w:t>
      </w:r>
      <w:r w:rsidR="00457F3D">
        <w:rPr>
          <w:rFonts w:asciiTheme="minorHAnsi" w:hAnsiTheme="minorHAnsi"/>
          <w:sz w:val="24"/>
          <w:szCs w:val="22"/>
        </w:rPr>
        <w:t>less than $10 million</w:t>
      </w:r>
      <w:r w:rsidR="0061545F">
        <w:rPr>
          <w:rFonts w:asciiTheme="minorHAnsi" w:hAnsiTheme="minorHAnsi"/>
          <w:sz w:val="24"/>
          <w:szCs w:val="22"/>
        </w:rPr>
        <w:t xml:space="preserve"> in year 5</w:t>
      </w:r>
      <w:r>
        <w:rPr>
          <w:rFonts w:asciiTheme="minorHAnsi" w:hAnsiTheme="minorHAnsi"/>
          <w:sz w:val="24"/>
          <w:szCs w:val="22"/>
        </w:rPr>
        <w:t xml:space="preserve"> of listing with a total net cost to the PBS of</w:t>
      </w:r>
      <w:r w:rsidR="00710099">
        <w:rPr>
          <w:rFonts w:asciiTheme="minorHAnsi" w:hAnsiTheme="minorHAnsi"/>
          <w:sz w:val="24"/>
          <w:szCs w:val="22"/>
        </w:rPr>
        <w:t xml:space="preserve"> </w:t>
      </w:r>
      <w:r w:rsidR="00457F3D">
        <w:rPr>
          <w:rFonts w:asciiTheme="minorHAnsi" w:hAnsiTheme="minorHAnsi"/>
          <w:sz w:val="24"/>
          <w:szCs w:val="22"/>
        </w:rPr>
        <w:t>less than $10 million</w:t>
      </w:r>
      <w:r w:rsidR="00710099">
        <w:rPr>
          <w:rFonts w:asciiTheme="minorHAnsi" w:hAnsiTheme="minorHAnsi"/>
          <w:sz w:val="24"/>
          <w:szCs w:val="22"/>
        </w:rPr>
        <w:t xml:space="preserve"> over the first 5</w:t>
      </w:r>
      <w:r>
        <w:rPr>
          <w:rFonts w:asciiTheme="minorHAnsi" w:hAnsiTheme="minorHAnsi"/>
          <w:sz w:val="24"/>
          <w:szCs w:val="22"/>
        </w:rPr>
        <w:t xml:space="preserve"> years of listing.</w:t>
      </w:r>
      <w:r w:rsidR="0061545F">
        <w:rPr>
          <w:rFonts w:asciiTheme="minorHAnsi" w:hAnsiTheme="minorHAnsi"/>
          <w:sz w:val="24"/>
          <w:szCs w:val="22"/>
        </w:rPr>
        <w:t xml:space="preserve"> </w:t>
      </w:r>
    </w:p>
    <w:p w:rsidR="00504810" w:rsidRPr="0048057E" w:rsidRDefault="007D7E72" w:rsidP="0061545F">
      <w:pPr>
        <w:pStyle w:val="ListParagraph"/>
        <w:widowControl/>
        <w:numPr>
          <w:ilvl w:val="1"/>
          <w:numId w:val="14"/>
        </w:numPr>
        <w:spacing w:after="120"/>
        <w:contextualSpacing w:val="0"/>
        <w:rPr>
          <w:rFonts w:asciiTheme="minorHAnsi" w:hAnsiTheme="minorHAnsi"/>
        </w:rPr>
      </w:pPr>
      <w:r>
        <w:rPr>
          <w:rFonts w:asciiTheme="minorHAnsi" w:hAnsiTheme="minorHAnsi"/>
          <w:sz w:val="24"/>
        </w:rPr>
        <w:t xml:space="preserve">The submission presented results of </w:t>
      </w:r>
      <w:r w:rsidR="00B242B4">
        <w:rPr>
          <w:rFonts w:asciiTheme="minorHAnsi" w:hAnsiTheme="minorHAnsi"/>
          <w:sz w:val="24"/>
        </w:rPr>
        <w:t xml:space="preserve">two </w:t>
      </w:r>
      <w:r>
        <w:rPr>
          <w:rFonts w:asciiTheme="minorHAnsi" w:hAnsiTheme="minorHAnsi"/>
          <w:sz w:val="24"/>
        </w:rPr>
        <w:t>sensitivity analyses</w:t>
      </w:r>
      <w:r w:rsidR="00B242B4">
        <w:rPr>
          <w:rFonts w:asciiTheme="minorHAnsi" w:hAnsiTheme="minorHAnsi"/>
          <w:sz w:val="24"/>
        </w:rPr>
        <w:t xml:space="preserve"> of the financial estimates</w:t>
      </w:r>
      <w:r w:rsidR="00B84CCE">
        <w:rPr>
          <w:rFonts w:asciiTheme="minorHAnsi" w:hAnsiTheme="minorHAnsi"/>
          <w:sz w:val="24"/>
        </w:rPr>
        <w:t xml:space="preserve"> which increased the additional number of patient from </w:t>
      </w:r>
      <w:r w:rsidR="00567B39">
        <w:rPr>
          <w:rFonts w:asciiTheme="minorHAnsi" w:hAnsiTheme="minorHAnsi"/>
          <w:noProof/>
          <w:color w:val="000000"/>
          <w:sz w:val="24"/>
          <w:highlight w:val="black"/>
        </w:rPr>
        <w:t>'''</w:t>
      </w:r>
      <w:r w:rsidR="00B84CCE">
        <w:rPr>
          <w:rFonts w:asciiTheme="minorHAnsi" w:hAnsiTheme="minorHAnsi"/>
          <w:sz w:val="24"/>
        </w:rPr>
        <w:t xml:space="preserve">% to </w:t>
      </w:r>
      <w:r w:rsidR="00567B39">
        <w:rPr>
          <w:rFonts w:asciiTheme="minorHAnsi" w:hAnsiTheme="minorHAnsi"/>
          <w:noProof/>
          <w:color w:val="000000"/>
          <w:sz w:val="24"/>
          <w:highlight w:val="black"/>
        </w:rPr>
        <w:t>'''''</w:t>
      </w:r>
      <w:r w:rsidR="00B84CCE">
        <w:rPr>
          <w:rFonts w:asciiTheme="minorHAnsi" w:hAnsiTheme="minorHAnsi"/>
          <w:sz w:val="24"/>
        </w:rPr>
        <w:t>%</w:t>
      </w:r>
      <w:r w:rsidR="006A04DE">
        <w:rPr>
          <w:rFonts w:asciiTheme="minorHAnsi" w:hAnsiTheme="minorHAnsi"/>
          <w:sz w:val="24"/>
        </w:rPr>
        <w:t xml:space="preserve"> of the total PBS population</w:t>
      </w:r>
      <w:r w:rsidR="00B242B4">
        <w:rPr>
          <w:rFonts w:asciiTheme="minorHAnsi" w:hAnsiTheme="minorHAnsi"/>
          <w:sz w:val="24"/>
        </w:rPr>
        <w:t xml:space="preserve"> and increased the estimated average number of cycles from </w:t>
      </w:r>
      <w:r w:rsidR="00567B39">
        <w:rPr>
          <w:rFonts w:asciiTheme="minorHAnsi" w:hAnsiTheme="minorHAnsi"/>
          <w:noProof/>
          <w:color w:val="000000"/>
          <w:sz w:val="24"/>
          <w:highlight w:val="black"/>
        </w:rPr>
        <w:t>''''''</w:t>
      </w:r>
      <w:r w:rsidR="00327C69">
        <w:rPr>
          <w:rFonts w:asciiTheme="minorHAnsi" w:hAnsiTheme="minorHAnsi"/>
          <w:sz w:val="24"/>
        </w:rPr>
        <w:t> </w:t>
      </w:r>
      <w:r w:rsidR="00B242B4">
        <w:rPr>
          <w:rFonts w:asciiTheme="minorHAnsi" w:hAnsiTheme="minorHAnsi"/>
          <w:sz w:val="24"/>
        </w:rPr>
        <w:t xml:space="preserve">to </w:t>
      </w:r>
      <w:r w:rsidR="00567B39">
        <w:rPr>
          <w:rFonts w:asciiTheme="minorHAnsi" w:hAnsiTheme="minorHAnsi"/>
          <w:noProof/>
          <w:color w:val="000000"/>
          <w:sz w:val="24"/>
          <w:highlight w:val="black"/>
        </w:rPr>
        <w:t>''''''</w:t>
      </w:r>
      <w:r w:rsidR="00B242B4">
        <w:rPr>
          <w:rFonts w:asciiTheme="minorHAnsi" w:hAnsiTheme="minorHAnsi"/>
          <w:sz w:val="24"/>
        </w:rPr>
        <w:t>. When the</w:t>
      </w:r>
      <w:r w:rsidR="006A04DE">
        <w:rPr>
          <w:rFonts w:asciiTheme="minorHAnsi" w:hAnsiTheme="minorHAnsi"/>
          <w:sz w:val="24"/>
        </w:rPr>
        <w:t xml:space="preserve"> estimated</w:t>
      </w:r>
      <w:r w:rsidR="00B242B4">
        <w:rPr>
          <w:rFonts w:asciiTheme="minorHAnsi" w:hAnsiTheme="minorHAnsi"/>
          <w:sz w:val="24"/>
        </w:rPr>
        <w:t xml:space="preserve"> number additional patients w</w:t>
      </w:r>
      <w:r w:rsidR="006A04DE">
        <w:rPr>
          <w:rFonts w:asciiTheme="minorHAnsi" w:hAnsiTheme="minorHAnsi"/>
          <w:sz w:val="24"/>
        </w:rPr>
        <w:t xml:space="preserve">as increased </w:t>
      </w:r>
      <w:r w:rsidR="00080BC8">
        <w:rPr>
          <w:rFonts w:asciiTheme="minorHAnsi" w:hAnsiTheme="minorHAnsi"/>
          <w:sz w:val="24"/>
        </w:rPr>
        <w:t xml:space="preserve">to </w:t>
      </w:r>
      <w:r w:rsidR="00567B39">
        <w:rPr>
          <w:rFonts w:asciiTheme="minorHAnsi" w:hAnsiTheme="minorHAnsi"/>
          <w:noProof/>
          <w:color w:val="000000"/>
          <w:sz w:val="24"/>
          <w:highlight w:val="black"/>
        </w:rPr>
        <w:t>'''''</w:t>
      </w:r>
      <w:r w:rsidR="00080BC8">
        <w:rPr>
          <w:rFonts w:asciiTheme="minorHAnsi" w:hAnsiTheme="minorHAnsi"/>
          <w:sz w:val="24"/>
        </w:rPr>
        <w:t xml:space="preserve">% of the total PBS population, the estimated total net cost to the PBS/RPBS increased to </w:t>
      </w:r>
      <w:r w:rsidR="008E7317">
        <w:rPr>
          <w:rFonts w:asciiTheme="minorHAnsi" w:hAnsiTheme="minorHAnsi"/>
          <w:sz w:val="24"/>
          <w:szCs w:val="22"/>
        </w:rPr>
        <w:t xml:space="preserve">less than $10 million </w:t>
      </w:r>
      <w:r w:rsidR="00080BC8">
        <w:rPr>
          <w:rFonts w:asciiTheme="minorHAnsi" w:hAnsiTheme="minorHAnsi"/>
          <w:sz w:val="24"/>
        </w:rPr>
        <w:t xml:space="preserve">over the first 5 years of listing. When the </w:t>
      </w:r>
      <w:r w:rsidR="003B4808">
        <w:rPr>
          <w:rFonts w:asciiTheme="minorHAnsi" w:hAnsiTheme="minorHAnsi"/>
          <w:sz w:val="24"/>
        </w:rPr>
        <w:t xml:space="preserve">estimated average number of cycles was increased to </w:t>
      </w:r>
      <w:r w:rsidR="00567B39">
        <w:rPr>
          <w:rFonts w:asciiTheme="minorHAnsi" w:hAnsiTheme="minorHAnsi"/>
          <w:noProof/>
          <w:color w:val="000000"/>
          <w:sz w:val="24"/>
          <w:highlight w:val="black"/>
        </w:rPr>
        <w:t>'''''''</w:t>
      </w:r>
      <w:r w:rsidR="003B4808">
        <w:rPr>
          <w:rFonts w:asciiTheme="minorHAnsi" w:hAnsiTheme="minorHAnsi"/>
          <w:sz w:val="24"/>
        </w:rPr>
        <w:t xml:space="preserve">, the total net cost to the PBS/RPBS increased to </w:t>
      </w:r>
      <w:r w:rsidR="008E7317">
        <w:rPr>
          <w:rFonts w:asciiTheme="minorHAnsi" w:hAnsiTheme="minorHAnsi"/>
          <w:sz w:val="24"/>
          <w:szCs w:val="22"/>
        </w:rPr>
        <w:t xml:space="preserve">less than $10 million </w:t>
      </w:r>
      <w:r w:rsidR="003B4808">
        <w:rPr>
          <w:rFonts w:asciiTheme="minorHAnsi" w:hAnsiTheme="minorHAnsi"/>
          <w:sz w:val="24"/>
        </w:rPr>
        <w:t xml:space="preserve">over the first 5 years of listing. </w:t>
      </w:r>
    </w:p>
    <w:p w:rsidR="00BB7EC3" w:rsidRPr="00147BE0" w:rsidRDefault="00F54250" w:rsidP="00C00DA7">
      <w:pPr>
        <w:pStyle w:val="ListParagraph"/>
        <w:widowControl/>
        <w:numPr>
          <w:ilvl w:val="1"/>
          <w:numId w:val="14"/>
        </w:numPr>
        <w:spacing w:after="120"/>
        <w:contextualSpacing w:val="0"/>
        <w:rPr>
          <w:rFonts w:asciiTheme="minorHAnsi" w:hAnsiTheme="minorHAnsi"/>
          <w:i/>
        </w:rPr>
      </w:pPr>
      <w:r w:rsidRPr="00F239C4">
        <w:rPr>
          <w:rFonts w:asciiTheme="minorHAnsi" w:hAnsiTheme="minorHAnsi"/>
          <w:sz w:val="24"/>
        </w:rPr>
        <w:t xml:space="preserve">The Department </w:t>
      </w:r>
      <w:r w:rsidR="00B05D23">
        <w:rPr>
          <w:rFonts w:asciiTheme="minorHAnsi" w:hAnsiTheme="minorHAnsi"/>
          <w:sz w:val="24"/>
        </w:rPr>
        <w:t>undertook</w:t>
      </w:r>
      <w:r w:rsidRPr="00F239C4">
        <w:rPr>
          <w:rFonts w:asciiTheme="minorHAnsi" w:hAnsiTheme="minorHAnsi"/>
          <w:sz w:val="24"/>
        </w:rPr>
        <w:t xml:space="preserve"> a review of medicines to treat multiple myeloma including pomalidomide as requested by DUSC at its June 2017 meeting. An analysis of first initiators to pomalidomide within the first year of listing (August 2015 to July 2016) was </w:t>
      </w:r>
      <w:r w:rsidR="00B05D23">
        <w:rPr>
          <w:rFonts w:asciiTheme="minorHAnsi" w:hAnsiTheme="minorHAnsi"/>
          <w:sz w:val="24"/>
        </w:rPr>
        <w:t>performed</w:t>
      </w:r>
      <w:r w:rsidR="00B05D23" w:rsidRPr="00F239C4">
        <w:rPr>
          <w:rFonts w:asciiTheme="minorHAnsi" w:hAnsiTheme="minorHAnsi"/>
          <w:sz w:val="24"/>
        </w:rPr>
        <w:t xml:space="preserve"> </w:t>
      </w:r>
      <w:r w:rsidRPr="00F239C4">
        <w:rPr>
          <w:rFonts w:asciiTheme="minorHAnsi" w:hAnsiTheme="minorHAnsi"/>
          <w:sz w:val="24"/>
        </w:rPr>
        <w:t>to calculate the average number of prescriptions received within 12 months from the date of first initiation. The predicted versus actual use of poma</w:t>
      </w:r>
      <w:r w:rsidR="00080346" w:rsidRPr="00F239C4">
        <w:rPr>
          <w:rFonts w:asciiTheme="minorHAnsi" w:hAnsiTheme="minorHAnsi"/>
          <w:sz w:val="24"/>
        </w:rPr>
        <w:t xml:space="preserve">lidomide is presented in Table </w:t>
      </w:r>
      <w:r w:rsidR="004E4CDF" w:rsidRPr="00F239C4">
        <w:rPr>
          <w:rFonts w:asciiTheme="minorHAnsi" w:hAnsiTheme="minorHAnsi"/>
          <w:sz w:val="24"/>
        </w:rPr>
        <w:t>5</w:t>
      </w:r>
      <w:r w:rsidRPr="00F239C4">
        <w:rPr>
          <w:rFonts w:asciiTheme="minorHAnsi" w:hAnsiTheme="minorHAnsi"/>
          <w:sz w:val="24"/>
        </w:rPr>
        <w:t xml:space="preserve"> below.</w:t>
      </w:r>
      <w:r w:rsidRPr="00147BE0">
        <w:rPr>
          <w:rFonts w:asciiTheme="minorHAnsi" w:hAnsiTheme="minorHAnsi"/>
          <w:i/>
          <w:sz w:val="24"/>
        </w:rPr>
        <w:t xml:space="preserve"> </w:t>
      </w:r>
    </w:p>
    <w:p w:rsidR="00D02271" w:rsidRDefault="00D02271">
      <w:pPr>
        <w:rPr>
          <w:rFonts w:ascii="Arial Narrow" w:hAnsi="Arial Narrow"/>
          <w:b/>
          <w:sz w:val="20"/>
        </w:rPr>
      </w:pPr>
      <w:r>
        <w:rPr>
          <w:rFonts w:ascii="Arial Narrow" w:hAnsi="Arial Narrow"/>
          <w:b/>
          <w:sz w:val="20"/>
        </w:rPr>
        <w:br w:type="page"/>
      </w:r>
    </w:p>
    <w:p w:rsidR="00F54250" w:rsidRPr="00446F5A" w:rsidRDefault="005169EF" w:rsidP="005D7BC1">
      <w:pPr>
        <w:spacing w:after="40"/>
        <w:rPr>
          <w:rFonts w:ascii="Arial Narrow" w:hAnsi="Arial Narrow"/>
          <w:b/>
          <w:sz w:val="20"/>
        </w:rPr>
      </w:pPr>
      <w:r w:rsidRPr="00446F5A">
        <w:rPr>
          <w:rFonts w:ascii="Arial Narrow" w:hAnsi="Arial Narrow"/>
          <w:b/>
          <w:sz w:val="20"/>
        </w:rPr>
        <w:t xml:space="preserve">Table </w:t>
      </w:r>
      <w:r w:rsidR="004E4CDF" w:rsidRPr="00446F5A">
        <w:rPr>
          <w:rFonts w:ascii="Arial Narrow" w:hAnsi="Arial Narrow"/>
          <w:b/>
          <w:sz w:val="20"/>
        </w:rPr>
        <w:t>5</w:t>
      </w:r>
      <w:r w:rsidR="00F54250" w:rsidRPr="00446F5A">
        <w:rPr>
          <w:rFonts w:ascii="Arial Narrow" w:hAnsi="Arial Narrow"/>
          <w:b/>
          <w:sz w:val="20"/>
        </w:rPr>
        <w:t xml:space="preserve">: Predicted vs. actual utilisation of pomalidomide </w:t>
      </w:r>
    </w:p>
    <w:tbl>
      <w:tblPr>
        <w:tblStyle w:val="TableGrid"/>
        <w:tblW w:w="4942" w:type="pct"/>
        <w:tblInd w:w="108" w:type="dxa"/>
        <w:tblLook w:val="04A0" w:firstRow="1" w:lastRow="0" w:firstColumn="1" w:lastColumn="0" w:noHBand="0" w:noVBand="1"/>
        <w:tblCaption w:val="Table 5: Predicted vs. actual utilisation of pomalidomide "/>
      </w:tblPr>
      <w:tblGrid>
        <w:gridCol w:w="2470"/>
        <w:gridCol w:w="3258"/>
        <w:gridCol w:w="3407"/>
      </w:tblGrid>
      <w:tr w:rsidR="00F54250" w:rsidRPr="002E4622" w:rsidTr="002F4453">
        <w:trPr>
          <w:tblHeader/>
        </w:trPr>
        <w:tc>
          <w:tcPr>
            <w:tcW w:w="1352" w:type="pct"/>
          </w:tcPr>
          <w:p w:rsidR="00F54250" w:rsidRPr="00F646D2" w:rsidRDefault="00F54250" w:rsidP="005D7BC1">
            <w:pPr>
              <w:spacing w:before="40" w:after="40"/>
              <w:rPr>
                <w:rFonts w:ascii="Arial Narrow" w:hAnsi="Arial Narrow"/>
                <w:sz w:val="20"/>
                <w:szCs w:val="22"/>
              </w:rPr>
            </w:pPr>
          </w:p>
        </w:tc>
        <w:tc>
          <w:tcPr>
            <w:tcW w:w="1783" w:type="pct"/>
          </w:tcPr>
          <w:p w:rsidR="00F54250" w:rsidRPr="00F646D2" w:rsidRDefault="00F54250" w:rsidP="005D7BC1">
            <w:pPr>
              <w:spacing w:before="40" w:after="40"/>
              <w:rPr>
                <w:rFonts w:ascii="Arial Narrow" w:hAnsi="Arial Narrow"/>
                <w:sz w:val="20"/>
                <w:szCs w:val="22"/>
              </w:rPr>
            </w:pPr>
            <w:r w:rsidRPr="00F646D2">
              <w:rPr>
                <w:rFonts w:ascii="Arial Narrow" w:hAnsi="Arial Narrow"/>
                <w:sz w:val="20"/>
                <w:szCs w:val="22"/>
              </w:rPr>
              <w:t>Year 1 (August 2015 – July 2016)</w:t>
            </w:r>
          </w:p>
        </w:tc>
        <w:tc>
          <w:tcPr>
            <w:tcW w:w="1866" w:type="pct"/>
          </w:tcPr>
          <w:p w:rsidR="00F54250" w:rsidRPr="00F646D2" w:rsidRDefault="00F54250" w:rsidP="005D7BC1">
            <w:pPr>
              <w:spacing w:before="40" w:after="40"/>
              <w:rPr>
                <w:rFonts w:ascii="Arial Narrow" w:hAnsi="Arial Narrow"/>
                <w:sz w:val="20"/>
                <w:szCs w:val="22"/>
                <w:vertAlign w:val="superscript"/>
              </w:rPr>
            </w:pPr>
            <w:r w:rsidRPr="00F646D2">
              <w:rPr>
                <w:rFonts w:ascii="Arial Narrow" w:hAnsi="Arial Narrow"/>
                <w:sz w:val="20"/>
                <w:szCs w:val="22"/>
              </w:rPr>
              <w:t>Year 2 (August 2016 – June 2017)</w:t>
            </w:r>
            <w:r w:rsidR="006273AD" w:rsidRPr="00F646D2">
              <w:rPr>
                <w:rFonts w:ascii="Arial Narrow" w:hAnsi="Arial Narrow"/>
                <w:sz w:val="20"/>
                <w:szCs w:val="22"/>
                <w:vertAlign w:val="superscript"/>
              </w:rPr>
              <w:t>2</w:t>
            </w:r>
          </w:p>
        </w:tc>
      </w:tr>
      <w:tr w:rsidR="005D7BC1" w:rsidRPr="002E4622" w:rsidTr="00AF0151">
        <w:tc>
          <w:tcPr>
            <w:tcW w:w="5000" w:type="pct"/>
            <w:gridSpan w:val="3"/>
          </w:tcPr>
          <w:p w:rsidR="005D7BC1" w:rsidRPr="002F2263" w:rsidRDefault="005D7BC1" w:rsidP="005D7BC1">
            <w:pPr>
              <w:spacing w:before="40" w:after="40"/>
              <w:rPr>
                <w:rFonts w:ascii="Arial Narrow" w:hAnsi="Arial Narrow"/>
                <w:sz w:val="20"/>
                <w:szCs w:val="22"/>
                <w:vertAlign w:val="superscript"/>
              </w:rPr>
            </w:pPr>
            <w:r w:rsidRPr="002F2263">
              <w:rPr>
                <w:rFonts w:ascii="Arial Narrow" w:hAnsi="Arial Narrow"/>
                <w:sz w:val="20"/>
                <w:szCs w:val="22"/>
              </w:rPr>
              <w:t>Eligible PBS population</w:t>
            </w:r>
            <w:r w:rsidR="006273AD" w:rsidRPr="002F2263">
              <w:rPr>
                <w:rFonts w:ascii="Arial Narrow" w:hAnsi="Arial Narrow"/>
                <w:sz w:val="20"/>
                <w:szCs w:val="22"/>
                <w:vertAlign w:val="superscript"/>
              </w:rPr>
              <w:t>1</w:t>
            </w:r>
          </w:p>
        </w:tc>
      </w:tr>
      <w:tr w:rsidR="00F54250" w:rsidRPr="002E4622" w:rsidTr="00AF0151">
        <w:tc>
          <w:tcPr>
            <w:tcW w:w="1352" w:type="pct"/>
          </w:tcPr>
          <w:p w:rsidR="00F54250" w:rsidRPr="002F2263" w:rsidRDefault="005D7BC1" w:rsidP="005D7BC1">
            <w:pPr>
              <w:spacing w:before="40" w:after="40"/>
              <w:rPr>
                <w:rFonts w:ascii="Arial Narrow" w:hAnsi="Arial Narrow"/>
                <w:sz w:val="20"/>
                <w:szCs w:val="22"/>
              </w:rPr>
            </w:pPr>
            <w:r w:rsidRPr="002F2263">
              <w:rPr>
                <w:rFonts w:ascii="Arial Narrow" w:hAnsi="Arial Narrow"/>
                <w:sz w:val="20"/>
                <w:szCs w:val="22"/>
              </w:rPr>
              <w:t xml:space="preserve">Predicted </w:t>
            </w:r>
          </w:p>
        </w:tc>
        <w:tc>
          <w:tcPr>
            <w:tcW w:w="1783" w:type="pct"/>
          </w:tcPr>
          <w:p w:rsidR="00F54250" w:rsidRPr="00567B39" w:rsidRDefault="00567B39" w:rsidP="005D7BC1">
            <w:pPr>
              <w:spacing w:before="40" w:after="40"/>
              <w:rPr>
                <w:rFonts w:ascii="Arial Narrow" w:hAnsi="Arial Narrow"/>
                <w:sz w:val="20"/>
                <w:szCs w:val="22"/>
                <w:highlight w:val="black"/>
              </w:rPr>
            </w:pPr>
            <w:r>
              <w:rPr>
                <w:rFonts w:ascii="Arial Narrow" w:hAnsi="Arial Narrow"/>
                <w:noProof/>
                <w:color w:val="000000"/>
                <w:sz w:val="20"/>
                <w:szCs w:val="22"/>
                <w:highlight w:val="black"/>
              </w:rPr>
              <w:t>''''''''''''''</w:t>
            </w:r>
          </w:p>
        </w:tc>
        <w:tc>
          <w:tcPr>
            <w:tcW w:w="1866" w:type="pct"/>
          </w:tcPr>
          <w:p w:rsidR="00F54250" w:rsidRPr="00567B39" w:rsidRDefault="00567B39" w:rsidP="005D7BC1">
            <w:pPr>
              <w:spacing w:before="40" w:after="40"/>
              <w:rPr>
                <w:rFonts w:ascii="Arial Narrow" w:hAnsi="Arial Narrow"/>
                <w:sz w:val="20"/>
                <w:szCs w:val="22"/>
                <w:highlight w:val="black"/>
              </w:rPr>
            </w:pPr>
            <w:r>
              <w:rPr>
                <w:rFonts w:ascii="Arial Narrow" w:hAnsi="Arial Narrow"/>
                <w:noProof/>
                <w:color w:val="000000"/>
                <w:sz w:val="20"/>
                <w:szCs w:val="22"/>
                <w:highlight w:val="black"/>
              </w:rPr>
              <w:t>'''''''''''''</w:t>
            </w:r>
          </w:p>
        </w:tc>
      </w:tr>
      <w:tr w:rsidR="00F54250" w:rsidRPr="002E4622" w:rsidTr="00AF0151">
        <w:tc>
          <w:tcPr>
            <w:tcW w:w="1352" w:type="pct"/>
          </w:tcPr>
          <w:p w:rsidR="00F54250" w:rsidRPr="002F2263" w:rsidRDefault="005D7BC1" w:rsidP="005D7BC1">
            <w:pPr>
              <w:spacing w:before="40" w:after="40"/>
              <w:rPr>
                <w:rFonts w:ascii="Arial Narrow" w:hAnsi="Arial Narrow"/>
                <w:sz w:val="20"/>
                <w:szCs w:val="22"/>
              </w:rPr>
            </w:pPr>
            <w:r w:rsidRPr="002F2263">
              <w:rPr>
                <w:rFonts w:ascii="Arial Narrow" w:hAnsi="Arial Narrow"/>
                <w:sz w:val="20"/>
                <w:szCs w:val="22"/>
              </w:rPr>
              <w:t xml:space="preserve">Actual </w:t>
            </w:r>
          </w:p>
        </w:tc>
        <w:tc>
          <w:tcPr>
            <w:tcW w:w="1783" w:type="pct"/>
          </w:tcPr>
          <w:p w:rsidR="00F54250" w:rsidRPr="007A3774" w:rsidRDefault="005D7BC1" w:rsidP="005D7BC1">
            <w:pPr>
              <w:spacing w:before="40" w:after="40"/>
              <w:rPr>
                <w:rFonts w:ascii="Arial Narrow" w:hAnsi="Arial Narrow"/>
                <w:sz w:val="20"/>
                <w:szCs w:val="22"/>
              </w:rPr>
            </w:pPr>
            <w:r w:rsidRPr="007A3774">
              <w:rPr>
                <w:rFonts w:ascii="Arial Narrow" w:hAnsi="Arial Narrow"/>
                <w:sz w:val="20"/>
                <w:szCs w:val="22"/>
              </w:rPr>
              <w:t>1,378</w:t>
            </w:r>
          </w:p>
        </w:tc>
        <w:tc>
          <w:tcPr>
            <w:tcW w:w="1866" w:type="pct"/>
          </w:tcPr>
          <w:p w:rsidR="00F54250" w:rsidRPr="007A3774" w:rsidRDefault="005D7BC1" w:rsidP="005D7BC1">
            <w:pPr>
              <w:spacing w:before="40" w:after="40"/>
              <w:rPr>
                <w:rFonts w:ascii="Arial Narrow" w:hAnsi="Arial Narrow"/>
                <w:sz w:val="20"/>
                <w:szCs w:val="22"/>
              </w:rPr>
            </w:pPr>
            <w:r w:rsidRPr="007A3774">
              <w:rPr>
                <w:rFonts w:ascii="Arial Narrow" w:hAnsi="Arial Narrow"/>
                <w:sz w:val="20"/>
                <w:szCs w:val="22"/>
              </w:rPr>
              <w:t>1,607</w:t>
            </w:r>
          </w:p>
        </w:tc>
      </w:tr>
      <w:tr w:rsidR="005D7BC1" w:rsidRPr="002E4622" w:rsidTr="00AF0151">
        <w:tc>
          <w:tcPr>
            <w:tcW w:w="1352" w:type="pct"/>
          </w:tcPr>
          <w:p w:rsidR="005D7BC1" w:rsidRPr="002F2263" w:rsidRDefault="005D7BC1" w:rsidP="005D7BC1">
            <w:pPr>
              <w:spacing w:before="40" w:after="40"/>
              <w:rPr>
                <w:rFonts w:ascii="Arial Narrow" w:hAnsi="Arial Narrow"/>
                <w:sz w:val="20"/>
                <w:szCs w:val="22"/>
              </w:rPr>
            </w:pPr>
            <w:r w:rsidRPr="002F2263">
              <w:rPr>
                <w:rFonts w:ascii="Arial Narrow" w:hAnsi="Arial Narrow"/>
                <w:sz w:val="20"/>
                <w:szCs w:val="22"/>
              </w:rPr>
              <w:t>Actual vs Predicted (n, %)</w:t>
            </w:r>
          </w:p>
        </w:tc>
        <w:tc>
          <w:tcPr>
            <w:tcW w:w="1783" w:type="pct"/>
          </w:tcPr>
          <w:p w:rsidR="005D7BC1" w:rsidRPr="00567B39" w:rsidRDefault="00567B39" w:rsidP="005D7BC1">
            <w:pPr>
              <w:spacing w:before="40" w:after="40"/>
              <w:rPr>
                <w:rFonts w:ascii="Arial Narrow" w:hAnsi="Arial Narrow"/>
                <w:sz w:val="20"/>
                <w:szCs w:val="22"/>
                <w:highlight w:val="black"/>
              </w:rPr>
            </w:pPr>
            <w:r>
              <w:rPr>
                <w:rFonts w:ascii="Arial Narrow" w:hAnsi="Arial Narrow"/>
                <w:noProof/>
                <w:color w:val="000000"/>
                <w:sz w:val="20"/>
                <w:szCs w:val="22"/>
                <w:highlight w:val="black"/>
              </w:rPr>
              <w:t>'''''''''' ''''''''''''''''</w:t>
            </w:r>
          </w:p>
        </w:tc>
        <w:tc>
          <w:tcPr>
            <w:tcW w:w="1866" w:type="pct"/>
          </w:tcPr>
          <w:p w:rsidR="005D7BC1" w:rsidRPr="002F2263" w:rsidRDefault="005D7BC1" w:rsidP="005D7BC1">
            <w:pPr>
              <w:spacing w:before="40" w:after="40"/>
              <w:rPr>
                <w:rFonts w:ascii="Arial Narrow" w:hAnsi="Arial Narrow"/>
                <w:sz w:val="20"/>
                <w:szCs w:val="22"/>
              </w:rPr>
            </w:pPr>
          </w:p>
        </w:tc>
      </w:tr>
      <w:tr w:rsidR="005D7BC1" w:rsidRPr="002E4622" w:rsidTr="00AF0151">
        <w:tc>
          <w:tcPr>
            <w:tcW w:w="5000" w:type="pct"/>
            <w:gridSpan w:val="3"/>
          </w:tcPr>
          <w:p w:rsidR="005D7BC1" w:rsidRPr="002F2263" w:rsidRDefault="005D7BC1" w:rsidP="005D7BC1">
            <w:pPr>
              <w:spacing w:before="40" w:after="40"/>
              <w:rPr>
                <w:rFonts w:ascii="Arial Narrow" w:hAnsi="Arial Narrow"/>
                <w:sz w:val="20"/>
                <w:szCs w:val="22"/>
              </w:rPr>
            </w:pPr>
            <w:r w:rsidRPr="002F2263">
              <w:rPr>
                <w:rFonts w:ascii="Arial Narrow" w:hAnsi="Arial Narrow"/>
                <w:sz w:val="20"/>
                <w:szCs w:val="22"/>
              </w:rPr>
              <w:t>Patients treated with pomalidomide</w:t>
            </w:r>
          </w:p>
        </w:tc>
      </w:tr>
      <w:tr w:rsidR="005D7BC1" w:rsidRPr="002E4622" w:rsidTr="00AF0151">
        <w:tc>
          <w:tcPr>
            <w:tcW w:w="1352" w:type="pct"/>
          </w:tcPr>
          <w:p w:rsidR="005D7BC1" w:rsidRPr="002F2263" w:rsidRDefault="005D7BC1" w:rsidP="005D7BC1">
            <w:pPr>
              <w:spacing w:before="40" w:after="40"/>
              <w:rPr>
                <w:rFonts w:ascii="Arial Narrow" w:hAnsi="Arial Narrow"/>
                <w:sz w:val="20"/>
                <w:szCs w:val="22"/>
              </w:rPr>
            </w:pPr>
            <w:r w:rsidRPr="002F2263">
              <w:rPr>
                <w:rFonts w:ascii="Arial Narrow" w:hAnsi="Arial Narrow"/>
                <w:sz w:val="20"/>
                <w:szCs w:val="22"/>
              </w:rPr>
              <w:t>Predicted</w:t>
            </w:r>
          </w:p>
        </w:tc>
        <w:tc>
          <w:tcPr>
            <w:tcW w:w="1783" w:type="pct"/>
          </w:tcPr>
          <w:p w:rsidR="005D7BC1" w:rsidRPr="00567B39" w:rsidRDefault="00567B39" w:rsidP="005D7BC1">
            <w:pPr>
              <w:spacing w:before="40" w:after="40"/>
              <w:rPr>
                <w:rFonts w:ascii="Arial Narrow" w:hAnsi="Arial Narrow"/>
                <w:sz w:val="20"/>
                <w:szCs w:val="22"/>
                <w:highlight w:val="black"/>
              </w:rPr>
            </w:pPr>
            <w:r>
              <w:rPr>
                <w:rFonts w:ascii="Arial Narrow" w:hAnsi="Arial Narrow"/>
                <w:noProof/>
                <w:color w:val="000000"/>
                <w:sz w:val="20"/>
                <w:szCs w:val="22"/>
                <w:highlight w:val="black"/>
              </w:rPr>
              <w:t>'''''''''</w:t>
            </w:r>
          </w:p>
        </w:tc>
        <w:tc>
          <w:tcPr>
            <w:tcW w:w="1866" w:type="pct"/>
          </w:tcPr>
          <w:p w:rsidR="005D7BC1" w:rsidRPr="00567B39" w:rsidRDefault="00567B39" w:rsidP="005D7BC1">
            <w:pPr>
              <w:spacing w:before="40" w:after="40"/>
              <w:rPr>
                <w:rFonts w:ascii="Arial Narrow" w:hAnsi="Arial Narrow"/>
                <w:sz w:val="20"/>
                <w:szCs w:val="22"/>
                <w:highlight w:val="black"/>
              </w:rPr>
            </w:pPr>
            <w:r>
              <w:rPr>
                <w:rFonts w:ascii="Arial Narrow" w:hAnsi="Arial Narrow"/>
                <w:noProof/>
                <w:color w:val="000000"/>
                <w:sz w:val="20"/>
                <w:szCs w:val="22"/>
                <w:highlight w:val="black"/>
              </w:rPr>
              <w:t>''''''''''</w:t>
            </w:r>
          </w:p>
        </w:tc>
      </w:tr>
      <w:tr w:rsidR="005D7BC1" w:rsidRPr="002E4622" w:rsidTr="00AF0151">
        <w:tc>
          <w:tcPr>
            <w:tcW w:w="1352" w:type="pct"/>
          </w:tcPr>
          <w:p w:rsidR="005D7BC1" w:rsidRPr="002F2263" w:rsidRDefault="005D7BC1" w:rsidP="005D7BC1">
            <w:pPr>
              <w:spacing w:before="40" w:after="40"/>
              <w:rPr>
                <w:rFonts w:ascii="Arial Narrow" w:hAnsi="Arial Narrow"/>
                <w:sz w:val="20"/>
                <w:szCs w:val="22"/>
              </w:rPr>
            </w:pPr>
            <w:r w:rsidRPr="002F2263">
              <w:rPr>
                <w:rFonts w:ascii="Arial Narrow" w:hAnsi="Arial Narrow"/>
                <w:sz w:val="20"/>
                <w:szCs w:val="22"/>
              </w:rPr>
              <w:t>Actual</w:t>
            </w:r>
          </w:p>
        </w:tc>
        <w:tc>
          <w:tcPr>
            <w:tcW w:w="1783" w:type="pct"/>
          </w:tcPr>
          <w:p w:rsidR="005D7BC1" w:rsidRPr="007A3774" w:rsidRDefault="005D7BC1" w:rsidP="005D7BC1">
            <w:pPr>
              <w:spacing w:before="40" w:after="40"/>
              <w:rPr>
                <w:rFonts w:ascii="Arial Narrow" w:hAnsi="Arial Narrow"/>
                <w:sz w:val="20"/>
                <w:szCs w:val="22"/>
              </w:rPr>
            </w:pPr>
            <w:r w:rsidRPr="007A3774">
              <w:rPr>
                <w:rFonts w:ascii="Arial Narrow" w:hAnsi="Arial Narrow"/>
                <w:sz w:val="20"/>
                <w:szCs w:val="22"/>
              </w:rPr>
              <w:t>365</w:t>
            </w:r>
          </w:p>
        </w:tc>
        <w:tc>
          <w:tcPr>
            <w:tcW w:w="1866" w:type="pct"/>
          </w:tcPr>
          <w:p w:rsidR="005D7BC1" w:rsidRPr="007A3774" w:rsidRDefault="005D7BC1" w:rsidP="005D7BC1">
            <w:pPr>
              <w:spacing w:before="40" w:after="40"/>
              <w:rPr>
                <w:rFonts w:ascii="Arial Narrow" w:hAnsi="Arial Narrow"/>
                <w:sz w:val="20"/>
                <w:szCs w:val="22"/>
              </w:rPr>
            </w:pPr>
            <w:r w:rsidRPr="007A3774">
              <w:rPr>
                <w:rFonts w:ascii="Arial Narrow" w:hAnsi="Arial Narrow"/>
                <w:sz w:val="20"/>
                <w:szCs w:val="22"/>
              </w:rPr>
              <w:t>429</w:t>
            </w:r>
          </w:p>
        </w:tc>
      </w:tr>
      <w:tr w:rsidR="005D7BC1" w:rsidRPr="002E4622" w:rsidTr="00AF0151">
        <w:tc>
          <w:tcPr>
            <w:tcW w:w="1352" w:type="pct"/>
          </w:tcPr>
          <w:p w:rsidR="005D7BC1" w:rsidRPr="002F2263" w:rsidRDefault="005D7BC1" w:rsidP="005D7BC1">
            <w:pPr>
              <w:spacing w:before="40" w:after="40"/>
              <w:rPr>
                <w:rFonts w:ascii="Arial Narrow" w:hAnsi="Arial Narrow"/>
                <w:sz w:val="20"/>
                <w:szCs w:val="22"/>
              </w:rPr>
            </w:pPr>
            <w:r w:rsidRPr="002F2263">
              <w:rPr>
                <w:rFonts w:ascii="Arial Narrow" w:hAnsi="Arial Narrow"/>
                <w:sz w:val="20"/>
                <w:szCs w:val="22"/>
              </w:rPr>
              <w:t>Actual vs Predicted (n, %)</w:t>
            </w:r>
          </w:p>
        </w:tc>
        <w:tc>
          <w:tcPr>
            <w:tcW w:w="1783" w:type="pct"/>
          </w:tcPr>
          <w:p w:rsidR="005D7BC1" w:rsidRPr="00567B39" w:rsidRDefault="00567B39" w:rsidP="005D7BC1">
            <w:pPr>
              <w:spacing w:before="40" w:after="40"/>
              <w:rPr>
                <w:rFonts w:ascii="Arial Narrow" w:hAnsi="Arial Narrow"/>
                <w:sz w:val="20"/>
                <w:szCs w:val="22"/>
                <w:highlight w:val="black"/>
              </w:rPr>
            </w:pPr>
            <w:r>
              <w:rPr>
                <w:rFonts w:ascii="Arial Narrow" w:hAnsi="Arial Narrow"/>
                <w:noProof/>
                <w:color w:val="000000"/>
                <w:sz w:val="20"/>
                <w:szCs w:val="22"/>
                <w:highlight w:val="black"/>
              </w:rPr>
              <w:t>''''''''''' '''''''''''''''</w:t>
            </w:r>
          </w:p>
        </w:tc>
        <w:tc>
          <w:tcPr>
            <w:tcW w:w="1866" w:type="pct"/>
          </w:tcPr>
          <w:p w:rsidR="005D7BC1" w:rsidRPr="00567B39" w:rsidRDefault="005D7BC1" w:rsidP="005D7BC1">
            <w:pPr>
              <w:spacing w:before="40" w:after="40"/>
              <w:rPr>
                <w:rFonts w:ascii="Arial Narrow" w:hAnsi="Arial Narrow"/>
                <w:sz w:val="20"/>
                <w:szCs w:val="22"/>
              </w:rPr>
            </w:pPr>
          </w:p>
        </w:tc>
      </w:tr>
      <w:tr w:rsidR="005D7BC1" w:rsidRPr="002E4622" w:rsidTr="00AF0151">
        <w:tc>
          <w:tcPr>
            <w:tcW w:w="5000" w:type="pct"/>
            <w:gridSpan w:val="3"/>
          </w:tcPr>
          <w:p w:rsidR="005D7BC1" w:rsidRPr="00F646D2" w:rsidRDefault="00AE4038" w:rsidP="005D7BC1">
            <w:pPr>
              <w:spacing w:before="40" w:after="40"/>
              <w:rPr>
                <w:rFonts w:ascii="Arial Narrow" w:hAnsi="Arial Narrow"/>
                <w:sz w:val="20"/>
                <w:szCs w:val="22"/>
                <w:vertAlign w:val="superscript"/>
              </w:rPr>
            </w:pPr>
            <w:r w:rsidRPr="00F646D2">
              <w:rPr>
                <w:rFonts w:ascii="Arial Narrow" w:hAnsi="Arial Narrow"/>
                <w:sz w:val="20"/>
                <w:szCs w:val="22"/>
              </w:rPr>
              <w:t>Total cost of pomalidomide</w:t>
            </w:r>
            <w:r w:rsidR="006273AD" w:rsidRPr="00F646D2">
              <w:rPr>
                <w:rFonts w:ascii="Arial Narrow" w:hAnsi="Arial Narrow"/>
                <w:sz w:val="20"/>
                <w:szCs w:val="22"/>
                <w:vertAlign w:val="superscript"/>
              </w:rPr>
              <w:t>3</w:t>
            </w:r>
          </w:p>
        </w:tc>
      </w:tr>
      <w:tr w:rsidR="005D7BC1" w:rsidRPr="002E4622" w:rsidTr="00AF0151">
        <w:tc>
          <w:tcPr>
            <w:tcW w:w="1352" w:type="pct"/>
          </w:tcPr>
          <w:p w:rsidR="005D7BC1" w:rsidRPr="00F646D2" w:rsidRDefault="001074DD" w:rsidP="005D7BC1">
            <w:pPr>
              <w:spacing w:before="40" w:after="40"/>
              <w:rPr>
                <w:rFonts w:ascii="Arial Narrow" w:hAnsi="Arial Narrow"/>
                <w:sz w:val="20"/>
                <w:szCs w:val="22"/>
              </w:rPr>
            </w:pPr>
            <w:r w:rsidRPr="00F646D2">
              <w:rPr>
                <w:rFonts w:ascii="Arial Narrow" w:hAnsi="Arial Narrow"/>
                <w:sz w:val="20"/>
                <w:szCs w:val="22"/>
              </w:rPr>
              <w:t>Predicted</w:t>
            </w:r>
          </w:p>
        </w:tc>
        <w:tc>
          <w:tcPr>
            <w:tcW w:w="1783" w:type="pct"/>
          </w:tcPr>
          <w:p w:rsidR="005D7BC1" w:rsidRPr="00567B39" w:rsidRDefault="00567B39" w:rsidP="005D7BC1">
            <w:pPr>
              <w:spacing w:before="40" w:after="40"/>
              <w:rPr>
                <w:rFonts w:ascii="Arial Narrow" w:hAnsi="Arial Narrow"/>
                <w:sz w:val="20"/>
                <w:szCs w:val="22"/>
                <w:highlight w:val="black"/>
              </w:rPr>
            </w:pPr>
            <w:r>
              <w:rPr>
                <w:rFonts w:ascii="Arial Narrow" w:hAnsi="Arial Narrow"/>
                <w:noProof/>
                <w:color w:val="000000"/>
                <w:sz w:val="20"/>
                <w:szCs w:val="22"/>
                <w:highlight w:val="black"/>
              </w:rPr>
              <w:t>'''''''''''''''''''''''''''''''</w:t>
            </w:r>
          </w:p>
        </w:tc>
        <w:tc>
          <w:tcPr>
            <w:tcW w:w="1866" w:type="pct"/>
          </w:tcPr>
          <w:p w:rsidR="005D7BC1" w:rsidRPr="00567B39" w:rsidRDefault="00567B39" w:rsidP="005D7BC1">
            <w:pPr>
              <w:spacing w:before="40" w:after="40"/>
              <w:rPr>
                <w:rFonts w:ascii="Arial Narrow" w:hAnsi="Arial Narrow"/>
                <w:sz w:val="20"/>
                <w:szCs w:val="22"/>
                <w:highlight w:val="black"/>
              </w:rPr>
            </w:pPr>
            <w:r>
              <w:rPr>
                <w:rFonts w:ascii="Arial Narrow" w:hAnsi="Arial Narrow"/>
                <w:noProof/>
                <w:color w:val="000000"/>
                <w:sz w:val="20"/>
                <w:szCs w:val="22"/>
                <w:highlight w:val="black"/>
              </w:rPr>
              <w:t>'''''''''''''''''''''''''''</w:t>
            </w:r>
          </w:p>
        </w:tc>
      </w:tr>
      <w:tr w:rsidR="00AE4038" w:rsidRPr="002E4622" w:rsidTr="00AF0151">
        <w:tc>
          <w:tcPr>
            <w:tcW w:w="1352" w:type="pct"/>
          </w:tcPr>
          <w:p w:rsidR="00AE4038" w:rsidRPr="00F646D2" w:rsidRDefault="001074DD" w:rsidP="005D7BC1">
            <w:pPr>
              <w:spacing w:before="40" w:after="40"/>
              <w:rPr>
                <w:rFonts w:ascii="Arial Narrow" w:hAnsi="Arial Narrow"/>
                <w:sz w:val="20"/>
                <w:szCs w:val="22"/>
              </w:rPr>
            </w:pPr>
            <w:r w:rsidRPr="00F646D2">
              <w:rPr>
                <w:rFonts w:ascii="Arial Narrow" w:hAnsi="Arial Narrow"/>
                <w:sz w:val="20"/>
                <w:szCs w:val="22"/>
              </w:rPr>
              <w:t xml:space="preserve">Actual </w:t>
            </w:r>
          </w:p>
        </w:tc>
        <w:tc>
          <w:tcPr>
            <w:tcW w:w="1783" w:type="pct"/>
          </w:tcPr>
          <w:p w:rsidR="00AE4038" w:rsidRPr="002F2263" w:rsidRDefault="001074DD" w:rsidP="005D7BC1">
            <w:pPr>
              <w:spacing w:before="40" w:after="40"/>
              <w:rPr>
                <w:rFonts w:ascii="Arial Narrow" w:hAnsi="Arial Narrow"/>
                <w:sz w:val="20"/>
                <w:szCs w:val="22"/>
              </w:rPr>
            </w:pPr>
            <w:r w:rsidRPr="002F2263">
              <w:rPr>
                <w:rFonts w:ascii="Arial Narrow" w:hAnsi="Arial Narrow"/>
                <w:sz w:val="20"/>
                <w:szCs w:val="22"/>
              </w:rPr>
              <w:t xml:space="preserve">$16,372,766 </w:t>
            </w:r>
          </w:p>
        </w:tc>
        <w:tc>
          <w:tcPr>
            <w:tcW w:w="1866" w:type="pct"/>
          </w:tcPr>
          <w:p w:rsidR="00AE4038" w:rsidRPr="002F2263" w:rsidRDefault="001074DD" w:rsidP="005D7BC1">
            <w:pPr>
              <w:spacing w:before="40" w:after="40"/>
              <w:rPr>
                <w:rFonts w:ascii="Arial Narrow" w:hAnsi="Arial Narrow"/>
                <w:sz w:val="20"/>
                <w:szCs w:val="22"/>
              </w:rPr>
            </w:pPr>
            <w:r w:rsidRPr="002F2263">
              <w:rPr>
                <w:rFonts w:ascii="Arial Narrow" w:hAnsi="Arial Narrow"/>
                <w:sz w:val="20"/>
                <w:szCs w:val="22"/>
              </w:rPr>
              <w:t>$22,596,805</w:t>
            </w:r>
          </w:p>
        </w:tc>
      </w:tr>
      <w:tr w:rsidR="00AE4038" w:rsidRPr="002E4622" w:rsidTr="00AF0151">
        <w:tc>
          <w:tcPr>
            <w:tcW w:w="1352" w:type="pct"/>
          </w:tcPr>
          <w:p w:rsidR="00AE4038" w:rsidRPr="00F646D2" w:rsidRDefault="001074DD" w:rsidP="005D7BC1">
            <w:pPr>
              <w:spacing w:before="40" w:after="40"/>
              <w:rPr>
                <w:rFonts w:ascii="Arial Narrow" w:hAnsi="Arial Narrow"/>
                <w:sz w:val="20"/>
                <w:szCs w:val="22"/>
              </w:rPr>
            </w:pPr>
            <w:r w:rsidRPr="00F646D2">
              <w:rPr>
                <w:rFonts w:ascii="Arial Narrow" w:hAnsi="Arial Narrow"/>
                <w:sz w:val="20"/>
                <w:szCs w:val="22"/>
              </w:rPr>
              <w:t>Actual vs Predicted (n, %)</w:t>
            </w:r>
          </w:p>
        </w:tc>
        <w:tc>
          <w:tcPr>
            <w:tcW w:w="1783" w:type="pct"/>
          </w:tcPr>
          <w:p w:rsidR="00AE4038" w:rsidRPr="00567B39" w:rsidRDefault="00567B39" w:rsidP="005D7BC1">
            <w:pPr>
              <w:spacing w:before="40" w:after="40"/>
              <w:rPr>
                <w:rFonts w:ascii="Arial Narrow" w:hAnsi="Arial Narrow"/>
                <w:sz w:val="20"/>
                <w:szCs w:val="22"/>
                <w:highlight w:val="black"/>
              </w:rPr>
            </w:pPr>
            <w:r>
              <w:rPr>
                <w:rFonts w:ascii="Arial Narrow" w:hAnsi="Arial Narrow"/>
                <w:noProof/>
                <w:color w:val="000000"/>
                <w:sz w:val="20"/>
                <w:szCs w:val="22"/>
                <w:highlight w:val="black"/>
              </w:rPr>
              <w:t>''''''''''''''''''''''''''''' ''''''''''''''''''</w:t>
            </w:r>
          </w:p>
        </w:tc>
        <w:tc>
          <w:tcPr>
            <w:tcW w:w="1866" w:type="pct"/>
          </w:tcPr>
          <w:p w:rsidR="00AE4038" w:rsidRPr="00567B39" w:rsidRDefault="00567B39" w:rsidP="005D7BC1">
            <w:pPr>
              <w:spacing w:before="40" w:after="40"/>
              <w:rPr>
                <w:rFonts w:ascii="Arial Narrow" w:hAnsi="Arial Narrow"/>
                <w:sz w:val="20"/>
                <w:szCs w:val="22"/>
                <w:highlight w:val="black"/>
              </w:rPr>
            </w:pPr>
            <w:r>
              <w:rPr>
                <w:rFonts w:ascii="Arial Narrow" w:hAnsi="Arial Narrow"/>
                <w:noProof/>
                <w:color w:val="000000"/>
                <w:sz w:val="20"/>
                <w:szCs w:val="22"/>
                <w:highlight w:val="black"/>
              </w:rPr>
              <w:t xml:space="preserve"> </w:t>
            </w:r>
          </w:p>
        </w:tc>
      </w:tr>
    </w:tbl>
    <w:p w:rsidR="006273AD" w:rsidRPr="00446F5A" w:rsidRDefault="001074DD" w:rsidP="00AE22D3">
      <w:pPr>
        <w:rPr>
          <w:rFonts w:ascii="Arial Narrow" w:hAnsi="Arial Narrow"/>
          <w:sz w:val="20"/>
          <w:szCs w:val="22"/>
        </w:rPr>
      </w:pPr>
      <w:r w:rsidRPr="00446F5A">
        <w:rPr>
          <w:rFonts w:ascii="Arial Narrow" w:hAnsi="Arial Narrow"/>
          <w:sz w:val="20"/>
          <w:szCs w:val="22"/>
        </w:rPr>
        <w:t xml:space="preserve">Note: Figures are based on the date of supply. </w:t>
      </w:r>
    </w:p>
    <w:p w:rsidR="006273AD" w:rsidRPr="00446F5A" w:rsidRDefault="006273AD" w:rsidP="00AE22D3">
      <w:pPr>
        <w:rPr>
          <w:rFonts w:ascii="Arial Narrow" w:hAnsi="Arial Narrow"/>
          <w:sz w:val="20"/>
          <w:szCs w:val="22"/>
        </w:rPr>
      </w:pPr>
      <w:r w:rsidRPr="00446F5A">
        <w:rPr>
          <w:rFonts w:ascii="Arial Narrow" w:hAnsi="Arial Narrow"/>
          <w:sz w:val="20"/>
          <w:szCs w:val="22"/>
          <w:vertAlign w:val="superscript"/>
        </w:rPr>
        <w:t>1</w:t>
      </w:r>
      <w:r w:rsidRPr="00446F5A">
        <w:rPr>
          <w:rFonts w:ascii="Arial Narrow" w:hAnsi="Arial Narrow"/>
          <w:sz w:val="20"/>
          <w:szCs w:val="22"/>
        </w:rPr>
        <w:t>Patients who received treatment with bortezomib and lenalidomide (as per the restriction criteria for pomalidomide)</w:t>
      </w:r>
    </w:p>
    <w:p w:rsidR="006273AD" w:rsidRPr="00446F5A" w:rsidRDefault="006273AD" w:rsidP="00AE22D3">
      <w:pPr>
        <w:rPr>
          <w:rFonts w:ascii="Arial Narrow" w:hAnsi="Arial Narrow"/>
          <w:sz w:val="20"/>
          <w:szCs w:val="22"/>
        </w:rPr>
      </w:pPr>
      <w:r w:rsidRPr="00446F5A">
        <w:rPr>
          <w:rFonts w:ascii="Arial Narrow" w:hAnsi="Arial Narrow"/>
          <w:sz w:val="20"/>
          <w:szCs w:val="22"/>
          <w:vertAlign w:val="superscript"/>
        </w:rPr>
        <w:t>2</w:t>
      </w:r>
      <w:r w:rsidRPr="00446F5A">
        <w:rPr>
          <w:rFonts w:ascii="Arial Narrow" w:hAnsi="Arial Narrow"/>
          <w:sz w:val="20"/>
          <w:szCs w:val="22"/>
        </w:rPr>
        <w:t>Data presented for Year 2 is to date as complete data for a full year, to July 2017, was not available at time of analysis</w:t>
      </w:r>
    </w:p>
    <w:p w:rsidR="006273AD" w:rsidRPr="00446F5A" w:rsidRDefault="006273AD" w:rsidP="00AE22D3">
      <w:pPr>
        <w:rPr>
          <w:rFonts w:ascii="Arial Narrow" w:hAnsi="Arial Narrow"/>
          <w:sz w:val="20"/>
          <w:szCs w:val="22"/>
        </w:rPr>
      </w:pPr>
      <w:r w:rsidRPr="00446F5A">
        <w:rPr>
          <w:rFonts w:ascii="Arial Narrow" w:hAnsi="Arial Narrow"/>
          <w:sz w:val="20"/>
          <w:szCs w:val="22"/>
          <w:vertAlign w:val="superscript"/>
        </w:rPr>
        <w:t>3</w:t>
      </w:r>
      <w:r w:rsidRPr="00446F5A">
        <w:rPr>
          <w:rFonts w:ascii="Arial Narrow" w:hAnsi="Arial Narrow"/>
          <w:sz w:val="20"/>
          <w:szCs w:val="22"/>
        </w:rPr>
        <w:t xml:space="preserve">Costs are based on the pomalidomide published price excluding patient co-payments. </w:t>
      </w:r>
    </w:p>
    <w:p w:rsidR="00404B83" w:rsidRPr="00446F5A" w:rsidRDefault="00404B83" w:rsidP="00AE22D3">
      <w:pPr>
        <w:rPr>
          <w:rFonts w:ascii="Arial Narrow" w:hAnsi="Arial Narrow"/>
          <w:sz w:val="20"/>
          <w:szCs w:val="22"/>
        </w:rPr>
      </w:pPr>
      <w:r w:rsidRPr="00446F5A">
        <w:rPr>
          <w:rFonts w:ascii="Arial Narrow" w:hAnsi="Arial Narrow"/>
          <w:sz w:val="20"/>
          <w:szCs w:val="22"/>
        </w:rPr>
        <w:t xml:space="preserve">Source: p42 of </w:t>
      </w:r>
      <w:r w:rsidR="002F2263">
        <w:rPr>
          <w:rFonts w:ascii="Arial Narrow" w:hAnsi="Arial Narrow"/>
          <w:sz w:val="20"/>
          <w:szCs w:val="22"/>
        </w:rPr>
        <w:t xml:space="preserve">September 2017 </w:t>
      </w:r>
      <w:r w:rsidRPr="00446F5A">
        <w:rPr>
          <w:rFonts w:ascii="Arial Narrow" w:hAnsi="Arial Narrow"/>
          <w:sz w:val="20"/>
          <w:szCs w:val="22"/>
        </w:rPr>
        <w:t>DUSC report on Analysis of medi</w:t>
      </w:r>
      <w:r w:rsidR="00792353" w:rsidRPr="00446F5A">
        <w:rPr>
          <w:rFonts w:ascii="Arial Narrow" w:hAnsi="Arial Narrow"/>
          <w:sz w:val="20"/>
          <w:szCs w:val="22"/>
        </w:rPr>
        <w:t>cines to treat multiple myeloma</w:t>
      </w:r>
      <w:r w:rsidR="001C0061">
        <w:rPr>
          <w:rFonts w:ascii="Arial Narrow" w:hAnsi="Arial Narrow"/>
          <w:sz w:val="20"/>
          <w:szCs w:val="22"/>
        </w:rPr>
        <w:t xml:space="preserve"> (</w:t>
      </w:r>
      <w:r w:rsidR="001C0061" w:rsidRPr="00567B39">
        <w:rPr>
          <w:rFonts w:ascii="Arial Narrow" w:hAnsi="Arial Narrow"/>
          <w:sz w:val="20"/>
          <w:szCs w:val="22"/>
        </w:rPr>
        <w:t>available on PBS website</w:t>
      </w:r>
      <w:r w:rsidR="001C0061">
        <w:rPr>
          <w:rFonts w:ascii="Arial Narrow" w:hAnsi="Arial Narrow"/>
          <w:sz w:val="20"/>
          <w:szCs w:val="22"/>
        </w:rPr>
        <w:t>)</w:t>
      </w:r>
      <w:r w:rsidR="00792353" w:rsidRPr="00446F5A">
        <w:rPr>
          <w:rFonts w:ascii="Arial Narrow" w:hAnsi="Arial Narrow"/>
          <w:sz w:val="20"/>
          <w:szCs w:val="22"/>
        </w:rPr>
        <w:t>.</w:t>
      </w:r>
    </w:p>
    <w:p w:rsidR="006273AD" w:rsidRDefault="006273AD" w:rsidP="00AE22D3">
      <w:pPr>
        <w:rPr>
          <w:rFonts w:ascii="Arial Narrow" w:hAnsi="Arial Narrow"/>
          <w:sz w:val="20"/>
          <w:szCs w:val="22"/>
        </w:rPr>
      </w:pPr>
    </w:p>
    <w:p w:rsidR="000142EB" w:rsidRPr="00F239C4" w:rsidRDefault="000142EB" w:rsidP="00AE22D3">
      <w:pPr>
        <w:pStyle w:val="ListParagraph"/>
        <w:widowControl/>
        <w:numPr>
          <w:ilvl w:val="1"/>
          <w:numId w:val="14"/>
        </w:numPr>
        <w:spacing w:after="120"/>
        <w:contextualSpacing w:val="0"/>
        <w:rPr>
          <w:rFonts w:asciiTheme="minorHAnsi" w:hAnsiTheme="minorHAnsi"/>
          <w:sz w:val="24"/>
        </w:rPr>
      </w:pPr>
      <w:r w:rsidRPr="00F239C4">
        <w:rPr>
          <w:rFonts w:asciiTheme="minorHAnsi" w:hAnsiTheme="minorHAnsi"/>
          <w:sz w:val="24"/>
        </w:rPr>
        <w:t>The predicted versus actual analysis for pomalidomide found that the estimate for the eligible PBS population was reasonably consistent with the actual number of patients who have been previously treated with bortezomib and lenalidomide. The overall expenditure on pomalidomide was less than expected due to lower than anticipated uptake and a shorter time on therapy than expected.</w:t>
      </w:r>
      <w:r w:rsidR="006B26DC" w:rsidRPr="00F239C4">
        <w:rPr>
          <w:rFonts w:asciiTheme="minorHAnsi" w:hAnsiTheme="minorHAnsi"/>
          <w:sz w:val="24"/>
        </w:rPr>
        <w:t xml:space="preserve"> </w:t>
      </w:r>
      <w:r w:rsidR="006B26DC" w:rsidRPr="006B3D4E">
        <w:rPr>
          <w:rFonts w:asciiTheme="minorHAnsi" w:hAnsiTheme="minorHAnsi"/>
          <w:sz w:val="24"/>
        </w:rPr>
        <w:t>Based on the number of cycles patients received in trial MM-003</w:t>
      </w:r>
      <w:r w:rsidR="007D2E7B" w:rsidRPr="006B3D4E">
        <w:rPr>
          <w:rFonts w:asciiTheme="minorHAnsi" w:hAnsiTheme="minorHAnsi"/>
          <w:sz w:val="24"/>
        </w:rPr>
        <w:t xml:space="preserve"> i</w:t>
      </w:r>
      <w:r w:rsidR="006B26DC" w:rsidRPr="006B3D4E">
        <w:rPr>
          <w:rFonts w:asciiTheme="minorHAnsi" w:hAnsiTheme="minorHAnsi"/>
          <w:sz w:val="24"/>
        </w:rPr>
        <w:t xml:space="preserve">t was estimated that patients would receive an average of </w:t>
      </w:r>
      <w:r w:rsidR="00567B39">
        <w:rPr>
          <w:rFonts w:asciiTheme="minorHAnsi" w:hAnsiTheme="minorHAnsi"/>
          <w:noProof/>
          <w:color w:val="000000"/>
          <w:sz w:val="24"/>
          <w:highlight w:val="black"/>
        </w:rPr>
        <w:t xml:space="preserve">'''''' </w:t>
      </w:r>
      <w:r w:rsidR="006B26DC" w:rsidRPr="006B3D4E">
        <w:rPr>
          <w:rFonts w:asciiTheme="minorHAnsi" w:hAnsiTheme="minorHAnsi"/>
          <w:sz w:val="24"/>
        </w:rPr>
        <w:t>cycles of pomalidomide per year.</w:t>
      </w:r>
      <w:r w:rsidR="006B26DC" w:rsidRPr="00F239C4">
        <w:rPr>
          <w:rFonts w:asciiTheme="minorHAnsi" w:hAnsiTheme="minorHAnsi"/>
          <w:sz w:val="24"/>
        </w:rPr>
        <w:t xml:space="preserve"> A mean of </w:t>
      </w:r>
      <w:r w:rsidR="00567B39">
        <w:rPr>
          <w:rFonts w:asciiTheme="minorHAnsi" w:hAnsiTheme="minorHAnsi"/>
          <w:noProof/>
          <w:color w:val="000000"/>
          <w:sz w:val="24"/>
          <w:highlight w:val="black"/>
        </w:rPr>
        <w:t>''''''</w:t>
      </w:r>
      <w:r w:rsidR="006B26DC" w:rsidRPr="00F239C4">
        <w:rPr>
          <w:rFonts w:asciiTheme="minorHAnsi" w:hAnsiTheme="minorHAnsi"/>
          <w:sz w:val="24"/>
        </w:rPr>
        <w:t xml:space="preserve"> prescriptions (each prescription representing a cycle) was actually received for this patient population over a 12 month period with the majority (</w:t>
      </w:r>
      <w:r w:rsidR="00567B39">
        <w:rPr>
          <w:rFonts w:asciiTheme="minorHAnsi" w:hAnsiTheme="minorHAnsi"/>
          <w:noProof/>
          <w:color w:val="000000"/>
          <w:sz w:val="24"/>
          <w:highlight w:val="black"/>
        </w:rPr>
        <w:t>'''''</w:t>
      </w:r>
      <w:r w:rsidR="006B26DC" w:rsidRPr="00F239C4">
        <w:rPr>
          <w:rFonts w:asciiTheme="minorHAnsi" w:hAnsiTheme="minorHAnsi"/>
          <w:sz w:val="24"/>
        </w:rPr>
        <w:t xml:space="preserve">%) of patients receiving up to </w:t>
      </w:r>
      <w:r w:rsidR="00567B39">
        <w:rPr>
          <w:rFonts w:asciiTheme="minorHAnsi" w:hAnsiTheme="minorHAnsi"/>
          <w:noProof/>
          <w:color w:val="000000"/>
          <w:sz w:val="24"/>
          <w:highlight w:val="black"/>
        </w:rPr>
        <w:t>'''</w:t>
      </w:r>
      <w:r w:rsidR="006B26DC" w:rsidRPr="00F239C4">
        <w:rPr>
          <w:rFonts w:asciiTheme="minorHAnsi" w:hAnsiTheme="minorHAnsi"/>
          <w:sz w:val="24"/>
        </w:rPr>
        <w:t xml:space="preserve"> prescriptions. </w:t>
      </w:r>
    </w:p>
    <w:p w:rsidR="000142EB" w:rsidRPr="00EC6182" w:rsidRDefault="000142EB" w:rsidP="00EC6182">
      <w:pPr>
        <w:pStyle w:val="ListParagraph"/>
        <w:widowControl/>
        <w:numPr>
          <w:ilvl w:val="1"/>
          <w:numId w:val="14"/>
        </w:numPr>
        <w:spacing w:after="120"/>
        <w:contextualSpacing w:val="0"/>
        <w:rPr>
          <w:rFonts w:asciiTheme="minorHAnsi" w:hAnsiTheme="minorHAnsi"/>
          <w:szCs w:val="22"/>
        </w:rPr>
      </w:pPr>
      <w:r>
        <w:rPr>
          <w:rFonts w:asciiTheme="minorHAnsi" w:hAnsiTheme="minorHAnsi"/>
          <w:sz w:val="24"/>
        </w:rPr>
        <w:t>At its March 2017 meeting, the PBAC noted that utilisation</w:t>
      </w:r>
      <w:r w:rsidRPr="000142EB">
        <w:rPr>
          <w:rFonts w:asciiTheme="minorHAnsi" w:hAnsiTheme="minorHAnsi"/>
          <w:sz w:val="24"/>
        </w:rPr>
        <w:t xml:space="preserve"> for Year 1 of the deed was only </w:t>
      </w:r>
      <w:r w:rsidRPr="003E5538">
        <w:rPr>
          <w:rFonts w:asciiTheme="minorHAnsi" w:hAnsiTheme="minorHAnsi"/>
          <w:sz w:val="24"/>
        </w:rPr>
        <w:t>51.24</w:t>
      </w:r>
      <w:r w:rsidRPr="000142EB">
        <w:rPr>
          <w:rFonts w:asciiTheme="minorHAnsi" w:hAnsiTheme="minorHAnsi"/>
          <w:sz w:val="24"/>
        </w:rPr>
        <w:t>% of Cap 1 (</w:t>
      </w:r>
      <w:r w:rsidR="00D02271">
        <w:rPr>
          <w:rFonts w:asciiTheme="minorHAnsi" w:hAnsiTheme="minorHAnsi"/>
          <w:sz w:val="24"/>
        </w:rPr>
        <w:t>$10 - $20 million</w:t>
      </w:r>
      <w:r w:rsidRPr="000142EB">
        <w:rPr>
          <w:rFonts w:asciiTheme="minorHAnsi" w:hAnsiTheme="minorHAnsi"/>
          <w:sz w:val="24"/>
        </w:rPr>
        <w:t>).</w:t>
      </w:r>
      <w:r w:rsidR="00EC6182">
        <w:rPr>
          <w:rFonts w:asciiTheme="minorHAnsi" w:hAnsiTheme="minorHAnsi"/>
          <w:sz w:val="24"/>
        </w:rPr>
        <w:t xml:space="preserve"> </w:t>
      </w:r>
      <w:r w:rsidR="00EC6182" w:rsidRPr="00EC6182">
        <w:rPr>
          <w:rFonts w:asciiTheme="minorHAnsi" w:hAnsiTheme="minorHAnsi"/>
          <w:sz w:val="24"/>
        </w:rPr>
        <w:t>The PBAC considered that these data may indicate that the mean treatment duration of pomalidomide is shorter than expected and may suggest that pomalidomide was less effective in practice than modelled as part of the original submission</w:t>
      </w:r>
      <w:r w:rsidR="008F2322">
        <w:rPr>
          <w:rFonts w:asciiTheme="minorHAnsi" w:hAnsiTheme="minorHAnsi"/>
          <w:sz w:val="24"/>
        </w:rPr>
        <w:t xml:space="preserve"> (paragraph 7.4 March 2017 </w:t>
      </w:r>
      <w:r w:rsidR="00264040">
        <w:rPr>
          <w:rFonts w:asciiTheme="minorHAnsi" w:hAnsiTheme="minorHAnsi"/>
          <w:sz w:val="24"/>
        </w:rPr>
        <w:t>PSD</w:t>
      </w:r>
      <w:r w:rsidR="008F2322">
        <w:rPr>
          <w:rFonts w:asciiTheme="minorHAnsi" w:hAnsiTheme="minorHAnsi"/>
          <w:sz w:val="24"/>
        </w:rPr>
        <w:t>)</w:t>
      </w:r>
      <w:r w:rsidR="00EC6182" w:rsidRPr="00EC6182">
        <w:rPr>
          <w:rFonts w:asciiTheme="minorHAnsi" w:hAnsiTheme="minorHAnsi"/>
          <w:sz w:val="24"/>
        </w:rPr>
        <w:t>.</w:t>
      </w:r>
      <w:r w:rsidR="00EC6182">
        <w:rPr>
          <w:rFonts w:asciiTheme="minorHAnsi" w:hAnsiTheme="minorHAnsi"/>
          <w:sz w:val="24"/>
        </w:rPr>
        <w:t xml:space="preserve"> </w:t>
      </w:r>
    </w:p>
    <w:p w:rsidR="004A20EB" w:rsidRPr="004A20EB" w:rsidRDefault="004A20EB" w:rsidP="0014323F">
      <w:pPr>
        <w:pStyle w:val="PBACHeading1"/>
        <w:spacing w:before="240" w:after="120"/>
        <w:rPr>
          <w:rFonts w:asciiTheme="minorHAnsi" w:hAnsiTheme="minorHAnsi"/>
          <w:sz w:val="32"/>
        </w:rPr>
      </w:pPr>
      <w:r>
        <w:rPr>
          <w:rFonts w:asciiTheme="minorHAnsi" w:hAnsiTheme="minorHAnsi"/>
          <w:sz w:val="32"/>
        </w:rPr>
        <w:t xml:space="preserve">PBAC Outcome </w:t>
      </w:r>
    </w:p>
    <w:p w:rsidR="004A20EB" w:rsidRDefault="00883635" w:rsidP="00B914A9">
      <w:pPr>
        <w:widowControl w:val="0"/>
        <w:numPr>
          <w:ilvl w:val="1"/>
          <w:numId w:val="5"/>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PBAC recommended </w:t>
      </w:r>
      <w:r w:rsidR="00A905E5">
        <w:rPr>
          <w:rFonts w:asciiTheme="minorHAnsi" w:hAnsiTheme="minorHAnsi" w:cs="Arial"/>
          <w:bCs/>
          <w:snapToGrid w:val="0"/>
          <w:lang w:val="en-GB" w:eastAsia="en-US"/>
        </w:rPr>
        <w:t>extend</w:t>
      </w:r>
      <w:r w:rsidR="00E20767">
        <w:rPr>
          <w:rFonts w:asciiTheme="minorHAnsi" w:hAnsiTheme="minorHAnsi" w:cs="Arial"/>
          <w:bCs/>
          <w:snapToGrid w:val="0"/>
          <w:lang w:val="en-GB" w:eastAsia="en-US"/>
        </w:rPr>
        <w:t>ing</w:t>
      </w:r>
      <w:r w:rsidR="00A905E5">
        <w:rPr>
          <w:rFonts w:asciiTheme="minorHAnsi" w:hAnsiTheme="minorHAnsi" w:cs="Arial"/>
          <w:bCs/>
          <w:snapToGrid w:val="0"/>
          <w:lang w:val="en-GB" w:eastAsia="en-US"/>
        </w:rPr>
        <w:t xml:space="preserve"> </w:t>
      </w:r>
      <w:r>
        <w:rPr>
          <w:rFonts w:asciiTheme="minorHAnsi" w:hAnsiTheme="minorHAnsi" w:cs="Arial"/>
          <w:bCs/>
          <w:snapToGrid w:val="0"/>
          <w:lang w:val="en-GB" w:eastAsia="en-US"/>
        </w:rPr>
        <w:t>the restriction for pomalidomide to include the treatment of patients</w:t>
      </w:r>
      <w:r w:rsidR="00F62811">
        <w:rPr>
          <w:rFonts w:asciiTheme="minorHAnsi" w:hAnsiTheme="minorHAnsi" w:cs="Arial"/>
          <w:bCs/>
          <w:snapToGrid w:val="0"/>
          <w:lang w:val="en-GB" w:eastAsia="en-US"/>
        </w:rPr>
        <w:t xml:space="preserve"> contraindicated to, or</w:t>
      </w:r>
      <w:r>
        <w:rPr>
          <w:rFonts w:asciiTheme="minorHAnsi" w:hAnsiTheme="minorHAnsi" w:cs="Arial"/>
          <w:bCs/>
          <w:snapToGrid w:val="0"/>
          <w:lang w:val="en-GB" w:eastAsia="en-US"/>
        </w:rPr>
        <w:t xml:space="preserve"> who have</w:t>
      </w:r>
      <w:r w:rsidR="00F62811">
        <w:rPr>
          <w:rFonts w:asciiTheme="minorHAnsi" w:hAnsiTheme="minorHAnsi" w:cs="Arial"/>
          <w:bCs/>
          <w:snapToGrid w:val="0"/>
          <w:lang w:val="en-GB" w:eastAsia="en-US"/>
        </w:rPr>
        <w:t xml:space="preserve"> experienced severe intolerance to lenalidomide and/or bortezomib for relapsed/refractory multiple myeloma.</w:t>
      </w:r>
      <w:r w:rsidR="00BE730A">
        <w:rPr>
          <w:rFonts w:asciiTheme="minorHAnsi" w:hAnsiTheme="minorHAnsi" w:cs="Arial"/>
          <w:bCs/>
          <w:snapToGrid w:val="0"/>
          <w:lang w:val="en-GB" w:eastAsia="en-US"/>
        </w:rPr>
        <w:t xml:space="preserve"> The PBAC made its recommendation on the basis that</w:t>
      </w:r>
      <w:r w:rsidR="00EE3BF3">
        <w:rPr>
          <w:rFonts w:asciiTheme="minorHAnsi" w:hAnsiTheme="minorHAnsi" w:cs="Arial"/>
          <w:bCs/>
          <w:snapToGrid w:val="0"/>
          <w:lang w:val="en-GB" w:eastAsia="en-US"/>
        </w:rPr>
        <w:t xml:space="preserve"> </w:t>
      </w:r>
      <w:r w:rsidR="0066373C">
        <w:rPr>
          <w:rFonts w:asciiTheme="minorHAnsi" w:hAnsiTheme="minorHAnsi" w:cs="Arial"/>
          <w:bCs/>
          <w:snapToGrid w:val="0"/>
          <w:lang w:val="en-GB" w:eastAsia="en-US"/>
        </w:rPr>
        <w:t>treatment could be considered cost</w:t>
      </w:r>
      <w:r w:rsidR="003977E7">
        <w:rPr>
          <w:rFonts w:asciiTheme="minorHAnsi" w:hAnsiTheme="minorHAnsi" w:cs="Arial"/>
          <w:bCs/>
          <w:snapToGrid w:val="0"/>
          <w:lang w:val="en-GB" w:eastAsia="en-US"/>
        </w:rPr>
        <w:t>-</w:t>
      </w:r>
      <w:r w:rsidR="0066373C">
        <w:rPr>
          <w:rFonts w:asciiTheme="minorHAnsi" w:hAnsiTheme="minorHAnsi" w:cs="Arial"/>
          <w:bCs/>
          <w:snapToGrid w:val="0"/>
          <w:lang w:val="en-GB" w:eastAsia="en-US"/>
        </w:rPr>
        <w:t xml:space="preserve">effective in this population with the </w:t>
      </w:r>
      <w:r w:rsidR="00BE730A">
        <w:rPr>
          <w:rFonts w:asciiTheme="minorHAnsi" w:hAnsiTheme="minorHAnsi" w:cs="Arial"/>
          <w:bCs/>
          <w:snapToGrid w:val="0"/>
          <w:lang w:val="en-GB" w:eastAsia="en-US"/>
        </w:rPr>
        <w:t xml:space="preserve">proposed </w:t>
      </w:r>
      <w:r w:rsidR="008D21CD">
        <w:rPr>
          <w:rFonts w:asciiTheme="minorHAnsi" w:hAnsiTheme="minorHAnsi" w:cs="Arial"/>
          <w:bCs/>
          <w:snapToGrid w:val="0"/>
          <w:lang w:val="en-GB" w:eastAsia="en-US"/>
        </w:rPr>
        <w:t xml:space="preserve">additional </w:t>
      </w:r>
      <w:r w:rsidR="00567B39">
        <w:rPr>
          <w:rFonts w:asciiTheme="minorHAnsi" w:hAnsiTheme="minorHAnsi" w:cs="Arial"/>
          <w:bCs/>
          <w:noProof/>
          <w:snapToGrid w:val="0"/>
          <w:color w:val="000000"/>
          <w:highlight w:val="black"/>
          <w:lang w:val="en-GB" w:eastAsia="en-US"/>
        </w:rPr>
        <w:t>''''''</w:t>
      </w:r>
      <w:r w:rsidR="00BE730A">
        <w:rPr>
          <w:rFonts w:asciiTheme="minorHAnsi" w:hAnsiTheme="minorHAnsi" w:cs="Arial"/>
          <w:bCs/>
          <w:snapToGrid w:val="0"/>
          <w:lang w:val="en-GB" w:eastAsia="en-US"/>
        </w:rPr>
        <w:t xml:space="preserve">% </w:t>
      </w:r>
      <w:r w:rsidR="00684B82">
        <w:rPr>
          <w:rFonts w:asciiTheme="minorHAnsi" w:hAnsiTheme="minorHAnsi" w:cs="Arial"/>
          <w:bCs/>
          <w:snapToGrid w:val="0"/>
          <w:lang w:val="en-GB" w:eastAsia="en-US"/>
        </w:rPr>
        <w:t xml:space="preserve">rebate </w:t>
      </w:r>
      <w:r w:rsidR="008D21CD">
        <w:rPr>
          <w:rFonts w:asciiTheme="minorHAnsi" w:hAnsiTheme="minorHAnsi" w:cs="Arial"/>
          <w:bCs/>
          <w:snapToGrid w:val="0"/>
          <w:lang w:val="en-GB" w:eastAsia="en-US"/>
        </w:rPr>
        <w:t>for this</w:t>
      </w:r>
      <w:r w:rsidR="006A16B9">
        <w:rPr>
          <w:rFonts w:asciiTheme="minorHAnsi" w:hAnsiTheme="minorHAnsi" w:cs="Arial"/>
          <w:bCs/>
          <w:snapToGrid w:val="0"/>
          <w:lang w:val="en-GB" w:eastAsia="en-US"/>
        </w:rPr>
        <w:t xml:space="preserve"> patient population. </w:t>
      </w:r>
    </w:p>
    <w:p w:rsidR="00980BF3" w:rsidRDefault="00980BF3" w:rsidP="0056637E">
      <w:pPr>
        <w:widowControl w:val="0"/>
        <w:numPr>
          <w:ilvl w:val="1"/>
          <w:numId w:val="5"/>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PBAC </w:t>
      </w:r>
      <w:r w:rsidR="00B914A9">
        <w:rPr>
          <w:rFonts w:asciiTheme="minorHAnsi" w:hAnsiTheme="minorHAnsi" w:cs="Arial"/>
          <w:bCs/>
          <w:snapToGrid w:val="0"/>
          <w:lang w:val="en-GB" w:eastAsia="en-US"/>
        </w:rPr>
        <w:t>recalled</w:t>
      </w:r>
      <w:r>
        <w:rPr>
          <w:rFonts w:asciiTheme="minorHAnsi" w:hAnsiTheme="minorHAnsi" w:cs="Arial"/>
          <w:bCs/>
          <w:snapToGrid w:val="0"/>
          <w:lang w:val="en-GB" w:eastAsia="en-US"/>
        </w:rPr>
        <w:t xml:space="preserve"> that </w:t>
      </w:r>
      <w:r w:rsidR="00B914A9">
        <w:rPr>
          <w:rFonts w:asciiTheme="minorHAnsi" w:hAnsiTheme="minorHAnsi" w:cs="Arial"/>
          <w:bCs/>
          <w:snapToGrid w:val="0"/>
          <w:lang w:val="en-GB" w:eastAsia="en-US"/>
        </w:rPr>
        <w:t xml:space="preserve">it </w:t>
      </w:r>
      <w:r>
        <w:rPr>
          <w:rFonts w:asciiTheme="minorHAnsi" w:hAnsiTheme="minorHAnsi" w:cs="Arial"/>
          <w:bCs/>
          <w:snapToGrid w:val="0"/>
          <w:lang w:val="en-GB" w:eastAsia="en-US"/>
        </w:rPr>
        <w:t xml:space="preserve">had previously accepted that pomalidomide treatment in this patient population </w:t>
      </w:r>
      <w:r w:rsidR="00EE29CD">
        <w:rPr>
          <w:rFonts w:asciiTheme="minorHAnsi" w:hAnsiTheme="minorHAnsi" w:cs="Arial"/>
          <w:bCs/>
          <w:snapToGrid w:val="0"/>
          <w:lang w:val="en-GB" w:eastAsia="en-US"/>
        </w:rPr>
        <w:t xml:space="preserve">could be </w:t>
      </w:r>
      <w:r>
        <w:rPr>
          <w:rFonts w:asciiTheme="minorHAnsi" w:hAnsiTheme="minorHAnsi" w:cs="Arial"/>
          <w:bCs/>
          <w:snapToGrid w:val="0"/>
          <w:lang w:val="en-GB" w:eastAsia="en-US"/>
        </w:rPr>
        <w:t>effective.</w:t>
      </w:r>
    </w:p>
    <w:p w:rsidR="00F62811" w:rsidRDefault="00980BF3" w:rsidP="0056637E">
      <w:pPr>
        <w:widowControl w:val="0"/>
        <w:numPr>
          <w:ilvl w:val="1"/>
          <w:numId w:val="5"/>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PBAC noted that the submission did not present any data specifically relating to adverse events in patients with severe intolerance to lenalidomide who have been treated with pomalidomide. The PBAC recalled it previously considered there was a high </w:t>
      </w:r>
      <w:r w:rsidRPr="00E94B76">
        <w:rPr>
          <w:rFonts w:asciiTheme="minorHAnsi" w:hAnsiTheme="minorHAnsi" w:cs="Arial"/>
          <w:bCs/>
          <w:snapToGrid w:val="0"/>
          <w:lang w:val="en-GB" w:eastAsia="en-US"/>
        </w:rPr>
        <w:t>risk that patients experiencing severe intolerance to lenalidomide would experience similar adverse effects on treatment with pomalidomide, given lenalidomide and pomalidomide have similar mechanisms of action.</w:t>
      </w:r>
      <w:r>
        <w:rPr>
          <w:rFonts w:asciiTheme="minorHAnsi" w:hAnsiTheme="minorHAnsi" w:cs="Arial"/>
          <w:bCs/>
          <w:snapToGrid w:val="0"/>
          <w:lang w:val="en-GB" w:eastAsia="en-US"/>
        </w:rPr>
        <w:t xml:space="preserve"> While the PBAC noted that the submission did not fully address its concerns, it considered that the appropriateness of treatment with pomalidomide could be left to the judgement of the clinician.  </w:t>
      </w:r>
      <w:r w:rsidR="00F62811">
        <w:rPr>
          <w:rFonts w:asciiTheme="minorHAnsi" w:hAnsiTheme="minorHAnsi" w:cs="Arial"/>
          <w:bCs/>
          <w:snapToGrid w:val="0"/>
          <w:lang w:val="en-GB" w:eastAsia="en-US"/>
        </w:rPr>
        <w:t>The PBAC considered that the</w:t>
      </w:r>
      <w:r w:rsidR="005F635B">
        <w:rPr>
          <w:rFonts w:asciiTheme="minorHAnsi" w:hAnsiTheme="minorHAnsi" w:cs="Arial"/>
          <w:bCs/>
          <w:snapToGrid w:val="0"/>
          <w:lang w:val="en-GB" w:eastAsia="en-US"/>
        </w:rPr>
        <w:t xml:space="preserve"> proposed</w:t>
      </w:r>
      <w:r w:rsidR="00F62811">
        <w:rPr>
          <w:rFonts w:asciiTheme="minorHAnsi" w:hAnsiTheme="minorHAnsi" w:cs="Arial"/>
          <w:bCs/>
          <w:snapToGrid w:val="0"/>
          <w:lang w:val="en-GB" w:eastAsia="en-US"/>
        </w:rPr>
        <w:t xml:space="preserve"> </w:t>
      </w:r>
      <w:r w:rsidR="00567B39">
        <w:rPr>
          <w:rFonts w:asciiTheme="minorHAnsi" w:hAnsiTheme="minorHAnsi" w:cs="Arial"/>
          <w:bCs/>
          <w:noProof/>
          <w:snapToGrid w:val="0"/>
          <w:color w:val="000000"/>
          <w:highlight w:val="black"/>
          <w:lang w:val="en-GB" w:eastAsia="en-US"/>
        </w:rPr>
        <w:t>'''''</w:t>
      </w:r>
      <w:r w:rsidR="00F62811">
        <w:rPr>
          <w:rFonts w:asciiTheme="minorHAnsi" w:hAnsiTheme="minorHAnsi" w:cs="Arial"/>
          <w:bCs/>
          <w:snapToGrid w:val="0"/>
          <w:lang w:val="en-GB" w:eastAsia="en-US"/>
        </w:rPr>
        <w:t>%</w:t>
      </w:r>
      <w:r w:rsidR="005F635B">
        <w:rPr>
          <w:rFonts w:asciiTheme="minorHAnsi" w:hAnsiTheme="minorHAnsi" w:cs="Arial"/>
          <w:bCs/>
          <w:snapToGrid w:val="0"/>
          <w:lang w:val="en-GB" w:eastAsia="en-US"/>
        </w:rPr>
        <w:t xml:space="preserve"> rebate on the effective price for the extended population</w:t>
      </w:r>
      <w:r w:rsidR="003004B5">
        <w:rPr>
          <w:rFonts w:asciiTheme="minorHAnsi" w:hAnsiTheme="minorHAnsi" w:cs="Arial"/>
          <w:bCs/>
          <w:snapToGrid w:val="0"/>
          <w:lang w:val="en-GB" w:eastAsia="en-US"/>
        </w:rPr>
        <w:t xml:space="preserve"> would render pomalidomide a</w:t>
      </w:r>
      <w:r w:rsidR="001576E6">
        <w:rPr>
          <w:rFonts w:asciiTheme="minorHAnsi" w:hAnsiTheme="minorHAnsi" w:cs="Arial"/>
          <w:bCs/>
          <w:snapToGrid w:val="0"/>
          <w:lang w:val="en-GB" w:eastAsia="en-US"/>
        </w:rPr>
        <w:t>cceptably</w:t>
      </w:r>
      <w:r w:rsidR="003004B5">
        <w:rPr>
          <w:rFonts w:asciiTheme="minorHAnsi" w:hAnsiTheme="minorHAnsi" w:cs="Arial"/>
          <w:bCs/>
          <w:snapToGrid w:val="0"/>
          <w:lang w:val="en-GB" w:eastAsia="en-US"/>
        </w:rPr>
        <w:t xml:space="preserve"> cost-effective in this s</w:t>
      </w:r>
      <w:r w:rsidR="004F285E">
        <w:rPr>
          <w:rFonts w:asciiTheme="minorHAnsi" w:hAnsiTheme="minorHAnsi" w:cs="Arial"/>
          <w:bCs/>
          <w:snapToGrid w:val="0"/>
          <w:lang w:val="en-GB" w:eastAsia="en-US"/>
        </w:rPr>
        <w:t xml:space="preserve">etting noting that the resulting ICER of </w:t>
      </w:r>
      <w:r w:rsidR="00D02271">
        <w:rPr>
          <w:rFonts w:asciiTheme="minorHAnsi" w:hAnsiTheme="minorHAnsi" w:cs="Arial"/>
          <w:bCs/>
          <w:snapToGrid w:val="0"/>
          <w:lang w:val="en-GB" w:eastAsia="en-US"/>
        </w:rPr>
        <w:t>$45,000/QALY - $75,000/QALY</w:t>
      </w:r>
      <w:r w:rsidR="004F285E">
        <w:rPr>
          <w:rFonts w:asciiTheme="minorHAnsi" w:hAnsiTheme="minorHAnsi" w:cs="Arial"/>
          <w:bCs/>
          <w:snapToGrid w:val="0"/>
          <w:lang w:val="en-GB" w:eastAsia="en-US"/>
        </w:rPr>
        <w:t xml:space="preserve"> is within the range previously considered to be cost-effective by the PBAC for this treatment. </w:t>
      </w:r>
    </w:p>
    <w:p w:rsidR="00B914A9" w:rsidRDefault="008D21CD" w:rsidP="0056637E">
      <w:pPr>
        <w:widowControl w:val="0"/>
        <w:numPr>
          <w:ilvl w:val="1"/>
          <w:numId w:val="5"/>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PBAC noted the discrepancy in the estimated number of additional patients between the March 2017 and current submission and considered this was indicative of the uncertainty in the size of the extended patient population. </w:t>
      </w:r>
      <w:r w:rsidR="00635282">
        <w:rPr>
          <w:rFonts w:asciiTheme="minorHAnsi" w:hAnsiTheme="minorHAnsi" w:cs="Arial"/>
          <w:bCs/>
          <w:snapToGrid w:val="0"/>
          <w:lang w:val="en-GB" w:eastAsia="en-US"/>
        </w:rPr>
        <w:t xml:space="preserve">The PBAC </w:t>
      </w:r>
      <w:r>
        <w:rPr>
          <w:rFonts w:asciiTheme="minorHAnsi" w:hAnsiTheme="minorHAnsi" w:cs="Arial"/>
          <w:bCs/>
          <w:snapToGrid w:val="0"/>
          <w:lang w:val="en-GB" w:eastAsia="en-US"/>
        </w:rPr>
        <w:t xml:space="preserve">also noted that there were a number of other medicines in this treatment setting for which compassionate access programs may also be available, which would be currently taking up some of the eligible patient pool. The PBAC therefore </w:t>
      </w:r>
      <w:r w:rsidR="00635A91">
        <w:rPr>
          <w:rFonts w:asciiTheme="minorHAnsi" w:hAnsiTheme="minorHAnsi" w:cs="Arial"/>
          <w:bCs/>
          <w:snapToGrid w:val="0"/>
          <w:lang w:val="en-GB" w:eastAsia="en-US"/>
        </w:rPr>
        <w:t>considered the utilisation estimates</w:t>
      </w:r>
      <w:r w:rsidR="00912F3B">
        <w:rPr>
          <w:rFonts w:asciiTheme="minorHAnsi" w:hAnsiTheme="minorHAnsi" w:cs="Arial"/>
          <w:bCs/>
          <w:snapToGrid w:val="0"/>
          <w:lang w:val="en-GB" w:eastAsia="en-US"/>
        </w:rPr>
        <w:t xml:space="preserve"> based on the assumption of an additional </w:t>
      </w:r>
      <w:r w:rsidR="00567B39">
        <w:rPr>
          <w:rFonts w:asciiTheme="minorHAnsi" w:hAnsiTheme="minorHAnsi" w:cs="Arial"/>
          <w:bCs/>
          <w:noProof/>
          <w:snapToGrid w:val="0"/>
          <w:color w:val="000000"/>
          <w:highlight w:val="black"/>
          <w:lang w:val="en-GB" w:eastAsia="en-US"/>
        </w:rPr>
        <w:t>'''</w:t>
      </w:r>
      <w:r w:rsidR="00912F3B">
        <w:rPr>
          <w:rFonts w:asciiTheme="minorHAnsi" w:hAnsiTheme="minorHAnsi" w:cs="Arial"/>
          <w:bCs/>
          <w:snapToGrid w:val="0"/>
          <w:lang w:val="en-GB" w:eastAsia="en-US"/>
        </w:rPr>
        <w:t>% of patients accessing treatment with pomalidomide each year</w:t>
      </w:r>
      <w:r w:rsidR="00A71FA3">
        <w:rPr>
          <w:rFonts w:asciiTheme="minorHAnsi" w:hAnsiTheme="minorHAnsi" w:cs="Arial"/>
          <w:bCs/>
          <w:snapToGrid w:val="0"/>
          <w:lang w:val="en-GB" w:eastAsia="en-US"/>
        </w:rPr>
        <w:t xml:space="preserve"> </w:t>
      </w:r>
      <w:r w:rsidR="00635A91">
        <w:rPr>
          <w:rFonts w:asciiTheme="minorHAnsi" w:hAnsiTheme="minorHAnsi" w:cs="Arial"/>
          <w:bCs/>
          <w:snapToGrid w:val="0"/>
          <w:lang w:val="en-GB" w:eastAsia="en-US"/>
        </w:rPr>
        <w:t>to be</w:t>
      </w:r>
      <w:r w:rsidR="00A71FA3">
        <w:rPr>
          <w:rFonts w:asciiTheme="minorHAnsi" w:hAnsiTheme="minorHAnsi" w:cs="Arial"/>
          <w:bCs/>
          <w:snapToGrid w:val="0"/>
          <w:lang w:val="en-GB" w:eastAsia="en-US"/>
        </w:rPr>
        <w:t xml:space="preserve"> </w:t>
      </w:r>
      <w:r w:rsidR="00B914A9">
        <w:rPr>
          <w:rFonts w:asciiTheme="minorHAnsi" w:hAnsiTheme="minorHAnsi" w:cs="Arial"/>
          <w:bCs/>
          <w:snapToGrid w:val="0"/>
          <w:lang w:val="en-GB" w:eastAsia="en-US"/>
        </w:rPr>
        <w:t>underestimated and</w:t>
      </w:r>
      <w:r>
        <w:rPr>
          <w:rFonts w:asciiTheme="minorHAnsi" w:hAnsiTheme="minorHAnsi" w:cs="Arial"/>
          <w:bCs/>
          <w:snapToGrid w:val="0"/>
          <w:lang w:val="en-GB" w:eastAsia="en-US"/>
        </w:rPr>
        <w:t xml:space="preserve"> that an estimate of </w:t>
      </w:r>
      <w:r w:rsidR="00567B39">
        <w:rPr>
          <w:rFonts w:asciiTheme="minorHAnsi" w:hAnsiTheme="minorHAnsi" w:cs="Arial"/>
          <w:bCs/>
          <w:noProof/>
          <w:snapToGrid w:val="0"/>
          <w:color w:val="000000"/>
          <w:highlight w:val="black"/>
          <w:lang w:val="en-GB" w:eastAsia="en-US"/>
        </w:rPr>
        <w:t>'''''</w:t>
      </w:r>
      <w:r>
        <w:rPr>
          <w:rFonts w:asciiTheme="minorHAnsi" w:hAnsiTheme="minorHAnsi" w:cs="Arial"/>
          <w:bCs/>
          <w:snapToGrid w:val="0"/>
          <w:lang w:val="en-GB" w:eastAsia="en-US"/>
        </w:rPr>
        <w:t xml:space="preserve">% of the current population using pomalidomide on the PBS was more reasonable. </w:t>
      </w:r>
      <w:r w:rsidR="00912F3B">
        <w:rPr>
          <w:rFonts w:asciiTheme="minorHAnsi" w:hAnsiTheme="minorHAnsi" w:cs="Arial"/>
          <w:bCs/>
          <w:snapToGrid w:val="0"/>
          <w:lang w:val="en-GB" w:eastAsia="en-US"/>
        </w:rPr>
        <w:t xml:space="preserve">The PBAC </w:t>
      </w:r>
      <w:r>
        <w:rPr>
          <w:rFonts w:asciiTheme="minorHAnsi" w:hAnsiTheme="minorHAnsi" w:cs="Arial"/>
          <w:bCs/>
          <w:snapToGrid w:val="0"/>
          <w:lang w:val="en-GB" w:eastAsia="en-US"/>
        </w:rPr>
        <w:t xml:space="preserve">therefore </w:t>
      </w:r>
      <w:r w:rsidR="00912F3B">
        <w:rPr>
          <w:rFonts w:asciiTheme="minorHAnsi" w:hAnsiTheme="minorHAnsi" w:cs="Arial"/>
          <w:bCs/>
          <w:snapToGrid w:val="0"/>
          <w:lang w:val="en-GB" w:eastAsia="en-US"/>
        </w:rPr>
        <w:t xml:space="preserve">considered that the </w:t>
      </w:r>
      <w:r>
        <w:rPr>
          <w:rFonts w:asciiTheme="minorHAnsi" w:hAnsiTheme="minorHAnsi" w:cs="Arial"/>
          <w:bCs/>
          <w:snapToGrid w:val="0"/>
          <w:lang w:val="en-GB" w:eastAsia="en-US"/>
        </w:rPr>
        <w:t xml:space="preserve">proposed </w:t>
      </w:r>
      <w:r w:rsidR="00567B39">
        <w:rPr>
          <w:rFonts w:asciiTheme="minorHAnsi" w:hAnsiTheme="minorHAnsi" w:cs="Arial"/>
          <w:bCs/>
          <w:noProof/>
          <w:snapToGrid w:val="0"/>
          <w:color w:val="000000"/>
          <w:highlight w:val="black"/>
          <w:lang w:val="en-GB" w:eastAsia="en-US"/>
        </w:rPr>
        <w:t>'''''</w:t>
      </w:r>
      <w:r w:rsidR="00391DA1">
        <w:rPr>
          <w:rFonts w:asciiTheme="minorHAnsi" w:hAnsiTheme="minorHAnsi" w:cs="Arial"/>
          <w:bCs/>
          <w:snapToGrid w:val="0"/>
          <w:lang w:val="en-GB" w:eastAsia="en-US"/>
        </w:rPr>
        <w:t xml:space="preserve">% rebate </w:t>
      </w:r>
      <w:r>
        <w:rPr>
          <w:rFonts w:asciiTheme="minorHAnsi" w:hAnsiTheme="minorHAnsi" w:cs="Arial"/>
          <w:bCs/>
          <w:snapToGrid w:val="0"/>
          <w:lang w:val="en-GB" w:eastAsia="en-US"/>
        </w:rPr>
        <w:t xml:space="preserve">should </w:t>
      </w:r>
      <w:r w:rsidR="00391DA1">
        <w:rPr>
          <w:rFonts w:asciiTheme="minorHAnsi" w:hAnsiTheme="minorHAnsi" w:cs="Arial"/>
          <w:bCs/>
          <w:snapToGrid w:val="0"/>
          <w:lang w:val="en-GB" w:eastAsia="en-US"/>
        </w:rPr>
        <w:t xml:space="preserve">apply to </w:t>
      </w:r>
      <w:r w:rsidR="00567B39">
        <w:rPr>
          <w:rFonts w:asciiTheme="minorHAnsi" w:hAnsiTheme="minorHAnsi" w:cs="Arial"/>
          <w:bCs/>
          <w:noProof/>
          <w:snapToGrid w:val="0"/>
          <w:color w:val="000000"/>
          <w:highlight w:val="black"/>
          <w:lang w:val="en-GB" w:eastAsia="en-US"/>
        </w:rPr>
        <w:t>'''''</w:t>
      </w:r>
      <w:r w:rsidR="00391DA1">
        <w:rPr>
          <w:rFonts w:asciiTheme="minorHAnsi" w:hAnsiTheme="minorHAnsi" w:cs="Arial"/>
          <w:bCs/>
          <w:snapToGrid w:val="0"/>
          <w:lang w:val="en-GB" w:eastAsia="en-US"/>
        </w:rPr>
        <w:t>%</w:t>
      </w:r>
      <w:r>
        <w:rPr>
          <w:rFonts w:asciiTheme="minorHAnsi" w:hAnsiTheme="minorHAnsi" w:cs="Arial"/>
          <w:bCs/>
          <w:snapToGrid w:val="0"/>
          <w:lang w:val="en-GB" w:eastAsia="en-US"/>
        </w:rPr>
        <w:t>,</w:t>
      </w:r>
      <w:r w:rsidR="00391DA1">
        <w:rPr>
          <w:rFonts w:asciiTheme="minorHAnsi" w:hAnsiTheme="minorHAnsi" w:cs="Arial"/>
          <w:bCs/>
          <w:snapToGrid w:val="0"/>
          <w:lang w:val="en-GB" w:eastAsia="en-US"/>
        </w:rPr>
        <w:t xml:space="preserve"> rather than the proposed </w:t>
      </w:r>
      <w:r w:rsidR="00567B39">
        <w:rPr>
          <w:rFonts w:asciiTheme="minorHAnsi" w:hAnsiTheme="minorHAnsi" w:cs="Arial"/>
          <w:bCs/>
          <w:noProof/>
          <w:snapToGrid w:val="0"/>
          <w:color w:val="000000"/>
          <w:highlight w:val="black"/>
          <w:lang w:val="en-GB" w:eastAsia="en-US"/>
        </w:rPr>
        <w:t>'''</w:t>
      </w:r>
      <w:r w:rsidR="00391DA1">
        <w:rPr>
          <w:rFonts w:asciiTheme="minorHAnsi" w:hAnsiTheme="minorHAnsi" w:cs="Arial"/>
          <w:bCs/>
          <w:snapToGrid w:val="0"/>
          <w:lang w:val="en-GB" w:eastAsia="en-US"/>
        </w:rPr>
        <w:t>%</w:t>
      </w:r>
      <w:r>
        <w:rPr>
          <w:rFonts w:asciiTheme="minorHAnsi" w:hAnsiTheme="minorHAnsi" w:cs="Arial"/>
          <w:bCs/>
          <w:snapToGrid w:val="0"/>
          <w:lang w:val="en-GB" w:eastAsia="en-US"/>
        </w:rPr>
        <w:t>,</w:t>
      </w:r>
      <w:r w:rsidR="00391DA1">
        <w:rPr>
          <w:rFonts w:asciiTheme="minorHAnsi" w:hAnsiTheme="minorHAnsi" w:cs="Arial"/>
          <w:bCs/>
          <w:snapToGrid w:val="0"/>
          <w:lang w:val="en-GB" w:eastAsia="en-US"/>
        </w:rPr>
        <w:t xml:space="preserve"> of the current pomalidomide patient population to offset this uncertainty.</w:t>
      </w:r>
    </w:p>
    <w:p w:rsidR="004A20EB" w:rsidRPr="008168AB" w:rsidRDefault="004A20EB" w:rsidP="004A20EB">
      <w:pPr>
        <w:spacing w:before="240" w:after="120"/>
        <w:jc w:val="both"/>
        <w:rPr>
          <w:rFonts w:asciiTheme="minorHAnsi" w:hAnsiTheme="minorHAnsi" w:cs="Arial"/>
          <w:b/>
          <w:bCs/>
          <w:snapToGrid w:val="0"/>
          <w:lang w:val="en-GB" w:eastAsia="en-US"/>
        </w:rPr>
      </w:pPr>
      <w:r w:rsidRPr="008168AB">
        <w:rPr>
          <w:rFonts w:asciiTheme="minorHAnsi" w:hAnsiTheme="minorHAnsi" w:cs="Arial"/>
          <w:b/>
          <w:bCs/>
          <w:snapToGrid w:val="0"/>
          <w:lang w:val="en-GB" w:eastAsia="en-US"/>
        </w:rPr>
        <w:t>Outcome:</w:t>
      </w:r>
    </w:p>
    <w:p w:rsidR="004A20EB" w:rsidRPr="008168AB" w:rsidRDefault="004A20EB" w:rsidP="004A20EB">
      <w:pPr>
        <w:spacing w:after="120"/>
        <w:jc w:val="both"/>
        <w:rPr>
          <w:rFonts w:asciiTheme="minorHAnsi" w:hAnsiTheme="minorHAnsi" w:cs="Arial"/>
          <w:bCs/>
          <w:snapToGrid w:val="0"/>
          <w:lang w:val="en-GB" w:eastAsia="en-US"/>
        </w:rPr>
      </w:pPr>
      <w:r w:rsidRPr="008168AB">
        <w:rPr>
          <w:rFonts w:asciiTheme="minorHAnsi" w:hAnsiTheme="minorHAnsi" w:cs="Arial"/>
          <w:bCs/>
          <w:snapToGrid w:val="0"/>
          <w:lang w:val="en-GB" w:eastAsia="en-US"/>
        </w:rPr>
        <w:t xml:space="preserve">Recommended </w:t>
      </w:r>
    </w:p>
    <w:p w:rsidR="004A20EB" w:rsidRPr="00901FA7" w:rsidRDefault="004A20EB" w:rsidP="00901FA7">
      <w:pPr>
        <w:pStyle w:val="PBACHeading1"/>
        <w:spacing w:before="240" w:after="120"/>
        <w:rPr>
          <w:rFonts w:asciiTheme="minorHAnsi" w:hAnsiTheme="minorHAnsi"/>
          <w:sz w:val="32"/>
        </w:rPr>
      </w:pPr>
      <w:r w:rsidRPr="00901FA7">
        <w:rPr>
          <w:rFonts w:asciiTheme="minorHAnsi" w:hAnsiTheme="minorHAnsi"/>
          <w:sz w:val="32"/>
        </w:rPr>
        <w:t>Recommended listing</w:t>
      </w:r>
    </w:p>
    <w:p w:rsidR="004A20EB" w:rsidRPr="00BE730A" w:rsidRDefault="00996081" w:rsidP="00BE730A">
      <w:pPr>
        <w:widowControl w:val="0"/>
        <w:numPr>
          <w:ilvl w:val="1"/>
          <w:numId w:val="5"/>
        </w:numPr>
        <w:spacing w:after="120"/>
        <w:jc w:val="both"/>
        <w:rPr>
          <w:rFonts w:asciiTheme="minorHAnsi" w:hAnsiTheme="minorHAnsi" w:cs="Arial"/>
          <w:b/>
          <w:bCs/>
          <w:snapToGrid w:val="0"/>
          <w:lang w:eastAsia="en-US"/>
        </w:rPr>
      </w:pPr>
      <w:r>
        <w:rPr>
          <w:rFonts w:asciiTheme="minorHAnsi" w:hAnsiTheme="minorHAnsi" w:cs="Arial"/>
          <w:bCs/>
          <w:snapToGrid w:val="0"/>
          <w:lang w:eastAsia="en-US"/>
        </w:rPr>
        <w:t>Ext</w:t>
      </w:r>
      <w:r w:rsidR="004A20EB" w:rsidRPr="00BE730A">
        <w:rPr>
          <w:rFonts w:asciiTheme="minorHAnsi" w:hAnsiTheme="minorHAnsi" w:cs="Arial"/>
          <w:bCs/>
          <w:snapToGrid w:val="0"/>
          <w:lang w:eastAsia="en-US"/>
        </w:rPr>
        <w:t>end existing</w:t>
      </w:r>
      <w:r w:rsidR="00BE730A" w:rsidRPr="00BE730A">
        <w:rPr>
          <w:rFonts w:asciiTheme="minorHAnsi" w:hAnsiTheme="minorHAnsi" w:cs="Arial"/>
          <w:bCs/>
          <w:snapToGrid w:val="0"/>
          <w:lang w:eastAsia="en-US"/>
        </w:rPr>
        <w:t xml:space="preserve"> </w:t>
      </w:r>
      <w:r w:rsidR="004A20EB" w:rsidRPr="00BE730A">
        <w:rPr>
          <w:rFonts w:asciiTheme="minorHAnsi" w:hAnsiTheme="minorHAnsi" w:cs="Arial"/>
          <w:bCs/>
          <w:snapToGrid w:val="0"/>
          <w:lang w:eastAsia="en-US"/>
        </w:rPr>
        <w:t>listing as follows</w:t>
      </w:r>
      <w:r w:rsidR="003334D7">
        <w:rPr>
          <w:rFonts w:asciiTheme="minorHAnsi" w:hAnsiTheme="minorHAnsi" w:cs="Arial"/>
          <w:bCs/>
          <w:snapToGrid w:val="0"/>
          <w:lang w:eastAsia="en-US"/>
        </w:rPr>
        <w:t xml:space="preserve"> (the changes to the existing listing are shown in italics)</w:t>
      </w:r>
      <w:r w:rsidR="004A20EB" w:rsidRPr="00BE730A">
        <w:rPr>
          <w:rFonts w:asciiTheme="minorHAnsi" w:hAnsiTheme="minorHAnsi" w:cs="Arial"/>
          <w:bCs/>
          <w:snapToGrid w:val="0"/>
          <w:lang w:eastAsia="en-US"/>
        </w:rPr>
        <w:t>:</w:t>
      </w:r>
    </w:p>
    <w:tbl>
      <w:tblPr>
        <w:tblW w:w="4979" w:type="pct"/>
        <w:tblLook w:val="0000" w:firstRow="0" w:lastRow="0" w:firstColumn="0" w:lastColumn="0" w:noHBand="0" w:noVBand="0"/>
      </w:tblPr>
      <w:tblGrid>
        <w:gridCol w:w="1925"/>
        <w:gridCol w:w="1340"/>
        <w:gridCol w:w="698"/>
        <w:gridCol w:w="852"/>
        <w:gridCol w:w="1029"/>
        <w:gridCol w:w="3337"/>
        <w:gridCol w:w="7"/>
        <w:gridCol w:w="15"/>
      </w:tblGrid>
      <w:tr w:rsidR="00B74932" w:rsidRPr="0039782C" w:rsidTr="00B74932">
        <w:trPr>
          <w:gridAfter w:val="2"/>
          <w:wAfter w:w="12" w:type="pct"/>
          <w:cantSplit/>
          <w:trHeight w:val="465"/>
        </w:trPr>
        <w:tc>
          <w:tcPr>
            <w:tcW w:w="1774" w:type="pct"/>
            <w:gridSpan w:val="2"/>
            <w:tcBorders>
              <w:bottom w:val="single" w:sz="4" w:space="0" w:color="auto"/>
            </w:tcBorders>
          </w:tcPr>
          <w:p w:rsidR="00B74932" w:rsidRPr="0039782C" w:rsidRDefault="00B74932" w:rsidP="0066373C">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B74932" w:rsidRPr="0039782C" w:rsidRDefault="00B74932" w:rsidP="0066373C">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379" w:type="pct"/>
            <w:tcBorders>
              <w:bottom w:val="single" w:sz="4" w:space="0" w:color="auto"/>
            </w:tcBorders>
          </w:tcPr>
          <w:p w:rsidR="00B74932" w:rsidRPr="0039782C" w:rsidRDefault="00B74932" w:rsidP="0066373C">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B74932" w:rsidRPr="0039782C" w:rsidRDefault="00B74932" w:rsidP="0066373C">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463" w:type="pct"/>
            <w:tcBorders>
              <w:bottom w:val="single" w:sz="4" w:space="0" w:color="auto"/>
            </w:tcBorders>
          </w:tcPr>
          <w:p w:rsidR="00B74932" w:rsidRPr="0039782C" w:rsidRDefault="00B74932" w:rsidP="0066373C">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B74932" w:rsidRPr="0039782C" w:rsidRDefault="00B74932" w:rsidP="0066373C">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2372" w:type="pct"/>
            <w:gridSpan w:val="2"/>
            <w:tcBorders>
              <w:bottom w:val="single" w:sz="4" w:space="0" w:color="auto"/>
            </w:tcBorders>
          </w:tcPr>
          <w:p w:rsidR="00B74932" w:rsidRPr="0039782C" w:rsidRDefault="00B74932" w:rsidP="0066373C">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B74932" w:rsidRPr="00260CE3" w:rsidTr="00B74932">
        <w:trPr>
          <w:gridAfter w:val="1"/>
          <w:wAfter w:w="7" w:type="pct"/>
          <w:cantSplit/>
          <w:trHeight w:val="567"/>
        </w:trPr>
        <w:tc>
          <w:tcPr>
            <w:tcW w:w="1774" w:type="pct"/>
            <w:gridSpan w:val="2"/>
          </w:tcPr>
          <w:p w:rsidR="00B74932" w:rsidRPr="00260CE3" w:rsidRDefault="00B74932" w:rsidP="0066373C">
            <w:pPr>
              <w:keepNext/>
              <w:spacing w:before="40" w:after="40"/>
              <w:jc w:val="both"/>
              <w:rPr>
                <w:rFonts w:ascii="Arial Narrow" w:hAnsi="Arial Narrow" w:cs="Arial"/>
                <w:sz w:val="20"/>
                <w:szCs w:val="20"/>
              </w:rPr>
            </w:pPr>
            <w:r>
              <w:rPr>
                <w:rFonts w:ascii="Arial Narrow" w:hAnsi="Arial Narrow" w:cs="Arial"/>
                <w:smallCaps/>
                <w:sz w:val="20"/>
                <w:szCs w:val="20"/>
              </w:rPr>
              <w:t>POMALIDOMIDE</w:t>
            </w:r>
          </w:p>
          <w:p w:rsidR="00B74932" w:rsidRDefault="00B74932" w:rsidP="0066373C">
            <w:pPr>
              <w:keepNext/>
              <w:spacing w:before="40" w:after="40"/>
              <w:jc w:val="both"/>
              <w:rPr>
                <w:rFonts w:ascii="Arial Narrow" w:hAnsi="Arial Narrow" w:cs="Arial"/>
                <w:sz w:val="20"/>
                <w:szCs w:val="20"/>
              </w:rPr>
            </w:pPr>
            <w:r>
              <w:rPr>
                <w:rFonts w:ascii="Arial Narrow" w:hAnsi="Arial Narrow" w:cs="Arial"/>
                <w:sz w:val="20"/>
                <w:szCs w:val="20"/>
              </w:rPr>
              <w:t>pomalidomide 3 mg capsule, 21</w:t>
            </w:r>
          </w:p>
          <w:p w:rsidR="00B74932" w:rsidRDefault="00B74932" w:rsidP="0066373C">
            <w:pPr>
              <w:keepNext/>
              <w:spacing w:before="40" w:after="40"/>
              <w:jc w:val="both"/>
              <w:rPr>
                <w:rFonts w:ascii="Arial Narrow" w:hAnsi="Arial Narrow" w:cs="Arial"/>
                <w:sz w:val="20"/>
                <w:szCs w:val="20"/>
              </w:rPr>
            </w:pPr>
          </w:p>
          <w:p w:rsidR="00B74932" w:rsidRDefault="00B74932" w:rsidP="0066373C">
            <w:pPr>
              <w:keepNext/>
              <w:spacing w:before="40" w:after="40"/>
              <w:jc w:val="both"/>
              <w:rPr>
                <w:rFonts w:ascii="Arial Narrow" w:hAnsi="Arial Narrow" w:cs="Arial"/>
                <w:sz w:val="20"/>
                <w:szCs w:val="20"/>
              </w:rPr>
            </w:pPr>
            <w:r>
              <w:rPr>
                <w:rFonts w:ascii="Arial Narrow" w:hAnsi="Arial Narrow" w:cs="Arial"/>
                <w:sz w:val="20"/>
                <w:szCs w:val="20"/>
              </w:rPr>
              <w:t>pomalidomide 4 mg capsule, 21</w:t>
            </w:r>
          </w:p>
          <w:p w:rsidR="00B74932" w:rsidRDefault="00B74932" w:rsidP="0066373C">
            <w:pPr>
              <w:keepNext/>
              <w:spacing w:before="40" w:after="40"/>
              <w:jc w:val="both"/>
              <w:rPr>
                <w:rFonts w:ascii="Arial Narrow" w:hAnsi="Arial Narrow" w:cs="Arial"/>
                <w:sz w:val="20"/>
                <w:szCs w:val="20"/>
              </w:rPr>
            </w:pPr>
          </w:p>
          <w:p w:rsidR="00DE76FC" w:rsidRDefault="00DE76FC" w:rsidP="0066373C">
            <w:pPr>
              <w:keepNext/>
              <w:spacing w:before="40" w:after="40"/>
              <w:jc w:val="both"/>
              <w:rPr>
                <w:rFonts w:ascii="Arial Narrow" w:hAnsi="Arial Narrow" w:cs="Arial"/>
                <w:sz w:val="20"/>
                <w:szCs w:val="20"/>
              </w:rPr>
            </w:pPr>
          </w:p>
          <w:p w:rsidR="00DE76FC" w:rsidRDefault="00DE76FC" w:rsidP="0066373C">
            <w:pPr>
              <w:keepNext/>
              <w:spacing w:before="40" w:after="40"/>
              <w:jc w:val="both"/>
              <w:rPr>
                <w:rFonts w:ascii="Arial Narrow" w:hAnsi="Arial Narrow" w:cs="Arial"/>
                <w:sz w:val="20"/>
                <w:szCs w:val="20"/>
              </w:rPr>
            </w:pPr>
          </w:p>
          <w:p w:rsidR="00B74932" w:rsidRPr="00260CE3" w:rsidRDefault="00B74932" w:rsidP="0066373C">
            <w:pPr>
              <w:keepNext/>
              <w:spacing w:before="40" w:after="40"/>
              <w:jc w:val="both"/>
              <w:rPr>
                <w:rFonts w:ascii="Arial Narrow" w:hAnsi="Arial Narrow" w:cs="Arial"/>
                <w:sz w:val="20"/>
                <w:szCs w:val="20"/>
              </w:rPr>
            </w:pPr>
          </w:p>
        </w:tc>
        <w:tc>
          <w:tcPr>
            <w:tcW w:w="379" w:type="pct"/>
          </w:tcPr>
          <w:p w:rsidR="00B74932" w:rsidRPr="00260CE3" w:rsidRDefault="00B74932" w:rsidP="0066373C">
            <w:pPr>
              <w:keepNext/>
              <w:spacing w:before="40" w:after="40"/>
              <w:jc w:val="both"/>
              <w:rPr>
                <w:rFonts w:ascii="Arial Narrow" w:hAnsi="Arial Narrow" w:cs="Arial"/>
                <w:sz w:val="20"/>
                <w:szCs w:val="20"/>
              </w:rPr>
            </w:pPr>
          </w:p>
          <w:p w:rsidR="00B74932" w:rsidRDefault="00B74932" w:rsidP="0066373C">
            <w:pPr>
              <w:keepNext/>
              <w:spacing w:before="40" w:after="40"/>
              <w:jc w:val="both"/>
              <w:rPr>
                <w:rFonts w:ascii="Arial Narrow" w:hAnsi="Arial Narrow" w:cs="Arial"/>
                <w:sz w:val="20"/>
                <w:szCs w:val="20"/>
              </w:rPr>
            </w:pPr>
            <w:r>
              <w:rPr>
                <w:rFonts w:ascii="Arial Narrow" w:hAnsi="Arial Narrow" w:cs="Arial"/>
                <w:sz w:val="20"/>
                <w:szCs w:val="20"/>
              </w:rPr>
              <w:t>1</w:t>
            </w:r>
          </w:p>
          <w:p w:rsidR="00B74932" w:rsidRDefault="00B74932" w:rsidP="0066373C">
            <w:pPr>
              <w:keepNext/>
              <w:spacing w:before="40" w:after="40"/>
              <w:jc w:val="both"/>
              <w:rPr>
                <w:rFonts w:ascii="Arial Narrow" w:hAnsi="Arial Narrow" w:cs="Arial"/>
                <w:sz w:val="20"/>
                <w:szCs w:val="20"/>
              </w:rPr>
            </w:pPr>
          </w:p>
          <w:p w:rsidR="00B74932" w:rsidRPr="00260CE3" w:rsidRDefault="00B74932" w:rsidP="0066373C">
            <w:pPr>
              <w:keepNext/>
              <w:spacing w:before="40" w:after="40"/>
              <w:jc w:val="both"/>
              <w:rPr>
                <w:rFonts w:ascii="Arial Narrow" w:hAnsi="Arial Narrow" w:cs="Arial"/>
                <w:sz w:val="20"/>
                <w:szCs w:val="20"/>
              </w:rPr>
            </w:pPr>
            <w:r>
              <w:rPr>
                <w:rFonts w:ascii="Arial Narrow" w:hAnsi="Arial Narrow" w:cs="Arial"/>
                <w:sz w:val="20"/>
                <w:szCs w:val="20"/>
              </w:rPr>
              <w:t>1</w:t>
            </w:r>
          </w:p>
        </w:tc>
        <w:tc>
          <w:tcPr>
            <w:tcW w:w="463" w:type="pct"/>
          </w:tcPr>
          <w:p w:rsidR="00B74932" w:rsidRPr="00260CE3" w:rsidRDefault="00B74932" w:rsidP="0066373C">
            <w:pPr>
              <w:keepNext/>
              <w:spacing w:before="40" w:after="40"/>
              <w:jc w:val="both"/>
              <w:rPr>
                <w:rFonts w:ascii="Arial Narrow" w:hAnsi="Arial Narrow" w:cs="Arial"/>
                <w:sz w:val="20"/>
                <w:szCs w:val="20"/>
              </w:rPr>
            </w:pPr>
          </w:p>
          <w:p w:rsidR="00B74932" w:rsidRDefault="00B74932" w:rsidP="0066373C">
            <w:pPr>
              <w:keepNext/>
              <w:spacing w:before="40" w:after="40"/>
              <w:jc w:val="both"/>
              <w:rPr>
                <w:rFonts w:ascii="Arial Narrow" w:hAnsi="Arial Narrow" w:cs="Arial"/>
                <w:sz w:val="20"/>
                <w:szCs w:val="20"/>
              </w:rPr>
            </w:pPr>
            <w:r>
              <w:rPr>
                <w:rFonts w:ascii="Arial Narrow" w:hAnsi="Arial Narrow" w:cs="Arial"/>
                <w:sz w:val="20"/>
                <w:szCs w:val="20"/>
              </w:rPr>
              <w:t>0</w:t>
            </w:r>
          </w:p>
          <w:p w:rsidR="00B74932" w:rsidRDefault="00B74932" w:rsidP="0066373C">
            <w:pPr>
              <w:keepNext/>
              <w:spacing w:before="40" w:after="40"/>
              <w:jc w:val="both"/>
              <w:rPr>
                <w:rFonts w:ascii="Arial Narrow" w:hAnsi="Arial Narrow" w:cs="Arial"/>
                <w:sz w:val="20"/>
                <w:szCs w:val="20"/>
              </w:rPr>
            </w:pPr>
          </w:p>
          <w:p w:rsidR="00B74932" w:rsidRPr="00260CE3" w:rsidRDefault="00B74932" w:rsidP="0066373C">
            <w:pPr>
              <w:keepNext/>
              <w:spacing w:before="40" w:after="40"/>
              <w:jc w:val="both"/>
              <w:rPr>
                <w:rFonts w:ascii="Arial Narrow" w:hAnsi="Arial Narrow" w:cs="Arial"/>
                <w:sz w:val="20"/>
                <w:szCs w:val="20"/>
              </w:rPr>
            </w:pPr>
            <w:r>
              <w:rPr>
                <w:rFonts w:ascii="Arial Narrow" w:hAnsi="Arial Narrow" w:cs="Arial"/>
                <w:sz w:val="20"/>
                <w:szCs w:val="20"/>
              </w:rPr>
              <w:t>0</w:t>
            </w:r>
          </w:p>
        </w:tc>
        <w:tc>
          <w:tcPr>
            <w:tcW w:w="559" w:type="pct"/>
          </w:tcPr>
          <w:p w:rsidR="00B74932" w:rsidRDefault="00B74932" w:rsidP="0066373C">
            <w:pPr>
              <w:keepNext/>
              <w:spacing w:before="40" w:after="40"/>
              <w:jc w:val="both"/>
              <w:rPr>
                <w:rFonts w:ascii="Arial Narrow" w:hAnsi="Arial Narrow" w:cs="Arial"/>
                <w:sz w:val="20"/>
                <w:szCs w:val="20"/>
              </w:rPr>
            </w:pPr>
          </w:p>
          <w:p w:rsidR="00B74932" w:rsidRPr="00260CE3" w:rsidRDefault="00B74932" w:rsidP="0066373C">
            <w:pPr>
              <w:keepNext/>
              <w:spacing w:before="40" w:after="40"/>
              <w:jc w:val="both"/>
              <w:rPr>
                <w:rFonts w:ascii="Arial Narrow" w:hAnsi="Arial Narrow" w:cs="Arial"/>
                <w:sz w:val="20"/>
                <w:szCs w:val="20"/>
              </w:rPr>
            </w:pPr>
            <w:r w:rsidRPr="00C22502">
              <w:rPr>
                <w:rFonts w:ascii="Arial Narrow" w:hAnsi="Arial Narrow" w:cs="Arial"/>
                <w:sz w:val="20"/>
                <w:szCs w:val="20"/>
              </w:rPr>
              <w:t>Pomalyst®</w:t>
            </w:r>
          </w:p>
        </w:tc>
        <w:tc>
          <w:tcPr>
            <w:tcW w:w="1817" w:type="pct"/>
            <w:gridSpan w:val="2"/>
          </w:tcPr>
          <w:p w:rsidR="00B74932" w:rsidRDefault="00B74932" w:rsidP="0066373C">
            <w:pPr>
              <w:keepNext/>
              <w:spacing w:before="40" w:after="40"/>
              <w:jc w:val="both"/>
              <w:rPr>
                <w:rFonts w:ascii="Arial Narrow" w:hAnsi="Arial Narrow" w:cs="Arial"/>
                <w:sz w:val="20"/>
                <w:szCs w:val="20"/>
              </w:rPr>
            </w:pPr>
          </w:p>
          <w:p w:rsidR="00B74932" w:rsidRPr="00260CE3" w:rsidRDefault="00B74932" w:rsidP="0066373C">
            <w:pPr>
              <w:keepNext/>
              <w:spacing w:before="40" w:after="40"/>
              <w:jc w:val="both"/>
              <w:rPr>
                <w:rFonts w:ascii="Arial Narrow" w:hAnsi="Arial Narrow" w:cs="Arial"/>
                <w:sz w:val="20"/>
                <w:szCs w:val="20"/>
              </w:rPr>
            </w:pPr>
            <w:r>
              <w:rPr>
                <w:rFonts w:ascii="Arial Narrow" w:hAnsi="Arial Narrow" w:cs="Arial"/>
                <w:sz w:val="20"/>
                <w:szCs w:val="20"/>
              </w:rPr>
              <w:t xml:space="preserve">Celgene Pty Ltd </w:t>
            </w:r>
          </w:p>
        </w:tc>
      </w:tr>
      <w:tr w:rsidR="00B74932" w:rsidRPr="00260CE3" w:rsidTr="00B74932">
        <w:trPr>
          <w:cantSplit/>
          <w:trHeight w:val="360"/>
        </w:trPr>
        <w:tc>
          <w:tcPr>
            <w:tcW w:w="1046" w:type="pct"/>
            <w:tcBorders>
              <w:top w:val="single" w:sz="4" w:space="0" w:color="auto"/>
              <w:left w:val="single" w:sz="4" w:space="0" w:color="auto"/>
              <w:bottom w:val="single" w:sz="4" w:space="0" w:color="auto"/>
              <w:right w:val="single" w:sz="4" w:space="0" w:color="auto"/>
            </w:tcBorders>
          </w:tcPr>
          <w:p w:rsidR="00B74932" w:rsidRPr="004C6C07" w:rsidRDefault="00B74932" w:rsidP="0066373C">
            <w:pPr>
              <w:spacing w:before="40" w:after="40"/>
              <w:jc w:val="both"/>
              <w:rPr>
                <w:rFonts w:ascii="Arial Narrow" w:hAnsi="Arial Narrow" w:cs="Arial"/>
                <w:sz w:val="20"/>
                <w:szCs w:val="20"/>
              </w:rPr>
            </w:pPr>
            <w:r w:rsidRPr="004C6C07">
              <w:rPr>
                <w:rFonts w:ascii="Arial Narrow" w:hAnsi="Arial Narrow" w:cs="Arial"/>
                <w:sz w:val="20"/>
                <w:szCs w:val="20"/>
              </w:rPr>
              <w:t xml:space="preserve">Category / </w:t>
            </w:r>
          </w:p>
          <w:p w:rsidR="00B74932" w:rsidRPr="00260CE3" w:rsidRDefault="00B74932" w:rsidP="0066373C">
            <w:pPr>
              <w:spacing w:before="40" w:after="40"/>
              <w:jc w:val="both"/>
              <w:rPr>
                <w:rFonts w:ascii="Arial Narrow" w:hAnsi="Arial Narrow" w:cs="Arial"/>
                <w:b/>
                <w:sz w:val="20"/>
                <w:szCs w:val="20"/>
              </w:rPr>
            </w:pPr>
            <w:r w:rsidRPr="004C6C07">
              <w:rPr>
                <w:rFonts w:ascii="Arial Narrow" w:hAnsi="Arial Narrow" w:cs="Arial"/>
                <w:sz w:val="20"/>
                <w:szCs w:val="20"/>
              </w:rPr>
              <w:t>Program</w:t>
            </w:r>
          </w:p>
        </w:tc>
        <w:tc>
          <w:tcPr>
            <w:tcW w:w="3954" w:type="pct"/>
            <w:gridSpan w:val="7"/>
            <w:tcBorders>
              <w:top w:val="single" w:sz="4" w:space="0" w:color="auto"/>
              <w:left w:val="single" w:sz="4" w:space="0" w:color="auto"/>
              <w:bottom w:val="single" w:sz="4" w:space="0" w:color="auto"/>
              <w:right w:val="single" w:sz="4" w:space="0" w:color="auto"/>
            </w:tcBorders>
          </w:tcPr>
          <w:p w:rsidR="00B74932" w:rsidRPr="00260CE3" w:rsidRDefault="00B74932" w:rsidP="0066373C">
            <w:pPr>
              <w:spacing w:before="40" w:after="40"/>
              <w:rPr>
                <w:rFonts w:ascii="Arial Narrow" w:hAnsi="Arial Narrow" w:cs="Arial"/>
                <w:sz w:val="20"/>
                <w:szCs w:val="20"/>
              </w:rPr>
            </w:pPr>
            <w:r w:rsidRPr="00260CE3">
              <w:rPr>
                <w:rFonts w:ascii="Arial Narrow" w:hAnsi="Arial Narrow" w:cs="Arial"/>
                <w:sz w:val="20"/>
                <w:szCs w:val="20"/>
              </w:rPr>
              <w:t>Section 100 – Highly Specialised Drugs Program</w:t>
            </w:r>
          </w:p>
          <w:p w:rsidR="00B74932" w:rsidRPr="00260CE3" w:rsidRDefault="00B74932" w:rsidP="0066373C">
            <w:pPr>
              <w:spacing w:before="40" w:after="40"/>
              <w:rPr>
                <w:rFonts w:ascii="Arial Narrow" w:hAnsi="Arial Narrow" w:cs="Arial"/>
                <w:sz w:val="20"/>
                <w:szCs w:val="20"/>
              </w:rPr>
            </w:pPr>
          </w:p>
        </w:tc>
      </w:tr>
      <w:tr w:rsidR="00B74932" w:rsidRPr="00260CE3" w:rsidTr="00B74932">
        <w:trPr>
          <w:cantSplit/>
          <w:trHeight w:val="360"/>
        </w:trPr>
        <w:tc>
          <w:tcPr>
            <w:tcW w:w="1046" w:type="pct"/>
            <w:tcBorders>
              <w:top w:val="single" w:sz="4" w:space="0" w:color="auto"/>
              <w:left w:val="single" w:sz="4" w:space="0" w:color="auto"/>
              <w:bottom w:val="single" w:sz="4" w:space="0" w:color="auto"/>
              <w:right w:val="single" w:sz="4" w:space="0" w:color="auto"/>
            </w:tcBorders>
          </w:tcPr>
          <w:p w:rsidR="00B74932" w:rsidRPr="00260CE3" w:rsidRDefault="00B74932" w:rsidP="0066373C">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54" w:type="pct"/>
            <w:gridSpan w:val="7"/>
            <w:tcBorders>
              <w:top w:val="single" w:sz="4" w:space="0" w:color="auto"/>
              <w:left w:val="single" w:sz="4" w:space="0" w:color="auto"/>
              <w:bottom w:val="single" w:sz="4" w:space="0" w:color="auto"/>
              <w:right w:val="single" w:sz="4" w:space="0" w:color="auto"/>
            </w:tcBorders>
          </w:tcPr>
          <w:p w:rsidR="00B74932" w:rsidRPr="00260CE3" w:rsidRDefault="00B74932" w:rsidP="0066373C">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567B39">
              <w:rPr>
                <w:rFonts w:ascii="Arial Narrow" w:hAnsi="Arial Narrow" w:cs="Arial"/>
                <w:sz w:val="20"/>
                <w:szCs w:val="20"/>
              </w:rPr>
            </w:r>
            <w:r w:rsidR="00567B3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67B39">
              <w:rPr>
                <w:rFonts w:ascii="Arial Narrow" w:hAnsi="Arial Narrow" w:cs="Arial"/>
                <w:sz w:val="20"/>
                <w:szCs w:val="20"/>
              </w:rPr>
            </w:r>
            <w:r w:rsidR="00567B39">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567B39">
              <w:rPr>
                <w:rFonts w:ascii="Arial Narrow" w:hAnsi="Arial Narrow" w:cs="Arial"/>
                <w:sz w:val="20"/>
                <w:szCs w:val="20"/>
              </w:rPr>
            </w:r>
            <w:r w:rsidR="00567B3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567B39">
              <w:rPr>
                <w:rFonts w:ascii="Arial Narrow" w:hAnsi="Arial Narrow" w:cs="Arial"/>
                <w:sz w:val="20"/>
                <w:szCs w:val="20"/>
              </w:rPr>
            </w:r>
            <w:r w:rsidR="00567B3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B74932" w:rsidRPr="00260CE3" w:rsidRDefault="00B74932" w:rsidP="0066373C">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567B39">
              <w:rPr>
                <w:rFonts w:ascii="Arial Narrow" w:hAnsi="Arial Narrow" w:cs="Arial"/>
                <w:sz w:val="20"/>
                <w:szCs w:val="20"/>
              </w:rPr>
            </w:r>
            <w:r w:rsidR="00567B3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B74932" w:rsidRPr="00260CE3" w:rsidTr="00B74932">
        <w:trPr>
          <w:cantSplit/>
          <w:trHeight w:val="360"/>
        </w:trPr>
        <w:tc>
          <w:tcPr>
            <w:tcW w:w="1046" w:type="pct"/>
            <w:tcBorders>
              <w:top w:val="single" w:sz="4" w:space="0" w:color="auto"/>
              <w:left w:val="single" w:sz="4" w:space="0" w:color="auto"/>
              <w:bottom w:val="single" w:sz="4" w:space="0" w:color="auto"/>
              <w:right w:val="single" w:sz="4" w:space="0" w:color="auto"/>
            </w:tcBorders>
          </w:tcPr>
          <w:p w:rsidR="00B74932" w:rsidRPr="00260CE3" w:rsidRDefault="00B74932" w:rsidP="0066373C">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54" w:type="pct"/>
            <w:gridSpan w:val="7"/>
            <w:tcBorders>
              <w:top w:val="single" w:sz="4" w:space="0" w:color="auto"/>
              <w:left w:val="single" w:sz="4" w:space="0" w:color="auto"/>
              <w:bottom w:val="single" w:sz="4" w:space="0" w:color="auto"/>
              <w:right w:val="single" w:sz="4" w:space="0" w:color="auto"/>
            </w:tcBorders>
          </w:tcPr>
          <w:p w:rsidR="00B74932" w:rsidRPr="00260CE3" w:rsidRDefault="00B74932" w:rsidP="0066373C">
            <w:pPr>
              <w:spacing w:before="40" w:after="40"/>
              <w:rPr>
                <w:rFonts w:ascii="Arial Narrow" w:hAnsi="Arial Narrow" w:cs="Arial"/>
                <w:sz w:val="20"/>
                <w:szCs w:val="20"/>
              </w:rPr>
            </w:pPr>
            <w:r>
              <w:rPr>
                <w:rFonts w:ascii="Arial Narrow" w:hAnsi="Arial Narrow" w:cs="Arial"/>
                <w:sz w:val="20"/>
                <w:szCs w:val="20"/>
              </w:rPr>
              <w:t>Multiple myeloma</w:t>
            </w:r>
          </w:p>
        </w:tc>
      </w:tr>
      <w:tr w:rsidR="00B74932" w:rsidRPr="00260CE3" w:rsidTr="00B74932">
        <w:trPr>
          <w:cantSplit/>
          <w:trHeight w:val="360"/>
        </w:trPr>
        <w:tc>
          <w:tcPr>
            <w:tcW w:w="1046" w:type="pct"/>
            <w:tcBorders>
              <w:top w:val="single" w:sz="4" w:space="0" w:color="auto"/>
              <w:left w:val="single" w:sz="4" w:space="0" w:color="auto"/>
              <w:bottom w:val="single" w:sz="4" w:space="0" w:color="auto"/>
              <w:right w:val="single" w:sz="4" w:space="0" w:color="auto"/>
            </w:tcBorders>
          </w:tcPr>
          <w:p w:rsidR="00B74932" w:rsidRPr="00260CE3" w:rsidRDefault="00B74932" w:rsidP="0066373C">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54" w:type="pct"/>
            <w:gridSpan w:val="7"/>
            <w:tcBorders>
              <w:top w:val="single" w:sz="4" w:space="0" w:color="auto"/>
              <w:left w:val="single" w:sz="4" w:space="0" w:color="auto"/>
              <w:bottom w:val="single" w:sz="4" w:space="0" w:color="auto"/>
              <w:right w:val="single" w:sz="4" w:space="0" w:color="auto"/>
            </w:tcBorders>
          </w:tcPr>
          <w:p w:rsidR="00B74932" w:rsidRPr="00260CE3" w:rsidRDefault="00B74932" w:rsidP="0066373C">
            <w:pPr>
              <w:spacing w:before="40" w:after="40"/>
              <w:rPr>
                <w:rFonts w:ascii="Arial Narrow" w:hAnsi="Arial Narrow" w:cs="Arial"/>
                <w:sz w:val="20"/>
                <w:szCs w:val="20"/>
              </w:rPr>
            </w:pPr>
            <w:r>
              <w:rPr>
                <w:rFonts w:ascii="Arial Narrow" w:hAnsi="Arial Narrow" w:cs="Arial"/>
                <w:sz w:val="20"/>
                <w:szCs w:val="20"/>
              </w:rPr>
              <w:t xml:space="preserve">Multiple myeloma </w:t>
            </w:r>
          </w:p>
        </w:tc>
      </w:tr>
      <w:tr w:rsidR="00B74932" w:rsidRPr="00260CE3" w:rsidTr="00B74932">
        <w:trPr>
          <w:cantSplit/>
          <w:trHeight w:val="360"/>
        </w:trPr>
        <w:tc>
          <w:tcPr>
            <w:tcW w:w="1046" w:type="pct"/>
            <w:tcBorders>
              <w:top w:val="single" w:sz="4" w:space="0" w:color="auto"/>
              <w:left w:val="single" w:sz="4" w:space="0" w:color="auto"/>
              <w:bottom w:val="single" w:sz="4" w:space="0" w:color="auto"/>
              <w:right w:val="single" w:sz="4" w:space="0" w:color="auto"/>
            </w:tcBorders>
          </w:tcPr>
          <w:p w:rsidR="00B74932" w:rsidRPr="005D74AF" w:rsidRDefault="00B74932" w:rsidP="0066373C">
            <w:pPr>
              <w:spacing w:before="40" w:after="40"/>
              <w:jc w:val="both"/>
              <w:rPr>
                <w:rFonts w:ascii="Arial Narrow" w:hAnsi="Arial Narrow" w:cs="Arial"/>
                <w:b/>
                <w:sz w:val="20"/>
                <w:szCs w:val="20"/>
              </w:rPr>
            </w:pPr>
            <w:r w:rsidRPr="00260CE3">
              <w:rPr>
                <w:rFonts w:ascii="Arial Narrow" w:hAnsi="Arial Narrow" w:cs="Arial"/>
                <w:b/>
                <w:sz w:val="20"/>
                <w:szCs w:val="20"/>
              </w:rPr>
              <w:t>Treatment phase:</w:t>
            </w:r>
          </w:p>
        </w:tc>
        <w:tc>
          <w:tcPr>
            <w:tcW w:w="3954" w:type="pct"/>
            <w:gridSpan w:val="7"/>
            <w:tcBorders>
              <w:top w:val="single" w:sz="4" w:space="0" w:color="auto"/>
              <w:left w:val="single" w:sz="4" w:space="0" w:color="auto"/>
              <w:bottom w:val="single" w:sz="4" w:space="0" w:color="auto"/>
              <w:right w:val="single" w:sz="4" w:space="0" w:color="auto"/>
            </w:tcBorders>
          </w:tcPr>
          <w:p w:rsidR="00B74932" w:rsidRPr="00260CE3" w:rsidRDefault="00B74932" w:rsidP="0066373C">
            <w:pPr>
              <w:spacing w:before="40" w:after="40"/>
              <w:rPr>
                <w:rFonts w:ascii="Arial Narrow" w:hAnsi="Arial Narrow" w:cs="Arial"/>
                <w:sz w:val="20"/>
                <w:szCs w:val="20"/>
              </w:rPr>
            </w:pPr>
            <w:r>
              <w:rPr>
                <w:rFonts w:ascii="Arial Narrow" w:hAnsi="Arial Narrow" w:cs="Arial"/>
                <w:sz w:val="20"/>
                <w:szCs w:val="20"/>
              </w:rPr>
              <w:t xml:space="preserve">Initial treatment </w:t>
            </w:r>
          </w:p>
        </w:tc>
      </w:tr>
      <w:tr w:rsidR="00B74932" w:rsidRPr="00260CE3" w:rsidTr="00B74932">
        <w:trPr>
          <w:cantSplit/>
          <w:trHeight w:val="360"/>
        </w:trPr>
        <w:tc>
          <w:tcPr>
            <w:tcW w:w="1046" w:type="pct"/>
            <w:tcBorders>
              <w:top w:val="single" w:sz="4" w:space="0" w:color="auto"/>
              <w:left w:val="single" w:sz="4" w:space="0" w:color="auto"/>
              <w:bottom w:val="single" w:sz="4" w:space="0" w:color="auto"/>
              <w:right w:val="single" w:sz="4" w:space="0" w:color="auto"/>
            </w:tcBorders>
          </w:tcPr>
          <w:p w:rsidR="00B74932" w:rsidRPr="00260CE3" w:rsidRDefault="00B74932" w:rsidP="0066373C">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B74932" w:rsidRPr="00260CE3" w:rsidRDefault="00B74932" w:rsidP="0066373C">
            <w:pPr>
              <w:spacing w:before="40" w:after="40"/>
              <w:rPr>
                <w:rFonts w:ascii="Arial Narrow" w:hAnsi="Arial Narrow" w:cs="Arial"/>
                <w:sz w:val="20"/>
                <w:szCs w:val="20"/>
              </w:rPr>
            </w:pPr>
          </w:p>
        </w:tc>
        <w:tc>
          <w:tcPr>
            <w:tcW w:w="3954" w:type="pct"/>
            <w:gridSpan w:val="7"/>
            <w:tcBorders>
              <w:top w:val="single" w:sz="4" w:space="0" w:color="auto"/>
              <w:left w:val="single" w:sz="4" w:space="0" w:color="auto"/>
              <w:bottom w:val="single" w:sz="4" w:space="0" w:color="auto"/>
              <w:right w:val="single" w:sz="4" w:space="0" w:color="auto"/>
            </w:tcBorders>
          </w:tcPr>
          <w:p w:rsidR="00B74932" w:rsidRPr="00106BCF" w:rsidRDefault="00B74932" w:rsidP="0066373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567B39">
              <w:rPr>
                <w:rFonts w:ascii="Arial Narrow" w:hAnsi="Arial Narrow" w:cs="Arial"/>
                <w:sz w:val="20"/>
                <w:szCs w:val="20"/>
              </w:rPr>
            </w:r>
            <w:r w:rsidR="00567B3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B74932" w:rsidRPr="00106BCF" w:rsidRDefault="00B74932" w:rsidP="0066373C">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67B39">
              <w:rPr>
                <w:rFonts w:ascii="Arial Narrow" w:hAnsi="Arial Narrow" w:cs="Arial"/>
                <w:sz w:val="20"/>
                <w:szCs w:val="20"/>
              </w:rPr>
            </w:r>
            <w:r w:rsidR="00567B39">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B74932" w:rsidRPr="00106BCF" w:rsidRDefault="00B74932" w:rsidP="0066373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567B39">
              <w:rPr>
                <w:rFonts w:ascii="Arial Narrow" w:hAnsi="Arial Narrow" w:cs="Arial"/>
                <w:sz w:val="20"/>
                <w:szCs w:val="20"/>
              </w:rPr>
            </w:r>
            <w:r w:rsidR="00567B3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B74932" w:rsidRPr="00106BCF" w:rsidRDefault="00B74932" w:rsidP="0066373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567B39">
              <w:rPr>
                <w:rFonts w:ascii="Arial Narrow" w:hAnsi="Arial Narrow" w:cs="Arial"/>
                <w:sz w:val="20"/>
                <w:szCs w:val="20"/>
              </w:rPr>
            </w:r>
            <w:r w:rsidR="00567B3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B74932" w:rsidRPr="00106BCF" w:rsidRDefault="00B74932" w:rsidP="0066373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567B39">
              <w:rPr>
                <w:rFonts w:ascii="Arial Narrow" w:hAnsi="Arial Narrow" w:cs="Arial"/>
                <w:sz w:val="20"/>
                <w:szCs w:val="20"/>
              </w:rPr>
            </w:r>
            <w:r w:rsidR="00567B3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B74932" w:rsidRPr="00260CE3" w:rsidRDefault="00B74932" w:rsidP="0066373C">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567B39">
              <w:rPr>
                <w:rFonts w:ascii="Arial Narrow" w:hAnsi="Arial Narrow" w:cs="Arial"/>
                <w:sz w:val="20"/>
                <w:szCs w:val="20"/>
              </w:rPr>
            </w:r>
            <w:r w:rsidR="00567B3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B74932" w:rsidRPr="00260CE3" w:rsidTr="00B74932">
        <w:trPr>
          <w:cantSplit/>
          <w:trHeight w:val="360"/>
        </w:trPr>
        <w:tc>
          <w:tcPr>
            <w:tcW w:w="1046" w:type="pct"/>
            <w:tcBorders>
              <w:top w:val="single" w:sz="4" w:space="0" w:color="auto"/>
              <w:left w:val="single" w:sz="4" w:space="0" w:color="auto"/>
              <w:bottom w:val="single" w:sz="4" w:space="0" w:color="auto"/>
              <w:right w:val="single" w:sz="4" w:space="0" w:color="auto"/>
            </w:tcBorders>
          </w:tcPr>
          <w:p w:rsidR="00B74932" w:rsidRPr="00260CE3" w:rsidRDefault="00B74932" w:rsidP="0066373C">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p w:rsidR="00B74932" w:rsidRPr="00260CE3" w:rsidRDefault="00B74932" w:rsidP="0066373C">
            <w:pPr>
              <w:spacing w:before="40" w:after="40"/>
              <w:jc w:val="both"/>
              <w:rPr>
                <w:rFonts w:ascii="Arial Narrow" w:hAnsi="Arial Narrow" w:cs="Arial"/>
                <w:sz w:val="20"/>
                <w:szCs w:val="20"/>
              </w:rPr>
            </w:pPr>
          </w:p>
        </w:tc>
        <w:tc>
          <w:tcPr>
            <w:tcW w:w="3954" w:type="pct"/>
            <w:gridSpan w:val="7"/>
            <w:tcBorders>
              <w:top w:val="single" w:sz="4" w:space="0" w:color="auto"/>
              <w:left w:val="single" w:sz="4" w:space="0" w:color="auto"/>
              <w:bottom w:val="single" w:sz="4" w:space="0" w:color="auto"/>
              <w:right w:val="single" w:sz="4" w:space="0" w:color="auto"/>
            </w:tcBorders>
          </w:tcPr>
          <w:p w:rsidR="00B74932" w:rsidRDefault="00B74932" w:rsidP="0066373C">
            <w:pPr>
              <w:keepLines/>
              <w:rPr>
                <w:rFonts w:ascii="Arial Narrow" w:eastAsia="MS Gothic" w:hAnsi="Arial Narrow"/>
                <w:sz w:val="20"/>
                <w:szCs w:val="22"/>
                <w:lang w:eastAsia="en-US" w:bidi="en-US"/>
              </w:rPr>
            </w:pPr>
            <w:r w:rsidRPr="00C15F62">
              <w:rPr>
                <w:rFonts w:ascii="Arial Narrow" w:eastAsia="MS Gothic" w:hAnsi="Arial Narrow"/>
                <w:sz w:val="20"/>
                <w:szCs w:val="22"/>
                <w:lang w:eastAsia="en-US" w:bidi="en-US"/>
              </w:rPr>
              <w:t>The treatment must be in combination with dexamethasone,</w:t>
            </w:r>
          </w:p>
          <w:p w:rsidR="00B74932" w:rsidRPr="00C15F62" w:rsidRDefault="00B74932" w:rsidP="0066373C">
            <w:pPr>
              <w:keepLines/>
              <w:rPr>
                <w:rFonts w:ascii="Arial Narrow" w:eastAsia="MS Gothic" w:hAnsi="Arial Narrow"/>
                <w:sz w:val="20"/>
                <w:szCs w:val="22"/>
                <w:lang w:eastAsia="en-US" w:bidi="en-US"/>
              </w:rPr>
            </w:pPr>
            <w:r w:rsidRPr="00C15F62">
              <w:rPr>
                <w:rFonts w:ascii="Arial Narrow" w:eastAsia="MS Gothic" w:hAnsi="Arial Narrow"/>
                <w:sz w:val="20"/>
                <w:szCs w:val="22"/>
                <w:lang w:eastAsia="en-US" w:bidi="en-US"/>
              </w:rPr>
              <w:t>AND</w:t>
            </w:r>
          </w:p>
          <w:p w:rsidR="00B74932" w:rsidRPr="00C15F62" w:rsidRDefault="00B74932" w:rsidP="0066373C">
            <w:pPr>
              <w:keepLines/>
              <w:rPr>
                <w:rFonts w:ascii="Arial Narrow" w:eastAsia="MS Gothic" w:hAnsi="Arial Narrow"/>
                <w:sz w:val="20"/>
                <w:szCs w:val="22"/>
                <w:lang w:eastAsia="en-US" w:bidi="en-US"/>
              </w:rPr>
            </w:pPr>
            <w:r w:rsidRPr="00C15F62">
              <w:rPr>
                <w:rFonts w:ascii="Arial Narrow" w:eastAsia="MS Gothic" w:hAnsi="Arial Narrow"/>
                <w:sz w:val="20"/>
                <w:szCs w:val="22"/>
                <w:lang w:eastAsia="en-US" w:bidi="en-US"/>
              </w:rPr>
              <w:t>Patient must have undergone or be ineligible for a primary stem cell transplant,</w:t>
            </w:r>
          </w:p>
          <w:p w:rsidR="00B74932" w:rsidRPr="00C15F62" w:rsidRDefault="00B74932" w:rsidP="0066373C">
            <w:pPr>
              <w:keepLines/>
              <w:rPr>
                <w:rFonts w:ascii="Arial Narrow" w:eastAsia="MS Gothic" w:hAnsi="Arial Narrow"/>
                <w:sz w:val="20"/>
                <w:szCs w:val="22"/>
                <w:lang w:eastAsia="en-US" w:bidi="en-US"/>
              </w:rPr>
            </w:pPr>
            <w:r w:rsidRPr="00C15F62">
              <w:rPr>
                <w:rFonts w:ascii="Arial Narrow" w:eastAsia="MS Gothic" w:hAnsi="Arial Narrow"/>
                <w:sz w:val="20"/>
                <w:szCs w:val="22"/>
                <w:lang w:eastAsia="en-US" w:bidi="en-US"/>
              </w:rPr>
              <w:t>AND</w:t>
            </w:r>
          </w:p>
          <w:p w:rsidR="00B74932" w:rsidRPr="00C15F62" w:rsidRDefault="00B74932" w:rsidP="0066373C">
            <w:pPr>
              <w:keepLines/>
              <w:rPr>
                <w:rFonts w:ascii="Arial Narrow" w:eastAsia="MS Gothic" w:hAnsi="Arial Narrow" w:cs="Calibri"/>
                <w:i/>
                <w:sz w:val="20"/>
                <w:szCs w:val="22"/>
                <w:lang w:eastAsia="en-US" w:bidi="en-US"/>
              </w:rPr>
            </w:pPr>
            <w:r w:rsidRPr="00C15F62">
              <w:rPr>
                <w:rFonts w:ascii="Arial Narrow" w:eastAsia="MS Gothic" w:hAnsi="Arial Narrow"/>
                <w:sz w:val="20"/>
                <w:szCs w:val="22"/>
                <w:lang w:eastAsia="en-US" w:bidi="en-US"/>
              </w:rPr>
              <w:t>Patient must have experienced treatment failure with bortezomib</w:t>
            </w:r>
            <w:r w:rsidRPr="00C15F62">
              <w:rPr>
                <w:rFonts w:ascii="Arial Narrow" w:eastAsia="MS Gothic" w:hAnsi="Arial Narrow"/>
                <w:i/>
                <w:sz w:val="20"/>
                <w:szCs w:val="22"/>
                <w:lang w:eastAsia="en-US" w:bidi="en-US"/>
              </w:rPr>
              <w:t>, unless contraindicated or not tolerated according to the Therapeutic Goods Administration (TGA) approved Product Information;</w:t>
            </w:r>
            <w:r w:rsidRPr="009B0328">
              <w:rPr>
                <w:rFonts w:ascii="Arial Narrow" w:eastAsia="MS Gothic" w:hAnsi="Arial Narrow" w:cs="Calibri"/>
                <w:i/>
                <w:sz w:val="20"/>
                <w:szCs w:val="22"/>
                <w:lang w:eastAsia="en-US" w:bidi="en-US"/>
              </w:rPr>
              <w:t xml:space="preserve"> </w:t>
            </w:r>
          </w:p>
          <w:p w:rsidR="00B74932" w:rsidRPr="00C15F62" w:rsidRDefault="00B74932" w:rsidP="0066373C">
            <w:pPr>
              <w:keepLines/>
              <w:rPr>
                <w:rFonts w:ascii="Arial Narrow" w:eastAsia="MS Gothic" w:hAnsi="Arial Narrow"/>
                <w:sz w:val="20"/>
                <w:szCs w:val="22"/>
                <w:lang w:eastAsia="en-US" w:bidi="en-US"/>
              </w:rPr>
            </w:pPr>
            <w:r w:rsidRPr="00C15F62">
              <w:rPr>
                <w:rFonts w:ascii="Arial Narrow" w:eastAsia="MS Gothic" w:hAnsi="Arial Narrow"/>
                <w:sz w:val="20"/>
                <w:szCs w:val="22"/>
                <w:lang w:eastAsia="en-US" w:bidi="en-US"/>
              </w:rPr>
              <w:t>AND</w:t>
            </w:r>
          </w:p>
          <w:p w:rsidR="00B74932" w:rsidRPr="00C15F62" w:rsidRDefault="00B74932" w:rsidP="0066373C">
            <w:pPr>
              <w:keepLines/>
              <w:rPr>
                <w:rFonts w:ascii="Arial Narrow" w:eastAsia="MS Gothic" w:hAnsi="Arial Narrow"/>
                <w:sz w:val="20"/>
                <w:szCs w:val="22"/>
                <w:lang w:eastAsia="en-US" w:bidi="en-US"/>
              </w:rPr>
            </w:pPr>
            <w:r w:rsidRPr="00C15F62">
              <w:rPr>
                <w:rFonts w:ascii="Arial Narrow" w:eastAsia="MS Gothic" w:hAnsi="Arial Narrow"/>
                <w:sz w:val="20"/>
                <w:szCs w:val="22"/>
                <w:lang w:eastAsia="en-US" w:bidi="en-US"/>
              </w:rPr>
              <w:t>Patient must have experienced treatment failure with lenalidomide</w:t>
            </w:r>
            <w:r w:rsidRPr="00C15F62">
              <w:rPr>
                <w:rFonts w:ascii="Arial Narrow" w:eastAsia="MS Gothic" w:hAnsi="Arial Narrow"/>
                <w:i/>
                <w:sz w:val="20"/>
                <w:szCs w:val="22"/>
                <w:lang w:eastAsia="en-US" w:bidi="en-US"/>
              </w:rPr>
              <w:t xml:space="preserve">, unless contraindicated or not tolerated according to the TGA approved Product Information; </w:t>
            </w:r>
          </w:p>
          <w:p w:rsidR="00B74932" w:rsidRPr="00C15F62" w:rsidRDefault="00B74932" w:rsidP="0066373C">
            <w:pPr>
              <w:keepLines/>
              <w:rPr>
                <w:rFonts w:ascii="Arial Narrow" w:eastAsia="MS Gothic" w:hAnsi="Arial Narrow"/>
                <w:sz w:val="20"/>
                <w:szCs w:val="22"/>
                <w:lang w:eastAsia="en-US" w:bidi="en-US"/>
              </w:rPr>
            </w:pPr>
            <w:r w:rsidRPr="00C15F62">
              <w:rPr>
                <w:rFonts w:ascii="Arial Narrow" w:eastAsia="MS Gothic" w:hAnsi="Arial Narrow"/>
                <w:sz w:val="20"/>
                <w:szCs w:val="22"/>
                <w:lang w:eastAsia="en-US" w:bidi="en-US"/>
              </w:rPr>
              <w:t>AND</w:t>
            </w:r>
          </w:p>
          <w:p w:rsidR="00B74932" w:rsidRPr="00260CE3" w:rsidRDefault="00B74932" w:rsidP="0066373C">
            <w:pPr>
              <w:spacing w:before="40" w:after="40"/>
              <w:rPr>
                <w:rFonts w:ascii="Arial Narrow" w:hAnsi="Arial Narrow" w:cs="Arial"/>
                <w:sz w:val="20"/>
                <w:szCs w:val="20"/>
              </w:rPr>
            </w:pPr>
            <w:r w:rsidRPr="00C15F62">
              <w:rPr>
                <w:rFonts w:ascii="Arial Narrow" w:eastAsia="MS Gothic" w:hAnsi="Arial Narrow"/>
                <w:sz w:val="20"/>
                <w:szCs w:val="22"/>
                <w:lang w:eastAsia="en-US" w:bidi="en-US"/>
              </w:rPr>
              <w:t>Patient must not be receiving concomitant PBS-subsidised thalidomide, lenalidomide or bortezomib.</w:t>
            </w:r>
          </w:p>
        </w:tc>
      </w:tr>
      <w:tr w:rsidR="00B74932" w:rsidRPr="00260CE3" w:rsidTr="00B74932">
        <w:trPr>
          <w:cantSplit/>
          <w:trHeight w:val="360"/>
        </w:trPr>
        <w:tc>
          <w:tcPr>
            <w:tcW w:w="1046" w:type="pct"/>
            <w:tcBorders>
              <w:top w:val="single" w:sz="4" w:space="0" w:color="auto"/>
              <w:left w:val="single" w:sz="4" w:space="0" w:color="auto"/>
              <w:bottom w:val="single" w:sz="4" w:space="0" w:color="auto"/>
              <w:right w:val="single" w:sz="4" w:space="0" w:color="auto"/>
            </w:tcBorders>
          </w:tcPr>
          <w:p w:rsidR="00B74932" w:rsidRPr="00610F19" w:rsidRDefault="00B74932" w:rsidP="0066373C">
            <w:pPr>
              <w:spacing w:before="40" w:after="40"/>
              <w:jc w:val="both"/>
              <w:rPr>
                <w:rFonts w:ascii="Arial Narrow" w:hAnsi="Arial Narrow" w:cs="Arial"/>
                <w:b/>
                <w:sz w:val="20"/>
                <w:szCs w:val="20"/>
              </w:rPr>
            </w:pPr>
            <w:r w:rsidRPr="00260CE3">
              <w:rPr>
                <w:rFonts w:ascii="Arial Narrow" w:hAnsi="Arial Narrow" w:cs="Arial"/>
                <w:b/>
                <w:sz w:val="20"/>
                <w:szCs w:val="20"/>
              </w:rPr>
              <w:t>Prescriber Instructions</w:t>
            </w:r>
          </w:p>
          <w:p w:rsidR="00B74932" w:rsidRPr="00260CE3" w:rsidRDefault="00B74932" w:rsidP="0066373C">
            <w:pPr>
              <w:spacing w:before="40" w:after="40"/>
              <w:jc w:val="both"/>
              <w:rPr>
                <w:rFonts w:ascii="Arial Narrow" w:hAnsi="Arial Narrow" w:cs="Arial"/>
                <w:sz w:val="20"/>
                <w:szCs w:val="20"/>
              </w:rPr>
            </w:pPr>
          </w:p>
        </w:tc>
        <w:tc>
          <w:tcPr>
            <w:tcW w:w="3954" w:type="pct"/>
            <w:gridSpan w:val="7"/>
            <w:tcBorders>
              <w:top w:val="single" w:sz="4" w:space="0" w:color="auto"/>
              <w:left w:val="single" w:sz="4" w:space="0" w:color="auto"/>
              <w:bottom w:val="single" w:sz="4" w:space="0" w:color="auto"/>
              <w:right w:val="single" w:sz="4" w:space="0" w:color="auto"/>
            </w:tcBorders>
          </w:tcPr>
          <w:p w:rsidR="00B74932" w:rsidRPr="00AA6BD3" w:rsidRDefault="00B74932" w:rsidP="0066373C">
            <w:pPr>
              <w:keepLines/>
              <w:spacing w:after="200" w:line="276" w:lineRule="auto"/>
              <w:rPr>
                <w:rFonts w:ascii="Arial Narrow" w:eastAsia="MS Gothic" w:hAnsi="Arial Narrow" w:cs="Arial"/>
                <w:sz w:val="20"/>
                <w:szCs w:val="20"/>
                <w:lang w:eastAsia="en-US" w:bidi="en-US"/>
              </w:rPr>
            </w:pPr>
            <w:r w:rsidRPr="00AA6BD3">
              <w:rPr>
                <w:rFonts w:ascii="Arial Narrow" w:eastAsia="MS Gothic" w:hAnsi="Arial Narrow" w:cs="Arial"/>
                <w:sz w:val="20"/>
                <w:szCs w:val="20"/>
                <w:lang w:eastAsia="en-US" w:bidi="en-US"/>
              </w:rPr>
              <w:t>Bortezomib treatment failure is the absence of achieving at least a partial response or as progressive disease during treatment or within 6 months of discontinuing treatment with bortezomib.</w:t>
            </w:r>
            <w:r w:rsidRPr="00AA6BD3">
              <w:rPr>
                <w:rFonts w:ascii="Calibri" w:eastAsia="MS Gothic" w:hAnsi="Calibri"/>
                <w:szCs w:val="22"/>
                <w:lang w:eastAsia="en-US" w:bidi="en-US"/>
              </w:rPr>
              <w:t xml:space="preserve"> </w:t>
            </w:r>
            <w:r w:rsidRPr="00AA6BD3">
              <w:rPr>
                <w:rFonts w:ascii="Arial Narrow" w:eastAsia="MS Gothic" w:hAnsi="Arial Narrow" w:cs="Arial"/>
                <w:sz w:val="20"/>
                <w:szCs w:val="20"/>
                <w:lang w:eastAsia="en-US" w:bidi="en-US"/>
              </w:rPr>
              <w:t xml:space="preserve">Lenalidomide treatment failure is progressive disease during treatment or within 6 months of discontinuing treatment with lenalidomide. </w:t>
            </w:r>
          </w:p>
          <w:p w:rsidR="00B74932" w:rsidRPr="00AA6BD3" w:rsidRDefault="00B74932" w:rsidP="0066373C">
            <w:pPr>
              <w:keepLines/>
              <w:spacing w:after="200" w:line="276" w:lineRule="auto"/>
              <w:rPr>
                <w:rFonts w:ascii="Arial Narrow" w:eastAsia="MS Gothic" w:hAnsi="Arial Narrow" w:cs="Arial"/>
                <w:i/>
                <w:sz w:val="20"/>
                <w:szCs w:val="20"/>
                <w:lang w:eastAsia="en-US" w:bidi="en-US"/>
              </w:rPr>
            </w:pPr>
            <w:r w:rsidRPr="00AA6BD3">
              <w:rPr>
                <w:rFonts w:ascii="Arial Narrow" w:eastAsia="MS Gothic" w:hAnsi="Arial Narrow" w:cs="Arial"/>
                <w:i/>
                <w:sz w:val="20"/>
                <w:szCs w:val="20"/>
                <w:lang w:eastAsia="en-US" w:bidi="en-US"/>
              </w:rPr>
              <w:t>If treatment with either bortezomib or lenalidomide is contraindicated according to the relevant TGA-approved Product Information</w:t>
            </w:r>
            <w:r>
              <w:rPr>
                <w:rFonts w:ascii="Arial Narrow" w:eastAsia="MS Gothic" w:hAnsi="Arial Narrow" w:cs="Arial"/>
                <w:i/>
                <w:sz w:val="20"/>
                <w:szCs w:val="20"/>
                <w:lang w:eastAsia="en-US" w:bidi="en-US"/>
              </w:rPr>
              <w:t>,</w:t>
            </w:r>
            <w:r w:rsidRPr="00AA6BD3">
              <w:rPr>
                <w:rFonts w:ascii="Arial Narrow" w:eastAsia="MS Gothic" w:hAnsi="Arial Narrow" w:cs="Arial"/>
                <w:i/>
                <w:sz w:val="20"/>
                <w:szCs w:val="20"/>
                <w:lang w:eastAsia="en-US" w:bidi="en-US"/>
              </w:rPr>
              <w:t xml:space="preserve"> </w:t>
            </w:r>
            <w:r>
              <w:rPr>
                <w:rFonts w:ascii="Arial Narrow" w:eastAsia="MS Gothic" w:hAnsi="Arial Narrow" w:cs="Arial"/>
                <w:i/>
                <w:sz w:val="20"/>
                <w:szCs w:val="20"/>
                <w:lang w:eastAsia="en-US" w:bidi="en-US"/>
              </w:rPr>
              <w:t>t</w:t>
            </w:r>
            <w:r w:rsidRPr="00AA6BD3">
              <w:rPr>
                <w:rFonts w:ascii="Arial Narrow" w:eastAsia="MS Gothic" w:hAnsi="Arial Narrow" w:cs="Arial"/>
                <w:i/>
                <w:sz w:val="20"/>
                <w:szCs w:val="20"/>
                <w:lang w:eastAsia="en-US" w:bidi="en-US"/>
              </w:rPr>
              <w:t xml:space="preserve">he application must provide details of the contraindication. </w:t>
            </w:r>
          </w:p>
          <w:p w:rsidR="00B74932" w:rsidRPr="00AA6BD3" w:rsidRDefault="00B74932" w:rsidP="0066373C">
            <w:pPr>
              <w:keepLines/>
              <w:spacing w:after="200" w:line="276" w:lineRule="auto"/>
              <w:rPr>
                <w:rFonts w:ascii="Arial Narrow" w:eastAsia="MS Gothic" w:hAnsi="Arial Narrow" w:cs="Arial"/>
                <w:i/>
                <w:sz w:val="20"/>
                <w:szCs w:val="20"/>
                <w:lang w:eastAsia="en-US" w:bidi="en-US"/>
              </w:rPr>
            </w:pPr>
            <w:r w:rsidRPr="00AA6BD3">
              <w:rPr>
                <w:rFonts w:ascii="Arial Narrow" w:eastAsia="MS Gothic" w:hAnsi="Arial Narrow" w:cs="Arial"/>
                <w:i/>
                <w:sz w:val="20"/>
                <w:szCs w:val="20"/>
                <w:lang w:eastAsia="en-US" w:bidi="en-US"/>
              </w:rPr>
              <w:t xml:space="preserve">If intolerance to either bortezomib or lenalidomide treatment develops during the relevant period of use which is of a severity to necessitate withdrawal of the treatment, the application must provide details of the nature and severity of this intolerance. </w:t>
            </w:r>
          </w:p>
          <w:p w:rsidR="00B74932" w:rsidRPr="00260CE3" w:rsidRDefault="00B74932" w:rsidP="0066373C">
            <w:pPr>
              <w:spacing w:before="40" w:after="40"/>
              <w:rPr>
                <w:rFonts w:ascii="Arial Narrow" w:hAnsi="Arial Narrow" w:cs="Arial"/>
                <w:sz w:val="20"/>
                <w:szCs w:val="20"/>
              </w:rPr>
            </w:pPr>
            <w:r w:rsidRPr="00AA6BD3">
              <w:rPr>
                <w:rFonts w:ascii="Arial Narrow" w:eastAsia="MS Gothic" w:hAnsi="Arial Narrow" w:cs="Arial"/>
                <w:sz w:val="20"/>
                <w:szCs w:val="20"/>
                <w:lang w:eastAsia="en-US" w:bidi="en-US"/>
              </w:rPr>
              <w:t>Progressive disease defined as per existing restriction (no changes proposed)</w:t>
            </w:r>
          </w:p>
        </w:tc>
      </w:tr>
      <w:tr w:rsidR="00B74932" w:rsidRPr="00260CE3" w:rsidTr="00B74932">
        <w:trPr>
          <w:cantSplit/>
          <w:trHeight w:val="360"/>
        </w:trPr>
        <w:tc>
          <w:tcPr>
            <w:tcW w:w="1046" w:type="pct"/>
            <w:tcBorders>
              <w:top w:val="single" w:sz="4" w:space="0" w:color="auto"/>
              <w:left w:val="single" w:sz="4" w:space="0" w:color="auto"/>
              <w:bottom w:val="single" w:sz="4" w:space="0" w:color="auto"/>
              <w:right w:val="single" w:sz="4" w:space="0" w:color="auto"/>
            </w:tcBorders>
          </w:tcPr>
          <w:p w:rsidR="00B74932" w:rsidRPr="00F83E17" w:rsidRDefault="00B74932" w:rsidP="0066373C">
            <w:pPr>
              <w:spacing w:before="40" w:after="40"/>
              <w:jc w:val="both"/>
              <w:rPr>
                <w:rFonts w:ascii="Arial Narrow" w:hAnsi="Arial Narrow" w:cs="Arial"/>
                <w:b/>
                <w:sz w:val="20"/>
                <w:szCs w:val="20"/>
              </w:rPr>
            </w:pPr>
            <w:r w:rsidRPr="00260CE3">
              <w:rPr>
                <w:rFonts w:ascii="Arial Narrow" w:hAnsi="Arial Narrow" w:cs="Arial"/>
                <w:b/>
                <w:sz w:val="20"/>
                <w:szCs w:val="20"/>
              </w:rPr>
              <w:t>Administrative Advice</w:t>
            </w:r>
          </w:p>
        </w:tc>
        <w:tc>
          <w:tcPr>
            <w:tcW w:w="3954" w:type="pct"/>
            <w:gridSpan w:val="7"/>
            <w:tcBorders>
              <w:top w:val="single" w:sz="4" w:space="0" w:color="auto"/>
              <w:left w:val="single" w:sz="4" w:space="0" w:color="auto"/>
              <w:bottom w:val="single" w:sz="4" w:space="0" w:color="auto"/>
              <w:right w:val="single" w:sz="4" w:space="0" w:color="auto"/>
            </w:tcBorders>
          </w:tcPr>
          <w:p w:rsidR="00B74932" w:rsidRPr="00260CE3" w:rsidRDefault="00B74932" w:rsidP="0066373C">
            <w:pPr>
              <w:spacing w:before="40" w:after="40"/>
              <w:rPr>
                <w:rFonts w:ascii="Arial Narrow" w:hAnsi="Arial Narrow" w:cs="Arial"/>
                <w:sz w:val="20"/>
                <w:szCs w:val="20"/>
              </w:rPr>
            </w:pPr>
            <w:r w:rsidRPr="005D74AF">
              <w:rPr>
                <w:rFonts w:ascii="Arial Narrow" w:hAnsi="Arial Narrow" w:cs="Arial"/>
                <w:sz w:val="20"/>
                <w:szCs w:val="20"/>
              </w:rPr>
              <w:t>As per existing restriction (no changes proposed)</w:t>
            </w:r>
          </w:p>
        </w:tc>
      </w:tr>
      <w:tr w:rsidR="00B74932" w:rsidRPr="00260CE3" w:rsidTr="00B74932">
        <w:trPr>
          <w:cantSplit/>
          <w:trHeight w:val="360"/>
        </w:trPr>
        <w:tc>
          <w:tcPr>
            <w:tcW w:w="1046" w:type="pct"/>
            <w:tcBorders>
              <w:top w:val="single" w:sz="4" w:space="0" w:color="auto"/>
              <w:left w:val="single" w:sz="4" w:space="0" w:color="auto"/>
              <w:bottom w:val="single" w:sz="4" w:space="0" w:color="auto"/>
              <w:right w:val="single" w:sz="4" w:space="0" w:color="auto"/>
            </w:tcBorders>
          </w:tcPr>
          <w:p w:rsidR="00B74932" w:rsidRPr="005D74AF" w:rsidRDefault="00B74932" w:rsidP="0066373C">
            <w:pPr>
              <w:spacing w:before="40" w:after="40"/>
              <w:jc w:val="both"/>
              <w:rPr>
                <w:rFonts w:ascii="Arial Narrow" w:hAnsi="Arial Narrow" w:cs="Arial"/>
                <w:b/>
                <w:sz w:val="20"/>
                <w:szCs w:val="20"/>
              </w:rPr>
            </w:pPr>
            <w:r w:rsidRPr="00260CE3">
              <w:rPr>
                <w:rFonts w:ascii="Arial Narrow" w:hAnsi="Arial Narrow" w:cs="Arial"/>
                <w:b/>
                <w:sz w:val="20"/>
                <w:szCs w:val="20"/>
              </w:rPr>
              <w:t>Cautions</w:t>
            </w:r>
          </w:p>
        </w:tc>
        <w:tc>
          <w:tcPr>
            <w:tcW w:w="3954" w:type="pct"/>
            <w:gridSpan w:val="7"/>
            <w:tcBorders>
              <w:top w:val="single" w:sz="4" w:space="0" w:color="auto"/>
              <w:left w:val="single" w:sz="4" w:space="0" w:color="auto"/>
              <w:bottom w:val="single" w:sz="4" w:space="0" w:color="auto"/>
              <w:right w:val="single" w:sz="4" w:space="0" w:color="auto"/>
            </w:tcBorders>
          </w:tcPr>
          <w:p w:rsidR="00B74932" w:rsidRPr="00260CE3" w:rsidRDefault="00B74932" w:rsidP="0066373C">
            <w:pPr>
              <w:spacing w:before="40" w:after="40"/>
              <w:rPr>
                <w:rFonts w:ascii="Arial Narrow" w:hAnsi="Arial Narrow" w:cs="Arial"/>
                <w:sz w:val="20"/>
                <w:szCs w:val="20"/>
              </w:rPr>
            </w:pPr>
            <w:r w:rsidRPr="005D74AF">
              <w:rPr>
                <w:rFonts w:ascii="Arial Narrow" w:hAnsi="Arial Narrow" w:cs="Arial"/>
                <w:sz w:val="20"/>
                <w:szCs w:val="20"/>
              </w:rPr>
              <w:t>As per existing restriction (no changes proposed)</w:t>
            </w:r>
          </w:p>
        </w:tc>
      </w:tr>
    </w:tbl>
    <w:p w:rsidR="004A20EB" w:rsidRPr="004A20EB" w:rsidRDefault="004A20EB" w:rsidP="004A20EB">
      <w:pPr>
        <w:pStyle w:val="ListParagraph"/>
        <w:widowControl/>
        <w:spacing w:after="120"/>
        <w:contextualSpacing w:val="0"/>
        <w:rPr>
          <w:rFonts w:asciiTheme="minorHAnsi" w:hAnsiTheme="minorHAnsi"/>
          <w:szCs w:val="22"/>
        </w:rPr>
      </w:pPr>
    </w:p>
    <w:p w:rsidR="00901FA7" w:rsidRPr="00901FA7" w:rsidRDefault="00901FA7" w:rsidP="00901FA7">
      <w:pPr>
        <w:pStyle w:val="PBACHeading1"/>
        <w:spacing w:before="240" w:after="120"/>
        <w:rPr>
          <w:rFonts w:asciiTheme="minorHAnsi" w:hAnsiTheme="minorHAnsi"/>
          <w:sz w:val="32"/>
        </w:rPr>
      </w:pPr>
      <w:r w:rsidRPr="00901FA7">
        <w:rPr>
          <w:rFonts w:asciiTheme="minorHAnsi" w:hAnsiTheme="minorHAnsi"/>
          <w:sz w:val="32"/>
        </w:rPr>
        <w:t>Context for Decision</w:t>
      </w:r>
    </w:p>
    <w:p w:rsidR="00901FA7" w:rsidRPr="00901FA7" w:rsidRDefault="00901FA7" w:rsidP="00901FA7">
      <w:pPr>
        <w:spacing w:before="120" w:after="120"/>
        <w:jc w:val="both"/>
        <w:rPr>
          <w:rFonts w:ascii="Calibri" w:eastAsia="Calibri" w:hAnsi="Calibri" w:cs="Arial"/>
          <w:szCs w:val="22"/>
          <w:lang w:eastAsia="en-US"/>
        </w:rPr>
      </w:pPr>
      <w:r w:rsidRPr="00901FA7">
        <w:rPr>
          <w:rFonts w:ascii="Calibri" w:eastAsia="Calibri" w:hAnsi="Calibr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01FA7" w:rsidRPr="00901FA7" w:rsidRDefault="00901FA7" w:rsidP="00901FA7">
      <w:pPr>
        <w:pStyle w:val="PBACHeading1"/>
        <w:spacing w:before="240" w:after="120"/>
        <w:rPr>
          <w:rFonts w:asciiTheme="minorHAnsi" w:hAnsiTheme="minorHAnsi"/>
          <w:sz w:val="32"/>
        </w:rPr>
      </w:pPr>
      <w:r w:rsidRPr="00901FA7">
        <w:rPr>
          <w:rFonts w:asciiTheme="minorHAnsi" w:hAnsiTheme="minorHAnsi"/>
          <w:sz w:val="32"/>
        </w:rPr>
        <w:t>Sponsor’s Comment</w:t>
      </w:r>
    </w:p>
    <w:p w:rsidR="00901FA7" w:rsidRPr="00901FA7" w:rsidRDefault="00901FA7" w:rsidP="00901FA7">
      <w:pPr>
        <w:spacing w:before="120" w:after="160"/>
        <w:jc w:val="both"/>
        <w:rPr>
          <w:rFonts w:ascii="Calibri" w:eastAsia="Calibri" w:hAnsi="Calibri" w:cs="Arial"/>
          <w:snapToGrid w:val="0"/>
          <w:szCs w:val="20"/>
          <w:lang w:eastAsia="en-US"/>
        </w:rPr>
      </w:pPr>
      <w:r w:rsidRPr="00901FA7">
        <w:rPr>
          <w:rFonts w:ascii="Calibri" w:eastAsia="Calibri" w:hAnsi="Calibri" w:cs="Arial"/>
          <w:snapToGrid w:val="0"/>
          <w:szCs w:val="20"/>
          <w:lang w:eastAsia="en-US"/>
        </w:rPr>
        <w:t>The sponsor had no comment.</w:t>
      </w:r>
    </w:p>
    <w:p w:rsidR="00F64CC1" w:rsidRPr="003C2FB5" w:rsidRDefault="00F64CC1" w:rsidP="00F646D2"/>
    <w:sectPr w:rsidR="00F64CC1" w:rsidRPr="003C2FB5" w:rsidSect="00D02271">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B39" w:rsidRDefault="00567B39">
      <w:r>
        <w:separator/>
      </w:r>
    </w:p>
    <w:p w:rsidR="00567B39" w:rsidRDefault="00567B39"/>
  </w:endnote>
  <w:endnote w:type="continuationSeparator" w:id="0">
    <w:p w:rsidR="00567B39" w:rsidRDefault="00567B39">
      <w:r>
        <w:continuationSeparator/>
      </w:r>
    </w:p>
    <w:p w:rsidR="00567B39" w:rsidRDefault="00567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E2BB4" w:rsidTr="005A3173">
      <w:trPr>
        <w:trHeight w:val="151"/>
      </w:trPr>
      <w:tc>
        <w:tcPr>
          <w:tcW w:w="2250" w:type="pct"/>
          <w:tcBorders>
            <w:top w:val="nil"/>
            <w:left w:val="nil"/>
            <w:bottom w:val="single" w:sz="4" w:space="0" w:color="4F81BD"/>
            <w:right w:val="nil"/>
          </w:tcBorders>
        </w:tcPr>
        <w:p w:rsidR="000E2BB4" w:rsidRPr="005A3173" w:rsidRDefault="000E2BB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E2BB4" w:rsidRPr="005A3173" w:rsidRDefault="000E2BB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E2BB4" w:rsidRPr="005A3173" w:rsidRDefault="000E2BB4" w:rsidP="005A3173">
          <w:pPr>
            <w:pStyle w:val="Header"/>
            <w:spacing w:line="276" w:lineRule="auto"/>
            <w:rPr>
              <w:rFonts w:ascii="Calibri" w:eastAsia="MS Gothic" w:hAnsi="Calibri"/>
              <w:b/>
              <w:bCs/>
              <w:color w:val="4F81BD"/>
            </w:rPr>
          </w:pPr>
        </w:p>
      </w:tc>
    </w:tr>
    <w:tr w:rsidR="000E2BB4" w:rsidTr="005A3173">
      <w:trPr>
        <w:trHeight w:val="150"/>
      </w:trPr>
      <w:tc>
        <w:tcPr>
          <w:tcW w:w="2250" w:type="pct"/>
          <w:tcBorders>
            <w:top w:val="single" w:sz="4" w:space="0" w:color="4F81BD"/>
            <w:left w:val="nil"/>
            <w:bottom w:val="nil"/>
            <w:right w:val="nil"/>
          </w:tcBorders>
        </w:tcPr>
        <w:p w:rsidR="000E2BB4" w:rsidRPr="005A3173" w:rsidRDefault="000E2BB4" w:rsidP="005A3173">
          <w:pPr>
            <w:pStyle w:val="Header"/>
            <w:spacing w:line="276" w:lineRule="auto"/>
            <w:rPr>
              <w:rFonts w:ascii="Calibri" w:eastAsia="MS Gothic" w:hAnsi="Calibri"/>
              <w:b/>
              <w:bCs/>
              <w:color w:val="4F81BD"/>
            </w:rPr>
          </w:pPr>
        </w:p>
      </w:tc>
      <w:tc>
        <w:tcPr>
          <w:tcW w:w="0" w:type="auto"/>
          <w:vMerge/>
          <w:vAlign w:val="center"/>
          <w:hideMark/>
        </w:tcPr>
        <w:p w:rsidR="000E2BB4" w:rsidRPr="005A3173" w:rsidRDefault="000E2BB4" w:rsidP="005A3173">
          <w:pPr>
            <w:rPr>
              <w:rFonts w:ascii="Calibri" w:hAnsi="Calibri"/>
              <w:color w:val="365F91"/>
              <w:sz w:val="22"/>
              <w:szCs w:val="22"/>
            </w:rPr>
          </w:pPr>
        </w:p>
      </w:tc>
      <w:tc>
        <w:tcPr>
          <w:tcW w:w="2250" w:type="pct"/>
          <w:tcBorders>
            <w:top w:val="single" w:sz="4" w:space="0" w:color="4F81BD"/>
            <w:left w:val="nil"/>
            <w:bottom w:val="nil"/>
            <w:right w:val="nil"/>
          </w:tcBorders>
        </w:tcPr>
        <w:p w:rsidR="000E2BB4" w:rsidRPr="005A3173" w:rsidRDefault="000E2BB4" w:rsidP="005A3173">
          <w:pPr>
            <w:pStyle w:val="Header"/>
            <w:spacing w:line="276" w:lineRule="auto"/>
            <w:rPr>
              <w:rFonts w:ascii="Calibri" w:eastAsia="MS Gothic" w:hAnsi="Calibri"/>
              <w:b/>
              <w:bCs/>
              <w:color w:val="4F81BD"/>
            </w:rPr>
          </w:pPr>
        </w:p>
      </w:tc>
    </w:tr>
  </w:tbl>
  <w:p w:rsidR="000E2BB4" w:rsidRDefault="000E2BB4"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2BB4" w:rsidRDefault="000E2BB4">
    <w:pPr>
      <w:pStyle w:val="Footer"/>
    </w:pPr>
  </w:p>
  <w:p w:rsidR="000E2BB4" w:rsidRDefault="000E2B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B4" w:rsidRDefault="000E2BB4" w:rsidP="00EF44A0">
    <w:pPr>
      <w:pStyle w:val="Footer"/>
      <w:jc w:val="center"/>
      <w:rPr>
        <w:rFonts w:ascii="Arial" w:hAnsi="Arial" w:cs="Arial"/>
        <w:b/>
        <w:sz w:val="20"/>
        <w:szCs w:val="20"/>
      </w:rPr>
    </w:pPr>
  </w:p>
  <w:p w:rsidR="000E2BB4" w:rsidRPr="005E1333" w:rsidRDefault="000E2BB4" w:rsidP="007B76AA">
    <w:pPr>
      <w:pStyle w:val="Footer"/>
      <w:jc w:val="center"/>
      <w:rPr>
        <w:rFonts w:asciiTheme="minorHAnsi" w:hAnsiTheme="minorHAnsi" w:cs="Arial"/>
        <w:b/>
        <w:szCs w:val="20"/>
      </w:rPr>
    </w:pPr>
    <w:r w:rsidRPr="00F90A91">
      <w:rPr>
        <w:rFonts w:ascii="Calibri" w:hAnsi="Calibri" w:cs="Arial"/>
        <w:b/>
        <w:sz w:val="20"/>
      </w:rPr>
      <w:fldChar w:fldCharType="begin"/>
    </w:r>
    <w:r w:rsidRPr="00F90A91">
      <w:rPr>
        <w:rFonts w:ascii="Calibri" w:hAnsi="Calibri" w:cs="Arial"/>
        <w:b/>
        <w:sz w:val="20"/>
      </w:rPr>
      <w:instrText xml:space="preserve"> PAGE   \* MERGEFORMAT </w:instrText>
    </w:r>
    <w:r w:rsidRPr="00F90A91">
      <w:rPr>
        <w:rFonts w:ascii="Calibri" w:hAnsi="Calibri" w:cs="Arial"/>
        <w:b/>
        <w:sz w:val="20"/>
      </w:rPr>
      <w:fldChar w:fldCharType="separate"/>
    </w:r>
    <w:r w:rsidR="00567B39">
      <w:rPr>
        <w:rFonts w:ascii="Calibri" w:hAnsi="Calibri" w:cs="Arial"/>
        <w:b/>
        <w:noProof/>
        <w:sz w:val="20"/>
      </w:rPr>
      <w:t>1</w:t>
    </w:r>
    <w:r w:rsidRPr="00F90A91">
      <w:rPr>
        <w:rFonts w:ascii="Calibri" w:hAnsi="Calibri" w:cs="Arial"/>
        <w:b/>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E2BB4" w:rsidTr="005A3173">
      <w:trPr>
        <w:trHeight w:val="151"/>
      </w:trPr>
      <w:tc>
        <w:tcPr>
          <w:tcW w:w="2250" w:type="pct"/>
          <w:tcBorders>
            <w:top w:val="nil"/>
            <w:left w:val="nil"/>
            <w:bottom w:val="single" w:sz="4" w:space="0" w:color="4F81BD"/>
            <w:right w:val="nil"/>
          </w:tcBorders>
        </w:tcPr>
        <w:p w:rsidR="000E2BB4" w:rsidRPr="005A3173" w:rsidRDefault="000E2BB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E2BB4" w:rsidRPr="005A3173" w:rsidRDefault="000E2BB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E2BB4" w:rsidRPr="005A3173" w:rsidRDefault="000E2BB4" w:rsidP="005A3173">
          <w:pPr>
            <w:pStyle w:val="Header"/>
            <w:spacing w:line="276" w:lineRule="auto"/>
            <w:rPr>
              <w:rFonts w:ascii="Calibri" w:eastAsia="MS Gothic" w:hAnsi="Calibri"/>
              <w:b/>
              <w:bCs/>
              <w:color w:val="4F81BD"/>
            </w:rPr>
          </w:pPr>
        </w:p>
      </w:tc>
    </w:tr>
    <w:tr w:rsidR="000E2BB4" w:rsidTr="005A3173">
      <w:trPr>
        <w:trHeight w:val="150"/>
      </w:trPr>
      <w:tc>
        <w:tcPr>
          <w:tcW w:w="2250" w:type="pct"/>
          <w:tcBorders>
            <w:top w:val="single" w:sz="4" w:space="0" w:color="4F81BD"/>
            <w:left w:val="nil"/>
            <w:bottom w:val="nil"/>
            <w:right w:val="nil"/>
          </w:tcBorders>
        </w:tcPr>
        <w:p w:rsidR="000E2BB4" w:rsidRPr="005A3173" w:rsidRDefault="000E2BB4" w:rsidP="005A3173">
          <w:pPr>
            <w:pStyle w:val="Header"/>
            <w:spacing w:line="276" w:lineRule="auto"/>
            <w:rPr>
              <w:rFonts w:ascii="Calibri" w:eastAsia="MS Gothic" w:hAnsi="Calibri"/>
              <w:b/>
              <w:bCs/>
              <w:color w:val="4F81BD"/>
            </w:rPr>
          </w:pPr>
        </w:p>
      </w:tc>
      <w:tc>
        <w:tcPr>
          <w:tcW w:w="0" w:type="auto"/>
          <w:vMerge/>
          <w:vAlign w:val="center"/>
          <w:hideMark/>
        </w:tcPr>
        <w:p w:rsidR="000E2BB4" w:rsidRPr="005A3173" w:rsidRDefault="000E2BB4" w:rsidP="005A3173">
          <w:pPr>
            <w:rPr>
              <w:rFonts w:ascii="Calibri" w:hAnsi="Calibri"/>
              <w:color w:val="365F91"/>
              <w:sz w:val="22"/>
              <w:szCs w:val="22"/>
            </w:rPr>
          </w:pPr>
        </w:p>
      </w:tc>
      <w:tc>
        <w:tcPr>
          <w:tcW w:w="2250" w:type="pct"/>
          <w:tcBorders>
            <w:top w:val="single" w:sz="4" w:space="0" w:color="4F81BD"/>
            <w:left w:val="nil"/>
            <w:bottom w:val="nil"/>
            <w:right w:val="nil"/>
          </w:tcBorders>
        </w:tcPr>
        <w:p w:rsidR="000E2BB4" w:rsidRPr="005A3173" w:rsidRDefault="000E2BB4"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E2BB4" w:rsidTr="005A3173">
      <w:trPr>
        <w:trHeight w:val="151"/>
      </w:trPr>
      <w:tc>
        <w:tcPr>
          <w:tcW w:w="2250" w:type="pct"/>
          <w:tcBorders>
            <w:top w:val="nil"/>
            <w:left w:val="nil"/>
            <w:bottom w:val="single" w:sz="4" w:space="0" w:color="4F81BD"/>
            <w:right w:val="nil"/>
          </w:tcBorders>
        </w:tcPr>
        <w:p w:rsidR="000E2BB4" w:rsidRPr="005A3173" w:rsidRDefault="000E2BB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E2BB4" w:rsidRPr="005A3173" w:rsidRDefault="000E2BB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E2BB4" w:rsidRPr="005A3173" w:rsidRDefault="000E2BB4" w:rsidP="005A3173">
          <w:pPr>
            <w:pStyle w:val="Header"/>
            <w:spacing w:line="276" w:lineRule="auto"/>
            <w:rPr>
              <w:rFonts w:ascii="Calibri" w:eastAsia="MS Gothic" w:hAnsi="Calibri"/>
              <w:b/>
              <w:bCs/>
              <w:color w:val="4F81BD"/>
            </w:rPr>
          </w:pPr>
        </w:p>
      </w:tc>
    </w:tr>
    <w:tr w:rsidR="000E2BB4" w:rsidTr="005A3173">
      <w:trPr>
        <w:trHeight w:val="150"/>
      </w:trPr>
      <w:tc>
        <w:tcPr>
          <w:tcW w:w="2250" w:type="pct"/>
          <w:tcBorders>
            <w:top w:val="single" w:sz="4" w:space="0" w:color="4F81BD"/>
            <w:left w:val="nil"/>
            <w:bottom w:val="nil"/>
            <w:right w:val="nil"/>
          </w:tcBorders>
        </w:tcPr>
        <w:p w:rsidR="000E2BB4" w:rsidRPr="005A3173" w:rsidRDefault="000E2BB4" w:rsidP="005A3173">
          <w:pPr>
            <w:pStyle w:val="Header"/>
            <w:spacing w:line="276" w:lineRule="auto"/>
            <w:rPr>
              <w:rFonts w:ascii="Calibri" w:eastAsia="MS Gothic" w:hAnsi="Calibri"/>
              <w:b/>
              <w:bCs/>
              <w:color w:val="4F81BD"/>
            </w:rPr>
          </w:pPr>
        </w:p>
      </w:tc>
      <w:tc>
        <w:tcPr>
          <w:tcW w:w="0" w:type="auto"/>
          <w:vMerge/>
          <w:vAlign w:val="center"/>
          <w:hideMark/>
        </w:tcPr>
        <w:p w:rsidR="000E2BB4" w:rsidRPr="005A3173" w:rsidRDefault="000E2BB4" w:rsidP="005A3173">
          <w:pPr>
            <w:rPr>
              <w:rFonts w:ascii="Calibri" w:hAnsi="Calibri"/>
              <w:color w:val="365F91"/>
              <w:sz w:val="22"/>
              <w:szCs w:val="22"/>
            </w:rPr>
          </w:pPr>
        </w:p>
      </w:tc>
      <w:tc>
        <w:tcPr>
          <w:tcW w:w="2250" w:type="pct"/>
          <w:tcBorders>
            <w:top w:val="single" w:sz="4" w:space="0" w:color="4F81BD"/>
            <w:left w:val="nil"/>
            <w:bottom w:val="nil"/>
            <w:right w:val="nil"/>
          </w:tcBorders>
        </w:tcPr>
        <w:p w:rsidR="000E2BB4" w:rsidRPr="005A3173" w:rsidRDefault="000E2BB4" w:rsidP="005A3173">
          <w:pPr>
            <w:pStyle w:val="Header"/>
            <w:spacing w:line="276" w:lineRule="auto"/>
            <w:rPr>
              <w:rFonts w:ascii="Calibri" w:eastAsia="MS Gothic" w:hAnsi="Calibri"/>
              <w:b/>
              <w:bCs/>
              <w:color w:val="4F81BD"/>
            </w:rPr>
          </w:pPr>
        </w:p>
      </w:tc>
    </w:tr>
  </w:tbl>
  <w:p w:rsidR="000E2BB4" w:rsidRPr="007C0F57" w:rsidRDefault="000E2BB4"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E2BB4" w:rsidRPr="007C0F57" w:rsidRDefault="000E2BB4" w:rsidP="007C0F57">
    <w:pPr>
      <w:pStyle w:val="Footer"/>
      <w:jc w:val="center"/>
      <w:rPr>
        <w:b/>
        <w:i/>
        <w:sz w:val="20"/>
        <w:szCs w:val="20"/>
      </w:rPr>
    </w:pPr>
    <w:r w:rsidRPr="007C0F57">
      <w:rPr>
        <w:b/>
        <w:i/>
        <w:sz w:val="20"/>
        <w:szCs w:val="20"/>
      </w:rPr>
      <w:t>Commercial-in-Confidence</w:t>
    </w:r>
  </w:p>
  <w:p w:rsidR="000E2BB4" w:rsidRDefault="000E2B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B39" w:rsidRDefault="00567B39">
      <w:r>
        <w:separator/>
      </w:r>
    </w:p>
    <w:p w:rsidR="00567B39" w:rsidRDefault="00567B39"/>
  </w:footnote>
  <w:footnote w:type="continuationSeparator" w:id="0">
    <w:p w:rsidR="00567B39" w:rsidRDefault="00567B39">
      <w:r>
        <w:continuationSeparator/>
      </w:r>
    </w:p>
    <w:p w:rsidR="00567B39" w:rsidRDefault="00567B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E2BB4" w:rsidRPr="008E0D90" w:rsidTr="00A06225">
      <w:trPr>
        <w:trHeight w:val="151"/>
      </w:trPr>
      <w:tc>
        <w:tcPr>
          <w:tcW w:w="2389" w:type="pct"/>
          <w:tcBorders>
            <w:top w:val="nil"/>
            <w:left w:val="nil"/>
            <w:bottom w:val="single" w:sz="4" w:space="0" w:color="4F81BD"/>
            <w:right w:val="nil"/>
          </w:tcBorders>
        </w:tcPr>
        <w:p w:rsidR="000E2BB4" w:rsidRPr="00A06225" w:rsidRDefault="000E2BB4">
          <w:pPr>
            <w:pStyle w:val="Header"/>
            <w:spacing w:line="276" w:lineRule="auto"/>
            <w:rPr>
              <w:rFonts w:ascii="Cambria" w:eastAsia="MS Gothic" w:hAnsi="Cambria"/>
              <w:b/>
              <w:bCs/>
              <w:color w:val="4F81BD"/>
            </w:rPr>
          </w:pPr>
        </w:p>
      </w:tc>
      <w:tc>
        <w:tcPr>
          <w:tcW w:w="333" w:type="pct"/>
          <w:vMerge w:val="restart"/>
          <w:noWrap/>
          <w:vAlign w:val="center"/>
          <w:hideMark/>
        </w:tcPr>
        <w:p w:rsidR="000E2BB4" w:rsidRPr="00A06225" w:rsidRDefault="000E2BB4"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E2BB4" w:rsidRPr="00A06225" w:rsidRDefault="000E2BB4">
          <w:pPr>
            <w:pStyle w:val="Header"/>
            <w:spacing w:line="276" w:lineRule="auto"/>
            <w:rPr>
              <w:rFonts w:ascii="Cambria" w:eastAsia="MS Gothic" w:hAnsi="Cambria"/>
              <w:b/>
              <w:bCs/>
              <w:color w:val="4F81BD"/>
            </w:rPr>
          </w:pPr>
        </w:p>
      </w:tc>
    </w:tr>
    <w:tr w:rsidR="000E2BB4" w:rsidRPr="008E0D90" w:rsidTr="00A06225">
      <w:trPr>
        <w:trHeight w:val="150"/>
      </w:trPr>
      <w:tc>
        <w:tcPr>
          <w:tcW w:w="2389" w:type="pct"/>
          <w:tcBorders>
            <w:top w:val="single" w:sz="4" w:space="0" w:color="4F81BD"/>
            <w:left w:val="nil"/>
            <w:bottom w:val="nil"/>
            <w:right w:val="nil"/>
          </w:tcBorders>
        </w:tcPr>
        <w:p w:rsidR="000E2BB4" w:rsidRPr="00A06225" w:rsidRDefault="000E2BB4">
          <w:pPr>
            <w:pStyle w:val="Header"/>
            <w:spacing w:line="276" w:lineRule="auto"/>
            <w:rPr>
              <w:rFonts w:ascii="Cambria" w:eastAsia="MS Gothic" w:hAnsi="Cambria"/>
              <w:b/>
              <w:bCs/>
              <w:color w:val="4F81BD"/>
            </w:rPr>
          </w:pPr>
        </w:p>
      </w:tc>
      <w:tc>
        <w:tcPr>
          <w:tcW w:w="0" w:type="auto"/>
          <w:vMerge/>
          <w:vAlign w:val="center"/>
          <w:hideMark/>
        </w:tcPr>
        <w:p w:rsidR="000E2BB4" w:rsidRPr="00A06225" w:rsidRDefault="000E2BB4">
          <w:pPr>
            <w:rPr>
              <w:rFonts w:ascii="Cambria" w:hAnsi="Cambria"/>
              <w:color w:val="4F81BD"/>
              <w:sz w:val="22"/>
              <w:szCs w:val="22"/>
            </w:rPr>
          </w:pPr>
        </w:p>
      </w:tc>
      <w:tc>
        <w:tcPr>
          <w:tcW w:w="2278" w:type="pct"/>
          <w:tcBorders>
            <w:top w:val="single" w:sz="4" w:space="0" w:color="4F81BD"/>
            <w:left w:val="nil"/>
            <w:bottom w:val="nil"/>
            <w:right w:val="nil"/>
          </w:tcBorders>
        </w:tcPr>
        <w:p w:rsidR="000E2BB4" w:rsidRPr="00A06225" w:rsidRDefault="000E2BB4">
          <w:pPr>
            <w:pStyle w:val="Header"/>
            <w:spacing w:line="276" w:lineRule="auto"/>
            <w:rPr>
              <w:rFonts w:ascii="Cambria" w:eastAsia="MS Gothic" w:hAnsi="Cambria"/>
              <w:b/>
              <w:bCs/>
              <w:color w:val="4F81BD"/>
            </w:rPr>
          </w:pPr>
        </w:p>
      </w:tc>
    </w:tr>
  </w:tbl>
  <w:p w:rsidR="000E2BB4" w:rsidRDefault="000E2BB4">
    <w:pPr>
      <w:pStyle w:val="Header"/>
    </w:pPr>
  </w:p>
  <w:p w:rsidR="000E2BB4" w:rsidRDefault="000E2BB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B4" w:rsidRPr="00D02271" w:rsidRDefault="000E2BB4" w:rsidP="00D57489">
    <w:pPr>
      <w:tabs>
        <w:tab w:val="center" w:pos="4153"/>
        <w:tab w:val="right" w:pos="8306"/>
      </w:tabs>
      <w:ind w:left="357"/>
      <w:jc w:val="center"/>
      <w:rPr>
        <w:rFonts w:asciiTheme="minorHAnsi" w:hAnsiTheme="minorHAnsi" w:cs="Arial"/>
        <w:i/>
        <w:color w:val="808080"/>
        <w:lang w:eastAsia="en-US"/>
      </w:rPr>
    </w:pPr>
    <w:r w:rsidRPr="00D02271">
      <w:rPr>
        <w:rFonts w:asciiTheme="minorHAnsi" w:hAnsiTheme="minorHAnsi" w:cs="Arial"/>
        <w:i/>
        <w:color w:val="808080"/>
        <w:lang w:eastAsia="en-US"/>
      </w:rPr>
      <w:t>Public Summary Document– November 2017 PBAC Meeting</w:t>
    </w:r>
  </w:p>
  <w:p w:rsidR="000E2BB4" w:rsidRPr="00D57489" w:rsidRDefault="000E2BB4" w:rsidP="00D57489">
    <w:pPr>
      <w:tabs>
        <w:tab w:val="center" w:pos="4153"/>
        <w:tab w:val="right" w:pos="8306"/>
      </w:tabs>
      <w:ind w:left="357"/>
      <w:jc w:val="center"/>
      <w:rPr>
        <w:rFonts w:asciiTheme="minorHAnsi" w:hAnsiTheme="minorHAnsi" w:cs="Arial"/>
        <w:i/>
        <w:color w:val="808080"/>
        <w:sz w:val="22"/>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B39" w:rsidRDefault="00567B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C2C3525"/>
    <w:multiLevelType w:val="hybridMultilevel"/>
    <w:tmpl w:val="23DCF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22C304A"/>
    <w:multiLevelType w:val="hybridMultilevel"/>
    <w:tmpl w:val="EE16595C"/>
    <w:lvl w:ilvl="0" w:tplc="B1C8F32E">
      <w:start w:val="1"/>
      <w:numFmt w:val="lowerLetter"/>
      <w:lvlText w:val="%1)"/>
      <w:lvlJc w:val="left"/>
      <w:pPr>
        <w:ind w:left="1069"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D143C9"/>
    <w:multiLevelType w:val="hybridMultilevel"/>
    <w:tmpl w:val="936E45C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40B2C0F"/>
    <w:multiLevelType w:val="hybridMultilevel"/>
    <w:tmpl w:val="E32EE46E"/>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8">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7530505"/>
    <w:multiLevelType w:val="hybridMultilevel"/>
    <w:tmpl w:val="7E18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4D033C"/>
    <w:multiLevelType w:val="multilevel"/>
    <w:tmpl w:val="CB18CAF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7"/>
  </w:num>
  <w:num w:numId="4">
    <w:abstractNumId w:val="18"/>
  </w:num>
  <w:num w:numId="5">
    <w:abstractNumId w:val="21"/>
  </w:num>
  <w:num w:numId="6">
    <w:abstractNumId w:val="8"/>
  </w:num>
  <w:num w:numId="7">
    <w:abstractNumId w:val="16"/>
  </w:num>
  <w:num w:numId="8">
    <w:abstractNumId w:val="4"/>
  </w:num>
  <w:num w:numId="9">
    <w:abstractNumId w:val="14"/>
  </w:num>
  <w:num w:numId="10">
    <w:abstractNumId w:val="13"/>
  </w:num>
  <w:num w:numId="11">
    <w:abstractNumId w:val="12"/>
  </w:num>
  <w:num w:numId="12">
    <w:abstractNumId w:val="1"/>
  </w:num>
  <w:num w:numId="13">
    <w:abstractNumId w:val="0"/>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7"/>
  </w:num>
  <w:num w:numId="18">
    <w:abstractNumId w:val="20"/>
  </w:num>
  <w:num w:numId="19">
    <w:abstractNumId w:val="6"/>
  </w:num>
  <w:num w:numId="20">
    <w:abstractNumId w:val="10"/>
  </w:num>
  <w:num w:numId="21">
    <w:abstractNumId w:val="19"/>
  </w:num>
  <w:num w:numId="22">
    <w:abstractNumId w:val="5"/>
  </w:num>
  <w:num w:numId="23">
    <w:abstractNumId w:val="2"/>
  </w:num>
  <w:num w:numId="24">
    <w:abstractNumId w:val="11"/>
  </w:num>
  <w:num w:numId="25">
    <w:abstractNumId w:val="21"/>
  </w:num>
  <w:num w:numId="26">
    <w:abstractNumId w:val="21"/>
  </w:num>
  <w:num w:numId="27">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1EA3"/>
    <w:rsid w:val="000025AD"/>
    <w:rsid w:val="0000335D"/>
    <w:rsid w:val="00013F8B"/>
    <w:rsid w:val="000142EB"/>
    <w:rsid w:val="0002464A"/>
    <w:rsid w:val="0003106B"/>
    <w:rsid w:val="000421A1"/>
    <w:rsid w:val="0004240E"/>
    <w:rsid w:val="00045E26"/>
    <w:rsid w:val="000467BF"/>
    <w:rsid w:val="000514B5"/>
    <w:rsid w:val="00052132"/>
    <w:rsid w:val="00060E64"/>
    <w:rsid w:val="00061B0D"/>
    <w:rsid w:val="00066755"/>
    <w:rsid w:val="000760CA"/>
    <w:rsid w:val="00077143"/>
    <w:rsid w:val="00080346"/>
    <w:rsid w:val="00080BC8"/>
    <w:rsid w:val="00082087"/>
    <w:rsid w:val="00082169"/>
    <w:rsid w:val="000855AD"/>
    <w:rsid w:val="000964A0"/>
    <w:rsid w:val="000969AD"/>
    <w:rsid w:val="000B02B0"/>
    <w:rsid w:val="000B558D"/>
    <w:rsid w:val="000B7B9C"/>
    <w:rsid w:val="000B7CD0"/>
    <w:rsid w:val="000C1C37"/>
    <w:rsid w:val="000C6996"/>
    <w:rsid w:val="000D1B8E"/>
    <w:rsid w:val="000D23BA"/>
    <w:rsid w:val="000E2BB4"/>
    <w:rsid w:val="000E681E"/>
    <w:rsid w:val="000F0003"/>
    <w:rsid w:val="000F4E6A"/>
    <w:rsid w:val="001003A7"/>
    <w:rsid w:val="00104227"/>
    <w:rsid w:val="001074DD"/>
    <w:rsid w:val="001107BF"/>
    <w:rsid w:val="001166A5"/>
    <w:rsid w:val="0012417C"/>
    <w:rsid w:val="001352F1"/>
    <w:rsid w:val="00142395"/>
    <w:rsid w:val="00142714"/>
    <w:rsid w:val="0014323F"/>
    <w:rsid w:val="001452ED"/>
    <w:rsid w:val="00147BE0"/>
    <w:rsid w:val="001576E6"/>
    <w:rsid w:val="00163329"/>
    <w:rsid w:val="00164623"/>
    <w:rsid w:val="001656B3"/>
    <w:rsid w:val="00165B64"/>
    <w:rsid w:val="00166128"/>
    <w:rsid w:val="00176ADB"/>
    <w:rsid w:val="00181886"/>
    <w:rsid w:val="001830CE"/>
    <w:rsid w:val="001831C4"/>
    <w:rsid w:val="0018589D"/>
    <w:rsid w:val="0018643B"/>
    <w:rsid w:val="00196307"/>
    <w:rsid w:val="001A33EA"/>
    <w:rsid w:val="001B017F"/>
    <w:rsid w:val="001B2BBC"/>
    <w:rsid w:val="001B5090"/>
    <w:rsid w:val="001B5129"/>
    <w:rsid w:val="001C0061"/>
    <w:rsid w:val="001C1195"/>
    <w:rsid w:val="001F1850"/>
    <w:rsid w:val="0020315C"/>
    <w:rsid w:val="00203FAC"/>
    <w:rsid w:val="00213CFB"/>
    <w:rsid w:val="00217BE1"/>
    <w:rsid w:val="00220E5B"/>
    <w:rsid w:val="00221794"/>
    <w:rsid w:val="00232D64"/>
    <w:rsid w:val="00254563"/>
    <w:rsid w:val="002624BF"/>
    <w:rsid w:val="00264040"/>
    <w:rsid w:val="00271BA1"/>
    <w:rsid w:val="002762FA"/>
    <w:rsid w:val="00277505"/>
    <w:rsid w:val="0029458F"/>
    <w:rsid w:val="00295C27"/>
    <w:rsid w:val="002A104C"/>
    <w:rsid w:val="002A4960"/>
    <w:rsid w:val="002B15C8"/>
    <w:rsid w:val="002B1AE6"/>
    <w:rsid w:val="002B2DE8"/>
    <w:rsid w:val="002B30F8"/>
    <w:rsid w:val="002B5596"/>
    <w:rsid w:val="002C212F"/>
    <w:rsid w:val="002C21E1"/>
    <w:rsid w:val="002D1048"/>
    <w:rsid w:val="002D4543"/>
    <w:rsid w:val="002E3153"/>
    <w:rsid w:val="002E4622"/>
    <w:rsid w:val="002E72CA"/>
    <w:rsid w:val="002F2263"/>
    <w:rsid w:val="002F4453"/>
    <w:rsid w:val="003004B5"/>
    <w:rsid w:val="00300AD6"/>
    <w:rsid w:val="00301B40"/>
    <w:rsid w:val="00315593"/>
    <w:rsid w:val="00315DD3"/>
    <w:rsid w:val="00317C6C"/>
    <w:rsid w:val="003203F3"/>
    <w:rsid w:val="00326E79"/>
    <w:rsid w:val="00327C69"/>
    <w:rsid w:val="003334D7"/>
    <w:rsid w:val="0033518A"/>
    <w:rsid w:val="003367EF"/>
    <w:rsid w:val="00341AE4"/>
    <w:rsid w:val="00344315"/>
    <w:rsid w:val="003449A6"/>
    <w:rsid w:val="003477BA"/>
    <w:rsid w:val="003519BA"/>
    <w:rsid w:val="00367282"/>
    <w:rsid w:val="00382DB8"/>
    <w:rsid w:val="003872CF"/>
    <w:rsid w:val="00390735"/>
    <w:rsid w:val="00391DA1"/>
    <w:rsid w:val="00391ECF"/>
    <w:rsid w:val="00396884"/>
    <w:rsid w:val="003977E7"/>
    <w:rsid w:val="0039782C"/>
    <w:rsid w:val="003A5B4A"/>
    <w:rsid w:val="003B23C5"/>
    <w:rsid w:val="003B2A75"/>
    <w:rsid w:val="003B4808"/>
    <w:rsid w:val="003B6124"/>
    <w:rsid w:val="003C2FB5"/>
    <w:rsid w:val="003C386D"/>
    <w:rsid w:val="003C76CD"/>
    <w:rsid w:val="003D4AC4"/>
    <w:rsid w:val="003D63B7"/>
    <w:rsid w:val="003E301B"/>
    <w:rsid w:val="003E468B"/>
    <w:rsid w:val="003E5538"/>
    <w:rsid w:val="003F3228"/>
    <w:rsid w:val="003F5C8C"/>
    <w:rsid w:val="00404B83"/>
    <w:rsid w:val="00407CD8"/>
    <w:rsid w:val="00410BA6"/>
    <w:rsid w:val="00414031"/>
    <w:rsid w:val="004252EC"/>
    <w:rsid w:val="004327D1"/>
    <w:rsid w:val="004418B9"/>
    <w:rsid w:val="004465BD"/>
    <w:rsid w:val="00446F5A"/>
    <w:rsid w:val="00454315"/>
    <w:rsid w:val="00457F3D"/>
    <w:rsid w:val="00466ADA"/>
    <w:rsid w:val="00470689"/>
    <w:rsid w:val="0047081C"/>
    <w:rsid w:val="0047265B"/>
    <w:rsid w:val="00476245"/>
    <w:rsid w:val="0048057E"/>
    <w:rsid w:val="00483035"/>
    <w:rsid w:val="00485940"/>
    <w:rsid w:val="00495D11"/>
    <w:rsid w:val="004A20EB"/>
    <w:rsid w:val="004A2484"/>
    <w:rsid w:val="004A5A85"/>
    <w:rsid w:val="004A5D14"/>
    <w:rsid w:val="004A71D1"/>
    <w:rsid w:val="004B5640"/>
    <w:rsid w:val="004B580B"/>
    <w:rsid w:val="004C1BD7"/>
    <w:rsid w:val="004C31FE"/>
    <w:rsid w:val="004C5000"/>
    <w:rsid w:val="004C691D"/>
    <w:rsid w:val="004C6C07"/>
    <w:rsid w:val="004D1AF8"/>
    <w:rsid w:val="004D5114"/>
    <w:rsid w:val="004E026A"/>
    <w:rsid w:val="004E4CDF"/>
    <w:rsid w:val="004E692D"/>
    <w:rsid w:val="004F285E"/>
    <w:rsid w:val="004F3264"/>
    <w:rsid w:val="00501554"/>
    <w:rsid w:val="00504810"/>
    <w:rsid w:val="005100D3"/>
    <w:rsid w:val="0051257F"/>
    <w:rsid w:val="00514CD7"/>
    <w:rsid w:val="005169EF"/>
    <w:rsid w:val="00524F43"/>
    <w:rsid w:val="00526133"/>
    <w:rsid w:val="005319B2"/>
    <w:rsid w:val="00532402"/>
    <w:rsid w:val="00532C74"/>
    <w:rsid w:val="00534E2E"/>
    <w:rsid w:val="00544552"/>
    <w:rsid w:val="00561A42"/>
    <w:rsid w:val="0056637E"/>
    <w:rsid w:val="00567B39"/>
    <w:rsid w:val="00573917"/>
    <w:rsid w:val="00577C4D"/>
    <w:rsid w:val="00581932"/>
    <w:rsid w:val="0059083D"/>
    <w:rsid w:val="00592978"/>
    <w:rsid w:val="005957DF"/>
    <w:rsid w:val="005963BB"/>
    <w:rsid w:val="005A0279"/>
    <w:rsid w:val="005A3173"/>
    <w:rsid w:val="005A3223"/>
    <w:rsid w:val="005A3DA3"/>
    <w:rsid w:val="005A52C4"/>
    <w:rsid w:val="005A7EAB"/>
    <w:rsid w:val="005B1B4B"/>
    <w:rsid w:val="005D03AB"/>
    <w:rsid w:val="005D2027"/>
    <w:rsid w:val="005D5017"/>
    <w:rsid w:val="005D74AF"/>
    <w:rsid w:val="005D7BC1"/>
    <w:rsid w:val="005E0E3E"/>
    <w:rsid w:val="005E1333"/>
    <w:rsid w:val="005E7F76"/>
    <w:rsid w:val="005F635B"/>
    <w:rsid w:val="00601A91"/>
    <w:rsid w:val="00602BA3"/>
    <w:rsid w:val="00606AB3"/>
    <w:rsid w:val="00610F19"/>
    <w:rsid w:val="00612E34"/>
    <w:rsid w:val="00614159"/>
    <w:rsid w:val="0061545F"/>
    <w:rsid w:val="00617C00"/>
    <w:rsid w:val="00625FAD"/>
    <w:rsid w:val="006263BF"/>
    <w:rsid w:val="006273AD"/>
    <w:rsid w:val="0062748A"/>
    <w:rsid w:val="00630044"/>
    <w:rsid w:val="00630A2C"/>
    <w:rsid w:val="00633A60"/>
    <w:rsid w:val="00635282"/>
    <w:rsid w:val="00635A91"/>
    <w:rsid w:val="0063682E"/>
    <w:rsid w:val="00643535"/>
    <w:rsid w:val="006436CD"/>
    <w:rsid w:val="00651169"/>
    <w:rsid w:val="00653D69"/>
    <w:rsid w:val="00661F5F"/>
    <w:rsid w:val="0066373C"/>
    <w:rsid w:val="006670BE"/>
    <w:rsid w:val="00670A76"/>
    <w:rsid w:val="006711AA"/>
    <w:rsid w:val="00672B57"/>
    <w:rsid w:val="00675622"/>
    <w:rsid w:val="00684B82"/>
    <w:rsid w:val="006906DB"/>
    <w:rsid w:val="00691E6C"/>
    <w:rsid w:val="00696129"/>
    <w:rsid w:val="00697CF2"/>
    <w:rsid w:val="006A04DE"/>
    <w:rsid w:val="006A12A5"/>
    <w:rsid w:val="006A16B9"/>
    <w:rsid w:val="006A1D95"/>
    <w:rsid w:val="006A2FD7"/>
    <w:rsid w:val="006A3EB4"/>
    <w:rsid w:val="006B0D94"/>
    <w:rsid w:val="006B26DC"/>
    <w:rsid w:val="006B3D4E"/>
    <w:rsid w:val="006B485D"/>
    <w:rsid w:val="006B4B81"/>
    <w:rsid w:val="006C708E"/>
    <w:rsid w:val="006D39CF"/>
    <w:rsid w:val="006D3AD9"/>
    <w:rsid w:val="006D6EC7"/>
    <w:rsid w:val="006D73C5"/>
    <w:rsid w:val="006E715F"/>
    <w:rsid w:val="006F5125"/>
    <w:rsid w:val="006F71F7"/>
    <w:rsid w:val="00702B6F"/>
    <w:rsid w:val="00710099"/>
    <w:rsid w:val="0071340B"/>
    <w:rsid w:val="007174BB"/>
    <w:rsid w:val="0072025D"/>
    <w:rsid w:val="007217EE"/>
    <w:rsid w:val="007353D3"/>
    <w:rsid w:val="00741E48"/>
    <w:rsid w:val="0076420C"/>
    <w:rsid w:val="007753C2"/>
    <w:rsid w:val="007838B8"/>
    <w:rsid w:val="007910DB"/>
    <w:rsid w:val="00792353"/>
    <w:rsid w:val="007A3774"/>
    <w:rsid w:val="007A7C05"/>
    <w:rsid w:val="007B59B4"/>
    <w:rsid w:val="007B76AA"/>
    <w:rsid w:val="007C0F57"/>
    <w:rsid w:val="007C112B"/>
    <w:rsid w:val="007C40B6"/>
    <w:rsid w:val="007C729F"/>
    <w:rsid w:val="007D2E7B"/>
    <w:rsid w:val="007D7E72"/>
    <w:rsid w:val="007E1D28"/>
    <w:rsid w:val="007E378B"/>
    <w:rsid w:val="007E42B9"/>
    <w:rsid w:val="007F2641"/>
    <w:rsid w:val="007F7C36"/>
    <w:rsid w:val="00806796"/>
    <w:rsid w:val="008151D6"/>
    <w:rsid w:val="008168AB"/>
    <w:rsid w:val="00826F6D"/>
    <w:rsid w:val="008306F3"/>
    <w:rsid w:val="00834B97"/>
    <w:rsid w:val="00856DDD"/>
    <w:rsid w:val="00863E68"/>
    <w:rsid w:val="0087438A"/>
    <w:rsid w:val="008771DC"/>
    <w:rsid w:val="00877957"/>
    <w:rsid w:val="00882085"/>
    <w:rsid w:val="00883188"/>
    <w:rsid w:val="00883635"/>
    <w:rsid w:val="00896BE4"/>
    <w:rsid w:val="00897D58"/>
    <w:rsid w:val="00897F22"/>
    <w:rsid w:val="008A1956"/>
    <w:rsid w:val="008A4937"/>
    <w:rsid w:val="008A50F1"/>
    <w:rsid w:val="008B407F"/>
    <w:rsid w:val="008C5289"/>
    <w:rsid w:val="008C6D16"/>
    <w:rsid w:val="008D1953"/>
    <w:rsid w:val="008D1B5C"/>
    <w:rsid w:val="008D21CD"/>
    <w:rsid w:val="008D3C82"/>
    <w:rsid w:val="008D447E"/>
    <w:rsid w:val="008D7A41"/>
    <w:rsid w:val="008E3680"/>
    <w:rsid w:val="008E5870"/>
    <w:rsid w:val="008E5D23"/>
    <w:rsid w:val="008E7317"/>
    <w:rsid w:val="008F01B3"/>
    <w:rsid w:val="008F1434"/>
    <w:rsid w:val="008F2322"/>
    <w:rsid w:val="008F6EBA"/>
    <w:rsid w:val="008F7355"/>
    <w:rsid w:val="00901FA7"/>
    <w:rsid w:val="00904A93"/>
    <w:rsid w:val="009067B7"/>
    <w:rsid w:val="00906CEB"/>
    <w:rsid w:val="009123F6"/>
    <w:rsid w:val="00912F3B"/>
    <w:rsid w:val="0092245F"/>
    <w:rsid w:val="00930937"/>
    <w:rsid w:val="009321F2"/>
    <w:rsid w:val="00933E6C"/>
    <w:rsid w:val="00937958"/>
    <w:rsid w:val="00942160"/>
    <w:rsid w:val="00950BC2"/>
    <w:rsid w:val="0095146F"/>
    <w:rsid w:val="009602C5"/>
    <w:rsid w:val="00962223"/>
    <w:rsid w:val="00962990"/>
    <w:rsid w:val="009644CC"/>
    <w:rsid w:val="00966D0D"/>
    <w:rsid w:val="00974C21"/>
    <w:rsid w:val="00980BF3"/>
    <w:rsid w:val="009843FB"/>
    <w:rsid w:val="00996081"/>
    <w:rsid w:val="009B0328"/>
    <w:rsid w:val="009B0F67"/>
    <w:rsid w:val="009B3CD2"/>
    <w:rsid w:val="009B4C90"/>
    <w:rsid w:val="009B7FF9"/>
    <w:rsid w:val="009C2897"/>
    <w:rsid w:val="009C358D"/>
    <w:rsid w:val="009C703C"/>
    <w:rsid w:val="009D260E"/>
    <w:rsid w:val="009D3CAA"/>
    <w:rsid w:val="009D6044"/>
    <w:rsid w:val="009E5B46"/>
    <w:rsid w:val="009E63F7"/>
    <w:rsid w:val="009F4E46"/>
    <w:rsid w:val="009F5B65"/>
    <w:rsid w:val="009F5F2E"/>
    <w:rsid w:val="009F6A12"/>
    <w:rsid w:val="009F7CCE"/>
    <w:rsid w:val="00A001F0"/>
    <w:rsid w:val="00A03346"/>
    <w:rsid w:val="00A04427"/>
    <w:rsid w:val="00A06225"/>
    <w:rsid w:val="00A128E6"/>
    <w:rsid w:val="00A17D76"/>
    <w:rsid w:val="00A2078F"/>
    <w:rsid w:val="00A34E6C"/>
    <w:rsid w:val="00A35A10"/>
    <w:rsid w:val="00A37C8D"/>
    <w:rsid w:val="00A42681"/>
    <w:rsid w:val="00A433E4"/>
    <w:rsid w:val="00A477E0"/>
    <w:rsid w:val="00A5273B"/>
    <w:rsid w:val="00A53A9D"/>
    <w:rsid w:val="00A55FEE"/>
    <w:rsid w:val="00A62C1A"/>
    <w:rsid w:val="00A6426D"/>
    <w:rsid w:val="00A665C1"/>
    <w:rsid w:val="00A70622"/>
    <w:rsid w:val="00A70977"/>
    <w:rsid w:val="00A71FA3"/>
    <w:rsid w:val="00A77613"/>
    <w:rsid w:val="00A8390C"/>
    <w:rsid w:val="00A852FA"/>
    <w:rsid w:val="00A87687"/>
    <w:rsid w:val="00A905E5"/>
    <w:rsid w:val="00A90671"/>
    <w:rsid w:val="00A928BD"/>
    <w:rsid w:val="00AA4674"/>
    <w:rsid w:val="00AA4D1C"/>
    <w:rsid w:val="00AA6BD3"/>
    <w:rsid w:val="00AC193C"/>
    <w:rsid w:val="00AC5206"/>
    <w:rsid w:val="00AD17B1"/>
    <w:rsid w:val="00AD4210"/>
    <w:rsid w:val="00AD7D64"/>
    <w:rsid w:val="00AE11A5"/>
    <w:rsid w:val="00AE13E2"/>
    <w:rsid w:val="00AE22D3"/>
    <w:rsid w:val="00AE4038"/>
    <w:rsid w:val="00AF0151"/>
    <w:rsid w:val="00AF62DF"/>
    <w:rsid w:val="00AF68CC"/>
    <w:rsid w:val="00B05D23"/>
    <w:rsid w:val="00B1059E"/>
    <w:rsid w:val="00B176C8"/>
    <w:rsid w:val="00B205AA"/>
    <w:rsid w:val="00B22E84"/>
    <w:rsid w:val="00B24064"/>
    <w:rsid w:val="00B24082"/>
    <w:rsid w:val="00B242B4"/>
    <w:rsid w:val="00B25F75"/>
    <w:rsid w:val="00B26B3F"/>
    <w:rsid w:val="00B26C84"/>
    <w:rsid w:val="00B33987"/>
    <w:rsid w:val="00B43E90"/>
    <w:rsid w:val="00B467DC"/>
    <w:rsid w:val="00B54840"/>
    <w:rsid w:val="00B56118"/>
    <w:rsid w:val="00B56CC0"/>
    <w:rsid w:val="00B65617"/>
    <w:rsid w:val="00B6773F"/>
    <w:rsid w:val="00B74932"/>
    <w:rsid w:val="00B801BA"/>
    <w:rsid w:val="00B84CCE"/>
    <w:rsid w:val="00B84D5C"/>
    <w:rsid w:val="00B90B00"/>
    <w:rsid w:val="00B914A9"/>
    <w:rsid w:val="00BA63DF"/>
    <w:rsid w:val="00BB61D2"/>
    <w:rsid w:val="00BB69F5"/>
    <w:rsid w:val="00BB7EC3"/>
    <w:rsid w:val="00BC4B9A"/>
    <w:rsid w:val="00BD784C"/>
    <w:rsid w:val="00BE1E43"/>
    <w:rsid w:val="00BE5B88"/>
    <w:rsid w:val="00BE730A"/>
    <w:rsid w:val="00BF0901"/>
    <w:rsid w:val="00BF13AA"/>
    <w:rsid w:val="00BF3F94"/>
    <w:rsid w:val="00BF4CB6"/>
    <w:rsid w:val="00BF5DF7"/>
    <w:rsid w:val="00C00DA7"/>
    <w:rsid w:val="00C0300D"/>
    <w:rsid w:val="00C035D9"/>
    <w:rsid w:val="00C12768"/>
    <w:rsid w:val="00C15F62"/>
    <w:rsid w:val="00C22502"/>
    <w:rsid w:val="00C26BC9"/>
    <w:rsid w:val="00C27B58"/>
    <w:rsid w:val="00C34BDB"/>
    <w:rsid w:val="00C35716"/>
    <w:rsid w:val="00C35996"/>
    <w:rsid w:val="00C4747E"/>
    <w:rsid w:val="00C5342C"/>
    <w:rsid w:val="00C603D4"/>
    <w:rsid w:val="00C6256A"/>
    <w:rsid w:val="00C7213C"/>
    <w:rsid w:val="00C7439E"/>
    <w:rsid w:val="00C76E7B"/>
    <w:rsid w:val="00C77891"/>
    <w:rsid w:val="00C91449"/>
    <w:rsid w:val="00C920B4"/>
    <w:rsid w:val="00C92D10"/>
    <w:rsid w:val="00CA2EAC"/>
    <w:rsid w:val="00CB3346"/>
    <w:rsid w:val="00CB57B8"/>
    <w:rsid w:val="00CC369E"/>
    <w:rsid w:val="00CD1517"/>
    <w:rsid w:val="00CD40BA"/>
    <w:rsid w:val="00CE0AEF"/>
    <w:rsid w:val="00CE10C4"/>
    <w:rsid w:val="00CE27B5"/>
    <w:rsid w:val="00CF7379"/>
    <w:rsid w:val="00D02271"/>
    <w:rsid w:val="00D0321E"/>
    <w:rsid w:val="00D03AB7"/>
    <w:rsid w:val="00D110EA"/>
    <w:rsid w:val="00D12499"/>
    <w:rsid w:val="00D1455A"/>
    <w:rsid w:val="00D25FFB"/>
    <w:rsid w:val="00D31150"/>
    <w:rsid w:val="00D3138B"/>
    <w:rsid w:val="00D3280C"/>
    <w:rsid w:val="00D3406A"/>
    <w:rsid w:val="00D355CD"/>
    <w:rsid w:val="00D4034D"/>
    <w:rsid w:val="00D4572C"/>
    <w:rsid w:val="00D469B2"/>
    <w:rsid w:val="00D57489"/>
    <w:rsid w:val="00D6183D"/>
    <w:rsid w:val="00D706B1"/>
    <w:rsid w:val="00D741EB"/>
    <w:rsid w:val="00D75EF3"/>
    <w:rsid w:val="00D77A50"/>
    <w:rsid w:val="00D83605"/>
    <w:rsid w:val="00D84934"/>
    <w:rsid w:val="00D85AE1"/>
    <w:rsid w:val="00D86FFD"/>
    <w:rsid w:val="00D91271"/>
    <w:rsid w:val="00DA2CB5"/>
    <w:rsid w:val="00DA4BAC"/>
    <w:rsid w:val="00DB5B41"/>
    <w:rsid w:val="00DC173C"/>
    <w:rsid w:val="00DC50FC"/>
    <w:rsid w:val="00DC7E2A"/>
    <w:rsid w:val="00DD6015"/>
    <w:rsid w:val="00DE6D27"/>
    <w:rsid w:val="00DE76FC"/>
    <w:rsid w:val="00DF217D"/>
    <w:rsid w:val="00DF26A7"/>
    <w:rsid w:val="00E06658"/>
    <w:rsid w:val="00E15055"/>
    <w:rsid w:val="00E15627"/>
    <w:rsid w:val="00E164B3"/>
    <w:rsid w:val="00E16910"/>
    <w:rsid w:val="00E1788A"/>
    <w:rsid w:val="00E20767"/>
    <w:rsid w:val="00E207C2"/>
    <w:rsid w:val="00E42BDB"/>
    <w:rsid w:val="00E4326D"/>
    <w:rsid w:val="00E43725"/>
    <w:rsid w:val="00E57EEB"/>
    <w:rsid w:val="00E62D94"/>
    <w:rsid w:val="00E65E54"/>
    <w:rsid w:val="00E74E37"/>
    <w:rsid w:val="00E80155"/>
    <w:rsid w:val="00E848C0"/>
    <w:rsid w:val="00E852C9"/>
    <w:rsid w:val="00E8557F"/>
    <w:rsid w:val="00E91B96"/>
    <w:rsid w:val="00E941A1"/>
    <w:rsid w:val="00E94B76"/>
    <w:rsid w:val="00E95CE3"/>
    <w:rsid w:val="00EA0A2D"/>
    <w:rsid w:val="00EA14B5"/>
    <w:rsid w:val="00EA2825"/>
    <w:rsid w:val="00EA7F0C"/>
    <w:rsid w:val="00EB0B63"/>
    <w:rsid w:val="00EB33CA"/>
    <w:rsid w:val="00EB5088"/>
    <w:rsid w:val="00EC6182"/>
    <w:rsid w:val="00ED1644"/>
    <w:rsid w:val="00ED2593"/>
    <w:rsid w:val="00ED4CB8"/>
    <w:rsid w:val="00ED5E78"/>
    <w:rsid w:val="00ED7D9C"/>
    <w:rsid w:val="00EE29CD"/>
    <w:rsid w:val="00EE3BF3"/>
    <w:rsid w:val="00EF1F3A"/>
    <w:rsid w:val="00EF44A0"/>
    <w:rsid w:val="00EF4DE2"/>
    <w:rsid w:val="00EF4FED"/>
    <w:rsid w:val="00F04F14"/>
    <w:rsid w:val="00F050BD"/>
    <w:rsid w:val="00F05657"/>
    <w:rsid w:val="00F13862"/>
    <w:rsid w:val="00F237EE"/>
    <w:rsid w:val="00F239C4"/>
    <w:rsid w:val="00F25578"/>
    <w:rsid w:val="00F258E5"/>
    <w:rsid w:val="00F300BC"/>
    <w:rsid w:val="00F3334E"/>
    <w:rsid w:val="00F36CCB"/>
    <w:rsid w:val="00F374E5"/>
    <w:rsid w:val="00F4104E"/>
    <w:rsid w:val="00F43AF2"/>
    <w:rsid w:val="00F47B02"/>
    <w:rsid w:val="00F50EC4"/>
    <w:rsid w:val="00F54250"/>
    <w:rsid w:val="00F550CF"/>
    <w:rsid w:val="00F55A9E"/>
    <w:rsid w:val="00F57A6D"/>
    <w:rsid w:val="00F62811"/>
    <w:rsid w:val="00F638CC"/>
    <w:rsid w:val="00F646D2"/>
    <w:rsid w:val="00F64CC1"/>
    <w:rsid w:val="00F72317"/>
    <w:rsid w:val="00F72940"/>
    <w:rsid w:val="00F76DB4"/>
    <w:rsid w:val="00F80475"/>
    <w:rsid w:val="00F8247A"/>
    <w:rsid w:val="00F83E17"/>
    <w:rsid w:val="00F8510A"/>
    <w:rsid w:val="00F93065"/>
    <w:rsid w:val="00F9629A"/>
    <w:rsid w:val="00F97EFC"/>
    <w:rsid w:val="00FA5883"/>
    <w:rsid w:val="00FA6055"/>
    <w:rsid w:val="00FB00A2"/>
    <w:rsid w:val="00FB322F"/>
    <w:rsid w:val="00FB442F"/>
    <w:rsid w:val="00FC1929"/>
    <w:rsid w:val="00FC5B46"/>
    <w:rsid w:val="00FD0882"/>
    <w:rsid w:val="00FD6D8E"/>
    <w:rsid w:val="00FE0E94"/>
    <w:rsid w:val="00FF00BD"/>
    <w:rsid w:val="00FF1ED4"/>
    <w:rsid w:val="00FF2801"/>
    <w:rsid w:val="00FF43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rsid w:val="003C2FB5"/>
    <w:rPr>
      <w:rFonts w:ascii="Arial" w:hAnsi="Arial"/>
      <w:b/>
      <w:i/>
      <w:sz w:val="22"/>
      <w:szCs w:val="24"/>
    </w:rPr>
  </w:style>
  <w:style w:type="character" w:styleId="FollowedHyperlink">
    <w:name w:val="FollowedHyperlink"/>
    <w:basedOn w:val="DefaultParagraphFont"/>
    <w:rsid w:val="007A7C05"/>
    <w:rPr>
      <w:color w:val="800080" w:themeColor="followedHyperlink"/>
      <w:u w:val="single"/>
    </w:rPr>
  </w:style>
  <w:style w:type="character" w:customStyle="1" w:styleId="Font">
    <w:name w:val="Font"/>
    <w:basedOn w:val="DefaultParagraphFont"/>
    <w:uiPriority w:val="1"/>
    <w:qFormat/>
    <w:rsid w:val="003C76CD"/>
    <w:rPr>
      <w:rFonts w:asciiTheme="minorHAnsi" w:hAnsiTheme="minorHAnsi" w:hint="default"/>
      <w:sz w:val="24"/>
    </w:rPr>
  </w:style>
  <w:style w:type="paragraph" w:styleId="Revision">
    <w:name w:val="Revision"/>
    <w:hidden/>
    <w:uiPriority w:val="71"/>
    <w:rsid w:val="006B3D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rsid w:val="003C2FB5"/>
    <w:rPr>
      <w:rFonts w:ascii="Arial" w:hAnsi="Arial"/>
      <w:b/>
      <w:i/>
      <w:sz w:val="22"/>
      <w:szCs w:val="24"/>
    </w:rPr>
  </w:style>
  <w:style w:type="character" w:styleId="FollowedHyperlink">
    <w:name w:val="FollowedHyperlink"/>
    <w:basedOn w:val="DefaultParagraphFont"/>
    <w:rsid w:val="007A7C05"/>
    <w:rPr>
      <w:color w:val="800080" w:themeColor="followedHyperlink"/>
      <w:u w:val="single"/>
    </w:rPr>
  </w:style>
  <w:style w:type="character" w:customStyle="1" w:styleId="Font">
    <w:name w:val="Font"/>
    <w:basedOn w:val="DefaultParagraphFont"/>
    <w:uiPriority w:val="1"/>
    <w:qFormat/>
    <w:rsid w:val="003C76CD"/>
    <w:rPr>
      <w:rFonts w:asciiTheme="minorHAnsi" w:hAnsiTheme="minorHAnsi" w:hint="default"/>
      <w:sz w:val="24"/>
    </w:rPr>
  </w:style>
  <w:style w:type="paragraph" w:styleId="Revision">
    <w:name w:val="Revision"/>
    <w:hidden/>
    <w:uiPriority w:val="71"/>
    <w:rsid w:val="006B3D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A9C10-7CC1-40B6-A0F5-72E6037EB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4436</Words>
  <Characters>27369</Characters>
  <Application>Microsoft Office Word</Application>
  <DocSecurity>0</DocSecurity>
  <Lines>228</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2018-02-20T03:28:00Z</dcterms:created>
  <dcterms:modified xsi:type="dcterms:W3CDTF">2018-02-20T03:29:00Z</dcterms:modified>
</cp:coreProperties>
</file>