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AB0" w:rsidRPr="000E19AE" w:rsidRDefault="00315458" w:rsidP="00B354F2">
      <w:pPr>
        <w:spacing w:before="0" w:after="0"/>
        <w:ind w:left="851" w:hanging="851"/>
        <w:outlineLvl w:val="0"/>
        <w:rPr>
          <w:b/>
          <w:sz w:val="36"/>
          <w:szCs w:val="36"/>
        </w:rPr>
      </w:pPr>
      <w:bookmarkStart w:id="0" w:name="_GoBack"/>
      <w:bookmarkEnd w:id="0"/>
      <w:r w:rsidRPr="000E19AE">
        <w:rPr>
          <w:b/>
          <w:sz w:val="36"/>
          <w:szCs w:val="36"/>
        </w:rPr>
        <w:t xml:space="preserve">6.11 </w:t>
      </w:r>
      <w:r w:rsidR="00B354F2">
        <w:rPr>
          <w:b/>
          <w:sz w:val="36"/>
          <w:szCs w:val="36"/>
        </w:rPr>
        <w:tab/>
      </w:r>
      <w:r w:rsidRPr="000E19AE">
        <w:rPr>
          <w:b/>
          <w:sz w:val="36"/>
          <w:szCs w:val="36"/>
        </w:rPr>
        <w:t>PEMBROLIZUMAB</w:t>
      </w:r>
      <w:r w:rsidR="00486AB0" w:rsidRPr="000E19AE">
        <w:rPr>
          <w:b/>
          <w:sz w:val="36"/>
          <w:szCs w:val="36"/>
        </w:rPr>
        <w:t>,</w:t>
      </w:r>
      <w:r w:rsidR="00B354F2">
        <w:rPr>
          <w:b/>
          <w:sz w:val="36"/>
          <w:szCs w:val="36"/>
        </w:rPr>
        <w:br/>
      </w:r>
      <w:r w:rsidR="00062624" w:rsidRPr="000E19AE">
        <w:rPr>
          <w:b/>
          <w:sz w:val="36"/>
          <w:szCs w:val="36"/>
        </w:rPr>
        <w:t>Powder for injection 50 mg</w:t>
      </w:r>
      <w:r w:rsidR="0040277E" w:rsidRPr="000E19AE">
        <w:rPr>
          <w:b/>
          <w:sz w:val="36"/>
          <w:szCs w:val="36"/>
        </w:rPr>
        <w:t>,</w:t>
      </w:r>
      <w:r w:rsidR="00B354F2">
        <w:rPr>
          <w:b/>
          <w:sz w:val="36"/>
          <w:szCs w:val="36"/>
        </w:rPr>
        <w:br/>
      </w:r>
      <w:r w:rsidR="00062624" w:rsidRPr="000E19AE">
        <w:rPr>
          <w:b/>
          <w:sz w:val="36"/>
          <w:szCs w:val="36"/>
        </w:rPr>
        <w:t>Solution concentrate for I.V. infusion 100 mg in 4 mL</w:t>
      </w:r>
      <w:r w:rsidR="0040277E" w:rsidRPr="000E19AE">
        <w:rPr>
          <w:b/>
          <w:sz w:val="36"/>
          <w:szCs w:val="36"/>
        </w:rPr>
        <w:t>,</w:t>
      </w:r>
      <w:r w:rsidR="00796C59" w:rsidRPr="000E19AE">
        <w:rPr>
          <w:b/>
          <w:sz w:val="36"/>
          <w:szCs w:val="36"/>
        </w:rPr>
        <w:t xml:space="preserve"> </w:t>
      </w:r>
      <w:r w:rsidR="00486AB0" w:rsidRPr="000E19AE">
        <w:rPr>
          <w:b/>
          <w:sz w:val="36"/>
          <w:szCs w:val="36"/>
        </w:rPr>
        <w:t>K</w:t>
      </w:r>
      <w:r w:rsidRPr="000E19AE">
        <w:rPr>
          <w:b/>
          <w:sz w:val="36"/>
          <w:szCs w:val="36"/>
        </w:rPr>
        <w:t>eytruda</w:t>
      </w:r>
      <w:r w:rsidR="00486AB0" w:rsidRPr="000E19AE">
        <w:rPr>
          <w:b/>
          <w:sz w:val="36"/>
          <w:szCs w:val="36"/>
        </w:rPr>
        <w:t xml:space="preserve">®, </w:t>
      </w:r>
      <w:r w:rsidRPr="000E19AE">
        <w:rPr>
          <w:b/>
          <w:sz w:val="36"/>
          <w:szCs w:val="36"/>
        </w:rPr>
        <w:t>Merck Sharp</w:t>
      </w:r>
      <w:r w:rsidR="00A904EA" w:rsidRPr="000E19AE">
        <w:rPr>
          <w:b/>
          <w:sz w:val="36"/>
          <w:szCs w:val="36"/>
        </w:rPr>
        <w:t xml:space="preserve"> &amp; Dohme (Australia) Pty L</w:t>
      </w:r>
      <w:r w:rsidR="009458E5">
        <w:rPr>
          <w:b/>
          <w:sz w:val="36"/>
          <w:szCs w:val="36"/>
        </w:rPr>
        <w:t>td</w:t>
      </w:r>
    </w:p>
    <w:p w:rsidR="00C317F3" w:rsidRPr="000E19AE" w:rsidRDefault="00C317F3" w:rsidP="002001C6">
      <w:pPr>
        <w:pStyle w:val="Heading1"/>
        <w:ind w:left="709" w:hanging="709"/>
      </w:pPr>
      <w:bookmarkStart w:id="1" w:name="_Toc413139271"/>
      <w:bookmarkStart w:id="2" w:name="_Toc492274915"/>
      <w:r w:rsidRPr="000E19AE">
        <w:t xml:space="preserve">Purpose of </w:t>
      </w:r>
      <w:r w:rsidR="00661286" w:rsidRPr="000E19AE">
        <w:t>a</w:t>
      </w:r>
      <w:r w:rsidRPr="000E19AE">
        <w:t>pplication</w:t>
      </w:r>
      <w:bookmarkEnd w:id="1"/>
      <w:bookmarkEnd w:id="2"/>
    </w:p>
    <w:p w:rsidR="00486AB0" w:rsidRPr="000E19AE" w:rsidRDefault="00A30CFF" w:rsidP="00B17B7D">
      <w:pPr>
        <w:pStyle w:val="ListParagraph"/>
        <w:numPr>
          <w:ilvl w:val="1"/>
          <w:numId w:val="3"/>
        </w:numPr>
        <w:spacing w:before="0" w:after="120"/>
        <w:jc w:val="both"/>
      </w:pPr>
      <w:r w:rsidRPr="000E19AE">
        <w:t xml:space="preserve">The submission requested a </w:t>
      </w:r>
      <w:r w:rsidR="008620A9" w:rsidRPr="000E19AE">
        <w:t>Section 100, S</w:t>
      </w:r>
      <w:r w:rsidR="00486AB0" w:rsidRPr="000E19AE">
        <w:t xml:space="preserve">treamlined </w:t>
      </w:r>
      <w:r w:rsidR="007A467F" w:rsidRPr="000E19AE">
        <w:t xml:space="preserve">Authority Required </w:t>
      </w:r>
      <w:r w:rsidR="00C317F3" w:rsidRPr="000E19AE">
        <w:t xml:space="preserve">listing for </w:t>
      </w:r>
      <w:r w:rsidR="00486AB0" w:rsidRPr="000E19AE">
        <w:t>pembrolizumab</w:t>
      </w:r>
      <w:r w:rsidR="00C317F3" w:rsidRPr="000E19AE">
        <w:t xml:space="preserve"> for treatment of </w:t>
      </w:r>
      <w:r w:rsidR="00486AB0" w:rsidRPr="000E19AE">
        <w:t>patients with locally advanced (LA) or metastatic urothelial cancer (mUC) after failure of a platinum-containing regimen</w:t>
      </w:r>
      <w:r w:rsidR="008620A9" w:rsidRPr="000E19AE">
        <w:t>.</w:t>
      </w:r>
      <w:r w:rsidR="00486AB0" w:rsidRPr="000E19AE">
        <w:t xml:space="preserve"> Pembrolizumab has not been considered previously</w:t>
      </w:r>
      <w:r w:rsidR="00CD0AA9" w:rsidRPr="000E19AE">
        <w:t xml:space="preserve"> by the PBAC</w:t>
      </w:r>
      <w:r w:rsidR="00486AB0" w:rsidRPr="000E19AE">
        <w:t xml:space="preserve"> for this indication. </w:t>
      </w:r>
      <w:r w:rsidRPr="000E19AE">
        <w:t>The key components of the clinical issues presented in the submission are summarised in Table 1.</w:t>
      </w:r>
    </w:p>
    <w:p w:rsidR="00CD0AA9" w:rsidRPr="000E19AE" w:rsidRDefault="00486AB0" w:rsidP="002A5649">
      <w:pPr>
        <w:pStyle w:val="ListParagraph"/>
        <w:numPr>
          <w:ilvl w:val="1"/>
          <w:numId w:val="3"/>
        </w:numPr>
        <w:spacing w:before="0" w:after="120"/>
        <w:jc w:val="both"/>
        <w:rPr>
          <w:color w:val="000000" w:themeColor="text1"/>
        </w:rPr>
      </w:pPr>
      <w:r w:rsidRPr="000E19AE">
        <w:rPr>
          <w:color w:val="000000" w:themeColor="text1"/>
        </w:rPr>
        <w:t xml:space="preserve">The </w:t>
      </w:r>
      <w:r w:rsidR="00A30CFF" w:rsidRPr="000E19AE">
        <w:rPr>
          <w:color w:val="000000" w:themeColor="text1"/>
        </w:rPr>
        <w:t xml:space="preserve">proposed </w:t>
      </w:r>
      <w:r w:rsidRPr="000E19AE">
        <w:rPr>
          <w:color w:val="000000" w:themeColor="text1"/>
        </w:rPr>
        <w:t xml:space="preserve">basis for listing </w:t>
      </w:r>
      <w:r w:rsidR="00CD0AA9" w:rsidRPr="000E19AE">
        <w:rPr>
          <w:color w:val="000000" w:themeColor="text1"/>
        </w:rPr>
        <w:t>wa</w:t>
      </w:r>
      <w:r w:rsidRPr="000E19AE">
        <w:rPr>
          <w:color w:val="000000" w:themeColor="text1"/>
        </w:rPr>
        <w:t>s a cost</w:t>
      </w:r>
      <w:r w:rsidR="00CD0AA9" w:rsidRPr="000E19AE">
        <w:rPr>
          <w:color w:val="000000" w:themeColor="text1"/>
        </w:rPr>
        <w:t>-</w:t>
      </w:r>
      <w:r w:rsidRPr="000E19AE">
        <w:rPr>
          <w:color w:val="000000" w:themeColor="text1"/>
        </w:rPr>
        <w:t xml:space="preserve">effectiveness analysis </w:t>
      </w:r>
      <w:r w:rsidR="00CD0AA9" w:rsidRPr="000E19AE">
        <w:rPr>
          <w:color w:val="000000" w:themeColor="text1"/>
        </w:rPr>
        <w:t>comparing</w:t>
      </w:r>
      <w:r w:rsidR="00A4663B" w:rsidRPr="000E19AE">
        <w:rPr>
          <w:color w:val="000000" w:themeColor="text1"/>
        </w:rPr>
        <w:t xml:space="preserve"> </w:t>
      </w:r>
      <w:r w:rsidRPr="000E19AE">
        <w:rPr>
          <w:color w:val="000000" w:themeColor="text1"/>
        </w:rPr>
        <w:t>pembrolizumab</w:t>
      </w:r>
      <w:r w:rsidR="00CD0AA9" w:rsidRPr="000E19AE">
        <w:rPr>
          <w:color w:val="000000" w:themeColor="text1"/>
        </w:rPr>
        <w:t xml:space="preserve"> with</w:t>
      </w:r>
      <w:r w:rsidRPr="000E19AE">
        <w:rPr>
          <w:color w:val="000000" w:themeColor="text1"/>
        </w:rPr>
        <w:t xml:space="preserve"> standard of care (SOC), which </w:t>
      </w:r>
      <w:r w:rsidR="002F7F64" w:rsidRPr="000E19AE">
        <w:rPr>
          <w:color w:val="000000" w:themeColor="text1"/>
        </w:rPr>
        <w:t xml:space="preserve">included </w:t>
      </w:r>
      <w:r w:rsidR="00A30CFF" w:rsidRPr="000E19AE">
        <w:rPr>
          <w:color w:val="000000" w:themeColor="text1"/>
        </w:rPr>
        <w:t xml:space="preserve">the use of </w:t>
      </w:r>
      <w:r w:rsidRPr="000E19AE">
        <w:rPr>
          <w:color w:val="000000" w:themeColor="text1"/>
        </w:rPr>
        <w:t>docetaxel and paclitaxel in the PBS setting.</w:t>
      </w:r>
    </w:p>
    <w:p w:rsidR="00AE513E" w:rsidRPr="000E19AE" w:rsidRDefault="004D0F94" w:rsidP="004422E3">
      <w:pPr>
        <w:keepNext/>
        <w:spacing w:after="60"/>
        <w:jc w:val="both"/>
        <w:rPr>
          <w:rFonts w:ascii="Arial Narrow" w:hAnsi="Arial Narrow"/>
          <w:b/>
          <w:sz w:val="20"/>
          <w:szCs w:val="20"/>
        </w:rPr>
      </w:pPr>
      <w:r w:rsidRPr="000E19AE">
        <w:rPr>
          <w:rFonts w:ascii="Arial Narrow" w:hAnsi="Arial Narrow"/>
          <w:b/>
          <w:sz w:val="20"/>
          <w:szCs w:val="20"/>
        </w:rPr>
        <w:t>Table 1</w:t>
      </w:r>
      <w:r w:rsidR="00AE513E" w:rsidRPr="000E19AE">
        <w:rPr>
          <w:rFonts w:ascii="Arial Narrow" w:hAnsi="Arial Narrow"/>
          <w:b/>
          <w:sz w:val="20"/>
          <w:szCs w:val="20"/>
        </w:rPr>
        <w:t>: Key components of the clinical issue addressed by the submission</w:t>
      </w:r>
    </w:p>
    <w:tbl>
      <w:tblPr>
        <w:tblStyle w:val="TableGrid"/>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27"/>
        <w:gridCol w:w="8052"/>
      </w:tblGrid>
      <w:tr w:rsidR="007A467F" w:rsidRPr="000E19AE" w:rsidTr="008478CE">
        <w:trPr>
          <w:cnfStyle w:val="100000000000" w:firstRow="1" w:lastRow="0" w:firstColumn="0" w:lastColumn="0" w:oddVBand="0" w:evenVBand="0" w:oddHBand="0" w:evenHBand="0" w:firstRowFirstColumn="0" w:firstRowLastColumn="0" w:lastRowFirstColumn="0" w:lastRowLastColumn="0"/>
          <w:tblHeader/>
        </w:trPr>
        <w:tc>
          <w:tcPr>
            <w:tcW w:w="614" w:type="pct"/>
            <w:shd w:val="clear" w:color="auto" w:fill="auto"/>
          </w:tcPr>
          <w:p w:rsidR="007A467F" w:rsidRPr="000E19AE" w:rsidRDefault="007A467F" w:rsidP="00C17952">
            <w:pPr>
              <w:pStyle w:val="TableText"/>
              <w:jc w:val="both"/>
              <w:rPr>
                <w:b w:val="0"/>
              </w:rPr>
            </w:pPr>
            <w:r w:rsidRPr="000E19AE">
              <w:t>Component</w:t>
            </w:r>
          </w:p>
        </w:tc>
        <w:tc>
          <w:tcPr>
            <w:tcW w:w="4386" w:type="pct"/>
            <w:shd w:val="clear" w:color="auto" w:fill="auto"/>
          </w:tcPr>
          <w:p w:rsidR="007A467F" w:rsidRPr="000E19AE" w:rsidRDefault="007A467F" w:rsidP="002A5649">
            <w:pPr>
              <w:pStyle w:val="TableText"/>
              <w:rPr>
                <w:b w:val="0"/>
              </w:rPr>
            </w:pPr>
            <w:r w:rsidRPr="000E19AE">
              <w:t>Description</w:t>
            </w:r>
          </w:p>
        </w:tc>
      </w:tr>
      <w:tr w:rsidR="007A467F" w:rsidRPr="000E19AE">
        <w:tc>
          <w:tcPr>
            <w:tcW w:w="614" w:type="pct"/>
          </w:tcPr>
          <w:p w:rsidR="007A467F" w:rsidRPr="000E19AE" w:rsidRDefault="007A467F" w:rsidP="00C17952">
            <w:pPr>
              <w:pStyle w:val="TableText"/>
              <w:jc w:val="both"/>
            </w:pPr>
            <w:r w:rsidRPr="000E19AE">
              <w:t>Population</w:t>
            </w:r>
          </w:p>
        </w:tc>
        <w:tc>
          <w:tcPr>
            <w:tcW w:w="4386" w:type="pct"/>
          </w:tcPr>
          <w:p w:rsidR="007A467F" w:rsidRPr="000E19AE" w:rsidRDefault="007A467F" w:rsidP="002A5649">
            <w:pPr>
              <w:pStyle w:val="TableText"/>
              <w:rPr>
                <w:rFonts w:ascii="Times" w:eastAsia="Times New Roman" w:hAnsi="Times"/>
              </w:rPr>
            </w:pPr>
            <w:r w:rsidRPr="000E19AE">
              <w:t>Patients with locally advanced or metastatic urothelial cancer after failure of a platinum-containing regimen</w:t>
            </w:r>
            <w:r w:rsidR="00CD0AA9" w:rsidRPr="000E19AE">
              <w:t>.</w:t>
            </w:r>
          </w:p>
        </w:tc>
      </w:tr>
      <w:tr w:rsidR="007A467F" w:rsidRPr="000E19AE">
        <w:tc>
          <w:tcPr>
            <w:tcW w:w="614" w:type="pct"/>
          </w:tcPr>
          <w:p w:rsidR="007A467F" w:rsidRPr="000E19AE" w:rsidRDefault="007A467F" w:rsidP="00C17952">
            <w:pPr>
              <w:pStyle w:val="TableText"/>
              <w:jc w:val="both"/>
              <w:rPr>
                <w:rFonts w:ascii="Times" w:eastAsia="Times New Roman" w:hAnsi="Times"/>
              </w:rPr>
            </w:pPr>
            <w:r w:rsidRPr="000E19AE">
              <w:t>Intervention</w:t>
            </w:r>
          </w:p>
        </w:tc>
        <w:tc>
          <w:tcPr>
            <w:tcW w:w="4386" w:type="pct"/>
          </w:tcPr>
          <w:p w:rsidR="007A467F" w:rsidRPr="000E19AE" w:rsidRDefault="007A467F" w:rsidP="006E2958">
            <w:pPr>
              <w:pStyle w:val="TableText"/>
              <w:rPr>
                <w:rFonts w:ascii="Times" w:eastAsia="Times New Roman" w:hAnsi="Times"/>
              </w:rPr>
            </w:pPr>
            <w:r w:rsidRPr="000E19AE">
              <w:t>Pembrolizumab fixed dose 200</w:t>
            </w:r>
            <w:r w:rsidR="006E2958" w:rsidRPr="000E19AE">
              <w:t> </w:t>
            </w:r>
            <w:r w:rsidRPr="000E19AE">
              <w:t>mg IV, once every 3 weeks.</w:t>
            </w:r>
          </w:p>
        </w:tc>
      </w:tr>
      <w:tr w:rsidR="007A467F" w:rsidRPr="000E19AE">
        <w:tc>
          <w:tcPr>
            <w:tcW w:w="614" w:type="pct"/>
          </w:tcPr>
          <w:p w:rsidR="007A467F" w:rsidRPr="000E19AE" w:rsidRDefault="007A467F" w:rsidP="00C17952">
            <w:pPr>
              <w:pStyle w:val="TableText"/>
              <w:jc w:val="both"/>
              <w:rPr>
                <w:rFonts w:ascii="Times" w:eastAsia="Times New Roman" w:hAnsi="Times"/>
              </w:rPr>
            </w:pPr>
            <w:r w:rsidRPr="000E19AE">
              <w:t>Comparator</w:t>
            </w:r>
          </w:p>
        </w:tc>
        <w:tc>
          <w:tcPr>
            <w:tcW w:w="4386" w:type="pct"/>
          </w:tcPr>
          <w:p w:rsidR="007A467F" w:rsidRPr="000E19AE" w:rsidRDefault="007A467F" w:rsidP="002A5649">
            <w:pPr>
              <w:pStyle w:val="TableText"/>
            </w:pPr>
            <w:r w:rsidRPr="000E19AE">
              <w:t>SOC:</w:t>
            </w:r>
            <w:r w:rsidR="00CD0AA9" w:rsidRPr="000E19AE">
              <w:t xml:space="preserve"> paclitaxel </w:t>
            </w:r>
            <w:r w:rsidR="006E2958" w:rsidRPr="000E19AE">
              <w:t>175 </w:t>
            </w:r>
            <w:r w:rsidRPr="000E19AE">
              <w:t>mg/m</w:t>
            </w:r>
            <w:r w:rsidRPr="000E19AE">
              <w:rPr>
                <w:vertAlign w:val="superscript"/>
              </w:rPr>
              <w:t>2</w:t>
            </w:r>
            <w:r w:rsidRPr="000E19AE">
              <w:t xml:space="preserve"> IV, once every 3 weeks</w:t>
            </w:r>
            <w:r w:rsidR="00CD0AA9" w:rsidRPr="000E19AE">
              <w:t>, and d</w:t>
            </w:r>
            <w:r w:rsidRPr="000E19AE">
              <w:t>ocetaxel 75</w:t>
            </w:r>
            <w:r w:rsidR="006E2958" w:rsidRPr="000E19AE">
              <w:t> </w:t>
            </w:r>
            <w:r w:rsidRPr="000E19AE">
              <w:t>mg/m</w:t>
            </w:r>
            <w:r w:rsidRPr="000E19AE">
              <w:rPr>
                <w:vertAlign w:val="superscript"/>
              </w:rPr>
              <w:t xml:space="preserve">2, </w:t>
            </w:r>
            <w:r w:rsidRPr="000E19AE">
              <w:t>IV once every 3 weeks</w:t>
            </w:r>
            <w:r w:rsidR="00CD0AA9" w:rsidRPr="000E19AE">
              <w:t xml:space="preserve"> </w:t>
            </w:r>
            <w:r w:rsidRPr="000E19AE">
              <w:t>were nominated as the primary comparators upon which the clinical and cost-effectiveness data presented were based.</w:t>
            </w:r>
          </w:p>
          <w:p w:rsidR="007A467F" w:rsidRPr="000E19AE" w:rsidRDefault="007A467F" w:rsidP="004576EE">
            <w:pPr>
              <w:pStyle w:val="TableText"/>
            </w:pPr>
            <w:r w:rsidRPr="000E19AE">
              <w:t xml:space="preserve">While vinflunine was not a proposed main comparator in this submission, the trial included vinflunine as part of the SOC arm. Vinflunine was rejected for the third time by </w:t>
            </w:r>
            <w:r w:rsidR="00A30CFF" w:rsidRPr="000E19AE">
              <w:t xml:space="preserve">the </w:t>
            </w:r>
            <w:r w:rsidRPr="000E19AE">
              <w:t>PBAC in July 2017. The submission appropriately present</w:t>
            </w:r>
            <w:r w:rsidR="00A30CFF" w:rsidRPr="000E19AE">
              <w:t>ed</w:t>
            </w:r>
            <w:r w:rsidRPr="000E19AE">
              <w:t xml:space="preserve"> pre-specified subgroup analys</w:t>
            </w:r>
            <w:r w:rsidR="00A30CFF" w:rsidRPr="000E19AE">
              <w:t>e</w:t>
            </w:r>
            <w:r w:rsidRPr="000E19AE">
              <w:t>s, with and without vinflunine, which demonstrated that vinflunine provide</w:t>
            </w:r>
            <w:r w:rsidR="00A30CFF" w:rsidRPr="000E19AE">
              <w:t>d</w:t>
            </w:r>
            <w:r w:rsidRPr="000E19AE">
              <w:t xml:space="preserve"> similar </w:t>
            </w:r>
            <w:r w:rsidR="00CD0AA9" w:rsidRPr="000E19AE">
              <w:t>overall survival (</w:t>
            </w:r>
            <w:r w:rsidRPr="000E19AE">
              <w:t>OS</w:t>
            </w:r>
            <w:r w:rsidR="00CD0AA9" w:rsidRPr="000E19AE">
              <w:t>)</w:t>
            </w:r>
            <w:r w:rsidRPr="000E19AE">
              <w:t xml:space="preserve">, </w:t>
            </w:r>
            <w:r w:rsidR="00CD0AA9" w:rsidRPr="000E19AE">
              <w:t>progression</w:t>
            </w:r>
            <w:r w:rsidR="004576EE">
              <w:t>-</w:t>
            </w:r>
            <w:r w:rsidR="00CD0AA9" w:rsidRPr="000E19AE">
              <w:t>free survival (</w:t>
            </w:r>
            <w:r w:rsidRPr="000E19AE">
              <w:t>PFS</w:t>
            </w:r>
            <w:r w:rsidR="00CD0AA9" w:rsidRPr="000E19AE">
              <w:t>)</w:t>
            </w:r>
            <w:r w:rsidRPr="000E19AE">
              <w:t xml:space="preserve"> and </w:t>
            </w:r>
            <w:r w:rsidR="00CD0AA9" w:rsidRPr="000E19AE">
              <w:t>overall response rate (</w:t>
            </w:r>
            <w:r w:rsidRPr="000E19AE">
              <w:t>ORR</w:t>
            </w:r>
            <w:r w:rsidR="00CD0AA9" w:rsidRPr="000E19AE">
              <w:t>)</w:t>
            </w:r>
            <w:r w:rsidRPr="000E19AE">
              <w:t xml:space="preserve"> to current SOC. On this basis, the </w:t>
            </w:r>
            <w:r w:rsidR="00CD0AA9" w:rsidRPr="000E19AE">
              <w:t>intention to treat (</w:t>
            </w:r>
            <w:r w:rsidRPr="000E19AE">
              <w:t>ITT</w:t>
            </w:r>
            <w:r w:rsidR="00CD0AA9" w:rsidRPr="000E19AE">
              <w:t>)</w:t>
            </w:r>
            <w:r w:rsidRPr="000E19AE">
              <w:t xml:space="preserve"> data with regards to PFS and OS were used throughout the submission.</w:t>
            </w:r>
          </w:p>
        </w:tc>
      </w:tr>
      <w:tr w:rsidR="007A467F" w:rsidRPr="000E19AE">
        <w:tc>
          <w:tcPr>
            <w:tcW w:w="614" w:type="pct"/>
          </w:tcPr>
          <w:p w:rsidR="007A467F" w:rsidRPr="000E19AE" w:rsidRDefault="007A467F" w:rsidP="00C17952">
            <w:pPr>
              <w:pStyle w:val="TableText"/>
              <w:jc w:val="both"/>
              <w:rPr>
                <w:rFonts w:ascii="Times" w:eastAsia="Times New Roman" w:hAnsi="Times"/>
              </w:rPr>
            </w:pPr>
            <w:r w:rsidRPr="000E19AE">
              <w:t>Outcomes</w:t>
            </w:r>
          </w:p>
        </w:tc>
        <w:tc>
          <w:tcPr>
            <w:tcW w:w="4386" w:type="pct"/>
          </w:tcPr>
          <w:p w:rsidR="007A467F" w:rsidRPr="000E19AE" w:rsidRDefault="007A467F" w:rsidP="002A5649">
            <w:pPr>
              <w:pStyle w:val="TableText"/>
              <w:rPr>
                <w:rFonts w:ascii="Times" w:eastAsia="Times New Roman" w:hAnsi="Times"/>
              </w:rPr>
            </w:pPr>
            <w:r w:rsidRPr="000E19AE">
              <w:t>PFS</w:t>
            </w:r>
            <w:r w:rsidR="00CD0AA9" w:rsidRPr="000E19AE">
              <w:t xml:space="preserve"> and </w:t>
            </w:r>
            <w:r w:rsidRPr="000E19AE">
              <w:t>OS.</w:t>
            </w:r>
          </w:p>
        </w:tc>
      </w:tr>
      <w:tr w:rsidR="007A467F" w:rsidRPr="000E19AE">
        <w:tc>
          <w:tcPr>
            <w:tcW w:w="614" w:type="pct"/>
          </w:tcPr>
          <w:p w:rsidR="007A467F" w:rsidRPr="000E19AE" w:rsidRDefault="007A467F" w:rsidP="00C17952">
            <w:pPr>
              <w:pStyle w:val="TableText"/>
              <w:jc w:val="both"/>
              <w:rPr>
                <w:rFonts w:ascii="Times" w:eastAsia="Times New Roman" w:hAnsi="Times"/>
              </w:rPr>
            </w:pPr>
            <w:r w:rsidRPr="000E19AE">
              <w:t>Clinical claim</w:t>
            </w:r>
          </w:p>
        </w:tc>
        <w:tc>
          <w:tcPr>
            <w:tcW w:w="4386" w:type="pct"/>
          </w:tcPr>
          <w:p w:rsidR="007A467F" w:rsidRPr="000E19AE" w:rsidRDefault="007A467F" w:rsidP="002A5649">
            <w:pPr>
              <w:pStyle w:val="TableText"/>
              <w:keepLines/>
              <w:outlineLvl w:val="2"/>
            </w:pPr>
            <w:r w:rsidRPr="000E19AE">
              <w:t xml:space="preserve">In the primary comparison of OS, pembrolizumab </w:t>
            </w:r>
            <w:r w:rsidR="00CD0AA9" w:rsidRPr="000E19AE">
              <w:t>wa</w:t>
            </w:r>
            <w:r w:rsidRPr="000E19AE">
              <w:t>s superior to SOC in terms of effectiveness</w:t>
            </w:r>
            <w:r w:rsidR="00CD0AA9" w:rsidRPr="000E19AE">
              <w:t>,</w:t>
            </w:r>
            <w:r w:rsidR="004061B4" w:rsidRPr="000E19AE">
              <w:t xml:space="preserve"> </w:t>
            </w:r>
            <w:r w:rsidRPr="000E19AE">
              <w:t>non-inferior in the primary comparison of PFS</w:t>
            </w:r>
            <w:r w:rsidR="00CD0AA9" w:rsidRPr="000E19AE">
              <w:t>,</w:t>
            </w:r>
            <w:r w:rsidRPr="000E19AE">
              <w:t xml:space="preserve"> and superior in terms of safety.</w:t>
            </w:r>
            <w:r w:rsidR="004061B4" w:rsidRPr="000E19AE">
              <w:t xml:space="preserve"> </w:t>
            </w:r>
            <w:r w:rsidRPr="000E19AE">
              <w:t>The overall safety profile is acceptable in consideration of the improvements in OS</w:t>
            </w:r>
            <w:r w:rsidR="00CD0AA9" w:rsidRPr="000E19AE">
              <w:t>. These claims are supported by the data presented.</w:t>
            </w:r>
          </w:p>
        </w:tc>
      </w:tr>
    </w:tbl>
    <w:p w:rsidR="00CD0AA9" w:rsidRPr="000E19AE" w:rsidRDefault="007A467F" w:rsidP="00CD0AA9">
      <w:pPr>
        <w:pStyle w:val="TableFooter"/>
        <w:ind w:left="1134" w:hanging="1134"/>
        <w:rPr>
          <w:rFonts w:eastAsia="Calibri"/>
        </w:rPr>
      </w:pPr>
      <w:bookmarkStart w:id="3" w:name="_Toc413139272"/>
      <w:r w:rsidRPr="000E19AE">
        <w:rPr>
          <w:rFonts w:eastAsia="Calibri"/>
        </w:rPr>
        <w:t>Source:</w:t>
      </w:r>
      <w:r w:rsidR="006E2958" w:rsidRPr="000E19AE">
        <w:rPr>
          <w:rFonts w:eastAsia="Calibri"/>
        </w:rPr>
        <w:t xml:space="preserve"> </w:t>
      </w:r>
      <w:r w:rsidRPr="000E19AE">
        <w:rPr>
          <w:rFonts w:eastAsia="Calibri"/>
        </w:rPr>
        <w:t xml:space="preserve">Table 1.1, p.2 of the submission. </w:t>
      </w:r>
    </w:p>
    <w:p w:rsidR="007A467F" w:rsidRPr="000E19AE" w:rsidRDefault="007A467F" w:rsidP="004422E3">
      <w:pPr>
        <w:pStyle w:val="TableFooter"/>
        <w:rPr>
          <w:rFonts w:eastAsia="Calibri"/>
        </w:rPr>
      </w:pPr>
      <w:r w:rsidRPr="000E19AE">
        <w:rPr>
          <w:rFonts w:eastAsia="Calibri"/>
        </w:rPr>
        <w:t>Abbreviations:</w:t>
      </w:r>
      <w:r w:rsidR="004061B4" w:rsidRPr="000E19AE">
        <w:rPr>
          <w:rFonts w:eastAsia="Calibri"/>
        </w:rPr>
        <w:t xml:space="preserve"> </w:t>
      </w:r>
      <w:r w:rsidRPr="000E19AE">
        <w:rPr>
          <w:rFonts w:eastAsia="Calibri"/>
        </w:rPr>
        <w:t>ITT</w:t>
      </w:r>
      <w:r w:rsidR="004061B4" w:rsidRPr="000E19AE">
        <w:rPr>
          <w:rFonts w:eastAsia="Calibri"/>
        </w:rPr>
        <w:t xml:space="preserve"> </w:t>
      </w:r>
      <w:r w:rsidR="00E42EB6" w:rsidRPr="000E19AE">
        <w:rPr>
          <w:rFonts w:eastAsia="Calibri"/>
        </w:rPr>
        <w:t>=</w:t>
      </w:r>
      <w:r w:rsidRPr="000E19AE">
        <w:rPr>
          <w:rFonts w:eastAsia="Calibri"/>
        </w:rPr>
        <w:t xml:space="preserve"> Intention to treat</w:t>
      </w:r>
      <w:r w:rsidR="00CD0AA9" w:rsidRPr="000E19AE">
        <w:rPr>
          <w:rFonts w:eastAsia="Calibri"/>
        </w:rPr>
        <w:t>;</w:t>
      </w:r>
      <w:r w:rsidRPr="000E19AE">
        <w:rPr>
          <w:rFonts w:eastAsia="Calibri"/>
        </w:rPr>
        <w:t xml:space="preserve"> </w:t>
      </w:r>
      <w:r w:rsidR="004061B4" w:rsidRPr="000E19AE">
        <w:rPr>
          <w:rFonts w:eastAsia="Calibri"/>
        </w:rPr>
        <w:t>IV</w:t>
      </w:r>
      <w:r w:rsidR="00352AC4" w:rsidRPr="000E19AE">
        <w:rPr>
          <w:rFonts w:eastAsia="Calibri"/>
        </w:rPr>
        <w:t xml:space="preserve"> =</w:t>
      </w:r>
      <w:r w:rsidR="004061B4" w:rsidRPr="000E19AE">
        <w:rPr>
          <w:rFonts w:eastAsia="Calibri"/>
        </w:rPr>
        <w:t xml:space="preserve"> intravenous; </w:t>
      </w:r>
      <w:r w:rsidRPr="000E19AE">
        <w:rPr>
          <w:rFonts w:eastAsia="Calibri"/>
        </w:rPr>
        <w:t>OS</w:t>
      </w:r>
      <w:r w:rsidR="009C64F5" w:rsidRPr="000E19AE">
        <w:rPr>
          <w:rFonts w:eastAsia="Calibri"/>
        </w:rPr>
        <w:t xml:space="preserve"> </w:t>
      </w:r>
      <w:r w:rsidR="00E42EB6" w:rsidRPr="000E19AE">
        <w:rPr>
          <w:rFonts w:eastAsia="Calibri"/>
        </w:rPr>
        <w:t>=</w:t>
      </w:r>
      <w:r w:rsidR="00352AC4" w:rsidRPr="000E19AE">
        <w:rPr>
          <w:rFonts w:eastAsia="Calibri"/>
        </w:rPr>
        <w:t xml:space="preserve"> </w:t>
      </w:r>
      <w:r w:rsidRPr="000E19AE">
        <w:rPr>
          <w:rFonts w:eastAsia="Calibri"/>
        </w:rPr>
        <w:t>overall survival</w:t>
      </w:r>
      <w:r w:rsidR="00CD0AA9" w:rsidRPr="000E19AE">
        <w:rPr>
          <w:rFonts w:eastAsia="Calibri"/>
        </w:rPr>
        <w:t>;</w:t>
      </w:r>
      <w:r w:rsidRPr="000E19AE">
        <w:rPr>
          <w:rFonts w:eastAsia="Calibri"/>
        </w:rPr>
        <w:t xml:space="preserve"> PFS</w:t>
      </w:r>
      <w:r w:rsidR="009C64F5" w:rsidRPr="000E19AE">
        <w:rPr>
          <w:rFonts w:eastAsia="Calibri"/>
        </w:rPr>
        <w:t xml:space="preserve"> </w:t>
      </w:r>
      <w:r w:rsidR="00E42EB6" w:rsidRPr="000E19AE">
        <w:rPr>
          <w:rFonts w:eastAsia="Calibri"/>
        </w:rPr>
        <w:t>=</w:t>
      </w:r>
      <w:r w:rsidRPr="000E19AE">
        <w:rPr>
          <w:rFonts w:eastAsia="Calibri"/>
        </w:rPr>
        <w:t xml:space="preserve"> progression</w:t>
      </w:r>
      <w:r w:rsidR="004576EE">
        <w:rPr>
          <w:rFonts w:eastAsia="Calibri"/>
        </w:rPr>
        <w:t>-</w:t>
      </w:r>
      <w:r w:rsidRPr="000E19AE">
        <w:rPr>
          <w:rFonts w:eastAsia="Calibri"/>
        </w:rPr>
        <w:t>free survival</w:t>
      </w:r>
      <w:r w:rsidR="00CD0AA9" w:rsidRPr="000E19AE">
        <w:rPr>
          <w:rFonts w:eastAsia="Calibri"/>
        </w:rPr>
        <w:t>;</w:t>
      </w:r>
      <w:r w:rsidRPr="000E19AE">
        <w:rPr>
          <w:rFonts w:eastAsia="Calibri"/>
        </w:rPr>
        <w:t xml:space="preserve"> </w:t>
      </w:r>
      <w:r w:rsidR="004061B4" w:rsidRPr="000E19AE">
        <w:rPr>
          <w:rFonts w:eastAsia="Calibri"/>
        </w:rPr>
        <w:t>SOC</w:t>
      </w:r>
      <w:r w:rsidR="00352AC4" w:rsidRPr="000E19AE">
        <w:rPr>
          <w:rFonts w:eastAsia="Calibri"/>
        </w:rPr>
        <w:t xml:space="preserve"> =</w:t>
      </w:r>
      <w:r w:rsidR="004061B4" w:rsidRPr="000E19AE">
        <w:rPr>
          <w:rFonts w:eastAsia="Calibri"/>
        </w:rPr>
        <w:t xml:space="preserve"> standard or care.</w:t>
      </w:r>
    </w:p>
    <w:p w:rsidR="00310DD0" w:rsidRPr="000E19AE" w:rsidRDefault="00310DD0" w:rsidP="002A5649">
      <w:pPr>
        <w:pStyle w:val="Heading1"/>
        <w:ind w:left="709" w:hanging="709"/>
      </w:pPr>
      <w:bookmarkStart w:id="4" w:name="_Toc492274916"/>
      <w:r w:rsidRPr="000E19AE">
        <w:t>Requested listing</w:t>
      </w:r>
      <w:bookmarkEnd w:id="3"/>
      <w:bookmarkEnd w:id="4"/>
    </w:p>
    <w:p w:rsidR="008620A9" w:rsidRPr="007A1E9B" w:rsidRDefault="008620A9" w:rsidP="00D44CB9">
      <w:pPr>
        <w:pStyle w:val="ListParagraph"/>
        <w:numPr>
          <w:ilvl w:val="1"/>
          <w:numId w:val="12"/>
        </w:numPr>
        <w:spacing w:before="0" w:after="120"/>
        <w:jc w:val="both"/>
        <w:rPr>
          <w:color w:val="000000" w:themeColor="text1"/>
        </w:rPr>
      </w:pPr>
      <w:r w:rsidRPr="007A1E9B">
        <w:rPr>
          <w:color w:val="000000" w:themeColor="text1"/>
        </w:rPr>
        <w:t xml:space="preserve">The requested restriction </w:t>
      </w:r>
      <w:r w:rsidR="003B073D" w:rsidRPr="007A1E9B">
        <w:rPr>
          <w:color w:val="000000" w:themeColor="text1"/>
        </w:rPr>
        <w:t>wa</w:t>
      </w:r>
      <w:r w:rsidRPr="007A1E9B">
        <w:rPr>
          <w:color w:val="000000" w:themeColor="text1"/>
        </w:rPr>
        <w:t xml:space="preserve">s for three separate </w:t>
      </w:r>
      <w:r w:rsidR="006E2958" w:rsidRPr="007A1E9B">
        <w:rPr>
          <w:color w:val="000000" w:themeColor="text1"/>
        </w:rPr>
        <w:t>settings</w:t>
      </w:r>
      <w:r w:rsidRPr="007A1E9B">
        <w:rPr>
          <w:color w:val="000000" w:themeColor="text1"/>
        </w:rPr>
        <w:t>: i) initial treatment, ii) continuing treatment, and iii) grandfathering provisions.</w:t>
      </w:r>
      <w:r w:rsidR="00AA5F4B" w:rsidRPr="007A1E9B">
        <w:rPr>
          <w:color w:val="000000" w:themeColor="text1"/>
        </w:rPr>
        <w:t xml:space="preserve"> </w:t>
      </w:r>
      <w:r w:rsidR="00AA5F4B" w:rsidRPr="007A1E9B">
        <w:rPr>
          <w:rFonts w:ascii="Calibri" w:eastAsia="SimSun" w:hAnsi="Calibri" w:cs="Arial"/>
          <w:iCs/>
          <w:color w:val="000000"/>
        </w:rPr>
        <w:t>Suggestions and additions proposed by the Secretariat to the requested listing are added in italics and suggested deletions are crossed out with strikethrough.</w:t>
      </w:r>
    </w:p>
    <w:p w:rsidR="008620A9" w:rsidRPr="000E19AE" w:rsidRDefault="008620A9" w:rsidP="008620A9">
      <w:pPr>
        <w:keepNext/>
        <w:spacing w:after="120"/>
        <w:jc w:val="both"/>
        <w:rPr>
          <w:rFonts w:ascii="Arial Narrow" w:eastAsia="Calibri" w:hAnsi="Arial Narrow"/>
          <w:b/>
          <w:bCs/>
          <w:sz w:val="20"/>
          <w:szCs w:val="20"/>
        </w:rPr>
      </w:pPr>
      <w:r w:rsidRPr="000E19AE">
        <w:rPr>
          <w:rFonts w:ascii="Arial Narrow" w:eastAsia="Calibri" w:hAnsi="Arial Narrow"/>
          <w:b/>
          <w:bCs/>
          <w:sz w:val="20"/>
          <w:szCs w:val="20"/>
        </w:rPr>
        <w:lastRenderedPageBreak/>
        <w:t>Table</w:t>
      </w:r>
      <w:r w:rsidR="003C5625" w:rsidRPr="000E19AE">
        <w:rPr>
          <w:rFonts w:ascii="Arial Narrow" w:eastAsia="Calibri" w:hAnsi="Arial Narrow"/>
          <w:b/>
          <w:bCs/>
          <w:sz w:val="20"/>
          <w:szCs w:val="20"/>
        </w:rPr>
        <w:t xml:space="preserve"> 2</w:t>
      </w:r>
      <w:r w:rsidRPr="000E19AE">
        <w:rPr>
          <w:rFonts w:ascii="Arial Narrow" w:eastAsia="Calibri" w:hAnsi="Arial Narrow"/>
          <w:b/>
          <w:bCs/>
          <w:noProof/>
          <w:sz w:val="20"/>
          <w:szCs w:val="20"/>
        </w:rPr>
        <w:t xml:space="preserve">: </w:t>
      </w:r>
      <w:r w:rsidRPr="000E19AE">
        <w:rPr>
          <w:rFonts w:ascii="Arial Narrow" w:eastAsia="Calibri" w:hAnsi="Arial Narrow"/>
          <w:b/>
          <w:bCs/>
          <w:sz w:val="20"/>
          <w:szCs w:val="20"/>
        </w:rPr>
        <w:t>Proposed PBS restriction wording for pembrolizumab: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4"/>
        <w:gridCol w:w="848"/>
        <w:gridCol w:w="710"/>
        <w:gridCol w:w="2083"/>
        <w:gridCol w:w="2231"/>
      </w:tblGrid>
      <w:tr w:rsidR="00E42EB6" w:rsidRPr="000E19AE">
        <w:trPr>
          <w:cantSplit/>
          <w:trHeight w:val="471"/>
        </w:trPr>
        <w:tc>
          <w:tcPr>
            <w:tcW w:w="1823" w:type="pct"/>
            <w:gridSpan w:val="2"/>
            <w:tcBorders>
              <w:top w:val="nil"/>
              <w:left w:val="nil"/>
              <w:bottom w:val="nil"/>
              <w:right w:val="nil"/>
            </w:tcBorders>
          </w:tcPr>
          <w:p w:rsidR="00E42EB6" w:rsidRPr="000E19AE" w:rsidRDefault="00E42EB6" w:rsidP="002A5649">
            <w:pPr>
              <w:keepNext/>
              <w:spacing w:before="0" w:after="0" w:line="256" w:lineRule="auto"/>
              <w:rPr>
                <w:rFonts w:ascii="Arial Narrow" w:eastAsia="Calibri" w:hAnsi="Arial Narrow" w:cs="Arial"/>
                <w:b/>
                <w:sz w:val="20"/>
                <w:szCs w:val="20"/>
              </w:rPr>
            </w:pPr>
            <w:r w:rsidRPr="000E19AE">
              <w:rPr>
                <w:rFonts w:ascii="Arial Narrow" w:eastAsia="Calibri" w:hAnsi="Arial Narrow" w:cs="Arial"/>
                <w:b/>
                <w:sz w:val="20"/>
                <w:szCs w:val="20"/>
              </w:rPr>
              <w:t>Name, Restriction,</w:t>
            </w:r>
          </w:p>
          <w:p w:rsidR="00E42EB6" w:rsidRPr="000E19AE" w:rsidRDefault="00E42EB6" w:rsidP="002A5649">
            <w:pPr>
              <w:keepNext/>
              <w:spacing w:before="0" w:after="0" w:line="256" w:lineRule="auto"/>
              <w:rPr>
                <w:rFonts w:ascii="Arial Narrow" w:eastAsia="Calibri" w:hAnsi="Arial Narrow" w:cs="Arial"/>
                <w:b/>
                <w:sz w:val="20"/>
                <w:szCs w:val="20"/>
              </w:rPr>
            </w:pPr>
            <w:r w:rsidRPr="000E19AE">
              <w:rPr>
                <w:rFonts w:ascii="Arial Narrow" w:eastAsia="Calibri" w:hAnsi="Arial Narrow" w:cs="Arial"/>
                <w:b/>
                <w:sz w:val="20"/>
                <w:szCs w:val="20"/>
              </w:rPr>
              <w:t>Manner of administration and form</w:t>
            </w:r>
          </w:p>
        </w:tc>
        <w:tc>
          <w:tcPr>
            <w:tcW w:w="459" w:type="pc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Max.</w:t>
            </w:r>
          </w:p>
          <w:p w:rsidR="00E42EB6" w:rsidRPr="000E19AE" w:rsidRDefault="00E42EB6" w:rsidP="00E42EB6">
            <w:pPr>
              <w:keepNext/>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Amount</w:t>
            </w:r>
          </w:p>
        </w:tc>
        <w:tc>
          <w:tcPr>
            <w:tcW w:w="384" w:type="pc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w:t>
            </w:r>
            <w:r w:rsidR="00665023" w:rsidRPr="000E19AE">
              <w:rPr>
                <w:rFonts w:ascii="Arial Narrow" w:eastAsia="Calibri" w:hAnsi="Arial Narrow" w:cs="Arial"/>
                <w:b/>
                <w:sz w:val="20"/>
                <w:szCs w:val="20"/>
              </w:rPr>
              <w:t xml:space="preserve"> </w:t>
            </w:r>
            <w:r w:rsidRPr="000E19AE">
              <w:rPr>
                <w:rFonts w:ascii="Arial Narrow" w:eastAsia="Calibri" w:hAnsi="Arial Narrow" w:cs="Arial"/>
                <w:b/>
                <w:sz w:val="20"/>
                <w:szCs w:val="20"/>
              </w:rPr>
              <w:t>of</w:t>
            </w:r>
          </w:p>
          <w:p w:rsidR="00E42EB6" w:rsidRPr="000E19AE" w:rsidRDefault="00E42EB6" w:rsidP="00E42EB6">
            <w:pPr>
              <w:keepNext/>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Rpts</w:t>
            </w:r>
          </w:p>
        </w:tc>
        <w:tc>
          <w:tcPr>
            <w:tcW w:w="1127" w:type="pct"/>
            <w:tcBorders>
              <w:top w:val="nil"/>
              <w:left w:val="nil"/>
              <w:bottom w:val="nil"/>
              <w:right w:val="nil"/>
            </w:tcBorders>
          </w:tcPr>
          <w:p w:rsidR="00E42EB6" w:rsidRPr="000E19AE" w:rsidRDefault="00E42EB6" w:rsidP="008E4121">
            <w:pPr>
              <w:keepNext/>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 xml:space="preserve">Dispensed Price for Max. </w:t>
            </w:r>
            <w:r w:rsidR="008E4121">
              <w:rPr>
                <w:rFonts w:ascii="Arial Narrow" w:eastAsia="Calibri" w:hAnsi="Arial Narrow" w:cs="Arial"/>
                <w:b/>
                <w:sz w:val="20"/>
                <w:szCs w:val="20"/>
              </w:rPr>
              <w:t>Amount</w:t>
            </w:r>
          </w:p>
        </w:tc>
        <w:tc>
          <w:tcPr>
            <w:tcW w:w="1207" w:type="pc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Proprietary Name and Manufacturer</w:t>
            </w:r>
          </w:p>
        </w:tc>
      </w:tr>
      <w:tr w:rsidR="00E42EB6" w:rsidRPr="000E19AE">
        <w:trPr>
          <w:cantSplit/>
          <w:trHeight w:val="577"/>
        </w:trPr>
        <w:tc>
          <w:tcPr>
            <w:tcW w:w="1823" w:type="pct"/>
            <w:gridSpan w:val="2"/>
            <w:tcBorders>
              <w:top w:val="nil"/>
              <w:left w:val="nil"/>
              <w:bottom w:val="nil"/>
              <w:right w:val="nil"/>
            </w:tcBorders>
          </w:tcPr>
          <w:p w:rsidR="00E42EB6" w:rsidRPr="000E19AE" w:rsidRDefault="00E42EB6" w:rsidP="002A5649">
            <w:pPr>
              <w:keepNext/>
              <w:spacing w:before="0" w:after="0" w:line="256" w:lineRule="auto"/>
              <w:rPr>
                <w:rFonts w:ascii="Arial Narrow" w:eastAsia="Calibri" w:hAnsi="Arial Narrow" w:cs="Arial"/>
                <w:sz w:val="20"/>
                <w:szCs w:val="20"/>
              </w:rPr>
            </w:pPr>
            <w:r w:rsidRPr="000E19AE">
              <w:rPr>
                <w:rFonts w:ascii="Arial Narrow" w:eastAsia="Calibri" w:hAnsi="Arial Narrow" w:cs="Arial"/>
                <w:sz w:val="20"/>
                <w:szCs w:val="20"/>
              </w:rPr>
              <w:t xml:space="preserve">PEMBOLIZUMAB </w:t>
            </w:r>
          </w:p>
          <w:p w:rsidR="00E42EB6" w:rsidRPr="000E19AE" w:rsidRDefault="00E42EB6" w:rsidP="002A5649">
            <w:pPr>
              <w:keepNext/>
              <w:spacing w:before="0" w:after="0" w:line="256" w:lineRule="auto"/>
              <w:rPr>
                <w:rFonts w:ascii="Arial Narrow" w:eastAsia="Calibri" w:hAnsi="Arial Narrow" w:cs="Arial"/>
                <w:sz w:val="20"/>
                <w:szCs w:val="20"/>
              </w:rPr>
            </w:pPr>
            <w:r w:rsidRPr="000E19AE">
              <w:rPr>
                <w:rFonts w:ascii="Arial Narrow" w:eastAsia="Calibri" w:hAnsi="Arial Narrow" w:cs="Arial"/>
                <w:sz w:val="20"/>
                <w:szCs w:val="20"/>
              </w:rPr>
              <w:t>100 mg vial for infusion; 1 x 100 mg vial</w:t>
            </w:r>
          </w:p>
        </w:tc>
        <w:tc>
          <w:tcPr>
            <w:tcW w:w="459" w:type="pc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sz w:val="20"/>
                <w:szCs w:val="20"/>
              </w:rPr>
            </w:pPr>
          </w:p>
          <w:p w:rsidR="00E42EB6" w:rsidRPr="000E19AE" w:rsidRDefault="00E42EB6" w:rsidP="00E42EB6">
            <w:pPr>
              <w:keepNext/>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200 mg</w:t>
            </w:r>
          </w:p>
        </w:tc>
        <w:tc>
          <w:tcPr>
            <w:tcW w:w="384" w:type="pc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sz w:val="20"/>
                <w:szCs w:val="20"/>
              </w:rPr>
            </w:pPr>
          </w:p>
          <w:p w:rsidR="00E42EB6" w:rsidRPr="000E19AE" w:rsidRDefault="00812910" w:rsidP="00E42EB6">
            <w:pPr>
              <w:keepNext/>
              <w:spacing w:before="0" w:after="0" w:line="256" w:lineRule="auto"/>
              <w:jc w:val="both"/>
              <w:rPr>
                <w:rFonts w:ascii="Arial Narrow" w:eastAsia="Calibri" w:hAnsi="Arial Narrow" w:cs="Arial"/>
                <w:sz w:val="20"/>
                <w:szCs w:val="20"/>
              </w:rPr>
            </w:pPr>
            <w:r w:rsidRPr="00542C0C">
              <w:rPr>
                <w:rFonts w:ascii="Arial Narrow" w:hAnsi="Arial Narrow" w:cs="Arial"/>
                <w:strike/>
                <w:sz w:val="20"/>
                <w:szCs w:val="20"/>
              </w:rPr>
              <w:t>5</w:t>
            </w:r>
            <w:r>
              <w:rPr>
                <w:rFonts w:ascii="Arial Narrow" w:hAnsi="Arial Narrow" w:cs="Arial"/>
                <w:i/>
                <w:sz w:val="20"/>
                <w:szCs w:val="20"/>
              </w:rPr>
              <w:t>6</w:t>
            </w:r>
          </w:p>
        </w:tc>
        <w:tc>
          <w:tcPr>
            <w:tcW w:w="1127" w:type="pct"/>
            <w:tcBorders>
              <w:top w:val="nil"/>
              <w:left w:val="nil"/>
              <w:bottom w:val="nil"/>
              <w:right w:val="nil"/>
            </w:tcBorders>
          </w:tcPr>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Published</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Pr="008E4121">
              <w:rPr>
                <w:rFonts w:ascii="Arial Narrow" w:hAnsi="Arial Narrow"/>
                <w:sz w:val="20"/>
                <w:szCs w:val="20"/>
              </w:rPr>
              <w:t>9,023.22</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Private: $</w:t>
            </w:r>
            <w:r w:rsidRPr="008E4121">
              <w:rPr>
                <w:rFonts w:ascii="Arial Narrow" w:hAnsi="Arial Narrow"/>
                <w:sz w:val="20"/>
                <w:szCs w:val="20"/>
              </w:rPr>
              <w:t>9,186.18</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Effective</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001E368B">
              <w:rPr>
                <w:rFonts w:ascii="Arial Narrow" w:hAnsi="Arial Narrow"/>
                <w:noProof/>
                <w:color w:val="000000"/>
                <w:sz w:val="20"/>
                <w:szCs w:val="20"/>
                <w:highlight w:val="black"/>
              </w:rPr>
              <w:t>'''''''''''''''''''''</w:t>
            </w:r>
          </w:p>
          <w:p w:rsidR="00E42EB6" w:rsidRPr="000E19AE" w:rsidRDefault="00B91860" w:rsidP="00B91860">
            <w:pPr>
              <w:keepNext/>
              <w:spacing w:before="0" w:after="0" w:line="256" w:lineRule="auto"/>
              <w:jc w:val="both"/>
              <w:rPr>
                <w:rFonts w:ascii="Arial Narrow" w:eastAsia="Calibri" w:hAnsi="Arial Narrow" w:cs="Arial"/>
                <w:sz w:val="20"/>
                <w:szCs w:val="20"/>
              </w:rPr>
            </w:pPr>
            <w:r w:rsidRPr="000E19AE">
              <w:rPr>
                <w:rFonts w:ascii="Arial Narrow" w:hAnsi="Arial Narrow"/>
                <w:sz w:val="20"/>
                <w:szCs w:val="20"/>
              </w:rPr>
              <w:t>Private: $</w:t>
            </w:r>
            <w:r w:rsidR="001E368B">
              <w:rPr>
                <w:rFonts w:ascii="Arial Narrow" w:hAnsi="Arial Narrow"/>
                <w:noProof/>
                <w:color w:val="000000"/>
                <w:sz w:val="20"/>
                <w:szCs w:val="20"/>
                <w:highlight w:val="black"/>
              </w:rPr>
              <w:t>''''''''''''''''''''</w:t>
            </w:r>
          </w:p>
        </w:tc>
        <w:tc>
          <w:tcPr>
            <w:tcW w:w="1207" w:type="pct"/>
            <w:vMerge w:val="restar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sz w:val="20"/>
                <w:szCs w:val="20"/>
              </w:rPr>
            </w:pPr>
          </w:p>
          <w:p w:rsidR="00B540BE" w:rsidRDefault="00B540BE" w:rsidP="00B540BE">
            <w:pPr>
              <w:keepNext/>
              <w:spacing w:before="0" w:after="0" w:line="256" w:lineRule="auto"/>
              <w:jc w:val="both"/>
              <w:rPr>
                <w:rFonts w:ascii="Arial Narrow" w:eastAsia="Calibri" w:hAnsi="Arial Narrow" w:cs="Arial"/>
                <w:sz w:val="20"/>
                <w:szCs w:val="20"/>
              </w:rPr>
            </w:pPr>
            <w:r>
              <w:rPr>
                <w:rFonts w:ascii="Arial Narrow" w:hAnsi="Arial Narrow" w:cs="Arial"/>
                <w:sz w:val="20"/>
                <w:szCs w:val="20"/>
              </w:rPr>
              <w:t>Keytruda</w:t>
            </w:r>
            <w:r w:rsidRPr="00FF044C">
              <w:rPr>
                <w:rFonts w:ascii="Arial Narrow" w:hAnsi="Arial Narrow"/>
                <w:sz w:val="20"/>
                <w:vertAlign w:val="superscript"/>
              </w:rPr>
              <w:t>®</w:t>
            </w:r>
            <w:r w:rsidR="00E42EB6" w:rsidRPr="000E19AE">
              <w:rPr>
                <w:rFonts w:ascii="Arial Narrow" w:eastAsia="Calibri" w:hAnsi="Arial Narrow" w:cs="Arial"/>
                <w:sz w:val="20"/>
                <w:szCs w:val="20"/>
              </w:rPr>
              <w:t xml:space="preserve"> </w:t>
            </w:r>
          </w:p>
          <w:p w:rsidR="00E42EB6" w:rsidRPr="000E19AE" w:rsidRDefault="00B540BE" w:rsidP="00B540BE">
            <w:pPr>
              <w:keepNext/>
              <w:spacing w:before="0" w:after="0" w:line="256" w:lineRule="auto"/>
              <w:jc w:val="both"/>
              <w:rPr>
                <w:rFonts w:ascii="Arial Narrow" w:eastAsia="Calibri" w:hAnsi="Arial Narrow" w:cs="Arial"/>
                <w:sz w:val="20"/>
                <w:szCs w:val="20"/>
              </w:rPr>
            </w:pPr>
            <w:r>
              <w:rPr>
                <w:rFonts w:ascii="Arial Narrow" w:hAnsi="Arial Narrow" w:cs="Arial"/>
                <w:sz w:val="20"/>
                <w:szCs w:val="20"/>
              </w:rPr>
              <w:t xml:space="preserve">Merck Sharp &amp; </w:t>
            </w:r>
            <w:r w:rsidRPr="007B3FDF">
              <w:rPr>
                <w:rFonts w:ascii="Arial Narrow" w:hAnsi="Arial Narrow" w:cs="Arial"/>
                <w:sz w:val="20"/>
                <w:szCs w:val="20"/>
              </w:rPr>
              <w:t>Dohme (Australia) Pty Ltd</w:t>
            </w:r>
            <w:r w:rsidRPr="000E19AE" w:rsidDel="00B540BE">
              <w:rPr>
                <w:rFonts w:ascii="Arial Narrow" w:eastAsia="Calibri" w:hAnsi="Arial Narrow" w:cs="Arial"/>
                <w:sz w:val="20"/>
                <w:szCs w:val="20"/>
              </w:rPr>
              <w:t xml:space="preserve"> </w:t>
            </w:r>
          </w:p>
        </w:tc>
      </w:tr>
      <w:tr w:rsidR="00E42EB6" w:rsidRPr="000E19AE">
        <w:trPr>
          <w:cantSplit/>
          <w:trHeight w:val="487"/>
        </w:trPr>
        <w:tc>
          <w:tcPr>
            <w:tcW w:w="1823" w:type="pct"/>
            <w:gridSpan w:val="2"/>
            <w:tcBorders>
              <w:top w:val="nil"/>
              <w:left w:val="nil"/>
              <w:bottom w:val="nil"/>
              <w:right w:val="nil"/>
            </w:tcBorders>
          </w:tcPr>
          <w:p w:rsidR="00E42EB6" w:rsidRPr="000E19AE" w:rsidRDefault="00E42EB6" w:rsidP="002A5649">
            <w:pPr>
              <w:keepNext/>
              <w:spacing w:before="0" w:after="0" w:line="256" w:lineRule="auto"/>
              <w:rPr>
                <w:rFonts w:ascii="Arial Narrow" w:eastAsia="Calibri" w:hAnsi="Arial Narrow" w:cs="Arial"/>
                <w:sz w:val="20"/>
                <w:szCs w:val="20"/>
              </w:rPr>
            </w:pPr>
            <w:r w:rsidRPr="000E19AE">
              <w:rPr>
                <w:rFonts w:ascii="Arial Narrow" w:eastAsia="Calibri" w:hAnsi="Arial Narrow" w:cs="Arial"/>
                <w:sz w:val="20"/>
                <w:szCs w:val="20"/>
              </w:rPr>
              <w:t>50 mg vial for infusion; 1 x 50 mg vial</w:t>
            </w:r>
          </w:p>
        </w:tc>
        <w:tc>
          <w:tcPr>
            <w:tcW w:w="459" w:type="pct"/>
            <w:tcBorders>
              <w:top w:val="nil"/>
              <w:left w:val="nil"/>
              <w:bottom w:val="nil"/>
              <w:right w:val="nil"/>
            </w:tcBorders>
          </w:tcPr>
          <w:p w:rsidR="00E42EB6" w:rsidRPr="000E19AE" w:rsidRDefault="00E42EB6" w:rsidP="00E42EB6">
            <w:pPr>
              <w:keepNext/>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200 mg</w:t>
            </w:r>
          </w:p>
        </w:tc>
        <w:tc>
          <w:tcPr>
            <w:tcW w:w="384" w:type="pct"/>
            <w:tcBorders>
              <w:top w:val="nil"/>
              <w:left w:val="nil"/>
              <w:bottom w:val="nil"/>
              <w:right w:val="nil"/>
            </w:tcBorders>
          </w:tcPr>
          <w:p w:rsidR="00E42EB6" w:rsidRPr="000E19AE" w:rsidRDefault="00812910" w:rsidP="00E42EB6">
            <w:pPr>
              <w:keepNext/>
              <w:spacing w:before="0" w:after="0" w:line="256" w:lineRule="auto"/>
              <w:jc w:val="both"/>
              <w:rPr>
                <w:rFonts w:ascii="Arial Narrow" w:eastAsia="Calibri" w:hAnsi="Arial Narrow" w:cs="Arial"/>
                <w:sz w:val="20"/>
                <w:szCs w:val="20"/>
              </w:rPr>
            </w:pPr>
            <w:r w:rsidRPr="00542C0C">
              <w:rPr>
                <w:rFonts w:ascii="Arial Narrow" w:hAnsi="Arial Narrow" w:cs="Arial"/>
                <w:strike/>
                <w:sz w:val="20"/>
                <w:szCs w:val="20"/>
              </w:rPr>
              <w:t>5</w:t>
            </w:r>
            <w:r>
              <w:rPr>
                <w:rFonts w:ascii="Arial Narrow" w:hAnsi="Arial Narrow" w:cs="Arial"/>
                <w:i/>
                <w:sz w:val="20"/>
                <w:szCs w:val="20"/>
              </w:rPr>
              <w:t>6</w:t>
            </w:r>
          </w:p>
        </w:tc>
        <w:tc>
          <w:tcPr>
            <w:tcW w:w="1127" w:type="pct"/>
            <w:tcBorders>
              <w:top w:val="nil"/>
              <w:left w:val="nil"/>
              <w:bottom w:val="nil"/>
              <w:right w:val="nil"/>
            </w:tcBorders>
          </w:tcPr>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Published</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Pr="008E4121">
              <w:rPr>
                <w:rFonts w:ascii="Arial Narrow" w:hAnsi="Arial Narrow"/>
                <w:sz w:val="20"/>
                <w:szCs w:val="20"/>
              </w:rPr>
              <w:t>9,023.22</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Private: $</w:t>
            </w:r>
            <w:r w:rsidRPr="008E4121">
              <w:rPr>
                <w:rFonts w:ascii="Arial Narrow" w:hAnsi="Arial Narrow"/>
                <w:sz w:val="20"/>
                <w:szCs w:val="20"/>
              </w:rPr>
              <w:t>9,186.18</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Effective</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001E368B">
              <w:rPr>
                <w:rFonts w:ascii="Arial Narrow" w:hAnsi="Arial Narrow"/>
                <w:noProof/>
                <w:color w:val="000000"/>
                <w:sz w:val="20"/>
                <w:szCs w:val="20"/>
                <w:highlight w:val="black"/>
              </w:rPr>
              <w:t>'''''''''''''''''''</w:t>
            </w:r>
          </w:p>
          <w:p w:rsidR="00E42EB6" w:rsidRPr="000E19AE" w:rsidRDefault="00B91860" w:rsidP="00B91860">
            <w:pPr>
              <w:keepNext/>
              <w:spacing w:before="0" w:after="0" w:line="256" w:lineRule="auto"/>
              <w:jc w:val="both"/>
              <w:rPr>
                <w:rFonts w:ascii="Arial Narrow" w:eastAsia="Calibri" w:hAnsi="Arial Narrow" w:cs="Arial"/>
                <w:sz w:val="20"/>
                <w:szCs w:val="20"/>
              </w:rPr>
            </w:pPr>
            <w:r w:rsidRPr="000E19AE">
              <w:rPr>
                <w:rFonts w:ascii="Arial Narrow" w:hAnsi="Arial Narrow"/>
                <w:sz w:val="20"/>
                <w:szCs w:val="20"/>
              </w:rPr>
              <w:t>Private: $</w:t>
            </w:r>
            <w:r w:rsidR="001E368B">
              <w:rPr>
                <w:rFonts w:ascii="Arial Narrow" w:hAnsi="Arial Narrow"/>
                <w:noProof/>
                <w:color w:val="000000"/>
                <w:sz w:val="20"/>
                <w:szCs w:val="20"/>
                <w:highlight w:val="black"/>
              </w:rPr>
              <w:t>''''''''''''''''''''''</w:t>
            </w:r>
          </w:p>
        </w:tc>
        <w:tc>
          <w:tcPr>
            <w:tcW w:w="0" w:type="auto"/>
            <w:vMerge/>
            <w:tcBorders>
              <w:top w:val="nil"/>
              <w:left w:val="nil"/>
              <w:bottom w:val="nil"/>
              <w:right w:val="nil"/>
            </w:tcBorders>
            <w:vAlign w:val="center"/>
          </w:tcPr>
          <w:p w:rsidR="00E42EB6" w:rsidRPr="000E19AE" w:rsidRDefault="00E42EB6" w:rsidP="00E42EB6">
            <w:pPr>
              <w:spacing w:before="0" w:after="0" w:line="256" w:lineRule="auto"/>
              <w:rPr>
                <w:rFonts w:ascii="Arial Narrow" w:eastAsia="Calibri" w:hAnsi="Arial Narrow" w:cs="Arial"/>
                <w:sz w:val="20"/>
                <w:szCs w:val="20"/>
              </w:rPr>
            </w:pPr>
          </w:p>
        </w:tc>
      </w:tr>
      <w:tr w:rsidR="00FE431E" w:rsidRPr="000E19AE">
        <w:trPr>
          <w:cantSplit/>
          <w:trHeight w:val="360"/>
        </w:trPr>
        <w:tc>
          <w:tcPr>
            <w:tcW w:w="5000" w:type="pct"/>
            <w:gridSpan w:val="6"/>
            <w:tcBorders>
              <w:left w:val="nil"/>
              <w:right w:val="nil"/>
            </w:tcBorders>
          </w:tcPr>
          <w:p w:rsidR="00FE431E" w:rsidRPr="00C33D1F" w:rsidRDefault="00FE431E" w:rsidP="00E42EB6">
            <w:pPr>
              <w:spacing w:before="0" w:after="0" w:line="256" w:lineRule="auto"/>
              <w:jc w:val="both"/>
              <w:rPr>
                <w:rFonts w:ascii="Arial Narrow" w:hAnsi="Arial Narrow" w:cs="Arial"/>
                <w:sz w:val="20"/>
                <w:szCs w:val="20"/>
              </w:rPr>
            </w:pPr>
          </w:p>
        </w:tc>
      </w:tr>
      <w:tr w:rsidR="00812910" w:rsidRPr="000E19AE">
        <w:trPr>
          <w:cantSplit/>
          <w:trHeight w:val="360"/>
        </w:trPr>
        <w:tc>
          <w:tcPr>
            <w:tcW w:w="1285" w:type="pct"/>
          </w:tcPr>
          <w:p w:rsidR="00812910" w:rsidRPr="000E19AE" w:rsidRDefault="0012203D" w:rsidP="00AA5F4B">
            <w:pPr>
              <w:spacing w:before="0" w:after="0" w:line="256" w:lineRule="auto"/>
              <w:jc w:val="both"/>
              <w:rPr>
                <w:rFonts w:ascii="Arial Narrow" w:eastAsia="Calibri" w:hAnsi="Arial Narrow" w:cs="Arial"/>
                <w:sz w:val="20"/>
                <w:szCs w:val="20"/>
              </w:rPr>
            </w:pPr>
            <w:r w:rsidRPr="00260CE3">
              <w:rPr>
                <w:rFonts w:ascii="Arial Narrow" w:hAnsi="Arial Narrow" w:cs="Arial"/>
                <w:b/>
                <w:sz w:val="20"/>
                <w:szCs w:val="20"/>
              </w:rPr>
              <w:t>Category / Program</w:t>
            </w:r>
          </w:p>
        </w:tc>
        <w:tc>
          <w:tcPr>
            <w:tcW w:w="3715" w:type="pct"/>
            <w:gridSpan w:val="5"/>
          </w:tcPr>
          <w:p w:rsidR="00812910" w:rsidRPr="000E19AE" w:rsidRDefault="00812910" w:rsidP="00E42EB6">
            <w:pPr>
              <w:spacing w:before="0" w:after="0" w:line="256" w:lineRule="auto"/>
              <w:jc w:val="both"/>
              <w:rPr>
                <w:rFonts w:ascii="Arial Narrow" w:eastAsia="Calibri"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Prescriber type:</w:t>
            </w:r>
          </w:p>
        </w:tc>
        <w:tc>
          <w:tcPr>
            <w:tcW w:w="3715" w:type="pct"/>
            <w:gridSpan w:val="5"/>
          </w:tcPr>
          <w:p w:rsidR="00812910" w:rsidRPr="00260CE3" w:rsidRDefault="00FD5D27" w:rsidP="00215EAB">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 xml:space="preserve">Dental  </w:t>
            </w:r>
            <w:r w:rsidRPr="00C02D5C">
              <w:rPr>
                <w:rFonts w:ascii="Arial Narrow" w:hAnsi="Arial Narrow" w:cs="Arial"/>
                <w:i/>
                <w:sz w:val="20"/>
                <w:szCs w:val="20"/>
              </w:rPr>
              <w:fldChar w:fldCharType="begin">
                <w:ffData>
                  <w:name w:val=""/>
                  <w:enabled/>
                  <w:calcOnExit w:val="0"/>
                  <w:checkBox>
                    <w:sizeAuto/>
                    <w:default w:val="1"/>
                  </w:checkBox>
                </w:ffData>
              </w:fldChar>
            </w:r>
            <w:r w:rsidR="00812910" w:rsidRPr="00C02D5C">
              <w:rPr>
                <w:rFonts w:ascii="Arial Narrow" w:hAnsi="Arial Narrow" w:cs="Arial"/>
                <w:i/>
                <w:sz w:val="20"/>
                <w:szCs w:val="20"/>
              </w:rPr>
              <w:instrText xml:space="preserve"> FORMCHECKBOX </w:instrText>
            </w:r>
            <w:r w:rsidR="001E368B">
              <w:rPr>
                <w:rFonts w:ascii="Arial Narrow" w:hAnsi="Arial Narrow" w:cs="Arial"/>
                <w:i/>
                <w:sz w:val="20"/>
                <w:szCs w:val="20"/>
              </w:rPr>
            </w:r>
            <w:r w:rsidR="001E368B">
              <w:rPr>
                <w:rFonts w:ascii="Arial Narrow" w:hAnsi="Arial Narrow" w:cs="Arial"/>
                <w:i/>
                <w:sz w:val="20"/>
                <w:szCs w:val="20"/>
              </w:rPr>
              <w:fldChar w:fldCharType="separate"/>
            </w:r>
            <w:r w:rsidRPr="00C02D5C">
              <w:rPr>
                <w:rFonts w:ascii="Arial Narrow" w:hAnsi="Arial Narrow" w:cs="Arial"/>
                <w:i/>
                <w:sz w:val="20"/>
                <w:szCs w:val="20"/>
              </w:rPr>
              <w:fldChar w:fldCharType="end"/>
            </w:r>
            <w:r w:rsidR="00812910" w:rsidRPr="00C02D5C">
              <w:rPr>
                <w:rFonts w:ascii="Arial Narrow" w:hAnsi="Arial Narrow" w:cs="Arial"/>
                <w:i/>
                <w:sz w:val="20"/>
                <w:szCs w:val="20"/>
              </w:rPr>
              <w:t>Medical Practitioners</w:t>
            </w:r>
            <w:r w:rsidR="00812910"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Check3"/>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Optometrists</w:t>
            </w:r>
          </w:p>
          <w:p w:rsidR="00812910" w:rsidRPr="00C33D1F" w:rsidRDefault="00FD5D27" w:rsidP="00E42EB6">
            <w:pPr>
              <w:spacing w:before="0" w:after="0" w:line="256" w:lineRule="auto"/>
              <w:jc w:val="both"/>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Midwives</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Episodicity:</w:t>
            </w:r>
          </w:p>
        </w:tc>
        <w:tc>
          <w:tcPr>
            <w:tcW w:w="3715" w:type="pct"/>
            <w:gridSpan w:val="5"/>
          </w:tcPr>
          <w:p w:rsidR="00812910" w:rsidRPr="00260CE3" w:rsidRDefault="00812910" w:rsidP="00215EAB">
            <w:pPr>
              <w:spacing w:before="0" w:after="0"/>
              <w:rPr>
                <w:rFonts w:ascii="Arial Narrow" w:hAnsi="Arial Narrow" w:cs="Arial"/>
                <w:sz w:val="20"/>
                <w:szCs w:val="20"/>
              </w:rPr>
            </w:pPr>
            <w:r>
              <w:rPr>
                <w:rFonts w:ascii="Arial Narrow" w:hAnsi="Arial Narrow" w:cs="Arial"/>
                <w:sz w:val="20"/>
                <w:szCs w:val="20"/>
              </w:rPr>
              <w:t>NA</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Severity:</w:t>
            </w:r>
          </w:p>
        </w:tc>
        <w:tc>
          <w:tcPr>
            <w:tcW w:w="3715" w:type="pct"/>
            <w:gridSpan w:val="5"/>
          </w:tcPr>
          <w:p w:rsidR="00812910" w:rsidRDefault="00812910" w:rsidP="00215EAB">
            <w:pPr>
              <w:spacing w:before="0" w:after="0"/>
              <w:rPr>
                <w:rFonts w:ascii="Arial Narrow" w:hAnsi="Arial Narrow" w:cs="Arial"/>
                <w:sz w:val="20"/>
                <w:szCs w:val="20"/>
              </w:rPr>
            </w:pPr>
            <w:r w:rsidRPr="00A6197E">
              <w:rPr>
                <w:rFonts w:ascii="Arial Narrow" w:hAnsi="Arial Narrow"/>
                <w:sz w:val="20"/>
                <w:szCs w:val="20"/>
              </w:rPr>
              <w:t>Locally advanced (Stage III) or metastatic (Stage IV)</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Condition:</w:t>
            </w:r>
          </w:p>
        </w:tc>
        <w:tc>
          <w:tcPr>
            <w:tcW w:w="3715" w:type="pct"/>
            <w:gridSpan w:val="5"/>
          </w:tcPr>
          <w:p w:rsidR="00812910" w:rsidRPr="00A6197E" w:rsidRDefault="00812910" w:rsidP="00215EAB">
            <w:pPr>
              <w:spacing w:before="0" w:after="0"/>
              <w:rPr>
                <w:rFonts w:ascii="Arial Narrow" w:hAnsi="Arial Narrow"/>
                <w:sz w:val="20"/>
                <w:szCs w:val="20"/>
              </w:rPr>
            </w:pPr>
            <w:r w:rsidRPr="00A6197E">
              <w:rPr>
                <w:rFonts w:ascii="Arial Narrow" w:hAnsi="Arial Narrow"/>
                <w:sz w:val="20"/>
                <w:szCs w:val="20"/>
              </w:rPr>
              <w:t>Urothelial cancer</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PBS Indication:</w:t>
            </w:r>
          </w:p>
        </w:tc>
        <w:tc>
          <w:tcPr>
            <w:tcW w:w="3715" w:type="pct"/>
            <w:gridSpan w:val="5"/>
          </w:tcPr>
          <w:p w:rsidR="00812910" w:rsidRPr="00A6197E" w:rsidRDefault="00812910" w:rsidP="00215EAB">
            <w:pPr>
              <w:spacing w:before="0" w:after="0"/>
              <w:rPr>
                <w:rFonts w:ascii="Arial Narrow" w:hAnsi="Arial Narrow"/>
                <w:sz w:val="20"/>
                <w:szCs w:val="20"/>
              </w:rPr>
            </w:pPr>
            <w:r w:rsidRPr="00A6197E">
              <w:rPr>
                <w:rFonts w:ascii="Arial Narrow" w:hAnsi="Arial Narrow"/>
                <w:sz w:val="20"/>
                <w:szCs w:val="20"/>
              </w:rPr>
              <w:t>Locally advanced (Stage III) or metastatic (Stage IV) urothelial cancer</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Treatment phase:</w:t>
            </w:r>
          </w:p>
        </w:tc>
        <w:tc>
          <w:tcPr>
            <w:tcW w:w="3715" w:type="pct"/>
            <w:gridSpan w:val="5"/>
          </w:tcPr>
          <w:p w:rsidR="00812910" w:rsidRPr="00A6197E" w:rsidRDefault="00812910" w:rsidP="00215EAB">
            <w:pPr>
              <w:spacing w:before="0" w:after="0"/>
              <w:rPr>
                <w:rFonts w:ascii="Arial Narrow" w:hAnsi="Arial Narrow"/>
                <w:sz w:val="20"/>
                <w:szCs w:val="20"/>
              </w:rPr>
            </w:pPr>
            <w:r w:rsidRPr="00A6197E">
              <w:rPr>
                <w:rFonts w:ascii="Arial Narrow" w:hAnsi="Arial Narrow"/>
                <w:sz w:val="20"/>
                <w:szCs w:val="20"/>
              </w:rPr>
              <w:t>Initial</w:t>
            </w:r>
          </w:p>
        </w:tc>
      </w:tr>
      <w:tr w:rsidR="00812910" w:rsidRPr="000E19AE">
        <w:trPr>
          <w:cantSplit/>
          <w:trHeight w:val="360"/>
        </w:trPr>
        <w:tc>
          <w:tcPr>
            <w:tcW w:w="1285" w:type="pct"/>
          </w:tcPr>
          <w:p w:rsidR="00812910" w:rsidRPr="00260CE3" w:rsidRDefault="0012203D" w:rsidP="00CE7C13">
            <w:pPr>
              <w:spacing w:before="0" w:after="0" w:line="256" w:lineRule="auto"/>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715" w:type="pct"/>
            <w:gridSpan w:val="5"/>
          </w:tcPr>
          <w:p w:rsidR="00812910" w:rsidRPr="00A6197E" w:rsidRDefault="00FD5D27" w:rsidP="00215EAB">
            <w:pPr>
              <w:spacing w:before="0" w:after="0"/>
              <w:rPr>
                <w:rFonts w:ascii="Arial Narrow" w:hAnsi="Arial Narrow"/>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5" w:name="Check5"/>
            <w:r w:rsidR="00812910">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Pr>
                <w:rFonts w:ascii="Arial Narrow" w:hAnsi="Arial Narrow" w:cs="Arial"/>
                <w:sz w:val="20"/>
                <w:szCs w:val="20"/>
              </w:rPr>
              <w:fldChar w:fldCharType="end"/>
            </w:r>
            <w:bookmarkEnd w:id="5"/>
            <w:r w:rsidR="00812910" w:rsidRPr="00106BCF">
              <w:rPr>
                <w:rFonts w:ascii="Arial Narrow" w:hAnsi="Arial Narrow" w:cs="Arial"/>
                <w:sz w:val="20"/>
                <w:szCs w:val="20"/>
              </w:rPr>
              <w:t>Streamlined</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Clinical criteria:</w:t>
            </w:r>
            <w:r w:rsidRPr="00260CE3">
              <w:rPr>
                <w:rFonts w:ascii="Arial Narrow" w:hAnsi="Arial Narrow" w:cs="Arial"/>
                <w:sz w:val="20"/>
                <w:szCs w:val="20"/>
              </w:rPr>
              <w:t xml:space="preserve"> </w:t>
            </w:r>
          </w:p>
        </w:tc>
        <w:tc>
          <w:tcPr>
            <w:tcW w:w="3715" w:type="pct"/>
            <w:gridSpan w:val="5"/>
          </w:tcPr>
          <w:p w:rsidR="00812910" w:rsidRPr="00E25C27" w:rsidRDefault="00812910" w:rsidP="00215EAB">
            <w:pPr>
              <w:spacing w:before="0" w:after="0"/>
              <w:rPr>
                <w:rFonts w:ascii="Arial Narrow" w:hAnsi="Arial Narrow" w:cs="Arial"/>
                <w:sz w:val="20"/>
                <w:szCs w:val="20"/>
              </w:rPr>
            </w:pPr>
            <w:r w:rsidRPr="00E25C27">
              <w:rPr>
                <w:rFonts w:ascii="Arial Narrow" w:hAnsi="Arial Narrow" w:cs="Arial"/>
                <w:sz w:val="20"/>
                <w:szCs w:val="20"/>
              </w:rPr>
              <w:t xml:space="preserve">Treatment must be the sole PBS-subsidised therapy for this condition, </w:t>
            </w:r>
          </w:p>
          <w:p w:rsidR="00812910" w:rsidRPr="00E25C27" w:rsidRDefault="00812910" w:rsidP="00215EAB">
            <w:pPr>
              <w:spacing w:before="0" w:after="0"/>
              <w:rPr>
                <w:rFonts w:ascii="Arial Narrow" w:hAnsi="Arial Narrow" w:cs="Arial"/>
                <w:sz w:val="20"/>
                <w:szCs w:val="20"/>
              </w:rPr>
            </w:pPr>
            <w:r w:rsidRPr="00E25C27">
              <w:rPr>
                <w:rFonts w:ascii="Arial Narrow" w:hAnsi="Arial Narrow" w:cs="Arial"/>
                <w:sz w:val="20"/>
                <w:szCs w:val="20"/>
              </w:rPr>
              <w:t>AND</w:t>
            </w:r>
          </w:p>
          <w:p w:rsidR="00812910" w:rsidRPr="00E25C27" w:rsidRDefault="00812910" w:rsidP="006B3D20">
            <w:pPr>
              <w:spacing w:before="0" w:after="0"/>
              <w:rPr>
                <w:rFonts w:ascii="Arial Narrow" w:hAnsi="Arial Narrow" w:cs="Arial"/>
                <w:sz w:val="20"/>
                <w:szCs w:val="20"/>
              </w:rPr>
            </w:pPr>
            <w:r w:rsidRPr="00E25C27">
              <w:rPr>
                <w:rFonts w:ascii="Arial Narrow" w:hAnsi="Arial Narrow" w:cs="Arial"/>
                <w:sz w:val="20"/>
                <w:szCs w:val="20"/>
              </w:rPr>
              <w:t xml:space="preserve">Patient must have failed a platinum-containing regimen for this condition in the metastatic setting or for inoperable locally advanced disease </w:t>
            </w:r>
          </w:p>
          <w:p w:rsidR="00812910" w:rsidRPr="00E25C27" w:rsidRDefault="00812910" w:rsidP="006B3D20">
            <w:pPr>
              <w:spacing w:before="0" w:after="0"/>
              <w:rPr>
                <w:rFonts w:ascii="Arial Narrow" w:hAnsi="Arial Narrow" w:cs="Arial"/>
                <w:sz w:val="20"/>
                <w:szCs w:val="20"/>
              </w:rPr>
            </w:pPr>
            <w:r w:rsidRPr="00E25C27">
              <w:rPr>
                <w:rFonts w:ascii="Arial Narrow" w:hAnsi="Arial Narrow" w:cs="Arial"/>
                <w:sz w:val="20"/>
                <w:szCs w:val="20"/>
              </w:rPr>
              <w:t>OR</w:t>
            </w:r>
          </w:p>
          <w:p w:rsidR="00812910" w:rsidRPr="00E25C27" w:rsidRDefault="00812910" w:rsidP="006B3D20">
            <w:pPr>
              <w:spacing w:before="0" w:after="0"/>
              <w:rPr>
                <w:rFonts w:ascii="Arial Narrow" w:hAnsi="Arial Narrow" w:cs="Arial"/>
                <w:sz w:val="20"/>
                <w:szCs w:val="20"/>
              </w:rPr>
            </w:pPr>
            <w:r w:rsidRPr="00E25C27">
              <w:rPr>
                <w:rFonts w:ascii="Arial Narrow" w:hAnsi="Arial Narrow" w:cs="Arial"/>
                <w:sz w:val="20"/>
                <w:szCs w:val="20"/>
              </w:rPr>
              <w:t>Patient must have received adjuvant platinum-containing therapy following cystectomy for localised muscle-invasive urothelial cancer, with recurrence or progression ≤12 months following completion of therapy</w:t>
            </w:r>
          </w:p>
          <w:p w:rsidR="00812910" w:rsidRPr="00E25C27" w:rsidRDefault="00812910" w:rsidP="006B3D20">
            <w:pPr>
              <w:spacing w:before="0" w:after="0"/>
              <w:rPr>
                <w:rFonts w:ascii="Arial Narrow" w:hAnsi="Arial Narrow" w:cs="Arial"/>
                <w:sz w:val="20"/>
                <w:szCs w:val="20"/>
              </w:rPr>
            </w:pPr>
            <w:r w:rsidRPr="00E25C27">
              <w:rPr>
                <w:rFonts w:ascii="Arial Narrow" w:hAnsi="Arial Narrow" w:cs="Arial"/>
                <w:sz w:val="20"/>
                <w:szCs w:val="20"/>
              </w:rPr>
              <w:t>OR</w:t>
            </w:r>
          </w:p>
          <w:p w:rsidR="00812910" w:rsidRPr="00E25C27" w:rsidRDefault="00812910" w:rsidP="006B3D20">
            <w:pPr>
              <w:spacing w:before="0" w:after="0"/>
              <w:rPr>
                <w:rFonts w:ascii="Arial Narrow" w:hAnsi="Arial Narrow" w:cs="Arial"/>
                <w:sz w:val="20"/>
                <w:szCs w:val="20"/>
              </w:rPr>
            </w:pPr>
            <w:r w:rsidRPr="00E25C27">
              <w:rPr>
                <w:rFonts w:ascii="Arial Narrow" w:hAnsi="Arial Narrow" w:cs="Arial"/>
                <w:sz w:val="20"/>
                <w:szCs w:val="20"/>
              </w:rPr>
              <w:t xml:space="preserve">Patient must have received neoadjuvant platinum-containing therapy prior to cystectomy for localised muscle-invasive urothelial cancer, with recurrence ≤12 months following completion of therapy; </w:t>
            </w:r>
          </w:p>
          <w:p w:rsidR="00812910" w:rsidRPr="00E25C27" w:rsidRDefault="00812910" w:rsidP="00215EAB">
            <w:pPr>
              <w:spacing w:before="0" w:after="0"/>
              <w:rPr>
                <w:rFonts w:ascii="Arial Narrow" w:hAnsi="Arial Narrow" w:cs="Arial"/>
                <w:sz w:val="20"/>
                <w:szCs w:val="20"/>
              </w:rPr>
            </w:pPr>
            <w:r w:rsidRPr="00E25C27">
              <w:rPr>
                <w:rFonts w:ascii="Arial Narrow" w:hAnsi="Arial Narrow" w:cs="Arial"/>
                <w:sz w:val="20"/>
                <w:szCs w:val="20"/>
              </w:rPr>
              <w:t>AND</w:t>
            </w:r>
          </w:p>
          <w:p w:rsidR="00812910" w:rsidRPr="00C65CD0" w:rsidRDefault="00812910" w:rsidP="00215EAB">
            <w:pPr>
              <w:spacing w:before="0" w:after="0"/>
              <w:rPr>
                <w:rFonts w:ascii="Arial Narrow" w:hAnsi="Arial Narrow" w:cs="Arial"/>
                <w:strike/>
                <w:sz w:val="20"/>
                <w:szCs w:val="20"/>
              </w:rPr>
            </w:pPr>
            <w:r w:rsidRPr="00E25C27">
              <w:rPr>
                <w:rFonts w:ascii="Arial Narrow" w:hAnsi="Arial Narrow" w:cs="Arial"/>
                <w:sz w:val="20"/>
                <w:szCs w:val="20"/>
              </w:rPr>
              <w:t xml:space="preserve">Patient must have a </w:t>
            </w:r>
            <w:r w:rsidRPr="00806511">
              <w:rPr>
                <w:rFonts w:ascii="Arial Narrow" w:hAnsi="Arial Narrow" w:cs="Arial"/>
                <w:strike/>
                <w:sz w:val="20"/>
                <w:szCs w:val="20"/>
              </w:rPr>
              <w:t>World Health Organisation (</w:t>
            </w:r>
            <w:r w:rsidRPr="00E25C27">
              <w:rPr>
                <w:rFonts w:ascii="Arial Narrow" w:hAnsi="Arial Narrow" w:cs="Arial"/>
                <w:sz w:val="20"/>
                <w:szCs w:val="20"/>
              </w:rPr>
              <w:t>WHO</w:t>
            </w:r>
            <w:r w:rsidRPr="00806511">
              <w:rPr>
                <w:rFonts w:ascii="Arial Narrow" w:hAnsi="Arial Narrow" w:cs="Arial"/>
                <w:strike/>
                <w:sz w:val="20"/>
                <w:szCs w:val="20"/>
              </w:rPr>
              <w:t xml:space="preserve">) Eastern Cooperative Oncology Group (ECOG) </w:t>
            </w:r>
            <w:r w:rsidRPr="00E25C27">
              <w:rPr>
                <w:rFonts w:ascii="Arial Narrow" w:hAnsi="Arial Narrow" w:cs="Arial"/>
                <w:sz w:val="20"/>
                <w:szCs w:val="20"/>
              </w:rPr>
              <w:t>performance status score of 2 or less</w:t>
            </w:r>
            <w:r w:rsidRPr="00C65CD0">
              <w:rPr>
                <w:rFonts w:ascii="Arial Narrow" w:hAnsi="Arial Narrow" w:cs="Arial"/>
                <w:strike/>
                <w:sz w:val="20"/>
                <w:szCs w:val="20"/>
              </w:rPr>
              <w:t xml:space="preserve">; </w:t>
            </w:r>
          </w:p>
          <w:p w:rsidR="00812910" w:rsidRPr="00C65CD0" w:rsidRDefault="00812910" w:rsidP="00215EAB">
            <w:pPr>
              <w:spacing w:before="0" w:after="0"/>
              <w:rPr>
                <w:rFonts w:ascii="Arial Narrow" w:hAnsi="Arial Narrow" w:cs="Arial"/>
                <w:strike/>
                <w:sz w:val="20"/>
                <w:szCs w:val="20"/>
              </w:rPr>
            </w:pPr>
            <w:r w:rsidRPr="00C65CD0">
              <w:rPr>
                <w:rFonts w:ascii="Arial Narrow" w:hAnsi="Arial Narrow" w:cs="Arial"/>
                <w:strike/>
                <w:sz w:val="20"/>
                <w:szCs w:val="20"/>
              </w:rPr>
              <w:t>AND</w:t>
            </w:r>
          </w:p>
          <w:p w:rsidR="00812910" w:rsidRPr="00E46877" w:rsidRDefault="00812910" w:rsidP="00215EAB">
            <w:pPr>
              <w:spacing w:before="0" w:after="0"/>
              <w:rPr>
                <w:rFonts w:ascii="Arial Narrow" w:hAnsi="Arial Narrow" w:cs="Arial"/>
                <w:strike/>
                <w:sz w:val="20"/>
                <w:szCs w:val="20"/>
              </w:rPr>
            </w:pPr>
            <w:r w:rsidRPr="00E46877">
              <w:rPr>
                <w:rFonts w:ascii="Arial Narrow" w:hAnsi="Arial Narrow" w:cs="Arial"/>
                <w:strike/>
                <w:sz w:val="20"/>
                <w:szCs w:val="20"/>
              </w:rPr>
              <w:t xml:space="preserve">Treatment must be discontinued in patients who experience disease progression; </w:t>
            </w:r>
          </w:p>
          <w:p w:rsidR="00812910" w:rsidRPr="00E25C27" w:rsidRDefault="00812910" w:rsidP="00215EAB">
            <w:pPr>
              <w:spacing w:before="0" w:after="0"/>
              <w:rPr>
                <w:rFonts w:ascii="Arial Narrow" w:hAnsi="Arial Narrow" w:cs="Arial"/>
                <w:sz w:val="20"/>
                <w:szCs w:val="20"/>
              </w:rPr>
            </w:pPr>
            <w:r w:rsidRPr="00E46877">
              <w:rPr>
                <w:rFonts w:ascii="Arial Narrow" w:hAnsi="Arial Narrow" w:cs="Arial"/>
                <w:strike/>
                <w:sz w:val="20"/>
                <w:szCs w:val="20"/>
              </w:rPr>
              <w:t>AND</w:t>
            </w:r>
          </w:p>
          <w:p w:rsidR="00812910" w:rsidRPr="00106BCF" w:rsidRDefault="00812910" w:rsidP="00215EAB">
            <w:pPr>
              <w:spacing w:before="0" w:after="0"/>
              <w:rPr>
                <w:rFonts w:ascii="Arial Narrow" w:hAnsi="Arial Narrow" w:cs="Arial"/>
                <w:sz w:val="20"/>
                <w:szCs w:val="20"/>
              </w:rPr>
            </w:pPr>
            <w:r w:rsidRPr="00C65CD0">
              <w:rPr>
                <w:rFonts w:ascii="Arial Narrow" w:hAnsi="Arial Narrow" w:cs="Arial"/>
                <w:strike/>
                <w:sz w:val="20"/>
                <w:szCs w:val="20"/>
              </w:rPr>
              <w:t>The treatment must not exceed a total of 6 cycles at a maximum dose of 200 mg every 3 weeks</w:t>
            </w:r>
            <w:r w:rsidRPr="00E25C27">
              <w:rPr>
                <w:rFonts w:ascii="Arial Narrow" w:hAnsi="Arial Narrow" w:cs="Arial"/>
                <w:sz w:val="20"/>
                <w:szCs w:val="20"/>
              </w:rPr>
              <w:t>.</w:t>
            </w:r>
          </w:p>
        </w:tc>
      </w:tr>
      <w:tr w:rsidR="00812910" w:rsidRPr="000E19AE">
        <w:trPr>
          <w:cantSplit/>
          <w:trHeight w:val="360"/>
        </w:trPr>
        <w:tc>
          <w:tcPr>
            <w:tcW w:w="1285" w:type="pct"/>
          </w:tcPr>
          <w:p w:rsidR="00812910" w:rsidRPr="00260CE3" w:rsidRDefault="00812910" w:rsidP="006E2958">
            <w:pPr>
              <w:spacing w:before="0" w:after="0" w:line="256" w:lineRule="auto"/>
              <w:jc w:val="both"/>
              <w:rPr>
                <w:rFonts w:ascii="Arial Narrow" w:hAnsi="Arial Narrow" w:cs="Arial"/>
                <w:b/>
                <w:sz w:val="20"/>
                <w:szCs w:val="20"/>
              </w:rPr>
            </w:pPr>
            <w:r w:rsidRPr="00260CE3">
              <w:rPr>
                <w:rFonts w:ascii="Arial Narrow" w:hAnsi="Arial Narrow" w:cs="Arial"/>
                <w:b/>
                <w:sz w:val="20"/>
                <w:szCs w:val="20"/>
              </w:rPr>
              <w:t>Administrative Advice</w:t>
            </w:r>
          </w:p>
        </w:tc>
        <w:tc>
          <w:tcPr>
            <w:tcW w:w="3715" w:type="pct"/>
            <w:gridSpan w:val="5"/>
          </w:tcPr>
          <w:p w:rsidR="00812910" w:rsidRDefault="00812910" w:rsidP="00215EAB">
            <w:pPr>
              <w:spacing w:before="0" w:after="0"/>
              <w:rPr>
                <w:rFonts w:ascii="Arial Narrow" w:hAnsi="Arial Narrow" w:cs="Arial"/>
                <w:sz w:val="20"/>
                <w:szCs w:val="20"/>
              </w:rPr>
            </w:pPr>
            <w:r w:rsidRPr="00E25C27">
              <w:rPr>
                <w:rFonts w:ascii="Arial Narrow" w:hAnsi="Arial Narrow" w:cs="Arial"/>
                <w:sz w:val="20"/>
                <w:szCs w:val="20"/>
              </w:rPr>
              <w:t xml:space="preserve">No increase in the maximum </w:t>
            </w:r>
            <w:r w:rsidRPr="00C65CD0">
              <w:rPr>
                <w:rFonts w:ascii="Arial Narrow" w:hAnsi="Arial Narrow" w:cs="Arial"/>
                <w:i/>
                <w:sz w:val="20"/>
                <w:szCs w:val="20"/>
              </w:rPr>
              <w:t>quantity or number of units or</w:t>
            </w:r>
            <w:r>
              <w:rPr>
                <w:rFonts w:ascii="Arial Narrow" w:hAnsi="Arial Narrow" w:cs="Arial"/>
                <w:sz w:val="20"/>
                <w:szCs w:val="20"/>
              </w:rPr>
              <w:t xml:space="preserve"> </w:t>
            </w:r>
            <w:r w:rsidRPr="00E25C27">
              <w:rPr>
                <w:rFonts w:ascii="Arial Narrow" w:hAnsi="Arial Narrow" w:cs="Arial"/>
                <w:sz w:val="20"/>
                <w:szCs w:val="20"/>
              </w:rPr>
              <w:t xml:space="preserve">number of </w:t>
            </w:r>
            <w:r>
              <w:rPr>
                <w:rFonts w:ascii="Arial Narrow" w:hAnsi="Arial Narrow" w:cs="Arial"/>
                <w:sz w:val="20"/>
                <w:szCs w:val="20"/>
              </w:rPr>
              <w:t>repeats may</w:t>
            </w:r>
            <w:r w:rsidRPr="00E25C27">
              <w:rPr>
                <w:rFonts w:ascii="Arial Narrow" w:hAnsi="Arial Narrow" w:cs="Arial"/>
                <w:sz w:val="20"/>
                <w:szCs w:val="20"/>
              </w:rPr>
              <w:t xml:space="preserve"> be authorised.</w:t>
            </w:r>
          </w:p>
          <w:p w:rsidR="00812910" w:rsidRPr="00E25C27" w:rsidRDefault="00812910" w:rsidP="00215EAB">
            <w:pPr>
              <w:spacing w:before="0" w:after="0"/>
              <w:rPr>
                <w:rFonts w:ascii="Arial Narrow" w:hAnsi="Arial Narrow" w:cs="Arial"/>
                <w:sz w:val="20"/>
                <w:szCs w:val="20"/>
              </w:rPr>
            </w:pPr>
          </w:p>
          <w:p w:rsidR="00812910" w:rsidRPr="00E25C27" w:rsidRDefault="00812910" w:rsidP="00215EAB">
            <w:pPr>
              <w:spacing w:before="0" w:after="0"/>
              <w:rPr>
                <w:rFonts w:ascii="Arial Narrow" w:hAnsi="Arial Narrow" w:cs="Arial"/>
                <w:sz w:val="20"/>
                <w:szCs w:val="20"/>
              </w:rPr>
            </w:pPr>
            <w:r w:rsidRPr="00E25C27">
              <w:rPr>
                <w:rFonts w:ascii="Arial Narrow" w:hAnsi="Arial Narrow" w:cs="Arial"/>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8620A9" w:rsidRPr="00FF3008" w:rsidRDefault="008620A9" w:rsidP="008620A9">
      <w:pPr>
        <w:pStyle w:val="BodyText"/>
        <w:jc w:val="both"/>
        <w:rPr>
          <w:rFonts w:asciiTheme="minorHAnsi" w:hAnsiTheme="minorHAnsi"/>
          <w:sz w:val="24"/>
          <w:szCs w:val="24"/>
        </w:rPr>
      </w:pPr>
    </w:p>
    <w:p w:rsidR="008620A9" w:rsidRPr="000E19AE" w:rsidRDefault="008620A9" w:rsidP="008620A9">
      <w:pPr>
        <w:keepNext/>
        <w:spacing w:after="120"/>
        <w:jc w:val="both"/>
        <w:rPr>
          <w:rFonts w:ascii="Arial Narrow" w:eastAsia="Calibri" w:hAnsi="Arial Narrow"/>
          <w:b/>
          <w:bCs/>
          <w:sz w:val="20"/>
          <w:szCs w:val="20"/>
        </w:rPr>
      </w:pPr>
      <w:r w:rsidRPr="000E19AE">
        <w:rPr>
          <w:rFonts w:ascii="Arial Narrow" w:eastAsia="Calibri" w:hAnsi="Arial Narrow"/>
          <w:b/>
          <w:bCs/>
          <w:sz w:val="20"/>
          <w:szCs w:val="20"/>
        </w:rPr>
        <w:lastRenderedPageBreak/>
        <w:t>Table</w:t>
      </w:r>
      <w:r w:rsidR="003C5625" w:rsidRPr="000E19AE">
        <w:rPr>
          <w:rFonts w:ascii="Arial Narrow" w:eastAsia="Calibri" w:hAnsi="Arial Narrow"/>
          <w:b/>
          <w:bCs/>
          <w:sz w:val="20"/>
          <w:szCs w:val="20"/>
        </w:rPr>
        <w:t xml:space="preserve"> </w:t>
      </w:r>
      <w:r w:rsidR="00DA78BE" w:rsidRPr="000E19AE">
        <w:rPr>
          <w:rFonts w:ascii="Arial Narrow" w:eastAsia="Calibri" w:hAnsi="Arial Narrow"/>
          <w:b/>
          <w:bCs/>
          <w:sz w:val="20"/>
          <w:szCs w:val="20"/>
        </w:rPr>
        <w:t>3</w:t>
      </w:r>
      <w:r w:rsidRPr="000E19AE">
        <w:rPr>
          <w:rFonts w:ascii="Arial Narrow" w:eastAsia="Calibri" w:hAnsi="Arial Narrow"/>
          <w:b/>
          <w:bCs/>
          <w:noProof/>
          <w:sz w:val="20"/>
          <w:szCs w:val="20"/>
        </w:rPr>
        <w:t xml:space="preserve">: </w:t>
      </w:r>
      <w:r w:rsidRPr="000E19AE">
        <w:rPr>
          <w:rFonts w:ascii="Arial Narrow" w:eastAsia="Calibri" w:hAnsi="Arial Narrow"/>
          <w:b/>
          <w:bCs/>
          <w:sz w:val="20"/>
          <w:szCs w:val="20"/>
        </w:rPr>
        <w:t>Proposed PBS restriction wording for pembrolizumab: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018"/>
        <w:gridCol w:w="856"/>
        <w:gridCol w:w="713"/>
        <w:gridCol w:w="2140"/>
        <w:gridCol w:w="2139"/>
      </w:tblGrid>
      <w:tr w:rsidR="00E42EB6" w:rsidRPr="000E19AE">
        <w:trPr>
          <w:cantSplit/>
          <w:trHeight w:val="471"/>
        </w:trPr>
        <w:tc>
          <w:tcPr>
            <w:tcW w:w="1836" w:type="pct"/>
            <w:gridSpan w:val="2"/>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Name, Restriction,</w:t>
            </w:r>
          </w:p>
          <w:p w:rsidR="00E42EB6" w:rsidRPr="000E19AE" w:rsidRDefault="00E42EB6" w:rsidP="002A5649">
            <w:pPr>
              <w:spacing w:before="0" w:after="0" w:line="256" w:lineRule="auto"/>
              <w:rPr>
                <w:rFonts w:ascii="Arial Narrow" w:eastAsia="Calibri" w:hAnsi="Arial Narrow" w:cs="Arial"/>
                <w:b/>
                <w:sz w:val="20"/>
                <w:szCs w:val="20"/>
              </w:rPr>
            </w:pPr>
            <w:r w:rsidRPr="000E19AE">
              <w:rPr>
                <w:rFonts w:ascii="Arial Narrow" w:eastAsia="Calibri" w:hAnsi="Arial Narrow" w:cs="Arial"/>
                <w:b/>
                <w:sz w:val="20"/>
                <w:szCs w:val="20"/>
              </w:rPr>
              <w:t>Manner of administration and form</w:t>
            </w:r>
          </w:p>
        </w:tc>
        <w:tc>
          <w:tcPr>
            <w:tcW w:w="463" w:type="pc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Max.</w:t>
            </w:r>
          </w:p>
          <w:p w:rsidR="00E42EB6" w:rsidRPr="000E19AE" w:rsidRDefault="00E42EB6" w:rsidP="00E42EB6">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Amount</w:t>
            </w:r>
          </w:p>
        </w:tc>
        <w:tc>
          <w:tcPr>
            <w:tcW w:w="386" w:type="pc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w:t>
            </w:r>
            <w:r w:rsidR="00665023" w:rsidRPr="000E19AE">
              <w:rPr>
                <w:rFonts w:ascii="Arial Narrow" w:eastAsia="Calibri" w:hAnsi="Arial Narrow" w:cs="Arial"/>
                <w:b/>
                <w:sz w:val="20"/>
                <w:szCs w:val="20"/>
              </w:rPr>
              <w:t xml:space="preserve"> </w:t>
            </w:r>
            <w:r w:rsidRPr="000E19AE">
              <w:rPr>
                <w:rFonts w:ascii="Arial Narrow" w:eastAsia="Calibri" w:hAnsi="Arial Narrow" w:cs="Arial"/>
                <w:b/>
                <w:sz w:val="20"/>
                <w:szCs w:val="20"/>
              </w:rPr>
              <w:t>of</w:t>
            </w:r>
          </w:p>
          <w:p w:rsidR="00E42EB6" w:rsidRPr="000E19AE" w:rsidRDefault="00E42EB6" w:rsidP="00E42EB6">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Rpts</w:t>
            </w:r>
          </w:p>
        </w:tc>
        <w:tc>
          <w:tcPr>
            <w:tcW w:w="1158" w:type="pct"/>
            <w:tcBorders>
              <w:top w:val="nil"/>
              <w:left w:val="nil"/>
              <w:bottom w:val="nil"/>
              <w:right w:val="nil"/>
            </w:tcBorders>
          </w:tcPr>
          <w:p w:rsidR="00E42EB6" w:rsidRPr="000E19AE" w:rsidRDefault="00E42EB6" w:rsidP="008E4121">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 xml:space="preserve">Dispensed Price for Max. </w:t>
            </w:r>
            <w:r w:rsidR="008E4121">
              <w:rPr>
                <w:rFonts w:ascii="Arial Narrow" w:eastAsia="Calibri" w:hAnsi="Arial Narrow" w:cs="Arial"/>
                <w:b/>
                <w:sz w:val="20"/>
                <w:szCs w:val="20"/>
              </w:rPr>
              <w:t>Amount</w:t>
            </w:r>
          </w:p>
        </w:tc>
        <w:tc>
          <w:tcPr>
            <w:tcW w:w="1158" w:type="pc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Proprietary Name and Manufacturer</w:t>
            </w:r>
          </w:p>
        </w:tc>
      </w:tr>
      <w:tr w:rsidR="00E42EB6" w:rsidRPr="000E19AE">
        <w:trPr>
          <w:cantSplit/>
          <w:trHeight w:val="577"/>
        </w:trPr>
        <w:tc>
          <w:tcPr>
            <w:tcW w:w="1836" w:type="pct"/>
            <w:gridSpan w:val="2"/>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 xml:space="preserve">PEMBOLIZUMAB </w:t>
            </w:r>
          </w:p>
          <w:p w:rsidR="00E42EB6" w:rsidRPr="000E19AE" w:rsidRDefault="00E42EB6" w:rsidP="00E42EB6">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100 mg vial for infusion; 1 x 100 mg vial</w:t>
            </w:r>
          </w:p>
        </w:tc>
        <w:tc>
          <w:tcPr>
            <w:tcW w:w="463" w:type="pc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sz w:val="20"/>
                <w:szCs w:val="20"/>
              </w:rPr>
            </w:pPr>
          </w:p>
          <w:p w:rsidR="00E42EB6" w:rsidRPr="000E19AE" w:rsidRDefault="00E42EB6" w:rsidP="00E42EB6">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200 mg</w:t>
            </w:r>
          </w:p>
        </w:tc>
        <w:tc>
          <w:tcPr>
            <w:tcW w:w="386" w:type="pc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sz w:val="20"/>
                <w:szCs w:val="20"/>
              </w:rPr>
            </w:pPr>
          </w:p>
          <w:p w:rsidR="00E42EB6" w:rsidRPr="000E19AE" w:rsidRDefault="00812910" w:rsidP="00E42EB6">
            <w:pPr>
              <w:spacing w:before="0" w:after="0" w:line="256" w:lineRule="auto"/>
              <w:jc w:val="both"/>
              <w:rPr>
                <w:rFonts w:ascii="Arial Narrow" w:eastAsia="Calibri" w:hAnsi="Arial Narrow" w:cs="Arial"/>
                <w:sz w:val="20"/>
                <w:szCs w:val="20"/>
              </w:rPr>
            </w:pPr>
            <w:r w:rsidRPr="00FF5EAF">
              <w:rPr>
                <w:rFonts w:ascii="Arial Narrow" w:hAnsi="Arial Narrow" w:cs="Arial"/>
                <w:strike/>
                <w:sz w:val="20"/>
                <w:szCs w:val="20"/>
              </w:rPr>
              <w:t>7</w:t>
            </w:r>
            <w:r w:rsidRPr="00FF5EAF">
              <w:rPr>
                <w:rFonts w:ascii="Arial Narrow" w:hAnsi="Arial Narrow" w:cs="Arial"/>
                <w:i/>
                <w:sz w:val="20"/>
                <w:szCs w:val="20"/>
              </w:rPr>
              <w:t>6</w:t>
            </w:r>
          </w:p>
        </w:tc>
        <w:tc>
          <w:tcPr>
            <w:tcW w:w="1158" w:type="pct"/>
            <w:tcBorders>
              <w:top w:val="nil"/>
              <w:left w:val="nil"/>
              <w:bottom w:val="nil"/>
              <w:right w:val="nil"/>
            </w:tcBorders>
          </w:tcPr>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Published</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Pr="00FC53C2">
              <w:rPr>
                <w:rFonts w:ascii="Arial Narrow" w:hAnsi="Arial Narrow"/>
                <w:sz w:val="20"/>
                <w:szCs w:val="20"/>
              </w:rPr>
              <w:t>9,023.22</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Private: $</w:t>
            </w:r>
            <w:r w:rsidRPr="00FC53C2">
              <w:rPr>
                <w:rFonts w:ascii="Arial Narrow" w:hAnsi="Arial Narrow"/>
                <w:sz w:val="20"/>
                <w:szCs w:val="20"/>
              </w:rPr>
              <w:t>9,186.18</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Effective</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001E368B">
              <w:rPr>
                <w:rFonts w:ascii="Arial Narrow" w:hAnsi="Arial Narrow"/>
                <w:noProof/>
                <w:color w:val="000000"/>
                <w:sz w:val="20"/>
                <w:szCs w:val="20"/>
                <w:highlight w:val="black"/>
              </w:rPr>
              <w:t>''''''''''''''''''''</w:t>
            </w:r>
          </w:p>
          <w:p w:rsidR="00E42EB6" w:rsidRPr="000E19AE" w:rsidRDefault="00B91860" w:rsidP="00B91860">
            <w:pPr>
              <w:keepNext/>
              <w:spacing w:before="0" w:after="0" w:line="256" w:lineRule="auto"/>
              <w:jc w:val="both"/>
              <w:rPr>
                <w:rFonts w:ascii="Arial Narrow" w:eastAsia="Calibri" w:hAnsi="Arial Narrow" w:cs="Arial"/>
                <w:sz w:val="20"/>
                <w:szCs w:val="20"/>
              </w:rPr>
            </w:pPr>
            <w:r w:rsidRPr="000E19AE">
              <w:rPr>
                <w:rFonts w:ascii="Arial Narrow" w:hAnsi="Arial Narrow"/>
                <w:sz w:val="20"/>
                <w:szCs w:val="20"/>
              </w:rPr>
              <w:t>Private: $</w:t>
            </w:r>
            <w:r w:rsidR="001E368B">
              <w:rPr>
                <w:rFonts w:ascii="Arial Narrow" w:hAnsi="Arial Narrow"/>
                <w:noProof/>
                <w:color w:val="000000"/>
                <w:sz w:val="20"/>
                <w:szCs w:val="20"/>
                <w:highlight w:val="black"/>
              </w:rPr>
              <w:t>'''''''''''''''''''</w:t>
            </w:r>
          </w:p>
        </w:tc>
        <w:tc>
          <w:tcPr>
            <w:tcW w:w="1158" w:type="pct"/>
            <w:vMerge w:val="restar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sz w:val="20"/>
                <w:szCs w:val="20"/>
              </w:rPr>
            </w:pPr>
          </w:p>
          <w:p w:rsidR="00B540BE" w:rsidRDefault="00B540BE" w:rsidP="00B540BE">
            <w:pPr>
              <w:keepNext/>
              <w:spacing w:before="0" w:after="0" w:line="256" w:lineRule="auto"/>
              <w:jc w:val="both"/>
              <w:rPr>
                <w:rFonts w:ascii="Arial Narrow" w:eastAsia="Calibri" w:hAnsi="Arial Narrow" w:cs="Arial"/>
                <w:sz w:val="20"/>
                <w:szCs w:val="20"/>
              </w:rPr>
            </w:pPr>
            <w:r>
              <w:rPr>
                <w:rFonts w:ascii="Arial Narrow" w:hAnsi="Arial Narrow" w:cs="Arial"/>
                <w:sz w:val="20"/>
                <w:szCs w:val="20"/>
              </w:rPr>
              <w:t>Keytruda</w:t>
            </w:r>
            <w:r w:rsidRPr="00FF044C">
              <w:rPr>
                <w:rFonts w:ascii="Arial Narrow" w:hAnsi="Arial Narrow"/>
                <w:sz w:val="20"/>
                <w:vertAlign w:val="superscript"/>
              </w:rPr>
              <w:t>®</w:t>
            </w:r>
            <w:r w:rsidRPr="000E19AE">
              <w:rPr>
                <w:rFonts w:ascii="Arial Narrow" w:eastAsia="Calibri" w:hAnsi="Arial Narrow" w:cs="Arial"/>
                <w:sz w:val="20"/>
                <w:szCs w:val="20"/>
              </w:rPr>
              <w:t xml:space="preserve"> </w:t>
            </w:r>
          </w:p>
          <w:p w:rsidR="00E42EB6" w:rsidRPr="000E19AE" w:rsidRDefault="00B540BE" w:rsidP="00B540BE">
            <w:pPr>
              <w:spacing w:before="0" w:after="0" w:line="256" w:lineRule="auto"/>
              <w:jc w:val="both"/>
              <w:rPr>
                <w:rFonts w:ascii="Arial Narrow" w:eastAsia="Calibri" w:hAnsi="Arial Narrow" w:cs="Arial"/>
                <w:sz w:val="20"/>
                <w:szCs w:val="20"/>
              </w:rPr>
            </w:pPr>
            <w:r>
              <w:rPr>
                <w:rFonts w:ascii="Arial Narrow" w:hAnsi="Arial Narrow" w:cs="Arial"/>
                <w:sz w:val="20"/>
                <w:szCs w:val="20"/>
              </w:rPr>
              <w:t xml:space="preserve">Merck Sharp &amp; </w:t>
            </w:r>
            <w:r w:rsidRPr="007B3FDF">
              <w:rPr>
                <w:rFonts w:ascii="Arial Narrow" w:hAnsi="Arial Narrow" w:cs="Arial"/>
                <w:sz w:val="20"/>
                <w:szCs w:val="20"/>
              </w:rPr>
              <w:t>Dohme (Australia) Pty Ltd</w:t>
            </w:r>
          </w:p>
        </w:tc>
      </w:tr>
      <w:tr w:rsidR="00E42EB6" w:rsidRPr="000E19AE">
        <w:trPr>
          <w:cantSplit/>
          <w:trHeight w:val="355"/>
        </w:trPr>
        <w:tc>
          <w:tcPr>
            <w:tcW w:w="1836" w:type="pct"/>
            <w:gridSpan w:val="2"/>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50 mg vial for infusion; 1 x 50 mg vial</w:t>
            </w:r>
          </w:p>
        </w:tc>
        <w:tc>
          <w:tcPr>
            <w:tcW w:w="463" w:type="pct"/>
            <w:tcBorders>
              <w:top w:val="nil"/>
              <w:left w:val="nil"/>
              <w:bottom w:val="nil"/>
              <w:right w:val="nil"/>
            </w:tcBorders>
          </w:tcPr>
          <w:p w:rsidR="00E42EB6" w:rsidRPr="000E19AE" w:rsidRDefault="00E42EB6" w:rsidP="00E42EB6">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200 mg</w:t>
            </w:r>
          </w:p>
        </w:tc>
        <w:tc>
          <w:tcPr>
            <w:tcW w:w="386" w:type="pct"/>
            <w:tcBorders>
              <w:top w:val="nil"/>
              <w:left w:val="nil"/>
              <w:bottom w:val="nil"/>
              <w:right w:val="nil"/>
            </w:tcBorders>
          </w:tcPr>
          <w:p w:rsidR="00E42EB6" w:rsidRPr="000E19AE" w:rsidRDefault="00812910" w:rsidP="00E42EB6">
            <w:pPr>
              <w:spacing w:before="0" w:after="0" w:line="256" w:lineRule="auto"/>
              <w:jc w:val="both"/>
              <w:rPr>
                <w:rFonts w:ascii="Arial Narrow" w:eastAsia="Calibri" w:hAnsi="Arial Narrow" w:cs="Arial"/>
                <w:sz w:val="20"/>
                <w:szCs w:val="20"/>
              </w:rPr>
            </w:pPr>
            <w:r w:rsidRPr="00FF5EAF">
              <w:rPr>
                <w:rFonts w:ascii="Arial Narrow" w:hAnsi="Arial Narrow" w:cs="Arial"/>
                <w:strike/>
                <w:sz w:val="20"/>
                <w:szCs w:val="20"/>
              </w:rPr>
              <w:t>7</w:t>
            </w:r>
            <w:r w:rsidRPr="00FF5EAF">
              <w:rPr>
                <w:rFonts w:ascii="Arial Narrow" w:hAnsi="Arial Narrow" w:cs="Arial"/>
                <w:i/>
                <w:sz w:val="20"/>
                <w:szCs w:val="20"/>
              </w:rPr>
              <w:t>6</w:t>
            </w:r>
          </w:p>
        </w:tc>
        <w:tc>
          <w:tcPr>
            <w:tcW w:w="1158" w:type="pct"/>
            <w:tcBorders>
              <w:top w:val="nil"/>
              <w:left w:val="nil"/>
              <w:bottom w:val="nil"/>
              <w:right w:val="nil"/>
            </w:tcBorders>
          </w:tcPr>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Published</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Pr="00FC53C2">
              <w:rPr>
                <w:rFonts w:ascii="Arial Narrow" w:hAnsi="Arial Narrow"/>
                <w:sz w:val="20"/>
                <w:szCs w:val="20"/>
              </w:rPr>
              <w:t>9,023.22</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Private: $</w:t>
            </w:r>
            <w:r w:rsidRPr="00FC53C2">
              <w:rPr>
                <w:rFonts w:ascii="Arial Narrow" w:hAnsi="Arial Narrow"/>
                <w:sz w:val="20"/>
                <w:szCs w:val="20"/>
              </w:rPr>
              <w:t>9,186.18</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Effective</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001E368B">
              <w:rPr>
                <w:rFonts w:ascii="Arial Narrow" w:hAnsi="Arial Narrow"/>
                <w:noProof/>
                <w:color w:val="000000"/>
                <w:sz w:val="20"/>
                <w:szCs w:val="20"/>
                <w:highlight w:val="black"/>
              </w:rPr>
              <w:t>'''''''''''''''''''''''</w:t>
            </w:r>
          </w:p>
          <w:p w:rsidR="00E42EB6" w:rsidRPr="000E19AE" w:rsidRDefault="00B91860" w:rsidP="00D44CB9">
            <w:pPr>
              <w:keepNext/>
              <w:spacing w:before="0" w:after="0" w:line="256" w:lineRule="auto"/>
              <w:jc w:val="both"/>
              <w:rPr>
                <w:rFonts w:ascii="Arial Narrow" w:eastAsia="Calibri" w:hAnsi="Arial Narrow" w:cs="Arial"/>
                <w:sz w:val="20"/>
                <w:szCs w:val="20"/>
              </w:rPr>
            </w:pPr>
            <w:r w:rsidRPr="000E19AE">
              <w:rPr>
                <w:rFonts w:ascii="Arial Narrow" w:hAnsi="Arial Narrow"/>
                <w:sz w:val="20"/>
                <w:szCs w:val="20"/>
              </w:rPr>
              <w:t>Private: $</w:t>
            </w:r>
            <w:r w:rsidR="001E368B">
              <w:rPr>
                <w:rFonts w:ascii="Arial Narrow" w:hAnsi="Arial Narrow"/>
                <w:noProof/>
                <w:color w:val="000000"/>
                <w:sz w:val="20"/>
                <w:szCs w:val="20"/>
                <w:highlight w:val="black"/>
              </w:rPr>
              <w:t>'''''''''''''''''''''</w:t>
            </w:r>
          </w:p>
        </w:tc>
        <w:tc>
          <w:tcPr>
            <w:tcW w:w="1158" w:type="pct"/>
            <w:vMerge/>
            <w:tcBorders>
              <w:top w:val="nil"/>
              <w:left w:val="nil"/>
              <w:bottom w:val="nil"/>
              <w:right w:val="nil"/>
            </w:tcBorders>
            <w:vAlign w:val="center"/>
          </w:tcPr>
          <w:p w:rsidR="00E42EB6" w:rsidRPr="000E19AE" w:rsidRDefault="00E42EB6" w:rsidP="00E42EB6">
            <w:pPr>
              <w:spacing w:before="0" w:after="0" w:line="256" w:lineRule="auto"/>
              <w:rPr>
                <w:rFonts w:ascii="Arial Narrow" w:eastAsia="Calibri" w:hAnsi="Arial Narrow" w:cs="Arial"/>
                <w:sz w:val="20"/>
                <w:szCs w:val="20"/>
              </w:rPr>
            </w:pP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5000" w:type="pct"/>
            <w:gridSpan w:val="6"/>
            <w:tcBorders>
              <w:bottom w:val="single" w:sz="4" w:space="0" w:color="auto"/>
            </w:tcBorders>
            <w:shd w:val="clear" w:color="auto" w:fill="auto"/>
          </w:tcPr>
          <w:p w:rsidR="00812910" w:rsidRPr="00260CE3" w:rsidRDefault="00812910" w:rsidP="00215EAB">
            <w:pPr>
              <w:spacing w:before="0" w:after="0"/>
              <w:jc w:val="both"/>
              <w:rPr>
                <w:rFonts w:ascii="Arial Narrow" w:hAnsi="Arial Narrow" w:cs="Arial"/>
                <w:sz w:val="20"/>
                <w:szCs w:val="20"/>
              </w:rPr>
            </w:pP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Category / Program</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FD5D27" w:rsidP="00215EAB">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 xml:space="preserve">Dental  </w:t>
            </w:r>
            <w:r w:rsidRPr="00C02D5C">
              <w:rPr>
                <w:rFonts w:ascii="Arial Narrow" w:hAnsi="Arial Narrow" w:cs="Arial"/>
                <w:i/>
                <w:sz w:val="20"/>
                <w:szCs w:val="20"/>
              </w:rPr>
              <w:fldChar w:fldCharType="begin">
                <w:ffData>
                  <w:name w:val=""/>
                  <w:enabled/>
                  <w:calcOnExit w:val="0"/>
                  <w:checkBox>
                    <w:sizeAuto/>
                    <w:default w:val="1"/>
                  </w:checkBox>
                </w:ffData>
              </w:fldChar>
            </w:r>
            <w:r w:rsidR="00812910" w:rsidRPr="00C02D5C">
              <w:rPr>
                <w:rFonts w:ascii="Arial Narrow" w:hAnsi="Arial Narrow" w:cs="Arial"/>
                <w:i/>
                <w:sz w:val="20"/>
                <w:szCs w:val="20"/>
              </w:rPr>
              <w:instrText xml:space="preserve"> FORMCHECKBOX </w:instrText>
            </w:r>
            <w:r w:rsidR="001E368B">
              <w:rPr>
                <w:rFonts w:ascii="Arial Narrow" w:hAnsi="Arial Narrow" w:cs="Arial"/>
                <w:i/>
                <w:sz w:val="20"/>
                <w:szCs w:val="20"/>
              </w:rPr>
            </w:r>
            <w:r w:rsidR="001E368B">
              <w:rPr>
                <w:rFonts w:ascii="Arial Narrow" w:hAnsi="Arial Narrow" w:cs="Arial"/>
                <w:i/>
                <w:sz w:val="20"/>
                <w:szCs w:val="20"/>
              </w:rPr>
              <w:fldChar w:fldCharType="separate"/>
            </w:r>
            <w:r w:rsidRPr="00C02D5C">
              <w:rPr>
                <w:rFonts w:ascii="Arial Narrow" w:hAnsi="Arial Narrow" w:cs="Arial"/>
                <w:i/>
                <w:sz w:val="20"/>
                <w:szCs w:val="20"/>
              </w:rPr>
              <w:fldChar w:fldCharType="end"/>
            </w:r>
            <w:r w:rsidR="00812910" w:rsidRPr="00C02D5C">
              <w:rPr>
                <w:rFonts w:ascii="Arial Narrow" w:hAnsi="Arial Narrow" w:cs="Arial"/>
                <w:i/>
                <w:sz w:val="20"/>
                <w:szCs w:val="20"/>
              </w:rPr>
              <w:t>Medical Practitioners</w:t>
            </w:r>
            <w:r w:rsidR="00812910"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Check3"/>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Optometrists</w:t>
            </w:r>
          </w:p>
          <w:p w:rsidR="00812910" w:rsidRPr="00260CE3" w:rsidRDefault="00FD5D27" w:rsidP="00215EAB">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Midwives</w:t>
            </w:r>
          </w:p>
        </w:tc>
      </w:tr>
      <w:tr w:rsidR="00812910"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Episodicity:</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Pr>
                <w:rFonts w:ascii="Arial Narrow" w:hAnsi="Arial Narrow" w:cs="Arial"/>
                <w:sz w:val="20"/>
                <w:szCs w:val="20"/>
              </w:rPr>
              <w:t>NA</w:t>
            </w:r>
          </w:p>
        </w:tc>
      </w:tr>
      <w:tr w:rsidR="00812910"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Severity:</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197E">
              <w:rPr>
                <w:rFonts w:ascii="Arial Narrow" w:hAnsi="Arial Narrow"/>
                <w:sz w:val="20"/>
                <w:szCs w:val="20"/>
              </w:rPr>
              <w:t>Locally advanced (Stage III) or metastatic (Stage IV)</w:t>
            </w:r>
          </w:p>
        </w:tc>
      </w:tr>
      <w:tr w:rsidR="00812910"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197E">
              <w:rPr>
                <w:rFonts w:ascii="Arial Narrow" w:hAnsi="Arial Narrow"/>
                <w:sz w:val="20"/>
                <w:szCs w:val="20"/>
              </w:rPr>
              <w:t>Urothelial cancer</w:t>
            </w:r>
          </w:p>
        </w:tc>
      </w:tr>
      <w:tr w:rsidR="00812910"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AE058A"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197E">
              <w:rPr>
                <w:rFonts w:ascii="Arial Narrow" w:hAnsi="Arial Narrow"/>
                <w:sz w:val="20"/>
                <w:szCs w:val="20"/>
              </w:rPr>
              <w:t>Locally advanced (Stage III) or metastatic (Stage IV) urothelial cancer</w:t>
            </w:r>
          </w:p>
        </w:tc>
      </w:tr>
      <w:tr w:rsidR="00812910"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Treatment phase:</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6E6E">
              <w:rPr>
                <w:rFonts w:ascii="Arial Narrow" w:hAnsi="Arial Narrow"/>
                <w:sz w:val="20"/>
                <w:szCs w:val="20"/>
              </w:rPr>
              <w:t>Continuing</w:t>
            </w: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CD28F3"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FD5D27" w:rsidP="00215EAB">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sidR="00812910">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Pr>
                <w:rFonts w:ascii="Arial Narrow" w:hAnsi="Arial Narrow" w:cs="Arial"/>
                <w:sz w:val="20"/>
                <w:szCs w:val="20"/>
              </w:rPr>
              <w:fldChar w:fldCharType="end"/>
            </w:r>
            <w:r w:rsidR="00812910" w:rsidRPr="00106BCF">
              <w:rPr>
                <w:rFonts w:ascii="Arial Narrow" w:hAnsi="Arial Narrow" w:cs="Arial"/>
                <w:sz w:val="20"/>
                <w:szCs w:val="20"/>
              </w:rPr>
              <w:t>Streamlined</w:t>
            </w: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sz w:val="20"/>
                <w:szCs w:val="20"/>
              </w:rPr>
            </w:pPr>
            <w:r w:rsidRPr="00260CE3">
              <w:rPr>
                <w:rFonts w:ascii="Arial Narrow" w:hAnsi="Arial Narrow" w:cs="Arial"/>
                <w:b/>
                <w:sz w:val="20"/>
                <w:szCs w:val="20"/>
              </w:rPr>
              <w:t>Clinical criteria:</w:t>
            </w:r>
            <w:r w:rsidRPr="00260CE3">
              <w:rPr>
                <w:rFonts w:ascii="Arial Narrow" w:hAnsi="Arial Narrow" w:cs="Arial"/>
                <w:sz w:val="20"/>
                <w:szCs w:val="20"/>
              </w:rPr>
              <w:t xml:space="preserve"> </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Patient must have previously been issued with an authority prescription for this drug for this condition,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Treatment must be the sole PBS-subsidised therapy for this condition,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Patient must have stable or responding disease,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260CE3" w:rsidRDefault="00812910" w:rsidP="00215EAB">
            <w:pPr>
              <w:spacing w:before="0" w:after="0"/>
              <w:rPr>
                <w:rFonts w:ascii="Arial Narrow" w:hAnsi="Arial Narrow" w:cs="Arial"/>
                <w:sz w:val="20"/>
                <w:szCs w:val="20"/>
              </w:rPr>
            </w:pPr>
            <w:r w:rsidRPr="00A66E6E">
              <w:rPr>
                <w:rFonts w:ascii="Arial Narrow" w:hAnsi="Arial Narrow" w:cs="Arial"/>
                <w:sz w:val="20"/>
                <w:szCs w:val="20"/>
              </w:rPr>
              <w:t>The total treatment received, inclusive of initial treatment, must not exceed 35 cycles at a dose of 200 mg every 3 weeks</w:t>
            </w: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Administrative Advice</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No increase in the maximum </w:t>
            </w:r>
            <w:r w:rsidRPr="00C65CD0">
              <w:rPr>
                <w:rFonts w:ascii="Arial Narrow" w:hAnsi="Arial Narrow" w:cs="Arial"/>
                <w:i/>
                <w:sz w:val="20"/>
                <w:szCs w:val="20"/>
              </w:rPr>
              <w:t>quantity or number of units or</w:t>
            </w:r>
            <w:r w:rsidRPr="00A66E6E">
              <w:rPr>
                <w:rFonts w:ascii="Arial Narrow" w:hAnsi="Arial Narrow" w:cs="Arial"/>
                <w:sz w:val="20"/>
                <w:szCs w:val="20"/>
              </w:rPr>
              <w:t xml:space="preserve"> number of repeats will be authorised.</w:t>
            </w:r>
          </w:p>
        </w:tc>
      </w:tr>
    </w:tbl>
    <w:p w:rsidR="00DA78BE" w:rsidRPr="00FF3008" w:rsidRDefault="00DA78BE" w:rsidP="008620A9">
      <w:pPr>
        <w:pStyle w:val="TableFooter"/>
        <w:rPr>
          <w:rFonts w:asciiTheme="minorHAnsi" w:hAnsiTheme="minorHAnsi"/>
          <w:sz w:val="24"/>
          <w:szCs w:val="24"/>
        </w:rPr>
      </w:pPr>
    </w:p>
    <w:p w:rsidR="00D44CB9" w:rsidRDefault="00D44CB9">
      <w:pPr>
        <w:spacing w:before="0" w:line="259" w:lineRule="auto"/>
        <w:rPr>
          <w:rFonts w:ascii="Arial Narrow" w:eastAsia="Calibri" w:hAnsi="Arial Narrow"/>
          <w:b/>
          <w:bCs/>
          <w:sz w:val="20"/>
          <w:szCs w:val="20"/>
        </w:rPr>
      </w:pPr>
      <w:r>
        <w:rPr>
          <w:rFonts w:ascii="Arial Narrow" w:eastAsia="Calibri" w:hAnsi="Arial Narrow"/>
          <w:b/>
          <w:bCs/>
          <w:sz w:val="20"/>
          <w:szCs w:val="20"/>
        </w:rPr>
        <w:br w:type="page"/>
      </w:r>
    </w:p>
    <w:p w:rsidR="00DA78BE" w:rsidRPr="000E19AE" w:rsidRDefault="00DA78BE" w:rsidP="00DA78BE">
      <w:pPr>
        <w:keepNext/>
        <w:spacing w:after="120"/>
        <w:jc w:val="both"/>
        <w:rPr>
          <w:rFonts w:ascii="Arial Narrow" w:eastAsia="Calibri" w:hAnsi="Arial Narrow"/>
          <w:b/>
          <w:bCs/>
          <w:sz w:val="20"/>
          <w:szCs w:val="20"/>
        </w:rPr>
      </w:pPr>
      <w:r w:rsidRPr="000E19AE">
        <w:rPr>
          <w:rFonts w:ascii="Arial Narrow" w:eastAsia="Calibri" w:hAnsi="Arial Narrow"/>
          <w:b/>
          <w:bCs/>
          <w:sz w:val="20"/>
          <w:szCs w:val="20"/>
        </w:rPr>
        <w:lastRenderedPageBreak/>
        <w:t>Table 4</w:t>
      </w:r>
      <w:r w:rsidRPr="000E19AE">
        <w:rPr>
          <w:rFonts w:ascii="Arial Narrow" w:eastAsia="Calibri" w:hAnsi="Arial Narrow"/>
          <w:b/>
          <w:bCs/>
          <w:noProof/>
          <w:sz w:val="20"/>
          <w:szCs w:val="20"/>
        </w:rPr>
        <w:t xml:space="preserve">: </w:t>
      </w:r>
      <w:r w:rsidRPr="000E19AE">
        <w:rPr>
          <w:rFonts w:ascii="Arial Narrow" w:eastAsia="Calibri" w:hAnsi="Arial Narrow"/>
          <w:b/>
          <w:bCs/>
          <w:sz w:val="20"/>
          <w:szCs w:val="20"/>
        </w:rPr>
        <w:t>Proposed PBS restriction wording for pembrolizumab: Continuing treatment (grandfathering provision)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018"/>
        <w:gridCol w:w="856"/>
        <w:gridCol w:w="713"/>
        <w:gridCol w:w="2140"/>
        <w:gridCol w:w="2139"/>
      </w:tblGrid>
      <w:tr w:rsidR="00DA78BE" w:rsidRPr="000E19AE">
        <w:trPr>
          <w:cantSplit/>
          <w:trHeight w:val="471"/>
        </w:trPr>
        <w:tc>
          <w:tcPr>
            <w:tcW w:w="1836" w:type="pct"/>
            <w:gridSpan w:val="2"/>
            <w:tcBorders>
              <w:top w:val="nil"/>
              <w:left w:val="nil"/>
              <w:bottom w:val="nil"/>
              <w:right w:val="nil"/>
            </w:tcBorders>
          </w:tcPr>
          <w:p w:rsidR="00DA78BE" w:rsidRPr="000E19AE" w:rsidRDefault="00DA78BE" w:rsidP="002A5649">
            <w:pPr>
              <w:spacing w:before="0" w:after="0" w:line="256" w:lineRule="auto"/>
              <w:rPr>
                <w:rFonts w:ascii="Arial Narrow" w:eastAsia="Calibri" w:hAnsi="Arial Narrow" w:cs="Arial"/>
                <w:b/>
                <w:sz w:val="20"/>
                <w:szCs w:val="20"/>
              </w:rPr>
            </w:pPr>
            <w:r w:rsidRPr="000E19AE">
              <w:rPr>
                <w:rFonts w:ascii="Arial Narrow" w:eastAsia="Calibri" w:hAnsi="Arial Narrow" w:cs="Arial"/>
                <w:b/>
                <w:sz w:val="20"/>
                <w:szCs w:val="20"/>
              </w:rPr>
              <w:t>Name, Restriction,</w:t>
            </w:r>
          </w:p>
          <w:p w:rsidR="00DA78BE" w:rsidRPr="000E19AE" w:rsidRDefault="00DA78BE" w:rsidP="002A5649">
            <w:pPr>
              <w:spacing w:before="0" w:after="0" w:line="256" w:lineRule="auto"/>
              <w:rPr>
                <w:rFonts w:ascii="Arial Narrow" w:eastAsia="Calibri" w:hAnsi="Arial Narrow" w:cs="Arial"/>
                <w:b/>
                <w:sz w:val="20"/>
                <w:szCs w:val="20"/>
              </w:rPr>
            </w:pPr>
            <w:r w:rsidRPr="000E19AE">
              <w:rPr>
                <w:rFonts w:ascii="Arial Narrow" w:eastAsia="Calibri" w:hAnsi="Arial Narrow" w:cs="Arial"/>
                <w:b/>
                <w:sz w:val="20"/>
                <w:szCs w:val="20"/>
              </w:rPr>
              <w:t>Manner of administration and form</w:t>
            </w:r>
          </w:p>
        </w:tc>
        <w:tc>
          <w:tcPr>
            <w:tcW w:w="463"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Max.</w:t>
            </w:r>
          </w:p>
          <w:p w:rsidR="00DA78BE" w:rsidRPr="000E19AE" w:rsidRDefault="00DA78BE" w:rsidP="00DA78BE">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Amount</w:t>
            </w:r>
          </w:p>
        </w:tc>
        <w:tc>
          <w:tcPr>
            <w:tcW w:w="386"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№.of</w:t>
            </w:r>
          </w:p>
          <w:p w:rsidR="00DA78BE" w:rsidRPr="000E19AE" w:rsidRDefault="00DA78BE" w:rsidP="00DA78BE">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Rpts</w:t>
            </w:r>
          </w:p>
        </w:tc>
        <w:tc>
          <w:tcPr>
            <w:tcW w:w="1158" w:type="pct"/>
            <w:tcBorders>
              <w:top w:val="nil"/>
              <w:left w:val="nil"/>
              <w:bottom w:val="nil"/>
              <w:right w:val="nil"/>
            </w:tcBorders>
          </w:tcPr>
          <w:p w:rsidR="00DA78BE" w:rsidRPr="000E19AE" w:rsidRDefault="00DA78BE" w:rsidP="008E4121">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 xml:space="preserve">Dispensed Price for Max. </w:t>
            </w:r>
            <w:r w:rsidR="008E4121">
              <w:rPr>
                <w:rFonts w:ascii="Arial Narrow" w:eastAsia="Calibri" w:hAnsi="Arial Narrow" w:cs="Arial"/>
                <w:b/>
                <w:sz w:val="20"/>
                <w:szCs w:val="20"/>
              </w:rPr>
              <w:t>Amount</w:t>
            </w:r>
          </w:p>
        </w:tc>
        <w:tc>
          <w:tcPr>
            <w:tcW w:w="1158"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b/>
                <w:sz w:val="20"/>
                <w:szCs w:val="20"/>
              </w:rPr>
            </w:pPr>
            <w:r w:rsidRPr="000E19AE">
              <w:rPr>
                <w:rFonts w:ascii="Arial Narrow" w:eastAsia="Calibri" w:hAnsi="Arial Narrow" w:cs="Arial"/>
                <w:b/>
                <w:sz w:val="20"/>
                <w:szCs w:val="20"/>
              </w:rPr>
              <w:t>Proprietary Name and Manufacturer</w:t>
            </w:r>
          </w:p>
        </w:tc>
      </w:tr>
      <w:tr w:rsidR="00DA78BE" w:rsidRPr="000E19AE">
        <w:trPr>
          <w:cantSplit/>
          <w:trHeight w:val="577"/>
        </w:trPr>
        <w:tc>
          <w:tcPr>
            <w:tcW w:w="1836" w:type="pct"/>
            <w:gridSpan w:val="2"/>
            <w:tcBorders>
              <w:top w:val="nil"/>
              <w:left w:val="nil"/>
              <w:bottom w:val="nil"/>
              <w:right w:val="nil"/>
            </w:tcBorders>
          </w:tcPr>
          <w:p w:rsidR="00DA78BE" w:rsidRPr="000E19AE" w:rsidRDefault="00DA78BE" w:rsidP="002A5649">
            <w:pPr>
              <w:spacing w:before="0" w:after="0" w:line="256" w:lineRule="auto"/>
              <w:rPr>
                <w:rFonts w:ascii="Arial Narrow" w:eastAsia="Calibri" w:hAnsi="Arial Narrow" w:cs="Arial"/>
                <w:sz w:val="20"/>
                <w:szCs w:val="20"/>
              </w:rPr>
            </w:pPr>
            <w:r w:rsidRPr="000E19AE">
              <w:rPr>
                <w:rFonts w:ascii="Arial Narrow" w:eastAsia="Calibri" w:hAnsi="Arial Narrow" w:cs="Arial"/>
                <w:sz w:val="20"/>
                <w:szCs w:val="20"/>
              </w:rPr>
              <w:t xml:space="preserve">PEMBOLIZUMAB </w:t>
            </w:r>
          </w:p>
          <w:p w:rsidR="00DA78BE" w:rsidRPr="000E19AE" w:rsidRDefault="00DA78BE" w:rsidP="002A5649">
            <w:pPr>
              <w:spacing w:before="0" w:after="0" w:line="256" w:lineRule="auto"/>
              <w:rPr>
                <w:rFonts w:ascii="Arial Narrow" w:eastAsia="Calibri" w:hAnsi="Arial Narrow" w:cs="Arial"/>
                <w:sz w:val="20"/>
                <w:szCs w:val="20"/>
              </w:rPr>
            </w:pPr>
            <w:r w:rsidRPr="000E19AE">
              <w:rPr>
                <w:rFonts w:ascii="Arial Narrow" w:eastAsia="Calibri" w:hAnsi="Arial Narrow" w:cs="Arial"/>
                <w:sz w:val="20"/>
                <w:szCs w:val="20"/>
              </w:rPr>
              <w:t>100 mg vial for infusion; 1 x 100 mg vial</w:t>
            </w:r>
          </w:p>
        </w:tc>
        <w:tc>
          <w:tcPr>
            <w:tcW w:w="463"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sz w:val="20"/>
                <w:szCs w:val="20"/>
              </w:rPr>
            </w:pPr>
          </w:p>
          <w:p w:rsidR="00DA78BE" w:rsidRPr="000E19AE" w:rsidRDefault="00DA78BE" w:rsidP="00DA78BE">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200 mg</w:t>
            </w:r>
          </w:p>
        </w:tc>
        <w:tc>
          <w:tcPr>
            <w:tcW w:w="386"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sz w:val="20"/>
                <w:szCs w:val="20"/>
              </w:rPr>
            </w:pPr>
          </w:p>
          <w:p w:rsidR="00DA78BE" w:rsidRPr="000E19AE" w:rsidRDefault="00DA78BE" w:rsidP="00DA78BE">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5</w:t>
            </w:r>
          </w:p>
        </w:tc>
        <w:tc>
          <w:tcPr>
            <w:tcW w:w="1158" w:type="pct"/>
            <w:tcBorders>
              <w:top w:val="nil"/>
              <w:left w:val="nil"/>
              <w:bottom w:val="nil"/>
              <w:right w:val="nil"/>
            </w:tcBorders>
          </w:tcPr>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Published</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Pr="00FC53C2">
              <w:rPr>
                <w:rFonts w:ascii="Arial Narrow" w:hAnsi="Arial Narrow"/>
                <w:sz w:val="20"/>
                <w:szCs w:val="20"/>
              </w:rPr>
              <w:t>9,023.22</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Private: $</w:t>
            </w:r>
            <w:r w:rsidRPr="00FC53C2">
              <w:rPr>
                <w:rFonts w:ascii="Arial Narrow" w:hAnsi="Arial Narrow"/>
                <w:sz w:val="20"/>
                <w:szCs w:val="20"/>
              </w:rPr>
              <w:t>9,186.18</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Effective</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001E368B">
              <w:rPr>
                <w:rFonts w:ascii="Arial Narrow" w:hAnsi="Arial Narrow"/>
                <w:noProof/>
                <w:color w:val="000000"/>
                <w:sz w:val="20"/>
                <w:szCs w:val="20"/>
                <w:highlight w:val="black"/>
              </w:rPr>
              <w:t>'''''''''''''''''''''''</w:t>
            </w:r>
          </w:p>
          <w:p w:rsidR="00DA78BE" w:rsidRPr="000E19AE" w:rsidRDefault="00B91860" w:rsidP="00B91860">
            <w:pPr>
              <w:keepNext/>
              <w:spacing w:before="0" w:after="0" w:line="256" w:lineRule="auto"/>
              <w:jc w:val="both"/>
              <w:rPr>
                <w:rFonts w:ascii="Arial Narrow" w:eastAsia="Calibri" w:hAnsi="Arial Narrow" w:cs="Arial"/>
                <w:sz w:val="20"/>
                <w:szCs w:val="20"/>
              </w:rPr>
            </w:pPr>
            <w:r w:rsidRPr="000E19AE">
              <w:rPr>
                <w:rFonts w:ascii="Arial Narrow" w:hAnsi="Arial Narrow"/>
                <w:sz w:val="20"/>
                <w:szCs w:val="20"/>
              </w:rPr>
              <w:t>Private: $</w:t>
            </w:r>
            <w:r w:rsidR="001E368B">
              <w:rPr>
                <w:rFonts w:ascii="Arial Narrow" w:hAnsi="Arial Narrow"/>
                <w:noProof/>
                <w:color w:val="000000"/>
                <w:sz w:val="20"/>
                <w:szCs w:val="20"/>
                <w:highlight w:val="black"/>
              </w:rPr>
              <w:t>''''''''''''''''''''''</w:t>
            </w:r>
          </w:p>
        </w:tc>
        <w:tc>
          <w:tcPr>
            <w:tcW w:w="1158" w:type="pct"/>
            <w:vMerge w:val="restar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sz w:val="20"/>
                <w:szCs w:val="20"/>
              </w:rPr>
            </w:pPr>
          </w:p>
          <w:p w:rsidR="00B540BE" w:rsidRDefault="00B540BE" w:rsidP="00B540BE">
            <w:pPr>
              <w:keepNext/>
              <w:spacing w:before="0" w:after="0" w:line="256" w:lineRule="auto"/>
              <w:jc w:val="both"/>
              <w:rPr>
                <w:rFonts w:ascii="Arial Narrow" w:eastAsia="Calibri" w:hAnsi="Arial Narrow" w:cs="Arial"/>
                <w:sz w:val="20"/>
                <w:szCs w:val="20"/>
              </w:rPr>
            </w:pPr>
            <w:r>
              <w:rPr>
                <w:rFonts w:ascii="Arial Narrow" w:hAnsi="Arial Narrow" w:cs="Arial"/>
                <w:sz w:val="20"/>
                <w:szCs w:val="20"/>
              </w:rPr>
              <w:t>Keytruda</w:t>
            </w:r>
            <w:r w:rsidRPr="00FF044C">
              <w:rPr>
                <w:rFonts w:ascii="Arial Narrow" w:hAnsi="Arial Narrow"/>
                <w:sz w:val="20"/>
                <w:vertAlign w:val="superscript"/>
              </w:rPr>
              <w:t>®</w:t>
            </w:r>
            <w:r w:rsidRPr="000E19AE">
              <w:rPr>
                <w:rFonts w:ascii="Arial Narrow" w:eastAsia="Calibri" w:hAnsi="Arial Narrow" w:cs="Arial"/>
                <w:sz w:val="20"/>
                <w:szCs w:val="20"/>
              </w:rPr>
              <w:t xml:space="preserve"> </w:t>
            </w:r>
          </w:p>
          <w:p w:rsidR="00DA78BE" w:rsidRPr="000E19AE" w:rsidRDefault="00B540BE" w:rsidP="00B540BE">
            <w:pPr>
              <w:spacing w:before="0" w:after="0" w:line="256" w:lineRule="auto"/>
              <w:jc w:val="both"/>
              <w:rPr>
                <w:rFonts w:ascii="Arial Narrow" w:eastAsia="Calibri" w:hAnsi="Arial Narrow" w:cs="Arial"/>
                <w:sz w:val="20"/>
                <w:szCs w:val="20"/>
              </w:rPr>
            </w:pPr>
            <w:r>
              <w:rPr>
                <w:rFonts w:ascii="Arial Narrow" w:hAnsi="Arial Narrow" w:cs="Arial"/>
                <w:sz w:val="20"/>
                <w:szCs w:val="20"/>
              </w:rPr>
              <w:t xml:space="preserve">Merck Sharp &amp; </w:t>
            </w:r>
            <w:r w:rsidRPr="007B3FDF">
              <w:rPr>
                <w:rFonts w:ascii="Arial Narrow" w:hAnsi="Arial Narrow" w:cs="Arial"/>
                <w:sz w:val="20"/>
                <w:szCs w:val="20"/>
              </w:rPr>
              <w:t>Dohme (Australia) Pty Ltd</w:t>
            </w:r>
          </w:p>
        </w:tc>
      </w:tr>
      <w:tr w:rsidR="00DA78BE" w:rsidRPr="000E19AE">
        <w:trPr>
          <w:cantSplit/>
          <w:trHeight w:val="577"/>
        </w:trPr>
        <w:tc>
          <w:tcPr>
            <w:tcW w:w="1836" w:type="pct"/>
            <w:gridSpan w:val="2"/>
            <w:tcBorders>
              <w:top w:val="nil"/>
              <w:left w:val="nil"/>
              <w:bottom w:val="nil"/>
              <w:right w:val="nil"/>
            </w:tcBorders>
          </w:tcPr>
          <w:p w:rsidR="00DA78BE" w:rsidRPr="000E19AE" w:rsidRDefault="00DA78BE" w:rsidP="002A5649">
            <w:pPr>
              <w:spacing w:before="0" w:after="0" w:line="256" w:lineRule="auto"/>
              <w:rPr>
                <w:rFonts w:ascii="Arial Narrow" w:eastAsia="Calibri" w:hAnsi="Arial Narrow" w:cs="Arial"/>
                <w:sz w:val="20"/>
                <w:szCs w:val="20"/>
              </w:rPr>
            </w:pPr>
            <w:r w:rsidRPr="000E19AE">
              <w:rPr>
                <w:rFonts w:ascii="Arial Narrow" w:eastAsia="Calibri" w:hAnsi="Arial Narrow" w:cs="Arial"/>
                <w:sz w:val="20"/>
                <w:szCs w:val="20"/>
              </w:rPr>
              <w:t>50 mg vial for infusion; 1 x 50 mg vial</w:t>
            </w:r>
          </w:p>
        </w:tc>
        <w:tc>
          <w:tcPr>
            <w:tcW w:w="463"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200 mg</w:t>
            </w:r>
          </w:p>
        </w:tc>
        <w:tc>
          <w:tcPr>
            <w:tcW w:w="386" w:type="pct"/>
            <w:tcBorders>
              <w:top w:val="nil"/>
              <w:left w:val="nil"/>
              <w:bottom w:val="nil"/>
              <w:right w:val="nil"/>
            </w:tcBorders>
          </w:tcPr>
          <w:p w:rsidR="00DA78BE" w:rsidRPr="000E19AE" w:rsidRDefault="00DA78BE" w:rsidP="00DA78BE">
            <w:pPr>
              <w:spacing w:before="0" w:after="0" w:line="256" w:lineRule="auto"/>
              <w:jc w:val="both"/>
              <w:rPr>
                <w:rFonts w:ascii="Arial Narrow" w:eastAsia="Calibri" w:hAnsi="Arial Narrow" w:cs="Arial"/>
                <w:sz w:val="20"/>
                <w:szCs w:val="20"/>
              </w:rPr>
            </w:pPr>
            <w:r w:rsidRPr="000E19AE">
              <w:rPr>
                <w:rFonts w:ascii="Arial Narrow" w:eastAsia="Calibri" w:hAnsi="Arial Narrow" w:cs="Arial"/>
                <w:sz w:val="20"/>
                <w:szCs w:val="20"/>
              </w:rPr>
              <w:t>5</w:t>
            </w:r>
          </w:p>
        </w:tc>
        <w:tc>
          <w:tcPr>
            <w:tcW w:w="1158" w:type="pct"/>
            <w:tcBorders>
              <w:top w:val="nil"/>
              <w:left w:val="nil"/>
              <w:bottom w:val="nil"/>
              <w:right w:val="nil"/>
            </w:tcBorders>
          </w:tcPr>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Published</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Pr="00FC53C2">
              <w:rPr>
                <w:rFonts w:ascii="Arial Narrow" w:hAnsi="Arial Narrow"/>
                <w:sz w:val="20"/>
                <w:szCs w:val="20"/>
              </w:rPr>
              <w:t>9,023.22</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Private: $</w:t>
            </w:r>
            <w:r w:rsidRPr="00FC53C2">
              <w:rPr>
                <w:rFonts w:ascii="Arial Narrow" w:hAnsi="Arial Narrow"/>
                <w:sz w:val="20"/>
                <w:szCs w:val="20"/>
              </w:rPr>
              <w:t>9,186.18</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Effective</w:t>
            </w:r>
          </w:p>
          <w:p w:rsidR="00B91860" w:rsidRPr="000E19AE" w:rsidRDefault="00B91860" w:rsidP="00B91860">
            <w:pPr>
              <w:keepNext/>
              <w:spacing w:before="0" w:after="0"/>
              <w:jc w:val="both"/>
              <w:rPr>
                <w:rFonts w:ascii="Arial Narrow" w:hAnsi="Arial Narrow"/>
                <w:sz w:val="20"/>
                <w:szCs w:val="20"/>
              </w:rPr>
            </w:pPr>
            <w:r w:rsidRPr="000E19AE">
              <w:rPr>
                <w:rFonts w:ascii="Arial Narrow" w:hAnsi="Arial Narrow"/>
                <w:sz w:val="20"/>
                <w:szCs w:val="20"/>
              </w:rPr>
              <w:t>Public: $</w:t>
            </w:r>
            <w:r w:rsidR="001E368B">
              <w:rPr>
                <w:rFonts w:ascii="Arial Narrow" w:hAnsi="Arial Narrow"/>
                <w:noProof/>
                <w:color w:val="000000"/>
                <w:sz w:val="20"/>
                <w:szCs w:val="20"/>
                <w:highlight w:val="black"/>
              </w:rPr>
              <w:t>'''''''''''''''''''''</w:t>
            </w:r>
          </w:p>
          <w:p w:rsidR="00DA78BE" w:rsidRPr="000E19AE" w:rsidRDefault="00B91860" w:rsidP="00D44CB9">
            <w:pPr>
              <w:keepNext/>
              <w:spacing w:before="0" w:after="0" w:line="256" w:lineRule="auto"/>
              <w:jc w:val="both"/>
              <w:rPr>
                <w:rFonts w:ascii="Arial Narrow" w:eastAsia="Calibri" w:hAnsi="Arial Narrow" w:cs="Arial"/>
                <w:sz w:val="20"/>
                <w:szCs w:val="20"/>
              </w:rPr>
            </w:pPr>
            <w:r w:rsidRPr="000E19AE">
              <w:rPr>
                <w:rFonts w:ascii="Arial Narrow" w:hAnsi="Arial Narrow"/>
                <w:sz w:val="20"/>
                <w:szCs w:val="20"/>
              </w:rPr>
              <w:t>Private: $</w:t>
            </w:r>
            <w:r w:rsidR="001E368B">
              <w:rPr>
                <w:rFonts w:ascii="Arial Narrow" w:hAnsi="Arial Narrow"/>
                <w:noProof/>
                <w:color w:val="000000"/>
                <w:sz w:val="20"/>
                <w:szCs w:val="20"/>
                <w:highlight w:val="black"/>
              </w:rPr>
              <w:t>'''''''''''''''''''''</w:t>
            </w:r>
          </w:p>
        </w:tc>
        <w:tc>
          <w:tcPr>
            <w:tcW w:w="1158" w:type="pct"/>
            <w:vMerge/>
            <w:tcBorders>
              <w:top w:val="nil"/>
              <w:left w:val="nil"/>
              <w:bottom w:val="nil"/>
              <w:right w:val="nil"/>
            </w:tcBorders>
            <w:vAlign w:val="center"/>
          </w:tcPr>
          <w:p w:rsidR="00DA78BE" w:rsidRPr="000E19AE" w:rsidRDefault="00DA78BE" w:rsidP="00DA78BE">
            <w:pPr>
              <w:spacing w:before="0" w:after="0" w:line="256" w:lineRule="auto"/>
              <w:rPr>
                <w:rFonts w:ascii="Arial Narrow" w:eastAsia="Calibri" w:hAnsi="Arial Narrow" w:cs="Arial"/>
                <w:sz w:val="20"/>
                <w:szCs w:val="20"/>
              </w:rPr>
            </w:pPr>
          </w:p>
        </w:tc>
      </w:tr>
      <w:tr w:rsidR="00812910"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5000" w:type="pct"/>
            <w:gridSpan w:val="6"/>
            <w:tcBorders>
              <w:bottom w:val="single" w:sz="4" w:space="0" w:color="auto"/>
            </w:tcBorders>
            <w:shd w:val="clear" w:color="auto" w:fill="auto"/>
          </w:tcPr>
          <w:p w:rsidR="00812910" w:rsidRPr="00260CE3" w:rsidRDefault="00812910" w:rsidP="00215EAB">
            <w:pPr>
              <w:spacing w:before="0" w:after="0"/>
              <w:jc w:val="both"/>
              <w:rPr>
                <w:rFonts w:ascii="Arial Narrow" w:hAnsi="Arial Narrow" w:cs="Arial"/>
                <w:sz w:val="20"/>
                <w:szCs w:val="20"/>
              </w:rPr>
            </w:pPr>
          </w:p>
        </w:tc>
      </w:tr>
      <w:tr w:rsidR="00AA5F4B"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Category / Program</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p>
        </w:tc>
      </w:tr>
      <w:tr w:rsidR="00AA5F4B"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FD5D27" w:rsidP="00215EAB">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 xml:space="preserve">Dental  </w:t>
            </w:r>
            <w:r w:rsidRPr="00C02D5C">
              <w:rPr>
                <w:rFonts w:ascii="Arial Narrow" w:hAnsi="Arial Narrow" w:cs="Arial"/>
                <w:i/>
                <w:sz w:val="20"/>
                <w:szCs w:val="20"/>
              </w:rPr>
              <w:fldChar w:fldCharType="begin">
                <w:ffData>
                  <w:name w:val=""/>
                  <w:enabled/>
                  <w:calcOnExit w:val="0"/>
                  <w:checkBox>
                    <w:sizeAuto/>
                    <w:default w:val="1"/>
                  </w:checkBox>
                </w:ffData>
              </w:fldChar>
            </w:r>
            <w:r w:rsidR="00812910" w:rsidRPr="00C02D5C">
              <w:rPr>
                <w:rFonts w:ascii="Arial Narrow" w:hAnsi="Arial Narrow" w:cs="Arial"/>
                <w:i/>
                <w:sz w:val="20"/>
                <w:szCs w:val="20"/>
              </w:rPr>
              <w:instrText xml:space="preserve"> FORMCHECKBOX </w:instrText>
            </w:r>
            <w:r w:rsidR="001E368B">
              <w:rPr>
                <w:rFonts w:ascii="Arial Narrow" w:hAnsi="Arial Narrow" w:cs="Arial"/>
                <w:i/>
                <w:sz w:val="20"/>
                <w:szCs w:val="20"/>
              </w:rPr>
            </w:r>
            <w:r w:rsidR="001E368B">
              <w:rPr>
                <w:rFonts w:ascii="Arial Narrow" w:hAnsi="Arial Narrow" w:cs="Arial"/>
                <w:i/>
                <w:sz w:val="20"/>
                <w:szCs w:val="20"/>
              </w:rPr>
              <w:fldChar w:fldCharType="separate"/>
            </w:r>
            <w:r w:rsidRPr="00C02D5C">
              <w:rPr>
                <w:rFonts w:ascii="Arial Narrow" w:hAnsi="Arial Narrow" w:cs="Arial"/>
                <w:i/>
                <w:sz w:val="20"/>
                <w:szCs w:val="20"/>
              </w:rPr>
              <w:fldChar w:fldCharType="end"/>
            </w:r>
            <w:r w:rsidR="00812910" w:rsidRPr="00C02D5C">
              <w:rPr>
                <w:rFonts w:ascii="Arial Narrow" w:hAnsi="Arial Narrow" w:cs="Arial"/>
                <w:i/>
                <w:sz w:val="20"/>
                <w:szCs w:val="20"/>
              </w:rPr>
              <w:t>Medical Practitioners</w:t>
            </w:r>
            <w:r w:rsidR="00812910" w:rsidRPr="00260CE3">
              <w:rPr>
                <w:rFonts w:ascii="Arial Narrow" w:hAnsi="Arial Narrow" w:cs="Arial"/>
                <w:sz w:val="20"/>
                <w:szCs w:val="20"/>
              </w:rPr>
              <w:t xml:space="preserve"> </w:t>
            </w:r>
            <w:r w:rsidR="00812910">
              <w:rPr>
                <w:rFonts w:ascii="Arial Narrow" w:hAnsi="Arial Narrow" w:cs="Arial"/>
                <w:sz w:val="20"/>
                <w:szCs w:val="20"/>
              </w:rPr>
              <w:t xml:space="preserve"> </w:t>
            </w:r>
            <w:r w:rsidRPr="00260CE3">
              <w:rPr>
                <w:rFonts w:ascii="Arial Narrow" w:hAnsi="Arial Narrow" w:cs="Arial"/>
                <w:sz w:val="20"/>
                <w:szCs w:val="20"/>
              </w:rPr>
              <w:fldChar w:fldCharType="begin">
                <w:ffData>
                  <w:name w:val="Check3"/>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Optometrists</w:t>
            </w:r>
          </w:p>
          <w:p w:rsidR="00812910" w:rsidRPr="00260CE3" w:rsidRDefault="00FD5D27" w:rsidP="00215EAB">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00812910" w:rsidRPr="00260CE3">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sidRPr="00260CE3">
              <w:rPr>
                <w:rFonts w:ascii="Arial Narrow" w:hAnsi="Arial Narrow" w:cs="Arial"/>
                <w:sz w:val="20"/>
                <w:szCs w:val="20"/>
              </w:rPr>
              <w:fldChar w:fldCharType="end"/>
            </w:r>
            <w:r w:rsidR="00812910" w:rsidRPr="00260CE3">
              <w:rPr>
                <w:rFonts w:ascii="Arial Narrow" w:hAnsi="Arial Narrow" w:cs="Arial"/>
                <w:sz w:val="20"/>
                <w:szCs w:val="20"/>
              </w:rPr>
              <w:t>Midwives</w:t>
            </w:r>
          </w:p>
        </w:tc>
      </w:tr>
      <w:tr w:rsidR="00AA5F4B"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Episodicity:</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p>
        </w:tc>
      </w:tr>
      <w:tr w:rsidR="00AA5F4B"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Severity:</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197E">
              <w:rPr>
                <w:rFonts w:ascii="Arial Narrow" w:hAnsi="Arial Narrow"/>
                <w:sz w:val="20"/>
                <w:szCs w:val="20"/>
              </w:rPr>
              <w:t>Locally advanced (Stage III) or metastatic (Stage IV)</w:t>
            </w:r>
          </w:p>
        </w:tc>
      </w:tr>
      <w:tr w:rsidR="00AA5F4B"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197E">
              <w:rPr>
                <w:rFonts w:ascii="Arial Narrow" w:hAnsi="Arial Narrow"/>
                <w:sz w:val="20"/>
                <w:szCs w:val="20"/>
              </w:rPr>
              <w:t>Urothelial cancer</w:t>
            </w:r>
          </w:p>
        </w:tc>
      </w:tr>
      <w:tr w:rsidR="00AA5F4B"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AE058A"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197E">
              <w:rPr>
                <w:rFonts w:ascii="Arial Narrow" w:hAnsi="Arial Narrow"/>
                <w:sz w:val="20"/>
                <w:szCs w:val="20"/>
              </w:rPr>
              <w:t>Locally advanced (Stage III) or metastatic (Stage IV) urothelial cancer</w:t>
            </w:r>
          </w:p>
        </w:tc>
      </w:tr>
      <w:tr w:rsidR="00AA5F4B" w:rsidRPr="00A6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Treatment phase:</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197E" w:rsidRDefault="00812910" w:rsidP="00215EAB">
            <w:pPr>
              <w:spacing w:before="0" w:after="0"/>
              <w:rPr>
                <w:rFonts w:ascii="Arial Narrow" w:hAnsi="Arial Narrow" w:cs="Arial"/>
                <w:sz w:val="20"/>
                <w:szCs w:val="20"/>
              </w:rPr>
            </w:pPr>
            <w:r w:rsidRPr="00A66E6E">
              <w:rPr>
                <w:rFonts w:ascii="Arial Narrow" w:hAnsi="Arial Narrow"/>
                <w:sz w:val="20"/>
                <w:szCs w:val="20"/>
              </w:rPr>
              <w:t>Grandfathering treatment</w:t>
            </w:r>
          </w:p>
        </w:tc>
      </w:tr>
      <w:tr w:rsidR="00AA5F4B"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CD28F3"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FD5D27" w:rsidP="00215EAB">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sidR="00812910">
              <w:rPr>
                <w:rFonts w:ascii="Arial Narrow" w:hAnsi="Arial Narrow" w:cs="Arial"/>
                <w:sz w:val="20"/>
                <w:szCs w:val="20"/>
              </w:rPr>
              <w:instrText xml:space="preserve"> FORMCHECKBOX </w:instrText>
            </w:r>
            <w:r w:rsidR="001E368B">
              <w:rPr>
                <w:rFonts w:ascii="Arial Narrow" w:hAnsi="Arial Narrow" w:cs="Arial"/>
                <w:sz w:val="20"/>
                <w:szCs w:val="20"/>
              </w:rPr>
            </w:r>
            <w:r w:rsidR="001E368B">
              <w:rPr>
                <w:rFonts w:ascii="Arial Narrow" w:hAnsi="Arial Narrow" w:cs="Arial"/>
                <w:sz w:val="20"/>
                <w:szCs w:val="20"/>
              </w:rPr>
              <w:fldChar w:fldCharType="separate"/>
            </w:r>
            <w:r>
              <w:rPr>
                <w:rFonts w:ascii="Arial Narrow" w:hAnsi="Arial Narrow" w:cs="Arial"/>
                <w:sz w:val="20"/>
                <w:szCs w:val="20"/>
              </w:rPr>
              <w:fldChar w:fldCharType="end"/>
            </w:r>
            <w:r w:rsidR="00812910" w:rsidRPr="00106BCF">
              <w:rPr>
                <w:rFonts w:ascii="Arial Narrow" w:hAnsi="Arial Narrow" w:cs="Arial"/>
                <w:sz w:val="20"/>
                <w:szCs w:val="20"/>
              </w:rPr>
              <w:t>Streamlined</w:t>
            </w:r>
          </w:p>
        </w:tc>
      </w:tr>
      <w:tr w:rsidR="00AA5F4B"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sz w:val="20"/>
                <w:szCs w:val="20"/>
              </w:rPr>
            </w:pPr>
            <w:r w:rsidRPr="00260CE3">
              <w:rPr>
                <w:rFonts w:ascii="Arial Narrow" w:hAnsi="Arial Narrow" w:cs="Arial"/>
                <w:b/>
                <w:sz w:val="20"/>
                <w:szCs w:val="20"/>
              </w:rPr>
              <w:t>Clinical criteria:</w:t>
            </w:r>
            <w:r w:rsidRPr="00260CE3">
              <w:rPr>
                <w:rFonts w:ascii="Arial Narrow" w:hAnsi="Arial Narrow" w:cs="Arial"/>
                <w:sz w:val="20"/>
                <w:szCs w:val="20"/>
              </w:rPr>
              <w:t xml:space="preserve"> </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Patient must have received non-PBS treatment with this drug for this condition prior to [date of PBS listing],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Treatment must be the sole PBS-subsidised therapy for this condition,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A66E6E" w:rsidRDefault="00812910" w:rsidP="006B3D20">
            <w:pPr>
              <w:spacing w:before="0" w:after="0"/>
              <w:rPr>
                <w:rFonts w:ascii="Arial Narrow" w:hAnsi="Arial Narrow" w:cs="Arial"/>
                <w:sz w:val="20"/>
                <w:szCs w:val="20"/>
              </w:rPr>
            </w:pPr>
            <w:r w:rsidRPr="00A66E6E">
              <w:rPr>
                <w:rFonts w:ascii="Arial Narrow" w:hAnsi="Arial Narrow" w:cs="Arial"/>
                <w:sz w:val="20"/>
                <w:szCs w:val="20"/>
              </w:rPr>
              <w:t xml:space="preserve">Patient must have failed a platinum-containing regimen for this condition in the metastatic setting or for inoperable locally advanced disease </w:t>
            </w:r>
          </w:p>
          <w:p w:rsidR="00812910" w:rsidRPr="00A66E6E" w:rsidRDefault="00812910" w:rsidP="006B3D20">
            <w:pPr>
              <w:spacing w:before="0" w:after="0"/>
              <w:rPr>
                <w:rFonts w:ascii="Arial Narrow" w:hAnsi="Arial Narrow" w:cs="Arial"/>
                <w:sz w:val="20"/>
                <w:szCs w:val="20"/>
              </w:rPr>
            </w:pPr>
            <w:r w:rsidRPr="00A66E6E">
              <w:rPr>
                <w:rFonts w:ascii="Arial Narrow" w:hAnsi="Arial Narrow" w:cs="Arial"/>
                <w:sz w:val="20"/>
                <w:szCs w:val="20"/>
              </w:rPr>
              <w:t>OR</w:t>
            </w:r>
          </w:p>
          <w:p w:rsidR="00812910" w:rsidRPr="00A66E6E" w:rsidRDefault="00812910" w:rsidP="006B3D20">
            <w:pPr>
              <w:spacing w:before="0" w:after="0"/>
              <w:rPr>
                <w:rFonts w:ascii="Arial Narrow" w:hAnsi="Arial Narrow" w:cs="Arial"/>
                <w:sz w:val="20"/>
                <w:szCs w:val="20"/>
              </w:rPr>
            </w:pPr>
            <w:r w:rsidRPr="00A66E6E">
              <w:rPr>
                <w:rFonts w:ascii="Arial Narrow" w:hAnsi="Arial Narrow" w:cs="Arial"/>
                <w:sz w:val="20"/>
                <w:szCs w:val="20"/>
              </w:rPr>
              <w:t>Patient must have received adjuvant platinum-containing therapy following cystectomy for localised muscle-invasive urothelial cancer, with recurrence/progression ≤12 months following completion of therapy</w:t>
            </w:r>
          </w:p>
          <w:p w:rsidR="00812910" w:rsidRPr="00A66E6E" w:rsidRDefault="00812910" w:rsidP="006B3D20">
            <w:pPr>
              <w:spacing w:before="0" w:after="0"/>
              <w:rPr>
                <w:rFonts w:ascii="Arial Narrow" w:hAnsi="Arial Narrow" w:cs="Arial"/>
                <w:sz w:val="20"/>
                <w:szCs w:val="20"/>
              </w:rPr>
            </w:pPr>
            <w:r w:rsidRPr="00A66E6E">
              <w:rPr>
                <w:rFonts w:ascii="Arial Narrow" w:hAnsi="Arial Narrow" w:cs="Arial"/>
                <w:sz w:val="20"/>
                <w:szCs w:val="20"/>
              </w:rPr>
              <w:t>OR</w:t>
            </w:r>
          </w:p>
          <w:p w:rsidR="00812910" w:rsidRPr="00A66E6E" w:rsidRDefault="00812910" w:rsidP="006B3D20">
            <w:pPr>
              <w:spacing w:before="0" w:after="0"/>
              <w:rPr>
                <w:rFonts w:ascii="Arial Narrow" w:hAnsi="Arial Narrow" w:cs="Arial"/>
                <w:sz w:val="20"/>
                <w:szCs w:val="20"/>
              </w:rPr>
            </w:pPr>
            <w:r w:rsidRPr="00A66E6E">
              <w:rPr>
                <w:rFonts w:ascii="Arial Narrow" w:hAnsi="Arial Narrow" w:cs="Arial"/>
                <w:sz w:val="20"/>
                <w:szCs w:val="20"/>
              </w:rPr>
              <w:t xml:space="preserve">Patient must have received neoadjuvant platinum-containing therapy prior to cystectomy for localised muscle-invasive urothelial cancer, with recurrence ≤12 months following completion of therapy;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Patient must have stable or responding disease, </w:t>
            </w:r>
          </w:p>
          <w:p w:rsidR="00812910" w:rsidRPr="00A66E6E" w:rsidRDefault="00812910" w:rsidP="00215EAB">
            <w:pPr>
              <w:spacing w:before="0" w:after="0"/>
              <w:rPr>
                <w:rFonts w:ascii="Arial Narrow" w:hAnsi="Arial Narrow" w:cs="Arial"/>
                <w:sz w:val="20"/>
                <w:szCs w:val="20"/>
              </w:rPr>
            </w:pPr>
            <w:r w:rsidRPr="00A66E6E">
              <w:rPr>
                <w:rFonts w:ascii="Arial Narrow" w:hAnsi="Arial Narrow" w:cs="Arial"/>
                <w:sz w:val="20"/>
                <w:szCs w:val="20"/>
              </w:rPr>
              <w:t>AND</w:t>
            </w:r>
          </w:p>
          <w:p w:rsidR="00812910" w:rsidRPr="00260CE3"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The total treatment received must not exceed </w:t>
            </w:r>
            <w:r w:rsidRPr="004E371C">
              <w:rPr>
                <w:rFonts w:ascii="Arial Narrow" w:hAnsi="Arial Narrow" w:cs="Arial"/>
                <w:sz w:val="20"/>
                <w:szCs w:val="20"/>
              </w:rPr>
              <w:t>35</w:t>
            </w:r>
            <w:r w:rsidRPr="00A66E6E">
              <w:rPr>
                <w:rFonts w:ascii="Arial Narrow" w:hAnsi="Arial Narrow" w:cs="Arial"/>
                <w:sz w:val="20"/>
                <w:szCs w:val="20"/>
              </w:rPr>
              <w:t xml:space="preserve"> cycles at a dose of 200 mg every 3 weeks</w:t>
            </w:r>
          </w:p>
        </w:tc>
      </w:tr>
      <w:tr w:rsidR="00AA5F4B" w:rsidRPr="00260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285" w:type="pct"/>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jc w:val="both"/>
              <w:rPr>
                <w:rFonts w:ascii="Arial Narrow" w:hAnsi="Arial Narrow" w:cs="Arial"/>
                <w:i/>
                <w:sz w:val="20"/>
                <w:szCs w:val="20"/>
              </w:rPr>
            </w:pPr>
            <w:r w:rsidRPr="00260CE3">
              <w:rPr>
                <w:rFonts w:ascii="Arial Narrow" w:hAnsi="Arial Narrow" w:cs="Arial"/>
                <w:b/>
                <w:sz w:val="20"/>
                <w:szCs w:val="20"/>
              </w:rPr>
              <w:t>Administrative Advice</w:t>
            </w:r>
          </w:p>
        </w:tc>
        <w:tc>
          <w:tcPr>
            <w:tcW w:w="3715" w:type="pct"/>
            <w:gridSpan w:val="5"/>
            <w:tcBorders>
              <w:top w:val="single" w:sz="4" w:space="0" w:color="auto"/>
              <w:left w:val="single" w:sz="4" w:space="0" w:color="auto"/>
              <w:bottom w:val="single" w:sz="4" w:space="0" w:color="auto"/>
              <w:right w:val="single" w:sz="4" w:space="0" w:color="auto"/>
            </w:tcBorders>
            <w:shd w:val="clear" w:color="auto" w:fill="auto"/>
          </w:tcPr>
          <w:p w:rsidR="00812910" w:rsidRPr="00260CE3" w:rsidRDefault="00812910" w:rsidP="00215EAB">
            <w:pPr>
              <w:spacing w:before="0" w:after="0"/>
              <w:rPr>
                <w:rFonts w:ascii="Arial Narrow" w:hAnsi="Arial Narrow" w:cs="Arial"/>
                <w:sz w:val="20"/>
                <w:szCs w:val="20"/>
              </w:rPr>
            </w:pPr>
            <w:r w:rsidRPr="00A66E6E">
              <w:rPr>
                <w:rFonts w:ascii="Arial Narrow" w:hAnsi="Arial Narrow" w:cs="Arial"/>
                <w:sz w:val="20"/>
                <w:szCs w:val="20"/>
              </w:rPr>
              <w:t xml:space="preserve">No increase in the maximum </w:t>
            </w:r>
            <w:r w:rsidRPr="00C65CD0">
              <w:rPr>
                <w:rFonts w:ascii="Arial Narrow" w:hAnsi="Arial Narrow" w:cs="Arial"/>
                <w:i/>
                <w:sz w:val="20"/>
                <w:szCs w:val="20"/>
              </w:rPr>
              <w:t>quantity or number of units or</w:t>
            </w:r>
            <w:r w:rsidRPr="00A66E6E">
              <w:rPr>
                <w:rFonts w:ascii="Arial Narrow" w:hAnsi="Arial Narrow" w:cs="Arial"/>
                <w:sz w:val="20"/>
                <w:szCs w:val="20"/>
              </w:rPr>
              <w:t xml:space="preserve"> number of repeats will be authorised.</w:t>
            </w:r>
          </w:p>
        </w:tc>
      </w:tr>
    </w:tbl>
    <w:p w:rsidR="003B6F43" w:rsidRPr="00B93493" w:rsidRDefault="003B6F43" w:rsidP="00C47FDA">
      <w:pPr>
        <w:pStyle w:val="ListParagraph"/>
        <w:numPr>
          <w:ilvl w:val="1"/>
          <w:numId w:val="12"/>
        </w:numPr>
        <w:jc w:val="both"/>
        <w:rPr>
          <w:color w:val="000000" w:themeColor="text1"/>
        </w:rPr>
      </w:pPr>
      <w:r w:rsidRPr="00B93493">
        <w:rPr>
          <w:color w:val="000000" w:themeColor="text1"/>
        </w:rPr>
        <w:t>The submission proposed that patients would be</w:t>
      </w:r>
      <w:r w:rsidR="006B3D20" w:rsidRPr="00B93493">
        <w:rPr>
          <w:color w:val="000000" w:themeColor="text1"/>
        </w:rPr>
        <w:t xml:space="preserve"> able to access a maximum of 35 </w:t>
      </w:r>
      <w:r w:rsidRPr="00B93493">
        <w:rPr>
          <w:color w:val="000000" w:themeColor="text1"/>
        </w:rPr>
        <w:t xml:space="preserve">cycles of pembrolizumab on the PBS, on the basis that this was consistent with the design of the trial of pembrolizumab in LA </w:t>
      </w:r>
      <w:r w:rsidR="005F6466">
        <w:rPr>
          <w:color w:val="000000" w:themeColor="text1"/>
        </w:rPr>
        <w:t>or</w:t>
      </w:r>
      <w:r w:rsidRPr="00B93493">
        <w:rPr>
          <w:color w:val="000000" w:themeColor="text1"/>
        </w:rPr>
        <w:t xml:space="preserve"> mUC (KN045; </w:t>
      </w:r>
      <w:r w:rsidR="002F7F64" w:rsidRPr="00B93493">
        <w:rPr>
          <w:color w:val="000000" w:themeColor="text1"/>
        </w:rPr>
        <w:t>s</w:t>
      </w:r>
      <w:r w:rsidRPr="00B93493">
        <w:rPr>
          <w:color w:val="000000" w:themeColor="text1"/>
        </w:rPr>
        <w:t>ub</w:t>
      </w:r>
      <w:r w:rsidR="002F7F64" w:rsidRPr="00B93493">
        <w:rPr>
          <w:color w:val="000000" w:themeColor="text1"/>
        </w:rPr>
        <w:t>mission</w:t>
      </w:r>
      <w:r w:rsidRPr="00B93493">
        <w:rPr>
          <w:color w:val="000000" w:themeColor="text1"/>
        </w:rPr>
        <w:t xml:space="preserve"> p17)</w:t>
      </w:r>
      <w:r w:rsidR="006514EF" w:rsidRPr="00B93493">
        <w:rPr>
          <w:color w:val="000000" w:themeColor="text1"/>
        </w:rPr>
        <w:t xml:space="preserve"> which discontinued treatment after 24 months (35 cycles) of pembrolizumab</w:t>
      </w:r>
      <w:r w:rsidRPr="00B93493">
        <w:rPr>
          <w:color w:val="000000" w:themeColor="text1"/>
        </w:rPr>
        <w:t xml:space="preserve">. The </w:t>
      </w:r>
      <w:r w:rsidR="006514EF" w:rsidRPr="00B93493">
        <w:rPr>
          <w:color w:val="000000" w:themeColor="text1"/>
        </w:rPr>
        <w:t xml:space="preserve">KN045 </w:t>
      </w:r>
      <w:r w:rsidR="004C566A" w:rsidRPr="00B93493">
        <w:rPr>
          <w:color w:val="000000" w:themeColor="text1"/>
        </w:rPr>
        <w:t xml:space="preserve">Clinical Study Report </w:t>
      </w:r>
      <w:r w:rsidR="006514EF" w:rsidRPr="00B93493">
        <w:rPr>
          <w:color w:val="000000" w:themeColor="text1"/>
        </w:rPr>
        <w:t>(</w:t>
      </w:r>
      <w:r w:rsidR="004C566A" w:rsidRPr="00B93493">
        <w:rPr>
          <w:color w:val="000000" w:themeColor="text1"/>
        </w:rPr>
        <w:t xml:space="preserve">CSR </w:t>
      </w:r>
      <w:r w:rsidR="006514EF" w:rsidRPr="00B93493">
        <w:rPr>
          <w:color w:val="000000" w:themeColor="text1"/>
        </w:rPr>
        <w:t>Att 12, p70) note</w:t>
      </w:r>
      <w:r w:rsidR="004C566A" w:rsidRPr="00B93493">
        <w:rPr>
          <w:color w:val="000000" w:themeColor="text1"/>
        </w:rPr>
        <w:t>d</w:t>
      </w:r>
      <w:r w:rsidR="006514EF" w:rsidRPr="00B93493">
        <w:rPr>
          <w:color w:val="000000" w:themeColor="text1"/>
        </w:rPr>
        <w:t xml:space="preserve"> that patients may </w:t>
      </w:r>
      <w:r w:rsidR="00CE28CE" w:rsidRPr="00B93493">
        <w:rPr>
          <w:color w:val="000000" w:themeColor="text1"/>
        </w:rPr>
        <w:t xml:space="preserve">be eligible for </w:t>
      </w:r>
      <w:r w:rsidR="00CE28CE" w:rsidRPr="00B93493">
        <w:rPr>
          <w:color w:val="000000" w:themeColor="text1"/>
        </w:rPr>
        <w:lastRenderedPageBreak/>
        <w:t>an additional 12 months of treatment</w:t>
      </w:r>
      <w:r w:rsidR="002F7F64" w:rsidRPr="00B93493">
        <w:rPr>
          <w:color w:val="000000" w:themeColor="text1"/>
        </w:rPr>
        <w:t>, a “second course”,</w:t>
      </w:r>
      <w:r w:rsidR="00CE28CE" w:rsidRPr="00B93493">
        <w:rPr>
          <w:color w:val="000000" w:themeColor="text1"/>
        </w:rPr>
        <w:t xml:space="preserve"> if they progressed after </w:t>
      </w:r>
      <w:r w:rsidR="006B3D20" w:rsidRPr="00B93493">
        <w:rPr>
          <w:color w:val="000000" w:themeColor="text1"/>
        </w:rPr>
        <w:t>24 </w:t>
      </w:r>
      <w:r w:rsidR="006514EF" w:rsidRPr="00B93493">
        <w:rPr>
          <w:color w:val="000000" w:themeColor="text1"/>
        </w:rPr>
        <w:t>months</w:t>
      </w:r>
      <w:r w:rsidR="00CE28CE" w:rsidRPr="00B93493">
        <w:rPr>
          <w:color w:val="000000" w:themeColor="text1"/>
        </w:rPr>
        <w:t xml:space="preserve"> of pembrolizumab.</w:t>
      </w:r>
      <w:r w:rsidR="006514EF" w:rsidRPr="00B93493">
        <w:rPr>
          <w:color w:val="000000" w:themeColor="text1"/>
        </w:rPr>
        <w:t xml:space="preserve"> </w:t>
      </w:r>
      <w:r w:rsidRPr="00B93493">
        <w:rPr>
          <w:color w:val="000000" w:themeColor="text1"/>
        </w:rPr>
        <w:t>The submission incorporate</w:t>
      </w:r>
      <w:r w:rsidR="004C566A" w:rsidRPr="00B93493">
        <w:rPr>
          <w:color w:val="000000" w:themeColor="text1"/>
        </w:rPr>
        <w:t>d</w:t>
      </w:r>
      <w:r w:rsidRPr="00B93493">
        <w:rPr>
          <w:color w:val="000000" w:themeColor="text1"/>
        </w:rPr>
        <w:t xml:space="preserve"> the proposed maximum number of cycles in both the economic evaluation and estimates of the financial implications of listing pembrolizumab. </w:t>
      </w:r>
      <w:r w:rsidR="0048423C" w:rsidRPr="00B93493">
        <w:rPr>
          <w:rFonts w:eastAsiaTheme="majorEastAsia" w:cstheme="majorBidi"/>
        </w:rPr>
        <w:t>The ESC noted that a two year treatment course may be too short for a selected minority of patients and that the inclusion of a limit on the number of cycles in the restriction may therefore be inappropriate.</w:t>
      </w:r>
    </w:p>
    <w:p w:rsidR="00F9012C" w:rsidRPr="00732C05" w:rsidRDefault="00F9012C" w:rsidP="00C47FDA">
      <w:pPr>
        <w:pStyle w:val="ListParagraph"/>
        <w:numPr>
          <w:ilvl w:val="1"/>
          <w:numId w:val="12"/>
        </w:numPr>
        <w:spacing w:before="0" w:after="120"/>
        <w:jc w:val="both"/>
        <w:rPr>
          <w:color w:val="000000" w:themeColor="text1"/>
        </w:rPr>
      </w:pPr>
      <w:r w:rsidRPr="00B93493">
        <w:rPr>
          <w:rFonts w:ascii="Calibri" w:hAnsi="Calibri" w:cs="Arial"/>
        </w:rPr>
        <w:t xml:space="preserve">The </w:t>
      </w:r>
      <w:r w:rsidR="00276348">
        <w:rPr>
          <w:rFonts w:ascii="Calibri" w:hAnsi="Calibri" w:cs="Arial"/>
        </w:rPr>
        <w:t xml:space="preserve">Pre-Sub-Committee Response </w:t>
      </w:r>
      <w:r w:rsidRPr="00B93493">
        <w:rPr>
          <w:rFonts w:ascii="Calibri" w:hAnsi="Calibri" w:cs="Arial"/>
        </w:rPr>
        <w:t xml:space="preserve">PSCR (p4) </w:t>
      </w:r>
      <w:r w:rsidR="00FD7FC7" w:rsidRPr="00B93493">
        <w:rPr>
          <w:rFonts w:ascii="Calibri" w:hAnsi="Calibri" w:cs="Arial"/>
        </w:rPr>
        <w:t>a</w:t>
      </w:r>
      <w:r w:rsidR="0048423C" w:rsidRPr="00B93493">
        <w:rPr>
          <w:rFonts w:ascii="Calibri" w:hAnsi="Calibri" w:cs="Arial"/>
        </w:rPr>
        <w:t xml:space="preserve">greed to the </w:t>
      </w:r>
      <w:r w:rsidR="00991B29" w:rsidRPr="00B93493">
        <w:rPr>
          <w:rFonts w:ascii="Calibri" w:hAnsi="Calibri" w:cs="Arial"/>
        </w:rPr>
        <w:t>Secretariat-</w:t>
      </w:r>
      <w:r w:rsidR="0048423C" w:rsidRPr="00B93493">
        <w:rPr>
          <w:rFonts w:ascii="Calibri" w:hAnsi="Calibri" w:cs="Arial"/>
        </w:rPr>
        <w:t>prop</w:t>
      </w:r>
      <w:r w:rsidR="00991B29" w:rsidRPr="00B93493">
        <w:rPr>
          <w:rFonts w:ascii="Calibri" w:hAnsi="Calibri" w:cs="Arial"/>
        </w:rPr>
        <w:t>osed</w:t>
      </w:r>
      <w:r w:rsidRPr="00B93493">
        <w:rPr>
          <w:rFonts w:ascii="Calibri" w:hAnsi="Calibri" w:cs="Arial"/>
        </w:rPr>
        <w:t xml:space="preserve"> change</w:t>
      </w:r>
      <w:r w:rsidR="00991B29" w:rsidRPr="00B93493">
        <w:rPr>
          <w:rFonts w:ascii="Calibri" w:hAnsi="Calibri" w:cs="Arial"/>
        </w:rPr>
        <w:t>s</w:t>
      </w:r>
      <w:r w:rsidR="0048423C" w:rsidRPr="00B93493">
        <w:rPr>
          <w:rFonts w:ascii="Calibri" w:hAnsi="Calibri" w:cs="Arial"/>
        </w:rPr>
        <w:t xml:space="preserve"> to the restriction so that the proposed maximum number of cycles, i.e. seven (1+6) cycles through the initial prescription followed by a maximum of 4 continuing prescriptions of seven (1+6) cycles each</w:t>
      </w:r>
      <w:r w:rsidR="00915209" w:rsidRPr="00B93493">
        <w:rPr>
          <w:rFonts w:ascii="Calibri" w:hAnsi="Calibri" w:cs="Arial"/>
        </w:rPr>
        <w:t>,</w:t>
      </w:r>
      <w:r w:rsidR="0048423C" w:rsidRPr="00B93493">
        <w:rPr>
          <w:rFonts w:ascii="Calibri" w:hAnsi="Calibri" w:cs="Arial"/>
        </w:rPr>
        <w:t xml:space="preserve"> </w:t>
      </w:r>
      <w:r w:rsidR="00991B29" w:rsidRPr="00B93493">
        <w:rPr>
          <w:rFonts w:ascii="Calibri" w:hAnsi="Calibri" w:cs="Arial"/>
        </w:rPr>
        <w:t xml:space="preserve">would </w:t>
      </w:r>
      <w:r w:rsidR="0048423C" w:rsidRPr="00B93493">
        <w:rPr>
          <w:rFonts w:ascii="Calibri" w:hAnsi="Calibri" w:cs="Arial"/>
        </w:rPr>
        <w:t>total a maximum of 35 cycles</w:t>
      </w:r>
      <w:r w:rsidRPr="00B93493">
        <w:rPr>
          <w:rFonts w:ascii="Calibri" w:hAnsi="Calibri" w:cs="Arial"/>
        </w:rPr>
        <w:t>.</w:t>
      </w:r>
    </w:p>
    <w:p w:rsidR="00732C05" w:rsidRPr="00B93493" w:rsidRDefault="00732C05" w:rsidP="00732C05">
      <w:pPr>
        <w:pStyle w:val="ListParagraph"/>
        <w:spacing w:before="0" w:after="120"/>
        <w:jc w:val="both"/>
        <w:rPr>
          <w:color w:val="000000" w:themeColor="text1"/>
        </w:rPr>
      </w:pPr>
      <w:r w:rsidRPr="0077195B">
        <w:rPr>
          <w:i/>
        </w:rPr>
        <w:t>For more detail on PBAC’s view, see section 7 PBAC outcome.</w:t>
      </w:r>
    </w:p>
    <w:p w:rsidR="00310DD0" w:rsidRPr="00B93493" w:rsidRDefault="00310DD0" w:rsidP="00310DD0">
      <w:pPr>
        <w:pStyle w:val="Heading1"/>
        <w:ind w:left="709" w:hanging="709"/>
      </w:pPr>
      <w:bookmarkStart w:id="6" w:name="_Toc476306883"/>
      <w:bookmarkStart w:id="7" w:name="_Toc492274917"/>
      <w:bookmarkStart w:id="8" w:name="_Toc413139273"/>
      <w:r w:rsidRPr="00B93493">
        <w:t>Background</w:t>
      </w:r>
      <w:bookmarkEnd w:id="6"/>
      <w:bookmarkEnd w:id="7"/>
    </w:p>
    <w:p w:rsidR="00310DD0" w:rsidRPr="00A20D1B" w:rsidRDefault="00310DD0" w:rsidP="002A5649">
      <w:pPr>
        <w:pStyle w:val="Heading2"/>
      </w:pPr>
      <w:bookmarkStart w:id="9" w:name="_Toc492274918"/>
      <w:r w:rsidRPr="00A20D1B">
        <w:t>Registration status</w:t>
      </w:r>
      <w:bookmarkEnd w:id="9"/>
    </w:p>
    <w:bookmarkEnd w:id="8"/>
    <w:p w:rsidR="00A06525" w:rsidRPr="00EB5844" w:rsidRDefault="007B1118" w:rsidP="00C47FDA">
      <w:pPr>
        <w:pStyle w:val="ListParagraph"/>
        <w:numPr>
          <w:ilvl w:val="1"/>
          <w:numId w:val="16"/>
        </w:numPr>
        <w:spacing w:before="0" w:after="120"/>
        <w:jc w:val="both"/>
        <w:rPr>
          <w:color w:val="000000" w:themeColor="text1"/>
        </w:rPr>
      </w:pPr>
      <w:r w:rsidRPr="00EB5844">
        <w:rPr>
          <w:color w:val="000000" w:themeColor="text1"/>
        </w:rPr>
        <w:t xml:space="preserve">TGA status at the time of PBAC consideration: </w:t>
      </w:r>
      <w:r w:rsidR="00B55B3F" w:rsidRPr="00EB5844">
        <w:rPr>
          <w:color w:val="000000" w:themeColor="text1"/>
        </w:rPr>
        <w:t>Th</w:t>
      </w:r>
      <w:r w:rsidR="00F21E16">
        <w:rPr>
          <w:color w:val="000000" w:themeColor="text1"/>
        </w:rPr>
        <w:t>e</w:t>
      </w:r>
      <w:r w:rsidR="00B55B3F" w:rsidRPr="00EB5844">
        <w:rPr>
          <w:color w:val="000000" w:themeColor="text1"/>
        </w:rPr>
        <w:t xml:space="preserve"> submission </w:t>
      </w:r>
      <w:r w:rsidR="00F21E16">
        <w:rPr>
          <w:color w:val="000000" w:themeColor="text1"/>
        </w:rPr>
        <w:t>w</w:t>
      </w:r>
      <w:r w:rsidR="00B55B3F" w:rsidRPr="00EB5844">
        <w:rPr>
          <w:color w:val="000000" w:themeColor="text1"/>
        </w:rPr>
        <w:t>as lodged under the TGA/PBAC parallel process as pembrolizumab ha</w:t>
      </w:r>
      <w:r w:rsidR="00F21E16">
        <w:rPr>
          <w:color w:val="000000" w:themeColor="text1"/>
        </w:rPr>
        <w:t>d</w:t>
      </w:r>
      <w:r w:rsidR="00B55B3F" w:rsidRPr="00EB5844">
        <w:rPr>
          <w:color w:val="000000" w:themeColor="text1"/>
        </w:rPr>
        <w:t xml:space="preserve"> not yet been approved as a treatment option in LA or mUC. </w:t>
      </w:r>
      <w:bookmarkStart w:id="10" w:name="_Hlk491242663"/>
      <w:r w:rsidR="0048423C" w:rsidRPr="00EB5844">
        <w:rPr>
          <w:color w:val="000000" w:themeColor="text1"/>
        </w:rPr>
        <w:t>T</w:t>
      </w:r>
      <w:r w:rsidR="00B55B3F" w:rsidRPr="00EB5844">
        <w:rPr>
          <w:color w:val="000000" w:themeColor="text1"/>
        </w:rPr>
        <w:t xml:space="preserve">he </w:t>
      </w:r>
      <w:r w:rsidR="000E5FC9" w:rsidRPr="00EB5844">
        <w:rPr>
          <w:color w:val="000000" w:themeColor="text1"/>
        </w:rPr>
        <w:t>TGA clinical evaluation</w:t>
      </w:r>
      <w:r w:rsidR="00B55B3F" w:rsidRPr="00EB5844">
        <w:rPr>
          <w:color w:val="000000" w:themeColor="text1"/>
        </w:rPr>
        <w:t xml:space="preserve"> report </w:t>
      </w:r>
      <w:bookmarkEnd w:id="10"/>
      <w:r w:rsidR="00B67B1B" w:rsidRPr="00EB5844">
        <w:rPr>
          <w:color w:val="000000" w:themeColor="text1"/>
        </w:rPr>
        <w:t xml:space="preserve">and the TGA Delegate’s Overview were available at the time of PBAC consideration. The </w:t>
      </w:r>
      <w:r w:rsidR="00CF5880">
        <w:rPr>
          <w:color w:val="000000" w:themeColor="text1"/>
        </w:rPr>
        <w:t>TGA delegate indicated that the</w:t>
      </w:r>
      <w:r w:rsidR="00F21E16">
        <w:rPr>
          <w:color w:val="000000" w:themeColor="text1"/>
        </w:rPr>
        <w:t xml:space="preserve">re was </w:t>
      </w:r>
      <w:r w:rsidR="00CF5880">
        <w:rPr>
          <w:color w:val="000000" w:themeColor="text1"/>
        </w:rPr>
        <w:t xml:space="preserve">no reason why the proposed extension to the indication should not be approved, and did not have any specific questions for ACM. </w:t>
      </w:r>
      <w:r w:rsidR="00A06525" w:rsidRPr="00EB5844">
        <w:rPr>
          <w:color w:val="000000" w:themeColor="text1"/>
        </w:rPr>
        <w:t xml:space="preserve">The proposed indication for pembrolizumab </w:t>
      </w:r>
      <w:r w:rsidR="00F21E16">
        <w:rPr>
          <w:color w:val="000000" w:themeColor="text1"/>
        </w:rPr>
        <w:t>wa</w:t>
      </w:r>
      <w:r w:rsidR="00A06525" w:rsidRPr="00EB5844">
        <w:rPr>
          <w:color w:val="000000" w:themeColor="text1"/>
        </w:rPr>
        <w:t>s for:</w:t>
      </w:r>
    </w:p>
    <w:p w:rsidR="00A06525" w:rsidRPr="00B93493" w:rsidRDefault="00F8601A" w:rsidP="00F46306">
      <w:pPr>
        <w:ind w:left="1276" w:right="804"/>
        <w:jc w:val="both"/>
      </w:pPr>
      <w:r w:rsidRPr="00B93493">
        <w:t>“</w:t>
      </w:r>
      <w:r w:rsidR="00A06525" w:rsidRPr="00B93493">
        <w:t>Patients with locally advanced or metastatic urothelial carcinoma who are not eligible for cisplatin-containing therapy</w:t>
      </w:r>
      <w:r w:rsidR="009A6426" w:rsidRPr="00B93493">
        <w:t>,</w:t>
      </w:r>
      <w:r w:rsidR="00A06525" w:rsidRPr="00B93493">
        <w:t xml:space="preserve"> and for the treatment of patients with locally advanced or metastatic urothelial carcinoma who have received platinum-containing chemotherapy</w:t>
      </w:r>
      <w:r w:rsidR="00F64265" w:rsidRPr="00B93493">
        <w:t>.</w:t>
      </w:r>
      <w:r w:rsidRPr="00B93493">
        <w:t>”</w:t>
      </w:r>
    </w:p>
    <w:p w:rsidR="00A06525" w:rsidRPr="00AB09EB" w:rsidRDefault="00F64265" w:rsidP="00C47FDA">
      <w:pPr>
        <w:pStyle w:val="ListParagraph"/>
        <w:numPr>
          <w:ilvl w:val="1"/>
          <w:numId w:val="16"/>
        </w:numPr>
        <w:spacing w:before="0" w:after="120"/>
        <w:jc w:val="both"/>
        <w:rPr>
          <w:color w:val="000000" w:themeColor="text1"/>
        </w:rPr>
      </w:pPr>
      <w:r w:rsidRPr="00B93493">
        <w:rPr>
          <w:color w:val="000000" w:themeColor="text1"/>
        </w:rPr>
        <w:t>T</w:t>
      </w:r>
      <w:r w:rsidR="00A06525" w:rsidRPr="00B93493">
        <w:rPr>
          <w:color w:val="000000" w:themeColor="text1"/>
        </w:rPr>
        <w:t xml:space="preserve">he proposed TGA indication </w:t>
      </w:r>
      <w:r w:rsidR="00F21E16">
        <w:rPr>
          <w:color w:val="000000" w:themeColor="text1"/>
        </w:rPr>
        <w:t>wa</w:t>
      </w:r>
      <w:r w:rsidR="00A06525" w:rsidRPr="00B93493">
        <w:rPr>
          <w:color w:val="000000" w:themeColor="text1"/>
        </w:rPr>
        <w:t xml:space="preserve">s broader than the proposed PBS restriction </w:t>
      </w:r>
      <w:r w:rsidR="00F8601A" w:rsidRPr="00B93493">
        <w:rPr>
          <w:color w:val="000000" w:themeColor="text1"/>
        </w:rPr>
        <w:t xml:space="preserve">because it also </w:t>
      </w:r>
      <w:r w:rsidR="00A06525" w:rsidRPr="00B93493">
        <w:rPr>
          <w:color w:val="000000" w:themeColor="text1"/>
        </w:rPr>
        <w:t>include</w:t>
      </w:r>
      <w:r w:rsidR="00F21E16">
        <w:rPr>
          <w:color w:val="000000" w:themeColor="text1"/>
        </w:rPr>
        <w:t>d</w:t>
      </w:r>
      <w:r w:rsidR="00A06525" w:rsidRPr="00B93493">
        <w:rPr>
          <w:color w:val="000000" w:themeColor="text1"/>
        </w:rPr>
        <w:t xml:space="preserve"> first-line treatment for patients who</w:t>
      </w:r>
      <w:r w:rsidR="00915209" w:rsidRPr="00B93493">
        <w:rPr>
          <w:color w:val="000000" w:themeColor="text1"/>
        </w:rPr>
        <w:t xml:space="preserve"> are not eligible for cisplatin</w:t>
      </w:r>
      <w:r w:rsidR="00915209" w:rsidRPr="00B93493">
        <w:rPr>
          <w:color w:val="000000" w:themeColor="text1"/>
        </w:rPr>
        <w:noBreakHyphen/>
      </w:r>
      <w:r w:rsidR="00A06525" w:rsidRPr="00B93493">
        <w:rPr>
          <w:color w:val="000000" w:themeColor="text1"/>
        </w:rPr>
        <w:t>containing therapy.</w:t>
      </w:r>
      <w:r w:rsidR="00F8601A" w:rsidRPr="00B93493">
        <w:rPr>
          <w:color w:val="000000" w:themeColor="text1"/>
        </w:rPr>
        <w:t xml:space="preserve"> This may present potential for use </w:t>
      </w:r>
      <w:r w:rsidR="00F21E16">
        <w:rPr>
          <w:color w:val="000000" w:themeColor="text1"/>
        </w:rPr>
        <w:t>beyond</w:t>
      </w:r>
      <w:r w:rsidR="004C566A" w:rsidRPr="00B93493">
        <w:rPr>
          <w:color w:val="000000" w:themeColor="text1"/>
        </w:rPr>
        <w:t xml:space="preserve"> </w:t>
      </w:r>
      <w:r w:rsidR="00F8601A" w:rsidRPr="00B93493">
        <w:rPr>
          <w:color w:val="000000" w:themeColor="text1"/>
        </w:rPr>
        <w:t xml:space="preserve">the requested </w:t>
      </w:r>
      <w:r w:rsidR="00F21E16">
        <w:rPr>
          <w:color w:val="000000" w:themeColor="text1"/>
        </w:rPr>
        <w:t>restriction</w:t>
      </w:r>
      <w:r w:rsidR="00F8601A" w:rsidRPr="00B93493">
        <w:rPr>
          <w:color w:val="000000" w:themeColor="text1"/>
        </w:rPr>
        <w:t>.</w:t>
      </w:r>
    </w:p>
    <w:p w:rsidR="00732C05" w:rsidRPr="00B93493" w:rsidRDefault="00732C05" w:rsidP="00732C05">
      <w:pPr>
        <w:pStyle w:val="ListParagraph"/>
        <w:spacing w:before="0" w:after="120"/>
        <w:jc w:val="both"/>
        <w:rPr>
          <w:color w:val="000000" w:themeColor="text1"/>
        </w:rPr>
      </w:pPr>
      <w:r w:rsidRPr="0077195B">
        <w:rPr>
          <w:i/>
        </w:rPr>
        <w:t>For more detail on PBAC’s view, see section 7 PBAC outcome.</w:t>
      </w:r>
    </w:p>
    <w:p w:rsidR="00310DD0" w:rsidRPr="00B93493" w:rsidRDefault="00310DD0" w:rsidP="002A5649">
      <w:pPr>
        <w:pStyle w:val="Heading1"/>
        <w:ind w:left="709" w:hanging="709"/>
      </w:pPr>
      <w:bookmarkStart w:id="11" w:name="_Toc476306884"/>
      <w:bookmarkStart w:id="12" w:name="_Toc492274919"/>
      <w:r w:rsidRPr="00B93493">
        <w:t>Population and disease</w:t>
      </w:r>
      <w:bookmarkEnd w:id="11"/>
      <w:bookmarkEnd w:id="12"/>
    </w:p>
    <w:p w:rsidR="00B715BF" w:rsidRPr="00B93493" w:rsidRDefault="00B715BF" w:rsidP="00C47FDA">
      <w:pPr>
        <w:pStyle w:val="ListParagraph"/>
        <w:numPr>
          <w:ilvl w:val="1"/>
          <w:numId w:val="17"/>
        </w:numPr>
        <w:spacing w:before="0" w:after="120"/>
        <w:jc w:val="both"/>
      </w:pPr>
      <w:r w:rsidRPr="00B93493">
        <w:t>Urothelial cancer refers to carcinomas that arise from urothelial endothelial cells (transitional cells) which line the renal pelvis, ureter, urinary bladder, and urethra; the vast majority of urothelial carcinomas originate in the bladder and the vast majority of bladder cancers are of urothelial (transitional cell) histology. Bladder cancer is the 10</w:t>
      </w:r>
      <w:r w:rsidRPr="00B93493">
        <w:rPr>
          <w:vertAlign w:val="superscript"/>
        </w:rPr>
        <w:t>th</w:t>
      </w:r>
      <w:r w:rsidRPr="00B93493">
        <w:t xml:space="preserve"> most commonly diagnosed cancer in Australia, with 3,084 Australians estimated to be diagnos</w:t>
      </w:r>
      <w:r w:rsidR="00582F5A" w:rsidRPr="00B93493">
        <w:t>ed with bladder cancer in 2018.</w:t>
      </w:r>
    </w:p>
    <w:p w:rsidR="00A64186" w:rsidRDefault="00B715BF" w:rsidP="00732C05">
      <w:pPr>
        <w:pStyle w:val="ListParagraph"/>
        <w:numPr>
          <w:ilvl w:val="1"/>
          <w:numId w:val="17"/>
        </w:numPr>
        <w:spacing w:before="0" w:after="120"/>
        <w:jc w:val="both"/>
      </w:pPr>
      <w:r w:rsidRPr="00B93493">
        <w:t>The overall survival from bladder cancer has declined over the last 30 years; it was projected that 1</w:t>
      </w:r>
      <w:r w:rsidR="00037AB1" w:rsidRPr="00B93493">
        <w:t>,</w:t>
      </w:r>
      <w:r w:rsidRPr="00B93493">
        <w:t>196 Australians w</w:t>
      </w:r>
      <w:r w:rsidR="00CF24FC" w:rsidRPr="00B93493">
        <w:t>ould</w:t>
      </w:r>
      <w:r w:rsidRPr="00B93493">
        <w:t xml:space="preserve"> die of bladder cancer in 2018</w:t>
      </w:r>
      <w:r w:rsidR="00BA31DF" w:rsidRPr="00B93493">
        <w:t>.</w:t>
      </w:r>
      <w:r w:rsidR="00F05473" w:rsidRPr="00B93493">
        <w:t xml:space="preserve"> </w:t>
      </w:r>
      <w:r w:rsidRPr="00B93493">
        <w:t xml:space="preserve">The relevant population for this submission is patients with </w:t>
      </w:r>
      <w:r w:rsidR="00CC7927" w:rsidRPr="00B93493">
        <w:t>LA or mUC</w:t>
      </w:r>
      <w:r w:rsidR="002F7F64" w:rsidRPr="00B93493">
        <w:t xml:space="preserve"> </w:t>
      </w:r>
      <w:r w:rsidRPr="00B93493">
        <w:t xml:space="preserve">whose disease has </w:t>
      </w:r>
      <w:r w:rsidRPr="00B93493">
        <w:lastRenderedPageBreak/>
        <w:t>progressed after failure of a platin</w:t>
      </w:r>
      <w:r w:rsidR="00582F5A" w:rsidRPr="00B93493">
        <w:t>um-containing regimen.</w:t>
      </w:r>
      <w:r w:rsidR="00817F68">
        <w:t xml:space="preserve"> The PBAC considered </w:t>
      </w:r>
      <w:r w:rsidR="0012465E">
        <w:t xml:space="preserve">that </w:t>
      </w:r>
      <w:r w:rsidR="00817F68">
        <w:t xml:space="preserve">there is </w:t>
      </w:r>
      <w:r w:rsidR="00D6780A">
        <w:t xml:space="preserve">currently </w:t>
      </w:r>
      <w:r w:rsidR="00555C72">
        <w:t>a high</w:t>
      </w:r>
      <w:r w:rsidR="00817F68">
        <w:t xml:space="preserve"> unmet need for a relatively large group of patients</w:t>
      </w:r>
      <w:r w:rsidR="00D6780A">
        <w:t>, where the disease is highly aggressive and the prognosis is poor</w:t>
      </w:r>
      <w:r w:rsidR="0012465E">
        <w:t>.</w:t>
      </w:r>
    </w:p>
    <w:p w:rsidR="00732C05" w:rsidRPr="00B93493" w:rsidRDefault="00732C05" w:rsidP="00A64186">
      <w:pPr>
        <w:pStyle w:val="ListParagraph"/>
        <w:spacing w:before="0" w:after="120"/>
        <w:jc w:val="both"/>
      </w:pPr>
      <w:r w:rsidRPr="0077195B">
        <w:rPr>
          <w:i/>
        </w:rPr>
        <w:t>For more detail on PBAC’s view, see section 7 PBAC outcome.</w:t>
      </w:r>
    </w:p>
    <w:p w:rsidR="00310DD0" w:rsidRPr="00B93493" w:rsidRDefault="00310DD0" w:rsidP="002A5649">
      <w:pPr>
        <w:pStyle w:val="Heading1"/>
        <w:ind w:left="709" w:hanging="709"/>
      </w:pPr>
      <w:bookmarkStart w:id="13" w:name="_Toc413139275"/>
      <w:bookmarkStart w:id="14" w:name="_Toc476306885"/>
      <w:bookmarkStart w:id="15" w:name="_Toc492274920"/>
      <w:r w:rsidRPr="00B93493">
        <w:t>Comparator</w:t>
      </w:r>
      <w:bookmarkEnd w:id="13"/>
      <w:bookmarkEnd w:id="14"/>
      <w:bookmarkEnd w:id="15"/>
    </w:p>
    <w:p w:rsidR="00A06525" w:rsidRPr="00B93493" w:rsidRDefault="00A06525" w:rsidP="00C47FDA">
      <w:pPr>
        <w:pStyle w:val="ListParagraph"/>
        <w:numPr>
          <w:ilvl w:val="1"/>
          <w:numId w:val="18"/>
        </w:numPr>
        <w:spacing w:before="0" w:after="120"/>
        <w:jc w:val="both"/>
      </w:pPr>
      <w:r w:rsidRPr="00B93493">
        <w:t xml:space="preserve">The proposed clinical management algorithms for managing patients with LA or mUC after failure of a platinum-containing regimen </w:t>
      </w:r>
      <w:r w:rsidR="00352AC4" w:rsidRPr="00B93493">
        <w:t>were</w:t>
      </w:r>
      <w:r w:rsidRPr="00B93493">
        <w:t xml:space="preserve"> based on the principle that patients for whom second</w:t>
      </w:r>
      <w:r w:rsidR="00F21E16">
        <w:t>-</w:t>
      </w:r>
      <w:r w:rsidRPr="00B93493">
        <w:t>line therapy is indicated will be o</w:t>
      </w:r>
      <w:r w:rsidR="00582F5A" w:rsidRPr="00B93493">
        <w:t>ffered pembrolizumab.</w:t>
      </w:r>
      <w:r w:rsidR="00020F01" w:rsidRPr="00B93493">
        <w:t xml:space="preserve"> The </w:t>
      </w:r>
      <w:r w:rsidR="001B52E5">
        <w:t>PBAC</w:t>
      </w:r>
      <w:r w:rsidR="001B52E5" w:rsidRPr="00B93493">
        <w:t xml:space="preserve"> </w:t>
      </w:r>
      <w:r w:rsidR="00991B29" w:rsidRPr="00B93493">
        <w:t xml:space="preserve">noted that </w:t>
      </w:r>
      <w:r w:rsidR="00020F01" w:rsidRPr="00B93493">
        <w:t>the clinical management algorithm</w:t>
      </w:r>
      <w:r w:rsidR="00991B29" w:rsidRPr="00B93493">
        <w:t xml:space="preserve">s </w:t>
      </w:r>
      <w:r w:rsidR="00020F01" w:rsidRPr="00B93493">
        <w:t>were based on international guidelines, trial data and current experts</w:t>
      </w:r>
      <w:r w:rsidR="00991B29" w:rsidRPr="00B93493">
        <w:t>, and considered that they were appropriate.</w:t>
      </w:r>
    </w:p>
    <w:p w:rsidR="00A06525" w:rsidRPr="00B93493" w:rsidRDefault="00A06525" w:rsidP="00C47FDA">
      <w:pPr>
        <w:pStyle w:val="ListParagraph"/>
        <w:numPr>
          <w:ilvl w:val="1"/>
          <w:numId w:val="18"/>
        </w:numPr>
        <w:jc w:val="both"/>
        <w:rPr>
          <w:lang w:val="en-GB"/>
        </w:rPr>
      </w:pPr>
      <w:r w:rsidRPr="00B93493">
        <w:rPr>
          <w:lang w:val="en-GB"/>
        </w:rPr>
        <w:t xml:space="preserve">The submission nominated SOC, which </w:t>
      </w:r>
      <w:r w:rsidR="002F7F64" w:rsidRPr="00B93493">
        <w:rPr>
          <w:lang w:val="en-GB"/>
        </w:rPr>
        <w:t xml:space="preserve">included </w:t>
      </w:r>
      <w:r w:rsidRPr="00B93493">
        <w:rPr>
          <w:lang w:val="en-GB"/>
        </w:rPr>
        <w:t>paclitaxel or docetaxel</w:t>
      </w:r>
      <w:r w:rsidR="00582F5A" w:rsidRPr="00B93493">
        <w:rPr>
          <w:lang w:val="en-GB"/>
        </w:rPr>
        <w:t>,</w:t>
      </w:r>
      <w:r w:rsidRPr="00B93493">
        <w:rPr>
          <w:lang w:val="en-GB"/>
        </w:rPr>
        <w:t xml:space="preserve"> as the main comparator. </w:t>
      </w:r>
      <w:r w:rsidR="00352AC4" w:rsidRPr="00B93493">
        <w:rPr>
          <w:lang w:val="en-GB"/>
        </w:rPr>
        <w:t>Paclitaxel and docetaxel</w:t>
      </w:r>
      <w:r w:rsidRPr="00B93493">
        <w:rPr>
          <w:lang w:val="en-GB"/>
        </w:rPr>
        <w:t xml:space="preserve"> are the PBS listed treatments that are most likely to be replaced in the event of a positive listing for pembrolizumab therapy. </w:t>
      </w:r>
      <w:r w:rsidR="0006050E">
        <w:rPr>
          <w:lang w:val="en-GB"/>
        </w:rPr>
        <w:t>The PBAC considered t</w:t>
      </w:r>
      <w:r w:rsidRPr="00B93493">
        <w:rPr>
          <w:lang w:val="en-GB"/>
        </w:rPr>
        <w:t xml:space="preserve">his </w:t>
      </w:r>
      <w:r w:rsidR="00991B29" w:rsidRPr="00B93493">
        <w:rPr>
          <w:lang w:val="en-GB"/>
        </w:rPr>
        <w:t>wa</w:t>
      </w:r>
      <w:r w:rsidRPr="00B93493">
        <w:rPr>
          <w:lang w:val="en-GB"/>
        </w:rPr>
        <w:t>s appropriate</w:t>
      </w:r>
      <w:r w:rsidR="00352AC4" w:rsidRPr="00B93493">
        <w:rPr>
          <w:lang w:val="en-GB"/>
        </w:rPr>
        <w:t>.</w:t>
      </w:r>
    </w:p>
    <w:p w:rsidR="00A06525" w:rsidRPr="00B93493" w:rsidRDefault="00A06525" w:rsidP="00C47FDA">
      <w:pPr>
        <w:pStyle w:val="ListParagraph"/>
        <w:numPr>
          <w:ilvl w:val="1"/>
          <w:numId w:val="18"/>
        </w:numPr>
        <w:jc w:val="both"/>
        <w:rPr>
          <w:lang w:val="en-GB"/>
        </w:rPr>
      </w:pPr>
      <w:r w:rsidRPr="00B93493">
        <w:rPr>
          <w:lang w:val="en-GB"/>
        </w:rPr>
        <w:t>The submission acknowledged vinflunine as a possible alternative treatment to pembrolizumab in the clinical algorithm</w:t>
      </w:r>
      <w:r w:rsidR="00352AC4" w:rsidRPr="00B93493">
        <w:rPr>
          <w:lang w:val="en-GB"/>
        </w:rPr>
        <w:t>. Vinflunine</w:t>
      </w:r>
      <w:r w:rsidRPr="00B93493">
        <w:rPr>
          <w:lang w:val="en-GB"/>
        </w:rPr>
        <w:t xml:space="preserve"> is not currently PBS listed and was not considered as an appropriate comparator in the submission</w:t>
      </w:r>
      <w:r w:rsidR="00C507FA">
        <w:rPr>
          <w:lang w:val="en-GB"/>
        </w:rPr>
        <w:t>.</w:t>
      </w:r>
      <w:r w:rsidRPr="00B93493">
        <w:rPr>
          <w:lang w:val="en-GB"/>
        </w:rPr>
        <w:t xml:space="preserve"> </w:t>
      </w:r>
      <w:r w:rsidR="00D91862">
        <w:rPr>
          <w:lang w:val="en-GB"/>
        </w:rPr>
        <w:t>The</w:t>
      </w:r>
      <w:r w:rsidR="00464341">
        <w:rPr>
          <w:lang w:val="en-GB"/>
        </w:rPr>
        <w:t xml:space="preserve"> PBAC considered that t</w:t>
      </w:r>
      <w:r w:rsidR="004E674E" w:rsidRPr="00B93493">
        <w:rPr>
          <w:lang w:val="en-GB"/>
        </w:rPr>
        <w:t>his</w:t>
      </w:r>
      <w:r w:rsidRPr="00B93493">
        <w:rPr>
          <w:lang w:val="en-GB"/>
        </w:rPr>
        <w:t xml:space="preserve"> </w:t>
      </w:r>
      <w:r w:rsidR="00EE7963">
        <w:rPr>
          <w:lang w:val="en-GB"/>
        </w:rPr>
        <w:t>was</w:t>
      </w:r>
      <w:r w:rsidR="00EE7963" w:rsidRPr="00B93493">
        <w:rPr>
          <w:lang w:val="en-GB"/>
        </w:rPr>
        <w:t xml:space="preserve"> </w:t>
      </w:r>
      <w:r w:rsidRPr="00B93493">
        <w:rPr>
          <w:lang w:val="en-GB"/>
        </w:rPr>
        <w:t xml:space="preserve">appropriate. The algorithm is consistent with previous PBAC </w:t>
      </w:r>
      <w:r w:rsidR="00582F5A" w:rsidRPr="00B93493">
        <w:rPr>
          <w:lang w:val="en-GB"/>
        </w:rPr>
        <w:t xml:space="preserve">decisions not to </w:t>
      </w:r>
      <w:r w:rsidRPr="00B93493">
        <w:rPr>
          <w:lang w:val="en-GB"/>
        </w:rPr>
        <w:t>recommend vinflunine in this patient population (</w:t>
      </w:r>
      <w:r w:rsidR="00923A7D" w:rsidRPr="00B93493">
        <w:rPr>
          <w:lang w:val="en-GB"/>
        </w:rPr>
        <w:t>vinflunin</w:t>
      </w:r>
      <w:r w:rsidR="00EB79B5" w:rsidRPr="00B93493">
        <w:rPr>
          <w:lang w:val="en-GB"/>
        </w:rPr>
        <w:t>e</w:t>
      </w:r>
      <w:r w:rsidR="00923A7D" w:rsidRPr="00B93493">
        <w:rPr>
          <w:lang w:val="en-GB"/>
        </w:rPr>
        <w:t xml:space="preserve"> Public Summary Document (</w:t>
      </w:r>
      <w:r w:rsidRPr="00B93493">
        <w:rPr>
          <w:lang w:val="en-GB"/>
        </w:rPr>
        <w:t>PSD</w:t>
      </w:r>
      <w:r w:rsidR="00923A7D" w:rsidRPr="00B93493">
        <w:rPr>
          <w:lang w:val="en-GB"/>
        </w:rPr>
        <w:t>)</w:t>
      </w:r>
      <w:r w:rsidRPr="00B93493">
        <w:rPr>
          <w:lang w:val="en-GB"/>
        </w:rPr>
        <w:t>, July 2017).</w:t>
      </w:r>
    </w:p>
    <w:p w:rsidR="00A06525" w:rsidRPr="00732C05" w:rsidRDefault="00A06525" w:rsidP="00C47FDA">
      <w:pPr>
        <w:pStyle w:val="ListParagraph"/>
        <w:numPr>
          <w:ilvl w:val="1"/>
          <w:numId w:val="18"/>
        </w:numPr>
        <w:spacing w:before="0" w:after="120"/>
        <w:jc w:val="both"/>
        <w:rPr>
          <w:lang w:val="en-GB"/>
        </w:rPr>
      </w:pPr>
      <w:r w:rsidRPr="00B93493">
        <w:rPr>
          <w:lang w:val="en-GB"/>
        </w:rPr>
        <w:t>Nivolumab, durvalumab and avelumab were approved by the FDA for use in urothelial cancer post platinum-based chemotherapy in January 2017 (nivolumab) and May 2017 (durvalumab and avelumab). The submission acknowledged that</w:t>
      </w:r>
      <w:r w:rsidR="00582F5A" w:rsidRPr="00B93493">
        <w:rPr>
          <w:lang w:val="en-GB"/>
        </w:rPr>
        <w:t>,</w:t>
      </w:r>
      <w:r w:rsidRPr="00B93493">
        <w:rPr>
          <w:lang w:val="en-GB"/>
        </w:rPr>
        <w:t xml:space="preserve"> if any of these three immunotherapies were to become available on the PBS for LA or mUC in patients who had failed prior platinum-based chemotherapy, they would be relevant comparators for pembrolizumab. </w:t>
      </w:r>
      <w:r w:rsidRPr="00B93493">
        <w:t>The submission presented supplementary naïve indirect comparisons of pembrolizumab with these agents.</w:t>
      </w:r>
      <w:r w:rsidR="004B2D3A" w:rsidRPr="00B93493">
        <w:t xml:space="preserve"> However, to date no submissions </w:t>
      </w:r>
      <w:r w:rsidR="002F7F64" w:rsidRPr="00B93493">
        <w:t xml:space="preserve">have been made </w:t>
      </w:r>
      <w:r w:rsidR="004B2D3A" w:rsidRPr="00B93493">
        <w:t>to the PBAC relating to the</w:t>
      </w:r>
      <w:r w:rsidR="002F7F64" w:rsidRPr="00B93493">
        <w:t xml:space="preserve"> use of the</w:t>
      </w:r>
      <w:r w:rsidR="004B2D3A" w:rsidRPr="00B93493">
        <w:t>se medicines in urothelial cancer</w:t>
      </w:r>
      <w:r w:rsidR="002F7F64" w:rsidRPr="00B93493">
        <w:t>.</w:t>
      </w:r>
    </w:p>
    <w:p w:rsidR="00732C05" w:rsidRPr="00B93493" w:rsidRDefault="00732C05" w:rsidP="00732C05">
      <w:pPr>
        <w:pStyle w:val="ListParagraph"/>
        <w:spacing w:before="0" w:after="120"/>
        <w:jc w:val="both"/>
        <w:rPr>
          <w:lang w:val="en-GB"/>
        </w:rPr>
      </w:pPr>
      <w:r w:rsidRPr="0077195B">
        <w:rPr>
          <w:i/>
        </w:rPr>
        <w:t>For more detail on PBAC’s view, see section 7 PBAC outcome.</w:t>
      </w:r>
    </w:p>
    <w:p w:rsidR="007175A4" w:rsidRPr="000E19AE" w:rsidRDefault="007175A4" w:rsidP="007175A4">
      <w:pPr>
        <w:pStyle w:val="Heading1"/>
        <w:ind w:left="709" w:hanging="709"/>
      </w:pPr>
      <w:bookmarkStart w:id="16" w:name="_Toc476306886"/>
      <w:bookmarkStart w:id="17" w:name="_Toc492274921"/>
      <w:bookmarkStart w:id="18" w:name="_Toc413139276"/>
      <w:r w:rsidRPr="000E19AE">
        <w:t>Consideration of the evidence</w:t>
      </w:r>
      <w:bookmarkEnd w:id="16"/>
      <w:bookmarkEnd w:id="17"/>
    </w:p>
    <w:p w:rsidR="0014637B" w:rsidRPr="00A20D1B" w:rsidRDefault="0014637B" w:rsidP="005952E7">
      <w:pPr>
        <w:pStyle w:val="Heading2"/>
      </w:pPr>
      <w:bookmarkStart w:id="19" w:name="_Toc413139277"/>
      <w:bookmarkStart w:id="20" w:name="_Toc476306887"/>
      <w:bookmarkStart w:id="21" w:name="_Toc492274922"/>
      <w:r w:rsidRPr="00A20D1B">
        <w:t>Sponsor hearing</w:t>
      </w:r>
    </w:p>
    <w:p w:rsidR="0014637B" w:rsidRPr="008B3B30" w:rsidRDefault="00FE3B6E" w:rsidP="002D413D">
      <w:pPr>
        <w:pStyle w:val="ListParagraph"/>
        <w:numPr>
          <w:ilvl w:val="1"/>
          <w:numId w:val="19"/>
        </w:numPr>
        <w:jc w:val="both"/>
        <w:rPr>
          <w:rFonts w:cs="Arial"/>
          <w:bCs/>
          <w:snapToGrid w:val="0"/>
        </w:rPr>
      </w:pPr>
      <w:r>
        <w:rPr>
          <w:rFonts w:cs="Arial"/>
          <w:bCs/>
          <w:snapToGrid w:val="0"/>
        </w:rPr>
        <w:t xml:space="preserve">The </w:t>
      </w:r>
      <w:r w:rsidRPr="008B3B30">
        <w:rPr>
          <w:rFonts w:cs="Arial"/>
          <w:bCs/>
          <w:snapToGrid w:val="0"/>
        </w:rPr>
        <w:t xml:space="preserve">sponsor requested a hearing for this item. The clinician presented clinical case studies and </w:t>
      </w:r>
      <w:r w:rsidR="0012465E">
        <w:rPr>
          <w:rFonts w:cs="Arial"/>
          <w:bCs/>
          <w:snapToGrid w:val="0"/>
        </w:rPr>
        <w:t>indicated</w:t>
      </w:r>
      <w:r w:rsidRPr="008B3B30">
        <w:rPr>
          <w:rFonts w:cs="Arial"/>
          <w:bCs/>
          <w:snapToGrid w:val="0"/>
        </w:rPr>
        <w:t xml:space="preserve"> th</w:t>
      </w:r>
      <w:r w:rsidR="008209F7">
        <w:rPr>
          <w:rFonts w:cs="Arial"/>
          <w:bCs/>
          <w:snapToGrid w:val="0"/>
        </w:rPr>
        <w:t>at there is a</w:t>
      </w:r>
      <w:r w:rsidRPr="008B3B30">
        <w:rPr>
          <w:rFonts w:cs="Arial"/>
          <w:bCs/>
          <w:snapToGrid w:val="0"/>
        </w:rPr>
        <w:t xml:space="preserve"> high clinical need for this treatment as the available second</w:t>
      </w:r>
      <w:r w:rsidR="00F21E16">
        <w:rPr>
          <w:rFonts w:cs="Arial"/>
          <w:bCs/>
          <w:snapToGrid w:val="0"/>
        </w:rPr>
        <w:t>-</w:t>
      </w:r>
      <w:r w:rsidRPr="008B3B30">
        <w:rPr>
          <w:rFonts w:cs="Arial"/>
          <w:bCs/>
          <w:snapToGrid w:val="0"/>
        </w:rPr>
        <w:t xml:space="preserve">line chemotherapy </w:t>
      </w:r>
      <w:r w:rsidR="00CB077D">
        <w:rPr>
          <w:rFonts w:cs="Arial"/>
          <w:bCs/>
          <w:snapToGrid w:val="0"/>
        </w:rPr>
        <w:t xml:space="preserve">options </w:t>
      </w:r>
      <w:r w:rsidRPr="008B3B30">
        <w:rPr>
          <w:rFonts w:cs="Arial"/>
          <w:bCs/>
          <w:snapToGrid w:val="0"/>
        </w:rPr>
        <w:t>are poorly tolerated, have a poor response and higher rates of progression and death. The clinician noted that pembrolizumab reduced the impact of pain</w:t>
      </w:r>
      <w:r w:rsidR="008209F7">
        <w:rPr>
          <w:rFonts w:cs="Arial"/>
          <w:bCs/>
          <w:snapToGrid w:val="0"/>
        </w:rPr>
        <w:t>, had manageable side effects</w:t>
      </w:r>
      <w:r w:rsidRPr="008B3B30">
        <w:rPr>
          <w:rFonts w:cs="Arial"/>
          <w:bCs/>
          <w:snapToGrid w:val="0"/>
        </w:rPr>
        <w:t xml:space="preserve"> and allowed </w:t>
      </w:r>
      <w:r w:rsidR="00CF5880">
        <w:rPr>
          <w:rFonts w:cs="Arial"/>
          <w:bCs/>
          <w:snapToGrid w:val="0"/>
        </w:rPr>
        <w:t xml:space="preserve">some </w:t>
      </w:r>
      <w:r w:rsidRPr="008B3B30">
        <w:rPr>
          <w:rFonts w:cs="Arial"/>
          <w:bCs/>
          <w:snapToGrid w:val="0"/>
        </w:rPr>
        <w:t xml:space="preserve">patients </w:t>
      </w:r>
      <w:r w:rsidR="00650522" w:rsidRPr="008B3B30">
        <w:rPr>
          <w:rFonts w:cs="Arial"/>
          <w:bCs/>
          <w:snapToGrid w:val="0"/>
        </w:rPr>
        <w:t xml:space="preserve">to return to </w:t>
      </w:r>
      <w:r w:rsidR="0012465E">
        <w:rPr>
          <w:rFonts w:cs="Arial"/>
          <w:bCs/>
          <w:snapToGrid w:val="0"/>
        </w:rPr>
        <w:t xml:space="preserve">an </w:t>
      </w:r>
      <w:r w:rsidR="00650522" w:rsidRPr="008B3B30">
        <w:rPr>
          <w:rFonts w:cs="Arial"/>
          <w:bCs/>
          <w:snapToGrid w:val="0"/>
        </w:rPr>
        <w:t>active lifestyle</w:t>
      </w:r>
      <w:r w:rsidR="00650522">
        <w:rPr>
          <w:rFonts w:cs="Arial"/>
          <w:bCs/>
          <w:snapToGrid w:val="0"/>
        </w:rPr>
        <w:t xml:space="preserve">. </w:t>
      </w:r>
      <w:r w:rsidRPr="008B3B30">
        <w:rPr>
          <w:rFonts w:cs="Arial"/>
          <w:bCs/>
          <w:snapToGrid w:val="0"/>
        </w:rPr>
        <w:t>The clinician advised that a patient</w:t>
      </w:r>
      <w:r w:rsidR="00C91442">
        <w:rPr>
          <w:rFonts w:cs="Arial"/>
          <w:bCs/>
          <w:snapToGrid w:val="0"/>
        </w:rPr>
        <w:t xml:space="preserve"> who</w:t>
      </w:r>
      <w:r w:rsidRPr="008B3B30">
        <w:rPr>
          <w:rFonts w:cs="Arial"/>
          <w:bCs/>
          <w:snapToGrid w:val="0"/>
        </w:rPr>
        <w:t xml:space="preserve"> had clinical and radiological progression</w:t>
      </w:r>
      <w:r w:rsidR="00C91442">
        <w:rPr>
          <w:rFonts w:cs="Arial"/>
          <w:bCs/>
          <w:snapToGrid w:val="0"/>
        </w:rPr>
        <w:t xml:space="preserve"> </w:t>
      </w:r>
      <w:r w:rsidRPr="008B3B30">
        <w:rPr>
          <w:rFonts w:cs="Arial"/>
          <w:bCs/>
          <w:snapToGrid w:val="0"/>
        </w:rPr>
        <w:t xml:space="preserve">would stop </w:t>
      </w:r>
      <w:r w:rsidR="0012465E">
        <w:rPr>
          <w:rFonts w:cs="Arial"/>
          <w:bCs/>
          <w:snapToGrid w:val="0"/>
        </w:rPr>
        <w:t xml:space="preserve">pembrolizumab </w:t>
      </w:r>
      <w:r w:rsidRPr="008B3B30">
        <w:rPr>
          <w:rFonts w:cs="Arial"/>
          <w:bCs/>
          <w:snapToGrid w:val="0"/>
        </w:rPr>
        <w:t>treatment immediately</w:t>
      </w:r>
      <w:r w:rsidR="00821791">
        <w:rPr>
          <w:rFonts w:cs="Arial"/>
          <w:bCs/>
          <w:snapToGrid w:val="0"/>
        </w:rPr>
        <w:t xml:space="preserve"> and th</w:t>
      </w:r>
      <w:r w:rsidR="00CF5880">
        <w:rPr>
          <w:rFonts w:cs="Arial"/>
          <w:bCs/>
          <w:snapToGrid w:val="0"/>
        </w:rPr>
        <w:t xml:space="preserve">at patients who don’t respond to pembrolizumab are </w:t>
      </w:r>
      <w:r w:rsidR="00CF5880">
        <w:rPr>
          <w:rFonts w:cs="Arial"/>
          <w:bCs/>
          <w:snapToGrid w:val="0"/>
        </w:rPr>
        <w:lastRenderedPageBreak/>
        <w:t>usually</w:t>
      </w:r>
      <w:r w:rsidR="00821791">
        <w:rPr>
          <w:rFonts w:cs="Arial"/>
          <w:bCs/>
          <w:snapToGrid w:val="0"/>
        </w:rPr>
        <w:t xml:space="preserve"> detected early</w:t>
      </w:r>
      <w:r w:rsidRPr="008B3B30">
        <w:rPr>
          <w:rFonts w:cs="Arial"/>
          <w:bCs/>
          <w:snapToGrid w:val="0"/>
        </w:rPr>
        <w:t>. However, if a patient had radiological progression and appeared to present with clinical benefits, another 2 cycles</w:t>
      </w:r>
      <w:r w:rsidR="002D413D">
        <w:rPr>
          <w:rFonts w:cs="Arial"/>
          <w:bCs/>
          <w:snapToGrid w:val="0"/>
        </w:rPr>
        <w:t xml:space="preserve"> would be administered</w:t>
      </w:r>
      <w:r w:rsidRPr="008B3B30">
        <w:rPr>
          <w:rFonts w:cs="Arial"/>
          <w:bCs/>
          <w:snapToGrid w:val="0"/>
        </w:rPr>
        <w:t xml:space="preserve"> before </w:t>
      </w:r>
      <w:r w:rsidR="00C44A9F">
        <w:rPr>
          <w:rFonts w:cs="Arial"/>
          <w:bCs/>
          <w:snapToGrid w:val="0"/>
        </w:rPr>
        <w:t>reassessment</w:t>
      </w:r>
      <w:r w:rsidRPr="008B3B30">
        <w:rPr>
          <w:rFonts w:cs="Arial"/>
          <w:bCs/>
          <w:snapToGrid w:val="0"/>
        </w:rPr>
        <w:t xml:space="preserve">. The PBAC considered that the hearing was informative as it provided a clinical perspective on treatment </w:t>
      </w:r>
      <w:r w:rsidR="00C44A9F">
        <w:rPr>
          <w:rFonts w:cs="Arial"/>
          <w:bCs/>
          <w:snapToGrid w:val="0"/>
        </w:rPr>
        <w:t>with</w:t>
      </w:r>
      <w:r w:rsidRPr="008B3B30">
        <w:rPr>
          <w:rFonts w:cs="Arial"/>
          <w:bCs/>
          <w:snapToGrid w:val="0"/>
        </w:rPr>
        <w:t xml:space="preserve"> pembrolizumab for this disease.</w:t>
      </w:r>
    </w:p>
    <w:p w:rsidR="0014637B" w:rsidRPr="009239CA" w:rsidRDefault="0014637B" w:rsidP="005952E7">
      <w:pPr>
        <w:pStyle w:val="Heading2"/>
      </w:pPr>
      <w:r w:rsidRPr="009239CA">
        <w:t>Consumer comments</w:t>
      </w:r>
    </w:p>
    <w:p w:rsidR="0014637B" w:rsidRPr="00013E46" w:rsidRDefault="00FE3B6E" w:rsidP="00C47FDA">
      <w:pPr>
        <w:pStyle w:val="ListParagraph"/>
        <w:numPr>
          <w:ilvl w:val="1"/>
          <w:numId w:val="19"/>
        </w:numPr>
        <w:jc w:val="both"/>
        <w:rPr>
          <w:rFonts w:cs="Arial"/>
          <w:bCs/>
          <w:snapToGrid w:val="0"/>
        </w:rPr>
      </w:pPr>
      <w:r>
        <w:rPr>
          <w:rFonts w:cs="Arial"/>
          <w:bCs/>
          <w:snapToGrid w:val="0"/>
        </w:rPr>
        <w:t xml:space="preserve">The </w:t>
      </w:r>
      <w:r w:rsidRPr="00013E46">
        <w:rPr>
          <w:rFonts w:cs="Arial"/>
          <w:bCs/>
          <w:snapToGrid w:val="0"/>
        </w:rPr>
        <w:t>PBAC noted and welcomed the input from individuals (9), health care professionals (3) and organisations (1) via the Consumer Comment</w:t>
      </w:r>
      <w:r w:rsidR="00D52A53">
        <w:rPr>
          <w:rFonts w:cs="Arial"/>
          <w:bCs/>
          <w:snapToGrid w:val="0"/>
        </w:rPr>
        <w:t xml:space="preserve">s facility on the PBS website. </w:t>
      </w:r>
      <w:r w:rsidRPr="00013E46">
        <w:rPr>
          <w:rFonts w:cs="Arial"/>
          <w:bCs/>
          <w:snapToGrid w:val="0"/>
        </w:rPr>
        <w:t xml:space="preserve">The comments described a range of </w:t>
      </w:r>
      <w:r w:rsidR="007813E4">
        <w:rPr>
          <w:rFonts w:cs="Arial"/>
          <w:bCs/>
          <w:snapToGrid w:val="0"/>
        </w:rPr>
        <w:t xml:space="preserve">perceived </w:t>
      </w:r>
      <w:r w:rsidRPr="00013E46">
        <w:rPr>
          <w:rFonts w:cs="Arial"/>
          <w:bCs/>
          <w:snapToGrid w:val="0"/>
        </w:rPr>
        <w:t>benefits of treatment with pembrolizumab including</w:t>
      </w:r>
      <w:r w:rsidR="007759DA">
        <w:rPr>
          <w:rFonts w:cs="Arial"/>
          <w:bCs/>
          <w:snapToGrid w:val="0"/>
        </w:rPr>
        <w:t xml:space="preserve"> the ability to return to work</w:t>
      </w:r>
      <w:r w:rsidRPr="00013E46">
        <w:rPr>
          <w:rFonts w:cs="Arial"/>
          <w:bCs/>
          <w:snapToGrid w:val="0"/>
        </w:rPr>
        <w:t xml:space="preserve">, fewer side effects </w:t>
      </w:r>
      <w:r w:rsidR="007813E4">
        <w:rPr>
          <w:rFonts w:cs="Arial"/>
          <w:bCs/>
          <w:snapToGrid w:val="0"/>
        </w:rPr>
        <w:t xml:space="preserve">and </w:t>
      </w:r>
      <w:r w:rsidR="007813E4" w:rsidRPr="00013E46">
        <w:rPr>
          <w:rFonts w:cs="Arial"/>
          <w:bCs/>
          <w:snapToGrid w:val="0"/>
        </w:rPr>
        <w:t xml:space="preserve">improvements to quality of life </w:t>
      </w:r>
      <w:r w:rsidRPr="00013E46">
        <w:rPr>
          <w:rFonts w:cs="Arial"/>
          <w:bCs/>
          <w:snapToGrid w:val="0"/>
        </w:rPr>
        <w:t xml:space="preserve">compared to chemotherapy. The comments </w:t>
      </w:r>
      <w:r w:rsidR="00D52A53">
        <w:rPr>
          <w:rFonts w:cs="Arial"/>
          <w:bCs/>
          <w:snapToGrid w:val="0"/>
        </w:rPr>
        <w:t>acknowledged</w:t>
      </w:r>
      <w:r w:rsidRPr="00013E46">
        <w:rPr>
          <w:rFonts w:cs="Arial"/>
          <w:bCs/>
          <w:snapToGrid w:val="0"/>
        </w:rPr>
        <w:t xml:space="preserve"> that not all patients would respond to treatment with pembrolizumab</w:t>
      </w:r>
      <w:r w:rsidR="0012465E">
        <w:rPr>
          <w:rFonts w:cs="Arial"/>
          <w:bCs/>
          <w:snapToGrid w:val="0"/>
        </w:rPr>
        <w:t>,</w:t>
      </w:r>
      <w:r w:rsidRPr="00013E46">
        <w:rPr>
          <w:rFonts w:cs="Arial"/>
          <w:bCs/>
          <w:snapToGrid w:val="0"/>
        </w:rPr>
        <w:t xml:space="preserve"> but</w:t>
      </w:r>
      <w:r w:rsidR="00B85FC2">
        <w:rPr>
          <w:rFonts w:cs="Arial"/>
          <w:bCs/>
          <w:snapToGrid w:val="0"/>
        </w:rPr>
        <w:t xml:space="preserve"> ongoing benefits are seen in those </w:t>
      </w:r>
      <w:r w:rsidRPr="00013E46">
        <w:rPr>
          <w:rFonts w:cs="Arial"/>
          <w:bCs/>
          <w:snapToGrid w:val="0"/>
        </w:rPr>
        <w:t xml:space="preserve">who do respond. The </w:t>
      </w:r>
      <w:r w:rsidR="006131A7">
        <w:rPr>
          <w:rFonts w:cs="Arial"/>
          <w:bCs/>
          <w:snapToGrid w:val="0"/>
        </w:rPr>
        <w:t xml:space="preserve">comments also indicated that </w:t>
      </w:r>
      <w:r w:rsidRPr="00013E46">
        <w:rPr>
          <w:rFonts w:cs="Arial"/>
          <w:bCs/>
          <w:snapToGrid w:val="0"/>
        </w:rPr>
        <w:t xml:space="preserve">there is a clinical need </w:t>
      </w:r>
      <w:r w:rsidR="006131A7">
        <w:rPr>
          <w:rFonts w:cs="Arial"/>
          <w:bCs/>
          <w:snapToGrid w:val="0"/>
        </w:rPr>
        <w:t>for new</w:t>
      </w:r>
      <w:r w:rsidRPr="00013E46">
        <w:rPr>
          <w:rFonts w:cs="Arial"/>
          <w:bCs/>
          <w:snapToGrid w:val="0"/>
        </w:rPr>
        <w:t xml:space="preserve"> treatments</w:t>
      </w:r>
      <w:r w:rsidR="006131A7">
        <w:rPr>
          <w:rFonts w:cs="Arial"/>
          <w:bCs/>
          <w:snapToGrid w:val="0"/>
        </w:rPr>
        <w:t xml:space="preserve">, that </w:t>
      </w:r>
      <w:r w:rsidRPr="00013E46">
        <w:rPr>
          <w:rFonts w:cs="Arial"/>
          <w:bCs/>
          <w:snapToGrid w:val="0"/>
        </w:rPr>
        <w:t>pembrolizumab</w:t>
      </w:r>
      <w:r w:rsidR="006131A7">
        <w:rPr>
          <w:rFonts w:cs="Arial"/>
          <w:bCs/>
          <w:snapToGrid w:val="0"/>
        </w:rPr>
        <w:t xml:space="preserve"> had fewer side effects, and that cost is currently a barrier to accessing treatment for some patients</w:t>
      </w:r>
      <w:r w:rsidRPr="00013E46">
        <w:rPr>
          <w:rFonts w:cs="Arial"/>
          <w:bCs/>
          <w:snapToGrid w:val="0"/>
        </w:rPr>
        <w:t xml:space="preserve">. The PBAC noted the advice received from Rare Cancer Australia supporting the listing of pembrolizumab for urothelial cancer and </w:t>
      </w:r>
      <w:r w:rsidR="0012465E">
        <w:rPr>
          <w:rFonts w:cs="Arial"/>
          <w:bCs/>
          <w:snapToGrid w:val="0"/>
        </w:rPr>
        <w:t xml:space="preserve">presenting a </w:t>
      </w:r>
      <w:r w:rsidRPr="00013E46">
        <w:rPr>
          <w:rFonts w:cs="Arial"/>
          <w:bCs/>
          <w:snapToGrid w:val="0"/>
        </w:rPr>
        <w:t>case study. The PBAC noted that this advice was supportive of the evidence provided in the submission.</w:t>
      </w:r>
    </w:p>
    <w:p w:rsidR="0014637B" w:rsidRPr="0012465E" w:rsidRDefault="00E93E87" w:rsidP="00C47FDA">
      <w:pPr>
        <w:pStyle w:val="ListParagraph"/>
        <w:numPr>
          <w:ilvl w:val="1"/>
          <w:numId w:val="19"/>
        </w:numPr>
        <w:jc w:val="both"/>
      </w:pPr>
      <w:r>
        <w:rPr>
          <w:rFonts w:cs="Arial"/>
          <w:bCs/>
          <w:snapToGrid w:val="0"/>
        </w:rPr>
        <w:t xml:space="preserve">The </w:t>
      </w:r>
      <w:r w:rsidR="00FE3B6E" w:rsidRPr="008C66D2">
        <w:rPr>
          <w:rFonts w:cs="Arial"/>
          <w:bCs/>
          <w:snapToGrid w:val="0"/>
        </w:rPr>
        <w:t xml:space="preserve">Medical Oncology Group of Australia (MOGA) expressed its </w:t>
      </w:r>
      <w:r w:rsidR="00FE3B6E">
        <w:rPr>
          <w:rFonts w:cs="Arial"/>
          <w:bCs/>
          <w:snapToGrid w:val="0"/>
        </w:rPr>
        <w:t xml:space="preserve">strong </w:t>
      </w:r>
      <w:r w:rsidR="00FE3B6E" w:rsidRPr="008C66D2">
        <w:rPr>
          <w:rFonts w:cs="Arial"/>
          <w:bCs/>
          <w:snapToGrid w:val="0"/>
        </w:rPr>
        <w:t xml:space="preserve">support for </w:t>
      </w:r>
      <w:r w:rsidR="00FE3B6E">
        <w:rPr>
          <w:rFonts w:cs="Arial"/>
          <w:bCs/>
          <w:snapToGrid w:val="0"/>
        </w:rPr>
        <w:t xml:space="preserve">the </w:t>
      </w:r>
      <w:r w:rsidR="00FE3B6E" w:rsidRPr="008C66D2">
        <w:rPr>
          <w:rFonts w:cs="Arial"/>
          <w:bCs/>
          <w:snapToGrid w:val="0"/>
        </w:rPr>
        <w:t>pembrolizumab submission</w:t>
      </w:r>
      <w:r w:rsidR="00FE3B6E">
        <w:rPr>
          <w:rFonts w:cs="Arial"/>
          <w:bCs/>
          <w:snapToGrid w:val="0"/>
        </w:rPr>
        <w:t xml:space="preserve"> for urothelial carcinoma.</w:t>
      </w:r>
      <w:r w:rsidR="00FE3B6E" w:rsidRPr="008C66D2">
        <w:rPr>
          <w:rFonts w:cs="Arial"/>
          <w:bCs/>
          <w:snapToGrid w:val="0"/>
        </w:rPr>
        <w:t xml:space="preserve"> The PBAC noted that the European Society for Medical Oncology Magnitude of Clinical Benefit Scale (ESMO-MCBS) for pembrolizumab was 4 (out of a maximum of 5, where 5 and 4 represent the grades with substantial improvement)</w:t>
      </w:r>
      <w:r w:rsidR="00550B61">
        <w:rPr>
          <w:rStyle w:val="FootnoteReference"/>
          <w:rFonts w:cs="Arial"/>
          <w:bCs/>
          <w:snapToGrid w:val="0"/>
        </w:rPr>
        <w:footnoteReference w:id="1"/>
      </w:r>
      <w:r w:rsidR="00FE3B6E" w:rsidRPr="008C66D2">
        <w:rPr>
          <w:rFonts w:cs="Arial"/>
          <w:bCs/>
          <w:snapToGrid w:val="0"/>
        </w:rPr>
        <w:t>, based on a comparison with chemotherapy.</w:t>
      </w:r>
      <w:r w:rsidR="00FE3B6E" w:rsidRPr="00204452">
        <w:t xml:space="preserve"> </w:t>
      </w:r>
      <w:r w:rsidR="00FE3B6E">
        <w:t>T</w:t>
      </w:r>
      <w:r w:rsidR="00FE3B6E" w:rsidRPr="00204452">
        <w:rPr>
          <w:rFonts w:cs="Arial"/>
          <w:bCs/>
          <w:snapToGrid w:val="0"/>
        </w:rPr>
        <w:t xml:space="preserve">he MOGA noted that </w:t>
      </w:r>
      <w:r w:rsidR="00FE3B6E">
        <w:rPr>
          <w:rFonts w:cs="Arial"/>
          <w:bCs/>
          <w:snapToGrid w:val="0"/>
        </w:rPr>
        <w:t xml:space="preserve">when overall survival data matures </w:t>
      </w:r>
      <w:r w:rsidR="00FE3B6E" w:rsidRPr="00204452">
        <w:rPr>
          <w:rFonts w:cs="Arial"/>
          <w:bCs/>
          <w:snapToGrid w:val="0"/>
        </w:rPr>
        <w:t xml:space="preserve">for </w:t>
      </w:r>
      <w:r w:rsidR="00FE3B6E">
        <w:rPr>
          <w:rFonts w:cs="Arial"/>
          <w:bCs/>
          <w:snapToGrid w:val="0"/>
        </w:rPr>
        <w:t>pembrolizumab</w:t>
      </w:r>
      <w:r w:rsidR="00FE3B6E" w:rsidRPr="00204452">
        <w:rPr>
          <w:rFonts w:cs="Arial"/>
          <w:bCs/>
          <w:snapToGrid w:val="0"/>
        </w:rPr>
        <w:t>, the E</w:t>
      </w:r>
      <w:r w:rsidR="00FE3B6E">
        <w:rPr>
          <w:rFonts w:cs="Arial"/>
          <w:bCs/>
          <w:snapToGrid w:val="0"/>
        </w:rPr>
        <w:t>SMO-MCBS score may increase to 5</w:t>
      </w:r>
      <w:r w:rsidR="00FE3B6E" w:rsidRPr="00204452">
        <w:rPr>
          <w:rFonts w:cs="Arial"/>
          <w:bCs/>
          <w:snapToGrid w:val="0"/>
        </w:rPr>
        <w:t>.</w:t>
      </w:r>
    </w:p>
    <w:p w:rsidR="007175A4" w:rsidRPr="009239CA" w:rsidRDefault="007175A4" w:rsidP="002A5649">
      <w:pPr>
        <w:pStyle w:val="Heading2"/>
        <w:rPr>
          <w:snapToGrid w:val="0"/>
        </w:rPr>
      </w:pPr>
      <w:r w:rsidRPr="009239CA">
        <w:t>Clinical trials</w:t>
      </w:r>
      <w:bookmarkEnd w:id="19"/>
      <w:bookmarkEnd w:id="20"/>
      <w:bookmarkEnd w:id="21"/>
    </w:p>
    <w:bookmarkEnd w:id="18"/>
    <w:p w:rsidR="00C317F3" w:rsidRPr="000E19AE" w:rsidRDefault="00C317F3" w:rsidP="00C47FDA">
      <w:pPr>
        <w:pStyle w:val="ListParagraph"/>
        <w:numPr>
          <w:ilvl w:val="1"/>
          <w:numId w:val="19"/>
        </w:numPr>
        <w:jc w:val="both"/>
      </w:pPr>
      <w:r w:rsidRPr="000E19AE">
        <w:t xml:space="preserve">The submission </w:t>
      </w:r>
      <w:r w:rsidR="003C5625" w:rsidRPr="000E19AE">
        <w:t>was</w:t>
      </w:r>
      <w:r w:rsidRPr="000E19AE">
        <w:t xml:space="preserve"> based on one head-to-head </w:t>
      </w:r>
      <w:r w:rsidR="0012465E">
        <w:t xml:space="preserve">randomised </w:t>
      </w:r>
      <w:r w:rsidRPr="000E19AE">
        <w:t xml:space="preserve">trial comparing </w:t>
      </w:r>
      <w:r w:rsidR="005844F7" w:rsidRPr="000E19AE">
        <w:t>pembrolizumab</w:t>
      </w:r>
      <w:r w:rsidRPr="000E19AE">
        <w:t xml:space="preserve"> to </w:t>
      </w:r>
      <w:r w:rsidR="005844F7" w:rsidRPr="000E19AE">
        <w:t>SOC (</w:t>
      </w:r>
      <w:r w:rsidR="003C5625" w:rsidRPr="000E19AE">
        <w:t>KN045</w:t>
      </w:r>
      <w:r w:rsidRPr="000E19AE">
        <w:t>)</w:t>
      </w:r>
      <w:r w:rsidR="003C5625" w:rsidRPr="000E19AE">
        <w:t xml:space="preserve">. </w:t>
      </w:r>
      <w:r w:rsidR="00352AC4" w:rsidRPr="000E19AE">
        <w:t>Publication d</w:t>
      </w:r>
      <w:r w:rsidRPr="000E19AE">
        <w:t xml:space="preserve">etails </w:t>
      </w:r>
      <w:r w:rsidR="003C5625" w:rsidRPr="000E19AE">
        <w:t>are</w:t>
      </w:r>
      <w:r w:rsidR="00F64265" w:rsidRPr="000E19AE">
        <w:t xml:space="preserve"> provided in the table below.</w:t>
      </w:r>
    </w:p>
    <w:p w:rsidR="005844F7" w:rsidRPr="000E19AE" w:rsidRDefault="00C317F3" w:rsidP="005844F7">
      <w:pPr>
        <w:pStyle w:val="TableHeading0"/>
      </w:pPr>
      <w:r w:rsidRPr="000E19AE">
        <w:t xml:space="preserve">Table </w:t>
      </w:r>
      <w:r w:rsidR="003C5625" w:rsidRPr="000E19AE">
        <w:t>5</w:t>
      </w:r>
      <w:r w:rsidRPr="000E19AE">
        <w:t>:</w:t>
      </w:r>
      <w:r w:rsidR="003C5625" w:rsidRPr="000E19AE">
        <w:t xml:space="preserve"> </w:t>
      </w:r>
      <w:r w:rsidR="005844F7" w:rsidRPr="000E19AE">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109"/>
        <w:gridCol w:w="3240"/>
      </w:tblGrid>
      <w:tr w:rsidR="005844F7" w:rsidRPr="000E19AE">
        <w:trPr>
          <w:tblHeader/>
        </w:trPr>
        <w:tc>
          <w:tcPr>
            <w:tcW w:w="954" w:type="pct"/>
          </w:tcPr>
          <w:p w:rsidR="005844F7" w:rsidRPr="000E19AE" w:rsidRDefault="005844F7" w:rsidP="0093528D">
            <w:pPr>
              <w:pStyle w:val="TableText"/>
              <w:keepNext w:val="0"/>
              <w:rPr>
                <w:b/>
                <w:sz w:val="18"/>
                <w:szCs w:val="18"/>
              </w:rPr>
            </w:pPr>
            <w:r w:rsidRPr="000E19AE">
              <w:rPr>
                <w:b/>
                <w:sz w:val="18"/>
                <w:szCs w:val="18"/>
              </w:rPr>
              <w:t>Trial ID</w:t>
            </w:r>
            <w:r w:rsidR="0093528D" w:rsidRPr="000E19AE">
              <w:rPr>
                <w:b/>
                <w:sz w:val="18"/>
                <w:szCs w:val="18"/>
              </w:rPr>
              <w:t xml:space="preserve">/First Author </w:t>
            </w:r>
          </w:p>
        </w:tc>
        <w:tc>
          <w:tcPr>
            <w:tcW w:w="2262" w:type="pct"/>
          </w:tcPr>
          <w:p w:rsidR="005844F7" w:rsidRPr="000E19AE" w:rsidRDefault="005844F7" w:rsidP="00C17952">
            <w:pPr>
              <w:pStyle w:val="TableText"/>
              <w:keepNext w:val="0"/>
              <w:rPr>
                <w:b/>
                <w:sz w:val="18"/>
                <w:szCs w:val="18"/>
              </w:rPr>
            </w:pPr>
            <w:r w:rsidRPr="000E19AE">
              <w:rPr>
                <w:b/>
                <w:sz w:val="18"/>
                <w:szCs w:val="18"/>
              </w:rPr>
              <w:t>Protocol title/ Publication title</w:t>
            </w:r>
          </w:p>
        </w:tc>
        <w:tc>
          <w:tcPr>
            <w:tcW w:w="1784" w:type="pct"/>
          </w:tcPr>
          <w:p w:rsidR="005844F7" w:rsidRPr="000E19AE" w:rsidRDefault="005844F7" w:rsidP="00C17952">
            <w:pPr>
              <w:pStyle w:val="TableText"/>
              <w:keepNext w:val="0"/>
              <w:rPr>
                <w:b/>
                <w:sz w:val="18"/>
                <w:szCs w:val="18"/>
              </w:rPr>
            </w:pPr>
            <w:r w:rsidRPr="000E19AE">
              <w:rPr>
                <w:b/>
                <w:sz w:val="18"/>
                <w:szCs w:val="18"/>
              </w:rPr>
              <w:t>Publication citation</w:t>
            </w:r>
          </w:p>
        </w:tc>
      </w:tr>
      <w:tr w:rsidR="005844F7" w:rsidRPr="000E19AE">
        <w:tc>
          <w:tcPr>
            <w:tcW w:w="954" w:type="pct"/>
          </w:tcPr>
          <w:p w:rsidR="005844F7" w:rsidRPr="000E19AE" w:rsidRDefault="0093528D" w:rsidP="00C17952">
            <w:pPr>
              <w:pStyle w:val="TableText"/>
              <w:keepNext w:val="0"/>
              <w:rPr>
                <w:sz w:val="18"/>
                <w:szCs w:val="18"/>
              </w:rPr>
            </w:pPr>
            <w:r w:rsidRPr="000E19AE">
              <w:rPr>
                <w:sz w:val="18"/>
                <w:szCs w:val="18"/>
              </w:rPr>
              <w:t>KN045</w:t>
            </w:r>
          </w:p>
        </w:tc>
        <w:tc>
          <w:tcPr>
            <w:tcW w:w="2262" w:type="pct"/>
          </w:tcPr>
          <w:p w:rsidR="005844F7" w:rsidRPr="000E19AE" w:rsidRDefault="005844F7" w:rsidP="00C17952">
            <w:pPr>
              <w:pStyle w:val="TableText"/>
              <w:keepNext w:val="0"/>
              <w:rPr>
                <w:sz w:val="18"/>
                <w:szCs w:val="18"/>
              </w:rPr>
            </w:pPr>
            <w:r w:rsidRPr="000E19AE">
              <w:rPr>
                <w:sz w:val="18"/>
                <w:szCs w:val="18"/>
              </w:rPr>
              <w:t xml:space="preserve">A Phase III Randomized Clinical Trial of Pembrolizumab (MK-3475) versus Paclitaxel, Docetaxel or Vinflunine in </w:t>
            </w:r>
            <w:r w:rsidR="002A5649" w:rsidRPr="000E19AE">
              <w:rPr>
                <w:sz w:val="18"/>
                <w:szCs w:val="18"/>
              </w:rPr>
              <w:t>Patients</w:t>
            </w:r>
            <w:r w:rsidRPr="000E19AE">
              <w:rPr>
                <w:sz w:val="18"/>
                <w:szCs w:val="18"/>
              </w:rPr>
              <w:t xml:space="preserve"> with Recurrent or Progressive Metastatic Urothelial Cancer</w:t>
            </w:r>
            <w:r w:rsidR="008C5948" w:rsidRPr="000E19AE">
              <w:rPr>
                <w:sz w:val="18"/>
                <w:szCs w:val="18"/>
              </w:rPr>
              <w:t>. Clinical Study Report.</w:t>
            </w:r>
          </w:p>
        </w:tc>
        <w:tc>
          <w:tcPr>
            <w:tcW w:w="1784" w:type="pct"/>
          </w:tcPr>
          <w:p w:rsidR="005844F7" w:rsidRPr="000E19AE" w:rsidRDefault="005844F7" w:rsidP="00C17952">
            <w:pPr>
              <w:pStyle w:val="TableText"/>
              <w:keepNext w:val="0"/>
              <w:rPr>
                <w:sz w:val="18"/>
                <w:szCs w:val="18"/>
              </w:rPr>
            </w:pPr>
            <w:r w:rsidRPr="000E19AE">
              <w:rPr>
                <w:sz w:val="18"/>
                <w:szCs w:val="18"/>
              </w:rPr>
              <w:t>Dec 2016.</w:t>
            </w:r>
          </w:p>
        </w:tc>
      </w:tr>
      <w:tr w:rsidR="005844F7" w:rsidRPr="000E19AE">
        <w:tc>
          <w:tcPr>
            <w:tcW w:w="954" w:type="pct"/>
          </w:tcPr>
          <w:p w:rsidR="005844F7" w:rsidRPr="000E19AE" w:rsidRDefault="008C5948" w:rsidP="00C17952">
            <w:pPr>
              <w:pStyle w:val="TableText"/>
              <w:keepNext w:val="0"/>
              <w:rPr>
                <w:sz w:val="18"/>
                <w:szCs w:val="18"/>
              </w:rPr>
            </w:pPr>
            <w:r w:rsidRPr="000E19AE">
              <w:rPr>
                <w:sz w:val="18"/>
                <w:szCs w:val="18"/>
              </w:rPr>
              <w:t>KN045</w:t>
            </w:r>
          </w:p>
        </w:tc>
        <w:tc>
          <w:tcPr>
            <w:tcW w:w="2262" w:type="pct"/>
          </w:tcPr>
          <w:p w:rsidR="005844F7" w:rsidRPr="000E19AE" w:rsidRDefault="005844F7" w:rsidP="00C17952">
            <w:pPr>
              <w:pStyle w:val="TableText"/>
              <w:keepNext w:val="0"/>
              <w:rPr>
                <w:sz w:val="18"/>
                <w:szCs w:val="18"/>
              </w:rPr>
            </w:pPr>
            <w:r w:rsidRPr="000E19AE">
              <w:rPr>
                <w:sz w:val="18"/>
                <w:szCs w:val="18"/>
              </w:rPr>
              <w:t xml:space="preserve">Extended </w:t>
            </w:r>
            <w:r w:rsidR="00EB2839" w:rsidRPr="000E19AE">
              <w:rPr>
                <w:sz w:val="18"/>
                <w:szCs w:val="18"/>
              </w:rPr>
              <w:t>follow-up</w:t>
            </w:r>
            <w:r w:rsidRPr="000E19AE">
              <w:rPr>
                <w:sz w:val="18"/>
                <w:szCs w:val="18"/>
              </w:rPr>
              <w:t xml:space="preserve"> data for KN045, data cut off 18 Jan 2017</w:t>
            </w:r>
          </w:p>
        </w:tc>
        <w:tc>
          <w:tcPr>
            <w:tcW w:w="1784" w:type="pct"/>
          </w:tcPr>
          <w:p w:rsidR="005844F7" w:rsidRPr="000E19AE" w:rsidRDefault="005844F7" w:rsidP="00C17952">
            <w:pPr>
              <w:pStyle w:val="TableText"/>
              <w:keepNext w:val="0"/>
              <w:rPr>
                <w:sz w:val="18"/>
                <w:szCs w:val="18"/>
              </w:rPr>
            </w:pPr>
            <w:r w:rsidRPr="000E19AE">
              <w:rPr>
                <w:sz w:val="18"/>
                <w:szCs w:val="18"/>
              </w:rPr>
              <w:t>18 Jan 2017</w:t>
            </w:r>
          </w:p>
        </w:tc>
      </w:tr>
      <w:tr w:rsidR="005844F7" w:rsidRPr="000E19AE">
        <w:tc>
          <w:tcPr>
            <w:tcW w:w="954" w:type="pct"/>
          </w:tcPr>
          <w:p w:rsidR="005844F7" w:rsidRPr="000E19AE" w:rsidRDefault="008C5948" w:rsidP="00C17952">
            <w:pPr>
              <w:pStyle w:val="TableText"/>
              <w:keepNext w:val="0"/>
              <w:rPr>
                <w:sz w:val="18"/>
                <w:szCs w:val="18"/>
              </w:rPr>
            </w:pPr>
            <w:r w:rsidRPr="000E19AE">
              <w:rPr>
                <w:sz w:val="18"/>
                <w:szCs w:val="18"/>
              </w:rPr>
              <w:t>Bellmunt</w:t>
            </w:r>
          </w:p>
        </w:tc>
        <w:tc>
          <w:tcPr>
            <w:tcW w:w="2262" w:type="pct"/>
          </w:tcPr>
          <w:p w:rsidR="005844F7" w:rsidRPr="000E19AE" w:rsidRDefault="005844F7" w:rsidP="00C17952">
            <w:pPr>
              <w:pStyle w:val="TableText"/>
              <w:keepNext w:val="0"/>
              <w:rPr>
                <w:sz w:val="18"/>
                <w:szCs w:val="18"/>
              </w:rPr>
            </w:pPr>
            <w:r w:rsidRPr="000E19AE">
              <w:rPr>
                <w:sz w:val="18"/>
                <w:szCs w:val="18"/>
              </w:rPr>
              <w:t xml:space="preserve">Bellmunt J, de Wit R, Vaughn DJ, et al. Pembrolizumab as Second-Line Therapy for Advanced Urothelial Carcinoma. </w:t>
            </w:r>
          </w:p>
        </w:tc>
        <w:tc>
          <w:tcPr>
            <w:tcW w:w="1784" w:type="pct"/>
          </w:tcPr>
          <w:p w:rsidR="005844F7" w:rsidRPr="000E19AE" w:rsidRDefault="005844F7" w:rsidP="00C17952">
            <w:pPr>
              <w:pStyle w:val="TableText"/>
              <w:keepNext w:val="0"/>
              <w:rPr>
                <w:sz w:val="18"/>
                <w:szCs w:val="18"/>
              </w:rPr>
            </w:pPr>
            <w:r w:rsidRPr="000E19AE">
              <w:rPr>
                <w:sz w:val="18"/>
                <w:szCs w:val="18"/>
              </w:rPr>
              <w:t>N Engl J Med. 2017 Feb 17. doi: 10.1056/NEJMoa1613683. [Epub ahead of print]</w:t>
            </w:r>
          </w:p>
        </w:tc>
      </w:tr>
    </w:tbl>
    <w:p w:rsidR="005844F7" w:rsidRPr="000E19AE" w:rsidRDefault="005844F7" w:rsidP="005844F7">
      <w:pPr>
        <w:pStyle w:val="TableFooter"/>
      </w:pPr>
      <w:r w:rsidRPr="000E19AE">
        <w:t xml:space="preserve">Source: Table 2.2, pp24-25 of </w:t>
      </w:r>
      <w:r w:rsidR="0012465E">
        <w:t xml:space="preserve">the </w:t>
      </w:r>
      <w:r w:rsidRPr="000E19AE">
        <w:t>submission.</w:t>
      </w:r>
    </w:p>
    <w:p w:rsidR="00C317F3" w:rsidRPr="000E19AE" w:rsidRDefault="00C317F3" w:rsidP="00C47FDA">
      <w:pPr>
        <w:pStyle w:val="ListParagraph"/>
        <w:numPr>
          <w:ilvl w:val="1"/>
          <w:numId w:val="19"/>
        </w:numPr>
        <w:jc w:val="both"/>
      </w:pPr>
      <w:r w:rsidRPr="000E19AE">
        <w:t xml:space="preserve">The key features of </w:t>
      </w:r>
      <w:r w:rsidR="003C5625" w:rsidRPr="000E19AE">
        <w:t>KN0</w:t>
      </w:r>
      <w:r w:rsidR="00825B2E" w:rsidRPr="000E19AE">
        <w:t>4</w:t>
      </w:r>
      <w:r w:rsidR="003C5625" w:rsidRPr="000E19AE">
        <w:t>5</w:t>
      </w:r>
      <w:r w:rsidRPr="000E19AE">
        <w:t xml:space="preserve"> are summarised in </w:t>
      </w:r>
      <w:r w:rsidR="003C5625" w:rsidRPr="000E19AE">
        <w:t>Table 6.</w:t>
      </w:r>
    </w:p>
    <w:p w:rsidR="00C317F3" w:rsidRPr="000E19AE" w:rsidRDefault="00C317F3" w:rsidP="00772501">
      <w:pPr>
        <w:pStyle w:val="TableHeading0"/>
      </w:pPr>
      <w:r w:rsidRPr="000E19AE">
        <w:lastRenderedPageBreak/>
        <w:t>T</w:t>
      </w:r>
      <w:r w:rsidR="00C8343B" w:rsidRPr="000E19AE">
        <w:t xml:space="preserve">able </w:t>
      </w:r>
      <w:r w:rsidR="003C5625" w:rsidRPr="000E19AE">
        <w:t>6</w:t>
      </w:r>
      <w:r w:rsidR="00C8343B" w:rsidRPr="000E19AE">
        <w:t>: K</w:t>
      </w:r>
      <w:r w:rsidRPr="000E19AE">
        <w:t>ey features of the included evidence</w:t>
      </w:r>
      <w:r w:rsidR="00624315" w:rsidRPr="000E19AE">
        <w:t xml:space="preserve">, </w:t>
      </w:r>
      <w:r w:rsidR="003C5625" w:rsidRPr="000E19AE">
        <w:t>pembrolizumab vs SOC</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1"/>
        <w:gridCol w:w="392"/>
        <w:gridCol w:w="2916"/>
        <w:gridCol w:w="839"/>
        <w:gridCol w:w="1930"/>
        <w:gridCol w:w="1079"/>
        <w:gridCol w:w="1213"/>
      </w:tblGrid>
      <w:tr w:rsidR="002F7F64" w:rsidRPr="000E19AE">
        <w:tc>
          <w:tcPr>
            <w:tcW w:w="391"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Trial</w:t>
            </w:r>
          </w:p>
        </w:tc>
        <w:tc>
          <w:tcPr>
            <w:tcW w:w="216"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N</w:t>
            </w:r>
          </w:p>
        </w:tc>
        <w:tc>
          <w:tcPr>
            <w:tcW w:w="1606"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Design/ duration of follow-up</w:t>
            </w:r>
          </w:p>
        </w:tc>
        <w:tc>
          <w:tcPr>
            <w:tcW w:w="462"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Risk of bias</w:t>
            </w:r>
          </w:p>
        </w:tc>
        <w:tc>
          <w:tcPr>
            <w:tcW w:w="1063"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Patient population</w:t>
            </w:r>
          </w:p>
        </w:tc>
        <w:tc>
          <w:tcPr>
            <w:tcW w:w="594"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Outcome(s)</w:t>
            </w:r>
          </w:p>
        </w:tc>
        <w:tc>
          <w:tcPr>
            <w:tcW w:w="669"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b/>
              </w:rPr>
            </w:pPr>
            <w:r w:rsidRPr="000E19AE">
              <w:rPr>
                <w:b/>
              </w:rPr>
              <w:t>Use in modelled evaluation</w:t>
            </w:r>
          </w:p>
        </w:tc>
      </w:tr>
      <w:tr w:rsidR="002F7F64" w:rsidRPr="000E19AE">
        <w:trPr>
          <w:trHeight w:val="1275"/>
        </w:trPr>
        <w:tc>
          <w:tcPr>
            <w:tcW w:w="391"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pPr>
            <w:r w:rsidRPr="000E19AE">
              <w:t>KN045</w:t>
            </w:r>
          </w:p>
        </w:tc>
        <w:tc>
          <w:tcPr>
            <w:tcW w:w="216"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rFonts w:ascii="Times" w:eastAsia="Times New Roman" w:hAnsi="Times" w:cs="Times New Roman"/>
              </w:rPr>
            </w:pPr>
            <w:r w:rsidRPr="000E19AE">
              <w:t>542</w:t>
            </w:r>
          </w:p>
        </w:tc>
        <w:tc>
          <w:tcPr>
            <w:tcW w:w="1606"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pPr>
            <w:r w:rsidRPr="000E19AE">
              <w:t>R, OL</w:t>
            </w:r>
          </w:p>
          <w:p w:rsidR="00A06525" w:rsidRPr="000E19AE" w:rsidRDefault="00A06525">
            <w:pPr>
              <w:pStyle w:val="TableText"/>
              <w:spacing w:line="256" w:lineRule="auto"/>
              <w:rPr>
                <w:rFonts w:ascii="Times" w:eastAsia="Times New Roman" w:hAnsi="Times" w:cs="Times New Roman"/>
              </w:rPr>
            </w:pPr>
            <w:r w:rsidRPr="000E19AE">
              <w:t>First data cut off</w:t>
            </w:r>
            <w:r w:rsidR="00C5340C" w:rsidRPr="000E19AE">
              <w:t xml:space="preserve"> (September 2016) m</w:t>
            </w:r>
            <w:r w:rsidRPr="000E19AE">
              <w:t>edian OS 14.1 months</w:t>
            </w:r>
          </w:p>
          <w:p w:rsidR="00A06525" w:rsidRPr="000E19AE" w:rsidRDefault="00A06525" w:rsidP="00C5340C">
            <w:pPr>
              <w:pStyle w:val="TableText"/>
              <w:spacing w:line="256" w:lineRule="auto"/>
              <w:rPr>
                <w:rFonts w:ascii="Times" w:eastAsia="Times New Roman" w:hAnsi="Times" w:cs="Times New Roman"/>
              </w:rPr>
            </w:pPr>
            <w:r w:rsidRPr="000E19AE">
              <w:t xml:space="preserve">Second interim analysis (January 2017) </w:t>
            </w:r>
            <w:r w:rsidR="00C5340C" w:rsidRPr="000E19AE">
              <w:t>m</w:t>
            </w:r>
            <w:r w:rsidRPr="000E19AE">
              <w:t>edian OS 18.5 months</w:t>
            </w:r>
          </w:p>
        </w:tc>
        <w:tc>
          <w:tcPr>
            <w:tcW w:w="462" w:type="pct"/>
            <w:tcBorders>
              <w:top w:val="single" w:sz="4" w:space="0" w:color="auto"/>
              <w:left w:val="single" w:sz="4" w:space="0" w:color="auto"/>
              <w:bottom w:val="single" w:sz="4" w:space="0" w:color="auto"/>
              <w:right w:val="single" w:sz="4" w:space="0" w:color="auto"/>
            </w:tcBorders>
            <w:vAlign w:val="center"/>
          </w:tcPr>
          <w:p w:rsidR="00A06525" w:rsidRPr="000E19AE" w:rsidRDefault="002F7F64" w:rsidP="00582F5A">
            <w:pPr>
              <w:pStyle w:val="TableText"/>
              <w:spacing w:line="256" w:lineRule="auto"/>
              <w:rPr>
                <w:rFonts w:ascii="Times" w:eastAsia="Times New Roman" w:hAnsi="Times" w:cs="Times New Roman"/>
              </w:rPr>
            </w:pPr>
            <w:r w:rsidRPr="000E19AE">
              <w:t>Moderate</w:t>
            </w:r>
          </w:p>
        </w:tc>
        <w:tc>
          <w:tcPr>
            <w:tcW w:w="1063" w:type="pct"/>
            <w:tcBorders>
              <w:top w:val="single" w:sz="4" w:space="0" w:color="auto"/>
              <w:left w:val="single" w:sz="4" w:space="0" w:color="auto"/>
              <w:bottom w:val="single" w:sz="4" w:space="0" w:color="auto"/>
              <w:right w:val="single" w:sz="4" w:space="0" w:color="auto"/>
            </w:tcBorders>
            <w:vAlign w:val="center"/>
          </w:tcPr>
          <w:p w:rsidR="00A06525" w:rsidRPr="000E19AE" w:rsidRDefault="008C5948">
            <w:pPr>
              <w:pStyle w:val="TableText"/>
              <w:spacing w:line="256" w:lineRule="auto"/>
              <w:rPr>
                <w:rFonts w:ascii="Times" w:eastAsia="Times New Roman" w:hAnsi="Times" w:cs="Times New Roman"/>
              </w:rPr>
            </w:pPr>
            <w:r w:rsidRPr="000E19AE">
              <w:t>Patients with LA or mUC who have f</w:t>
            </w:r>
            <w:r w:rsidR="00A06525" w:rsidRPr="000E19AE">
              <w:t xml:space="preserve">ailed </w:t>
            </w:r>
            <w:r w:rsidR="002F7F64" w:rsidRPr="000E19AE">
              <w:t xml:space="preserve">a </w:t>
            </w:r>
            <w:r w:rsidR="00A06525" w:rsidRPr="000E19AE">
              <w:t>platinum-</w:t>
            </w:r>
            <w:r w:rsidR="00582F5A" w:rsidRPr="000E19AE">
              <w:t xml:space="preserve">based </w:t>
            </w:r>
            <w:r w:rsidR="00A06525" w:rsidRPr="000E19AE">
              <w:t>regimen</w:t>
            </w:r>
            <w:r w:rsidR="002F7F64" w:rsidRPr="000E19AE">
              <w:t>.</w:t>
            </w:r>
          </w:p>
        </w:tc>
        <w:tc>
          <w:tcPr>
            <w:tcW w:w="594"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rFonts w:ascii="Times" w:eastAsia="Times New Roman" w:hAnsi="Times" w:cs="Times New Roman"/>
              </w:rPr>
            </w:pPr>
            <w:r w:rsidRPr="000E19AE">
              <w:t>OS, PFS, ORR</w:t>
            </w:r>
          </w:p>
        </w:tc>
        <w:tc>
          <w:tcPr>
            <w:tcW w:w="669" w:type="pct"/>
            <w:tcBorders>
              <w:top w:val="single" w:sz="4" w:space="0" w:color="auto"/>
              <w:left w:val="single" w:sz="4" w:space="0" w:color="auto"/>
              <w:bottom w:val="single" w:sz="4" w:space="0" w:color="auto"/>
              <w:right w:val="single" w:sz="4" w:space="0" w:color="auto"/>
            </w:tcBorders>
            <w:vAlign w:val="center"/>
          </w:tcPr>
          <w:p w:rsidR="00A06525" w:rsidRPr="000E19AE" w:rsidRDefault="00A06525">
            <w:pPr>
              <w:pStyle w:val="TableText"/>
              <w:spacing w:line="256" w:lineRule="auto"/>
              <w:rPr>
                <w:rFonts w:ascii="Times" w:eastAsia="Times New Roman" w:hAnsi="Times" w:cs="Times New Roman"/>
              </w:rPr>
            </w:pPr>
            <w:r w:rsidRPr="000E19AE">
              <w:t>Used</w:t>
            </w:r>
          </w:p>
        </w:tc>
      </w:tr>
    </w:tbl>
    <w:p w:rsidR="00C317F3" w:rsidRPr="000E19AE" w:rsidRDefault="00352AC4" w:rsidP="00772501">
      <w:pPr>
        <w:pStyle w:val="TableFooter"/>
      </w:pPr>
      <w:r w:rsidRPr="000E19AE">
        <w:t xml:space="preserve">Abbreviations: </w:t>
      </w:r>
      <w:r w:rsidR="00C317F3" w:rsidRPr="000E19AE">
        <w:t xml:space="preserve">DB=double blind; </w:t>
      </w:r>
      <w:r w:rsidR="008C5948" w:rsidRPr="000E19AE">
        <w:t xml:space="preserve">LA=locally advanced; </w:t>
      </w:r>
      <w:r w:rsidR="00C317F3" w:rsidRPr="000E19AE">
        <w:t xml:space="preserve">MC=multi-centre; </w:t>
      </w:r>
      <w:r w:rsidR="008C5948" w:rsidRPr="000E19AE">
        <w:t xml:space="preserve">mUC=metastatic urothelial cancer; </w:t>
      </w:r>
      <w:r w:rsidR="00C317F3" w:rsidRPr="000E19AE">
        <w:t xml:space="preserve">OL=open label; </w:t>
      </w:r>
      <w:r w:rsidRPr="000E19AE">
        <w:t>ORR=o</w:t>
      </w:r>
      <w:r w:rsidR="00F43333" w:rsidRPr="000E19AE">
        <w:t>bjective</w:t>
      </w:r>
      <w:r w:rsidRPr="000E19AE">
        <w:t xml:space="preserve"> response rate; </w:t>
      </w:r>
      <w:r w:rsidR="00C317F3" w:rsidRPr="000E19AE">
        <w:t>OS=overall survival; PFS=progression-free survival; R=randomised.</w:t>
      </w:r>
    </w:p>
    <w:p w:rsidR="00C317F3" w:rsidRPr="000E19AE" w:rsidRDefault="00C317F3" w:rsidP="00772501">
      <w:pPr>
        <w:pStyle w:val="TableFooter"/>
      </w:pPr>
      <w:r w:rsidRPr="000E19AE">
        <w:t>Source: compiled during the evaluation</w:t>
      </w:r>
      <w:r w:rsidR="0012465E">
        <w:t>.</w:t>
      </w:r>
    </w:p>
    <w:p w:rsidR="002A7614" w:rsidRPr="000E19AE" w:rsidRDefault="002A7614" w:rsidP="00C47FDA">
      <w:pPr>
        <w:pStyle w:val="ListParagraph"/>
        <w:numPr>
          <w:ilvl w:val="1"/>
          <w:numId w:val="19"/>
        </w:numPr>
        <w:jc w:val="both"/>
      </w:pPr>
      <w:r w:rsidRPr="000E19AE">
        <w:t xml:space="preserve">KN045 </w:t>
      </w:r>
      <w:r w:rsidR="00BE5DB0" w:rsidRPr="000E19AE">
        <w:t>wa</w:t>
      </w:r>
      <w:r w:rsidRPr="000E19AE">
        <w:t xml:space="preserve">s subject to a </w:t>
      </w:r>
      <w:r w:rsidR="008C5948" w:rsidRPr="000E19AE">
        <w:t xml:space="preserve">moderate </w:t>
      </w:r>
      <w:r w:rsidRPr="000E19AE">
        <w:t>degree of bias. It</w:t>
      </w:r>
      <w:r w:rsidR="00BE5DB0" w:rsidRPr="000E19AE">
        <w:t xml:space="preserve"> wa</w:t>
      </w:r>
      <w:r w:rsidR="00915209">
        <w:t>s a Phase III trial of 542 </w:t>
      </w:r>
      <w:r w:rsidRPr="000E19AE">
        <w:t xml:space="preserve">patients, with </w:t>
      </w:r>
      <w:r w:rsidR="002A5649" w:rsidRPr="000E19AE">
        <w:t>co-</w:t>
      </w:r>
      <w:r w:rsidRPr="000E19AE">
        <w:t xml:space="preserve">primary </w:t>
      </w:r>
      <w:r w:rsidR="00C5340C" w:rsidRPr="000E19AE">
        <w:t>outcome measures of OS and PFS.</w:t>
      </w:r>
    </w:p>
    <w:p w:rsidR="002A7614" w:rsidRPr="00B93493" w:rsidRDefault="002A7614" w:rsidP="00C47FDA">
      <w:pPr>
        <w:pStyle w:val="ListParagraph"/>
        <w:numPr>
          <w:ilvl w:val="1"/>
          <w:numId w:val="19"/>
        </w:numPr>
        <w:jc w:val="both"/>
      </w:pPr>
      <w:r w:rsidRPr="00B93493">
        <w:t xml:space="preserve">The main source </w:t>
      </w:r>
      <w:r w:rsidR="00F43333" w:rsidRPr="00B93493">
        <w:t xml:space="preserve">of </w:t>
      </w:r>
      <w:r w:rsidRPr="00B93493">
        <w:t xml:space="preserve">bias </w:t>
      </w:r>
      <w:r w:rsidR="00F43333" w:rsidRPr="00B93493">
        <w:t>was</w:t>
      </w:r>
      <w:r w:rsidRPr="00B93493">
        <w:t xml:space="preserve"> due to the </w:t>
      </w:r>
      <w:r w:rsidR="008C5948" w:rsidRPr="00B93493">
        <w:t>inadequate concealment of randomisation (</w:t>
      </w:r>
      <w:r w:rsidRPr="00B93493">
        <w:t>participants and personnel were not blinded to treatment allocation</w:t>
      </w:r>
      <w:r w:rsidR="008C5948" w:rsidRPr="00B93493">
        <w:t>)</w:t>
      </w:r>
      <w:r w:rsidRPr="00B93493">
        <w:t>. The key areas o</w:t>
      </w:r>
      <w:r w:rsidR="00F43333" w:rsidRPr="00B93493">
        <w:t xml:space="preserve">f </w:t>
      </w:r>
      <w:r w:rsidRPr="00B93493">
        <w:t xml:space="preserve">uncertainty </w:t>
      </w:r>
      <w:r w:rsidR="00C5340C" w:rsidRPr="00B93493">
        <w:t xml:space="preserve">as a result of </w:t>
      </w:r>
      <w:r w:rsidR="00F43333" w:rsidRPr="00B93493">
        <w:t>this bias we</w:t>
      </w:r>
      <w:r w:rsidRPr="00B93493">
        <w:t>re:</w:t>
      </w:r>
    </w:p>
    <w:p w:rsidR="000B7315" w:rsidRPr="00B93493" w:rsidRDefault="002A7614" w:rsidP="00C47FDA">
      <w:pPr>
        <w:pStyle w:val="ListParagraph"/>
        <w:numPr>
          <w:ilvl w:val="3"/>
          <w:numId w:val="13"/>
        </w:numPr>
        <w:ind w:hanging="371"/>
        <w:jc w:val="both"/>
      </w:pPr>
      <w:r w:rsidRPr="00B93493">
        <w:t xml:space="preserve">There was a higher rate of withdrawal prior to treatment if </w:t>
      </w:r>
      <w:r w:rsidR="00F43333" w:rsidRPr="00B93493">
        <w:t>patients</w:t>
      </w:r>
      <w:r w:rsidRPr="00B93493">
        <w:t xml:space="preserve"> were allocated to the chemotherapy arm (17</w:t>
      </w:r>
      <w:r w:rsidR="00F43333" w:rsidRPr="00B93493">
        <w:t>/272) compared with the pembrolizumab arm (</w:t>
      </w:r>
      <w:r w:rsidRPr="00B93493">
        <w:t>4</w:t>
      </w:r>
      <w:r w:rsidR="00F43333" w:rsidRPr="00B93493">
        <w:t>/270</w:t>
      </w:r>
      <w:r w:rsidRPr="00B93493">
        <w:t>).</w:t>
      </w:r>
      <w:r w:rsidR="0019052D" w:rsidRPr="00B93493">
        <w:t xml:space="preserve"> </w:t>
      </w:r>
      <w:r w:rsidRPr="00B93493">
        <w:t xml:space="preserve">This </w:t>
      </w:r>
      <w:r w:rsidR="00C5340C" w:rsidRPr="00B93493">
        <w:t xml:space="preserve">may </w:t>
      </w:r>
      <w:r w:rsidRPr="00B93493">
        <w:t>represent a selection bias, which may favour</w:t>
      </w:r>
      <w:r w:rsidR="00890C77" w:rsidRPr="00B93493">
        <w:t xml:space="preserve"> </w:t>
      </w:r>
      <w:r w:rsidRPr="00B93493">
        <w:t>pembrolizumab in the efficacy analysis using the ITT population.</w:t>
      </w:r>
    </w:p>
    <w:p w:rsidR="002A7614" w:rsidRPr="00B93493" w:rsidRDefault="000B7315" w:rsidP="00C47FDA">
      <w:pPr>
        <w:pStyle w:val="ListParagraph"/>
        <w:numPr>
          <w:ilvl w:val="3"/>
          <w:numId w:val="13"/>
        </w:numPr>
        <w:ind w:hanging="371"/>
        <w:jc w:val="both"/>
      </w:pPr>
      <w:r w:rsidRPr="00B93493">
        <w:t xml:space="preserve">Higher numbers of patients also withdrew consent during the course of the trial from the SOC arm when compared to the pembrolizumab arm (29 patients vs. 3), which may reflect the unacceptability of chemotherapy and/or </w:t>
      </w:r>
      <w:r w:rsidR="007C614C" w:rsidRPr="00B93493">
        <w:t>occu</w:t>
      </w:r>
      <w:r w:rsidR="00C5340C" w:rsidRPr="00B93493">
        <w:t>r</w:t>
      </w:r>
      <w:r w:rsidR="007C614C" w:rsidRPr="00B93493">
        <w:t>renc</w:t>
      </w:r>
      <w:r w:rsidR="00C6155A" w:rsidRPr="00B93493">
        <w:t>e</w:t>
      </w:r>
      <w:r w:rsidR="007C614C" w:rsidRPr="00B93493">
        <w:t xml:space="preserve"> of </w:t>
      </w:r>
      <w:r w:rsidRPr="00B93493">
        <w:t xml:space="preserve">unacceptable toxicities. The TGA </w:t>
      </w:r>
      <w:r w:rsidR="00C5340C" w:rsidRPr="00B93493">
        <w:t xml:space="preserve">clinical evaluator </w:t>
      </w:r>
      <w:r w:rsidRPr="00B93493">
        <w:t>note</w:t>
      </w:r>
      <w:r w:rsidR="007C614C" w:rsidRPr="00B93493">
        <w:t>d</w:t>
      </w:r>
      <w:r w:rsidRPr="00B93493">
        <w:t xml:space="preserve"> that “these two rates of withdrawal confirm the high unmet need for a more effective, less toxic alternative to chemotherapy” (TGA clinical </w:t>
      </w:r>
      <w:r w:rsidR="00825B2E" w:rsidRPr="00B93493">
        <w:t xml:space="preserve">evaluation </w:t>
      </w:r>
      <w:r w:rsidRPr="00B93493">
        <w:t>report, p 74)</w:t>
      </w:r>
      <w:r w:rsidR="007C614C" w:rsidRPr="00B93493">
        <w:t>.</w:t>
      </w:r>
    </w:p>
    <w:p w:rsidR="000B7315" w:rsidRPr="00B93493" w:rsidRDefault="002A7614" w:rsidP="00C47FDA">
      <w:pPr>
        <w:pStyle w:val="ListParagraph"/>
        <w:numPr>
          <w:ilvl w:val="3"/>
          <w:numId w:val="13"/>
        </w:numPr>
        <w:ind w:hanging="371"/>
        <w:jc w:val="both"/>
      </w:pPr>
      <w:r w:rsidRPr="00B93493">
        <w:t xml:space="preserve">A number of data recording errors occurred at randomisation. The majority of these errors related to time since chemotherapy, which was associated with </w:t>
      </w:r>
      <w:r w:rsidR="001C4232" w:rsidRPr="00B93493">
        <w:t>patients being classified a</w:t>
      </w:r>
      <w:r w:rsidR="007414CA" w:rsidRPr="00B93493">
        <w:t>s</w:t>
      </w:r>
      <w:r w:rsidR="001C4232" w:rsidRPr="00B93493">
        <w:t xml:space="preserve"> being ‘more</w:t>
      </w:r>
      <w:r w:rsidR="003C1BC1" w:rsidRPr="00B93493">
        <w:t>-</w:t>
      </w:r>
      <w:r w:rsidR="001C4232" w:rsidRPr="00B93493">
        <w:t>healthy’ than they actually were</w:t>
      </w:r>
      <w:r w:rsidRPr="00B93493">
        <w:t>. These errors were not addressed in the submission</w:t>
      </w:r>
      <w:r w:rsidR="007C614C" w:rsidRPr="00B93493">
        <w:t>, and therefore their distribution between the treatment groups is unknown</w:t>
      </w:r>
      <w:r w:rsidRPr="00B93493">
        <w:t xml:space="preserve">. </w:t>
      </w:r>
      <w:r w:rsidR="007C614C" w:rsidRPr="00B93493">
        <w:t>Regardless, a</w:t>
      </w:r>
      <w:r w:rsidRPr="00B93493">
        <w:t xml:space="preserve">ll patients randomised to each arm of KN045 were included in the analysis set for efficacy and safety. </w:t>
      </w:r>
      <w:r w:rsidR="00310DD0" w:rsidRPr="00B93493">
        <w:t xml:space="preserve">The TGA </w:t>
      </w:r>
      <w:r w:rsidR="00727EB5" w:rsidRPr="00B93493">
        <w:t xml:space="preserve">clinical evaluator </w:t>
      </w:r>
      <w:r w:rsidR="00310DD0" w:rsidRPr="00B93493">
        <w:t>has requested</w:t>
      </w:r>
      <w:r w:rsidR="004D124A" w:rsidRPr="00B93493">
        <w:t xml:space="preserve"> a sensitivity analysis which corrects for data recording errors that occurred at randomisation (identified 6.4</w:t>
      </w:r>
      <w:r w:rsidR="00C5340C" w:rsidRPr="00B93493">
        <w:t xml:space="preserve">; TGA clinical </w:t>
      </w:r>
      <w:r w:rsidR="00DC1929" w:rsidRPr="00B93493">
        <w:t>evaluation</w:t>
      </w:r>
      <w:r w:rsidR="00C5340C" w:rsidRPr="00B93493">
        <w:t xml:space="preserve"> report</w:t>
      </w:r>
      <w:r w:rsidR="004D124A" w:rsidRPr="00B93493">
        <w:t>)</w:t>
      </w:r>
      <w:r w:rsidR="00F43333" w:rsidRPr="00B93493">
        <w:t xml:space="preserve">. The direction of bias </w:t>
      </w:r>
      <w:r w:rsidR="00A20D1B">
        <w:t>wa</w:t>
      </w:r>
      <w:r w:rsidR="00F43333" w:rsidRPr="00B93493">
        <w:t>s unknown.</w:t>
      </w:r>
    </w:p>
    <w:p w:rsidR="002A7614" w:rsidRPr="00B93493" w:rsidRDefault="002A7614" w:rsidP="00C47FDA">
      <w:pPr>
        <w:pStyle w:val="ListParagraph"/>
        <w:numPr>
          <w:ilvl w:val="1"/>
          <w:numId w:val="19"/>
        </w:numPr>
        <w:jc w:val="both"/>
      </w:pPr>
      <w:r w:rsidRPr="00B93493">
        <w:t>There was a</w:t>
      </w:r>
      <w:r w:rsidR="008C5948" w:rsidRPr="00B93493">
        <w:t>lso the potential for observer bias evidenced by the</w:t>
      </w:r>
      <w:r w:rsidRPr="00B93493">
        <w:t xml:space="preserve"> higher rate of discontinuations due to ‘physician decision’ (10.6% </w:t>
      </w:r>
      <w:r w:rsidR="007C614C" w:rsidRPr="00B93493">
        <w:t xml:space="preserve">for chemotherapy </w:t>
      </w:r>
      <w:r w:rsidRPr="00B93493">
        <w:t>vs. 2.3%</w:t>
      </w:r>
      <w:r w:rsidR="007C614C" w:rsidRPr="00B93493">
        <w:t xml:space="preserve"> for pembrolizumab</w:t>
      </w:r>
      <w:r w:rsidRPr="00B93493">
        <w:t>) in KN045, which fall outside clinical reasons for stopping</w:t>
      </w:r>
      <w:r w:rsidR="007C614C" w:rsidRPr="00B93493">
        <w:t xml:space="preserve"> (</w:t>
      </w:r>
      <w:r w:rsidRPr="00B93493">
        <w:t>‘adverse event’ or ‘clinical progression’</w:t>
      </w:r>
      <w:r w:rsidR="007C614C" w:rsidRPr="00B93493">
        <w:t xml:space="preserve">). </w:t>
      </w:r>
      <w:r w:rsidRPr="00B93493">
        <w:t xml:space="preserve">The submission does not provide adequate details on treatment </w:t>
      </w:r>
      <w:r w:rsidR="00D66401" w:rsidRPr="00B93493">
        <w:t xml:space="preserve">exposure </w:t>
      </w:r>
      <w:r w:rsidRPr="00B93493">
        <w:t xml:space="preserve">to determine the impact of these discontinuations. However, they are likely to impact </w:t>
      </w:r>
      <w:r w:rsidR="00D913AF" w:rsidRPr="00B93493">
        <w:t xml:space="preserve">on </w:t>
      </w:r>
      <w:r w:rsidRPr="00B93493">
        <w:t xml:space="preserve">the representativeness of any subgroup </w:t>
      </w:r>
      <w:r w:rsidR="007C614C" w:rsidRPr="00B93493">
        <w:t>analyses</w:t>
      </w:r>
      <w:r w:rsidR="002A5649" w:rsidRPr="00B93493">
        <w:t xml:space="preserve"> where the sample sizes are already small</w:t>
      </w:r>
      <w:r w:rsidRPr="00B93493">
        <w:t>, notably PD-L1 expression</w:t>
      </w:r>
      <w:r w:rsidR="0014326E" w:rsidRPr="00B93493">
        <w:t xml:space="preserve"> (</w:t>
      </w:r>
      <w:r w:rsidR="00D66401" w:rsidRPr="00B93493">
        <w:t xml:space="preserve">for which </w:t>
      </w:r>
      <w:r w:rsidR="0014326E" w:rsidRPr="00B93493">
        <w:t>there are compounding issues of bias)</w:t>
      </w:r>
      <w:r w:rsidR="007C614C" w:rsidRPr="00B93493">
        <w:t>.</w:t>
      </w:r>
    </w:p>
    <w:p w:rsidR="005B6F22" w:rsidRPr="00B93493" w:rsidRDefault="000C23DC" w:rsidP="00C47FDA">
      <w:pPr>
        <w:pStyle w:val="ListParagraph"/>
        <w:numPr>
          <w:ilvl w:val="1"/>
          <w:numId w:val="19"/>
        </w:numPr>
        <w:jc w:val="both"/>
      </w:pPr>
      <w:bookmarkStart w:id="22" w:name="_Hlk492880958"/>
      <w:r>
        <w:lastRenderedPageBreak/>
        <w:t>The PBAC noted t</w:t>
      </w:r>
      <w:r w:rsidR="00836036" w:rsidRPr="00B93493">
        <w:t xml:space="preserve">he TGA </w:t>
      </w:r>
      <w:r w:rsidR="00DA635D" w:rsidRPr="00B93493">
        <w:t xml:space="preserve">clinical evaluator </w:t>
      </w:r>
      <w:r w:rsidR="00C51244">
        <w:t xml:space="preserve">reported </w:t>
      </w:r>
      <w:r w:rsidR="00836036" w:rsidRPr="00B93493">
        <w:t>that the use of a fixed 200</w:t>
      </w:r>
      <w:r w:rsidR="00DA635D" w:rsidRPr="00B93493">
        <w:t> </w:t>
      </w:r>
      <w:r w:rsidR="00836036" w:rsidRPr="00B93493">
        <w:t xml:space="preserve">mg dose resulted in a significantly higher treatment dose for a significant number of patients in KN045, when compared to the dose they would have received if the dosing strategy was consistent with the </w:t>
      </w:r>
      <w:r w:rsidR="00A20D1B">
        <w:t xml:space="preserve">mg per kg patient </w:t>
      </w:r>
      <w:r w:rsidR="00836036" w:rsidRPr="00B93493">
        <w:t>weight dose employed in pembrolizumab trials for other indications</w:t>
      </w:r>
      <w:r w:rsidR="005B6F22" w:rsidRPr="00B93493">
        <w:t xml:space="preserve"> (melanoma and non-small cell lung carcinoma)</w:t>
      </w:r>
      <w:r w:rsidR="00836036" w:rsidRPr="00B93493">
        <w:t xml:space="preserve">. This </w:t>
      </w:r>
      <w:r w:rsidR="005B6F22" w:rsidRPr="00B93493">
        <w:t>wa</w:t>
      </w:r>
      <w:r w:rsidR="00836036" w:rsidRPr="00B93493">
        <w:t>s due to patients in KN</w:t>
      </w:r>
      <w:r w:rsidR="00DA635D" w:rsidRPr="00B93493">
        <w:t>045 having a lower mean weight</w:t>
      </w:r>
      <w:r w:rsidR="005B6F22" w:rsidRPr="00B93493">
        <w:t xml:space="preserve"> than patients in studies in which pembrolizumab is dosed on a mg per kg basis</w:t>
      </w:r>
      <w:r w:rsidR="00DA635D" w:rsidRPr="00B93493">
        <w:t>.</w:t>
      </w:r>
      <w:bookmarkEnd w:id="22"/>
      <w:r w:rsidR="00A20D1B">
        <w:t xml:space="preserve"> </w:t>
      </w:r>
      <w:r w:rsidR="00A20D1B" w:rsidRPr="00B93493">
        <w:rPr>
          <w:szCs w:val="24"/>
        </w:rPr>
        <w:t xml:space="preserve">The </w:t>
      </w:r>
      <w:r w:rsidR="00A20D1B">
        <w:rPr>
          <w:szCs w:val="24"/>
        </w:rPr>
        <w:t>PBAC noted that the fixed-dosing approach was different to the dosing regimens for other approved indications for pembrolizumab which applied weight-based dosing, and that this resulted in a significantly higher treatment dose for a number of patients in the trial. The PBAC also noted that there is evidence to suggest that the higher dose did not increase the effectiveness of pembrolizumab.</w:t>
      </w:r>
      <w:r w:rsidR="00A20D1B">
        <w:rPr>
          <w:rStyle w:val="FootnoteReference"/>
          <w:szCs w:val="24"/>
        </w:rPr>
        <w:footnoteReference w:id="2"/>
      </w:r>
    </w:p>
    <w:p w:rsidR="005B6F22" w:rsidRPr="00B93493" w:rsidRDefault="005B6F22" w:rsidP="00C47FDA">
      <w:pPr>
        <w:pStyle w:val="ListParagraph"/>
        <w:numPr>
          <w:ilvl w:val="1"/>
          <w:numId w:val="19"/>
        </w:numPr>
        <w:jc w:val="both"/>
      </w:pPr>
      <w:r w:rsidRPr="00B93493">
        <w:rPr>
          <w:color w:val="000000" w:themeColor="text1"/>
        </w:rPr>
        <w:t>The TGA clinical evaluation report highlighted a number of uncertainties with regards to KN045. The key areas of concern included:</w:t>
      </w:r>
    </w:p>
    <w:p w:rsidR="005B6F22" w:rsidRPr="00B93493" w:rsidRDefault="005B6F22" w:rsidP="00C47FDA">
      <w:pPr>
        <w:pStyle w:val="ListParagraph"/>
        <w:numPr>
          <w:ilvl w:val="3"/>
          <w:numId w:val="13"/>
        </w:numPr>
        <w:ind w:hanging="371"/>
        <w:jc w:val="both"/>
      </w:pPr>
      <w:r w:rsidRPr="00B93493">
        <w:t>Issues in patient randomisation, treatment and discontinuation</w:t>
      </w:r>
      <w:r w:rsidR="008C5948" w:rsidRPr="00B93493">
        <w:t>s due to physician’s decisions (for which the direction of bias is unknown)</w:t>
      </w:r>
      <w:r w:rsidR="00665023" w:rsidRPr="00B93493">
        <w:rPr>
          <w:rStyle w:val="CommentReference"/>
        </w:rPr>
        <w:t>.</w:t>
      </w:r>
    </w:p>
    <w:p w:rsidR="005B6F22" w:rsidRPr="00B93493" w:rsidRDefault="005B6F22" w:rsidP="00C47FDA">
      <w:pPr>
        <w:pStyle w:val="ListParagraph"/>
        <w:numPr>
          <w:ilvl w:val="3"/>
          <w:numId w:val="13"/>
        </w:numPr>
        <w:ind w:hanging="371"/>
        <w:jc w:val="both"/>
      </w:pPr>
      <w:r w:rsidRPr="00B93493">
        <w:t>The representativeness of KN045 for patients with ECOG status</w:t>
      </w:r>
      <w:r w:rsidR="001734D4" w:rsidRPr="00B93493">
        <w:t xml:space="preserve"> </w:t>
      </w:r>
      <w:r w:rsidRPr="00B93493">
        <w:t>=</w:t>
      </w:r>
      <w:r w:rsidR="001734D4" w:rsidRPr="00B93493">
        <w:t xml:space="preserve"> </w:t>
      </w:r>
      <w:r w:rsidRPr="00B93493">
        <w:t>2 and patients with a creatinine clearance &lt;30 ml.</w:t>
      </w:r>
    </w:p>
    <w:p w:rsidR="005B6F22" w:rsidRPr="00B93493" w:rsidRDefault="005B6F22" w:rsidP="00C47FDA">
      <w:pPr>
        <w:pStyle w:val="ListParagraph"/>
        <w:numPr>
          <w:ilvl w:val="3"/>
          <w:numId w:val="13"/>
        </w:numPr>
        <w:ind w:hanging="371"/>
        <w:jc w:val="both"/>
      </w:pPr>
      <w:r w:rsidRPr="00B93493">
        <w:t>The relatively short trial follow-up and the resulting uncertainty with regards to the number of long-term survivors.</w:t>
      </w:r>
    </w:p>
    <w:p w:rsidR="005B6F22" w:rsidRPr="00B93493" w:rsidRDefault="005B6F22" w:rsidP="00C47FDA">
      <w:pPr>
        <w:pStyle w:val="ListParagraph"/>
        <w:numPr>
          <w:ilvl w:val="3"/>
          <w:numId w:val="13"/>
        </w:numPr>
        <w:ind w:hanging="371"/>
        <w:jc w:val="both"/>
      </w:pPr>
      <w:r w:rsidRPr="00B93493">
        <w:t>The importance and clinical utility of PD-L1 expression being unclear, with little evidence supporting PD-L1 as a predictive biomarker.</w:t>
      </w:r>
      <w:r w:rsidRPr="00B93493">
        <w:rPr>
          <w:color w:val="000000" w:themeColor="text1"/>
        </w:rPr>
        <w:t xml:space="preserve"> The PBS listing proposed in the submission does not specify a level of PD-L1 expression, adopting an all-comers approach that does not rely on PD-L1 as a predictive biomarker. This is consistent with the approach applied to the current listings for pembrolizumab </w:t>
      </w:r>
      <w:r w:rsidR="00215D0E" w:rsidRPr="00B93493">
        <w:rPr>
          <w:color w:val="000000" w:themeColor="text1"/>
        </w:rPr>
        <w:t>(melanoma) and nivolumab (melanoma, non-small cell lung carcinoma, renal cell carcinoma).</w:t>
      </w:r>
    </w:p>
    <w:p w:rsidR="005B6F22" w:rsidRPr="00B93493" w:rsidRDefault="005B6F22" w:rsidP="00C47FDA">
      <w:pPr>
        <w:pStyle w:val="ListParagraph"/>
        <w:numPr>
          <w:ilvl w:val="3"/>
          <w:numId w:val="13"/>
        </w:numPr>
        <w:ind w:hanging="371"/>
        <w:jc w:val="both"/>
      </w:pPr>
      <w:r w:rsidRPr="00B93493">
        <w:t>A lack of detailed analysis with regards to early progression and death in the pembrolizumab arm. This combined with treatment effect differences in subgroup analyses led the TGA clinical evaluator to recommend a precautionary statement in the PI that warns of the possible risk of early progression and death. A similar issue has been addressed in the TGA listing of nivolumab, for non-small cell lung carcinoma (</w:t>
      </w:r>
      <w:r w:rsidR="00665023" w:rsidRPr="00B93493">
        <w:t>point 12, p201</w:t>
      </w:r>
      <w:r w:rsidRPr="00B93493">
        <w:t xml:space="preserve"> TGA </w:t>
      </w:r>
      <w:r w:rsidR="00727EB5" w:rsidRPr="00B93493">
        <w:t>c</w:t>
      </w:r>
      <w:r w:rsidRPr="00B93493">
        <w:t xml:space="preserve">linical </w:t>
      </w:r>
      <w:r w:rsidR="00727EB5" w:rsidRPr="00B93493">
        <w:t>e</w:t>
      </w:r>
      <w:r w:rsidRPr="00B93493">
        <w:t xml:space="preserve">valuation </w:t>
      </w:r>
      <w:r w:rsidR="00727EB5" w:rsidRPr="00B93493">
        <w:t>r</w:t>
      </w:r>
      <w:r w:rsidRPr="00B93493">
        <w:t>eport).</w:t>
      </w:r>
    </w:p>
    <w:p w:rsidR="001D648C" w:rsidRPr="005F6466" w:rsidRDefault="002A7614" w:rsidP="00A661E5">
      <w:pPr>
        <w:pStyle w:val="Heading2"/>
        <w:rPr>
          <w:b w:val="0"/>
          <w:i w:val="0"/>
        </w:rPr>
      </w:pPr>
      <w:bookmarkStart w:id="23" w:name="_Toc492274923"/>
      <w:r w:rsidRPr="005F6466">
        <w:rPr>
          <w:rStyle w:val="Heading2Char"/>
          <w:b/>
          <w:i/>
        </w:rPr>
        <w:t>Comparative effectiveness</w:t>
      </w:r>
      <w:bookmarkEnd w:id="23"/>
    </w:p>
    <w:p w:rsidR="002A7614" w:rsidRPr="000E19AE" w:rsidRDefault="002A7614" w:rsidP="00C47FDA">
      <w:pPr>
        <w:pStyle w:val="ListParagraph"/>
        <w:numPr>
          <w:ilvl w:val="1"/>
          <w:numId w:val="19"/>
        </w:numPr>
        <w:jc w:val="both"/>
      </w:pPr>
      <w:r w:rsidRPr="000E19AE">
        <w:t xml:space="preserve">Overall survival </w:t>
      </w:r>
      <w:r w:rsidR="00D66401" w:rsidRPr="000E19AE">
        <w:t xml:space="preserve">(OS) </w:t>
      </w:r>
      <w:r w:rsidR="007C614C" w:rsidRPr="000E19AE">
        <w:t>and progression</w:t>
      </w:r>
      <w:r w:rsidR="004576EE">
        <w:t>-</w:t>
      </w:r>
      <w:r w:rsidR="007C614C" w:rsidRPr="000E19AE">
        <w:t xml:space="preserve">free survival </w:t>
      </w:r>
      <w:r w:rsidR="00D66401" w:rsidRPr="000E19AE">
        <w:t xml:space="preserve">(PFS) </w:t>
      </w:r>
      <w:r w:rsidRPr="000E19AE">
        <w:t xml:space="preserve">from the second interim analysis (database cut-off September 7, 2016) and extended </w:t>
      </w:r>
      <w:r w:rsidR="007C614C" w:rsidRPr="000E19AE">
        <w:t>follow-</w:t>
      </w:r>
      <w:r w:rsidRPr="000E19AE">
        <w:t xml:space="preserve">up (database cut off January 17, 2017) </w:t>
      </w:r>
      <w:r w:rsidR="00DA635D" w:rsidRPr="000E19AE">
        <w:t>are</w:t>
      </w:r>
      <w:r w:rsidRPr="000E19AE">
        <w:t xml:space="preserve"> shown in Table 7</w:t>
      </w:r>
      <w:r w:rsidR="006E1F22" w:rsidRPr="000E19AE">
        <w:t xml:space="preserve">. The Kaplan-Meier analysis of OS </w:t>
      </w:r>
      <w:r w:rsidR="005D1A8F" w:rsidRPr="000E19AE">
        <w:t xml:space="preserve">for </w:t>
      </w:r>
      <w:r w:rsidR="006E1F22" w:rsidRPr="000E19AE">
        <w:t xml:space="preserve">the </w:t>
      </w:r>
      <w:r w:rsidR="005D1A8F" w:rsidRPr="000E19AE">
        <w:t>extended follow-up</w:t>
      </w:r>
      <w:r w:rsidR="00D66401" w:rsidRPr="000E19AE">
        <w:t xml:space="preserve"> </w:t>
      </w:r>
      <w:r w:rsidR="006E1F22" w:rsidRPr="000E19AE">
        <w:t>analysis is presented in Figure 1.</w:t>
      </w:r>
    </w:p>
    <w:p w:rsidR="00C317F3" w:rsidRPr="000E19AE" w:rsidRDefault="00C317F3" w:rsidP="00772501">
      <w:pPr>
        <w:pStyle w:val="TableHeading0"/>
      </w:pPr>
      <w:r w:rsidRPr="000E19AE">
        <w:lastRenderedPageBreak/>
        <w:t xml:space="preserve">Table </w:t>
      </w:r>
      <w:r w:rsidR="00AA1D35" w:rsidRPr="000E19AE">
        <w:t>7</w:t>
      </w:r>
      <w:r w:rsidRPr="000E19AE">
        <w:t>:</w:t>
      </w:r>
      <w:r w:rsidR="00511320" w:rsidRPr="000E19AE">
        <w:rPr>
          <w:color w:val="4472C4" w:themeColor="accent5"/>
        </w:rPr>
        <w:t xml:space="preserve"> </w:t>
      </w:r>
      <w:r w:rsidRPr="000E19AE">
        <w:t xml:space="preserve">Results of </w:t>
      </w:r>
      <w:r w:rsidR="002F5B87" w:rsidRPr="000E19AE">
        <w:t>overall survival</w:t>
      </w:r>
      <w:r w:rsidRPr="000E19AE">
        <w:t xml:space="preserve"> </w:t>
      </w:r>
      <w:r w:rsidR="002F5B87" w:rsidRPr="000E19AE">
        <w:t>and progression</w:t>
      </w:r>
      <w:r w:rsidR="004576EE">
        <w:t>-</w:t>
      </w:r>
      <w:r w:rsidR="002F5B87" w:rsidRPr="000E19AE">
        <w:t xml:space="preserve">free survival </w:t>
      </w:r>
      <w:r w:rsidR="007C614C" w:rsidRPr="000E19AE">
        <w:t xml:space="preserve">in </w:t>
      </w:r>
      <w:r w:rsidRPr="000E19AE">
        <w:t>the direct randomised trial</w:t>
      </w:r>
      <w:r w:rsidR="007C614C" w:rsidRPr="000E19AE">
        <w:t>: KN045</w:t>
      </w:r>
    </w:p>
    <w:tbl>
      <w:tblPr>
        <w:tblStyle w:val="TableGrid"/>
        <w:tblW w:w="5000" w:type="pct"/>
        <w:tblLook w:val="04A0" w:firstRow="1" w:lastRow="0" w:firstColumn="1" w:lastColumn="0" w:noHBand="0" w:noVBand="1"/>
        <w:tblCaption w:val="Table 7: Results of overall survival and progression-free survival in the direct randomised trial: KN045"/>
      </w:tblPr>
      <w:tblGrid>
        <w:gridCol w:w="932"/>
        <w:gridCol w:w="1438"/>
        <w:gridCol w:w="1438"/>
        <w:gridCol w:w="980"/>
        <w:gridCol w:w="1275"/>
        <w:gridCol w:w="1135"/>
        <w:gridCol w:w="852"/>
        <w:gridCol w:w="1192"/>
      </w:tblGrid>
      <w:tr w:rsidR="004E69BB" w:rsidRPr="000E19AE" w:rsidTr="008478CE">
        <w:trPr>
          <w:cnfStyle w:val="100000000000" w:firstRow="1" w:lastRow="0" w:firstColumn="0" w:lastColumn="0" w:oddVBand="0" w:evenVBand="0" w:oddHBand="0" w:evenHBand="0" w:firstRowFirstColumn="0" w:firstRowLastColumn="0" w:lastRowFirstColumn="0" w:lastRowLastColumn="0"/>
          <w:tblHeader/>
        </w:trPr>
        <w:tc>
          <w:tcPr>
            <w:tcW w:w="504"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2A5649">
            <w:pPr>
              <w:pStyle w:val="Tablebold"/>
              <w:spacing w:before="0" w:after="0"/>
              <w:rPr>
                <w:rFonts w:ascii="Arial Narrow" w:hAnsi="Arial Narrow"/>
                <w:sz w:val="20"/>
                <w:szCs w:val="20"/>
                <w:lang w:eastAsia="en-AU"/>
              </w:rPr>
            </w:pPr>
            <w:r w:rsidRPr="000E19AE">
              <w:rPr>
                <w:rFonts w:ascii="Arial Narrow" w:hAnsi="Arial Narrow"/>
                <w:sz w:val="20"/>
                <w:szCs w:val="20"/>
                <w:lang w:eastAsia="en-AU"/>
              </w:rPr>
              <w:t>Trial ID</w:t>
            </w:r>
          </w:p>
        </w:tc>
        <w:tc>
          <w:tcPr>
            <w:tcW w:w="778"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Pembrolizumab</w:t>
            </w:r>
          </w:p>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(200 mg)</w:t>
            </w:r>
          </w:p>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n/N with event (%)</w:t>
            </w:r>
          </w:p>
        </w:tc>
        <w:tc>
          <w:tcPr>
            <w:tcW w:w="778"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Pembrolizumab</w:t>
            </w:r>
          </w:p>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(200 mg)</w:t>
            </w:r>
          </w:p>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Median time to event, months (95% CI)</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SOC</w:t>
            </w:r>
          </w:p>
          <w:p w:rsidR="002F5B87" w:rsidRPr="000E19AE" w:rsidRDefault="002F5B87" w:rsidP="004E69BB">
            <w:pPr>
              <w:pStyle w:val="Tablebold"/>
              <w:spacing w:before="0" w:after="0"/>
              <w:jc w:val="center"/>
              <w:rPr>
                <w:rFonts w:ascii="Arial Narrow" w:hAnsi="Arial Narrow"/>
                <w:sz w:val="20"/>
                <w:szCs w:val="20"/>
                <w:lang w:eastAsia="en-AU"/>
              </w:rPr>
            </w:pPr>
          </w:p>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n/N with event (%)</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SOC</w:t>
            </w:r>
          </w:p>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Median time to event</w:t>
            </w:r>
            <w:r w:rsidR="00DA635D" w:rsidRPr="000E19AE">
              <w:rPr>
                <w:rFonts w:ascii="Arial Narrow" w:hAnsi="Arial Narrow"/>
                <w:sz w:val="20"/>
                <w:szCs w:val="20"/>
                <w:lang w:eastAsia="en-AU"/>
              </w:rPr>
              <w:t>, months</w:t>
            </w:r>
            <w:r w:rsidR="004E69BB" w:rsidRPr="000E19AE">
              <w:rPr>
                <w:rFonts w:ascii="Arial Narrow" w:hAnsi="Arial Narrow"/>
                <w:sz w:val="20"/>
                <w:szCs w:val="20"/>
                <w:lang w:eastAsia="en-AU"/>
              </w:rPr>
              <w:br/>
            </w:r>
            <w:r w:rsidRPr="000E19AE">
              <w:rPr>
                <w:rFonts w:ascii="Arial Narrow" w:hAnsi="Arial Narrow"/>
                <w:sz w:val="20"/>
                <w:szCs w:val="20"/>
                <w:lang w:eastAsia="en-AU"/>
              </w:rPr>
              <w:t>(95% CI)</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 xml:space="preserve">Difference in </w:t>
            </w:r>
            <w:r w:rsidR="00DA635D" w:rsidRPr="000E19AE">
              <w:rPr>
                <w:rFonts w:ascii="Arial Narrow" w:hAnsi="Arial Narrow"/>
                <w:sz w:val="20"/>
                <w:szCs w:val="20"/>
                <w:lang w:eastAsia="en-AU"/>
              </w:rPr>
              <w:t>m</w:t>
            </w:r>
            <w:r w:rsidRPr="000E19AE">
              <w:rPr>
                <w:rFonts w:ascii="Arial Narrow" w:hAnsi="Arial Narrow"/>
                <w:sz w:val="20"/>
                <w:szCs w:val="20"/>
                <w:lang w:eastAsia="en-AU"/>
              </w:rPr>
              <w:t>edian</w:t>
            </w:r>
            <w:r w:rsidR="00DA635D" w:rsidRPr="000E19AE">
              <w:rPr>
                <w:rFonts w:ascii="Arial Narrow" w:hAnsi="Arial Narrow"/>
                <w:sz w:val="20"/>
                <w:szCs w:val="20"/>
                <w:lang w:eastAsia="en-AU"/>
              </w:rPr>
              <w:t>s</w:t>
            </w:r>
            <w:r w:rsidRPr="000E19AE">
              <w:rPr>
                <w:rFonts w:ascii="Arial Narrow" w:hAnsi="Arial Narrow"/>
                <w:sz w:val="20"/>
                <w:szCs w:val="20"/>
                <w:lang w:eastAsia="en-AU"/>
              </w:rPr>
              <w:t>, months</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P-value</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2F5B87" w:rsidRPr="000E19AE" w:rsidRDefault="002F5B87" w:rsidP="004E69BB">
            <w:pPr>
              <w:pStyle w:val="Tablebold"/>
              <w:spacing w:before="0" w:after="0"/>
              <w:jc w:val="center"/>
              <w:rPr>
                <w:rFonts w:ascii="Arial Narrow" w:hAnsi="Arial Narrow"/>
                <w:sz w:val="20"/>
                <w:szCs w:val="20"/>
                <w:lang w:eastAsia="en-AU"/>
              </w:rPr>
            </w:pPr>
            <w:r w:rsidRPr="000E19AE">
              <w:rPr>
                <w:rFonts w:ascii="Arial Narrow" w:hAnsi="Arial Narrow"/>
                <w:sz w:val="20"/>
                <w:szCs w:val="20"/>
                <w:lang w:eastAsia="en-AU"/>
              </w:rPr>
              <w:t>Hazard ratio (95% CI)</w:t>
            </w:r>
          </w:p>
        </w:tc>
      </w:tr>
      <w:tr w:rsidR="002F5B87" w:rsidRPr="000E19AE">
        <w:tc>
          <w:tcPr>
            <w:tcW w:w="5000" w:type="pct"/>
            <w:gridSpan w:val="8"/>
            <w:tcBorders>
              <w:top w:val="single" w:sz="4" w:space="0" w:color="auto"/>
              <w:left w:val="single" w:sz="4" w:space="0" w:color="auto"/>
              <w:bottom w:val="single" w:sz="4" w:space="0" w:color="auto"/>
              <w:right w:val="single" w:sz="4" w:space="0" w:color="auto"/>
            </w:tcBorders>
          </w:tcPr>
          <w:p w:rsidR="002F5B87" w:rsidRPr="000E19AE" w:rsidRDefault="002F5B87" w:rsidP="002F5B87">
            <w:pPr>
              <w:pStyle w:val="Tabletext0"/>
              <w:rPr>
                <w:b/>
                <w:lang w:eastAsia="en-AU"/>
              </w:rPr>
            </w:pPr>
            <w:r w:rsidRPr="000E19AE">
              <w:rPr>
                <w:b/>
                <w:lang w:eastAsia="en-AU"/>
              </w:rPr>
              <w:t>Overall survival</w:t>
            </w:r>
          </w:p>
        </w:tc>
      </w:tr>
      <w:tr w:rsidR="004E69BB" w:rsidRPr="000E19AE">
        <w:tc>
          <w:tcPr>
            <w:tcW w:w="504" w:type="pct"/>
            <w:tcBorders>
              <w:top w:val="single" w:sz="4" w:space="0" w:color="auto"/>
              <w:left w:val="single" w:sz="4" w:space="0" w:color="auto"/>
              <w:bottom w:val="single" w:sz="4" w:space="0" w:color="auto"/>
              <w:right w:val="single" w:sz="4" w:space="0" w:color="auto"/>
            </w:tcBorders>
          </w:tcPr>
          <w:p w:rsidR="002F5B87" w:rsidRPr="000E19AE" w:rsidRDefault="007C614C" w:rsidP="00C17952">
            <w:pPr>
              <w:pStyle w:val="Tabletext0"/>
              <w:jc w:val="both"/>
              <w:rPr>
                <w:lang w:eastAsia="en-AU"/>
              </w:rPr>
            </w:pPr>
            <w:r w:rsidRPr="000E19AE">
              <w:rPr>
                <w:lang w:eastAsia="en-AU"/>
              </w:rPr>
              <w:t>Second interim analysis</w:t>
            </w:r>
          </w:p>
        </w:tc>
        <w:tc>
          <w:tcPr>
            <w:tcW w:w="778"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rPr>
                <w:lang w:eastAsia="en-AU"/>
              </w:rPr>
              <w:t>155/270</w:t>
            </w:r>
            <w:r w:rsidR="007C614C" w:rsidRPr="000E19AE">
              <w:rPr>
                <w:lang w:eastAsia="en-AU"/>
              </w:rPr>
              <w:t xml:space="preserve"> </w:t>
            </w:r>
            <w:r w:rsidRPr="000E19AE">
              <w:rPr>
                <w:lang w:eastAsia="en-AU"/>
              </w:rPr>
              <w:t>(57.4)</w:t>
            </w:r>
          </w:p>
        </w:tc>
        <w:tc>
          <w:tcPr>
            <w:tcW w:w="778"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t>10.3</w:t>
            </w:r>
            <w:r w:rsidR="004E69BB" w:rsidRPr="000E19AE">
              <w:br/>
            </w:r>
            <w:r w:rsidRPr="000E19AE">
              <w:t>(8.0, 11.8)</w:t>
            </w:r>
          </w:p>
        </w:tc>
        <w:tc>
          <w:tcPr>
            <w:tcW w:w="530"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rPr>
                <w:lang w:eastAsia="en-AU"/>
              </w:rPr>
              <w:t>179/272</w:t>
            </w:r>
            <w:r w:rsidR="007C614C" w:rsidRPr="000E19AE">
              <w:rPr>
                <w:lang w:eastAsia="en-AU"/>
              </w:rPr>
              <w:t xml:space="preserve"> </w:t>
            </w:r>
            <w:r w:rsidRPr="000E19AE">
              <w:rPr>
                <w:lang w:eastAsia="en-AU"/>
              </w:rPr>
              <w:t>(52</w:t>
            </w:r>
            <w:r w:rsidR="007C614C" w:rsidRPr="000E19AE">
              <w:rPr>
                <w:lang w:eastAsia="en-AU"/>
              </w:rPr>
              <w:t>.0</w:t>
            </w:r>
            <w:r w:rsidRPr="000E19AE">
              <w:rPr>
                <w:lang w:eastAsia="en-AU"/>
              </w:rPr>
              <w:t>)</w:t>
            </w:r>
          </w:p>
        </w:tc>
        <w:tc>
          <w:tcPr>
            <w:tcW w:w="690"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rPr>
                <w:lang w:eastAsia="en-AU"/>
              </w:rPr>
              <w:t>7.4</w:t>
            </w:r>
            <w:r w:rsidR="004E69BB" w:rsidRPr="000E19AE">
              <w:rPr>
                <w:lang w:eastAsia="en-AU"/>
              </w:rPr>
              <w:br/>
            </w:r>
            <w:r w:rsidRPr="000E19AE">
              <w:rPr>
                <w:lang w:eastAsia="en-AU"/>
              </w:rPr>
              <w:t>(6.1, 8.3)</w:t>
            </w:r>
          </w:p>
        </w:tc>
        <w:tc>
          <w:tcPr>
            <w:tcW w:w="614"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rPr>
                <w:lang w:eastAsia="en-AU"/>
              </w:rPr>
              <w:t>+2.9</w:t>
            </w:r>
          </w:p>
        </w:tc>
        <w:tc>
          <w:tcPr>
            <w:tcW w:w="461"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rPr>
                <w:lang w:eastAsia="en-AU"/>
              </w:rPr>
              <w:t>0.00224</w:t>
            </w:r>
          </w:p>
        </w:tc>
        <w:tc>
          <w:tcPr>
            <w:tcW w:w="646" w:type="pct"/>
            <w:tcBorders>
              <w:top w:val="single" w:sz="4" w:space="0" w:color="auto"/>
              <w:left w:val="single" w:sz="4" w:space="0" w:color="auto"/>
              <w:bottom w:val="single" w:sz="4" w:space="0" w:color="auto"/>
              <w:right w:val="single" w:sz="4" w:space="0" w:color="auto"/>
            </w:tcBorders>
          </w:tcPr>
          <w:p w:rsidR="002F5B87" w:rsidRPr="000E19AE" w:rsidRDefault="00DA635D" w:rsidP="004E69BB">
            <w:pPr>
              <w:pStyle w:val="Tabletext0"/>
              <w:jc w:val="center"/>
              <w:rPr>
                <w:lang w:eastAsia="en-AU"/>
              </w:rPr>
            </w:pPr>
            <w:r w:rsidRPr="000E19AE">
              <w:rPr>
                <w:lang w:eastAsia="en-AU"/>
              </w:rPr>
              <w:t>0.73</w:t>
            </w:r>
            <w:r w:rsidRPr="000E19AE">
              <w:rPr>
                <w:lang w:eastAsia="en-AU"/>
              </w:rPr>
              <w:br/>
            </w:r>
            <w:r w:rsidR="002F5B87" w:rsidRPr="000E19AE">
              <w:rPr>
                <w:lang w:eastAsia="en-AU"/>
              </w:rPr>
              <w:t>(0.59, 0.91)</w:t>
            </w:r>
          </w:p>
        </w:tc>
      </w:tr>
      <w:tr w:rsidR="004E69BB" w:rsidRPr="000E19AE">
        <w:tc>
          <w:tcPr>
            <w:tcW w:w="504" w:type="pct"/>
            <w:tcBorders>
              <w:top w:val="single" w:sz="4" w:space="0" w:color="auto"/>
              <w:left w:val="single" w:sz="4" w:space="0" w:color="auto"/>
              <w:bottom w:val="single" w:sz="4" w:space="0" w:color="auto"/>
              <w:right w:val="single" w:sz="4" w:space="0" w:color="auto"/>
            </w:tcBorders>
          </w:tcPr>
          <w:p w:rsidR="00910F41" w:rsidRPr="000E19AE" w:rsidRDefault="00910F41" w:rsidP="00C17952">
            <w:pPr>
              <w:pStyle w:val="Tabletext0"/>
              <w:jc w:val="both"/>
              <w:rPr>
                <w:lang w:eastAsia="en-AU"/>
              </w:rPr>
            </w:pPr>
            <w:r w:rsidRPr="000E19AE">
              <w:rPr>
                <w:lang w:eastAsia="en-AU"/>
              </w:rPr>
              <w:t>Extended follow-up</w:t>
            </w:r>
          </w:p>
        </w:tc>
        <w:tc>
          <w:tcPr>
            <w:tcW w:w="778"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 ''''''''''</w:t>
            </w:r>
          </w:p>
        </w:tc>
        <w:tc>
          <w:tcPr>
            <w:tcW w:w="778"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rPr>
            </w:pPr>
            <w:r>
              <w:rPr>
                <w:noProof/>
                <w:color w:val="000000"/>
                <w:highlight w:val="black"/>
              </w:rPr>
              <w:t>'''''''''''</w:t>
            </w:r>
            <w:r>
              <w:rPr>
                <w:noProof/>
                <w:color w:val="000000"/>
                <w:highlight w:val="black"/>
              </w:rPr>
              <w:br/>
              <w:t>'''''''''' '''''''''''</w:t>
            </w:r>
          </w:p>
        </w:tc>
        <w:tc>
          <w:tcPr>
            <w:tcW w:w="530"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 '''''''''''''''</w:t>
            </w:r>
          </w:p>
        </w:tc>
        <w:tc>
          <w:tcPr>
            <w:tcW w:w="690"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r>
              <w:rPr>
                <w:noProof/>
                <w:color w:val="000000"/>
                <w:highlight w:val="black"/>
              </w:rPr>
              <w:br/>
              <w:t>'''''''''' '''''''''</w:t>
            </w:r>
          </w:p>
        </w:tc>
        <w:tc>
          <w:tcPr>
            <w:tcW w:w="614"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p>
        </w:tc>
        <w:tc>
          <w:tcPr>
            <w:tcW w:w="461"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r>
              <w:rPr>
                <w:noProof/>
                <w:color w:val="000000"/>
                <w:highlight w:val="black"/>
              </w:rPr>
              <w:br/>
              <w:t>'''''''''''''' '''''''''''''</w:t>
            </w:r>
          </w:p>
        </w:tc>
      </w:tr>
      <w:tr w:rsidR="002F5B87" w:rsidRPr="000E19AE">
        <w:tc>
          <w:tcPr>
            <w:tcW w:w="5000" w:type="pct"/>
            <w:gridSpan w:val="8"/>
            <w:tcBorders>
              <w:top w:val="single" w:sz="4" w:space="0" w:color="auto"/>
              <w:left w:val="single" w:sz="4" w:space="0" w:color="auto"/>
              <w:bottom w:val="single" w:sz="4" w:space="0" w:color="auto"/>
              <w:right w:val="single" w:sz="4" w:space="0" w:color="auto"/>
            </w:tcBorders>
          </w:tcPr>
          <w:p w:rsidR="002F5B87" w:rsidRPr="000E19AE" w:rsidRDefault="002F5B87" w:rsidP="004576EE">
            <w:pPr>
              <w:pStyle w:val="Tabletext0"/>
              <w:keepNext/>
              <w:keepLines/>
              <w:outlineLvl w:val="1"/>
              <w:rPr>
                <w:b/>
              </w:rPr>
            </w:pPr>
            <w:r w:rsidRPr="000E19AE">
              <w:rPr>
                <w:b/>
              </w:rPr>
              <w:t>Progression</w:t>
            </w:r>
            <w:r w:rsidR="004576EE">
              <w:rPr>
                <w:b/>
              </w:rPr>
              <w:t>-</w:t>
            </w:r>
            <w:r w:rsidRPr="000E19AE">
              <w:rPr>
                <w:b/>
              </w:rPr>
              <w:t>free survival</w:t>
            </w:r>
          </w:p>
        </w:tc>
      </w:tr>
      <w:tr w:rsidR="004E69BB" w:rsidRPr="000E19AE">
        <w:tc>
          <w:tcPr>
            <w:tcW w:w="504" w:type="pct"/>
            <w:tcBorders>
              <w:top w:val="single" w:sz="4" w:space="0" w:color="auto"/>
              <w:left w:val="single" w:sz="4" w:space="0" w:color="auto"/>
              <w:bottom w:val="single" w:sz="4" w:space="0" w:color="auto"/>
              <w:right w:val="single" w:sz="4" w:space="0" w:color="auto"/>
            </w:tcBorders>
          </w:tcPr>
          <w:p w:rsidR="002F5B87" w:rsidRPr="000E19AE" w:rsidRDefault="007C614C" w:rsidP="00C17952">
            <w:pPr>
              <w:pStyle w:val="Tabletext0"/>
              <w:jc w:val="both"/>
              <w:rPr>
                <w:lang w:eastAsia="en-AU"/>
              </w:rPr>
            </w:pPr>
            <w:r w:rsidRPr="000E19AE">
              <w:rPr>
                <w:lang w:eastAsia="en-AU"/>
              </w:rPr>
              <w:t>Second interim analysis</w:t>
            </w:r>
          </w:p>
        </w:tc>
        <w:tc>
          <w:tcPr>
            <w:tcW w:w="778"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t>218/270</w:t>
            </w:r>
            <w:r w:rsidR="007C614C" w:rsidRPr="000E19AE">
              <w:t xml:space="preserve"> </w:t>
            </w:r>
            <w:r w:rsidRPr="000E19AE">
              <w:t>(80.7)</w:t>
            </w:r>
          </w:p>
        </w:tc>
        <w:tc>
          <w:tcPr>
            <w:tcW w:w="778"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pPr>
            <w:r w:rsidRPr="000E19AE">
              <w:t>2.1</w:t>
            </w:r>
            <w:r w:rsidR="004E69BB" w:rsidRPr="000E19AE">
              <w:br/>
            </w:r>
            <w:r w:rsidRPr="000E19AE">
              <w:t>(2.0, 2.2)</w:t>
            </w:r>
          </w:p>
        </w:tc>
        <w:tc>
          <w:tcPr>
            <w:tcW w:w="530"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t>219/272 (80.5)</w:t>
            </w:r>
          </w:p>
        </w:tc>
        <w:tc>
          <w:tcPr>
            <w:tcW w:w="690"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t>3.3</w:t>
            </w:r>
            <w:r w:rsidR="004E69BB" w:rsidRPr="000E19AE">
              <w:br/>
            </w:r>
            <w:r w:rsidRPr="000E19AE">
              <w:t>(2.3, 3.5)</w:t>
            </w:r>
          </w:p>
        </w:tc>
        <w:tc>
          <w:tcPr>
            <w:tcW w:w="614"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t>-1.2</w:t>
            </w:r>
          </w:p>
        </w:tc>
        <w:tc>
          <w:tcPr>
            <w:tcW w:w="461" w:type="pct"/>
            <w:tcBorders>
              <w:top w:val="single" w:sz="4" w:space="0" w:color="auto"/>
              <w:left w:val="single" w:sz="4" w:space="0" w:color="auto"/>
              <w:bottom w:val="single" w:sz="4" w:space="0" w:color="auto"/>
              <w:right w:val="single" w:sz="4" w:space="0" w:color="auto"/>
            </w:tcBorders>
          </w:tcPr>
          <w:p w:rsidR="002F5B87" w:rsidRPr="000E19AE" w:rsidRDefault="002F5B87" w:rsidP="004E69BB">
            <w:pPr>
              <w:pStyle w:val="Tabletext0"/>
              <w:jc w:val="center"/>
              <w:rPr>
                <w:lang w:eastAsia="en-AU"/>
              </w:rPr>
            </w:pPr>
            <w:r w:rsidRPr="000E19AE">
              <w:t>NS</w:t>
            </w:r>
          </w:p>
        </w:tc>
        <w:tc>
          <w:tcPr>
            <w:tcW w:w="646" w:type="pct"/>
            <w:tcBorders>
              <w:top w:val="single" w:sz="4" w:space="0" w:color="auto"/>
              <w:left w:val="single" w:sz="4" w:space="0" w:color="auto"/>
              <w:bottom w:val="single" w:sz="4" w:space="0" w:color="auto"/>
              <w:right w:val="single" w:sz="4" w:space="0" w:color="auto"/>
            </w:tcBorders>
          </w:tcPr>
          <w:p w:rsidR="002F5B87" w:rsidRPr="000E19AE" w:rsidRDefault="00DA635D" w:rsidP="004E69BB">
            <w:pPr>
              <w:pStyle w:val="Tabletext0"/>
              <w:jc w:val="center"/>
              <w:rPr>
                <w:lang w:eastAsia="en-AU"/>
              </w:rPr>
            </w:pPr>
            <w:r w:rsidRPr="000E19AE">
              <w:t>0.98</w:t>
            </w:r>
            <w:r w:rsidRPr="000E19AE">
              <w:br/>
            </w:r>
            <w:r w:rsidR="002F5B87" w:rsidRPr="000E19AE">
              <w:t>(0.81, 1.19)</w:t>
            </w:r>
          </w:p>
        </w:tc>
      </w:tr>
      <w:tr w:rsidR="004E69BB" w:rsidRPr="000E19AE">
        <w:tc>
          <w:tcPr>
            <w:tcW w:w="504" w:type="pct"/>
            <w:tcBorders>
              <w:top w:val="single" w:sz="4" w:space="0" w:color="auto"/>
              <w:left w:val="single" w:sz="4" w:space="0" w:color="auto"/>
              <w:bottom w:val="single" w:sz="4" w:space="0" w:color="auto"/>
              <w:right w:val="single" w:sz="4" w:space="0" w:color="auto"/>
            </w:tcBorders>
          </w:tcPr>
          <w:p w:rsidR="00910F41" w:rsidRPr="000E19AE" w:rsidRDefault="00910F41" w:rsidP="00C17952">
            <w:pPr>
              <w:pStyle w:val="Tabletext0"/>
              <w:jc w:val="both"/>
              <w:rPr>
                <w:lang w:eastAsia="en-AU"/>
              </w:rPr>
            </w:pPr>
            <w:r w:rsidRPr="000E19AE">
              <w:t xml:space="preserve">Extended </w:t>
            </w:r>
            <w:r w:rsidR="00EB2839" w:rsidRPr="000E19AE">
              <w:t>follow-up</w:t>
            </w:r>
          </w:p>
        </w:tc>
        <w:tc>
          <w:tcPr>
            <w:tcW w:w="778"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 ''''''''''''''</w:t>
            </w:r>
          </w:p>
        </w:tc>
        <w:tc>
          <w:tcPr>
            <w:tcW w:w="778" w:type="pct"/>
            <w:tcBorders>
              <w:top w:val="single" w:sz="4" w:space="0" w:color="auto"/>
              <w:left w:val="single" w:sz="4" w:space="0" w:color="auto"/>
              <w:bottom w:val="single" w:sz="4" w:space="0" w:color="auto"/>
              <w:right w:val="single" w:sz="4" w:space="0" w:color="auto"/>
            </w:tcBorders>
          </w:tcPr>
          <w:p w:rsidR="00910F41" w:rsidRPr="001E368B" w:rsidRDefault="001E368B" w:rsidP="0014139B">
            <w:pPr>
              <w:pStyle w:val="Tabletext0"/>
              <w:jc w:val="center"/>
              <w:rPr>
                <w:highlight w:val="black"/>
              </w:rPr>
            </w:pPr>
            <w:r>
              <w:rPr>
                <w:noProof/>
                <w:color w:val="000000"/>
                <w:highlight w:val="black"/>
              </w:rPr>
              <w:t>'''''''''</w:t>
            </w:r>
            <w:r>
              <w:rPr>
                <w:noProof/>
                <w:color w:val="000000"/>
                <w:highlight w:val="black"/>
              </w:rPr>
              <w:br/>
              <w:t>'''''''''''''''''''''</w:t>
            </w:r>
          </w:p>
        </w:tc>
        <w:tc>
          <w:tcPr>
            <w:tcW w:w="530"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 '''''''''''''''</w:t>
            </w:r>
          </w:p>
        </w:tc>
        <w:tc>
          <w:tcPr>
            <w:tcW w:w="690"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r>
              <w:rPr>
                <w:noProof/>
                <w:color w:val="000000"/>
                <w:highlight w:val="black"/>
              </w:rPr>
              <w:br/>
              <w:t>''''''''''' ''''''''''</w:t>
            </w:r>
          </w:p>
        </w:tc>
        <w:tc>
          <w:tcPr>
            <w:tcW w:w="614"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p>
        </w:tc>
        <w:tc>
          <w:tcPr>
            <w:tcW w:w="461"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tcPr>
          <w:p w:rsidR="00910F41" w:rsidRPr="001E368B" w:rsidRDefault="001E368B" w:rsidP="004E69BB">
            <w:pPr>
              <w:pStyle w:val="Tabletext0"/>
              <w:jc w:val="center"/>
              <w:rPr>
                <w:highlight w:val="black"/>
                <w:lang w:eastAsia="en-AU"/>
              </w:rPr>
            </w:pPr>
            <w:r>
              <w:rPr>
                <w:noProof/>
                <w:color w:val="000000"/>
                <w:highlight w:val="black"/>
              </w:rPr>
              <w:t>''''''''''</w:t>
            </w:r>
            <w:r>
              <w:rPr>
                <w:noProof/>
                <w:color w:val="000000"/>
                <w:highlight w:val="black"/>
              </w:rPr>
              <w:br/>
              <w:t>''''''''''''' ''''''''''''</w:t>
            </w:r>
          </w:p>
        </w:tc>
      </w:tr>
    </w:tbl>
    <w:p w:rsidR="006E1F22" w:rsidRPr="000E19AE" w:rsidRDefault="002F5B87" w:rsidP="002F5B87">
      <w:pPr>
        <w:pStyle w:val="TableFooter"/>
      </w:pPr>
      <w:r w:rsidRPr="000E19AE">
        <w:t xml:space="preserve">Source: Table 2.14, p 46 </w:t>
      </w:r>
      <w:r w:rsidR="0012465E">
        <w:t xml:space="preserve">and </w:t>
      </w:r>
      <w:r w:rsidRPr="000E19AE">
        <w:t xml:space="preserve">Table 2.15, p 51 of </w:t>
      </w:r>
      <w:r w:rsidR="0012465E">
        <w:t xml:space="preserve">the </w:t>
      </w:r>
      <w:r w:rsidRPr="000E19AE">
        <w:t>submission.</w:t>
      </w:r>
    </w:p>
    <w:p w:rsidR="006E1F22" w:rsidRPr="000E19AE" w:rsidRDefault="002F5B87" w:rsidP="002F5B87">
      <w:pPr>
        <w:pStyle w:val="TableFooter"/>
      </w:pPr>
      <w:r w:rsidRPr="000E19AE">
        <w:t xml:space="preserve">Notes: KN045 Second interim data cut= September 7, 2016, Length of follow-up=14.5 months (median); Extended </w:t>
      </w:r>
      <w:r w:rsidR="00EB2839" w:rsidRPr="000E19AE">
        <w:t>follow-up</w:t>
      </w:r>
      <w:r w:rsidRPr="000E19AE">
        <w:t xml:space="preserve"> data cut January 18, 2017 = Length of follow-up=18.5 months (median)</w:t>
      </w:r>
      <w:r w:rsidR="006E1F22" w:rsidRPr="000E19AE">
        <w:t>.</w:t>
      </w:r>
    </w:p>
    <w:p w:rsidR="002F5B87" w:rsidRPr="000E19AE" w:rsidRDefault="002F5B87" w:rsidP="002F5B87">
      <w:pPr>
        <w:pStyle w:val="TableFooter"/>
      </w:pPr>
      <w:r w:rsidRPr="000E19AE">
        <w:t>Abbreviations: CI = confidence interval; HR = hazard ratio; ITT, intention to treat; n = number of participants with event; N = total participants in group; NR = not reported; OS = overall survival; SOC= active chemotherapy</w:t>
      </w:r>
    </w:p>
    <w:p w:rsidR="002F5B87" w:rsidRPr="000E19AE" w:rsidRDefault="00CE4A29" w:rsidP="00772501">
      <w:pPr>
        <w:pStyle w:val="TableHeading0"/>
      </w:pPr>
      <w:r w:rsidRPr="000E19AE">
        <w:t>Figure 1</w:t>
      </w:r>
      <w:r w:rsidR="00FF3008">
        <w:t>:</w:t>
      </w:r>
      <w:r w:rsidRPr="000E19AE">
        <w:t xml:space="preserve"> </w:t>
      </w:r>
      <w:r w:rsidR="00D627C1" w:rsidRPr="000E19AE">
        <w:t>Kaplan-</w:t>
      </w:r>
      <w:r w:rsidRPr="000E19AE">
        <w:t>Meier</w:t>
      </w:r>
      <w:r w:rsidR="00FF3008">
        <w:t xml:space="preserve"> plot of</w:t>
      </w:r>
      <w:r w:rsidRPr="000E19AE">
        <w:t xml:space="preserve"> </w:t>
      </w:r>
      <w:r w:rsidR="00FF3008">
        <w:t>o</w:t>
      </w:r>
      <w:r w:rsidRPr="000E19AE">
        <w:t xml:space="preserve">verall </w:t>
      </w:r>
      <w:r w:rsidR="00FF3008">
        <w:t>s</w:t>
      </w:r>
      <w:r w:rsidRPr="000E19AE">
        <w:t>urvival</w:t>
      </w:r>
    </w:p>
    <w:p w:rsidR="007A3DF1" w:rsidRPr="000E19AE" w:rsidRDefault="001E368B" w:rsidP="00772501">
      <w:pPr>
        <w:pStyle w:val="TableHeading0"/>
      </w:pPr>
      <w:r>
        <w:rPr>
          <w:noProof/>
          <w:lang w:eastAsia="en-AU"/>
        </w:rPr>
        <w:drawing>
          <wp:inline distT="0" distB="0" distL="0" distR="0">
            <wp:extent cx="5485765" cy="3923030"/>
            <wp:effectExtent l="0" t="0" r="635" b="127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5765" cy="3923030"/>
                    </a:xfrm>
                    <a:prstGeom prst="rect">
                      <a:avLst/>
                    </a:prstGeom>
                  </pic:spPr>
                </pic:pic>
              </a:graphicData>
            </a:graphic>
          </wp:inline>
        </w:drawing>
      </w:r>
    </w:p>
    <w:p w:rsidR="005D1A8F" w:rsidRPr="000E19AE" w:rsidRDefault="005D1A8F" w:rsidP="00F46306">
      <w:pPr>
        <w:pStyle w:val="TableFooter"/>
      </w:pPr>
      <w:r w:rsidRPr="000E19AE">
        <w:t xml:space="preserve">Source: p4 Att 11 of </w:t>
      </w:r>
      <w:r w:rsidR="0012465E">
        <w:t>the s</w:t>
      </w:r>
      <w:r w:rsidRPr="000E19AE">
        <w:t>ubmission</w:t>
      </w:r>
      <w:r w:rsidR="0012465E">
        <w:t>.</w:t>
      </w:r>
    </w:p>
    <w:p w:rsidR="00BA0FB0" w:rsidRPr="00B93493" w:rsidRDefault="008D4E34" w:rsidP="00C47FDA">
      <w:pPr>
        <w:pStyle w:val="ListParagraph"/>
        <w:numPr>
          <w:ilvl w:val="1"/>
          <w:numId w:val="19"/>
        </w:numPr>
        <w:jc w:val="both"/>
      </w:pPr>
      <w:r w:rsidRPr="00B93493">
        <w:t>The OS data indicated that more patients died in the pembrolizumab arm in the first 3 months of the trial when compared to SOC. The submission did not present any detailed analysis of this subgroup (patients who died within the first three months) or time</w:t>
      </w:r>
      <w:r w:rsidR="00665023" w:rsidRPr="00B93493">
        <w:t>-</w:t>
      </w:r>
      <w:r w:rsidRPr="00B93493">
        <w:t xml:space="preserve">period. </w:t>
      </w:r>
      <w:r w:rsidR="000219E4" w:rsidRPr="00B93493">
        <w:t xml:space="preserve">The PSCR (p4) provided the additional data </w:t>
      </w:r>
      <w:r w:rsidR="00BA0FB0" w:rsidRPr="00B93493">
        <w:t xml:space="preserve">requested by the TGA, </w:t>
      </w:r>
      <w:r w:rsidR="000219E4" w:rsidRPr="00B93493">
        <w:t>which showed no significant difference</w:t>
      </w:r>
      <w:r w:rsidR="00991B29" w:rsidRPr="00B93493">
        <w:t>s across treatment arms</w:t>
      </w:r>
      <w:r w:rsidR="000219E4" w:rsidRPr="00B93493">
        <w:t xml:space="preserve"> in baseline </w:t>
      </w:r>
      <w:r w:rsidR="000219E4" w:rsidRPr="00B93493">
        <w:lastRenderedPageBreak/>
        <w:t xml:space="preserve">characteristics for patients </w:t>
      </w:r>
      <w:r w:rsidR="00991B29" w:rsidRPr="00B93493">
        <w:t>who</w:t>
      </w:r>
      <w:r w:rsidR="000219E4" w:rsidRPr="00B93493">
        <w:t xml:space="preserve"> died in the first three months. </w:t>
      </w:r>
      <w:r w:rsidR="00994655">
        <w:t xml:space="preserve">The PBAC </w:t>
      </w:r>
      <w:r w:rsidR="009A401C">
        <w:t>agreed with</w:t>
      </w:r>
      <w:r w:rsidR="00994655">
        <w:t xml:space="preserve"> the </w:t>
      </w:r>
      <w:r w:rsidR="00BA0FB0" w:rsidRPr="00B93493">
        <w:t>ESC</w:t>
      </w:r>
      <w:r w:rsidR="00994655" w:rsidRPr="00B93493">
        <w:t xml:space="preserve"> </w:t>
      </w:r>
      <w:r w:rsidR="00BA0FB0" w:rsidRPr="00B93493">
        <w:t>that</w:t>
      </w:r>
      <w:r w:rsidR="0028794B">
        <w:t>,</w:t>
      </w:r>
      <w:r w:rsidR="00BA0FB0" w:rsidRPr="00B93493">
        <w:t xml:space="preserve"> </w:t>
      </w:r>
      <w:r w:rsidR="00205090" w:rsidRPr="00B93493">
        <w:t xml:space="preserve">while </w:t>
      </w:r>
      <w:r w:rsidR="00BA0FB0" w:rsidRPr="00B93493">
        <w:t>this was a r</w:t>
      </w:r>
      <w:r w:rsidR="00205090" w:rsidRPr="00B93493">
        <w:t xml:space="preserve">are, but serious, adverse event, </w:t>
      </w:r>
      <w:r w:rsidR="00BA0FB0" w:rsidRPr="00B93493">
        <w:t>these results should be considered with caution due to the low numbers</w:t>
      </w:r>
      <w:r w:rsidR="00FF3008" w:rsidRPr="00B93493">
        <w:t xml:space="preserve"> of deaths in this time period</w:t>
      </w:r>
      <w:r w:rsidR="00BA0FB0" w:rsidRPr="00B93493">
        <w:t>.</w:t>
      </w:r>
    </w:p>
    <w:p w:rsidR="008D4E34" w:rsidRPr="00B93493" w:rsidRDefault="008D4E34" w:rsidP="00C47FDA">
      <w:pPr>
        <w:pStyle w:val="ListParagraph"/>
        <w:numPr>
          <w:ilvl w:val="1"/>
          <w:numId w:val="19"/>
        </w:numPr>
        <w:jc w:val="both"/>
      </w:pPr>
      <w:r w:rsidRPr="00B93493">
        <w:t xml:space="preserve">The secondary endpoints </w:t>
      </w:r>
      <w:r w:rsidR="00665023" w:rsidRPr="00B93493">
        <w:t xml:space="preserve">(overall response rate and duration of response) </w:t>
      </w:r>
      <w:r w:rsidRPr="00B93493">
        <w:t>showed no significant difference between pembrolizumab and SOC, although the TGA clinical evaluator noted that the range of median time to response was greater in the pembrolizumab arm, indicating a greater time taken to achieve maximal effect. The TGA clinical evaluator stated that “this delayed effect may explain the poorer outcomes identified in those with more aggressive disease and inclusion of a PI statement to reflect this has been recommended” (T</w:t>
      </w:r>
      <w:r w:rsidR="00727EB5" w:rsidRPr="00B93493">
        <w:t>GA clinical evaluation report p</w:t>
      </w:r>
      <w:r w:rsidRPr="00B93493">
        <w:t>104).</w:t>
      </w:r>
    </w:p>
    <w:p w:rsidR="006E1F22" w:rsidRPr="00B93493" w:rsidRDefault="006E1F22" w:rsidP="00C47FDA">
      <w:pPr>
        <w:pStyle w:val="ListParagraph"/>
        <w:numPr>
          <w:ilvl w:val="1"/>
          <w:numId w:val="19"/>
        </w:numPr>
        <w:spacing w:before="0" w:after="120"/>
        <w:jc w:val="both"/>
      </w:pPr>
      <w:r w:rsidRPr="00B93493">
        <w:t xml:space="preserve">To justify its use of OS, PFS and </w:t>
      </w:r>
      <w:r w:rsidR="00D66401" w:rsidRPr="00B93493">
        <w:t>quality of life (</w:t>
      </w:r>
      <w:r w:rsidRPr="00B93493">
        <w:t>QOL</w:t>
      </w:r>
      <w:r w:rsidR="00D66401" w:rsidRPr="00B93493">
        <w:t>)</w:t>
      </w:r>
      <w:r w:rsidRPr="00B93493">
        <w:t xml:space="preserve"> estimates from the ITT population</w:t>
      </w:r>
      <w:r w:rsidR="004E69BB" w:rsidRPr="00B93493">
        <w:t>,</w:t>
      </w:r>
      <w:r w:rsidRPr="00B93493">
        <w:t xml:space="preserve"> the submission presented the whole population and a subgroup analysis to demonstrate non-inferiority of vinflunine compared with docetaxel and paclitaxel. This is appropriate; no claims in the submission relied on the outcomes of those subgroup analyses.</w:t>
      </w:r>
    </w:p>
    <w:p w:rsidR="005908E2" w:rsidRPr="00B93493" w:rsidRDefault="009E1208" w:rsidP="00C47FDA">
      <w:pPr>
        <w:pStyle w:val="ListParagraph"/>
        <w:numPr>
          <w:ilvl w:val="1"/>
          <w:numId w:val="19"/>
        </w:numPr>
        <w:jc w:val="both"/>
      </w:pPr>
      <w:r w:rsidRPr="00B93493">
        <w:t xml:space="preserve">A total of </w:t>
      </w:r>
      <w:r w:rsidR="00D627C1" w:rsidRPr="00B93493">
        <w:t xml:space="preserve">366 (67.5%) </w:t>
      </w:r>
      <w:r w:rsidRPr="00B93493">
        <w:t xml:space="preserve">deaths were observed among all </w:t>
      </w:r>
      <w:r w:rsidR="002A5649" w:rsidRPr="00B93493">
        <w:t xml:space="preserve">patients </w:t>
      </w:r>
      <w:r w:rsidRPr="00B93493">
        <w:t xml:space="preserve">in the ITT population as of the data cut-off date of </w:t>
      </w:r>
      <w:r w:rsidR="00D627C1" w:rsidRPr="00B93493">
        <w:t>January 18, 2017</w:t>
      </w:r>
      <w:r w:rsidRPr="00B93493">
        <w:t xml:space="preserve">. The median OS was 10.3 months (95% CI: 8.0, </w:t>
      </w:r>
      <w:r w:rsidR="00D627C1" w:rsidRPr="00B93493">
        <w:t>12.3</w:t>
      </w:r>
      <w:r w:rsidRPr="00B93493">
        <w:t>) in the pembrolizumab arm</w:t>
      </w:r>
      <w:r w:rsidR="00A4663B" w:rsidRPr="00B93493">
        <w:t xml:space="preserve"> </w:t>
      </w:r>
      <w:r w:rsidR="0014326E" w:rsidRPr="00B93493">
        <w:t>compared to</w:t>
      </w:r>
      <w:r w:rsidRPr="00B93493">
        <w:t xml:space="preserve"> 7.4 months (95% CI: 6.</w:t>
      </w:r>
      <w:r w:rsidR="00D627C1" w:rsidRPr="00B93493">
        <w:t>3</w:t>
      </w:r>
      <w:r w:rsidRPr="00B93493">
        <w:t>, 8.</w:t>
      </w:r>
      <w:r w:rsidR="00D627C1" w:rsidRPr="00B93493">
        <w:t>1</w:t>
      </w:r>
      <w:r w:rsidRPr="00B93493">
        <w:t xml:space="preserve">) in the </w:t>
      </w:r>
      <w:r w:rsidR="00D66401" w:rsidRPr="00B93493">
        <w:t>SOC</w:t>
      </w:r>
      <w:r w:rsidRPr="00B93493">
        <w:t xml:space="preserve"> arm. The HR for OS was 0.</w:t>
      </w:r>
      <w:r w:rsidR="00D627C1" w:rsidRPr="00B93493">
        <w:t xml:space="preserve">70 </w:t>
      </w:r>
      <w:r w:rsidRPr="00B93493">
        <w:t>(95% CI: 0.</w:t>
      </w:r>
      <w:r w:rsidR="00D627C1" w:rsidRPr="00B93493">
        <w:t>57</w:t>
      </w:r>
      <w:r w:rsidRPr="00B93493">
        <w:t>, 0.</w:t>
      </w:r>
      <w:r w:rsidR="00D627C1" w:rsidRPr="00B93493">
        <w:t>86</w:t>
      </w:r>
      <w:r w:rsidRPr="00B93493">
        <w:t>), with a one</w:t>
      </w:r>
      <w:r w:rsidR="00205090" w:rsidRPr="00B93493">
        <w:noBreakHyphen/>
      </w:r>
      <w:r w:rsidRPr="00B93493">
        <w:t>sided p-value of 0.</w:t>
      </w:r>
      <w:r w:rsidR="00D627C1" w:rsidRPr="00B93493">
        <w:t xml:space="preserve">0004 </w:t>
      </w:r>
      <w:r w:rsidRPr="00B93493">
        <w:t xml:space="preserve">in favour of pembrolizumab. The median (range) follow-up duration for all </w:t>
      </w:r>
      <w:r w:rsidR="002A5649" w:rsidRPr="00B93493">
        <w:t>patients</w:t>
      </w:r>
      <w:r w:rsidRPr="00B93493">
        <w:t xml:space="preserve"> in</w:t>
      </w:r>
      <w:r w:rsidR="00A43130" w:rsidRPr="00B93493">
        <w:t xml:space="preserve"> the </w:t>
      </w:r>
      <w:r w:rsidRPr="00B93493">
        <w:t xml:space="preserve">ITT population was </w:t>
      </w:r>
      <w:r w:rsidR="00C645C6" w:rsidRPr="00B93493">
        <w:t>18.5</w:t>
      </w:r>
      <w:r w:rsidRPr="00B93493">
        <w:t xml:space="preserve"> months</w:t>
      </w:r>
      <w:r w:rsidR="00C645C6" w:rsidRPr="00B93493">
        <w:t xml:space="preserve"> (range: 14.2 to 26.5)</w:t>
      </w:r>
      <w:r w:rsidR="00FF3008" w:rsidRPr="00B93493">
        <w:t>.</w:t>
      </w:r>
    </w:p>
    <w:p w:rsidR="00FF3008" w:rsidRPr="00B93493" w:rsidRDefault="006E1F22" w:rsidP="00C47FDA">
      <w:pPr>
        <w:pStyle w:val="ListParagraph"/>
        <w:numPr>
          <w:ilvl w:val="1"/>
          <w:numId w:val="19"/>
        </w:numPr>
        <w:jc w:val="both"/>
      </w:pPr>
      <w:r w:rsidRPr="00B93493">
        <w:t xml:space="preserve">The Kaplan-Meier analysis for PFS is presented in Figure 2. A total of 437 PFS events were reported at the time of the </w:t>
      </w:r>
      <w:r w:rsidR="002A5649" w:rsidRPr="00B93493">
        <w:t xml:space="preserve">second interim </w:t>
      </w:r>
      <w:r w:rsidRPr="00B93493">
        <w:t>data cut-off. The median PFS was 2.1 months (95% CI: 2.0, 2.2) in the pembrolizumab arm compared with 3.3 months (95% CI: 2.3, 3.5) in the SOC arm (HR = 0.98 [</w:t>
      </w:r>
      <w:r w:rsidR="007C66BD" w:rsidRPr="00B93493">
        <w:t xml:space="preserve">95% CI: </w:t>
      </w:r>
      <w:r w:rsidRPr="00B93493">
        <w:t xml:space="preserve">0.81, 1.19]; p=0.416). These data indicated that pembrolizumab may be numerically inferior to SOC with respect to PFS. While the </w:t>
      </w:r>
      <w:r w:rsidR="00A661E5" w:rsidRPr="00B93493">
        <w:t>hazard ratio</w:t>
      </w:r>
      <w:r w:rsidRPr="00B93493">
        <w:t xml:space="preserve"> was not statistically significant, the 95% confidence intervals on median PFS d</w:t>
      </w:r>
      <w:r w:rsidR="00A661E5" w:rsidRPr="00B93493">
        <w:t>id</w:t>
      </w:r>
      <w:r w:rsidRPr="00B93493">
        <w:t xml:space="preserve"> not overlap. In the pembrolizumab arm, a proportion of patients who progress</w:t>
      </w:r>
      <w:r w:rsidR="009926DB" w:rsidRPr="00B93493">
        <w:t>ed</w:t>
      </w:r>
      <w:r w:rsidRPr="00B93493">
        <w:t xml:space="preserve"> earlier, also die</w:t>
      </w:r>
      <w:r w:rsidR="009926DB" w:rsidRPr="00B93493">
        <w:t>d</w:t>
      </w:r>
      <w:r w:rsidRPr="00B93493">
        <w:t xml:space="preserve"> earlier, as i</w:t>
      </w:r>
      <w:r w:rsidR="00FF3008" w:rsidRPr="00B93493">
        <w:t>ndicated by the OS curve above.</w:t>
      </w:r>
    </w:p>
    <w:p w:rsidR="00CE4A29" w:rsidRPr="000E19AE" w:rsidRDefault="00CE4A29" w:rsidP="00FF3008">
      <w:pPr>
        <w:pStyle w:val="TableHeading0"/>
      </w:pPr>
      <w:r w:rsidRPr="000E19AE">
        <w:lastRenderedPageBreak/>
        <w:t xml:space="preserve">Figure </w:t>
      </w:r>
      <w:r w:rsidR="00AA1D35" w:rsidRPr="000E19AE">
        <w:t>2</w:t>
      </w:r>
      <w:r w:rsidR="00FF3008">
        <w:t>:</w:t>
      </w:r>
      <w:r w:rsidRPr="000E19AE">
        <w:t xml:space="preserve"> Kaplan Meier</w:t>
      </w:r>
      <w:r w:rsidR="00FF3008">
        <w:t xml:space="preserve"> plot of</w:t>
      </w:r>
      <w:r w:rsidRPr="000E19AE">
        <w:t xml:space="preserve"> </w:t>
      </w:r>
      <w:r w:rsidR="00FF3008">
        <w:t>p</w:t>
      </w:r>
      <w:r w:rsidRPr="000E19AE">
        <w:t>rogression</w:t>
      </w:r>
      <w:r w:rsidR="004576EE">
        <w:t>-</w:t>
      </w:r>
      <w:r w:rsidR="00FF3008">
        <w:t>f</w:t>
      </w:r>
      <w:r w:rsidRPr="000E19AE">
        <w:t xml:space="preserve">ree </w:t>
      </w:r>
      <w:r w:rsidR="00FF3008">
        <w:t>s</w:t>
      </w:r>
      <w:r w:rsidRPr="000E19AE">
        <w:t>urvival</w:t>
      </w:r>
    </w:p>
    <w:p w:rsidR="00CE4A29" w:rsidRPr="000E19AE" w:rsidRDefault="00CE4A29" w:rsidP="00772501">
      <w:pPr>
        <w:pStyle w:val="TableHeading0"/>
      </w:pPr>
      <w:r w:rsidRPr="000E19AE">
        <w:rPr>
          <w:noProof/>
          <w:lang w:eastAsia="en-AU"/>
        </w:rPr>
        <w:drawing>
          <wp:inline distT="0" distB="0" distL="0" distR="0" wp14:anchorId="0C1CB768" wp14:editId="374AF4C4">
            <wp:extent cx="5652135" cy="3657600"/>
            <wp:effectExtent l="0" t="0" r="5715" b="0"/>
            <wp:docPr id="34" name="Picture 34" title="Figure 2: Kaplan Meier plot of progression-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4135" cy="3665365"/>
                    </a:xfrm>
                    <a:prstGeom prst="rect">
                      <a:avLst/>
                    </a:prstGeom>
                  </pic:spPr>
                </pic:pic>
              </a:graphicData>
            </a:graphic>
          </wp:inline>
        </w:drawing>
      </w:r>
    </w:p>
    <w:p w:rsidR="000C17D3" w:rsidRPr="00B93493" w:rsidRDefault="00CE4A29" w:rsidP="00C47FDA">
      <w:pPr>
        <w:pStyle w:val="ListParagraph"/>
        <w:numPr>
          <w:ilvl w:val="1"/>
          <w:numId w:val="19"/>
        </w:numPr>
        <w:spacing w:before="0" w:after="120"/>
        <w:jc w:val="both"/>
      </w:pPr>
      <w:r w:rsidRPr="00B93493">
        <w:t>The</w:t>
      </w:r>
      <w:r w:rsidR="00D91AAF" w:rsidRPr="00B93493">
        <w:t xml:space="preserve"> results from KN045 show a statistically significant difference in OS in favour of pembrolizumab, but no statistically significant difference in PFS. This apparent disparity </w:t>
      </w:r>
      <w:r w:rsidR="00955365" w:rsidRPr="00B93493">
        <w:t xml:space="preserve">in efficacy </w:t>
      </w:r>
      <w:r w:rsidR="00D91AAF" w:rsidRPr="00B93493">
        <w:t>may be due to the manner in which PFS has been assessed in this study; the</w:t>
      </w:r>
      <w:r w:rsidRPr="00B93493">
        <w:t xml:space="preserve">re is some discussion in the literature on the appropriateness of RECIST 1.1 criteria to accurately measure progression in </w:t>
      </w:r>
      <w:r w:rsidR="006832D2" w:rsidRPr="00B93493">
        <w:t xml:space="preserve">patients receiving </w:t>
      </w:r>
      <w:r w:rsidRPr="00B93493">
        <w:t xml:space="preserve">immunotherapy. </w:t>
      </w:r>
      <w:r w:rsidR="003F08D3" w:rsidRPr="00B93493">
        <w:rPr>
          <w:rFonts w:eastAsiaTheme="majorEastAsia" w:cstheme="majorBidi"/>
        </w:rPr>
        <w:t xml:space="preserve">The PSCR (p2) </w:t>
      </w:r>
      <w:r w:rsidR="00BA0FB0" w:rsidRPr="00B93493">
        <w:rPr>
          <w:rFonts w:eastAsiaTheme="majorEastAsia" w:cstheme="majorBidi"/>
        </w:rPr>
        <w:t xml:space="preserve">referred to a secondary analysis that was performed in the trial based on modified RECIST criteria (CSR p 312), which included a confirmatory assessment of progression. Compared with the primary analysis, the hazard ratio for PFS improved only slightly from 0.98 </w:t>
      </w:r>
      <w:r w:rsidR="0028794B" w:rsidRPr="00B93493">
        <w:t xml:space="preserve">(95% CI: </w:t>
      </w:r>
      <w:r w:rsidR="00BA0FB0" w:rsidRPr="00B93493">
        <w:rPr>
          <w:rFonts w:eastAsiaTheme="majorEastAsia" w:cstheme="majorBidi"/>
        </w:rPr>
        <w:t>0.81, 1.19</w:t>
      </w:r>
      <w:r w:rsidR="0028794B">
        <w:rPr>
          <w:rFonts w:eastAsiaTheme="majorEastAsia" w:cstheme="majorBidi"/>
        </w:rPr>
        <w:t>)</w:t>
      </w:r>
      <w:r w:rsidR="00BA0FB0" w:rsidRPr="00B93493">
        <w:rPr>
          <w:rFonts w:eastAsiaTheme="majorEastAsia" w:cstheme="majorBidi"/>
        </w:rPr>
        <w:t xml:space="preserve"> to </w:t>
      </w:r>
      <w:r w:rsidR="001E368B">
        <w:rPr>
          <w:rFonts w:eastAsiaTheme="majorEastAsia" w:cstheme="majorBidi"/>
          <w:noProof/>
          <w:color w:val="000000"/>
          <w:highlight w:val="black"/>
        </w:rPr>
        <w:t>''''''''</w:t>
      </w:r>
      <w:r w:rsidR="00BA0FB0" w:rsidRPr="00B93493">
        <w:rPr>
          <w:rFonts w:eastAsiaTheme="majorEastAsia" w:cstheme="majorBidi"/>
        </w:rPr>
        <w:t xml:space="preserve"> </w:t>
      </w:r>
      <w:r w:rsidR="0028794B" w:rsidRPr="00B93493">
        <w:t xml:space="preserve">(95% CI: </w:t>
      </w:r>
      <w:r w:rsidR="001E368B">
        <w:rPr>
          <w:rFonts w:eastAsiaTheme="majorEastAsia" w:cstheme="majorBidi"/>
          <w:noProof/>
          <w:color w:val="000000"/>
          <w:highlight w:val="black"/>
        </w:rPr>
        <w:t>''''''''' ''''''''</w:t>
      </w:r>
      <w:r w:rsidR="0028794B">
        <w:rPr>
          <w:rFonts w:eastAsiaTheme="majorEastAsia" w:cstheme="majorBidi"/>
        </w:rPr>
        <w:t>)</w:t>
      </w:r>
      <w:r w:rsidR="00BA0FB0" w:rsidRPr="00B93493">
        <w:rPr>
          <w:rFonts w:eastAsiaTheme="majorEastAsia" w:cstheme="majorBidi"/>
        </w:rPr>
        <w:t xml:space="preserve"> which </w:t>
      </w:r>
      <w:r w:rsidR="00FF3008" w:rsidRPr="00B93493">
        <w:rPr>
          <w:rFonts w:eastAsiaTheme="majorEastAsia" w:cstheme="majorBidi"/>
        </w:rPr>
        <w:t>suggested</w:t>
      </w:r>
      <w:r w:rsidR="00BA0FB0" w:rsidRPr="00B93493">
        <w:rPr>
          <w:rFonts w:eastAsiaTheme="majorEastAsia" w:cstheme="majorBidi"/>
        </w:rPr>
        <w:t xml:space="preserve"> that pseudoprogression d</w:t>
      </w:r>
      <w:r w:rsidR="00FF3008" w:rsidRPr="00B93493">
        <w:rPr>
          <w:rFonts w:eastAsiaTheme="majorEastAsia" w:cstheme="majorBidi"/>
        </w:rPr>
        <w:t>id</w:t>
      </w:r>
      <w:r w:rsidR="00BA0FB0" w:rsidRPr="00B93493">
        <w:rPr>
          <w:rFonts w:eastAsiaTheme="majorEastAsia" w:cstheme="majorBidi"/>
        </w:rPr>
        <w:t xml:space="preserve"> not hav</w:t>
      </w:r>
      <w:r w:rsidR="0028794B">
        <w:rPr>
          <w:rFonts w:eastAsiaTheme="majorEastAsia" w:cstheme="majorBidi"/>
        </w:rPr>
        <w:t>e</w:t>
      </w:r>
      <w:r w:rsidR="00BA0FB0" w:rsidRPr="00B93493">
        <w:rPr>
          <w:rFonts w:eastAsiaTheme="majorEastAsia" w:cstheme="majorBidi"/>
        </w:rPr>
        <w:t xml:space="preserve"> a significant impact on PFS</w:t>
      </w:r>
      <w:r w:rsidR="003F08D3" w:rsidRPr="00B93493">
        <w:rPr>
          <w:rFonts w:eastAsiaTheme="majorEastAsia" w:cstheme="majorBidi"/>
        </w:rPr>
        <w:t xml:space="preserve">. The </w:t>
      </w:r>
      <w:r w:rsidR="005336D8">
        <w:rPr>
          <w:rFonts w:eastAsiaTheme="majorEastAsia" w:cstheme="majorBidi"/>
        </w:rPr>
        <w:t xml:space="preserve">PBAC </w:t>
      </w:r>
      <w:r w:rsidR="00BA0FB0" w:rsidRPr="00B93493">
        <w:rPr>
          <w:rFonts w:eastAsiaTheme="majorEastAsia" w:cstheme="majorBidi"/>
        </w:rPr>
        <w:t>noted the difficult</w:t>
      </w:r>
      <w:r w:rsidR="00FF3008" w:rsidRPr="00B93493">
        <w:rPr>
          <w:rFonts w:eastAsiaTheme="majorEastAsia" w:cstheme="majorBidi"/>
        </w:rPr>
        <w:t>y</w:t>
      </w:r>
      <w:r w:rsidR="00BA0FB0" w:rsidRPr="00B93493">
        <w:rPr>
          <w:rFonts w:eastAsiaTheme="majorEastAsia" w:cstheme="majorBidi"/>
        </w:rPr>
        <w:t xml:space="preserve"> in using the RECIST criteria for this class of agents and </w:t>
      </w:r>
      <w:r w:rsidR="003F08D3" w:rsidRPr="00B93493">
        <w:rPr>
          <w:rFonts w:eastAsiaTheme="majorEastAsia" w:cstheme="majorBidi"/>
        </w:rPr>
        <w:t xml:space="preserve">considered that PFS </w:t>
      </w:r>
      <w:r w:rsidR="0028794B">
        <w:rPr>
          <w:rFonts w:eastAsiaTheme="majorEastAsia" w:cstheme="majorBidi"/>
        </w:rPr>
        <w:t xml:space="preserve">based on usual criteria </w:t>
      </w:r>
      <w:r w:rsidR="003F08D3" w:rsidRPr="00B93493">
        <w:rPr>
          <w:rFonts w:eastAsiaTheme="majorEastAsia" w:cstheme="majorBidi"/>
        </w:rPr>
        <w:t>appeared a less useful endpoint</w:t>
      </w:r>
      <w:r w:rsidR="00BA0FB0" w:rsidRPr="00B93493">
        <w:rPr>
          <w:rFonts w:eastAsiaTheme="majorEastAsia" w:cstheme="majorBidi"/>
        </w:rPr>
        <w:t xml:space="preserve"> in this setting</w:t>
      </w:r>
      <w:r w:rsidR="003F08D3" w:rsidRPr="00B93493">
        <w:rPr>
          <w:rFonts w:eastAsiaTheme="majorEastAsia" w:cstheme="majorBidi"/>
        </w:rPr>
        <w:t>.</w:t>
      </w:r>
    </w:p>
    <w:p w:rsidR="00CE4A29" w:rsidRPr="00B93493" w:rsidRDefault="00F717AF" w:rsidP="00C47FDA">
      <w:pPr>
        <w:pStyle w:val="ListParagraph"/>
        <w:numPr>
          <w:ilvl w:val="1"/>
          <w:numId w:val="19"/>
        </w:numPr>
        <w:spacing w:before="0" w:after="120"/>
        <w:jc w:val="both"/>
      </w:pPr>
      <w:r w:rsidRPr="00B93493">
        <w:t xml:space="preserve">The TGA </w:t>
      </w:r>
      <w:r w:rsidR="0066409A" w:rsidRPr="00B93493">
        <w:t xml:space="preserve">clinical evaluator </w:t>
      </w:r>
      <w:r w:rsidRPr="00B93493">
        <w:t xml:space="preserve">noted that the PI for pembrolizumab contains advice regarding continuing treatment beyond progression based on ‘pseudoprogression’. The TGA </w:t>
      </w:r>
      <w:r w:rsidR="0066409A" w:rsidRPr="00B93493">
        <w:t xml:space="preserve">clinical evaluator </w:t>
      </w:r>
      <w:r w:rsidRPr="00B93493">
        <w:t xml:space="preserve">has requested </w:t>
      </w:r>
      <w:r w:rsidR="007C66BD" w:rsidRPr="00B93493">
        <w:t xml:space="preserve">that the sponsor </w:t>
      </w:r>
      <w:r w:rsidRPr="00B93493">
        <w:t xml:space="preserve">“provide any data from this trial that clearly supports demonstration of any such </w:t>
      </w:r>
      <w:r w:rsidR="00417FAB" w:rsidRPr="00B93493">
        <w:t>benefit</w:t>
      </w:r>
      <w:r w:rsidRPr="00B93493">
        <w:t xml:space="preserve"> and in particular any PRs </w:t>
      </w:r>
      <w:r w:rsidR="000C17D3" w:rsidRPr="00B93493">
        <w:t xml:space="preserve">[partial responses] </w:t>
      </w:r>
      <w:r w:rsidRPr="00B93493">
        <w:t>or CRs</w:t>
      </w:r>
      <w:r w:rsidR="000C17D3" w:rsidRPr="00B93493">
        <w:t xml:space="preserve"> [complete responses]</w:t>
      </w:r>
      <w:r w:rsidRPr="00B93493">
        <w:t>. In the absence of evidence, the PI should not recommend continuation beyond progression in this population and a specific statement should be included in the Clinical Trials and Dosage and Administration section advising no CRs or PRs</w:t>
      </w:r>
      <w:r w:rsidR="001F3F9C" w:rsidRPr="00B93493">
        <w:t xml:space="preserve"> </w:t>
      </w:r>
      <w:r w:rsidRPr="00B93493">
        <w:t>have been observed to balance the decision” (TGA clinical evaluator report, p91)</w:t>
      </w:r>
      <w:r w:rsidR="007C66BD" w:rsidRPr="00B93493">
        <w:t>.</w:t>
      </w:r>
    </w:p>
    <w:p w:rsidR="00B65FDD" w:rsidRPr="00B93493" w:rsidRDefault="00B65FDD" w:rsidP="00C47FDA">
      <w:pPr>
        <w:pStyle w:val="ListParagraph"/>
        <w:numPr>
          <w:ilvl w:val="1"/>
          <w:numId w:val="19"/>
        </w:numPr>
        <w:jc w:val="both"/>
        <w:rPr>
          <w:color w:val="000000" w:themeColor="text1"/>
        </w:rPr>
      </w:pPr>
      <w:r w:rsidRPr="00B93493">
        <w:rPr>
          <w:color w:val="000000" w:themeColor="text1"/>
        </w:rPr>
        <w:t>The key efficacy results for KN045 were also tested for potential treatment effect modification arising due to a number of factors, including (but not limited to) PD-L1 expressi</w:t>
      </w:r>
      <w:r w:rsidR="00FC20DB" w:rsidRPr="00B93493">
        <w:rPr>
          <w:color w:val="000000" w:themeColor="text1"/>
        </w:rPr>
        <w:t>on and age</w:t>
      </w:r>
      <w:r w:rsidRPr="00B93493">
        <w:rPr>
          <w:color w:val="000000" w:themeColor="text1"/>
        </w:rPr>
        <w:t>. As an inhibitor of PD-1, there is biological plausibility to test for the potential treatment effect modification for pembrolizumab arising from PD-L1</w:t>
      </w:r>
      <w:r w:rsidR="00955365" w:rsidRPr="00B93493">
        <w:rPr>
          <w:color w:val="000000" w:themeColor="text1"/>
        </w:rPr>
        <w:t xml:space="preserve"> expression</w:t>
      </w:r>
      <w:r w:rsidRPr="00B93493">
        <w:rPr>
          <w:color w:val="000000" w:themeColor="text1"/>
        </w:rPr>
        <w:t>. This was tested using pre</w:t>
      </w:r>
      <w:r w:rsidR="003F7B01" w:rsidRPr="00B93493">
        <w:rPr>
          <w:color w:val="000000" w:themeColor="text1"/>
        </w:rPr>
        <w:noBreakHyphen/>
      </w:r>
      <w:r w:rsidRPr="00B93493">
        <w:rPr>
          <w:color w:val="000000" w:themeColor="text1"/>
        </w:rPr>
        <w:t xml:space="preserve">specified cut-offs for stratifications for PD-L1 expression (1% and 10%). The analyses were adjusted for multiplicity, but </w:t>
      </w:r>
      <w:r w:rsidR="00D24DF7" w:rsidRPr="00B93493">
        <w:rPr>
          <w:color w:val="000000" w:themeColor="text1"/>
        </w:rPr>
        <w:t>were</w:t>
      </w:r>
      <w:r w:rsidRPr="00B93493">
        <w:rPr>
          <w:color w:val="000000" w:themeColor="text1"/>
        </w:rPr>
        <w:t xml:space="preserve"> not include</w:t>
      </w:r>
      <w:r w:rsidR="00D24DF7" w:rsidRPr="00B93493">
        <w:rPr>
          <w:color w:val="000000" w:themeColor="text1"/>
        </w:rPr>
        <w:t>d</w:t>
      </w:r>
      <w:r w:rsidRPr="00B93493">
        <w:rPr>
          <w:color w:val="000000" w:themeColor="text1"/>
        </w:rPr>
        <w:t xml:space="preserve"> within strata tests for intera</w:t>
      </w:r>
      <w:r w:rsidR="00FF3008" w:rsidRPr="00B93493">
        <w:rPr>
          <w:color w:val="000000" w:themeColor="text1"/>
        </w:rPr>
        <w:t>ction or comparisons of effect.</w:t>
      </w:r>
    </w:p>
    <w:p w:rsidR="00B65FDD" w:rsidRPr="00B93493" w:rsidRDefault="00B65FDD" w:rsidP="00C47FDA">
      <w:pPr>
        <w:pStyle w:val="ListParagraph"/>
        <w:numPr>
          <w:ilvl w:val="1"/>
          <w:numId w:val="19"/>
        </w:numPr>
        <w:jc w:val="both"/>
        <w:rPr>
          <w:color w:val="000000" w:themeColor="text1"/>
        </w:rPr>
      </w:pPr>
      <w:r w:rsidRPr="00B93493">
        <w:rPr>
          <w:color w:val="000000" w:themeColor="text1"/>
        </w:rPr>
        <w:t>The results suggest</w:t>
      </w:r>
      <w:r w:rsidR="00955365" w:rsidRPr="00B93493">
        <w:rPr>
          <w:color w:val="000000" w:themeColor="text1"/>
        </w:rPr>
        <w:t>ed</w:t>
      </w:r>
      <w:r w:rsidRPr="00B93493">
        <w:rPr>
          <w:color w:val="000000" w:themeColor="text1"/>
        </w:rPr>
        <w:t xml:space="preserve"> a numerically lower, and non-significant, OS benefit in patients with PD-L1 expression below each cut-point </w:t>
      </w:r>
      <w:r w:rsidR="00955365" w:rsidRPr="00B93493">
        <w:rPr>
          <w:color w:val="000000" w:themeColor="text1"/>
        </w:rPr>
        <w:t>(see</w:t>
      </w:r>
      <w:r w:rsidRPr="00B93493">
        <w:rPr>
          <w:color w:val="000000" w:themeColor="text1"/>
        </w:rPr>
        <w:t xml:space="preserve"> Table 8</w:t>
      </w:r>
      <w:r w:rsidR="00955365" w:rsidRPr="00B93493">
        <w:rPr>
          <w:color w:val="000000" w:themeColor="text1"/>
        </w:rPr>
        <w:t>)</w:t>
      </w:r>
      <w:r w:rsidRPr="00B93493">
        <w:rPr>
          <w:color w:val="000000" w:themeColor="text1"/>
        </w:rPr>
        <w:t>. A similar outcome was observed for PFS. No statistics were provided reporting on differences within strata for either outcome, although it is noted that the 95% CI overlap within strata. While analyses by PD-L1 were pre-specified in the trial, a protocol modification occurred after recruitment of patients based on external data. This resulted in new objective hypotheses and efficacy endpoints and meant that there was an imbalance in the stratification based on PD-L1 expression. On this basis, any conclusions based on PD</w:t>
      </w:r>
      <w:r w:rsidR="00195361" w:rsidRPr="00B93493">
        <w:rPr>
          <w:color w:val="000000" w:themeColor="text1"/>
        </w:rPr>
        <w:noBreakHyphen/>
      </w:r>
      <w:r w:rsidRPr="00B93493">
        <w:rPr>
          <w:color w:val="000000" w:themeColor="text1"/>
        </w:rPr>
        <w:t>L1 status should be considered with caution, and</w:t>
      </w:r>
      <w:r w:rsidR="00360C08" w:rsidRPr="00B93493">
        <w:rPr>
          <w:color w:val="000000" w:themeColor="text1"/>
        </w:rPr>
        <w:t xml:space="preserve"> the </w:t>
      </w:r>
      <w:r w:rsidR="00E4234A">
        <w:rPr>
          <w:color w:val="000000" w:themeColor="text1"/>
        </w:rPr>
        <w:t xml:space="preserve">PBAC agreed with the </w:t>
      </w:r>
      <w:r w:rsidR="00360C08" w:rsidRPr="00B93493">
        <w:rPr>
          <w:color w:val="000000" w:themeColor="text1"/>
        </w:rPr>
        <w:t xml:space="preserve">ESC </w:t>
      </w:r>
      <w:r w:rsidR="00820F41">
        <w:rPr>
          <w:color w:val="000000" w:themeColor="text1"/>
        </w:rPr>
        <w:t>that</w:t>
      </w:r>
      <w:r w:rsidR="00820F41" w:rsidRPr="00B93493">
        <w:rPr>
          <w:color w:val="000000" w:themeColor="text1"/>
        </w:rPr>
        <w:t xml:space="preserve"> </w:t>
      </w:r>
      <w:r w:rsidRPr="00B93493">
        <w:rPr>
          <w:color w:val="000000" w:themeColor="text1"/>
        </w:rPr>
        <w:t>the results suggest that there was no strong signal to consider selecting patients for treatment with pembrolizumab on the basis of PD</w:t>
      </w:r>
      <w:r w:rsidR="00117CE4">
        <w:rPr>
          <w:color w:val="000000" w:themeColor="text1"/>
        </w:rPr>
        <w:t>-</w:t>
      </w:r>
      <w:r w:rsidR="00FF3008" w:rsidRPr="00B93493">
        <w:rPr>
          <w:color w:val="000000" w:themeColor="text1"/>
        </w:rPr>
        <w:t>L1 expression.</w:t>
      </w:r>
    </w:p>
    <w:p w:rsidR="00B65FDD" w:rsidRPr="00276348" w:rsidRDefault="00B65FDD" w:rsidP="00276348">
      <w:pPr>
        <w:pStyle w:val="TableHeading0"/>
      </w:pPr>
      <w:r w:rsidRPr="00276348">
        <w:t>Table 8: Summary results of progression</w:t>
      </w:r>
      <w:r w:rsidR="004576EE" w:rsidRPr="00276348">
        <w:t>-</w:t>
      </w:r>
      <w:r w:rsidRPr="00276348">
        <w:t>free survival and overall survival, b</w:t>
      </w:r>
      <w:r w:rsidR="00FF3008" w:rsidRPr="00276348">
        <w:t>y PD-L1 expression</w:t>
      </w:r>
    </w:p>
    <w:tbl>
      <w:tblPr>
        <w:tblStyle w:val="TableGrid"/>
        <w:tblW w:w="0" w:type="auto"/>
        <w:tblLayout w:type="fixed"/>
        <w:tblLook w:val="04A0" w:firstRow="1" w:lastRow="0" w:firstColumn="1" w:lastColumn="0" w:noHBand="0" w:noVBand="1"/>
        <w:tblCaption w:val="Table 8: Summary results of progression-free survival and overall survival, by PD-L1 expression"/>
      </w:tblPr>
      <w:tblGrid>
        <w:gridCol w:w="1526"/>
        <w:gridCol w:w="1050"/>
        <w:gridCol w:w="2068"/>
        <w:gridCol w:w="851"/>
        <w:gridCol w:w="1843"/>
        <w:gridCol w:w="1842"/>
      </w:tblGrid>
      <w:tr w:rsidR="00B65FDD" w:rsidRPr="000E19AE" w:rsidTr="008478CE">
        <w:trPr>
          <w:cnfStyle w:val="100000000000" w:firstRow="1" w:lastRow="0" w:firstColumn="0" w:lastColumn="0" w:oddVBand="0" w:evenVBand="0" w:oddHBand="0" w:evenHBand="0" w:firstRowFirstColumn="0" w:firstRowLastColumn="0" w:lastRowFirstColumn="0" w:lastRowLastColumn="0"/>
          <w:tblHeader/>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Study drug</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N</w:t>
            </w:r>
          </w:p>
        </w:tc>
        <w:tc>
          <w:tcPr>
            <w:tcW w:w="2068"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n with event/N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n with event/N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HR (95% CI)</w:t>
            </w:r>
          </w:p>
        </w:tc>
      </w:tr>
      <w:tr w:rsidR="00B65FDD" w:rsidRPr="000E19AE">
        <w:tc>
          <w:tcPr>
            <w:tcW w:w="1526"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b/>
                <w:sz w:val="20"/>
                <w:szCs w:val="20"/>
                <w:lang w:eastAsia="en-AU"/>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b/>
                <w:sz w:val="20"/>
                <w:szCs w:val="20"/>
                <w:lang w:eastAsia="en-AU"/>
              </w:rPr>
            </w:pPr>
            <w:r w:rsidRPr="000E19AE">
              <w:rPr>
                <w:rFonts w:ascii="Arial Narrow" w:hAnsi="Arial Narrow"/>
                <w:b/>
                <w:sz w:val="20"/>
                <w:szCs w:val="20"/>
                <w:lang w:eastAsia="en-AU"/>
              </w:rPr>
              <w:t>Pembrolizumab</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b/>
                <w:sz w:val="20"/>
                <w:szCs w:val="20"/>
                <w:lang w:eastAsia="en-AU"/>
              </w:rPr>
            </w:pPr>
            <w:r w:rsidRPr="000E19AE">
              <w:rPr>
                <w:rFonts w:ascii="Arial Narrow" w:hAnsi="Arial Narrow"/>
                <w:b/>
                <w:sz w:val="20"/>
                <w:szCs w:val="20"/>
                <w:lang w:eastAsia="en-AU"/>
              </w:rPr>
              <w:t>SOC</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B65FDD">
            <w:pPr>
              <w:keepNext/>
              <w:spacing w:before="0"/>
              <w:jc w:val="both"/>
              <w:rPr>
                <w:rFonts w:ascii="Arial Narrow" w:eastAsia="Calibri" w:hAnsi="Arial Narrow"/>
                <w:b/>
                <w:sz w:val="20"/>
                <w:szCs w:val="20"/>
                <w:lang w:eastAsia="en-AU"/>
              </w:rPr>
            </w:pPr>
          </w:p>
        </w:tc>
      </w:tr>
      <w:tr w:rsidR="00B65FDD" w:rsidRPr="000E19AE">
        <w:tc>
          <w:tcPr>
            <w:tcW w:w="9180" w:type="dxa"/>
            <w:gridSpan w:val="6"/>
            <w:tcBorders>
              <w:top w:val="single" w:sz="4" w:space="0" w:color="auto"/>
              <w:left w:val="single" w:sz="4" w:space="0" w:color="auto"/>
              <w:bottom w:val="single" w:sz="4" w:space="0" w:color="auto"/>
              <w:right w:val="single" w:sz="4" w:space="0" w:color="auto"/>
            </w:tcBorders>
            <w:shd w:val="clear" w:color="auto" w:fill="auto"/>
          </w:tcPr>
          <w:p w:rsidR="00B65FDD" w:rsidRPr="000E19AE" w:rsidRDefault="00B65FDD" w:rsidP="004576EE">
            <w:pPr>
              <w:keepNext/>
              <w:spacing w:before="0"/>
              <w:jc w:val="both"/>
              <w:rPr>
                <w:rFonts w:ascii="Arial Narrow" w:eastAsia="Calibri" w:hAnsi="Arial Narrow"/>
                <w:b/>
                <w:sz w:val="20"/>
                <w:szCs w:val="20"/>
                <w:lang w:eastAsia="en-AU"/>
              </w:rPr>
            </w:pPr>
            <w:r w:rsidRPr="000E19AE">
              <w:rPr>
                <w:rFonts w:ascii="Arial Narrow" w:eastAsia="Calibri" w:hAnsi="Arial Narrow"/>
                <w:b/>
                <w:sz w:val="20"/>
                <w:szCs w:val="20"/>
                <w:lang w:eastAsia="en-AU"/>
              </w:rPr>
              <w:t>Progression</w:t>
            </w:r>
            <w:r w:rsidR="004576EE">
              <w:rPr>
                <w:rFonts w:ascii="Arial Narrow" w:eastAsia="Calibri" w:hAnsi="Arial Narrow"/>
                <w:b/>
                <w:sz w:val="20"/>
                <w:szCs w:val="20"/>
                <w:lang w:eastAsia="en-AU"/>
              </w:rPr>
              <w:t>-f</w:t>
            </w:r>
            <w:r w:rsidRPr="000E19AE">
              <w:rPr>
                <w:rFonts w:ascii="Arial Narrow" w:eastAsia="Calibri" w:hAnsi="Arial Narrow"/>
                <w:b/>
                <w:sz w:val="20"/>
                <w:szCs w:val="20"/>
                <w:lang w:eastAsia="en-AU"/>
              </w:rPr>
              <w:t xml:space="preserve">ree </w:t>
            </w:r>
            <w:r w:rsidR="004576EE">
              <w:rPr>
                <w:rFonts w:ascii="Arial Narrow" w:eastAsia="Calibri" w:hAnsi="Arial Narrow"/>
                <w:b/>
                <w:sz w:val="20"/>
                <w:szCs w:val="20"/>
                <w:lang w:eastAsia="en-AU"/>
              </w:rPr>
              <w:t>s</w:t>
            </w:r>
            <w:r w:rsidRPr="000E19AE">
              <w:rPr>
                <w:rFonts w:ascii="Arial Narrow" w:eastAsia="Calibri" w:hAnsi="Arial Narrow"/>
                <w:b/>
                <w:sz w:val="20"/>
                <w:szCs w:val="20"/>
                <w:lang w:eastAsia="en-AU"/>
              </w:rPr>
              <w:t>urvival</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Total population</w:t>
            </w:r>
          </w:p>
        </w:tc>
        <w:tc>
          <w:tcPr>
            <w:tcW w:w="1050"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270</w:t>
            </w:r>
          </w:p>
        </w:tc>
        <w:tc>
          <w:tcPr>
            <w:tcW w:w="2068"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218 (80.7)</w:t>
            </w:r>
          </w:p>
        </w:tc>
        <w:tc>
          <w:tcPr>
            <w:tcW w:w="851"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272</w:t>
            </w:r>
          </w:p>
        </w:tc>
        <w:tc>
          <w:tcPr>
            <w:tcW w:w="1843"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219 (80.5)</w:t>
            </w:r>
          </w:p>
        </w:tc>
        <w:tc>
          <w:tcPr>
            <w:tcW w:w="1842"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0.98 (0.81, 1.19)</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PD-L1 &lt;1%</w:t>
            </w:r>
          </w:p>
        </w:tc>
        <w:tc>
          <w:tcPr>
            <w:tcW w:w="1050"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w:t>
            </w:r>
          </w:p>
        </w:tc>
        <w:tc>
          <w:tcPr>
            <w:tcW w:w="2068"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 '''''''''''''</w:t>
            </w:r>
          </w:p>
        </w:tc>
        <w:tc>
          <w:tcPr>
            <w:tcW w:w="851"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w:t>
            </w:r>
          </w:p>
        </w:tc>
        <w:tc>
          <w:tcPr>
            <w:tcW w:w="1843"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 ''''''''''''''</w:t>
            </w:r>
          </w:p>
        </w:tc>
        <w:tc>
          <w:tcPr>
            <w:tcW w:w="1842"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 '''''''''''' ''''''''''''</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PD-L1 ≥1%</w:t>
            </w:r>
          </w:p>
        </w:tc>
        <w:tc>
          <w:tcPr>
            <w:tcW w:w="1050"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w:t>
            </w:r>
          </w:p>
        </w:tc>
        <w:tc>
          <w:tcPr>
            <w:tcW w:w="2068"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 '''''''''''''</w:t>
            </w:r>
          </w:p>
        </w:tc>
        <w:tc>
          <w:tcPr>
            <w:tcW w:w="851"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w:t>
            </w:r>
          </w:p>
        </w:tc>
        <w:tc>
          <w:tcPr>
            <w:tcW w:w="1843"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 ''''''''''''''</w:t>
            </w:r>
          </w:p>
        </w:tc>
        <w:tc>
          <w:tcPr>
            <w:tcW w:w="1842"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val="en-AU" w:eastAsia="en-AU"/>
              </w:rPr>
            </w:pPr>
            <w:r>
              <w:rPr>
                <w:rFonts w:ascii="Arial Narrow" w:eastAsia="Times New Roman" w:hAnsi="Arial Narrow"/>
                <w:noProof/>
                <w:color w:val="000000"/>
                <w:sz w:val="20"/>
                <w:szCs w:val="20"/>
                <w:highlight w:val="black"/>
                <w:lang w:val="en-AU" w:eastAsia="en-AU"/>
              </w:rPr>
              <w:t>'''''''''''' ''''''''''''''' '''''''''''''</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rPr>
            </w:pPr>
            <w:r w:rsidRPr="000E19AE">
              <w:rPr>
                <w:rFonts w:ascii="Arial Narrow" w:eastAsia="Times New Roman" w:hAnsi="Arial Narrow"/>
                <w:sz w:val="20"/>
                <w:szCs w:val="20"/>
              </w:rPr>
              <w:t>PD-L1&lt;10%</w:t>
            </w:r>
          </w:p>
        </w:tc>
        <w:tc>
          <w:tcPr>
            <w:tcW w:w="1050"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eastAsia="en-AU"/>
              </w:rPr>
            </w:pPr>
            <w:r>
              <w:rPr>
                <w:rFonts w:ascii="Arial Narrow" w:eastAsia="Times New Roman" w:hAnsi="Arial Narrow"/>
                <w:noProof/>
                <w:color w:val="000000"/>
                <w:sz w:val="20"/>
                <w:szCs w:val="20"/>
                <w:highlight w:val="black"/>
                <w:lang w:eastAsia="en-AU"/>
              </w:rPr>
              <w:t>''''''''''</w:t>
            </w:r>
          </w:p>
        </w:tc>
        <w:tc>
          <w:tcPr>
            <w:tcW w:w="2068"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eastAsia="en-AU"/>
              </w:rPr>
            </w:pPr>
            <w:r>
              <w:rPr>
                <w:rFonts w:ascii="Arial Narrow" w:eastAsia="Times New Roman" w:hAnsi="Arial Narrow"/>
                <w:noProof/>
                <w:color w:val="000000"/>
                <w:sz w:val="20"/>
                <w:szCs w:val="20"/>
                <w:highlight w:val="black"/>
                <w:lang w:eastAsia="en-AU"/>
              </w:rPr>
              <w:t>'''''''''' '''''''''''''</w:t>
            </w:r>
          </w:p>
        </w:tc>
        <w:tc>
          <w:tcPr>
            <w:tcW w:w="851"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eastAsia="en-AU"/>
              </w:rPr>
            </w:pPr>
            <w:r>
              <w:rPr>
                <w:rFonts w:ascii="Arial Narrow" w:eastAsia="Times New Roman" w:hAnsi="Arial Narrow"/>
                <w:noProof/>
                <w:color w:val="000000"/>
                <w:sz w:val="20"/>
                <w:szCs w:val="20"/>
                <w:highlight w:val="black"/>
                <w:lang w:eastAsia="en-AU"/>
              </w:rPr>
              <w:t>'''''''''</w:t>
            </w:r>
          </w:p>
        </w:tc>
        <w:tc>
          <w:tcPr>
            <w:tcW w:w="1843"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eastAsia="en-AU"/>
              </w:rPr>
            </w:pPr>
            <w:r>
              <w:rPr>
                <w:rFonts w:ascii="Arial Narrow" w:eastAsia="Times New Roman" w:hAnsi="Arial Narrow"/>
                <w:noProof/>
                <w:color w:val="000000"/>
                <w:sz w:val="20"/>
                <w:szCs w:val="20"/>
                <w:highlight w:val="black"/>
                <w:lang w:eastAsia="en-AU"/>
              </w:rPr>
              <w:t>''''''''' ''''''''''''''</w:t>
            </w:r>
          </w:p>
        </w:tc>
        <w:tc>
          <w:tcPr>
            <w:tcW w:w="1842"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spacing w:before="0"/>
              <w:jc w:val="both"/>
              <w:rPr>
                <w:rFonts w:ascii="Arial Narrow" w:eastAsia="Times New Roman" w:hAnsi="Arial Narrow"/>
                <w:sz w:val="20"/>
                <w:szCs w:val="20"/>
                <w:highlight w:val="black"/>
                <w:lang w:eastAsia="en-AU"/>
              </w:rPr>
            </w:pPr>
            <w:r>
              <w:rPr>
                <w:rFonts w:ascii="Arial Narrow" w:eastAsia="Times New Roman" w:hAnsi="Arial Narrow"/>
                <w:noProof/>
                <w:color w:val="000000"/>
                <w:sz w:val="20"/>
                <w:szCs w:val="20"/>
                <w:highlight w:val="black"/>
                <w:lang w:eastAsia="en-AU"/>
              </w:rPr>
              <w:t>'''''''''''' ''''''''''''''' ''''''''''''</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eastAsia="en-AU"/>
              </w:rPr>
            </w:pPr>
            <w:r w:rsidRPr="000E19AE">
              <w:rPr>
                <w:rFonts w:ascii="Arial Narrow" w:eastAsia="Calibri" w:hAnsi="Arial Narrow"/>
                <w:sz w:val="20"/>
                <w:szCs w:val="20"/>
                <w:lang w:val="en-AU" w:eastAsia="en-AU"/>
              </w:rPr>
              <w:t>PD-L1 ≥10%</w:t>
            </w:r>
          </w:p>
        </w:tc>
        <w:tc>
          <w:tcPr>
            <w:tcW w:w="1050"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keepNext/>
              <w:spacing w:before="0"/>
              <w:jc w:val="both"/>
              <w:rPr>
                <w:rFonts w:ascii="Arial Narrow" w:eastAsia="Calibri" w:hAnsi="Arial Narrow"/>
                <w:sz w:val="20"/>
                <w:szCs w:val="20"/>
                <w:highlight w:val="black"/>
                <w:lang w:eastAsia="en-AU"/>
              </w:rPr>
            </w:pPr>
            <w:r>
              <w:rPr>
                <w:rFonts w:ascii="Arial Narrow" w:eastAsia="Calibri" w:hAnsi="Arial Narrow"/>
                <w:noProof/>
                <w:color w:val="000000"/>
                <w:sz w:val="20"/>
                <w:szCs w:val="20"/>
                <w:highlight w:val="black"/>
                <w:lang w:eastAsia="en-AU"/>
              </w:rPr>
              <w:t>'''''''</w:t>
            </w:r>
          </w:p>
        </w:tc>
        <w:tc>
          <w:tcPr>
            <w:tcW w:w="2068"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keepNext/>
              <w:spacing w:before="0"/>
              <w:jc w:val="both"/>
              <w:rPr>
                <w:rFonts w:ascii="Arial Narrow" w:eastAsia="Calibri" w:hAnsi="Arial Narrow"/>
                <w:sz w:val="20"/>
                <w:szCs w:val="20"/>
                <w:highlight w:val="black"/>
                <w:lang w:eastAsia="en-AU"/>
              </w:rPr>
            </w:pPr>
            <w:r>
              <w:rPr>
                <w:rFonts w:ascii="Arial Narrow" w:eastAsia="Calibri" w:hAnsi="Arial Narrow"/>
                <w:noProof/>
                <w:color w:val="000000"/>
                <w:sz w:val="20"/>
                <w:szCs w:val="20"/>
                <w:highlight w:val="black"/>
                <w:lang w:val="en-AU" w:eastAsia="en-AU"/>
              </w:rPr>
              <w:t>'''''' ''''''''''''</w:t>
            </w:r>
          </w:p>
        </w:tc>
        <w:tc>
          <w:tcPr>
            <w:tcW w:w="851"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keepNext/>
              <w:spacing w:before="0"/>
              <w:jc w:val="both"/>
              <w:rPr>
                <w:rFonts w:ascii="Arial Narrow" w:eastAsia="Calibri" w:hAnsi="Arial Narrow"/>
                <w:sz w:val="20"/>
                <w:szCs w:val="20"/>
                <w:highlight w:val="black"/>
                <w:lang w:eastAsia="en-AU"/>
              </w:rPr>
            </w:pPr>
            <w:r>
              <w:rPr>
                <w:rFonts w:ascii="Arial Narrow" w:eastAsia="Calibri" w:hAnsi="Arial Narrow"/>
                <w:noProof/>
                <w:color w:val="000000"/>
                <w:sz w:val="20"/>
                <w:szCs w:val="20"/>
                <w:highlight w:val="black"/>
                <w:lang w:eastAsia="en-AU"/>
              </w:rPr>
              <w:t>''''''</w:t>
            </w:r>
          </w:p>
        </w:tc>
        <w:tc>
          <w:tcPr>
            <w:tcW w:w="1843"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keepNext/>
              <w:spacing w:before="0"/>
              <w:jc w:val="both"/>
              <w:rPr>
                <w:rFonts w:ascii="Arial Narrow" w:eastAsia="Calibri" w:hAnsi="Arial Narrow"/>
                <w:sz w:val="20"/>
                <w:szCs w:val="20"/>
                <w:highlight w:val="black"/>
                <w:lang w:val="en-AU" w:eastAsia="en-AU"/>
              </w:rPr>
            </w:pPr>
            <w:r>
              <w:rPr>
                <w:rFonts w:ascii="Arial Narrow" w:eastAsia="Calibri" w:hAnsi="Arial Narrow"/>
                <w:noProof/>
                <w:color w:val="000000"/>
                <w:sz w:val="20"/>
                <w:szCs w:val="20"/>
                <w:highlight w:val="black"/>
                <w:lang w:eastAsia="en-AU"/>
              </w:rPr>
              <w:t>'''''' ''''''''''''''</w:t>
            </w:r>
          </w:p>
        </w:tc>
        <w:tc>
          <w:tcPr>
            <w:tcW w:w="1842" w:type="dxa"/>
            <w:tcBorders>
              <w:top w:val="single" w:sz="4" w:space="0" w:color="auto"/>
              <w:left w:val="single" w:sz="4" w:space="0" w:color="auto"/>
              <w:bottom w:val="single" w:sz="4" w:space="0" w:color="auto"/>
              <w:right w:val="single" w:sz="4" w:space="0" w:color="auto"/>
            </w:tcBorders>
          </w:tcPr>
          <w:p w:rsidR="00B65FDD" w:rsidRPr="001E368B" w:rsidRDefault="001E368B" w:rsidP="00B65FDD">
            <w:pPr>
              <w:keepNext/>
              <w:spacing w:before="0"/>
              <w:jc w:val="both"/>
              <w:rPr>
                <w:rFonts w:ascii="Arial Narrow" w:eastAsia="Calibri" w:hAnsi="Arial Narrow"/>
                <w:sz w:val="20"/>
                <w:szCs w:val="20"/>
                <w:highlight w:val="black"/>
                <w:lang w:val="en-AU" w:eastAsia="en-AU"/>
              </w:rPr>
            </w:pPr>
            <w:r>
              <w:rPr>
                <w:rFonts w:ascii="Arial Narrow" w:eastAsia="Calibri" w:hAnsi="Arial Narrow"/>
                <w:noProof/>
                <w:color w:val="000000"/>
                <w:sz w:val="20"/>
                <w:szCs w:val="20"/>
                <w:highlight w:val="black"/>
                <w:lang w:val="en-AU" w:eastAsia="en-AU"/>
              </w:rPr>
              <w:t>'''''''''' ''''''''''''''' ''''''''''''</w:t>
            </w:r>
          </w:p>
        </w:tc>
      </w:tr>
      <w:tr w:rsidR="00B65FDD" w:rsidRPr="000E19AE">
        <w:tc>
          <w:tcPr>
            <w:tcW w:w="9180" w:type="dxa"/>
            <w:gridSpan w:val="6"/>
            <w:tcBorders>
              <w:top w:val="single" w:sz="4" w:space="0" w:color="auto"/>
              <w:left w:val="single" w:sz="4" w:space="0" w:color="auto"/>
              <w:bottom w:val="single" w:sz="4" w:space="0" w:color="auto"/>
              <w:right w:val="single" w:sz="4" w:space="0" w:color="auto"/>
            </w:tcBorders>
          </w:tcPr>
          <w:p w:rsidR="00B65FDD" w:rsidRPr="000E19AE" w:rsidRDefault="00B65FDD" w:rsidP="004576EE">
            <w:pPr>
              <w:keepNext/>
              <w:spacing w:before="0"/>
              <w:jc w:val="both"/>
              <w:rPr>
                <w:rFonts w:ascii="Arial Narrow" w:eastAsia="Calibri" w:hAnsi="Arial Narrow"/>
                <w:b/>
                <w:sz w:val="20"/>
                <w:szCs w:val="20"/>
                <w:lang w:eastAsia="en-AU"/>
              </w:rPr>
            </w:pPr>
            <w:r w:rsidRPr="000E19AE">
              <w:rPr>
                <w:rFonts w:ascii="Arial Narrow" w:eastAsia="Calibri" w:hAnsi="Arial Narrow"/>
                <w:b/>
                <w:sz w:val="20"/>
                <w:szCs w:val="20"/>
                <w:lang w:eastAsia="en-AU"/>
              </w:rPr>
              <w:t xml:space="preserve">Overall </w:t>
            </w:r>
            <w:r w:rsidR="004576EE">
              <w:rPr>
                <w:rFonts w:ascii="Arial Narrow" w:eastAsia="Calibri" w:hAnsi="Arial Narrow"/>
                <w:b/>
                <w:sz w:val="20"/>
                <w:szCs w:val="20"/>
                <w:lang w:eastAsia="en-AU"/>
              </w:rPr>
              <w:t>s</w:t>
            </w:r>
            <w:r w:rsidRPr="000E19AE">
              <w:rPr>
                <w:rFonts w:ascii="Arial Narrow" w:eastAsia="Calibri" w:hAnsi="Arial Narrow"/>
                <w:b/>
                <w:sz w:val="20"/>
                <w:szCs w:val="20"/>
                <w:lang w:eastAsia="en-AU"/>
              </w:rPr>
              <w:t>urvival</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Total population</w:t>
            </w:r>
          </w:p>
        </w:tc>
        <w:tc>
          <w:tcPr>
            <w:tcW w:w="1050"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270</w:t>
            </w:r>
          </w:p>
        </w:tc>
        <w:tc>
          <w:tcPr>
            <w:tcW w:w="2068"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155 (57.4)</w:t>
            </w:r>
          </w:p>
        </w:tc>
        <w:tc>
          <w:tcPr>
            <w:tcW w:w="851"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272</w:t>
            </w:r>
          </w:p>
        </w:tc>
        <w:tc>
          <w:tcPr>
            <w:tcW w:w="1843"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179 (65.8)</w:t>
            </w:r>
          </w:p>
        </w:tc>
        <w:tc>
          <w:tcPr>
            <w:tcW w:w="1842"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0.73 (0.59, 0.91)</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PD-L1 &lt;1%</w:t>
            </w:r>
          </w:p>
        </w:tc>
        <w:tc>
          <w:tcPr>
            <w:tcW w:w="1050"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151</w:t>
            </w:r>
          </w:p>
        </w:tc>
        <w:tc>
          <w:tcPr>
            <w:tcW w:w="2068"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89 (58.9)</w:t>
            </w:r>
          </w:p>
        </w:tc>
        <w:tc>
          <w:tcPr>
            <w:tcW w:w="851"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147</w:t>
            </w:r>
          </w:p>
        </w:tc>
        <w:tc>
          <w:tcPr>
            <w:tcW w:w="1843"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95 (64.6)</w:t>
            </w:r>
          </w:p>
        </w:tc>
        <w:tc>
          <w:tcPr>
            <w:tcW w:w="1842"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0.89 (0.66, 1.20)</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rPr>
              <w:t>PD-L1 ≥1%</w:t>
            </w:r>
          </w:p>
        </w:tc>
        <w:tc>
          <w:tcPr>
            <w:tcW w:w="1050"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110</w:t>
            </w:r>
          </w:p>
        </w:tc>
        <w:tc>
          <w:tcPr>
            <w:tcW w:w="2068"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61 (55.5)</w:t>
            </w:r>
          </w:p>
        </w:tc>
        <w:tc>
          <w:tcPr>
            <w:tcW w:w="851"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120</w:t>
            </w:r>
          </w:p>
        </w:tc>
        <w:tc>
          <w:tcPr>
            <w:tcW w:w="1843"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81 (67.5)</w:t>
            </w:r>
          </w:p>
        </w:tc>
        <w:tc>
          <w:tcPr>
            <w:tcW w:w="1842"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val="en-AU" w:eastAsia="en-AU"/>
              </w:rPr>
            </w:pPr>
            <w:r w:rsidRPr="000E19AE">
              <w:rPr>
                <w:rFonts w:ascii="Arial Narrow" w:eastAsia="Times New Roman" w:hAnsi="Arial Narrow"/>
                <w:sz w:val="20"/>
                <w:szCs w:val="20"/>
                <w:lang w:val="en-AU" w:eastAsia="en-AU"/>
              </w:rPr>
              <w:t>0.61 (0.43, 0.86)</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rPr>
            </w:pPr>
            <w:r w:rsidRPr="000E19AE">
              <w:rPr>
                <w:rFonts w:ascii="Arial Narrow" w:eastAsia="Times New Roman" w:hAnsi="Arial Narrow"/>
                <w:sz w:val="20"/>
                <w:szCs w:val="20"/>
              </w:rPr>
              <w:t>PD-L1&lt;10%</w:t>
            </w:r>
          </w:p>
        </w:tc>
        <w:tc>
          <w:tcPr>
            <w:tcW w:w="1050"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eastAsia="en-AU"/>
              </w:rPr>
            </w:pPr>
            <w:r w:rsidRPr="000E19AE">
              <w:rPr>
                <w:rFonts w:ascii="Arial Narrow" w:eastAsia="Times New Roman" w:hAnsi="Arial Narrow"/>
                <w:sz w:val="20"/>
                <w:szCs w:val="20"/>
                <w:lang w:eastAsia="en-AU"/>
              </w:rPr>
              <w:t>186</w:t>
            </w:r>
          </w:p>
        </w:tc>
        <w:tc>
          <w:tcPr>
            <w:tcW w:w="2068"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eastAsia="en-AU"/>
              </w:rPr>
            </w:pPr>
            <w:r w:rsidRPr="000E19AE">
              <w:rPr>
                <w:rFonts w:ascii="Arial Narrow" w:eastAsia="Times New Roman" w:hAnsi="Arial Narrow"/>
                <w:sz w:val="20"/>
                <w:szCs w:val="20"/>
                <w:lang w:eastAsia="en-AU"/>
              </w:rPr>
              <w:t>106 (57.0)</w:t>
            </w:r>
          </w:p>
        </w:tc>
        <w:tc>
          <w:tcPr>
            <w:tcW w:w="851"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eastAsia="en-AU"/>
              </w:rPr>
            </w:pPr>
            <w:r w:rsidRPr="000E19AE">
              <w:rPr>
                <w:rFonts w:ascii="Arial Narrow" w:eastAsia="Times New Roman" w:hAnsi="Arial Narrow"/>
                <w:sz w:val="20"/>
                <w:szCs w:val="20"/>
                <w:lang w:eastAsia="en-AU"/>
              </w:rPr>
              <w:t>176</w:t>
            </w:r>
          </w:p>
        </w:tc>
        <w:tc>
          <w:tcPr>
            <w:tcW w:w="1843"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eastAsia="en-AU"/>
              </w:rPr>
            </w:pPr>
            <w:r w:rsidRPr="000E19AE">
              <w:rPr>
                <w:rFonts w:ascii="Arial Narrow" w:eastAsia="Times New Roman" w:hAnsi="Arial Narrow"/>
                <w:sz w:val="20"/>
                <w:szCs w:val="20"/>
                <w:lang w:eastAsia="en-AU"/>
              </w:rPr>
              <w:t>116 (65.9)</w:t>
            </w:r>
          </w:p>
        </w:tc>
        <w:tc>
          <w:tcPr>
            <w:tcW w:w="1842"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spacing w:before="0"/>
              <w:jc w:val="both"/>
              <w:rPr>
                <w:rFonts w:ascii="Arial Narrow" w:eastAsia="Times New Roman" w:hAnsi="Arial Narrow"/>
                <w:sz w:val="20"/>
                <w:szCs w:val="20"/>
                <w:lang w:eastAsia="en-AU"/>
              </w:rPr>
            </w:pPr>
            <w:r w:rsidRPr="000E19AE">
              <w:rPr>
                <w:rFonts w:ascii="Arial Narrow" w:eastAsia="Times New Roman" w:hAnsi="Arial Narrow"/>
                <w:sz w:val="20"/>
                <w:szCs w:val="20"/>
                <w:lang w:eastAsia="en-AU"/>
              </w:rPr>
              <w:t>0.80 (0.61, 1.05)</w:t>
            </w:r>
          </w:p>
        </w:tc>
      </w:tr>
      <w:tr w:rsidR="00B65FDD" w:rsidRPr="000E19AE">
        <w:tc>
          <w:tcPr>
            <w:tcW w:w="1526"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eastAsia="en-AU"/>
              </w:rPr>
            </w:pPr>
            <w:r w:rsidRPr="000E19AE">
              <w:rPr>
                <w:rFonts w:ascii="Arial Narrow" w:eastAsia="Calibri" w:hAnsi="Arial Narrow"/>
                <w:sz w:val="20"/>
                <w:szCs w:val="20"/>
                <w:lang w:val="en-AU" w:eastAsia="en-AU"/>
              </w:rPr>
              <w:t>PD-L1 ≥10%</w:t>
            </w:r>
          </w:p>
        </w:tc>
        <w:tc>
          <w:tcPr>
            <w:tcW w:w="1050"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eastAsia="en-AU"/>
              </w:rPr>
            </w:pPr>
            <w:r w:rsidRPr="000E19AE">
              <w:rPr>
                <w:rFonts w:ascii="Arial Narrow" w:eastAsia="Calibri" w:hAnsi="Arial Narrow"/>
                <w:sz w:val="20"/>
                <w:szCs w:val="20"/>
                <w:lang w:eastAsia="en-AU"/>
              </w:rPr>
              <w:t>74</w:t>
            </w:r>
          </w:p>
        </w:tc>
        <w:tc>
          <w:tcPr>
            <w:tcW w:w="2068"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eastAsia="en-AU"/>
              </w:rPr>
            </w:pPr>
            <w:r w:rsidRPr="000E19AE">
              <w:rPr>
                <w:rFonts w:ascii="Arial Narrow" w:eastAsia="Calibri" w:hAnsi="Arial Narrow"/>
                <w:sz w:val="20"/>
                <w:szCs w:val="20"/>
                <w:lang w:val="en-AU" w:eastAsia="en-AU"/>
              </w:rPr>
              <w:t>44 (59.5)</w:t>
            </w:r>
          </w:p>
        </w:tc>
        <w:tc>
          <w:tcPr>
            <w:tcW w:w="851"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eastAsia="en-AU"/>
              </w:rPr>
            </w:pPr>
            <w:r w:rsidRPr="000E19AE">
              <w:rPr>
                <w:rFonts w:ascii="Arial Narrow" w:eastAsia="Calibri" w:hAnsi="Arial Narrow"/>
                <w:sz w:val="20"/>
                <w:szCs w:val="20"/>
                <w:lang w:eastAsia="en-AU"/>
              </w:rPr>
              <w:t>90</w:t>
            </w:r>
          </w:p>
        </w:tc>
        <w:tc>
          <w:tcPr>
            <w:tcW w:w="1843"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eastAsia="en-AU"/>
              </w:rPr>
              <w:t>60 (66.7)</w:t>
            </w:r>
          </w:p>
        </w:tc>
        <w:tc>
          <w:tcPr>
            <w:tcW w:w="1842" w:type="dxa"/>
            <w:tcBorders>
              <w:top w:val="single" w:sz="4" w:space="0" w:color="auto"/>
              <w:left w:val="single" w:sz="4" w:space="0" w:color="auto"/>
              <w:bottom w:val="single" w:sz="4" w:space="0" w:color="auto"/>
              <w:right w:val="single" w:sz="4" w:space="0" w:color="auto"/>
            </w:tcBorders>
          </w:tcPr>
          <w:p w:rsidR="00B65FDD" w:rsidRPr="000E19AE" w:rsidRDefault="00B65FDD" w:rsidP="00B65FDD">
            <w:pPr>
              <w:keepNext/>
              <w:spacing w:before="0"/>
              <w:jc w:val="both"/>
              <w:rPr>
                <w:rFonts w:ascii="Arial Narrow" w:eastAsia="Calibri" w:hAnsi="Arial Narrow"/>
                <w:sz w:val="20"/>
                <w:szCs w:val="20"/>
                <w:lang w:val="en-AU" w:eastAsia="en-AU"/>
              </w:rPr>
            </w:pPr>
            <w:r w:rsidRPr="000E19AE">
              <w:rPr>
                <w:rFonts w:ascii="Arial Narrow" w:eastAsia="Calibri" w:hAnsi="Arial Narrow"/>
                <w:sz w:val="20"/>
                <w:szCs w:val="20"/>
                <w:lang w:val="en-AU" w:eastAsia="en-AU"/>
              </w:rPr>
              <w:t>0.57 (0.37, 0.88)</w:t>
            </w:r>
          </w:p>
        </w:tc>
      </w:tr>
    </w:tbl>
    <w:p w:rsidR="00B65FDD" w:rsidRPr="000E19AE" w:rsidRDefault="00B65FDD" w:rsidP="00B65FDD">
      <w:pPr>
        <w:pStyle w:val="TableFooter"/>
        <w:rPr>
          <w:rFonts w:eastAsia="Calibri"/>
        </w:rPr>
      </w:pPr>
      <w:r w:rsidRPr="000E19AE">
        <w:rPr>
          <w:rFonts w:eastAsia="Calibri"/>
        </w:rPr>
        <w:t xml:space="preserve">Source: Table 2.25, Table 2.26 pp 68-69 of </w:t>
      </w:r>
      <w:r w:rsidR="0012465E">
        <w:rPr>
          <w:rFonts w:eastAsia="Calibri"/>
        </w:rPr>
        <w:t xml:space="preserve">the </w:t>
      </w:r>
      <w:r w:rsidRPr="000E19AE">
        <w:rPr>
          <w:rFonts w:eastAsia="Calibri"/>
        </w:rPr>
        <w:t>submission</w:t>
      </w:r>
      <w:r w:rsidR="0012465E">
        <w:rPr>
          <w:rFonts w:eastAsia="Calibri"/>
        </w:rPr>
        <w:t xml:space="preserve"> and </w:t>
      </w:r>
      <w:r w:rsidRPr="000E19AE">
        <w:rPr>
          <w:rFonts w:eastAsia="Calibri"/>
        </w:rPr>
        <w:t>Table 11-4 p 127; Table 14.2-6 p</w:t>
      </w:r>
      <w:r w:rsidR="00E65207">
        <w:rPr>
          <w:rFonts w:eastAsia="Calibri"/>
        </w:rPr>
        <w:t xml:space="preserve"> </w:t>
      </w:r>
      <w:r w:rsidRPr="000E19AE">
        <w:rPr>
          <w:rFonts w:eastAsia="Calibri"/>
        </w:rPr>
        <w:t>314; Table 14.2-11 p</w:t>
      </w:r>
      <w:r w:rsidR="00E65207">
        <w:rPr>
          <w:rFonts w:eastAsia="Calibri"/>
        </w:rPr>
        <w:t xml:space="preserve"> </w:t>
      </w:r>
      <w:r w:rsidRPr="000E19AE">
        <w:rPr>
          <w:rFonts w:eastAsia="Calibri"/>
        </w:rPr>
        <w:t>324; Table 14.2-23 p</w:t>
      </w:r>
      <w:r w:rsidR="00E65207">
        <w:rPr>
          <w:rFonts w:eastAsia="Calibri"/>
        </w:rPr>
        <w:t xml:space="preserve"> </w:t>
      </w:r>
      <w:r w:rsidRPr="000E19AE">
        <w:rPr>
          <w:rFonts w:eastAsia="Calibri"/>
        </w:rPr>
        <w:t>355; Table 14.2-16 p</w:t>
      </w:r>
      <w:r w:rsidR="00E65207">
        <w:rPr>
          <w:rFonts w:eastAsia="Calibri"/>
        </w:rPr>
        <w:t xml:space="preserve"> </w:t>
      </w:r>
      <w:r w:rsidRPr="000E19AE">
        <w:rPr>
          <w:rFonts w:eastAsia="Calibri"/>
        </w:rPr>
        <w:t>337; Table 11-5 p134</w:t>
      </w:r>
      <w:r w:rsidR="0012465E">
        <w:rPr>
          <w:rFonts w:eastAsia="Calibri"/>
        </w:rPr>
        <w:t xml:space="preserve"> of the </w:t>
      </w:r>
      <w:r w:rsidR="0012465E" w:rsidRPr="000E19AE">
        <w:rPr>
          <w:rFonts w:eastAsia="Calibri"/>
        </w:rPr>
        <w:t>Clinical Study Report</w:t>
      </w:r>
      <w:r w:rsidR="0012465E">
        <w:rPr>
          <w:rFonts w:eastAsia="Calibri"/>
        </w:rPr>
        <w:t>.</w:t>
      </w:r>
    </w:p>
    <w:p w:rsidR="00B65FDD" w:rsidRPr="000E19AE" w:rsidRDefault="00B65FDD" w:rsidP="00B65FDD">
      <w:pPr>
        <w:pStyle w:val="TableFooter"/>
        <w:rPr>
          <w:rFonts w:eastAsia="Calibri"/>
        </w:rPr>
      </w:pPr>
      <w:r w:rsidRPr="000E19AE">
        <w:rPr>
          <w:rFonts w:eastAsia="Calibri"/>
        </w:rPr>
        <w:t>Notes: a Median OS or PFS was not pre-specified or reported for the PD-L1 &lt;1% subgroup</w:t>
      </w:r>
    </w:p>
    <w:p w:rsidR="00B65FDD" w:rsidRPr="000E19AE" w:rsidRDefault="00B65FDD" w:rsidP="00B65FDD">
      <w:pPr>
        <w:pStyle w:val="TableFooter"/>
        <w:rPr>
          <w:rFonts w:eastAsia="Calibri"/>
        </w:rPr>
      </w:pPr>
      <w:r w:rsidRPr="000E19AE">
        <w:rPr>
          <w:rFonts w:eastAsia="Calibri"/>
        </w:rPr>
        <w:t>Abbreviations: CI = confidence interval; HR = hazard ratio; n = number of participants with event; N = total participants in group; NR = not reported; SOC=standard of care.</w:t>
      </w:r>
    </w:p>
    <w:p w:rsidR="0027770D" w:rsidRPr="0071697F" w:rsidRDefault="0071697F" w:rsidP="00C47FDA">
      <w:pPr>
        <w:pStyle w:val="ListParagraph"/>
        <w:numPr>
          <w:ilvl w:val="1"/>
          <w:numId w:val="19"/>
        </w:numPr>
        <w:jc w:val="both"/>
      </w:pPr>
      <w:r w:rsidRPr="0071697F">
        <w:t>The PBAC has previously considered that it was plausible that immunotherapies relying on stimulating an immune response may prove to be less effective in older patients whose immune systems may no longer be able to respond to such a stimulus (</w:t>
      </w:r>
      <w:r>
        <w:t xml:space="preserve">PSD for </w:t>
      </w:r>
      <w:r w:rsidRPr="0071697F">
        <w:t xml:space="preserve">nivolumab </w:t>
      </w:r>
      <w:r>
        <w:t>in non-small cell lung cancer</w:t>
      </w:r>
      <w:r w:rsidRPr="0071697F">
        <w:t>, November 2016).</w:t>
      </w:r>
      <w:r>
        <w:t xml:space="preserve"> In this case, s</w:t>
      </w:r>
      <w:r w:rsidR="00B65FDD" w:rsidRPr="00B93493">
        <w:t xml:space="preserve">ubgroup analyses by age showed a smaller treatment effect for pembrolizumab among </w:t>
      </w:r>
      <w:r w:rsidR="00955365" w:rsidRPr="00B93493">
        <w:t xml:space="preserve">those aged </w:t>
      </w:r>
      <w:r w:rsidR="00B65FDD" w:rsidRPr="00B93493">
        <w:t>75-85 year</w:t>
      </w:r>
      <w:r w:rsidR="00F0080B" w:rsidRPr="00B93493">
        <w:t>s</w:t>
      </w:r>
      <w:r w:rsidR="00B65FDD" w:rsidRPr="00B93493">
        <w:t xml:space="preserve">, </w:t>
      </w:r>
      <w:r w:rsidR="0027770D" w:rsidRPr="00B93493">
        <w:t xml:space="preserve">that favoured pembrolizumab </w:t>
      </w:r>
      <w:r w:rsidR="00B65FDD" w:rsidRPr="00B93493">
        <w:t xml:space="preserve">with </w:t>
      </w:r>
      <w:r w:rsidR="0027770D" w:rsidRPr="00B93493">
        <w:t xml:space="preserve">the </w:t>
      </w:r>
      <w:r w:rsidR="00B65FDD" w:rsidRPr="00B93493">
        <w:t xml:space="preserve">median OS of </w:t>
      </w:r>
      <w:r w:rsidR="001E368B">
        <w:rPr>
          <w:noProof/>
          <w:color w:val="000000"/>
          <w:highlight w:val="black"/>
        </w:rPr>
        <w:t>''''''''' '''''''''''''''</w:t>
      </w:r>
      <w:r w:rsidR="00B65FDD" w:rsidRPr="00B93493">
        <w:t xml:space="preserve"> (91% CI: </w:t>
      </w:r>
      <w:r w:rsidR="001E368B">
        <w:rPr>
          <w:noProof/>
          <w:color w:val="000000"/>
          <w:highlight w:val="black"/>
        </w:rPr>
        <w:t>'''''''' '''''''''</w:t>
      </w:r>
      <w:r w:rsidR="00B65FDD" w:rsidRPr="00B93493">
        <w:t xml:space="preserve">), when compared with </w:t>
      </w:r>
      <w:r w:rsidR="001E368B">
        <w:rPr>
          <w:noProof/>
          <w:color w:val="000000"/>
          <w:highlight w:val="black"/>
        </w:rPr>
        <w:t>'''''' ''''''''''''''''</w:t>
      </w:r>
      <w:r w:rsidR="00B65FDD" w:rsidRPr="00B93493">
        <w:t xml:space="preserve"> for the SOC arm (95% CI: </w:t>
      </w:r>
      <w:r w:rsidR="001E368B">
        <w:rPr>
          <w:noProof/>
          <w:color w:val="000000"/>
          <w:highlight w:val="black"/>
        </w:rPr>
        <w:t>'''''''' '''''</w:t>
      </w:r>
      <w:r w:rsidR="00B65FDD" w:rsidRPr="00B93493">
        <w:t xml:space="preserve">), </w:t>
      </w:r>
      <w:r w:rsidR="0027770D" w:rsidRPr="00B93493">
        <w:t xml:space="preserve">but not </w:t>
      </w:r>
      <w:r w:rsidR="00B65FDD" w:rsidRPr="00B93493">
        <w:t xml:space="preserve">with </w:t>
      </w:r>
      <w:r w:rsidR="0027770D" w:rsidRPr="00B93493">
        <w:t>the</w:t>
      </w:r>
      <w:r w:rsidR="00B65FDD" w:rsidRPr="00B93493">
        <w:t xml:space="preserve"> HR</w:t>
      </w:r>
      <w:r w:rsidR="00195361" w:rsidRPr="00B93493">
        <w:t xml:space="preserve"> of</w:t>
      </w:r>
      <w:r w:rsidR="00216B6F" w:rsidRPr="00B93493">
        <w:t xml:space="preserve"> </w:t>
      </w:r>
      <w:r w:rsidR="001E368B">
        <w:rPr>
          <w:noProof/>
          <w:color w:val="000000"/>
          <w:highlight w:val="black"/>
        </w:rPr>
        <w:t>''''''''</w:t>
      </w:r>
      <w:r w:rsidR="00B65FDD" w:rsidRPr="00B93493">
        <w:t xml:space="preserve"> (95% CI: </w:t>
      </w:r>
      <w:r w:rsidR="001E368B">
        <w:rPr>
          <w:noProof/>
          <w:color w:val="000000"/>
          <w:highlight w:val="black"/>
        </w:rPr>
        <w:t>''''''''''' '''''''''' ''' ''' ''''''''</w:t>
      </w:r>
      <w:r w:rsidR="00B65FDD" w:rsidRPr="00B93493">
        <w:t xml:space="preserve">). </w:t>
      </w:r>
      <w:r w:rsidR="00E15C1A" w:rsidRPr="00B93493">
        <w:t xml:space="preserve">No comparison was possible for patients &gt;85 years, but </w:t>
      </w:r>
      <w:r w:rsidR="001E368B">
        <w:rPr>
          <w:noProof/>
          <w:color w:val="000000"/>
          <w:highlight w:val="black"/>
        </w:rPr>
        <w:t>'''''''</w:t>
      </w:r>
      <w:r w:rsidR="00E15C1A" w:rsidRPr="00B93493">
        <w:t xml:space="preserve"> patients in that age bracket treated with pembrolizumab had a progression event during the analysis period (1 patient randomised to the pembrolizumab arm was not treated). </w:t>
      </w:r>
      <w:r w:rsidR="00B65FDD" w:rsidRPr="00B93493">
        <w:t xml:space="preserve">The submission </w:t>
      </w:r>
      <w:r>
        <w:t xml:space="preserve">also </w:t>
      </w:r>
      <w:r w:rsidR="00B65FDD" w:rsidRPr="00B93493">
        <w:t xml:space="preserve">claimed that there was no biologically plausible reason for an immunosenesence effect associated with age (p98 of the </w:t>
      </w:r>
      <w:r w:rsidR="00955365" w:rsidRPr="00B93493">
        <w:t>s</w:t>
      </w:r>
      <w:r>
        <w:t>ubmission).</w:t>
      </w:r>
    </w:p>
    <w:p w:rsidR="00B65FDD" w:rsidRPr="00B93493" w:rsidRDefault="00833749" w:rsidP="0086293D">
      <w:pPr>
        <w:pStyle w:val="ListParagraph"/>
        <w:numPr>
          <w:ilvl w:val="1"/>
          <w:numId w:val="19"/>
        </w:numPr>
        <w:jc w:val="both"/>
      </w:pPr>
      <w:r w:rsidRPr="00B93493">
        <w:rPr>
          <w:rFonts w:eastAsiaTheme="majorEastAsia" w:cstheme="majorBidi"/>
        </w:rPr>
        <w:t xml:space="preserve">The </w:t>
      </w:r>
      <w:r w:rsidRPr="00B93493">
        <w:t xml:space="preserve">ESC advised </w:t>
      </w:r>
      <w:r w:rsidR="006131A7">
        <w:t xml:space="preserve">that </w:t>
      </w:r>
      <w:r w:rsidRPr="00B93493">
        <w:t xml:space="preserve">the </w:t>
      </w:r>
      <w:r w:rsidR="0027770D" w:rsidRPr="00B93493">
        <w:t>comparison of</w:t>
      </w:r>
      <w:r w:rsidRPr="00B93493">
        <w:t xml:space="preserve"> efficacy </w:t>
      </w:r>
      <w:r w:rsidR="0027770D" w:rsidRPr="00B93493">
        <w:t>by age</w:t>
      </w:r>
      <w:r w:rsidRPr="00B93493">
        <w:t xml:space="preserve"> should be interpreted with caution given that this was a</w:t>
      </w:r>
      <w:r w:rsidR="00205090" w:rsidRPr="00B93493">
        <w:t>n underpowered</w:t>
      </w:r>
      <w:r w:rsidR="00915209" w:rsidRPr="00B93493">
        <w:t>,</w:t>
      </w:r>
      <w:r w:rsidRPr="00B93493">
        <w:t xml:space="preserve"> </w:t>
      </w:r>
      <w:r w:rsidRPr="009239CA">
        <w:rPr>
          <w:i/>
        </w:rPr>
        <w:t>post-hoc</w:t>
      </w:r>
      <w:r w:rsidRPr="00B93493">
        <w:t xml:space="preserve"> subgroup analysis</w:t>
      </w:r>
      <w:r w:rsidR="0027770D" w:rsidRPr="00B93493">
        <w:t xml:space="preserve">, but </w:t>
      </w:r>
      <w:r w:rsidR="00205090" w:rsidRPr="00B93493">
        <w:t xml:space="preserve">also noted </w:t>
      </w:r>
      <w:r w:rsidR="0027770D" w:rsidRPr="00B93493">
        <w:t>that efficacy is often lower in non-trial populations</w:t>
      </w:r>
      <w:r w:rsidRPr="00B93493">
        <w:t xml:space="preserve">. </w:t>
      </w:r>
      <w:r w:rsidR="00651E62" w:rsidRPr="00B93493">
        <w:t xml:space="preserve">The PSCR (p1) provided additional subgroup analyses </w:t>
      </w:r>
      <w:r w:rsidR="0027770D" w:rsidRPr="00B93493">
        <w:t>which</w:t>
      </w:r>
      <w:r w:rsidR="00651E62" w:rsidRPr="00B93493">
        <w:t xml:space="preserve"> suggested a statistically significant OS benefit for patients in the subgroup aged up to 80 years (</w:t>
      </w:r>
      <w:r w:rsidR="001E368B">
        <w:rPr>
          <w:noProof/>
          <w:color w:val="000000"/>
          <w:highlight w:val="black"/>
        </w:rPr>
        <w:t>''''' ''''' ''''''''</w:t>
      </w:r>
      <w:r w:rsidR="00651E62" w:rsidRPr="00B93493">
        <w:t xml:space="preserve"> [</w:t>
      </w:r>
      <w:r w:rsidR="0028794B" w:rsidRPr="00B93493">
        <w:t xml:space="preserve">95% CI: </w:t>
      </w:r>
      <w:r w:rsidR="001E368B">
        <w:rPr>
          <w:noProof/>
          <w:color w:val="000000"/>
          <w:highlight w:val="black"/>
        </w:rPr>
        <w:t>''''''''' '''''''''</w:t>
      </w:r>
      <w:r w:rsidR="00651E62" w:rsidRPr="00B93493">
        <w:t>]), consistent with the survival benefit observed in the total population</w:t>
      </w:r>
      <w:r w:rsidR="00FC41BA">
        <w:t xml:space="preserve"> and t</w:t>
      </w:r>
      <w:r w:rsidR="0086293D">
        <w:t xml:space="preserve">he pre-PBAC response (p1) </w:t>
      </w:r>
      <w:r w:rsidR="00FC41BA">
        <w:t xml:space="preserve">also </w:t>
      </w:r>
      <w:r w:rsidR="0086293D">
        <w:t xml:space="preserve">provided an analysis </w:t>
      </w:r>
      <w:r w:rsidR="00FC41BA">
        <w:t xml:space="preserve">demonstrating no significant difference between </w:t>
      </w:r>
      <w:r w:rsidR="009239CA">
        <w:t>OS</w:t>
      </w:r>
      <w:r w:rsidR="0086293D">
        <w:t xml:space="preserve"> </w:t>
      </w:r>
      <w:r w:rsidR="00FC41BA">
        <w:t xml:space="preserve">for </w:t>
      </w:r>
      <w:r w:rsidR="009239CA">
        <w:t xml:space="preserve">patients aged </w:t>
      </w:r>
      <w:r w:rsidR="0086293D">
        <w:t>&lt;</w:t>
      </w:r>
      <w:r w:rsidR="009239CA">
        <w:t>65</w:t>
      </w:r>
      <w:r w:rsidR="0086293D">
        <w:t xml:space="preserve"> vs </w:t>
      </w:r>
      <w:r w:rsidR="0086293D" w:rsidRPr="0086293D">
        <w:t>≥</w:t>
      </w:r>
      <w:r w:rsidR="0086293D">
        <w:t>65 years.</w:t>
      </w:r>
      <w:r w:rsidR="00FC41BA">
        <w:t xml:space="preserve"> The PBAC consider</w:t>
      </w:r>
      <w:r w:rsidR="009239CA">
        <w:t>ed</w:t>
      </w:r>
      <w:r w:rsidR="00FC41BA">
        <w:t xml:space="preserve"> that there was </w:t>
      </w:r>
      <w:r w:rsidR="009239CA">
        <w:t>in</w:t>
      </w:r>
      <w:r w:rsidR="00FC41BA">
        <w:t>sufficient evidence to justify restricting treatment by patient age</w:t>
      </w:r>
      <w:r w:rsidR="009239CA">
        <w:t>, but remained concerned that there was also insufficient evidence to rule out immunosenesence as a source of reduced effectiveness, particularly in patients &gt;75 years of age</w:t>
      </w:r>
      <w:r w:rsidR="00FC41BA">
        <w:t>.</w:t>
      </w:r>
    </w:p>
    <w:p w:rsidR="00B65FDD" w:rsidRPr="00B93493" w:rsidRDefault="00B65FDD" w:rsidP="00C47FDA">
      <w:pPr>
        <w:pStyle w:val="ListParagraph"/>
        <w:numPr>
          <w:ilvl w:val="1"/>
          <w:numId w:val="19"/>
        </w:numPr>
        <w:jc w:val="both"/>
      </w:pPr>
      <w:r w:rsidRPr="00B93493">
        <w:t>Other notable differences were in the lower treatment effect (OS) observed in patients with more heavily pre-treated disease (</w:t>
      </w:r>
      <w:r w:rsidR="00F21E16">
        <w:t xml:space="preserve">third </w:t>
      </w:r>
      <w:r w:rsidRPr="00B93493">
        <w:t>line of treatment in the trial)</w:t>
      </w:r>
      <w:r w:rsidR="008B2BED" w:rsidRPr="00B93493">
        <w:t>,</w:t>
      </w:r>
      <w:r w:rsidRPr="00B93493">
        <w:t xml:space="preserve"> those with less than 3 months since their previous chemotherapy regimen and those with greater than median tumour volume (see Table </w:t>
      </w:r>
      <w:r w:rsidR="00E15C1A" w:rsidRPr="00B93493">
        <w:t>9</w:t>
      </w:r>
      <w:r w:rsidR="00915209" w:rsidRPr="00B93493">
        <w:t>). While these were pre</w:t>
      </w:r>
      <w:r w:rsidR="00915209" w:rsidRPr="00B93493">
        <w:noBreakHyphen/>
      </w:r>
      <w:r w:rsidRPr="00B93493">
        <w:t>specified subgroups, these analyses were not adjusted for multiplicity</w:t>
      </w:r>
      <w:r w:rsidR="001734D4" w:rsidRPr="00B93493">
        <w:t>, and there were no tests for differences between groups in each of the subgroups investigated</w:t>
      </w:r>
      <w:r w:rsidRPr="00B93493">
        <w:t>.</w:t>
      </w:r>
    </w:p>
    <w:p w:rsidR="00B65FDD" w:rsidRPr="00B93493" w:rsidRDefault="00B65FDD" w:rsidP="005B0DDC">
      <w:pPr>
        <w:pStyle w:val="TableHeading0"/>
      </w:pPr>
      <w:r w:rsidRPr="00B93493">
        <w:t xml:space="preserve">Table </w:t>
      </w:r>
      <w:r w:rsidR="00E15C1A" w:rsidRPr="00B93493">
        <w:t>9</w:t>
      </w:r>
      <w:r w:rsidRPr="00B93493">
        <w:t>:</w:t>
      </w:r>
      <w:r w:rsidRPr="00B93493">
        <w:rPr>
          <w:color w:val="4472C4" w:themeColor="accent5"/>
        </w:rPr>
        <w:t xml:space="preserve"> </w:t>
      </w:r>
      <w:r w:rsidRPr="00B93493">
        <w:t>Overall survival – selected subgroup analyses from KN045</w:t>
      </w:r>
    </w:p>
    <w:tbl>
      <w:tblPr>
        <w:tblStyle w:val="TableGrid"/>
        <w:tblW w:w="4914" w:type="pct"/>
        <w:tblInd w:w="108" w:type="dxa"/>
        <w:tblLook w:val="04A0" w:firstRow="1" w:lastRow="0" w:firstColumn="1" w:lastColumn="0" w:noHBand="0" w:noVBand="1"/>
        <w:tblCaption w:val="Table 9: Overall survival – selected subgroup analyses from KN045"/>
      </w:tblPr>
      <w:tblGrid>
        <w:gridCol w:w="1986"/>
        <w:gridCol w:w="2138"/>
        <w:gridCol w:w="1829"/>
        <w:gridCol w:w="1146"/>
        <w:gridCol w:w="1984"/>
      </w:tblGrid>
      <w:tr w:rsidR="00195361" w:rsidRPr="00B93493" w:rsidTr="008478CE">
        <w:trPr>
          <w:cnfStyle w:val="100000000000" w:firstRow="1" w:lastRow="0" w:firstColumn="0" w:lastColumn="0" w:oddVBand="0" w:evenVBand="0" w:oddHBand="0" w:evenHBand="0" w:firstRowFirstColumn="0" w:firstRowLastColumn="0" w:lastRowFirstColumn="0" w:lastRowLastColumn="0"/>
          <w:tblHeader/>
        </w:trPr>
        <w:tc>
          <w:tcPr>
            <w:tcW w:w="1093" w:type="pct"/>
            <w:tcBorders>
              <w:top w:val="single" w:sz="4" w:space="0" w:color="auto"/>
              <w:left w:val="single" w:sz="4" w:space="0" w:color="auto"/>
              <w:bottom w:val="single" w:sz="4" w:space="0" w:color="auto"/>
              <w:right w:val="single" w:sz="4" w:space="0" w:color="auto"/>
            </w:tcBorders>
            <w:shd w:val="clear" w:color="auto" w:fill="auto"/>
          </w:tcPr>
          <w:p w:rsidR="00B65FDD" w:rsidRPr="00B93493" w:rsidRDefault="00B65FDD" w:rsidP="00B65FDD">
            <w:pPr>
              <w:pStyle w:val="Tablebold"/>
              <w:spacing w:before="0" w:after="0"/>
              <w:rPr>
                <w:rFonts w:ascii="Arial Narrow" w:hAnsi="Arial Narrow"/>
                <w:sz w:val="20"/>
                <w:szCs w:val="20"/>
                <w:lang w:eastAsia="en-AU"/>
              </w:rPr>
            </w:pPr>
            <w:r w:rsidRPr="00B93493">
              <w:rPr>
                <w:rFonts w:ascii="Arial Narrow" w:hAnsi="Arial Narrow"/>
                <w:sz w:val="20"/>
                <w:szCs w:val="20"/>
                <w:lang w:eastAsia="en-AU"/>
              </w:rPr>
              <w:t>Subgroup</w:t>
            </w:r>
          </w:p>
        </w:tc>
        <w:tc>
          <w:tcPr>
            <w:tcW w:w="1177" w:type="pct"/>
            <w:tcBorders>
              <w:top w:val="single" w:sz="4" w:space="0" w:color="auto"/>
              <w:left w:val="single" w:sz="4" w:space="0" w:color="auto"/>
              <w:bottom w:val="single" w:sz="4" w:space="0" w:color="auto"/>
              <w:right w:val="single" w:sz="4" w:space="0" w:color="auto"/>
            </w:tcBorders>
            <w:shd w:val="clear" w:color="auto" w:fill="auto"/>
          </w:tcPr>
          <w:p w:rsidR="00B65FDD" w:rsidRPr="00B93493" w:rsidRDefault="00B65FDD" w:rsidP="00B65FDD">
            <w:pPr>
              <w:pStyle w:val="Tablebold"/>
              <w:spacing w:before="0" w:after="0"/>
              <w:jc w:val="center"/>
              <w:rPr>
                <w:rFonts w:ascii="Arial Narrow" w:hAnsi="Arial Narrow"/>
                <w:sz w:val="20"/>
                <w:szCs w:val="20"/>
                <w:lang w:eastAsia="en-AU"/>
              </w:rPr>
            </w:pPr>
            <w:r w:rsidRPr="00B93493">
              <w:rPr>
                <w:rFonts w:ascii="Arial Narrow" w:hAnsi="Arial Narrow"/>
                <w:sz w:val="20"/>
                <w:szCs w:val="20"/>
                <w:lang w:eastAsia="en-AU"/>
              </w:rPr>
              <w:t>Pembrolizumab</w:t>
            </w:r>
            <w:r w:rsidR="005B0DDC" w:rsidRPr="00B93493">
              <w:rPr>
                <w:rFonts w:ascii="Arial Narrow" w:hAnsi="Arial Narrow"/>
                <w:sz w:val="20"/>
                <w:szCs w:val="20"/>
                <w:lang w:eastAsia="en-AU"/>
              </w:rPr>
              <w:t xml:space="preserve"> </w:t>
            </w:r>
            <w:r w:rsidRPr="00B93493">
              <w:rPr>
                <w:rFonts w:ascii="Arial Narrow" w:hAnsi="Arial Narrow"/>
                <w:sz w:val="20"/>
                <w:szCs w:val="20"/>
                <w:lang w:eastAsia="en-AU"/>
              </w:rPr>
              <w:t>(200 mg)</w:t>
            </w:r>
          </w:p>
          <w:p w:rsidR="00B65FDD" w:rsidRPr="00B93493" w:rsidRDefault="00B65FDD" w:rsidP="00B65FDD">
            <w:pPr>
              <w:pStyle w:val="Tablebold"/>
              <w:spacing w:before="0" w:after="0"/>
              <w:jc w:val="center"/>
              <w:rPr>
                <w:rFonts w:ascii="Arial Narrow" w:hAnsi="Arial Narrow"/>
                <w:sz w:val="20"/>
                <w:szCs w:val="20"/>
                <w:lang w:eastAsia="en-AU"/>
              </w:rPr>
            </w:pPr>
            <w:r w:rsidRPr="00B93493">
              <w:rPr>
                <w:rFonts w:ascii="Arial Narrow" w:hAnsi="Arial Narrow"/>
                <w:sz w:val="20"/>
                <w:szCs w:val="20"/>
                <w:lang w:eastAsia="en-AU"/>
              </w:rPr>
              <w:t>n/N with event (%)</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65FDD" w:rsidRPr="00B93493" w:rsidRDefault="00B65FDD" w:rsidP="00B65FDD">
            <w:pPr>
              <w:pStyle w:val="Tablebold"/>
              <w:spacing w:before="0" w:after="0"/>
              <w:jc w:val="center"/>
              <w:rPr>
                <w:rFonts w:ascii="Arial Narrow" w:hAnsi="Arial Narrow"/>
                <w:sz w:val="20"/>
                <w:szCs w:val="20"/>
                <w:lang w:eastAsia="en-AU"/>
              </w:rPr>
            </w:pPr>
            <w:r w:rsidRPr="00B93493">
              <w:rPr>
                <w:rFonts w:ascii="Arial Narrow" w:hAnsi="Arial Narrow"/>
                <w:sz w:val="20"/>
                <w:szCs w:val="20"/>
                <w:lang w:eastAsia="en-AU"/>
              </w:rPr>
              <w:t>SOC</w:t>
            </w:r>
          </w:p>
          <w:p w:rsidR="00B65FDD" w:rsidRPr="00B93493" w:rsidRDefault="00B65FDD" w:rsidP="00B65FDD">
            <w:pPr>
              <w:pStyle w:val="Tablebold"/>
              <w:spacing w:before="0" w:after="0"/>
              <w:jc w:val="center"/>
              <w:rPr>
                <w:rFonts w:ascii="Arial Narrow" w:hAnsi="Arial Narrow"/>
                <w:sz w:val="20"/>
                <w:szCs w:val="20"/>
                <w:lang w:eastAsia="en-AU"/>
              </w:rPr>
            </w:pPr>
            <w:r w:rsidRPr="00B93493">
              <w:rPr>
                <w:rFonts w:ascii="Arial Narrow" w:hAnsi="Arial Narrow"/>
                <w:sz w:val="20"/>
                <w:szCs w:val="20"/>
                <w:lang w:eastAsia="en-AU"/>
              </w:rPr>
              <w:t>n/N with event (%)</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B65FDD" w:rsidRPr="00B93493" w:rsidRDefault="00B65FDD" w:rsidP="00B65FDD">
            <w:pPr>
              <w:pStyle w:val="Tablebold"/>
              <w:spacing w:before="0" w:after="0"/>
              <w:jc w:val="center"/>
              <w:rPr>
                <w:rFonts w:ascii="Arial Narrow" w:hAnsi="Arial Narrow"/>
                <w:sz w:val="20"/>
                <w:szCs w:val="20"/>
                <w:lang w:eastAsia="en-AU"/>
              </w:rPr>
            </w:pPr>
            <w:r w:rsidRPr="00B93493">
              <w:rPr>
                <w:rFonts w:ascii="Arial Narrow" w:hAnsi="Arial Narrow"/>
                <w:sz w:val="20"/>
                <w:szCs w:val="20"/>
                <w:lang w:eastAsia="en-AU"/>
              </w:rPr>
              <w:t>P-value</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B65FDD" w:rsidRPr="00B93493" w:rsidRDefault="00B65FDD" w:rsidP="00B65FDD">
            <w:pPr>
              <w:pStyle w:val="Tablebold"/>
              <w:spacing w:before="0" w:after="0"/>
              <w:jc w:val="center"/>
              <w:rPr>
                <w:rFonts w:ascii="Arial Narrow" w:hAnsi="Arial Narrow"/>
                <w:sz w:val="20"/>
                <w:szCs w:val="20"/>
                <w:lang w:eastAsia="en-AU"/>
              </w:rPr>
            </w:pPr>
            <w:r w:rsidRPr="00B93493">
              <w:rPr>
                <w:rFonts w:ascii="Arial Narrow" w:hAnsi="Arial Narrow"/>
                <w:sz w:val="20"/>
                <w:szCs w:val="20"/>
                <w:lang w:eastAsia="en-AU"/>
              </w:rPr>
              <w:t>Hazard ratio (95% CI)</w:t>
            </w:r>
          </w:p>
        </w:tc>
      </w:tr>
      <w:tr w:rsidR="00B65FDD" w:rsidRPr="00B93493">
        <w:tc>
          <w:tcPr>
            <w:tcW w:w="5000" w:type="pct"/>
            <w:gridSpan w:val="5"/>
            <w:tcBorders>
              <w:top w:val="single" w:sz="4" w:space="0" w:color="auto"/>
              <w:left w:val="single" w:sz="4" w:space="0" w:color="auto"/>
              <w:bottom w:val="single" w:sz="4" w:space="0" w:color="auto"/>
              <w:right w:val="single" w:sz="4" w:space="0" w:color="auto"/>
            </w:tcBorders>
          </w:tcPr>
          <w:p w:rsidR="00B65FDD" w:rsidRPr="00B93493" w:rsidRDefault="005B0DDC" w:rsidP="005B0DDC">
            <w:pPr>
              <w:pStyle w:val="Tabletext0"/>
              <w:rPr>
                <w:b/>
                <w:lang w:eastAsia="en-AU"/>
              </w:rPr>
            </w:pPr>
            <w:r w:rsidRPr="00B93493">
              <w:rPr>
                <w:b/>
                <w:lang w:eastAsia="en-AU"/>
              </w:rPr>
              <w:t>Most r</w:t>
            </w:r>
            <w:r w:rsidR="00B65FDD" w:rsidRPr="00B93493">
              <w:rPr>
                <w:b/>
                <w:lang w:eastAsia="en-AU"/>
              </w:rPr>
              <w:t xml:space="preserve">ecent </w:t>
            </w:r>
            <w:r w:rsidRPr="00B93493">
              <w:rPr>
                <w:b/>
                <w:lang w:eastAsia="en-AU"/>
              </w:rPr>
              <w:t>p</w:t>
            </w:r>
            <w:r w:rsidR="00B65FDD" w:rsidRPr="00B93493">
              <w:rPr>
                <w:b/>
                <w:lang w:eastAsia="en-AU"/>
              </w:rPr>
              <w:t xml:space="preserve">rior </w:t>
            </w:r>
            <w:r w:rsidRPr="00B93493">
              <w:rPr>
                <w:b/>
                <w:lang w:eastAsia="en-AU"/>
              </w:rPr>
              <w:t>t</w:t>
            </w:r>
            <w:r w:rsidR="00B65FDD" w:rsidRPr="00B93493">
              <w:rPr>
                <w:b/>
                <w:lang w:eastAsia="en-AU"/>
              </w:rPr>
              <w:t>herapy</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B65FDD" w:rsidP="005B0DDC">
            <w:pPr>
              <w:pStyle w:val="Tabletext0"/>
              <w:rPr>
                <w:lang w:eastAsia="en-AU"/>
              </w:rPr>
            </w:pPr>
            <w:r w:rsidRPr="00B93493">
              <w:rPr>
                <w:lang w:eastAsia="en-AU"/>
              </w:rPr>
              <w:t xml:space="preserve">Neo </w:t>
            </w:r>
            <w:r w:rsidR="005B0DDC" w:rsidRPr="00B93493">
              <w:rPr>
                <w:lang w:eastAsia="en-AU"/>
              </w:rPr>
              <w:t>a</w:t>
            </w:r>
            <w:r w:rsidRPr="00B93493">
              <w:rPr>
                <w:lang w:eastAsia="en-AU"/>
              </w:rPr>
              <w:t>djuvant</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9/19 (47.4)</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13/22 (59.1)</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0.53 (0.20, 1.41)</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rPr>
                <w:lang w:eastAsia="en-AU"/>
              </w:rPr>
            </w:pPr>
            <w:r w:rsidRPr="00B93493">
              <w:rPr>
                <w:lang w:eastAsia="en-AU"/>
              </w:rPr>
              <w:t>Adjuvant</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5/12 (41.7)</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22/31 (71.0)</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0.53 (0.18, 1.57)</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F21E16" w:rsidP="00B65FDD">
            <w:pPr>
              <w:pStyle w:val="Tabletext0"/>
              <w:rPr>
                <w:lang w:eastAsia="en-AU"/>
              </w:rPr>
            </w:pPr>
            <w:r>
              <w:rPr>
                <w:lang w:eastAsia="en-AU"/>
              </w:rPr>
              <w:t xml:space="preserve">First </w:t>
            </w:r>
            <w:r w:rsidR="00B65FDD" w:rsidRPr="00B93493">
              <w:rPr>
                <w:lang w:eastAsia="en-AU"/>
              </w:rPr>
              <w:t>line metastatic</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104/183 (56.8)</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99/157 (63.1)</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0.72 (0.54, 0.95)</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F21E16" w:rsidP="00B65FDD">
            <w:pPr>
              <w:pStyle w:val="Tabletext0"/>
              <w:rPr>
                <w:lang w:eastAsia="en-AU"/>
              </w:rPr>
            </w:pPr>
            <w:r>
              <w:rPr>
                <w:lang w:eastAsia="en-AU"/>
              </w:rPr>
              <w:t xml:space="preserve">Second </w:t>
            </w:r>
            <w:r w:rsidR="00B65FDD" w:rsidRPr="00B93493">
              <w:rPr>
                <w:lang w:eastAsia="en-AU"/>
              </w:rPr>
              <w:t>line metastatic</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36/55 (65.5)</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44/60 (73.3)</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0.83 (0.52, 1.33)</w:t>
            </w:r>
          </w:p>
        </w:tc>
      </w:tr>
      <w:tr w:rsidR="00B65FDD" w:rsidRPr="00B93493">
        <w:tc>
          <w:tcPr>
            <w:tcW w:w="5000" w:type="pct"/>
            <w:gridSpan w:val="5"/>
            <w:tcBorders>
              <w:top w:val="single" w:sz="4" w:space="0" w:color="auto"/>
              <w:left w:val="single" w:sz="4" w:space="0" w:color="auto"/>
              <w:bottom w:val="single" w:sz="4" w:space="0" w:color="auto"/>
              <w:right w:val="single" w:sz="4" w:space="0" w:color="auto"/>
            </w:tcBorders>
          </w:tcPr>
          <w:p w:rsidR="00B65FDD" w:rsidRPr="00B93493" w:rsidRDefault="00B65FDD" w:rsidP="005B0DDC">
            <w:pPr>
              <w:pStyle w:val="Tabletext0"/>
              <w:rPr>
                <w:b/>
              </w:rPr>
            </w:pPr>
            <w:r w:rsidRPr="00B93493">
              <w:rPr>
                <w:b/>
                <w:lang w:eastAsia="en-AU"/>
              </w:rPr>
              <w:t xml:space="preserve">Time from </w:t>
            </w:r>
            <w:r w:rsidR="005B0DDC" w:rsidRPr="00B93493">
              <w:rPr>
                <w:b/>
                <w:lang w:eastAsia="en-AU"/>
              </w:rPr>
              <w:t>c</w:t>
            </w:r>
            <w:r w:rsidRPr="00B93493">
              <w:rPr>
                <w:b/>
                <w:lang w:eastAsia="en-AU"/>
              </w:rPr>
              <w:t>hemotherapy</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B65FDD" w:rsidP="00F21E16">
            <w:pPr>
              <w:pStyle w:val="Tabletext0"/>
              <w:rPr>
                <w:lang w:eastAsia="en-AU"/>
              </w:rPr>
            </w:pPr>
            <w:r w:rsidRPr="00B93493">
              <w:rPr>
                <w:rFonts w:ascii="MS Gothic" w:eastAsia="MS Gothic"/>
                <w:color w:val="000000"/>
              </w:rPr>
              <w:t>≥</w:t>
            </w:r>
            <w:r w:rsidRPr="00B93493">
              <w:t xml:space="preserve">3 </w:t>
            </w:r>
            <w:r w:rsidR="005B0DDC" w:rsidRPr="00B93493">
              <w:t>m</w:t>
            </w:r>
            <w:r w:rsidRPr="00B93493">
              <w:t>onths</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88/166 (53.0)</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105/167 (62.9)</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0.66 (0.49, 0.89)</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5B0DDC" w:rsidP="00F21E16">
            <w:pPr>
              <w:pStyle w:val="Tabletext0"/>
              <w:rPr>
                <w:lang w:eastAsia="en-AU"/>
              </w:rPr>
            </w:pPr>
            <w:r w:rsidRPr="00B93493">
              <w:rPr>
                <w:lang w:eastAsia="en-AU"/>
              </w:rPr>
              <w:t>&lt;3 m</w:t>
            </w:r>
            <w:r w:rsidR="00B65FDD" w:rsidRPr="00B93493">
              <w:rPr>
                <w:lang w:eastAsia="en-AU"/>
              </w:rPr>
              <w:t>onths</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66/103 (64.1)</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74/104 (71.2)</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0.82 (0.58, 1.15)</w:t>
            </w:r>
          </w:p>
        </w:tc>
      </w:tr>
      <w:tr w:rsidR="00B65FDD" w:rsidRPr="00B93493">
        <w:tc>
          <w:tcPr>
            <w:tcW w:w="5000" w:type="pct"/>
            <w:gridSpan w:val="5"/>
            <w:tcBorders>
              <w:top w:val="single" w:sz="4" w:space="0" w:color="auto"/>
              <w:left w:val="single" w:sz="4" w:space="0" w:color="auto"/>
              <w:bottom w:val="single" w:sz="4" w:space="0" w:color="auto"/>
              <w:right w:val="single" w:sz="4" w:space="0" w:color="auto"/>
            </w:tcBorders>
          </w:tcPr>
          <w:p w:rsidR="00B65FDD" w:rsidRPr="00B93493" w:rsidRDefault="00B65FDD" w:rsidP="005B0DDC">
            <w:pPr>
              <w:pStyle w:val="Tabletext0"/>
              <w:rPr>
                <w:b/>
              </w:rPr>
            </w:pPr>
            <w:r w:rsidRPr="00B93493">
              <w:rPr>
                <w:b/>
                <w:lang w:eastAsia="en-AU"/>
              </w:rPr>
              <w:t xml:space="preserve">Baseline </w:t>
            </w:r>
            <w:r w:rsidR="005B0DDC" w:rsidRPr="00B93493">
              <w:rPr>
                <w:b/>
                <w:lang w:eastAsia="en-AU"/>
              </w:rPr>
              <w:t>t</w:t>
            </w:r>
            <w:r w:rsidRPr="00B93493">
              <w:rPr>
                <w:b/>
                <w:lang w:eastAsia="en-AU"/>
              </w:rPr>
              <w:t xml:space="preserve">umour </w:t>
            </w:r>
            <w:r w:rsidR="005B0DDC" w:rsidRPr="00B93493">
              <w:rPr>
                <w:b/>
                <w:lang w:eastAsia="en-AU"/>
              </w:rPr>
              <w:t>v</w:t>
            </w:r>
            <w:r w:rsidRPr="00B93493">
              <w:rPr>
                <w:b/>
                <w:lang w:eastAsia="en-AU"/>
              </w:rPr>
              <w:t>olume</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B65FDD" w:rsidP="005B0DDC">
            <w:pPr>
              <w:pStyle w:val="Tabletext0"/>
              <w:rPr>
                <w:lang w:eastAsia="en-AU"/>
              </w:rPr>
            </w:pPr>
            <w:r w:rsidRPr="00B93493">
              <w:rPr>
                <w:lang w:eastAsia="en-AU"/>
              </w:rPr>
              <w:t xml:space="preserve">&lt; </w:t>
            </w:r>
            <w:r w:rsidR="005B0DDC" w:rsidRPr="00B93493">
              <w:rPr>
                <w:lang w:eastAsia="en-AU"/>
              </w:rPr>
              <w:t>m</w:t>
            </w:r>
            <w:r w:rsidRPr="00B93493">
              <w:rPr>
                <w:lang w:eastAsia="en-AU"/>
              </w:rPr>
              <w:t>edian</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63/132 (47.7)</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68/117 (58.1)</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0.54 (0.38, 0.78)</w:t>
            </w:r>
          </w:p>
        </w:tc>
      </w:tr>
      <w:tr w:rsidR="00195361" w:rsidRPr="00B93493" w:rsidTr="00F21E16">
        <w:tc>
          <w:tcPr>
            <w:tcW w:w="1093"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rPr>
                <w:lang w:eastAsia="en-AU"/>
              </w:rPr>
            </w:pPr>
            <w:r w:rsidRPr="00B93493">
              <w:rPr>
                <w:rFonts w:ascii="MS Gothic" w:eastAsia="MS Gothic"/>
                <w:color w:val="000000"/>
              </w:rPr>
              <w:t>≥</w:t>
            </w:r>
            <w:r w:rsidR="005B0DDC" w:rsidRPr="00B93493">
              <w:t xml:space="preserve"> m</w:t>
            </w:r>
            <w:r w:rsidRPr="00B93493">
              <w:t>edian</w:t>
            </w:r>
          </w:p>
        </w:tc>
        <w:tc>
          <w:tcPr>
            <w:tcW w:w="117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pPr>
            <w:r w:rsidRPr="00B93493">
              <w:t>81/115 (70.4)</w:t>
            </w:r>
          </w:p>
        </w:tc>
        <w:tc>
          <w:tcPr>
            <w:tcW w:w="1007"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102/135 (75.6)</w:t>
            </w:r>
          </w:p>
        </w:tc>
        <w:tc>
          <w:tcPr>
            <w:tcW w:w="631"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rPr>
                <w:lang w:eastAsia="en-AU"/>
              </w:rPr>
              <w:t>NR</w:t>
            </w:r>
          </w:p>
        </w:tc>
        <w:tc>
          <w:tcPr>
            <w:tcW w:w="1092" w:type="pct"/>
            <w:tcBorders>
              <w:top w:val="single" w:sz="4" w:space="0" w:color="auto"/>
              <w:left w:val="single" w:sz="4" w:space="0" w:color="auto"/>
              <w:bottom w:val="single" w:sz="4" w:space="0" w:color="auto"/>
              <w:right w:val="single" w:sz="4" w:space="0" w:color="auto"/>
            </w:tcBorders>
          </w:tcPr>
          <w:p w:rsidR="00B65FDD" w:rsidRPr="00B93493" w:rsidRDefault="00B65FDD" w:rsidP="00B65FDD">
            <w:pPr>
              <w:pStyle w:val="Tabletext0"/>
              <w:jc w:val="center"/>
              <w:rPr>
                <w:lang w:eastAsia="en-AU"/>
              </w:rPr>
            </w:pPr>
            <w:r w:rsidRPr="00B93493">
              <w:t>0.91 (0.68, 1.23)</w:t>
            </w:r>
          </w:p>
        </w:tc>
      </w:tr>
    </w:tbl>
    <w:p w:rsidR="00B65FDD" w:rsidRPr="00B93493" w:rsidRDefault="00B65FDD" w:rsidP="00D11B70">
      <w:pPr>
        <w:pStyle w:val="TableFooter"/>
      </w:pPr>
      <w:r w:rsidRPr="00B93493">
        <w:t>Source: Table 14.2-11 p324 CSR Att 11 o</w:t>
      </w:r>
      <w:r w:rsidR="00E65207">
        <w:t>f</w:t>
      </w:r>
      <w:r w:rsidRPr="00B93493">
        <w:t xml:space="preserve"> the submission.</w:t>
      </w:r>
    </w:p>
    <w:p w:rsidR="00B65FDD" w:rsidRPr="00B93493" w:rsidRDefault="00B65FDD" w:rsidP="00D11B70">
      <w:pPr>
        <w:pStyle w:val="TableFooter"/>
      </w:pPr>
      <w:r w:rsidRPr="00B93493">
        <w:t>Notes: KN045 Second interim data cut= September 7, 2016, Length of follow-up=14.5 months (median).</w:t>
      </w:r>
      <w:r w:rsidRPr="00B93493">
        <w:br/>
        <w:t>Hazard ratios based on Cox regression model with treatment as covariates and stratified by Eastern Cooperative Oncology Group (ECOG) Performance Scale (0/1 vs. 2), presence or absence of liver metastases, hemoglobin (≥10 g/dL vs. &lt;10 g/dL), and time from completion of most recent chemotherapy (&lt;3 months or ≥3 months).</w:t>
      </w:r>
    </w:p>
    <w:p w:rsidR="00B65FDD" w:rsidRPr="00B93493" w:rsidRDefault="00B65FDD" w:rsidP="00D11B70">
      <w:pPr>
        <w:pStyle w:val="TableFooter"/>
      </w:pPr>
      <w:r w:rsidRPr="00B93493">
        <w:t>Abbreviations: CI = confidence interval; n = number of participants with event; N = total participants in group; NR = not reported; SOC= active chemotherapy</w:t>
      </w:r>
    </w:p>
    <w:p w:rsidR="00C317F3" w:rsidRPr="009239CA" w:rsidRDefault="00C317F3" w:rsidP="00772501">
      <w:pPr>
        <w:pStyle w:val="Heading2"/>
      </w:pPr>
      <w:bookmarkStart w:id="24" w:name="_Toc413139279"/>
      <w:bookmarkStart w:id="25" w:name="_Toc492274924"/>
      <w:r w:rsidRPr="009239CA">
        <w:t>Comparative harms</w:t>
      </w:r>
      <w:bookmarkEnd w:id="24"/>
      <w:bookmarkEnd w:id="25"/>
    </w:p>
    <w:p w:rsidR="00AA1D35" w:rsidRPr="00B93493" w:rsidRDefault="001E4E29" w:rsidP="00C47FDA">
      <w:pPr>
        <w:pStyle w:val="ListParagraph"/>
        <w:numPr>
          <w:ilvl w:val="1"/>
          <w:numId w:val="19"/>
        </w:numPr>
        <w:spacing w:before="0" w:after="120"/>
        <w:jc w:val="both"/>
      </w:pPr>
      <w:r w:rsidRPr="00B93493">
        <w:t xml:space="preserve">The </w:t>
      </w:r>
      <w:r w:rsidR="0014139B" w:rsidRPr="00B93493">
        <w:t xml:space="preserve">Kaplan-Meier </w:t>
      </w:r>
      <w:r w:rsidRPr="00B93493">
        <w:t>average duration of treatment exposure for participants was 5.6 months (SD</w:t>
      </w:r>
      <w:r w:rsidR="007C66BD" w:rsidRPr="00B93493">
        <w:t>=</w:t>
      </w:r>
      <w:r w:rsidRPr="00B93493">
        <w:t>5.37) in the pembrolizumab arm, compared to 2.74 months (SD</w:t>
      </w:r>
      <w:r w:rsidR="007C66BD" w:rsidRPr="00B93493">
        <w:t>=</w:t>
      </w:r>
      <w:r w:rsidRPr="00B93493">
        <w:t>2.71) in the SOC arm. Pembrolizumab appears to have a more favourable safety profile compared with SOC. The total number of events, treatment</w:t>
      </w:r>
      <w:r w:rsidR="007638B0">
        <w:t>-</w:t>
      </w:r>
      <w:r w:rsidRPr="00B93493">
        <w:t>related adverse events, and adverse events leading to discontinuation were all higher in the SOC group than the pembrolizumab group</w:t>
      </w:r>
      <w:r w:rsidR="000903CB" w:rsidRPr="00B93493">
        <w:t xml:space="preserve"> (see Table 10)</w:t>
      </w:r>
      <w:r w:rsidRPr="00B93493">
        <w:t xml:space="preserve">. There was a higher rate of adverse events resulting in death in the pembrolizumab arm, although not statistically significant. </w:t>
      </w:r>
      <w:r w:rsidR="007C66BD" w:rsidRPr="00B93493">
        <w:t>Data on t</w:t>
      </w:r>
      <w:r w:rsidRPr="00B93493">
        <w:t xml:space="preserve">he underlying cause of death showed that </w:t>
      </w:r>
      <w:r w:rsidR="001E368B">
        <w:rPr>
          <w:noProof/>
          <w:color w:val="000000"/>
          <w:highlight w:val="black"/>
        </w:rPr>
        <w:t>''' '''' '''''' ''</w:t>
      </w:r>
      <w:r w:rsidRPr="00B93493">
        <w:t xml:space="preserve"> patients in the pembrolizumab arm died of pneumonia, compared with only </w:t>
      </w:r>
      <w:r w:rsidR="001E368B">
        <w:rPr>
          <w:noProof/>
          <w:color w:val="000000"/>
          <w:highlight w:val="black"/>
        </w:rPr>
        <w:t>'''</w:t>
      </w:r>
      <w:r w:rsidR="002A5649" w:rsidRPr="00B93493">
        <w:t xml:space="preserve"> </w:t>
      </w:r>
      <w:r w:rsidRPr="00B93493">
        <w:t>in the SOC arm</w:t>
      </w:r>
      <w:r w:rsidR="00E53213" w:rsidRPr="00B93493">
        <w:t xml:space="preserve"> The ESC considered this to be consistent with use in clinical practice</w:t>
      </w:r>
      <w:r w:rsidR="00FB34DD" w:rsidRPr="00B93493">
        <w:t xml:space="preserve">. </w:t>
      </w:r>
      <w:r w:rsidR="005B0DDC" w:rsidRPr="00B93493">
        <w:t>T</w:t>
      </w:r>
      <w:r w:rsidR="00FB34DD" w:rsidRPr="00B93493">
        <w:t xml:space="preserve">he ESC </w:t>
      </w:r>
      <w:r w:rsidR="005B0DDC" w:rsidRPr="00B93493">
        <w:t xml:space="preserve">also </w:t>
      </w:r>
      <w:r w:rsidR="00FB34DD" w:rsidRPr="00B93493">
        <w:t>advised that</w:t>
      </w:r>
      <w:r w:rsidR="008D376B" w:rsidRPr="00B93493">
        <w:t xml:space="preserve"> </w:t>
      </w:r>
      <w:r w:rsidR="00FB34DD" w:rsidRPr="00B93493">
        <w:t>the</w:t>
      </w:r>
      <w:r w:rsidR="005B0DDC" w:rsidRPr="00B93493">
        <w:t>se</w:t>
      </w:r>
      <w:r w:rsidR="00FB34DD" w:rsidRPr="00B93493">
        <w:t xml:space="preserve"> </w:t>
      </w:r>
      <w:r w:rsidR="008D376B" w:rsidRPr="00B93493">
        <w:t xml:space="preserve">complications </w:t>
      </w:r>
      <w:r w:rsidR="005B0DDC" w:rsidRPr="00B93493">
        <w:t>were serious but</w:t>
      </w:r>
      <w:r w:rsidR="008D376B" w:rsidRPr="00B93493">
        <w:t xml:space="preserve"> rare</w:t>
      </w:r>
      <w:r w:rsidR="00FB34DD" w:rsidRPr="00B93493">
        <w:t>.</w:t>
      </w:r>
    </w:p>
    <w:p w:rsidR="000903CB" w:rsidRPr="000E19AE" w:rsidRDefault="007638B0" w:rsidP="005B0DDC">
      <w:pPr>
        <w:keepNext/>
        <w:jc w:val="both"/>
        <w:rPr>
          <w:rFonts w:ascii="Arial Narrow" w:eastAsia="Calibri" w:hAnsi="Arial Narrow"/>
          <w:b/>
          <w:bCs/>
          <w:sz w:val="20"/>
          <w:szCs w:val="20"/>
        </w:rPr>
      </w:pPr>
      <w:r>
        <w:rPr>
          <w:rFonts w:ascii="Arial Narrow" w:eastAsia="Calibri" w:hAnsi="Arial Narrow"/>
          <w:b/>
          <w:bCs/>
          <w:sz w:val="20"/>
          <w:szCs w:val="20"/>
        </w:rPr>
        <w:t>Table 10: Treatment-</w:t>
      </w:r>
      <w:r w:rsidR="000903CB" w:rsidRPr="000E19AE">
        <w:rPr>
          <w:rFonts w:ascii="Arial Narrow" w:eastAsia="Calibri" w:hAnsi="Arial Narrow"/>
          <w:b/>
          <w:bCs/>
          <w:sz w:val="20"/>
          <w:szCs w:val="20"/>
        </w:rPr>
        <w:t>related adverse events by category in KN045 (APaT population)</w:t>
      </w:r>
    </w:p>
    <w:tbl>
      <w:tblPr>
        <w:tblStyle w:val="TableGrid9"/>
        <w:tblW w:w="0" w:type="auto"/>
        <w:tblInd w:w="108" w:type="dxa"/>
        <w:tblLook w:val="04A0" w:firstRow="1" w:lastRow="0" w:firstColumn="1" w:lastColumn="0" w:noHBand="0" w:noVBand="1"/>
        <w:tblCaption w:val="Table 10: Treatment-related adverse events by category in KN045 (APaT population)"/>
      </w:tblPr>
      <w:tblGrid>
        <w:gridCol w:w="3542"/>
        <w:gridCol w:w="2128"/>
        <w:gridCol w:w="1418"/>
        <w:gridCol w:w="1984"/>
      </w:tblGrid>
      <w:tr w:rsidR="000903CB" w:rsidRPr="000E19AE" w:rsidTr="008478CE">
        <w:trPr>
          <w:trHeight w:val="379"/>
          <w:tblHeader/>
        </w:trPr>
        <w:tc>
          <w:tcPr>
            <w:tcW w:w="3542"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both"/>
              <w:rPr>
                <w:rFonts w:ascii="Arial Narrow" w:hAnsi="Arial Narrow"/>
                <w:b/>
                <w:sz w:val="20"/>
              </w:rPr>
            </w:pPr>
            <w:r w:rsidRPr="000E19AE">
              <w:rPr>
                <w:rFonts w:ascii="Arial Narrow" w:hAnsi="Arial Narrow"/>
                <w:b/>
                <w:sz w:val="20"/>
              </w:rPr>
              <w:t>KN045</w:t>
            </w:r>
          </w:p>
        </w:tc>
        <w:tc>
          <w:tcPr>
            <w:tcW w:w="2128" w:type="dxa"/>
            <w:tcBorders>
              <w:top w:val="single" w:sz="4" w:space="0" w:color="auto"/>
              <w:left w:val="single" w:sz="4" w:space="0" w:color="auto"/>
              <w:bottom w:val="single" w:sz="4" w:space="0" w:color="auto"/>
              <w:right w:val="single" w:sz="4" w:space="0" w:color="auto"/>
            </w:tcBorders>
          </w:tcPr>
          <w:p w:rsidR="000903CB" w:rsidRPr="000E19AE" w:rsidRDefault="000903CB" w:rsidP="005B0DDC">
            <w:pPr>
              <w:keepNext/>
              <w:spacing w:before="0"/>
              <w:jc w:val="center"/>
              <w:rPr>
                <w:rFonts w:ascii="Arial Narrow" w:hAnsi="Arial Narrow"/>
                <w:b/>
                <w:sz w:val="20"/>
              </w:rPr>
            </w:pPr>
            <w:r w:rsidRPr="000E19AE">
              <w:rPr>
                <w:rFonts w:ascii="Arial Narrow" w:hAnsi="Arial Narrow"/>
                <w:b/>
                <w:sz w:val="20"/>
              </w:rPr>
              <w:t>Pembrolizumab, N=266</w:t>
            </w:r>
            <w:r w:rsidR="005B0DDC">
              <w:rPr>
                <w:rFonts w:ascii="Arial Narrow" w:hAnsi="Arial Narrow"/>
                <w:b/>
                <w:sz w:val="20"/>
              </w:rPr>
              <w:br/>
            </w:r>
            <w:r w:rsidRPr="000E19AE">
              <w:rPr>
                <w:rFonts w:ascii="Arial Narrow" w:hAnsi="Arial Narrow"/>
                <w:b/>
                <w:sz w:val="20"/>
              </w:rPr>
              <w:t>n (%)</w:t>
            </w:r>
          </w:p>
        </w:tc>
        <w:tc>
          <w:tcPr>
            <w:tcW w:w="141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b/>
                <w:sz w:val="20"/>
              </w:rPr>
            </w:pPr>
            <w:r w:rsidRPr="000E19AE">
              <w:rPr>
                <w:rFonts w:ascii="Arial Narrow" w:hAnsi="Arial Narrow"/>
                <w:b/>
                <w:sz w:val="20"/>
              </w:rPr>
              <w:t>SOC, N=255</w:t>
            </w:r>
            <w:r w:rsidRPr="000E19AE">
              <w:rPr>
                <w:rFonts w:ascii="Arial Narrow" w:hAnsi="Arial Narrow"/>
                <w:b/>
                <w:sz w:val="20"/>
              </w:rPr>
              <w:br/>
              <w:t>n (%)</w:t>
            </w:r>
          </w:p>
        </w:tc>
        <w:tc>
          <w:tcPr>
            <w:tcW w:w="1984"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b/>
                <w:sz w:val="20"/>
              </w:rPr>
            </w:pPr>
            <w:r w:rsidRPr="000E19AE">
              <w:rPr>
                <w:rFonts w:ascii="Arial Narrow" w:hAnsi="Arial Narrow"/>
                <w:b/>
                <w:sz w:val="20"/>
              </w:rPr>
              <w:t>Relative risk (95% CI)</w:t>
            </w:r>
          </w:p>
        </w:tc>
      </w:tr>
      <w:tr w:rsidR="000903CB" w:rsidRPr="000E19AE">
        <w:tc>
          <w:tcPr>
            <w:tcW w:w="3542"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both"/>
              <w:rPr>
                <w:rFonts w:ascii="Arial Narrow" w:hAnsi="Arial Narrow"/>
                <w:sz w:val="20"/>
              </w:rPr>
            </w:pPr>
            <w:r w:rsidRPr="000E19AE">
              <w:rPr>
                <w:rFonts w:ascii="Arial Narrow" w:hAnsi="Arial Narrow"/>
                <w:b/>
                <w:sz w:val="20"/>
              </w:rPr>
              <w:t>Any AE</w:t>
            </w:r>
          </w:p>
        </w:tc>
        <w:tc>
          <w:tcPr>
            <w:tcW w:w="212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 xml:space="preserve">162 (60.9) </w:t>
            </w:r>
          </w:p>
        </w:tc>
        <w:tc>
          <w:tcPr>
            <w:tcW w:w="141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230 (90.2)</w:t>
            </w:r>
          </w:p>
        </w:tc>
        <w:tc>
          <w:tcPr>
            <w:tcW w:w="1984"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0.68 (0.61, 0.75)</w:t>
            </w:r>
          </w:p>
        </w:tc>
      </w:tr>
      <w:tr w:rsidR="000903CB" w:rsidRPr="000E19AE">
        <w:tc>
          <w:tcPr>
            <w:tcW w:w="3542"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both"/>
              <w:rPr>
                <w:rFonts w:ascii="Arial Narrow" w:hAnsi="Arial Narrow"/>
                <w:sz w:val="20"/>
              </w:rPr>
            </w:pPr>
            <w:r w:rsidRPr="000E19AE">
              <w:rPr>
                <w:rFonts w:ascii="Arial Narrow" w:hAnsi="Arial Narrow"/>
                <w:b/>
                <w:sz w:val="20"/>
              </w:rPr>
              <w:t>Any SAE (≥ Grade 3)</w:t>
            </w:r>
          </w:p>
        </w:tc>
        <w:tc>
          <w:tcPr>
            <w:tcW w:w="212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 xml:space="preserve">40 (15.0) </w:t>
            </w:r>
          </w:p>
        </w:tc>
        <w:tc>
          <w:tcPr>
            <w:tcW w:w="141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126 (49.4)</w:t>
            </w:r>
          </w:p>
        </w:tc>
        <w:tc>
          <w:tcPr>
            <w:tcW w:w="1984"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0.30 (0.22, 0.42)</w:t>
            </w:r>
          </w:p>
        </w:tc>
      </w:tr>
      <w:tr w:rsidR="000903CB" w:rsidRPr="000E19AE">
        <w:tc>
          <w:tcPr>
            <w:tcW w:w="3542"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both"/>
              <w:rPr>
                <w:rFonts w:ascii="Arial Narrow" w:hAnsi="Arial Narrow"/>
                <w:sz w:val="20"/>
              </w:rPr>
            </w:pPr>
            <w:r w:rsidRPr="000E19AE">
              <w:rPr>
                <w:rFonts w:ascii="Arial Narrow" w:hAnsi="Arial Narrow"/>
                <w:b/>
                <w:sz w:val="20"/>
              </w:rPr>
              <w:t>AE leading to discontinuation of treatment</w:t>
            </w:r>
            <w:r w:rsidRPr="000E19AE">
              <w:rPr>
                <w:rFonts w:ascii="Arial Narrow" w:hAnsi="Arial Narrow"/>
                <w:sz w:val="20"/>
              </w:rPr>
              <w:t xml:space="preserve"> </w:t>
            </w:r>
          </w:p>
        </w:tc>
        <w:tc>
          <w:tcPr>
            <w:tcW w:w="212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15 (5.6)</w:t>
            </w:r>
          </w:p>
        </w:tc>
        <w:tc>
          <w:tcPr>
            <w:tcW w:w="141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28 (11.0)</w:t>
            </w:r>
          </w:p>
        </w:tc>
        <w:tc>
          <w:tcPr>
            <w:tcW w:w="1984"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0.51 (0.28, 0.94)</w:t>
            </w:r>
          </w:p>
        </w:tc>
      </w:tr>
      <w:tr w:rsidR="000903CB" w:rsidRPr="000E19AE">
        <w:tc>
          <w:tcPr>
            <w:tcW w:w="3542"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both"/>
              <w:rPr>
                <w:rFonts w:ascii="Arial Narrow" w:hAnsi="Arial Narrow"/>
                <w:sz w:val="20"/>
              </w:rPr>
            </w:pPr>
            <w:r w:rsidRPr="000E19AE">
              <w:rPr>
                <w:rFonts w:ascii="Arial Narrow" w:hAnsi="Arial Narrow"/>
                <w:b/>
                <w:sz w:val="20"/>
              </w:rPr>
              <w:t>AE resulting in death</w:t>
            </w:r>
            <w:r w:rsidRPr="000E19AE">
              <w:rPr>
                <w:rFonts w:ascii="Arial Narrow" w:hAnsi="Arial Narrow"/>
                <w:sz w:val="20"/>
              </w:rPr>
              <w:t xml:space="preserve"> </w:t>
            </w:r>
          </w:p>
        </w:tc>
        <w:tc>
          <w:tcPr>
            <w:tcW w:w="212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9(3.3)</w:t>
            </w:r>
          </w:p>
        </w:tc>
        <w:tc>
          <w:tcPr>
            <w:tcW w:w="1418"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4 (1.6)</w:t>
            </w:r>
          </w:p>
        </w:tc>
        <w:tc>
          <w:tcPr>
            <w:tcW w:w="1984" w:type="dxa"/>
            <w:tcBorders>
              <w:top w:val="single" w:sz="4" w:space="0" w:color="auto"/>
              <w:left w:val="single" w:sz="4" w:space="0" w:color="auto"/>
              <w:bottom w:val="single" w:sz="4" w:space="0" w:color="auto"/>
              <w:right w:val="single" w:sz="4" w:space="0" w:color="auto"/>
            </w:tcBorders>
          </w:tcPr>
          <w:p w:rsidR="000903CB" w:rsidRPr="000E19AE" w:rsidRDefault="000903CB" w:rsidP="00B112AD">
            <w:pPr>
              <w:keepNext/>
              <w:spacing w:before="0"/>
              <w:jc w:val="center"/>
              <w:rPr>
                <w:rFonts w:ascii="Arial Narrow" w:hAnsi="Arial Narrow"/>
                <w:sz w:val="20"/>
              </w:rPr>
            </w:pPr>
            <w:r w:rsidRPr="000E19AE">
              <w:rPr>
                <w:rFonts w:ascii="Arial Narrow" w:hAnsi="Arial Narrow"/>
                <w:sz w:val="20"/>
              </w:rPr>
              <w:t>0.72 (0.35, 1.49)</w:t>
            </w:r>
          </w:p>
        </w:tc>
      </w:tr>
    </w:tbl>
    <w:p w:rsidR="000903CB" w:rsidRPr="000E19AE" w:rsidRDefault="000903CB" w:rsidP="00733756">
      <w:pPr>
        <w:pStyle w:val="TableFooter"/>
      </w:pPr>
      <w:r w:rsidRPr="000E19AE">
        <w:t>Source: Attachm</w:t>
      </w:r>
      <w:r w:rsidR="00E65207">
        <w:t>ent 2.5, p96 of the commentary.</w:t>
      </w:r>
    </w:p>
    <w:p w:rsidR="000903CB" w:rsidRPr="000E19AE" w:rsidRDefault="000903CB" w:rsidP="00733756">
      <w:pPr>
        <w:pStyle w:val="TableFooter"/>
      </w:pPr>
      <w:r w:rsidRPr="000E19AE">
        <w:t xml:space="preserve">Abbreviations: </w:t>
      </w:r>
      <w:r w:rsidRPr="000E19AE">
        <w:rPr>
          <w:rFonts w:eastAsia="Calibri"/>
        </w:rPr>
        <w:t>APaT, all patients as treated,</w:t>
      </w:r>
      <w:r w:rsidRPr="000E19AE">
        <w:t xml:space="preserve"> SOC = Standard of care, AE = Adverse event, </w:t>
      </w:r>
      <w:r w:rsidRPr="000E19AE">
        <w:rPr>
          <w:rFonts w:eastAsia="Calibri"/>
        </w:rPr>
        <w:t>SAE = serious adverse event</w:t>
      </w:r>
      <w:r w:rsidR="00915209">
        <w:t>.</w:t>
      </w:r>
    </w:p>
    <w:p w:rsidR="002A7614" w:rsidRDefault="002A7614" w:rsidP="00C47FDA">
      <w:pPr>
        <w:pStyle w:val="ListParagraph"/>
        <w:numPr>
          <w:ilvl w:val="1"/>
          <w:numId w:val="19"/>
        </w:numPr>
        <w:spacing w:before="0" w:after="120"/>
        <w:jc w:val="both"/>
      </w:pPr>
      <w:r w:rsidRPr="000E19AE">
        <w:t xml:space="preserve">The extended assessment of comparative harms showed a higher rate of adverse events of significant interest in the pembrolizumab arm </w:t>
      </w:r>
      <w:r w:rsidR="00D667E7" w:rsidRPr="000E19AE">
        <w:t xml:space="preserve">compared to the SOC arm </w:t>
      </w:r>
      <w:r w:rsidRPr="000E19AE">
        <w:t>(16.9% vs. 7.5%). These included colitis (2.3%</w:t>
      </w:r>
      <w:r w:rsidR="00F965B6" w:rsidRPr="000E19AE">
        <w:t xml:space="preserve"> vs. 0.4%</w:t>
      </w:r>
      <w:r w:rsidRPr="000E19AE">
        <w:t>), hypothyroidism (6.4%</w:t>
      </w:r>
      <w:r w:rsidR="00F965B6" w:rsidRPr="000E19AE">
        <w:t xml:space="preserve"> vs. 1.2%</w:t>
      </w:r>
      <w:r w:rsidRPr="000E19AE">
        <w:t>), hyperthyroidism (3.8%</w:t>
      </w:r>
      <w:r w:rsidR="00F965B6" w:rsidRPr="000E19AE">
        <w:t xml:space="preserve"> vs. 0.4%</w:t>
      </w:r>
      <w:r w:rsidRPr="000E19AE">
        <w:t>) and pneumonitis (3.8%</w:t>
      </w:r>
      <w:r w:rsidR="00F965B6" w:rsidRPr="000E19AE">
        <w:t xml:space="preserve"> vs. 0.4%</w:t>
      </w:r>
      <w:r w:rsidRPr="000E19AE">
        <w:t>)</w:t>
      </w:r>
      <w:r w:rsidR="00F965B6" w:rsidRPr="000E19AE">
        <w:t xml:space="preserve"> for pembrolizumab compared with SOC respectively</w:t>
      </w:r>
      <w:r w:rsidRPr="000E19AE">
        <w:t xml:space="preserve">. The TGA </w:t>
      </w:r>
      <w:r w:rsidR="00EB2AA6" w:rsidRPr="000E19AE">
        <w:t>clinical evaluation</w:t>
      </w:r>
      <w:r w:rsidRPr="000E19AE">
        <w:t xml:space="preserve"> report note</w:t>
      </w:r>
      <w:r w:rsidR="001E4E29" w:rsidRPr="000E19AE">
        <w:t>d</w:t>
      </w:r>
      <w:r w:rsidRPr="000E19AE">
        <w:t xml:space="preserve"> that the length of data follow-up </w:t>
      </w:r>
      <w:r w:rsidR="00C6155A" w:rsidRPr="000E19AE">
        <w:t>wa</w:t>
      </w:r>
      <w:r w:rsidRPr="000E19AE">
        <w:t xml:space="preserve">s </w:t>
      </w:r>
      <w:r w:rsidR="00F34EB7" w:rsidRPr="000E19AE">
        <w:t>relatively short</w:t>
      </w:r>
      <w:r w:rsidR="00D667E7" w:rsidRPr="000E19AE">
        <w:t>,</w:t>
      </w:r>
      <w:r w:rsidR="00F34EB7" w:rsidRPr="000E19AE">
        <w:t xml:space="preserve"> but </w:t>
      </w:r>
      <w:r w:rsidR="00C6155A" w:rsidRPr="000E19AE">
        <w:t xml:space="preserve">concluded </w:t>
      </w:r>
      <w:r w:rsidR="001E4E29" w:rsidRPr="000E19AE">
        <w:t xml:space="preserve">that the safety of pembrolizumab </w:t>
      </w:r>
      <w:r w:rsidR="00C6155A" w:rsidRPr="000E19AE">
        <w:t>wa</w:t>
      </w:r>
      <w:r w:rsidR="001E4E29" w:rsidRPr="000E19AE">
        <w:t xml:space="preserve">s superior to cytotoxic options and </w:t>
      </w:r>
      <w:r w:rsidR="00C6155A" w:rsidRPr="000E19AE">
        <w:t xml:space="preserve">appeared </w:t>
      </w:r>
      <w:r w:rsidR="001E4E29" w:rsidRPr="000E19AE">
        <w:t>broadly similar to other PD-</w:t>
      </w:r>
      <w:r w:rsidR="00C6155A" w:rsidRPr="000E19AE">
        <w:t>L</w:t>
      </w:r>
      <w:r w:rsidR="001E4E29" w:rsidRPr="000E19AE">
        <w:t>1 therapies.</w:t>
      </w:r>
    </w:p>
    <w:p w:rsidR="00D041AA" w:rsidRPr="00B93493" w:rsidRDefault="00D041AA" w:rsidP="00AB09EB">
      <w:pPr>
        <w:pStyle w:val="ListParagraph"/>
        <w:numPr>
          <w:ilvl w:val="1"/>
          <w:numId w:val="19"/>
        </w:numPr>
        <w:spacing w:before="0" w:after="120"/>
        <w:jc w:val="both"/>
      </w:pPr>
      <w:r w:rsidRPr="00B93493">
        <w:t xml:space="preserve">The ESC noted that only a small number of patients enrolled in the trial had an ECOG performance status of 2. </w:t>
      </w:r>
      <w:r w:rsidRPr="00B93493">
        <w:rPr>
          <w:color w:val="000000" w:themeColor="text1"/>
        </w:rPr>
        <w:t xml:space="preserve">The ESC </w:t>
      </w:r>
      <w:r w:rsidR="002D61E8" w:rsidRPr="00B93493">
        <w:rPr>
          <w:color w:val="000000" w:themeColor="text1"/>
        </w:rPr>
        <w:t xml:space="preserve">also </w:t>
      </w:r>
      <w:r w:rsidRPr="00B93493">
        <w:rPr>
          <w:color w:val="000000" w:themeColor="text1"/>
        </w:rPr>
        <w:t xml:space="preserve">noted </w:t>
      </w:r>
      <w:r w:rsidR="002D61E8" w:rsidRPr="00B93493">
        <w:rPr>
          <w:color w:val="000000" w:themeColor="text1"/>
        </w:rPr>
        <w:t xml:space="preserve">that </w:t>
      </w:r>
      <w:r w:rsidRPr="00B93493">
        <w:rPr>
          <w:color w:val="000000" w:themeColor="text1"/>
        </w:rPr>
        <w:t>additional data provided in the PSCR (pp1-2) from trial KN-52</w:t>
      </w:r>
      <w:r w:rsidR="002D61E8" w:rsidRPr="00B93493">
        <w:rPr>
          <w:color w:val="000000" w:themeColor="text1"/>
        </w:rPr>
        <w:t>, in which</w:t>
      </w:r>
      <w:r w:rsidRPr="00B93493">
        <w:rPr>
          <w:color w:val="000000" w:themeColor="text1"/>
        </w:rPr>
        <w:t xml:space="preserve"> pembrolizumab was used as first</w:t>
      </w:r>
      <w:r w:rsidR="00F21E16">
        <w:rPr>
          <w:color w:val="000000" w:themeColor="text1"/>
        </w:rPr>
        <w:t>-</w:t>
      </w:r>
      <w:r w:rsidRPr="00B93493">
        <w:rPr>
          <w:color w:val="000000" w:themeColor="text1"/>
        </w:rPr>
        <w:t>line therapy in cisplatin ineligible patients</w:t>
      </w:r>
      <w:r w:rsidR="002D61E8" w:rsidRPr="00B93493">
        <w:rPr>
          <w:color w:val="000000" w:themeColor="text1"/>
        </w:rPr>
        <w:t>,</w:t>
      </w:r>
      <w:r w:rsidRPr="00B93493">
        <w:rPr>
          <w:color w:val="000000" w:themeColor="text1"/>
        </w:rPr>
        <w:t xml:space="preserve"> showed equivalent responses between subjects with ECOG </w:t>
      </w:r>
      <w:r w:rsidR="002D61E8" w:rsidRPr="00B93493">
        <w:rPr>
          <w:color w:val="000000" w:themeColor="text1"/>
        </w:rPr>
        <w:t xml:space="preserve">= </w:t>
      </w:r>
      <w:r w:rsidRPr="00B93493">
        <w:rPr>
          <w:color w:val="000000" w:themeColor="text1"/>
        </w:rPr>
        <w:t xml:space="preserve">0-1 and ECOG = 2. The </w:t>
      </w:r>
      <w:r w:rsidR="00AB09EB">
        <w:rPr>
          <w:color w:val="000000" w:themeColor="text1"/>
        </w:rPr>
        <w:t xml:space="preserve">PBAC agreed with </w:t>
      </w:r>
      <w:r w:rsidR="00FC41BA">
        <w:rPr>
          <w:color w:val="000000" w:themeColor="text1"/>
        </w:rPr>
        <w:t xml:space="preserve">the </w:t>
      </w:r>
      <w:r w:rsidRPr="00B93493">
        <w:rPr>
          <w:color w:val="000000" w:themeColor="text1"/>
        </w:rPr>
        <w:t>ESC</w:t>
      </w:r>
      <w:r w:rsidR="00FC41BA">
        <w:rPr>
          <w:color w:val="000000" w:themeColor="text1"/>
        </w:rPr>
        <w:t xml:space="preserve"> that</w:t>
      </w:r>
      <w:r w:rsidRPr="00B93493">
        <w:rPr>
          <w:color w:val="000000" w:themeColor="text1"/>
        </w:rPr>
        <w:t xml:space="preserve"> given the low toxicity of pembrolizumab compared to chemotherapy, it would be unlikely </w:t>
      </w:r>
      <w:r w:rsidR="002D61E8" w:rsidRPr="00B93493">
        <w:rPr>
          <w:color w:val="000000" w:themeColor="text1"/>
        </w:rPr>
        <w:t xml:space="preserve">that there would be </w:t>
      </w:r>
      <w:r w:rsidRPr="00B93493">
        <w:rPr>
          <w:color w:val="000000" w:themeColor="text1"/>
        </w:rPr>
        <w:t>significant safety issues if patients with ECOG = 2 were able to access treatment with pe</w:t>
      </w:r>
      <w:r w:rsidR="00A214D7" w:rsidRPr="00B93493">
        <w:rPr>
          <w:color w:val="000000" w:themeColor="text1"/>
        </w:rPr>
        <w:t>m</w:t>
      </w:r>
      <w:r w:rsidRPr="00B93493">
        <w:rPr>
          <w:color w:val="000000" w:themeColor="text1"/>
        </w:rPr>
        <w:t>brolizumab.</w:t>
      </w:r>
    </w:p>
    <w:p w:rsidR="00624315" w:rsidRPr="004576EE" w:rsidRDefault="00624315" w:rsidP="00772501">
      <w:pPr>
        <w:pStyle w:val="Heading2"/>
      </w:pPr>
      <w:bookmarkStart w:id="26" w:name="_Toc492274925"/>
      <w:bookmarkStart w:id="27" w:name="_Toc413139281"/>
      <w:r w:rsidRPr="004576EE">
        <w:t>Benefits and harms</w:t>
      </w:r>
      <w:bookmarkEnd w:id="26"/>
    </w:p>
    <w:p w:rsidR="00AA1D35" w:rsidRPr="000E19AE" w:rsidRDefault="00AA1D35" w:rsidP="00C47FDA">
      <w:pPr>
        <w:pStyle w:val="ListParagraph"/>
        <w:numPr>
          <w:ilvl w:val="1"/>
          <w:numId w:val="19"/>
        </w:numPr>
        <w:spacing w:before="0" w:after="120"/>
        <w:jc w:val="both"/>
      </w:pPr>
      <w:r w:rsidRPr="000E19AE">
        <w:t>A summary of the comparative benefits and harms for pembrolizumab versus SOC i</w:t>
      </w:r>
      <w:r w:rsidR="00EC27DA" w:rsidRPr="000E19AE">
        <w:t>s presented in the table below.</w:t>
      </w:r>
    </w:p>
    <w:p w:rsidR="002F2052" w:rsidRDefault="002F2052">
      <w:pPr>
        <w:spacing w:before="0" w:line="259" w:lineRule="auto"/>
        <w:rPr>
          <w:rFonts w:ascii="Arial Narrow" w:hAnsi="Arial Narrow"/>
          <w:b/>
          <w:sz w:val="20"/>
        </w:rPr>
      </w:pPr>
      <w:r>
        <w:br w:type="page"/>
      </w:r>
    </w:p>
    <w:p w:rsidR="00AA1D35" w:rsidRPr="000E19AE" w:rsidRDefault="00AA1D35" w:rsidP="00AA1D35">
      <w:pPr>
        <w:pStyle w:val="TableHeading0"/>
      </w:pPr>
      <w:r w:rsidRPr="000E19AE">
        <w:t xml:space="preserve">Table </w:t>
      </w:r>
      <w:r w:rsidR="005329F3" w:rsidRPr="000E19AE">
        <w:t>11</w:t>
      </w:r>
      <w:r w:rsidRPr="000E19AE">
        <w:t>: Summary of comparative benefits and harms for pembrolizumab and SOC</w:t>
      </w:r>
    </w:p>
    <w:tbl>
      <w:tblPr>
        <w:tblStyle w:val="TableGrid"/>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Summary of comparative benefits and harms for pembrolizumab and SOC"/>
      </w:tblPr>
      <w:tblGrid>
        <w:gridCol w:w="2697"/>
        <w:gridCol w:w="1278"/>
        <w:gridCol w:w="714"/>
        <w:gridCol w:w="1137"/>
        <w:gridCol w:w="133"/>
        <w:gridCol w:w="1416"/>
        <w:gridCol w:w="289"/>
        <w:gridCol w:w="277"/>
        <w:gridCol w:w="1130"/>
      </w:tblGrid>
      <w:tr w:rsidR="00AA1D35" w:rsidRPr="000E19AE" w:rsidTr="008478CE">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pPr>
              <w:pStyle w:val="TableText"/>
              <w:rPr>
                <w:u w:val="single"/>
              </w:rPr>
            </w:pPr>
            <w:r w:rsidRPr="000E19AE">
              <w:rPr>
                <w:u w:val="single"/>
              </w:rPr>
              <w:t>Benefits</w:t>
            </w:r>
          </w:p>
        </w:tc>
      </w:tr>
      <w:tr w:rsidR="00D471DE" w:rsidRPr="000E19AE">
        <w:tc>
          <w:tcPr>
            <w:tcW w:w="148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rPr>
                <w:b/>
              </w:rPr>
            </w:pPr>
            <w:r w:rsidRPr="000E19AE">
              <w:rPr>
                <w:b/>
              </w:rPr>
              <w:t>Event</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AA1D35" w:rsidRPr="000E19AE" w:rsidRDefault="00AA1D35" w:rsidP="00D471DE">
            <w:pPr>
              <w:pStyle w:val="TableText"/>
              <w:jc w:val="center"/>
              <w:rPr>
                <w:b/>
              </w:rPr>
            </w:pPr>
            <w:r w:rsidRPr="000E19AE">
              <w:rPr>
                <w:b/>
              </w:rPr>
              <w:t>Pembrolizumab</w:t>
            </w:r>
            <w:r w:rsidR="00D471DE" w:rsidRPr="000E19AE">
              <w:rPr>
                <w:b/>
              </w:rPr>
              <w:t xml:space="preserve">, </w:t>
            </w:r>
            <w:r w:rsidRPr="000E19AE">
              <w:rPr>
                <w:b/>
              </w:rPr>
              <w:t>N= 270</w:t>
            </w:r>
          </w:p>
        </w:tc>
        <w:tc>
          <w:tcPr>
            <w:tcW w:w="62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D471DE">
            <w:pPr>
              <w:pStyle w:val="TableText"/>
              <w:jc w:val="center"/>
              <w:rPr>
                <w:b/>
              </w:rPr>
            </w:pPr>
            <w:r w:rsidRPr="000E19AE">
              <w:rPr>
                <w:b/>
              </w:rPr>
              <w:t>SOC</w:t>
            </w:r>
            <w:r w:rsidR="00D471DE" w:rsidRPr="000E19AE">
              <w:rPr>
                <w:b/>
              </w:rPr>
              <w:t xml:space="preserve">, </w:t>
            </w:r>
            <w:r w:rsidRPr="000E19AE">
              <w:rPr>
                <w:b/>
              </w:rPr>
              <w:t>N=272</w:t>
            </w:r>
          </w:p>
        </w:tc>
        <w:tc>
          <w:tcPr>
            <w:tcW w:w="1015" w:type="pct"/>
            <w:gridSpan w:val="3"/>
            <w:tcBorders>
              <w:top w:val="single" w:sz="4" w:space="0" w:color="auto"/>
              <w:left w:val="single" w:sz="4" w:space="0" w:color="auto"/>
              <w:bottom w:val="single" w:sz="4" w:space="0" w:color="auto"/>
              <w:right w:val="single" w:sz="4" w:space="0" w:color="auto"/>
            </w:tcBorders>
            <w:vAlign w:val="center"/>
          </w:tcPr>
          <w:p w:rsidR="00AA1D35" w:rsidRPr="000E19AE" w:rsidRDefault="00D471DE" w:rsidP="00D471DE">
            <w:pPr>
              <w:pStyle w:val="TableText"/>
              <w:jc w:val="center"/>
              <w:rPr>
                <w:rFonts w:asciiTheme="minorHAnsi" w:hAnsiTheme="minorHAnsi"/>
                <w:b/>
              </w:rPr>
            </w:pPr>
            <w:r w:rsidRPr="000E19AE">
              <w:rPr>
                <w:b/>
              </w:rPr>
              <w:t>Absolute d</w:t>
            </w:r>
            <w:r w:rsidR="00AA1D35" w:rsidRPr="000E19AE">
              <w:rPr>
                <w:b/>
              </w:rPr>
              <w:t>ifference</w:t>
            </w:r>
          </w:p>
        </w:tc>
        <w:tc>
          <w:tcPr>
            <w:tcW w:w="776" w:type="pct"/>
            <w:gridSpan w:val="2"/>
            <w:tcBorders>
              <w:top w:val="single" w:sz="4" w:space="0" w:color="auto"/>
              <w:left w:val="single" w:sz="4" w:space="0" w:color="auto"/>
              <w:bottom w:val="single" w:sz="4" w:space="0" w:color="auto"/>
              <w:right w:val="single" w:sz="4" w:space="0" w:color="auto"/>
            </w:tcBorders>
            <w:vAlign w:val="center"/>
          </w:tcPr>
          <w:p w:rsidR="00AA1D35" w:rsidRPr="000E19AE" w:rsidRDefault="00AA1D35" w:rsidP="00D471DE">
            <w:pPr>
              <w:pStyle w:val="TableText"/>
              <w:jc w:val="center"/>
              <w:rPr>
                <w:b/>
              </w:rPr>
            </w:pPr>
            <w:r w:rsidRPr="000E19AE">
              <w:rPr>
                <w:b/>
              </w:rPr>
              <w:t>HR (95% CI)</w:t>
            </w:r>
          </w:p>
        </w:tc>
      </w:tr>
      <w:tr w:rsidR="00D471DE" w:rsidRPr="000E19AE">
        <w:tc>
          <w:tcPr>
            <w:tcW w:w="148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pPr>
            <w:r w:rsidRPr="000E19AE">
              <w:t>Progressed at 18.5 months, n (%)</w:t>
            </w:r>
          </w:p>
        </w:tc>
        <w:tc>
          <w:tcPr>
            <w:tcW w:w="1095" w:type="pct"/>
            <w:gridSpan w:val="2"/>
            <w:tcBorders>
              <w:top w:val="single" w:sz="4" w:space="0" w:color="auto"/>
              <w:left w:val="single" w:sz="4" w:space="0" w:color="auto"/>
              <w:bottom w:val="single" w:sz="4" w:space="0" w:color="auto"/>
              <w:right w:val="single" w:sz="4" w:space="0" w:color="auto"/>
            </w:tcBorders>
          </w:tcPr>
          <w:p w:rsidR="00AA1D35" w:rsidRPr="001E368B" w:rsidRDefault="001E368B" w:rsidP="00D471DE">
            <w:pPr>
              <w:pStyle w:val="TableText"/>
              <w:jc w:val="center"/>
              <w:rPr>
                <w:highlight w:val="black"/>
              </w:rPr>
            </w:pPr>
            <w:r>
              <w:rPr>
                <w:noProof/>
                <w:color w:val="000000"/>
                <w:highlight w:val="black"/>
              </w:rPr>
              <w:t>'''''''''' ''''''''''''''</w:t>
            </w:r>
          </w:p>
        </w:tc>
        <w:tc>
          <w:tcPr>
            <w:tcW w:w="627" w:type="pct"/>
            <w:tcBorders>
              <w:top w:val="single" w:sz="4" w:space="0" w:color="auto"/>
              <w:left w:val="single" w:sz="4" w:space="0" w:color="auto"/>
              <w:bottom w:val="single" w:sz="4" w:space="0" w:color="auto"/>
              <w:right w:val="single" w:sz="4" w:space="0" w:color="auto"/>
            </w:tcBorders>
          </w:tcPr>
          <w:p w:rsidR="00AA1D35" w:rsidRPr="001E368B" w:rsidRDefault="001E368B" w:rsidP="00D471DE">
            <w:pPr>
              <w:pStyle w:val="TableText"/>
              <w:jc w:val="center"/>
              <w:rPr>
                <w:highlight w:val="black"/>
              </w:rPr>
            </w:pPr>
            <w:r>
              <w:rPr>
                <w:noProof/>
                <w:color w:val="000000"/>
                <w:highlight w:val="black"/>
              </w:rPr>
              <w:t>''''''''' ''''''''''''''</w:t>
            </w:r>
          </w:p>
        </w:tc>
        <w:tc>
          <w:tcPr>
            <w:tcW w:w="1015" w:type="pct"/>
            <w:gridSpan w:val="3"/>
            <w:tcBorders>
              <w:top w:val="single" w:sz="4" w:space="0" w:color="auto"/>
              <w:left w:val="single" w:sz="4" w:space="0" w:color="auto"/>
              <w:bottom w:val="single" w:sz="4" w:space="0" w:color="auto"/>
              <w:right w:val="single" w:sz="4" w:space="0" w:color="auto"/>
            </w:tcBorders>
            <w:vAlign w:val="center"/>
          </w:tcPr>
          <w:p w:rsidR="00AA1D35" w:rsidRPr="001E368B" w:rsidRDefault="001E368B" w:rsidP="00D471DE">
            <w:pPr>
              <w:pStyle w:val="TableText"/>
              <w:jc w:val="center"/>
              <w:rPr>
                <w:highlight w:val="black"/>
              </w:rPr>
            </w:pPr>
            <w:r>
              <w:rPr>
                <w:noProof/>
                <w:color w:val="000000"/>
                <w:highlight w:val="black"/>
              </w:rPr>
              <w:t>''' '''''''''''</w:t>
            </w:r>
          </w:p>
        </w:tc>
        <w:tc>
          <w:tcPr>
            <w:tcW w:w="776" w:type="pct"/>
            <w:gridSpan w:val="2"/>
            <w:tcBorders>
              <w:top w:val="single" w:sz="4" w:space="0" w:color="auto"/>
              <w:left w:val="single" w:sz="4" w:space="0" w:color="auto"/>
              <w:bottom w:val="single" w:sz="4" w:space="0" w:color="auto"/>
              <w:right w:val="single" w:sz="4" w:space="0" w:color="auto"/>
            </w:tcBorders>
            <w:vAlign w:val="center"/>
          </w:tcPr>
          <w:p w:rsidR="00AA1D35" w:rsidRPr="001E368B" w:rsidRDefault="001E368B" w:rsidP="00D471DE">
            <w:pPr>
              <w:pStyle w:val="TableText"/>
              <w:jc w:val="center"/>
              <w:rPr>
                <w:highlight w:val="black"/>
              </w:rPr>
            </w:pPr>
            <w:r>
              <w:rPr>
                <w:noProof/>
                <w:color w:val="000000"/>
                <w:highlight w:val="black"/>
              </w:rPr>
              <w:t>'''''''''' ''''''''''''' ''''''''''''''</w:t>
            </w:r>
          </w:p>
        </w:tc>
      </w:tr>
      <w:tr w:rsidR="00D471DE" w:rsidRPr="000E19AE">
        <w:tc>
          <w:tcPr>
            <w:tcW w:w="148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pPr>
            <w:r w:rsidRPr="000E19AE">
              <w:t>Alive at 18.5 months, n (%)</w:t>
            </w:r>
          </w:p>
        </w:tc>
        <w:tc>
          <w:tcPr>
            <w:tcW w:w="1095" w:type="pct"/>
            <w:gridSpan w:val="2"/>
            <w:tcBorders>
              <w:top w:val="single" w:sz="4" w:space="0" w:color="auto"/>
              <w:left w:val="single" w:sz="4" w:space="0" w:color="auto"/>
              <w:bottom w:val="single" w:sz="4" w:space="0" w:color="auto"/>
              <w:right w:val="single" w:sz="4" w:space="0" w:color="auto"/>
            </w:tcBorders>
          </w:tcPr>
          <w:p w:rsidR="00AA1D35" w:rsidRPr="001E368B" w:rsidRDefault="001E368B" w:rsidP="00D471DE">
            <w:pPr>
              <w:pStyle w:val="TableText"/>
              <w:jc w:val="center"/>
              <w:rPr>
                <w:highlight w:val="black"/>
              </w:rPr>
            </w:pPr>
            <w:r>
              <w:rPr>
                <w:noProof/>
                <w:color w:val="000000"/>
                <w:highlight w:val="black"/>
              </w:rPr>
              <w:t>'''''''''' '''''''''</w:t>
            </w:r>
          </w:p>
        </w:tc>
        <w:tc>
          <w:tcPr>
            <w:tcW w:w="627" w:type="pct"/>
            <w:tcBorders>
              <w:top w:val="single" w:sz="4" w:space="0" w:color="auto"/>
              <w:left w:val="single" w:sz="4" w:space="0" w:color="auto"/>
              <w:bottom w:val="single" w:sz="4" w:space="0" w:color="auto"/>
              <w:right w:val="single" w:sz="4" w:space="0" w:color="auto"/>
            </w:tcBorders>
          </w:tcPr>
          <w:p w:rsidR="00AA1D35" w:rsidRPr="001E368B" w:rsidRDefault="001E368B" w:rsidP="00D471DE">
            <w:pPr>
              <w:pStyle w:val="TableText"/>
              <w:jc w:val="center"/>
              <w:rPr>
                <w:highlight w:val="black"/>
              </w:rPr>
            </w:pPr>
            <w:r>
              <w:rPr>
                <w:noProof/>
                <w:color w:val="000000"/>
                <w:highlight w:val="black"/>
              </w:rPr>
              <w:t>''''' '''''''''''''''</w:t>
            </w:r>
          </w:p>
        </w:tc>
        <w:tc>
          <w:tcPr>
            <w:tcW w:w="1015" w:type="pct"/>
            <w:gridSpan w:val="3"/>
            <w:tcBorders>
              <w:top w:val="single" w:sz="4" w:space="0" w:color="auto"/>
              <w:left w:val="single" w:sz="4" w:space="0" w:color="auto"/>
              <w:bottom w:val="single" w:sz="4" w:space="0" w:color="auto"/>
              <w:right w:val="single" w:sz="4" w:space="0" w:color="auto"/>
            </w:tcBorders>
            <w:vAlign w:val="center"/>
          </w:tcPr>
          <w:p w:rsidR="00AA1D35" w:rsidRPr="001E368B" w:rsidRDefault="001E368B" w:rsidP="00D471DE">
            <w:pPr>
              <w:pStyle w:val="TableText"/>
              <w:jc w:val="center"/>
              <w:rPr>
                <w:rFonts w:asciiTheme="minorHAnsi" w:hAnsiTheme="minorHAnsi"/>
                <w:highlight w:val="black"/>
              </w:rPr>
            </w:pPr>
            <w:r>
              <w:rPr>
                <w:noProof/>
                <w:color w:val="000000"/>
                <w:highlight w:val="black"/>
              </w:rPr>
              <w:t>''''' ''''''''''''</w:t>
            </w:r>
          </w:p>
        </w:tc>
        <w:tc>
          <w:tcPr>
            <w:tcW w:w="776" w:type="pct"/>
            <w:gridSpan w:val="2"/>
            <w:tcBorders>
              <w:top w:val="single" w:sz="4" w:space="0" w:color="auto"/>
              <w:left w:val="single" w:sz="4" w:space="0" w:color="auto"/>
              <w:bottom w:val="single" w:sz="4" w:space="0" w:color="auto"/>
              <w:right w:val="single" w:sz="4" w:space="0" w:color="auto"/>
            </w:tcBorders>
            <w:vAlign w:val="center"/>
          </w:tcPr>
          <w:p w:rsidR="00AA1D35" w:rsidRPr="001E368B" w:rsidRDefault="001E368B" w:rsidP="00D471DE">
            <w:pPr>
              <w:pStyle w:val="TableText"/>
              <w:jc w:val="center"/>
              <w:rPr>
                <w:highlight w:val="black"/>
              </w:rPr>
            </w:pPr>
            <w:r>
              <w:rPr>
                <w:noProof/>
                <w:color w:val="000000"/>
                <w:highlight w:val="black"/>
                <w:lang w:eastAsia="en-AU"/>
              </w:rPr>
              <w:t>'''''''''' ''''''''''''' '''''''''''''</w:t>
            </w:r>
          </w:p>
        </w:tc>
      </w:tr>
      <w:tr w:rsidR="00AA1D35" w:rsidRPr="000E19AE">
        <w:tc>
          <w:tcPr>
            <w:tcW w:w="5000" w:type="pct"/>
            <w:gridSpan w:val="9"/>
            <w:tcBorders>
              <w:top w:val="double" w:sz="4" w:space="0" w:color="auto"/>
              <w:left w:val="single" w:sz="4" w:space="0" w:color="auto"/>
              <w:bottom w:val="single" w:sz="4" w:space="0" w:color="auto"/>
              <w:right w:val="single" w:sz="4" w:space="0" w:color="auto"/>
            </w:tcBorders>
            <w:vAlign w:val="center"/>
          </w:tcPr>
          <w:p w:rsidR="00AA1D35" w:rsidRPr="000E19AE" w:rsidRDefault="00AA1D35">
            <w:pPr>
              <w:pStyle w:val="TableText"/>
              <w:rPr>
                <w:b/>
                <w:u w:val="single"/>
              </w:rPr>
            </w:pPr>
            <w:r w:rsidRPr="000E19AE">
              <w:rPr>
                <w:b/>
                <w:u w:val="single"/>
              </w:rPr>
              <w:t>Harms</w:t>
            </w:r>
          </w:p>
        </w:tc>
      </w:tr>
      <w:tr w:rsidR="00D471DE" w:rsidRPr="000E19AE">
        <w:trPr>
          <w:trHeight w:val="70"/>
        </w:trPr>
        <w:tc>
          <w:tcPr>
            <w:tcW w:w="1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pPr>
              <w:pStyle w:val="TableText"/>
            </w:pPr>
          </w:p>
        </w:tc>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pStyle w:val="TableText"/>
              <w:jc w:val="center"/>
              <w:rPr>
                <w:b/>
              </w:rPr>
            </w:pPr>
            <w:r w:rsidRPr="000E19AE">
              <w:rPr>
                <w:b/>
              </w:rPr>
              <w:t>Pembrolizumab N=266</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pStyle w:val="TableText"/>
              <w:jc w:val="center"/>
              <w:rPr>
                <w:b/>
              </w:rPr>
            </w:pPr>
            <w:r w:rsidRPr="000E19AE">
              <w:rPr>
                <w:b/>
              </w:rPr>
              <w:t>SOC</w:t>
            </w:r>
            <w:r w:rsidR="00D471DE" w:rsidRPr="000E19AE">
              <w:rPr>
                <w:b/>
              </w:rPr>
              <w:br/>
            </w:r>
            <w:r w:rsidRPr="000E19AE">
              <w:rPr>
                <w:b/>
              </w:rPr>
              <w:t>N=255</w:t>
            </w:r>
          </w:p>
        </w:tc>
        <w:tc>
          <w:tcPr>
            <w:tcW w:w="7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2D61E8">
            <w:pPr>
              <w:pStyle w:val="TableText"/>
              <w:jc w:val="center"/>
              <w:rPr>
                <w:b/>
              </w:rPr>
            </w:pPr>
            <w:r w:rsidRPr="000E19AE">
              <w:rPr>
                <w:b/>
              </w:rPr>
              <w:t>R</w:t>
            </w:r>
            <w:r w:rsidR="00D471DE" w:rsidRPr="000E19AE">
              <w:rPr>
                <w:b/>
              </w:rPr>
              <w:t>isk ratio</w:t>
            </w:r>
            <w:r w:rsidR="002D61E8">
              <w:rPr>
                <w:b/>
              </w:rPr>
              <w:br/>
            </w:r>
            <w:r w:rsidRPr="000E19AE">
              <w:rPr>
                <w:b/>
              </w:rPr>
              <w:t>(95% CI)</w:t>
            </w:r>
          </w:p>
        </w:tc>
        <w:tc>
          <w:tcPr>
            <w:tcW w:w="10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pStyle w:val="TableText"/>
              <w:jc w:val="center"/>
              <w:rPr>
                <w:b/>
              </w:rPr>
            </w:pPr>
            <w:r w:rsidRPr="000E19AE">
              <w:rPr>
                <w:b/>
              </w:rPr>
              <w:t>Events/100 patients*</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pStyle w:val="TableText"/>
              <w:jc w:val="center"/>
              <w:rPr>
                <w:b/>
              </w:rPr>
            </w:pPr>
            <w:r w:rsidRPr="000E19AE">
              <w:rPr>
                <w:b/>
              </w:rPr>
              <w:t>R</w:t>
            </w:r>
            <w:r w:rsidR="00D471DE" w:rsidRPr="000E19AE">
              <w:rPr>
                <w:b/>
              </w:rPr>
              <w:t>isk difference</w:t>
            </w:r>
          </w:p>
        </w:tc>
      </w:tr>
      <w:tr w:rsidR="00D471DE" w:rsidRPr="000E19AE">
        <w:trPr>
          <w:trHeight w:val="390"/>
        </w:trPr>
        <w:tc>
          <w:tcPr>
            <w:tcW w:w="14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pPr>
              <w:spacing w:before="0"/>
              <w:rPr>
                <w:rFonts w:ascii="Arial Narrow" w:hAnsi="Arial Narrow"/>
                <w:sz w:val="20"/>
              </w:rPr>
            </w:pPr>
          </w:p>
        </w:tc>
        <w:tc>
          <w:tcPr>
            <w:tcW w:w="7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spacing w:before="0"/>
              <w:jc w:val="center"/>
              <w:rPr>
                <w:rFonts w:ascii="Arial Narrow" w:hAnsi="Arial Narrow"/>
                <w:b/>
                <w:sz w:val="20"/>
              </w:rPr>
            </w:pPr>
          </w:p>
        </w:tc>
        <w:tc>
          <w:tcPr>
            <w:tcW w:w="39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spacing w:before="0"/>
              <w:jc w:val="center"/>
              <w:rPr>
                <w:rFonts w:ascii="Arial Narrow" w:hAnsi="Arial Narrow"/>
                <w:b/>
                <w:sz w:val="20"/>
              </w:rPr>
            </w:pPr>
          </w:p>
        </w:tc>
        <w:tc>
          <w:tcPr>
            <w:tcW w:w="70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spacing w:before="0"/>
              <w:jc w:val="center"/>
              <w:rPr>
                <w:rFonts w:ascii="Arial Narrow" w:hAnsi="Arial Narrow"/>
                <w:b/>
                <w:sz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pStyle w:val="TableText"/>
              <w:jc w:val="center"/>
              <w:rPr>
                <w:b/>
              </w:rPr>
            </w:pPr>
            <w:r w:rsidRPr="000E19AE">
              <w:rPr>
                <w:b/>
              </w:rPr>
              <w:t>pembrolizumab</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pStyle w:val="TableText"/>
              <w:jc w:val="center"/>
              <w:rPr>
                <w:b/>
              </w:rPr>
            </w:pPr>
            <w:r w:rsidRPr="000E19AE">
              <w:rPr>
                <w:b/>
              </w:rPr>
              <w:t>SOC</w:t>
            </w:r>
          </w:p>
        </w:tc>
        <w:tc>
          <w:tcPr>
            <w:tcW w:w="6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AA1D35" w:rsidP="00D471DE">
            <w:pPr>
              <w:spacing w:before="0"/>
              <w:jc w:val="center"/>
              <w:rPr>
                <w:rFonts w:ascii="Arial Narrow" w:hAnsi="Arial Narrow"/>
                <w:b/>
                <w:sz w:val="20"/>
              </w:rPr>
            </w:pPr>
          </w:p>
        </w:tc>
      </w:tr>
      <w:tr w:rsidR="00D471DE" w:rsidRPr="000E19AE">
        <w:trPr>
          <w:trHeight w:val="338"/>
        </w:trPr>
        <w:tc>
          <w:tcPr>
            <w:tcW w:w="1487"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715D2B">
            <w:pPr>
              <w:pStyle w:val="TableText"/>
            </w:pPr>
            <w:r w:rsidRPr="000E19AE">
              <w:t>W</w:t>
            </w:r>
            <w:r w:rsidR="000D5071" w:rsidRPr="000E19AE">
              <w:t>ith toxicity grade 3-5 treatment adverse event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 '''''''''''''''''''''''''</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r>
      <w:tr w:rsidR="00D471DE" w:rsidRPr="000E19AE">
        <w:tc>
          <w:tcPr>
            <w:tcW w:w="1487"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0E19AE" w:rsidRDefault="007638B0">
            <w:pPr>
              <w:pStyle w:val="TableText"/>
            </w:pPr>
            <w:r>
              <w:t>With serious treatment-</w:t>
            </w:r>
            <w:r w:rsidR="00715D2B" w:rsidRPr="000E19AE">
              <w:t>related adverse event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 ''''''''''''''''''''''''''''</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AA1D35" w:rsidRPr="001E368B" w:rsidRDefault="001E368B" w:rsidP="00D471DE">
            <w:pPr>
              <w:pStyle w:val="TableText"/>
              <w:jc w:val="center"/>
              <w:rPr>
                <w:highlight w:val="black"/>
              </w:rPr>
            </w:pPr>
            <w:r>
              <w:rPr>
                <w:noProof/>
                <w:color w:val="000000"/>
                <w:highlight w:val="black"/>
              </w:rPr>
              <w:t>''''''''''</w:t>
            </w:r>
          </w:p>
        </w:tc>
      </w:tr>
      <w:tr w:rsidR="00D471DE" w:rsidRPr="000E19AE">
        <w:tc>
          <w:tcPr>
            <w:tcW w:w="1487"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0E19AE" w:rsidDel="00715D2B" w:rsidRDefault="00715D2B">
            <w:pPr>
              <w:pStyle w:val="TableText"/>
            </w:pPr>
            <w:r w:rsidRPr="000E19AE">
              <w:t>Discontinued due to serious drug related adverse event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r>
      <w:tr w:rsidR="00D471DE" w:rsidRPr="000E19AE">
        <w:tc>
          <w:tcPr>
            <w:tcW w:w="1487"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0E19AE" w:rsidDel="00715D2B" w:rsidRDefault="007638B0">
            <w:pPr>
              <w:pStyle w:val="TableText"/>
            </w:pPr>
            <w:r>
              <w:t>Died due to treatment-</w:t>
            </w:r>
            <w:r w:rsidR="00715D2B" w:rsidRPr="000E19AE">
              <w:t>related adverse even</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7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715D2B" w:rsidRPr="001E368B" w:rsidRDefault="001E368B" w:rsidP="00D471DE">
            <w:pPr>
              <w:pStyle w:val="TableText"/>
              <w:jc w:val="center"/>
              <w:rPr>
                <w:highlight w:val="black"/>
              </w:rPr>
            </w:pPr>
            <w:r>
              <w:rPr>
                <w:noProof/>
                <w:color w:val="000000"/>
                <w:highlight w:val="black"/>
              </w:rPr>
              <w:t>''''''''''''''''</w:t>
            </w:r>
          </w:p>
        </w:tc>
      </w:tr>
    </w:tbl>
    <w:p w:rsidR="00C6155A" w:rsidRPr="000E19AE" w:rsidRDefault="00C6155A" w:rsidP="00AA1D35">
      <w:pPr>
        <w:pStyle w:val="TableFooter"/>
      </w:pPr>
      <w:r w:rsidRPr="000E19AE">
        <w:t xml:space="preserve">Notes: </w:t>
      </w:r>
      <w:r w:rsidR="00AA1D35" w:rsidRPr="000E19AE">
        <w:t>* Maximum duration of exposure: Trial I = 22 months</w:t>
      </w:r>
      <w:r w:rsidRPr="000E19AE">
        <w:t xml:space="preserve">; </w:t>
      </w:r>
      <w:r w:rsidRPr="000E19AE">
        <w:rPr>
          <w:vertAlign w:val="superscript"/>
        </w:rPr>
        <w:t>a</w:t>
      </w:r>
      <w:r w:rsidRPr="000E19AE">
        <w:t xml:space="preserve"> Extended follow-up.</w:t>
      </w:r>
    </w:p>
    <w:p w:rsidR="00AA1D35" w:rsidRPr="000E19AE" w:rsidRDefault="00AA1D35" w:rsidP="00AA1D35">
      <w:pPr>
        <w:pStyle w:val="TableFooter"/>
      </w:pPr>
      <w:r w:rsidRPr="000E19AE">
        <w:t>Source: Compiled during the evaluation/Attachment 2.5 of the submission</w:t>
      </w:r>
      <w:r w:rsidR="00E65207">
        <w:t>.</w:t>
      </w:r>
    </w:p>
    <w:p w:rsidR="00AA1D35" w:rsidRPr="000E19AE" w:rsidRDefault="00AA1D35" w:rsidP="00C47FDA">
      <w:pPr>
        <w:pStyle w:val="ListParagraph"/>
        <w:numPr>
          <w:ilvl w:val="1"/>
          <w:numId w:val="19"/>
        </w:numPr>
        <w:spacing w:before="0" w:after="120"/>
        <w:jc w:val="both"/>
      </w:pPr>
      <w:r w:rsidRPr="000E19AE">
        <w:t xml:space="preserve">On the basis of </w:t>
      </w:r>
      <w:r w:rsidR="00C6155A" w:rsidRPr="000E19AE">
        <w:t xml:space="preserve">the </w:t>
      </w:r>
      <w:r w:rsidRPr="000E19AE">
        <w:t xml:space="preserve">direct comparison presented by the submission, for every 100 patients treated with pembrolizumab </w:t>
      </w:r>
      <w:r w:rsidR="00C6155A" w:rsidRPr="000E19AE">
        <w:t>rather than</w:t>
      </w:r>
      <w:r w:rsidRPr="000E19AE">
        <w:t xml:space="preserve"> SOC</w:t>
      </w:r>
      <w:r w:rsidR="00D471DE" w:rsidRPr="000E19AE">
        <w:t>, there would be</w:t>
      </w:r>
      <w:r w:rsidRPr="000E19AE">
        <w:t>:</w:t>
      </w:r>
    </w:p>
    <w:p w:rsidR="00AA1D35" w:rsidRPr="000E19AE" w:rsidRDefault="00C6155A" w:rsidP="00C47FDA">
      <w:pPr>
        <w:pStyle w:val="ListParagraph"/>
        <w:numPr>
          <w:ilvl w:val="1"/>
          <w:numId w:val="10"/>
        </w:numPr>
        <w:spacing w:before="0" w:after="0"/>
        <w:jc w:val="both"/>
        <w:rPr>
          <w:lang w:val="en-US"/>
        </w:rPr>
      </w:pPr>
      <w:r w:rsidRPr="000E19AE">
        <w:rPr>
          <w:lang w:val="en-US"/>
        </w:rPr>
        <w:t>a</w:t>
      </w:r>
      <w:r w:rsidR="00AA1D35" w:rsidRPr="000E19AE">
        <w:rPr>
          <w:lang w:val="en-US"/>
        </w:rPr>
        <w:t xml:space="preserve">pproximately </w:t>
      </w:r>
      <w:r w:rsidR="001E368B">
        <w:rPr>
          <w:noProof/>
          <w:color w:val="000000"/>
          <w:highlight w:val="black"/>
          <w:lang w:val="en-US"/>
        </w:rPr>
        <w:t>''</w:t>
      </w:r>
      <w:r w:rsidR="00AA1D35" w:rsidRPr="000E19AE">
        <w:rPr>
          <w:lang w:val="en-US"/>
        </w:rPr>
        <w:t xml:space="preserve"> more patients alive over a duration of exposure of </w:t>
      </w:r>
      <w:r w:rsidR="00C27532" w:rsidRPr="000E19AE">
        <w:rPr>
          <w:lang w:val="en-US"/>
        </w:rPr>
        <w:t xml:space="preserve">18.5 </w:t>
      </w:r>
      <w:r w:rsidR="00AA1D35" w:rsidRPr="000E19AE">
        <w:rPr>
          <w:lang w:val="en-US"/>
        </w:rPr>
        <w:t>months</w:t>
      </w:r>
      <w:r w:rsidRPr="000E19AE">
        <w:rPr>
          <w:lang w:val="en-US"/>
        </w:rPr>
        <w:t>;</w:t>
      </w:r>
    </w:p>
    <w:p w:rsidR="00AA1D35" w:rsidRPr="000E19AE" w:rsidRDefault="00D471DE" w:rsidP="00C47FDA">
      <w:pPr>
        <w:pStyle w:val="ListParagraph"/>
        <w:numPr>
          <w:ilvl w:val="1"/>
          <w:numId w:val="10"/>
        </w:numPr>
        <w:spacing w:before="0" w:after="0"/>
        <w:jc w:val="both"/>
        <w:rPr>
          <w:lang w:val="en-US"/>
        </w:rPr>
      </w:pPr>
      <w:r w:rsidRPr="000E19AE">
        <w:t>a</w:t>
      </w:r>
      <w:r w:rsidR="00AA1D35" w:rsidRPr="000E19AE">
        <w:t xml:space="preserve">pproximately </w:t>
      </w:r>
      <w:r w:rsidR="001E368B">
        <w:rPr>
          <w:noProof/>
          <w:color w:val="000000"/>
          <w:highlight w:val="black"/>
        </w:rPr>
        <w:t>'''''</w:t>
      </w:r>
      <w:r w:rsidR="00AA1D35" w:rsidRPr="000E19AE">
        <w:t xml:space="preserve"> </w:t>
      </w:r>
      <w:r w:rsidR="00C6155A" w:rsidRPr="000E19AE">
        <w:t xml:space="preserve">fewer </w:t>
      </w:r>
      <w:r w:rsidR="007638B0">
        <w:t>treatment-</w:t>
      </w:r>
      <w:r w:rsidR="00AA1D35" w:rsidRPr="000E19AE">
        <w:t xml:space="preserve">related </w:t>
      </w:r>
      <w:r w:rsidR="00715D2B" w:rsidRPr="000E19AE">
        <w:t xml:space="preserve">grade 3-5 </w:t>
      </w:r>
      <w:r w:rsidR="00AA1D35" w:rsidRPr="000E19AE">
        <w:t xml:space="preserve">adverse events over a </w:t>
      </w:r>
      <w:r w:rsidR="00AA1D35" w:rsidRPr="000E19AE">
        <w:rPr>
          <w:lang w:val="en-US"/>
        </w:rPr>
        <w:t xml:space="preserve">duration of exposure of </w:t>
      </w:r>
      <w:r w:rsidR="00C27532" w:rsidRPr="000E19AE">
        <w:rPr>
          <w:lang w:val="en-US"/>
        </w:rPr>
        <w:t xml:space="preserve">18.5 </w:t>
      </w:r>
      <w:r w:rsidR="00AA1D35" w:rsidRPr="000E19AE">
        <w:rPr>
          <w:lang w:val="en-US"/>
        </w:rPr>
        <w:t>months</w:t>
      </w:r>
      <w:r w:rsidR="00C6155A" w:rsidRPr="000E19AE">
        <w:rPr>
          <w:lang w:val="en-US"/>
        </w:rPr>
        <w:t>; and</w:t>
      </w:r>
    </w:p>
    <w:p w:rsidR="00715D2B" w:rsidRPr="000E19AE" w:rsidRDefault="00D471DE" w:rsidP="00C47FDA">
      <w:pPr>
        <w:pStyle w:val="ListParagraph"/>
        <w:numPr>
          <w:ilvl w:val="1"/>
          <w:numId w:val="10"/>
        </w:numPr>
        <w:spacing w:before="0"/>
        <w:ind w:left="1077" w:hanging="357"/>
        <w:jc w:val="both"/>
        <w:rPr>
          <w:lang w:val="en-US"/>
        </w:rPr>
      </w:pPr>
      <w:r w:rsidRPr="000E19AE">
        <w:rPr>
          <w:lang w:val="en-US"/>
        </w:rPr>
        <w:t>a</w:t>
      </w:r>
      <w:r w:rsidR="00715D2B" w:rsidRPr="000E19AE">
        <w:rPr>
          <w:lang w:val="en-US"/>
        </w:rPr>
        <w:t xml:space="preserve">pproximately </w:t>
      </w:r>
      <w:r w:rsidR="001E368B">
        <w:rPr>
          <w:noProof/>
          <w:color w:val="000000"/>
          <w:highlight w:val="black"/>
          <w:lang w:val="en-US"/>
        </w:rPr>
        <w:t>'''</w:t>
      </w:r>
      <w:r w:rsidR="00715D2B" w:rsidRPr="000E19AE">
        <w:rPr>
          <w:lang w:val="en-US"/>
        </w:rPr>
        <w:t xml:space="preserve"> </w:t>
      </w:r>
      <w:r w:rsidR="00C6155A" w:rsidRPr="000E19AE">
        <w:rPr>
          <w:lang w:val="en-US"/>
        </w:rPr>
        <w:t xml:space="preserve">fewer </w:t>
      </w:r>
      <w:r w:rsidR="007638B0">
        <w:rPr>
          <w:lang w:val="en-US"/>
        </w:rPr>
        <w:t>treatment-</w:t>
      </w:r>
      <w:r w:rsidR="00715D2B" w:rsidRPr="000E19AE">
        <w:rPr>
          <w:lang w:val="en-US"/>
        </w:rPr>
        <w:t xml:space="preserve">related serious adverse events over a duration of exposure of </w:t>
      </w:r>
      <w:r w:rsidR="00C27532" w:rsidRPr="000E19AE">
        <w:rPr>
          <w:lang w:val="en-US"/>
        </w:rPr>
        <w:t xml:space="preserve">18.5 </w:t>
      </w:r>
      <w:r w:rsidR="00715D2B" w:rsidRPr="000E19AE">
        <w:rPr>
          <w:lang w:val="en-US"/>
        </w:rPr>
        <w:t>months</w:t>
      </w:r>
      <w:r w:rsidR="00C6155A" w:rsidRPr="000E19AE">
        <w:rPr>
          <w:lang w:val="en-US"/>
        </w:rPr>
        <w:t>.</w:t>
      </w:r>
    </w:p>
    <w:p w:rsidR="006131A7" w:rsidRPr="004576EE" w:rsidRDefault="005F61A3" w:rsidP="0077195B">
      <w:pPr>
        <w:pStyle w:val="Heading2"/>
      </w:pPr>
      <w:bookmarkStart w:id="28" w:name="_Toc492274926"/>
      <w:r w:rsidRPr="004576EE">
        <w:t xml:space="preserve">Interpretation of </w:t>
      </w:r>
      <w:r w:rsidR="004576EE">
        <w:t xml:space="preserve">the </w:t>
      </w:r>
      <w:r w:rsidRPr="004576EE">
        <w:t>clinical evidence</w:t>
      </w:r>
    </w:p>
    <w:bookmarkEnd w:id="28"/>
    <w:p w:rsidR="00C6155A" w:rsidRPr="000E19AE" w:rsidRDefault="00AB145A" w:rsidP="00C47FDA">
      <w:pPr>
        <w:pStyle w:val="ListParagraph"/>
        <w:numPr>
          <w:ilvl w:val="1"/>
          <w:numId w:val="19"/>
        </w:numPr>
        <w:spacing w:before="0" w:after="120"/>
        <w:jc w:val="both"/>
      </w:pPr>
      <w:r w:rsidRPr="000E19AE">
        <w:t>The submission claimed that p</w:t>
      </w:r>
      <w:r w:rsidR="00AA1D35" w:rsidRPr="000E19AE">
        <w:t>embrolizumab is superior in terms of effectiveness compared with SOC and superior in ter</w:t>
      </w:r>
      <w:r w:rsidR="008741C8" w:rsidRPr="000E19AE">
        <w:t>ms of safety compared with SOC.</w:t>
      </w:r>
    </w:p>
    <w:p w:rsidR="00AA1D35" w:rsidRPr="00B93493" w:rsidRDefault="000E6054" w:rsidP="0084293E">
      <w:pPr>
        <w:pStyle w:val="ListParagraph"/>
        <w:numPr>
          <w:ilvl w:val="1"/>
          <w:numId w:val="19"/>
        </w:numPr>
        <w:spacing w:before="0" w:after="120"/>
        <w:jc w:val="both"/>
        <w:rPr>
          <w:color w:val="000000" w:themeColor="text1"/>
        </w:rPr>
      </w:pPr>
      <w:r>
        <w:t xml:space="preserve">The PBAC </w:t>
      </w:r>
      <w:r w:rsidR="000A5ECC">
        <w:t>considered</w:t>
      </w:r>
      <w:r w:rsidR="00E22DA8">
        <w:t xml:space="preserve"> </w:t>
      </w:r>
      <w:r w:rsidR="00E045A8" w:rsidRPr="005701D5">
        <w:t xml:space="preserve">that </w:t>
      </w:r>
      <w:r w:rsidR="00E045A8" w:rsidRPr="005701D5">
        <w:rPr>
          <w:color w:val="000000" w:themeColor="text1"/>
        </w:rPr>
        <w:t>t</w:t>
      </w:r>
      <w:r w:rsidR="00AA1D35" w:rsidRPr="005701D5">
        <w:rPr>
          <w:color w:val="000000" w:themeColor="text1"/>
        </w:rPr>
        <w:t>he claim of superior</w:t>
      </w:r>
      <w:r w:rsidR="00AA1D35" w:rsidRPr="000E19AE">
        <w:rPr>
          <w:color w:val="000000" w:themeColor="text1"/>
        </w:rPr>
        <w:t xml:space="preserve"> effectiveness </w:t>
      </w:r>
      <w:r w:rsidR="00424BBC" w:rsidRPr="000E19AE">
        <w:rPr>
          <w:color w:val="000000" w:themeColor="text1"/>
        </w:rPr>
        <w:t>appear</w:t>
      </w:r>
      <w:r>
        <w:rPr>
          <w:color w:val="000000" w:themeColor="text1"/>
        </w:rPr>
        <w:t>ed</w:t>
      </w:r>
      <w:r w:rsidR="00AA1D35" w:rsidRPr="000E19AE">
        <w:rPr>
          <w:color w:val="000000" w:themeColor="text1"/>
        </w:rPr>
        <w:t xml:space="preserve"> reasonable. The evidence from KN045 indicated a </w:t>
      </w:r>
      <w:r w:rsidR="00C05686">
        <w:rPr>
          <w:color w:val="000000" w:themeColor="text1"/>
        </w:rPr>
        <w:t xml:space="preserve">modest but </w:t>
      </w:r>
      <w:r w:rsidR="001F1E88" w:rsidRPr="000E19AE">
        <w:rPr>
          <w:color w:val="000000" w:themeColor="text1"/>
        </w:rPr>
        <w:t>statistically significant</w:t>
      </w:r>
      <w:r w:rsidR="00A4663B" w:rsidRPr="000E19AE">
        <w:rPr>
          <w:color w:val="000000" w:themeColor="text1"/>
        </w:rPr>
        <w:t xml:space="preserve"> </w:t>
      </w:r>
      <w:r w:rsidR="00AA1D35" w:rsidRPr="000E19AE">
        <w:rPr>
          <w:color w:val="000000" w:themeColor="text1"/>
        </w:rPr>
        <w:t xml:space="preserve">OS </w:t>
      </w:r>
      <w:r w:rsidR="008741C8" w:rsidRPr="000E19AE">
        <w:rPr>
          <w:color w:val="000000" w:themeColor="text1"/>
        </w:rPr>
        <w:t xml:space="preserve">gain </w:t>
      </w:r>
      <w:r w:rsidR="00AA1D35" w:rsidRPr="000E19AE">
        <w:rPr>
          <w:color w:val="000000" w:themeColor="text1"/>
        </w:rPr>
        <w:t xml:space="preserve">for </w:t>
      </w:r>
      <w:r w:rsidR="00DA78BE" w:rsidRPr="000E19AE">
        <w:rPr>
          <w:color w:val="000000" w:themeColor="text1"/>
        </w:rPr>
        <w:t>t</w:t>
      </w:r>
      <w:r w:rsidR="00AA1D35" w:rsidRPr="000E19AE">
        <w:rPr>
          <w:color w:val="000000" w:themeColor="text1"/>
        </w:rPr>
        <w:t xml:space="preserve">he pembrolizumab arm compared with </w:t>
      </w:r>
      <w:r w:rsidR="008741C8" w:rsidRPr="000E19AE">
        <w:rPr>
          <w:color w:val="000000" w:themeColor="text1"/>
        </w:rPr>
        <w:t xml:space="preserve">the </w:t>
      </w:r>
      <w:r w:rsidR="00AA1D35" w:rsidRPr="000E19AE">
        <w:rPr>
          <w:color w:val="000000" w:themeColor="text1"/>
        </w:rPr>
        <w:t>SOC arm</w:t>
      </w:r>
      <w:r w:rsidR="00A4663B" w:rsidRPr="000E19AE">
        <w:rPr>
          <w:color w:val="000000" w:themeColor="text1"/>
        </w:rPr>
        <w:t xml:space="preserve">. </w:t>
      </w:r>
      <w:r w:rsidR="00692837" w:rsidRPr="00B312C4">
        <w:rPr>
          <w:color w:val="000000" w:themeColor="text1"/>
        </w:rPr>
        <w:t>T</w:t>
      </w:r>
      <w:r w:rsidR="00692837">
        <w:rPr>
          <w:color w:val="000000" w:themeColor="text1"/>
        </w:rPr>
        <w:t>he PBAC noted there was no significant difference in</w:t>
      </w:r>
      <w:r w:rsidR="00692837" w:rsidRPr="00B312C4">
        <w:rPr>
          <w:color w:val="000000" w:themeColor="text1"/>
        </w:rPr>
        <w:t xml:space="preserve"> PFS </w:t>
      </w:r>
      <w:r w:rsidR="00692837">
        <w:rPr>
          <w:color w:val="000000" w:themeColor="text1"/>
        </w:rPr>
        <w:t xml:space="preserve">but considered </w:t>
      </w:r>
      <w:r w:rsidR="00692837" w:rsidRPr="00B312C4">
        <w:rPr>
          <w:color w:val="000000" w:themeColor="text1"/>
        </w:rPr>
        <w:t xml:space="preserve">that PFS </w:t>
      </w:r>
      <w:r w:rsidR="00692837">
        <w:rPr>
          <w:color w:val="000000" w:themeColor="text1"/>
        </w:rPr>
        <w:t xml:space="preserve">may </w:t>
      </w:r>
      <w:r w:rsidR="00692837" w:rsidRPr="00B312C4">
        <w:rPr>
          <w:color w:val="000000" w:themeColor="text1"/>
        </w:rPr>
        <w:t xml:space="preserve">not </w:t>
      </w:r>
      <w:r w:rsidR="004D5F80">
        <w:rPr>
          <w:color w:val="000000" w:themeColor="text1"/>
        </w:rPr>
        <w:t xml:space="preserve">be </w:t>
      </w:r>
      <w:r w:rsidR="00692837" w:rsidRPr="00B312C4">
        <w:rPr>
          <w:color w:val="000000" w:themeColor="text1"/>
        </w:rPr>
        <w:t xml:space="preserve">a meaningful surrogate for clinical benefit </w:t>
      </w:r>
      <w:r w:rsidR="0068063F">
        <w:rPr>
          <w:color w:val="000000" w:themeColor="text1"/>
        </w:rPr>
        <w:t>for this class of drug in this disease</w:t>
      </w:r>
      <w:r w:rsidR="00692837" w:rsidRPr="00B312C4">
        <w:rPr>
          <w:color w:val="000000" w:themeColor="text1"/>
        </w:rPr>
        <w:t>.</w:t>
      </w:r>
      <w:r w:rsidR="0037742C">
        <w:rPr>
          <w:color w:val="000000" w:themeColor="text1"/>
        </w:rPr>
        <w:t xml:space="preserve"> </w:t>
      </w:r>
      <w:r w:rsidR="00424BBC" w:rsidRPr="000E19AE">
        <w:rPr>
          <w:color w:val="000000" w:themeColor="text1"/>
        </w:rPr>
        <w:t>However,</w:t>
      </w:r>
      <w:r w:rsidR="00FA2F76">
        <w:rPr>
          <w:color w:val="FF0000"/>
        </w:rPr>
        <w:t xml:space="preserve"> </w:t>
      </w:r>
      <w:r w:rsidR="0037742C">
        <w:rPr>
          <w:color w:val="000000" w:themeColor="text1"/>
        </w:rPr>
        <w:t>t</w:t>
      </w:r>
      <w:r w:rsidR="00FA2F76">
        <w:rPr>
          <w:color w:val="000000" w:themeColor="text1"/>
        </w:rPr>
        <w:t xml:space="preserve">he PBAC noted </w:t>
      </w:r>
      <w:r w:rsidR="0037742C">
        <w:rPr>
          <w:color w:val="000000" w:themeColor="text1"/>
        </w:rPr>
        <w:t xml:space="preserve">that </w:t>
      </w:r>
      <w:r w:rsidR="00F34EB7" w:rsidRPr="000E19AE">
        <w:rPr>
          <w:color w:val="000000" w:themeColor="text1"/>
        </w:rPr>
        <w:t>t</w:t>
      </w:r>
      <w:r w:rsidR="007E3CA3" w:rsidRPr="000E19AE">
        <w:rPr>
          <w:color w:val="000000" w:themeColor="text1"/>
        </w:rPr>
        <w:t xml:space="preserve">he TGA </w:t>
      </w:r>
      <w:r w:rsidR="008741C8" w:rsidRPr="000E19AE">
        <w:rPr>
          <w:color w:val="000000" w:themeColor="text1"/>
        </w:rPr>
        <w:t xml:space="preserve">clinical evaluator </w:t>
      </w:r>
      <w:r w:rsidR="007825F5">
        <w:rPr>
          <w:color w:val="000000" w:themeColor="text1"/>
        </w:rPr>
        <w:t>reported that</w:t>
      </w:r>
      <w:r w:rsidR="00781395" w:rsidRPr="000E19AE">
        <w:rPr>
          <w:color w:val="000000" w:themeColor="text1"/>
        </w:rPr>
        <w:t xml:space="preserve"> </w:t>
      </w:r>
      <w:r w:rsidR="000903CB" w:rsidRPr="000E19AE">
        <w:rPr>
          <w:color w:val="000000" w:themeColor="text1"/>
        </w:rPr>
        <w:t>considering</w:t>
      </w:r>
      <w:r w:rsidR="00781395" w:rsidRPr="000E19AE">
        <w:rPr>
          <w:color w:val="000000" w:themeColor="text1"/>
        </w:rPr>
        <w:t xml:space="preserve"> the earlier </w:t>
      </w:r>
      <w:r w:rsidR="00781395" w:rsidRPr="00B93493">
        <w:rPr>
          <w:color w:val="000000" w:themeColor="text1"/>
        </w:rPr>
        <w:t xml:space="preserve">progression and mortality in the pembrolizumab arm in the first 3 months of the trial, </w:t>
      </w:r>
      <w:r w:rsidR="007E3CA3" w:rsidRPr="00B93493">
        <w:rPr>
          <w:color w:val="000000" w:themeColor="text1"/>
        </w:rPr>
        <w:t>there ap</w:t>
      </w:r>
      <w:r w:rsidR="008A2719" w:rsidRPr="00B93493">
        <w:rPr>
          <w:color w:val="000000" w:themeColor="text1"/>
        </w:rPr>
        <w:t xml:space="preserve">pears to be a subgroup of patients with </w:t>
      </w:r>
      <w:r w:rsidR="007E3CA3" w:rsidRPr="00B93493">
        <w:rPr>
          <w:color w:val="000000" w:themeColor="text1"/>
        </w:rPr>
        <w:t>rapidly</w:t>
      </w:r>
      <w:r w:rsidR="008A2719" w:rsidRPr="00B93493">
        <w:rPr>
          <w:color w:val="000000" w:themeColor="text1"/>
        </w:rPr>
        <w:t xml:space="preserve"> progressing disease and</w:t>
      </w:r>
      <w:r w:rsidR="004D565C" w:rsidRPr="00B93493">
        <w:rPr>
          <w:color w:val="000000" w:themeColor="text1"/>
        </w:rPr>
        <w:t>/or</w:t>
      </w:r>
      <w:r w:rsidR="008A2719" w:rsidRPr="00B93493">
        <w:rPr>
          <w:color w:val="000000" w:themeColor="text1"/>
        </w:rPr>
        <w:t xml:space="preserve"> higher tumour burden, for </w:t>
      </w:r>
      <w:r w:rsidR="00C6155A" w:rsidRPr="00B93493">
        <w:rPr>
          <w:color w:val="000000" w:themeColor="text1"/>
        </w:rPr>
        <w:t xml:space="preserve">whom </w:t>
      </w:r>
      <w:r w:rsidR="008A2719" w:rsidRPr="00B93493">
        <w:rPr>
          <w:color w:val="000000" w:themeColor="text1"/>
        </w:rPr>
        <w:t xml:space="preserve">pembrolizumab </w:t>
      </w:r>
      <w:r w:rsidR="005D5524" w:rsidRPr="00B93493">
        <w:rPr>
          <w:color w:val="000000" w:themeColor="text1"/>
        </w:rPr>
        <w:t>may not be superior to SOC.</w:t>
      </w:r>
    </w:p>
    <w:p w:rsidR="00AA1D35" w:rsidRDefault="003E38C3" w:rsidP="00C47FDA">
      <w:pPr>
        <w:pStyle w:val="ListParagraph"/>
        <w:numPr>
          <w:ilvl w:val="1"/>
          <w:numId w:val="19"/>
        </w:numPr>
        <w:spacing w:before="0" w:after="120"/>
        <w:jc w:val="both"/>
        <w:rPr>
          <w:color w:val="000000" w:themeColor="text1"/>
        </w:rPr>
      </w:pPr>
      <w:r w:rsidRPr="00B93493">
        <w:rPr>
          <w:color w:val="000000" w:themeColor="text1"/>
        </w:rPr>
        <w:t xml:space="preserve">The </w:t>
      </w:r>
      <w:r w:rsidR="00505FE2">
        <w:rPr>
          <w:color w:val="000000" w:themeColor="text1"/>
        </w:rPr>
        <w:t>PBAC</w:t>
      </w:r>
      <w:r w:rsidR="00505FE2" w:rsidRPr="00B93493">
        <w:rPr>
          <w:color w:val="000000" w:themeColor="text1"/>
        </w:rPr>
        <w:t xml:space="preserve"> </w:t>
      </w:r>
      <w:r w:rsidR="002D61E8" w:rsidRPr="00B93493">
        <w:rPr>
          <w:color w:val="000000" w:themeColor="text1"/>
        </w:rPr>
        <w:t>considered</w:t>
      </w:r>
      <w:r w:rsidRPr="00B93493">
        <w:rPr>
          <w:color w:val="000000" w:themeColor="text1"/>
        </w:rPr>
        <w:t xml:space="preserve"> that t</w:t>
      </w:r>
      <w:r w:rsidR="00AA1D35" w:rsidRPr="00B93493">
        <w:rPr>
          <w:color w:val="000000" w:themeColor="text1"/>
        </w:rPr>
        <w:t xml:space="preserve">he claim of superior safety </w:t>
      </w:r>
      <w:r w:rsidR="00385325">
        <w:rPr>
          <w:color w:val="000000" w:themeColor="text1"/>
        </w:rPr>
        <w:t>to be</w:t>
      </w:r>
      <w:r w:rsidR="00385325" w:rsidRPr="00B93493">
        <w:rPr>
          <w:color w:val="000000" w:themeColor="text1"/>
        </w:rPr>
        <w:t xml:space="preserve"> </w:t>
      </w:r>
      <w:r w:rsidR="00AA1D35" w:rsidRPr="00B93493">
        <w:rPr>
          <w:color w:val="000000" w:themeColor="text1"/>
        </w:rPr>
        <w:t xml:space="preserve">reasonable. The evidence from KN045 indicated a statistically significant lower rate of </w:t>
      </w:r>
      <w:r w:rsidR="005058DA" w:rsidRPr="00B93493">
        <w:rPr>
          <w:color w:val="000000" w:themeColor="text1"/>
        </w:rPr>
        <w:t>≥</w:t>
      </w:r>
      <w:r w:rsidR="00AA1D35" w:rsidRPr="00B93493">
        <w:rPr>
          <w:color w:val="000000" w:themeColor="text1"/>
        </w:rPr>
        <w:t xml:space="preserve"> Grade 3 adverse events for the pembrolizumab arm compared with SOC arm. </w:t>
      </w:r>
      <w:r w:rsidR="00890C77" w:rsidRPr="00B93493">
        <w:rPr>
          <w:color w:val="000000" w:themeColor="text1"/>
        </w:rPr>
        <w:t xml:space="preserve">The </w:t>
      </w:r>
      <w:r w:rsidR="000E5FC9" w:rsidRPr="00B93493">
        <w:rPr>
          <w:color w:val="000000" w:themeColor="text1"/>
        </w:rPr>
        <w:t>TGA clinical evaluation</w:t>
      </w:r>
      <w:r w:rsidR="005058DA" w:rsidRPr="00B93493">
        <w:rPr>
          <w:color w:val="000000" w:themeColor="text1"/>
        </w:rPr>
        <w:t xml:space="preserve"> </w:t>
      </w:r>
      <w:r w:rsidR="00890C77" w:rsidRPr="00B93493">
        <w:rPr>
          <w:color w:val="000000" w:themeColor="text1"/>
        </w:rPr>
        <w:t xml:space="preserve">report </w:t>
      </w:r>
      <w:r w:rsidR="00930959" w:rsidRPr="00B93493">
        <w:rPr>
          <w:color w:val="000000" w:themeColor="text1"/>
        </w:rPr>
        <w:t xml:space="preserve">also </w:t>
      </w:r>
      <w:r w:rsidR="005058DA" w:rsidRPr="00B93493">
        <w:rPr>
          <w:color w:val="000000" w:themeColor="text1"/>
        </w:rPr>
        <w:t xml:space="preserve">supported </w:t>
      </w:r>
      <w:r w:rsidR="00890C77" w:rsidRPr="00B93493">
        <w:rPr>
          <w:color w:val="000000" w:themeColor="text1"/>
        </w:rPr>
        <w:t>this claim.</w:t>
      </w:r>
    </w:p>
    <w:p w:rsidR="00AA1D35" w:rsidRPr="004576EE" w:rsidRDefault="00AA1D35" w:rsidP="00AA1D35">
      <w:pPr>
        <w:pStyle w:val="Heading2"/>
      </w:pPr>
      <w:bookmarkStart w:id="29" w:name="_Toc492274927"/>
      <w:r w:rsidRPr="004576EE">
        <w:t>Economic analysis</w:t>
      </w:r>
      <w:bookmarkEnd w:id="29"/>
    </w:p>
    <w:p w:rsidR="00AA1D35" w:rsidRPr="000E19AE" w:rsidRDefault="00AA1D35" w:rsidP="00C47FDA">
      <w:pPr>
        <w:pStyle w:val="ListParagraph"/>
        <w:numPr>
          <w:ilvl w:val="1"/>
          <w:numId w:val="19"/>
        </w:numPr>
        <w:spacing w:before="0" w:after="120"/>
        <w:jc w:val="both"/>
        <w:rPr>
          <w:color w:val="000000" w:themeColor="text1"/>
        </w:rPr>
      </w:pPr>
      <w:r w:rsidRPr="000E19AE">
        <w:rPr>
          <w:color w:val="000000" w:themeColor="text1"/>
        </w:rPr>
        <w:t xml:space="preserve">The submission presented a cost-utility analysis (CUA) to </w:t>
      </w:r>
      <w:r w:rsidR="00930959" w:rsidRPr="000E19AE">
        <w:rPr>
          <w:color w:val="000000" w:themeColor="text1"/>
        </w:rPr>
        <w:t>estimate</w:t>
      </w:r>
      <w:r w:rsidR="00915209">
        <w:rPr>
          <w:color w:val="000000" w:themeColor="text1"/>
        </w:rPr>
        <w:t xml:space="preserve"> the cost</w:t>
      </w:r>
      <w:r w:rsidR="00915209">
        <w:rPr>
          <w:color w:val="000000" w:themeColor="text1"/>
        </w:rPr>
        <w:noBreakHyphen/>
      </w:r>
      <w:r w:rsidRPr="000E19AE">
        <w:rPr>
          <w:color w:val="000000" w:themeColor="text1"/>
        </w:rPr>
        <w:t xml:space="preserve">effectiveness of pembrolizumab, with the incremental cost per quality adjusted life year (QALY) gained as the </w:t>
      </w:r>
      <w:r w:rsidR="00930959" w:rsidRPr="000E19AE">
        <w:rPr>
          <w:color w:val="000000" w:themeColor="text1"/>
        </w:rPr>
        <w:t>main outcome of the evaluation.</w:t>
      </w:r>
    </w:p>
    <w:p w:rsidR="00AF3B28" w:rsidRPr="005E7D3C" w:rsidRDefault="00930959" w:rsidP="00C47FDA">
      <w:pPr>
        <w:pStyle w:val="ListParagraph"/>
        <w:numPr>
          <w:ilvl w:val="1"/>
          <w:numId w:val="19"/>
        </w:numPr>
        <w:spacing w:before="0" w:after="120"/>
        <w:jc w:val="both"/>
      </w:pPr>
      <w:r w:rsidRPr="000E19AE">
        <w:rPr>
          <w:color w:val="000000" w:themeColor="text1"/>
        </w:rPr>
        <w:t>T</w:t>
      </w:r>
      <w:r w:rsidR="00AA1D35" w:rsidRPr="000E19AE">
        <w:rPr>
          <w:color w:val="000000" w:themeColor="text1"/>
        </w:rPr>
        <w:t>he CUA</w:t>
      </w:r>
      <w:r w:rsidRPr="000E19AE">
        <w:rPr>
          <w:color w:val="000000" w:themeColor="text1"/>
        </w:rPr>
        <w:t xml:space="preserve"> used</w:t>
      </w:r>
      <w:r w:rsidR="00AA1D35" w:rsidRPr="000E19AE">
        <w:rPr>
          <w:color w:val="000000" w:themeColor="text1"/>
        </w:rPr>
        <w:t xml:space="preserve"> observed data from KN045 and extrapolation beyond </w:t>
      </w:r>
      <w:r w:rsidR="00CF1D44" w:rsidRPr="000E19AE">
        <w:rPr>
          <w:color w:val="000000" w:themeColor="text1"/>
        </w:rPr>
        <w:t xml:space="preserve">the </w:t>
      </w:r>
      <w:r w:rsidR="00AA1D35" w:rsidRPr="000E19AE">
        <w:rPr>
          <w:color w:val="000000" w:themeColor="text1"/>
        </w:rPr>
        <w:t>submission defined cut-off points to estimate the costs and benef</w:t>
      </w:r>
      <w:r w:rsidRPr="000E19AE">
        <w:rPr>
          <w:color w:val="000000" w:themeColor="text1"/>
        </w:rPr>
        <w:t>its of treatment in either arm</w:t>
      </w:r>
      <w:r w:rsidR="0054198C" w:rsidRPr="000E19AE">
        <w:rPr>
          <w:color w:val="000000" w:themeColor="text1"/>
        </w:rPr>
        <w:t xml:space="preserve"> </w:t>
      </w:r>
      <w:r w:rsidR="0054198C" w:rsidRPr="005E7D3C">
        <w:t>of the model</w:t>
      </w:r>
      <w:r w:rsidRPr="005E7D3C">
        <w:t>.</w:t>
      </w:r>
    </w:p>
    <w:p w:rsidR="00AA1D35" w:rsidRPr="000E19AE" w:rsidRDefault="001D648C" w:rsidP="00C47FDA">
      <w:pPr>
        <w:pStyle w:val="ListParagraph"/>
        <w:numPr>
          <w:ilvl w:val="1"/>
          <w:numId w:val="19"/>
        </w:numPr>
        <w:spacing w:before="0" w:after="120"/>
        <w:jc w:val="both"/>
        <w:rPr>
          <w:color w:val="000000" w:themeColor="text1"/>
        </w:rPr>
      </w:pPr>
      <w:r w:rsidRPr="000E19AE">
        <w:rPr>
          <w:color w:val="000000" w:themeColor="text1"/>
        </w:rPr>
        <w:t xml:space="preserve">A summary of the model, key drivers and results of the stepped evaluation </w:t>
      </w:r>
      <w:r w:rsidR="00CF1D44" w:rsidRPr="000E19AE">
        <w:rPr>
          <w:color w:val="000000" w:themeColor="text1"/>
        </w:rPr>
        <w:t>is provided</w:t>
      </w:r>
      <w:r w:rsidRPr="000E19AE">
        <w:rPr>
          <w:color w:val="000000" w:themeColor="text1"/>
        </w:rPr>
        <w:t xml:space="preserve"> in Table </w:t>
      </w:r>
      <w:r w:rsidR="005329F3" w:rsidRPr="000E19AE">
        <w:rPr>
          <w:color w:val="000000" w:themeColor="text1"/>
        </w:rPr>
        <w:t xml:space="preserve">12 </w:t>
      </w:r>
      <w:r w:rsidRPr="000E19AE">
        <w:rPr>
          <w:color w:val="000000" w:themeColor="text1"/>
        </w:rPr>
        <w:t xml:space="preserve">to Table </w:t>
      </w:r>
      <w:r w:rsidR="005329F3" w:rsidRPr="000E19AE">
        <w:rPr>
          <w:color w:val="000000" w:themeColor="text1"/>
        </w:rPr>
        <w:t xml:space="preserve">14 </w:t>
      </w:r>
      <w:r w:rsidRPr="000E19AE">
        <w:rPr>
          <w:color w:val="000000" w:themeColor="text1"/>
        </w:rPr>
        <w:t>below.</w:t>
      </w:r>
    </w:p>
    <w:p w:rsidR="00AA1D35" w:rsidRPr="000E19AE" w:rsidRDefault="00AA1D35" w:rsidP="00AA1D35">
      <w:pPr>
        <w:pStyle w:val="TableHeading0"/>
        <w:rPr>
          <w:b w:val="0"/>
        </w:rPr>
      </w:pPr>
      <w:r w:rsidRPr="000E19AE">
        <w:t xml:space="preserve">Table </w:t>
      </w:r>
      <w:r w:rsidR="005329F3" w:rsidRPr="000E19AE">
        <w:t>12</w:t>
      </w:r>
      <w:r w:rsidRPr="000E19AE">
        <w:t>: Summary of model structure and rationale</w:t>
      </w:r>
    </w:p>
    <w:tbl>
      <w:tblPr>
        <w:tblStyle w:val="TableGrid12"/>
        <w:tblW w:w="5000" w:type="pct"/>
        <w:tblLook w:val="04A0" w:firstRow="1" w:lastRow="0" w:firstColumn="1" w:lastColumn="0" w:noHBand="0" w:noVBand="1"/>
        <w:tblCaption w:val="Table 12: Summary of model structure and rationale"/>
      </w:tblPr>
      <w:tblGrid>
        <w:gridCol w:w="2943"/>
        <w:gridCol w:w="6299"/>
      </w:tblGrid>
      <w:tr w:rsidR="00AA1D35" w:rsidRPr="000E19AE" w:rsidTr="008478CE">
        <w:trPr>
          <w:trHeight w:val="269"/>
          <w:tblHeader/>
        </w:trPr>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b/>
                <w:sz w:val="20"/>
              </w:rPr>
            </w:pPr>
            <w:r w:rsidRPr="000E19AE">
              <w:rPr>
                <w:rFonts w:ascii="Arial Narrow" w:hAnsi="Arial Narrow"/>
                <w:b/>
                <w:sz w:val="20"/>
              </w:rPr>
              <w:t>Component</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b/>
                <w:sz w:val="20"/>
              </w:rPr>
            </w:pPr>
            <w:r w:rsidRPr="000E19AE">
              <w:rPr>
                <w:rFonts w:ascii="Arial Narrow" w:hAnsi="Arial Narrow"/>
                <w:b/>
                <w:sz w:val="20"/>
              </w:rPr>
              <w:t>Description</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Type(s) of analysis</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Cost-utility analysis, Cost-effectiveness analysis</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Outcomes</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Quality-adjusted life years, Life-years gained</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Time horizon</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5 years in the model base case (vs 14.1 months median follow-up in the key trial with 19 month</w:t>
            </w:r>
            <w:r w:rsidR="00CF1D44" w:rsidRPr="000E19AE">
              <w:rPr>
                <w:rFonts w:ascii="Arial Narrow" w:hAnsi="Arial Narrow"/>
                <w:sz w:val="20"/>
              </w:rPr>
              <w:t>s</w:t>
            </w:r>
            <w:r w:rsidRPr="000E19AE">
              <w:rPr>
                <w:rFonts w:ascii="Arial Narrow" w:hAnsi="Arial Narrow"/>
                <w:sz w:val="20"/>
              </w:rPr>
              <w:t xml:space="preserve"> follow-up data provided in </w:t>
            </w:r>
            <w:r w:rsidR="00CF1D44" w:rsidRPr="000E19AE">
              <w:rPr>
                <w:rFonts w:ascii="Arial Narrow" w:hAnsi="Arial Narrow"/>
                <w:sz w:val="20"/>
              </w:rPr>
              <w:t xml:space="preserve">the </w:t>
            </w:r>
            <w:r w:rsidRPr="000E19AE">
              <w:rPr>
                <w:rFonts w:ascii="Arial Narrow" w:hAnsi="Arial Narrow"/>
                <w:sz w:val="20"/>
              </w:rPr>
              <w:t>validation section)</w:t>
            </w:r>
            <w:r w:rsidR="00CF1D44" w:rsidRPr="000E19AE">
              <w:rPr>
                <w:rFonts w:ascii="Arial Narrow" w:hAnsi="Arial Narrow"/>
                <w:sz w:val="20"/>
              </w:rPr>
              <w:t>.</w:t>
            </w:r>
            <w:r w:rsidRPr="000E19AE">
              <w:rPr>
                <w:rFonts w:ascii="Arial Narrow" w:hAnsi="Arial Narrow"/>
                <w:sz w:val="20"/>
              </w:rPr>
              <w:br/>
              <w:t xml:space="preserve">Sensitivity analyses </w:t>
            </w:r>
            <w:r w:rsidR="00CF1D44" w:rsidRPr="000E19AE">
              <w:rPr>
                <w:rFonts w:ascii="Arial Narrow" w:hAnsi="Arial Narrow"/>
                <w:sz w:val="20"/>
              </w:rPr>
              <w:t xml:space="preserve">included </w:t>
            </w:r>
            <w:r w:rsidRPr="000E19AE">
              <w:rPr>
                <w:rFonts w:ascii="Arial Narrow" w:hAnsi="Arial Narrow"/>
                <w:sz w:val="20"/>
              </w:rPr>
              <w:t>time horizons of 7 and 10 years</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Method(s) used to generate results</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Cohort analysis of partitioned survival (i.e. area under the curve</w:t>
            </w:r>
            <w:r w:rsidR="00BA0DA4" w:rsidRPr="000E19AE">
              <w:rPr>
                <w:rFonts w:ascii="Arial Narrow" w:hAnsi="Arial Narrow"/>
                <w:sz w:val="20"/>
              </w:rPr>
              <w:t xml:space="preserve"> analysis</w:t>
            </w:r>
            <w:r w:rsidRPr="000E19AE">
              <w:rPr>
                <w:rFonts w:ascii="Arial Narrow" w:hAnsi="Arial Narrow"/>
                <w:sz w:val="20"/>
              </w:rPr>
              <w:t>)</w:t>
            </w:r>
            <w:r w:rsidR="00BA0DA4" w:rsidRPr="000E19AE">
              <w:rPr>
                <w:rFonts w:ascii="Arial Narrow" w:hAnsi="Arial Narrow"/>
                <w:sz w:val="20"/>
              </w:rPr>
              <w:t>.</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Health states</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rsidP="004576EE">
            <w:pPr>
              <w:keepNext/>
              <w:spacing w:before="0"/>
              <w:rPr>
                <w:rFonts w:ascii="Arial Narrow" w:hAnsi="Arial Narrow"/>
                <w:sz w:val="20"/>
              </w:rPr>
            </w:pPr>
            <w:r w:rsidRPr="000E19AE">
              <w:rPr>
                <w:rFonts w:ascii="Arial Narrow" w:hAnsi="Arial Narrow"/>
                <w:sz w:val="20"/>
              </w:rPr>
              <w:t>Three health states: Progression</w:t>
            </w:r>
            <w:r w:rsidR="004576EE">
              <w:rPr>
                <w:rFonts w:ascii="Arial Narrow" w:hAnsi="Arial Narrow"/>
                <w:sz w:val="20"/>
              </w:rPr>
              <w:t>-</w:t>
            </w:r>
            <w:r w:rsidRPr="000E19AE">
              <w:rPr>
                <w:rFonts w:ascii="Arial Narrow" w:hAnsi="Arial Narrow"/>
                <w:sz w:val="20"/>
              </w:rPr>
              <w:t>free disease, Progressive disease and Death</w:t>
            </w:r>
            <w:r w:rsidR="00BA0DA4" w:rsidRPr="000E19AE">
              <w:rPr>
                <w:rFonts w:ascii="Arial Narrow" w:hAnsi="Arial Narrow"/>
                <w:sz w:val="20"/>
              </w:rPr>
              <w:t>.</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Cycle length</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1 week</w:t>
            </w:r>
          </w:p>
        </w:tc>
      </w:tr>
      <w:tr w:rsidR="00AA1D35" w:rsidRPr="000E19AE" w:rsidTr="00942D33">
        <w:tc>
          <w:tcPr>
            <w:tcW w:w="1592" w:type="pct"/>
            <w:tcBorders>
              <w:top w:val="single" w:sz="4" w:space="0" w:color="auto"/>
              <w:left w:val="single" w:sz="4" w:space="0" w:color="auto"/>
              <w:bottom w:val="single" w:sz="4" w:space="0" w:color="auto"/>
              <w:right w:val="single" w:sz="4" w:space="0" w:color="auto"/>
            </w:tcBorders>
          </w:tcPr>
          <w:p w:rsidR="00AA1D35" w:rsidRPr="000E19AE" w:rsidRDefault="00AA1D35">
            <w:pPr>
              <w:keepNext/>
              <w:spacing w:before="0"/>
              <w:rPr>
                <w:rFonts w:ascii="Arial Narrow" w:hAnsi="Arial Narrow"/>
                <w:sz w:val="20"/>
              </w:rPr>
            </w:pPr>
            <w:r w:rsidRPr="000E19AE">
              <w:rPr>
                <w:rFonts w:ascii="Arial Narrow" w:hAnsi="Arial Narrow"/>
                <w:sz w:val="20"/>
              </w:rPr>
              <w:t>Transition probabilities</w:t>
            </w:r>
          </w:p>
        </w:tc>
        <w:tc>
          <w:tcPr>
            <w:tcW w:w="3408" w:type="pct"/>
            <w:tcBorders>
              <w:top w:val="single" w:sz="4" w:space="0" w:color="auto"/>
              <w:left w:val="single" w:sz="4" w:space="0" w:color="auto"/>
              <w:bottom w:val="single" w:sz="4" w:space="0" w:color="auto"/>
              <w:right w:val="single" w:sz="4" w:space="0" w:color="auto"/>
            </w:tcBorders>
          </w:tcPr>
          <w:p w:rsidR="00AA1D35" w:rsidRPr="000E19AE" w:rsidRDefault="00AA1D35">
            <w:pPr>
              <w:spacing w:before="0"/>
              <w:ind w:right="57"/>
              <w:rPr>
                <w:rFonts w:ascii="Arial Narrow" w:hAnsi="Arial Narrow"/>
                <w:sz w:val="20"/>
              </w:rPr>
            </w:pPr>
            <w:r w:rsidRPr="000E19AE">
              <w:rPr>
                <w:rFonts w:ascii="Arial Narrow" w:hAnsi="Arial Narrow"/>
                <w:sz w:val="20"/>
              </w:rPr>
              <w:t xml:space="preserve">No specific transition probabilities </w:t>
            </w:r>
            <w:r w:rsidR="00BA0DA4" w:rsidRPr="000E19AE">
              <w:rPr>
                <w:rFonts w:ascii="Arial Narrow" w:hAnsi="Arial Narrow"/>
                <w:sz w:val="20"/>
              </w:rPr>
              <w:t xml:space="preserve">were </w:t>
            </w:r>
            <w:r w:rsidRPr="000E19AE">
              <w:rPr>
                <w:rFonts w:ascii="Arial Narrow" w:hAnsi="Arial Narrow"/>
                <w:sz w:val="20"/>
              </w:rPr>
              <w:t>modelled.</w:t>
            </w:r>
          </w:p>
          <w:p w:rsidR="00AA1D35" w:rsidRPr="000E19AE" w:rsidRDefault="00AA1D35" w:rsidP="004576EE">
            <w:pPr>
              <w:keepNext/>
              <w:spacing w:before="0"/>
              <w:rPr>
                <w:rFonts w:ascii="Arial Narrow" w:hAnsi="Arial Narrow"/>
                <w:sz w:val="20"/>
              </w:rPr>
            </w:pPr>
            <w:r w:rsidRPr="000E19AE">
              <w:rPr>
                <w:rFonts w:ascii="Arial Narrow" w:hAnsi="Arial Narrow"/>
                <w:sz w:val="20"/>
              </w:rPr>
              <w:t>Health state allocation over time was determined by progression</w:t>
            </w:r>
            <w:r w:rsidR="004576EE">
              <w:rPr>
                <w:rFonts w:ascii="Arial Narrow" w:hAnsi="Arial Narrow"/>
                <w:sz w:val="20"/>
              </w:rPr>
              <w:t>-</w:t>
            </w:r>
            <w:r w:rsidRPr="000E19AE">
              <w:rPr>
                <w:rFonts w:ascii="Arial Narrow" w:hAnsi="Arial Narrow"/>
                <w:sz w:val="20"/>
              </w:rPr>
              <w:t>free and overall survival curves from KN045 (</w:t>
            </w:r>
            <w:r w:rsidR="00BA0DA4" w:rsidRPr="000E19AE">
              <w:rPr>
                <w:rFonts w:ascii="Arial Narrow" w:hAnsi="Arial Narrow"/>
                <w:sz w:val="20"/>
              </w:rPr>
              <w:t xml:space="preserve">using a </w:t>
            </w:r>
            <w:r w:rsidRPr="000E19AE">
              <w:rPr>
                <w:rFonts w:ascii="Arial Narrow" w:hAnsi="Arial Narrow"/>
                <w:sz w:val="20"/>
              </w:rPr>
              <w:t>partitioned survival analysis)</w:t>
            </w:r>
            <w:r w:rsidR="00BA0DA4" w:rsidRPr="000E19AE">
              <w:rPr>
                <w:rFonts w:ascii="Arial Narrow" w:hAnsi="Arial Narrow"/>
                <w:sz w:val="20"/>
              </w:rPr>
              <w:t>.</w:t>
            </w:r>
          </w:p>
        </w:tc>
      </w:tr>
    </w:tbl>
    <w:p w:rsidR="00AA1D35" w:rsidRPr="000E19AE" w:rsidRDefault="00AA1D35" w:rsidP="00AA1D35">
      <w:pPr>
        <w:pStyle w:val="TableFooter"/>
      </w:pPr>
      <w:r w:rsidRPr="000E19AE">
        <w:t xml:space="preserve">Source: Table 3.1, p86 of </w:t>
      </w:r>
      <w:r w:rsidR="00E65207">
        <w:t xml:space="preserve">the </w:t>
      </w:r>
      <w:r w:rsidRPr="000E19AE">
        <w:t>submission.</w:t>
      </w:r>
    </w:p>
    <w:p w:rsidR="00AA1D35" w:rsidRPr="000E19AE" w:rsidRDefault="00AA1D35" w:rsidP="00AA1D35">
      <w:pPr>
        <w:pStyle w:val="TableHeading0"/>
      </w:pPr>
      <w:r w:rsidRPr="000E19AE">
        <w:t xml:space="preserve">Table </w:t>
      </w:r>
      <w:r w:rsidR="005329F3" w:rsidRPr="000E19AE">
        <w:t>13</w:t>
      </w:r>
      <w:r w:rsidRPr="000E19A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3"/>
        <w:gridCol w:w="5954"/>
        <w:gridCol w:w="1965"/>
      </w:tblGrid>
      <w:tr w:rsidR="00AA1D35" w:rsidRPr="000E19AE">
        <w:trPr>
          <w:tblHeader/>
        </w:trPr>
        <w:tc>
          <w:tcPr>
            <w:tcW w:w="640"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
              </w:rPr>
            </w:pPr>
            <w:r w:rsidRPr="000E19AE">
              <w:rPr>
                <w:b/>
              </w:rPr>
              <w:t>Description</w:t>
            </w:r>
          </w:p>
        </w:tc>
        <w:tc>
          <w:tcPr>
            <w:tcW w:w="327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
              </w:rPr>
            </w:pPr>
            <w:r w:rsidRPr="000E19AE">
              <w:rPr>
                <w:b/>
              </w:rPr>
              <w:t>Method/Value</w:t>
            </w:r>
          </w:p>
        </w:tc>
        <w:tc>
          <w:tcPr>
            <w:tcW w:w="1082"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
              </w:rPr>
            </w:pPr>
            <w:r w:rsidRPr="000E19AE">
              <w:rPr>
                <w:b/>
              </w:rPr>
              <w:t>Impact</w:t>
            </w:r>
          </w:p>
        </w:tc>
      </w:tr>
      <w:tr w:rsidR="00BA0DA4" w:rsidRPr="000E19AE">
        <w:tc>
          <w:tcPr>
            <w:tcW w:w="640" w:type="pct"/>
            <w:tcBorders>
              <w:top w:val="single" w:sz="4" w:space="0" w:color="auto"/>
              <w:left w:val="single" w:sz="4" w:space="0" w:color="auto"/>
              <w:bottom w:val="single" w:sz="4" w:space="0" w:color="auto"/>
              <w:right w:val="single" w:sz="4" w:space="0" w:color="auto"/>
            </w:tcBorders>
            <w:vAlign w:val="center"/>
          </w:tcPr>
          <w:p w:rsidR="00BA0DA4" w:rsidRPr="000E19AE" w:rsidRDefault="00BA0DA4">
            <w:pPr>
              <w:pStyle w:val="TableText"/>
              <w:spacing w:line="256" w:lineRule="auto"/>
            </w:pPr>
            <w:r w:rsidRPr="000E19AE">
              <w:t>Extrapolation</w:t>
            </w:r>
          </w:p>
        </w:tc>
        <w:tc>
          <w:tcPr>
            <w:tcW w:w="3278" w:type="pct"/>
            <w:tcBorders>
              <w:top w:val="single" w:sz="4" w:space="0" w:color="auto"/>
              <w:left w:val="single" w:sz="4" w:space="0" w:color="auto"/>
              <w:bottom w:val="single" w:sz="4" w:space="0" w:color="auto"/>
              <w:right w:val="single" w:sz="4" w:space="0" w:color="auto"/>
            </w:tcBorders>
            <w:vAlign w:val="center"/>
          </w:tcPr>
          <w:p w:rsidR="00BA0DA4" w:rsidRPr="00B93493" w:rsidRDefault="00BA0DA4">
            <w:pPr>
              <w:pStyle w:val="TableText"/>
              <w:spacing w:line="256" w:lineRule="auto"/>
            </w:pPr>
            <w:r w:rsidRPr="00B93493">
              <w:t>Use of different distributions to extrapolate the intervention and comparator arm.</w:t>
            </w:r>
          </w:p>
        </w:tc>
        <w:tc>
          <w:tcPr>
            <w:tcW w:w="1082" w:type="pct"/>
            <w:tcBorders>
              <w:top w:val="single" w:sz="4" w:space="0" w:color="auto"/>
              <w:left w:val="single" w:sz="4" w:space="0" w:color="auto"/>
              <w:bottom w:val="single" w:sz="4" w:space="0" w:color="auto"/>
              <w:right w:val="single" w:sz="4" w:space="0" w:color="auto"/>
            </w:tcBorders>
            <w:vAlign w:val="center"/>
          </w:tcPr>
          <w:p w:rsidR="00BA0DA4" w:rsidRPr="000E19AE" w:rsidRDefault="0054198C">
            <w:pPr>
              <w:pStyle w:val="TableText"/>
              <w:spacing w:line="256" w:lineRule="auto"/>
            </w:pPr>
            <w:r w:rsidRPr="000E19AE">
              <w:t>Moderate</w:t>
            </w:r>
            <w:r w:rsidR="00714B42">
              <w:t xml:space="preserve"> to high</w:t>
            </w:r>
            <w:r w:rsidRPr="000E19AE">
              <w:t>, favours pembrolizumab</w:t>
            </w:r>
          </w:p>
        </w:tc>
      </w:tr>
      <w:tr w:rsidR="00714B42" w:rsidRPr="000E19AE">
        <w:tc>
          <w:tcPr>
            <w:tcW w:w="640" w:type="pct"/>
            <w:tcBorders>
              <w:top w:val="single" w:sz="4" w:space="0" w:color="auto"/>
              <w:left w:val="single" w:sz="4" w:space="0" w:color="auto"/>
              <w:bottom w:val="single" w:sz="4" w:space="0" w:color="auto"/>
              <w:right w:val="single" w:sz="4" w:space="0" w:color="auto"/>
            </w:tcBorders>
            <w:vAlign w:val="center"/>
          </w:tcPr>
          <w:p w:rsidR="00714B42" w:rsidRPr="000E19AE" w:rsidRDefault="00714B42">
            <w:pPr>
              <w:pStyle w:val="TableText"/>
              <w:spacing w:line="256" w:lineRule="auto"/>
            </w:pPr>
            <w:r>
              <w:t>Treatment</w:t>
            </w:r>
          </w:p>
        </w:tc>
        <w:tc>
          <w:tcPr>
            <w:tcW w:w="3278" w:type="pct"/>
            <w:tcBorders>
              <w:top w:val="single" w:sz="4" w:space="0" w:color="auto"/>
              <w:left w:val="single" w:sz="4" w:space="0" w:color="auto"/>
              <w:bottom w:val="single" w:sz="4" w:space="0" w:color="auto"/>
              <w:right w:val="single" w:sz="4" w:space="0" w:color="auto"/>
            </w:tcBorders>
            <w:vAlign w:val="center"/>
          </w:tcPr>
          <w:p w:rsidR="00714B42" w:rsidRPr="00B93493" w:rsidRDefault="00714B42">
            <w:pPr>
              <w:pStyle w:val="TableText"/>
              <w:spacing w:line="256" w:lineRule="auto"/>
            </w:pPr>
            <w:r w:rsidRPr="00B93493">
              <w:t>Use of PFS rather than ToT to measure treatment duration</w:t>
            </w:r>
          </w:p>
        </w:tc>
        <w:tc>
          <w:tcPr>
            <w:tcW w:w="1082" w:type="pct"/>
            <w:tcBorders>
              <w:top w:val="single" w:sz="4" w:space="0" w:color="auto"/>
              <w:left w:val="single" w:sz="4" w:space="0" w:color="auto"/>
              <w:bottom w:val="single" w:sz="4" w:space="0" w:color="auto"/>
              <w:right w:val="single" w:sz="4" w:space="0" w:color="auto"/>
            </w:tcBorders>
            <w:vAlign w:val="center"/>
          </w:tcPr>
          <w:p w:rsidR="00714B42" w:rsidRPr="000E19AE" w:rsidRDefault="00714B42">
            <w:pPr>
              <w:pStyle w:val="TableText"/>
              <w:spacing w:line="256" w:lineRule="auto"/>
            </w:pPr>
            <w:r>
              <w:t>Moderate to high, favours pembrolizumab</w:t>
            </w:r>
          </w:p>
        </w:tc>
      </w:tr>
      <w:tr w:rsidR="00AA1D35" w:rsidRPr="000E19AE">
        <w:tc>
          <w:tcPr>
            <w:tcW w:w="640"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pPr>
            <w:r w:rsidRPr="000E19AE">
              <w:t>PFS</w:t>
            </w:r>
          </w:p>
        </w:tc>
        <w:tc>
          <w:tcPr>
            <w:tcW w:w="3278" w:type="pct"/>
            <w:tcBorders>
              <w:top w:val="single" w:sz="4" w:space="0" w:color="auto"/>
              <w:left w:val="single" w:sz="4" w:space="0" w:color="auto"/>
              <w:bottom w:val="single" w:sz="4" w:space="0" w:color="auto"/>
              <w:right w:val="single" w:sz="4" w:space="0" w:color="auto"/>
            </w:tcBorders>
            <w:vAlign w:val="center"/>
          </w:tcPr>
          <w:p w:rsidR="00AA1D35" w:rsidRPr="00B93493" w:rsidRDefault="00F81C67" w:rsidP="005329F3">
            <w:pPr>
              <w:pStyle w:val="TableText"/>
              <w:spacing w:line="256" w:lineRule="auto"/>
            </w:pPr>
            <w:r w:rsidRPr="00B93493">
              <w:t xml:space="preserve">Using 3 weeks (rather than 1 week) to measure health state allocation. </w:t>
            </w:r>
          </w:p>
        </w:tc>
        <w:tc>
          <w:tcPr>
            <w:tcW w:w="1082" w:type="pct"/>
            <w:tcBorders>
              <w:top w:val="single" w:sz="4" w:space="0" w:color="auto"/>
              <w:left w:val="single" w:sz="4" w:space="0" w:color="auto"/>
              <w:bottom w:val="single" w:sz="4" w:space="0" w:color="auto"/>
              <w:right w:val="single" w:sz="4" w:space="0" w:color="auto"/>
            </w:tcBorders>
            <w:vAlign w:val="center"/>
          </w:tcPr>
          <w:p w:rsidR="00AA1D35" w:rsidRPr="000E19AE" w:rsidRDefault="0054198C" w:rsidP="00F81C67">
            <w:pPr>
              <w:pStyle w:val="TableText"/>
              <w:spacing w:line="256" w:lineRule="auto"/>
            </w:pPr>
            <w:r w:rsidRPr="000E19AE">
              <w:t>Unclear</w:t>
            </w:r>
          </w:p>
        </w:tc>
      </w:tr>
      <w:tr w:rsidR="00A52A3F" w:rsidRPr="000E19AE">
        <w:tc>
          <w:tcPr>
            <w:tcW w:w="640" w:type="pct"/>
            <w:tcBorders>
              <w:top w:val="single" w:sz="4" w:space="0" w:color="auto"/>
              <w:left w:val="single" w:sz="4" w:space="0" w:color="auto"/>
              <w:bottom w:val="single" w:sz="4" w:space="0" w:color="auto"/>
              <w:right w:val="single" w:sz="4" w:space="0" w:color="auto"/>
            </w:tcBorders>
            <w:vAlign w:val="center"/>
          </w:tcPr>
          <w:p w:rsidR="00A52A3F" w:rsidRPr="000E19AE" w:rsidRDefault="00A52A3F">
            <w:pPr>
              <w:pStyle w:val="TableText"/>
              <w:spacing w:line="256" w:lineRule="auto"/>
            </w:pPr>
            <w:r w:rsidRPr="000E19AE">
              <w:t>PFS</w:t>
            </w:r>
          </w:p>
        </w:tc>
        <w:tc>
          <w:tcPr>
            <w:tcW w:w="3278" w:type="pct"/>
            <w:tcBorders>
              <w:top w:val="single" w:sz="4" w:space="0" w:color="auto"/>
              <w:left w:val="single" w:sz="4" w:space="0" w:color="auto"/>
              <w:bottom w:val="single" w:sz="4" w:space="0" w:color="auto"/>
              <w:right w:val="single" w:sz="4" w:space="0" w:color="auto"/>
            </w:tcBorders>
            <w:vAlign w:val="center"/>
          </w:tcPr>
          <w:p w:rsidR="00A52A3F" w:rsidRPr="00B93493" w:rsidRDefault="00A52A3F" w:rsidP="00AC6F2A">
            <w:pPr>
              <w:pStyle w:val="TableText"/>
              <w:spacing w:line="256" w:lineRule="auto"/>
            </w:pPr>
            <w:r w:rsidRPr="00B93493">
              <w:t>Extrapolation of a non-significant difference in PFS.</w:t>
            </w:r>
            <w:r w:rsidR="00AC6F2A" w:rsidRPr="00B93493">
              <w:t xml:space="preserve"> The ESC noted that the Kaplan-Meier curve indicated a separation between the arms and therefore a </w:t>
            </w:r>
            <w:r w:rsidR="00915209" w:rsidRPr="00B93493">
              <w:t>difference beyond the follow-up</w:t>
            </w:r>
            <w:r w:rsidR="00AC6F2A" w:rsidRPr="00B93493">
              <w:t xml:space="preserve"> may be reasonable.</w:t>
            </w:r>
          </w:p>
        </w:tc>
        <w:tc>
          <w:tcPr>
            <w:tcW w:w="1082" w:type="pct"/>
            <w:tcBorders>
              <w:top w:val="single" w:sz="4" w:space="0" w:color="auto"/>
              <w:left w:val="single" w:sz="4" w:space="0" w:color="auto"/>
              <w:bottom w:val="single" w:sz="4" w:space="0" w:color="auto"/>
              <w:right w:val="single" w:sz="4" w:space="0" w:color="auto"/>
            </w:tcBorders>
            <w:vAlign w:val="center"/>
          </w:tcPr>
          <w:p w:rsidR="00A52A3F" w:rsidRPr="000E19AE" w:rsidRDefault="00915209" w:rsidP="005468ED">
            <w:pPr>
              <w:pStyle w:val="TableText"/>
              <w:spacing w:line="256" w:lineRule="auto"/>
            </w:pPr>
            <w:r>
              <w:t>M</w:t>
            </w:r>
            <w:r w:rsidR="005468ED">
              <w:t>inor</w:t>
            </w:r>
          </w:p>
        </w:tc>
      </w:tr>
    </w:tbl>
    <w:p w:rsidR="00AA1D35" w:rsidRPr="000E19AE" w:rsidRDefault="00AA1D35" w:rsidP="00AA1D35">
      <w:pPr>
        <w:pStyle w:val="TableFooter"/>
      </w:pPr>
      <w:r w:rsidRPr="000E19AE">
        <w:t xml:space="preserve">Source: compiled during the evaluation </w:t>
      </w:r>
      <w:r w:rsidR="005D751A" w:rsidRPr="000E19AE">
        <w:t xml:space="preserve">using </w:t>
      </w:r>
      <w:r w:rsidRPr="000E19AE">
        <w:t>Section 3.4, pp 98-100 of the submission, Submission\Att14.</w:t>
      </w:r>
      <w:r w:rsidR="00E65207">
        <w:t>xls.</w:t>
      </w:r>
    </w:p>
    <w:p w:rsidR="005329F3" w:rsidRPr="000E19AE" w:rsidRDefault="005329F3" w:rsidP="00AA1D35">
      <w:pPr>
        <w:pStyle w:val="TableFooter"/>
      </w:pPr>
      <w:r w:rsidRPr="000E19AE">
        <w:t>Abbreviations: PFS = progression</w:t>
      </w:r>
      <w:r w:rsidR="004576EE">
        <w:t>-</w:t>
      </w:r>
      <w:r w:rsidRPr="000E19AE">
        <w:t>free survival; ToT = time on treatment.</w:t>
      </w:r>
    </w:p>
    <w:p w:rsidR="00F62BD9" w:rsidRPr="000E19AE" w:rsidRDefault="00F62BD9" w:rsidP="00F62BD9">
      <w:pPr>
        <w:pStyle w:val="TableHeading0"/>
      </w:pPr>
      <w:r w:rsidRPr="000E19AE">
        <w:t>Table 14: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6"/>
        <w:gridCol w:w="1520"/>
      </w:tblGrid>
      <w:tr w:rsidR="00F62BD9" w:rsidRPr="000E19AE" w:rsidTr="009301C2">
        <w:trPr>
          <w:tblHeader/>
        </w:trPr>
        <w:tc>
          <w:tcPr>
            <w:tcW w:w="1529" w:type="pct"/>
            <w:vAlign w:val="center"/>
          </w:tcPr>
          <w:p w:rsidR="00F62BD9" w:rsidRPr="000E19AE" w:rsidRDefault="00F62BD9" w:rsidP="009301C2">
            <w:pPr>
              <w:pStyle w:val="TableText"/>
              <w:rPr>
                <w:b/>
                <w:sz w:val="18"/>
                <w:szCs w:val="18"/>
              </w:rPr>
            </w:pPr>
            <w:r w:rsidRPr="000E19AE">
              <w:rPr>
                <w:b/>
                <w:sz w:val="18"/>
                <w:szCs w:val="18"/>
              </w:rPr>
              <w:t>Step and component</w:t>
            </w:r>
          </w:p>
        </w:tc>
        <w:tc>
          <w:tcPr>
            <w:tcW w:w="1359" w:type="pct"/>
            <w:vAlign w:val="center"/>
          </w:tcPr>
          <w:p w:rsidR="00F62BD9" w:rsidRPr="000E19AE" w:rsidRDefault="00F62BD9" w:rsidP="009301C2">
            <w:pPr>
              <w:pStyle w:val="TableText"/>
              <w:jc w:val="center"/>
              <w:rPr>
                <w:b/>
                <w:sz w:val="18"/>
                <w:szCs w:val="18"/>
              </w:rPr>
            </w:pPr>
            <w:r w:rsidRPr="000E19AE">
              <w:rPr>
                <w:b/>
                <w:sz w:val="18"/>
                <w:szCs w:val="18"/>
              </w:rPr>
              <w:t>Pembrolizumab</w:t>
            </w:r>
          </w:p>
        </w:tc>
        <w:tc>
          <w:tcPr>
            <w:tcW w:w="1275" w:type="pct"/>
            <w:vAlign w:val="center"/>
          </w:tcPr>
          <w:p w:rsidR="00F62BD9" w:rsidRPr="000E19AE" w:rsidRDefault="00F62BD9" w:rsidP="009301C2">
            <w:pPr>
              <w:pStyle w:val="TableText"/>
              <w:jc w:val="center"/>
              <w:rPr>
                <w:b/>
                <w:sz w:val="18"/>
                <w:szCs w:val="18"/>
              </w:rPr>
            </w:pPr>
            <w:r w:rsidRPr="000E19AE">
              <w:rPr>
                <w:b/>
                <w:sz w:val="18"/>
                <w:szCs w:val="18"/>
              </w:rPr>
              <w:t>SOC</w:t>
            </w:r>
          </w:p>
        </w:tc>
        <w:tc>
          <w:tcPr>
            <w:tcW w:w="837" w:type="pct"/>
            <w:vAlign w:val="center"/>
          </w:tcPr>
          <w:p w:rsidR="00F62BD9" w:rsidRPr="000E19AE" w:rsidRDefault="00F62BD9" w:rsidP="009301C2">
            <w:pPr>
              <w:pStyle w:val="TableText"/>
              <w:jc w:val="center"/>
              <w:rPr>
                <w:b/>
                <w:sz w:val="18"/>
                <w:szCs w:val="18"/>
              </w:rPr>
            </w:pPr>
            <w:r w:rsidRPr="000E19AE">
              <w:rPr>
                <w:b/>
                <w:sz w:val="18"/>
                <w:szCs w:val="18"/>
              </w:rPr>
              <w:t>Increment</w:t>
            </w:r>
          </w:p>
        </w:tc>
      </w:tr>
      <w:tr w:rsidR="00F62BD9" w:rsidRPr="000E19AE" w:rsidTr="009301C2">
        <w:tc>
          <w:tcPr>
            <w:tcW w:w="5000" w:type="pct"/>
            <w:gridSpan w:val="4"/>
            <w:vAlign w:val="center"/>
          </w:tcPr>
          <w:p w:rsidR="00F62BD9" w:rsidRPr="000E19AE" w:rsidRDefault="00F62BD9" w:rsidP="009301C2">
            <w:pPr>
              <w:pStyle w:val="TableText"/>
              <w:rPr>
                <w:b/>
                <w:snapToGrid w:val="0"/>
                <w:sz w:val="18"/>
                <w:szCs w:val="18"/>
              </w:rPr>
            </w:pPr>
            <w:r w:rsidRPr="000E19AE">
              <w:rPr>
                <w:b/>
                <w:snapToGrid w:val="0"/>
                <w:sz w:val="18"/>
                <w:szCs w:val="18"/>
              </w:rPr>
              <w:t xml:space="preserve">Step 1: </w:t>
            </w:r>
            <w:r w:rsidRPr="000E19AE">
              <w:rPr>
                <w:sz w:val="18"/>
                <w:szCs w:val="18"/>
              </w:rPr>
              <w:t xml:space="preserve">Comparative study data (as presented in </w:t>
            </w:r>
            <w:r>
              <w:rPr>
                <w:sz w:val="18"/>
                <w:szCs w:val="18"/>
              </w:rPr>
              <w:t>the clinical evaluation</w:t>
            </w:r>
            <w:r w:rsidRPr="000E19AE">
              <w:rPr>
                <w:sz w:val="18"/>
                <w:szCs w:val="18"/>
              </w:rPr>
              <w:t xml:space="preserve"> based on 14.1 months follow-up)</w:t>
            </w:r>
          </w:p>
        </w:tc>
      </w:tr>
      <w:tr w:rsidR="00F62BD9" w:rsidRPr="000E19AE" w:rsidTr="009301C2">
        <w:tc>
          <w:tcPr>
            <w:tcW w:w="1529" w:type="pct"/>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Costs</w:t>
            </w:r>
          </w:p>
        </w:tc>
        <w:tc>
          <w:tcPr>
            <w:tcW w:w="1359"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c>
          <w:tcPr>
            <w:tcW w:w="1275"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c>
          <w:tcPr>
            <w:tcW w:w="837"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r>
      <w:tr w:rsidR="00F62BD9" w:rsidRPr="000E19AE" w:rsidTr="009301C2">
        <w:tc>
          <w:tcPr>
            <w:tcW w:w="1529" w:type="pct"/>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LY</w:t>
            </w:r>
          </w:p>
        </w:tc>
        <w:tc>
          <w:tcPr>
            <w:tcW w:w="1359" w:type="pct"/>
          </w:tcPr>
          <w:p w:rsidR="00F62BD9" w:rsidRPr="001E368B" w:rsidRDefault="001E368B" w:rsidP="009301C2">
            <w:pPr>
              <w:pStyle w:val="TableText"/>
              <w:jc w:val="center"/>
              <w:rPr>
                <w:rFonts w:ascii="Times" w:eastAsia="Times New Roman" w:hAnsi="Times" w:cs="Times New Roman"/>
                <w:sz w:val="18"/>
                <w:szCs w:val="18"/>
                <w:highlight w:val="black"/>
              </w:rPr>
            </w:pPr>
            <w:r>
              <w:rPr>
                <w:noProof/>
                <w:color w:val="000000"/>
                <w:sz w:val="18"/>
                <w:szCs w:val="18"/>
                <w:highlight w:val="black"/>
              </w:rPr>
              <w:t>''''''''''</w:t>
            </w:r>
          </w:p>
        </w:tc>
        <w:tc>
          <w:tcPr>
            <w:tcW w:w="1275" w:type="pct"/>
          </w:tcPr>
          <w:p w:rsidR="00F62BD9" w:rsidRPr="001E368B" w:rsidRDefault="001E368B" w:rsidP="009301C2">
            <w:pPr>
              <w:pStyle w:val="TableText"/>
              <w:jc w:val="center"/>
              <w:rPr>
                <w:rFonts w:ascii="Times" w:eastAsia="Times New Roman" w:hAnsi="Times" w:cs="Times New Roman"/>
                <w:sz w:val="18"/>
                <w:szCs w:val="18"/>
                <w:highlight w:val="black"/>
              </w:rPr>
            </w:pPr>
            <w:r>
              <w:rPr>
                <w:noProof/>
                <w:color w:val="000000"/>
                <w:sz w:val="18"/>
                <w:szCs w:val="18"/>
                <w:highlight w:val="black"/>
              </w:rPr>
              <w:t>'''''''''</w:t>
            </w:r>
          </w:p>
        </w:tc>
        <w:tc>
          <w:tcPr>
            <w:tcW w:w="837" w:type="pct"/>
          </w:tcPr>
          <w:p w:rsidR="00F62BD9" w:rsidRPr="001E368B" w:rsidRDefault="001E368B" w:rsidP="009301C2">
            <w:pPr>
              <w:pStyle w:val="TableText"/>
              <w:jc w:val="center"/>
              <w:rPr>
                <w:sz w:val="18"/>
                <w:szCs w:val="18"/>
                <w:highlight w:val="black"/>
              </w:rPr>
            </w:pPr>
            <w:r>
              <w:rPr>
                <w:noProof/>
                <w:color w:val="000000"/>
                <w:sz w:val="18"/>
                <w:szCs w:val="18"/>
                <w:highlight w:val="black"/>
              </w:rPr>
              <w:t>'''''''''''</w:t>
            </w:r>
          </w:p>
        </w:tc>
      </w:tr>
      <w:tr w:rsidR="00F62BD9" w:rsidRPr="000E19AE" w:rsidTr="009301C2">
        <w:tc>
          <w:tcPr>
            <w:tcW w:w="4163" w:type="pct"/>
            <w:gridSpan w:val="3"/>
            <w:vAlign w:val="center"/>
          </w:tcPr>
          <w:p w:rsidR="00F62BD9" w:rsidRPr="000E19AE" w:rsidRDefault="00F62BD9" w:rsidP="009301C2">
            <w:pPr>
              <w:pStyle w:val="TableText"/>
              <w:rPr>
                <w:rFonts w:ascii="Times" w:eastAsia="Times New Roman" w:hAnsi="Times" w:cs="Times New Roman"/>
                <w:snapToGrid w:val="0"/>
                <w:sz w:val="18"/>
                <w:szCs w:val="18"/>
              </w:rPr>
            </w:pPr>
            <w:r w:rsidRPr="000E19AE">
              <w:rPr>
                <w:sz w:val="18"/>
                <w:szCs w:val="18"/>
              </w:rPr>
              <w:t>Incremental cost/extra LY gained</w:t>
            </w:r>
          </w:p>
        </w:tc>
        <w:tc>
          <w:tcPr>
            <w:tcW w:w="837" w:type="pct"/>
            <w:vAlign w:val="center"/>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r>
      <w:tr w:rsidR="00F62BD9" w:rsidRPr="000E19AE" w:rsidTr="009301C2">
        <w:tc>
          <w:tcPr>
            <w:tcW w:w="5000" w:type="pct"/>
            <w:gridSpan w:val="4"/>
            <w:vAlign w:val="center"/>
          </w:tcPr>
          <w:p w:rsidR="00F62BD9" w:rsidRPr="000E19AE" w:rsidRDefault="00F62BD9" w:rsidP="009301C2">
            <w:pPr>
              <w:pStyle w:val="TableText"/>
              <w:rPr>
                <w:b/>
                <w:snapToGrid w:val="0"/>
                <w:sz w:val="18"/>
                <w:szCs w:val="18"/>
              </w:rPr>
            </w:pPr>
            <w:r w:rsidRPr="000E19AE">
              <w:rPr>
                <w:b/>
                <w:snapToGrid w:val="0"/>
                <w:sz w:val="18"/>
                <w:szCs w:val="18"/>
              </w:rPr>
              <w:t xml:space="preserve">Step 2: </w:t>
            </w:r>
            <w:r w:rsidRPr="000E19AE">
              <w:rPr>
                <w:sz w:val="18"/>
                <w:szCs w:val="18"/>
              </w:rPr>
              <w:t>Study evidence extrapolated to the 5-year time horizon (life years)</w:t>
            </w:r>
          </w:p>
        </w:tc>
      </w:tr>
      <w:tr w:rsidR="00F62BD9" w:rsidRPr="000E19AE" w:rsidTr="009301C2">
        <w:tc>
          <w:tcPr>
            <w:tcW w:w="1529" w:type="pct"/>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Costs</w:t>
            </w:r>
          </w:p>
        </w:tc>
        <w:tc>
          <w:tcPr>
            <w:tcW w:w="1359"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c>
          <w:tcPr>
            <w:tcW w:w="1275"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c>
          <w:tcPr>
            <w:tcW w:w="837"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r>
      <w:tr w:rsidR="00F62BD9" w:rsidRPr="000E19AE" w:rsidTr="009301C2">
        <w:tc>
          <w:tcPr>
            <w:tcW w:w="1529" w:type="pct"/>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LY</w:t>
            </w:r>
          </w:p>
        </w:tc>
        <w:tc>
          <w:tcPr>
            <w:tcW w:w="1359" w:type="pct"/>
          </w:tcPr>
          <w:p w:rsidR="00F62BD9" w:rsidRPr="001E368B" w:rsidRDefault="001E368B" w:rsidP="009301C2">
            <w:pPr>
              <w:pStyle w:val="TableText"/>
              <w:jc w:val="center"/>
              <w:rPr>
                <w:rFonts w:ascii="Times" w:eastAsia="Times New Roman" w:hAnsi="Times" w:cs="Times New Roman"/>
                <w:sz w:val="18"/>
                <w:szCs w:val="18"/>
                <w:highlight w:val="black"/>
              </w:rPr>
            </w:pPr>
            <w:r>
              <w:rPr>
                <w:noProof/>
                <w:color w:val="000000"/>
                <w:sz w:val="18"/>
                <w:szCs w:val="18"/>
                <w:highlight w:val="black"/>
              </w:rPr>
              <w:t>'''''''''''</w:t>
            </w:r>
          </w:p>
        </w:tc>
        <w:tc>
          <w:tcPr>
            <w:tcW w:w="1275" w:type="pct"/>
          </w:tcPr>
          <w:p w:rsidR="00F62BD9" w:rsidRPr="001E368B" w:rsidRDefault="001E368B" w:rsidP="009301C2">
            <w:pPr>
              <w:pStyle w:val="TableText"/>
              <w:jc w:val="center"/>
              <w:rPr>
                <w:rFonts w:ascii="Times" w:eastAsia="Times New Roman" w:hAnsi="Times" w:cs="Times New Roman"/>
                <w:sz w:val="18"/>
                <w:szCs w:val="18"/>
                <w:highlight w:val="black"/>
              </w:rPr>
            </w:pPr>
            <w:r>
              <w:rPr>
                <w:noProof/>
                <w:color w:val="000000"/>
                <w:sz w:val="18"/>
                <w:szCs w:val="18"/>
                <w:highlight w:val="black"/>
              </w:rPr>
              <w:t>''''''''''</w:t>
            </w:r>
          </w:p>
        </w:tc>
        <w:tc>
          <w:tcPr>
            <w:tcW w:w="837" w:type="pct"/>
          </w:tcPr>
          <w:p w:rsidR="00F62BD9" w:rsidRPr="001E368B" w:rsidRDefault="001E368B" w:rsidP="009301C2">
            <w:pPr>
              <w:pStyle w:val="TableText"/>
              <w:jc w:val="center"/>
              <w:rPr>
                <w:sz w:val="18"/>
                <w:szCs w:val="18"/>
                <w:highlight w:val="black"/>
              </w:rPr>
            </w:pPr>
            <w:r>
              <w:rPr>
                <w:noProof/>
                <w:color w:val="000000"/>
                <w:sz w:val="18"/>
                <w:szCs w:val="18"/>
                <w:highlight w:val="black"/>
              </w:rPr>
              <w:t>''''''''''</w:t>
            </w:r>
          </w:p>
        </w:tc>
      </w:tr>
      <w:tr w:rsidR="00F62BD9" w:rsidRPr="000E19AE" w:rsidTr="009301C2">
        <w:tc>
          <w:tcPr>
            <w:tcW w:w="4163" w:type="pct"/>
            <w:gridSpan w:val="3"/>
            <w:vAlign w:val="center"/>
          </w:tcPr>
          <w:p w:rsidR="00F62BD9" w:rsidRPr="000E19AE" w:rsidRDefault="00F62BD9" w:rsidP="009301C2">
            <w:pPr>
              <w:pStyle w:val="TableText"/>
              <w:rPr>
                <w:rFonts w:ascii="Times" w:eastAsia="Times New Roman" w:hAnsi="Times" w:cs="Times New Roman"/>
                <w:snapToGrid w:val="0"/>
                <w:sz w:val="18"/>
                <w:szCs w:val="18"/>
              </w:rPr>
            </w:pPr>
            <w:r w:rsidRPr="000E19AE">
              <w:rPr>
                <w:sz w:val="18"/>
                <w:szCs w:val="18"/>
              </w:rPr>
              <w:t>Incremental cost/extra LY gained</w:t>
            </w:r>
          </w:p>
        </w:tc>
        <w:tc>
          <w:tcPr>
            <w:tcW w:w="837" w:type="pct"/>
            <w:vAlign w:val="center"/>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r>
      <w:tr w:rsidR="00F62BD9" w:rsidRPr="000E19AE" w:rsidTr="009301C2">
        <w:tc>
          <w:tcPr>
            <w:tcW w:w="5000" w:type="pct"/>
            <w:gridSpan w:val="4"/>
            <w:vAlign w:val="center"/>
          </w:tcPr>
          <w:p w:rsidR="00F62BD9" w:rsidRPr="000E19AE" w:rsidRDefault="00F62BD9" w:rsidP="009301C2">
            <w:pPr>
              <w:pStyle w:val="TableText"/>
              <w:rPr>
                <w:b/>
                <w:snapToGrid w:val="0"/>
                <w:sz w:val="18"/>
                <w:szCs w:val="18"/>
              </w:rPr>
            </w:pPr>
            <w:r w:rsidRPr="000E19AE">
              <w:rPr>
                <w:b/>
                <w:snapToGrid w:val="0"/>
                <w:sz w:val="18"/>
                <w:szCs w:val="18"/>
              </w:rPr>
              <w:t xml:space="preserve">Step 3: </w:t>
            </w:r>
            <w:r w:rsidRPr="000E19AE">
              <w:rPr>
                <w:sz w:val="18"/>
                <w:szCs w:val="18"/>
              </w:rPr>
              <w:t>Study evidence extrapolated to the time horizon and transformed into a relevant health outcome (QALYs)</w:t>
            </w:r>
          </w:p>
        </w:tc>
      </w:tr>
      <w:tr w:rsidR="00F62BD9" w:rsidRPr="000E19AE" w:rsidTr="009301C2">
        <w:tc>
          <w:tcPr>
            <w:tcW w:w="1529" w:type="pct"/>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Costs</w:t>
            </w:r>
          </w:p>
        </w:tc>
        <w:tc>
          <w:tcPr>
            <w:tcW w:w="1359"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c>
          <w:tcPr>
            <w:tcW w:w="1275"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c>
          <w:tcPr>
            <w:tcW w:w="837" w:type="pct"/>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r>
      <w:tr w:rsidR="00F62BD9" w:rsidRPr="000E19AE" w:rsidTr="009301C2">
        <w:tc>
          <w:tcPr>
            <w:tcW w:w="1529" w:type="pct"/>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QALYs</w:t>
            </w:r>
          </w:p>
        </w:tc>
        <w:tc>
          <w:tcPr>
            <w:tcW w:w="1359" w:type="pct"/>
          </w:tcPr>
          <w:p w:rsidR="00F62BD9" w:rsidRPr="001E368B" w:rsidRDefault="001E368B" w:rsidP="009301C2">
            <w:pPr>
              <w:pStyle w:val="TableText"/>
              <w:jc w:val="center"/>
              <w:rPr>
                <w:rFonts w:ascii="Times" w:eastAsia="Times New Roman" w:hAnsi="Times" w:cs="Times New Roman"/>
                <w:sz w:val="18"/>
                <w:szCs w:val="18"/>
                <w:highlight w:val="black"/>
              </w:rPr>
            </w:pPr>
            <w:r>
              <w:rPr>
                <w:noProof/>
                <w:color w:val="000000"/>
                <w:sz w:val="18"/>
                <w:szCs w:val="18"/>
                <w:highlight w:val="black"/>
              </w:rPr>
              <w:t>'''''''''</w:t>
            </w:r>
          </w:p>
        </w:tc>
        <w:tc>
          <w:tcPr>
            <w:tcW w:w="1275" w:type="pct"/>
          </w:tcPr>
          <w:p w:rsidR="00F62BD9" w:rsidRPr="001E368B" w:rsidRDefault="001E368B" w:rsidP="009301C2">
            <w:pPr>
              <w:pStyle w:val="TableText"/>
              <w:jc w:val="center"/>
              <w:rPr>
                <w:rFonts w:ascii="Times" w:eastAsia="Times New Roman" w:hAnsi="Times" w:cs="Times New Roman"/>
                <w:sz w:val="18"/>
                <w:szCs w:val="18"/>
                <w:highlight w:val="black"/>
              </w:rPr>
            </w:pPr>
            <w:r>
              <w:rPr>
                <w:noProof/>
                <w:color w:val="000000"/>
                <w:sz w:val="18"/>
                <w:szCs w:val="18"/>
                <w:highlight w:val="black"/>
              </w:rPr>
              <w:t>'''''''''''</w:t>
            </w:r>
          </w:p>
        </w:tc>
        <w:tc>
          <w:tcPr>
            <w:tcW w:w="837" w:type="pct"/>
          </w:tcPr>
          <w:p w:rsidR="00F62BD9" w:rsidRPr="001E368B" w:rsidRDefault="001E368B" w:rsidP="009301C2">
            <w:pPr>
              <w:pStyle w:val="TableText"/>
              <w:jc w:val="center"/>
              <w:rPr>
                <w:sz w:val="18"/>
                <w:szCs w:val="18"/>
                <w:highlight w:val="black"/>
              </w:rPr>
            </w:pPr>
            <w:r>
              <w:rPr>
                <w:noProof/>
                <w:color w:val="000000"/>
                <w:sz w:val="18"/>
                <w:szCs w:val="18"/>
                <w:highlight w:val="black"/>
              </w:rPr>
              <w:t>''''''''''</w:t>
            </w:r>
          </w:p>
        </w:tc>
      </w:tr>
      <w:tr w:rsidR="00F62BD9" w:rsidRPr="000E19AE" w:rsidTr="009301C2">
        <w:tc>
          <w:tcPr>
            <w:tcW w:w="4163" w:type="pct"/>
            <w:gridSpan w:val="3"/>
            <w:vAlign w:val="center"/>
          </w:tcPr>
          <w:p w:rsidR="00F62BD9" w:rsidRPr="000E19AE" w:rsidRDefault="00F62BD9" w:rsidP="009301C2">
            <w:pPr>
              <w:pStyle w:val="TableText"/>
              <w:rPr>
                <w:rFonts w:ascii="Times" w:eastAsia="Times New Roman" w:hAnsi="Times" w:cs="Times New Roman"/>
                <w:sz w:val="18"/>
                <w:szCs w:val="18"/>
              </w:rPr>
            </w:pPr>
            <w:r w:rsidRPr="000E19AE">
              <w:rPr>
                <w:sz w:val="18"/>
                <w:szCs w:val="18"/>
              </w:rPr>
              <w:t>Incremental cost/extra QALY gained</w:t>
            </w:r>
          </w:p>
        </w:tc>
        <w:tc>
          <w:tcPr>
            <w:tcW w:w="837" w:type="pct"/>
            <w:vAlign w:val="center"/>
          </w:tcPr>
          <w:p w:rsidR="00F62BD9" w:rsidRPr="000E19AE" w:rsidRDefault="00F62BD9" w:rsidP="009301C2">
            <w:pPr>
              <w:pStyle w:val="TableText"/>
              <w:jc w:val="center"/>
              <w:rPr>
                <w:rFonts w:ascii="Times" w:eastAsia="Times New Roman" w:hAnsi="Times" w:cs="Times New Roman"/>
                <w:sz w:val="18"/>
                <w:szCs w:val="18"/>
              </w:rPr>
            </w:pPr>
            <w:r w:rsidRPr="000E19AE">
              <w:rPr>
                <w:sz w:val="18"/>
                <w:szCs w:val="18"/>
              </w:rPr>
              <w:t>$</w:t>
            </w:r>
            <w:r w:rsidR="001E368B">
              <w:rPr>
                <w:noProof/>
                <w:color w:val="000000"/>
                <w:sz w:val="18"/>
                <w:szCs w:val="18"/>
                <w:highlight w:val="black"/>
              </w:rPr>
              <w:t>''''''''''''''''</w:t>
            </w:r>
          </w:p>
        </w:tc>
      </w:tr>
    </w:tbl>
    <w:p w:rsidR="00F62BD9" w:rsidRPr="000E19AE" w:rsidRDefault="00F62BD9" w:rsidP="00F62BD9">
      <w:pPr>
        <w:pStyle w:val="TableFooter"/>
      </w:pPr>
      <w:r w:rsidRPr="000E19AE">
        <w:t>Abbreviations: ICER=Incremental cost-effectiveness ratio; LY=life year; QAL</w:t>
      </w:r>
      <w:r>
        <w:t>Y = quality-adjusted life year.</w:t>
      </w:r>
    </w:p>
    <w:p w:rsidR="00F62BD9" w:rsidRPr="000E19AE" w:rsidRDefault="00F62BD9" w:rsidP="00F62BD9">
      <w:pPr>
        <w:pStyle w:val="TableFooter"/>
      </w:pPr>
      <w:r w:rsidRPr="000E19AE">
        <w:t>Source: Submission files/attn14.xls</w:t>
      </w:r>
      <w:r>
        <w:t>.</w:t>
      </w:r>
    </w:p>
    <w:p w:rsidR="004540CF" w:rsidRPr="00FC1054" w:rsidRDefault="004540CF" w:rsidP="004540CF">
      <w:pPr>
        <w:pStyle w:val="ListParagraph"/>
        <w:numPr>
          <w:ilvl w:val="1"/>
          <w:numId w:val="19"/>
        </w:numPr>
        <w:spacing w:before="0" w:after="120"/>
        <w:jc w:val="both"/>
        <w:rPr>
          <w:szCs w:val="24"/>
        </w:rPr>
      </w:pPr>
      <w:r w:rsidRPr="00B93493">
        <w:rPr>
          <w:color w:val="000000" w:themeColor="text1"/>
        </w:rPr>
        <w:t xml:space="preserve">The base case ICER of </w:t>
      </w:r>
      <w:r w:rsidR="002F2052">
        <w:rPr>
          <w:color w:val="000000" w:themeColor="text1"/>
        </w:rPr>
        <w:t>$45,000/QALY - $75,000/QALY</w:t>
      </w:r>
      <w:r w:rsidRPr="00B93493">
        <w:rPr>
          <w:color w:val="000000" w:themeColor="text1"/>
        </w:rPr>
        <w:t xml:space="preserve"> was produced using a public/private weighted price of $</w:t>
      </w:r>
      <w:r w:rsidR="001E368B">
        <w:rPr>
          <w:noProof/>
          <w:color w:val="000000"/>
          <w:highlight w:val="black"/>
        </w:rPr>
        <w:t>''''''''''''</w:t>
      </w:r>
      <w:r w:rsidRPr="00B93493">
        <w:rPr>
          <w:color w:val="000000" w:themeColor="text1"/>
        </w:rPr>
        <w:t xml:space="preserve"> per fixed dose of 200 mg of pembrolizumab.</w:t>
      </w:r>
    </w:p>
    <w:p w:rsidR="00FC1054" w:rsidRPr="000E19AE" w:rsidDel="0019081A" w:rsidRDefault="00FC1054" w:rsidP="00FC1054">
      <w:pPr>
        <w:pStyle w:val="TableHeading0"/>
      </w:pPr>
      <w:r w:rsidRPr="000E19AE" w:rsidDel="0019081A">
        <w:t>Table 15: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707"/>
        <w:gridCol w:w="1133"/>
        <w:gridCol w:w="1277"/>
        <w:gridCol w:w="1965"/>
      </w:tblGrid>
      <w:tr w:rsidR="00FC1054" w:rsidRPr="000E19AE" w:rsidDel="0019081A" w:rsidTr="009301C2">
        <w:trPr>
          <w:tblHeader/>
        </w:trPr>
        <w:tc>
          <w:tcPr>
            <w:tcW w:w="2591" w:type="pct"/>
            <w:tcBorders>
              <w:top w:val="single" w:sz="4" w:space="0" w:color="auto"/>
              <w:left w:val="single" w:sz="4" w:space="0" w:color="auto"/>
              <w:bottom w:val="single" w:sz="4" w:space="0" w:color="auto"/>
              <w:right w:val="single" w:sz="4" w:space="0" w:color="auto"/>
            </w:tcBorders>
            <w:vAlign w:val="center"/>
          </w:tcPr>
          <w:p w:rsidR="00FC1054" w:rsidRPr="000E19AE" w:rsidDel="0019081A" w:rsidRDefault="00FC1054" w:rsidP="009301C2">
            <w:pPr>
              <w:pStyle w:val="TableText"/>
              <w:rPr>
                <w:b/>
                <w:szCs w:val="20"/>
              </w:rPr>
            </w:pPr>
            <w:r w:rsidRPr="000E19AE" w:rsidDel="0019081A">
              <w:rPr>
                <w:b/>
                <w:szCs w:val="20"/>
              </w:rPr>
              <w:t>Sensitivity analyses</w:t>
            </w:r>
          </w:p>
        </w:tc>
        <w:tc>
          <w:tcPr>
            <w:tcW w:w="624" w:type="pct"/>
            <w:tcBorders>
              <w:top w:val="single" w:sz="4" w:space="0" w:color="auto"/>
              <w:left w:val="single" w:sz="4" w:space="0" w:color="auto"/>
              <w:bottom w:val="single" w:sz="4" w:space="0" w:color="auto"/>
              <w:right w:val="single" w:sz="4" w:space="0" w:color="auto"/>
            </w:tcBorders>
            <w:vAlign w:val="center"/>
          </w:tcPr>
          <w:p w:rsidR="00FC1054" w:rsidRPr="000E19AE" w:rsidDel="0019081A" w:rsidRDefault="00FC1054" w:rsidP="009301C2">
            <w:pPr>
              <w:pStyle w:val="TableText"/>
              <w:jc w:val="center"/>
              <w:rPr>
                <w:b/>
                <w:szCs w:val="20"/>
              </w:rPr>
            </w:pPr>
            <w:r w:rsidRPr="000E19AE" w:rsidDel="0019081A">
              <w:rPr>
                <w:b/>
                <w:szCs w:val="20"/>
              </w:rPr>
              <w:t>Incremental costs ($)</w:t>
            </w:r>
          </w:p>
        </w:tc>
        <w:tc>
          <w:tcPr>
            <w:tcW w:w="703" w:type="pct"/>
            <w:tcBorders>
              <w:top w:val="single" w:sz="4" w:space="0" w:color="auto"/>
              <w:left w:val="single" w:sz="4" w:space="0" w:color="auto"/>
              <w:bottom w:val="single" w:sz="4" w:space="0" w:color="auto"/>
              <w:right w:val="single" w:sz="4" w:space="0" w:color="auto"/>
            </w:tcBorders>
            <w:vAlign w:val="center"/>
          </w:tcPr>
          <w:p w:rsidR="00FC1054" w:rsidRPr="000E19AE" w:rsidDel="0019081A" w:rsidRDefault="00FC1054" w:rsidP="009301C2">
            <w:pPr>
              <w:pStyle w:val="TableText"/>
              <w:jc w:val="center"/>
              <w:rPr>
                <w:b/>
                <w:szCs w:val="20"/>
              </w:rPr>
            </w:pPr>
            <w:r w:rsidRPr="000E19AE" w:rsidDel="0019081A">
              <w:rPr>
                <w:b/>
                <w:szCs w:val="20"/>
              </w:rPr>
              <w:t>Incremental effectiveness</w:t>
            </w:r>
          </w:p>
        </w:tc>
        <w:tc>
          <w:tcPr>
            <w:tcW w:w="1082" w:type="pct"/>
            <w:tcBorders>
              <w:top w:val="single" w:sz="4" w:space="0" w:color="auto"/>
              <w:left w:val="single" w:sz="4" w:space="0" w:color="auto"/>
              <w:bottom w:val="single" w:sz="4" w:space="0" w:color="auto"/>
              <w:right w:val="single" w:sz="4" w:space="0" w:color="auto"/>
            </w:tcBorders>
            <w:vAlign w:val="center"/>
          </w:tcPr>
          <w:p w:rsidR="00FC1054" w:rsidRPr="000E19AE" w:rsidDel="0019081A" w:rsidRDefault="00FC1054" w:rsidP="009301C2">
            <w:pPr>
              <w:pStyle w:val="TableText"/>
              <w:jc w:val="center"/>
              <w:rPr>
                <w:b/>
                <w:szCs w:val="20"/>
              </w:rPr>
            </w:pPr>
            <w:r w:rsidRPr="000E19AE" w:rsidDel="0019081A">
              <w:rPr>
                <w:b/>
                <w:szCs w:val="20"/>
              </w:rPr>
              <w:t>Incremental cost-effectiveness ($/QALY)</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vAlign w:val="center"/>
          </w:tcPr>
          <w:p w:rsidR="00FC1054" w:rsidRPr="000E19AE" w:rsidDel="0019081A" w:rsidRDefault="00FC1054" w:rsidP="009301C2">
            <w:pPr>
              <w:pStyle w:val="TableText"/>
              <w:rPr>
                <w:szCs w:val="20"/>
              </w:rPr>
            </w:pPr>
            <w:r w:rsidRPr="000E19AE" w:rsidDel="0019081A">
              <w:rPr>
                <w:szCs w:val="20"/>
              </w:rPr>
              <w:t>Base case</w:t>
            </w:r>
          </w:p>
        </w:tc>
        <w:tc>
          <w:tcPr>
            <w:tcW w:w="624" w:type="pct"/>
            <w:tcBorders>
              <w:top w:val="single" w:sz="4" w:space="0" w:color="auto"/>
              <w:left w:val="single" w:sz="4" w:space="0" w:color="auto"/>
              <w:bottom w:val="single" w:sz="4" w:space="0" w:color="auto"/>
              <w:right w:val="single" w:sz="4" w:space="0" w:color="auto"/>
            </w:tcBorders>
            <w:vAlign w:val="center"/>
          </w:tcPr>
          <w:p w:rsidR="00FC1054" w:rsidRPr="001E368B" w:rsidDel="0019081A" w:rsidRDefault="001E368B" w:rsidP="009301C2">
            <w:pPr>
              <w:pStyle w:val="TableText"/>
              <w:jc w:val="center"/>
              <w:rPr>
                <w:szCs w:val="20"/>
                <w:highlight w:val="black"/>
              </w:rPr>
            </w:pPr>
            <w:r>
              <w:rPr>
                <w:noProof/>
                <w:color w:val="000000"/>
                <w:szCs w:val="20"/>
                <w:highlight w:val="black"/>
              </w:rPr>
              <w:t>'''''''''''''''''</w:t>
            </w:r>
          </w:p>
        </w:tc>
        <w:tc>
          <w:tcPr>
            <w:tcW w:w="703" w:type="pct"/>
            <w:tcBorders>
              <w:top w:val="single" w:sz="4" w:space="0" w:color="auto"/>
              <w:left w:val="single" w:sz="4" w:space="0" w:color="auto"/>
              <w:bottom w:val="single" w:sz="4" w:space="0" w:color="auto"/>
              <w:right w:val="single" w:sz="4" w:space="0" w:color="auto"/>
            </w:tcBorders>
            <w:vAlign w:val="center"/>
          </w:tcPr>
          <w:p w:rsidR="00FC1054" w:rsidRPr="001E368B" w:rsidDel="0019081A" w:rsidRDefault="001E368B" w:rsidP="009301C2">
            <w:pPr>
              <w:pStyle w:val="TableText"/>
              <w:jc w:val="center"/>
              <w:rPr>
                <w:szCs w:val="20"/>
                <w:highlight w:val="black"/>
              </w:rPr>
            </w:pPr>
            <w:r>
              <w:rPr>
                <w:noProof/>
                <w:color w:val="000000"/>
                <w:szCs w:val="20"/>
                <w:highlight w:val="black"/>
              </w:rPr>
              <w:t>'''''''''''</w:t>
            </w:r>
          </w:p>
        </w:tc>
        <w:tc>
          <w:tcPr>
            <w:tcW w:w="1082" w:type="pct"/>
            <w:tcBorders>
              <w:top w:val="single" w:sz="4" w:space="0" w:color="auto"/>
              <w:left w:val="single" w:sz="4" w:space="0" w:color="auto"/>
              <w:bottom w:val="single" w:sz="4" w:space="0" w:color="auto"/>
              <w:right w:val="single" w:sz="4" w:space="0" w:color="auto"/>
            </w:tcBorders>
            <w:vAlign w:val="center"/>
          </w:tcPr>
          <w:p w:rsidR="00FC1054" w:rsidRPr="001E368B" w:rsidDel="0019081A" w:rsidRDefault="001E368B" w:rsidP="009301C2">
            <w:pPr>
              <w:pStyle w:val="TableText"/>
              <w:jc w:val="center"/>
              <w:rPr>
                <w:szCs w:val="20"/>
                <w:highlight w:val="black"/>
              </w:rPr>
            </w:pPr>
            <w:r>
              <w:rPr>
                <w:rFonts w:eastAsia="Calibri" w:cs="Times New Roman"/>
                <w:noProof/>
                <w:color w:val="000000"/>
                <w:szCs w:val="2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0E19AE" w:rsidDel="0019081A" w:rsidRDefault="00FC1054" w:rsidP="009301C2">
            <w:pPr>
              <w:pStyle w:val="TableText"/>
              <w:rPr>
                <w:szCs w:val="20"/>
              </w:rPr>
            </w:pPr>
            <w:r w:rsidRPr="000E19AE" w:rsidDel="0019081A">
              <w:t>Revised base case (price disclosure Oct 2017)</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0E19AE" w:rsidDel="0019081A" w:rsidRDefault="00FC1054" w:rsidP="009301C2">
            <w:pPr>
              <w:pStyle w:val="TableText"/>
            </w:pPr>
            <w:r w:rsidRPr="000E19AE" w:rsidDel="0019081A">
              <w:t>Time horizon – 7 years (from 5 years)</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0E19AE" w:rsidDel="0019081A" w:rsidRDefault="00FC1054" w:rsidP="009301C2">
            <w:pPr>
              <w:pStyle w:val="TableText"/>
            </w:pPr>
            <w:r w:rsidRPr="000E19AE" w:rsidDel="0019081A">
              <w:t>Time horizon – 10 years (from 5 years)</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0E19AE" w:rsidDel="0019081A" w:rsidRDefault="00FC1054" w:rsidP="009B3B6B">
            <w:pPr>
              <w:pStyle w:val="TableText"/>
            </w:pPr>
            <w:r w:rsidRPr="000E19AE" w:rsidDel="0019081A">
              <w:t xml:space="preserve">Utility values – use of pooled values across treatment groups for </w:t>
            </w:r>
            <w:r w:rsidR="009B3B6B">
              <w:t>P</w:t>
            </w:r>
            <w:r w:rsidR="00117CE4">
              <w:t xml:space="preserve">rogression-free disease and </w:t>
            </w:r>
            <w:r w:rsidR="009B3B6B">
              <w:t>Progressive disease states</w:t>
            </w:r>
            <w:r w:rsidRPr="000E19AE" w:rsidDel="0019081A">
              <w:t>.</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0E19AE" w:rsidDel="0019081A" w:rsidRDefault="00FC1054" w:rsidP="009301C2">
            <w:pPr>
              <w:pStyle w:val="TableText"/>
            </w:pPr>
            <w:r w:rsidRPr="000E19AE" w:rsidDel="0019081A">
              <w:t>Utility values – use of alternative health state values defined by time to death.</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r>
      <w:tr w:rsidR="00FC1054" w:rsidRPr="005468ED" w:rsidTr="009301C2">
        <w:tc>
          <w:tcPr>
            <w:tcW w:w="2591" w:type="pct"/>
            <w:tcBorders>
              <w:top w:val="single" w:sz="4" w:space="0" w:color="auto"/>
              <w:left w:val="single" w:sz="4" w:space="0" w:color="auto"/>
              <w:bottom w:val="single" w:sz="4" w:space="0" w:color="auto"/>
              <w:right w:val="single" w:sz="4" w:space="0" w:color="auto"/>
            </w:tcBorders>
          </w:tcPr>
          <w:p w:rsidR="00FC1054" w:rsidRPr="000C1181" w:rsidRDefault="00FC1054" w:rsidP="009301C2">
            <w:pPr>
              <w:pStyle w:val="TableText"/>
              <w:rPr>
                <w:rFonts w:eastAsia="Times New Roman" w:cs="Times New Roman"/>
                <w:szCs w:val="20"/>
              </w:rPr>
            </w:pPr>
            <w:r w:rsidRPr="000C1181">
              <w:t>Alternative point of extrapolation for PFS and OS using full KM data to extended follow-up and allowing for censoring (87 weeks).</w:t>
            </w:r>
          </w:p>
        </w:tc>
        <w:tc>
          <w:tcPr>
            <w:tcW w:w="624" w:type="pct"/>
            <w:tcBorders>
              <w:top w:val="single" w:sz="4" w:space="0" w:color="auto"/>
              <w:left w:val="single" w:sz="4" w:space="0" w:color="auto"/>
              <w:bottom w:val="single" w:sz="4" w:space="0" w:color="auto"/>
              <w:right w:val="single" w:sz="4" w:space="0" w:color="auto"/>
            </w:tcBorders>
          </w:tcPr>
          <w:p w:rsidR="00FC1054" w:rsidRPr="001E368B" w:rsidRDefault="001E368B" w:rsidP="009301C2">
            <w:pPr>
              <w:pStyle w:val="TableText"/>
              <w:jc w:val="center"/>
              <w:rPr>
                <w:szCs w:val="20"/>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RDefault="001E368B" w:rsidP="009301C2">
            <w:pPr>
              <w:pStyle w:val="TableText"/>
              <w:jc w:val="center"/>
              <w:rPr>
                <w:szCs w:val="20"/>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RDefault="001E368B" w:rsidP="009301C2">
            <w:pPr>
              <w:pStyle w:val="TableText"/>
              <w:jc w:val="center"/>
              <w:rPr>
                <w:szCs w:val="20"/>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0E19AE" w:rsidDel="0019081A" w:rsidRDefault="00FC1054" w:rsidP="009301C2">
            <w:pPr>
              <w:pStyle w:val="TableText"/>
              <w:rPr>
                <w:rFonts w:eastAsia="Times New Roman" w:cs="Times New Roman"/>
                <w:szCs w:val="20"/>
              </w:rPr>
            </w:pPr>
            <w:r w:rsidRPr="000E19AE" w:rsidDel="0019081A">
              <w:t>Alternative point of extrapolation for PFS and OS using full KM data to extended follow-up and allowing for censoring (87 weeks), and use of log-normal di</w:t>
            </w:r>
            <w:r>
              <w:t>stributions for extrapolation.</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F70F71" w:rsidDel="0019081A" w:rsidRDefault="00FC1054" w:rsidP="009301C2">
            <w:pPr>
              <w:pStyle w:val="TableText"/>
            </w:pPr>
            <w:r w:rsidRPr="00F70F71" w:rsidDel="0019081A">
              <w:t>Alternative approach to extrapolation using log-</w:t>
            </w:r>
            <w:r w:rsidRPr="00F70F71">
              <w:t xml:space="preserve">logistic </w:t>
            </w:r>
            <w:r w:rsidRPr="00F70F71" w:rsidDel="0019081A">
              <w:t>distributions for PFS and OS for both pembrolizumab and SOC.</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F70F71" w:rsidDel="0019081A" w:rsidRDefault="00FC1054" w:rsidP="009301C2">
            <w:pPr>
              <w:pStyle w:val="TableText"/>
              <w:rPr>
                <w:szCs w:val="20"/>
              </w:rPr>
            </w:pPr>
            <w:r w:rsidRPr="00F70F71" w:rsidDel="0019081A">
              <w:t>Use of ToT rather than PFS to measure treatment duration.</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szCs w:val="20"/>
                <w:highlight w:val="black"/>
              </w:rPr>
            </w:pPr>
            <w:r>
              <w:rPr>
                <w:noProof/>
                <w:color w:val="000000"/>
                <w:highlight w:val="black"/>
              </w:rPr>
              <w:t>''''''''''''''''''</w:t>
            </w:r>
          </w:p>
        </w:tc>
      </w:tr>
      <w:tr w:rsidR="00FC1054" w:rsidRPr="000E19AE"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F70F71" w:rsidDel="0019081A" w:rsidRDefault="00FC1054" w:rsidP="009301C2">
            <w:pPr>
              <w:pStyle w:val="TableText"/>
            </w:pPr>
            <w:r w:rsidRPr="00F70F71" w:rsidDel="0019081A">
              <w:t>Use of treatment group specific utility values from KN045.</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highlight w:val="black"/>
              </w:rPr>
            </w:pPr>
            <w:r>
              <w:rPr>
                <w:noProof/>
                <w:color w:val="000000"/>
                <w:highlight w:val="black"/>
              </w:rPr>
              <w:t>''''''''''''''''</w:t>
            </w:r>
          </w:p>
        </w:tc>
      </w:tr>
      <w:tr w:rsidR="00FC1054" w:rsidRPr="005468ED" w:rsidDel="0019081A" w:rsidTr="009301C2">
        <w:tc>
          <w:tcPr>
            <w:tcW w:w="2591" w:type="pct"/>
            <w:tcBorders>
              <w:top w:val="single" w:sz="4" w:space="0" w:color="auto"/>
              <w:left w:val="single" w:sz="4" w:space="0" w:color="auto"/>
              <w:bottom w:val="single" w:sz="4" w:space="0" w:color="auto"/>
              <w:right w:val="single" w:sz="4" w:space="0" w:color="auto"/>
            </w:tcBorders>
          </w:tcPr>
          <w:p w:rsidR="00FC1054" w:rsidRPr="00F70F71" w:rsidDel="0019081A" w:rsidRDefault="00FC1054" w:rsidP="009301C2">
            <w:pPr>
              <w:pStyle w:val="TableText"/>
              <w:rPr>
                <w:szCs w:val="20"/>
              </w:rPr>
            </w:pPr>
            <w:r w:rsidRPr="00F70F71">
              <w:t>U</w:t>
            </w:r>
            <w:r w:rsidRPr="00F70F71" w:rsidDel="0019081A">
              <w:t>se of log-</w:t>
            </w:r>
            <w:r w:rsidRPr="00F70F71">
              <w:t>logistic</w:t>
            </w:r>
            <w:r w:rsidRPr="00F70F71" w:rsidDel="0019081A">
              <w:t xml:space="preserve"> distributions for </w:t>
            </w:r>
            <w:r w:rsidRPr="00F70F71">
              <w:t>extrapolation, and use of ToT.</w:t>
            </w:r>
          </w:p>
        </w:tc>
        <w:tc>
          <w:tcPr>
            <w:tcW w:w="624"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rFonts w:eastAsia="Times New Roman" w:cs="Arial"/>
                <w:snapToGrid w:val="0"/>
                <w:szCs w:val="20"/>
                <w:highlight w:val="black"/>
              </w:rPr>
            </w:pPr>
            <w:r>
              <w:rPr>
                <w:noProof/>
                <w:color w:val="000000"/>
                <w:highlight w:val="black"/>
              </w:rPr>
              <w:t>''''''''''''''''</w:t>
            </w:r>
          </w:p>
        </w:tc>
        <w:tc>
          <w:tcPr>
            <w:tcW w:w="703"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rFonts w:eastAsia="Times New Roman" w:cs="Arial"/>
                <w:snapToGrid w:val="0"/>
                <w:szCs w:val="20"/>
                <w:highlight w:val="black"/>
              </w:rPr>
            </w:pPr>
            <w:r>
              <w:rPr>
                <w:noProof/>
                <w:color w:val="000000"/>
                <w:highlight w:val="black"/>
              </w:rPr>
              <w:t>'''''''''''</w:t>
            </w:r>
          </w:p>
        </w:tc>
        <w:tc>
          <w:tcPr>
            <w:tcW w:w="1082" w:type="pct"/>
            <w:tcBorders>
              <w:top w:val="single" w:sz="4" w:space="0" w:color="auto"/>
              <w:left w:val="single" w:sz="4" w:space="0" w:color="auto"/>
              <w:bottom w:val="single" w:sz="4" w:space="0" w:color="auto"/>
              <w:right w:val="single" w:sz="4" w:space="0" w:color="auto"/>
            </w:tcBorders>
          </w:tcPr>
          <w:p w:rsidR="00FC1054" w:rsidRPr="001E368B" w:rsidDel="0019081A" w:rsidRDefault="001E368B" w:rsidP="009301C2">
            <w:pPr>
              <w:pStyle w:val="TableText"/>
              <w:jc w:val="center"/>
              <w:rPr>
                <w:rFonts w:eastAsia="Times New Roman" w:cs="Arial"/>
                <w:strike/>
                <w:snapToGrid w:val="0"/>
                <w:szCs w:val="20"/>
                <w:highlight w:val="black"/>
              </w:rPr>
            </w:pPr>
            <w:r>
              <w:rPr>
                <w:noProof/>
                <w:color w:val="000000"/>
                <w:highlight w:val="black"/>
              </w:rPr>
              <w:t>'''''''''''''''''''''</w:t>
            </w:r>
          </w:p>
        </w:tc>
      </w:tr>
    </w:tbl>
    <w:p w:rsidR="00FC1054" w:rsidRPr="000E19AE" w:rsidDel="0019081A" w:rsidRDefault="00FC1054" w:rsidP="00FC1054">
      <w:pPr>
        <w:pStyle w:val="TableFooter"/>
      </w:pPr>
      <w:r w:rsidRPr="000E19AE" w:rsidDel="0019081A">
        <w:t>Abbreviations: KM=Kaplan-Meier; OS=overall survival; PFS=progression</w:t>
      </w:r>
      <w:r>
        <w:t>-</w:t>
      </w:r>
      <w:r w:rsidRPr="000E19AE" w:rsidDel="0019081A">
        <w:t xml:space="preserve">free survival; QALY = quality-adjusted life year; SOC=standard of care; ToT=time on treatment. </w:t>
      </w:r>
    </w:p>
    <w:p w:rsidR="00FC1054" w:rsidRDefault="00FC1054" w:rsidP="00FC1054">
      <w:pPr>
        <w:pStyle w:val="TableFooter"/>
      </w:pPr>
      <w:r w:rsidRPr="000E19AE" w:rsidDel="0019081A">
        <w:t>Source: Submission files/attn14.xls</w:t>
      </w:r>
      <w:r>
        <w:t>.</w:t>
      </w:r>
    </w:p>
    <w:p w:rsidR="00FC53C2" w:rsidRPr="00FC53C2" w:rsidRDefault="00FC53C2" w:rsidP="00FC1054">
      <w:pPr>
        <w:pStyle w:val="TableFooter"/>
        <w:rPr>
          <w:rFonts w:asciiTheme="minorHAnsi" w:hAnsiTheme="minorHAnsi"/>
          <w:sz w:val="20"/>
        </w:rPr>
      </w:pPr>
    </w:p>
    <w:p w:rsidR="00FC53C2" w:rsidRDefault="00FC53C2" w:rsidP="00FC53C2">
      <w:pPr>
        <w:pStyle w:val="ListParagraph"/>
        <w:spacing w:before="0" w:after="120"/>
        <w:jc w:val="both"/>
        <w:rPr>
          <w:color w:val="000000" w:themeColor="text1"/>
        </w:rPr>
      </w:pPr>
      <w:r w:rsidRPr="00FC53C2">
        <w:rPr>
          <w:color w:val="000000" w:themeColor="text1"/>
        </w:rPr>
        <w:t>The redacted table shows ICERs in the range of $45,000/QALY - $105,000/QALY.</w:t>
      </w:r>
    </w:p>
    <w:p w:rsidR="0019081A" w:rsidRPr="00B93493" w:rsidRDefault="00AA1D35" w:rsidP="00FC53C2">
      <w:pPr>
        <w:pStyle w:val="ListParagraph"/>
        <w:numPr>
          <w:ilvl w:val="1"/>
          <w:numId w:val="19"/>
        </w:numPr>
        <w:spacing w:before="0" w:after="120"/>
        <w:jc w:val="both"/>
        <w:rPr>
          <w:color w:val="000000" w:themeColor="text1"/>
        </w:rPr>
      </w:pPr>
      <w:r w:rsidRPr="00B93493">
        <w:rPr>
          <w:color w:val="000000" w:themeColor="text1"/>
        </w:rPr>
        <w:t xml:space="preserve">The univariate sensitivity analyses conducted by the submission </w:t>
      </w:r>
      <w:r w:rsidR="002E3877" w:rsidRPr="00B93493">
        <w:rPr>
          <w:color w:val="000000" w:themeColor="text1"/>
        </w:rPr>
        <w:t xml:space="preserve">showed </w:t>
      </w:r>
      <w:r w:rsidR="0017754A" w:rsidRPr="00B93493">
        <w:rPr>
          <w:color w:val="000000" w:themeColor="text1"/>
        </w:rPr>
        <w:t xml:space="preserve">that the ICER was </w:t>
      </w:r>
      <w:r w:rsidR="00EB54C6" w:rsidRPr="00B93493">
        <w:rPr>
          <w:color w:val="000000" w:themeColor="text1"/>
        </w:rPr>
        <w:t>most sensitive to variations in the time horizon</w:t>
      </w:r>
      <w:r w:rsidR="00F73819" w:rsidRPr="00B93493">
        <w:rPr>
          <w:color w:val="000000" w:themeColor="text1"/>
        </w:rPr>
        <w:t xml:space="preserve">. </w:t>
      </w:r>
      <w:r w:rsidR="00B1416C">
        <w:rPr>
          <w:color w:val="000000" w:themeColor="text1"/>
        </w:rPr>
        <w:t xml:space="preserve">The PBAC considered that the base case time horizon </w:t>
      </w:r>
      <w:r w:rsidR="006131A7">
        <w:rPr>
          <w:color w:val="000000" w:themeColor="text1"/>
        </w:rPr>
        <w:t xml:space="preserve">of 5 years </w:t>
      </w:r>
      <w:r w:rsidR="00B1416C">
        <w:rPr>
          <w:color w:val="000000" w:themeColor="text1"/>
        </w:rPr>
        <w:t xml:space="preserve">was more appropriate than the time horizons included in the sensitivity analyses of 7 and 10 years. </w:t>
      </w:r>
      <w:r w:rsidR="00F73819" w:rsidRPr="00B93493">
        <w:rPr>
          <w:color w:val="000000" w:themeColor="text1"/>
        </w:rPr>
        <w:t xml:space="preserve">The ESC considered </w:t>
      </w:r>
      <w:r w:rsidR="002D61E8" w:rsidRPr="00B93493">
        <w:rPr>
          <w:color w:val="000000" w:themeColor="text1"/>
        </w:rPr>
        <w:t xml:space="preserve">that </w:t>
      </w:r>
      <w:r w:rsidR="00F73819" w:rsidRPr="00B93493">
        <w:rPr>
          <w:color w:val="000000" w:themeColor="text1"/>
        </w:rPr>
        <w:t xml:space="preserve">the </w:t>
      </w:r>
      <w:r w:rsidR="00EB54C6" w:rsidRPr="00B93493">
        <w:rPr>
          <w:color w:val="000000" w:themeColor="text1"/>
        </w:rPr>
        <w:t>assumptions regarding the utility values</w:t>
      </w:r>
      <w:r w:rsidR="00F73819" w:rsidRPr="00B93493">
        <w:rPr>
          <w:color w:val="000000" w:themeColor="text1"/>
        </w:rPr>
        <w:t xml:space="preserve"> were appropriate</w:t>
      </w:r>
      <w:r w:rsidR="00EB54C6" w:rsidRPr="00B93493">
        <w:rPr>
          <w:color w:val="000000" w:themeColor="text1"/>
        </w:rPr>
        <w:t xml:space="preserve"> </w:t>
      </w:r>
      <w:r w:rsidR="00943260" w:rsidRPr="00B93493">
        <w:rPr>
          <w:color w:val="000000" w:themeColor="text1"/>
        </w:rPr>
        <w:t>(see Table 15 for key changes and their impa</w:t>
      </w:r>
      <w:r w:rsidR="002D61E8" w:rsidRPr="00B93493">
        <w:rPr>
          <w:color w:val="000000" w:themeColor="text1"/>
        </w:rPr>
        <w:t>ct).</w:t>
      </w:r>
    </w:p>
    <w:p w:rsidR="00CA15BB" w:rsidRDefault="00B1416C" w:rsidP="00785BFD">
      <w:pPr>
        <w:pStyle w:val="ListParagraph"/>
        <w:numPr>
          <w:ilvl w:val="1"/>
          <w:numId w:val="19"/>
        </w:numPr>
        <w:spacing w:before="0" w:after="120"/>
        <w:jc w:val="both"/>
      </w:pPr>
      <w:r>
        <w:rPr>
          <w:szCs w:val="24"/>
        </w:rPr>
        <w:t>T</w:t>
      </w:r>
      <w:r w:rsidR="00F42070" w:rsidRPr="00B93493">
        <w:rPr>
          <w:szCs w:val="24"/>
        </w:rPr>
        <w:t xml:space="preserve">he </w:t>
      </w:r>
      <w:r w:rsidR="006F61C7" w:rsidRPr="00B93493">
        <w:rPr>
          <w:szCs w:val="24"/>
        </w:rPr>
        <w:t xml:space="preserve">start </w:t>
      </w:r>
      <w:r w:rsidR="00F42070" w:rsidRPr="00B93493">
        <w:rPr>
          <w:szCs w:val="24"/>
        </w:rPr>
        <w:t xml:space="preserve">point </w:t>
      </w:r>
      <w:r w:rsidR="006F61C7" w:rsidRPr="00B93493">
        <w:rPr>
          <w:szCs w:val="24"/>
        </w:rPr>
        <w:t xml:space="preserve">of extrapolation </w:t>
      </w:r>
      <w:r w:rsidR="00915209" w:rsidRPr="00B93493">
        <w:rPr>
          <w:szCs w:val="24"/>
        </w:rPr>
        <w:t xml:space="preserve">used </w:t>
      </w:r>
      <w:r w:rsidR="00F42070" w:rsidRPr="00B93493">
        <w:rPr>
          <w:szCs w:val="24"/>
        </w:rPr>
        <w:t>in the submission was defined as 27 weeks for PFS and 40 weeks for OS</w:t>
      </w:r>
      <w:r w:rsidR="00431E3A" w:rsidRPr="00B93493">
        <w:rPr>
          <w:szCs w:val="24"/>
        </w:rPr>
        <w:t>, whereas</w:t>
      </w:r>
      <w:r w:rsidR="00F42070" w:rsidRPr="00B93493">
        <w:rPr>
          <w:szCs w:val="24"/>
        </w:rPr>
        <w:t xml:space="preserve"> </w:t>
      </w:r>
      <w:r w:rsidR="00431E3A" w:rsidRPr="00B93493">
        <w:rPr>
          <w:szCs w:val="24"/>
        </w:rPr>
        <w:t>t</w:t>
      </w:r>
      <w:r w:rsidR="00F42070" w:rsidRPr="00B93493">
        <w:rPr>
          <w:szCs w:val="24"/>
        </w:rPr>
        <w:t xml:space="preserve">he Kaplan-Meier data reflects median follow-up of 18.5 months (80 weeks) at the extended analysis. The PSCR (p2) stated </w:t>
      </w:r>
      <w:r w:rsidR="00431E3A" w:rsidRPr="00B93493">
        <w:rPr>
          <w:szCs w:val="24"/>
        </w:rPr>
        <w:t xml:space="preserve">that </w:t>
      </w:r>
      <w:r w:rsidR="00F42070" w:rsidRPr="00B93493">
        <w:rPr>
          <w:szCs w:val="24"/>
        </w:rPr>
        <w:t xml:space="preserve">the </w:t>
      </w:r>
      <w:r w:rsidR="00F42070" w:rsidRPr="000F0DE4">
        <w:rPr>
          <w:rFonts w:cs="Arial"/>
          <w:szCs w:val="24"/>
        </w:rPr>
        <w:t>extrapolation time points were selected based on the results of Chow tests.</w:t>
      </w:r>
      <w:r w:rsidR="00F42070" w:rsidRPr="00B93493">
        <w:rPr>
          <w:rFonts w:cs="Arial"/>
          <w:szCs w:val="24"/>
        </w:rPr>
        <w:t xml:space="preserve"> </w:t>
      </w:r>
      <w:r w:rsidR="006131A7">
        <w:t>T</w:t>
      </w:r>
      <w:r w:rsidR="006F61C7" w:rsidRPr="00B93493">
        <w:t xml:space="preserve">he </w:t>
      </w:r>
      <w:r w:rsidR="00AD0157">
        <w:t>PBAC</w:t>
      </w:r>
      <w:r w:rsidR="00AD0157" w:rsidRPr="00B93493">
        <w:t xml:space="preserve"> </w:t>
      </w:r>
      <w:r w:rsidR="006F61C7" w:rsidRPr="00B93493">
        <w:t>recalled that the ESC and PBAC has previously advised</w:t>
      </w:r>
      <w:r w:rsidR="00F70F71" w:rsidRPr="00B93493">
        <w:t xml:space="preserve"> </w:t>
      </w:r>
      <w:r w:rsidR="002B681A" w:rsidRPr="00B93493">
        <w:t xml:space="preserve">that this </w:t>
      </w:r>
      <w:r w:rsidR="002B681A" w:rsidRPr="0077195B">
        <w:rPr>
          <w:i/>
        </w:rPr>
        <w:t>post</w:t>
      </w:r>
      <w:r w:rsidRPr="0077195B">
        <w:rPr>
          <w:i/>
        </w:rPr>
        <w:noBreakHyphen/>
      </w:r>
      <w:r w:rsidR="006F61C7" w:rsidRPr="0077195B">
        <w:rPr>
          <w:i/>
        </w:rPr>
        <w:t>hoc</w:t>
      </w:r>
      <w:r w:rsidR="006F61C7" w:rsidRPr="00B93493">
        <w:t xml:space="preserve"> use of the Chow test is inappropriate for this purpose</w:t>
      </w:r>
      <w:r w:rsidR="006131A7">
        <w:t xml:space="preserve"> with respect to</w:t>
      </w:r>
      <w:r w:rsidR="00F70F71" w:rsidRPr="00B93493">
        <w:t xml:space="preserve"> another model from this sponsor </w:t>
      </w:r>
      <w:r w:rsidR="006F61C7" w:rsidRPr="00B93493">
        <w:t xml:space="preserve">(see Table 9, pembrolizumab Public Summary Document, March 2017). </w:t>
      </w:r>
      <w:r w:rsidR="00154F53">
        <w:t>The pre-PBAC response (p3) acknowledge</w:t>
      </w:r>
      <w:r>
        <w:t>d</w:t>
      </w:r>
      <w:r w:rsidR="00154F53">
        <w:t xml:space="preserve"> the limitations of using the Chow tests in the </w:t>
      </w:r>
      <w:r w:rsidR="00154F53" w:rsidRPr="0077195B">
        <w:rPr>
          <w:i/>
        </w:rPr>
        <w:t>post-hoc</w:t>
      </w:r>
      <w:r w:rsidR="00154F53">
        <w:t xml:space="preserve"> setting, but </w:t>
      </w:r>
      <w:r>
        <w:t xml:space="preserve">argued that </w:t>
      </w:r>
      <w:r w:rsidR="00154F53">
        <w:t xml:space="preserve">there is no consensus on the method for detecting structural change in this setting and </w:t>
      </w:r>
      <w:r w:rsidR="006131A7">
        <w:t xml:space="preserve">that </w:t>
      </w:r>
      <w:r w:rsidR="00154F53">
        <w:t>one piece parametric models d</w:t>
      </w:r>
      <w:r w:rsidR="006131A7">
        <w:t>id</w:t>
      </w:r>
      <w:r w:rsidR="00154F53">
        <w:t xml:space="preserve"> not appear to have a good fit to the observed data. </w:t>
      </w:r>
      <w:r w:rsidR="000C1181" w:rsidRPr="00B93493">
        <w:t xml:space="preserve">The </w:t>
      </w:r>
      <w:r w:rsidR="00154F53">
        <w:t xml:space="preserve">PBAC </w:t>
      </w:r>
      <w:r>
        <w:t>considered that th</w:t>
      </w:r>
      <w:r w:rsidR="00CA15BB">
        <w:t>is was</w:t>
      </w:r>
      <w:r>
        <w:t xml:space="preserve"> insufficient </w:t>
      </w:r>
      <w:r w:rsidR="00C25236">
        <w:t xml:space="preserve">justification and </w:t>
      </w:r>
      <w:r w:rsidR="0093037F">
        <w:t xml:space="preserve">instead advised </w:t>
      </w:r>
      <w:r w:rsidR="00C25236">
        <w:t xml:space="preserve">that the extrapolation </w:t>
      </w:r>
      <w:r w:rsidR="009301C2">
        <w:t xml:space="preserve">of both PFS and OS </w:t>
      </w:r>
      <w:r w:rsidR="00C25236">
        <w:t xml:space="preserve">should </w:t>
      </w:r>
      <w:r w:rsidR="0093037F">
        <w:t xml:space="preserve">start </w:t>
      </w:r>
      <w:r w:rsidR="00C25236">
        <w:t xml:space="preserve">from the </w:t>
      </w:r>
      <w:r w:rsidR="008D64BD">
        <w:t xml:space="preserve">time </w:t>
      </w:r>
      <w:r w:rsidR="00C25236">
        <w:t xml:space="preserve">point </w:t>
      </w:r>
      <w:r w:rsidR="008D64BD">
        <w:t xml:space="preserve">defined by the </w:t>
      </w:r>
      <w:r w:rsidR="00C25236">
        <w:t>median duration of follow-up</w:t>
      </w:r>
      <w:r w:rsidR="008D64BD">
        <w:t xml:space="preserve"> across the trial (</w:t>
      </w:r>
      <w:r w:rsidR="00D771B7">
        <w:t xml:space="preserve">which appeared to be </w:t>
      </w:r>
      <w:r w:rsidR="008D64BD">
        <w:t>approximately 18 months from Figure 1)</w:t>
      </w:r>
      <w:r w:rsidR="007A1664">
        <w:t>.</w:t>
      </w:r>
    </w:p>
    <w:p w:rsidR="00F42070" w:rsidRPr="00B93493" w:rsidRDefault="00CA15BB" w:rsidP="00785BFD">
      <w:pPr>
        <w:pStyle w:val="ListParagraph"/>
        <w:numPr>
          <w:ilvl w:val="1"/>
          <w:numId w:val="19"/>
        </w:numPr>
        <w:spacing w:before="0" w:after="120"/>
        <w:jc w:val="both"/>
      </w:pPr>
      <w:r>
        <w:t>T</w:t>
      </w:r>
      <w:r w:rsidR="00F6546B">
        <w:t xml:space="preserve">he PBAC </w:t>
      </w:r>
      <w:r w:rsidR="00D771B7">
        <w:t xml:space="preserve">also </w:t>
      </w:r>
      <w:r w:rsidR="00F6546B">
        <w:t xml:space="preserve">noted </w:t>
      </w:r>
      <w:r w:rsidR="00F6546B" w:rsidRPr="0077195B">
        <w:t xml:space="preserve">that </w:t>
      </w:r>
      <w:r w:rsidRPr="0077195B">
        <w:t>t</w:t>
      </w:r>
      <w:r w:rsidR="00F353E7" w:rsidRPr="0077195B">
        <w:t xml:space="preserve">he </w:t>
      </w:r>
      <w:r w:rsidRPr="0077195B">
        <w:t xml:space="preserve">submission stated that the </w:t>
      </w:r>
      <w:r w:rsidR="00F353E7" w:rsidRPr="0077195B">
        <w:t>model base case</w:t>
      </w:r>
      <w:r w:rsidR="00311B97" w:rsidRPr="0077195B">
        <w:t xml:space="preserve"> used </w:t>
      </w:r>
      <w:r w:rsidR="00F353E7" w:rsidRPr="0077195B">
        <w:t>a two</w:t>
      </w:r>
      <w:r w:rsidR="006131A7">
        <w:noBreakHyphen/>
      </w:r>
      <w:r w:rsidR="00F353E7" w:rsidRPr="0077195B">
        <w:t>phase approach to model PFS</w:t>
      </w:r>
      <w:r w:rsidR="00D771B7">
        <w:t xml:space="preserve"> and OS</w:t>
      </w:r>
      <w:r w:rsidR="00FC1054">
        <w:t xml:space="preserve"> for each arm of the model</w:t>
      </w:r>
      <w:r w:rsidR="00F353E7" w:rsidRPr="0077195B">
        <w:t xml:space="preserve">, in which the initial </w:t>
      </w:r>
      <w:r w:rsidR="00D771B7">
        <w:t xml:space="preserve">part </w:t>
      </w:r>
      <w:r w:rsidR="00F353E7" w:rsidRPr="0077195B">
        <w:t>of the survival curve before a cut-off point was based</w:t>
      </w:r>
      <w:r w:rsidR="000B78E2" w:rsidRPr="0077195B">
        <w:t xml:space="preserve"> on the actual clinical trial Kaplan-Meier</w:t>
      </w:r>
      <w:r w:rsidR="00F353E7" w:rsidRPr="0077195B">
        <w:t xml:space="preserve"> </w:t>
      </w:r>
      <w:r w:rsidR="00D771B7">
        <w:t>results</w:t>
      </w:r>
      <w:r w:rsidR="00F353E7" w:rsidRPr="0077195B">
        <w:t xml:space="preserve">, and the latter </w:t>
      </w:r>
      <w:r w:rsidR="00D771B7">
        <w:t xml:space="preserve">part </w:t>
      </w:r>
      <w:r w:rsidR="00F353E7" w:rsidRPr="0077195B">
        <w:t xml:space="preserve">was based on parametric functions developed to fit the PFS </w:t>
      </w:r>
      <w:r w:rsidR="00D771B7">
        <w:t xml:space="preserve">and OS </w:t>
      </w:r>
      <w:r w:rsidR="00F353E7" w:rsidRPr="0077195B">
        <w:t>data after the cut-off point.</w:t>
      </w:r>
      <w:r w:rsidR="00785BFD" w:rsidRPr="00785BFD">
        <w:t xml:space="preserve"> </w:t>
      </w:r>
      <w:r w:rsidR="00FC1054">
        <w:t xml:space="preserve">The cut-off point in each case was determined with reference to the results of Chow tests and corresponded with the time at which extrapolation started for that case in the model. </w:t>
      </w:r>
      <w:r>
        <w:t xml:space="preserve">Whilst the PBAC considered that the specific approach used in the submission was unclear, the approach of excluding early </w:t>
      </w:r>
      <w:r w:rsidR="00785BFD" w:rsidRPr="0077195B">
        <w:t>Kaplan-Meier</w:t>
      </w:r>
      <w:r w:rsidRPr="0077195B">
        <w:t xml:space="preserve"> to inform the extrapolation functions </w:t>
      </w:r>
      <w:r w:rsidR="00FC1054">
        <w:t xml:space="preserve">from the assessment of the goodness of fit </w:t>
      </w:r>
      <w:r w:rsidRPr="0077195B">
        <w:t>was inappropriate.</w:t>
      </w:r>
      <w:r w:rsidR="00785BFD" w:rsidRPr="0077195B">
        <w:t xml:space="preserve"> </w:t>
      </w:r>
      <w:r w:rsidR="00C25236" w:rsidRPr="0077195B">
        <w:t xml:space="preserve">The PBAC considered that the model should use </w:t>
      </w:r>
      <w:r w:rsidR="002569CF">
        <w:t xml:space="preserve">all </w:t>
      </w:r>
      <w:r w:rsidR="00C25236" w:rsidRPr="0077195B">
        <w:t xml:space="preserve">the Kaplan-Meier </w:t>
      </w:r>
      <w:r w:rsidR="00FC1054">
        <w:t xml:space="preserve">results </w:t>
      </w:r>
      <w:r w:rsidR="002569CF">
        <w:t xml:space="preserve">at least </w:t>
      </w:r>
      <w:r w:rsidR="00C25236" w:rsidRPr="0077195B">
        <w:t>up to the median follow-up to inform the extrapolation functions.</w:t>
      </w:r>
    </w:p>
    <w:p w:rsidR="002569CF" w:rsidRDefault="00C25236" w:rsidP="00C47FDA">
      <w:pPr>
        <w:pStyle w:val="ListParagraph"/>
        <w:numPr>
          <w:ilvl w:val="1"/>
          <w:numId w:val="19"/>
        </w:numPr>
        <w:spacing w:before="0" w:after="120"/>
        <w:jc w:val="both"/>
        <w:rPr>
          <w:szCs w:val="24"/>
        </w:rPr>
      </w:pPr>
      <w:r w:rsidRPr="00C25236">
        <w:rPr>
          <w:szCs w:val="24"/>
        </w:rPr>
        <w:t>T</w:t>
      </w:r>
      <w:r w:rsidR="00876E57" w:rsidRPr="00C25236">
        <w:rPr>
          <w:szCs w:val="24"/>
        </w:rPr>
        <w:t xml:space="preserve">he submission </w:t>
      </w:r>
      <w:r w:rsidRPr="00C25236">
        <w:rPr>
          <w:szCs w:val="24"/>
        </w:rPr>
        <w:t>also</w:t>
      </w:r>
      <w:r w:rsidR="00900E3D" w:rsidRPr="00C25236">
        <w:rPr>
          <w:szCs w:val="24"/>
        </w:rPr>
        <w:t xml:space="preserve"> use</w:t>
      </w:r>
      <w:r w:rsidRPr="00C25236">
        <w:rPr>
          <w:szCs w:val="24"/>
        </w:rPr>
        <w:t>d</w:t>
      </w:r>
      <w:r w:rsidR="00900E3D" w:rsidRPr="00C25236">
        <w:rPr>
          <w:szCs w:val="24"/>
        </w:rPr>
        <w:t xml:space="preserve"> </w:t>
      </w:r>
      <w:r w:rsidR="00943260" w:rsidRPr="00C25236">
        <w:rPr>
          <w:color w:val="000000" w:themeColor="text1"/>
          <w:szCs w:val="24"/>
        </w:rPr>
        <w:t xml:space="preserve">different parametric distributions </w:t>
      </w:r>
      <w:r w:rsidR="00943260" w:rsidRPr="00C25236">
        <w:rPr>
          <w:rFonts w:eastAsiaTheme="majorEastAsia" w:cstheme="majorBidi"/>
          <w:szCs w:val="24"/>
        </w:rPr>
        <w:t>within PFS (Weibull for pembrolizumab and exponential for SOC) and OS (log-normal for pembrolizumab and exponential for SOC)</w:t>
      </w:r>
      <w:r w:rsidR="00943260" w:rsidRPr="00C25236">
        <w:rPr>
          <w:color w:val="000000" w:themeColor="text1"/>
          <w:szCs w:val="24"/>
        </w:rPr>
        <w:t xml:space="preserve"> within the one condition (LA or mUC). </w:t>
      </w:r>
      <w:r w:rsidR="00FB6B44" w:rsidRPr="00C25236">
        <w:rPr>
          <w:color w:val="000000" w:themeColor="text1"/>
          <w:szCs w:val="24"/>
        </w:rPr>
        <w:t>T</w:t>
      </w:r>
      <w:r w:rsidR="00FB6B44" w:rsidRPr="00C25236">
        <w:rPr>
          <w:rFonts w:eastAsiaTheme="majorEastAsia" w:cstheme="majorBidi"/>
        </w:rPr>
        <w:t>he ESC considered that applying different parametric distributions did not seem to be biologically plausible when comparing treatments for the same condition</w:t>
      </w:r>
      <w:r w:rsidRPr="00C25236">
        <w:rPr>
          <w:rFonts w:eastAsiaTheme="majorEastAsia" w:cstheme="majorBidi"/>
        </w:rPr>
        <w:t xml:space="preserve">, and noted that applying a consistent distribution </w:t>
      </w:r>
      <w:r w:rsidR="00AA1D35" w:rsidRPr="00C25236">
        <w:rPr>
          <w:szCs w:val="24"/>
        </w:rPr>
        <w:t>increased the ICER</w:t>
      </w:r>
      <w:r>
        <w:rPr>
          <w:szCs w:val="24"/>
        </w:rPr>
        <w:t>. The PBAC considered that it would be more appropriate to apply the same parametric distribution ac</w:t>
      </w:r>
      <w:r w:rsidR="004576EE">
        <w:rPr>
          <w:szCs w:val="24"/>
        </w:rPr>
        <w:t>ross arms for the same outcome.</w:t>
      </w:r>
    </w:p>
    <w:p w:rsidR="004540CF" w:rsidRPr="00B93493" w:rsidRDefault="004540CF" w:rsidP="004540CF">
      <w:pPr>
        <w:pStyle w:val="ListParagraph"/>
        <w:numPr>
          <w:ilvl w:val="1"/>
          <w:numId w:val="19"/>
        </w:numPr>
        <w:spacing w:before="0" w:after="120"/>
        <w:jc w:val="both"/>
      </w:pPr>
      <w:r w:rsidRPr="008D6F0B">
        <w:rPr>
          <w:szCs w:val="24"/>
        </w:rPr>
        <w:t xml:space="preserve">The assumption </w:t>
      </w:r>
      <w:r w:rsidRPr="0077195B">
        <w:rPr>
          <w:szCs w:val="24"/>
        </w:rPr>
        <w:t xml:space="preserve">in the submission that PFS </w:t>
      </w:r>
      <w:r>
        <w:rPr>
          <w:szCs w:val="24"/>
        </w:rPr>
        <w:t xml:space="preserve">also </w:t>
      </w:r>
      <w:r w:rsidRPr="0077195B">
        <w:rPr>
          <w:szCs w:val="24"/>
        </w:rPr>
        <w:t xml:space="preserve">defined the treatment duration was uncertain. The PBAC noted that </w:t>
      </w:r>
      <w:r>
        <w:rPr>
          <w:szCs w:val="24"/>
        </w:rPr>
        <w:t>p</w:t>
      </w:r>
      <w:r>
        <w:t>atients in</w:t>
      </w:r>
      <w:r w:rsidRPr="00B93493">
        <w:t xml:space="preserve"> KN045 were permitted to continue treatment beyond radiographic disease progression if there was evidence of a reduction, or no increase, in overall tumour burden (CSR p76)</w:t>
      </w:r>
      <w:r w:rsidRPr="0077195B">
        <w:rPr>
          <w:szCs w:val="24"/>
        </w:rPr>
        <w:t>.</w:t>
      </w:r>
      <w:r w:rsidRPr="00B93493">
        <w:rPr>
          <w:szCs w:val="24"/>
        </w:rPr>
        <w:t xml:space="preserve"> </w:t>
      </w:r>
      <w:r w:rsidRPr="00B93493">
        <w:t xml:space="preserve">As </w:t>
      </w:r>
      <w:r>
        <w:t>shown</w:t>
      </w:r>
      <w:r w:rsidRPr="00B93493">
        <w:t xml:space="preserve"> in Figure 3, this resulted in </w:t>
      </w:r>
      <w:r w:rsidRPr="00B93493">
        <w:rPr>
          <w:rFonts w:eastAsiaTheme="majorEastAsia" w:cstheme="majorBidi"/>
        </w:rPr>
        <w:t>time on treatment (</w:t>
      </w:r>
      <w:r w:rsidRPr="00B93493">
        <w:t>ToT) exceeding PFS for pembrolizumab treated patients for the majority of the trial;</w:t>
      </w:r>
      <w:r w:rsidRPr="00B93493">
        <w:rPr>
          <w:rFonts w:eastAsiaTheme="majorEastAsia" w:cstheme="majorBidi"/>
        </w:rPr>
        <w:t xml:space="preserve"> median ToT was </w:t>
      </w:r>
      <w:r w:rsidR="001E368B">
        <w:rPr>
          <w:rFonts w:eastAsiaTheme="majorEastAsia" w:cstheme="majorBidi"/>
          <w:noProof/>
          <w:color w:val="000000"/>
          <w:highlight w:val="black"/>
        </w:rPr>
        <w:t>'''''''''</w:t>
      </w:r>
      <w:r w:rsidRPr="00B93493">
        <w:rPr>
          <w:rFonts w:eastAsiaTheme="majorEastAsia" w:cstheme="majorBidi"/>
        </w:rPr>
        <w:t xml:space="preserve"> months compared with 2.2 months for PFS</w:t>
      </w:r>
      <w:r w:rsidRPr="00B93493">
        <w:t>. The key exception was during the first three months when ToT was lower, potentially due to the deaths which occurred during that period.</w:t>
      </w:r>
    </w:p>
    <w:p w:rsidR="004540CF" w:rsidRPr="000E19AE" w:rsidRDefault="004540CF" w:rsidP="004540CF">
      <w:pPr>
        <w:pStyle w:val="TableHeading0"/>
      </w:pPr>
      <w:r w:rsidRPr="000E19AE">
        <w:t>Figure 3: Kaplan Mei</w:t>
      </w:r>
      <w:r>
        <w:t>er plot for pembrolizumab comparing p</w:t>
      </w:r>
      <w:r w:rsidRPr="000E19AE">
        <w:t>rogression</w:t>
      </w:r>
      <w:r>
        <w:t>-f</w:t>
      </w:r>
      <w:r w:rsidRPr="000E19AE">
        <w:t xml:space="preserve">ree </w:t>
      </w:r>
      <w:r>
        <w:t>s</w:t>
      </w:r>
      <w:r w:rsidRPr="000E19AE">
        <w:t>urvival</w:t>
      </w:r>
      <w:r>
        <w:t xml:space="preserve"> with time on treatment</w:t>
      </w:r>
    </w:p>
    <w:p w:rsidR="004540CF" w:rsidRPr="000E19AE" w:rsidRDefault="001E368B" w:rsidP="004540CF">
      <w:pPr>
        <w:pStyle w:val="ListParagraph"/>
        <w:spacing w:before="0" w:after="120"/>
        <w:jc w:val="both"/>
      </w:pPr>
      <w:r>
        <w:rPr>
          <w:noProof/>
          <w:lang w:eastAsia="en-AU"/>
        </w:rPr>
        <w:drawing>
          <wp:inline distT="0" distB="0" distL="0" distR="0">
            <wp:extent cx="4201160" cy="2747645"/>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01160" cy="2747645"/>
                    </a:xfrm>
                    <a:prstGeom prst="rect">
                      <a:avLst/>
                    </a:prstGeom>
                  </pic:spPr>
                </pic:pic>
              </a:graphicData>
            </a:graphic>
          </wp:inline>
        </w:drawing>
      </w:r>
    </w:p>
    <w:p w:rsidR="004540CF" w:rsidRPr="000E19AE" w:rsidRDefault="004540CF" w:rsidP="004540CF">
      <w:pPr>
        <w:pStyle w:val="TableFooter"/>
      </w:pPr>
      <w:r w:rsidRPr="000E19AE">
        <w:t>Source: prepared during the evaluation using da</w:t>
      </w:r>
      <w:r>
        <w:t xml:space="preserve">ta from KN045_1, Attachment 14 </w:t>
      </w:r>
      <w:r w:rsidRPr="000E19AE">
        <w:t>o</w:t>
      </w:r>
      <w:r>
        <w:t>f</w:t>
      </w:r>
      <w:r w:rsidRPr="000E19AE">
        <w:t xml:space="preserve"> the submission.</w:t>
      </w:r>
    </w:p>
    <w:p w:rsidR="004540CF" w:rsidRPr="000E19AE" w:rsidRDefault="004540CF" w:rsidP="004540CF">
      <w:pPr>
        <w:pStyle w:val="TableFooter"/>
      </w:pPr>
      <w:r w:rsidRPr="000E19AE">
        <w:t>Abbreviations: KM, Kaplan-Meier; PFS, progression-free su</w:t>
      </w:r>
      <w:r>
        <w:t>rvival; ToT, time on treatment.</w:t>
      </w:r>
    </w:p>
    <w:p w:rsidR="00431E3A" w:rsidRDefault="004540CF" w:rsidP="008D6F0B">
      <w:pPr>
        <w:pStyle w:val="ListParagraph"/>
        <w:numPr>
          <w:ilvl w:val="1"/>
          <w:numId w:val="19"/>
        </w:numPr>
        <w:spacing w:before="0" w:after="120"/>
        <w:jc w:val="both"/>
        <w:rPr>
          <w:szCs w:val="24"/>
        </w:rPr>
      </w:pPr>
      <w:r w:rsidRPr="0077195B">
        <w:rPr>
          <w:szCs w:val="24"/>
        </w:rPr>
        <w:t xml:space="preserve">Using the alternative assumption of ToT (which reflects the potential for patients </w:t>
      </w:r>
      <w:r w:rsidRPr="00B93493">
        <w:rPr>
          <w:szCs w:val="24"/>
        </w:rPr>
        <w:t xml:space="preserve">to continue treatment beyond progression) instead of PFS for the pembrolizumab arm, and extrapolated in the same manner as PFS, increased the ICER from </w:t>
      </w:r>
      <w:r w:rsidR="00E86B27">
        <w:rPr>
          <w:szCs w:val="24"/>
        </w:rPr>
        <w:t>$45,000/QALY - $75,000/QALY</w:t>
      </w:r>
      <w:r w:rsidRPr="00B93493">
        <w:rPr>
          <w:szCs w:val="24"/>
        </w:rPr>
        <w:t xml:space="preserve"> to </w:t>
      </w:r>
      <w:r w:rsidR="00E86B27">
        <w:rPr>
          <w:szCs w:val="24"/>
        </w:rPr>
        <w:t>$45,000/QALY - $75,000/QALY</w:t>
      </w:r>
      <w:r w:rsidRPr="00B93493">
        <w:rPr>
          <w:szCs w:val="24"/>
        </w:rPr>
        <w:t>.</w:t>
      </w:r>
      <w:r>
        <w:rPr>
          <w:szCs w:val="24"/>
        </w:rPr>
        <w:t xml:space="preserve"> </w:t>
      </w:r>
      <w:r w:rsidR="00F42070" w:rsidRPr="00B93493">
        <w:rPr>
          <w:szCs w:val="24"/>
        </w:rPr>
        <w:t>The</w:t>
      </w:r>
      <w:r w:rsidR="00591CC1">
        <w:rPr>
          <w:szCs w:val="24"/>
        </w:rPr>
        <w:t xml:space="preserve"> PBAC agreed with the</w:t>
      </w:r>
      <w:r w:rsidR="00F42070" w:rsidRPr="00B93493">
        <w:rPr>
          <w:szCs w:val="24"/>
        </w:rPr>
        <w:t xml:space="preserve"> ESC</w:t>
      </w:r>
      <w:r w:rsidR="00591CC1">
        <w:rPr>
          <w:szCs w:val="24"/>
        </w:rPr>
        <w:t xml:space="preserve"> and</w:t>
      </w:r>
      <w:r w:rsidR="00F42070" w:rsidRPr="00B93493">
        <w:rPr>
          <w:szCs w:val="24"/>
        </w:rPr>
        <w:t xml:space="preserve"> considered that it was not appropriate to assume that pembrolizumab </w:t>
      </w:r>
      <w:r>
        <w:rPr>
          <w:szCs w:val="24"/>
        </w:rPr>
        <w:t xml:space="preserve">would be ceased on </w:t>
      </w:r>
      <w:r w:rsidR="00F42070" w:rsidRPr="00B93493">
        <w:rPr>
          <w:szCs w:val="24"/>
        </w:rPr>
        <w:t>progression</w:t>
      </w:r>
      <w:r w:rsidR="00792B10">
        <w:rPr>
          <w:szCs w:val="24"/>
        </w:rPr>
        <w:t xml:space="preserve"> reported in the trial</w:t>
      </w:r>
      <w:r w:rsidR="00205090" w:rsidRPr="00B93493">
        <w:rPr>
          <w:szCs w:val="24"/>
        </w:rPr>
        <w:t xml:space="preserve">. Furthermore, the </w:t>
      </w:r>
      <w:r w:rsidR="000D1C60">
        <w:rPr>
          <w:szCs w:val="24"/>
        </w:rPr>
        <w:t xml:space="preserve">PBAC </w:t>
      </w:r>
      <w:r>
        <w:rPr>
          <w:szCs w:val="24"/>
        </w:rPr>
        <w:t xml:space="preserve">considered </w:t>
      </w:r>
      <w:r w:rsidR="00205090" w:rsidRPr="00B93493">
        <w:rPr>
          <w:szCs w:val="24"/>
        </w:rPr>
        <w:t xml:space="preserve">that </w:t>
      </w:r>
      <w:r>
        <w:rPr>
          <w:rFonts w:cs="Arial"/>
          <w:bCs/>
          <w:snapToGrid w:val="0"/>
          <w:lang w:val="en-GB"/>
        </w:rPr>
        <w:t xml:space="preserve">evidence of </w:t>
      </w:r>
      <w:r w:rsidRPr="00304871">
        <w:rPr>
          <w:rFonts w:eastAsiaTheme="majorEastAsia" w:cstheme="majorBidi"/>
        </w:rPr>
        <w:t xml:space="preserve">progression </w:t>
      </w:r>
      <w:r>
        <w:rPr>
          <w:rFonts w:eastAsiaTheme="majorEastAsia" w:cstheme="majorBidi"/>
        </w:rPr>
        <w:t xml:space="preserve">is less likely </w:t>
      </w:r>
      <w:r w:rsidRPr="00304871">
        <w:rPr>
          <w:rFonts w:eastAsiaTheme="majorEastAsia" w:cstheme="majorBidi"/>
        </w:rPr>
        <w:t xml:space="preserve">to </w:t>
      </w:r>
      <w:r>
        <w:rPr>
          <w:rFonts w:eastAsiaTheme="majorEastAsia" w:cstheme="majorBidi"/>
        </w:rPr>
        <w:t xml:space="preserve">be </w:t>
      </w:r>
      <w:r w:rsidRPr="00304871">
        <w:rPr>
          <w:rFonts w:eastAsiaTheme="majorEastAsia" w:cstheme="majorBidi"/>
        </w:rPr>
        <w:t>monitor</w:t>
      </w:r>
      <w:r>
        <w:rPr>
          <w:rFonts w:eastAsiaTheme="majorEastAsia" w:cstheme="majorBidi"/>
        </w:rPr>
        <w:t>ed for as intensively</w:t>
      </w:r>
      <w:r w:rsidRPr="00304871">
        <w:rPr>
          <w:rFonts w:eastAsiaTheme="majorEastAsia" w:cstheme="majorBidi"/>
        </w:rPr>
        <w:t xml:space="preserve"> in </w:t>
      </w:r>
      <w:r>
        <w:rPr>
          <w:rFonts w:eastAsiaTheme="majorEastAsia" w:cstheme="majorBidi"/>
        </w:rPr>
        <w:t xml:space="preserve">regular </w:t>
      </w:r>
      <w:r w:rsidRPr="00304871">
        <w:rPr>
          <w:rFonts w:eastAsiaTheme="majorEastAsia" w:cstheme="majorBidi"/>
        </w:rPr>
        <w:t>clinical practice</w:t>
      </w:r>
      <w:r>
        <w:rPr>
          <w:rFonts w:eastAsiaTheme="majorEastAsia" w:cstheme="majorBidi"/>
        </w:rPr>
        <w:t xml:space="preserve"> compared with the trial, suggesting that this aspect of the trial reflects pembrolizumab use beyond progression</w:t>
      </w:r>
      <w:r w:rsidR="00205090" w:rsidRPr="00B93493">
        <w:rPr>
          <w:szCs w:val="24"/>
        </w:rPr>
        <w:t xml:space="preserve">. </w:t>
      </w:r>
      <w:r w:rsidR="00632AD8">
        <w:rPr>
          <w:szCs w:val="24"/>
        </w:rPr>
        <w:t xml:space="preserve">The PBAC also recalled that the trial showed that progression events were not convincing surrogate outcomes. </w:t>
      </w:r>
      <w:r w:rsidR="00205090" w:rsidRPr="00B93493">
        <w:rPr>
          <w:szCs w:val="24"/>
        </w:rPr>
        <w:t>T</w:t>
      </w:r>
      <w:r w:rsidR="006F42AB" w:rsidRPr="00B93493">
        <w:rPr>
          <w:szCs w:val="24"/>
        </w:rPr>
        <w:t>herefore</w:t>
      </w:r>
      <w:r w:rsidR="00205090" w:rsidRPr="00B93493">
        <w:rPr>
          <w:szCs w:val="24"/>
        </w:rPr>
        <w:t xml:space="preserve">, the </w:t>
      </w:r>
      <w:r w:rsidR="00DD3246">
        <w:rPr>
          <w:szCs w:val="24"/>
        </w:rPr>
        <w:t>PBAC</w:t>
      </w:r>
      <w:r w:rsidR="00DD3246" w:rsidRPr="00B93493">
        <w:rPr>
          <w:szCs w:val="24"/>
        </w:rPr>
        <w:t xml:space="preserve"> </w:t>
      </w:r>
      <w:r w:rsidR="006F42AB" w:rsidRPr="00B93493">
        <w:rPr>
          <w:szCs w:val="24"/>
        </w:rPr>
        <w:t>considered that using ToT was a more reasonable approach</w:t>
      </w:r>
      <w:r w:rsidR="00205090" w:rsidRPr="00B93493">
        <w:rPr>
          <w:szCs w:val="24"/>
        </w:rPr>
        <w:t xml:space="preserve"> to estimating utilisation and </w:t>
      </w:r>
      <w:r w:rsidR="00632AD8">
        <w:rPr>
          <w:szCs w:val="24"/>
        </w:rPr>
        <w:t xml:space="preserve">would have better </w:t>
      </w:r>
      <w:r w:rsidR="00792B10">
        <w:rPr>
          <w:szCs w:val="24"/>
        </w:rPr>
        <w:t xml:space="preserve">internal validity with the </w:t>
      </w:r>
      <w:r w:rsidR="00632AD8">
        <w:rPr>
          <w:szCs w:val="24"/>
        </w:rPr>
        <w:t>model</w:t>
      </w:r>
      <w:r w:rsidR="00792B10">
        <w:rPr>
          <w:szCs w:val="24"/>
        </w:rPr>
        <w:t xml:space="preserve">’s basis for estimating </w:t>
      </w:r>
      <w:r w:rsidR="00205090" w:rsidRPr="00B93493">
        <w:rPr>
          <w:szCs w:val="24"/>
        </w:rPr>
        <w:t>effectiveness</w:t>
      </w:r>
      <w:r w:rsidR="00632AD8">
        <w:rPr>
          <w:szCs w:val="24"/>
        </w:rPr>
        <w:t xml:space="preserve"> from the trial</w:t>
      </w:r>
      <w:r w:rsidR="00F42070" w:rsidRPr="00B93493">
        <w:rPr>
          <w:szCs w:val="24"/>
        </w:rPr>
        <w:t>.</w:t>
      </w:r>
      <w:r w:rsidR="00792B10">
        <w:rPr>
          <w:szCs w:val="24"/>
        </w:rPr>
        <w:t xml:space="preserve"> For consistency and the internal validity of the model, the PBAC preferred that ToT be extrapolated in the same way as for the health outcome variables in the model, but could not judge what extra effect this would have on the ICER.</w:t>
      </w:r>
    </w:p>
    <w:p w:rsidR="004540CF" w:rsidRDefault="004540CF" w:rsidP="008D6F0B">
      <w:pPr>
        <w:pStyle w:val="ListParagraph"/>
        <w:numPr>
          <w:ilvl w:val="1"/>
          <w:numId w:val="19"/>
        </w:numPr>
        <w:spacing w:before="0" w:after="120"/>
        <w:jc w:val="both"/>
        <w:rPr>
          <w:szCs w:val="24"/>
        </w:rPr>
      </w:pPr>
      <w:r w:rsidRPr="00B93493">
        <w:rPr>
          <w:szCs w:val="24"/>
        </w:rPr>
        <w:t xml:space="preserve">The ESC noted that using the submission’s points of extrapolation, but assuming the log-logistic parametric curves for all outcomes, </w:t>
      </w:r>
      <w:r w:rsidRPr="00B93493">
        <w:rPr>
          <w:rFonts w:eastAsiaTheme="majorEastAsia" w:cstheme="majorBidi"/>
        </w:rPr>
        <w:t>and applying treatment costs according to ToT, which the ESC considered more reasonable,</w:t>
      </w:r>
      <w:r w:rsidRPr="00B93493">
        <w:rPr>
          <w:szCs w:val="24"/>
        </w:rPr>
        <w:t xml:space="preserve"> the ICER increased to </w:t>
      </w:r>
      <w:r w:rsidR="00E86B27">
        <w:rPr>
          <w:szCs w:val="24"/>
        </w:rPr>
        <w:t>$75,000 - $105,000</w:t>
      </w:r>
      <w:r w:rsidRPr="00B93493">
        <w:rPr>
          <w:szCs w:val="24"/>
        </w:rPr>
        <w:t xml:space="preserve"> per QALY.</w:t>
      </w:r>
    </w:p>
    <w:p w:rsidR="00AA1D35" w:rsidRPr="0033273A" w:rsidRDefault="00AA1D35" w:rsidP="00AA1D35">
      <w:pPr>
        <w:pStyle w:val="Heading2"/>
      </w:pPr>
      <w:bookmarkStart w:id="30" w:name="_Toc492274928"/>
      <w:r w:rsidRPr="0033273A">
        <w:t>Drug cost/patient/cours</w:t>
      </w:r>
      <w:r w:rsidR="009C496F" w:rsidRPr="0033273A">
        <w:t>e</w:t>
      </w:r>
      <w:bookmarkEnd w:id="30"/>
      <w:r w:rsidR="00D1788E" w:rsidRPr="0033273A">
        <w:t>: $</w:t>
      </w:r>
      <w:r w:rsidR="001E368B">
        <w:rPr>
          <w:noProof/>
          <w:color w:val="000000"/>
          <w:highlight w:val="black"/>
        </w:rPr>
        <w:t>''''''''''''''</w:t>
      </w:r>
    </w:p>
    <w:p w:rsidR="00AA1D35" w:rsidRDefault="00AA1D35" w:rsidP="00C47FDA">
      <w:pPr>
        <w:pStyle w:val="ListParagraph"/>
        <w:numPr>
          <w:ilvl w:val="1"/>
          <w:numId w:val="19"/>
        </w:numPr>
        <w:spacing w:before="0" w:after="120"/>
        <w:jc w:val="both"/>
        <w:rPr>
          <w:color w:val="000000" w:themeColor="text1"/>
        </w:rPr>
      </w:pPr>
      <w:r w:rsidRPr="00B93493">
        <w:rPr>
          <w:color w:val="000000" w:themeColor="text1"/>
        </w:rPr>
        <w:t>Based on a fixed dose of 200</w:t>
      </w:r>
      <w:r w:rsidR="00BE5DB0" w:rsidRPr="00B93493">
        <w:rPr>
          <w:color w:val="000000" w:themeColor="text1"/>
        </w:rPr>
        <w:t xml:space="preserve"> </w:t>
      </w:r>
      <w:r w:rsidRPr="00B93493">
        <w:rPr>
          <w:color w:val="000000" w:themeColor="text1"/>
        </w:rPr>
        <w:t>mg per person, the average cost per patient per treatment cycle of pembrolizumab is $</w:t>
      </w:r>
      <w:r w:rsidR="001E368B">
        <w:rPr>
          <w:noProof/>
          <w:color w:val="000000"/>
          <w:highlight w:val="black"/>
        </w:rPr>
        <w:t>'''''''''''</w:t>
      </w:r>
      <w:r w:rsidRPr="00B93493">
        <w:rPr>
          <w:color w:val="000000" w:themeColor="text1"/>
        </w:rPr>
        <w:t xml:space="preserve"> (2 X 100 mg vials</w:t>
      </w:r>
      <w:r w:rsidR="009643FA" w:rsidRPr="00B93493">
        <w:rPr>
          <w:color w:val="000000" w:themeColor="text1"/>
        </w:rPr>
        <w:t>,</w:t>
      </w:r>
      <w:r w:rsidRPr="00B93493">
        <w:rPr>
          <w:color w:val="000000" w:themeColor="text1"/>
        </w:rPr>
        <w:t xml:space="preserve"> at $</w:t>
      </w:r>
      <w:r w:rsidR="001E368B">
        <w:rPr>
          <w:noProof/>
          <w:color w:val="000000"/>
          <w:highlight w:val="black"/>
        </w:rPr>
        <w:t>'''''''''''</w:t>
      </w:r>
      <w:r w:rsidRPr="00B93493">
        <w:rPr>
          <w:color w:val="000000" w:themeColor="text1"/>
        </w:rPr>
        <w:t xml:space="preserve"> per vial), every 3 weeks.</w:t>
      </w:r>
    </w:p>
    <w:p w:rsidR="00B51E8D" w:rsidRPr="00FC1054" w:rsidRDefault="00AA1D35" w:rsidP="00C47FDA">
      <w:pPr>
        <w:pStyle w:val="ListParagraph"/>
        <w:numPr>
          <w:ilvl w:val="1"/>
          <w:numId w:val="19"/>
        </w:numPr>
        <w:spacing w:before="0" w:after="120"/>
        <w:jc w:val="both"/>
        <w:rPr>
          <w:color w:val="000000" w:themeColor="text1"/>
        </w:rPr>
      </w:pPr>
      <w:r w:rsidRPr="00FC1054">
        <w:rPr>
          <w:color w:val="000000" w:themeColor="text1"/>
        </w:rPr>
        <w:t>The expected number of treatment cycles per patient was based on time in the progression</w:t>
      </w:r>
      <w:r w:rsidR="004576EE" w:rsidRPr="00FC1054">
        <w:rPr>
          <w:color w:val="000000" w:themeColor="text1"/>
        </w:rPr>
        <w:t>-</w:t>
      </w:r>
      <w:r w:rsidRPr="00FC1054">
        <w:rPr>
          <w:color w:val="000000" w:themeColor="text1"/>
        </w:rPr>
        <w:t xml:space="preserve">free health states, estimated </w:t>
      </w:r>
      <w:r w:rsidR="00EB54C6" w:rsidRPr="00FC1054">
        <w:rPr>
          <w:color w:val="000000" w:themeColor="text1"/>
        </w:rPr>
        <w:t xml:space="preserve">from the </w:t>
      </w:r>
      <w:r w:rsidRPr="00FC1054">
        <w:rPr>
          <w:color w:val="000000" w:themeColor="text1"/>
        </w:rPr>
        <w:t>extrapolated PFS curves, up to a maximum treatment duration of 35 cycles for pembrolizumab</w:t>
      </w:r>
      <w:r w:rsidR="009643FA" w:rsidRPr="00FC1054">
        <w:rPr>
          <w:color w:val="000000" w:themeColor="text1"/>
        </w:rPr>
        <w:t xml:space="preserve">. </w:t>
      </w:r>
      <w:r w:rsidRPr="00FC1054">
        <w:rPr>
          <w:color w:val="000000" w:themeColor="text1"/>
        </w:rPr>
        <w:t>The average (undiscounted) cost per treatment per patient was determined to be $</w:t>
      </w:r>
      <w:r w:rsidR="001E368B">
        <w:rPr>
          <w:noProof/>
          <w:color w:val="000000"/>
          <w:highlight w:val="black"/>
        </w:rPr>
        <w:t>'''''''''''''</w:t>
      </w:r>
      <w:r w:rsidRPr="00FC1054">
        <w:rPr>
          <w:color w:val="000000" w:themeColor="text1"/>
        </w:rPr>
        <w:t xml:space="preserve"> ($</w:t>
      </w:r>
      <w:r w:rsidR="001E368B">
        <w:rPr>
          <w:noProof/>
          <w:color w:val="000000"/>
          <w:highlight w:val="black"/>
        </w:rPr>
        <w:t>''''''''''</w:t>
      </w:r>
      <w:r w:rsidRPr="00FC1054">
        <w:rPr>
          <w:color w:val="000000" w:themeColor="text1"/>
        </w:rPr>
        <w:t xml:space="preserve"> x </w:t>
      </w:r>
      <w:r w:rsidR="001E368B">
        <w:rPr>
          <w:noProof/>
          <w:color w:val="000000"/>
          <w:highlight w:val="black"/>
        </w:rPr>
        <w:t>''''''''</w:t>
      </w:r>
      <w:r w:rsidR="009643FA" w:rsidRPr="00FC1054">
        <w:rPr>
          <w:color w:val="000000" w:themeColor="text1"/>
        </w:rPr>
        <w:t xml:space="preserve"> cycles</w:t>
      </w:r>
      <w:r w:rsidRPr="00FC1054">
        <w:rPr>
          <w:color w:val="000000" w:themeColor="text1"/>
        </w:rPr>
        <w:t>) for pembrolizumab patients</w:t>
      </w:r>
      <w:r w:rsidR="00B51E8D" w:rsidRPr="00FC1054">
        <w:rPr>
          <w:color w:val="000000" w:themeColor="text1"/>
        </w:rPr>
        <w:t>.</w:t>
      </w:r>
    </w:p>
    <w:p w:rsidR="00AA1D35" w:rsidRPr="0033273A" w:rsidRDefault="00AA1D35" w:rsidP="00333122">
      <w:pPr>
        <w:pStyle w:val="Heading2"/>
      </w:pPr>
      <w:r w:rsidRPr="0033273A">
        <w:t>Estimated PBS usage &amp; financial implications</w:t>
      </w:r>
    </w:p>
    <w:p w:rsidR="00AA1D35" w:rsidRPr="00B93493" w:rsidRDefault="00AA1D35" w:rsidP="00C47FDA">
      <w:pPr>
        <w:pStyle w:val="ListParagraph"/>
        <w:numPr>
          <w:ilvl w:val="1"/>
          <w:numId w:val="19"/>
        </w:numPr>
        <w:spacing w:before="0" w:after="120"/>
        <w:jc w:val="both"/>
        <w:rPr>
          <w:color w:val="000000" w:themeColor="text1"/>
        </w:rPr>
      </w:pPr>
      <w:r w:rsidRPr="00B93493">
        <w:rPr>
          <w:color w:val="000000" w:themeColor="text1"/>
        </w:rPr>
        <w:t xml:space="preserve">This submission </w:t>
      </w:r>
      <w:r w:rsidR="000E19AE" w:rsidRPr="00B93493">
        <w:rPr>
          <w:color w:val="000000" w:themeColor="text1"/>
        </w:rPr>
        <w:t>was</w:t>
      </w:r>
      <w:r w:rsidRPr="00B93493">
        <w:rPr>
          <w:color w:val="000000" w:themeColor="text1"/>
        </w:rPr>
        <w:t xml:space="preserve"> not considered by DUSC. The submission use</w:t>
      </w:r>
      <w:r w:rsidR="00AF3B28" w:rsidRPr="00B93493">
        <w:rPr>
          <w:color w:val="000000" w:themeColor="text1"/>
        </w:rPr>
        <w:t>d</w:t>
      </w:r>
      <w:r w:rsidRPr="00B93493">
        <w:rPr>
          <w:color w:val="000000" w:themeColor="text1"/>
        </w:rPr>
        <w:t xml:space="preserve"> an epidemiological approach for the estimation of the total number of patients likely to be diagnosed with LA </w:t>
      </w:r>
      <w:r w:rsidR="006E2958" w:rsidRPr="00B93493">
        <w:rPr>
          <w:color w:val="000000" w:themeColor="text1"/>
        </w:rPr>
        <w:t>or</w:t>
      </w:r>
      <w:r w:rsidRPr="00B93493">
        <w:rPr>
          <w:color w:val="000000" w:themeColor="text1"/>
        </w:rPr>
        <w:t xml:space="preserve"> mUC each year. Specifically, it use</w:t>
      </w:r>
      <w:r w:rsidR="00AF3B28" w:rsidRPr="00B93493">
        <w:rPr>
          <w:color w:val="000000" w:themeColor="text1"/>
        </w:rPr>
        <w:t>d</w:t>
      </w:r>
      <w:r w:rsidRPr="00B93493">
        <w:rPr>
          <w:color w:val="000000" w:themeColor="text1"/>
        </w:rPr>
        <w:t xml:space="preserve"> projected bladder cancer mortality data as a proxy to identify patients </w:t>
      </w:r>
      <w:r w:rsidR="005978F1" w:rsidRPr="00B93493">
        <w:rPr>
          <w:color w:val="000000" w:themeColor="text1"/>
        </w:rPr>
        <w:t xml:space="preserve">with LA </w:t>
      </w:r>
      <w:r w:rsidR="00415438" w:rsidRPr="00B93493">
        <w:rPr>
          <w:color w:val="000000" w:themeColor="text1"/>
        </w:rPr>
        <w:t>or</w:t>
      </w:r>
      <w:r w:rsidR="005978F1" w:rsidRPr="00B93493">
        <w:rPr>
          <w:color w:val="000000" w:themeColor="text1"/>
        </w:rPr>
        <w:t xml:space="preserve"> mUC </w:t>
      </w:r>
      <w:r w:rsidRPr="00B93493">
        <w:rPr>
          <w:color w:val="000000" w:themeColor="text1"/>
        </w:rPr>
        <w:t>(AIHW)</w:t>
      </w:r>
      <w:r w:rsidR="00415438" w:rsidRPr="00B93493">
        <w:rPr>
          <w:color w:val="000000" w:themeColor="text1"/>
        </w:rPr>
        <w:t>,</w:t>
      </w:r>
      <w:r w:rsidRPr="00B93493">
        <w:rPr>
          <w:color w:val="000000" w:themeColor="text1"/>
        </w:rPr>
        <w:t xml:space="preserve"> and then expert opinion (Tracey </w:t>
      </w:r>
      <w:r w:rsidRPr="0077195B">
        <w:rPr>
          <w:i/>
          <w:color w:val="000000" w:themeColor="text1"/>
        </w:rPr>
        <w:t>et al</w:t>
      </w:r>
      <w:r w:rsidR="00D10D34" w:rsidRPr="0077195B">
        <w:rPr>
          <w:i/>
          <w:color w:val="000000" w:themeColor="text1"/>
        </w:rPr>
        <w:t>.</w:t>
      </w:r>
      <w:r w:rsidRPr="00B93493">
        <w:rPr>
          <w:color w:val="000000" w:themeColor="text1"/>
        </w:rPr>
        <w:t xml:space="preserve"> 2014) to estimate the proportion of </w:t>
      </w:r>
      <w:r w:rsidR="00B51E8D" w:rsidRPr="00B93493">
        <w:rPr>
          <w:color w:val="000000" w:themeColor="text1"/>
        </w:rPr>
        <w:t xml:space="preserve">those </w:t>
      </w:r>
      <w:r w:rsidRPr="00B93493">
        <w:rPr>
          <w:color w:val="000000" w:themeColor="text1"/>
        </w:rPr>
        <w:t>patients likely to be treated with first</w:t>
      </w:r>
      <w:r w:rsidR="00F21E16">
        <w:rPr>
          <w:color w:val="000000" w:themeColor="text1"/>
        </w:rPr>
        <w:t>-</w:t>
      </w:r>
      <w:r w:rsidRPr="00B93493">
        <w:rPr>
          <w:color w:val="000000" w:themeColor="text1"/>
        </w:rPr>
        <w:t xml:space="preserve"> and second</w:t>
      </w:r>
      <w:r w:rsidR="00F21E16">
        <w:rPr>
          <w:color w:val="000000" w:themeColor="text1"/>
        </w:rPr>
        <w:t>-</w:t>
      </w:r>
      <w:r w:rsidRPr="00B93493">
        <w:rPr>
          <w:color w:val="000000" w:themeColor="text1"/>
        </w:rPr>
        <w:t>line agents in the Australian population</w:t>
      </w:r>
      <w:r w:rsidR="00BA2E04" w:rsidRPr="00B93493">
        <w:rPr>
          <w:color w:val="000000" w:themeColor="text1"/>
        </w:rPr>
        <w:t>.</w:t>
      </w:r>
    </w:p>
    <w:p w:rsidR="002621D2" w:rsidRPr="00B93493" w:rsidRDefault="00AA1D35" w:rsidP="00C47FDA">
      <w:pPr>
        <w:pStyle w:val="ListParagraph"/>
        <w:numPr>
          <w:ilvl w:val="1"/>
          <w:numId w:val="19"/>
        </w:numPr>
        <w:spacing w:before="0" w:after="120"/>
        <w:jc w:val="both"/>
        <w:rPr>
          <w:color w:val="000000" w:themeColor="text1"/>
        </w:rPr>
      </w:pPr>
      <w:r w:rsidRPr="00B93493">
        <w:rPr>
          <w:color w:val="000000" w:themeColor="text1"/>
        </w:rPr>
        <w:t xml:space="preserve">The submission commissioned a study (ONCOSight) to </w:t>
      </w:r>
      <w:r w:rsidR="00B51E8D" w:rsidRPr="00B93493">
        <w:rPr>
          <w:color w:val="000000" w:themeColor="text1"/>
        </w:rPr>
        <w:t xml:space="preserve">provide </w:t>
      </w:r>
      <w:r w:rsidRPr="00B93493">
        <w:rPr>
          <w:color w:val="000000" w:themeColor="text1"/>
        </w:rPr>
        <w:t xml:space="preserve">epidemiological data and treatment patterns </w:t>
      </w:r>
      <w:r w:rsidR="00B51E8D" w:rsidRPr="00B93493">
        <w:rPr>
          <w:color w:val="000000" w:themeColor="text1"/>
        </w:rPr>
        <w:t xml:space="preserve">on </w:t>
      </w:r>
      <w:r w:rsidRPr="00B93493">
        <w:rPr>
          <w:color w:val="000000" w:themeColor="text1"/>
        </w:rPr>
        <w:t>patients with urothelial cancer in Australia, on the basis that</w:t>
      </w:r>
      <w:r w:rsidR="005978F1" w:rsidRPr="00B93493">
        <w:rPr>
          <w:color w:val="000000" w:themeColor="text1"/>
        </w:rPr>
        <w:t>,</w:t>
      </w:r>
      <w:r w:rsidRPr="00B93493">
        <w:rPr>
          <w:color w:val="000000" w:themeColor="text1"/>
        </w:rPr>
        <w:t xml:space="preserve"> whilst </w:t>
      </w:r>
      <w:r w:rsidR="00BA2E04" w:rsidRPr="00B93493">
        <w:rPr>
          <w:color w:val="000000" w:themeColor="text1"/>
        </w:rPr>
        <w:t xml:space="preserve">the </w:t>
      </w:r>
      <w:r w:rsidRPr="00B93493">
        <w:rPr>
          <w:color w:val="000000" w:themeColor="text1"/>
        </w:rPr>
        <w:t xml:space="preserve">AIHW reports the number of incident and prevalent patients with bladder cancer, it is difficult to accurately determine </w:t>
      </w:r>
      <w:r w:rsidR="001F1E88" w:rsidRPr="00B93493">
        <w:rPr>
          <w:color w:val="000000" w:themeColor="text1"/>
        </w:rPr>
        <w:t xml:space="preserve">the </w:t>
      </w:r>
      <w:r w:rsidR="00EB54C6" w:rsidRPr="00B93493">
        <w:rPr>
          <w:color w:val="000000" w:themeColor="text1"/>
        </w:rPr>
        <w:t>sub</w:t>
      </w:r>
      <w:r w:rsidR="000B72D9">
        <w:rPr>
          <w:color w:val="000000" w:themeColor="text1"/>
        </w:rPr>
        <w:noBreakHyphen/>
      </w:r>
      <w:r w:rsidR="00EB54C6" w:rsidRPr="00B93493">
        <w:rPr>
          <w:color w:val="000000" w:themeColor="text1"/>
        </w:rPr>
        <w:t xml:space="preserve">classifications specific to urothelial disease and the subsequent </w:t>
      </w:r>
      <w:r w:rsidR="001F1E88" w:rsidRPr="00B93493">
        <w:rPr>
          <w:color w:val="000000" w:themeColor="text1"/>
        </w:rPr>
        <w:t>patterns of treatment.</w:t>
      </w:r>
      <w:r w:rsidRPr="00B93493">
        <w:rPr>
          <w:color w:val="000000" w:themeColor="text1"/>
        </w:rPr>
        <w:t xml:space="preserve"> The ONCOSight model track</w:t>
      </w:r>
      <w:r w:rsidR="00BA2E04" w:rsidRPr="00B93493">
        <w:rPr>
          <w:color w:val="000000" w:themeColor="text1"/>
        </w:rPr>
        <w:t>ed</w:t>
      </w:r>
      <w:r w:rsidRPr="00B93493">
        <w:rPr>
          <w:color w:val="000000" w:themeColor="text1"/>
        </w:rPr>
        <w:t xml:space="preserve"> cancer patients throughout the duration of their cancer, from initial diagnosis to cure or death. The submission </w:t>
      </w:r>
      <w:r w:rsidR="00BF64BC">
        <w:rPr>
          <w:color w:val="000000" w:themeColor="text1"/>
        </w:rPr>
        <w:t>did</w:t>
      </w:r>
      <w:r w:rsidR="00BF64BC" w:rsidRPr="00B93493">
        <w:rPr>
          <w:color w:val="000000" w:themeColor="text1"/>
        </w:rPr>
        <w:t xml:space="preserve"> </w:t>
      </w:r>
      <w:r w:rsidRPr="00B93493">
        <w:rPr>
          <w:color w:val="000000" w:themeColor="text1"/>
        </w:rPr>
        <w:t>not sufficiently justif</w:t>
      </w:r>
      <w:r w:rsidR="00BF64BC">
        <w:rPr>
          <w:color w:val="000000" w:themeColor="text1"/>
        </w:rPr>
        <w:t>y</w:t>
      </w:r>
      <w:r w:rsidRPr="00B93493">
        <w:rPr>
          <w:color w:val="000000" w:themeColor="text1"/>
        </w:rPr>
        <w:t xml:space="preserve"> why it </w:t>
      </w:r>
      <w:r w:rsidR="002569CF">
        <w:rPr>
          <w:color w:val="000000" w:themeColor="text1"/>
        </w:rPr>
        <w:t>did</w:t>
      </w:r>
      <w:r w:rsidRPr="00B93493">
        <w:rPr>
          <w:color w:val="000000" w:themeColor="text1"/>
        </w:rPr>
        <w:t xml:space="preserve"> not use </w:t>
      </w:r>
      <w:r w:rsidR="00B25ED1" w:rsidRPr="00B93493">
        <w:rPr>
          <w:color w:val="000000" w:themeColor="text1"/>
        </w:rPr>
        <w:t xml:space="preserve">the ONCOSight </w:t>
      </w:r>
      <w:r w:rsidRPr="00B93493">
        <w:rPr>
          <w:color w:val="000000" w:themeColor="text1"/>
        </w:rPr>
        <w:t>report to estimate t</w:t>
      </w:r>
      <w:r w:rsidR="00EE4A4D" w:rsidRPr="00B93493">
        <w:rPr>
          <w:color w:val="000000" w:themeColor="text1"/>
        </w:rPr>
        <w:t>he number of eligible patients.</w:t>
      </w:r>
    </w:p>
    <w:p w:rsidR="002621D2" w:rsidRPr="00B93493" w:rsidRDefault="002621D2" w:rsidP="00C47FDA">
      <w:pPr>
        <w:pStyle w:val="ListParagraph"/>
        <w:numPr>
          <w:ilvl w:val="1"/>
          <w:numId w:val="19"/>
        </w:numPr>
        <w:spacing w:before="0" w:after="120"/>
        <w:jc w:val="both"/>
        <w:rPr>
          <w:color w:val="000000" w:themeColor="text1"/>
        </w:rPr>
      </w:pPr>
      <w:r w:rsidRPr="00B93493">
        <w:rPr>
          <w:color w:val="000000" w:themeColor="text1"/>
        </w:rPr>
        <w:t xml:space="preserve">The submission’s estimates of the number of patients to be treated, use of pembrolizumab, substitution of SOC and resulting cost to Government are presented in Table </w:t>
      </w:r>
      <w:r w:rsidR="00D9617E" w:rsidRPr="00B93493">
        <w:rPr>
          <w:color w:val="000000" w:themeColor="text1"/>
        </w:rPr>
        <w:t>16</w:t>
      </w:r>
      <w:r w:rsidRPr="00B93493">
        <w:rPr>
          <w:color w:val="000000" w:themeColor="text1"/>
        </w:rPr>
        <w:t>. The estimated total cost to the PBS/RPBS over the first six years of listing, taking account of co-payments and substitution for SOC, was $</w:t>
      </w:r>
      <w:r w:rsidR="00CC6509">
        <w:rPr>
          <w:color w:val="000000" w:themeColor="text1"/>
        </w:rPr>
        <w:t>60- $100 million</w:t>
      </w:r>
      <w:r w:rsidR="005978F1" w:rsidRPr="00B93493">
        <w:rPr>
          <w:color w:val="000000" w:themeColor="text1"/>
        </w:rPr>
        <w:t>.</w:t>
      </w:r>
    </w:p>
    <w:p w:rsidR="00AA1D35" w:rsidRPr="000E19AE" w:rsidRDefault="00AA1D35" w:rsidP="00AA1D35">
      <w:pPr>
        <w:pStyle w:val="TableHeading0"/>
      </w:pPr>
      <w:r w:rsidRPr="000E19AE">
        <w:t xml:space="preserve">Table </w:t>
      </w:r>
      <w:r w:rsidR="00D9617E" w:rsidRPr="000E19AE">
        <w:t>16</w:t>
      </w:r>
      <w:r w:rsidRPr="000E19AE">
        <w:t>:</w:t>
      </w:r>
      <w:r w:rsidR="00B51E8D" w:rsidRPr="000E19AE">
        <w:t xml:space="preserve"> </w:t>
      </w:r>
      <w:r w:rsidRPr="000E19AE">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AA1D35" w:rsidRPr="000E19AE">
        <w:trPr>
          <w:tblHeader/>
        </w:trPr>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jc w:val="center"/>
              <w:rPr>
                <w:b/>
              </w:rPr>
            </w:pPr>
            <w:r w:rsidRPr="000E19AE">
              <w:rPr>
                <w:b/>
              </w:rPr>
              <w:t>Year 1</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jc w:val="center"/>
              <w:rPr>
                <w:b/>
              </w:rPr>
            </w:pPr>
            <w:r w:rsidRPr="000E19AE">
              <w:rPr>
                <w:b/>
              </w:rPr>
              <w:t>Year 2</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jc w:val="center"/>
              <w:rPr>
                <w:b/>
              </w:rPr>
            </w:pPr>
            <w:r w:rsidRPr="000E19AE">
              <w:rPr>
                <w:b/>
              </w:rPr>
              <w:t>Year 3</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jc w:val="center"/>
              <w:rPr>
                <w:b/>
              </w:rPr>
            </w:pPr>
            <w:r w:rsidRPr="000E19AE">
              <w:rPr>
                <w:b/>
              </w:rPr>
              <w:t>Year 4</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jc w:val="center"/>
              <w:rPr>
                <w:b/>
              </w:rPr>
            </w:pPr>
            <w:r w:rsidRPr="000E19AE">
              <w:rPr>
                <w:b/>
              </w:rPr>
              <w:t>Year 5</w:t>
            </w:r>
          </w:p>
        </w:tc>
        <w:tc>
          <w:tcPr>
            <w:tcW w:w="647" w:type="pct"/>
            <w:tcBorders>
              <w:top w:val="single" w:sz="4" w:space="0" w:color="auto"/>
              <w:left w:val="single" w:sz="4" w:space="0" w:color="auto"/>
              <w:bottom w:val="single" w:sz="4" w:space="0" w:color="auto"/>
              <w:right w:val="single" w:sz="4" w:space="0" w:color="auto"/>
            </w:tcBorders>
          </w:tcPr>
          <w:p w:rsidR="00AA1D35" w:rsidRPr="000E19AE" w:rsidRDefault="00AA1D35">
            <w:pPr>
              <w:pStyle w:val="TableText"/>
              <w:spacing w:line="256" w:lineRule="auto"/>
              <w:jc w:val="center"/>
              <w:rPr>
                <w:b/>
              </w:rPr>
            </w:pPr>
            <w:r w:rsidRPr="000E19AE">
              <w:rPr>
                <w:b/>
              </w:rPr>
              <w:t>Year 6</w:t>
            </w:r>
          </w:p>
        </w:tc>
      </w:tr>
      <w:tr w:rsidR="00AA1D35" w:rsidRPr="000E19AE">
        <w:tc>
          <w:tcPr>
            <w:tcW w:w="5000" w:type="pct"/>
            <w:gridSpan w:val="7"/>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
                <w:bCs/>
                <w:color w:val="000000"/>
              </w:rPr>
            </w:pPr>
            <w:r w:rsidRPr="000E19AE">
              <w:rPr>
                <w:b/>
                <w:bCs/>
                <w:color w:val="000000"/>
              </w:rPr>
              <w:t>Estimated extent of use</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rFonts w:ascii="Times" w:eastAsia="Times New Roman" w:hAnsi="Times" w:cs="Times New Roman"/>
              </w:rPr>
            </w:pPr>
            <w:r w:rsidRPr="000E19AE">
              <w:t>Number of patients treated</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rFonts w:ascii="Times" w:eastAsia="Times New Roman" w:hAnsi="Times" w:cs="Times New Roman"/>
              </w:rPr>
            </w:pPr>
            <w:r w:rsidRPr="000E19AE">
              <w:t>Number of scripts dispensed</w:t>
            </w:r>
            <w:r w:rsidRPr="000E19AE">
              <w:rPr>
                <w:vertAlign w:val="superscript"/>
              </w:rPr>
              <w:t>a</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center"/>
              <w:rPr>
                <w:bCs/>
                <w:color w:val="000000"/>
                <w:highlight w:val="black"/>
              </w:rPr>
            </w:pPr>
            <w:r>
              <w:rPr>
                <w:noProof/>
                <w:color w:val="000000"/>
                <w:highlight w:val="black"/>
              </w:rPr>
              <w:t>'''''''''''''</w:t>
            </w:r>
          </w:p>
        </w:tc>
      </w:tr>
      <w:tr w:rsidR="00AA1D35" w:rsidRPr="000E19AE">
        <w:tc>
          <w:tcPr>
            <w:tcW w:w="5000" w:type="pct"/>
            <w:gridSpan w:val="7"/>
            <w:tcBorders>
              <w:top w:val="single" w:sz="4" w:space="0" w:color="auto"/>
              <w:left w:val="single" w:sz="4" w:space="0" w:color="auto"/>
              <w:bottom w:val="single" w:sz="4" w:space="0" w:color="auto"/>
              <w:right w:val="single" w:sz="4" w:space="0" w:color="auto"/>
            </w:tcBorders>
            <w:vAlign w:val="center"/>
          </w:tcPr>
          <w:p w:rsidR="00AA1D35" w:rsidRPr="000E19AE" w:rsidRDefault="00AA1D35" w:rsidP="002005EF">
            <w:pPr>
              <w:pStyle w:val="TableText"/>
              <w:spacing w:line="256" w:lineRule="auto"/>
              <w:rPr>
                <w:b/>
                <w:bCs/>
                <w:color w:val="000000"/>
              </w:rPr>
            </w:pPr>
            <w:r w:rsidRPr="000E19AE">
              <w:rPr>
                <w:b/>
                <w:bCs/>
                <w:color w:val="000000"/>
              </w:rPr>
              <w:t xml:space="preserve">Estimated financial implications of </w:t>
            </w:r>
            <w:r w:rsidR="002005EF" w:rsidRPr="000E19AE">
              <w:rPr>
                <w:b/>
                <w:bCs/>
                <w:color w:val="000000"/>
              </w:rPr>
              <w:t>pembrolizumab</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rFonts w:ascii="Times" w:eastAsia="Times New Roman" w:hAnsi="Times" w:cs="Times New Roman"/>
              </w:rPr>
            </w:pPr>
            <w:r w:rsidRPr="000E19AE">
              <w:rPr>
                <w:sz w:val="19"/>
                <w:szCs w:val="19"/>
              </w:rPr>
              <w:t>Cost to PBS/RPBS</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sz w:val="19"/>
                <w:szCs w:val="19"/>
              </w:rPr>
            </w:pPr>
            <w:r w:rsidRPr="000E19AE">
              <w:rPr>
                <w:sz w:val="19"/>
                <w:szCs w:val="19"/>
              </w:rPr>
              <w:t>Copayments</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sz w:val="19"/>
                <w:szCs w:val="19"/>
              </w:rPr>
            </w:pPr>
            <w:r w:rsidRPr="000E19AE">
              <w:rPr>
                <w:sz w:val="19"/>
                <w:szCs w:val="19"/>
              </w:rPr>
              <w:t>Cost to PBS/RPBS less copayments</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noProof/>
                <w:color w:val="000000"/>
                <w:highlight w:val="black"/>
              </w:rPr>
              <w:t xml:space="preserve">'''''''''''''''''''''''''''' </w:t>
            </w:r>
          </w:p>
        </w:tc>
      </w:tr>
      <w:tr w:rsidR="00AA1D35" w:rsidRPr="000E19AE">
        <w:tc>
          <w:tcPr>
            <w:tcW w:w="5000" w:type="pct"/>
            <w:gridSpan w:val="7"/>
            <w:tcBorders>
              <w:top w:val="single" w:sz="4" w:space="0" w:color="auto"/>
              <w:left w:val="single" w:sz="4" w:space="0" w:color="auto"/>
              <w:bottom w:val="single" w:sz="4" w:space="0" w:color="auto"/>
              <w:right w:val="single" w:sz="4" w:space="0" w:color="auto"/>
            </w:tcBorders>
            <w:vAlign w:val="center"/>
          </w:tcPr>
          <w:p w:rsidR="00AA1D35" w:rsidRPr="000E19AE" w:rsidRDefault="00AA1D35" w:rsidP="002005EF">
            <w:pPr>
              <w:pStyle w:val="TableText"/>
              <w:spacing w:line="256" w:lineRule="auto"/>
              <w:rPr>
                <w:bCs/>
                <w:color w:val="000000"/>
              </w:rPr>
            </w:pPr>
            <w:r w:rsidRPr="000E19AE">
              <w:rPr>
                <w:b/>
                <w:bCs/>
                <w:color w:val="000000"/>
              </w:rPr>
              <w:t xml:space="preserve">Estimated financial implications for </w:t>
            </w:r>
            <w:r w:rsidR="002005EF" w:rsidRPr="000E19AE">
              <w:rPr>
                <w:b/>
                <w:bCs/>
                <w:color w:val="000000"/>
              </w:rPr>
              <w:t>standard of care</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sz w:val="19"/>
                <w:szCs w:val="19"/>
              </w:rPr>
            </w:pPr>
            <w:r w:rsidRPr="000E19AE">
              <w:rPr>
                <w:sz w:val="19"/>
                <w:szCs w:val="19"/>
              </w:rPr>
              <w:t xml:space="preserve">Cost </w:t>
            </w:r>
            <w:r w:rsidR="00642BDF">
              <w:rPr>
                <w:sz w:val="19"/>
                <w:szCs w:val="19"/>
              </w:rPr>
              <w:t xml:space="preserve">offsets </w:t>
            </w:r>
            <w:r w:rsidRPr="000E19AE">
              <w:rPr>
                <w:sz w:val="19"/>
                <w:szCs w:val="19"/>
              </w:rPr>
              <w:t>to PBS/RPBS</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Cs/>
                <w:color w:val="000000"/>
              </w:rPr>
            </w:pPr>
          </w:p>
        </w:tc>
        <w:tc>
          <w:tcPr>
            <w:tcW w:w="647" w:type="pct"/>
            <w:tcBorders>
              <w:top w:val="single" w:sz="4" w:space="0" w:color="auto"/>
              <w:left w:val="single" w:sz="4" w:space="0" w:color="auto"/>
              <w:bottom w:val="single" w:sz="4" w:space="0" w:color="auto"/>
              <w:right w:val="single" w:sz="4" w:space="0" w:color="auto"/>
            </w:tcBorders>
          </w:tcPr>
          <w:p w:rsidR="00AA1D35" w:rsidRPr="000E19AE" w:rsidRDefault="00AA1D35">
            <w:pPr>
              <w:pStyle w:val="TableText"/>
              <w:spacing w:line="256" w:lineRule="auto"/>
              <w:rPr>
                <w:bCs/>
                <w:color w:val="000000"/>
              </w:rPr>
            </w:pPr>
          </w:p>
        </w:tc>
      </w:tr>
      <w:tr w:rsidR="00AA1D35" w:rsidRPr="000E19AE">
        <w:tc>
          <w:tcPr>
            <w:tcW w:w="1118" w:type="pct"/>
            <w:tcBorders>
              <w:top w:val="nil"/>
              <w:left w:val="single" w:sz="4" w:space="0" w:color="auto"/>
              <w:bottom w:val="single" w:sz="4" w:space="0" w:color="auto"/>
              <w:right w:val="single" w:sz="4" w:space="0" w:color="auto"/>
            </w:tcBorders>
          </w:tcPr>
          <w:p w:rsidR="00AA1D35" w:rsidRPr="000E19AE" w:rsidRDefault="00AA1D35">
            <w:pPr>
              <w:pStyle w:val="TableText"/>
              <w:spacing w:line="256" w:lineRule="auto"/>
              <w:rPr>
                <w:sz w:val="19"/>
                <w:szCs w:val="19"/>
              </w:rPr>
            </w:pPr>
            <w:r w:rsidRPr="000E19AE">
              <w:rPr>
                <w:rFonts w:eastAsia="Times New Roman" w:cs="Arial"/>
                <w:szCs w:val="20"/>
                <w:lang w:eastAsia="en-AU"/>
              </w:rPr>
              <w:t>Paclitaxel 100</w:t>
            </w:r>
            <w:r w:rsidR="0033273A">
              <w:rPr>
                <w:rFonts w:eastAsia="Times New Roman" w:cs="Arial"/>
                <w:szCs w:val="20"/>
                <w:lang w:eastAsia="en-AU"/>
              </w:rPr>
              <w:t> </w:t>
            </w:r>
            <w:r w:rsidRPr="000E19AE">
              <w:rPr>
                <w:rFonts w:eastAsia="Times New Roman" w:cs="Arial"/>
                <w:szCs w:val="20"/>
                <w:lang w:eastAsia="en-AU"/>
              </w:rPr>
              <w:t>mg vial</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r>
      <w:tr w:rsidR="00AA1D35" w:rsidRPr="000E19AE">
        <w:tc>
          <w:tcPr>
            <w:tcW w:w="1118" w:type="pct"/>
            <w:tcBorders>
              <w:top w:val="nil"/>
              <w:left w:val="single" w:sz="4" w:space="0" w:color="auto"/>
              <w:bottom w:val="single" w:sz="4" w:space="0" w:color="auto"/>
              <w:right w:val="single" w:sz="4" w:space="0" w:color="auto"/>
            </w:tcBorders>
          </w:tcPr>
          <w:p w:rsidR="00AA1D35" w:rsidRPr="000E19AE" w:rsidRDefault="00AA1D35">
            <w:pPr>
              <w:pStyle w:val="TableText"/>
              <w:spacing w:line="256" w:lineRule="auto"/>
              <w:rPr>
                <w:sz w:val="19"/>
                <w:szCs w:val="19"/>
              </w:rPr>
            </w:pPr>
            <w:r w:rsidRPr="000E19AE">
              <w:rPr>
                <w:rFonts w:eastAsia="Times New Roman" w:cs="Arial"/>
                <w:szCs w:val="20"/>
                <w:lang w:eastAsia="en-AU"/>
              </w:rPr>
              <w:t>Docetaxel 160</w:t>
            </w:r>
            <w:r w:rsidR="0033273A">
              <w:rPr>
                <w:rFonts w:eastAsia="Times New Roman" w:cs="Arial"/>
                <w:szCs w:val="20"/>
                <w:lang w:eastAsia="en-AU"/>
              </w:rPr>
              <w:t> </w:t>
            </w:r>
            <w:r w:rsidRPr="000E19AE">
              <w:rPr>
                <w:rFonts w:eastAsia="Times New Roman" w:cs="Arial"/>
                <w:szCs w:val="20"/>
                <w:lang w:eastAsia="en-AU"/>
              </w:rPr>
              <w:t>mg vial</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sz w:val="19"/>
                <w:szCs w:val="19"/>
              </w:rPr>
            </w:pPr>
            <w:r w:rsidRPr="000E19AE">
              <w:rPr>
                <w:sz w:val="19"/>
                <w:szCs w:val="19"/>
              </w:rPr>
              <w:t>Copayments</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tcPr>
          <w:p w:rsidR="00AA1D35" w:rsidRPr="000E19AE" w:rsidRDefault="00AA1D35" w:rsidP="005978F1">
            <w:pPr>
              <w:pStyle w:val="TableText"/>
              <w:spacing w:line="256" w:lineRule="auto"/>
              <w:jc w:val="right"/>
              <w:rPr>
                <w:bCs/>
                <w:color w:val="000000"/>
              </w:rPr>
            </w:pPr>
          </w:p>
        </w:tc>
      </w:tr>
      <w:tr w:rsidR="00AA1D35" w:rsidRPr="000E19AE">
        <w:tc>
          <w:tcPr>
            <w:tcW w:w="1118" w:type="pct"/>
            <w:tcBorders>
              <w:top w:val="nil"/>
              <w:left w:val="single" w:sz="4" w:space="0" w:color="auto"/>
              <w:bottom w:val="single" w:sz="4" w:space="0" w:color="auto"/>
              <w:right w:val="single" w:sz="4" w:space="0" w:color="auto"/>
            </w:tcBorders>
          </w:tcPr>
          <w:p w:rsidR="00AA1D35" w:rsidRPr="000E19AE" w:rsidRDefault="00AA1D35">
            <w:pPr>
              <w:pStyle w:val="TableText"/>
              <w:spacing w:line="256" w:lineRule="auto"/>
              <w:rPr>
                <w:sz w:val="19"/>
                <w:szCs w:val="19"/>
              </w:rPr>
            </w:pPr>
            <w:r w:rsidRPr="000E19AE">
              <w:rPr>
                <w:rFonts w:eastAsia="Times New Roman" w:cs="Arial"/>
                <w:szCs w:val="20"/>
                <w:lang w:eastAsia="en-AU"/>
              </w:rPr>
              <w:t>Paclitaxel 100</w:t>
            </w:r>
            <w:r w:rsidR="0033273A">
              <w:rPr>
                <w:rFonts w:eastAsia="Times New Roman" w:cs="Arial"/>
                <w:szCs w:val="20"/>
                <w:lang w:eastAsia="en-AU"/>
              </w:rPr>
              <w:t> </w:t>
            </w:r>
            <w:r w:rsidRPr="000E19AE">
              <w:rPr>
                <w:rFonts w:eastAsia="Times New Roman" w:cs="Arial"/>
                <w:szCs w:val="20"/>
                <w:lang w:eastAsia="en-AU"/>
              </w:rPr>
              <w:t>mg vial</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r>
      <w:tr w:rsidR="00AA1D35" w:rsidRPr="000E19AE">
        <w:trPr>
          <w:trHeight w:val="367"/>
        </w:trPr>
        <w:tc>
          <w:tcPr>
            <w:tcW w:w="1118" w:type="pct"/>
            <w:tcBorders>
              <w:top w:val="nil"/>
              <w:left w:val="single" w:sz="4" w:space="0" w:color="auto"/>
              <w:bottom w:val="single" w:sz="4" w:space="0" w:color="auto"/>
              <w:right w:val="single" w:sz="4" w:space="0" w:color="auto"/>
            </w:tcBorders>
          </w:tcPr>
          <w:p w:rsidR="00AA1D35" w:rsidRPr="000E19AE" w:rsidRDefault="00AA1D35">
            <w:pPr>
              <w:pStyle w:val="TableText"/>
              <w:spacing w:line="256" w:lineRule="auto"/>
              <w:rPr>
                <w:sz w:val="19"/>
                <w:szCs w:val="19"/>
              </w:rPr>
            </w:pPr>
            <w:r w:rsidRPr="000E19AE">
              <w:rPr>
                <w:rFonts w:eastAsia="Times New Roman" w:cs="Arial"/>
                <w:szCs w:val="20"/>
                <w:lang w:eastAsia="en-AU"/>
              </w:rPr>
              <w:t>Docetaxel 160</w:t>
            </w:r>
            <w:r w:rsidR="0033273A">
              <w:rPr>
                <w:rFonts w:eastAsia="Times New Roman" w:cs="Arial"/>
                <w:szCs w:val="20"/>
                <w:lang w:eastAsia="en-AU"/>
              </w:rPr>
              <w:t> </w:t>
            </w:r>
            <w:r w:rsidRPr="000E19AE">
              <w:rPr>
                <w:rFonts w:eastAsia="Times New Roman" w:cs="Arial"/>
                <w:szCs w:val="20"/>
                <w:lang w:eastAsia="en-AU"/>
              </w:rPr>
              <w:t>mg vial</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sz w:val="19"/>
                <w:szCs w:val="19"/>
              </w:rPr>
            </w:pPr>
            <w:r w:rsidRPr="000E19AE">
              <w:rPr>
                <w:sz w:val="19"/>
                <w:szCs w:val="19"/>
              </w:rPr>
              <w:t xml:space="preserve">Cost </w:t>
            </w:r>
            <w:r w:rsidR="00642BDF">
              <w:rPr>
                <w:sz w:val="19"/>
                <w:szCs w:val="19"/>
              </w:rPr>
              <w:t xml:space="preserve">offsets </w:t>
            </w:r>
            <w:r w:rsidRPr="000E19AE">
              <w:rPr>
                <w:sz w:val="19"/>
                <w:szCs w:val="19"/>
              </w:rPr>
              <w:t>to PBS/RPBS less copayments</w:t>
            </w: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rsidP="005978F1">
            <w:pPr>
              <w:pStyle w:val="TableText"/>
              <w:spacing w:line="256" w:lineRule="auto"/>
              <w:jc w:val="right"/>
              <w:rPr>
                <w:bCs/>
                <w:color w:val="000000"/>
              </w:rPr>
            </w:pPr>
          </w:p>
        </w:tc>
        <w:tc>
          <w:tcPr>
            <w:tcW w:w="647" w:type="pct"/>
            <w:tcBorders>
              <w:top w:val="single" w:sz="4" w:space="0" w:color="auto"/>
              <w:left w:val="single" w:sz="4" w:space="0" w:color="auto"/>
              <w:bottom w:val="single" w:sz="4" w:space="0" w:color="auto"/>
              <w:right w:val="single" w:sz="4" w:space="0" w:color="auto"/>
            </w:tcBorders>
          </w:tcPr>
          <w:p w:rsidR="00AA1D35" w:rsidRPr="000E19AE" w:rsidRDefault="00AA1D35" w:rsidP="005978F1">
            <w:pPr>
              <w:pStyle w:val="TableText"/>
              <w:spacing w:line="256" w:lineRule="auto"/>
              <w:jc w:val="right"/>
              <w:rPr>
                <w:bCs/>
                <w:color w:val="000000"/>
              </w:rPr>
            </w:pPr>
          </w:p>
        </w:tc>
      </w:tr>
      <w:tr w:rsidR="00AA1D35" w:rsidRPr="000E19AE">
        <w:tc>
          <w:tcPr>
            <w:tcW w:w="1118" w:type="pct"/>
            <w:tcBorders>
              <w:top w:val="nil"/>
              <w:left w:val="single" w:sz="4" w:space="0" w:color="auto"/>
              <w:bottom w:val="single" w:sz="4" w:space="0" w:color="auto"/>
              <w:right w:val="single" w:sz="4" w:space="0" w:color="auto"/>
            </w:tcBorders>
          </w:tcPr>
          <w:p w:rsidR="00AA1D35" w:rsidRPr="000E19AE" w:rsidRDefault="00AA1D35">
            <w:pPr>
              <w:pStyle w:val="TableText"/>
              <w:spacing w:line="256" w:lineRule="auto"/>
              <w:rPr>
                <w:sz w:val="19"/>
                <w:szCs w:val="19"/>
              </w:rPr>
            </w:pPr>
            <w:r w:rsidRPr="000E19AE">
              <w:rPr>
                <w:rFonts w:eastAsia="Times New Roman" w:cs="Arial"/>
                <w:szCs w:val="20"/>
                <w:lang w:eastAsia="en-AU"/>
              </w:rPr>
              <w:t>Paclitaxel 100</w:t>
            </w:r>
            <w:r w:rsidR="0033273A">
              <w:rPr>
                <w:rFonts w:eastAsia="Times New Roman" w:cs="Arial"/>
                <w:szCs w:val="20"/>
                <w:lang w:eastAsia="en-AU"/>
              </w:rPr>
              <w:t> </w:t>
            </w:r>
            <w:r w:rsidRPr="000E19AE">
              <w:rPr>
                <w:rFonts w:eastAsia="Times New Roman" w:cs="Arial"/>
                <w:szCs w:val="20"/>
                <w:lang w:eastAsia="en-AU"/>
              </w:rPr>
              <w:t>mg vial</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r>
      <w:tr w:rsidR="00AA1D35" w:rsidRPr="000E19AE">
        <w:tc>
          <w:tcPr>
            <w:tcW w:w="1118" w:type="pct"/>
            <w:tcBorders>
              <w:top w:val="nil"/>
              <w:left w:val="single" w:sz="4" w:space="0" w:color="auto"/>
              <w:bottom w:val="single" w:sz="4" w:space="0" w:color="auto"/>
              <w:right w:val="single" w:sz="4" w:space="0" w:color="auto"/>
            </w:tcBorders>
          </w:tcPr>
          <w:p w:rsidR="00AA1D35" w:rsidRPr="000E19AE" w:rsidRDefault="00AA1D35">
            <w:pPr>
              <w:pStyle w:val="TableText"/>
              <w:spacing w:line="256" w:lineRule="auto"/>
              <w:rPr>
                <w:sz w:val="19"/>
                <w:szCs w:val="19"/>
              </w:rPr>
            </w:pPr>
            <w:r w:rsidRPr="000E19AE">
              <w:rPr>
                <w:rFonts w:eastAsia="Times New Roman" w:cs="Arial"/>
                <w:szCs w:val="20"/>
                <w:lang w:eastAsia="en-AU"/>
              </w:rPr>
              <w:t>Docetaxel 160</w:t>
            </w:r>
            <w:r w:rsidR="0033273A">
              <w:rPr>
                <w:rFonts w:eastAsia="Times New Roman" w:cs="Arial"/>
                <w:szCs w:val="20"/>
                <w:lang w:eastAsia="en-AU"/>
              </w:rPr>
              <w:t> </w:t>
            </w:r>
            <w:r w:rsidRPr="000E19AE">
              <w:rPr>
                <w:rFonts w:eastAsia="Times New Roman" w:cs="Arial"/>
                <w:szCs w:val="20"/>
                <w:lang w:eastAsia="en-AU"/>
              </w:rPr>
              <w:t>mg vial</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noProof/>
                <w:color w:val="000000"/>
                <w:szCs w:val="20"/>
                <w:highlight w:val="black"/>
                <w:lang w:eastAsia="en-AU"/>
              </w:rPr>
              <w:t xml:space="preserve">''''''''''''''''''''' </w:t>
            </w:r>
          </w:p>
        </w:tc>
      </w:tr>
      <w:tr w:rsidR="00AA1D35" w:rsidRPr="000E19AE">
        <w:tc>
          <w:tcPr>
            <w:tcW w:w="5000" w:type="pct"/>
            <w:gridSpan w:val="7"/>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b/>
                <w:bCs/>
                <w:color w:val="000000"/>
              </w:rPr>
            </w:pPr>
            <w:r w:rsidRPr="000E19AE">
              <w:rPr>
                <w:b/>
                <w:bCs/>
                <w:color w:val="000000"/>
              </w:rPr>
              <w:t>Net financial implications</w:t>
            </w:r>
          </w:p>
        </w:tc>
      </w:tr>
      <w:tr w:rsidR="00AA1D35" w:rsidRPr="000E19AE">
        <w:tc>
          <w:tcPr>
            <w:tcW w:w="1118" w:type="pct"/>
            <w:tcBorders>
              <w:top w:val="single" w:sz="4" w:space="0" w:color="auto"/>
              <w:left w:val="single" w:sz="4" w:space="0" w:color="auto"/>
              <w:bottom w:val="single" w:sz="4" w:space="0" w:color="auto"/>
              <w:right w:val="single" w:sz="4" w:space="0" w:color="auto"/>
            </w:tcBorders>
            <w:vAlign w:val="center"/>
          </w:tcPr>
          <w:p w:rsidR="00AA1D35" w:rsidRPr="000E19AE" w:rsidRDefault="00AA1D35">
            <w:pPr>
              <w:pStyle w:val="TableText"/>
              <w:spacing w:line="256" w:lineRule="auto"/>
              <w:rPr>
                <w:sz w:val="19"/>
                <w:szCs w:val="19"/>
              </w:rPr>
            </w:pPr>
            <w:r w:rsidRPr="000E19AE">
              <w:rPr>
                <w:sz w:val="19"/>
                <w:szCs w:val="19"/>
              </w:rPr>
              <w:t>Net cost to PBS/RPBS</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b/>
                <w:bCs/>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b/>
                <w:bCs/>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b/>
                <w:bCs/>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b/>
                <w:bCs/>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b/>
                <w:bCs/>
                <w:noProof/>
                <w:color w:val="000000"/>
                <w:szCs w:val="20"/>
                <w:highlight w:val="black"/>
                <w:lang w:eastAsia="en-AU"/>
              </w:rPr>
              <w:t>''''''''''''''''''''''''</w:t>
            </w:r>
          </w:p>
        </w:tc>
        <w:tc>
          <w:tcPr>
            <w:tcW w:w="647" w:type="pct"/>
            <w:tcBorders>
              <w:top w:val="nil"/>
              <w:left w:val="nil"/>
              <w:bottom w:val="single" w:sz="4" w:space="0" w:color="auto"/>
              <w:right w:val="single" w:sz="4" w:space="0" w:color="auto"/>
            </w:tcBorders>
          </w:tcPr>
          <w:p w:rsidR="00AA1D35" w:rsidRPr="001E368B" w:rsidRDefault="001E368B" w:rsidP="005978F1">
            <w:pPr>
              <w:pStyle w:val="TableText"/>
              <w:spacing w:line="256" w:lineRule="auto"/>
              <w:jc w:val="right"/>
              <w:rPr>
                <w:bCs/>
                <w:color w:val="000000"/>
                <w:highlight w:val="black"/>
              </w:rPr>
            </w:pPr>
            <w:r>
              <w:rPr>
                <w:rFonts w:eastAsia="Times New Roman" w:cs="Arial"/>
                <w:b/>
                <w:bCs/>
                <w:noProof/>
                <w:color w:val="000000"/>
                <w:szCs w:val="20"/>
                <w:highlight w:val="black"/>
                <w:lang w:eastAsia="en-AU"/>
              </w:rPr>
              <w:t>''''''''''''''''''''''</w:t>
            </w:r>
          </w:p>
        </w:tc>
      </w:tr>
    </w:tbl>
    <w:p w:rsidR="00AA1D35" w:rsidRPr="000E19AE" w:rsidRDefault="00B51E8D" w:rsidP="00AA1D35">
      <w:pPr>
        <w:pStyle w:val="TableFooter"/>
      </w:pPr>
      <w:r w:rsidRPr="000E19AE">
        <w:t>Note:</w:t>
      </w:r>
      <w:r w:rsidRPr="000E19AE">
        <w:rPr>
          <w:vertAlign w:val="superscript"/>
        </w:rPr>
        <w:t xml:space="preserve"> </w:t>
      </w:r>
      <w:r w:rsidR="00AA1D35" w:rsidRPr="000E19AE">
        <w:rPr>
          <w:vertAlign w:val="superscript"/>
        </w:rPr>
        <w:t>a</w:t>
      </w:r>
      <w:r w:rsidR="00AA1D35" w:rsidRPr="000E19AE">
        <w:t xml:space="preserve"> Assuming </w:t>
      </w:r>
      <w:r w:rsidR="001E368B">
        <w:rPr>
          <w:noProof/>
          <w:color w:val="000000"/>
          <w:highlight w:val="black"/>
        </w:rPr>
        <w:t>''''''''''</w:t>
      </w:r>
      <w:r w:rsidR="00AA1D35" w:rsidRPr="000E19AE">
        <w:t xml:space="preserve"> scripts in Year 1 and </w:t>
      </w:r>
      <w:r w:rsidR="001E368B">
        <w:rPr>
          <w:noProof/>
          <w:color w:val="000000"/>
          <w:highlight w:val="black"/>
        </w:rPr>
        <w:t>'''''''''''</w:t>
      </w:r>
      <w:r w:rsidR="00AA1D35" w:rsidRPr="000E19AE">
        <w:t xml:space="preserve"> in Year 2 (average </w:t>
      </w:r>
      <w:r w:rsidR="001E368B">
        <w:rPr>
          <w:noProof/>
          <w:color w:val="000000"/>
          <w:highlight w:val="black"/>
        </w:rPr>
        <w:t>'''''''''''</w:t>
      </w:r>
      <w:r w:rsidR="00AA1D35" w:rsidRPr="000E19AE">
        <w:t xml:space="preserve"> per year</w:t>
      </w:r>
      <w:r w:rsidRPr="000E19AE">
        <w:t>)</w:t>
      </w:r>
      <w:r w:rsidR="00AA1D35" w:rsidRPr="000E19AE">
        <w:t xml:space="preserve"> as estimated by the submission.</w:t>
      </w:r>
    </w:p>
    <w:p w:rsidR="00AA1D35" w:rsidRPr="000E19AE" w:rsidRDefault="00AA1D35" w:rsidP="00AA1D35">
      <w:pPr>
        <w:pStyle w:val="TableFooter"/>
      </w:pPr>
      <w:r w:rsidRPr="000E19AE">
        <w:t>Source: Table 4.1.1 to Table 4.5.1, pp 66-76 of the submission/Excel wor</w:t>
      </w:r>
      <w:r w:rsidR="00E65207">
        <w:t>kbook.</w:t>
      </w:r>
    </w:p>
    <w:p w:rsidR="008478CE" w:rsidRDefault="008478CE" w:rsidP="008478CE">
      <w:pPr>
        <w:pStyle w:val="ListParagraph"/>
        <w:spacing w:before="0" w:after="120"/>
        <w:jc w:val="both"/>
        <w:rPr>
          <w:color w:val="000000" w:themeColor="text1"/>
        </w:rPr>
      </w:pPr>
      <w:r w:rsidRPr="008478CE">
        <w:rPr>
          <w:rFonts w:ascii="Calibri" w:eastAsia="Times New Roman" w:hAnsi="Calibri" w:cs="Times New Roman"/>
          <w:szCs w:val="24"/>
          <w:lang w:eastAsia="en-AU"/>
        </w:rPr>
        <w:t>The redacted table shows that at year 5, the estimated number of patients was less than 10,000 per year and the net cost to the PBS would be $</w:t>
      </w:r>
      <w:r>
        <w:rPr>
          <w:rFonts w:ascii="Calibri" w:eastAsia="Times New Roman" w:hAnsi="Calibri" w:cs="Times New Roman"/>
          <w:szCs w:val="24"/>
          <w:lang w:eastAsia="en-AU"/>
        </w:rPr>
        <w:t>1</w:t>
      </w:r>
      <w:r w:rsidRPr="008478CE">
        <w:rPr>
          <w:rFonts w:ascii="Calibri" w:eastAsia="Times New Roman" w:hAnsi="Calibri" w:cs="Times New Roman"/>
          <w:szCs w:val="24"/>
          <w:lang w:eastAsia="en-AU"/>
        </w:rPr>
        <w:t>0 - $</w:t>
      </w:r>
      <w:r>
        <w:rPr>
          <w:rFonts w:ascii="Calibri" w:eastAsia="Times New Roman" w:hAnsi="Calibri" w:cs="Times New Roman"/>
          <w:szCs w:val="24"/>
          <w:lang w:eastAsia="en-AU"/>
        </w:rPr>
        <w:t>2</w:t>
      </w:r>
      <w:r w:rsidRPr="008478CE">
        <w:rPr>
          <w:rFonts w:ascii="Calibri" w:eastAsia="Times New Roman" w:hAnsi="Calibri" w:cs="Times New Roman"/>
          <w:szCs w:val="24"/>
          <w:lang w:eastAsia="en-AU"/>
        </w:rPr>
        <w:t>0 million per year.</w:t>
      </w:r>
    </w:p>
    <w:p w:rsidR="009C64F5" w:rsidRPr="000E19AE" w:rsidRDefault="009C64F5" w:rsidP="00C47FDA">
      <w:pPr>
        <w:pStyle w:val="ListParagraph"/>
        <w:numPr>
          <w:ilvl w:val="1"/>
          <w:numId w:val="19"/>
        </w:numPr>
        <w:spacing w:before="0" w:after="120"/>
        <w:jc w:val="both"/>
        <w:rPr>
          <w:color w:val="000000" w:themeColor="text1"/>
        </w:rPr>
      </w:pPr>
      <w:r w:rsidRPr="000E19AE">
        <w:rPr>
          <w:color w:val="000000" w:themeColor="text1"/>
        </w:rPr>
        <w:t xml:space="preserve">The main sources of uncertainty are related to the submission’s approach to estimating eligible patients and the estimated </w:t>
      </w:r>
      <w:r w:rsidR="00261043" w:rsidRPr="000E19AE">
        <w:rPr>
          <w:color w:val="000000" w:themeColor="text1"/>
        </w:rPr>
        <w:t>treatment exposure</w:t>
      </w:r>
      <w:r w:rsidRPr="000E19AE">
        <w:rPr>
          <w:color w:val="000000" w:themeColor="text1"/>
        </w:rPr>
        <w:t>:</w:t>
      </w:r>
    </w:p>
    <w:p w:rsidR="009C64F5" w:rsidRPr="000E19AE" w:rsidRDefault="009C64F5" w:rsidP="0077195B">
      <w:pPr>
        <w:pStyle w:val="ListParagraph"/>
        <w:numPr>
          <w:ilvl w:val="3"/>
          <w:numId w:val="13"/>
        </w:numPr>
        <w:ind w:hanging="371"/>
        <w:jc w:val="both"/>
        <w:rPr>
          <w:color w:val="000000" w:themeColor="text1"/>
        </w:rPr>
      </w:pPr>
      <w:r w:rsidRPr="000E19AE">
        <w:rPr>
          <w:color w:val="000000" w:themeColor="text1"/>
        </w:rPr>
        <w:t xml:space="preserve">The ONCOSight model estimated that 50% of LA </w:t>
      </w:r>
      <w:r w:rsidR="006E2958" w:rsidRPr="000E19AE">
        <w:rPr>
          <w:color w:val="000000" w:themeColor="text1"/>
        </w:rPr>
        <w:t>or</w:t>
      </w:r>
      <w:r w:rsidRPr="000E19AE">
        <w:rPr>
          <w:color w:val="000000" w:themeColor="text1"/>
        </w:rPr>
        <w:t xml:space="preserve"> mUC patients were being treated with </w:t>
      </w:r>
      <w:r w:rsidR="00F21E16">
        <w:rPr>
          <w:color w:val="000000" w:themeColor="text1"/>
        </w:rPr>
        <w:t>second-</w:t>
      </w:r>
      <w:r w:rsidRPr="000E19AE">
        <w:rPr>
          <w:color w:val="000000" w:themeColor="text1"/>
        </w:rPr>
        <w:t>line therapies. The submission proposed that once more tolerable therapies</w:t>
      </w:r>
      <w:r w:rsidR="000B72D9" w:rsidRPr="000E19AE">
        <w:rPr>
          <w:color w:val="000000" w:themeColor="text1"/>
        </w:rPr>
        <w:t>,</w:t>
      </w:r>
      <w:r w:rsidR="000B72D9">
        <w:rPr>
          <w:color w:val="000000" w:themeColor="text1"/>
        </w:rPr>
        <w:t xml:space="preserve"> such as pembrolizumab, </w:t>
      </w:r>
      <w:r w:rsidRPr="000E19AE">
        <w:rPr>
          <w:color w:val="000000" w:themeColor="text1"/>
        </w:rPr>
        <w:t>become available</w:t>
      </w:r>
      <w:r w:rsidR="000B72D9">
        <w:rPr>
          <w:color w:val="000000" w:themeColor="text1"/>
        </w:rPr>
        <w:t xml:space="preserve"> </w:t>
      </w:r>
      <w:r w:rsidRPr="000E19AE">
        <w:rPr>
          <w:color w:val="000000" w:themeColor="text1"/>
        </w:rPr>
        <w:t>this w</w:t>
      </w:r>
      <w:r w:rsidR="005978F1" w:rsidRPr="000E19AE">
        <w:rPr>
          <w:color w:val="000000" w:themeColor="text1"/>
        </w:rPr>
        <w:t>ould</w:t>
      </w:r>
      <w:r w:rsidRPr="000E19AE">
        <w:rPr>
          <w:color w:val="000000" w:themeColor="text1"/>
        </w:rPr>
        <w:t xml:space="preserve"> increase the treatment rate to </w:t>
      </w:r>
      <w:r w:rsidR="001E368B">
        <w:rPr>
          <w:noProof/>
          <w:color w:val="000000"/>
          <w:highlight w:val="black"/>
        </w:rPr>
        <w:t>'''''</w:t>
      </w:r>
      <w:r w:rsidRPr="000E19AE">
        <w:rPr>
          <w:color w:val="000000" w:themeColor="text1"/>
        </w:rPr>
        <w:t>%</w:t>
      </w:r>
      <w:r w:rsidR="00717D22">
        <w:rPr>
          <w:color w:val="000000" w:themeColor="text1"/>
        </w:rPr>
        <w:t xml:space="preserve">. The </w:t>
      </w:r>
      <w:r w:rsidR="00255FA7">
        <w:rPr>
          <w:color w:val="000000" w:themeColor="text1"/>
        </w:rPr>
        <w:t>pre-PBAC response (p3) stated this is justified given the magnitude of benefit pembrolizumab offers versus current chemotherapy treatments in terms of superior efficacy, superior safety and improved quality of life</w:t>
      </w:r>
      <w:r w:rsidR="0012465E">
        <w:rPr>
          <w:color w:val="000000" w:themeColor="text1"/>
        </w:rPr>
        <w:t>.</w:t>
      </w:r>
    </w:p>
    <w:p w:rsidR="00D9617E" w:rsidRPr="000E19AE" w:rsidRDefault="00D9617E" w:rsidP="00C47FDA">
      <w:pPr>
        <w:pStyle w:val="ListParagraph"/>
        <w:numPr>
          <w:ilvl w:val="3"/>
          <w:numId w:val="13"/>
        </w:numPr>
        <w:ind w:hanging="371"/>
        <w:jc w:val="both"/>
        <w:rPr>
          <w:color w:val="000000" w:themeColor="text1"/>
        </w:rPr>
      </w:pPr>
      <w:r w:rsidRPr="000E19AE">
        <w:rPr>
          <w:color w:val="000000" w:themeColor="text1"/>
        </w:rPr>
        <w:t xml:space="preserve">The submission </w:t>
      </w:r>
      <w:r w:rsidR="009E4EE7">
        <w:rPr>
          <w:color w:val="000000" w:themeColor="text1"/>
        </w:rPr>
        <w:t>did not consider</w:t>
      </w:r>
      <w:r w:rsidRPr="000E19AE">
        <w:rPr>
          <w:color w:val="000000" w:themeColor="text1"/>
        </w:rPr>
        <w:t xml:space="preserve"> that a proportion of patients would receive an additional line of treatment after failure of pembrolizumab (displacement of SOC therapies), which would increase the net costs to government. Based on the ONCOSight model, 35% of metastatic patients received further lines of treatment beyond failure (i.e. displacement of SOC after failure of pembrolizumab). </w:t>
      </w:r>
      <w:r w:rsidR="002569CF">
        <w:rPr>
          <w:color w:val="000000" w:themeColor="text1"/>
        </w:rPr>
        <w:t>The PBAC considered that the number of patients would be small, and noted that a</w:t>
      </w:r>
      <w:r w:rsidR="000A4E76" w:rsidRPr="000E19AE">
        <w:rPr>
          <w:color w:val="000000" w:themeColor="text1"/>
        </w:rPr>
        <w:t>llowing for the impact of displacement had a</w:t>
      </w:r>
      <w:r w:rsidRPr="000E19AE">
        <w:rPr>
          <w:color w:val="000000" w:themeColor="text1"/>
        </w:rPr>
        <w:t xml:space="preserve"> modest financial impact</w:t>
      </w:r>
      <w:r w:rsidR="000A4E76" w:rsidRPr="000E19AE">
        <w:rPr>
          <w:color w:val="000000" w:themeColor="text1"/>
        </w:rPr>
        <w:t xml:space="preserve"> due to the low cost of SOC relative to </w:t>
      </w:r>
      <w:r w:rsidR="000A4E76" w:rsidRPr="00F25414">
        <w:rPr>
          <w:color w:val="000000" w:themeColor="text1"/>
        </w:rPr>
        <w:t>pembrolizumab.</w:t>
      </w:r>
    </w:p>
    <w:p w:rsidR="009C64F5" w:rsidRPr="000E19AE" w:rsidRDefault="009C64F5" w:rsidP="00C47FDA">
      <w:pPr>
        <w:pStyle w:val="ListParagraph"/>
        <w:numPr>
          <w:ilvl w:val="3"/>
          <w:numId w:val="13"/>
        </w:numPr>
        <w:ind w:hanging="371"/>
        <w:jc w:val="both"/>
        <w:rPr>
          <w:color w:val="000000" w:themeColor="text1"/>
        </w:rPr>
      </w:pPr>
      <w:r w:rsidRPr="000E19AE">
        <w:rPr>
          <w:color w:val="000000" w:themeColor="text1"/>
        </w:rPr>
        <w:t>The submission used a mortality approach to estimate the proportion of eligible patients, rather than the ONCOSight model. Measuring the impact of this second source o</w:t>
      </w:r>
      <w:r w:rsidR="00D9617E" w:rsidRPr="000E19AE">
        <w:rPr>
          <w:color w:val="000000" w:themeColor="text1"/>
        </w:rPr>
        <w:t>f patient estimates o</w:t>
      </w:r>
      <w:r w:rsidRPr="000E19AE">
        <w:rPr>
          <w:color w:val="000000" w:themeColor="text1"/>
        </w:rPr>
        <w:t xml:space="preserve">n </w:t>
      </w:r>
      <w:r w:rsidR="00D9617E" w:rsidRPr="000E19AE">
        <w:rPr>
          <w:color w:val="000000" w:themeColor="text1"/>
        </w:rPr>
        <w:t xml:space="preserve">the </w:t>
      </w:r>
      <w:r w:rsidRPr="000E19AE">
        <w:rPr>
          <w:color w:val="000000" w:themeColor="text1"/>
        </w:rPr>
        <w:t>financial estimates would have been informative, and the impact on the financial estimates is unknown.</w:t>
      </w:r>
    </w:p>
    <w:p w:rsidR="00655CFD" w:rsidRPr="000E19AE" w:rsidRDefault="00655CFD" w:rsidP="00C47FDA">
      <w:pPr>
        <w:pStyle w:val="ListParagraph"/>
        <w:numPr>
          <w:ilvl w:val="3"/>
          <w:numId w:val="13"/>
        </w:numPr>
        <w:ind w:hanging="371"/>
        <w:jc w:val="both"/>
        <w:rPr>
          <w:color w:val="000000" w:themeColor="text1"/>
        </w:rPr>
      </w:pPr>
      <w:r w:rsidRPr="000E19AE">
        <w:rPr>
          <w:color w:val="000000" w:themeColor="text1"/>
        </w:rPr>
        <w:t>The expected number of treatment cycles per patient was based on time in the progression</w:t>
      </w:r>
      <w:r w:rsidR="004576EE">
        <w:rPr>
          <w:color w:val="000000" w:themeColor="text1"/>
        </w:rPr>
        <w:t>-</w:t>
      </w:r>
      <w:r w:rsidRPr="000E19AE">
        <w:rPr>
          <w:color w:val="000000" w:themeColor="text1"/>
        </w:rPr>
        <w:t xml:space="preserve">free health states, estimated from the extrapolated PFS curves (every 3 weeks), up to </w:t>
      </w:r>
      <w:r w:rsidR="00D9617E" w:rsidRPr="000E19AE">
        <w:rPr>
          <w:color w:val="000000" w:themeColor="text1"/>
        </w:rPr>
        <w:t xml:space="preserve">a </w:t>
      </w:r>
      <w:r w:rsidRPr="000E19AE">
        <w:rPr>
          <w:color w:val="000000" w:themeColor="text1"/>
        </w:rPr>
        <w:t xml:space="preserve">maximum treatment duration of 35 cycles for pembrolizumab, and ten treatment cycles for </w:t>
      </w:r>
      <w:r w:rsidR="005978F1" w:rsidRPr="000E19AE">
        <w:rPr>
          <w:color w:val="000000" w:themeColor="text1"/>
        </w:rPr>
        <w:t>the comparator arm (30 weeks).</w:t>
      </w:r>
      <w:r w:rsidR="00E116F6" w:rsidRPr="000E19AE">
        <w:rPr>
          <w:color w:val="000000" w:themeColor="text1"/>
        </w:rPr>
        <w:t xml:space="preserve"> </w:t>
      </w:r>
      <w:r w:rsidRPr="000E19AE">
        <w:rPr>
          <w:color w:val="000000" w:themeColor="text1"/>
        </w:rPr>
        <w:t>The model estimated that</w:t>
      </w:r>
      <w:r w:rsidR="00E116F6" w:rsidRPr="000E19AE">
        <w:rPr>
          <w:color w:val="000000" w:themeColor="text1"/>
        </w:rPr>
        <w:t>,</w:t>
      </w:r>
      <w:r w:rsidRPr="000E19AE">
        <w:rPr>
          <w:color w:val="000000" w:themeColor="text1"/>
        </w:rPr>
        <w:t xml:space="preserve"> on average</w:t>
      </w:r>
      <w:r w:rsidR="00E116F6" w:rsidRPr="000E19AE">
        <w:rPr>
          <w:color w:val="000000" w:themeColor="text1"/>
        </w:rPr>
        <w:t>,</w:t>
      </w:r>
      <w:r w:rsidRPr="000E19AE">
        <w:rPr>
          <w:color w:val="000000" w:themeColor="text1"/>
        </w:rPr>
        <w:t xml:space="preserve"> </w:t>
      </w:r>
      <w:r w:rsidR="001E368B">
        <w:rPr>
          <w:noProof/>
          <w:color w:val="000000"/>
          <w:highlight w:val="black"/>
        </w:rPr>
        <w:t>'''''''''</w:t>
      </w:r>
      <w:r w:rsidRPr="000E19AE">
        <w:rPr>
          <w:color w:val="000000" w:themeColor="text1"/>
        </w:rPr>
        <w:t xml:space="preserve"> cycles are administ</w:t>
      </w:r>
      <w:r w:rsidR="00BA2E04" w:rsidRPr="000E19AE">
        <w:rPr>
          <w:color w:val="000000" w:themeColor="text1"/>
        </w:rPr>
        <w:t>ered to pembrolizumab patients based on the extrapolated PFS. These estimates are thus subject to the same uncertainties identified in relation to the economic analysis regarding the point from which the data were extrapolated and the parametric form assumed.</w:t>
      </w:r>
    </w:p>
    <w:p w:rsidR="009C64F5" w:rsidRPr="0077195B" w:rsidRDefault="00BF64BC" w:rsidP="0077195B">
      <w:pPr>
        <w:pStyle w:val="ListParagraph"/>
        <w:numPr>
          <w:ilvl w:val="3"/>
          <w:numId w:val="13"/>
        </w:numPr>
        <w:ind w:hanging="371"/>
        <w:jc w:val="both"/>
        <w:rPr>
          <w:color w:val="000000" w:themeColor="text1"/>
        </w:rPr>
      </w:pPr>
      <w:r>
        <w:rPr>
          <w:color w:val="000000" w:themeColor="text1"/>
        </w:rPr>
        <w:t>The estimate</w:t>
      </w:r>
      <w:r w:rsidR="002569CF">
        <w:rPr>
          <w:color w:val="000000" w:themeColor="text1"/>
        </w:rPr>
        <w:t>s</w:t>
      </w:r>
      <w:r>
        <w:rPr>
          <w:color w:val="000000" w:themeColor="text1"/>
        </w:rPr>
        <w:t xml:space="preserve"> used</w:t>
      </w:r>
      <w:r w:rsidR="00655CFD" w:rsidRPr="000E19AE">
        <w:rPr>
          <w:color w:val="000000" w:themeColor="text1"/>
        </w:rPr>
        <w:t xml:space="preserve"> PFS to measure </w:t>
      </w:r>
      <w:r w:rsidR="00847DF5" w:rsidRPr="00B93493">
        <w:rPr>
          <w:color w:val="000000" w:themeColor="text1"/>
        </w:rPr>
        <w:t>treatment exposure</w:t>
      </w:r>
      <w:r>
        <w:rPr>
          <w:color w:val="000000" w:themeColor="text1"/>
        </w:rPr>
        <w:t>, which</w:t>
      </w:r>
      <w:r w:rsidR="00847DF5" w:rsidRPr="00B93493">
        <w:rPr>
          <w:color w:val="000000" w:themeColor="text1"/>
        </w:rPr>
        <w:t xml:space="preserve"> </w:t>
      </w:r>
      <w:r w:rsidR="00655CFD" w:rsidRPr="00B93493">
        <w:rPr>
          <w:color w:val="000000" w:themeColor="text1"/>
        </w:rPr>
        <w:t xml:space="preserve">is consistent with the proposed PBS restriction. However, </w:t>
      </w:r>
      <w:r w:rsidR="00D9617E" w:rsidRPr="00B93493">
        <w:rPr>
          <w:color w:val="000000" w:themeColor="text1"/>
        </w:rPr>
        <w:t>patients</w:t>
      </w:r>
      <w:r>
        <w:rPr>
          <w:color w:val="000000" w:themeColor="text1"/>
        </w:rPr>
        <w:t xml:space="preserve"> in</w:t>
      </w:r>
      <w:r w:rsidR="00D9617E" w:rsidRPr="00B93493">
        <w:rPr>
          <w:color w:val="000000" w:themeColor="text1"/>
        </w:rPr>
        <w:t xml:space="preserve"> </w:t>
      </w:r>
      <w:r w:rsidRPr="00B93493">
        <w:rPr>
          <w:color w:val="000000" w:themeColor="text1"/>
        </w:rPr>
        <w:t>KN045</w:t>
      </w:r>
      <w:r>
        <w:rPr>
          <w:color w:val="000000" w:themeColor="text1"/>
        </w:rPr>
        <w:t xml:space="preserve"> </w:t>
      </w:r>
      <w:r w:rsidR="00D9617E" w:rsidRPr="00B93493">
        <w:rPr>
          <w:color w:val="000000" w:themeColor="text1"/>
        </w:rPr>
        <w:t xml:space="preserve">were permitted to continue treatment beyond progression resulting in </w:t>
      </w:r>
      <w:r w:rsidR="00294AE5" w:rsidRPr="00B93493">
        <w:rPr>
          <w:color w:val="000000" w:themeColor="text1"/>
        </w:rPr>
        <w:t>ToT</w:t>
      </w:r>
      <w:r w:rsidR="00E767B8" w:rsidRPr="00B93493">
        <w:rPr>
          <w:color w:val="000000" w:themeColor="text1"/>
        </w:rPr>
        <w:t xml:space="preserve"> </w:t>
      </w:r>
      <w:r w:rsidR="00D9617E" w:rsidRPr="00B93493">
        <w:rPr>
          <w:color w:val="000000" w:themeColor="text1"/>
        </w:rPr>
        <w:t>that exceeded PFS (see Figure 3)</w:t>
      </w:r>
      <w:r w:rsidR="00E767B8" w:rsidRPr="00B93493">
        <w:rPr>
          <w:color w:val="000000" w:themeColor="text1"/>
        </w:rPr>
        <w:t>.</w:t>
      </w:r>
      <w:r w:rsidR="00655CFD" w:rsidRPr="00B93493">
        <w:rPr>
          <w:color w:val="000000" w:themeColor="text1"/>
        </w:rPr>
        <w:t xml:space="preserve"> </w:t>
      </w:r>
      <w:r w:rsidR="008E245C" w:rsidRPr="00B93493">
        <w:rPr>
          <w:color w:val="000000" w:themeColor="text1"/>
        </w:rPr>
        <w:t xml:space="preserve">Use of ToT </w:t>
      </w:r>
      <w:r w:rsidR="00D9617E" w:rsidRPr="00B93493">
        <w:rPr>
          <w:color w:val="000000" w:themeColor="text1"/>
        </w:rPr>
        <w:t>instead of PFS to</w:t>
      </w:r>
      <w:r w:rsidR="008E245C" w:rsidRPr="00B93493">
        <w:rPr>
          <w:color w:val="000000" w:themeColor="text1"/>
        </w:rPr>
        <w:t xml:space="preserve"> </w:t>
      </w:r>
      <w:r w:rsidR="00D9617E" w:rsidRPr="00B93493">
        <w:rPr>
          <w:color w:val="000000" w:themeColor="text1"/>
        </w:rPr>
        <w:t xml:space="preserve">estimate </w:t>
      </w:r>
      <w:r w:rsidR="008E245C" w:rsidRPr="00B93493">
        <w:rPr>
          <w:color w:val="000000" w:themeColor="text1"/>
        </w:rPr>
        <w:t xml:space="preserve">treatment </w:t>
      </w:r>
      <w:r w:rsidR="00D9617E" w:rsidRPr="00B93493">
        <w:rPr>
          <w:color w:val="000000" w:themeColor="text1"/>
        </w:rPr>
        <w:t xml:space="preserve">exposure </w:t>
      </w:r>
      <w:r w:rsidR="008E245C" w:rsidRPr="00B93493">
        <w:rPr>
          <w:color w:val="000000" w:themeColor="text1"/>
        </w:rPr>
        <w:t>resulted in</w:t>
      </w:r>
      <w:r w:rsidR="00BA2E04" w:rsidRPr="00B93493">
        <w:rPr>
          <w:color w:val="000000" w:themeColor="text1"/>
        </w:rPr>
        <w:t xml:space="preserve"> a</w:t>
      </w:r>
      <w:r w:rsidR="008E245C" w:rsidRPr="00B93493">
        <w:rPr>
          <w:color w:val="000000" w:themeColor="text1"/>
        </w:rPr>
        <w:t xml:space="preserve"> revised cost to </w:t>
      </w:r>
      <w:r w:rsidR="00BA2E04" w:rsidRPr="00B93493">
        <w:rPr>
          <w:color w:val="000000" w:themeColor="text1"/>
        </w:rPr>
        <w:t xml:space="preserve">the </w:t>
      </w:r>
      <w:r w:rsidR="00E116F6" w:rsidRPr="00B93493">
        <w:rPr>
          <w:color w:val="000000" w:themeColor="text1"/>
        </w:rPr>
        <w:t>PBS</w:t>
      </w:r>
      <w:r w:rsidR="00415438" w:rsidRPr="00B93493">
        <w:rPr>
          <w:color w:val="000000" w:themeColor="text1"/>
        </w:rPr>
        <w:t>/RPBS</w:t>
      </w:r>
      <w:r w:rsidR="00E116F6" w:rsidRPr="00B93493">
        <w:rPr>
          <w:color w:val="000000" w:themeColor="text1"/>
        </w:rPr>
        <w:t xml:space="preserve"> of $</w:t>
      </w:r>
      <w:r w:rsidR="00CC6509">
        <w:rPr>
          <w:color w:val="000000" w:themeColor="text1"/>
        </w:rPr>
        <w:t>60- $100 million</w:t>
      </w:r>
      <w:r w:rsidR="00CC6509" w:rsidRPr="00CC6509" w:rsidDel="00CC6509">
        <w:rPr>
          <w:color w:val="000000" w:themeColor="text1"/>
        </w:rPr>
        <w:t xml:space="preserve"> </w:t>
      </w:r>
      <w:r w:rsidR="00E116F6" w:rsidRPr="00B93493">
        <w:rPr>
          <w:color w:val="000000" w:themeColor="text1"/>
        </w:rPr>
        <w:t>over the first six years.</w:t>
      </w:r>
      <w:r w:rsidR="003E6605" w:rsidRPr="00B93493">
        <w:rPr>
          <w:color w:val="000000" w:themeColor="text1"/>
        </w:rPr>
        <w:t xml:space="preserve"> </w:t>
      </w:r>
      <w:r w:rsidR="002B6892" w:rsidRPr="0077195B">
        <w:rPr>
          <w:color w:val="000000" w:themeColor="text1"/>
        </w:rPr>
        <w:t xml:space="preserve">The PBAC </w:t>
      </w:r>
      <w:r w:rsidR="00FE685C" w:rsidRPr="0077195B">
        <w:rPr>
          <w:color w:val="000000" w:themeColor="text1"/>
        </w:rPr>
        <w:t xml:space="preserve">considered that for the same reasons as outlined in paragraph </w:t>
      </w:r>
      <w:r w:rsidR="00C76FA5" w:rsidRPr="00616B59">
        <w:rPr>
          <w:color w:val="000000" w:themeColor="text1"/>
        </w:rPr>
        <w:t>6.41</w:t>
      </w:r>
      <w:r w:rsidR="00FE685C" w:rsidRPr="0077195B">
        <w:rPr>
          <w:color w:val="000000" w:themeColor="text1"/>
        </w:rPr>
        <w:t>, ToT would</w:t>
      </w:r>
      <w:r w:rsidR="0012465E">
        <w:rPr>
          <w:color w:val="000000" w:themeColor="text1"/>
        </w:rPr>
        <w:t xml:space="preserve"> be a more appropriate measure.</w:t>
      </w:r>
    </w:p>
    <w:p w:rsidR="001763E4" w:rsidRPr="008D6F0B" w:rsidRDefault="001763E4" w:rsidP="0077195B">
      <w:pPr>
        <w:pStyle w:val="ListParagraph"/>
        <w:numPr>
          <w:ilvl w:val="3"/>
          <w:numId w:val="13"/>
        </w:numPr>
        <w:ind w:hanging="371"/>
        <w:jc w:val="both"/>
        <w:rPr>
          <w:color w:val="000000" w:themeColor="text1"/>
        </w:rPr>
      </w:pPr>
      <w:r w:rsidRPr="000E19AE">
        <w:rPr>
          <w:color w:val="000000" w:themeColor="text1"/>
        </w:rPr>
        <w:t>KN045 permitted patients to undergo a “second course” of treatment if they experience progression after an initial CR, or after having a minimum of SD at the end of the 35 cycle</w:t>
      </w:r>
      <w:r w:rsidR="000A348E">
        <w:rPr>
          <w:color w:val="000000" w:themeColor="text1"/>
        </w:rPr>
        <w:t>s</w:t>
      </w:r>
      <w:r w:rsidRPr="000E19AE">
        <w:rPr>
          <w:color w:val="000000" w:themeColor="text1"/>
        </w:rPr>
        <w:t>. There is the potential for such use to enter clinical practice, representing a risk for use beyond the proposed PBS restriction.</w:t>
      </w:r>
    </w:p>
    <w:p w:rsidR="000B72D9" w:rsidRPr="00B93493" w:rsidRDefault="000B72D9" w:rsidP="0077195B">
      <w:pPr>
        <w:pStyle w:val="ListParagraph"/>
        <w:numPr>
          <w:ilvl w:val="1"/>
          <w:numId w:val="19"/>
        </w:numPr>
        <w:spacing w:before="0" w:after="120"/>
        <w:jc w:val="both"/>
        <w:rPr>
          <w:color w:val="000000" w:themeColor="text1"/>
        </w:rPr>
      </w:pPr>
      <w:r>
        <w:rPr>
          <w:color w:val="000000" w:themeColor="text1"/>
        </w:rPr>
        <w:t xml:space="preserve">The PBAC considered </w:t>
      </w:r>
      <w:r w:rsidR="001763E4">
        <w:rPr>
          <w:color w:val="000000" w:themeColor="text1"/>
        </w:rPr>
        <w:t>that as a result of these factors, the estimates provided by the su</w:t>
      </w:r>
      <w:r w:rsidR="00E44846">
        <w:rPr>
          <w:color w:val="000000" w:themeColor="text1"/>
        </w:rPr>
        <w:t>bmission were highly uncertain.</w:t>
      </w:r>
    </w:p>
    <w:p w:rsidR="00AA1D35" w:rsidRPr="00E44846" w:rsidRDefault="00AA1D35" w:rsidP="00AA1D35">
      <w:pPr>
        <w:pStyle w:val="Heading2"/>
      </w:pPr>
      <w:bookmarkStart w:id="31" w:name="_Toc492274929"/>
      <w:r w:rsidRPr="00E44846">
        <w:t>Quality use of medicines</w:t>
      </w:r>
      <w:bookmarkEnd w:id="31"/>
    </w:p>
    <w:p w:rsidR="00AA1D35" w:rsidRDefault="00AA1D35" w:rsidP="00C47FDA">
      <w:pPr>
        <w:pStyle w:val="ListParagraph"/>
        <w:numPr>
          <w:ilvl w:val="1"/>
          <w:numId w:val="19"/>
        </w:numPr>
        <w:spacing w:before="0" w:after="120"/>
        <w:jc w:val="both"/>
        <w:rPr>
          <w:color w:val="000000" w:themeColor="text1"/>
        </w:rPr>
      </w:pPr>
      <w:r w:rsidRPr="000E19AE">
        <w:rPr>
          <w:color w:val="000000" w:themeColor="text1"/>
        </w:rPr>
        <w:t>Pembrolizumab belongs to a new immunotherapy class</w:t>
      </w:r>
      <w:r w:rsidR="00750DFE" w:rsidRPr="000E19AE">
        <w:rPr>
          <w:color w:val="000000" w:themeColor="text1"/>
        </w:rPr>
        <w:t>,</w:t>
      </w:r>
      <w:r w:rsidRPr="000E19AE">
        <w:rPr>
          <w:color w:val="000000" w:themeColor="text1"/>
        </w:rPr>
        <w:t xml:space="preserve"> so the submission </w:t>
      </w:r>
      <w:r w:rsidR="00B51E8D" w:rsidRPr="000E19AE">
        <w:rPr>
          <w:color w:val="000000" w:themeColor="text1"/>
        </w:rPr>
        <w:t xml:space="preserve">proposed the provision of </w:t>
      </w:r>
      <w:r w:rsidRPr="000E19AE">
        <w:rPr>
          <w:color w:val="000000" w:themeColor="text1"/>
        </w:rPr>
        <w:t>professional development and resources to ensure appropriate use in clinical practice.</w:t>
      </w:r>
      <w:r w:rsidR="00B51E8D" w:rsidRPr="000E19AE">
        <w:rPr>
          <w:color w:val="000000" w:themeColor="text1"/>
        </w:rPr>
        <w:t xml:space="preserve"> These were not provided </w:t>
      </w:r>
      <w:r w:rsidR="00750DFE" w:rsidRPr="000E19AE">
        <w:rPr>
          <w:color w:val="000000" w:themeColor="text1"/>
        </w:rPr>
        <w:t>with</w:t>
      </w:r>
      <w:r w:rsidR="00B51E8D" w:rsidRPr="000E19AE">
        <w:rPr>
          <w:color w:val="000000" w:themeColor="text1"/>
        </w:rPr>
        <w:t xml:space="preserve"> the submission.</w:t>
      </w:r>
    </w:p>
    <w:p w:rsidR="009E37A0" w:rsidRPr="00E44846" w:rsidRDefault="009E37A0" w:rsidP="009E37A0">
      <w:pPr>
        <w:pStyle w:val="Heading2"/>
      </w:pPr>
      <w:bookmarkStart w:id="32" w:name="_Toc413139286"/>
      <w:bookmarkStart w:id="33" w:name="_Toc492997396"/>
      <w:bookmarkEnd w:id="27"/>
      <w:r w:rsidRPr="00E44846">
        <w:t>Financial management – risk sharing arrangements</w:t>
      </w:r>
      <w:bookmarkEnd w:id="32"/>
      <w:bookmarkEnd w:id="33"/>
    </w:p>
    <w:p w:rsidR="002569CF" w:rsidRPr="0077195B" w:rsidRDefault="009E37A0" w:rsidP="00E44846">
      <w:pPr>
        <w:pStyle w:val="ListParagraph"/>
        <w:numPr>
          <w:ilvl w:val="1"/>
          <w:numId w:val="19"/>
        </w:numPr>
        <w:spacing w:before="0" w:after="120"/>
        <w:jc w:val="both"/>
        <w:rPr>
          <w:rFonts w:ascii="Arial" w:hAnsi="Arial" w:cs="Arial"/>
          <w:bCs/>
          <w:sz w:val="22"/>
        </w:rPr>
      </w:pPr>
      <w:r w:rsidRPr="00FE685C">
        <w:rPr>
          <w:rFonts w:eastAsiaTheme="majorEastAsia" w:cstheme="majorBidi"/>
          <w:szCs w:val="24"/>
        </w:rPr>
        <w:t>The PSCR (p4) proposed a risk sharing arrangement</w:t>
      </w:r>
      <w:r w:rsidR="00B40D5C" w:rsidRPr="00FE685C">
        <w:rPr>
          <w:rFonts w:eastAsiaTheme="majorEastAsia" w:cstheme="majorBidi"/>
          <w:szCs w:val="24"/>
        </w:rPr>
        <w:t xml:space="preserve"> (RSA)</w:t>
      </w:r>
      <w:r w:rsidRPr="00FE685C">
        <w:rPr>
          <w:rFonts w:eastAsiaTheme="majorEastAsia" w:cstheme="majorBidi"/>
          <w:szCs w:val="24"/>
        </w:rPr>
        <w:t>, consistent with the approach recommended by PBAC for PBS-listing of nivolumab in RCC (</w:t>
      </w:r>
      <w:r w:rsidR="00170458" w:rsidRPr="00B93493">
        <w:t>n</w:t>
      </w:r>
      <w:r w:rsidRPr="00B93493">
        <w:t>ivolumab RCC PSD November 2016)</w:t>
      </w:r>
      <w:r w:rsidR="00EE4A4D" w:rsidRPr="00B93493">
        <w:t>,</w:t>
      </w:r>
      <w:r w:rsidRPr="00B93493">
        <w:t xml:space="preserve"> </w:t>
      </w:r>
      <w:r w:rsidRPr="00FE685C">
        <w:rPr>
          <w:color w:val="000000" w:themeColor="text1"/>
        </w:rPr>
        <w:t xml:space="preserve">to address the potential for use beyond the proposed maximum of 35 cycles. It </w:t>
      </w:r>
      <w:r w:rsidR="00EE4A4D" w:rsidRPr="00FE685C">
        <w:rPr>
          <w:color w:val="000000" w:themeColor="text1"/>
        </w:rPr>
        <w:t>wa</w:t>
      </w:r>
      <w:r w:rsidRPr="00FE685C">
        <w:rPr>
          <w:color w:val="000000" w:themeColor="text1"/>
        </w:rPr>
        <w:t xml:space="preserve">s proposed that the expenditure caps would be </w:t>
      </w:r>
      <w:r w:rsidR="00394448" w:rsidRPr="00FE685C">
        <w:rPr>
          <w:color w:val="000000" w:themeColor="text1"/>
        </w:rPr>
        <w:t xml:space="preserve">based on the estimated use of </w:t>
      </w:r>
      <w:r w:rsidR="001E368B">
        <w:rPr>
          <w:noProof/>
          <w:color w:val="000000"/>
          <w:highlight w:val="black"/>
        </w:rPr>
        <w:t>'''''''''</w:t>
      </w:r>
      <w:r w:rsidR="00394448" w:rsidRPr="00FE685C">
        <w:rPr>
          <w:color w:val="000000" w:themeColor="text1"/>
        </w:rPr>
        <w:t xml:space="preserve"> pembrolizumab cycles per patient</w:t>
      </w:r>
      <w:r w:rsidRPr="00FE685C">
        <w:rPr>
          <w:color w:val="000000" w:themeColor="text1"/>
        </w:rPr>
        <w:t xml:space="preserve">. The </w:t>
      </w:r>
      <w:r w:rsidR="00DC3DAB" w:rsidRPr="00FE685C">
        <w:rPr>
          <w:color w:val="000000" w:themeColor="text1"/>
        </w:rPr>
        <w:t>PBAC agreed with</w:t>
      </w:r>
      <w:r w:rsidR="008236EA" w:rsidRPr="00FE685C">
        <w:rPr>
          <w:color w:val="000000" w:themeColor="text1"/>
        </w:rPr>
        <w:t xml:space="preserve"> the</w:t>
      </w:r>
      <w:r w:rsidR="00DC3DAB" w:rsidRPr="00FE685C">
        <w:rPr>
          <w:color w:val="000000" w:themeColor="text1"/>
        </w:rPr>
        <w:t xml:space="preserve"> </w:t>
      </w:r>
      <w:r w:rsidRPr="00FE685C">
        <w:rPr>
          <w:color w:val="000000" w:themeColor="text1"/>
        </w:rPr>
        <w:t xml:space="preserve">ESC </w:t>
      </w:r>
      <w:r w:rsidR="00EE4A4D" w:rsidRPr="00FE685C">
        <w:rPr>
          <w:color w:val="000000" w:themeColor="text1"/>
        </w:rPr>
        <w:t xml:space="preserve">that </w:t>
      </w:r>
      <w:r w:rsidRPr="00FE685C">
        <w:rPr>
          <w:color w:val="000000" w:themeColor="text1"/>
        </w:rPr>
        <w:t xml:space="preserve">the </w:t>
      </w:r>
      <w:r w:rsidR="00B40D5C" w:rsidRPr="00FE685C">
        <w:rPr>
          <w:color w:val="000000" w:themeColor="text1"/>
        </w:rPr>
        <w:t>RSA</w:t>
      </w:r>
      <w:r w:rsidRPr="00FE685C">
        <w:rPr>
          <w:color w:val="000000" w:themeColor="text1"/>
        </w:rPr>
        <w:t xml:space="preserve"> may </w:t>
      </w:r>
      <w:r w:rsidR="00394448" w:rsidRPr="00FE685C">
        <w:rPr>
          <w:color w:val="000000" w:themeColor="text1"/>
        </w:rPr>
        <w:t>not fully address the</w:t>
      </w:r>
      <w:r w:rsidRPr="00FE685C">
        <w:rPr>
          <w:color w:val="000000" w:themeColor="text1"/>
        </w:rPr>
        <w:t xml:space="preserve"> uncertainties</w:t>
      </w:r>
      <w:r w:rsidR="00D32456" w:rsidRPr="00FE685C">
        <w:rPr>
          <w:color w:val="000000" w:themeColor="text1"/>
        </w:rPr>
        <w:t xml:space="preserve"> </w:t>
      </w:r>
      <w:r w:rsidR="006702B4" w:rsidRPr="00FE685C">
        <w:rPr>
          <w:color w:val="000000" w:themeColor="text1"/>
        </w:rPr>
        <w:t xml:space="preserve">such as </w:t>
      </w:r>
      <w:r w:rsidRPr="00FE685C">
        <w:rPr>
          <w:color w:val="000000" w:themeColor="text1"/>
        </w:rPr>
        <w:t>treatment</w:t>
      </w:r>
      <w:r w:rsidR="00B40D5C" w:rsidRPr="00FE685C">
        <w:rPr>
          <w:color w:val="000000" w:themeColor="text1"/>
        </w:rPr>
        <w:t xml:space="preserve"> duration</w:t>
      </w:r>
      <w:r w:rsidR="00FE685C" w:rsidRPr="00FE685C">
        <w:rPr>
          <w:color w:val="000000" w:themeColor="text1"/>
        </w:rPr>
        <w:t xml:space="preserve"> or the risk of use beyond 35 cycles, particularly for grandfathered patients</w:t>
      </w:r>
      <w:r w:rsidR="0082263F" w:rsidRPr="00FE685C">
        <w:rPr>
          <w:color w:val="000000" w:themeColor="text1"/>
        </w:rPr>
        <w:t>. Additionally</w:t>
      </w:r>
      <w:r w:rsidR="00B40D5C" w:rsidRPr="00FE685C">
        <w:rPr>
          <w:color w:val="000000" w:themeColor="text1"/>
        </w:rPr>
        <w:t xml:space="preserve">, the </w:t>
      </w:r>
      <w:r w:rsidR="00FE685C" w:rsidRPr="00FE685C">
        <w:rPr>
          <w:color w:val="000000" w:themeColor="text1"/>
        </w:rPr>
        <w:t xml:space="preserve">proposed </w:t>
      </w:r>
      <w:r w:rsidR="00B40D5C" w:rsidRPr="00FE685C">
        <w:rPr>
          <w:color w:val="000000" w:themeColor="text1"/>
        </w:rPr>
        <w:t xml:space="preserve">rebate was </w:t>
      </w:r>
      <w:r w:rsidR="00EE4A4D" w:rsidRPr="00FE685C">
        <w:rPr>
          <w:color w:val="000000" w:themeColor="text1"/>
        </w:rPr>
        <w:t xml:space="preserve">not </w:t>
      </w:r>
      <w:r w:rsidR="00B40D5C" w:rsidRPr="00FE685C">
        <w:rPr>
          <w:color w:val="000000" w:themeColor="text1"/>
        </w:rPr>
        <w:t xml:space="preserve">specified </w:t>
      </w:r>
      <w:r w:rsidR="00EE4A4D" w:rsidRPr="00FE685C">
        <w:rPr>
          <w:color w:val="000000" w:themeColor="text1"/>
        </w:rPr>
        <w:t xml:space="preserve">for </w:t>
      </w:r>
      <w:r w:rsidR="00B40D5C" w:rsidRPr="00FE685C">
        <w:rPr>
          <w:color w:val="000000" w:themeColor="text1"/>
        </w:rPr>
        <w:t>expenditure over th</w:t>
      </w:r>
      <w:r w:rsidR="00907C7C" w:rsidRPr="00FE685C">
        <w:rPr>
          <w:color w:val="000000" w:themeColor="text1"/>
        </w:rPr>
        <w:t>e</w:t>
      </w:r>
      <w:r w:rsidR="00B40D5C" w:rsidRPr="00FE685C">
        <w:rPr>
          <w:color w:val="000000" w:themeColor="text1"/>
        </w:rPr>
        <w:t xml:space="preserve"> cap</w:t>
      </w:r>
      <w:r w:rsidR="00907C7C" w:rsidRPr="00FE685C">
        <w:rPr>
          <w:color w:val="000000" w:themeColor="text1"/>
        </w:rPr>
        <w:t>s</w:t>
      </w:r>
      <w:r w:rsidRPr="00FE685C">
        <w:rPr>
          <w:color w:val="000000" w:themeColor="text1"/>
        </w:rPr>
        <w:t>.</w:t>
      </w:r>
    </w:p>
    <w:p w:rsidR="000E19AE" w:rsidRPr="00FE685C" w:rsidRDefault="00732C05" w:rsidP="0077195B">
      <w:pPr>
        <w:pStyle w:val="ListParagraph"/>
        <w:spacing w:before="0" w:after="0"/>
        <w:contextualSpacing/>
        <w:jc w:val="both"/>
        <w:rPr>
          <w:rFonts w:cs="Arial"/>
          <w:bCs/>
          <w:szCs w:val="24"/>
        </w:rPr>
      </w:pPr>
      <w:r w:rsidRPr="0077195B">
        <w:rPr>
          <w:i/>
        </w:rPr>
        <w:t>For more detail on PBAC’s view, see section 7 PBAC outcome.</w:t>
      </w:r>
    </w:p>
    <w:p w:rsidR="00DE3272" w:rsidRPr="001E6528" w:rsidRDefault="00DE3272" w:rsidP="00DE3272">
      <w:pPr>
        <w:pStyle w:val="Heading1"/>
        <w:ind w:left="709" w:hanging="709"/>
        <w:rPr>
          <w:rFonts w:cs="Arial"/>
          <w:b w:val="0"/>
          <w:bCs/>
          <w:snapToGrid w:val="0"/>
        </w:rPr>
      </w:pPr>
      <w:r w:rsidRPr="001E6528">
        <w:t>PBAC</w:t>
      </w:r>
      <w:r w:rsidRPr="001E6528">
        <w:rPr>
          <w:rFonts w:cs="Arial"/>
          <w:bCs/>
          <w:snapToGrid w:val="0"/>
        </w:rPr>
        <w:t xml:space="preserve"> </w:t>
      </w:r>
      <w:r w:rsidR="005F6466">
        <w:rPr>
          <w:rFonts w:cs="Arial"/>
          <w:bCs/>
          <w:snapToGrid w:val="0"/>
        </w:rPr>
        <w:t>o</w:t>
      </w:r>
      <w:r w:rsidRPr="001E6528">
        <w:rPr>
          <w:rFonts w:cs="Arial"/>
          <w:bCs/>
          <w:snapToGrid w:val="0"/>
        </w:rPr>
        <w:t>utcome</w:t>
      </w:r>
    </w:p>
    <w:p w:rsidR="001E6528" w:rsidRPr="00A325ED" w:rsidRDefault="00756022" w:rsidP="00DE3272">
      <w:pPr>
        <w:pStyle w:val="ListParagraph"/>
        <w:numPr>
          <w:ilvl w:val="1"/>
          <w:numId w:val="1"/>
        </w:numPr>
        <w:spacing w:before="0" w:after="120"/>
        <w:jc w:val="both"/>
        <w:rPr>
          <w:rFonts w:cs="Arial"/>
          <w:bCs/>
          <w:snapToGrid w:val="0"/>
          <w:lang w:val="en-GB"/>
        </w:rPr>
      </w:pPr>
      <w:r w:rsidRPr="001E6528">
        <w:rPr>
          <w:rFonts w:cs="Arial"/>
          <w:bCs/>
          <w:snapToGrid w:val="0"/>
          <w:lang w:val="en-GB"/>
        </w:rPr>
        <w:t xml:space="preserve">The </w:t>
      </w:r>
      <w:r w:rsidR="001E6528" w:rsidRPr="001E6528">
        <w:rPr>
          <w:rFonts w:cs="Arial"/>
          <w:bCs/>
          <w:snapToGrid w:val="0"/>
          <w:lang w:val="en-GB"/>
        </w:rPr>
        <w:t xml:space="preserve">PBAC </w:t>
      </w:r>
      <w:r w:rsidR="00E44846">
        <w:rPr>
          <w:rFonts w:cs="Arial"/>
          <w:bCs/>
          <w:snapToGrid w:val="0"/>
          <w:lang w:val="en-GB"/>
        </w:rPr>
        <w:t xml:space="preserve">decided </w:t>
      </w:r>
      <w:r w:rsidR="001E6528" w:rsidRPr="001E6528">
        <w:rPr>
          <w:rFonts w:cs="Arial"/>
          <w:bCs/>
          <w:snapToGrid w:val="0"/>
          <w:lang w:val="en-GB"/>
        </w:rPr>
        <w:t xml:space="preserve">not </w:t>
      </w:r>
      <w:r w:rsidR="00E44846">
        <w:rPr>
          <w:rFonts w:cs="Arial"/>
          <w:bCs/>
          <w:snapToGrid w:val="0"/>
          <w:lang w:val="en-GB"/>
        </w:rPr>
        <w:t xml:space="preserve">to </w:t>
      </w:r>
      <w:r w:rsidR="001E6528" w:rsidRPr="001E6528">
        <w:rPr>
          <w:rFonts w:cs="Arial"/>
          <w:bCs/>
          <w:snapToGrid w:val="0"/>
          <w:lang w:val="en-GB"/>
        </w:rPr>
        <w:t xml:space="preserve">recommend pembrolizumab for the treatment of </w:t>
      </w:r>
      <w:r w:rsidR="005F434A" w:rsidRPr="000E19AE">
        <w:t>patients with locally advanced (LA) or metastatic urothelial cancer (mUC) after failure of a platinum</w:t>
      </w:r>
      <w:r w:rsidR="00B214D4">
        <w:noBreakHyphen/>
      </w:r>
      <w:r w:rsidR="005F434A" w:rsidRPr="000E19AE">
        <w:t>containing regimen</w:t>
      </w:r>
      <w:r w:rsidR="005F434A">
        <w:t xml:space="preserve"> on the basis that</w:t>
      </w:r>
      <w:r w:rsidR="00DE5F77">
        <w:t xml:space="preserve"> </w:t>
      </w:r>
      <w:r w:rsidR="00FE0891">
        <w:t xml:space="preserve">the </w:t>
      </w:r>
      <w:r w:rsidR="00B214D4">
        <w:t xml:space="preserve">incremental </w:t>
      </w:r>
      <w:r w:rsidR="00FE0891">
        <w:t>cost</w:t>
      </w:r>
      <w:r w:rsidR="00B214D4">
        <w:t>-</w:t>
      </w:r>
      <w:r w:rsidR="00FE0891">
        <w:t xml:space="preserve">effectiveness </w:t>
      </w:r>
      <w:r w:rsidR="00E44846">
        <w:t xml:space="preserve">ratio </w:t>
      </w:r>
      <w:r w:rsidR="00B214D4">
        <w:t xml:space="preserve">compared to </w:t>
      </w:r>
      <w:r w:rsidR="00FE0891">
        <w:t xml:space="preserve">standard </w:t>
      </w:r>
      <w:r w:rsidR="00AB6C8D">
        <w:t xml:space="preserve">of </w:t>
      </w:r>
      <w:r w:rsidR="00FE0891">
        <w:t>care</w:t>
      </w:r>
      <w:r w:rsidR="00AB6C8D">
        <w:t xml:space="preserve"> (SOC)</w:t>
      </w:r>
      <w:r w:rsidR="00FE0891">
        <w:t xml:space="preserve"> w</w:t>
      </w:r>
      <w:r w:rsidR="00B214D4">
        <w:t>as</w:t>
      </w:r>
      <w:r w:rsidR="00FE0891">
        <w:t xml:space="preserve"> highly </w:t>
      </w:r>
      <w:r w:rsidR="00DE5F77">
        <w:t>uncertain</w:t>
      </w:r>
      <w:r w:rsidR="00B214D4">
        <w:t xml:space="preserve"> and likely an underestimate</w:t>
      </w:r>
      <w:r w:rsidR="008D6F0B">
        <w:t>, and the financial implications were considerable and uncertain</w:t>
      </w:r>
      <w:r w:rsidR="00FE0891">
        <w:t>.</w:t>
      </w:r>
      <w:r w:rsidR="00225E6B">
        <w:t xml:space="preserve"> </w:t>
      </w:r>
      <w:r w:rsidR="00B214D4">
        <w:t xml:space="preserve">However, the PBAC acknowledged the high clinical need and the evidence of positive </w:t>
      </w:r>
      <w:r w:rsidR="00E44846">
        <w:t>overall survival</w:t>
      </w:r>
      <w:r w:rsidR="00C80F68">
        <w:t xml:space="preserve"> benefit</w:t>
      </w:r>
      <w:r w:rsidR="00B214D4" w:rsidRPr="00B214D4">
        <w:t xml:space="preserve"> </w:t>
      </w:r>
      <w:r w:rsidR="00E44846">
        <w:t xml:space="preserve">and reduced toxicity </w:t>
      </w:r>
      <w:r w:rsidR="00B214D4">
        <w:t>in this population.</w:t>
      </w:r>
    </w:p>
    <w:p w:rsidR="00B61A81" w:rsidRPr="00FB70A5" w:rsidRDefault="00B61A81" w:rsidP="00E44846">
      <w:pPr>
        <w:pStyle w:val="ListParagraph"/>
        <w:numPr>
          <w:ilvl w:val="1"/>
          <w:numId w:val="1"/>
        </w:numPr>
        <w:jc w:val="both"/>
        <w:rPr>
          <w:rFonts w:cs="Arial"/>
          <w:bCs/>
          <w:snapToGrid w:val="0"/>
          <w:lang w:val="en-GB"/>
        </w:rPr>
      </w:pPr>
      <w:r w:rsidRPr="00FB70A5">
        <w:rPr>
          <w:rFonts w:cs="Arial"/>
          <w:bCs/>
          <w:snapToGrid w:val="0"/>
          <w:lang w:val="en-GB"/>
        </w:rPr>
        <w:t>The PBAC acknowledged the sponsor hearing and the</w:t>
      </w:r>
      <w:r>
        <w:rPr>
          <w:rFonts w:cs="Arial"/>
          <w:bCs/>
          <w:snapToGrid w:val="0"/>
          <w:lang w:val="en-GB"/>
        </w:rPr>
        <w:t xml:space="preserve"> consumer comments not</w:t>
      </w:r>
      <w:r w:rsidR="000B3A19">
        <w:rPr>
          <w:rFonts w:cs="Arial"/>
          <w:bCs/>
          <w:snapToGrid w:val="0"/>
          <w:lang w:val="en-GB"/>
        </w:rPr>
        <w:t>ing</w:t>
      </w:r>
      <w:r>
        <w:rPr>
          <w:rFonts w:cs="Arial"/>
          <w:bCs/>
          <w:snapToGrid w:val="0"/>
          <w:lang w:val="en-GB"/>
        </w:rPr>
        <w:t xml:space="preserve"> </w:t>
      </w:r>
      <w:r w:rsidRPr="00FB70A5">
        <w:rPr>
          <w:rFonts w:cs="Arial"/>
          <w:bCs/>
          <w:snapToGrid w:val="0"/>
          <w:lang w:val="en-GB"/>
        </w:rPr>
        <w:t>a high unmet need for a relatively large group of patients</w:t>
      </w:r>
      <w:r w:rsidR="000B3A19">
        <w:rPr>
          <w:rFonts w:cs="Arial"/>
          <w:bCs/>
          <w:snapToGrid w:val="0"/>
          <w:lang w:val="en-GB"/>
        </w:rPr>
        <w:t xml:space="preserve"> </w:t>
      </w:r>
      <w:r w:rsidR="00AF4223">
        <w:rPr>
          <w:rFonts w:cs="Arial"/>
          <w:bCs/>
          <w:snapToGrid w:val="0"/>
          <w:lang w:val="en-GB"/>
        </w:rPr>
        <w:t xml:space="preserve">with a poor prognosis. </w:t>
      </w:r>
      <w:r>
        <w:rPr>
          <w:rFonts w:cs="Arial"/>
          <w:bCs/>
          <w:snapToGrid w:val="0"/>
          <w:lang w:val="en-GB"/>
        </w:rPr>
        <w:t xml:space="preserve">The PBAC also noted that the </w:t>
      </w:r>
      <w:r w:rsidR="007813E4">
        <w:rPr>
          <w:rFonts w:cs="Arial"/>
          <w:bCs/>
          <w:snapToGrid w:val="0"/>
          <w:lang w:val="en-GB"/>
        </w:rPr>
        <w:t xml:space="preserve">consumer comments included they perceived that </w:t>
      </w:r>
      <w:r>
        <w:rPr>
          <w:rFonts w:cs="Arial"/>
          <w:bCs/>
          <w:snapToGrid w:val="0"/>
          <w:lang w:val="en-GB"/>
        </w:rPr>
        <w:t xml:space="preserve">pembrolizumab </w:t>
      </w:r>
      <w:r w:rsidR="007813E4">
        <w:rPr>
          <w:rFonts w:cs="Arial"/>
          <w:bCs/>
          <w:snapToGrid w:val="0"/>
          <w:lang w:val="en-GB"/>
        </w:rPr>
        <w:t xml:space="preserve">was associated with </w:t>
      </w:r>
      <w:r w:rsidRPr="00013E46">
        <w:rPr>
          <w:rFonts w:cs="Arial"/>
          <w:bCs/>
          <w:snapToGrid w:val="0"/>
        </w:rPr>
        <w:t>fewer side effects and improve</w:t>
      </w:r>
      <w:r>
        <w:rPr>
          <w:rFonts w:cs="Arial"/>
          <w:bCs/>
          <w:snapToGrid w:val="0"/>
        </w:rPr>
        <w:t>d</w:t>
      </w:r>
      <w:r w:rsidRPr="00013E46">
        <w:rPr>
          <w:rFonts w:cs="Arial"/>
          <w:bCs/>
          <w:snapToGrid w:val="0"/>
        </w:rPr>
        <w:t xml:space="preserve"> quality of life</w:t>
      </w:r>
      <w:r w:rsidR="007813E4" w:rsidRPr="007813E4">
        <w:rPr>
          <w:rFonts w:cs="Arial"/>
          <w:bCs/>
          <w:snapToGrid w:val="0"/>
        </w:rPr>
        <w:t xml:space="preserve"> </w:t>
      </w:r>
      <w:r w:rsidR="007813E4" w:rsidRPr="00013E46">
        <w:rPr>
          <w:rFonts w:cs="Arial"/>
          <w:bCs/>
          <w:snapToGrid w:val="0"/>
        </w:rPr>
        <w:t>compared to chemotherapy</w:t>
      </w:r>
      <w:r>
        <w:rPr>
          <w:rFonts w:cs="Arial"/>
          <w:bCs/>
          <w:snapToGrid w:val="0"/>
        </w:rPr>
        <w:t>.</w:t>
      </w:r>
    </w:p>
    <w:p w:rsidR="003D1703" w:rsidRPr="001D0321" w:rsidRDefault="00A64186" w:rsidP="00424F73">
      <w:pPr>
        <w:pStyle w:val="ListParagraph"/>
        <w:numPr>
          <w:ilvl w:val="1"/>
          <w:numId w:val="1"/>
        </w:numPr>
        <w:spacing w:before="0" w:after="120"/>
        <w:jc w:val="both"/>
        <w:rPr>
          <w:rFonts w:cs="Arial"/>
          <w:bCs/>
          <w:snapToGrid w:val="0"/>
          <w:lang w:val="en-GB"/>
        </w:rPr>
      </w:pPr>
      <w:r>
        <w:rPr>
          <w:rFonts w:cs="Arial"/>
          <w:bCs/>
          <w:snapToGrid w:val="0"/>
          <w:lang w:val="en-GB"/>
        </w:rPr>
        <w:t xml:space="preserve">The PBAC considered that </w:t>
      </w:r>
      <w:r w:rsidR="00AB6C8D">
        <w:rPr>
          <w:rFonts w:cs="Arial"/>
          <w:bCs/>
          <w:snapToGrid w:val="0"/>
          <w:lang w:val="en-GB"/>
        </w:rPr>
        <w:t xml:space="preserve">SOC, </w:t>
      </w:r>
      <w:r w:rsidR="00AB6C8D" w:rsidRPr="00B93493">
        <w:rPr>
          <w:lang w:val="en-GB"/>
        </w:rPr>
        <w:t>which included paclitaxel or docetaxel, as the main comparat</w:t>
      </w:r>
      <w:r w:rsidR="001D0321">
        <w:rPr>
          <w:lang w:val="en-GB"/>
        </w:rPr>
        <w:t>or was appropriate.</w:t>
      </w:r>
      <w:r w:rsidR="00642BDF">
        <w:rPr>
          <w:lang w:val="en-GB"/>
        </w:rPr>
        <w:t xml:space="preserve"> </w:t>
      </w:r>
      <w:r w:rsidR="00642BDF" w:rsidRPr="00E17531">
        <w:t xml:space="preserve">However, the PBAC also considered that pembrolizumab may displace rather than replace </w:t>
      </w:r>
      <w:r w:rsidR="00642BDF">
        <w:t>some paclitaxel and docetaxel</w:t>
      </w:r>
      <w:r w:rsidR="00642BDF" w:rsidRPr="00E17531">
        <w:t xml:space="preserve"> use.</w:t>
      </w:r>
      <w:r w:rsidR="009F4113">
        <w:rPr>
          <w:lang w:val="en-GB"/>
        </w:rPr>
        <w:t xml:space="preserve"> </w:t>
      </w:r>
      <w:r w:rsidR="00A31D2C">
        <w:rPr>
          <w:lang w:val="en-GB"/>
        </w:rPr>
        <w:t xml:space="preserve">The PBAC noted the submission acknowledged that </w:t>
      </w:r>
      <w:r w:rsidR="004A6A64">
        <w:rPr>
          <w:lang w:val="en-GB"/>
        </w:rPr>
        <w:t>three immunotherapies nivolumab, durvalumab and avelumab were possible alternative</w:t>
      </w:r>
      <w:r w:rsidR="00F45E14">
        <w:rPr>
          <w:lang w:val="en-GB"/>
        </w:rPr>
        <w:t xml:space="preserve"> comparators. However, the PBAC </w:t>
      </w:r>
      <w:r w:rsidR="004A6A64">
        <w:rPr>
          <w:lang w:val="en-GB"/>
        </w:rPr>
        <w:t xml:space="preserve">considered </w:t>
      </w:r>
      <w:r w:rsidR="00F45E14">
        <w:rPr>
          <w:lang w:val="en-GB"/>
        </w:rPr>
        <w:t>it was reasonable to exclude the</w:t>
      </w:r>
      <w:r w:rsidR="00CD1FB2">
        <w:rPr>
          <w:lang w:val="en-GB"/>
        </w:rPr>
        <w:t xml:space="preserve">se drugs </w:t>
      </w:r>
      <w:r w:rsidR="00F45E14">
        <w:rPr>
          <w:lang w:val="en-GB"/>
        </w:rPr>
        <w:t xml:space="preserve">because a submission to the PBAC to consider listing in </w:t>
      </w:r>
      <w:r w:rsidR="004A6A64">
        <w:rPr>
          <w:lang w:val="en-GB"/>
        </w:rPr>
        <w:t>urothelial cancer</w:t>
      </w:r>
      <w:r w:rsidR="00F45E14">
        <w:rPr>
          <w:lang w:val="en-GB"/>
        </w:rPr>
        <w:t xml:space="preserve"> has not </w:t>
      </w:r>
      <w:r w:rsidR="00CD1FB2">
        <w:rPr>
          <w:lang w:val="en-GB"/>
        </w:rPr>
        <w:t xml:space="preserve">been received as </w:t>
      </w:r>
      <w:r w:rsidR="00BD5659">
        <w:rPr>
          <w:lang w:val="en-GB"/>
        </w:rPr>
        <w:t>yet</w:t>
      </w:r>
      <w:r w:rsidR="00CD1FB2">
        <w:rPr>
          <w:lang w:val="en-GB"/>
        </w:rPr>
        <w:t xml:space="preserve">. </w:t>
      </w:r>
      <w:r w:rsidR="00F45E14">
        <w:rPr>
          <w:lang w:val="en-GB"/>
        </w:rPr>
        <w:t>The PBAC also agreed with the submission</w:t>
      </w:r>
      <w:r w:rsidR="00BD5659">
        <w:rPr>
          <w:lang w:val="en-GB"/>
        </w:rPr>
        <w:t>’</w:t>
      </w:r>
      <w:r w:rsidR="00F45E14">
        <w:rPr>
          <w:lang w:val="en-GB"/>
        </w:rPr>
        <w:t>s view that</w:t>
      </w:r>
      <w:r w:rsidR="00BD5659">
        <w:rPr>
          <w:lang w:val="en-GB"/>
        </w:rPr>
        <w:t>,</w:t>
      </w:r>
      <w:r w:rsidR="00F45E14">
        <w:rPr>
          <w:lang w:val="en-GB"/>
        </w:rPr>
        <w:t xml:space="preserve"> on the basis of the PBAC’s recent rejection of vinflunine for urothelial cancer, it was reasonable to exclude vinflunine as a comparator.</w:t>
      </w:r>
      <w:r w:rsidR="0047256E">
        <w:rPr>
          <w:lang w:val="en-GB"/>
        </w:rPr>
        <w:t xml:space="preserve"> The PBAC noted that excluding vinflunine as a comparator would be unlikely to materially affect its overall conclusions as the subgroup analysis in the key trial suggested vinflunine has similar progression-free survival (PFS) and overall survival (OS) to other current SOC options.</w:t>
      </w:r>
    </w:p>
    <w:p w:rsidR="00F45E14" w:rsidRPr="0077195B" w:rsidRDefault="0046459A" w:rsidP="00F45E14">
      <w:pPr>
        <w:pStyle w:val="ListParagraph"/>
        <w:numPr>
          <w:ilvl w:val="1"/>
          <w:numId w:val="1"/>
        </w:numPr>
        <w:spacing w:before="0" w:after="120"/>
        <w:jc w:val="both"/>
        <w:rPr>
          <w:rFonts w:cs="Arial"/>
          <w:bCs/>
          <w:snapToGrid w:val="0"/>
          <w:lang w:val="en-GB"/>
        </w:rPr>
      </w:pPr>
      <w:r w:rsidRPr="008A12D8">
        <w:rPr>
          <w:rFonts w:cs="Arial"/>
          <w:bCs/>
          <w:snapToGrid w:val="0"/>
          <w:lang w:val="en-GB"/>
        </w:rPr>
        <w:t xml:space="preserve">The submission was </w:t>
      </w:r>
      <w:r w:rsidRPr="000E19AE">
        <w:t xml:space="preserve">based on one head-to-head </w:t>
      </w:r>
      <w:r w:rsidR="00C278FB">
        <w:t xml:space="preserve">randomised </w:t>
      </w:r>
      <w:r w:rsidRPr="000E19AE">
        <w:t>trial comparing pembrolizumab to SOC</w:t>
      </w:r>
      <w:r>
        <w:t xml:space="preserve"> (KN045).</w:t>
      </w:r>
      <w:r w:rsidR="000C23DC">
        <w:t xml:space="preserve"> </w:t>
      </w:r>
      <w:r w:rsidR="0088194C" w:rsidRPr="008A12D8">
        <w:rPr>
          <w:rFonts w:cs="Arial"/>
          <w:bCs/>
          <w:snapToGrid w:val="0"/>
          <w:lang w:val="en-GB"/>
        </w:rPr>
        <w:t>The PBAC considered</w:t>
      </w:r>
      <w:r w:rsidR="00F45E14">
        <w:rPr>
          <w:rFonts w:cs="Arial"/>
          <w:bCs/>
          <w:snapToGrid w:val="0"/>
          <w:lang w:val="en-GB"/>
        </w:rPr>
        <w:t xml:space="preserve"> that the claim of superior eff</w:t>
      </w:r>
      <w:r w:rsidR="005F6466">
        <w:rPr>
          <w:rFonts w:cs="Arial"/>
          <w:bCs/>
          <w:snapToGrid w:val="0"/>
          <w:lang w:val="en-GB"/>
        </w:rPr>
        <w:t>ectiveness</w:t>
      </w:r>
      <w:r w:rsidR="00F45E14">
        <w:rPr>
          <w:rFonts w:cs="Arial"/>
          <w:bCs/>
          <w:snapToGrid w:val="0"/>
          <w:lang w:val="en-GB"/>
        </w:rPr>
        <w:t xml:space="preserve"> </w:t>
      </w:r>
      <w:r w:rsidR="0088194C" w:rsidRPr="008A12D8">
        <w:rPr>
          <w:rFonts w:cs="Arial"/>
          <w:bCs/>
          <w:snapToGrid w:val="0"/>
          <w:lang w:val="en-GB"/>
        </w:rPr>
        <w:t xml:space="preserve">was adequately supported by the </w:t>
      </w:r>
      <w:r w:rsidR="00F45E14">
        <w:rPr>
          <w:rFonts w:cs="Arial"/>
          <w:bCs/>
          <w:snapToGrid w:val="0"/>
          <w:lang w:val="en-GB"/>
        </w:rPr>
        <w:t xml:space="preserve">OS </w:t>
      </w:r>
      <w:r w:rsidR="0088194C" w:rsidRPr="008A12D8">
        <w:rPr>
          <w:rFonts w:cs="Arial"/>
          <w:bCs/>
          <w:snapToGrid w:val="0"/>
          <w:lang w:val="en-GB"/>
        </w:rPr>
        <w:t>data</w:t>
      </w:r>
      <w:r w:rsidR="00F45E14">
        <w:rPr>
          <w:rFonts w:cs="Arial"/>
          <w:bCs/>
          <w:snapToGrid w:val="0"/>
          <w:lang w:val="en-GB"/>
        </w:rPr>
        <w:t>,</w:t>
      </w:r>
      <w:r w:rsidR="00B312C4" w:rsidRPr="008A12D8">
        <w:rPr>
          <w:rFonts w:cs="Arial"/>
          <w:bCs/>
          <w:snapToGrid w:val="0"/>
          <w:lang w:val="en-GB"/>
        </w:rPr>
        <w:t xml:space="preserve"> where t</w:t>
      </w:r>
      <w:r w:rsidR="00FB3D43" w:rsidRPr="008A12D8">
        <w:rPr>
          <w:rFonts w:cs="Arial"/>
          <w:bCs/>
          <w:snapToGrid w:val="0"/>
          <w:lang w:val="en-GB"/>
        </w:rPr>
        <w:t>he</w:t>
      </w:r>
      <w:r w:rsidR="0088194C" w:rsidRPr="008A12D8">
        <w:rPr>
          <w:rFonts w:cs="Arial"/>
          <w:bCs/>
          <w:snapToGrid w:val="0"/>
          <w:lang w:val="en-GB"/>
        </w:rPr>
        <w:t xml:space="preserve"> </w:t>
      </w:r>
      <w:r w:rsidR="0088194C" w:rsidRPr="008A12D8">
        <w:rPr>
          <w:color w:val="000000" w:themeColor="text1"/>
        </w:rPr>
        <w:t>evidence from KN045 indicated a modest but statistically significant OS gain for the pembrolizumab arm compared with the SOC arm</w:t>
      </w:r>
      <w:r w:rsidR="00B312C4" w:rsidRPr="008A12D8">
        <w:rPr>
          <w:color w:val="000000" w:themeColor="text1"/>
        </w:rPr>
        <w:t>.</w:t>
      </w:r>
    </w:p>
    <w:p w:rsidR="00F45E14" w:rsidRPr="0077195B" w:rsidRDefault="00F45E14" w:rsidP="00F45E14">
      <w:pPr>
        <w:pStyle w:val="ListParagraph"/>
        <w:numPr>
          <w:ilvl w:val="1"/>
          <w:numId w:val="1"/>
        </w:numPr>
        <w:spacing w:before="0" w:after="120"/>
        <w:jc w:val="both"/>
        <w:rPr>
          <w:rFonts w:cs="Arial"/>
          <w:bCs/>
          <w:snapToGrid w:val="0"/>
          <w:lang w:val="en-GB"/>
        </w:rPr>
      </w:pPr>
      <w:r>
        <w:rPr>
          <w:color w:val="000000" w:themeColor="text1"/>
        </w:rPr>
        <w:t>T</w:t>
      </w:r>
      <w:r>
        <w:rPr>
          <w:rFonts w:cs="Arial"/>
          <w:bCs/>
          <w:snapToGrid w:val="0"/>
          <w:lang w:val="en-GB"/>
        </w:rPr>
        <w:t xml:space="preserve">he PBAC noted that </w:t>
      </w:r>
      <w:r w:rsidRPr="00994655">
        <w:rPr>
          <w:rFonts w:cs="Arial"/>
          <w:bCs/>
          <w:snapToGrid w:val="0"/>
          <w:lang w:val="en-GB"/>
        </w:rPr>
        <w:t>more patients died in the p</w:t>
      </w:r>
      <w:r w:rsidR="002569CF">
        <w:rPr>
          <w:rFonts w:cs="Arial"/>
          <w:bCs/>
          <w:snapToGrid w:val="0"/>
          <w:lang w:val="en-GB"/>
        </w:rPr>
        <w:t>embrolizumab arm in the first three</w:t>
      </w:r>
      <w:r>
        <w:rPr>
          <w:rFonts w:cs="Arial"/>
          <w:bCs/>
          <w:snapToGrid w:val="0"/>
          <w:lang w:val="en-GB"/>
        </w:rPr>
        <w:t> </w:t>
      </w:r>
      <w:r w:rsidRPr="00994655">
        <w:rPr>
          <w:rFonts w:cs="Arial"/>
          <w:bCs/>
          <w:snapToGrid w:val="0"/>
          <w:lang w:val="en-GB"/>
        </w:rPr>
        <w:t>months of the trial</w:t>
      </w:r>
      <w:r>
        <w:rPr>
          <w:rFonts w:cs="Arial"/>
          <w:bCs/>
          <w:snapToGrid w:val="0"/>
          <w:lang w:val="en-GB"/>
        </w:rPr>
        <w:t xml:space="preserve">, and that there were no significant differences across treatment arms in baseline characteristics for patients who died in the first three months. </w:t>
      </w:r>
      <w:r w:rsidR="00061E3C">
        <w:t>T</w:t>
      </w:r>
      <w:r>
        <w:t>he PBAC considered</w:t>
      </w:r>
      <w:r w:rsidRPr="00B93493">
        <w:t xml:space="preserve"> that </w:t>
      </w:r>
      <w:r>
        <w:t xml:space="preserve">for some patients pembrolizumab does not provide a survival advantage, </w:t>
      </w:r>
      <w:r w:rsidR="00061E3C">
        <w:t xml:space="preserve">however </w:t>
      </w:r>
      <w:r w:rsidRPr="00B93493">
        <w:t xml:space="preserve">these results should be considered with caution due to the low numbers of </w:t>
      </w:r>
      <w:r>
        <w:t>events</w:t>
      </w:r>
      <w:r w:rsidRPr="00B93493">
        <w:t>.</w:t>
      </w:r>
    </w:p>
    <w:p w:rsidR="00747EAE" w:rsidRPr="008A12D8" w:rsidRDefault="0088194C" w:rsidP="00424F73">
      <w:pPr>
        <w:pStyle w:val="ListParagraph"/>
        <w:numPr>
          <w:ilvl w:val="1"/>
          <w:numId w:val="1"/>
        </w:numPr>
        <w:spacing w:before="0" w:after="120"/>
        <w:jc w:val="both"/>
        <w:rPr>
          <w:rFonts w:cs="Arial"/>
          <w:bCs/>
          <w:snapToGrid w:val="0"/>
          <w:lang w:val="en-GB"/>
        </w:rPr>
      </w:pPr>
      <w:r w:rsidRPr="008A12D8">
        <w:rPr>
          <w:color w:val="000000" w:themeColor="text1"/>
        </w:rPr>
        <w:t>T</w:t>
      </w:r>
      <w:r w:rsidR="008D36B8" w:rsidRPr="008A12D8">
        <w:rPr>
          <w:color w:val="000000" w:themeColor="text1"/>
        </w:rPr>
        <w:t xml:space="preserve">he PBAC noted </w:t>
      </w:r>
      <w:r w:rsidR="00F45E14">
        <w:rPr>
          <w:color w:val="000000" w:themeColor="text1"/>
        </w:rPr>
        <w:t xml:space="preserve">that </w:t>
      </w:r>
      <w:r w:rsidR="008D36B8" w:rsidRPr="008A12D8">
        <w:rPr>
          <w:color w:val="000000" w:themeColor="text1"/>
        </w:rPr>
        <w:t>there was no significant difference in</w:t>
      </w:r>
      <w:r w:rsidRPr="008A12D8">
        <w:rPr>
          <w:color w:val="000000" w:themeColor="text1"/>
        </w:rPr>
        <w:t xml:space="preserve"> PFS </w:t>
      </w:r>
      <w:r w:rsidR="00CF5880">
        <w:rPr>
          <w:color w:val="000000" w:themeColor="text1"/>
        </w:rPr>
        <w:t xml:space="preserve">between pembrolizumab and SOC, </w:t>
      </w:r>
      <w:r w:rsidR="008D36B8" w:rsidRPr="008A12D8">
        <w:rPr>
          <w:color w:val="000000" w:themeColor="text1"/>
        </w:rPr>
        <w:t xml:space="preserve">but considered </w:t>
      </w:r>
      <w:r w:rsidRPr="008A12D8">
        <w:rPr>
          <w:color w:val="000000" w:themeColor="text1"/>
        </w:rPr>
        <w:t xml:space="preserve">that PFS </w:t>
      </w:r>
      <w:r w:rsidR="00390EAE" w:rsidRPr="008A12D8">
        <w:rPr>
          <w:color w:val="000000" w:themeColor="text1"/>
        </w:rPr>
        <w:t xml:space="preserve">may </w:t>
      </w:r>
      <w:r w:rsidRPr="008A12D8">
        <w:rPr>
          <w:color w:val="000000" w:themeColor="text1"/>
        </w:rPr>
        <w:t xml:space="preserve">not </w:t>
      </w:r>
      <w:r w:rsidR="00735A67">
        <w:rPr>
          <w:color w:val="000000" w:themeColor="text1"/>
        </w:rPr>
        <w:t xml:space="preserve">be </w:t>
      </w:r>
      <w:r w:rsidRPr="008A12D8">
        <w:rPr>
          <w:color w:val="000000" w:themeColor="text1"/>
        </w:rPr>
        <w:t xml:space="preserve">a meaningful surrogate for clinical benefit in </w:t>
      </w:r>
      <w:r w:rsidR="00390EAE" w:rsidRPr="008A12D8">
        <w:rPr>
          <w:color w:val="000000" w:themeColor="text1"/>
        </w:rPr>
        <w:t xml:space="preserve">this </w:t>
      </w:r>
      <w:r w:rsidR="00304871">
        <w:rPr>
          <w:color w:val="000000" w:themeColor="text1"/>
        </w:rPr>
        <w:t>indication</w:t>
      </w:r>
      <w:r w:rsidR="00061E3C">
        <w:rPr>
          <w:color w:val="000000" w:themeColor="text1"/>
        </w:rPr>
        <w:t>.</w:t>
      </w:r>
    </w:p>
    <w:p w:rsidR="00385325" w:rsidRPr="0077195B" w:rsidRDefault="00385325" w:rsidP="00424F73">
      <w:pPr>
        <w:pStyle w:val="ListParagraph"/>
        <w:numPr>
          <w:ilvl w:val="1"/>
          <w:numId w:val="1"/>
        </w:numPr>
        <w:spacing w:before="0" w:after="120"/>
        <w:jc w:val="both"/>
        <w:rPr>
          <w:rFonts w:cs="Arial"/>
          <w:bCs/>
          <w:snapToGrid w:val="0"/>
          <w:lang w:val="en-GB"/>
        </w:rPr>
      </w:pPr>
      <w:r w:rsidRPr="00B93493">
        <w:rPr>
          <w:color w:val="000000" w:themeColor="text1"/>
        </w:rPr>
        <w:t xml:space="preserve">The </w:t>
      </w:r>
      <w:r>
        <w:rPr>
          <w:color w:val="000000" w:themeColor="text1"/>
        </w:rPr>
        <w:t>PBAC</w:t>
      </w:r>
      <w:r w:rsidRPr="00B93493">
        <w:rPr>
          <w:color w:val="000000" w:themeColor="text1"/>
        </w:rPr>
        <w:t xml:space="preserve"> considered t</w:t>
      </w:r>
      <w:r>
        <w:rPr>
          <w:color w:val="000000" w:themeColor="text1"/>
        </w:rPr>
        <w:t>he claim of superior safety to be</w:t>
      </w:r>
      <w:r w:rsidRPr="00B93493">
        <w:rPr>
          <w:color w:val="000000" w:themeColor="text1"/>
        </w:rPr>
        <w:t xml:space="preserve"> reasonable. The evidence from KN045 indicated a statistically significant</w:t>
      </w:r>
      <w:r w:rsidR="00304871">
        <w:rPr>
          <w:color w:val="000000" w:themeColor="text1"/>
        </w:rPr>
        <w:t>ly</w:t>
      </w:r>
      <w:r w:rsidRPr="00B93493">
        <w:rPr>
          <w:color w:val="000000" w:themeColor="text1"/>
        </w:rPr>
        <w:t xml:space="preserve"> lower rate of ≥ Grade 3 adverse events </w:t>
      </w:r>
      <w:r w:rsidR="00061E3C">
        <w:rPr>
          <w:color w:val="000000" w:themeColor="text1"/>
        </w:rPr>
        <w:t xml:space="preserve">with </w:t>
      </w:r>
      <w:r w:rsidRPr="00B93493">
        <w:rPr>
          <w:color w:val="000000" w:themeColor="text1"/>
        </w:rPr>
        <w:t xml:space="preserve">pembrolizumab compared with SOC. The TGA clinical evaluation report </w:t>
      </w:r>
      <w:r w:rsidR="00CF5880">
        <w:rPr>
          <w:color w:val="000000" w:themeColor="text1"/>
        </w:rPr>
        <w:t xml:space="preserve">and consumer comments </w:t>
      </w:r>
      <w:r w:rsidRPr="00B93493">
        <w:rPr>
          <w:color w:val="000000" w:themeColor="text1"/>
        </w:rPr>
        <w:t>also supported this claim.</w:t>
      </w:r>
      <w:r w:rsidR="001E51CA" w:rsidRPr="0077195B">
        <w:rPr>
          <w:color w:val="000000" w:themeColor="text1"/>
        </w:rPr>
        <w:t xml:space="preserve"> The PBAC also considered that given pembrolizumab had a better safety profile, there were unlikely to be </w:t>
      </w:r>
      <w:r w:rsidR="002569CF">
        <w:rPr>
          <w:color w:val="000000" w:themeColor="text1"/>
        </w:rPr>
        <w:t>unreasonable</w:t>
      </w:r>
      <w:r w:rsidR="001E51CA" w:rsidRPr="0077195B">
        <w:rPr>
          <w:color w:val="000000" w:themeColor="text1"/>
        </w:rPr>
        <w:t xml:space="preserve"> safety issues for </w:t>
      </w:r>
      <w:r w:rsidR="002569CF" w:rsidRPr="008D6F0B">
        <w:rPr>
          <w:color w:val="000000" w:themeColor="text1"/>
        </w:rPr>
        <w:t>pat</w:t>
      </w:r>
      <w:r w:rsidR="001E51CA" w:rsidRPr="0077195B">
        <w:rPr>
          <w:color w:val="000000" w:themeColor="text1"/>
        </w:rPr>
        <w:t>i</w:t>
      </w:r>
      <w:r w:rsidR="002569CF">
        <w:rPr>
          <w:color w:val="000000" w:themeColor="text1"/>
        </w:rPr>
        <w:t>e</w:t>
      </w:r>
      <w:r w:rsidR="001E51CA" w:rsidRPr="0077195B">
        <w:rPr>
          <w:color w:val="000000" w:themeColor="text1"/>
        </w:rPr>
        <w:t xml:space="preserve">nts with </w:t>
      </w:r>
      <w:r w:rsidR="00304871">
        <w:rPr>
          <w:color w:val="000000" w:themeColor="text1"/>
        </w:rPr>
        <w:t xml:space="preserve">a performance status score of </w:t>
      </w:r>
      <w:r w:rsidR="001E51CA" w:rsidRPr="0077195B">
        <w:rPr>
          <w:color w:val="000000" w:themeColor="text1"/>
        </w:rPr>
        <w:t xml:space="preserve">ECOG = 2 </w:t>
      </w:r>
      <w:r w:rsidR="002569CF">
        <w:rPr>
          <w:color w:val="000000" w:themeColor="text1"/>
        </w:rPr>
        <w:t>receiving</w:t>
      </w:r>
      <w:r w:rsidR="001E51CA" w:rsidRPr="0077195B">
        <w:rPr>
          <w:color w:val="000000" w:themeColor="text1"/>
        </w:rPr>
        <w:t xml:space="preserve"> pembrolizumab treatment.</w:t>
      </w:r>
    </w:p>
    <w:p w:rsidR="00CF5880" w:rsidRPr="007225F7" w:rsidRDefault="00CF5880" w:rsidP="00424F73">
      <w:pPr>
        <w:pStyle w:val="ListParagraph"/>
        <w:numPr>
          <w:ilvl w:val="1"/>
          <w:numId w:val="1"/>
        </w:numPr>
        <w:spacing w:before="0" w:after="120"/>
        <w:jc w:val="both"/>
        <w:rPr>
          <w:rFonts w:cs="Arial"/>
          <w:bCs/>
          <w:snapToGrid w:val="0"/>
          <w:lang w:val="en-GB"/>
        </w:rPr>
      </w:pPr>
      <w:r>
        <w:rPr>
          <w:color w:val="000000" w:themeColor="text1"/>
        </w:rPr>
        <w:t>The PBAC consider</w:t>
      </w:r>
      <w:r w:rsidR="00304871">
        <w:rPr>
          <w:color w:val="000000" w:themeColor="text1"/>
        </w:rPr>
        <w:t>ed</w:t>
      </w:r>
      <w:r>
        <w:rPr>
          <w:color w:val="000000" w:themeColor="text1"/>
        </w:rPr>
        <w:t xml:space="preserve"> that there was </w:t>
      </w:r>
      <w:r w:rsidR="00304871">
        <w:rPr>
          <w:color w:val="000000" w:themeColor="text1"/>
        </w:rPr>
        <w:t>in</w:t>
      </w:r>
      <w:r>
        <w:rPr>
          <w:color w:val="000000" w:themeColor="text1"/>
        </w:rPr>
        <w:t xml:space="preserve">sufficient evidence of </w:t>
      </w:r>
      <w:r w:rsidR="00304871">
        <w:rPr>
          <w:color w:val="000000" w:themeColor="text1"/>
        </w:rPr>
        <w:t xml:space="preserve">clinically important </w:t>
      </w:r>
      <w:r>
        <w:rPr>
          <w:color w:val="000000" w:themeColor="text1"/>
        </w:rPr>
        <w:t xml:space="preserve">treatment effect modification </w:t>
      </w:r>
      <w:r w:rsidR="00304871">
        <w:rPr>
          <w:color w:val="000000" w:themeColor="text1"/>
        </w:rPr>
        <w:t>by</w:t>
      </w:r>
      <w:r>
        <w:rPr>
          <w:color w:val="000000" w:themeColor="text1"/>
        </w:rPr>
        <w:t xml:space="preserve"> either PD</w:t>
      </w:r>
      <w:r w:rsidR="009B3B6B">
        <w:rPr>
          <w:color w:val="000000" w:themeColor="text1"/>
        </w:rPr>
        <w:t>-</w:t>
      </w:r>
      <w:r w:rsidR="00061E3C">
        <w:rPr>
          <w:color w:val="000000" w:themeColor="text1"/>
        </w:rPr>
        <w:t>L</w:t>
      </w:r>
      <w:r>
        <w:rPr>
          <w:color w:val="000000" w:themeColor="text1"/>
        </w:rPr>
        <w:t xml:space="preserve">1 expression or age to justify restricting </w:t>
      </w:r>
      <w:r w:rsidR="00304871">
        <w:rPr>
          <w:color w:val="000000" w:themeColor="text1"/>
        </w:rPr>
        <w:t xml:space="preserve">pembrolizumab </w:t>
      </w:r>
      <w:r>
        <w:rPr>
          <w:color w:val="000000" w:themeColor="text1"/>
        </w:rPr>
        <w:t>to a specific sub</w:t>
      </w:r>
      <w:r w:rsidR="00304871">
        <w:rPr>
          <w:color w:val="000000" w:themeColor="text1"/>
        </w:rPr>
        <w:t>group defined using either variable</w:t>
      </w:r>
      <w:r>
        <w:rPr>
          <w:color w:val="000000" w:themeColor="text1"/>
        </w:rPr>
        <w:t>.</w:t>
      </w:r>
    </w:p>
    <w:p w:rsidR="007225F7" w:rsidRPr="0069591B" w:rsidRDefault="000B5E8F" w:rsidP="00424F73">
      <w:pPr>
        <w:pStyle w:val="ListParagraph"/>
        <w:numPr>
          <w:ilvl w:val="1"/>
          <w:numId w:val="1"/>
        </w:numPr>
        <w:spacing w:before="0" w:after="120"/>
        <w:jc w:val="both"/>
        <w:rPr>
          <w:rFonts w:cs="Arial"/>
          <w:bCs/>
          <w:snapToGrid w:val="0"/>
          <w:lang w:val="en-GB"/>
        </w:rPr>
      </w:pPr>
      <w:r w:rsidRPr="000E19AE">
        <w:rPr>
          <w:color w:val="000000" w:themeColor="text1"/>
        </w:rPr>
        <w:t xml:space="preserve">The </w:t>
      </w:r>
      <w:r>
        <w:rPr>
          <w:color w:val="000000" w:themeColor="text1"/>
        </w:rPr>
        <w:t xml:space="preserve">PBAC noted the </w:t>
      </w:r>
      <w:r w:rsidRPr="000E19AE">
        <w:rPr>
          <w:color w:val="000000" w:themeColor="text1"/>
        </w:rPr>
        <w:t>submission presented a cost-utility analysis</w:t>
      </w:r>
      <w:r w:rsidR="00654653">
        <w:rPr>
          <w:color w:val="000000" w:themeColor="text1"/>
        </w:rPr>
        <w:t xml:space="preserve"> (CUA</w:t>
      </w:r>
      <w:r w:rsidR="003A4FDB">
        <w:rPr>
          <w:color w:val="000000" w:themeColor="text1"/>
        </w:rPr>
        <w:t>)</w:t>
      </w:r>
      <w:r w:rsidRPr="000E19AE">
        <w:rPr>
          <w:color w:val="000000" w:themeColor="text1"/>
        </w:rPr>
        <w:t xml:space="preserve"> to estimate</w:t>
      </w:r>
      <w:r>
        <w:rPr>
          <w:color w:val="000000" w:themeColor="text1"/>
        </w:rPr>
        <w:t xml:space="preserve"> the cost</w:t>
      </w:r>
      <w:r>
        <w:rPr>
          <w:color w:val="000000" w:themeColor="text1"/>
        </w:rPr>
        <w:noBreakHyphen/>
      </w:r>
      <w:r w:rsidRPr="000E19AE">
        <w:rPr>
          <w:color w:val="000000" w:themeColor="text1"/>
        </w:rPr>
        <w:t>effectiveness of pembrolizumab</w:t>
      </w:r>
      <w:r w:rsidR="001E51CA">
        <w:rPr>
          <w:color w:val="000000" w:themeColor="text1"/>
        </w:rPr>
        <w:t xml:space="preserve"> with a base case ICER of </w:t>
      </w:r>
      <w:r w:rsidR="008478CE">
        <w:rPr>
          <w:color w:val="000000" w:themeColor="text1"/>
        </w:rPr>
        <w:t>$45,000/QALY - $75,000/QALY</w:t>
      </w:r>
      <w:r w:rsidRPr="000E19AE">
        <w:rPr>
          <w:color w:val="000000" w:themeColor="text1"/>
        </w:rPr>
        <w:t>.</w:t>
      </w:r>
      <w:r>
        <w:rPr>
          <w:color w:val="000000" w:themeColor="text1"/>
        </w:rPr>
        <w:t xml:space="preserve"> The PBAC considered the cost</w:t>
      </w:r>
      <w:r w:rsidR="001E51CA">
        <w:rPr>
          <w:color w:val="000000" w:themeColor="text1"/>
        </w:rPr>
        <w:t>-</w:t>
      </w:r>
      <w:r>
        <w:rPr>
          <w:color w:val="000000" w:themeColor="text1"/>
        </w:rPr>
        <w:t xml:space="preserve">effectiveness of </w:t>
      </w:r>
      <w:r w:rsidRPr="0069591B">
        <w:t xml:space="preserve">pembrolizumab was </w:t>
      </w:r>
      <w:r w:rsidR="00304871">
        <w:t xml:space="preserve">overly optimistic and </w:t>
      </w:r>
      <w:r w:rsidRPr="0069591B">
        <w:t>highly uncertain for the following reasons</w:t>
      </w:r>
      <w:r w:rsidR="0093037F">
        <w:t>.</w:t>
      </w:r>
    </w:p>
    <w:p w:rsidR="000B5E8F" w:rsidRPr="00304871" w:rsidRDefault="000B5E8F" w:rsidP="0055667E">
      <w:pPr>
        <w:pStyle w:val="ListParagraph"/>
        <w:numPr>
          <w:ilvl w:val="1"/>
          <w:numId w:val="31"/>
        </w:numPr>
        <w:spacing w:before="0" w:after="120"/>
        <w:ind w:left="851" w:hanging="284"/>
        <w:jc w:val="both"/>
        <w:rPr>
          <w:rFonts w:cs="Arial"/>
          <w:bCs/>
          <w:snapToGrid w:val="0"/>
          <w:lang w:val="en-GB"/>
        </w:rPr>
      </w:pPr>
      <w:r w:rsidRPr="00304871">
        <w:rPr>
          <w:rFonts w:cs="Arial"/>
          <w:bCs/>
          <w:snapToGrid w:val="0"/>
          <w:lang w:val="en-GB"/>
        </w:rPr>
        <w:t xml:space="preserve">PFS </w:t>
      </w:r>
      <w:r w:rsidR="001E51CA" w:rsidRPr="00304871">
        <w:rPr>
          <w:rFonts w:cs="Arial"/>
          <w:bCs/>
          <w:snapToGrid w:val="0"/>
          <w:lang w:val="en-GB"/>
        </w:rPr>
        <w:t>was used to</w:t>
      </w:r>
      <w:r w:rsidRPr="00304871">
        <w:rPr>
          <w:rFonts w:cs="Arial"/>
          <w:bCs/>
          <w:snapToGrid w:val="0"/>
          <w:lang w:val="en-GB"/>
        </w:rPr>
        <w:t xml:space="preserve"> </w:t>
      </w:r>
      <w:r w:rsidR="001E51CA" w:rsidRPr="00304871">
        <w:rPr>
          <w:rFonts w:cs="Arial"/>
          <w:bCs/>
          <w:snapToGrid w:val="0"/>
          <w:lang w:val="en-GB"/>
        </w:rPr>
        <w:t xml:space="preserve">estimate </w:t>
      </w:r>
      <w:r w:rsidRPr="00304871">
        <w:rPr>
          <w:rFonts w:cs="Arial"/>
          <w:bCs/>
          <w:snapToGrid w:val="0"/>
          <w:lang w:val="en-GB"/>
        </w:rPr>
        <w:t xml:space="preserve">the costs of pembrolizumab </w:t>
      </w:r>
      <w:r w:rsidR="004E1228">
        <w:rPr>
          <w:rFonts w:cs="Arial"/>
          <w:bCs/>
          <w:snapToGrid w:val="0"/>
          <w:lang w:val="en-GB"/>
        </w:rPr>
        <w:t xml:space="preserve">rather than time on treatment, with </w:t>
      </w:r>
      <w:r w:rsidR="00785457" w:rsidRPr="00304871">
        <w:rPr>
          <w:rFonts w:cs="Arial"/>
          <w:bCs/>
          <w:snapToGrid w:val="0"/>
          <w:lang w:val="en-GB"/>
        </w:rPr>
        <w:t>patients in the trial accessing treatment beyond progression</w:t>
      </w:r>
      <w:r w:rsidR="00D10D34" w:rsidRPr="00304871">
        <w:rPr>
          <w:rFonts w:cs="Arial"/>
          <w:bCs/>
          <w:snapToGrid w:val="0"/>
          <w:lang w:val="en-GB"/>
        </w:rPr>
        <w:t>. Further,</w:t>
      </w:r>
      <w:r w:rsidR="00785457" w:rsidRPr="00304871">
        <w:rPr>
          <w:rFonts w:cs="Arial"/>
          <w:bCs/>
          <w:snapToGrid w:val="0"/>
          <w:lang w:val="en-GB"/>
        </w:rPr>
        <w:t xml:space="preserve"> </w:t>
      </w:r>
      <w:r w:rsidR="0093037F">
        <w:rPr>
          <w:rFonts w:cs="Arial"/>
          <w:bCs/>
          <w:snapToGrid w:val="0"/>
          <w:lang w:val="en-GB"/>
        </w:rPr>
        <w:t xml:space="preserve">evidence of </w:t>
      </w:r>
      <w:r w:rsidR="00785457" w:rsidRPr="00304871">
        <w:rPr>
          <w:rFonts w:eastAsiaTheme="majorEastAsia" w:cstheme="majorBidi"/>
        </w:rPr>
        <w:t xml:space="preserve">progression </w:t>
      </w:r>
      <w:r w:rsidR="0093037F">
        <w:rPr>
          <w:rFonts w:eastAsiaTheme="majorEastAsia" w:cstheme="majorBidi"/>
        </w:rPr>
        <w:t xml:space="preserve">is less likely </w:t>
      </w:r>
      <w:r w:rsidR="00785457" w:rsidRPr="00304871">
        <w:rPr>
          <w:rFonts w:eastAsiaTheme="majorEastAsia" w:cstheme="majorBidi"/>
        </w:rPr>
        <w:t xml:space="preserve">to </w:t>
      </w:r>
      <w:r w:rsidR="0093037F">
        <w:rPr>
          <w:rFonts w:eastAsiaTheme="majorEastAsia" w:cstheme="majorBidi"/>
        </w:rPr>
        <w:t xml:space="preserve">be </w:t>
      </w:r>
      <w:r w:rsidR="00785457" w:rsidRPr="00304871">
        <w:rPr>
          <w:rFonts w:eastAsiaTheme="majorEastAsia" w:cstheme="majorBidi"/>
        </w:rPr>
        <w:t>monitor</w:t>
      </w:r>
      <w:r w:rsidR="0093037F">
        <w:rPr>
          <w:rFonts w:eastAsiaTheme="majorEastAsia" w:cstheme="majorBidi"/>
        </w:rPr>
        <w:t xml:space="preserve">ed </w:t>
      </w:r>
      <w:r w:rsidR="004E661A">
        <w:rPr>
          <w:rFonts w:eastAsiaTheme="majorEastAsia" w:cstheme="majorBidi"/>
        </w:rPr>
        <w:t>as</w:t>
      </w:r>
      <w:r w:rsidR="0093037F">
        <w:rPr>
          <w:rFonts w:eastAsiaTheme="majorEastAsia" w:cstheme="majorBidi"/>
        </w:rPr>
        <w:t xml:space="preserve"> intensively</w:t>
      </w:r>
      <w:r w:rsidR="00785457" w:rsidRPr="00304871">
        <w:rPr>
          <w:rFonts w:eastAsiaTheme="majorEastAsia" w:cstheme="majorBidi"/>
        </w:rPr>
        <w:t xml:space="preserve"> in </w:t>
      </w:r>
      <w:r w:rsidR="0093037F">
        <w:rPr>
          <w:rFonts w:eastAsiaTheme="majorEastAsia" w:cstheme="majorBidi"/>
        </w:rPr>
        <w:t xml:space="preserve">regular </w:t>
      </w:r>
      <w:r w:rsidR="00785457" w:rsidRPr="00304871">
        <w:rPr>
          <w:rFonts w:eastAsiaTheme="majorEastAsia" w:cstheme="majorBidi"/>
        </w:rPr>
        <w:t>clinical practice</w:t>
      </w:r>
      <w:r w:rsidR="004E661A">
        <w:rPr>
          <w:rFonts w:eastAsiaTheme="majorEastAsia" w:cstheme="majorBidi"/>
        </w:rPr>
        <w:t xml:space="preserve"> compared with the trial</w:t>
      </w:r>
      <w:r w:rsidRPr="00304871">
        <w:rPr>
          <w:rFonts w:cs="Arial"/>
          <w:bCs/>
          <w:snapToGrid w:val="0"/>
          <w:lang w:val="en-GB"/>
        </w:rPr>
        <w:t>.</w:t>
      </w:r>
    </w:p>
    <w:p w:rsidR="00785457" w:rsidRPr="00304871" w:rsidRDefault="00785457" w:rsidP="00785457">
      <w:pPr>
        <w:pStyle w:val="ListParagraph"/>
        <w:numPr>
          <w:ilvl w:val="1"/>
          <w:numId w:val="31"/>
        </w:numPr>
        <w:spacing w:before="0" w:after="120"/>
        <w:ind w:left="851" w:hanging="284"/>
        <w:jc w:val="both"/>
        <w:rPr>
          <w:rFonts w:cs="Arial"/>
          <w:bCs/>
          <w:snapToGrid w:val="0"/>
          <w:lang w:val="en-GB"/>
        </w:rPr>
      </w:pPr>
      <w:r w:rsidRPr="00304871">
        <w:rPr>
          <w:rFonts w:cs="Arial"/>
          <w:bCs/>
          <w:snapToGrid w:val="0"/>
          <w:lang w:val="en-GB"/>
        </w:rPr>
        <w:t xml:space="preserve">The start point of extrapolation was very early in the data (27 weeks for PFS and 40 weeks for OS), and </w:t>
      </w:r>
      <w:r w:rsidR="0093037F">
        <w:rPr>
          <w:rFonts w:cs="Arial"/>
          <w:bCs/>
          <w:snapToGrid w:val="0"/>
          <w:lang w:val="en-GB"/>
        </w:rPr>
        <w:t xml:space="preserve">the </w:t>
      </w:r>
      <w:r w:rsidR="004E661A">
        <w:rPr>
          <w:rFonts w:cs="Arial"/>
          <w:bCs/>
          <w:snapToGrid w:val="0"/>
          <w:lang w:val="en-GB"/>
        </w:rPr>
        <w:t xml:space="preserve">associated </w:t>
      </w:r>
      <w:r w:rsidR="0093037F">
        <w:rPr>
          <w:rFonts w:cs="Arial"/>
          <w:bCs/>
          <w:snapToGrid w:val="0"/>
          <w:lang w:val="en-GB"/>
        </w:rPr>
        <w:t>truncated overlap of the goodness of fit assessment of the parametric functions forming th</w:t>
      </w:r>
      <w:r w:rsidR="004E661A">
        <w:rPr>
          <w:rFonts w:cs="Arial"/>
          <w:bCs/>
          <w:snapToGrid w:val="0"/>
          <w:lang w:val="en-GB"/>
        </w:rPr>
        <w:t>ese</w:t>
      </w:r>
      <w:r w:rsidR="0093037F">
        <w:rPr>
          <w:rFonts w:cs="Arial"/>
          <w:bCs/>
          <w:snapToGrid w:val="0"/>
          <w:lang w:val="en-GB"/>
        </w:rPr>
        <w:t xml:space="preserve"> extrapolation</w:t>
      </w:r>
      <w:r w:rsidR="004E661A">
        <w:rPr>
          <w:rFonts w:cs="Arial"/>
          <w:bCs/>
          <w:snapToGrid w:val="0"/>
          <w:lang w:val="en-GB"/>
        </w:rPr>
        <w:t>s</w:t>
      </w:r>
      <w:r w:rsidR="0093037F">
        <w:rPr>
          <w:rFonts w:cs="Arial"/>
          <w:bCs/>
          <w:snapToGrid w:val="0"/>
          <w:lang w:val="en-GB"/>
        </w:rPr>
        <w:t xml:space="preserve"> with the observed Kaplan-Meier results</w:t>
      </w:r>
      <w:r w:rsidR="004E661A">
        <w:rPr>
          <w:rFonts w:cs="Arial"/>
          <w:bCs/>
          <w:snapToGrid w:val="0"/>
          <w:lang w:val="en-GB"/>
        </w:rPr>
        <w:t>,</w:t>
      </w:r>
      <w:r w:rsidR="0093037F">
        <w:rPr>
          <w:rFonts w:cs="Arial"/>
          <w:bCs/>
          <w:snapToGrid w:val="0"/>
          <w:lang w:val="en-GB"/>
        </w:rPr>
        <w:t xml:space="preserve"> were</w:t>
      </w:r>
      <w:r w:rsidRPr="00304871">
        <w:rPr>
          <w:rFonts w:cs="Arial"/>
          <w:bCs/>
          <w:snapToGrid w:val="0"/>
          <w:lang w:val="en-GB"/>
        </w:rPr>
        <w:t xml:space="preserve"> insufficiently justified because </w:t>
      </w:r>
      <w:r w:rsidR="0093037F">
        <w:rPr>
          <w:rFonts w:cs="Arial"/>
          <w:bCs/>
          <w:snapToGrid w:val="0"/>
          <w:lang w:val="en-GB"/>
        </w:rPr>
        <w:t xml:space="preserve">they were </w:t>
      </w:r>
      <w:r w:rsidRPr="00304871">
        <w:rPr>
          <w:rFonts w:cs="Arial"/>
          <w:bCs/>
          <w:snapToGrid w:val="0"/>
          <w:lang w:val="en-GB"/>
        </w:rPr>
        <w:t xml:space="preserve">based on </w:t>
      </w:r>
      <w:r w:rsidRPr="00304871">
        <w:rPr>
          <w:rFonts w:cs="Arial"/>
          <w:szCs w:val="24"/>
        </w:rPr>
        <w:t xml:space="preserve">inappropriate </w:t>
      </w:r>
      <w:r w:rsidRPr="00304871">
        <w:rPr>
          <w:rFonts w:cs="Arial"/>
          <w:i/>
          <w:szCs w:val="24"/>
        </w:rPr>
        <w:t xml:space="preserve">post-hoc </w:t>
      </w:r>
      <w:r w:rsidRPr="00304871">
        <w:rPr>
          <w:rFonts w:cs="Arial"/>
          <w:szCs w:val="24"/>
        </w:rPr>
        <w:t>application</w:t>
      </w:r>
      <w:r w:rsidR="004E661A">
        <w:rPr>
          <w:rFonts w:cs="Arial"/>
          <w:szCs w:val="24"/>
        </w:rPr>
        <w:t>s</w:t>
      </w:r>
      <w:r w:rsidRPr="00304871">
        <w:rPr>
          <w:rFonts w:cs="Arial"/>
          <w:szCs w:val="24"/>
        </w:rPr>
        <w:t xml:space="preserve"> of the</w:t>
      </w:r>
      <w:r w:rsidRPr="00304871">
        <w:rPr>
          <w:rFonts w:cs="Arial"/>
          <w:bCs/>
          <w:snapToGrid w:val="0"/>
          <w:lang w:val="en-GB"/>
        </w:rPr>
        <w:t xml:space="preserve"> </w:t>
      </w:r>
      <w:r w:rsidRPr="00304871">
        <w:rPr>
          <w:rFonts w:cs="Arial"/>
          <w:szCs w:val="24"/>
        </w:rPr>
        <w:t>Chow test.</w:t>
      </w:r>
    </w:p>
    <w:p w:rsidR="0055667E" w:rsidRPr="0071697F" w:rsidRDefault="0055667E" w:rsidP="0077195B">
      <w:pPr>
        <w:pStyle w:val="ListParagraph"/>
        <w:numPr>
          <w:ilvl w:val="1"/>
          <w:numId w:val="31"/>
        </w:numPr>
        <w:spacing w:before="0" w:after="120"/>
        <w:ind w:left="851" w:hanging="284"/>
        <w:jc w:val="both"/>
        <w:rPr>
          <w:rFonts w:cs="Arial"/>
          <w:bCs/>
          <w:snapToGrid w:val="0"/>
          <w:lang w:val="en-GB"/>
        </w:rPr>
      </w:pPr>
      <w:r w:rsidRPr="0055667E">
        <w:rPr>
          <w:rFonts w:eastAsiaTheme="majorEastAsia" w:cstheme="majorBidi"/>
        </w:rPr>
        <w:t>A</w:t>
      </w:r>
      <w:r w:rsidR="0056086D" w:rsidRPr="0055667E">
        <w:rPr>
          <w:rFonts w:eastAsiaTheme="majorEastAsia" w:cstheme="majorBidi"/>
        </w:rPr>
        <w:t xml:space="preserve">pplying different parametric distributions </w:t>
      </w:r>
      <w:r w:rsidRPr="0055667E">
        <w:rPr>
          <w:rFonts w:eastAsiaTheme="majorEastAsia" w:cstheme="majorBidi"/>
        </w:rPr>
        <w:t xml:space="preserve">between arms </w:t>
      </w:r>
      <w:r w:rsidR="0093037F">
        <w:rPr>
          <w:rFonts w:eastAsiaTheme="majorEastAsia" w:cstheme="majorBidi"/>
        </w:rPr>
        <w:t xml:space="preserve">was not justified as being </w:t>
      </w:r>
      <w:r w:rsidR="0056086D" w:rsidRPr="008D6F0B">
        <w:rPr>
          <w:rFonts w:eastAsiaTheme="majorEastAsia" w:cstheme="majorBidi"/>
        </w:rPr>
        <w:t xml:space="preserve">biologically plausible when comparing treatments for the </w:t>
      </w:r>
      <w:r w:rsidR="0056086D" w:rsidRPr="0077195B">
        <w:rPr>
          <w:rFonts w:eastAsiaTheme="majorEastAsia" w:cstheme="majorBidi"/>
        </w:rPr>
        <w:t>same condition.</w:t>
      </w:r>
    </w:p>
    <w:p w:rsidR="0071697F" w:rsidRPr="0071697F" w:rsidRDefault="0071697F" w:rsidP="0071697F">
      <w:pPr>
        <w:pStyle w:val="ListParagraph"/>
        <w:numPr>
          <w:ilvl w:val="1"/>
          <w:numId w:val="31"/>
        </w:numPr>
        <w:spacing w:before="0" w:after="120"/>
        <w:ind w:left="851" w:hanging="284"/>
        <w:jc w:val="both"/>
        <w:rPr>
          <w:rFonts w:cs="Arial"/>
          <w:bCs/>
          <w:snapToGrid w:val="0"/>
          <w:lang w:val="en-GB"/>
        </w:rPr>
      </w:pPr>
      <w:r w:rsidRPr="00D35136">
        <w:rPr>
          <w:rFonts w:eastAsiaTheme="majorEastAsia" w:cstheme="majorBidi"/>
        </w:rPr>
        <w:t>There was limited long-term follow-up (extended interim analysis 18.5 months),</w:t>
      </w:r>
      <w:r>
        <w:rPr>
          <w:rFonts w:eastAsiaTheme="majorEastAsia" w:cstheme="majorBidi"/>
        </w:rPr>
        <w:t xml:space="preserve"> which increased uncertainty in the magnitude of clinical benefit.</w:t>
      </w:r>
    </w:p>
    <w:p w:rsidR="00642BDF" w:rsidRDefault="0055667E" w:rsidP="00B214D4">
      <w:pPr>
        <w:pStyle w:val="ListParagraph"/>
        <w:numPr>
          <w:ilvl w:val="1"/>
          <w:numId w:val="1"/>
        </w:numPr>
        <w:spacing w:before="0" w:after="120"/>
        <w:jc w:val="both"/>
        <w:rPr>
          <w:rFonts w:cs="Arial"/>
          <w:bCs/>
          <w:snapToGrid w:val="0"/>
          <w:lang w:val="en-GB"/>
        </w:rPr>
      </w:pPr>
      <w:r>
        <w:rPr>
          <w:rFonts w:cs="Arial"/>
          <w:bCs/>
          <w:snapToGrid w:val="0"/>
          <w:lang w:val="en-GB"/>
        </w:rPr>
        <w:t xml:space="preserve">The PBAC advised that any future resubmission should </w:t>
      </w:r>
      <w:r w:rsidR="00997C25">
        <w:rPr>
          <w:rFonts w:cs="Arial"/>
          <w:bCs/>
          <w:snapToGrid w:val="0"/>
          <w:lang w:val="en-GB"/>
        </w:rPr>
        <w:t xml:space="preserve">respecify the base case of </w:t>
      </w:r>
      <w:r>
        <w:rPr>
          <w:rFonts w:cs="Arial"/>
          <w:bCs/>
          <w:snapToGrid w:val="0"/>
          <w:lang w:val="en-GB"/>
        </w:rPr>
        <w:t>the economic model to</w:t>
      </w:r>
      <w:r w:rsidR="004E661A">
        <w:rPr>
          <w:rFonts w:cs="Arial"/>
          <w:bCs/>
          <w:snapToGrid w:val="0"/>
          <w:lang w:val="en-GB"/>
        </w:rPr>
        <w:t>:</w:t>
      </w:r>
    </w:p>
    <w:p w:rsidR="00642BDF" w:rsidRDefault="004E661A" w:rsidP="00642BDF">
      <w:pPr>
        <w:pStyle w:val="ListParagraph"/>
        <w:numPr>
          <w:ilvl w:val="1"/>
          <w:numId w:val="31"/>
        </w:numPr>
        <w:spacing w:before="0" w:after="120"/>
        <w:ind w:left="851" w:hanging="284"/>
        <w:jc w:val="both"/>
        <w:rPr>
          <w:rFonts w:cs="Arial"/>
          <w:bCs/>
          <w:snapToGrid w:val="0"/>
          <w:lang w:val="en-GB"/>
        </w:rPr>
      </w:pPr>
      <w:r w:rsidRPr="00642BDF">
        <w:rPr>
          <w:rFonts w:eastAsiaTheme="majorEastAsia" w:cstheme="majorBidi"/>
        </w:rPr>
        <w:t>extrapolate</w:t>
      </w:r>
      <w:r w:rsidRPr="00642BDF">
        <w:rPr>
          <w:rFonts w:cs="Arial"/>
          <w:bCs/>
          <w:snapToGrid w:val="0"/>
          <w:lang w:val="en-GB"/>
        </w:rPr>
        <w:t xml:space="preserve"> </w:t>
      </w:r>
      <w:r w:rsidR="00DE1509" w:rsidRPr="00642BDF">
        <w:rPr>
          <w:rFonts w:cs="Arial"/>
          <w:bCs/>
          <w:snapToGrid w:val="0"/>
          <w:lang w:val="en-GB"/>
        </w:rPr>
        <w:t xml:space="preserve">the observed </w:t>
      </w:r>
      <w:r w:rsidR="0055667E" w:rsidRPr="00642BDF">
        <w:rPr>
          <w:rFonts w:cs="Arial"/>
          <w:bCs/>
          <w:snapToGrid w:val="0"/>
          <w:lang w:val="en-GB"/>
        </w:rPr>
        <w:t>ToT to estimate treatment duration</w:t>
      </w:r>
      <w:r w:rsidR="00DE1509" w:rsidRPr="00642BDF">
        <w:rPr>
          <w:rFonts w:cs="Arial"/>
          <w:bCs/>
          <w:snapToGrid w:val="0"/>
          <w:lang w:val="en-GB"/>
        </w:rPr>
        <w:t xml:space="preserve"> for estimating the costs of treatment</w:t>
      </w:r>
      <w:r w:rsidR="0055667E" w:rsidRPr="00642BDF">
        <w:rPr>
          <w:rFonts w:cs="Arial"/>
          <w:bCs/>
          <w:snapToGrid w:val="0"/>
          <w:lang w:val="en-GB"/>
        </w:rPr>
        <w:t>;</w:t>
      </w:r>
    </w:p>
    <w:p w:rsidR="00642BDF" w:rsidRDefault="0055667E" w:rsidP="00642BDF">
      <w:pPr>
        <w:pStyle w:val="ListParagraph"/>
        <w:numPr>
          <w:ilvl w:val="1"/>
          <w:numId w:val="31"/>
        </w:numPr>
        <w:spacing w:before="0" w:after="120"/>
        <w:ind w:left="851" w:hanging="284"/>
        <w:jc w:val="both"/>
        <w:rPr>
          <w:rFonts w:cs="Arial"/>
          <w:bCs/>
          <w:snapToGrid w:val="0"/>
          <w:lang w:val="en-GB"/>
        </w:rPr>
      </w:pPr>
      <w:r w:rsidRPr="00642BDF">
        <w:rPr>
          <w:rFonts w:cs="Arial"/>
          <w:bCs/>
          <w:snapToGrid w:val="0"/>
          <w:lang w:val="en-GB"/>
        </w:rPr>
        <w:t xml:space="preserve">use the </w:t>
      </w:r>
      <w:r w:rsidR="00B34BFD" w:rsidRPr="00642BDF">
        <w:rPr>
          <w:rFonts w:cs="Arial"/>
          <w:bCs/>
          <w:snapToGrid w:val="0"/>
          <w:lang w:val="en-GB"/>
        </w:rPr>
        <w:t xml:space="preserve">observed </w:t>
      </w:r>
      <w:r w:rsidRPr="00642BDF">
        <w:rPr>
          <w:rFonts w:cs="Arial"/>
          <w:bCs/>
          <w:snapToGrid w:val="0"/>
          <w:lang w:val="en-GB"/>
        </w:rPr>
        <w:t xml:space="preserve">Kaplan-Meier </w:t>
      </w:r>
      <w:r w:rsidR="00B34BFD" w:rsidRPr="00642BDF">
        <w:rPr>
          <w:rFonts w:cs="Arial"/>
          <w:bCs/>
          <w:snapToGrid w:val="0"/>
          <w:lang w:val="en-GB"/>
        </w:rPr>
        <w:t xml:space="preserve">results </w:t>
      </w:r>
      <w:r w:rsidR="00997C25">
        <w:rPr>
          <w:rFonts w:cs="Arial"/>
          <w:bCs/>
          <w:snapToGrid w:val="0"/>
          <w:lang w:val="en-GB"/>
        </w:rPr>
        <w:t xml:space="preserve">in the model up </w:t>
      </w:r>
      <w:r w:rsidRPr="00642BDF">
        <w:rPr>
          <w:rFonts w:cs="Arial"/>
          <w:bCs/>
          <w:snapToGrid w:val="0"/>
          <w:lang w:val="en-GB"/>
        </w:rPr>
        <w:t xml:space="preserve">to </w:t>
      </w:r>
      <w:r w:rsidR="004E661A" w:rsidRPr="00642BDF">
        <w:rPr>
          <w:rFonts w:cs="Arial"/>
          <w:bCs/>
          <w:snapToGrid w:val="0"/>
          <w:lang w:val="en-GB"/>
        </w:rPr>
        <w:t xml:space="preserve">the </w:t>
      </w:r>
      <w:r w:rsidRPr="00642BDF">
        <w:rPr>
          <w:rFonts w:cs="Arial"/>
          <w:bCs/>
          <w:snapToGrid w:val="0"/>
          <w:lang w:val="en-GB"/>
        </w:rPr>
        <w:t xml:space="preserve">median </w:t>
      </w:r>
      <w:r w:rsidR="004E661A" w:rsidRPr="00642BDF">
        <w:rPr>
          <w:rFonts w:cs="Arial"/>
          <w:bCs/>
          <w:snapToGrid w:val="0"/>
          <w:lang w:val="en-GB"/>
        </w:rPr>
        <w:t>duration of f</w:t>
      </w:r>
      <w:r w:rsidRPr="00642BDF">
        <w:rPr>
          <w:rFonts w:cs="Arial"/>
          <w:bCs/>
          <w:snapToGrid w:val="0"/>
          <w:lang w:val="en-GB"/>
        </w:rPr>
        <w:t>ollow</w:t>
      </w:r>
      <w:r w:rsidR="00B34BFD" w:rsidRPr="00642BDF">
        <w:rPr>
          <w:rFonts w:cs="Arial"/>
          <w:bCs/>
          <w:snapToGrid w:val="0"/>
          <w:lang w:val="en-GB"/>
        </w:rPr>
        <w:t>-</w:t>
      </w:r>
      <w:r w:rsidRPr="00642BDF">
        <w:rPr>
          <w:rFonts w:cs="Arial"/>
          <w:bCs/>
          <w:snapToGrid w:val="0"/>
          <w:lang w:val="en-GB"/>
        </w:rPr>
        <w:t>up</w:t>
      </w:r>
      <w:r w:rsidRPr="00997C25">
        <w:rPr>
          <w:rFonts w:cs="Arial"/>
          <w:bCs/>
          <w:snapToGrid w:val="0"/>
          <w:lang w:val="en-GB"/>
        </w:rPr>
        <w:t>;</w:t>
      </w:r>
    </w:p>
    <w:p w:rsidR="00642BDF" w:rsidRDefault="005228EC" w:rsidP="005228EC">
      <w:pPr>
        <w:pStyle w:val="ListParagraph"/>
        <w:numPr>
          <w:ilvl w:val="1"/>
          <w:numId w:val="31"/>
        </w:numPr>
        <w:spacing w:before="0" w:after="120"/>
        <w:ind w:left="851" w:hanging="284"/>
        <w:jc w:val="both"/>
        <w:rPr>
          <w:rFonts w:cs="Arial"/>
          <w:bCs/>
          <w:snapToGrid w:val="0"/>
          <w:lang w:val="en-GB"/>
        </w:rPr>
      </w:pPr>
      <w:r w:rsidRPr="00997C25">
        <w:rPr>
          <w:rFonts w:cs="Arial"/>
          <w:bCs/>
          <w:snapToGrid w:val="0"/>
          <w:lang w:val="en-GB"/>
        </w:rPr>
        <w:t>extrapolate the PFS and OS curves in the model beyond this time point</w:t>
      </w:r>
      <w:r>
        <w:rPr>
          <w:rFonts w:cs="Arial"/>
          <w:bCs/>
          <w:snapToGrid w:val="0"/>
          <w:lang w:val="en-GB"/>
        </w:rPr>
        <w:t xml:space="preserve"> with reference to parametric functions</w:t>
      </w:r>
      <w:r w:rsidR="002F19D8">
        <w:rPr>
          <w:rFonts w:cs="Arial"/>
          <w:bCs/>
          <w:snapToGrid w:val="0"/>
          <w:lang w:val="en-GB"/>
        </w:rPr>
        <w:t xml:space="preserve"> generated</w:t>
      </w:r>
      <w:r w:rsidRPr="00642BDF">
        <w:rPr>
          <w:rFonts w:cs="Arial"/>
          <w:bCs/>
          <w:snapToGrid w:val="0"/>
          <w:lang w:val="en-GB"/>
        </w:rPr>
        <w:t xml:space="preserve"> </w:t>
      </w:r>
      <w:r w:rsidR="002F19D8">
        <w:rPr>
          <w:rFonts w:cs="Arial"/>
          <w:bCs/>
          <w:snapToGrid w:val="0"/>
          <w:lang w:val="en-GB"/>
        </w:rPr>
        <w:t xml:space="preserve">by </w:t>
      </w:r>
      <w:r>
        <w:rPr>
          <w:rFonts w:cs="Arial"/>
          <w:bCs/>
          <w:snapToGrid w:val="0"/>
          <w:lang w:val="en-GB"/>
        </w:rPr>
        <w:t xml:space="preserve">appropriately </w:t>
      </w:r>
      <w:r w:rsidR="0055667E" w:rsidRPr="00642BDF">
        <w:rPr>
          <w:rFonts w:cs="Arial"/>
          <w:bCs/>
          <w:snapToGrid w:val="0"/>
          <w:lang w:val="en-GB"/>
        </w:rPr>
        <w:t>us</w:t>
      </w:r>
      <w:r w:rsidR="002F19D8">
        <w:rPr>
          <w:rFonts w:cs="Arial"/>
          <w:bCs/>
          <w:snapToGrid w:val="0"/>
          <w:lang w:val="en-GB"/>
        </w:rPr>
        <w:t>ing</w:t>
      </w:r>
      <w:r w:rsidR="0055667E" w:rsidRPr="00642BDF">
        <w:rPr>
          <w:rFonts w:cs="Arial"/>
          <w:bCs/>
          <w:snapToGrid w:val="0"/>
          <w:lang w:val="en-GB"/>
        </w:rPr>
        <w:t xml:space="preserve"> the </w:t>
      </w:r>
      <w:r w:rsidR="00C54919" w:rsidRPr="00642BDF">
        <w:rPr>
          <w:rFonts w:cs="Arial"/>
          <w:bCs/>
          <w:snapToGrid w:val="0"/>
          <w:lang w:val="en-GB"/>
        </w:rPr>
        <w:t xml:space="preserve">observed </w:t>
      </w:r>
      <w:r w:rsidR="0055667E" w:rsidRPr="00642BDF">
        <w:rPr>
          <w:rFonts w:cs="Arial"/>
          <w:bCs/>
          <w:snapToGrid w:val="0"/>
          <w:lang w:val="en-GB"/>
        </w:rPr>
        <w:t xml:space="preserve">Kaplan-Meier </w:t>
      </w:r>
      <w:r w:rsidR="00B34BFD" w:rsidRPr="00642BDF">
        <w:rPr>
          <w:rFonts w:cs="Arial"/>
          <w:bCs/>
          <w:snapToGrid w:val="0"/>
          <w:lang w:val="en-GB"/>
        </w:rPr>
        <w:t xml:space="preserve">results for each treatment arm </w:t>
      </w:r>
      <w:r w:rsidR="0055667E" w:rsidRPr="00997C25">
        <w:rPr>
          <w:rFonts w:cs="Arial"/>
          <w:bCs/>
          <w:snapToGrid w:val="0"/>
          <w:lang w:val="en-GB"/>
        </w:rPr>
        <w:t>to inform the</w:t>
      </w:r>
      <w:r w:rsidR="002F19D8">
        <w:rPr>
          <w:rFonts w:cs="Arial"/>
          <w:bCs/>
          <w:snapToGrid w:val="0"/>
          <w:lang w:val="en-GB"/>
        </w:rPr>
        <w:t>ir</w:t>
      </w:r>
      <w:r w:rsidR="0055667E" w:rsidRPr="00997C25">
        <w:rPr>
          <w:rFonts w:cs="Arial"/>
          <w:bCs/>
          <w:snapToGrid w:val="0"/>
          <w:lang w:val="en-GB"/>
        </w:rPr>
        <w:t xml:space="preserve"> </w:t>
      </w:r>
      <w:r w:rsidR="00B34BFD" w:rsidRPr="00997C25">
        <w:rPr>
          <w:rFonts w:cs="Arial"/>
          <w:bCs/>
          <w:snapToGrid w:val="0"/>
          <w:lang w:val="en-GB"/>
        </w:rPr>
        <w:t xml:space="preserve">goodness of fit assessment </w:t>
      </w:r>
      <w:r w:rsidRPr="005228EC">
        <w:rPr>
          <w:rFonts w:cs="Arial"/>
          <w:bCs/>
          <w:snapToGrid w:val="0"/>
          <w:lang w:val="en-GB"/>
        </w:rPr>
        <w:t xml:space="preserve">(i.e. not excluding any </w:t>
      </w:r>
      <w:r w:rsidR="002F19D8">
        <w:rPr>
          <w:rFonts w:cs="Arial"/>
          <w:bCs/>
          <w:snapToGrid w:val="0"/>
          <w:lang w:val="en-GB"/>
        </w:rPr>
        <w:t xml:space="preserve">Kaplan-Meier </w:t>
      </w:r>
      <w:r w:rsidRPr="005228EC">
        <w:rPr>
          <w:rFonts w:cs="Arial"/>
          <w:bCs/>
          <w:snapToGrid w:val="0"/>
          <w:lang w:val="en-GB"/>
        </w:rPr>
        <w:t>results by relying on the Chow test)</w:t>
      </w:r>
      <w:r w:rsidR="0055667E" w:rsidRPr="00997C25">
        <w:rPr>
          <w:rFonts w:cs="Arial"/>
          <w:bCs/>
          <w:snapToGrid w:val="0"/>
          <w:lang w:val="en-GB"/>
        </w:rPr>
        <w:t>;</w:t>
      </w:r>
    </w:p>
    <w:p w:rsidR="00642BDF" w:rsidRDefault="0055667E" w:rsidP="00642BDF">
      <w:pPr>
        <w:pStyle w:val="ListParagraph"/>
        <w:numPr>
          <w:ilvl w:val="1"/>
          <w:numId w:val="31"/>
        </w:numPr>
        <w:spacing w:before="0" w:after="120"/>
        <w:ind w:left="851" w:hanging="284"/>
        <w:jc w:val="both"/>
        <w:rPr>
          <w:rFonts w:cs="Arial"/>
          <w:bCs/>
          <w:snapToGrid w:val="0"/>
          <w:lang w:val="en-GB"/>
        </w:rPr>
      </w:pPr>
      <w:r w:rsidRPr="00642BDF">
        <w:rPr>
          <w:rFonts w:cs="Arial"/>
          <w:bCs/>
          <w:snapToGrid w:val="0"/>
          <w:lang w:val="en-GB"/>
        </w:rPr>
        <w:t>apply the same extrapolation function between treatment arms</w:t>
      </w:r>
      <w:r w:rsidR="00534422">
        <w:rPr>
          <w:rFonts w:cs="Arial"/>
          <w:bCs/>
          <w:snapToGrid w:val="0"/>
          <w:lang w:val="en-GB"/>
        </w:rPr>
        <w:t xml:space="preserve"> for both PFS and OS</w:t>
      </w:r>
      <w:r w:rsidR="008D6F0B" w:rsidRPr="00642BDF">
        <w:rPr>
          <w:rFonts w:cs="Arial"/>
          <w:bCs/>
          <w:snapToGrid w:val="0"/>
          <w:lang w:val="en-GB"/>
        </w:rPr>
        <w:t>;</w:t>
      </w:r>
    </w:p>
    <w:p w:rsidR="00642BDF" w:rsidRDefault="008D6F0B" w:rsidP="00642BDF">
      <w:pPr>
        <w:pStyle w:val="ListParagraph"/>
        <w:numPr>
          <w:ilvl w:val="1"/>
          <w:numId w:val="31"/>
        </w:numPr>
        <w:spacing w:before="0" w:after="120"/>
        <w:ind w:left="851" w:hanging="284"/>
        <w:jc w:val="both"/>
        <w:rPr>
          <w:rFonts w:cs="Arial"/>
          <w:bCs/>
          <w:snapToGrid w:val="0"/>
          <w:lang w:val="en-GB"/>
        </w:rPr>
      </w:pPr>
      <w:r w:rsidRPr="00642BDF">
        <w:rPr>
          <w:rFonts w:cs="Arial"/>
          <w:bCs/>
          <w:snapToGrid w:val="0"/>
          <w:lang w:val="en-GB"/>
        </w:rPr>
        <w:t>apply a conservative</w:t>
      </w:r>
      <w:r w:rsidR="0055667E" w:rsidRPr="00642BDF">
        <w:rPr>
          <w:rFonts w:cs="Arial"/>
          <w:bCs/>
          <w:snapToGrid w:val="0"/>
          <w:lang w:val="en-GB"/>
        </w:rPr>
        <w:t xml:space="preserve"> </w:t>
      </w:r>
      <w:r w:rsidR="00B34BFD" w:rsidRPr="00642BDF">
        <w:rPr>
          <w:rFonts w:cs="Arial"/>
          <w:bCs/>
          <w:snapToGrid w:val="0"/>
          <w:lang w:val="en-GB"/>
        </w:rPr>
        <w:t xml:space="preserve">set of </w:t>
      </w:r>
      <w:r w:rsidR="0055667E" w:rsidRPr="00642BDF">
        <w:rPr>
          <w:rFonts w:cs="Arial"/>
          <w:bCs/>
          <w:snapToGrid w:val="0"/>
          <w:lang w:val="en-GB"/>
        </w:rPr>
        <w:t>extrapolation curve</w:t>
      </w:r>
      <w:r w:rsidR="00B34BFD" w:rsidRPr="00642BDF">
        <w:rPr>
          <w:rFonts w:cs="Arial"/>
          <w:bCs/>
          <w:snapToGrid w:val="0"/>
          <w:lang w:val="en-GB"/>
        </w:rPr>
        <w:t>s</w:t>
      </w:r>
      <w:r w:rsidR="0055667E" w:rsidRPr="00642BDF">
        <w:rPr>
          <w:rFonts w:cs="Arial"/>
          <w:bCs/>
          <w:snapToGrid w:val="0"/>
          <w:lang w:val="en-GB"/>
        </w:rPr>
        <w:t xml:space="preserve"> </w:t>
      </w:r>
      <w:r w:rsidR="00F62BD9" w:rsidRPr="00642BDF">
        <w:rPr>
          <w:rFonts w:cs="Arial"/>
          <w:bCs/>
          <w:snapToGrid w:val="0"/>
          <w:lang w:val="en-GB"/>
        </w:rPr>
        <w:t xml:space="preserve">after the median duration of follow-up </w:t>
      </w:r>
      <w:r w:rsidR="0055667E" w:rsidRPr="00997C25">
        <w:rPr>
          <w:rFonts w:cs="Arial"/>
          <w:bCs/>
          <w:snapToGrid w:val="0"/>
          <w:lang w:val="en-GB"/>
        </w:rPr>
        <w:t xml:space="preserve">that take into account the remaining uncertainty in the magnitude of </w:t>
      </w:r>
      <w:r w:rsidR="004E661A" w:rsidRPr="00997C25">
        <w:rPr>
          <w:rFonts w:cs="Arial"/>
          <w:bCs/>
          <w:snapToGrid w:val="0"/>
          <w:lang w:val="en-GB"/>
        </w:rPr>
        <w:t xml:space="preserve">PFS and OS </w:t>
      </w:r>
      <w:r w:rsidR="0055667E" w:rsidRPr="00997C25">
        <w:rPr>
          <w:rFonts w:cs="Arial"/>
          <w:bCs/>
          <w:snapToGrid w:val="0"/>
          <w:lang w:val="en-GB"/>
        </w:rPr>
        <w:t>benefit due to the modest follow-up data available</w:t>
      </w:r>
      <w:r w:rsidR="00DE1509" w:rsidRPr="00997C25">
        <w:rPr>
          <w:rFonts w:cs="Arial"/>
          <w:bCs/>
          <w:snapToGrid w:val="0"/>
          <w:lang w:val="en-GB"/>
        </w:rPr>
        <w:t>;</w:t>
      </w:r>
      <w:r w:rsidR="00997C25">
        <w:rPr>
          <w:rFonts w:cs="Arial"/>
          <w:bCs/>
          <w:snapToGrid w:val="0"/>
          <w:lang w:val="en-GB"/>
        </w:rPr>
        <w:t xml:space="preserve"> and</w:t>
      </w:r>
    </w:p>
    <w:p w:rsidR="00642BDF" w:rsidRDefault="00DE1509" w:rsidP="00642BDF">
      <w:pPr>
        <w:pStyle w:val="ListParagraph"/>
        <w:numPr>
          <w:ilvl w:val="1"/>
          <w:numId w:val="31"/>
        </w:numPr>
        <w:spacing w:before="0" w:after="120"/>
        <w:ind w:left="851" w:hanging="284"/>
        <w:jc w:val="both"/>
        <w:rPr>
          <w:rFonts w:cs="Arial"/>
          <w:bCs/>
          <w:snapToGrid w:val="0"/>
          <w:lang w:val="en-GB"/>
        </w:rPr>
      </w:pPr>
      <w:r w:rsidRPr="00642BDF">
        <w:rPr>
          <w:rFonts w:cs="Arial"/>
          <w:bCs/>
          <w:snapToGrid w:val="0"/>
          <w:lang w:val="en-GB"/>
        </w:rPr>
        <w:t xml:space="preserve">converge </w:t>
      </w:r>
      <w:r w:rsidR="00997C25">
        <w:rPr>
          <w:rFonts w:cs="Arial"/>
          <w:bCs/>
          <w:snapToGrid w:val="0"/>
          <w:lang w:val="en-GB"/>
        </w:rPr>
        <w:t xml:space="preserve">the extrapolation curves </w:t>
      </w:r>
      <w:r w:rsidRPr="00642BDF">
        <w:rPr>
          <w:rFonts w:cs="Arial"/>
          <w:bCs/>
          <w:snapToGrid w:val="0"/>
          <w:lang w:val="en-GB"/>
        </w:rPr>
        <w:t>to a base case time horizon of 5 years</w:t>
      </w:r>
      <w:r w:rsidR="0055667E" w:rsidRPr="00642BDF">
        <w:rPr>
          <w:rFonts w:cs="Arial"/>
          <w:bCs/>
          <w:snapToGrid w:val="0"/>
          <w:lang w:val="en-GB"/>
        </w:rPr>
        <w:t>.</w:t>
      </w:r>
    </w:p>
    <w:p w:rsidR="0055667E" w:rsidRPr="00997C25" w:rsidRDefault="00D10D34" w:rsidP="00642BDF">
      <w:pPr>
        <w:spacing w:before="0" w:after="120"/>
        <w:ind w:left="567"/>
        <w:jc w:val="both"/>
        <w:rPr>
          <w:rFonts w:cs="Arial"/>
          <w:bCs/>
          <w:snapToGrid w:val="0"/>
          <w:lang w:val="en-GB"/>
        </w:rPr>
      </w:pPr>
      <w:r w:rsidRPr="00642BDF">
        <w:rPr>
          <w:rFonts w:cs="Arial"/>
          <w:bCs/>
          <w:snapToGrid w:val="0"/>
          <w:lang w:val="en-GB"/>
        </w:rPr>
        <w:t xml:space="preserve">The PBAC also advised that the </w:t>
      </w:r>
      <w:r w:rsidR="00B34BFD" w:rsidRPr="00642BDF">
        <w:rPr>
          <w:rFonts w:cs="Arial"/>
          <w:bCs/>
          <w:snapToGrid w:val="0"/>
          <w:lang w:val="en-GB"/>
        </w:rPr>
        <w:t>requested</w:t>
      </w:r>
      <w:r w:rsidRPr="00642BDF">
        <w:rPr>
          <w:rFonts w:cs="Arial"/>
          <w:bCs/>
          <w:snapToGrid w:val="0"/>
          <w:lang w:val="en-GB"/>
        </w:rPr>
        <w:t xml:space="preserve"> price for pembrolizumab should then be adjus</w:t>
      </w:r>
      <w:r w:rsidRPr="00997C25">
        <w:rPr>
          <w:rFonts w:cs="Arial"/>
          <w:bCs/>
          <w:snapToGrid w:val="0"/>
          <w:lang w:val="en-GB"/>
        </w:rPr>
        <w:t>ted to maintain the ICER at or below the ICER presented for this submission’s base case.</w:t>
      </w:r>
      <w:r w:rsidR="00997C25">
        <w:rPr>
          <w:rFonts w:cs="Arial"/>
          <w:bCs/>
          <w:snapToGrid w:val="0"/>
          <w:lang w:val="en-GB"/>
        </w:rPr>
        <w:t xml:space="preserve"> </w:t>
      </w:r>
      <w:r w:rsidR="00997C25" w:rsidRPr="00E17531">
        <w:t>The PBAC considered that an acceptable ICER/QALY was critical to ensuring the cost effective listing of pembrolizumab and expected that the requested effective price of pembrolizumab would need to be reduced to achieve this target.</w:t>
      </w:r>
    </w:p>
    <w:p w:rsidR="000B5E8F" w:rsidRDefault="004F0A40" w:rsidP="004F0A40">
      <w:pPr>
        <w:pStyle w:val="ListParagraph"/>
        <w:numPr>
          <w:ilvl w:val="1"/>
          <w:numId w:val="1"/>
        </w:numPr>
        <w:spacing w:before="0" w:after="120"/>
        <w:jc w:val="both"/>
        <w:rPr>
          <w:rFonts w:cs="Arial"/>
          <w:bCs/>
          <w:snapToGrid w:val="0"/>
          <w:lang w:val="en-GB"/>
        </w:rPr>
      </w:pPr>
      <w:r>
        <w:rPr>
          <w:rFonts w:cs="Arial"/>
          <w:bCs/>
          <w:snapToGrid w:val="0"/>
          <w:lang w:val="en-GB"/>
        </w:rPr>
        <w:t xml:space="preserve">The PBAC </w:t>
      </w:r>
      <w:r w:rsidRPr="004F0A40">
        <w:rPr>
          <w:rFonts w:cs="Arial"/>
          <w:bCs/>
          <w:snapToGrid w:val="0"/>
          <w:lang w:val="en-GB"/>
        </w:rPr>
        <w:t xml:space="preserve">considered the </w:t>
      </w:r>
      <w:r>
        <w:rPr>
          <w:rFonts w:cs="Arial"/>
          <w:bCs/>
          <w:snapToGrid w:val="0"/>
          <w:lang w:val="en-GB"/>
        </w:rPr>
        <w:t xml:space="preserve">financial impact </w:t>
      </w:r>
      <w:r w:rsidRPr="004F0A40">
        <w:rPr>
          <w:rFonts w:cs="Arial"/>
          <w:bCs/>
          <w:snapToGrid w:val="0"/>
          <w:lang w:val="en-GB"/>
        </w:rPr>
        <w:t xml:space="preserve">of pembrolizumab was highly uncertain </w:t>
      </w:r>
      <w:r w:rsidR="00D10D34">
        <w:rPr>
          <w:rFonts w:cs="Arial"/>
          <w:bCs/>
          <w:snapToGrid w:val="0"/>
          <w:lang w:val="en-GB"/>
        </w:rPr>
        <w:t>because</w:t>
      </w:r>
      <w:r>
        <w:rPr>
          <w:rFonts w:cs="Arial"/>
          <w:bCs/>
          <w:snapToGrid w:val="0"/>
          <w:lang w:val="en-GB"/>
        </w:rPr>
        <w:t>:</w:t>
      </w:r>
    </w:p>
    <w:p w:rsidR="002569CF" w:rsidRDefault="00304871" w:rsidP="006870D8">
      <w:pPr>
        <w:pStyle w:val="ListParagraph"/>
        <w:numPr>
          <w:ilvl w:val="0"/>
          <w:numId w:val="11"/>
        </w:numPr>
        <w:spacing w:before="0" w:after="120"/>
        <w:ind w:left="851" w:hanging="284"/>
        <w:jc w:val="both"/>
        <w:rPr>
          <w:rFonts w:cs="Arial"/>
          <w:bCs/>
          <w:snapToGrid w:val="0"/>
          <w:lang w:val="en-GB"/>
        </w:rPr>
      </w:pPr>
      <w:r>
        <w:rPr>
          <w:rFonts w:cs="Arial"/>
          <w:bCs/>
          <w:snapToGrid w:val="0"/>
          <w:lang w:val="en-GB"/>
        </w:rPr>
        <w:t>t</w:t>
      </w:r>
      <w:r w:rsidR="004F0A40">
        <w:rPr>
          <w:rFonts w:cs="Arial"/>
          <w:bCs/>
          <w:snapToGrid w:val="0"/>
          <w:lang w:val="en-GB"/>
        </w:rPr>
        <w:t xml:space="preserve">he patient numbers </w:t>
      </w:r>
      <w:r w:rsidR="00D10D34">
        <w:rPr>
          <w:rFonts w:cs="Arial"/>
          <w:bCs/>
          <w:snapToGrid w:val="0"/>
          <w:lang w:val="en-GB"/>
        </w:rPr>
        <w:t>were likely</w:t>
      </w:r>
      <w:r w:rsidR="004F0A40">
        <w:rPr>
          <w:rFonts w:cs="Arial"/>
          <w:bCs/>
          <w:snapToGrid w:val="0"/>
          <w:lang w:val="en-GB"/>
        </w:rPr>
        <w:t xml:space="preserve"> u</w:t>
      </w:r>
      <w:r>
        <w:rPr>
          <w:rFonts w:cs="Arial"/>
          <w:bCs/>
          <w:snapToGrid w:val="0"/>
          <w:lang w:val="en-GB"/>
        </w:rPr>
        <w:t>nderestimated;</w:t>
      </w:r>
    </w:p>
    <w:p w:rsidR="004F0A40" w:rsidRPr="0077195B" w:rsidRDefault="00304871" w:rsidP="006870D8">
      <w:pPr>
        <w:pStyle w:val="ListParagraph"/>
        <w:numPr>
          <w:ilvl w:val="0"/>
          <w:numId w:val="11"/>
        </w:numPr>
        <w:spacing w:before="0" w:after="120"/>
        <w:ind w:left="851" w:hanging="284"/>
        <w:jc w:val="both"/>
        <w:rPr>
          <w:rFonts w:cs="Arial"/>
          <w:bCs/>
          <w:snapToGrid w:val="0"/>
          <w:lang w:val="en-GB"/>
        </w:rPr>
      </w:pPr>
      <w:r>
        <w:rPr>
          <w:rFonts w:cs="Arial"/>
          <w:bCs/>
          <w:snapToGrid w:val="0"/>
          <w:lang w:val="en-GB"/>
        </w:rPr>
        <w:t>t</w:t>
      </w:r>
      <w:r w:rsidR="002569CF">
        <w:rPr>
          <w:rFonts w:cs="Arial"/>
          <w:bCs/>
          <w:snapToGrid w:val="0"/>
          <w:lang w:val="en-GB"/>
        </w:rPr>
        <w:t xml:space="preserve">here was a risk of use outside the requested </w:t>
      </w:r>
      <w:r w:rsidR="0037247A">
        <w:rPr>
          <w:rFonts w:cs="Arial"/>
          <w:bCs/>
          <w:snapToGrid w:val="0"/>
          <w:lang w:val="en-GB"/>
        </w:rPr>
        <w:t>restric</w:t>
      </w:r>
      <w:r w:rsidR="002569CF">
        <w:rPr>
          <w:rFonts w:cs="Arial"/>
          <w:bCs/>
          <w:snapToGrid w:val="0"/>
          <w:lang w:val="en-GB"/>
        </w:rPr>
        <w:t>tion into first-line treatment fo</w:t>
      </w:r>
      <w:r>
        <w:rPr>
          <w:rFonts w:cs="Arial"/>
          <w:bCs/>
          <w:snapToGrid w:val="0"/>
          <w:lang w:val="en-GB"/>
        </w:rPr>
        <w:t>r cisplatin-ineligible patients; and</w:t>
      </w:r>
    </w:p>
    <w:p w:rsidR="00D10D34" w:rsidRPr="00D10D34" w:rsidRDefault="00304871" w:rsidP="00D10D34">
      <w:pPr>
        <w:pStyle w:val="ListParagraph"/>
        <w:numPr>
          <w:ilvl w:val="0"/>
          <w:numId w:val="11"/>
        </w:numPr>
        <w:spacing w:before="0" w:after="120"/>
        <w:ind w:left="851" w:hanging="284"/>
        <w:jc w:val="both"/>
        <w:rPr>
          <w:rFonts w:cs="Arial"/>
          <w:bCs/>
          <w:snapToGrid w:val="0"/>
          <w:lang w:val="en-GB"/>
        </w:rPr>
      </w:pPr>
      <w:r>
        <w:rPr>
          <w:rFonts w:cs="Arial"/>
          <w:bCs/>
          <w:snapToGrid w:val="0"/>
          <w:lang w:val="en-GB"/>
        </w:rPr>
        <w:t>the d</w:t>
      </w:r>
      <w:r w:rsidR="00D10D34" w:rsidRPr="0077195B">
        <w:rPr>
          <w:rFonts w:cs="Arial"/>
          <w:bCs/>
          <w:snapToGrid w:val="0"/>
          <w:lang w:val="en-GB"/>
        </w:rPr>
        <w:t xml:space="preserve">uration of </w:t>
      </w:r>
      <w:r w:rsidR="0037247A">
        <w:rPr>
          <w:rFonts w:cs="Arial"/>
          <w:bCs/>
          <w:snapToGrid w:val="0"/>
          <w:lang w:val="en-GB"/>
        </w:rPr>
        <w:t xml:space="preserve">pembrolizumab </w:t>
      </w:r>
      <w:r w:rsidR="00D10D34" w:rsidRPr="0077195B">
        <w:rPr>
          <w:rFonts w:cs="Arial"/>
          <w:bCs/>
          <w:snapToGrid w:val="0"/>
          <w:lang w:val="en-GB"/>
        </w:rPr>
        <w:t xml:space="preserve">use may be longer than estimated. Some patients in KN045 were treated beyond progression, and some were allowed to access an additional 12 months of treatment if they progressed after 24 months of pembrolizumab. Further, </w:t>
      </w:r>
      <w:r w:rsidR="0037247A">
        <w:rPr>
          <w:rFonts w:cs="Arial"/>
          <w:bCs/>
          <w:snapToGrid w:val="0"/>
          <w:lang w:val="en-GB"/>
        </w:rPr>
        <w:t xml:space="preserve">evidence of </w:t>
      </w:r>
      <w:r w:rsidR="0037247A" w:rsidRPr="00304871">
        <w:rPr>
          <w:rFonts w:eastAsiaTheme="majorEastAsia" w:cstheme="majorBidi"/>
        </w:rPr>
        <w:t xml:space="preserve">progression </w:t>
      </w:r>
      <w:r w:rsidR="0037247A">
        <w:rPr>
          <w:rFonts w:eastAsiaTheme="majorEastAsia" w:cstheme="majorBidi"/>
        </w:rPr>
        <w:t xml:space="preserve">is less likely </w:t>
      </w:r>
      <w:r w:rsidR="0037247A" w:rsidRPr="00304871">
        <w:rPr>
          <w:rFonts w:eastAsiaTheme="majorEastAsia" w:cstheme="majorBidi"/>
        </w:rPr>
        <w:t xml:space="preserve">to </w:t>
      </w:r>
      <w:r w:rsidR="0037247A">
        <w:rPr>
          <w:rFonts w:eastAsiaTheme="majorEastAsia" w:cstheme="majorBidi"/>
        </w:rPr>
        <w:t xml:space="preserve">be </w:t>
      </w:r>
      <w:r w:rsidR="0037247A" w:rsidRPr="00304871">
        <w:rPr>
          <w:rFonts w:eastAsiaTheme="majorEastAsia" w:cstheme="majorBidi"/>
        </w:rPr>
        <w:t>monitor</w:t>
      </w:r>
      <w:r w:rsidR="0037247A">
        <w:rPr>
          <w:rFonts w:eastAsiaTheme="majorEastAsia" w:cstheme="majorBidi"/>
        </w:rPr>
        <w:t xml:space="preserve">ed </w:t>
      </w:r>
      <w:r w:rsidR="00F62BD9">
        <w:rPr>
          <w:rFonts w:eastAsiaTheme="majorEastAsia" w:cstheme="majorBidi"/>
        </w:rPr>
        <w:t>as</w:t>
      </w:r>
      <w:r w:rsidR="0037247A">
        <w:rPr>
          <w:rFonts w:eastAsiaTheme="majorEastAsia" w:cstheme="majorBidi"/>
        </w:rPr>
        <w:t xml:space="preserve"> intensively</w:t>
      </w:r>
      <w:r w:rsidR="0037247A" w:rsidRPr="00304871">
        <w:rPr>
          <w:rFonts w:eastAsiaTheme="majorEastAsia" w:cstheme="majorBidi"/>
        </w:rPr>
        <w:t xml:space="preserve"> in </w:t>
      </w:r>
      <w:r w:rsidR="0037247A">
        <w:rPr>
          <w:rFonts w:eastAsiaTheme="majorEastAsia" w:cstheme="majorBidi"/>
        </w:rPr>
        <w:t xml:space="preserve">regular </w:t>
      </w:r>
      <w:r w:rsidR="0037247A" w:rsidRPr="00304871">
        <w:rPr>
          <w:rFonts w:eastAsiaTheme="majorEastAsia" w:cstheme="majorBidi"/>
        </w:rPr>
        <w:t>clinical practice</w:t>
      </w:r>
      <w:r w:rsidR="00F62BD9">
        <w:rPr>
          <w:rFonts w:eastAsiaTheme="majorEastAsia" w:cstheme="majorBidi"/>
        </w:rPr>
        <w:t xml:space="preserve"> compared with the trial</w:t>
      </w:r>
      <w:r w:rsidR="00D10D34">
        <w:rPr>
          <w:rFonts w:eastAsiaTheme="majorEastAsia" w:cstheme="majorBidi"/>
        </w:rPr>
        <w:t>.</w:t>
      </w:r>
    </w:p>
    <w:p w:rsidR="00FC1054" w:rsidRPr="00B93493" w:rsidRDefault="001803FE" w:rsidP="00F62BD9">
      <w:pPr>
        <w:pStyle w:val="ListParagraph"/>
        <w:numPr>
          <w:ilvl w:val="1"/>
          <w:numId w:val="1"/>
        </w:numPr>
        <w:spacing w:before="0" w:after="120"/>
        <w:jc w:val="both"/>
        <w:rPr>
          <w:color w:val="000000" w:themeColor="text1"/>
        </w:rPr>
      </w:pPr>
      <w:r>
        <w:rPr>
          <w:rFonts w:cs="Arial"/>
          <w:bCs/>
          <w:snapToGrid w:val="0"/>
          <w:lang w:val="en-GB"/>
        </w:rPr>
        <w:t xml:space="preserve">The PBAC also noted that this submission presented pembrolizumab as a fixed dosing regimen, whereas pembrolizumab treatment for other </w:t>
      </w:r>
      <w:r w:rsidR="008D6F0B">
        <w:rPr>
          <w:rFonts w:cs="Arial"/>
          <w:bCs/>
          <w:snapToGrid w:val="0"/>
          <w:lang w:val="en-GB"/>
        </w:rPr>
        <w:t xml:space="preserve">PBS-listed </w:t>
      </w:r>
      <w:r>
        <w:rPr>
          <w:rFonts w:cs="Arial"/>
          <w:bCs/>
          <w:snapToGrid w:val="0"/>
          <w:lang w:val="en-GB"/>
        </w:rPr>
        <w:t xml:space="preserve">indications </w:t>
      </w:r>
      <w:r w:rsidR="00997C25">
        <w:rPr>
          <w:rFonts w:cs="Arial"/>
          <w:bCs/>
          <w:snapToGrid w:val="0"/>
          <w:lang w:val="en-GB"/>
        </w:rPr>
        <w:t xml:space="preserve">has </w:t>
      </w:r>
      <w:r>
        <w:rPr>
          <w:rFonts w:cs="Arial"/>
          <w:bCs/>
          <w:snapToGrid w:val="0"/>
          <w:lang w:val="en-GB"/>
        </w:rPr>
        <w:t>use</w:t>
      </w:r>
      <w:r w:rsidR="00997C25">
        <w:rPr>
          <w:rFonts w:cs="Arial"/>
          <w:bCs/>
          <w:snapToGrid w:val="0"/>
          <w:lang w:val="en-GB"/>
        </w:rPr>
        <w:t>d</w:t>
      </w:r>
      <w:r>
        <w:rPr>
          <w:rFonts w:cs="Arial"/>
          <w:bCs/>
          <w:snapToGrid w:val="0"/>
          <w:lang w:val="en-GB"/>
        </w:rPr>
        <w:t xml:space="preserve"> a weight</w:t>
      </w:r>
      <w:r w:rsidR="00997C25">
        <w:rPr>
          <w:rFonts w:cs="Arial"/>
          <w:bCs/>
          <w:snapToGrid w:val="0"/>
          <w:lang w:val="en-GB"/>
        </w:rPr>
        <w:t>-</w:t>
      </w:r>
      <w:r>
        <w:rPr>
          <w:rFonts w:cs="Arial"/>
          <w:bCs/>
          <w:snapToGrid w:val="0"/>
          <w:lang w:val="en-GB"/>
        </w:rPr>
        <w:t xml:space="preserve">based dosing regimen. This results in a considerable proportion of patients with urothelial cancer being given a </w:t>
      </w:r>
      <w:r w:rsidR="00997C25">
        <w:rPr>
          <w:rFonts w:cs="Arial"/>
          <w:bCs/>
          <w:snapToGrid w:val="0"/>
          <w:lang w:val="en-GB"/>
        </w:rPr>
        <w:t xml:space="preserve">greater </w:t>
      </w:r>
      <w:r>
        <w:rPr>
          <w:rFonts w:cs="Arial"/>
          <w:bCs/>
          <w:snapToGrid w:val="0"/>
          <w:lang w:val="en-GB"/>
        </w:rPr>
        <w:t xml:space="preserve">dose, at a </w:t>
      </w:r>
      <w:r w:rsidR="00997C25">
        <w:rPr>
          <w:rFonts w:cs="Arial"/>
          <w:bCs/>
          <w:snapToGrid w:val="0"/>
          <w:lang w:val="en-GB"/>
        </w:rPr>
        <w:t>greater</w:t>
      </w:r>
      <w:r>
        <w:rPr>
          <w:rFonts w:cs="Arial"/>
          <w:bCs/>
          <w:snapToGrid w:val="0"/>
          <w:lang w:val="en-GB"/>
        </w:rPr>
        <w:t xml:space="preserve"> </w:t>
      </w:r>
      <w:r w:rsidR="0037247A">
        <w:rPr>
          <w:rFonts w:cs="Arial"/>
          <w:bCs/>
          <w:snapToGrid w:val="0"/>
          <w:lang w:val="en-GB"/>
        </w:rPr>
        <w:t>cost</w:t>
      </w:r>
      <w:r>
        <w:rPr>
          <w:rFonts w:cs="Arial"/>
          <w:bCs/>
          <w:snapToGrid w:val="0"/>
          <w:lang w:val="en-GB"/>
        </w:rPr>
        <w:t>, with no evidence of additional benefit. The PBAC therefore considered that it may be reasonable for the price paid for pembrolizumab in urotheli</w:t>
      </w:r>
      <w:r w:rsidR="008D6F0B">
        <w:rPr>
          <w:rFonts w:cs="Arial"/>
          <w:bCs/>
          <w:snapToGrid w:val="0"/>
          <w:lang w:val="en-GB"/>
        </w:rPr>
        <w:t>al cancer to reflect the cost if</w:t>
      </w:r>
      <w:r>
        <w:rPr>
          <w:rFonts w:cs="Arial"/>
          <w:bCs/>
          <w:snapToGrid w:val="0"/>
          <w:lang w:val="en-GB"/>
        </w:rPr>
        <w:t xml:space="preserve"> weight-based</w:t>
      </w:r>
      <w:r w:rsidR="0037247A">
        <w:rPr>
          <w:rFonts w:cs="Arial"/>
          <w:bCs/>
          <w:snapToGrid w:val="0"/>
          <w:lang w:val="en-GB"/>
        </w:rPr>
        <w:t xml:space="preserve"> 2 mg/kg dosing</w:t>
      </w:r>
      <w:r w:rsidR="00F62BD9">
        <w:rPr>
          <w:rFonts w:cs="Arial"/>
          <w:bCs/>
          <w:snapToGrid w:val="0"/>
          <w:lang w:val="en-GB"/>
        </w:rPr>
        <w:t xml:space="preserve"> was used</w:t>
      </w:r>
      <w:r>
        <w:rPr>
          <w:rFonts w:cs="Arial"/>
          <w:bCs/>
          <w:snapToGrid w:val="0"/>
          <w:lang w:val="en-GB"/>
        </w:rPr>
        <w:t xml:space="preserve"> rather than fixed</w:t>
      </w:r>
      <w:r w:rsidR="0037247A">
        <w:rPr>
          <w:rFonts w:cs="Arial"/>
          <w:bCs/>
          <w:snapToGrid w:val="0"/>
          <w:lang w:val="en-GB"/>
        </w:rPr>
        <w:t xml:space="preserve"> 200 mg </w:t>
      </w:r>
      <w:r>
        <w:rPr>
          <w:rFonts w:cs="Arial"/>
          <w:bCs/>
          <w:snapToGrid w:val="0"/>
          <w:lang w:val="en-GB"/>
        </w:rPr>
        <w:t>dosing.</w:t>
      </w:r>
      <w:r w:rsidR="00FC1054" w:rsidRPr="00FC1054">
        <w:rPr>
          <w:szCs w:val="24"/>
        </w:rPr>
        <w:t xml:space="preserve"> </w:t>
      </w:r>
      <w:r w:rsidR="00FC1054">
        <w:rPr>
          <w:szCs w:val="24"/>
        </w:rPr>
        <w:t xml:space="preserve">The PBAC therefore </w:t>
      </w:r>
      <w:r w:rsidR="00F5206A">
        <w:rPr>
          <w:szCs w:val="24"/>
        </w:rPr>
        <w:t>advised</w:t>
      </w:r>
      <w:r w:rsidR="00FC1054">
        <w:rPr>
          <w:szCs w:val="24"/>
        </w:rPr>
        <w:t xml:space="preserve"> that it </w:t>
      </w:r>
      <w:r w:rsidR="00F62BD9">
        <w:rPr>
          <w:szCs w:val="24"/>
        </w:rPr>
        <w:t>would</w:t>
      </w:r>
      <w:r w:rsidR="00FC1054">
        <w:rPr>
          <w:szCs w:val="24"/>
        </w:rPr>
        <w:t xml:space="preserve"> be appropriate for the price of pembrolizumab in urothelial cancer to be reduced by a further proportion to account for what could effectively be considered wastage.</w:t>
      </w:r>
    </w:p>
    <w:p w:rsidR="00C47FDA" w:rsidRPr="008D6F0B" w:rsidRDefault="007027C6" w:rsidP="008D6F0B">
      <w:pPr>
        <w:pStyle w:val="ListParagraph"/>
        <w:numPr>
          <w:ilvl w:val="1"/>
          <w:numId w:val="1"/>
        </w:numPr>
        <w:spacing w:before="0" w:after="120"/>
        <w:jc w:val="both"/>
        <w:rPr>
          <w:rFonts w:cs="Arial"/>
          <w:bCs/>
          <w:snapToGrid w:val="0"/>
          <w:lang w:val="en-GB"/>
        </w:rPr>
      </w:pPr>
      <w:r w:rsidRPr="007027C6">
        <w:rPr>
          <w:rFonts w:cs="Arial"/>
          <w:bCs/>
          <w:snapToGrid w:val="0"/>
          <w:lang w:val="en-GB"/>
        </w:rPr>
        <w:t xml:space="preserve">The PBAC noted that a RSA was proposed in the PSCR (p4) to address the potential for use beyond the proposed maximum </w:t>
      </w:r>
      <w:r w:rsidR="0037247A">
        <w:rPr>
          <w:rFonts w:cs="Arial"/>
          <w:bCs/>
          <w:snapToGrid w:val="0"/>
          <w:lang w:val="en-GB"/>
        </w:rPr>
        <w:t xml:space="preserve">of </w:t>
      </w:r>
      <w:r w:rsidRPr="007027C6">
        <w:rPr>
          <w:rFonts w:cs="Arial"/>
          <w:bCs/>
          <w:snapToGrid w:val="0"/>
          <w:lang w:val="en-GB"/>
        </w:rPr>
        <w:t xml:space="preserve">35 </w:t>
      </w:r>
      <w:r w:rsidR="0037247A">
        <w:rPr>
          <w:rFonts w:cs="Arial"/>
          <w:bCs/>
          <w:snapToGrid w:val="0"/>
          <w:lang w:val="en-GB"/>
        </w:rPr>
        <w:t>administrations</w:t>
      </w:r>
      <w:r w:rsidR="00D10D34">
        <w:rPr>
          <w:rFonts w:cs="Arial"/>
          <w:bCs/>
          <w:snapToGrid w:val="0"/>
          <w:lang w:val="en-GB"/>
        </w:rPr>
        <w:t xml:space="preserve">, but that it was unclear if </w:t>
      </w:r>
      <w:r w:rsidRPr="007027C6">
        <w:rPr>
          <w:rFonts w:cs="Arial"/>
          <w:bCs/>
          <w:snapToGrid w:val="0"/>
          <w:lang w:val="en-GB"/>
        </w:rPr>
        <w:t xml:space="preserve">the RSA </w:t>
      </w:r>
      <w:r w:rsidR="00D10D34">
        <w:rPr>
          <w:rFonts w:cs="Arial"/>
          <w:bCs/>
          <w:snapToGrid w:val="0"/>
          <w:lang w:val="en-GB"/>
        </w:rPr>
        <w:t>would</w:t>
      </w:r>
      <w:r w:rsidRPr="007027C6">
        <w:rPr>
          <w:rFonts w:cs="Arial"/>
          <w:bCs/>
          <w:snapToGrid w:val="0"/>
          <w:lang w:val="en-GB"/>
        </w:rPr>
        <w:t xml:space="preserve"> fully address the uncertainties related to treatment duration, particularly given that the </w:t>
      </w:r>
      <w:r w:rsidR="00D10D34">
        <w:rPr>
          <w:rFonts w:cs="Arial"/>
          <w:bCs/>
          <w:snapToGrid w:val="0"/>
          <w:lang w:val="en-GB"/>
        </w:rPr>
        <w:t xml:space="preserve">magnitude of the proposed </w:t>
      </w:r>
      <w:r w:rsidRPr="007027C6">
        <w:rPr>
          <w:rFonts w:cs="Arial"/>
          <w:bCs/>
          <w:snapToGrid w:val="0"/>
          <w:lang w:val="en-GB"/>
        </w:rPr>
        <w:t>rebate was not specified for expenditure over the caps</w:t>
      </w:r>
      <w:r w:rsidR="00D10D34">
        <w:rPr>
          <w:rFonts w:cs="Arial"/>
          <w:bCs/>
          <w:snapToGrid w:val="0"/>
          <w:lang w:val="en-GB"/>
        </w:rPr>
        <w:t xml:space="preserve">. </w:t>
      </w:r>
      <w:r w:rsidR="00B61A81" w:rsidRPr="002C32F9">
        <w:rPr>
          <w:rFonts w:cs="Arial"/>
          <w:bCs/>
          <w:snapToGrid w:val="0"/>
          <w:lang w:val="en-GB"/>
        </w:rPr>
        <w:t xml:space="preserve">The PBAC </w:t>
      </w:r>
      <w:r w:rsidR="00D10D34">
        <w:rPr>
          <w:rFonts w:cs="Arial"/>
          <w:bCs/>
          <w:snapToGrid w:val="0"/>
          <w:lang w:val="en-GB"/>
        </w:rPr>
        <w:t xml:space="preserve">also </w:t>
      </w:r>
      <w:r w:rsidR="00B61A81" w:rsidRPr="002C32F9">
        <w:rPr>
          <w:rFonts w:cs="Arial"/>
          <w:bCs/>
          <w:snapToGrid w:val="0"/>
          <w:lang w:val="en-GB"/>
        </w:rPr>
        <w:t>noted th</w:t>
      </w:r>
      <w:r w:rsidR="00D10D34">
        <w:rPr>
          <w:rFonts w:cs="Arial"/>
          <w:bCs/>
          <w:snapToGrid w:val="0"/>
          <w:lang w:val="en-GB"/>
        </w:rPr>
        <w:t>at approximately</w:t>
      </w:r>
      <w:r w:rsidR="00B61A81">
        <w:rPr>
          <w:rFonts w:cs="Arial"/>
          <w:bCs/>
          <w:snapToGrid w:val="0"/>
          <w:lang w:val="en-GB"/>
        </w:rPr>
        <w:t xml:space="preserve"> </w:t>
      </w:r>
      <w:r w:rsidR="001E368B">
        <w:rPr>
          <w:rFonts w:cs="Arial"/>
          <w:bCs/>
          <w:noProof/>
          <w:snapToGrid w:val="0"/>
          <w:color w:val="000000"/>
          <w:highlight w:val="black"/>
          <w:lang w:val="en-GB"/>
        </w:rPr>
        <w:t>'''''''</w:t>
      </w:r>
      <w:r w:rsidR="00B61A81" w:rsidRPr="002C32F9">
        <w:rPr>
          <w:rFonts w:cs="Arial"/>
          <w:bCs/>
          <w:snapToGrid w:val="0"/>
          <w:lang w:val="en-GB"/>
        </w:rPr>
        <w:t xml:space="preserve"> patients </w:t>
      </w:r>
      <w:r w:rsidR="00D10D34">
        <w:rPr>
          <w:rFonts w:cs="Arial"/>
          <w:bCs/>
          <w:snapToGrid w:val="0"/>
          <w:lang w:val="en-GB"/>
        </w:rPr>
        <w:t>may be eligible for</w:t>
      </w:r>
      <w:r w:rsidR="00B61A81" w:rsidRPr="002C32F9">
        <w:rPr>
          <w:rFonts w:cs="Arial"/>
          <w:bCs/>
          <w:snapToGrid w:val="0"/>
          <w:lang w:val="en-GB"/>
        </w:rPr>
        <w:t xml:space="preserve"> grandfathering </w:t>
      </w:r>
      <w:r w:rsidR="00D10D34">
        <w:rPr>
          <w:rFonts w:cs="Arial"/>
          <w:bCs/>
          <w:snapToGrid w:val="0"/>
          <w:lang w:val="en-GB"/>
        </w:rPr>
        <w:t>to</w:t>
      </w:r>
      <w:r w:rsidR="00B61A81" w:rsidRPr="002C32F9">
        <w:rPr>
          <w:rFonts w:cs="Arial"/>
          <w:bCs/>
          <w:snapToGrid w:val="0"/>
          <w:lang w:val="en-GB"/>
        </w:rPr>
        <w:t xml:space="preserve"> treatmen</w:t>
      </w:r>
      <w:r w:rsidR="00D10D34">
        <w:rPr>
          <w:rFonts w:cs="Arial"/>
          <w:bCs/>
          <w:snapToGrid w:val="0"/>
          <w:lang w:val="en-GB"/>
        </w:rPr>
        <w:t xml:space="preserve">t with pembrolizumab on the PBS, and that </w:t>
      </w:r>
      <w:r w:rsidR="00B61A81" w:rsidRPr="002C32F9">
        <w:rPr>
          <w:rFonts w:cs="Arial"/>
          <w:bCs/>
          <w:snapToGrid w:val="0"/>
          <w:lang w:val="en-GB"/>
        </w:rPr>
        <w:t xml:space="preserve">it remained unclear what mechanisms are in place to ensure that the combined total use (pre and post PBS listing) would not exceed </w:t>
      </w:r>
      <w:r w:rsidR="00D10D34">
        <w:rPr>
          <w:rFonts w:cs="Arial"/>
          <w:bCs/>
          <w:snapToGrid w:val="0"/>
          <w:lang w:val="en-GB"/>
        </w:rPr>
        <w:t xml:space="preserve">35 </w:t>
      </w:r>
      <w:r w:rsidR="003E6EE6">
        <w:rPr>
          <w:rFonts w:cs="Arial"/>
          <w:bCs/>
          <w:snapToGrid w:val="0"/>
          <w:lang w:val="en-GB"/>
        </w:rPr>
        <w:t>administrations</w:t>
      </w:r>
      <w:r w:rsidR="00B61A81" w:rsidRPr="002C32F9">
        <w:rPr>
          <w:rFonts w:cs="Arial"/>
          <w:bCs/>
          <w:snapToGrid w:val="0"/>
          <w:lang w:val="en-GB"/>
        </w:rPr>
        <w:t>.</w:t>
      </w:r>
    </w:p>
    <w:p w:rsidR="003532A5" w:rsidRPr="009E4EE7" w:rsidRDefault="00DE3272" w:rsidP="003532A5">
      <w:pPr>
        <w:pStyle w:val="ListParagraph"/>
        <w:numPr>
          <w:ilvl w:val="1"/>
          <w:numId w:val="1"/>
        </w:numPr>
        <w:spacing w:before="0" w:after="120"/>
        <w:jc w:val="both"/>
        <w:rPr>
          <w:rFonts w:cs="Arial"/>
          <w:bCs/>
          <w:snapToGrid w:val="0"/>
          <w:lang w:val="en-GB"/>
        </w:rPr>
      </w:pPr>
      <w:r w:rsidRPr="00480ABA">
        <w:rPr>
          <w:rFonts w:cs="Arial"/>
          <w:bCs/>
          <w:snapToGrid w:val="0"/>
          <w:lang w:val="en-GB"/>
        </w:rPr>
        <w:t>The PBAC noted that this submission is eligible for an Independent Review</w:t>
      </w:r>
      <w:r w:rsidR="003532A5" w:rsidRPr="00480ABA">
        <w:rPr>
          <w:rFonts w:cs="Arial"/>
          <w:bCs/>
          <w:snapToGrid w:val="0"/>
          <w:lang w:val="en-GB"/>
        </w:rPr>
        <w:t>.</w:t>
      </w:r>
    </w:p>
    <w:p w:rsidR="003532A5" w:rsidRPr="009E4EE7" w:rsidRDefault="003532A5" w:rsidP="003532A5">
      <w:pPr>
        <w:spacing w:before="0" w:after="120"/>
        <w:jc w:val="both"/>
        <w:rPr>
          <w:rFonts w:cs="Arial"/>
          <w:bCs/>
          <w:snapToGrid w:val="0"/>
          <w:lang w:val="en-GB"/>
        </w:rPr>
      </w:pPr>
    </w:p>
    <w:p w:rsidR="00DE3272" w:rsidRPr="003532A5" w:rsidRDefault="00DE3272" w:rsidP="003532A5">
      <w:pPr>
        <w:spacing w:before="0" w:after="120"/>
        <w:jc w:val="both"/>
        <w:rPr>
          <w:rFonts w:cs="Arial"/>
          <w:b/>
          <w:bCs/>
          <w:snapToGrid w:val="0"/>
          <w:lang w:val="en-GB"/>
        </w:rPr>
      </w:pPr>
      <w:r w:rsidRPr="003532A5">
        <w:rPr>
          <w:rFonts w:cs="Arial"/>
          <w:b/>
          <w:bCs/>
          <w:snapToGrid w:val="0"/>
          <w:lang w:val="en-GB"/>
        </w:rPr>
        <w:t>Outcome:</w:t>
      </w:r>
    </w:p>
    <w:p w:rsidR="00600E72" w:rsidRDefault="00DE3272" w:rsidP="007546F5">
      <w:pPr>
        <w:jc w:val="both"/>
        <w:rPr>
          <w:rFonts w:cs="Arial"/>
          <w:bCs/>
          <w:snapToGrid w:val="0"/>
          <w:lang w:val="en-GB"/>
        </w:rPr>
      </w:pPr>
      <w:r w:rsidRPr="00FF464E">
        <w:rPr>
          <w:rFonts w:cs="Arial"/>
          <w:bCs/>
          <w:snapToGrid w:val="0"/>
          <w:lang w:val="en-GB"/>
        </w:rPr>
        <w:t>Rejected</w:t>
      </w:r>
    </w:p>
    <w:p w:rsidR="00B354F2" w:rsidRDefault="00B354F2" w:rsidP="007546F5">
      <w:pPr>
        <w:jc w:val="both"/>
        <w:rPr>
          <w:rFonts w:cs="Arial"/>
          <w:bCs/>
          <w:snapToGrid w:val="0"/>
          <w:lang w:val="en-GB"/>
        </w:rPr>
      </w:pPr>
    </w:p>
    <w:p w:rsidR="00B354F2" w:rsidRPr="00B354F2" w:rsidRDefault="00B354F2" w:rsidP="00B354F2">
      <w:pPr>
        <w:pStyle w:val="Heading1"/>
        <w:ind w:left="709" w:hanging="709"/>
      </w:pPr>
      <w:r w:rsidRPr="00B354F2">
        <w:t>Context for Decision</w:t>
      </w:r>
    </w:p>
    <w:p w:rsidR="00B354F2" w:rsidRPr="00B354F2" w:rsidRDefault="00B354F2" w:rsidP="00B354F2">
      <w:pPr>
        <w:spacing w:after="120"/>
        <w:rPr>
          <w:rFonts w:ascii="Calibri" w:eastAsia="Calibri" w:hAnsi="Calibri" w:cs="Arial"/>
        </w:rPr>
      </w:pPr>
      <w:r w:rsidRPr="00B354F2">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354F2" w:rsidRPr="00B354F2" w:rsidRDefault="00B354F2" w:rsidP="00B354F2">
      <w:pPr>
        <w:pStyle w:val="Heading1"/>
        <w:ind w:left="709" w:hanging="709"/>
      </w:pPr>
      <w:r w:rsidRPr="00B354F2">
        <w:t>Sponsor’s Comment</w:t>
      </w:r>
    </w:p>
    <w:p w:rsidR="0013311F" w:rsidRPr="00B354F2" w:rsidRDefault="0013311F" w:rsidP="0013311F">
      <w:pPr>
        <w:jc w:val="both"/>
        <w:rPr>
          <w:rFonts w:ascii="Calibri" w:eastAsia="Calibri" w:hAnsi="Calibri" w:cs="Arial"/>
          <w:snapToGrid w:val="0"/>
          <w:szCs w:val="20"/>
        </w:rPr>
      </w:pPr>
      <w:r>
        <w:rPr>
          <w:rFonts w:ascii="Calibri" w:eastAsia="Calibri" w:hAnsi="Calibri" w:cs="Arial"/>
          <w:snapToGrid w:val="0"/>
          <w:szCs w:val="20"/>
        </w:rPr>
        <w:t xml:space="preserve">MSD is disappointed </w:t>
      </w:r>
      <w:r>
        <w:t>that access to Keytruda has not yet been achieved for 2L mUC patients in Australia</w:t>
      </w:r>
      <w:r>
        <w:rPr>
          <w:rFonts w:ascii="Calibri" w:eastAsia="Calibri" w:hAnsi="Calibri" w:cs="Arial"/>
          <w:snapToGrid w:val="0"/>
          <w:szCs w:val="20"/>
        </w:rPr>
        <w:t xml:space="preserve">. However, </w:t>
      </w:r>
      <w:r>
        <w:t>MSD is pleased that the PBAC is supportive of the clinical benefit that pembrolizumab offers over current standard of care for these patients and that there is an unmet clinical need for new therapies. The company is committed to working with the government to make pembrolizumab available to these patients as soon as possible.</w:t>
      </w:r>
    </w:p>
    <w:p w:rsidR="00B354F2" w:rsidRPr="007546F5" w:rsidRDefault="00B354F2" w:rsidP="007546F5">
      <w:pPr>
        <w:jc w:val="both"/>
        <w:rPr>
          <w:rFonts w:cs="Arial"/>
          <w:bCs/>
          <w:snapToGrid w:val="0"/>
          <w:lang w:val="en-GB"/>
        </w:rPr>
      </w:pPr>
    </w:p>
    <w:sectPr w:rsidR="00B354F2" w:rsidRPr="007546F5" w:rsidSect="00EB40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472665" w15:done="0"/>
  <w15:commentEx w15:paraId="37137A64" w15:done="0"/>
  <w15:commentEx w15:paraId="4426332C" w15:done="0"/>
  <w15:commentEx w15:paraId="58F9D18D" w15:done="0"/>
  <w15:commentEx w15:paraId="44A7F684" w15:paraIdParent="58F9D18D" w15:done="0"/>
  <w15:commentEx w15:paraId="31FE6908" w15:paraIdParent="58F9D18D" w15:done="0"/>
  <w15:commentEx w15:paraId="0422F470" w15:done="0"/>
  <w15:commentEx w15:paraId="02E8FF25" w15:done="0"/>
  <w15:commentEx w15:paraId="4BC4692B" w15:done="0"/>
  <w15:commentEx w15:paraId="3F90D7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472665" w16cid:durableId="1DCD4638"/>
  <w16cid:commentId w16cid:paraId="37137A64" w16cid:durableId="1DCD4891"/>
  <w16cid:commentId w16cid:paraId="4426332C" w16cid:durableId="1DCD4929"/>
  <w16cid:commentId w16cid:paraId="58F9D18D" w16cid:durableId="1DCD4639"/>
  <w16cid:commentId w16cid:paraId="44A7F684" w16cid:durableId="1DCD463A"/>
  <w16cid:commentId w16cid:paraId="31FE6908" w16cid:durableId="1DCD49EF"/>
  <w16cid:commentId w16cid:paraId="0422F470" w16cid:durableId="1DCD463B"/>
  <w16cid:commentId w16cid:paraId="02E8FF25" w16cid:durableId="1DCD463C"/>
  <w16cid:commentId w16cid:paraId="4BC4692B" w16cid:durableId="1DCD463D"/>
  <w16cid:commentId w16cid:paraId="3F90D7A7" w16cid:durableId="1DCD46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8B" w:rsidRDefault="001E368B" w:rsidP="00BA3306">
      <w:r>
        <w:separator/>
      </w:r>
    </w:p>
  </w:endnote>
  <w:endnote w:type="continuationSeparator" w:id="0">
    <w:p w:rsidR="001E368B" w:rsidRDefault="001E368B" w:rsidP="00B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8B" w:rsidRDefault="001E3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C7" w:rsidRPr="00732C05" w:rsidRDefault="004C19C7" w:rsidP="00732C05">
    <w:pPr>
      <w:pStyle w:val="Footer"/>
      <w:jc w:val="cente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1E368B">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8B" w:rsidRDefault="001E3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8B" w:rsidRDefault="001E368B" w:rsidP="00BA3306">
      <w:r>
        <w:separator/>
      </w:r>
    </w:p>
  </w:footnote>
  <w:footnote w:type="continuationSeparator" w:id="0">
    <w:p w:rsidR="001E368B" w:rsidRDefault="001E368B" w:rsidP="00BA3306">
      <w:r>
        <w:continuationSeparator/>
      </w:r>
    </w:p>
  </w:footnote>
  <w:footnote w:id="1">
    <w:p w:rsidR="004C19C7" w:rsidRDefault="004C19C7">
      <w:pPr>
        <w:pStyle w:val="FootnoteText"/>
      </w:pPr>
      <w:r>
        <w:rPr>
          <w:rStyle w:val="FootnoteReference"/>
        </w:rPr>
        <w:footnoteRef/>
      </w:r>
      <w:r>
        <w:t xml:space="preserve"> </w:t>
      </w:r>
      <w:r w:rsidRPr="00550B61">
        <w:t>Cherny NI, Dafni U, Bogaerts J, et al: ESMO-Magnitude of Clinical Benefit Scale version 1.1. Annals of Oncology 28:2340-2366, 2017</w:t>
      </w:r>
    </w:p>
  </w:footnote>
  <w:footnote w:id="2">
    <w:p w:rsidR="004C19C7" w:rsidRPr="000B72D9" w:rsidRDefault="004C19C7" w:rsidP="00A20D1B">
      <w:pPr>
        <w:pStyle w:val="FootnoteText"/>
      </w:pPr>
      <w:r>
        <w:rPr>
          <w:rStyle w:val="FootnoteReference"/>
        </w:rPr>
        <w:footnoteRef/>
      </w:r>
      <w:r>
        <w:t xml:space="preserve"> Goldstein </w:t>
      </w:r>
      <w:r>
        <w:rPr>
          <w:i/>
        </w:rPr>
        <w:t>et al.</w:t>
      </w:r>
      <w:r>
        <w:t xml:space="preserve"> 2017. “A Pharmacoeconomic analysis of personalized dosing vs. fixed dosing of pembrolizumab in firstline PD-L1-positive non-small cell lung cancer”</w:t>
      </w:r>
      <w:r w:rsidRPr="00DD00E3">
        <w:rPr>
          <w:i/>
        </w:rPr>
        <w:t xml:space="preserve"> J Nat Can Inst</w:t>
      </w:r>
      <w:r>
        <w:rPr>
          <w:i/>
        </w:rPr>
        <w:t>.</w:t>
      </w:r>
      <w:r>
        <w:t xml:space="preserve"> 109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8B" w:rsidRDefault="001E36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C7" w:rsidRPr="00F90A91" w:rsidRDefault="004C19C7" w:rsidP="007A714D">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 xml:space="preserve">November 2017 </w:t>
    </w:r>
    <w:r w:rsidRPr="00F90A91">
      <w:rPr>
        <w:rFonts w:cs="Arial"/>
        <w:i/>
        <w:color w:val="808080"/>
        <w:sz w:val="22"/>
      </w:rPr>
      <w:t>PBAC Meeting</w:t>
    </w:r>
  </w:p>
  <w:p w:rsidR="004C19C7" w:rsidRPr="007A714D" w:rsidRDefault="004C19C7" w:rsidP="007A7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8B" w:rsidRDefault="001E36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7E07A1"/>
    <w:multiLevelType w:val="multilevel"/>
    <w:tmpl w:val="C8782F56"/>
    <w:lvl w:ilvl="0">
      <w:start w:val="1"/>
      <w:numFmt w:val="decimal"/>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A83F35"/>
    <w:multiLevelType w:val="hybridMultilevel"/>
    <w:tmpl w:val="20C80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62C52"/>
    <w:multiLevelType w:val="hybridMultilevel"/>
    <w:tmpl w:val="E2B82968"/>
    <w:lvl w:ilvl="0" w:tplc="DA94F972">
      <w:start w:val="1"/>
      <w:numFmt w:val="bullet"/>
      <w:lvlText w:val="•"/>
      <w:lvlJc w:val="left"/>
      <w:pPr>
        <w:tabs>
          <w:tab w:val="num" w:pos="720"/>
        </w:tabs>
        <w:ind w:left="720" w:hanging="360"/>
      </w:pPr>
      <w:rPr>
        <w:rFonts w:ascii="Arial" w:hAnsi="Arial" w:hint="default"/>
      </w:rPr>
    </w:lvl>
    <w:lvl w:ilvl="1" w:tplc="1F50C82C">
      <w:start w:val="33"/>
      <w:numFmt w:val="bullet"/>
      <w:lvlText w:val="•"/>
      <w:lvlJc w:val="left"/>
      <w:pPr>
        <w:tabs>
          <w:tab w:val="num" w:pos="1440"/>
        </w:tabs>
        <w:ind w:left="1440" w:hanging="360"/>
      </w:pPr>
      <w:rPr>
        <w:rFonts w:ascii="Arial" w:hAnsi="Arial" w:hint="default"/>
      </w:rPr>
    </w:lvl>
    <w:lvl w:ilvl="2" w:tplc="B2C6E9FC" w:tentative="1">
      <w:start w:val="1"/>
      <w:numFmt w:val="bullet"/>
      <w:lvlText w:val="•"/>
      <w:lvlJc w:val="left"/>
      <w:pPr>
        <w:tabs>
          <w:tab w:val="num" w:pos="2160"/>
        </w:tabs>
        <w:ind w:left="2160" w:hanging="360"/>
      </w:pPr>
      <w:rPr>
        <w:rFonts w:ascii="Arial" w:hAnsi="Arial" w:hint="default"/>
      </w:rPr>
    </w:lvl>
    <w:lvl w:ilvl="3" w:tplc="05A6324A" w:tentative="1">
      <w:start w:val="1"/>
      <w:numFmt w:val="bullet"/>
      <w:lvlText w:val="•"/>
      <w:lvlJc w:val="left"/>
      <w:pPr>
        <w:tabs>
          <w:tab w:val="num" w:pos="2880"/>
        </w:tabs>
        <w:ind w:left="2880" w:hanging="360"/>
      </w:pPr>
      <w:rPr>
        <w:rFonts w:ascii="Arial" w:hAnsi="Arial" w:hint="default"/>
      </w:rPr>
    </w:lvl>
    <w:lvl w:ilvl="4" w:tplc="9FB8EE3E" w:tentative="1">
      <w:start w:val="1"/>
      <w:numFmt w:val="bullet"/>
      <w:lvlText w:val="•"/>
      <w:lvlJc w:val="left"/>
      <w:pPr>
        <w:tabs>
          <w:tab w:val="num" w:pos="3600"/>
        </w:tabs>
        <w:ind w:left="3600" w:hanging="360"/>
      </w:pPr>
      <w:rPr>
        <w:rFonts w:ascii="Arial" w:hAnsi="Arial" w:hint="default"/>
      </w:rPr>
    </w:lvl>
    <w:lvl w:ilvl="5" w:tplc="4566DC4E" w:tentative="1">
      <w:start w:val="1"/>
      <w:numFmt w:val="bullet"/>
      <w:lvlText w:val="•"/>
      <w:lvlJc w:val="left"/>
      <w:pPr>
        <w:tabs>
          <w:tab w:val="num" w:pos="4320"/>
        </w:tabs>
        <w:ind w:left="4320" w:hanging="360"/>
      </w:pPr>
      <w:rPr>
        <w:rFonts w:ascii="Arial" w:hAnsi="Arial" w:hint="default"/>
      </w:rPr>
    </w:lvl>
    <w:lvl w:ilvl="6" w:tplc="40DA75E2" w:tentative="1">
      <w:start w:val="1"/>
      <w:numFmt w:val="bullet"/>
      <w:lvlText w:val="•"/>
      <w:lvlJc w:val="left"/>
      <w:pPr>
        <w:tabs>
          <w:tab w:val="num" w:pos="5040"/>
        </w:tabs>
        <w:ind w:left="5040" w:hanging="360"/>
      </w:pPr>
      <w:rPr>
        <w:rFonts w:ascii="Arial" w:hAnsi="Arial" w:hint="default"/>
      </w:rPr>
    </w:lvl>
    <w:lvl w:ilvl="7" w:tplc="E910AA66" w:tentative="1">
      <w:start w:val="1"/>
      <w:numFmt w:val="bullet"/>
      <w:lvlText w:val="•"/>
      <w:lvlJc w:val="left"/>
      <w:pPr>
        <w:tabs>
          <w:tab w:val="num" w:pos="5760"/>
        </w:tabs>
        <w:ind w:left="5760" w:hanging="360"/>
      </w:pPr>
      <w:rPr>
        <w:rFonts w:ascii="Arial" w:hAnsi="Arial" w:hint="default"/>
      </w:rPr>
    </w:lvl>
    <w:lvl w:ilvl="8" w:tplc="9042C5BE" w:tentative="1">
      <w:start w:val="1"/>
      <w:numFmt w:val="bullet"/>
      <w:lvlText w:val="•"/>
      <w:lvlJc w:val="left"/>
      <w:pPr>
        <w:tabs>
          <w:tab w:val="num" w:pos="6480"/>
        </w:tabs>
        <w:ind w:left="6480" w:hanging="360"/>
      </w:pPr>
      <w:rPr>
        <w:rFonts w:ascii="Arial" w:hAnsi="Arial" w:hint="default"/>
      </w:rPr>
    </w:lvl>
  </w:abstractNum>
  <w:abstractNum w:abstractNumId="5">
    <w:nsid w:val="16155358"/>
    <w:multiLevelType w:val="hybridMultilevel"/>
    <w:tmpl w:val="2214C538"/>
    <w:lvl w:ilvl="0" w:tplc="704EBEF2">
      <w:start w:val="1"/>
      <w:numFmt w:val="bullet"/>
      <w:lvlText w:val="•"/>
      <w:lvlJc w:val="left"/>
      <w:pPr>
        <w:tabs>
          <w:tab w:val="num" w:pos="720"/>
        </w:tabs>
        <w:ind w:left="720" w:hanging="360"/>
      </w:pPr>
      <w:rPr>
        <w:rFonts w:ascii="Arial" w:hAnsi="Arial" w:hint="default"/>
      </w:rPr>
    </w:lvl>
    <w:lvl w:ilvl="1" w:tplc="D8864FA2">
      <w:start w:val="1089"/>
      <w:numFmt w:val="bullet"/>
      <w:lvlText w:val="•"/>
      <w:lvlJc w:val="left"/>
      <w:pPr>
        <w:tabs>
          <w:tab w:val="num" w:pos="1440"/>
        </w:tabs>
        <w:ind w:left="1440" w:hanging="360"/>
      </w:pPr>
      <w:rPr>
        <w:rFonts w:ascii="Arial" w:hAnsi="Arial" w:hint="default"/>
      </w:rPr>
    </w:lvl>
    <w:lvl w:ilvl="2" w:tplc="6AE65B32" w:tentative="1">
      <w:start w:val="1"/>
      <w:numFmt w:val="bullet"/>
      <w:lvlText w:val="•"/>
      <w:lvlJc w:val="left"/>
      <w:pPr>
        <w:tabs>
          <w:tab w:val="num" w:pos="2160"/>
        </w:tabs>
        <w:ind w:left="2160" w:hanging="360"/>
      </w:pPr>
      <w:rPr>
        <w:rFonts w:ascii="Arial" w:hAnsi="Arial" w:hint="default"/>
      </w:rPr>
    </w:lvl>
    <w:lvl w:ilvl="3" w:tplc="FCB2F304" w:tentative="1">
      <w:start w:val="1"/>
      <w:numFmt w:val="bullet"/>
      <w:lvlText w:val="•"/>
      <w:lvlJc w:val="left"/>
      <w:pPr>
        <w:tabs>
          <w:tab w:val="num" w:pos="2880"/>
        </w:tabs>
        <w:ind w:left="2880" w:hanging="360"/>
      </w:pPr>
      <w:rPr>
        <w:rFonts w:ascii="Arial" w:hAnsi="Arial" w:hint="default"/>
      </w:rPr>
    </w:lvl>
    <w:lvl w:ilvl="4" w:tplc="7DD49EDE" w:tentative="1">
      <w:start w:val="1"/>
      <w:numFmt w:val="bullet"/>
      <w:lvlText w:val="•"/>
      <w:lvlJc w:val="left"/>
      <w:pPr>
        <w:tabs>
          <w:tab w:val="num" w:pos="3600"/>
        </w:tabs>
        <w:ind w:left="3600" w:hanging="360"/>
      </w:pPr>
      <w:rPr>
        <w:rFonts w:ascii="Arial" w:hAnsi="Arial" w:hint="default"/>
      </w:rPr>
    </w:lvl>
    <w:lvl w:ilvl="5" w:tplc="5C360E2A" w:tentative="1">
      <w:start w:val="1"/>
      <w:numFmt w:val="bullet"/>
      <w:lvlText w:val="•"/>
      <w:lvlJc w:val="left"/>
      <w:pPr>
        <w:tabs>
          <w:tab w:val="num" w:pos="4320"/>
        </w:tabs>
        <w:ind w:left="4320" w:hanging="360"/>
      </w:pPr>
      <w:rPr>
        <w:rFonts w:ascii="Arial" w:hAnsi="Arial" w:hint="default"/>
      </w:rPr>
    </w:lvl>
    <w:lvl w:ilvl="6" w:tplc="A57C301E" w:tentative="1">
      <w:start w:val="1"/>
      <w:numFmt w:val="bullet"/>
      <w:lvlText w:val="•"/>
      <w:lvlJc w:val="left"/>
      <w:pPr>
        <w:tabs>
          <w:tab w:val="num" w:pos="5040"/>
        </w:tabs>
        <w:ind w:left="5040" w:hanging="360"/>
      </w:pPr>
      <w:rPr>
        <w:rFonts w:ascii="Arial" w:hAnsi="Arial" w:hint="default"/>
      </w:rPr>
    </w:lvl>
    <w:lvl w:ilvl="7" w:tplc="4D9E3E48" w:tentative="1">
      <w:start w:val="1"/>
      <w:numFmt w:val="bullet"/>
      <w:lvlText w:val="•"/>
      <w:lvlJc w:val="left"/>
      <w:pPr>
        <w:tabs>
          <w:tab w:val="num" w:pos="5760"/>
        </w:tabs>
        <w:ind w:left="5760" w:hanging="360"/>
      </w:pPr>
      <w:rPr>
        <w:rFonts w:ascii="Arial" w:hAnsi="Arial" w:hint="default"/>
      </w:rPr>
    </w:lvl>
    <w:lvl w:ilvl="8" w:tplc="C694CD42" w:tentative="1">
      <w:start w:val="1"/>
      <w:numFmt w:val="bullet"/>
      <w:lvlText w:val="•"/>
      <w:lvlJc w:val="left"/>
      <w:pPr>
        <w:tabs>
          <w:tab w:val="num" w:pos="6480"/>
        </w:tabs>
        <w:ind w:left="6480" w:hanging="360"/>
      </w:pPr>
      <w:rPr>
        <w:rFonts w:ascii="Arial" w:hAnsi="Arial" w:hint="default"/>
      </w:rPr>
    </w:lvl>
  </w:abstractNum>
  <w:abstractNum w:abstractNumId="6">
    <w:nsid w:val="17234FEF"/>
    <w:multiLevelType w:val="multilevel"/>
    <w:tmpl w:val="ABA6A60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2106D79"/>
    <w:multiLevelType w:val="hybridMultilevel"/>
    <w:tmpl w:val="10A270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E6825"/>
    <w:multiLevelType w:val="multilevel"/>
    <w:tmpl w:val="EB7802C2"/>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B7865EB"/>
    <w:multiLevelType w:val="hybridMultilevel"/>
    <w:tmpl w:val="15B0798C"/>
    <w:lvl w:ilvl="0" w:tplc="8564E888">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3003AC1"/>
    <w:multiLevelType w:val="hybridMultilevel"/>
    <w:tmpl w:val="7D42EB3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nsid w:val="346C4C76"/>
    <w:multiLevelType w:val="multilevel"/>
    <w:tmpl w:val="A858EB7E"/>
    <w:lvl w:ilvl="0">
      <w:start w:val="1"/>
      <w:numFmt w:val="decimal"/>
      <w:pStyle w:val="PBACHeading1"/>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864DA2"/>
    <w:multiLevelType w:val="hybridMultilevel"/>
    <w:tmpl w:val="FD321910"/>
    <w:lvl w:ilvl="0" w:tplc="BEEE4A58">
      <w:start w:val="1"/>
      <w:numFmt w:val="bullet"/>
      <w:lvlText w:val="•"/>
      <w:lvlJc w:val="left"/>
      <w:pPr>
        <w:tabs>
          <w:tab w:val="num" w:pos="720"/>
        </w:tabs>
        <w:ind w:left="720" w:hanging="360"/>
      </w:pPr>
      <w:rPr>
        <w:rFonts w:ascii="Arial" w:hAnsi="Arial" w:hint="default"/>
      </w:rPr>
    </w:lvl>
    <w:lvl w:ilvl="1" w:tplc="A2CAA4DE" w:tentative="1">
      <w:start w:val="1"/>
      <w:numFmt w:val="bullet"/>
      <w:lvlText w:val="•"/>
      <w:lvlJc w:val="left"/>
      <w:pPr>
        <w:tabs>
          <w:tab w:val="num" w:pos="1440"/>
        </w:tabs>
        <w:ind w:left="1440" w:hanging="360"/>
      </w:pPr>
      <w:rPr>
        <w:rFonts w:ascii="Arial" w:hAnsi="Arial" w:hint="default"/>
      </w:rPr>
    </w:lvl>
    <w:lvl w:ilvl="2" w:tplc="872627EA" w:tentative="1">
      <w:start w:val="1"/>
      <w:numFmt w:val="bullet"/>
      <w:lvlText w:val="•"/>
      <w:lvlJc w:val="left"/>
      <w:pPr>
        <w:tabs>
          <w:tab w:val="num" w:pos="2160"/>
        </w:tabs>
        <w:ind w:left="2160" w:hanging="360"/>
      </w:pPr>
      <w:rPr>
        <w:rFonts w:ascii="Arial" w:hAnsi="Arial" w:hint="default"/>
      </w:rPr>
    </w:lvl>
    <w:lvl w:ilvl="3" w:tplc="B3D0E5D2" w:tentative="1">
      <w:start w:val="1"/>
      <w:numFmt w:val="bullet"/>
      <w:lvlText w:val="•"/>
      <w:lvlJc w:val="left"/>
      <w:pPr>
        <w:tabs>
          <w:tab w:val="num" w:pos="2880"/>
        </w:tabs>
        <w:ind w:left="2880" w:hanging="360"/>
      </w:pPr>
      <w:rPr>
        <w:rFonts w:ascii="Arial" w:hAnsi="Arial" w:hint="default"/>
      </w:rPr>
    </w:lvl>
    <w:lvl w:ilvl="4" w:tplc="60061AE8" w:tentative="1">
      <w:start w:val="1"/>
      <w:numFmt w:val="bullet"/>
      <w:lvlText w:val="•"/>
      <w:lvlJc w:val="left"/>
      <w:pPr>
        <w:tabs>
          <w:tab w:val="num" w:pos="3600"/>
        </w:tabs>
        <w:ind w:left="3600" w:hanging="360"/>
      </w:pPr>
      <w:rPr>
        <w:rFonts w:ascii="Arial" w:hAnsi="Arial" w:hint="default"/>
      </w:rPr>
    </w:lvl>
    <w:lvl w:ilvl="5" w:tplc="9F1C908A" w:tentative="1">
      <w:start w:val="1"/>
      <w:numFmt w:val="bullet"/>
      <w:lvlText w:val="•"/>
      <w:lvlJc w:val="left"/>
      <w:pPr>
        <w:tabs>
          <w:tab w:val="num" w:pos="4320"/>
        </w:tabs>
        <w:ind w:left="4320" w:hanging="360"/>
      </w:pPr>
      <w:rPr>
        <w:rFonts w:ascii="Arial" w:hAnsi="Arial" w:hint="default"/>
      </w:rPr>
    </w:lvl>
    <w:lvl w:ilvl="6" w:tplc="734E1472" w:tentative="1">
      <w:start w:val="1"/>
      <w:numFmt w:val="bullet"/>
      <w:lvlText w:val="•"/>
      <w:lvlJc w:val="left"/>
      <w:pPr>
        <w:tabs>
          <w:tab w:val="num" w:pos="5040"/>
        </w:tabs>
        <w:ind w:left="5040" w:hanging="360"/>
      </w:pPr>
      <w:rPr>
        <w:rFonts w:ascii="Arial" w:hAnsi="Arial" w:hint="default"/>
      </w:rPr>
    </w:lvl>
    <w:lvl w:ilvl="7" w:tplc="B2D630C0" w:tentative="1">
      <w:start w:val="1"/>
      <w:numFmt w:val="bullet"/>
      <w:lvlText w:val="•"/>
      <w:lvlJc w:val="left"/>
      <w:pPr>
        <w:tabs>
          <w:tab w:val="num" w:pos="5760"/>
        </w:tabs>
        <w:ind w:left="5760" w:hanging="360"/>
      </w:pPr>
      <w:rPr>
        <w:rFonts w:ascii="Arial" w:hAnsi="Arial" w:hint="default"/>
      </w:rPr>
    </w:lvl>
    <w:lvl w:ilvl="8" w:tplc="ACE44B0C" w:tentative="1">
      <w:start w:val="1"/>
      <w:numFmt w:val="bullet"/>
      <w:lvlText w:val="•"/>
      <w:lvlJc w:val="left"/>
      <w:pPr>
        <w:tabs>
          <w:tab w:val="num" w:pos="6480"/>
        </w:tabs>
        <w:ind w:left="6480" w:hanging="360"/>
      </w:pPr>
      <w:rPr>
        <w:rFonts w:ascii="Arial" w:hAnsi="Arial" w:hint="default"/>
      </w:rPr>
    </w:lvl>
  </w:abstractNum>
  <w:abstractNum w:abstractNumId="16">
    <w:nsid w:val="3D866EB2"/>
    <w:multiLevelType w:val="multilevel"/>
    <w:tmpl w:val="8A6A8D7C"/>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nsid w:val="45045F26"/>
    <w:multiLevelType w:val="multilevel"/>
    <w:tmpl w:val="CA58231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8837C69"/>
    <w:multiLevelType w:val="multilevel"/>
    <w:tmpl w:val="27E277D4"/>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A0445F4"/>
    <w:multiLevelType w:val="multilevel"/>
    <w:tmpl w:val="3930457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F55CCA"/>
    <w:multiLevelType w:val="multilevel"/>
    <w:tmpl w:val="2D2A2750"/>
    <w:lvl w:ilvl="0">
      <w:start w:val="1"/>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4022375"/>
    <w:multiLevelType w:val="hybridMultilevel"/>
    <w:tmpl w:val="CF1636D6"/>
    <w:lvl w:ilvl="0" w:tplc="035E6A7E">
      <w:start w:val="1"/>
      <w:numFmt w:val="bullet"/>
      <w:lvlText w:val="•"/>
      <w:lvlJc w:val="left"/>
      <w:pPr>
        <w:tabs>
          <w:tab w:val="num" w:pos="720"/>
        </w:tabs>
        <w:ind w:left="720" w:hanging="360"/>
      </w:pPr>
      <w:rPr>
        <w:rFonts w:ascii="Arial" w:hAnsi="Arial" w:hint="default"/>
      </w:rPr>
    </w:lvl>
    <w:lvl w:ilvl="1" w:tplc="FCB8E60E">
      <w:start w:val="8324"/>
      <w:numFmt w:val="bullet"/>
      <w:lvlText w:val="•"/>
      <w:lvlJc w:val="left"/>
      <w:pPr>
        <w:tabs>
          <w:tab w:val="num" w:pos="1440"/>
        </w:tabs>
        <w:ind w:left="1440" w:hanging="360"/>
      </w:pPr>
      <w:rPr>
        <w:rFonts w:ascii="Arial" w:hAnsi="Arial" w:hint="default"/>
      </w:rPr>
    </w:lvl>
    <w:lvl w:ilvl="2" w:tplc="3EAA6856" w:tentative="1">
      <w:start w:val="1"/>
      <w:numFmt w:val="bullet"/>
      <w:lvlText w:val="•"/>
      <w:lvlJc w:val="left"/>
      <w:pPr>
        <w:tabs>
          <w:tab w:val="num" w:pos="2160"/>
        </w:tabs>
        <w:ind w:left="2160" w:hanging="360"/>
      </w:pPr>
      <w:rPr>
        <w:rFonts w:ascii="Arial" w:hAnsi="Arial" w:hint="default"/>
      </w:rPr>
    </w:lvl>
    <w:lvl w:ilvl="3" w:tplc="400428AC" w:tentative="1">
      <w:start w:val="1"/>
      <w:numFmt w:val="bullet"/>
      <w:lvlText w:val="•"/>
      <w:lvlJc w:val="left"/>
      <w:pPr>
        <w:tabs>
          <w:tab w:val="num" w:pos="2880"/>
        </w:tabs>
        <w:ind w:left="2880" w:hanging="360"/>
      </w:pPr>
      <w:rPr>
        <w:rFonts w:ascii="Arial" w:hAnsi="Arial" w:hint="default"/>
      </w:rPr>
    </w:lvl>
    <w:lvl w:ilvl="4" w:tplc="AFAA81AC" w:tentative="1">
      <w:start w:val="1"/>
      <w:numFmt w:val="bullet"/>
      <w:lvlText w:val="•"/>
      <w:lvlJc w:val="left"/>
      <w:pPr>
        <w:tabs>
          <w:tab w:val="num" w:pos="3600"/>
        </w:tabs>
        <w:ind w:left="3600" w:hanging="360"/>
      </w:pPr>
      <w:rPr>
        <w:rFonts w:ascii="Arial" w:hAnsi="Arial" w:hint="default"/>
      </w:rPr>
    </w:lvl>
    <w:lvl w:ilvl="5" w:tplc="2170480E" w:tentative="1">
      <w:start w:val="1"/>
      <w:numFmt w:val="bullet"/>
      <w:lvlText w:val="•"/>
      <w:lvlJc w:val="left"/>
      <w:pPr>
        <w:tabs>
          <w:tab w:val="num" w:pos="4320"/>
        </w:tabs>
        <w:ind w:left="4320" w:hanging="360"/>
      </w:pPr>
      <w:rPr>
        <w:rFonts w:ascii="Arial" w:hAnsi="Arial" w:hint="default"/>
      </w:rPr>
    </w:lvl>
    <w:lvl w:ilvl="6" w:tplc="A0DCAE9C" w:tentative="1">
      <w:start w:val="1"/>
      <w:numFmt w:val="bullet"/>
      <w:lvlText w:val="•"/>
      <w:lvlJc w:val="left"/>
      <w:pPr>
        <w:tabs>
          <w:tab w:val="num" w:pos="5040"/>
        </w:tabs>
        <w:ind w:left="5040" w:hanging="360"/>
      </w:pPr>
      <w:rPr>
        <w:rFonts w:ascii="Arial" w:hAnsi="Arial" w:hint="default"/>
      </w:rPr>
    </w:lvl>
    <w:lvl w:ilvl="7" w:tplc="34CE0F60" w:tentative="1">
      <w:start w:val="1"/>
      <w:numFmt w:val="bullet"/>
      <w:lvlText w:val="•"/>
      <w:lvlJc w:val="left"/>
      <w:pPr>
        <w:tabs>
          <w:tab w:val="num" w:pos="5760"/>
        </w:tabs>
        <w:ind w:left="5760" w:hanging="360"/>
      </w:pPr>
      <w:rPr>
        <w:rFonts w:ascii="Arial" w:hAnsi="Arial" w:hint="default"/>
      </w:rPr>
    </w:lvl>
    <w:lvl w:ilvl="8" w:tplc="4F701480" w:tentative="1">
      <w:start w:val="1"/>
      <w:numFmt w:val="bullet"/>
      <w:lvlText w:val="•"/>
      <w:lvlJc w:val="left"/>
      <w:pPr>
        <w:tabs>
          <w:tab w:val="num" w:pos="6480"/>
        </w:tabs>
        <w:ind w:left="6480" w:hanging="360"/>
      </w:pPr>
      <w:rPr>
        <w:rFonts w:ascii="Arial" w:hAnsi="Arial"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E9C29E7"/>
    <w:multiLevelType w:val="hybridMultilevel"/>
    <w:tmpl w:val="9B627DB0"/>
    <w:lvl w:ilvl="0" w:tplc="37844366">
      <w:start w:val="1"/>
      <w:numFmt w:val="bullet"/>
      <w:lvlText w:val="•"/>
      <w:lvlJc w:val="left"/>
      <w:pPr>
        <w:tabs>
          <w:tab w:val="num" w:pos="720"/>
        </w:tabs>
        <w:ind w:left="720" w:hanging="360"/>
      </w:pPr>
      <w:rPr>
        <w:rFonts w:ascii="Arial" w:hAnsi="Arial" w:hint="default"/>
      </w:rPr>
    </w:lvl>
    <w:lvl w:ilvl="1" w:tplc="0D6AF214">
      <w:start w:val="1"/>
      <w:numFmt w:val="bullet"/>
      <w:lvlText w:val="•"/>
      <w:lvlJc w:val="left"/>
      <w:pPr>
        <w:tabs>
          <w:tab w:val="num" w:pos="1440"/>
        </w:tabs>
        <w:ind w:left="1440" w:hanging="360"/>
      </w:pPr>
      <w:rPr>
        <w:rFonts w:ascii="Arial" w:hAnsi="Arial" w:hint="default"/>
      </w:rPr>
    </w:lvl>
    <w:lvl w:ilvl="2" w:tplc="9F4A5300" w:tentative="1">
      <w:start w:val="1"/>
      <w:numFmt w:val="bullet"/>
      <w:lvlText w:val="•"/>
      <w:lvlJc w:val="left"/>
      <w:pPr>
        <w:tabs>
          <w:tab w:val="num" w:pos="2160"/>
        </w:tabs>
        <w:ind w:left="2160" w:hanging="360"/>
      </w:pPr>
      <w:rPr>
        <w:rFonts w:ascii="Arial" w:hAnsi="Arial" w:hint="default"/>
      </w:rPr>
    </w:lvl>
    <w:lvl w:ilvl="3" w:tplc="B5F4D676" w:tentative="1">
      <w:start w:val="1"/>
      <w:numFmt w:val="bullet"/>
      <w:lvlText w:val="•"/>
      <w:lvlJc w:val="left"/>
      <w:pPr>
        <w:tabs>
          <w:tab w:val="num" w:pos="2880"/>
        </w:tabs>
        <w:ind w:left="2880" w:hanging="360"/>
      </w:pPr>
      <w:rPr>
        <w:rFonts w:ascii="Arial" w:hAnsi="Arial" w:hint="default"/>
      </w:rPr>
    </w:lvl>
    <w:lvl w:ilvl="4" w:tplc="27180DE8" w:tentative="1">
      <w:start w:val="1"/>
      <w:numFmt w:val="bullet"/>
      <w:lvlText w:val="•"/>
      <w:lvlJc w:val="left"/>
      <w:pPr>
        <w:tabs>
          <w:tab w:val="num" w:pos="3600"/>
        </w:tabs>
        <w:ind w:left="3600" w:hanging="360"/>
      </w:pPr>
      <w:rPr>
        <w:rFonts w:ascii="Arial" w:hAnsi="Arial" w:hint="default"/>
      </w:rPr>
    </w:lvl>
    <w:lvl w:ilvl="5" w:tplc="D9FA0528" w:tentative="1">
      <w:start w:val="1"/>
      <w:numFmt w:val="bullet"/>
      <w:lvlText w:val="•"/>
      <w:lvlJc w:val="left"/>
      <w:pPr>
        <w:tabs>
          <w:tab w:val="num" w:pos="4320"/>
        </w:tabs>
        <w:ind w:left="4320" w:hanging="360"/>
      </w:pPr>
      <w:rPr>
        <w:rFonts w:ascii="Arial" w:hAnsi="Arial" w:hint="default"/>
      </w:rPr>
    </w:lvl>
    <w:lvl w:ilvl="6" w:tplc="21ECDA48" w:tentative="1">
      <w:start w:val="1"/>
      <w:numFmt w:val="bullet"/>
      <w:lvlText w:val="•"/>
      <w:lvlJc w:val="left"/>
      <w:pPr>
        <w:tabs>
          <w:tab w:val="num" w:pos="5040"/>
        </w:tabs>
        <w:ind w:left="5040" w:hanging="360"/>
      </w:pPr>
      <w:rPr>
        <w:rFonts w:ascii="Arial" w:hAnsi="Arial" w:hint="default"/>
      </w:rPr>
    </w:lvl>
    <w:lvl w:ilvl="7" w:tplc="75E40650" w:tentative="1">
      <w:start w:val="1"/>
      <w:numFmt w:val="bullet"/>
      <w:lvlText w:val="•"/>
      <w:lvlJc w:val="left"/>
      <w:pPr>
        <w:tabs>
          <w:tab w:val="num" w:pos="5760"/>
        </w:tabs>
        <w:ind w:left="5760" w:hanging="360"/>
      </w:pPr>
      <w:rPr>
        <w:rFonts w:ascii="Arial" w:hAnsi="Arial" w:hint="default"/>
      </w:rPr>
    </w:lvl>
    <w:lvl w:ilvl="8" w:tplc="AC2EF406" w:tentative="1">
      <w:start w:val="1"/>
      <w:numFmt w:val="bullet"/>
      <w:lvlText w:val="•"/>
      <w:lvlJc w:val="left"/>
      <w:pPr>
        <w:tabs>
          <w:tab w:val="num" w:pos="6480"/>
        </w:tabs>
        <w:ind w:left="6480" w:hanging="360"/>
      </w:pPr>
      <w:rPr>
        <w:rFonts w:ascii="Arial" w:hAnsi="Arial" w:hint="default"/>
      </w:rPr>
    </w:lvl>
  </w:abstractNum>
  <w:abstractNum w:abstractNumId="27">
    <w:nsid w:val="739E539C"/>
    <w:multiLevelType w:val="multilevel"/>
    <w:tmpl w:val="5992AEF8"/>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69E5A9B"/>
    <w:multiLevelType w:val="hybridMultilevel"/>
    <w:tmpl w:val="5D5C0B8E"/>
    <w:lvl w:ilvl="0" w:tplc="28580EA4">
      <w:start w:val="1"/>
      <w:numFmt w:val="bullet"/>
      <w:pStyle w:val="Tablebullets"/>
      <w:lvlText w:val=""/>
      <w:lvlJc w:val="left"/>
      <w:pPr>
        <w:ind w:left="360" w:hanging="360"/>
      </w:pPr>
      <w:rPr>
        <w:rFonts w:ascii="Symbol" w:hAnsi="Symbol" w:hint="default"/>
      </w:rPr>
    </w:lvl>
    <w:lvl w:ilvl="1" w:tplc="FE466306" w:tentative="1">
      <w:start w:val="1"/>
      <w:numFmt w:val="bullet"/>
      <w:lvlText w:val="o"/>
      <w:lvlJc w:val="left"/>
      <w:pPr>
        <w:ind w:left="1080" w:hanging="360"/>
      </w:pPr>
      <w:rPr>
        <w:rFonts w:ascii="Courier New" w:hAnsi="Courier New" w:hint="default"/>
      </w:rPr>
    </w:lvl>
    <w:lvl w:ilvl="2" w:tplc="39084632" w:tentative="1">
      <w:start w:val="1"/>
      <w:numFmt w:val="bullet"/>
      <w:lvlText w:val=""/>
      <w:lvlJc w:val="left"/>
      <w:pPr>
        <w:ind w:left="1800" w:hanging="360"/>
      </w:pPr>
      <w:rPr>
        <w:rFonts w:ascii="Wingdings" w:hAnsi="Wingdings" w:hint="default"/>
      </w:rPr>
    </w:lvl>
    <w:lvl w:ilvl="3" w:tplc="57EC5608" w:tentative="1">
      <w:start w:val="1"/>
      <w:numFmt w:val="bullet"/>
      <w:lvlText w:val=""/>
      <w:lvlJc w:val="left"/>
      <w:pPr>
        <w:ind w:left="2520" w:hanging="360"/>
      </w:pPr>
      <w:rPr>
        <w:rFonts w:ascii="Symbol" w:hAnsi="Symbol" w:hint="default"/>
      </w:rPr>
    </w:lvl>
    <w:lvl w:ilvl="4" w:tplc="C17E873A" w:tentative="1">
      <w:start w:val="1"/>
      <w:numFmt w:val="bullet"/>
      <w:lvlText w:val="o"/>
      <w:lvlJc w:val="left"/>
      <w:pPr>
        <w:ind w:left="3240" w:hanging="360"/>
      </w:pPr>
      <w:rPr>
        <w:rFonts w:ascii="Courier New" w:hAnsi="Courier New" w:hint="default"/>
      </w:rPr>
    </w:lvl>
    <w:lvl w:ilvl="5" w:tplc="4954A2FA" w:tentative="1">
      <w:start w:val="1"/>
      <w:numFmt w:val="bullet"/>
      <w:lvlText w:val=""/>
      <w:lvlJc w:val="left"/>
      <w:pPr>
        <w:ind w:left="3960" w:hanging="360"/>
      </w:pPr>
      <w:rPr>
        <w:rFonts w:ascii="Wingdings" w:hAnsi="Wingdings" w:hint="default"/>
      </w:rPr>
    </w:lvl>
    <w:lvl w:ilvl="6" w:tplc="C680C8EC" w:tentative="1">
      <w:start w:val="1"/>
      <w:numFmt w:val="bullet"/>
      <w:lvlText w:val=""/>
      <w:lvlJc w:val="left"/>
      <w:pPr>
        <w:ind w:left="4680" w:hanging="360"/>
      </w:pPr>
      <w:rPr>
        <w:rFonts w:ascii="Symbol" w:hAnsi="Symbol" w:hint="default"/>
      </w:rPr>
    </w:lvl>
    <w:lvl w:ilvl="7" w:tplc="794E0DC4" w:tentative="1">
      <w:start w:val="1"/>
      <w:numFmt w:val="bullet"/>
      <w:lvlText w:val="o"/>
      <w:lvlJc w:val="left"/>
      <w:pPr>
        <w:ind w:left="5400" w:hanging="360"/>
      </w:pPr>
      <w:rPr>
        <w:rFonts w:ascii="Courier New" w:hAnsi="Courier New" w:hint="default"/>
      </w:rPr>
    </w:lvl>
    <w:lvl w:ilvl="8" w:tplc="55F0577E" w:tentative="1">
      <w:start w:val="1"/>
      <w:numFmt w:val="bullet"/>
      <w:lvlText w:val=""/>
      <w:lvlJc w:val="left"/>
      <w:pPr>
        <w:ind w:left="6120" w:hanging="360"/>
      </w:pPr>
      <w:rPr>
        <w:rFonts w:ascii="Wingdings" w:hAnsi="Wingdings" w:hint="default"/>
      </w:rPr>
    </w:lvl>
  </w:abstractNum>
  <w:abstractNum w:abstractNumId="29">
    <w:nsid w:val="780E7B24"/>
    <w:multiLevelType w:val="multilevel"/>
    <w:tmpl w:val="27E277D4"/>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84D033C"/>
    <w:multiLevelType w:val="multilevel"/>
    <w:tmpl w:val="DFA66B1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D6E2AB9"/>
    <w:multiLevelType w:val="hybridMultilevel"/>
    <w:tmpl w:val="831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30"/>
  </w:num>
  <w:num w:numId="4">
    <w:abstractNumId w:val="11"/>
  </w:num>
  <w:num w:numId="5">
    <w:abstractNumId w:val="25"/>
  </w:num>
  <w:num w:numId="6">
    <w:abstractNumId w:val="20"/>
  </w:num>
  <w:num w:numId="7">
    <w:abstractNumId w:val="7"/>
  </w:num>
  <w:num w:numId="8">
    <w:abstractNumId w:val="28"/>
  </w:num>
  <w:num w:numId="9">
    <w:abstractNumId w:val="17"/>
  </w:num>
  <w:num w:numId="10">
    <w:abstractNumId w:val="8"/>
  </w:num>
  <w:num w:numId="11">
    <w:abstractNumId w:val="12"/>
  </w:num>
  <w:num w:numId="12">
    <w:abstractNumId w:val="14"/>
  </w:num>
  <w:num w:numId="13">
    <w:abstractNumId w:val="6"/>
  </w:num>
  <w:num w:numId="14">
    <w:abstractNumId w:val="3"/>
  </w:num>
  <w:num w:numId="15">
    <w:abstractNumId w:val="31"/>
  </w:num>
  <w:num w:numId="16">
    <w:abstractNumId w:val="1"/>
  </w:num>
  <w:num w:numId="17">
    <w:abstractNumId w:val="27"/>
  </w:num>
  <w:num w:numId="18">
    <w:abstractNumId w:val="22"/>
  </w:num>
  <w:num w:numId="19">
    <w:abstractNumId w:val="18"/>
  </w:num>
  <w:num w:numId="20">
    <w:abstractNumId w:val="24"/>
  </w:num>
  <w:num w:numId="21">
    <w:abstractNumId w:val="2"/>
  </w:num>
  <w:num w:numId="22">
    <w:abstractNumId w:val="0"/>
  </w:num>
  <w:num w:numId="23">
    <w:abstractNumId w:val="9"/>
  </w:num>
  <w:num w:numId="24">
    <w:abstractNumId w:val="5"/>
  </w:num>
  <w:num w:numId="25">
    <w:abstractNumId w:val="15"/>
  </w:num>
  <w:num w:numId="26">
    <w:abstractNumId w:val="4"/>
  </w:num>
  <w:num w:numId="27">
    <w:abstractNumId w:val="23"/>
  </w:num>
  <w:num w:numId="28">
    <w:abstractNumId w:val="19"/>
  </w:num>
  <w:num w:numId="29">
    <w:abstractNumId w:val="29"/>
  </w:num>
  <w:num w:numId="30">
    <w:abstractNumId w:val="26"/>
  </w:num>
  <w:num w:numId="31">
    <w:abstractNumId w:val="16"/>
  </w:num>
  <w:num w:numId="32">
    <w:abstractNumId w:val="13"/>
  </w:num>
  <w:num w:numId="33">
    <w:abstractNumId w:val="10"/>
  </w:num>
  <w:num w:numId="34">
    <w:abstractNumId w:val="1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21A29"/>
    <w:rsid w:val="00001AB4"/>
    <w:rsid w:val="00003ADB"/>
    <w:rsid w:val="00003B09"/>
    <w:rsid w:val="00005168"/>
    <w:rsid w:val="00006062"/>
    <w:rsid w:val="0000694E"/>
    <w:rsid w:val="00006FD1"/>
    <w:rsid w:val="00007660"/>
    <w:rsid w:val="00007A4D"/>
    <w:rsid w:val="0001066F"/>
    <w:rsid w:val="0001166F"/>
    <w:rsid w:val="0001167B"/>
    <w:rsid w:val="00011741"/>
    <w:rsid w:val="00011A31"/>
    <w:rsid w:val="00013222"/>
    <w:rsid w:val="000137AB"/>
    <w:rsid w:val="00013E46"/>
    <w:rsid w:val="0001505E"/>
    <w:rsid w:val="00015277"/>
    <w:rsid w:val="00015F04"/>
    <w:rsid w:val="00017B52"/>
    <w:rsid w:val="00020035"/>
    <w:rsid w:val="0002095B"/>
    <w:rsid w:val="00020A1C"/>
    <w:rsid w:val="00020F01"/>
    <w:rsid w:val="000218E3"/>
    <w:rsid w:val="00021944"/>
    <w:rsid w:val="000219E4"/>
    <w:rsid w:val="000226FC"/>
    <w:rsid w:val="000243DB"/>
    <w:rsid w:val="00024AA3"/>
    <w:rsid w:val="000263BB"/>
    <w:rsid w:val="000268A5"/>
    <w:rsid w:val="000269BC"/>
    <w:rsid w:val="00026D68"/>
    <w:rsid w:val="00032004"/>
    <w:rsid w:val="000330FE"/>
    <w:rsid w:val="00033CF9"/>
    <w:rsid w:val="00034404"/>
    <w:rsid w:val="00035532"/>
    <w:rsid w:val="00036F08"/>
    <w:rsid w:val="000371CF"/>
    <w:rsid w:val="000374F5"/>
    <w:rsid w:val="00037AB1"/>
    <w:rsid w:val="00042065"/>
    <w:rsid w:val="00042744"/>
    <w:rsid w:val="00043527"/>
    <w:rsid w:val="00043757"/>
    <w:rsid w:val="0004440D"/>
    <w:rsid w:val="00044CCD"/>
    <w:rsid w:val="00045DC7"/>
    <w:rsid w:val="000461CF"/>
    <w:rsid w:val="00046ADA"/>
    <w:rsid w:val="00046FA7"/>
    <w:rsid w:val="0004740B"/>
    <w:rsid w:val="0005016C"/>
    <w:rsid w:val="00052E47"/>
    <w:rsid w:val="00057F71"/>
    <w:rsid w:val="0006050E"/>
    <w:rsid w:val="0006121F"/>
    <w:rsid w:val="000616FC"/>
    <w:rsid w:val="000618BB"/>
    <w:rsid w:val="00061E3C"/>
    <w:rsid w:val="00062067"/>
    <w:rsid w:val="0006259A"/>
    <w:rsid w:val="00062624"/>
    <w:rsid w:val="00062BC7"/>
    <w:rsid w:val="00064DBB"/>
    <w:rsid w:val="00065C62"/>
    <w:rsid w:val="00065CDE"/>
    <w:rsid w:val="00065F4A"/>
    <w:rsid w:val="00066065"/>
    <w:rsid w:val="0006706C"/>
    <w:rsid w:val="0006727B"/>
    <w:rsid w:val="00067F7C"/>
    <w:rsid w:val="0007089A"/>
    <w:rsid w:val="00070E29"/>
    <w:rsid w:val="000714D2"/>
    <w:rsid w:val="000725C6"/>
    <w:rsid w:val="000747BC"/>
    <w:rsid w:val="00074992"/>
    <w:rsid w:val="0007759D"/>
    <w:rsid w:val="0008093B"/>
    <w:rsid w:val="00080A1A"/>
    <w:rsid w:val="00080FF3"/>
    <w:rsid w:val="000847FE"/>
    <w:rsid w:val="00084C9B"/>
    <w:rsid w:val="00084D61"/>
    <w:rsid w:val="00085440"/>
    <w:rsid w:val="00086133"/>
    <w:rsid w:val="0008676B"/>
    <w:rsid w:val="000876A1"/>
    <w:rsid w:val="00090259"/>
    <w:rsid w:val="000903CB"/>
    <w:rsid w:val="00093808"/>
    <w:rsid w:val="00094626"/>
    <w:rsid w:val="0009481D"/>
    <w:rsid w:val="00095C71"/>
    <w:rsid w:val="00095E5E"/>
    <w:rsid w:val="00096515"/>
    <w:rsid w:val="00097EA1"/>
    <w:rsid w:val="000A0CCA"/>
    <w:rsid w:val="000A2694"/>
    <w:rsid w:val="000A26C2"/>
    <w:rsid w:val="000A2DF3"/>
    <w:rsid w:val="000A2EF1"/>
    <w:rsid w:val="000A348E"/>
    <w:rsid w:val="000A3D10"/>
    <w:rsid w:val="000A4379"/>
    <w:rsid w:val="000A4E76"/>
    <w:rsid w:val="000A5ECC"/>
    <w:rsid w:val="000A6FBD"/>
    <w:rsid w:val="000A7E7E"/>
    <w:rsid w:val="000B07DE"/>
    <w:rsid w:val="000B1501"/>
    <w:rsid w:val="000B1A6E"/>
    <w:rsid w:val="000B2093"/>
    <w:rsid w:val="000B313A"/>
    <w:rsid w:val="000B3A19"/>
    <w:rsid w:val="000B3DEF"/>
    <w:rsid w:val="000B513C"/>
    <w:rsid w:val="000B56CD"/>
    <w:rsid w:val="000B5E8F"/>
    <w:rsid w:val="000B6193"/>
    <w:rsid w:val="000B6AE4"/>
    <w:rsid w:val="000B6B69"/>
    <w:rsid w:val="000B72D9"/>
    <w:rsid w:val="000B72FB"/>
    <w:rsid w:val="000B7315"/>
    <w:rsid w:val="000B78E2"/>
    <w:rsid w:val="000C0142"/>
    <w:rsid w:val="000C0E46"/>
    <w:rsid w:val="000C1181"/>
    <w:rsid w:val="000C17D3"/>
    <w:rsid w:val="000C18FE"/>
    <w:rsid w:val="000C23DC"/>
    <w:rsid w:val="000C3ACF"/>
    <w:rsid w:val="000C40F2"/>
    <w:rsid w:val="000C58BD"/>
    <w:rsid w:val="000C669C"/>
    <w:rsid w:val="000C673A"/>
    <w:rsid w:val="000C6A40"/>
    <w:rsid w:val="000C6A75"/>
    <w:rsid w:val="000C6BF1"/>
    <w:rsid w:val="000C7157"/>
    <w:rsid w:val="000C74B6"/>
    <w:rsid w:val="000D0023"/>
    <w:rsid w:val="000D061D"/>
    <w:rsid w:val="000D1C60"/>
    <w:rsid w:val="000D2321"/>
    <w:rsid w:val="000D2E92"/>
    <w:rsid w:val="000D3193"/>
    <w:rsid w:val="000D332E"/>
    <w:rsid w:val="000D3DF8"/>
    <w:rsid w:val="000D4262"/>
    <w:rsid w:val="000D4495"/>
    <w:rsid w:val="000D4852"/>
    <w:rsid w:val="000D5071"/>
    <w:rsid w:val="000E15B3"/>
    <w:rsid w:val="000E16F8"/>
    <w:rsid w:val="000E192D"/>
    <w:rsid w:val="000E19AE"/>
    <w:rsid w:val="000E1A08"/>
    <w:rsid w:val="000E21AD"/>
    <w:rsid w:val="000E2AED"/>
    <w:rsid w:val="000E4190"/>
    <w:rsid w:val="000E5FC9"/>
    <w:rsid w:val="000E6054"/>
    <w:rsid w:val="000E6D12"/>
    <w:rsid w:val="000E7E05"/>
    <w:rsid w:val="000F08A5"/>
    <w:rsid w:val="000F0DE4"/>
    <w:rsid w:val="000F1559"/>
    <w:rsid w:val="000F16CD"/>
    <w:rsid w:val="000F18B3"/>
    <w:rsid w:val="000F2534"/>
    <w:rsid w:val="000F3652"/>
    <w:rsid w:val="000F42D8"/>
    <w:rsid w:val="000F4906"/>
    <w:rsid w:val="000F5A69"/>
    <w:rsid w:val="000F633D"/>
    <w:rsid w:val="000F63EA"/>
    <w:rsid w:val="000F6962"/>
    <w:rsid w:val="000F6EF8"/>
    <w:rsid w:val="000F7F9F"/>
    <w:rsid w:val="00100419"/>
    <w:rsid w:val="001017C8"/>
    <w:rsid w:val="00101967"/>
    <w:rsid w:val="0010231D"/>
    <w:rsid w:val="0010463C"/>
    <w:rsid w:val="00104852"/>
    <w:rsid w:val="00104AC2"/>
    <w:rsid w:val="00105086"/>
    <w:rsid w:val="001053CE"/>
    <w:rsid w:val="001077E3"/>
    <w:rsid w:val="00110D4B"/>
    <w:rsid w:val="00113FB4"/>
    <w:rsid w:val="00114A23"/>
    <w:rsid w:val="001150AC"/>
    <w:rsid w:val="00115BF1"/>
    <w:rsid w:val="001174BA"/>
    <w:rsid w:val="00117CE4"/>
    <w:rsid w:val="00120065"/>
    <w:rsid w:val="0012203D"/>
    <w:rsid w:val="00122B70"/>
    <w:rsid w:val="0012465E"/>
    <w:rsid w:val="0012516B"/>
    <w:rsid w:val="00125822"/>
    <w:rsid w:val="00125C0A"/>
    <w:rsid w:val="0012701F"/>
    <w:rsid w:val="001279AE"/>
    <w:rsid w:val="0013092C"/>
    <w:rsid w:val="00130DE3"/>
    <w:rsid w:val="00131D23"/>
    <w:rsid w:val="0013311F"/>
    <w:rsid w:val="00134F48"/>
    <w:rsid w:val="0013564E"/>
    <w:rsid w:val="00135BDC"/>
    <w:rsid w:val="00135D58"/>
    <w:rsid w:val="001361AE"/>
    <w:rsid w:val="00136E76"/>
    <w:rsid w:val="00137FE3"/>
    <w:rsid w:val="0014139B"/>
    <w:rsid w:val="00142426"/>
    <w:rsid w:val="00142BDF"/>
    <w:rsid w:val="0014326E"/>
    <w:rsid w:val="00143611"/>
    <w:rsid w:val="00143AAB"/>
    <w:rsid w:val="00144D41"/>
    <w:rsid w:val="00145679"/>
    <w:rsid w:val="00145C1C"/>
    <w:rsid w:val="00146057"/>
    <w:rsid w:val="0014637B"/>
    <w:rsid w:val="001468C6"/>
    <w:rsid w:val="00146C47"/>
    <w:rsid w:val="00147C8B"/>
    <w:rsid w:val="00147CB4"/>
    <w:rsid w:val="00150ACF"/>
    <w:rsid w:val="001511BF"/>
    <w:rsid w:val="00153C87"/>
    <w:rsid w:val="001542E8"/>
    <w:rsid w:val="00154B48"/>
    <w:rsid w:val="00154F53"/>
    <w:rsid w:val="00155A6C"/>
    <w:rsid w:val="00156EAB"/>
    <w:rsid w:val="00157F6B"/>
    <w:rsid w:val="00162128"/>
    <w:rsid w:val="00162371"/>
    <w:rsid w:val="00163BA6"/>
    <w:rsid w:val="0016437A"/>
    <w:rsid w:val="00165A49"/>
    <w:rsid w:val="00166F79"/>
    <w:rsid w:val="00167D66"/>
    <w:rsid w:val="00170458"/>
    <w:rsid w:val="00171885"/>
    <w:rsid w:val="001722AD"/>
    <w:rsid w:val="00173219"/>
    <w:rsid w:val="001734D4"/>
    <w:rsid w:val="00173577"/>
    <w:rsid w:val="00173833"/>
    <w:rsid w:val="001745C6"/>
    <w:rsid w:val="00176169"/>
    <w:rsid w:val="001761B8"/>
    <w:rsid w:val="0017638E"/>
    <w:rsid w:val="001763E4"/>
    <w:rsid w:val="00176AA5"/>
    <w:rsid w:val="0017720E"/>
    <w:rsid w:val="0017754A"/>
    <w:rsid w:val="00177893"/>
    <w:rsid w:val="001803FE"/>
    <w:rsid w:val="00181828"/>
    <w:rsid w:val="00183664"/>
    <w:rsid w:val="00183EDD"/>
    <w:rsid w:val="00184221"/>
    <w:rsid w:val="00184553"/>
    <w:rsid w:val="001847CD"/>
    <w:rsid w:val="00186307"/>
    <w:rsid w:val="00186EBC"/>
    <w:rsid w:val="0019052D"/>
    <w:rsid w:val="00190783"/>
    <w:rsid w:val="0019081A"/>
    <w:rsid w:val="0019192B"/>
    <w:rsid w:val="00195361"/>
    <w:rsid w:val="00195DA4"/>
    <w:rsid w:val="00196155"/>
    <w:rsid w:val="001961DD"/>
    <w:rsid w:val="001A0142"/>
    <w:rsid w:val="001A02B2"/>
    <w:rsid w:val="001A1127"/>
    <w:rsid w:val="001A191F"/>
    <w:rsid w:val="001A1F8E"/>
    <w:rsid w:val="001A320E"/>
    <w:rsid w:val="001A3543"/>
    <w:rsid w:val="001A3965"/>
    <w:rsid w:val="001A4156"/>
    <w:rsid w:val="001A4D91"/>
    <w:rsid w:val="001A5D55"/>
    <w:rsid w:val="001A5FDB"/>
    <w:rsid w:val="001A6741"/>
    <w:rsid w:val="001A72DD"/>
    <w:rsid w:val="001B00CE"/>
    <w:rsid w:val="001B0404"/>
    <w:rsid w:val="001B18BA"/>
    <w:rsid w:val="001B1A3E"/>
    <w:rsid w:val="001B3407"/>
    <w:rsid w:val="001B52E5"/>
    <w:rsid w:val="001B6061"/>
    <w:rsid w:val="001B6389"/>
    <w:rsid w:val="001B6D99"/>
    <w:rsid w:val="001C04CC"/>
    <w:rsid w:val="001C051E"/>
    <w:rsid w:val="001C0D46"/>
    <w:rsid w:val="001C1C0A"/>
    <w:rsid w:val="001C26BD"/>
    <w:rsid w:val="001C2BDD"/>
    <w:rsid w:val="001C2D76"/>
    <w:rsid w:val="001C34A1"/>
    <w:rsid w:val="001C38C3"/>
    <w:rsid w:val="001C4122"/>
    <w:rsid w:val="001C4232"/>
    <w:rsid w:val="001C45CD"/>
    <w:rsid w:val="001C554C"/>
    <w:rsid w:val="001C5DC8"/>
    <w:rsid w:val="001C5EB2"/>
    <w:rsid w:val="001C610D"/>
    <w:rsid w:val="001C6AA3"/>
    <w:rsid w:val="001D0321"/>
    <w:rsid w:val="001D1F4D"/>
    <w:rsid w:val="001D2868"/>
    <w:rsid w:val="001D3830"/>
    <w:rsid w:val="001D52C4"/>
    <w:rsid w:val="001D542E"/>
    <w:rsid w:val="001D5D0B"/>
    <w:rsid w:val="001D5DE3"/>
    <w:rsid w:val="001D5F84"/>
    <w:rsid w:val="001D6226"/>
    <w:rsid w:val="001D648C"/>
    <w:rsid w:val="001D697F"/>
    <w:rsid w:val="001D7684"/>
    <w:rsid w:val="001D7ED2"/>
    <w:rsid w:val="001E0396"/>
    <w:rsid w:val="001E1430"/>
    <w:rsid w:val="001E2EDC"/>
    <w:rsid w:val="001E368B"/>
    <w:rsid w:val="001E4361"/>
    <w:rsid w:val="001E4E29"/>
    <w:rsid w:val="001E51CA"/>
    <w:rsid w:val="001E5918"/>
    <w:rsid w:val="001E6528"/>
    <w:rsid w:val="001E692E"/>
    <w:rsid w:val="001E7B14"/>
    <w:rsid w:val="001F073C"/>
    <w:rsid w:val="001F11DF"/>
    <w:rsid w:val="001F184A"/>
    <w:rsid w:val="001F1E88"/>
    <w:rsid w:val="001F2912"/>
    <w:rsid w:val="001F32E9"/>
    <w:rsid w:val="001F3F9C"/>
    <w:rsid w:val="001F4192"/>
    <w:rsid w:val="001F4A44"/>
    <w:rsid w:val="001F4CCA"/>
    <w:rsid w:val="001F5262"/>
    <w:rsid w:val="002001C6"/>
    <w:rsid w:val="00200296"/>
    <w:rsid w:val="002005EF"/>
    <w:rsid w:val="00201ADB"/>
    <w:rsid w:val="00202B45"/>
    <w:rsid w:val="00202C0B"/>
    <w:rsid w:val="00204452"/>
    <w:rsid w:val="002047BF"/>
    <w:rsid w:val="00205090"/>
    <w:rsid w:val="002057A6"/>
    <w:rsid w:val="002058E5"/>
    <w:rsid w:val="0020593C"/>
    <w:rsid w:val="002079D8"/>
    <w:rsid w:val="00207D8F"/>
    <w:rsid w:val="00210FAA"/>
    <w:rsid w:val="002120B2"/>
    <w:rsid w:val="002130B2"/>
    <w:rsid w:val="0021348A"/>
    <w:rsid w:val="0021431F"/>
    <w:rsid w:val="00214471"/>
    <w:rsid w:val="002156CD"/>
    <w:rsid w:val="00215787"/>
    <w:rsid w:val="00215D0E"/>
    <w:rsid w:val="00215EAB"/>
    <w:rsid w:val="00216B6F"/>
    <w:rsid w:val="00216F0A"/>
    <w:rsid w:val="002212AF"/>
    <w:rsid w:val="002213DE"/>
    <w:rsid w:val="002234A6"/>
    <w:rsid w:val="00223F9C"/>
    <w:rsid w:val="0022524B"/>
    <w:rsid w:val="00225826"/>
    <w:rsid w:val="00225E6B"/>
    <w:rsid w:val="00226581"/>
    <w:rsid w:val="002303E9"/>
    <w:rsid w:val="00231C43"/>
    <w:rsid w:val="0023327E"/>
    <w:rsid w:val="00233606"/>
    <w:rsid w:val="0023371B"/>
    <w:rsid w:val="00233DFE"/>
    <w:rsid w:val="002346BC"/>
    <w:rsid w:val="00235591"/>
    <w:rsid w:val="002357B1"/>
    <w:rsid w:val="0023589F"/>
    <w:rsid w:val="00236C85"/>
    <w:rsid w:val="0023765C"/>
    <w:rsid w:val="00237D89"/>
    <w:rsid w:val="00240369"/>
    <w:rsid w:val="00240615"/>
    <w:rsid w:val="00240E9A"/>
    <w:rsid w:val="00241095"/>
    <w:rsid w:val="002410E0"/>
    <w:rsid w:val="00241E97"/>
    <w:rsid w:val="00242240"/>
    <w:rsid w:val="002425EA"/>
    <w:rsid w:val="00242EA0"/>
    <w:rsid w:val="00243685"/>
    <w:rsid w:val="0024467E"/>
    <w:rsid w:val="00246304"/>
    <w:rsid w:val="00246761"/>
    <w:rsid w:val="00246FDA"/>
    <w:rsid w:val="00247529"/>
    <w:rsid w:val="00247A0A"/>
    <w:rsid w:val="00247FF7"/>
    <w:rsid w:val="00252616"/>
    <w:rsid w:val="002526EE"/>
    <w:rsid w:val="00253C82"/>
    <w:rsid w:val="00254325"/>
    <w:rsid w:val="002555B6"/>
    <w:rsid w:val="00255C37"/>
    <w:rsid w:val="00255FA7"/>
    <w:rsid w:val="0025613F"/>
    <w:rsid w:val="002569CF"/>
    <w:rsid w:val="00256D2C"/>
    <w:rsid w:val="00261043"/>
    <w:rsid w:val="00261D3B"/>
    <w:rsid w:val="00261DC6"/>
    <w:rsid w:val="002621D2"/>
    <w:rsid w:val="002627E4"/>
    <w:rsid w:val="00263B01"/>
    <w:rsid w:val="00264493"/>
    <w:rsid w:val="00264623"/>
    <w:rsid w:val="00264C04"/>
    <w:rsid w:val="002650CA"/>
    <w:rsid w:val="0026520C"/>
    <w:rsid w:val="00265950"/>
    <w:rsid w:val="00267D35"/>
    <w:rsid w:val="00270D0A"/>
    <w:rsid w:val="002713EF"/>
    <w:rsid w:val="0027356A"/>
    <w:rsid w:val="002739E1"/>
    <w:rsid w:val="00273C33"/>
    <w:rsid w:val="00273C92"/>
    <w:rsid w:val="00273DDD"/>
    <w:rsid w:val="00273E44"/>
    <w:rsid w:val="00274872"/>
    <w:rsid w:val="00276348"/>
    <w:rsid w:val="0027699B"/>
    <w:rsid w:val="0027770D"/>
    <w:rsid w:val="00280070"/>
    <w:rsid w:val="00280109"/>
    <w:rsid w:val="00280355"/>
    <w:rsid w:val="00280B5B"/>
    <w:rsid w:val="00280C74"/>
    <w:rsid w:val="00282095"/>
    <w:rsid w:val="00282AE9"/>
    <w:rsid w:val="00282D1F"/>
    <w:rsid w:val="002836DF"/>
    <w:rsid w:val="00283863"/>
    <w:rsid w:val="002841D5"/>
    <w:rsid w:val="00286413"/>
    <w:rsid w:val="00286A31"/>
    <w:rsid w:val="0028794B"/>
    <w:rsid w:val="00287F22"/>
    <w:rsid w:val="00290592"/>
    <w:rsid w:val="002928F4"/>
    <w:rsid w:val="00293FD1"/>
    <w:rsid w:val="00294AE5"/>
    <w:rsid w:val="002968C2"/>
    <w:rsid w:val="002A0D9F"/>
    <w:rsid w:val="002A0DEF"/>
    <w:rsid w:val="002A201C"/>
    <w:rsid w:val="002A4503"/>
    <w:rsid w:val="002A459E"/>
    <w:rsid w:val="002A5197"/>
    <w:rsid w:val="002A5649"/>
    <w:rsid w:val="002A582F"/>
    <w:rsid w:val="002A5A4C"/>
    <w:rsid w:val="002A5E00"/>
    <w:rsid w:val="002A6D88"/>
    <w:rsid w:val="002A6EEA"/>
    <w:rsid w:val="002A70F4"/>
    <w:rsid w:val="002A7376"/>
    <w:rsid w:val="002A7614"/>
    <w:rsid w:val="002B20A3"/>
    <w:rsid w:val="002B2B86"/>
    <w:rsid w:val="002B36F2"/>
    <w:rsid w:val="002B3ACE"/>
    <w:rsid w:val="002B481C"/>
    <w:rsid w:val="002B4941"/>
    <w:rsid w:val="002B4F13"/>
    <w:rsid w:val="002B5D74"/>
    <w:rsid w:val="002B681A"/>
    <w:rsid w:val="002B6892"/>
    <w:rsid w:val="002B7ADB"/>
    <w:rsid w:val="002C1D2F"/>
    <w:rsid w:val="002C2769"/>
    <w:rsid w:val="002C32F9"/>
    <w:rsid w:val="002C3882"/>
    <w:rsid w:val="002C4568"/>
    <w:rsid w:val="002C55A4"/>
    <w:rsid w:val="002C5F6F"/>
    <w:rsid w:val="002C7F11"/>
    <w:rsid w:val="002D0580"/>
    <w:rsid w:val="002D0C2E"/>
    <w:rsid w:val="002D10DB"/>
    <w:rsid w:val="002D2FCA"/>
    <w:rsid w:val="002D330F"/>
    <w:rsid w:val="002D34C2"/>
    <w:rsid w:val="002D413D"/>
    <w:rsid w:val="002D4485"/>
    <w:rsid w:val="002D4754"/>
    <w:rsid w:val="002D61E8"/>
    <w:rsid w:val="002D7613"/>
    <w:rsid w:val="002D7823"/>
    <w:rsid w:val="002E01CF"/>
    <w:rsid w:val="002E10B6"/>
    <w:rsid w:val="002E1A21"/>
    <w:rsid w:val="002E2F75"/>
    <w:rsid w:val="002E3877"/>
    <w:rsid w:val="002E42FD"/>
    <w:rsid w:val="002E4C2D"/>
    <w:rsid w:val="002E4CE2"/>
    <w:rsid w:val="002E4EE0"/>
    <w:rsid w:val="002E5DEA"/>
    <w:rsid w:val="002E632F"/>
    <w:rsid w:val="002E6CF2"/>
    <w:rsid w:val="002E724A"/>
    <w:rsid w:val="002E7D12"/>
    <w:rsid w:val="002F000C"/>
    <w:rsid w:val="002F0CC4"/>
    <w:rsid w:val="002F0F11"/>
    <w:rsid w:val="002F19D8"/>
    <w:rsid w:val="002F2052"/>
    <w:rsid w:val="002F22FD"/>
    <w:rsid w:val="002F311E"/>
    <w:rsid w:val="002F35AF"/>
    <w:rsid w:val="002F38DA"/>
    <w:rsid w:val="002F3972"/>
    <w:rsid w:val="002F4F68"/>
    <w:rsid w:val="002F5B87"/>
    <w:rsid w:val="002F6ADF"/>
    <w:rsid w:val="002F6CCA"/>
    <w:rsid w:val="002F71B8"/>
    <w:rsid w:val="002F7AAA"/>
    <w:rsid w:val="002F7F64"/>
    <w:rsid w:val="0030057F"/>
    <w:rsid w:val="003010B4"/>
    <w:rsid w:val="0030138C"/>
    <w:rsid w:val="0030168A"/>
    <w:rsid w:val="00301D93"/>
    <w:rsid w:val="00301DA2"/>
    <w:rsid w:val="00301EA1"/>
    <w:rsid w:val="00302FCC"/>
    <w:rsid w:val="00304259"/>
    <w:rsid w:val="00304871"/>
    <w:rsid w:val="003062AE"/>
    <w:rsid w:val="00306900"/>
    <w:rsid w:val="00310DD0"/>
    <w:rsid w:val="0031132F"/>
    <w:rsid w:val="00311B97"/>
    <w:rsid w:val="00312BAC"/>
    <w:rsid w:val="00313AE2"/>
    <w:rsid w:val="00314024"/>
    <w:rsid w:val="00315458"/>
    <w:rsid w:val="00315514"/>
    <w:rsid w:val="0031555A"/>
    <w:rsid w:val="00315B45"/>
    <w:rsid w:val="0031667A"/>
    <w:rsid w:val="003203B3"/>
    <w:rsid w:val="003206B2"/>
    <w:rsid w:val="00320D37"/>
    <w:rsid w:val="00320E96"/>
    <w:rsid w:val="00322F07"/>
    <w:rsid w:val="003231C9"/>
    <w:rsid w:val="003232AF"/>
    <w:rsid w:val="00323CBC"/>
    <w:rsid w:val="003253DF"/>
    <w:rsid w:val="00327086"/>
    <w:rsid w:val="00327C5D"/>
    <w:rsid w:val="003306AB"/>
    <w:rsid w:val="00332688"/>
    <w:rsid w:val="0033273A"/>
    <w:rsid w:val="00333122"/>
    <w:rsid w:val="0033363A"/>
    <w:rsid w:val="00334ACF"/>
    <w:rsid w:val="00335B43"/>
    <w:rsid w:val="00335C68"/>
    <w:rsid w:val="0034144E"/>
    <w:rsid w:val="00341A14"/>
    <w:rsid w:val="00343171"/>
    <w:rsid w:val="00343E6A"/>
    <w:rsid w:val="0034658D"/>
    <w:rsid w:val="00347FD3"/>
    <w:rsid w:val="00350B4D"/>
    <w:rsid w:val="00350E49"/>
    <w:rsid w:val="00350EE4"/>
    <w:rsid w:val="00351381"/>
    <w:rsid w:val="00351E81"/>
    <w:rsid w:val="00352AC4"/>
    <w:rsid w:val="00352D66"/>
    <w:rsid w:val="003530A6"/>
    <w:rsid w:val="0035328A"/>
    <w:rsid w:val="003532A5"/>
    <w:rsid w:val="00353627"/>
    <w:rsid w:val="00353AAD"/>
    <w:rsid w:val="00354286"/>
    <w:rsid w:val="003545F1"/>
    <w:rsid w:val="00355F72"/>
    <w:rsid w:val="00357657"/>
    <w:rsid w:val="003603A1"/>
    <w:rsid w:val="00360C08"/>
    <w:rsid w:val="0036235D"/>
    <w:rsid w:val="003639A6"/>
    <w:rsid w:val="00365E98"/>
    <w:rsid w:val="0036754E"/>
    <w:rsid w:val="003679AE"/>
    <w:rsid w:val="00367AFA"/>
    <w:rsid w:val="00367EB8"/>
    <w:rsid w:val="00370A06"/>
    <w:rsid w:val="0037247A"/>
    <w:rsid w:val="00372926"/>
    <w:rsid w:val="00372E9C"/>
    <w:rsid w:val="003730E5"/>
    <w:rsid w:val="00373DE2"/>
    <w:rsid w:val="00375480"/>
    <w:rsid w:val="00375700"/>
    <w:rsid w:val="00376713"/>
    <w:rsid w:val="0037692E"/>
    <w:rsid w:val="0037742C"/>
    <w:rsid w:val="003800B2"/>
    <w:rsid w:val="003822CC"/>
    <w:rsid w:val="00382358"/>
    <w:rsid w:val="003826D5"/>
    <w:rsid w:val="0038281C"/>
    <w:rsid w:val="003831CE"/>
    <w:rsid w:val="00383701"/>
    <w:rsid w:val="003851FE"/>
    <w:rsid w:val="00385325"/>
    <w:rsid w:val="00385A64"/>
    <w:rsid w:val="0038634B"/>
    <w:rsid w:val="003869C9"/>
    <w:rsid w:val="00386D1A"/>
    <w:rsid w:val="003900C7"/>
    <w:rsid w:val="00390EAE"/>
    <w:rsid w:val="0039151E"/>
    <w:rsid w:val="00392E23"/>
    <w:rsid w:val="00394448"/>
    <w:rsid w:val="00394A5D"/>
    <w:rsid w:val="00395FC8"/>
    <w:rsid w:val="00397170"/>
    <w:rsid w:val="003A068A"/>
    <w:rsid w:val="003A1569"/>
    <w:rsid w:val="003A3433"/>
    <w:rsid w:val="003A3AAB"/>
    <w:rsid w:val="003A4FDB"/>
    <w:rsid w:val="003A537E"/>
    <w:rsid w:val="003A5F53"/>
    <w:rsid w:val="003A60C1"/>
    <w:rsid w:val="003A660F"/>
    <w:rsid w:val="003B073D"/>
    <w:rsid w:val="003B095E"/>
    <w:rsid w:val="003B0B3B"/>
    <w:rsid w:val="003B0CCF"/>
    <w:rsid w:val="003B1E0E"/>
    <w:rsid w:val="003B2586"/>
    <w:rsid w:val="003B316B"/>
    <w:rsid w:val="003B6743"/>
    <w:rsid w:val="003B6F43"/>
    <w:rsid w:val="003B706C"/>
    <w:rsid w:val="003C0BF9"/>
    <w:rsid w:val="003C0EAF"/>
    <w:rsid w:val="003C17E5"/>
    <w:rsid w:val="003C1A9F"/>
    <w:rsid w:val="003C1BC1"/>
    <w:rsid w:val="003C1DCF"/>
    <w:rsid w:val="003C48DA"/>
    <w:rsid w:val="003C5625"/>
    <w:rsid w:val="003C5E5A"/>
    <w:rsid w:val="003C5F28"/>
    <w:rsid w:val="003C6A08"/>
    <w:rsid w:val="003D07E4"/>
    <w:rsid w:val="003D11A9"/>
    <w:rsid w:val="003D1703"/>
    <w:rsid w:val="003D1C4C"/>
    <w:rsid w:val="003D2A37"/>
    <w:rsid w:val="003D4662"/>
    <w:rsid w:val="003D498F"/>
    <w:rsid w:val="003D4F60"/>
    <w:rsid w:val="003D5305"/>
    <w:rsid w:val="003D69EF"/>
    <w:rsid w:val="003D7F8C"/>
    <w:rsid w:val="003E0C65"/>
    <w:rsid w:val="003E0EDB"/>
    <w:rsid w:val="003E140F"/>
    <w:rsid w:val="003E162C"/>
    <w:rsid w:val="003E2C68"/>
    <w:rsid w:val="003E2E53"/>
    <w:rsid w:val="003E303E"/>
    <w:rsid w:val="003E346F"/>
    <w:rsid w:val="003E38C3"/>
    <w:rsid w:val="003E4554"/>
    <w:rsid w:val="003E4987"/>
    <w:rsid w:val="003E4C09"/>
    <w:rsid w:val="003E6475"/>
    <w:rsid w:val="003E6605"/>
    <w:rsid w:val="003E6EE6"/>
    <w:rsid w:val="003F08D3"/>
    <w:rsid w:val="003F105A"/>
    <w:rsid w:val="003F1E3C"/>
    <w:rsid w:val="003F2497"/>
    <w:rsid w:val="003F283D"/>
    <w:rsid w:val="003F2FB0"/>
    <w:rsid w:val="003F3874"/>
    <w:rsid w:val="003F439F"/>
    <w:rsid w:val="003F4587"/>
    <w:rsid w:val="003F4D2E"/>
    <w:rsid w:val="003F54F8"/>
    <w:rsid w:val="003F6199"/>
    <w:rsid w:val="003F6E68"/>
    <w:rsid w:val="003F77BB"/>
    <w:rsid w:val="003F7842"/>
    <w:rsid w:val="003F7B01"/>
    <w:rsid w:val="004021FC"/>
    <w:rsid w:val="0040277E"/>
    <w:rsid w:val="00402ACB"/>
    <w:rsid w:val="004033BF"/>
    <w:rsid w:val="00403D18"/>
    <w:rsid w:val="00405A55"/>
    <w:rsid w:val="004061B4"/>
    <w:rsid w:val="004063EC"/>
    <w:rsid w:val="00407027"/>
    <w:rsid w:val="00407C01"/>
    <w:rsid w:val="0041089E"/>
    <w:rsid w:val="004110F3"/>
    <w:rsid w:val="00411985"/>
    <w:rsid w:val="00411A27"/>
    <w:rsid w:val="00415438"/>
    <w:rsid w:val="00416B5D"/>
    <w:rsid w:val="00416C4B"/>
    <w:rsid w:val="00417301"/>
    <w:rsid w:val="00417FAB"/>
    <w:rsid w:val="00420379"/>
    <w:rsid w:val="0042091A"/>
    <w:rsid w:val="00421450"/>
    <w:rsid w:val="004219D5"/>
    <w:rsid w:val="00423DB1"/>
    <w:rsid w:val="00424BBC"/>
    <w:rsid w:val="00424D57"/>
    <w:rsid w:val="00424F73"/>
    <w:rsid w:val="00424FFE"/>
    <w:rsid w:val="004255FC"/>
    <w:rsid w:val="00426A17"/>
    <w:rsid w:val="00426DC0"/>
    <w:rsid w:val="00427E55"/>
    <w:rsid w:val="00431496"/>
    <w:rsid w:val="0043158C"/>
    <w:rsid w:val="00431E3A"/>
    <w:rsid w:val="004320AA"/>
    <w:rsid w:val="00432F6A"/>
    <w:rsid w:val="00433856"/>
    <w:rsid w:val="00434AE1"/>
    <w:rsid w:val="004357EC"/>
    <w:rsid w:val="00435E79"/>
    <w:rsid w:val="00437BB5"/>
    <w:rsid w:val="004406B4"/>
    <w:rsid w:val="004422E3"/>
    <w:rsid w:val="0044352A"/>
    <w:rsid w:val="00443E7F"/>
    <w:rsid w:val="00443EDA"/>
    <w:rsid w:val="00445A7B"/>
    <w:rsid w:val="004467DE"/>
    <w:rsid w:val="00447C07"/>
    <w:rsid w:val="00447C83"/>
    <w:rsid w:val="00450F60"/>
    <w:rsid w:val="00453BAE"/>
    <w:rsid w:val="00453BF3"/>
    <w:rsid w:val="00453D59"/>
    <w:rsid w:val="004540CF"/>
    <w:rsid w:val="00454493"/>
    <w:rsid w:val="0045454E"/>
    <w:rsid w:val="00454E33"/>
    <w:rsid w:val="0045536C"/>
    <w:rsid w:val="004556B2"/>
    <w:rsid w:val="004576EE"/>
    <w:rsid w:val="004619BB"/>
    <w:rsid w:val="00461DA4"/>
    <w:rsid w:val="00463230"/>
    <w:rsid w:val="00464341"/>
    <w:rsid w:val="0046459A"/>
    <w:rsid w:val="00465061"/>
    <w:rsid w:val="00465337"/>
    <w:rsid w:val="00465BA9"/>
    <w:rsid w:val="00465D3F"/>
    <w:rsid w:val="0046620E"/>
    <w:rsid w:val="0046621E"/>
    <w:rsid w:val="00467B5E"/>
    <w:rsid w:val="00471FE2"/>
    <w:rsid w:val="0047256E"/>
    <w:rsid w:val="00472A10"/>
    <w:rsid w:val="00472D4D"/>
    <w:rsid w:val="004748A3"/>
    <w:rsid w:val="004764A1"/>
    <w:rsid w:val="00480996"/>
    <w:rsid w:val="00480ABA"/>
    <w:rsid w:val="00481AB7"/>
    <w:rsid w:val="00483872"/>
    <w:rsid w:val="0048423C"/>
    <w:rsid w:val="00484E31"/>
    <w:rsid w:val="0048644B"/>
    <w:rsid w:val="00486AB0"/>
    <w:rsid w:val="00487427"/>
    <w:rsid w:val="00487ACE"/>
    <w:rsid w:val="004901FE"/>
    <w:rsid w:val="0049192A"/>
    <w:rsid w:val="00491993"/>
    <w:rsid w:val="004919DD"/>
    <w:rsid w:val="00494DF2"/>
    <w:rsid w:val="00494F7C"/>
    <w:rsid w:val="00495646"/>
    <w:rsid w:val="00496CB5"/>
    <w:rsid w:val="004A2DF5"/>
    <w:rsid w:val="004A4360"/>
    <w:rsid w:val="004A4EF3"/>
    <w:rsid w:val="004A6A64"/>
    <w:rsid w:val="004A7E83"/>
    <w:rsid w:val="004B2062"/>
    <w:rsid w:val="004B2C89"/>
    <w:rsid w:val="004B2D3A"/>
    <w:rsid w:val="004B3C00"/>
    <w:rsid w:val="004B4EB2"/>
    <w:rsid w:val="004B68D7"/>
    <w:rsid w:val="004C0056"/>
    <w:rsid w:val="004C11A1"/>
    <w:rsid w:val="004C19C7"/>
    <w:rsid w:val="004C2855"/>
    <w:rsid w:val="004C28EE"/>
    <w:rsid w:val="004C31A2"/>
    <w:rsid w:val="004C3E79"/>
    <w:rsid w:val="004C566A"/>
    <w:rsid w:val="004C56EE"/>
    <w:rsid w:val="004C67A5"/>
    <w:rsid w:val="004C777B"/>
    <w:rsid w:val="004C7B2C"/>
    <w:rsid w:val="004C7B92"/>
    <w:rsid w:val="004D0307"/>
    <w:rsid w:val="004D0CBD"/>
    <w:rsid w:val="004D0F94"/>
    <w:rsid w:val="004D1006"/>
    <w:rsid w:val="004D1200"/>
    <w:rsid w:val="004D124A"/>
    <w:rsid w:val="004D142B"/>
    <w:rsid w:val="004D3EFB"/>
    <w:rsid w:val="004D45DF"/>
    <w:rsid w:val="004D565C"/>
    <w:rsid w:val="004D5F80"/>
    <w:rsid w:val="004D65CB"/>
    <w:rsid w:val="004D6D9C"/>
    <w:rsid w:val="004E0C0B"/>
    <w:rsid w:val="004E1228"/>
    <w:rsid w:val="004E13BF"/>
    <w:rsid w:val="004E2125"/>
    <w:rsid w:val="004E3300"/>
    <w:rsid w:val="004E505F"/>
    <w:rsid w:val="004E6221"/>
    <w:rsid w:val="004E661A"/>
    <w:rsid w:val="004E6691"/>
    <w:rsid w:val="004E674E"/>
    <w:rsid w:val="004E69BB"/>
    <w:rsid w:val="004E6A56"/>
    <w:rsid w:val="004E7B44"/>
    <w:rsid w:val="004F0040"/>
    <w:rsid w:val="004F0235"/>
    <w:rsid w:val="004F0A40"/>
    <w:rsid w:val="004F128B"/>
    <w:rsid w:val="004F1FCF"/>
    <w:rsid w:val="004F2336"/>
    <w:rsid w:val="004F3688"/>
    <w:rsid w:val="004F3AAE"/>
    <w:rsid w:val="004F3E9E"/>
    <w:rsid w:val="004F4415"/>
    <w:rsid w:val="004F4BDE"/>
    <w:rsid w:val="004F6163"/>
    <w:rsid w:val="004F7CAC"/>
    <w:rsid w:val="0050145E"/>
    <w:rsid w:val="005018F3"/>
    <w:rsid w:val="0050208B"/>
    <w:rsid w:val="00504562"/>
    <w:rsid w:val="005058DA"/>
    <w:rsid w:val="00505FE2"/>
    <w:rsid w:val="00507713"/>
    <w:rsid w:val="00511320"/>
    <w:rsid w:val="00511E58"/>
    <w:rsid w:val="00512154"/>
    <w:rsid w:val="00513948"/>
    <w:rsid w:val="00513DF5"/>
    <w:rsid w:val="005143F9"/>
    <w:rsid w:val="00515970"/>
    <w:rsid w:val="00515CC8"/>
    <w:rsid w:val="00516566"/>
    <w:rsid w:val="005177AF"/>
    <w:rsid w:val="0052079E"/>
    <w:rsid w:val="00520862"/>
    <w:rsid w:val="0052089D"/>
    <w:rsid w:val="005215A1"/>
    <w:rsid w:val="005218C3"/>
    <w:rsid w:val="005228EC"/>
    <w:rsid w:val="00522D63"/>
    <w:rsid w:val="005270E5"/>
    <w:rsid w:val="00527209"/>
    <w:rsid w:val="005309ED"/>
    <w:rsid w:val="00531C11"/>
    <w:rsid w:val="005329F3"/>
    <w:rsid w:val="005336D8"/>
    <w:rsid w:val="005337CE"/>
    <w:rsid w:val="00534422"/>
    <w:rsid w:val="00534449"/>
    <w:rsid w:val="00535B5A"/>
    <w:rsid w:val="00535C74"/>
    <w:rsid w:val="005361AB"/>
    <w:rsid w:val="0053642C"/>
    <w:rsid w:val="0054198C"/>
    <w:rsid w:val="00541D43"/>
    <w:rsid w:val="00542068"/>
    <w:rsid w:val="005422F6"/>
    <w:rsid w:val="00542416"/>
    <w:rsid w:val="00543130"/>
    <w:rsid w:val="00543AF9"/>
    <w:rsid w:val="0054543D"/>
    <w:rsid w:val="005468ED"/>
    <w:rsid w:val="00546C02"/>
    <w:rsid w:val="005478A5"/>
    <w:rsid w:val="00547986"/>
    <w:rsid w:val="00547C83"/>
    <w:rsid w:val="00547FF9"/>
    <w:rsid w:val="00550664"/>
    <w:rsid w:val="00550B61"/>
    <w:rsid w:val="00551431"/>
    <w:rsid w:val="0055181C"/>
    <w:rsid w:val="005523B6"/>
    <w:rsid w:val="00552AFC"/>
    <w:rsid w:val="00553820"/>
    <w:rsid w:val="00553C11"/>
    <w:rsid w:val="0055532F"/>
    <w:rsid w:val="0055556C"/>
    <w:rsid w:val="005558A9"/>
    <w:rsid w:val="00555B79"/>
    <w:rsid w:val="00555C72"/>
    <w:rsid w:val="0055667E"/>
    <w:rsid w:val="00556A76"/>
    <w:rsid w:val="00557F88"/>
    <w:rsid w:val="005606C0"/>
    <w:rsid w:val="0056086D"/>
    <w:rsid w:val="0056095A"/>
    <w:rsid w:val="00561165"/>
    <w:rsid w:val="00561845"/>
    <w:rsid w:val="00561D24"/>
    <w:rsid w:val="00566921"/>
    <w:rsid w:val="005701D5"/>
    <w:rsid w:val="00570E5E"/>
    <w:rsid w:val="00571D87"/>
    <w:rsid w:val="00572342"/>
    <w:rsid w:val="00574156"/>
    <w:rsid w:val="0057453F"/>
    <w:rsid w:val="0057613B"/>
    <w:rsid w:val="00576910"/>
    <w:rsid w:val="00576ADE"/>
    <w:rsid w:val="00576D76"/>
    <w:rsid w:val="00577338"/>
    <w:rsid w:val="00577CFD"/>
    <w:rsid w:val="00577DEF"/>
    <w:rsid w:val="00581019"/>
    <w:rsid w:val="00581734"/>
    <w:rsid w:val="00581B39"/>
    <w:rsid w:val="0058274F"/>
    <w:rsid w:val="00582F05"/>
    <w:rsid w:val="00582F5A"/>
    <w:rsid w:val="005844F7"/>
    <w:rsid w:val="00586675"/>
    <w:rsid w:val="00587023"/>
    <w:rsid w:val="005908A4"/>
    <w:rsid w:val="005908E2"/>
    <w:rsid w:val="00591CC1"/>
    <w:rsid w:val="005924A7"/>
    <w:rsid w:val="00592805"/>
    <w:rsid w:val="005948F6"/>
    <w:rsid w:val="005952E7"/>
    <w:rsid w:val="00597188"/>
    <w:rsid w:val="0059754E"/>
    <w:rsid w:val="005978F1"/>
    <w:rsid w:val="00597972"/>
    <w:rsid w:val="005A014C"/>
    <w:rsid w:val="005A0C94"/>
    <w:rsid w:val="005A1133"/>
    <w:rsid w:val="005A2257"/>
    <w:rsid w:val="005A3B48"/>
    <w:rsid w:val="005A4541"/>
    <w:rsid w:val="005A5F86"/>
    <w:rsid w:val="005A61AB"/>
    <w:rsid w:val="005A6C80"/>
    <w:rsid w:val="005B07D2"/>
    <w:rsid w:val="005B0842"/>
    <w:rsid w:val="005B0C7B"/>
    <w:rsid w:val="005B0DDC"/>
    <w:rsid w:val="005B184A"/>
    <w:rsid w:val="005B1FFA"/>
    <w:rsid w:val="005B26A3"/>
    <w:rsid w:val="005B395E"/>
    <w:rsid w:val="005B5A7F"/>
    <w:rsid w:val="005B627D"/>
    <w:rsid w:val="005B69FC"/>
    <w:rsid w:val="005B6F22"/>
    <w:rsid w:val="005B7335"/>
    <w:rsid w:val="005B76F8"/>
    <w:rsid w:val="005B788A"/>
    <w:rsid w:val="005B7CA7"/>
    <w:rsid w:val="005C1CE0"/>
    <w:rsid w:val="005C318C"/>
    <w:rsid w:val="005C3BD2"/>
    <w:rsid w:val="005C422B"/>
    <w:rsid w:val="005C527F"/>
    <w:rsid w:val="005C54EB"/>
    <w:rsid w:val="005C5866"/>
    <w:rsid w:val="005C5ABA"/>
    <w:rsid w:val="005C6285"/>
    <w:rsid w:val="005C675F"/>
    <w:rsid w:val="005C76A1"/>
    <w:rsid w:val="005C7AD7"/>
    <w:rsid w:val="005D097C"/>
    <w:rsid w:val="005D1A8F"/>
    <w:rsid w:val="005D1C05"/>
    <w:rsid w:val="005D28E0"/>
    <w:rsid w:val="005D325A"/>
    <w:rsid w:val="005D343A"/>
    <w:rsid w:val="005D5524"/>
    <w:rsid w:val="005D56AA"/>
    <w:rsid w:val="005D5BA1"/>
    <w:rsid w:val="005D622E"/>
    <w:rsid w:val="005D63BA"/>
    <w:rsid w:val="005D697C"/>
    <w:rsid w:val="005D7381"/>
    <w:rsid w:val="005D751A"/>
    <w:rsid w:val="005D7B32"/>
    <w:rsid w:val="005E2F47"/>
    <w:rsid w:val="005E49B2"/>
    <w:rsid w:val="005E4A13"/>
    <w:rsid w:val="005E61F0"/>
    <w:rsid w:val="005E6460"/>
    <w:rsid w:val="005E7059"/>
    <w:rsid w:val="005E7D3C"/>
    <w:rsid w:val="005F0480"/>
    <w:rsid w:val="005F0AE8"/>
    <w:rsid w:val="005F2A6B"/>
    <w:rsid w:val="005F2B62"/>
    <w:rsid w:val="005F40C1"/>
    <w:rsid w:val="005F434A"/>
    <w:rsid w:val="005F5D3A"/>
    <w:rsid w:val="005F61A3"/>
    <w:rsid w:val="005F6466"/>
    <w:rsid w:val="005F65D5"/>
    <w:rsid w:val="00600E72"/>
    <w:rsid w:val="00601191"/>
    <w:rsid w:val="006021E0"/>
    <w:rsid w:val="006024D3"/>
    <w:rsid w:val="00602ECD"/>
    <w:rsid w:val="00604104"/>
    <w:rsid w:val="006051B5"/>
    <w:rsid w:val="0060663D"/>
    <w:rsid w:val="00606982"/>
    <w:rsid w:val="00606EF9"/>
    <w:rsid w:val="0060706A"/>
    <w:rsid w:val="006070C4"/>
    <w:rsid w:val="00607758"/>
    <w:rsid w:val="00607C78"/>
    <w:rsid w:val="00610352"/>
    <w:rsid w:val="00610383"/>
    <w:rsid w:val="00610D5E"/>
    <w:rsid w:val="006110E8"/>
    <w:rsid w:val="006121F6"/>
    <w:rsid w:val="006128DB"/>
    <w:rsid w:val="006131A7"/>
    <w:rsid w:val="00613467"/>
    <w:rsid w:val="00615A59"/>
    <w:rsid w:val="00616A68"/>
    <w:rsid w:val="00616B59"/>
    <w:rsid w:val="00616E2A"/>
    <w:rsid w:val="00620B54"/>
    <w:rsid w:val="00621C38"/>
    <w:rsid w:val="00623F43"/>
    <w:rsid w:val="00624315"/>
    <w:rsid w:val="006247C8"/>
    <w:rsid w:val="00624CA6"/>
    <w:rsid w:val="0062545B"/>
    <w:rsid w:val="0062552A"/>
    <w:rsid w:val="00625A45"/>
    <w:rsid w:val="00627893"/>
    <w:rsid w:val="006309EB"/>
    <w:rsid w:val="00631D20"/>
    <w:rsid w:val="00632AD8"/>
    <w:rsid w:val="006332BE"/>
    <w:rsid w:val="006338B4"/>
    <w:rsid w:val="00633ABF"/>
    <w:rsid w:val="00634CFA"/>
    <w:rsid w:val="00635C40"/>
    <w:rsid w:val="0063657C"/>
    <w:rsid w:val="006377CB"/>
    <w:rsid w:val="006408C3"/>
    <w:rsid w:val="00642BDF"/>
    <w:rsid w:val="0064442A"/>
    <w:rsid w:val="00644AC4"/>
    <w:rsid w:val="00644F99"/>
    <w:rsid w:val="006454FA"/>
    <w:rsid w:val="0064620D"/>
    <w:rsid w:val="0064645F"/>
    <w:rsid w:val="006473DD"/>
    <w:rsid w:val="006476FA"/>
    <w:rsid w:val="00647B87"/>
    <w:rsid w:val="00650522"/>
    <w:rsid w:val="00650538"/>
    <w:rsid w:val="0065106B"/>
    <w:rsid w:val="006514EF"/>
    <w:rsid w:val="00651E62"/>
    <w:rsid w:val="00654653"/>
    <w:rsid w:val="00655CFD"/>
    <w:rsid w:val="0065626A"/>
    <w:rsid w:val="00657754"/>
    <w:rsid w:val="00661053"/>
    <w:rsid w:val="00661286"/>
    <w:rsid w:val="00661D1B"/>
    <w:rsid w:val="00662DFF"/>
    <w:rsid w:val="00662EC6"/>
    <w:rsid w:val="00663D3B"/>
    <w:rsid w:val="0066409A"/>
    <w:rsid w:val="00664356"/>
    <w:rsid w:val="006647FC"/>
    <w:rsid w:val="00665023"/>
    <w:rsid w:val="006702B4"/>
    <w:rsid w:val="00672120"/>
    <w:rsid w:val="00672A05"/>
    <w:rsid w:val="00674934"/>
    <w:rsid w:val="00674F23"/>
    <w:rsid w:val="00675609"/>
    <w:rsid w:val="00676CF2"/>
    <w:rsid w:val="00676F9F"/>
    <w:rsid w:val="0068063F"/>
    <w:rsid w:val="00681233"/>
    <w:rsid w:val="00681D9C"/>
    <w:rsid w:val="00681F23"/>
    <w:rsid w:val="006827FB"/>
    <w:rsid w:val="006832D2"/>
    <w:rsid w:val="00683641"/>
    <w:rsid w:val="00683B76"/>
    <w:rsid w:val="00686BD6"/>
    <w:rsid w:val="006870D8"/>
    <w:rsid w:val="00690676"/>
    <w:rsid w:val="0069116A"/>
    <w:rsid w:val="00691913"/>
    <w:rsid w:val="00692837"/>
    <w:rsid w:val="00692FB3"/>
    <w:rsid w:val="006933F2"/>
    <w:rsid w:val="00693A1A"/>
    <w:rsid w:val="0069585D"/>
    <w:rsid w:val="0069591B"/>
    <w:rsid w:val="006A0996"/>
    <w:rsid w:val="006A138B"/>
    <w:rsid w:val="006A2FB4"/>
    <w:rsid w:val="006A5247"/>
    <w:rsid w:val="006A662A"/>
    <w:rsid w:val="006A676F"/>
    <w:rsid w:val="006A694D"/>
    <w:rsid w:val="006B140A"/>
    <w:rsid w:val="006B193C"/>
    <w:rsid w:val="006B3737"/>
    <w:rsid w:val="006B3D20"/>
    <w:rsid w:val="006B4256"/>
    <w:rsid w:val="006B5C51"/>
    <w:rsid w:val="006B717C"/>
    <w:rsid w:val="006B72A6"/>
    <w:rsid w:val="006C14EA"/>
    <w:rsid w:val="006C1605"/>
    <w:rsid w:val="006C1A3F"/>
    <w:rsid w:val="006C4906"/>
    <w:rsid w:val="006C760E"/>
    <w:rsid w:val="006D07B4"/>
    <w:rsid w:val="006D1322"/>
    <w:rsid w:val="006D29AF"/>
    <w:rsid w:val="006D3271"/>
    <w:rsid w:val="006D3FB7"/>
    <w:rsid w:val="006D57F5"/>
    <w:rsid w:val="006D5AC2"/>
    <w:rsid w:val="006E055C"/>
    <w:rsid w:val="006E1563"/>
    <w:rsid w:val="006E1651"/>
    <w:rsid w:val="006E1F22"/>
    <w:rsid w:val="006E26D0"/>
    <w:rsid w:val="006E2958"/>
    <w:rsid w:val="006E3232"/>
    <w:rsid w:val="006E3354"/>
    <w:rsid w:val="006E3E4E"/>
    <w:rsid w:val="006E480C"/>
    <w:rsid w:val="006E686C"/>
    <w:rsid w:val="006E6A7F"/>
    <w:rsid w:val="006E6B40"/>
    <w:rsid w:val="006E7302"/>
    <w:rsid w:val="006F161E"/>
    <w:rsid w:val="006F21CC"/>
    <w:rsid w:val="006F3312"/>
    <w:rsid w:val="006F3CD0"/>
    <w:rsid w:val="006F42AB"/>
    <w:rsid w:val="006F52B5"/>
    <w:rsid w:val="006F5DAB"/>
    <w:rsid w:val="006F61C7"/>
    <w:rsid w:val="006F6566"/>
    <w:rsid w:val="006F7B43"/>
    <w:rsid w:val="006F7D00"/>
    <w:rsid w:val="0070245D"/>
    <w:rsid w:val="007027C6"/>
    <w:rsid w:val="00702BE2"/>
    <w:rsid w:val="0070345E"/>
    <w:rsid w:val="0070442C"/>
    <w:rsid w:val="00704E54"/>
    <w:rsid w:val="00705798"/>
    <w:rsid w:val="00707082"/>
    <w:rsid w:val="007072FE"/>
    <w:rsid w:val="00707C12"/>
    <w:rsid w:val="00707D01"/>
    <w:rsid w:val="00710BB6"/>
    <w:rsid w:val="00711D04"/>
    <w:rsid w:val="00711F7F"/>
    <w:rsid w:val="00712C73"/>
    <w:rsid w:val="00713051"/>
    <w:rsid w:val="007139C3"/>
    <w:rsid w:val="00713D04"/>
    <w:rsid w:val="00714B42"/>
    <w:rsid w:val="00715D2B"/>
    <w:rsid w:val="0071697F"/>
    <w:rsid w:val="007175A4"/>
    <w:rsid w:val="00717D22"/>
    <w:rsid w:val="007200A6"/>
    <w:rsid w:val="0072057F"/>
    <w:rsid w:val="007213A9"/>
    <w:rsid w:val="00722074"/>
    <w:rsid w:val="007225F7"/>
    <w:rsid w:val="007238B3"/>
    <w:rsid w:val="00723AB1"/>
    <w:rsid w:val="00723E1E"/>
    <w:rsid w:val="007243E8"/>
    <w:rsid w:val="00724BFC"/>
    <w:rsid w:val="00724D28"/>
    <w:rsid w:val="00727110"/>
    <w:rsid w:val="007275DE"/>
    <w:rsid w:val="00727C08"/>
    <w:rsid w:val="00727EB5"/>
    <w:rsid w:val="00727F49"/>
    <w:rsid w:val="00730717"/>
    <w:rsid w:val="00730DBB"/>
    <w:rsid w:val="00731DFB"/>
    <w:rsid w:val="00731ED5"/>
    <w:rsid w:val="00732C05"/>
    <w:rsid w:val="00733756"/>
    <w:rsid w:val="00733B06"/>
    <w:rsid w:val="00734492"/>
    <w:rsid w:val="0073496F"/>
    <w:rsid w:val="00734EA0"/>
    <w:rsid w:val="00735A67"/>
    <w:rsid w:val="00736A8D"/>
    <w:rsid w:val="00736C11"/>
    <w:rsid w:val="00736F53"/>
    <w:rsid w:val="007376D8"/>
    <w:rsid w:val="00737F59"/>
    <w:rsid w:val="007414CA"/>
    <w:rsid w:val="007424DA"/>
    <w:rsid w:val="00742C0C"/>
    <w:rsid w:val="00744E7B"/>
    <w:rsid w:val="007456D0"/>
    <w:rsid w:val="00745DFB"/>
    <w:rsid w:val="00746491"/>
    <w:rsid w:val="00747333"/>
    <w:rsid w:val="00747EAE"/>
    <w:rsid w:val="007509A6"/>
    <w:rsid w:val="00750B5A"/>
    <w:rsid w:val="00750DFE"/>
    <w:rsid w:val="00751984"/>
    <w:rsid w:val="00751F5A"/>
    <w:rsid w:val="007520B3"/>
    <w:rsid w:val="00752264"/>
    <w:rsid w:val="00752393"/>
    <w:rsid w:val="00752CD3"/>
    <w:rsid w:val="00753B41"/>
    <w:rsid w:val="00753B89"/>
    <w:rsid w:val="007546F5"/>
    <w:rsid w:val="00756022"/>
    <w:rsid w:val="007563B4"/>
    <w:rsid w:val="00756A2E"/>
    <w:rsid w:val="00760499"/>
    <w:rsid w:val="007616D9"/>
    <w:rsid w:val="00761D70"/>
    <w:rsid w:val="007633B0"/>
    <w:rsid w:val="007638B0"/>
    <w:rsid w:val="007652D1"/>
    <w:rsid w:val="00765C61"/>
    <w:rsid w:val="00766F43"/>
    <w:rsid w:val="0077030D"/>
    <w:rsid w:val="007709A0"/>
    <w:rsid w:val="007715D2"/>
    <w:rsid w:val="0077164E"/>
    <w:rsid w:val="0077195B"/>
    <w:rsid w:val="00771A3B"/>
    <w:rsid w:val="00772501"/>
    <w:rsid w:val="00772C70"/>
    <w:rsid w:val="00773528"/>
    <w:rsid w:val="00773BEA"/>
    <w:rsid w:val="00774260"/>
    <w:rsid w:val="007748C4"/>
    <w:rsid w:val="007748D2"/>
    <w:rsid w:val="00774CA6"/>
    <w:rsid w:val="007759DA"/>
    <w:rsid w:val="00776F47"/>
    <w:rsid w:val="007771AE"/>
    <w:rsid w:val="0077727D"/>
    <w:rsid w:val="00781395"/>
    <w:rsid w:val="007813E4"/>
    <w:rsid w:val="00781EAA"/>
    <w:rsid w:val="007825F5"/>
    <w:rsid w:val="00783375"/>
    <w:rsid w:val="00784030"/>
    <w:rsid w:val="007843BE"/>
    <w:rsid w:val="007847FA"/>
    <w:rsid w:val="00785457"/>
    <w:rsid w:val="0078592C"/>
    <w:rsid w:val="00785BFD"/>
    <w:rsid w:val="00786E2A"/>
    <w:rsid w:val="007872B3"/>
    <w:rsid w:val="00790163"/>
    <w:rsid w:val="00790910"/>
    <w:rsid w:val="00791DE1"/>
    <w:rsid w:val="00792B10"/>
    <w:rsid w:val="00796226"/>
    <w:rsid w:val="00796C59"/>
    <w:rsid w:val="007A0CB7"/>
    <w:rsid w:val="007A1247"/>
    <w:rsid w:val="007A1664"/>
    <w:rsid w:val="007A1E9B"/>
    <w:rsid w:val="007A2C58"/>
    <w:rsid w:val="007A39E9"/>
    <w:rsid w:val="007A3A8C"/>
    <w:rsid w:val="007A3C50"/>
    <w:rsid w:val="007A3DF1"/>
    <w:rsid w:val="007A467F"/>
    <w:rsid w:val="007A50AA"/>
    <w:rsid w:val="007A57DA"/>
    <w:rsid w:val="007A58D1"/>
    <w:rsid w:val="007A58F8"/>
    <w:rsid w:val="007A5DB2"/>
    <w:rsid w:val="007A5F19"/>
    <w:rsid w:val="007A714D"/>
    <w:rsid w:val="007A7DD9"/>
    <w:rsid w:val="007A7EDE"/>
    <w:rsid w:val="007B08EB"/>
    <w:rsid w:val="007B0952"/>
    <w:rsid w:val="007B0E0C"/>
    <w:rsid w:val="007B1118"/>
    <w:rsid w:val="007B12EA"/>
    <w:rsid w:val="007B2705"/>
    <w:rsid w:val="007B2AC0"/>
    <w:rsid w:val="007B35F7"/>
    <w:rsid w:val="007B483C"/>
    <w:rsid w:val="007B5590"/>
    <w:rsid w:val="007B7363"/>
    <w:rsid w:val="007C0E34"/>
    <w:rsid w:val="007C1EDB"/>
    <w:rsid w:val="007C2286"/>
    <w:rsid w:val="007C26E5"/>
    <w:rsid w:val="007C614C"/>
    <w:rsid w:val="007C66BD"/>
    <w:rsid w:val="007C71ED"/>
    <w:rsid w:val="007C720A"/>
    <w:rsid w:val="007D0A7B"/>
    <w:rsid w:val="007D1092"/>
    <w:rsid w:val="007D19AB"/>
    <w:rsid w:val="007D2045"/>
    <w:rsid w:val="007D2621"/>
    <w:rsid w:val="007D315B"/>
    <w:rsid w:val="007D3275"/>
    <w:rsid w:val="007D40D2"/>
    <w:rsid w:val="007D6492"/>
    <w:rsid w:val="007D6841"/>
    <w:rsid w:val="007E0576"/>
    <w:rsid w:val="007E06D2"/>
    <w:rsid w:val="007E251D"/>
    <w:rsid w:val="007E2F35"/>
    <w:rsid w:val="007E3562"/>
    <w:rsid w:val="007E3CA3"/>
    <w:rsid w:val="007E40F4"/>
    <w:rsid w:val="007E4816"/>
    <w:rsid w:val="007E5547"/>
    <w:rsid w:val="007E562F"/>
    <w:rsid w:val="007E58DC"/>
    <w:rsid w:val="007E6BD0"/>
    <w:rsid w:val="007E6D38"/>
    <w:rsid w:val="007E75D2"/>
    <w:rsid w:val="007E76A9"/>
    <w:rsid w:val="007F041F"/>
    <w:rsid w:val="007F08CA"/>
    <w:rsid w:val="007F0BA4"/>
    <w:rsid w:val="007F0C1E"/>
    <w:rsid w:val="007F2DC0"/>
    <w:rsid w:val="007F3B6E"/>
    <w:rsid w:val="007F47A6"/>
    <w:rsid w:val="007F4B38"/>
    <w:rsid w:val="007F6C79"/>
    <w:rsid w:val="00800996"/>
    <w:rsid w:val="008011BA"/>
    <w:rsid w:val="008015EF"/>
    <w:rsid w:val="00801CE4"/>
    <w:rsid w:val="00801D87"/>
    <w:rsid w:val="0080248D"/>
    <w:rsid w:val="008029C4"/>
    <w:rsid w:val="008037EB"/>
    <w:rsid w:val="008042D2"/>
    <w:rsid w:val="00804652"/>
    <w:rsid w:val="008058E8"/>
    <w:rsid w:val="00806434"/>
    <w:rsid w:val="008069D8"/>
    <w:rsid w:val="0080737A"/>
    <w:rsid w:val="00812910"/>
    <w:rsid w:val="00812913"/>
    <w:rsid w:val="00813258"/>
    <w:rsid w:val="00813288"/>
    <w:rsid w:val="00817F68"/>
    <w:rsid w:val="008204EC"/>
    <w:rsid w:val="0082076D"/>
    <w:rsid w:val="008209F7"/>
    <w:rsid w:val="00820F41"/>
    <w:rsid w:val="00821791"/>
    <w:rsid w:val="00821A29"/>
    <w:rsid w:val="00821D42"/>
    <w:rsid w:val="0082263F"/>
    <w:rsid w:val="008231E5"/>
    <w:rsid w:val="00823233"/>
    <w:rsid w:val="008236EA"/>
    <w:rsid w:val="00824426"/>
    <w:rsid w:val="0082572B"/>
    <w:rsid w:val="00825B2E"/>
    <w:rsid w:val="00825D69"/>
    <w:rsid w:val="00825FE4"/>
    <w:rsid w:val="0082713D"/>
    <w:rsid w:val="00827316"/>
    <w:rsid w:val="00827CDB"/>
    <w:rsid w:val="00830A55"/>
    <w:rsid w:val="00830E52"/>
    <w:rsid w:val="0083143F"/>
    <w:rsid w:val="00831B61"/>
    <w:rsid w:val="008324E3"/>
    <w:rsid w:val="00832810"/>
    <w:rsid w:val="00833749"/>
    <w:rsid w:val="00833C76"/>
    <w:rsid w:val="00834DD9"/>
    <w:rsid w:val="0083569F"/>
    <w:rsid w:val="00836036"/>
    <w:rsid w:val="00836DDB"/>
    <w:rsid w:val="00836E8D"/>
    <w:rsid w:val="008372AD"/>
    <w:rsid w:val="00837B99"/>
    <w:rsid w:val="00840E8A"/>
    <w:rsid w:val="0084150E"/>
    <w:rsid w:val="008418DA"/>
    <w:rsid w:val="00841C5C"/>
    <w:rsid w:val="0084293E"/>
    <w:rsid w:val="00842EF8"/>
    <w:rsid w:val="008445FF"/>
    <w:rsid w:val="00845946"/>
    <w:rsid w:val="00846167"/>
    <w:rsid w:val="0084639C"/>
    <w:rsid w:val="0084700E"/>
    <w:rsid w:val="0084723D"/>
    <w:rsid w:val="008476A0"/>
    <w:rsid w:val="008478CE"/>
    <w:rsid w:val="00847C87"/>
    <w:rsid w:val="00847DF5"/>
    <w:rsid w:val="00850A53"/>
    <w:rsid w:val="00852F38"/>
    <w:rsid w:val="00854C36"/>
    <w:rsid w:val="00855700"/>
    <w:rsid w:val="00856C34"/>
    <w:rsid w:val="00860874"/>
    <w:rsid w:val="00860C5D"/>
    <w:rsid w:val="008616AE"/>
    <w:rsid w:val="0086181F"/>
    <w:rsid w:val="008620A9"/>
    <w:rsid w:val="0086293D"/>
    <w:rsid w:val="00864BCC"/>
    <w:rsid w:val="00865A5C"/>
    <w:rsid w:val="00865DB4"/>
    <w:rsid w:val="00865DC1"/>
    <w:rsid w:val="008670BE"/>
    <w:rsid w:val="008679BC"/>
    <w:rsid w:val="00870089"/>
    <w:rsid w:val="008701E6"/>
    <w:rsid w:val="0087136D"/>
    <w:rsid w:val="00872040"/>
    <w:rsid w:val="00873419"/>
    <w:rsid w:val="008741C8"/>
    <w:rsid w:val="008750F9"/>
    <w:rsid w:val="00875341"/>
    <w:rsid w:val="0087536F"/>
    <w:rsid w:val="008759FD"/>
    <w:rsid w:val="00876E57"/>
    <w:rsid w:val="00877049"/>
    <w:rsid w:val="00877E7C"/>
    <w:rsid w:val="00880410"/>
    <w:rsid w:val="00880A40"/>
    <w:rsid w:val="00880E3A"/>
    <w:rsid w:val="0088194C"/>
    <w:rsid w:val="0088214F"/>
    <w:rsid w:val="008827BF"/>
    <w:rsid w:val="00883903"/>
    <w:rsid w:val="00883DE5"/>
    <w:rsid w:val="00883EE1"/>
    <w:rsid w:val="00883F7A"/>
    <w:rsid w:val="00884412"/>
    <w:rsid w:val="00885845"/>
    <w:rsid w:val="008859DE"/>
    <w:rsid w:val="00886538"/>
    <w:rsid w:val="008867D0"/>
    <w:rsid w:val="008869F4"/>
    <w:rsid w:val="00887A0A"/>
    <w:rsid w:val="00890722"/>
    <w:rsid w:val="00890C77"/>
    <w:rsid w:val="00890EC6"/>
    <w:rsid w:val="00891727"/>
    <w:rsid w:val="00893343"/>
    <w:rsid w:val="008938DC"/>
    <w:rsid w:val="00893EEF"/>
    <w:rsid w:val="00895334"/>
    <w:rsid w:val="00897393"/>
    <w:rsid w:val="0089750F"/>
    <w:rsid w:val="00897589"/>
    <w:rsid w:val="00897BBE"/>
    <w:rsid w:val="008A12D8"/>
    <w:rsid w:val="008A2719"/>
    <w:rsid w:val="008A3C58"/>
    <w:rsid w:val="008A3DE1"/>
    <w:rsid w:val="008A4880"/>
    <w:rsid w:val="008A4E07"/>
    <w:rsid w:val="008A52B1"/>
    <w:rsid w:val="008A5D8C"/>
    <w:rsid w:val="008B010C"/>
    <w:rsid w:val="008B2790"/>
    <w:rsid w:val="008B2BED"/>
    <w:rsid w:val="008B2E37"/>
    <w:rsid w:val="008B34CD"/>
    <w:rsid w:val="008B3B30"/>
    <w:rsid w:val="008B469C"/>
    <w:rsid w:val="008B4A9F"/>
    <w:rsid w:val="008B5B32"/>
    <w:rsid w:val="008B654B"/>
    <w:rsid w:val="008B79C7"/>
    <w:rsid w:val="008B7A7C"/>
    <w:rsid w:val="008B7E98"/>
    <w:rsid w:val="008C0253"/>
    <w:rsid w:val="008C0DC1"/>
    <w:rsid w:val="008C1B9B"/>
    <w:rsid w:val="008C2B6F"/>
    <w:rsid w:val="008C2F43"/>
    <w:rsid w:val="008C381C"/>
    <w:rsid w:val="008C3EBF"/>
    <w:rsid w:val="008C471E"/>
    <w:rsid w:val="008C5903"/>
    <w:rsid w:val="008C5948"/>
    <w:rsid w:val="008C66D2"/>
    <w:rsid w:val="008C6772"/>
    <w:rsid w:val="008C6CB6"/>
    <w:rsid w:val="008D0031"/>
    <w:rsid w:val="008D079C"/>
    <w:rsid w:val="008D2C02"/>
    <w:rsid w:val="008D36B8"/>
    <w:rsid w:val="008D376B"/>
    <w:rsid w:val="008D42E0"/>
    <w:rsid w:val="008D453A"/>
    <w:rsid w:val="008D4D02"/>
    <w:rsid w:val="008D4E34"/>
    <w:rsid w:val="008D5C0A"/>
    <w:rsid w:val="008D5C0B"/>
    <w:rsid w:val="008D5C2C"/>
    <w:rsid w:val="008D5D3C"/>
    <w:rsid w:val="008D63C2"/>
    <w:rsid w:val="008D64BD"/>
    <w:rsid w:val="008D6CEC"/>
    <w:rsid w:val="008D6F0B"/>
    <w:rsid w:val="008D7020"/>
    <w:rsid w:val="008D7871"/>
    <w:rsid w:val="008D78FF"/>
    <w:rsid w:val="008E0137"/>
    <w:rsid w:val="008E1899"/>
    <w:rsid w:val="008E1C5B"/>
    <w:rsid w:val="008E245C"/>
    <w:rsid w:val="008E4121"/>
    <w:rsid w:val="008E5A79"/>
    <w:rsid w:val="008F0195"/>
    <w:rsid w:val="008F3350"/>
    <w:rsid w:val="008F4AB1"/>
    <w:rsid w:val="008F5B98"/>
    <w:rsid w:val="008F68DD"/>
    <w:rsid w:val="008F7239"/>
    <w:rsid w:val="008F7DB1"/>
    <w:rsid w:val="00900E33"/>
    <w:rsid w:val="00900E3D"/>
    <w:rsid w:val="0090108C"/>
    <w:rsid w:val="00901ECA"/>
    <w:rsid w:val="00902596"/>
    <w:rsid w:val="00902BCE"/>
    <w:rsid w:val="0090452F"/>
    <w:rsid w:val="00904DB9"/>
    <w:rsid w:val="00907C7C"/>
    <w:rsid w:val="00907F17"/>
    <w:rsid w:val="00910289"/>
    <w:rsid w:val="00910F41"/>
    <w:rsid w:val="00912E7A"/>
    <w:rsid w:val="00914DA7"/>
    <w:rsid w:val="00915209"/>
    <w:rsid w:val="00915F63"/>
    <w:rsid w:val="00916B32"/>
    <w:rsid w:val="009177E9"/>
    <w:rsid w:val="009177F5"/>
    <w:rsid w:val="009178A0"/>
    <w:rsid w:val="00920178"/>
    <w:rsid w:val="009205D4"/>
    <w:rsid w:val="00920C0E"/>
    <w:rsid w:val="00920E83"/>
    <w:rsid w:val="009211DF"/>
    <w:rsid w:val="00923072"/>
    <w:rsid w:val="009239CA"/>
    <w:rsid w:val="00923A7D"/>
    <w:rsid w:val="00924211"/>
    <w:rsid w:val="00924E6F"/>
    <w:rsid w:val="0092548A"/>
    <w:rsid w:val="0092606A"/>
    <w:rsid w:val="009269F7"/>
    <w:rsid w:val="00927DC1"/>
    <w:rsid w:val="009301C2"/>
    <w:rsid w:val="0093037F"/>
    <w:rsid w:val="00930460"/>
    <w:rsid w:val="00930959"/>
    <w:rsid w:val="00931053"/>
    <w:rsid w:val="00931783"/>
    <w:rsid w:val="00932ADA"/>
    <w:rsid w:val="009331CF"/>
    <w:rsid w:val="009334AC"/>
    <w:rsid w:val="00933595"/>
    <w:rsid w:val="00934694"/>
    <w:rsid w:val="00934CA8"/>
    <w:rsid w:val="00934FD3"/>
    <w:rsid w:val="0093528D"/>
    <w:rsid w:val="009367C2"/>
    <w:rsid w:val="00937F7D"/>
    <w:rsid w:val="009419B7"/>
    <w:rsid w:val="00942010"/>
    <w:rsid w:val="00942D33"/>
    <w:rsid w:val="0094320A"/>
    <w:rsid w:val="00943260"/>
    <w:rsid w:val="0094332F"/>
    <w:rsid w:val="009458E5"/>
    <w:rsid w:val="00945F04"/>
    <w:rsid w:val="009460BA"/>
    <w:rsid w:val="0095087E"/>
    <w:rsid w:val="0095170D"/>
    <w:rsid w:val="0095307F"/>
    <w:rsid w:val="00955365"/>
    <w:rsid w:val="00955526"/>
    <w:rsid w:val="00955D44"/>
    <w:rsid w:val="009575E4"/>
    <w:rsid w:val="0096358F"/>
    <w:rsid w:val="00963918"/>
    <w:rsid w:val="009643FA"/>
    <w:rsid w:val="00966402"/>
    <w:rsid w:val="00966C09"/>
    <w:rsid w:val="00967A03"/>
    <w:rsid w:val="00967BC3"/>
    <w:rsid w:val="00970B91"/>
    <w:rsid w:val="009712DD"/>
    <w:rsid w:val="00972141"/>
    <w:rsid w:val="009727AC"/>
    <w:rsid w:val="00972A90"/>
    <w:rsid w:val="0097471B"/>
    <w:rsid w:val="009747B4"/>
    <w:rsid w:val="00975CEB"/>
    <w:rsid w:val="00980C4F"/>
    <w:rsid w:val="009813A5"/>
    <w:rsid w:val="00981CBB"/>
    <w:rsid w:val="00981EB9"/>
    <w:rsid w:val="00984441"/>
    <w:rsid w:val="009844CF"/>
    <w:rsid w:val="00984DD8"/>
    <w:rsid w:val="009850D1"/>
    <w:rsid w:val="009865C0"/>
    <w:rsid w:val="00986B3C"/>
    <w:rsid w:val="0098747D"/>
    <w:rsid w:val="00987C88"/>
    <w:rsid w:val="0099019C"/>
    <w:rsid w:val="00990317"/>
    <w:rsid w:val="0099085F"/>
    <w:rsid w:val="00990C33"/>
    <w:rsid w:val="00991B29"/>
    <w:rsid w:val="009925DB"/>
    <w:rsid w:val="009926DB"/>
    <w:rsid w:val="00993CC9"/>
    <w:rsid w:val="00993E37"/>
    <w:rsid w:val="00994655"/>
    <w:rsid w:val="00997B3C"/>
    <w:rsid w:val="00997C25"/>
    <w:rsid w:val="009A05AA"/>
    <w:rsid w:val="009A10B2"/>
    <w:rsid w:val="009A1CF2"/>
    <w:rsid w:val="009A30B5"/>
    <w:rsid w:val="009A39AF"/>
    <w:rsid w:val="009A401C"/>
    <w:rsid w:val="009A4759"/>
    <w:rsid w:val="009A4CA9"/>
    <w:rsid w:val="009A5B95"/>
    <w:rsid w:val="009A5DE8"/>
    <w:rsid w:val="009A6426"/>
    <w:rsid w:val="009A668C"/>
    <w:rsid w:val="009A678A"/>
    <w:rsid w:val="009A6F74"/>
    <w:rsid w:val="009A7E0C"/>
    <w:rsid w:val="009B089F"/>
    <w:rsid w:val="009B1EAC"/>
    <w:rsid w:val="009B227F"/>
    <w:rsid w:val="009B2C0D"/>
    <w:rsid w:val="009B2DEC"/>
    <w:rsid w:val="009B376D"/>
    <w:rsid w:val="009B3B6B"/>
    <w:rsid w:val="009B3B80"/>
    <w:rsid w:val="009B47F2"/>
    <w:rsid w:val="009B5852"/>
    <w:rsid w:val="009B6F2F"/>
    <w:rsid w:val="009C044E"/>
    <w:rsid w:val="009C35EC"/>
    <w:rsid w:val="009C4199"/>
    <w:rsid w:val="009C496F"/>
    <w:rsid w:val="009C5127"/>
    <w:rsid w:val="009C57A2"/>
    <w:rsid w:val="009C5E27"/>
    <w:rsid w:val="009C64B9"/>
    <w:rsid w:val="009C64F5"/>
    <w:rsid w:val="009C69C7"/>
    <w:rsid w:val="009D0199"/>
    <w:rsid w:val="009D34B4"/>
    <w:rsid w:val="009D3628"/>
    <w:rsid w:val="009D3647"/>
    <w:rsid w:val="009D3A5D"/>
    <w:rsid w:val="009D42AE"/>
    <w:rsid w:val="009D4C2A"/>
    <w:rsid w:val="009D5096"/>
    <w:rsid w:val="009D5E3D"/>
    <w:rsid w:val="009D6022"/>
    <w:rsid w:val="009D6914"/>
    <w:rsid w:val="009D779E"/>
    <w:rsid w:val="009E108E"/>
    <w:rsid w:val="009E1208"/>
    <w:rsid w:val="009E1C22"/>
    <w:rsid w:val="009E2057"/>
    <w:rsid w:val="009E2481"/>
    <w:rsid w:val="009E2A2F"/>
    <w:rsid w:val="009E319B"/>
    <w:rsid w:val="009E37A0"/>
    <w:rsid w:val="009E4EE7"/>
    <w:rsid w:val="009E6C94"/>
    <w:rsid w:val="009E749D"/>
    <w:rsid w:val="009E7675"/>
    <w:rsid w:val="009E7BA7"/>
    <w:rsid w:val="009F0F81"/>
    <w:rsid w:val="009F3631"/>
    <w:rsid w:val="009F3790"/>
    <w:rsid w:val="009F4113"/>
    <w:rsid w:val="009F4A33"/>
    <w:rsid w:val="009F728D"/>
    <w:rsid w:val="009F7CEB"/>
    <w:rsid w:val="00A039A2"/>
    <w:rsid w:val="00A040FD"/>
    <w:rsid w:val="00A0426A"/>
    <w:rsid w:val="00A046F7"/>
    <w:rsid w:val="00A04C0D"/>
    <w:rsid w:val="00A056FE"/>
    <w:rsid w:val="00A06525"/>
    <w:rsid w:val="00A06664"/>
    <w:rsid w:val="00A07A7F"/>
    <w:rsid w:val="00A126CE"/>
    <w:rsid w:val="00A12770"/>
    <w:rsid w:val="00A12983"/>
    <w:rsid w:val="00A138F7"/>
    <w:rsid w:val="00A14455"/>
    <w:rsid w:val="00A17313"/>
    <w:rsid w:val="00A20B1A"/>
    <w:rsid w:val="00A20D1B"/>
    <w:rsid w:val="00A214D7"/>
    <w:rsid w:val="00A22A39"/>
    <w:rsid w:val="00A23EA1"/>
    <w:rsid w:val="00A24027"/>
    <w:rsid w:val="00A24290"/>
    <w:rsid w:val="00A2472E"/>
    <w:rsid w:val="00A30CFF"/>
    <w:rsid w:val="00A30FF4"/>
    <w:rsid w:val="00A31718"/>
    <w:rsid w:val="00A31D2C"/>
    <w:rsid w:val="00A31ED7"/>
    <w:rsid w:val="00A325ED"/>
    <w:rsid w:val="00A33C16"/>
    <w:rsid w:val="00A35985"/>
    <w:rsid w:val="00A36398"/>
    <w:rsid w:val="00A3701C"/>
    <w:rsid w:val="00A41838"/>
    <w:rsid w:val="00A41E5D"/>
    <w:rsid w:val="00A42719"/>
    <w:rsid w:val="00A43130"/>
    <w:rsid w:val="00A439B8"/>
    <w:rsid w:val="00A45134"/>
    <w:rsid w:val="00A45972"/>
    <w:rsid w:val="00A4663B"/>
    <w:rsid w:val="00A46D80"/>
    <w:rsid w:val="00A50F75"/>
    <w:rsid w:val="00A518F7"/>
    <w:rsid w:val="00A5191C"/>
    <w:rsid w:val="00A52A3F"/>
    <w:rsid w:val="00A535FB"/>
    <w:rsid w:val="00A54EB5"/>
    <w:rsid w:val="00A56038"/>
    <w:rsid w:val="00A573D8"/>
    <w:rsid w:val="00A610E2"/>
    <w:rsid w:val="00A6314E"/>
    <w:rsid w:val="00A6374D"/>
    <w:rsid w:val="00A64186"/>
    <w:rsid w:val="00A6592F"/>
    <w:rsid w:val="00A65BA0"/>
    <w:rsid w:val="00A661E5"/>
    <w:rsid w:val="00A675E7"/>
    <w:rsid w:val="00A67DEA"/>
    <w:rsid w:val="00A70895"/>
    <w:rsid w:val="00A70F53"/>
    <w:rsid w:val="00A72944"/>
    <w:rsid w:val="00A7382F"/>
    <w:rsid w:val="00A73A4A"/>
    <w:rsid w:val="00A76313"/>
    <w:rsid w:val="00A80ED4"/>
    <w:rsid w:val="00A81C5D"/>
    <w:rsid w:val="00A81F82"/>
    <w:rsid w:val="00A841B0"/>
    <w:rsid w:val="00A848B9"/>
    <w:rsid w:val="00A84EBA"/>
    <w:rsid w:val="00A85009"/>
    <w:rsid w:val="00A85A2B"/>
    <w:rsid w:val="00A85CBC"/>
    <w:rsid w:val="00A86FEB"/>
    <w:rsid w:val="00A8717C"/>
    <w:rsid w:val="00A877F8"/>
    <w:rsid w:val="00A904EA"/>
    <w:rsid w:val="00A92626"/>
    <w:rsid w:val="00A92D1B"/>
    <w:rsid w:val="00A93543"/>
    <w:rsid w:val="00A945ED"/>
    <w:rsid w:val="00A9462D"/>
    <w:rsid w:val="00A94984"/>
    <w:rsid w:val="00A94E01"/>
    <w:rsid w:val="00A94EFC"/>
    <w:rsid w:val="00A955BC"/>
    <w:rsid w:val="00A9651A"/>
    <w:rsid w:val="00A9659E"/>
    <w:rsid w:val="00AA0720"/>
    <w:rsid w:val="00AA1681"/>
    <w:rsid w:val="00AA1D35"/>
    <w:rsid w:val="00AA2093"/>
    <w:rsid w:val="00AA2386"/>
    <w:rsid w:val="00AA250F"/>
    <w:rsid w:val="00AA2FA1"/>
    <w:rsid w:val="00AA38F4"/>
    <w:rsid w:val="00AA51C1"/>
    <w:rsid w:val="00AA5ED1"/>
    <w:rsid w:val="00AA5F4B"/>
    <w:rsid w:val="00AA6156"/>
    <w:rsid w:val="00AA6708"/>
    <w:rsid w:val="00AA6D59"/>
    <w:rsid w:val="00AA6E98"/>
    <w:rsid w:val="00AA73AC"/>
    <w:rsid w:val="00AA7B77"/>
    <w:rsid w:val="00AA7D4D"/>
    <w:rsid w:val="00AA7ED0"/>
    <w:rsid w:val="00AB09EB"/>
    <w:rsid w:val="00AB0FAF"/>
    <w:rsid w:val="00AB145A"/>
    <w:rsid w:val="00AB14C9"/>
    <w:rsid w:val="00AB187A"/>
    <w:rsid w:val="00AB1C97"/>
    <w:rsid w:val="00AB2BF6"/>
    <w:rsid w:val="00AB2C81"/>
    <w:rsid w:val="00AB514A"/>
    <w:rsid w:val="00AB6C8D"/>
    <w:rsid w:val="00AB7353"/>
    <w:rsid w:val="00AB7BA4"/>
    <w:rsid w:val="00AC50AE"/>
    <w:rsid w:val="00AC50E3"/>
    <w:rsid w:val="00AC5591"/>
    <w:rsid w:val="00AC6F2A"/>
    <w:rsid w:val="00AC7755"/>
    <w:rsid w:val="00AD0157"/>
    <w:rsid w:val="00AD1127"/>
    <w:rsid w:val="00AD1480"/>
    <w:rsid w:val="00AD1CC8"/>
    <w:rsid w:val="00AD2119"/>
    <w:rsid w:val="00AD2A53"/>
    <w:rsid w:val="00AD51C9"/>
    <w:rsid w:val="00AD7D67"/>
    <w:rsid w:val="00AD7E57"/>
    <w:rsid w:val="00AE01DB"/>
    <w:rsid w:val="00AE09BE"/>
    <w:rsid w:val="00AE0A37"/>
    <w:rsid w:val="00AE1B29"/>
    <w:rsid w:val="00AE1DFB"/>
    <w:rsid w:val="00AE289C"/>
    <w:rsid w:val="00AE2A68"/>
    <w:rsid w:val="00AE513E"/>
    <w:rsid w:val="00AE6817"/>
    <w:rsid w:val="00AE6C8D"/>
    <w:rsid w:val="00AE7AA8"/>
    <w:rsid w:val="00AF0DF9"/>
    <w:rsid w:val="00AF2BD9"/>
    <w:rsid w:val="00AF3B28"/>
    <w:rsid w:val="00AF3F46"/>
    <w:rsid w:val="00AF4223"/>
    <w:rsid w:val="00AF4BE4"/>
    <w:rsid w:val="00AF7FC5"/>
    <w:rsid w:val="00B0029C"/>
    <w:rsid w:val="00B02371"/>
    <w:rsid w:val="00B0354D"/>
    <w:rsid w:val="00B03A6D"/>
    <w:rsid w:val="00B03E99"/>
    <w:rsid w:val="00B04309"/>
    <w:rsid w:val="00B04DA6"/>
    <w:rsid w:val="00B0552A"/>
    <w:rsid w:val="00B05A6C"/>
    <w:rsid w:val="00B06EF9"/>
    <w:rsid w:val="00B073E5"/>
    <w:rsid w:val="00B10CA2"/>
    <w:rsid w:val="00B112AD"/>
    <w:rsid w:val="00B11EA0"/>
    <w:rsid w:val="00B122BA"/>
    <w:rsid w:val="00B12C1D"/>
    <w:rsid w:val="00B12C29"/>
    <w:rsid w:val="00B13B06"/>
    <w:rsid w:val="00B13CA0"/>
    <w:rsid w:val="00B13E7A"/>
    <w:rsid w:val="00B1416C"/>
    <w:rsid w:val="00B152E1"/>
    <w:rsid w:val="00B164AB"/>
    <w:rsid w:val="00B17B7D"/>
    <w:rsid w:val="00B17FDB"/>
    <w:rsid w:val="00B2106D"/>
    <w:rsid w:val="00B214D4"/>
    <w:rsid w:val="00B21976"/>
    <w:rsid w:val="00B21BB1"/>
    <w:rsid w:val="00B24D1F"/>
    <w:rsid w:val="00B2594F"/>
    <w:rsid w:val="00B25D68"/>
    <w:rsid w:val="00B25ED1"/>
    <w:rsid w:val="00B2777B"/>
    <w:rsid w:val="00B30ECE"/>
    <w:rsid w:val="00B312C4"/>
    <w:rsid w:val="00B31616"/>
    <w:rsid w:val="00B32190"/>
    <w:rsid w:val="00B323EE"/>
    <w:rsid w:val="00B341CD"/>
    <w:rsid w:val="00B34BFD"/>
    <w:rsid w:val="00B354F2"/>
    <w:rsid w:val="00B35EDD"/>
    <w:rsid w:val="00B409E3"/>
    <w:rsid w:val="00B40D5C"/>
    <w:rsid w:val="00B41247"/>
    <w:rsid w:val="00B416FA"/>
    <w:rsid w:val="00B43974"/>
    <w:rsid w:val="00B446C2"/>
    <w:rsid w:val="00B45E0F"/>
    <w:rsid w:val="00B470BA"/>
    <w:rsid w:val="00B47355"/>
    <w:rsid w:val="00B50F63"/>
    <w:rsid w:val="00B510C7"/>
    <w:rsid w:val="00B51E8D"/>
    <w:rsid w:val="00B539FB"/>
    <w:rsid w:val="00B540BE"/>
    <w:rsid w:val="00B553D1"/>
    <w:rsid w:val="00B55769"/>
    <w:rsid w:val="00B55B3F"/>
    <w:rsid w:val="00B565B5"/>
    <w:rsid w:val="00B57399"/>
    <w:rsid w:val="00B57F78"/>
    <w:rsid w:val="00B60581"/>
    <w:rsid w:val="00B60990"/>
    <w:rsid w:val="00B61A81"/>
    <w:rsid w:val="00B6292B"/>
    <w:rsid w:val="00B6367E"/>
    <w:rsid w:val="00B63A65"/>
    <w:rsid w:val="00B63B06"/>
    <w:rsid w:val="00B643A7"/>
    <w:rsid w:val="00B65FDD"/>
    <w:rsid w:val="00B66160"/>
    <w:rsid w:val="00B66586"/>
    <w:rsid w:val="00B66C37"/>
    <w:rsid w:val="00B67023"/>
    <w:rsid w:val="00B67119"/>
    <w:rsid w:val="00B67B1B"/>
    <w:rsid w:val="00B704F8"/>
    <w:rsid w:val="00B70B60"/>
    <w:rsid w:val="00B715BF"/>
    <w:rsid w:val="00B71675"/>
    <w:rsid w:val="00B71B62"/>
    <w:rsid w:val="00B7348D"/>
    <w:rsid w:val="00B7352F"/>
    <w:rsid w:val="00B73A3B"/>
    <w:rsid w:val="00B749E2"/>
    <w:rsid w:val="00B75BC0"/>
    <w:rsid w:val="00B75F42"/>
    <w:rsid w:val="00B7698A"/>
    <w:rsid w:val="00B76CED"/>
    <w:rsid w:val="00B77506"/>
    <w:rsid w:val="00B7796D"/>
    <w:rsid w:val="00B80B83"/>
    <w:rsid w:val="00B81A5A"/>
    <w:rsid w:val="00B82DEE"/>
    <w:rsid w:val="00B8390A"/>
    <w:rsid w:val="00B848D6"/>
    <w:rsid w:val="00B85470"/>
    <w:rsid w:val="00B855F8"/>
    <w:rsid w:val="00B85FC2"/>
    <w:rsid w:val="00B86064"/>
    <w:rsid w:val="00B86114"/>
    <w:rsid w:val="00B863A0"/>
    <w:rsid w:val="00B90271"/>
    <w:rsid w:val="00B90359"/>
    <w:rsid w:val="00B90661"/>
    <w:rsid w:val="00B915D3"/>
    <w:rsid w:val="00B91860"/>
    <w:rsid w:val="00B93493"/>
    <w:rsid w:val="00B93C8A"/>
    <w:rsid w:val="00B95C58"/>
    <w:rsid w:val="00B97959"/>
    <w:rsid w:val="00BA01AB"/>
    <w:rsid w:val="00BA04B9"/>
    <w:rsid w:val="00BA0DA4"/>
    <w:rsid w:val="00BA0FB0"/>
    <w:rsid w:val="00BA2E04"/>
    <w:rsid w:val="00BA31DF"/>
    <w:rsid w:val="00BA3306"/>
    <w:rsid w:val="00BA47CE"/>
    <w:rsid w:val="00BA5652"/>
    <w:rsid w:val="00BA73EE"/>
    <w:rsid w:val="00BA78A1"/>
    <w:rsid w:val="00BA7D79"/>
    <w:rsid w:val="00BB063E"/>
    <w:rsid w:val="00BB0AE8"/>
    <w:rsid w:val="00BB1482"/>
    <w:rsid w:val="00BB23B0"/>
    <w:rsid w:val="00BB66FA"/>
    <w:rsid w:val="00BB79BE"/>
    <w:rsid w:val="00BC0139"/>
    <w:rsid w:val="00BC1263"/>
    <w:rsid w:val="00BC1440"/>
    <w:rsid w:val="00BC19ED"/>
    <w:rsid w:val="00BC1FA6"/>
    <w:rsid w:val="00BC25F5"/>
    <w:rsid w:val="00BC2803"/>
    <w:rsid w:val="00BC4334"/>
    <w:rsid w:val="00BC4997"/>
    <w:rsid w:val="00BC56ED"/>
    <w:rsid w:val="00BC6BDA"/>
    <w:rsid w:val="00BC6D8E"/>
    <w:rsid w:val="00BC7FCB"/>
    <w:rsid w:val="00BD03EC"/>
    <w:rsid w:val="00BD2A6B"/>
    <w:rsid w:val="00BD332E"/>
    <w:rsid w:val="00BD38D6"/>
    <w:rsid w:val="00BD45BE"/>
    <w:rsid w:val="00BD4648"/>
    <w:rsid w:val="00BD5659"/>
    <w:rsid w:val="00BE1B42"/>
    <w:rsid w:val="00BE30EC"/>
    <w:rsid w:val="00BE3CAA"/>
    <w:rsid w:val="00BE3E5F"/>
    <w:rsid w:val="00BE55B3"/>
    <w:rsid w:val="00BE583A"/>
    <w:rsid w:val="00BE5DB0"/>
    <w:rsid w:val="00BE6A8F"/>
    <w:rsid w:val="00BE6A9D"/>
    <w:rsid w:val="00BF09A8"/>
    <w:rsid w:val="00BF1452"/>
    <w:rsid w:val="00BF322E"/>
    <w:rsid w:val="00BF5491"/>
    <w:rsid w:val="00BF56DE"/>
    <w:rsid w:val="00BF64BC"/>
    <w:rsid w:val="00BF67CB"/>
    <w:rsid w:val="00BF7FA6"/>
    <w:rsid w:val="00C018D2"/>
    <w:rsid w:val="00C01B6C"/>
    <w:rsid w:val="00C04055"/>
    <w:rsid w:val="00C0562C"/>
    <w:rsid w:val="00C05686"/>
    <w:rsid w:val="00C06418"/>
    <w:rsid w:val="00C06657"/>
    <w:rsid w:val="00C07417"/>
    <w:rsid w:val="00C074A1"/>
    <w:rsid w:val="00C07BBA"/>
    <w:rsid w:val="00C104C2"/>
    <w:rsid w:val="00C11033"/>
    <w:rsid w:val="00C119C1"/>
    <w:rsid w:val="00C128E3"/>
    <w:rsid w:val="00C1387F"/>
    <w:rsid w:val="00C140A3"/>
    <w:rsid w:val="00C1630B"/>
    <w:rsid w:val="00C1651B"/>
    <w:rsid w:val="00C16C0B"/>
    <w:rsid w:val="00C17952"/>
    <w:rsid w:val="00C17AAC"/>
    <w:rsid w:val="00C201B8"/>
    <w:rsid w:val="00C21406"/>
    <w:rsid w:val="00C2280F"/>
    <w:rsid w:val="00C23DF3"/>
    <w:rsid w:val="00C23FEA"/>
    <w:rsid w:val="00C24584"/>
    <w:rsid w:val="00C24790"/>
    <w:rsid w:val="00C24C79"/>
    <w:rsid w:val="00C25236"/>
    <w:rsid w:val="00C25907"/>
    <w:rsid w:val="00C27532"/>
    <w:rsid w:val="00C278FB"/>
    <w:rsid w:val="00C31531"/>
    <w:rsid w:val="00C317F3"/>
    <w:rsid w:val="00C32C41"/>
    <w:rsid w:val="00C336AD"/>
    <w:rsid w:val="00C35ABF"/>
    <w:rsid w:val="00C36835"/>
    <w:rsid w:val="00C41E95"/>
    <w:rsid w:val="00C42BA6"/>
    <w:rsid w:val="00C44A9F"/>
    <w:rsid w:val="00C44C37"/>
    <w:rsid w:val="00C454CB"/>
    <w:rsid w:val="00C45BDF"/>
    <w:rsid w:val="00C46AE5"/>
    <w:rsid w:val="00C46C5D"/>
    <w:rsid w:val="00C47654"/>
    <w:rsid w:val="00C47BB3"/>
    <w:rsid w:val="00C47E25"/>
    <w:rsid w:val="00C47FDA"/>
    <w:rsid w:val="00C507FA"/>
    <w:rsid w:val="00C51244"/>
    <w:rsid w:val="00C512EE"/>
    <w:rsid w:val="00C523B6"/>
    <w:rsid w:val="00C52ACF"/>
    <w:rsid w:val="00C5340C"/>
    <w:rsid w:val="00C53509"/>
    <w:rsid w:val="00C54919"/>
    <w:rsid w:val="00C55B1E"/>
    <w:rsid w:val="00C56899"/>
    <w:rsid w:val="00C57E4D"/>
    <w:rsid w:val="00C57E95"/>
    <w:rsid w:val="00C607F6"/>
    <w:rsid w:val="00C60C5E"/>
    <w:rsid w:val="00C612CB"/>
    <w:rsid w:val="00C613F2"/>
    <w:rsid w:val="00C6155A"/>
    <w:rsid w:val="00C626E2"/>
    <w:rsid w:val="00C628C0"/>
    <w:rsid w:val="00C628C8"/>
    <w:rsid w:val="00C62F89"/>
    <w:rsid w:val="00C63B0B"/>
    <w:rsid w:val="00C645C6"/>
    <w:rsid w:val="00C6630C"/>
    <w:rsid w:val="00C70165"/>
    <w:rsid w:val="00C717EB"/>
    <w:rsid w:val="00C74278"/>
    <w:rsid w:val="00C743B3"/>
    <w:rsid w:val="00C7490C"/>
    <w:rsid w:val="00C74ED7"/>
    <w:rsid w:val="00C7519E"/>
    <w:rsid w:val="00C76FA5"/>
    <w:rsid w:val="00C77CDE"/>
    <w:rsid w:val="00C80705"/>
    <w:rsid w:val="00C808A6"/>
    <w:rsid w:val="00C80F68"/>
    <w:rsid w:val="00C81A12"/>
    <w:rsid w:val="00C8311D"/>
    <w:rsid w:val="00C8343B"/>
    <w:rsid w:val="00C83D85"/>
    <w:rsid w:val="00C840F7"/>
    <w:rsid w:val="00C846BE"/>
    <w:rsid w:val="00C84ED0"/>
    <w:rsid w:val="00C8530B"/>
    <w:rsid w:val="00C870AC"/>
    <w:rsid w:val="00C91396"/>
    <w:rsid w:val="00C91442"/>
    <w:rsid w:val="00C9542C"/>
    <w:rsid w:val="00C954C5"/>
    <w:rsid w:val="00C963DE"/>
    <w:rsid w:val="00C96675"/>
    <w:rsid w:val="00C9701F"/>
    <w:rsid w:val="00C97764"/>
    <w:rsid w:val="00CA0C26"/>
    <w:rsid w:val="00CA15BB"/>
    <w:rsid w:val="00CA166B"/>
    <w:rsid w:val="00CA3F91"/>
    <w:rsid w:val="00CA4ACA"/>
    <w:rsid w:val="00CA57DD"/>
    <w:rsid w:val="00CA6D55"/>
    <w:rsid w:val="00CA7E4E"/>
    <w:rsid w:val="00CB077D"/>
    <w:rsid w:val="00CB07A8"/>
    <w:rsid w:val="00CB0F76"/>
    <w:rsid w:val="00CB14A1"/>
    <w:rsid w:val="00CB1F51"/>
    <w:rsid w:val="00CB5389"/>
    <w:rsid w:val="00CB5745"/>
    <w:rsid w:val="00CB5CF7"/>
    <w:rsid w:val="00CB6192"/>
    <w:rsid w:val="00CB632C"/>
    <w:rsid w:val="00CB6407"/>
    <w:rsid w:val="00CB7978"/>
    <w:rsid w:val="00CB7F05"/>
    <w:rsid w:val="00CC0CC8"/>
    <w:rsid w:val="00CC0DB0"/>
    <w:rsid w:val="00CC10E1"/>
    <w:rsid w:val="00CC1CE5"/>
    <w:rsid w:val="00CC244D"/>
    <w:rsid w:val="00CC34BF"/>
    <w:rsid w:val="00CC4028"/>
    <w:rsid w:val="00CC4B3B"/>
    <w:rsid w:val="00CC50BF"/>
    <w:rsid w:val="00CC6509"/>
    <w:rsid w:val="00CC7927"/>
    <w:rsid w:val="00CC7A17"/>
    <w:rsid w:val="00CD0AA9"/>
    <w:rsid w:val="00CD12E3"/>
    <w:rsid w:val="00CD1FB2"/>
    <w:rsid w:val="00CD23FD"/>
    <w:rsid w:val="00CD3B91"/>
    <w:rsid w:val="00CD4D8C"/>
    <w:rsid w:val="00CD5C45"/>
    <w:rsid w:val="00CD60D3"/>
    <w:rsid w:val="00CD6327"/>
    <w:rsid w:val="00CE28CE"/>
    <w:rsid w:val="00CE2B78"/>
    <w:rsid w:val="00CE42DF"/>
    <w:rsid w:val="00CE4A29"/>
    <w:rsid w:val="00CE4D6A"/>
    <w:rsid w:val="00CE5AF6"/>
    <w:rsid w:val="00CE61AF"/>
    <w:rsid w:val="00CE687C"/>
    <w:rsid w:val="00CE74A3"/>
    <w:rsid w:val="00CE7541"/>
    <w:rsid w:val="00CE7C13"/>
    <w:rsid w:val="00CF1D44"/>
    <w:rsid w:val="00CF202A"/>
    <w:rsid w:val="00CF24FC"/>
    <w:rsid w:val="00CF5880"/>
    <w:rsid w:val="00CF6C8B"/>
    <w:rsid w:val="00D02569"/>
    <w:rsid w:val="00D03159"/>
    <w:rsid w:val="00D034DD"/>
    <w:rsid w:val="00D03D0C"/>
    <w:rsid w:val="00D041AA"/>
    <w:rsid w:val="00D0486F"/>
    <w:rsid w:val="00D04952"/>
    <w:rsid w:val="00D05B90"/>
    <w:rsid w:val="00D05FA0"/>
    <w:rsid w:val="00D06A16"/>
    <w:rsid w:val="00D10129"/>
    <w:rsid w:val="00D1078F"/>
    <w:rsid w:val="00D10D34"/>
    <w:rsid w:val="00D10E60"/>
    <w:rsid w:val="00D11B70"/>
    <w:rsid w:val="00D128C6"/>
    <w:rsid w:val="00D12CD2"/>
    <w:rsid w:val="00D1300E"/>
    <w:rsid w:val="00D14D23"/>
    <w:rsid w:val="00D15D8B"/>
    <w:rsid w:val="00D16DC4"/>
    <w:rsid w:val="00D173C2"/>
    <w:rsid w:val="00D177F6"/>
    <w:rsid w:val="00D1788E"/>
    <w:rsid w:val="00D17984"/>
    <w:rsid w:val="00D17B11"/>
    <w:rsid w:val="00D20363"/>
    <w:rsid w:val="00D2102F"/>
    <w:rsid w:val="00D238D9"/>
    <w:rsid w:val="00D23A0E"/>
    <w:rsid w:val="00D24DAD"/>
    <w:rsid w:val="00D24DF7"/>
    <w:rsid w:val="00D25916"/>
    <w:rsid w:val="00D27296"/>
    <w:rsid w:val="00D301F0"/>
    <w:rsid w:val="00D3173D"/>
    <w:rsid w:val="00D32456"/>
    <w:rsid w:val="00D329E6"/>
    <w:rsid w:val="00D33C44"/>
    <w:rsid w:val="00D35136"/>
    <w:rsid w:val="00D36C08"/>
    <w:rsid w:val="00D36CBD"/>
    <w:rsid w:val="00D37972"/>
    <w:rsid w:val="00D379F9"/>
    <w:rsid w:val="00D40896"/>
    <w:rsid w:val="00D41534"/>
    <w:rsid w:val="00D42D47"/>
    <w:rsid w:val="00D44CB9"/>
    <w:rsid w:val="00D450A4"/>
    <w:rsid w:val="00D45116"/>
    <w:rsid w:val="00D451FC"/>
    <w:rsid w:val="00D460A1"/>
    <w:rsid w:val="00D468D0"/>
    <w:rsid w:val="00D471DE"/>
    <w:rsid w:val="00D5046E"/>
    <w:rsid w:val="00D50D56"/>
    <w:rsid w:val="00D51930"/>
    <w:rsid w:val="00D52A53"/>
    <w:rsid w:val="00D53E04"/>
    <w:rsid w:val="00D54039"/>
    <w:rsid w:val="00D55B3F"/>
    <w:rsid w:val="00D5695A"/>
    <w:rsid w:val="00D575AA"/>
    <w:rsid w:val="00D57BA2"/>
    <w:rsid w:val="00D60672"/>
    <w:rsid w:val="00D60858"/>
    <w:rsid w:val="00D627C1"/>
    <w:rsid w:val="00D62E3C"/>
    <w:rsid w:val="00D634A1"/>
    <w:rsid w:val="00D63C2F"/>
    <w:rsid w:val="00D63C48"/>
    <w:rsid w:val="00D64289"/>
    <w:rsid w:val="00D661F4"/>
    <w:rsid w:val="00D66401"/>
    <w:rsid w:val="00D6667B"/>
    <w:rsid w:val="00D667E7"/>
    <w:rsid w:val="00D673E1"/>
    <w:rsid w:val="00D6748A"/>
    <w:rsid w:val="00D6780A"/>
    <w:rsid w:val="00D67F8E"/>
    <w:rsid w:val="00D711B9"/>
    <w:rsid w:val="00D71400"/>
    <w:rsid w:val="00D7293E"/>
    <w:rsid w:val="00D72C23"/>
    <w:rsid w:val="00D73B1D"/>
    <w:rsid w:val="00D749AB"/>
    <w:rsid w:val="00D74C53"/>
    <w:rsid w:val="00D76A5B"/>
    <w:rsid w:val="00D771B7"/>
    <w:rsid w:val="00D8157F"/>
    <w:rsid w:val="00D81AAC"/>
    <w:rsid w:val="00D81FDF"/>
    <w:rsid w:val="00D82A88"/>
    <w:rsid w:val="00D83450"/>
    <w:rsid w:val="00D8435D"/>
    <w:rsid w:val="00D8570B"/>
    <w:rsid w:val="00D85E34"/>
    <w:rsid w:val="00D86104"/>
    <w:rsid w:val="00D86AE5"/>
    <w:rsid w:val="00D90079"/>
    <w:rsid w:val="00D90C7E"/>
    <w:rsid w:val="00D913AF"/>
    <w:rsid w:val="00D91740"/>
    <w:rsid w:val="00D91862"/>
    <w:rsid w:val="00D91AAF"/>
    <w:rsid w:val="00D91BEA"/>
    <w:rsid w:val="00D91CBC"/>
    <w:rsid w:val="00D927E0"/>
    <w:rsid w:val="00D93F43"/>
    <w:rsid w:val="00D94026"/>
    <w:rsid w:val="00D940F4"/>
    <w:rsid w:val="00D9533E"/>
    <w:rsid w:val="00D95394"/>
    <w:rsid w:val="00D95605"/>
    <w:rsid w:val="00D9578A"/>
    <w:rsid w:val="00D96126"/>
    <w:rsid w:val="00D9617E"/>
    <w:rsid w:val="00D96810"/>
    <w:rsid w:val="00D970E7"/>
    <w:rsid w:val="00D97165"/>
    <w:rsid w:val="00D9738D"/>
    <w:rsid w:val="00D9791B"/>
    <w:rsid w:val="00D97BB0"/>
    <w:rsid w:val="00DA032B"/>
    <w:rsid w:val="00DA0456"/>
    <w:rsid w:val="00DA1C6E"/>
    <w:rsid w:val="00DA2981"/>
    <w:rsid w:val="00DA2D33"/>
    <w:rsid w:val="00DA406C"/>
    <w:rsid w:val="00DA475C"/>
    <w:rsid w:val="00DA55BB"/>
    <w:rsid w:val="00DA635D"/>
    <w:rsid w:val="00DA6A60"/>
    <w:rsid w:val="00DA73EE"/>
    <w:rsid w:val="00DA78BE"/>
    <w:rsid w:val="00DA7F00"/>
    <w:rsid w:val="00DB1B18"/>
    <w:rsid w:val="00DB21D1"/>
    <w:rsid w:val="00DB2B76"/>
    <w:rsid w:val="00DB3927"/>
    <w:rsid w:val="00DB3EBE"/>
    <w:rsid w:val="00DB50BC"/>
    <w:rsid w:val="00DB681B"/>
    <w:rsid w:val="00DC132B"/>
    <w:rsid w:val="00DC1743"/>
    <w:rsid w:val="00DC186B"/>
    <w:rsid w:val="00DC1929"/>
    <w:rsid w:val="00DC1F73"/>
    <w:rsid w:val="00DC34D0"/>
    <w:rsid w:val="00DC3DAB"/>
    <w:rsid w:val="00DC4CC9"/>
    <w:rsid w:val="00DC5B62"/>
    <w:rsid w:val="00DC6740"/>
    <w:rsid w:val="00DC70A3"/>
    <w:rsid w:val="00DC7746"/>
    <w:rsid w:val="00DC7B94"/>
    <w:rsid w:val="00DD13EE"/>
    <w:rsid w:val="00DD19CD"/>
    <w:rsid w:val="00DD1A61"/>
    <w:rsid w:val="00DD3049"/>
    <w:rsid w:val="00DD3232"/>
    <w:rsid w:val="00DD3246"/>
    <w:rsid w:val="00DD3EF0"/>
    <w:rsid w:val="00DD514C"/>
    <w:rsid w:val="00DD5F0C"/>
    <w:rsid w:val="00DD70C3"/>
    <w:rsid w:val="00DE041D"/>
    <w:rsid w:val="00DE0B47"/>
    <w:rsid w:val="00DE1509"/>
    <w:rsid w:val="00DE2BA9"/>
    <w:rsid w:val="00DE30E2"/>
    <w:rsid w:val="00DE3272"/>
    <w:rsid w:val="00DE3507"/>
    <w:rsid w:val="00DE3A9A"/>
    <w:rsid w:val="00DE599C"/>
    <w:rsid w:val="00DE5BA9"/>
    <w:rsid w:val="00DE5F77"/>
    <w:rsid w:val="00DE6421"/>
    <w:rsid w:val="00DE7A50"/>
    <w:rsid w:val="00DE7D8F"/>
    <w:rsid w:val="00DF16C0"/>
    <w:rsid w:val="00DF28B0"/>
    <w:rsid w:val="00DF44FF"/>
    <w:rsid w:val="00DF548B"/>
    <w:rsid w:val="00DF55D6"/>
    <w:rsid w:val="00DF60EA"/>
    <w:rsid w:val="00DF677A"/>
    <w:rsid w:val="00DF7071"/>
    <w:rsid w:val="00DF7554"/>
    <w:rsid w:val="00DF7897"/>
    <w:rsid w:val="00E00652"/>
    <w:rsid w:val="00E014C3"/>
    <w:rsid w:val="00E045A8"/>
    <w:rsid w:val="00E04C05"/>
    <w:rsid w:val="00E05FBC"/>
    <w:rsid w:val="00E07731"/>
    <w:rsid w:val="00E10B7D"/>
    <w:rsid w:val="00E10D19"/>
    <w:rsid w:val="00E112F1"/>
    <w:rsid w:val="00E116F6"/>
    <w:rsid w:val="00E11E10"/>
    <w:rsid w:val="00E12117"/>
    <w:rsid w:val="00E13BB9"/>
    <w:rsid w:val="00E14912"/>
    <w:rsid w:val="00E15786"/>
    <w:rsid w:val="00E15B0C"/>
    <w:rsid w:val="00E15C1A"/>
    <w:rsid w:val="00E16B9B"/>
    <w:rsid w:val="00E17DB1"/>
    <w:rsid w:val="00E20FDE"/>
    <w:rsid w:val="00E21E46"/>
    <w:rsid w:val="00E2268A"/>
    <w:rsid w:val="00E227EA"/>
    <w:rsid w:val="00E22DA8"/>
    <w:rsid w:val="00E22F92"/>
    <w:rsid w:val="00E233BE"/>
    <w:rsid w:val="00E23660"/>
    <w:rsid w:val="00E26E36"/>
    <w:rsid w:val="00E27515"/>
    <w:rsid w:val="00E2761D"/>
    <w:rsid w:val="00E27BCE"/>
    <w:rsid w:val="00E31777"/>
    <w:rsid w:val="00E31A1E"/>
    <w:rsid w:val="00E32563"/>
    <w:rsid w:val="00E3370D"/>
    <w:rsid w:val="00E3396B"/>
    <w:rsid w:val="00E34484"/>
    <w:rsid w:val="00E35CA3"/>
    <w:rsid w:val="00E368C0"/>
    <w:rsid w:val="00E36FD8"/>
    <w:rsid w:val="00E37317"/>
    <w:rsid w:val="00E37424"/>
    <w:rsid w:val="00E4041E"/>
    <w:rsid w:val="00E41B9F"/>
    <w:rsid w:val="00E41D3C"/>
    <w:rsid w:val="00E4234A"/>
    <w:rsid w:val="00E42EB6"/>
    <w:rsid w:val="00E44295"/>
    <w:rsid w:val="00E44458"/>
    <w:rsid w:val="00E44537"/>
    <w:rsid w:val="00E44846"/>
    <w:rsid w:val="00E45180"/>
    <w:rsid w:val="00E45305"/>
    <w:rsid w:val="00E4634C"/>
    <w:rsid w:val="00E46AC9"/>
    <w:rsid w:val="00E46F6D"/>
    <w:rsid w:val="00E477D0"/>
    <w:rsid w:val="00E514B0"/>
    <w:rsid w:val="00E51745"/>
    <w:rsid w:val="00E51D5C"/>
    <w:rsid w:val="00E53213"/>
    <w:rsid w:val="00E53730"/>
    <w:rsid w:val="00E53752"/>
    <w:rsid w:val="00E53B0D"/>
    <w:rsid w:val="00E53DB6"/>
    <w:rsid w:val="00E54FB3"/>
    <w:rsid w:val="00E5514F"/>
    <w:rsid w:val="00E55904"/>
    <w:rsid w:val="00E55E72"/>
    <w:rsid w:val="00E563FD"/>
    <w:rsid w:val="00E56831"/>
    <w:rsid w:val="00E60415"/>
    <w:rsid w:val="00E60E87"/>
    <w:rsid w:val="00E6215A"/>
    <w:rsid w:val="00E624E6"/>
    <w:rsid w:val="00E647B4"/>
    <w:rsid w:val="00E65207"/>
    <w:rsid w:val="00E659E9"/>
    <w:rsid w:val="00E65FF9"/>
    <w:rsid w:val="00E66012"/>
    <w:rsid w:val="00E66614"/>
    <w:rsid w:val="00E7072F"/>
    <w:rsid w:val="00E70BB4"/>
    <w:rsid w:val="00E70C24"/>
    <w:rsid w:val="00E71C19"/>
    <w:rsid w:val="00E7226F"/>
    <w:rsid w:val="00E73EE1"/>
    <w:rsid w:val="00E742DF"/>
    <w:rsid w:val="00E74A10"/>
    <w:rsid w:val="00E74A24"/>
    <w:rsid w:val="00E767B8"/>
    <w:rsid w:val="00E76F43"/>
    <w:rsid w:val="00E772A1"/>
    <w:rsid w:val="00E773DF"/>
    <w:rsid w:val="00E775D0"/>
    <w:rsid w:val="00E775F9"/>
    <w:rsid w:val="00E77A0C"/>
    <w:rsid w:val="00E80DA4"/>
    <w:rsid w:val="00E80EA0"/>
    <w:rsid w:val="00E80F25"/>
    <w:rsid w:val="00E80F5B"/>
    <w:rsid w:val="00E816FF"/>
    <w:rsid w:val="00E8269B"/>
    <w:rsid w:val="00E84DBA"/>
    <w:rsid w:val="00E858EC"/>
    <w:rsid w:val="00E85D1E"/>
    <w:rsid w:val="00E864D2"/>
    <w:rsid w:val="00E8668B"/>
    <w:rsid w:val="00E86B27"/>
    <w:rsid w:val="00E92662"/>
    <w:rsid w:val="00E930FA"/>
    <w:rsid w:val="00E93E87"/>
    <w:rsid w:val="00E942EE"/>
    <w:rsid w:val="00E94D47"/>
    <w:rsid w:val="00E955C6"/>
    <w:rsid w:val="00E9579B"/>
    <w:rsid w:val="00E9637E"/>
    <w:rsid w:val="00E96684"/>
    <w:rsid w:val="00E9725F"/>
    <w:rsid w:val="00E976C5"/>
    <w:rsid w:val="00E9774B"/>
    <w:rsid w:val="00EA1427"/>
    <w:rsid w:val="00EA1B1F"/>
    <w:rsid w:val="00EA1B29"/>
    <w:rsid w:val="00EA1C12"/>
    <w:rsid w:val="00EA1F50"/>
    <w:rsid w:val="00EA29FB"/>
    <w:rsid w:val="00EA2E9C"/>
    <w:rsid w:val="00EA30B1"/>
    <w:rsid w:val="00EA34DD"/>
    <w:rsid w:val="00EA4623"/>
    <w:rsid w:val="00EA47F9"/>
    <w:rsid w:val="00EA4A09"/>
    <w:rsid w:val="00EA5471"/>
    <w:rsid w:val="00EA56BB"/>
    <w:rsid w:val="00EA58C0"/>
    <w:rsid w:val="00EA5C64"/>
    <w:rsid w:val="00EA66E6"/>
    <w:rsid w:val="00EA69C5"/>
    <w:rsid w:val="00EA70F3"/>
    <w:rsid w:val="00EB1773"/>
    <w:rsid w:val="00EB2839"/>
    <w:rsid w:val="00EB2AA2"/>
    <w:rsid w:val="00EB2AA6"/>
    <w:rsid w:val="00EB3E80"/>
    <w:rsid w:val="00EB3F3E"/>
    <w:rsid w:val="00EB4086"/>
    <w:rsid w:val="00EB426B"/>
    <w:rsid w:val="00EB54C6"/>
    <w:rsid w:val="00EB55C0"/>
    <w:rsid w:val="00EB56E1"/>
    <w:rsid w:val="00EB5844"/>
    <w:rsid w:val="00EB5E6D"/>
    <w:rsid w:val="00EB79B5"/>
    <w:rsid w:val="00EB79BF"/>
    <w:rsid w:val="00EC1A18"/>
    <w:rsid w:val="00EC24C6"/>
    <w:rsid w:val="00EC27DA"/>
    <w:rsid w:val="00EC2AD0"/>
    <w:rsid w:val="00EC34E3"/>
    <w:rsid w:val="00EC461C"/>
    <w:rsid w:val="00EC5124"/>
    <w:rsid w:val="00EC5ABA"/>
    <w:rsid w:val="00EC6CC6"/>
    <w:rsid w:val="00EC73E5"/>
    <w:rsid w:val="00EC7D3B"/>
    <w:rsid w:val="00ED092E"/>
    <w:rsid w:val="00ED327E"/>
    <w:rsid w:val="00ED3B6D"/>
    <w:rsid w:val="00ED3C08"/>
    <w:rsid w:val="00ED3F87"/>
    <w:rsid w:val="00ED4B46"/>
    <w:rsid w:val="00ED4C07"/>
    <w:rsid w:val="00ED5C02"/>
    <w:rsid w:val="00ED6018"/>
    <w:rsid w:val="00ED6D1E"/>
    <w:rsid w:val="00ED756E"/>
    <w:rsid w:val="00ED772A"/>
    <w:rsid w:val="00ED7E75"/>
    <w:rsid w:val="00EE0494"/>
    <w:rsid w:val="00EE16C0"/>
    <w:rsid w:val="00EE1E6E"/>
    <w:rsid w:val="00EE2493"/>
    <w:rsid w:val="00EE2BDD"/>
    <w:rsid w:val="00EE3F20"/>
    <w:rsid w:val="00EE4742"/>
    <w:rsid w:val="00EE4A4D"/>
    <w:rsid w:val="00EE4CA7"/>
    <w:rsid w:val="00EE53F9"/>
    <w:rsid w:val="00EE6D76"/>
    <w:rsid w:val="00EE71DD"/>
    <w:rsid w:val="00EE7963"/>
    <w:rsid w:val="00EF04CF"/>
    <w:rsid w:val="00EF21C7"/>
    <w:rsid w:val="00EF3278"/>
    <w:rsid w:val="00EF4741"/>
    <w:rsid w:val="00EF4888"/>
    <w:rsid w:val="00EF53FA"/>
    <w:rsid w:val="00EF6048"/>
    <w:rsid w:val="00EF798A"/>
    <w:rsid w:val="00F0080B"/>
    <w:rsid w:val="00F01F30"/>
    <w:rsid w:val="00F03A77"/>
    <w:rsid w:val="00F049EC"/>
    <w:rsid w:val="00F04D77"/>
    <w:rsid w:val="00F053F5"/>
    <w:rsid w:val="00F05473"/>
    <w:rsid w:val="00F06A8B"/>
    <w:rsid w:val="00F1047D"/>
    <w:rsid w:val="00F1368C"/>
    <w:rsid w:val="00F16C03"/>
    <w:rsid w:val="00F17E4A"/>
    <w:rsid w:val="00F206E7"/>
    <w:rsid w:val="00F20D63"/>
    <w:rsid w:val="00F21139"/>
    <w:rsid w:val="00F21E16"/>
    <w:rsid w:val="00F22323"/>
    <w:rsid w:val="00F22ACA"/>
    <w:rsid w:val="00F22BE2"/>
    <w:rsid w:val="00F22C2B"/>
    <w:rsid w:val="00F22C82"/>
    <w:rsid w:val="00F23373"/>
    <w:rsid w:val="00F25414"/>
    <w:rsid w:val="00F25637"/>
    <w:rsid w:val="00F25961"/>
    <w:rsid w:val="00F25E32"/>
    <w:rsid w:val="00F26201"/>
    <w:rsid w:val="00F263B0"/>
    <w:rsid w:val="00F26B4B"/>
    <w:rsid w:val="00F2706C"/>
    <w:rsid w:val="00F302BC"/>
    <w:rsid w:val="00F3094A"/>
    <w:rsid w:val="00F30A11"/>
    <w:rsid w:val="00F32D23"/>
    <w:rsid w:val="00F3482F"/>
    <w:rsid w:val="00F34D75"/>
    <w:rsid w:val="00F34EB7"/>
    <w:rsid w:val="00F353E7"/>
    <w:rsid w:val="00F35E74"/>
    <w:rsid w:val="00F36782"/>
    <w:rsid w:val="00F37040"/>
    <w:rsid w:val="00F371AF"/>
    <w:rsid w:val="00F419C5"/>
    <w:rsid w:val="00F42070"/>
    <w:rsid w:val="00F43333"/>
    <w:rsid w:val="00F440CF"/>
    <w:rsid w:val="00F44461"/>
    <w:rsid w:val="00F4466F"/>
    <w:rsid w:val="00F44EFB"/>
    <w:rsid w:val="00F45132"/>
    <w:rsid w:val="00F45304"/>
    <w:rsid w:val="00F45E14"/>
    <w:rsid w:val="00F45E56"/>
    <w:rsid w:val="00F46306"/>
    <w:rsid w:val="00F46498"/>
    <w:rsid w:val="00F46B51"/>
    <w:rsid w:val="00F51DD1"/>
    <w:rsid w:val="00F5206A"/>
    <w:rsid w:val="00F52B46"/>
    <w:rsid w:val="00F52F06"/>
    <w:rsid w:val="00F5375D"/>
    <w:rsid w:val="00F54343"/>
    <w:rsid w:val="00F54E2F"/>
    <w:rsid w:val="00F556F5"/>
    <w:rsid w:val="00F56314"/>
    <w:rsid w:val="00F62A2A"/>
    <w:rsid w:val="00F62BD9"/>
    <w:rsid w:val="00F64265"/>
    <w:rsid w:val="00F6546B"/>
    <w:rsid w:val="00F66959"/>
    <w:rsid w:val="00F66E37"/>
    <w:rsid w:val="00F705FD"/>
    <w:rsid w:val="00F70F71"/>
    <w:rsid w:val="00F717AF"/>
    <w:rsid w:val="00F720D7"/>
    <w:rsid w:val="00F72B42"/>
    <w:rsid w:val="00F733F3"/>
    <w:rsid w:val="00F73819"/>
    <w:rsid w:val="00F73A39"/>
    <w:rsid w:val="00F75D3A"/>
    <w:rsid w:val="00F76B24"/>
    <w:rsid w:val="00F76F9C"/>
    <w:rsid w:val="00F77FB7"/>
    <w:rsid w:val="00F80139"/>
    <w:rsid w:val="00F80E32"/>
    <w:rsid w:val="00F81C67"/>
    <w:rsid w:val="00F82137"/>
    <w:rsid w:val="00F84FF3"/>
    <w:rsid w:val="00F85881"/>
    <w:rsid w:val="00F8601A"/>
    <w:rsid w:val="00F86A70"/>
    <w:rsid w:val="00F86F24"/>
    <w:rsid w:val="00F873B1"/>
    <w:rsid w:val="00F87C24"/>
    <w:rsid w:val="00F87C31"/>
    <w:rsid w:val="00F9012C"/>
    <w:rsid w:val="00F90451"/>
    <w:rsid w:val="00F90CE4"/>
    <w:rsid w:val="00F91074"/>
    <w:rsid w:val="00F914B8"/>
    <w:rsid w:val="00F9212E"/>
    <w:rsid w:val="00F92345"/>
    <w:rsid w:val="00F92788"/>
    <w:rsid w:val="00F936E8"/>
    <w:rsid w:val="00F93DE2"/>
    <w:rsid w:val="00F951CC"/>
    <w:rsid w:val="00F964B5"/>
    <w:rsid w:val="00F965B6"/>
    <w:rsid w:val="00F9783F"/>
    <w:rsid w:val="00FA0329"/>
    <w:rsid w:val="00FA0ED7"/>
    <w:rsid w:val="00FA2F4A"/>
    <w:rsid w:val="00FA2F76"/>
    <w:rsid w:val="00FA305E"/>
    <w:rsid w:val="00FA36AE"/>
    <w:rsid w:val="00FA3DF4"/>
    <w:rsid w:val="00FA40C9"/>
    <w:rsid w:val="00FA4B14"/>
    <w:rsid w:val="00FA6BE6"/>
    <w:rsid w:val="00FA7BE6"/>
    <w:rsid w:val="00FB0D9D"/>
    <w:rsid w:val="00FB12B5"/>
    <w:rsid w:val="00FB34DD"/>
    <w:rsid w:val="00FB366A"/>
    <w:rsid w:val="00FB3D43"/>
    <w:rsid w:val="00FB45E2"/>
    <w:rsid w:val="00FB4E23"/>
    <w:rsid w:val="00FB5242"/>
    <w:rsid w:val="00FB57DB"/>
    <w:rsid w:val="00FB6238"/>
    <w:rsid w:val="00FB6292"/>
    <w:rsid w:val="00FB6B44"/>
    <w:rsid w:val="00FB70A5"/>
    <w:rsid w:val="00FC06E3"/>
    <w:rsid w:val="00FC071C"/>
    <w:rsid w:val="00FC0C0C"/>
    <w:rsid w:val="00FC1054"/>
    <w:rsid w:val="00FC20DB"/>
    <w:rsid w:val="00FC22AB"/>
    <w:rsid w:val="00FC2C2B"/>
    <w:rsid w:val="00FC41BA"/>
    <w:rsid w:val="00FC449D"/>
    <w:rsid w:val="00FC5015"/>
    <w:rsid w:val="00FC53C2"/>
    <w:rsid w:val="00FC57F3"/>
    <w:rsid w:val="00FC594B"/>
    <w:rsid w:val="00FC7541"/>
    <w:rsid w:val="00FC78B9"/>
    <w:rsid w:val="00FD0DA5"/>
    <w:rsid w:val="00FD1398"/>
    <w:rsid w:val="00FD1653"/>
    <w:rsid w:val="00FD1C62"/>
    <w:rsid w:val="00FD25AB"/>
    <w:rsid w:val="00FD2E1C"/>
    <w:rsid w:val="00FD460C"/>
    <w:rsid w:val="00FD4CB2"/>
    <w:rsid w:val="00FD53D0"/>
    <w:rsid w:val="00FD5D27"/>
    <w:rsid w:val="00FD6643"/>
    <w:rsid w:val="00FD7841"/>
    <w:rsid w:val="00FD7FC7"/>
    <w:rsid w:val="00FE0891"/>
    <w:rsid w:val="00FE2431"/>
    <w:rsid w:val="00FE3B6E"/>
    <w:rsid w:val="00FE431E"/>
    <w:rsid w:val="00FE4BB9"/>
    <w:rsid w:val="00FE4C58"/>
    <w:rsid w:val="00FE4E44"/>
    <w:rsid w:val="00FE53D5"/>
    <w:rsid w:val="00FE5FB5"/>
    <w:rsid w:val="00FE6004"/>
    <w:rsid w:val="00FE628F"/>
    <w:rsid w:val="00FE6746"/>
    <w:rsid w:val="00FE685C"/>
    <w:rsid w:val="00FE6912"/>
    <w:rsid w:val="00FF00B5"/>
    <w:rsid w:val="00FF0CA0"/>
    <w:rsid w:val="00FF0E86"/>
    <w:rsid w:val="00FF1B1B"/>
    <w:rsid w:val="00FF2550"/>
    <w:rsid w:val="00FF3008"/>
    <w:rsid w:val="00FF3AA5"/>
    <w:rsid w:val="00FF3CFD"/>
    <w:rsid w:val="00FF3F2C"/>
    <w:rsid w:val="00FF430D"/>
    <w:rsid w:val="00FF464E"/>
    <w:rsid w:val="00FF610D"/>
    <w:rsid w:val="00FF67C4"/>
    <w:rsid w:val="00FF7550"/>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1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0" w:qFormat="1"/>
    <w:lsdException w:name="annotation reference" w:qFormat="1"/>
    <w:lsdException w:name="List Bullet" w:uiPriority="16" w:qFormat="1"/>
    <w:lsdException w:name="List Number" w:uiPriority="16" w:qFormat="1"/>
    <w:lsdException w:name="List Bullet 2" w:uiPriority="16" w:qFormat="1"/>
    <w:lsdException w:name="List Bullet 3" w:uiPriority="16" w:qFormat="1"/>
    <w:lsdException w:name="List Bullet 4" w:uiPriority="16" w:qFormat="1"/>
    <w:lsdException w:name="List Number 2" w:uiPriority="16" w:qFormat="1"/>
    <w:lsdException w:name="List Number 3" w:uiPriority="16" w:qFormat="1"/>
    <w:lsdException w:name="List Number 4" w:uiPriority="16"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BA"/>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aliases w:val=" Char,wcp_Footnote,Footnote_Bas Page,Footnote Text Char1,Footnote Text Char Char,Footnote Text Char2,Footnote Text Char Char1,Char"/>
    <w:basedOn w:val="Normal"/>
    <w:link w:val="FootnoteTextChar"/>
    <w:unhideWhenUsed/>
    <w:rsid w:val="00BA3306"/>
    <w:pPr>
      <w:spacing w:before="0" w:after="0"/>
    </w:pPr>
    <w:rPr>
      <w:sz w:val="18"/>
      <w:szCs w:val="20"/>
    </w:rPr>
  </w:style>
  <w:style w:type="character" w:customStyle="1" w:styleId="FootnoteTextChar">
    <w:name w:val="Footnote Text Char"/>
    <w:aliases w:val=" Char Char,wcp_Footnote Char,Footnote_Bas Page Char,Footnote Text Char1 Char,Footnote Text Char Char Char,Footnote Text Char2 Char,Footnote Text Char Char1 Char,Char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2"/>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8C025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8C025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1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TableGrid1">
    <w:name w:val="Table Grid1"/>
    <w:basedOn w:val="TableNormal"/>
    <w:next w:val="TableGrid"/>
    <w:uiPriority w:val="39"/>
    <w:rsid w:val="002A459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3DF8"/>
    <w:pPr>
      <w:spacing w:before="0" w:after="0"/>
    </w:pPr>
    <w:rPr>
      <w:sz w:val="20"/>
      <w:szCs w:val="20"/>
    </w:rPr>
  </w:style>
  <w:style w:type="character" w:customStyle="1" w:styleId="EndnoteTextChar">
    <w:name w:val="Endnote Text Char"/>
    <w:basedOn w:val="DefaultParagraphFont"/>
    <w:link w:val="EndnoteText"/>
    <w:uiPriority w:val="99"/>
    <w:semiHidden/>
    <w:rsid w:val="000D3DF8"/>
    <w:rPr>
      <w:sz w:val="20"/>
      <w:szCs w:val="20"/>
    </w:rPr>
  </w:style>
  <w:style w:type="character" w:styleId="EndnoteReference">
    <w:name w:val="endnote reference"/>
    <w:basedOn w:val="DefaultParagraphFont"/>
    <w:uiPriority w:val="99"/>
    <w:semiHidden/>
    <w:unhideWhenUsed/>
    <w:rsid w:val="000D3DF8"/>
    <w:rPr>
      <w:vertAlign w:val="superscript"/>
    </w:rPr>
  </w:style>
  <w:style w:type="table" w:customStyle="1" w:styleId="TableGrid2">
    <w:name w:val="Table Grid2"/>
    <w:basedOn w:val="TableNormal"/>
    <w:next w:val="TableGrid"/>
    <w:uiPriority w:val="39"/>
    <w:rsid w:val="00880E3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253D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046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2B7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basedOn w:val="Normal"/>
    <w:next w:val="Normal"/>
    <w:qFormat/>
    <w:rsid w:val="000E192D"/>
    <w:pPr>
      <w:spacing w:after="240" w:line="312" w:lineRule="auto"/>
      <w:jc w:val="both"/>
    </w:pPr>
    <w:rPr>
      <w:rFonts w:ascii="Verdana" w:eastAsia="Calibri" w:hAnsi="Verdana" w:cs="Times New Roman"/>
      <w:sz w:val="18"/>
    </w:rPr>
  </w:style>
  <w:style w:type="paragraph" w:customStyle="1" w:styleId="Tablebold">
    <w:name w:val="Table bold"/>
    <w:basedOn w:val="Tabletext0"/>
    <w:qFormat/>
    <w:rsid w:val="000E192D"/>
    <w:pPr>
      <w:keepNext/>
      <w:spacing w:before="60" w:after="60"/>
    </w:pPr>
    <w:rPr>
      <w:rFonts w:ascii="Verdana" w:eastAsia="Calibri" w:hAnsi="Verdana"/>
      <w:b/>
      <w:sz w:val="18"/>
      <w:szCs w:val="22"/>
    </w:rPr>
  </w:style>
  <w:style w:type="table" w:customStyle="1" w:styleId="TableGrid6">
    <w:name w:val="Table Grid6"/>
    <w:basedOn w:val="TableNormal"/>
    <w:next w:val="TableGrid"/>
    <w:uiPriority w:val="39"/>
    <w:rsid w:val="00E9266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0"/>
    <w:qFormat/>
    <w:rsid w:val="007A1247"/>
    <w:pPr>
      <w:keepNext/>
      <w:spacing w:before="60" w:after="60"/>
      <w:ind w:left="170"/>
    </w:pPr>
    <w:rPr>
      <w:rFonts w:ascii="Verdana" w:eastAsia="Calibri" w:hAnsi="Verdana"/>
      <w:sz w:val="18"/>
      <w:szCs w:val="22"/>
    </w:rPr>
  </w:style>
  <w:style w:type="table" w:customStyle="1" w:styleId="TableGrid7">
    <w:name w:val="Table Grid7"/>
    <w:basedOn w:val="TableNormal"/>
    <w:next w:val="TableGrid"/>
    <w:uiPriority w:val="39"/>
    <w:rsid w:val="006B373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5226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6520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13D0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A5F8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
    <w:name w:val="MSD Australia"/>
    <w:basedOn w:val="TableGrid"/>
    <w:uiPriority w:val="99"/>
    <w:rsid w:val="003C5E5A"/>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styleId="ListNumber">
    <w:name w:val="List Number"/>
    <w:basedOn w:val="Normal"/>
    <w:uiPriority w:val="16"/>
    <w:qFormat/>
    <w:rsid w:val="00D940F4"/>
    <w:pPr>
      <w:keepLines/>
      <w:tabs>
        <w:tab w:val="num" w:pos="357"/>
      </w:tabs>
      <w:spacing w:before="0" w:after="360" w:line="360" w:lineRule="auto"/>
      <w:ind w:left="357" w:hanging="357"/>
    </w:pPr>
    <w:rPr>
      <w:rFonts w:ascii="Arial" w:hAnsi="Arial"/>
      <w:sz w:val="20"/>
      <w:szCs w:val="20"/>
    </w:rPr>
  </w:style>
  <w:style w:type="paragraph" w:styleId="ListNumber2">
    <w:name w:val="List Number 2"/>
    <w:basedOn w:val="Normal"/>
    <w:uiPriority w:val="16"/>
    <w:qFormat/>
    <w:rsid w:val="00D940F4"/>
    <w:pPr>
      <w:keepLines/>
      <w:tabs>
        <w:tab w:val="num" w:pos="720"/>
      </w:tabs>
      <w:spacing w:before="0" w:after="360" w:line="360" w:lineRule="auto"/>
      <w:ind w:left="720" w:hanging="363"/>
    </w:pPr>
    <w:rPr>
      <w:rFonts w:ascii="Arial" w:hAnsi="Arial"/>
      <w:sz w:val="20"/>
      <w:szCs w:val="20"/>
    </w:rPr>
  </w:style>
  <w:style w:type="numbering" w:customStyle="1" w:styleId="Lists">
    <w:name w:val="Lists"/>
    <w:uiPriority w:val="99"/>
    <w:rsid w:val="00D940F4"/>
    <w:pPr>
      <w:numPr>
        <w:numId w:val="6"/>
      </w:numPr>
    </w:pPr>
  </w:style>
  <w:style w:type="paragraph" w:styleId="ListNumber3">
    <w:name w:val="List Number 3"/>
    <w:basedOn w:val="Normal"/>
    <w:uiPriority w:val="16"/>
    <w:qFormat/>
    <w:rsid w:val="00D940F4"/>
    <w:pPr>
      <w:keepLines/>
      <w:tabs>
        <w:tab w:val="num" w:pos="1077"/>
      </w:tabs>
      <w:spacing w:before="0" w:after="360" w:line="360" w:lineRule="auto"/>
      <w:ind w:left="1077" w:hanging="357"/>
    </w:pPr>
    <w:rPr>
      <w:rFonts w:ascii="Arial" w:hAnsi="Arial"/>
      <w:sz w:val="20"/>
      <w:szCs w:val="20"/>
    </w:rPr>
  </w:style>
  <w:style w:type="paragraph" w:styleId="ListNumber4">
    <w:name w:val="List Number 4"/>
    <w:basedOn w:val="Normal"/>
    <w:uiPriority w:val="16"/>
    <w:qFormat/>
    <w:rsid w:val="00D940F4"/>
    <w:pPr>
      <w:keepLines/>
      <w:tabs>
        <w:tab w:val="num" w:pos="1435"/>
      </w:tabs>
      <w:spacing w:before="0" w:after="360" w:line="360" w:lineRule="auto"/>
      <w:ind w:left="1435" w:hanging="358"/>
      <w:contextualSpacing/>
    </w:pPr>
    <w:rPr>
      <w:rFonts w:ascii="Arial" w:hAnsi="Arial"/>
      <w:sz w:val="20"/>
      <w:szCs w:val="20"/>
    </w:rPr>
  </w:style>
  <w:style w:type="paragraph" w:customStyle="1" w:styleId="Source">
    <w:name w:val="Source"/>
    <w:basedOn w:val="Normal"/>
    <w:uiPriority w:val="35"/>
    <w:qFormat/>
    <w:rsid w:val="00D940F4"/>
    <w:pPr>
      <w:keepLines/>
      <w:tabs>
        <w:tab w:val="left" w:pos="284"/>
      </w:tabs>
      <w:spacing w:before="60" w:after="360" w:line="360" w:lineRule="auto"/>
      <w:contextualSpacing/>
    </w:pPr>
    <w:rPr>
      <w:rFonts w:ascii="Arial" w:hAnsi="Arial"/>
      <w:sz w:val="18"/>
      <w:szCs w:val="20"/>
    </w:rPr>
  </w:style>
  <w:style w:type="table" w:customStyle="1" w:styleId="MSDAustralia1">
    <w:name w:val="MSD Australia1"/>
    <w:basedOn w:val="TableGrid"/>
    <w:uiPriority w:val="99"/>
    <w:rsid w:val="00967A03"/>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table" w:styleId="ColorfulList-Accent4">
    <w:name w:val="Colorful List Accent 4"/>
    <w:basedOn w:val="TableNormal"/>
    <w:uiPriority w:val="72"/>
    <w:rsid w:val="00F35E74"/>
    <w:pPr>
      <w:spacing w:after="0" w:line="240" w:lineRule="auto"/>
    </w:pPr>
    <w:rPr>
      <w:rFonts w:ascii="Arial" w:hAnsi="Arial"/>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numbering" w:customStyle="1" w:styleId="CustomHeadingList">
    <w:name w:val="Custom Heading List"/>
    <w:uiPriority w:val="99"/>
    <w:rsid w:val="00733B06"/>
    <w:pPr>
      <w:numPr>
        <w:numId w:val="7"/>
      </w:numPr>
    </w:pPr>
  </w:style>
  <w:style w:type="table" w:customStyle="1" w:styleId="TableGrid12">
    <w:name w:val="Table Grid12"/>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1"/>
    <w:rsid w:val="00484E31"/>
    <w:pPr>
      <w:numPr>
        <w:numId w:val="8"/>
      </w:numPr>
      <w:spacing w:before="0" w:after="0"/>
    </w:pPr>
    <w:rPr>
      <w:rFonts w:eastAsia="Batang"/>
      <w:lang w:val="en-US"/>
    </w:rPr>
  </w:style>
  <w:style w:type="paragraph" w:customStyle="1" w:styleId="Tablenotes1">
    <w:name w:val="Table notes"/>
    <w:basedOn w:val="Normal"/>
    <w:rsid w:val="00484E31"/>
    <w:pPr>
      <w:tabs>
        <w:tab w:val="left" w:pos="416"/>
        <w:tab w:val="left" w:pos="582"/>
      </w:tabs>
      <w:spacing w:before="0" w:after="0"/>
      <w:jc w:val="both"/>
    </w:pPr>
    <w:rPr>
      <w:rFonts w:ascii="Arial Narrow" w:eastAsia="TimesNewRoman" w:hAnsi="Arial Narrow" w:cs="Arial Narrow"/>
      <w:sz w:val="18"/>
      <w:szCs w:val="18"/>
    </w:rPr>
  </w:style>
  <w:style w:type="table" w:customStyle="1" w:styleId="TableGrid15">
    <w:name w:val="Table Grid15"/>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84E31"/>
    <w:pPr>
      <w:spacing w:before="0" w:after="0"/>
    </w:pPr>
    <w:rPr>
      <w:rFonts w:ascii="Helvetica" w:hAnsi="Helvetica" w:cs="Times New Roman"/>
      <w:sz w:val="14"/>
      <w:szCs w:val="14"/>
      <w:lang w:val="en-GB" w:eastAsia="en-GB"/>
    </w:rPr>
  </w:style>
  <w:style w:type="table" w:customStyle="1" w:styleId="TableGrid20">
    <w:name w:val="Table Grid20"/>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484E31"/>
    <w:rPr>
      <w:color w:val="808080"/>
      <w:shd w:val="clear" w:color="auto" w:fill="E6E6E6"/>
    </w:rPr>
  </w:style>
  <w:style w:type="table" w:customStyle="1" w:styleId="ExecSummTable">
    <w:name w:val="Exec Summ Table"/>
    <w:basedOn w:val="MSDAustralia"/>
    <w:uiPriority w:val="99"/>
    <w:rsid w:val="00FB5242"/>
    <w:rPr>
      <w:sz w:val="18"/>
      <w:lang w:eastAsia="en-AU" w:bidi="th-TH"/>
    </w:rP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ubHeading">
    <w:name w:val="Sub Heading"/>
    <w:basedOn w:val="Normal"/>
    <w:next w:val="Normal"/>
    <w:uiPriority w:val="9"/>
    <w:qFormat/>
    <w:rsid w:val="000F18B3"/>
    <w:pPr>
      <w:keepLines/>
      <w:spacing w:before="360" w:after="0" w:line="360" w:lineRule="auto"/>
      <w:ind w:left="432" w:hanging="432"/>
    </w:pPr>
    <w:rPr>
      <w:rFonts w:ascii="Arial" w:hAnsi="Arial"/>
      <w:b/>
      <w:sz w:val="20"/>
      <w:szCs w:val="20"/>
    </w:rPr>
  </w:style>
  <w:style w:type="character" w:customStyle="1" w:styleId="UnresolvedMention11">
    <w:name w:val="Unresolved Mention11"/>
    <w:basedOn w:val="DefaultParagraphFont"/>
    <w:uiPriority w:val="99"/>
    <w:rsid w:val="00ED772A"/>
    <w:rPr>
      <w:color w:val="808080"/>
      <w:shd w:val="clear" w:color="auto" w:fill="E6E6E6"/>
    </w:rPr>
  </w:style>
  <w:style w:type="table" w:customStyle="1" w:styleId="TableGrid21">
    <w:name w:val="Table Grid21"/>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1">
    <w:name w:val="Exec Summ Table1"/>
    <w:basedOn w:val="MSDAustralia"/>
    <w:uiPriority w:val="99"/>
    <w:rsid w:val="00ED772A"/>
    <w:rPr>
      <w:sz w:val="18"/>
      <w:lang w:eastAsia="en-AU" w:bidi="th-TH"/>
    </w:rP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styleId="DocumentMap">
    <w:name w:val="Document Map"/>
    <w:basedOn w:val="Normal"/>
    <w:link w:val="DocumentMapChar"/>
    <w:uiPriority w:val="99"/>
    <w:semiHidden/>
    <w:unhideWhenUsed/>
    <w:rsid w:val="007B2AC0"/>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7B2AC0"/>
    <w:rPr>
      <w:rFonts w:ascii="Times New Roman" w:hAnsi="Times New Roman" w:cs="Times New Roman"/>
      <w:sz w:val="24"/>
      <w:szCs w:val="24"/>
    </w:rPr>
  </w:style>
  <w:style w:type="paragraph" w:styleId="ListBullet">
    <w:name w:val="List Bullet"/>
    <w:basedOn w:val="Normal"/>
    <w:uiPriority w:val="16"/>
    <w:qFormat/>
    <w:rsid w:val="00D1300E"/>
    <w:pPr>
      <w:keepLines/>
      <w:numPr>
        <w:numId w:val="9"/>
      </w:numPr>
      <w:spacing w:before="0" w:after="360" w:line="360" w:lineRule="auto"/>
    </w:pPr>
    <w:rPr>
      <w:rFonts w:ascii="Arial" w:hAnsi="Arial"/>
      <w:sz w:val="20"/>
      <w:szCs w:val="20"/>
    </w:rPr>
  </w:style>
  <w:style w:type="paragraph" w:styleId="ListBullet2">
    <w:name w:val="List Bullet 2"/>
    <w:basedOn w:val="ListBullet"/>
    <w:uiPriority w:val="16"/>
    <w:qFormat/>
    <w:rsid w:val="00D1300E"/>
    <w:pPr>
      <w:numPr>
        <w:ilvl w:val="1"/>
      </w:numPr>
    </w:pPr>
  </w:style>
  <w:style w:type="paragraph" w:styleId="ListBullet3">
    <w:name w:val="List Bullet 3"/>
    <w:basedOn w:val="Normal"/>
    <w:uiPriority w:val="16"/>
    <w:qFormat/>
    <w:rsid w:val="00D1300E"/>
    <w:pPr>
      <w:keepLines/>
      <w:numPr>
        <w:ilvl w:val="2"/>
        <w:numId w:val="9"/>
      </w:numPr>
      <w:spacing w:before="0" w:after="360" w:line="360" w:lineRule="auto"/>
      <w:contextualSpacing/>
    </w:pPr>
    <w:rPr>
      <w:rFonts w:ascii="Arial" w:hAnsi="Arial"/>
      <w:sz w:val="20"/>
      <w:szCs w:val="20"/>
    </w:rPr>
  </w:style>
  <w:style w:type="paragraph" w:styleId="ListBullet4">
    <w:name w:val="List Bullet 4"/>
    <w:basedOn w:val="Normal"/>
    <w:uiPriority w:val="16"/>
    <w:qFormat/>
    <w:rsid w:val="00D1300E"/>
    <w:pPr>
      <w:keepLines/>
      <w:numPr>
        <w:ilvl w:val="3"/>
        <w:numId w:val="9"/>
      </w:numPr>
      <w:spacing w:before="0" w:after="360" w:line="360" w:lineRule="auto"/>
      <w:contextualSpacing/>
    </w:pPr>
    <w:rPr>
      <w:rFonts w:ascii="Arial" w:hAnsi="Arial"/>
      <w:sz w:val="20"/>
      <w:szCs w:val="20"/>
    </w:rPr>
  </w:style>
  <w:style w:type="character" w:customStyle="1" w:styleId="tgc">
    <w:name w:val="_tgc"/>
    <w:basedOn w:val="DefaultParagraphFont"/>
    <w:rsid w:val="00A06525"/>
  </w:style>
  <w:style w:type="paragraph" w:customStyle="1" w:styleId="Default">
    <w:name w:val="Default"/>
    <w:rsid w:val="0070442C"/>
    <w:pPr>
      <w:autoSpaceDE w:val="0"/>
      <w:autoSpaceDN w:val="0"/>
      <w:adjustRightInd w:val="0"/>
      <w:spacing w:after="0" w:line="240" w:lineRule="auto"/>
    </w:pPr>
    <w:rPr>
      <w:rFonts w:ascii="Cambria" w:hAnsi="Cambria" w:cs="Cambria"/>
      <w:color w:val="000000"/>
      <w:sz w:val="24"/>
      <w:szCs w:val="24"/>
    </w:rPr>
  </w:style>
  <w:style w:type="table" w:customStyle="1" w:styleId="MSDAustralia2">
    <w:name w:val="MSD Australia2"/>
    <w:basedOn w:val="TableGrid"/>
    <w:uiPriority w:val="99"/>
    <w:rsid w:val="00F92788"/>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0" w:qFormat="1"/>
    <w:lsdException w:name="annotation reference" w:qFormat="1"/>
    <w:lsdException w:name="List Bullet" w:uiPriority="16" w:qFormat="1"/>
    <w:lsdException w:name="List Number" w:uiPriority="16" w:qFormat="1"/>
    <w:lsdException w:name="List Bullet 2" w:uiPriority="16" w:qFormat="1"/>
    <w:lsdException w:name="List Bullet 3" w:uiPriority="16" w:qFormat="1"/>
    <w:lsdException w:name="List Bullet 4" w:uiPriority="16" w:qFormat="1"/>
    <w:lsdException w:name="List Number 2" w:uiPriority="16" w:qFormat="1"/>
    <w:lsdException w:name="List Number 3" w:uiPriority="16" w:qFormat="1"/>
    <w:lsdException w:name="List Number 4" w:uiPriority="16"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BA"/>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aliases w:val=" Char,wcp_Footnote,Footnote_Bas Page,Footnote Text Char1,Footnote Text Char Char,Footnote Text Char2,Footnote Text Char Char1,Char"/>
    <w:basedOn w:val="Normal"/>
    <w:link w:val="FootnoteTextChar"/>
    <w:unhideWhenUsed/>
    <w:rsid w:val="00BA3306"/>
    <w:pPr>
      <w:spacing w:before="0" w:after="0"/>
    </w:pPr>
    <w:rPr>
      <w:sz w:val="18"/>
      <w:szCs w:val="20"/>
    </w:rPr>
  </w:style>
  <w:style w:type="character" w:customStyle="1" w:styleId="FootnoteTextChar">
    <w:name w:val="Footnote Text Char"/>
    <w:aliases w:val=" Char Char,wcp_Footnote Char,Footnote_Bas Page Char,Footnote Text Char1 Char,Footnote Text Char Char Char,Footnote Text Char2 Char,Footnote Text Char Char1 Char,Char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2"/>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8C025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8C025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1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TableGrid1">
    <w:name w:val="Table Grid1"/>
    <w:basedOn w:val="TableNormal"/>
    <w:next w:val="TableGrid"/>
    <w:uiPriority w:val="39"/>
    <w:rsid w:val="002A459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3DF8"/>
    <w:pPr>
      <w:spacing w:before="0" w:after="0"/>
    </w:pPr>
    <w:rPr>
      <w:sz w:val="20"/>
      <w:szCs w:val="20"/>
    </w:rPr>
  </w:style>
  <w:style w:type="character" w:customStyle="1" w:styleId="EndnoteTextChar">
    <w:name w:val="Endnote Text Char"/>
    <w:basedOn w:val="DefaultParagraphFont"/>
    <w:link w:val="EndnoteText"/>
    <w:uiPriority w:val="99"/>
    <w:semiHidden/>
    <w:rsid w:val="000D3DF8"/>
    <w:rPr>
      <w:sz w:val="20"/>
      <w:szCs w:val="20"/>
    </w:rPr>
  </w:style>
  <w:style w:type="character" w:styleId="EndnoteReference">
    <w:name w:val="endnote reference"/>
    <w:basedOn w:val="DefaultParagraphFont"/>
    <w:uiPriority w:val="99"/>
    <w:semiHidden/>
    <w:unhideWhenUsed/>
    <w:rsid w:val="000D3DF8"/>
    <w:rPr>
      <w:vertAlign w:val="superscript"/>
    </w:rPr>
  </w:style>
  <w:style w:type="table" w:customStyle="1" w:styleId="TableGrid2">
    <w:name w:val="Table Grid2"/>
    <w:basedOn w:val="TableNormal"/>
    <w:next w:val="TableGrid"/>
    <w:uiPriority w:val="39"/>
    <w:rsid w:val="00880E3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253D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046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2B7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basedOn w:val="Normal"/>
    <w:next w:val="Normal"/>
    <w:qFormat/>
    <w:rsid w:val="000E192D"/>
    <w:pPr>
      <w:spacing w:after="240" w:line="312" w:lineRule="auto"/>
      <w:jc w:val="both"/>
    </w:pPr>
    <w:rPr>
      <w:rFonts w:ascii="Verdana" w:eastAsia="Calibri" w:hAnsi="Verdana" w:cs="Times New Roman"/>
      <w:sz w:val="18"/>
    </w:rPr>
  </w:style>
  <w:style w:type="paragraph" w:customStyle="1" w:styleId="Tablebold">
    <w:name w:val="Table bold"/>
    <w:basedOn w:val="Tabletext0"/>
    <w:qFormat/>
    <w:rsid w:val="000E192D"/>
    <w:pPr>
      <w:keepNext/>
      <w:spacing w:before="60" w:after="60"/>
    </w:pPr>
    <w:rPr>
      <w:rFonts w:ascii="Verdana" w:eastAsia="Calibri" w:hAnsi="Verdana"/>
      <w:b/>
      <w:sz w:val="18"/>
      <w:szCs w:val="22"/>
    </w:rPr>
  </w:style>
  <w:style w:type="table" w:customStyle="1" w:styleId="TableGrid6">
    <w:name w:val="Table Grid6"/>
    <w:basedOn w:val="TableNormal"/>
    <w:next w:val="TableGrid"/>
    <w:uiPriority w:val="39"/>
    <w:rsid w:val="00E9266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0"/>
    <w:qFormat/>
    <w:rsid w:val="007A1247"/>
    <w:pPr>
      <w:keepNext/>
      <w:spacing w:before="60" w:after="60"/>
      <w:ind w:left="170"/>
    </w:pPr>
    <w:rPr>
      <w:rFonts w:ascii="Verdana" w:eastAsia="Calibri" w:hAnsi="Verdana"/>
      <w:sz w:val="18"/>
      <w:szCs w:val="22"/>
    </w:rPr>
  </w:style>
  <w:style w:type="table" w:customStyle="1" w:styleId="TableGrid7">
    <w:name w:val="Table Grid7"/>
    <w:basedOn w:val="TableNormal"/>
    <w:next w:val="TableGrid"/>
    <w:uiPriority w:val="39"/>
    <w:rsid w:val="006B373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5226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6520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13D0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A5F8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
    <w:name w:val="MSD Australia"/>
    <w:basedOn w:val="TableGrid"/>
    <w:uiPriority w:val="99"/>
    <w:rsid w:val="003C5E5A"/>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styleId="ListNumber">
    <w:name w:val="List Number"/>
    <w:basedOn w:val="Normal"/>
    <w:uiPriority w:val="16"/>
    <w:qFormat/>
    <w:rsid w:val="00D940F4"/>
    <w:pPr>
      <w:keepLines/>
      <w:tabs>
        <w:tab w:val="num" w:pos="357"/>
      </w:tabs>
      <w:spacing w:before="0" w:after="360" w:line="360" w:lineRule="auto"/>
      <w:ind w:left="357" w:hanging="357"/>
    </w:pPr>
    <w:rPr>
      <w:rFonts w:ascii="Arial" w:hAnsi="Arial"/>
      <w:sz w:val="20"/>
      <w:szCs w:val="20"/>
    </w:rPr>
  </w:style>
  <w:style w:type="paragraph" w:styleId="ListNumber2">
    <w:name w:val="List Number 2"/>
    <w:basedOn w:val="Normal"/>
    <w:uiPriority w:val="16"/>
    <w:qFormat/>
    <w:rsid w:val="00D940F4"/>
    <w:pPr>
      <w:keepLines/>
      <w:tabs>
        <w:tab w:val="num" w:pos="720"/>
      </w:tabs>
      <w:spacing w:before="0" w:after="360" w:line="360" w:lineRule="auto"/>
      <w:ind w:left="720" w:hanging="363"/>
    </w:pPr>
    <w:rPr>
      <w:rFonts w:ascii="Arial" w:hAnsi="Arial"/>
      <w:sz w:val="20"/>
      <w:szCs w:val="20"/>
    </w:rPr>
  </w:style>
  <w:style w:type="numbering" w:customStyle="1" w:styleId="Lists">
    <w:name w:val="Lists"/>
    <w:uiPriority w:val="99"/>
    <w:rsid w:val="00D940F4"/>
    <w:pPr>
      <w:numPr>
        <w:numId w:val="6"/>
      </w:numPr>
    </w:pPr>
  </w:style>
  <w:style w:type="paragraph" w:styleId="ListNumber3">
    <w:name w:val="List Number 3"/>
    <w:basedOn w:val="Normal"/>
    <w:uiPriority w:val="16"/>
    <w:qFormat/>
    <w:rsid w:val="00D940F4"/>
    <w:pPr>
      <w:keepLines/>
      <w:tabs>
        <w:tab w:val="num" w:pos="1077"/>
      </w:tabs>
      <w:spacing w:before="0" w:after="360" w:line="360" w:lineRule="auto"/>
      <w:ind w:left="1077" w:hanging="357"/>
    </w:pPr>
    <w:rPr>
      <w:rFonts w:ascii="Arial" w:hAnsi="Arial"/>
      <w:sz w:val="20"/>
      <w:szCs w:val="20"/>
    </w:rPr>
  </w:style>
  <w:style w:type="paragraph" w:styleId="ListNumber4">
    <w:name w:val="List Number 4"/>
    <w:basedOn w:val="Normal"/>
    <w:uiPriority w:val="16"/>
    <w:qFormat/>
    <w:rsid w:val="00D940F4"/>
    <w:pPr>
      <w:keepLines/>
      <w:tabs>
        <w:tab w:val="num" w:pos="1435"/>
      </w:tabs>
      <w:spacing w:before="0" w:after="360" w:line="360" w:lineRule="auto"/>
      <w:ind w:left="1435" w:hanging="358"/>
      <w:contextualSpacing/>
    </w:pPr>
    <w:rPr>
      <w:rFonts w:ascii="Arial" w:hAnsi="Arial"/>
      <w:sz w:val="20"/>
      <w:szCs w:val="20"/>
    </w:rPr>
  </w:style>
  <w:style w:type="paragraph" w:customStyle="1" w:styleId="Source">
    <w:name w:val="Source"/>
    <w:basedOn w:val="Normal"/>
    <w:uiPriority w:val="35"/>
    <w:qFormat/>
    <w:rsid w:val="00D940F4"/>
    <w:pPr>
      <w:keepLines/>
      <w:tabs>
        <w:tab w:val="left" w:pos="284"/>
      </w:tabs>
      <w:spacing w:before="60" w:after="360" w:line="360" w:lineRule="auto"/>
      <w:contextualSpacing/>
    </w:pPr>
    <w:rPr>
      <w:rFonts w:ascii="Arial" w:hAnsi="Arial"/>
      <w:sz w:val="18"/>
      <w:szCs w:val="20"/>
    </w:rPr>
  </w:style>
  <w:style w:type="table" w:customStyle="1" w:styleId="MSDAustralia1">
    <w:name w:val="MSD Australia1"/>
    <w:basedOn w:val="TableGrid"/>
    <w:uiPriority w:val="99"/>
    <w:rsid w:val="00967A03"/>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table" w:styleId="ColorfulList-Accent4">
    <w:name w:val="Colorful List Accent 4"/>
    <w:basedOn w:val="TableNormal"/>
    <w:uiPriority w:val="72"/>
    <w:rsid w:val="00F35E74"/>
    <w:pPr>
      <w:spacing w:after="0" w:line="240" w:lineRule="auto"/>
    </w:pPr>
    <w:rPr>
      <w:rFonts w:ascii="Arial" w:hAnsi="Arial"/>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numbering" w:customStyle="1" w:styleId="CustomHeadingList">
    <w:name w:val="Custom Heading List"/>
    <w:uiPriority w:val="99"/>
    <w:rsid w:val="00733B06"/>
    <w:pPr>
      <w:numPr>
        <w:numId w:val="7"/>
      </w:numPr>
    </w:pPr>
  </w:style>
  <w:style w:type="table" w:customStyle="1" w:styleId="TableGrid12">
    <w:name w:val="Table Grid12"/>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1"/>
    <w:rsid w:val="00484E31"/>
    <w:pPr>
      <w:numPr>
        <w:numId w:val="8"/>
      </w:numPr>
      <w:spacing w:before="0" w:after="0"/>
    </w:pPr>
    <w:rPr>
      <w:rFonts w:eastAsia="Batang"/>
      <w:lang w:val="en-US"/>
    </w:rPr>
  </w:style>
  <w:style w:type="paragraph" w:customStyle="1" w:styleId="Tablenotes1">
    <w:name w:val="Table notes"/>
    <w:basedOn w:val="Normal"/>
    <w:rsid w:val="00484E31"/>
    <w:pPr>
      <w:tabs>
        <w:tab w:val="left" w:pos="416"/>
        <w:tab w:val="left" w:pos="582"/>
      </w:tabs>
      <w:spacing w:before="0" w:after="0"/>
      <w:jc w:val="both"/>
    </w:pPr>
    <w:rPr>
      <w:rFonts w:ascii="Arial Narrow" w:eastAsia="TimesNewRoman" w:hAnsi="Arial Narrow" w:cs="Arial Narrow"/>
      <w:sz w:val="18"/>
      <w:szCs w:val="18"/>
    </w:rPr>
  </w:style>
  <w:style w:type="table" w:customStyle="1" w:styleId="TableGrid15">
    <w:name w:val="Table Grid15"/>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84E31"/>
    <w:pPr>
      <w:spacing w:before="0" w:after="0"/>
    </w:pPr>
    <w:rPr>
      <w:rFonts w:ascii="Helvetica" w:hAnsi="Helvetica" w:cs="Times New Roman"/>
      <w:sz w:val="14"/>
      <w:szCs w:val="14"/>
      <w:lang w:val="en-GB" w:eastAsia="en-GB"/>
    </w:rPr>
  </w:style>
  <w:style w:type="table" w:customStyle="1" w:styleId="TableGrid20">
    <w:name w:val="Table Grid20"/>
    <w:basedOn w:val="TableNormal"/>
    <w:next w:val="TableGrid"/>
    <w:uiPriority w:val="39"/>
    <w:rsid w:val="00484E3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484E31"/>
    <w:rPr>
      <w:color w:val="808080"/>
      <w:shd w:val="clear" w:color="auto" w:fill="E6E6E6"/>
    </w:rPr>
  </w:style>
  <w:style w:type="table" w:customStyle="1" w:styleId="ExecSummTable">
    <w:name w:val="Exec Summ Table"/>
    <w:basedOn w:val="MSDAustralia"/>
    <w:uiPriority w:val="99"/>
    <w:rsid w:val="00FB5242"/>
    <w:rPr>
      <w:sz w:val="18"/>
      <w:lang w:eastAsia="en-AU" w:bidi="th-TH"/>
    </w:rP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ubHeading">
    <w:name w:val="Sub Heading"/>
    <w:basedOn w:val="Normal"/>
    <w:next w:val="Normal"/>
    <w:uiPriority w:val="9"/>
    <w:qFormat/>
    <w:rsid w:val="000F18B3"/>
    <w:pPr>
      <w:keepLines/>
      <w:spacing w:before="360" w:after="0" w:line="360" w:lineRule="auto"/>
      <w:ind w:left="432" w:hanging="432"/>
    </w:pPr>
    <w:rPr>
      <w:rFonts w:ascii="Arial" w:hAnsi="Arial"/>
      <w:b/>
      <w:sz w:val="20"/>
      <w:szCs w:val="20"/>
    </w:rPr>
  </w:style>
  <w:style w:type="character" w:customStyle="1" w:styleId="UnresolvedMention11">
    <w:name w:val="Unresolved Mention11"/>
    <w:basedOn w:val="DefaultParagraphFont"/>
    <w:uiPriority w:val="99"/>
    <w:rsid w:val="00ED772A"/>
    <w:rPr>
      <w:color w:val="808080"/>
      <w:shd w:val="clear" w:color="auto" w:fill="E6E6E6"/>
    </w:rPr>
  </w:style>
  <w:style w:type="table" w:customStyle="1" w:styleId="TableGrid21">
    <w:name w:val="Table Grid21"/>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D77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1">
    <w:name w:val="Exec Summ Table1"/>
    <w:basedOn w:val="MSDAustralia"/>
    <w:uiPriority w:val="99"/>
    <w:rsid w:val="00ED772A"/>
    <w:rPr>
      <w:sz w:val="18"/>
      <w:lang w:eastAsia="en-AU" w:bidi="th-TH"/>
    </w:rP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styleId="DocumentMap">
    <w:name w:val="Document Map"/>
    <w:basedOn w:val="Normal"/>
    <w:link w:val="DocumentMapChar"/>
    <w:uiPriority w:val="99"/>
    <w:semiHidden/>
    <w:unhideWhenUsed/>
    <w:rsid w:val="007B2AC0"/>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7B2AC0"/>
    <w:rPr>
      <w:rFonts w:ascii="Times New Roman" w:hAnsi="Times New Roman" w:cs="Times New Roman"/>
      <w:sz w:val="24"/>
      <w:szCs w:val="24"/>
    </w:rPr>
  </w:style>
  <w:style w:type="paragraph" w:styleId="ListBullet">
    <w:name w:val="List Bullet"/>
    <w:basedOn w:val="Normal"/>
    <w:uiPriority w:val="16"/>
    <w:qFormat/>
    <w:rsid w:val="00D1300E"/>
    <w:pPr>
      <w:keepLines/>
      <w:numPr>
        <w:numId w:val="9"/>
      </w:numPr>
      <w:spacing w:before="0" w:after="360" w:line="360" w:lineRule="auto"/>
    </w:pPr>
    <w:rPr>
      <w:rFonts w:ascii="Arial" w:hAnsi="Arial"/>
      <w:sz w:val="20"/>
      <w:szCs w:val="20"/>
    </w:rPr>
  </w:style>
  <w:style w:type="paragraph" w:styleId="ListBullet2">
    <w:name w:val="List Bullet 2"/>
    <w:basedOn w:val="ListBullet"/>
    <w:uiPriority w:val="16"/>
    <w:qFormat/>
    <w:rsid w:val="00D1300E"/>
    <w:pPr>
      <w:numPr>
        <w:ilvl w:val="1"/>
      </w:numPr>
    </w:pPr>
  </w:style>
  <w:style w:type="paragraph" w:styleId="ListBullet3">
    <w:name w:val="List Bullet 3"/>
    <w:basedOn w:val="Normal"/>
    <w:uiPriority w:val="16"/>
    <w:qFormat/>
    <w:rsid w:val="00D1300E"/>
    <w:pPr>
      <w:keepLines/>
      <w:numPr>
        <w:ilvl w:val="2"/>
        <w:numId w:val="9"/>
      </w:numPr>
      <w:spacing w:before="0" w:after="360" w:line="360" w:lineRule="auto"/>
      <w:contextualSpacing/>
    </w:pPr>
    <w:rPr>
      <w:rFonts w:ascii="Arial" w:hAnsi="Arial"/>
      <w:sz w:val="20"/>
      <w:szCs w:val="20"/>
    </w:rPr>
  </w:style>
  <w:style w:type="paragraph" w:styleId="ListBullet4">
    <w:name w:val="List Bullet 4"/>
    <w:basedOn w:val="Normal"/>
    <w:uiPriority w:val="16"/>
    <w:qFormat/>
    <w:rsid w:val="00D1300E"/>
    <w:pPr>
      <w:keepLines/>
      <w:numPr>
        <w:ilvl w:val="3"/>
        <w:numId w:val="9"/>
      </w:numPr>
      <w:spacing w:before="0" w:after="360" w:line="360" w:lineRule="auto"/>
      <w:contextualSpacing/>
    </w:pPr>
    <w:rPr>
      <w:rFonts w:ascii="Arial" w:hAnsi="Arial"/>
      <w:sz w:val="20"/>
      <w:szCs w:val="20"/>
    </w:rPr>
  </w:style>
  <w:style w:type="character" w:customStyle="1" w:styleId="tgc">
    <w:name w:val="_tgc"/>
    <w:basedOn w:val="DefaultParagraphFont"/>
    <w:rsid w:val="00A06525"/>
  </w:style>
  <w:style w:type="paragraph" w:customStyle="1" w:styleId="Default">
    <w:name w:val="Default"/>
    <w:rsid w:val="0070442C"/>
    <w:pPr>
      <w:autoSpaceDE w:val="0"/>
      <w:autoSpaceDN w:val="0"/>
      <w:adjustRightInd w:val="0"/>
      <w:spacing w:after="0" w:line="240" w:lineRule="auto"/>
    </w:pPr>
    <w:rPr>
      <w:rFonts w:ascii="Cambria" w:hAnsi="Cambria" w:cs="Cambria"/>
      <w:color w:val="000000"/>
      <w:sz w:val="24"/>
      <w:szCs w:val="24"/>
    </w:rPr>
  </w:style>
  <w:style w:type="table" w:customStyle="1" w:styleId="MSDAustralia2">
    <w:name w:val="MSD Australia2"/>
    <w:basedOn w:val="TableGrid"/>
    <w:uiPriority w:val="99"/>
    <w:rsid w:val="00F92788"/>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675">
      <w:bodyDiv w:val="1"/>
      <w:marLeft w:val="0"/>
      <w:marRight w:val="0"/>
      <w:marTop w:val="0"/>
      <w:marBottom w:val="0"/>
      <w:divBdr>
        <w:top w:val="none" w:sz="0" w:space="0" w:color="auto"/>
        <w:left w:val="none" w:sz="0" w:space="0" w:color="auto"/>
        <w:bottom w:val="none" w:sz="0" w:space="0" w:color="auto"/>
        <w:right w:val="none" w:sz="0" w:space="0" w:color="auto"/>
      </w:divBdr>
    </w:div>
    <w:div w:id="15886447">
      <w:bodyDiv w:val="1"/>
      <w:marLeft w:val="0"/>
      <w:marRight w:val="0"/>
      <w:marTop w:val="0"/>
      <w:marBottom w:val="0"/>
      <w:divBdr>
        <w:top w:val="none" w:sz="0" w:space="0" w:color="auto"/>
        <w:left w:val="none" w:sz="0" w:space="0" w:color="auto"/>
        <w:bottom w:val="none" w:sz="0" w:space="0" w:color="auto"/>
        <w:right w:val="none" w:sz="0" w:space="0" w:color="auto"/>
      </w:divBdr>
    </w:div>
    <w:div w:id="16276440">
      <w:bodyDiv w:val="1"/>
      <w:marLeft w:val="0"/>
      <w:marRight w:val="0"/>
      <w:marTop w:val="0"/>
      <w:marBottom w:val="0"/>
      <w:divBdr>
        <w:top w:val="none" w:sz="0" w:space="0" w:color="auto"/>
        <w:left w:val="none" w:sz="0" w:space="0" w:color="auto"/>
        <w:bottom w:val="none" w:sz="0" w:space="0" w:color="auto"/>
        <w:right w:val="none" w:sz="0" w:space="0" w:color="auto"/>
      </w:divBdr>
    </w:div>
    <w:div w:id="26026646">
      <w:bodyDiv w:val="1"/>
      <w:marLeft w:val="0"/>
      <w:marRight w:val="0"/>
      <w:marTop w:val="0"/>
      <w:marBottom w:val="0"/>
      <w:divBdr>
        <w:top w:val="none" w:sz="0" w:space="0" w:color="auto"/>
        <w:left w:val="none" w:sz="0" w:space="0" w:color="auto"/>
        <w:bottom w:val="none" w:sz="0" w:space="0" w:color="auto"/>
        <w:right w:val="none" w:sz="0" w:space="0" w:color="auto"/>
      </w:divBdr>
      <w:divsChild>
        <w:div w:id="181862710">
          <w:marLeft w:val="0"/>
          <w:marRight w:val="0"/>
          <w:marTop w:val="0"/>
          <w:marBottom w:val="0"/>
          <w:divBdr>
            <w:top w:val="none" w:sz="0" w:space="0" w:color="auto"/>
            <w:left w:val="none" w:sz="0" w:space="0" w:color="auto"/>
            <w:bottom w:val="none" w:sz="0" w:space="0" w:color="auto"/>
            <w:right w:val="none" w:sz="0" w:space="0" w:color="auto"/>
          </w:divBdr>
        </w:div>
        <w:div w:id="237402559">
          <w:marLeft w:val="0"/>
          <w:marRight w:val="0"/>
          <w:marTop w:val="0"/>
          <w:marBottom w:val="0"/>
          <w:divBdr>
            <w:top w:val="none" w:sz="0" w:space="0" w:color="auto"/>
            <w:left w:val="none" w:sz="0" w:space="0" w:color="auto"/>
            <w:bottom w:val="none" w:sz="0" w:space="0" w:color="auto"/>
            <w:right w:val="none" w:sz="0" w:space="0" w:color="auto"/>
          </w:divBdr>
        </w:div>
        <w:div w:id="315185011">
          <w:marLeft w:val="0"/>
          <w:marRight w:val="0"/>
          <w:marTop w:val="0"/>
          <w:marBottom w:val="0"/>
          <w:divBdr>
            <w:top w:val="none" w:sz="0" w:space="0" w:color="auto"/>
            <w:left w:val="none" w:sz="0" w:space="0" w:color="auto"/>
            <w:bottom w:val="none" w:sz="0" w:space="0" w:color="auto"/>
            <w:right w:val="none" w:sz="0" w:space="0" w:color="auto"/>
          </w:divBdr>
        </w:div>
        <w:div w:id="323826946">
          <w:marLeft w:val="0"/>
          <w:marRight w:val="0"/>
          <w:marTop w:val="0"/>
          <w:marBottom w:val="0"/>
          <w:divBdr>
            <w:top w:val="none" w:sz="0" w:space="0" w:color="auto"/>
            <w:left w:val="none" w:sz="0" w:space="0" w:color="auto"/>
            <w:bottom w:val="none" w:sz="0" w:space="0" w:color="auto"/>
            <w:right w:val="none" w:sz="0" w:space="0" w:color="auto"/>
          </w:divBdr>
        </w:div>
        <w:div w:id="604927358">
          <w:marLeft w:val="0"/>
          <w:marRight w:val="0"/>
          <w:marTop w:val="0"/>
          <w:marBottom w:val="0"/>
          <w:divBdr>
            <w:top w:val="none" w:sz="0" w:space="0" w:color="auto"/>
            <w:left w:val="none" w:sz="0" w:space="0" w:color="auto"/>
            <w:bottom w:val="none" w:sz="0" w:space="0" w:color="auto"/>
            <w:right w:val="none" w:sz="0" w:space="0" w:color="auto"/>
          </w:divBdr>
        </w:div>
        <w:div w:id="1048064092">
          <w:marLeft w:val="0"/>
          <w:marRight w:val="0"/>
          <w:marTop w:val="0"/>
          <w:marBottom w:val="0"/>
          <w:divBdr>
            <w:top w:val="none" w:sz="0" w:space="0" w:color="auto"/>
            <w:left w:val="none" w:sz="0" w:space="0" w:color="auto"/>
            <w:bottom w:val="none" w:sz="0" w:space="0" w:color="auto"/>
            <w:right w:val="none" w:sz="0" w:space="0" w:color="auto"/>
          </w:divBdr>
        </w:div>
        <w:div w:id="1102650895">
          <w:marLeft w:val="0"/>
          <w:marRight w:val="0"/>
          <w:marTop w:val="0"/>
          <w:marBottom w:val="0"/>
          <w:divBdr>
            <w:top w:val="none" w:sz="0" w:space="0" w:color="auto"/>
            <w:left w:val="none" w:sz="0" w:space="0" w:color="auto"/>
            <w:bottom w:val="none" w:sz="0" w:space="0" w:color="auto"/>
            <w:right w:val="none" w:sz="0" w:space="0" w:color="auto"/>
          </w:divBdr>
        </w:div>
        <w:div w:id="1132752594">
          <w:marLeft w:val="0"/>
          <w:marRight w:val="0"/>
          <w:marTop w:val="0"/>
          <w:marBottom w:val="0"/>
          <w:divBdr>
            <w:top w:val="none" w:sz="0" w:space="0" w:color="auto"/>
            <w:left w:val="none" w:sz="0" w:space="0" w:color="auto"/>
            <w:bottom w:val="none" w:sz="0" w:space="0" w:color="auto"/>
            <w:right w:val="none" w:sz="0" w:space="0" w:color="auto"/>
          </w:divBdr>
        </w:div>
        <w:div w:id="1493374311">
          <w:marLeft w:val="0"/>
          <w:marRight w:val="0"/>
          <w:marTop w:val="0"/>
          <w:marBottom w:val="0"/>
          <w:divBdr>
            <w:top w:val="none" w:sz="0" w:space="0" w:color="auto"/>
            <w:left w:val="none" w:sz="0" w:space="0" w:color="auto"/>
            <w:bottom w:val="none" w:sz="0" w:space="0" w:color="auto"/>
            <w:right w:val="none" w:sz="0" w:space="0" w:color="auto"/>
          </w:divBdr>
        </w:div>
        <w:div w:id="1783723288">
          <w:marLeft w:val="0"/>
          <w:marRight w:val="0"/>
          <w:marTop w:val="0"/>
          <w:marBottom w:val="0"/>
          <w:divBdr>
            <w:top w:val="none" w:sz="0" w:space="0" w:color="auto"/>
            <w:left w:val="none" w:sz="0" w:space="0" w:color="auto"/>
            <w:bottom w:val="none" w:sz="0" w:space="0" w:color="auto"/>
            <w:right w:val="none" w:sz="0" w:space="0" w:color="auto"/>
          </w:divBdr>
        </w:div>
      </w:divsChild>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98720773">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6651657">
      <w:bodyDiv w:val="1"/>
      <w:marLeft w:val="0"/>
      <w:marRight w:val="0"/>
      <w:marTop w:val="0"/>
      <w:marBottom w:val="0"/>
      <w:divBdr>
        <w:top w:val="none" w:sz="0" w:space="0" w:color="auto"/>
        <w:left w:val="none" w:sz="0" w:space="0" w:color="auto"/>
        <w:bottom w:val="none" w:sz="0" w:space="0" w:color="auto"/>
        <w:right w:val="none" w:sz="0" w:space="0" w:color="auto"/>
      </w:divBdr>
    </w:div>
    <w:div w:id="140847678">
      <w:bodyDiv w:val="1"/>
      <w:marLeft w:val="0"/>
      <w:marRight w:val="0"/>
      <w:marTop w:val="0"/>
      <w:marBottom w:val="0"/>
      <w:divBdr>
        <w:top w:val="none" w:sz="0" w:space="0" w:color="auto"/>
        <w:left w:val="none" w:sz="0" w:space="0" w:color="auto"/>
        <w:bottom w:val="none" w:sz="0" w:space="0" w:color="auto"/>
        <w:right w:val="none" w:sz="0" w:space="0" w:color="auto"/>
      </w:divBdr>
    </w:div>
    <w:div w:id="147022477">
      <w:bodyDiv w:val="1"/>
      <w:marLeft w:val="0"/>
      <w:marRight w:val="0"/>
      <w:marTop w:val="0"/>
      <w:marBottom w:val="0"/>
      <w:divBdr>
        <w:top w:val="none" w:sz="0" w:space="0" w:color="auto"/>
        <w:left w:val="none" w:sz="0" w:space="0" w:color="auto"/>
        <w:bottom w:val="none" w:sz="0" w:space="0" w:color="auto"/>
        <w:right w:val="none" w:sz="0" w:space="0" w:color="auto"/>
      </w:divBdr>
    </w:div>
    <w:div w:id="150289827">
      <w:bodyDiv w:val="1"/>
      <w:marLeft w:val="0"/>
      <w:marRight w:val="0"/>
      <w:marTop w:val="0"/>
      <w:marBottom w:val="0"/>
      <w:divBdr>
        <w:top w:val="none" w:sz="0" w:space="0" w:color="auto"/>
        <w:left w:val="none" w:sz="0" w:space="0" w:color="auto"/>
        <w:bottom w:val="none" w:sz="0" w:space="0" w:color="auto"/>
        <w:right w:val="none" w:sz="0" w:space="0" w:color="auto"/>
      </w:divBdr>
    </w:div>
    <w:div w:id="167258061">
      <w:bodyDiv w:val="1"/>
      <w:marLeft w:val="0"/>
      <w:marRight w:val="0"/>
      <w:marTop w:val="0"/>
      <w:marBottom w:val="0"/>
      <w:divBdr>
        <w:top w:val="none" w:sz="0" w:space="0" w:color="auto"/>
        <w:left w:val="none" w:sz="0" w:space="0" w:color="auto"/>
        <w:bottom w:val="none" w:sz="0" w:space="0" w:color="auto"/>
        <w:right w:val="none" w:sz="0" w:space="0" w:color="auto"/>
      </w:divBdr>
    </w:div>
    <w:div w:id="202444734">
      <w:bodyDiv w:val="1"/>
      <w:marLeft w:val="0"/>
      <w:marRight w:val="0"/>
      <w:marTop w:val="0"/>
      <w:marBottom w:val="0"/>
      <w:divBdr>
        <w:top w:val="none" w:sz="0" w:space="0" w:color="auto"/>
        <w:left w:val="none" w:sz="0" w:space="0" w:color="auto"/>
        <w:bottom w:val="none" w:sz="0" w:space="0" w:color="auto"/>
        <w:right w:val="none" w:sz="0" w:space="0" w:color="auto"/>
      </w:divBdr>
    </w:div>
    <w:div w:id="209343277">
      <w:bodyDiv w:val="1"/>
      <w:marLeft w:val="0"/>
      <w:marRight w:val="0"/>
      <w:marTop w:val="0"/>
      <w:marBottom w:val="0"/>
      <w:divBdr>
        <w:top w:val="none" w:sz="0" w:space="0" w:color="auto"/>
        <w:left w:val="none" w:sz="0" w:space="0" w:color="auto"/>
        <w:bottom w:val="none" w:sz="0" w:space="0" w:color="auto"/>
        <w:right w:val="none" w:sz="0" w:space="0" w:color="auto"/>
      </w:divBdr>
    </w:div>
    <w:div w:id="239559844">
      <w:bodyDiv w:val="1"/>
      <w:marLeft w:val="0"/>
      <w:marRight w:val="0"/>
      <w:marTop w:val="0"/>
      <w:marBottom w:val="0"/>
      <w:divBdr>
        <w:top w:val="none" w:sz="0" w:space="0" w:color="auto"/>
        <w:left w:val="none" w:sz="0" w:space="0" w:color="auto"/>
        <w:bottom w:val="none" w:sz="0" w:space="0" w:color="auto"/>
        <w:right w:val="none" w:sz="0" w:space="0" w:color="auto"/>
      </w:divBdr>
    </w:div>
    <w:div w:id="243535468">
      <w:bodyDiv w:val="1"/>
      <w:marLeft w:val="0"/>
      <w:marRight w:val="0"/>
      <w:marTop w:val="0"/>
      <w:marBottom w:val="0"/>
      <w:divBdr>
        <w:top w:val="none" w:sz="0" w:space="0" w:color="auto"/>
        <w:left w:val="none" w:sz="0" w:space="0" w:color="auto"/>
        <w:bottom w:val="none" w:sz="0" w:space="0" w:color="auto"/>
        <w:right w:val="none" w:sz="0" w:space="0" w:color="auto"/>
      </w:divBdr>
    </w:div>
    <w:div w:id="254023700">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06126728">
      <w:bodyDiv w:val="1"/>
      <w:marLeft w:val="0"/>
      <w:marRight w:val="0"/>
      <w:marTop w:val="0"/>
      <w:marBottom w:val="0"/>
      <w:divBdr>
        <w:top w:val="none" w:sz="0" w:space="0" w:color="auto"/>
        <w:left w:val="none" w:sz="0" w:space="0" w:color="auto"/>
        <w:bottom w:val="none" w:sz="0" w:space="0" w:color="auto"/>
        <w:right w:val="none" w:sz="0" w:space="0" w:color="auto"/>
      </w:divBdr>
    </w:div>
    <w:div w:id="308555122">
      <w:bodyDiv w:val="1"/>
      <w:marLeft w:val="0"/>
      <w:marRight w:val="0"/>
      <w:marTop w:val="0"/>
      <w:marBottom w:val="0"/>
      <w:divBdr>
        <w:top w:val="none" w:sz="0" w:space="0" w:color="auto"/>
        <w:left w:val="none" w:sz="0" w:space="0" w:color="auto"/>
        <w:bottom w:val="none" w:sz="0" w:space="0" w:color="auto"/>
        <w:right w:val="none" w:sz="0" w:space="0" w:color="auto"/>
      </w:divBdr>
    </w:div>
    <w:div w:id="339236566">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7025185">
      <w:bodyDiv w:val="1"/>
      <w:marLeft w:val="0"/>
      <w:marRight w:val="0"/>
      <w:marTop w:val="0"/>
      <w:marBottom w:val="0"/>
      <w:divBdr>
        <w:top w:val="none" w:sz="0" w:space="0" w:color="auto"/>
        <w:left w:val="none" w:sz="0" w:space="0" w:color="auto"/>
        <w:bottom w:val="none" w:sz="0" w:space="0" w:color="auto"/>
        <w:right w:val="none" w:sz="0" w:space="0" w:color="auto"/>
      </w:divBdr>
    </w:div>
    <w:div w:id="451633440">
      <w:bodyDiv w:val="1"/>
      <w:marLeft w:val="0"/>
      <w:marRight w:val="0"/>
      <w:marTop w:val="0"/>
      <w:marBottom w:val="0"/>
      <w:divBdr>
        <w:top w:val="none" w:sz="0" w:space="0" w:color="auto"/>
        <w:left w:val="none" w:sz="0" w:space="0" w:color="auto"/>
        <w:bottom w:val="none" w:sz="0" w:space="0" w:color="auto"/>
        <w:right w:val="none" w:sz="0" w:space="0" w:color="auto"/>
      </w:divBdr>
    </w:div>
    <w:div w:id="490831554">
      <w:bodyDiv w:val="1"/>
      <w:marLeft w:val="0"/>
      <w:marRight w:val="0"/>
      <w:marTop w:val="0"/>
      <w:marBottom w:val="0"/>
      <w:divBdr>
        <w:top w:val="none" w:sz="0" w:space="0" w:color="auto"/>
        <w:left w:val="none" w:sz="0" w:space="0" w:color="auto"/>
        <w:bottom w:val="none" w:sz="0" w:space="0" w:color="auto"/>
        <w:right w:val="none" w:sz="0" w:space="0" w:color="auto"/>
      </w:divBdr>
    </w:div>
    <w:div w:id="521673710">
      <w:bodyDiv w:val="1"/>
      <w:marLeft w:val="0"/>
      <w:marRight w:val="0"/>
      <w:marTop w:val="0"/>
      <w:marBottom w:val="0"/>
      <w:divBdr>
        <w:top w:val="none" w:sz="0" w:space="0" w:color="auto"/>
        <w:left w:val="none" w:sz="0" w:space="0" w:color="auto"/>
        <w:bottom w:val="none" w:sz="0" w:space="0" w:color="auto"/>
        <w:right w:val="none" w:sz="0" w:space="0" w:color="auto"/>
      </w:divBdr>
      <w:divsChild>
        <w:div w:id="442262735">
          <w:marLeft w:val="360"/>
          <w:marRight w:val="0"/>
          <w:marTop w:val="200"/>
          <w:marBottom w:val="0"/>
          <w:divBdr>
            <w:top w:val="none" w:sz="0" w:space="0" w:color="auto"/>
            <w:left w:val="none" w:sz="0" w:space="0" w:color="auto"/>
            <w:bottom w:val="none" w:sz="0" w:space="0" w:color="auto"/>
            <w:right w:val="none" w:sz="0" w:space="0" w:color="auto"/>
          </w:divBdr>
        </w:div>
        <w:div w:id="972365234">
          <w:marLeft w:val="1080"/>
          <w:marRight w:val="0"/>
          <w:marTop w:val="100"/>
          <w:marBottom w:val="0"/>
          <w:divBdr>
            <w:top w:val="none" w:sz="0" w:space="0" w:color="auto"/>
            <w:left w:val="none" w:sz="0" w:space="0" w:color="auto"/>
            <w:bottom w:val="none" w:sz="0" w:space="0" w:color="auto"/>
            <w:right w:val="none" w:sz="0" w:space="0" w:color="auto"/>
          </w:divBdr>
        </w:div>
        <w:div w:id="351035105">
          <w:marLeft w:val="1080"/>
          <w:marRight w:val="0"/>
          <w:marTop w:val="100"/>
          <w:marBottom w:val="0"/>
          <w:divBdr>
            <w:top w:val="none" w:sz="0" w:space="0" w:color="auto"/>
            <w:left w:val="none" w:sz="0" w:space="0" w:color="auto"/>
            <w:bottom w:val="none" w:sz="0" w:space="0" w:color="auto"/>
            <w:right w:val="none" w:sz="0" w:space="0" w:color="auto"/>
          </w:divBdr>
        </w:div>
        <w:div w:id="711078872">
          <w:marLeft w:val="1080"/>
          <w:marRight w:val="0"/>
          <w:marTop w:val="100"/>
          <w:marBottom w:val="0"/>
          <w:divBdr>
            <w:top w:val="none" w:sz="0" w:space="0" w:color="auto"/>
            <w:left w:val="none" w:sz="0" w:space="0" w:color="auto"/>
            <w:bottom w:val="none" w:sz="0" w:space="0" w:color="auto"/>
            <w:right w:val="none" w:sz="0" w:space="0" w:color="auto"/>
          </w:divBdr>
        </w:div>
        <w:div w:id="2022661264">
          <w:marLeft w:val="1080"/>
          <w:marRight w:val="0"/>
          <w:marTop w:val="100"/>
          <w:marBottom w:val="0"/>
          <w:divBdr>
            <w:top w:val="none" w:sz="0" w:space="0" w:color="auto"/>
            <w:left w:val="none" w:sz="0" w:space="0" w:color="auto"/>
            <w:bottom w:val="none" w:sz="0" w:space="0" w:color="auto"/>
            <w:right w:val="none" w:sz="0" w:space="0" w:color="auto"/>
          </w:divBdr>
        </w:div>
      </w:divsChild>
    </w:div>
    <w:div w:id="540093952">
      <w:bodyDiv w:val="1"/>
      <w:marLeft w:val="0"/>
      <w:marRight w:val="0"/>
      <w:marTop w:val="0"/>
      <w:marBottom w:val="0"/>
      <w:divBdr>
        <w:top w:val="none" w:sz="0" w:space="0" w:color="auto"/>
        <w:left w:val="none" w:sz="0" w:space="0" w:color="auto"/>
        <w:bottom w:val="none" w:sz="0" w:space="0" w:color="auto"/>
        <w:right w:val="none" w:sz="0" w:space="0" w:color="auto"/>
      </w:divBdr>
    </w:div>
    <w:div w:id="576749155">
      <w:bodyDiv w:val="1"/>
      <w:marLeft w:val="0"/>
      <w:marRight w:val="0"/>
      <w:marTop w:val="0"/>
      <w:marBottom w:val="0"/>
      <w:divBdr>
        <w:top w:val="none" w:sz="0" w:space="0" w:color="auto"/>
        <w:left w:val="none" w:sz="0" w:space="0" w:color="auto"/>
        <w:bottom w:val="none" w:sz="0" w:space="0" w:color="auto"/>
        <w:right w:val="none" w:sz="0" w:space="0" w:color="auto"/>
      </w:divBdr>
    </w:div>
    <w:div w:id="583614891">
      <w:bodyDiv w:val="1"/>
      <w:marLeft w:val="0"/>
      <w:marRight w:val="0"/>
      <w:marTop w:val="0"/>
      <w:marBottom w:val="0"/>
      <w:divBdr>
        <w:top w:val="none" w:sz="0" w:space="0" w:color="auto"/>
        <w:left w:val="none" w:sz="0" w:space="0" w:color="auto"/>
        <w:bottom w:val="none" w:sz="0" w:space="0" w:color="auto"/>
        <w:right w:val="none" w:sz="0" w:space="0" w:color="auto"/>
      </w:divBdr>
    </w:div>
    <w:div w:id="599533951">
      <w:bodyDiv w:val="1"/>
      <w:marLeft w:val="0"/>
      <w:marRight w:val="0"/>
      <w:marTop w:val="0"/>
      <w:marBottom w:val="0"/>
      <w:divBdr>
        <w:top w:val="none" w:sz="0" w:space="0" w:color="auto"/>
        <w:left w:val="none" w:sz="0" w:space="0" w:color="auto"/>
        <w:bottom w:val="none" w:sz="0" w:space="0" w:color="auto"/>
        <w:right w:val="none" w:sz="0" w:space="0" w:color="auto"/>
      </w:divBdr>
    </w:div>
    <w:div w:id="600647798">
      <w:bodyDiv w:val="1"/>
      <w:marLeft w:val="0"/>
      <w:marRight w:val="0"/>
      <w:marTop w:val="0"/>
      <w:marBottom w:val="0"/>
      <w:divBdr>
        <w:top w:val="none" w:sz="0" w:space="0" w:color="auto"/>
        <w:left w:val="none" w:sz="0" w:space="0" w:color="auto"/>
        <w:bottom w:val="none" w:sz="0" w:space="0" w:color="auto"/>
        <w:right w:val="none" w:sz="0" w:space="0" w:color="auto"/>
      </w:divBdr>
    </w:div>
    <w:div w:id="609095590">
      <w:bodyDiv w:val="1"/>
      <w:marLeft w:val="0"/>
      <w:marRight w:val="0"/>
      <w:marTop w:val="0"/>
      <w:marBottom w:val="0"/>
      <w:divBdr>
        <w:top w:val="none" w:sz="0" w:space="0" w:color="auto"/>
        <w:left w:val="none" w:sz="0" w:space="0" w:color="auto"/>
        <w:bottom w:val="none" w:sz="0" w:space="0" w:color="auto"/>
        <w:right w:val="none" w:sz="0" w:space="0" w:color="auto"/>
      </w:divBdr>
    </w:div>
    <w:div w:id="613682575">
      <w:bodyDiv w:val="1"/>
      <w:marLeft w:val="0"/>
      <w:marRight w:val="0"/>
      <w:marTop w:val="0"/>
      <w:marBottom w:val="0"/>
      <w:divBdr>
        <w:top w:val="none" w:sz="0" w:space="0" w:color="auto"/>
        <w:left w:val="none" w:sz="0" w:space="0" w:color="auto"/>
        <w:bottom w:val="none" w:sz="0" w:space="0" w:color="auto"/>
        <w:right w:val="none" w:sz="0" w:space="0" w:color="auto"/>
      </w:divBdr>
    </w:div>
    <w:div w:id="638153327">
      <w:bodyDiv w:val="1"/>
      <w:marLeft w:val="0"/>
      <w:marRight w:val="0"/>
      <w:marTop w:val="0"/>
      <w:marBottom w:val="0"/>
      <w:divBdr>
        <w:top w:val="none" w:sz="0" w:space="0" w:color="auto"/>
        <w:left w:val="none" w:sz="0" w:space="0" w:color="auto"/>
        <w:bottom w:val="none" w:sz="0" w:space="0" w:color="auto"/>
        <w:right w:val="none" w:sz="0" w:space="0" w:color="auto"/>
      </w:divBdr>
    </w:div>
    <w:div w:id="649558108">
      <w:bodyDiv w:val="1"/>
      <w:marLeft w:val="0"/>
      <w:marRight w:val="0"/>
      <w:marTop w:val="0"/>
      <w:marBottom w:val="0"/>
      <w:divBdr>
        <w:top w:val="none" w:sz="0" w:space="0" w:color="auto"/>
        <w:left w:val="none" w:sz="0" w:space="0" w:color="auto"/>
        <w:bottom w:val="none" w:sz="0" w:space="0" w:color="auto"/>
        <w:right w:val="none" w:sz="0" w:space="0" w:color="auto"/>
      </w:divBdr>
    </w:div>
    <w:div w:id="680544779">
      <w:bodyDiv w:val="1"/>
      <w:marLeft w:val="0"/>
      <w:marRight w:val="0"/>
      <w:marTop w:val="0"/>
      <w:marBottom w:val="0"/>
      <w:divBdr>
        <w:top w:val="none" w:sz="0" w:space="0" w:color="auto"/>
        <w:left w:val="none" w:sz="0" w:space="0" w:color="auto"/>
        <w:bottom w:val="none" w:sz="0" w:space="0" w:color="auto"/>
        <w:right w:val="none" w:sz="0" w:space="0" w:color="auto"/>
      </w:divBdr>
    </w:div>
    <w:div w:id="687177249">
      <w:bodyDiv w:val="1"/>
      <w:marLeft w:val="0"/>
      <w:marRight w:val="0"/>
      <w:marTop w:val="0"/>
      <w:marBottom w:val="0"/>
      <w:divBdr>
        <w:top w:val="none" w:sz="0" w:space="0" w:color="auto"/>
        <w:left w:val="none" w:sz="0" w:space="0" w:color="auto"/>
        <w:bottom w:val="none" w:sz="0" w:space="0" w:color="auto"/>
        <w:right w:val="none" w:sz="0" w:space="0" w:color="auto"/>
      </w:divBdr>
    </w:div>
    <w:div w:id="687828925">
      <w:bodyDiv w:val="1"/>
      <w:marLeft w:val="0"/>
      <w:marRight w:val="0"/>
      <w:marTop w:val="0"/>
      <w:marBottom w:val="0"/>
      <w:divBdr>
        <w:top w:val="none" w:sz="0" w:space="0" w:color="auto"/>
        <w:left w:val="none" w:sz="0" w:space="0" w:color="auto"/>
        <w:bottom w:val="none" w:sz="0" w:space="0" w:color="auto"/>
        <w:right w:val="none" w:sz="0" w:space="0" w:color="auto"/>
      </w:divBdr>
    </w:div>
    <w:div w:id="692803952">
      <w:bodyDiv w:val="1"/>
      <w:marLeft w:val="0"/>
      <w:marRight w:val="0"/>
      <w:marTop w:val="0"/>
      <w:marBottom w:val="0"/>
      <w:divBdr>
        <w:top w:val="none" w:sz="0" w:space="0" w:color="auto"/>
        <w:left w:val="none" w:sz="0" w:space="0" w:color="auto"/>
        <w:bottom w:val="none" w:sz="0" w:space="0" w:color="auto"/>
        <w:right w:val="none" w:sz="0" w:space="0" w:color="auto"/>
      </w:divBdr>
    </w:div>
    <w:div w:id="701905164">
      <w:bodyDiv w:val="1"/>
      <w:marLeft w:val="0"/>
      <w:marRight w:val="0"/>
      <w:marTop w:val="0"/>
      <w:marBottom w:val="0"/>
      <w:divBdr>
        <w:top w:val="none" w:sz="0" w:space="0" w:color="auto"/>
        <w:left w:val="none" w:sz="0" w:space="0" w:color="auto"/>
        <w:bottom w:val="none" w:sz="0" w:space="0" w:color="auto"/>
        <w:right w:val="none" w:sz="0" w:space="0" w:color="auto"/>
      </w:divBdr>
    </w:div>
    <w:div w:id="705326195">
      <w:bodyDiv w:val="1"/>
      <w:marLeft w:val="0"/>
      <w:marRight w:val="0"/>
      <w:marTop w:val="0"/>
      <w:marBottom w:val="0"/>
      <w:divBdr>
        <w:top w:val="none" w:sz="0" w:space="0" w:color="auto"/>
        <w:left w:val="none" w:sz="0" w:space="0" w:color="auto"/>
        <w:bottom w:val="none" w:sz="0" w:space="0" w:color="auto"/>
        <w:right w:val="none" w:sz="0" w:space="0" w:color="auto"/>
      </w:divBdr>
    </w:div>
    <w:div w:id="713895062">
      <w:bodyDiv w:val="1"/>
      <w:marLeft w:val="0"/>
      <w:marRight w:val="0"/>
      <w:marTop w:val="0"/>
      <w:marBottom w:val="0"/>
      <w:divBdr>
        <w:top w:val="none" w:sz="0" w:space="0" w:color="auto"/>
        <w:left w:val="none" w:sz="0" w:space="0" w:color="auto"/>
        <w:bottom w:val="none" w:sz="0" w:space="0" w:color="auto"/>
        <w:right w:val="none" w:sz="0" w:space="0" w:color="auto"/>
      </w:divBdr>
    </w:div>
    <w:div w:id="716053726">
      <w:bodyDiv w:val="1"/>
      <w:marLeft w:val="0"/>
      <w:marRight w:val="0"/>
      <w:marTop w:val="0"/>
      <w:marBottom w:val="0"/>
      <w:divBdr>
        <w:top w:val="none" w:sz="0" w:space="0" w:color="auto"/>
        <w:left w:val="none" w:sz="0" w:space="0" w:color="auto"/>
        <w:bottom w:val="none" w:sz="0" w:space="0" w:color="auto"/>
        <w:right w:val="none" w:sz="0" w:space="0" w:color="auto"/>
      </w:divBdr>
    </w:div>
    <w:div w:id="732435889">
      <w:bodyDiv w:val="1"/>
      <w:marLeft w:val="0"/>
      <w:marRight w:val="0"/>
      <w:marTop w:val="0"/>
      <w:marBottom w:val="0"/>
      <w:divBdr>
        <w:top w:val="none" w:sz="0" w:space="0" w:color="auto"/>
        <w:left w:val="none" w:sz="0" w:space="0" w:color="auto"/>
        <w:bottom w:val="none" w:sz="0" w:space="0" w:color="auto"/>
        <w:right w:val="none" w:sz="0" w:space="0" w:color="auto"/>
      </w:divBdr>
    </w:div>
    <w:div w:id="747924350">
      <w:bodyDiv w:val="1"/>
      <w:marLeft w:val="0"/>
      <w:marRight w:val="0"/>
      <w:marTop w:val="0"/>
      <w:marBottom w:val="0"/>
      <w:divBdr>
        <w:top w:val="none" w:sz="0" w:space="0" w:color="auto"/>
        <w:left w:val="none" w:sz="0" w:space="0" w:color="auto"/>
        <w:bottom w:val="none" w:sz="0" w:space="0" w:color="auto"/>
        <w:right w:val="none" w:sz="0" w:space="0" w:color="auto"/>
      </w:divBdr>
    </w:div>
    <w:div w:id="757869393">
      <w:bodyDiv w:val="1"/>
      <w:marLeft w:val="0"/>
      <w:marRight w:val="0"/>
      <w:marTop w:val="0"/>
      <w:marBottom w:val="0"/>
      <w:divBdr>
        <w:top w:val="none" w:sz="0" w:space="0" w:color="auto"/>
        <w:left w:val="none" w:sz="0" w:space="0" w:color="auto"/>
        <w:bottom w:val="none" w:sz="0" w:space="0" w:color="auto"/>
        <w:right w:val="none" w:sz="0" w:space="0" w:color="auto"/>
      </w:divBdr>
    </w:div>
    <w:div w:id="775559996">
      <w:bodyDiv w:val="1"/>
      <w:marLeft w:val="0"/>
      <w:marRight w:val="0"/>
      <w:marTop w:val="0"/>
      <w:marBottom w:val="0"/>
      <w:divBdr>
        <w:top w:val="none" w:sz="0" w:space="0" w:color="auto"/>
        <w:left w:val="none" w:sz="0" w:space="0" w:color="auto"/>
        <w:bottom w:val="none" w:sz="0" w:space="0" w:color="auto"/>
        <w:right w:val="none" w:sz="0" w:space="0" w:color="auto"/>
      </w:divBdr>
    </w:div>
    <w:div w:id="776103460">
      <w:bodyDiv w:val="1"/>
      <w:marLeft w:val="0"/>
      <w:marRight w:val="0"/>
      <w:marTop w:val="0"/>
      <w:marBottom w:val="0"/>
      <w:divBdr>
        <w:top w:val="none" w:sz="0" w:space="0" w:color="auto"/>
        <w:left w:val="none" w:sz="0" w:space="0" w:color="auto"/>
        <w:bottom w:val="none" w:sz="0" w:space="0" w:color="auto"/>
        <w:right w:val="none" w:sz="0" w:space="0" w:color="auto"/>
      </w:divBdr>
    </w:div>
    <w:div w:id="792790819">
      <w:bodyDiv w:val="1"/>
      <w:marLeft w:val="0"/>
      <w:marRight w:val="0"/>
      <w:marTop w:val="0"/>
      <w:marBottom w:val="0"/>
      <w:divBdr>
        <w:top w:val="none" w:sz="0" w:space="0" w:color="auto"/>
        <w:left w:val="none" w:sz="0" w:space="0" w:color="auto"/>
        <w:bottom w:val="none" w:sz="0" w:space="0" w:color="auto"/>
        <w:right w:val="none" w:sz="0" w:space="0" w:color="auto"/>
      </w:divBdr>
      <w:divsChild>
        <w:div w:id="1201091052">
          <w:marLeft w:val="547"/>
          <w:marRight w:val="0"/>
          <w:marTop w:val="86"/>
          <w:marBottom w:val="120"/>
          <w:divBdr>
            <w:top w:val="none" w:sz="0" w:space="0" w:color="auto"/>
            <w:left w:val="none" w:sz="0" w:space="0" w:color="auto"/>
            <w:bottom w:val="none" w:sz="0" w:space="0" w:color="auto"/>
            <w:right w:val="none" w:sz="0" w:space="0" w:color="auto"/>
          </w:divBdr>
        </w:div>
      </w:divsChild>
    </w:div>
    <w:div w:id="798645155">
      <w:bodyDiv w:val="1"/>
      <w:marLeft w:val="0"/>
      <w:marRight w:val="0"/>
      <w:marTop w:val="0"/>
      <w:marBottom w:val="0"/>
      <w:divBdr>
        <w:top w:val="none" w:sz="0" w:space="0" w:color="auto"/>
        <w:left w:val="none" w:sz="0" w:space="0" w:color="auto"/>
        <w:bottom w:val="none" w:sz="0" w:space="0" w:color="auto"/>
        <w:right w:val="none" w:sz="0" w:space="0" w:color="auto"/>
      </w:divBdr>
    </w:div>
    <w:div w:id="824474149">
      <w:bodyDiv w:val="1"/>
      <w:marLeft w:val="0"/>
      <w:marRight w:val="0"/>
      <w:marTop w:val="0"/>
      <w:marBottom w:val="0"/>
      <w:divBdr>
        <w:top w:val="none" w:sz="0" w:space="0" w:color="auto"/>
        <w:left w:val="none" w:sz="0" w:space="0" w:color="auto"/>
        <w:bottom w:val="none" w:sz="0" w:space="0" w:color="auto"/>
        <w:right w:val="none" w:sz="0" w:space="0" w:color="auto"/>
      </w:divBdr>
    </w:div>
    <w:div w:id="841354317">
      <w:bodyDiv w:val="1"/>
      <w:marLeft w:val="0"/>
      <w:marRight w:val="0"/>
      <w:marTop w:val="0"/>
      <w:marBottom w:val="0"/>
      <w:divBdr>
        <w:top w:val="none" w:sz="0" w:space="0" w:color="auto"/>
        <w:left w:val="none" w:sz="0" w:space="0" w:color="auto"/>
        <w:bottom w:val="none" w:sz="0" w:space="0" w:color="auto"/>
        <w:right w:val="none" w:sz="0" w:space="0" w:color="auto"/>
      </w:divBdr>
    </w:div>
    <w:div w:id="855730544">
      <w:bodyDiv w:val="1"/>
      <w:marLeft w:val="0"/>
      <w:marRight w:val="0"/>
      <w:marTop w:val="0"/>
      <w:marBottom w:val="0"/>
      <w:divBdr>
        <w:top w:val="none" w:sz="0" w:space="0" w:color="auto"/>
        <w:left w:val="none" w:sz="0" w:space="0" w:color="auto"/>
        <w:bottom w:val="none" w:sz="0" w:space="0" w:color="auto"/>
        <w:right w:val="none" w:sz="0" w:space="0" w:color="auto"/>
      </w:divBdr>
    </w:div>
    <w:div w:id="868226670">
      <w:bodyDiv w:val="1"/>
      <w:marLeft w:val="0"/>
      <w:marRight w:val="0"/>
      <w:marTop w:val="0"/>
      <w:marBottom w:val="0"/>
      <w:divBdr>
        <w:top w:val="none" w:sz="0" w:space="0" w:color="auto"/>
        <w:left w:val="none" w:sz="0" w:space="0" w:color="auto"/>
        <w:bottom w:val="none" w:sz="0" w:space="0" w:color="auto"/>
        <w:right w:val="none" w:sz="0" w:space="0" w:color="auto"/>
      </w:divBdr>
    </w:div>
    <w:div w:id="877936359">
      <w:bodyDiv w:val="1"/>
      <w:marLeft w:val="0"/>
      <w:marRight w:val="0"/>
      <w:marTop w:val="0"/>
      <w:marBottom w:val="0"/>
      <w:divBdr>
        <w:top w:val="none" w:sz="0" w:space="0" w:color="auto"/>
        <w:left w:val="none" w:sz="0" w:space="0" w:color="auto"/>
        <w:bottom w:val="none" w:sz="0" w:space="0" w:color="auto"/>
        <w:right w:val="none" w:sz="0" w:space="0" w:color="auto"/>
      </w:divBdr>
      <w:divsChild>
        <w:div w:id="463625940">
          <w:marLeft w:val="360"/>
          <w:marRight w:val="0"/>
          <w:marTop w:val="200"/>
          <w:marBottom w:val="0"/>
          <w:divBdr>
            <w:top w:val="none" w:sz="0" w:space="0" w:color="auto"/>
            <w:left w:val="none" w:sz="0" w:space="0" w:color="auto"/>
            <w:bottom w:val="none" w:sz="0" w:space="0" w:color="auto"/>
            <w:right w:val="none" w:sz="0" w:space="0" w:color="auto"/>
          </w:divBdr>
        </w:div>
        <w:div w:id="967517163">
          <w:marLeft w:val="1080"/>
          <w:marRight w:val="0"/>
          <w:marTop w:val="100"/>
          <w:marBottom w:val="0"/>
          <w:divBdr>
            <w:top w:val="none" w:sz="0" w:space="0" w:color="auto"/>
            <w:left w:val="none" w:sz="0" w:space="0" w:color="auto"/>
            <w:bottom w:val="none" w:sz="0" w:space="0" w:color="auto"/>
            <w:right w:val="none" w:sz="0" w:space="0" w:color="auto"/>
          </w:divBdr>
        </w:div>
        <w:div w:id="1686979323">
          <w:marLeft w:val="1080"/>
          <w:marRight w:val="0"/>
          <w:marTop w:val="100"/>
          <w:marBottom w:val="0"/>
          <w:divBdr>
            <w:top w:val="none" w:sz="0" w:space="0" w:color="auto"/>
            <w:left w:val="none" w:sz="0" w:space="0" w:color="auto"/>
            <w:bottom w:val="none" w:sz="0" w:space="0" w:color="auto"/>
            <w:right w:val="none" w:sz="0" w:space="0" w:color="auto"/>
          </w:divBdr>
        </w:div>
        <w:div w:id="876048345">
          <w:marLeft w:val="1080"/>
          <w:marRight w:val="0"/>
          <w:marTop w:val="100"/>
          <w:marBottom w:val="0"/>
          <w:divBdr>
            <w:top w:val="none" w:sz="0" w:space="0" w:color="auto"/>
            <w:left w:val="none" w:sz="0" w:space="0" w:color="auto"/>
            <w:bottom w:val="none" w:sz="0" w:space="0" w:color="auto"/>
            <w:right w:val="none" w:sz="0" w:space="0" w:color="auto"/>
          </w:divBdr>
        </w:div>
        <w:div w:id="1399792253">
          <w:marLeft w:val="1080"/>
          <w:marRight w:val="0"/>
          <w:marTop w:val="100"/>
          <w:marBottom w:val="0"/>
          <w:divBdr>
            <w:top w:val="none" w:sz="0" w:space="0" w:color="auto"/>
            <w:left w:val="none" w:sz="0" w:space="0" w:color="auto"/>
            <w:bottom w:val="none" w:sz="0" w:space="0" w:color="auto"/>
            <w:right w:val="none" w:sz="0" w:space="0" w:color="auto"/>
          </w:divBdr>
        </w:div>
        <w:div w:id="865094975">
          <w:marLeft w:val="1080"/>
          <w:marRight w:val="0"/>
          <w:marTop w:val="100"/>
          <w:marBottom w:val="0"/>
          <w:divBdr>
            <w:top w:val="none" w:sz="0" w:space="0" w:color="auto"/>
            <w:left w:val="none" w:sz="0" w:space="0" w:color="auto"/>
            <w:bottom w:val="none" w:sz="0" w:space="0" w:color="auto"/>
            <w:right w:val="none" w:sz="0" w:space="0" w:color="auto"/>
          </w:divBdr>
        </w:div>
        <w:div w:id="863709941">
          <w:marLeft w:val="1080"/>
          <w:marRight w:val="0"/>
          <w:marTop w:val="100"/>
          <w:marBottom w:val="0"/>
          <w:divBdr>
            <w:top w:val="none" w:sz="0" w:space="0" w:color="auto"/>
            <w:left w:val="none" w:sz="0" w:space="0" w:color="auto"/>
            <w:bottom w:val="none" w:sz="0" w:space="0" w:color="auto"/>
            <w:right w:val="none" w:sz="0" w:space="0" w:color="auto"/>
          </w:divBdr>
        </w:div>
        <w:div w:id="149487904">
          <w:marLeft w:val="1080"/>
          <w:marRight w:val="0"/>
          <w:marTop w:val="100"/>
          <w:marBottom w:val="0"/>
          <w:divBdr>
            <w:top w:val="none" w:sz="0" w:space="0" w:color="auto"/>
            <w:left w:val="none" w:sz="0" w:space="0" w:color="auto"/>
            <w:bottom w:val="none" w:sz="0" w:space="0" w:color="auto"/>
            <w:right w:val="none" w:sz="0" w:space="0" w:color="auto"/>
          </w:divBdr>
        </w:div>
      </w:divsChild>
    </w:div>
    <w:div w:id="878080990">
      <w:bodyDiv w:val="1"/>
      <w:marLeft w:val="0"/>
      <w:marRight w:val="0"/>
      <w:marTop w:val="0"/>
      <w:marBottom w:val="0"/>
      <w:divBdr>
        <w:top w:val="none" w:sz="0" w:space="0" w:color="auto"/>
        <w:left w:val="none" w:sz="0" w:space="0" w:color="auto"/>
        <w:bottom w:val="none" w:sz="0" w:space="0" w:color="auto"/>
        <w:right w:val="none" w:sz="0" w:space="0" w:color="auto"/>
      </w:divBdr>
    </w:div>
    <w:div w:id="895973892">
      <w:bodyDiv w:val="1"/>
      <w:marLeft w:val="0"/>
      <w:marRight w:val="0"/>
      <w:marTop w:val="0"/>
      <w:marBottom w:val="0"/>
      <w:divBdr>
        <w:top w:val="none" w:sz="0" w:space="0" w:color="auto"/>
        <w:left w:val="none" w:sz="0" w:space="0" w:color="auto"/>
        <w:bottom w:val="none" w:sz="0" w:space="0" w:color="auto"/>
        <w:right w:val="none" w:sz="0" w:space="0" w:color="auto"/>
      </w:divBdr>
    </w:div>
    <w:div w:id="902178332">
      <w:bodyDiv w:val="1"/>
      <w:marLeft w:val="0"/>
      <w:marRight w:val="0"/>
      <w:marTop w:val="0"/>
      <w:marBottom w:val="0"/>
      <w:divBdr>
        <w:top w:val="none" w:sz="0" w:space="0" w:color="auto"/>
        <w:left w:val="none" w:sz="0" w:space="0" w:color="auto"/>
        <w:bottom w:val="none" w:sz="0" w:space="0" w:color="auto"/>
        <w:right w:val="none" w:sz="0" w:space="0" w:color="auto"/>
      </w:divBdr>
    </w:div>
    <w:div w:id="909778296">
      <w:bodyDiv w:val="1"/>
      <w:marLeft w:val="0"/>
      <w:marRight w:val="0"/>
      <w:marTop w:val="0"/>
      <w:marBottom w:val="0"/>
      <w:divBdr>
        <w:top w:val="none" w:sz="0" w:space="0" w:color="auto"/>
        <w:left w:val="none" w:sz="0" w:space="0" w:color="auto"/>
        <w:bottom w:val="none" w:sz="0" w:space="0" w:color="auto"/>
        <w:right w:val="none" w:sz="0" w:space="0" w:color="auto"/>
      </w:divBdr>
    </w:div>
    <w:div w:id="912662231">
      <w:bodyDiv w:val="1"/>
      <w:marLeft w:val="0"/>
      <w:marRight w:val="0"/>
      <w:marTop w:val="0"/>
      <w:marBottom w:val="0"/>
      <w:divBdr>
        <w:top w:val="none" w:sz="0" w:space="0" w:color="auto"/>
        <w:left w:val="none" w:sz="0" w:space="0" w:color="auto"/>
        <w:bottom w:val="none" w:sz="0" w:space="0" w:color="auto"/>
        <w:right w:val="none" w:sz="0" w:space="0" w:color="auto"/>
      </w:divBdr>
    </w:div>
    <w:div w:id="917979176">
      <w:bodyDiv w:val="1"/>
      <w:marLeft w:val="0"/>
      <w:marRight w:val="0"/>
      <w:marTop w:val="0"/>
      <w:marBottom w:val="0"/>
      <w:divBdr>
        <w:top w:val="none" w:sz="0" w:space="0" w:color="auto"/>
        <w:left w:val="none" w:sz="0" w:space="0" w:color="auto"/>
        <w:bottom w:val="none" w:sz="0" w:space="0" w:color="auto"/>
        <w:right w:val="none" w:sz="0" w:space="0" w:color="auto"/>
      </w:divBdr>
    </w:div>
    <w:div w:id="971712732">
      <w:bodyDiv w:val="1"/>
      <w:marLeft w:val="0"/>
      <w:marRight w:val="0"/>
      <w:marTop w:val="0"/>
      <w:marBottom w:val="0"/>
      <w:divBdr>
        <w:top w:val="none" w:sz="0" w:space="0" w:color="auto"/>
        <w:left w:val="none" w:sz="0" w:space="0" w:color="auto"/>
        <w:bottom w:val="none" w:sz="0" w:space="0" w:color="auto"/>
        <w:right w:val="none" w:sz="0" w:space="0" w:color="auto"/>
      </w:divBdr>
      <w:divsChild>
        <w:div w:id="1172186196">
          <w:marLeft w:val="1080"/>
          <w:marRight w:val="0"/>
          <w:marTop w:val="100"/>
          <w:marBottom w:val="0"/>
          <w:divBdr>
            <w:top w:val="none" w:sz="0" w:space="0" w:color="auto"/>
            <w:left w:val="none" w:sz="0" w:space="0" w:color="auto"/>
            <w:bottom w:val="none" w:sz="0" w:space="0" w:color="auto"/>
            <w:right w:val="none" w:sz="0" w:space="0" w:color="auto"/>
          </w:divBdr>
        </w:div>
      </w:divsChild>
    </w:div>
    <w:div w:id="974985870">
      <w:bodyDiv w:val="1"/>
      <w:marLeft w:val="0"/>
      <w:marRight w:val="0"/>
      <w:marTop w:val="0"/>
      <w:marBottom w:val="0"/>
      <w:divBdr>
        <w:top w:val="none" w:sz="0" w:space="0" w:color="auto"/>
        <w:left w:val="none" w:sz="0" w:space="0" w:color="auto"/>
        <w:bottom w:val="none" w:sz="0" w:space="0" w:color="auto"/>
        <w:right w:val="none" w:sz="0" w:space="0" w:color="auto"/>
      </w:divBdr>
    </w:div>
    <w:div w:id="1027365362">
      <w:bodyDiv w:val="1"/>
      <w:marLeft w:val="0"/>
      <w:marRight w:val="0"/>
      <w:marTop w:val="0"/>
      <w:marBottom w:val="0"/>
      <w:divBdr>
        <w:top w:val="none" w:sz="0" w:space="0" w:color="auto"/>
        <w:left w:val="none" w:sz="0" w:space="0" w:color="auto"/>
        <w:bottom w:val="none" w:sz="0" w:space="0" w:color="auto"/>
        <w:right w:val="none" w:sz="0" w:space="0" w:color="auto"/>
      </w:divBdr>
    </w:div>
    <w:div w:id="1051270610">
      <w:bodyDiv w:val="1"/>
      <w:marLeft w:val="0"/>
      <w:marRight w:val="0"/>
      <w:marTop w:val="0"/>
      <w:marBottom w:val="0"/>
      <w:divBdr>
        <w:top w:val="none" w:sz="0" w:space="0" w:color="auto"/>
        <w:left w:val="none" w:sz="0" w:space="0" w:color="auto"/>
        <w:bottom w:val="none" w:sz="0" w:space="0" w:color="auto"/>
        <w:right w:val="none" w:sz="0" w:space="0" w:color="auto"/>
      </w:divBdr>
    </w:div>
    <w:div w:id="1069959758">
      <w:bodyDiv w:val="1"/>
      <w:marLeft w:val="0"/>
      <w:marRight w:val="0"/>
      <w:marTop w:val="0"/>
      <w:marBottom w:val="0"/>
      <w:divBdr>
        <w:top w:val="none" w:sz="0" w:space="0" w:color="auto"/>
        <w:left w:val="none" w:sz="0" w:space="0" w:color="auto"/>
        <w:bottom w:val="none" w:sz="0" w:space="0" w:color="auto"/>
        <w:right w:val="none" w:sz="0" w:space="0" w:color="auto"/>
      </w:divBdr>
    </w:div>
    <w:div w:id="1071269091">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23962313">
      <w:bodyDiv w:val="1"/>
      <w:marLeft w:val="0"/>
      <w:marRight w:val="0"/>
      <w:marTop w:val="0"/>
      <w:marBottom w:val="0"/>
      <w:divBdr>
        <w:top w:val="none" w:sz="0" w:space="0" w:color="auto"/>
        <w:left w:val="none" w:sz="0" w:space="0" w:color="auto"/>
        <w:bottom w:val="none" w:sz="0" w:space="0" w:color="auto"/>
        <w:right w:val="none" w:sz="0" w:space="0" w:color="auto"/>
      </w:divBdr>
      <w:divsChild>
        <w:div w:id="777722010">
          <w:marLeft w:val="360"/>
          <w:marRight w:val="0"/>
          <w:marTop w:val="200"/>
          <w:marBottom w:val="0"/>
          <w:divBdr>
            <w:top w:val="none" w:sz="0" w:space="0" w:color="auto"/>
            <w:left w:val="none" w:sz="0" w:space="0" w:color="auto"/>
            <w:bottom w:val="none" w:sz="0" w:space="0" w:color="auto"/>
            <w:right w:val="none" w:sz="0" w:space="0" w:color="auto"/>
          </w:divBdr>
        </w:div>
        <w:div w:id="1536771130">
          <w:marLeft w:val="360"/>
          <w:marRight w:val="0"/>
          <w:marTop w:val="200"/>
          <w:marBottom w:val="0"/>
          <w:divBdr>
            <w:top w:val="none" w:sz="0" w:space="0" w:color="auto"/>
            <w:left w:val="none" w:sz="0" w:space="0" w:color="auto"/>
            <w:bottom w:val="none" w:sz="0" w:space="0" w:color="auto"/>
            <w:right w:val="none" w:sz="0" w:space="0" w:color="auto"/>
          </w:divBdr>
        </w:div>
        <w:div w:id="1745567851">
          <w:marLeft w:val="1080"/>
          <w:marRight w:val="0"/>
          <w:marTop w:val="100"/>
          <w:marBottom w:val="0"/>
          <w:divBdr>
            <w:top w:val="none" w:sz="0" w:space="0" w:color="auto"/>
            <w:left w:val="none" w:sz="0" w:space="0" w:color="auto"/>
            <w:bottom w:val="none" w:sz="0" w:space="0" w:color="auto"/>
            <w:right w:val="none" w:sz="0" w:space="0" w:color="auto"/>
          </w:divBdr>
        </w:div>
        <w:div w:id="470287808">
          <w:marLeft w:val="1080"/>
          <w:marRight w:val="0"/>
          <w:marTop w:val="100"/>
          <w:marBottom w:val="0"/>
          <w:divBdr>
            <w:top w:val="none" w:sz="0" w:space="0" w:color="auto"/>
            <w:left w:val="none" w:sz="0" w:space="0" w:color="auto"/>
            <w:bottom w:val="none" w:sz="0" w:space="0" w:color="auto"/>
            <w:right w:val="none" w:sz="0" w:space="0" w:color="auto"/>
          </w:divBdr>
        </w:div>
        <w:div w:id="2111007653">
          <w:marLeft w:val="1080"/>
          <w:marRight w:val="0"/>
          <w:marTop w:val="100"/>
          <w:marBottom w:val="0"/>
          <w:divBdr>
            <w:top w:val="none" w:sz="0" w:space="0" w:color="auto"/>
            <w:left w:val="none" w:sz="0" w:space="0" w:color="auto"/>
            <w:bottom w:val="none" w:sz="0" w:space="0" w:color="auto"/>
            <w:right w:val="none" w:sz="0" w:space="0" w:color="auto"/>
          </w:divBdr>
        </w:div>
        <w:div w:id="704401898">
          <w:marLeft w:val="1080"/>
          <w:marRight w:val="0"/>
          <w:marTop w:val="100"/>
          <w:marBottom w:val="0"/>
          <w:divBdr>
            <w:top w:val="none" w:sz="0" w:space="0" w:color="auto"/>
            <w:left w:val="none" w:sz="0" w:space="0" w:color="auto"/>
            <w:bottom w:val="none" w:sz="0" w:space="0" w:color="auto"/>
            <w:right w:val="none" w:sz="0" w:space="0" w:color="auto"/>
          </w:divBdr>
        </w:div>
        <w:div w:id="158280024">
          <w:marLeft w:val="360"/>
          <w:marRight w:val="0"/>
          <w:marTop w:val="200"/>
          <w:marBottom w:val="0"/>
          <w:divBdr>
            <w:top w:val="none" w:sz="0" w:space="0" w:color="auto"/>
            <w:left w:val="none" w:sz="0" w:space="0" w:color="auto"/>
            <w:bottom w:val="none" w:sz="0" w:space="0" w:color="auto"/>
            <w:right w:val="none" w:sz="0" w:space="0" w:color="auto"/>
          </w:divBdr>
        </w:div>
        <w:div w:id="1181091970">
          <w:marLeft w:val="360"/>
          <w:marRight w:val="0"/>
          <w:marTop w:val="200"/>
          <w:marBottom w:val="0"/>
          <w:divBdr>
            <w:top w:val="none" w:sz="0" w:space="0" w:color="auto"/>
            <w:left w:val="none" w:sz="0" w:space="0" w:color="auto"/>
            <w:bottom w:val="none" w:sz="0" w:space="0" w:color="auto"/>
            <w:right w:val="none" w:sz="0" w:space="0" w:color="auto"/>
          </w:divBdr>
        </w:div>
        <w:div w:id="638344233">
          <w:marLeft w:val="360"/>
          <w:marRight w:val="0"/>
          <w:marTop w:val="200"/>
          <w:marBottom w:val="0"/>
          <w:divBdr>
            <w:top w:val="none" w:sz="0" w:space="0" w:color="auto"/>
            <w:left w:val="none" w:sz="0" w:space="0" w:color="auto"/>
            <w:bottom w:val="none" w:sz="0" w:space="0" w:color="auto"/>
            <w:right w:val="none" w:sz="0" w:space="0" w:color="auto"/>
          </w:divBdr>
        </w:div>
        <w:div w:id="1972053080">
          <w:marLeft w:val="360"/>
          <w:marRight w:val="0"/>
          <w:marTop w:val="200"/>
          <w:marBottom w:val="0"/>
          <w:divBdr>
            <w:top w:val="none" w:sz="0" w:space="0" w:color="auto"/>
            <w:left w:val="none" w:sz="0" w:space="0" w:color="auto"/>
            <w:bottom w:val="none" w:sz="0" w:space="0" w:color="auto"/>
            <w:right w:val="none" w:sz="0" w:space="0" w:color="auto"/>
          </w:divBdr>
        </w:div>
        <w:div w:id="336736037">
          <w:marLeft w:val="360"/>
          <w:marRight w:val="0"/>
          <w:marTop w:val="200"/>
          <w:marBottom w:val="0"/>
          <w:divBdr>
            <w:top w:val="none" w:sz="0" w:space="0" w:color="auto"/>
            <w:left w:val="none" w:sz="0" w:space="0" w:color="auto"/>
            <w:bottom w:val="none" w:sz="0" w:space="0" w:color="auto"/>
            <w:right w:val="none" w:sz="0" w:space="0" w:color="auto"/>
          </w:divBdr>
        </w:div>
      </w:divsChild>
    </w:div>
    <w:div w:id="1135490506">
      <w:bodyDiv w:val="1"/>
      <w:marLeft w:val="0"/>
      <w:marRight w:val="0"/>
      <w:marTop w:val="0"/>
      <w:marBottom w:val="0"/>
      <w:divBdr>
        <w:top w:val="none" w:sz="0" w:space="0" w:color="auto"/>
        <w:left w:val="none" w:sz="0" w:space="0" w:color="auto"/>
        <w:bottom w:val="none" w:sz="0" w:space="0" w:color="auto"/>
        <w:right w:val="none" w:sz="0" w:space="0" w:color="auto"/>
      </w:divBdr>
    </w:div>
    <w:div w:id="1141927571">
      <w:bodyDiv w:val="1"/>
      <w:marLeft w:val="0"/>
      <w:marRight w:val="0"/>
      <w:marTop w:val="0"/>
      <w:marBottom w:val="0"/>
      <w:divBdr>
        <w:top w:val="none" w:sz="0" w:space="0" w:color="auto"/>
        <w:left w:val="none" w:sz="0" w:space="0" w:color="auto"/>
        <w:bottom w:val="none" w:sz="0" w:space="0" w:color="auto"/>
        <w:right w:val="none" w:sz="0" w:space="0" w:color="auto"/>
      </w:divBdr>
    </w:div>
    <w:div w:id="1155875449">
      <w:bodyDiv w:val="1"/>
      <w:marLeft w:val="0"/>
      <w:marRight w:val="0"/>
      <w:marTop w:val="0"/>
      <w:marBottom w:val="0"/>
      <w:divBdr>
        <w:top w:val="none" w:sz="0" w:space="0" w:color="auto"/>
        <w:left w:val="none" w:sz="0" w:space="0" w:color="auto"/>
        <w:bottom w:val="none" w:sz="0" w:space="0" w:color="auto"/>
        <w:right w:val="none" w:sz="0" w:space="0" w:color="auto"/>
      </w:divBdr>
    </w:div>
    <w:div w:id="1166942066">
      <w:bodyDiv w:val="1"/>
      <w:marLeft w:val="0"/>
      <w:marRight w:val="0"/>
      <w:marTop w:val="0"/>
      <w:marBottom w:val="0"/>
      <w:divBdr>
        <w:top w:val="none" w:sz="0" w:space="0" w:color="auto"/>
        <w:left w:val="none" w:sz="0" w:space="0" w:color="auto"/>
        <w:bottom w:val="none" w:sz="0" w:space="0" w:color="auto"/>
        <w:right w:val="none" w:sz="0" w:space="0" w:color="auto"/>
      </w:divBdr>
    </w:div>
    <w:div w:id="1198422516">
      <w:bodyDiv w:val="1"/>
      <w:marLeft w:val="0"/>
      <w:marRight w:val="0"/>
      <w:marTop w:val="0"/>
      <w:marBottom w:val="0"/>
      <w:divBdr>
        <w:top w:val="none" w:sz="0" w:space="0" w:color="auto"/>
        <w:left w:val="none" w:sz="0" w:space="0" w:color="auto"/>
        <w:bottom w:val="none" w:sz="0" w:space="0" w:color="auto"/>
        <w:right w:val="none" w:sz="0" w:space="0" w:color="auto"/>
      </w:divBdr>
    </w:div>
    <w:div w:id="1200778840">
      <w:bodyDiv w:val="1"/>
      <w:marLeft w:val="0"/>
      <w:marRight w:val="0"/>
      <w:marTop w:val="0"/>
      <w:marBottom w:val="0"/>
      <w:divBdr>
        <w:top w:val="none" w:sz="0" w:space="0" w:color="auto"/>
        <w:left w:val="none" w:sz="0" w:space="0" w:color="auto"/>
        <w:bottom w:val="none" w:sz="0" w:space="0" w:color="auto"/>
        <w:right w:val="none" w:sz="0" w:space="0" w:color="auto"/>
      </w:divBdr>
    </w:div>
    <w:div w:id="1210806260">
      <w:bodyDiv w:val="1"/>
      <w:marLeft w:val="0"/>
      <w:marRight w:val="0"/>
      <w:marTop w:val="0"/>
      <w:marBottom w:val="0"/>
      <w:divBdr>
        <w:top w:val="none" w:sz="0" w:space="0" w:color="auto"/>
        <w:left w:val="none" w:sz="0" w:space="0" w:color="auto"/>
        <w:bottom w:val="none" w:sz="0" w:space="0" w:color="auto"/>
        <w:right w:val="none" w:sz="0" w:space="0" w:color="auto"/>
      </w:divBdr>
    </w:div>
    <w:div w:id="1250119718">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0013056">
      <w:bodyDiv w:val="1"/>
      <w:marLeft w:val="0"/>
      <w:marRight w:val="0"/>
      <w:marTop w:val="0"/>
      <w:marBottom w:val="0"/>
      <w:divBdr>
        <w:top w:val="none" w:sz="0" w:space="0" w:color="auto"/>
        <w:left w:val="none" w:sz="0" w:space="0" w:color="auto"/>
        <w:bottom w:val="none" w:sz="0" w:space="0" w:color="auto"/>
        <w:right w:val="none" w:sz="0" w:space="0" w:color="auto"/>
      </w:divBdr>
      <w:divsChild>
        <w:div w:id="1113941828">
          <w:marLeft w:val="0"/>
          <w:marRight w:val="0"/>
          <w:marTop w:val="0"/>
          <w:marBottom w:val="0"/>
          <w:divBdr>
            <w:top w:val="none" w:sz="0" w:space="0" w:color="auto"/>
            <w:left w:val="none" w:sz="0" w:space="0" w:color="auto"/>
            <w:bottom w:val="none" w:sz="0" w:space="0" w:color="auto"/>
            <w:right w:val="none" w:sz="0" w:space="0" w:color="auto"/>
          </w:divBdr>
          <w:divsChild>
            <w:div w:id="1644651685">
              <w:marLeft w:val="0"/>
              <w:marRight w:val="0"/>
              <w:marTop w:val="0"/>
              <w:marBottom w:val="0"/>
              <w:divBdr>
                <w:top w:val="none" w:sz="0" w:space="0" w:color="auto"/>
                <w:left w:val="none" w:sz="0" w:space="0" w:color="auto"/>
                <w:bottom w:val="none" w:sz="0" w:space="0" w:color="auto"/>
                <w:right w:val="none" w:sz="0" w:space="0" w:color="auto"/>
              </w:divBdr>
              <w:divsChild>
                <w:div w:id="12200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5125">
      <w:bodyDiv w:val="1"/>
      <w:marLeft w:val="0"/>
      <w:marRight w:val="0"/>
      <w:marTop w:val="0"/>
      <w:marBottom w:val="0"/>
      <w:divBdr>
        <w:top w:val="none" w:sz="0" w:space="0" w:color="auto"/>
        <w:left w:val="none" w:sz="0" w:space="0" w:color="auto"/>
        <w:bottom w:val="none" w:sz="0" w:space="0" w:color="auto"/>
        <w:right w:val="none" w:sz="0" w:space="0" w:color="auto"/>
      </w:divBdr>
    </w:div>
    <w:div w:id="1323894020">
      <w:bodyDiv w:val="1"/>
      <w:marLeft w:val="0"/>
      <w:marRight w:val="0"/>
      <w:marTop w:val="0"/>
      <w:marBottom w:val="0"/>
      <w:divBdr>
        <w:top w:val="none" w:sz="0" w:space="0" w:color="auto"/>
        <w:left w:val="none" w:sz="0" w:space="0" w:color="auto"/>
        <w:bottom w:val="none" w:sz="0" w:space="0" w:color="auto"/>
        <w:right w:val="none" w:sz="0" w:space="0" w:color="auto"/>
      </w:divBdr>
    </w:div>
    <w:div w:id="1342127207">
      <w:bodyDiv w:val="1"/>
      <w:marLeft w:val="0"/>
      <w:marRight w:val="0"/>
      <w:marTop w:val="0"/>
      <w:marBottom w:val="0"/>
      <w:divBdr>
        <w:top w:val="none" w:sz="0" w:space="0" w:color="auto"/>
        <w:left w:val="none" w:sz="0" w:space="0" w:color="auto"/>
        <w:bottom w:val="none" w:sz="0" w:space="0" w:color="auto"/>
        <w:right w:val="none" w:sz="0" w:space="0" w:color="auto"/>
      </w:divBdr>
    </w:div>
    <w:div w:id="1352074828">
      <w:bodyDiv w:val="1"/>
      <w:marLeft w:val="0"/>
      <w:marRight w:val="0"/>
      <w:marTop w:val="0"/>
      <w:marBottom w:val="0"/>
      <w:divBdr>
        <w:top w:val="none" w:sz="0" w:space="0" w:color="auto"/>
        <w:left w:val="none" w:sz="0" w:space="0" w:color="auto"/>
        <w:bottom w:val="none" w:sz="0" w:space="0" w:color="auto"/>
        <w:right w:val="none" w:sz="0" w:space="0" w:color="auto"/>
      </w:divBdr>
    </w:div>
    <w:div w:id="1390686053">
      <w:bodyDiv w:val="1"/>
      <w:marLeft w:val="0"/>
      <w:marRight w:val="0"/>
      <w:marTop w:val="0"/>
      <w:marBottom w:val="0"/>
      <w:divBdr>
        <w:top w:val="none" w:sz="0" w:space="0" w:color="auto"/>
        <w:left w:val="none" w:sz="0" w:space="0" w:color="auto"/>
        <w:bottom w:val="none" w:sz="0" w:space="0" w:color="auto"/>
        <w:right w:val="none" w:sz="0" w:space="0" w:color="auto"/>
      </w:divBdr>
    </w:div>
    <w:div w:id="1416853971">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41994791">
      <w:bodyDiv w:val="1"/>
      <w:marLeft w:val="0"/>
      <w:marRight w:val="0"/>
      <w:marTop w:val="0"/>
      <w:marBottom w:val="0"/>
      <w:divBdr>
        <w:top w:val="none" w:sz="0" w:space="0" w:color="auto"/>
        <w:left w:val="none" w:sz="0" w:space="0" w:color="auto"/>
        <w:bottom w:val="none" w:sz="0" w:space="0" w:color="auto"/>
        <w:right w:val="none" w:sz="0" w:space="0" w:color="auto"/>
      </w:divBdr>
    </w:div>
    <w:div w:id="1449467890">
      <w:bodyDiv w:val="1"/>
      <w:marLeft w:val="0"/>
      <w:marRight w:val="0"/>
      <w:marTop w:val="0"/>
      <w:marBottom w:val="0"/>
      <w:divBdr>
        <w:top w:val="none" w:sz="0" w:space="0" w:color="auto"/>
        <w:left w:val="none" w:sz="0" w:space="0" w:color="auto"/>
        <w:bottom w:val="none" w:sz="0" w:space="0" w:color="auto"/>
        <w:right w:val="none" w:sz="0" w:space="0" w:color="auto"/>
      </w:divBdr>
    </w:div>
    <w:div w:id="1451432148">
      <w:bodyDiv w:val="1"/>
      <w:marLeft w:val="0"/>
      <w:marRight w:val="0"/>
      <w:marTop w:val="0"/>
      <w:marBottom w:val="0"/>
      <w:divBdr>
        <w:top w:val="none" w:sz="0" w:space="0" w:color="auto"/>
        <w:left w:val="none" w:sz="0" w:space="0" w:color="auto"/>
        <w:bottom w:val="none" w:sz="0" w:space="0" w:color="auto"/>
        <w:right w:val="none" w:sz="0" w:space="0" w:color="auto"/>
      </w:divBdr>
    </w:div>
    <w:div w:id="1453744478">
      <w:bodyDiv w:val="1"/>
      <w:marLeft w:val="0"/>
      <w:marRight w:val="0"/>
      <w:marTop w:val="0"/>
      <w:marBottom w:val="0"/>
      <w:divBdr>
        <w:top w:val="none" w:sz="0" w:space="0" w:color="auto"/>
        <w:left w:val="none" w:sz="0" w:space="0" w:color="auto"/>
        <w:bottom w:val="none" w:sz="0" w:space="0" w:color="auto"/>
        <w:right w:val="none" w:sz="0" w:space="0" w:color="auto"/>
      </w:divBdr>
      <w:divsChild>
        <w:div w:id="145898330">
          <w:marLeft w:val="0"/>
          <w:marRight w:val="0"/>
          <w:marTop w:val="0"/>
          <w:marBottom w:val="0"/>
          <w:divBdr>
            <w:top w:val="none" w:sz="0" w:space="0" w:color="auto"/>
            <w:left w:val="none" w:sz="0" w:space="0" w:color="auto"/>
            <w:bottom w:val="none" w:sz="0" w:space="0" w:color="auto"/>
            <w:right w:val="none" w:sz="0" w:space="0" w:color="auto"/>
          </w:divBdr>
        </w:div>
        <w:div w:id="364871628">
          <w:marLeft w:val="0"/>
          <w:marRight w:val="0"/>
          <w:marTop w:val="0"/>
          <w:marBottom w:val="0"/>
          <w:divBdr>
            <w:top w:val="none" w:sz="0" w:space="0" w:color="auto"/>
            <w:left w:val="none" w:sz="0" w:space="0" w:color="auto"/>
            <w:bottom w:val="none" w:sz="0" w:space="0" w:color="auto"/>
            <w:right w:val="none" w:sz="0" w:space="0" w:color="auto"/>
          </w:divBdr>
        </w:div>
        <w:div w:id="688681195">
          <w:marLeft w:val="0"/>
          <w:marRight w:val="0"/>
          <w:marTop w:val="0"/>
          <w:marBottom w:val="0"/>
          <w:divBdr>
            <w:top w:val="none" w:sz="0" w:space="0" w:color="auto"/>
            <w:left w:val="none" w:sz="0" w:space="0" w:color="auto"/>
            <w:bottom w:val="none" w:sz="0" w:space="0" w:color="auto"/>
            <w:right w:val="none" w:sz="0" w:space="0" w:color="auto"/>
          </w:divBdr>
        </w:div>
        <w:div w:id="1032462202">
          <w:marLeft w:val="0"/>
          <w:marRight w:val="0"/>
          <w:marTop w:val="0"/>
          <w:marBottom w:val="0"/>
          <w:divBdr>
            <w:top w:val="none" w:sz="0" w:space="0" w:color="auto"/>
            <w:left w:val="none" w:sz="0" w:space="0" w:color="auto"/>
            <w:bottom w:val="none" w:sz="0" w:space="0" w:color="auto"/>
            <w:right w:val="none" w:sz="0" w:space="0" w:color="auto"/>
          </w:divBdr>
        </w:div>
        <w:div w:id="1685865159">
          <w:marLeft w:val="0"/>
          <w:marRight w:val="0"/>
          <w:marTop w:val="0"/>
          <w:marBottom w:val="0"/>
          <w:divBdr>
            <w:top w:val="none" w:sz="0" w:space="0" w:color="auto"/>
            <w:left w:val="none" w:sz="0" w:space="0" w:color="auto"/>
            <w:bottom w:val="none" w:sz="0" w:space="0" w:color="auto"/>
            <w:right w:val="none" w:sz="0" w:space="0" w:color="auto"/>
          </w:divBdr>
        </w:div>
      </w:divsChild>
    </w:div>
    <w:div w:id="1460109251">
      <w:bodyDiv w:val="1"/>
      <w:marLeft w:val="0"/>
      <w:marRight w:val="0"/>
      <w:marTop w:val="0"/>
      <w:marBottom w:val="0"/>
      <w:divBdr>
        <w:top w:val="none" w:sz="0" w:space="0" w:color="auto"/>
        <w:left w:val="none" w:sz="0" w:space="0" w:color="auto"/>
        <w:bottom w:val="none" w:sz="0" w:space="0" w:color="auto"/>
        <w:right w:val="none" w:sz="0" w:space="0" w:color="auto"/>
      </w:divBdr>
      <w:divsChild>
        <w:div w:id="2108693241">
          <w:marLeft w:val="360"/>
          <w:marRight w:val="0"/>
          <w:marTop w:val="200"/>
          <w:marBottom w:val="0"/>
          <w:divBdr>
            <w:top w:val="none" w:sz="0" w:space="0" w:color="auto"/>
            <w:left w:val="none" w:sz="0" w:space="0" w:color="auto"/>
            <w:bottom w:val="none" w:sz="0" w:space="0" w:color="auto"/>
            <w:right w:val="none" w:sz="0" w:space="0" w:color="auto"/>
          </w:divBdr>
        </w:div>
        <w:div w:id="12345393">
          <w:marLeft w:val="360"/>
          <w:marRight w:val="0"/>
          <w:marTop w:val="200"/>
          <w:marBottom w:val="0"/>
          <w:divBdr>
            <w:top w:val="none" w:sz="0" w:space="0" w:color="auto"/>
            <w:left w:val="none" w:sz="0" w:space="0" w:color="auto"/>
            <w:bottom w:val="none" w:sz="0" w:space="0" w:color="auto"/>
            <w:right w:val="none" w:sz="0" w:space="0" w:color="auto"/>
          </w:divBdr>
        </w:div>
      </w:divsChild>
    </w:div>
    <w:div w:id="1472360765">
      <w:bodyDiv w:val="1"/>
      <w:marLeft w:val="0"/>
      <w:marRight w:val="0"/>
      <w:marTop w:val="0"/>
      <w:marBottom w:val="0"/>
      <w:divBdr>
        <w:top w:val="none" w:sz="0" w:space="0" w:color="auto"/>
        <w:left w:val="none" w:sz="0" w:space="0" w:color="auto"/>
        <w:bottom w:val="none" w:sz="0" w:space="0" w:color="auto"/>
        <w:right w:val="none" w:sz="0" w:space="0" w:color="auto"/>
      </w:divBdr>
    </w:div>
    <w:div w:id="1477801560">
      <w:bodyDiv w:val="1"/>
      <w:marLeft w:val="0"/>
      <w:marRight w:val="0"/>
      <w:marTop w:val="0"/>
      <w:marBottom w:val="0"/>
      <w:divBdr>
        <w:top w:val="none" w:sz="0" w:space="0" w:color="auto"/>
        <w:left w:val="none" w:sz="0" w:space="0" w:color="auto"/>
        <w:bottom w:val="none" w:sz="0" w:space="0" w:color="auto"/>
        <w:right w:val="none" w:sz="0" w:space="0" w:color="auto"/>
      </w:divBdr>
    </w:div>
    <w:div w:id="1487547761">
      <w:bodyDiv w:val="1"/>
      <w:marLeft w:val="0"/>
      <w:marRight w:val="0"/>
      <w:marTop w:val="0"/>
      <w:marBottom w:val="0"/>
      <w:divBdr>
        <w:top w:val="none" w:sz="0" w:space="0" w:color="auto"/>
        <w:left w:val="none" w:sz="0" w:space="0" w:color="auto"/>
        <w:bottom w:val="none" w:sz="0" w:space="0" w:color="auto"/>
        <w:right w:val="none" w:sz="0" w:space="0" w:color="auto"/>
      </w:divBdr>
    </w:div>
    <w:div w:id="1507749878">
      <w:bodyDiv w:val="1"/>
      <w:marLeft w:val="0"/>
      <w:marRight w:val="0"/>
      <w:marTop w:val="0"/>
      <w:marBottom w:val="0"/>
      <w:divBdr>
        <w:top w:val="none" w:sz="0" w:space="0" w:color="auto"/>
        <w:left w:val="none" w:sz="0" w:space="0" w:color="auto"/>
        <w:bottom w:val="none" w:sz="0" w:space="0" w:color="auto"/>
        <w:right w:val="none" w:sz="0" w:space="0" w:color="auto"/>
      </w:divBdr>
    </w:div>
    <w:div w:id="1533759069">
      <w:bodyDiv w:val="1"/>
      <w:marLeft w:val="0"/>
      <w:marRight w:val="0"/>
      <w:marTop w:val="0"/>
      <w:marBottom w:val="0"/>
      <w:divBdr>
        <w:top w:val="none" w:sz="0" w:space="0" w:color="auto"/>
        <w:left w:val="none" w:sz="0" w:space="0" w:color="auto"/>
        <w:bottom w:val="none" w:sz="0" w:space="0" w:color="auto"/>
        <w:right w:val="none" w:sz="0" w:space="0" w:color="auto"/>
      </w:divBdr>
    </w:div>
    <w:div w:id="1535389558">
      <w:bodyDiv w:val="1"/>
      <w:marLeft w:val="0"/>
      <w:marRight w:val="0"/>
      <w:marTop w:val="0"/>
      <w:marBottom w:val="0"/>
      <w:divBdr>
        <w:top w:val="none" w:sz="0" w:space="0" w:color="auto"/>
        <w:left w:val="none" w:sz="0" w:space="0" w:color="auto"/>
        <w:bottom w:val="none" w:sz="0" w:space="0" w:color="auto"/>
        <w:right w:val="none" w:sz="0" w:space="0" w:color="auto"/>
      </w:divBdr>
    </w:div>
    <w:div w:id="1544706508">
      <w:bodyDiv w:val="1"/>
      <w:marLeft w:val="0"/>
      <w:marRight w:val="0"/>
      <w:marTop w:val="0"/>
      <w:marBottom w:val="0"/>
      <w:divBdr>
        <w:top w:val="none" w:sz="0" w:space="0" w:color="auto"/>
        <w:left w:val="none" w:sz="0" w:space="0" w:color="auto"/>
        <w:bottom w:val="none" w:sz="0" w:space="0" w:color="auto"/>
        <w:right w:val="none" w:sz="0" w:space="0" w:color="auto"/>
      </w:divBdr>
      <w:divsChild>
        <w:div w:id="1622036261">
          <w:marLeft w:val="547"/>
          <w:marRight w:val="0"/>
          <w:marTop w:val="86"/>
          <w:marBottom w:val="120"/>
          <w:divBdr>
            <w:top w:val="none" w:sz="0" w:space="0" w:color="auto"/>
            <w:left w:val="none" w:sz="0" w:space="0" w:color="auto"/>
            <w:bottom w:val="none" w:sz="0" w:space="0" w:color="auto"/>
            <w:right w:val="none" w:sz="0" w:space="0" w:color="auto"/>
          </w:divBdr>
        </w:div>
      </w:divsChild>
    </w:div>
    <w:div w:id="1554464899">
      <w:bodyDiv w:val="1"/>
      <w:marLeft w:val="0"/>
      <w:marRight w:val="0"/>
      <w:marTop w:val="0"/>
      <w:marBottom w:val="0"/>
      <w:divBdr>
        <w:top w:val="none" w:sz="0" w:space="0" w:color="auto"/>
        <w:left w:val="none" w:sz="0" w:space="0" w:color="auto"/>
        <w:bottom w:val="none" w:sz="0" w:space="0" w:color="auto"/>
        <w:right w:val="none" w:sz="0" w:space="0" w:color="auto"/>
      </w:divBdr>
    </w:div>
    <w:div w:id="1583680194">
      <w:bodyDiv w:val="1"/>
      <w:marLeft w:val="0"/>
      <w:marRight w:val="0"/>
      <w:marTop w:val="0"/>
      <w:marBottom w:val="0"/>
      <w:divBdr>
        <w:top w:val="none" w:sz="0" w:space="0" w:color="auto"/>
        <w:left w:val="none" w:sz="0" w:space="0" w:color="auto"/>
        <w:bottom w:val="none" w:sz="0" w:space="0" w:color="auto"/>
        <w:right w:val="none" w:sz="0" w:space="0" w:color="auto"/>
      </w:divBdr>
    </w:div>
    <w:div w:id="1636136218">
      <w:bodyDiv w:val="1"/>
      <w:marLeft w:val="0"/>
      <w:marRight w:val="0"/>
      <w:marTop w:val="0"/>
      <w:marBottom w:val="0"/>
      <w:divBdr>
        <w:top w:val="none" w:sz="0" w:space="0" w:color="auto"/>
        <w:left w:val="none" w:sz="0" w:space="0" w:color="auto"/>
        <w:bottom w:val="none" w:sz="0" w:space="0" w:color="auto"/>
        <w:right w:val="none" w:sz="0" w:space="0" w:color="auto"/>
      </w:divBdr>
    </w:div>
    <w:div w:id="1641574441">
      <w:bodyDiv w:val="1"/>
      <w:marLeft w:val="0"/>
      <w:marRight w:val="0"/>
      <w:marTop w:val="0"/>
      <w:marBottom w:val="0"/>
      <w:divBdr>
        <w:top w:val="none" w:sz="0" w:space="0" w:color="auto"/>
        <w:left w:val="none" w:sz="0" w:space="0" w:color="auto"/>
        <w:bottom w:val="none" w:sz="0" w:space="0" w:color="auto"/>
        <w:right w:val="none" w:sz="0" w:space="0" w:color="auto"/>
      </w:divBdr>
    </w:div>
    <w:div w:id="1660959004">
      <w:bodyDiv w:val="1"/>
      <w:marLeft w:val="0"/>
      <w:marRight w:val="0"/>
      <w:marTop w:val="0"/>
      <w:marBottom w:val="0"/>
      <w:divBdr>
        <w:top w:val="none" w:sz="0" w:space="0" w:color="auto"/>
        <w:left w:val="none" w:sz="0" w:space="0" w:color="auto"/>
        <w:bottom w:val="none" w:sz="0" w:space="0" w:color="auto"/>
        <w:right w:val="none" w:sz="0" w:space="0" w:color="auto"/>
      </w:divBdr>
    </w:div>
    <w:div w:id="1681393274">
      <w:bodyDiv w:val="1"/>
      <w:marLeft w:val="0"/>
      <w:marRight w:val="0"/>
      <w:marTop w:val="0"/>
      <w:marBottom w:val="0"/>
      <w:divBdr>
        <w:top w:val="none" w:sz="0" w:space="0" w:color="auto"/>
        <w:left w:val="none" w:sz="0" w:space="0" w:color="auto"/>
        <w:bottom w:val="none" w:sz="0" w:space="0" w:color="auto"/>
        <w:right w:val="none" w:sz="0" w:space="0" w:color="auto"/>
      </w:divBdr>
    </w:div>
    <w:div w:id="1690181661">
      <w:bodyDiv w:val="1"/>
      <w:marLeft w:val="0"/>
      <w:marRight w:val="0"/>
      <w:marTop w:val="0"/>
      <w:marBottom w:val="0"/>
      <w:divBdr>
        <w:top w:val="none" w:sz="0" w:space="0" w:color="auto"/>
        <w:left w:val="none" w:sz="0" w:space="0" w:color="auto"/>
        <w:bottom w:val="none" w:sz="0" w:space="0" w:color="auto"/>
        <w:right w:val="none" w:sz="0" w:space="0" w:color="auto"/>
      </w:divBdr>
    </w:div>
    <w:div w:id="1736584129">
      <w:bodyDiv w:val="1"/>
      <w:marLeft w:val="0"/>
      <w:marRight w:val="0"/>
      <w:marTop w:val="0"/>
      <w:marBottom w:val="0"/>
      <w:divBdr>
        <w:top w:val="none" w:sz="0" w:space="0" w:color="auto"/>
        <w:left w:val="none" w:sz="0" w:space="0" w:color="auto"/>
        <w:bottom w:val="none" w:sz="0" w:space="0" w:color="auto"/>
        <w:right w:val="none" w:sz="0" w:space="0" w:color="auto"/>
      </w:divBdr>
    </w:div>
    <w:div w:id="1750732796">
      <w:bodyDiv w:val="1"/>
      <w:marLeft w:val="0"/>
      <w:marRight w:val="0"/>
      <w:marTop w:val="0"/>
      <w:marBottom w:val="0"/>
      <w:divBdr>
        <w:top w:val="none" w:sz="0" w:space="0" w:color="auto"/>
        <w:left w:val="none" w:sz="0" w:space="0" w:color="auto"/>
        <w:bottom w:val="none" w:sz="0" w:space="0" w:color="auto"/>
        <w:right w:val="none" w:sz="0" w:space="0" w:color="auto"/>
      </w:divBdr>
    </w:div>
    <w:div w:id="1777631112">
      <w:bodyDiv w:val="1"/>
      <w:marLeft w:val="0"/>
      <w:marRight w:val="0"/>
      <w:marTop w:val="0"/>
      <w:marBottom w:val="0"/>
      <w:divBdr>
        <w:top w:val="none" w:sz="0" w:space="0" w:color="auto"/>
        <w:left w:val="none" w:sz="0" w:space="0" w:color="auto"/>
        <w:bottom w:val="none" w:sz="0" w:space="0" w:color="auto"/>
        <w:right w:val="none" w:sz="0" w:space="0" w:color="auto"/>
      </w:divBdr>
    </w:div>
    <w:div w:id="1779714229">
      <w:bodyDiv w:val="1"/>
      <w:marLeft w:val="0"/>
      <w:marRight w:val="0"/>
      <w:marTop w:val="0"/>
      <w:marBottom w:val="0"/>
      <w:divBdr>
        <w:top w:val="none" w:sz="0" w:space="0" w:color="auto"/>
        <w:left w:val="none" w:sz="0" w:space="0" w:color="auto"/>
        <w:bottom w:val="none" w:sz="0" w:space="0" w:color="auto"/>
        <w:right w:val="none" w:sz="0" w:space="0" w:color="auto"/>
      </w:divBdr>
    </w:div>
    <w:div w:id="1819347574">
      <w:bodyDiv w:val="1"/>
      <w:marLeft w:val="0"/>
      <w:marRight w:val="0"/>
      <w:marTop w:val="0"/>
      <w:marBottom w:val="0"/>
      <w:divBdr>
        <w:top w:val="none" w:sz="0" w:space="0" w:color="auto"/>
        <w:left w:val="none" w:sz="0" w:space="0" w:color="auto"/>
        <w:bottom w:val="none" w:sz="0" w:space="0" w:color="auto"/>
        <w:right w:val="none" w:sz="0" w:space="0" w:color="auto"/>
      </w:divBdr>
    </w:div>
    <w:div w:id="1840729075">
      <w:bodyDiv w:val="1"/>
      <w:marLeft w:val="0"/>
      <w:marRight w:val="0"/>
      <w:marTop w:val="0"/>
      <w:marBottom w:val="0"/>
      <w:divBdr>
        <w:top w:val="none" w:sz="0" w:space="0" w:color="auto"/>
        <w:left w:val="none" w:sz="0" w:space="0" w:color="auto"/>
        <w:bottom w:val="none" w:sz="0" w:space="0" w:color="auto"/>
        <w:right w:val="none" w:sz="0" w:space="0" w:color="auto"/>
      </w:divBdr>
    </w:div>
    <w:div w:id="1854681515">
      <w:bodyDiv w:val="1"/>
      <w:marLeft w:val="0"/>
      <w:marRight w:val="0"/>
      <w:marTop w:val="0"/>
      <w:marBottom w:val="0"/>
      <w:divBdr>
        <w:top w:val="none" w:sz="0" w:space="0" w:color="auto"/>
        <w:left w:val="none" w:sz="0" w:space="0" w:color="auto"/>
        <w:bottom w:val="none" w:sz="0" w:space="0" w:color="auto"/>
        <w:right w:val="none" w:sz="0" w:space="0" w:color="auto"/>
      </w:divBdr>
    </w:div>
    <w:div w:id="1903905410">
      <w:bodyDiv w:val="1"/>
      <w:marLeft w:val="0"/>
      <w:marRight w:val="0"/>
      <w:marTop w:val="0"/>
      <w:marBottom w:val="0"/>
      <w:divBdr>
        <w:top w:val="none" w:sz="0" w:space="0" w:color="auto"/>
        <w:left w:val="none" w:sz="0" w:space="0" w:color="auto"/>
        <w:bottom w:val="none" w:sz="0" w:space="0" w:color="auto"/>
        <w:right w:val="none" w:sz="0" w:space="0" w:color="auto"/>
      </w:divBdr>
    </w:div>
    <w:div w:id="1925186924">
      <w:bodyDiv w:val="1"/>
      <w:marLeft w:val="0"/>
      <w:marRight w:val="0"/>
      <w:marTop w:val="0"/>
      <w:marBottom w:val="0"/>
      <w:divBdr>
        <w:top w:val="none" w:sz="0" w:space="0" w:color="auto"/>
        <w:left w:val="none" w:sz="0" w:space="0" w:color="auto"/>
        <w:bottom w:val="none" w:sz="0" w:space="0" w:color="auto"/>
        <w:right w:val="none" w:sz="0" w:space="0" w:color="auto"/>
      </w:divBdr>
    </w:div>
    <w:div w:id="1937783995">
      <w:bodyDiv w:val="1"/>
      <w:marLeft w:val="0"/>
      <w:marRight w:val="0"/>
      <w:marTop w:val="0"/>
      <w:marBottom w:val="0"/>
      <w:divBdr>
        <w:top w:val="none" w:sz="0" w:space="0" w:color="auto"/>
        <w:left w:val="none" w:sz="0" w:space="0" w:color="auto"/>
        <w:bottom w:val="none" w:sz="0" w:space="0" w:color="auto"/>
        <w:right w:val="none" w:sz="0" w:space="0" w:color="auto"/>
      </w:divBdr>
    </w:div>
    <w:div w:id="1942569002">
      <w:bodyDiv w:val="1"/>
      <w:marLeft w:val="0"/>
      <w:marRight w:val="0"/>
      <w:marTop w:val="0"/>
      <w:marBottom w:val="0"/>
      <w:divBdr>
        <w:top w:val="none" w:sz="0" w:space="0" w:color="auto"/>
        <w:left w:val="none" w:sz="0" w:space="0" w:color="auto"/>
        <w:bottom w:val="none" w:sz="0" w:space="0" w:color="auto"/>
        <w:right w:val="none" w:sz="0" w:space="0" w:color="auto"/>
      </w:divBdr>
    </w:div>
    <w:div w:id="1961372498">
      <w:bodyDiv w:val="1"/>
      <w:marLeft w:val="0"/>
      <w:marRight w:val="0"/>
      <w:marTop w:val="0"/>
      <w:marBottom w:val="0"/>
      <w:divBdr>
        <w:top w:val="none" w:sz="0" w:space="0" w:color="auto"/>
        <w:left w:val="none" w:sz="0" w:space="0" w:color="auto"/>
        <w:bottom w:val="none" w:sz="0" w:space="0" w:color="auto"/>
        <w:right w:val="none" w:sz="0" w:space="0" w:color="auto"/>
      </w:divBdr>
    </w:div>
    <w:div w:id="1968968130">
      <w:bodyDiv w:val="1"/>
      <w:marLeft w:val="0"/>
      <w:marRight w:val="0"/>
      <w:marTop w:val="0"/>
      <w:marBottom w:val="0"/>
      <w:divBdr>
        <w:top w:val="none" w:sz="0" w:space="0" w:color="auto"/>
        <w:left w:val="none" w:sz="0" w:space="0" w:color="auto"/>
        <w:bottom w:val="none" w:sz="0" w:space="0" w:color="auto"/>
        <w:right w:val="none" w:sz="0" w:space="0" w:color="auto"/>
      </w:divBdr>
    </w:div>
    <w:div w:id="1979601767">
      <w:bodyDiv w:val="1"/>
      <w:marLeft w:val="0"/>
      <w:marRight w:val="0"/>
      <w:marTop w:val="0"/>
      <w:marBottom w:val="0"/>
      <w:divBdr>
        <w:top w:val="none" w:sz="0" w:space="0" w:color="auto"/>
        <w:left w:val="none" w:sz="0" w:space="0" w:color="auto"/>
        <w:bottom w:val="none" w:sz="0" w:space="0" w:color="auto"/>
        <w:right w:val="none" w:sz="0" w:space="0" w:color="auto"/>
      </w:divBdr>
    </w:div>
    <w:div w:id="2029985807">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261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06C4-105C-430A-B286-3E0AB74A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10653</Words>
  <Characters>60725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2018-02-19T23:52:00Z</dcterms:created>
  <dcterms:modified xsi:type="dcterms:W3CDTF">2018-02-19T23:53:00Z</dcterms:modified>
</cp:coreProperties>
</file>