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08" w:rsidRPr="004840E3" w:rsidRDefault="003F4046" w:rsidP="004840E3">
      <w:pPr>
        <w:pStyle w:val="Heading1"/>
        <w:numPr>
          <w:ilvl w:val="0"/>
          <w:numId w:val="0"/>
        </w:numPr>
        <w:spacing w:after="0"/>
        <w:ind w:left="709" w:hanging="709"/>
        <w:rPr>
          <w:rFonts w:cs="Arial"/>
          <w:sz w:val="36"/>
          <w:szCs w:val="36"/>
        </w:rPr>
      </w:pPr>
      <w:bookmarkStart w:id="0" w:name="_Toc490140967"/>
      <w:bookmarkStart w:id="1" w:name="_Toc492658925"/>
      <w:bookmarkStart w:id="2" w:name="_Toc413139271"/>
      <w:r w:rsidRPr="00E17531">
        <w:rPr>
          <w:rFonts w:ascii="Arial" w:hAnsi="Arial" w:cs="Arial"/>
          <w:sz w:val="28"/>
        </w:rPr>
        <w:t>7.07</w:t>
      </w:r>
      <w:r w:rsidRPr="00E17531">
        <w:rPr>
          <w:rFonts w:ascii="Arial" w:hAnsi="Arial" w:cs="Arial"/>
          <w:sz w:val="28"/>
        </w:rPr>
        <w:tab/>
      </w:r>
      <w:r w:rsidR="008E4008" w:rsidRPr="00E17531">
        <w:rPr>
          <w:rFonts w:cs="Arial"/>
          <w:sz w:val="36"/>
          <w:szCs w:val="36"/>
        </w:rPr>
        <w:t>PEMBROLIZUMAB,</w:t>
      </w:r>
      <w:r w:rsidR="004840E3">
        <w:rPr>
          <w:rFonts w:cs="Arial"/>
          <w:sz w:val="36"/>
          <w:szCs w:val="36"/>
        </w:rPr>
        <w:br/>
      </w:r>
      <w:r w:rsidR="00D16524" w:rsidRPr="000E19AE">
        <w:rPr>
          <w:sz w:val="36"/>
          <w:szCs w:val="36"/>
        </w:rPr>
        <w:t>Powder for injection 50 mg,</w:t>
      </w:r>
      <w:r w:rsidR="00D16524">
        <w:rPr>
          <w:sz w:val="36"/>
          <w:szCs w:val="36"/>
        </w:rPr>
        <w:br/>
      </w:r>
      <w:r w:rsidR="00D16524" w:rsidRPr="000E19AE">
        <w:rPr>
          <w:sz w:val="36"/>
          <w:szCs w:val="36"/>
        </w:rPr>
        <w:t xml:space="preserve">Solution concentrate for I.V. infusion 100 mg in 4 mL, </w:t>
      </w:r>
      <w:r w:rsidR="00467922">
        <w:rPr>
          <w:rFonts w:cs="Arial"/>
          <w:sz w:val="36"/>
          <w:szCs w:val="36"/>
        </w:rPr>
        <w:t>K</w:t>
      </w:r>
      <w:r w:rsidR="00D16524">
        <w:rPr>
          <w:rFonts w:cs="Arial"/>
          <w:sz w:val="36"/>
          <w:szCs w:val="36"/>
        </w:rPr>
        <w:t>eytruda</w:t>
      </w:r>
      <w:r w:rsidR="008E4008" w:rsidRPr="00E17531">
        <w:rPr>
          <w:rFonts w:cs="Arial"/>
          <w:sz w:val="36"/>
          <w:szCs w:val="36"/>
          <w:vertAlign w:val="superscript"/>
        </w:rPr>
        <w:t>®</w:t>
      </w:r>
      <w:r w:rsidR="00467922">
        <w:rPr>
          <w:rFonts w:cs="Arial"/>
          <w:sz w:val="36"/>
          <w:szCs w:val="36"/>
        </w:rPr>
        <w:t>,</w:t>
      </w:r>
      <w:r w:rsidR="00D16524">
        <w:rPr>
          <w:rFonts w:cs="Arial"/>
          <w:sz w:val="36"/>
          <w:szCs w:val="36"/>
        </w:rPr>
        <w:t xml:space="preserve"> </w:t>
      </w:r>
      <w:r w:rsidR="008E4008" w:rsidRPr="00E17531">
        <w:rPr>
          <w:rFonts w:cs="Arial"/>
          <w:sz w:val="36"/>
          <w:szCs w:val="36"/>
        </w:rPr>
        <w:t>Merck Sharp &amp; Dohme (</w:t>
      </w:r>
      <w:r w:rsidR="00F636CB">
        <w:rPr>
          <w:rFonts w:cs="Arial"/>
          <w:sz w:val="36"/>
          <w:szCs w:val="36"/>
        </w:rPr>
        <w:t>Australia</w:t>
      </w:r>
      <w:r w:rsidR="008E4008" w:rsidRPr="00E17531">
        <w:rPr>
          <w:rFonts w:cs="Arial"/>
          <w:sz w:val="36"/>
          <w:szCs w:val="36"/>
        </w:rPr>
        <w:t>) Pty Ltd</w:t>
      </w:r>
    </w:p>
    <w:p w:rsidR="00013E26" w:rsidRPr="00E17531" w:rsidRDefault="00013E26" w:rsidP="00D74B10">
      <w:pPr>
        <w:pStyle w:val="ESHeading1"/>
        <w:numPr>
          <w:ilvl w:val="0"/>
          <w:numId w:val="18"/>
        </w:numPr>
      </w:pPr>
      <w:r w:rsidRPr="00E17531">
        <w:t>Purpose of submission</w:t>
      </w:r>
      <w:bookmarkEnd w:id="0"/>
      <w:bookmarkEnd w:id="1"/>
    </w:p>
    <w:p w:rsidR="00013E26" w:rsidRPr="00E17531" w:rsidRDefault="00013E26" w:rsidP="00FA7956">
      <w:pPr>
        <w:pStyle w:val="ListParagraph"/>
        <w:numPr>
          <w:ilvl w:val="4"/>
          <w:numId w:val="5"/>
        </w:numPr>
        <w:spacing w:before="0" w:after="120"/>
        <w:ind w:left="709" w:hanging="709"/>
        <w:rPr>
          <w:color w:val="auto"/>
        </w:rPr>
      </w:pPr>
      <w:bookmarkStart w:id="3" w:name="_Toc490140968"/>
      <w:bookmarkEnd w:id="2"/>
      <w:r w:rsidRPr="00E17531">
        <w:rPr>
          <w:color w:val="auto"/>
        </w:rPr>
        <w:t>The resubmission requested a Section 100 (Efficient Funding of Chemotherapy) (S100 EFC) Authority Required listing of pembrolizumab for the first-line treatment of patients with metastatic (Stage IV) non-small cell lung cancer (NSCLC), who</w:t>
      </w:r>
      <w:r w:rsidR="001F2BE0">
        <w:rPr>
          <w:color w:val="auto"/>
        </w:rPr>
        <w:t>se tumours</w:t>
      </w:r>
      <w:r w:rsidRPr="00E17531">
        <w:rPr>
          <w:color w:val="auto"/>
        </w:rPr>
        <w:t xml:space="preserve"> do not have an activating epidermal growth factor receptor (</w:t>
      </w:r>
      <w:r w:rsidRPr="00E17531">
        <w:rPr>
          <w:i/>
          <w:color w:val="auto"/>
        </w:rPr>
        <w:t>EGFR</w:t>
      </w:r>
      <w:r w:rsidRPr="00E17531">
        <w:rPr>
          <w:color w:val="auto"/>
        </w:rPr>
        <w:t>) gene mutation or an anaplastic lymphoma kinase (</w:t>
      </w:r>
      <w:r w:rsidRPr="00E17531">
        <w:rPr>
          <w:i/>
          <w:color w:val="auto"/>
        </w:rPr>
        <w:t>ALK</w:t>
      </w:r>
      <w:r w:rsidRPr="00E17531">
        <w:rPr>
          <w:color w:val="auto"/>
        </w:rPr>
        <w:t>) gene rearrangement in tumour material, and w</w:t>
      </w:r>
      <w:r w:rsidR="001F2BE0">
        <w:rPr>
          <w:color w:val="auto"/>
        </w:rPr>
        <w:t xml:space="preserve">hose tumours express </w:t>
      </w:r>
      <w:r w:rsidRPr="00E17531">
        <w:rPr>
          <w:color w:val="auto"/>
        </w:rPr>
        <w:t xml:space="preserve">high levels of </w:t>
      </w:r>
      <w:r w:rsidRPr="00E17531">
        <w:t>programmed cell death ligand 1 (</w:t>
      </w:r>
      <w:r w:rsidRPr="00E17531">
        <w:rPr>
          <w:color w:val="auto"/>
        </w:rPr>
        <w:t xml:space="preserve">PD-L1), defined as a tumour </w:t>
      </w:r>
      <w:r w:rsidR="00936F2E" w:rsidRPr="00E17531">
        <w:rPr>
          <w:color w:val="auto"/>
        </w:rPr>
        <w:t>proportion score (TPS) of ≥50%.</w:t>
      </w:r>
    </w:p>
    <w:p w:rsidR="00C95AD8" w:rsidRDefault="00013E26" w:rsidP="004840E3">
      <w:pPr>
        <w:pStyle w:val="ListParagraph"/>
        <w:numPr>
          <w:ilvl w:val="4"/>
          <w:numId w:val="5"/>
        </w:numPr>
        <w:spacing w:before="0" w:after="120"/>
        <w:ind w:left="709" w:hanging="709"/>
      </w:pPr>
      <w:r w:rsidRPr="00E17531">
        <w:t xml:space="preserve">The </w:t>
      </w:r>
      <w:r w:rsidR="007479FA" w:rsidRPr="00E17531">
        <w:t xml:space="preserve">integrated codependent </w:t>
      </w:r>
      <w:r w:rsidRPr="00E17531">
        <w:t xml:space="preserve">resubmission also requested </w:t>
      </w:r>
      <w:r w:rsidR="007479FA" w:rsidRPr="00E17531">
        <w:t xml:space="preserve">the Medical Services Advisory Committee (MSAC) reconsider </w:t>
      </w:r>
      <w:r w:rsidRPr="00E17531">
        <w:t xml:space="preserve">a </w:t>
      </w:r>
      <w:r w:rsidR="007479FA" w:rsidRPr="00E17531">
        <w:t>Medical Benefits Schedule (</w:t>
      </w:r>
      <w:r w:rsidRPr="00E17531">
        <w:rPr>
          <w:color w:val="auto"/>
        </w:rPr>
        <w:t>MBS</w:t>
      </w:r>
      <w:r w:rsidR="007479FA" w:rsidRPr="00E17531">
        <w:rPr>
          <w:color w:val="auto"/>
        </w:rPr>
        <w:t>)</w:t>
      </w:r>
      <w:r w:rsidRPr="00E17531">
        <w:rPr>
          <w:color w:val="auto"/>
        </w:rPr>
        <w:t xml:space="preserve"> </w:t>
      </w:r>
      <w:r w:rsidRPr="00E17531">
        <w:t xml:space="preserve">listing of immunohistochemistry (IHC) testing </w:t>
      </w:r>
      <w:r w:rsidRPr="00E17531">
        <w:rPr>
          <w:color w:val="auto"/>
        </w:rPr>
        <w:t>for</w:t>
      </w:r>
      <w:r w:rsidRPr="00E17531">
        <w:t xml:space="preserve"> the evaluation of PD-L1 expression to determine if the requirements relating to PD-L1 status for PBS eligibility to pembrolizumab are met.</w:t>
      </w:r>
    </w:p>
    <w:p w:rsidR="004840E3" w:rsidRPr="004840E3" w:rsidRDefault="004840E3" w:rsidP="004840E3">
      <w:pPr>
        <w:pStyle w:val="ListParagraph"/>
        <w:spacing w:before="0" w:after="120"/>
        <w:ind w:left="709" w:firstLine="0"/>
      </w:pPr>
    </w:p>
    <w:p w:rsidR="00013E26" w:rsidRPr="00E17531" w:rsidRDefault="00013E26" w:rsidP="008F1A10">
      <w:pPr>
        <w:pStyle w:val="Caption"/>
      </w:pPr>
      <w:r w:rsidRPr="00E17531">
        <w:t xml:space="preserve">Table </w:t>
      </w:r>
      <w:r w:rsidR="007C0056">
        <w:rPr>
          <w:noProof/>
        </w:rPr>
        <w:t>1</w:t>
      </w:r>
      <w:r w:rsidRPr="00E17531">
        <w:t>: Evidence provided in the submission to support the use of the codependent technology</w:t>
      </w:r>
    </w:p>
    <w:tbl>
      <w:tblPr>
        <w:tblStyle w:val="PBACTableStyle"/>
        <w:tblW w:w="0" w:type="auto"/>
        <w:tblLook w:val="04A0" w:firstRow="1" w:lastRow="0" w:firstColumn="1" w:lastColumn="0" w:noHBand="0" w:noVBand="1"/>
        <w:tblCaption w:val="Table 1: Evidence provided in the submission to support the use of the codependent technology"/>
      </w:tblPr>
      <w:tblGrid>
        <w:gridCol w:w="1696"/>
        <w:gridCol w:w="7320"/>
      </w:tblGrid>
      <w:tr w:rsidR="00013E26" w:rsidRPr="00E17531" w:rsidTr="004677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rsidR="00013E26" w:rsidRPr="00E17531" w:rsidRDefault="00013E26" w:rsidP="00622343">
            <w:pPr>
              <w:pStyle w:val="TableText"/>
              <w:keepNext/>
            </w:pPr>
            <w:r w:rsidRPr="00E17531">
              <w:t>Component</w:t>
            </w:r>
          </w:p>
        </w:tc>
        <w:tc>
          <w:tcPr>
            <w:tcW w:w="7320" w:type="dxa"/>
          </w:tcPr>
          <w:p w:rsidR="00013E26" w:rsidRPr="00E17531" w:rsidRDefault="00013E26" w:rsidP="00622343">
            <w:pPr>
              <w:pStyle w:val="TableText"/>
              <w:keepNext/>
              <w:cnfStyle w:val="100000000000" w:firstRow="1" w:lastRow="0" w:firstColumn="0" w:lastColumn="0" w:oddVBand="0" w:evenVBand="0" w:oddHBand="0" w:evenHBand="0" w:firstRowFirstColumn="0" w:firstRowLastColumn="0" w:lastRowFirstColumn="0" w:lastRowLastColumn="0"/>
            </w:pPr>
            <w:r w:rsidRPr="00E17531">
              <w:t>Description</w:t>
            </w:r>
          </w:p>
        </w:tc>
      </w:tr>
      <w:tr w:rsidR="00013E26" w:rsidRPr="00E17531" w:rsidTr="00622343">
        <w:tc>
          <w:tcPr>
            <w:cnfStyle w:val="001000000000" w:firstRow="0" w:lastRow="0" w:firstColumn="1" w:lastColumn="0" w:oddVBand="0" w:evenVBand="0" w:oddHBand="0" w:evenHBand="0" w:firstRowFirstColumn="0" w:firstRowLastColumn="0" w:lastRowFirstColumn="0" w:lastRowLastColumn="0"/>
            <w:tcW w:w="1696" w:type="dxa"/>
          </w:tcPr>
          <w:p w:rsidR="00013E26" w:rsidRPr="00E17531" w:rsidRDefault="00013E26" w:rsidP="00622343">
            <w:pPr>
              <w:pStyle w:val="TableText"/>
              <w:keepNext/>
            </w:pPr>
            <w:r w:rsidRPr="00E17531">
              <w:t>Population</w:t>
            </w:r>
          </w:p>
        </w:tc>
        <w:tc>
          <w:tcPr>
            <w:tcW w:w="7320" w:type="dxa"/>
          </w:tcPr>
          <w:p w:rsidR="00013E26" w:rsidRPr="00E17531" w:rsidRDefault="00013E26" w:rsidP="00622343">
            <w:pPr>
              <w:pStyle w:val="TableText"/>
              <w:keepNext/>
              <w:cnfStyle w:val="000000000000" w:firstRow="0" w:lastRow="0" w:firstColumn="0" w:lastColumn="0" w:oddVBand="0" w:evenVBand="0" w:oddHBand="0" w:evenHBand="0" w:firstRowFirstColumn="0" w:firstRowLastColumn="0" w:lastRowFirstColumn="0" w:lastRowLastColumn="0"/>
            </w:pPr>
            <w:r w:rsidRPr="00E17531">
              <w:t>Test: Patient diagnosed with NSCLC</w:t>
            </w:r>
          </w:p>
          <w:p w:rsidR="00013E26" w:rsidRPr="00E17531" w:rsidRDefault="00013E26" w:rsidP="00622343">
            <w:pPr>
              <w:pStyle w:val="TableText"/>
              <w:keepNext/>
              <w:cnfStyle w:val="000000000000" w:firstRow="0" w:lastRow="0" w:firstColumn="0" w:lastColumn="0" w:oddVBand="0" w:evenVBand="0" w:oddHBand="0" w:evenHBand="0" w:firstRowFirstColumn="0" w:firstRowLastColumn="0" w:lastRowFirstColumn="0" w:lastRowLastColumn="0"/>
            </w:pPr>
            <w:r w:rsidRPr="00E17531">
              <w:t xml:space="preserve">Medicine: Stage IV NSCLC in patients with performance status of 0 or 1 whose tumours are </w:t>
            </w:r>
            <w:r w:rsidRPr="00E17531">
              <w:rPr>
                <w:i/>
              </w:rPr>
              <w:t>EGFR</w:t>
            </w:r>
            <w:r w:rsidRPr="00E17531">
              <w:t xml:space="preserve"> wildtype and </w:t>
            </w:r>
            <w:r w:rsidRPr="00E17531">
              <w:rPr>
                <w:i/>
              </w:rPr>
              <w:t>ALK</w:t>
            </w:r>
            <w:r w:rsidRPr="00E17531">
              <w:t xml:space="preserve"> translocation negative</w:t>
            </w:r>
            <w:r w:rsidRPr="00E17531">
              <w:rPr>
                <w:vertAlign w:val="superscript"/>
              </w:rPr>
              <w:t>a</w:t>
            </w:r>
            <w:r w:rsidRPr="00E17531">
              <w:t xml:space="preserve"> and express high level of PD-L1 (defined as TPS of ≥50%).</w:t>
            </w:r>
          </w:p>
        </w:tc>
      </w:tr>
      <w:tr w:rsidR="00013E26" w:rsidRPr="00E17531" w:rsidTr="00622343">
        <w:tc>
          <w:tcPr>
            <w:cnfStyle w:val="001000000000" w:firstRow="0" w:lastRow="0" w:firstColumn="1" w:lastColumn="0" w:oddVBand="0" w:evenVBand="0" w:oddHBand="0" w:evenHBand="0" w:firstRowFirstColumn="0" w:firstRowLastColumn="0" w:lastRowFirstColumn="0" w:lastRowLastColumn="0"/>
            <w:tcW w:w="1696" w:type="dxa"/>
          </w:tcPr>
          <w:p w:rsidR="00013E26" w:rsidRPr="00E17531" w:rsidRDefault="00013E26" w:rsidP="00622343">
            <w:pPr>
              <w:pStyle w:val="TableText"/>
            </w:pPr>
            <w:r w:rsidRPr="00E17531">
              <w:t>Intervention</w:t>
            </w:r>
          </w:p>
        </w:tc>
        <w:tc>
          <w:tcPr>
            <w:tcW w:w="7320" w:type="dxa"/>
          </w:tcPr>
          <w:p w:rsidR="00013E26" w:rsidRPr="00E17531" w:rsidRDefault="00013E26" w:rsidP="00622343">
            <w:pPr>
              <w:pStyle w:val="TableText"/>
              <w:cnfStyle w:val="000000000000" w:firstRow="0" w:lastRow="0" w:firstColumn="0" w:lastColumn="0" w:oddVBand="0" w:evenVBand="0" w:oddHBand="0" w:evenHBand="0" w:firstRowFirstColumn="0" w:firstRowLastColumn="0" w:lastRowFirstColumn="0" w:lastRowLastColumn="0"/>
            </w:pPr>
            <w:r w:rsidRPr="00E17531">
              <w:t>Test: PD-L1 IHC testing</w:t>
            </w:r>
          </w:p>
          <w:p w:rsidR="00013E26" w:rsidRPr="00E17531" w:rsidRDefault="00013E26" w:rsidP="00622343">
            <w:pPr>
              <w:pStyle w:val="TableText"/>
              <w:cnfStyle w:val="000000000000" w:firstRow="0" w:lastRow="0" w:firstColumn="0" w:lastColumn="0" w:oddVBand="0" w:evenVBand="0" w:oddHBand="0" w:evenHBand="0" w:firstRowFirstColumn="0" w:firstRowLastColumn="0" w:lastRowFirstColumn="0" w:lastRowLastColumn="0"/>
            </w:pPr>
            <w:r w:rsidRPr="00E17531">
              <w:t>Medicine: Pembrolizumab 200 mg IV every 3 weeks</w:t>
            </w:r>
          </w:p>
        </w:tc>
      </w:tr>
      <w:tr w:rsidR="00013E26" w:rsidRPr="00E17531" w:rsidTr="00622343">
        <w:tc>
          <w:tcPr>
            <w:cnfStyle w:val="001000000000" w:firstRow="0" w:lastRow="0" w:firstColumn="1" w:lastColumn="0" w:oddVBand="0" w:evenVBand="0" w:oddHBand="0" w:evenHBand="0" w:firstRowFirstColumn="0" w:firstRowLastColumn="0" w:lastRowFirstColumn="0" w:lastRowLastColumn="0"/>
            <w:tcW w:w="1696" w:type="dxa"/>
          </w:tcPr>
          <w:p w:rsidR="00013E26" w:rsidRPr="00E17531" w:rsidRDefault="00013E26" w:rsidP="00622343">
            <w:pPr>
              <w:pStyle w:val="TableText"/>
            </w:pPr>
            <w:r w:rsidRPr="00E17531">
              <w:t>Comparator</w:t>
            </w:r>
          </w:p>
        </w:tc>
        <w:tc>
          <w:tcPr>
            <w:tcW w:w="7320" w:type="dxa"/>
          </w:tcPr>
          <w:p w:rsidR="00013E26" w:rsidRPr="00E17531" w:rsidRDefault="00013E26" w:rsidP="00622343">
            <w:pPr>
              <w:pStyle w:val="TableText"/>
              <w:cnfStyle w:val="000000000000" w:firstRow="0" w:lastRow="0" w:firstColumn="0" w:lastColumn="0" w:oddVBand="0" w:evenVBand="0" w:oddHBand="0" w:evenHBand="0" w:firstRowFirstColumn="0" w:firstRowLastColumn="0" w:lastRowFirstColumn="0" w:lastRowLastColumn="0"/>
            </w:pPr>
            <w:r w:rsidRPr="00E17531">
              <w:t>Test: No testing</w:t>
            </w:r>
          </w:p>
          <w:p w:rsidR="00013E26" w:rsidRPr="00E17531" w:rsidRDefault="00013E26" w:rsidP="00622343">
            <w:pPr>
              <w:pStyle w:val="TableText"/>
              <w:cnfStyle w:val="000000000000" w:firstRow="0" w:lastRow="0" w:firstColumn="0" w:lastColumn="0" w:oddVBand="0" w:evenVBand="0" w:oddHBand="0" w:evenHBand="0" w:firstRowFirstColumn="0" w:firstRowLastColumn="0" w:lastRowFirstColumn="0" w:lastRowLastColumn="0"/>
            </w:pPr>
            <w:r w:rsidRPr="00E17531">
              <w:t>Medicine: Platinum</w:t>
            </w:r>
            <w:r w:rsidR="00055388">
              <w:t>-based</w:t>
            </w:r>
            <w:r w:rsidRPr="00E17531">
              <w:t xml:space="preserve"> doublet chemotherapy</w:t>
            </w:r>
          </w:p>
        </w:tc>
      </w:tr>
      <w:tr w:rsidR="00013E26" w:rsidRPr="00E17531" w:rsidTr="00622343">
        <w:tc>
          <w:tcPr>
            <w:cnfStyle w:val="001000000000" w:firstRow="0" w:lastRow="0" w:firstColumn="1" w:lastColumn="0" w:oddVBand="0" w:evenVBand="0" w:oddHBand="0" w:evenHBand="0" w:firstRowFirstColumn="0" w:firstRowLastColumn="0" w:lastRowFirstColumn="0" w:lastRowLastColumn="0"/>
            <w:tcW w:w="1696" w:type="dxa"/>
          </w:tcPr>
          <w:p w:rsidR="00013E26" w:rsidRPr="00E17531" w:rsidRDefault="00013E26" w:rsidP="00622343">
            <w:pPr>
              <w:pStyle w:val="TableText"/>
            </w:pPr>
            <w:r w:rsidRPr="00E17531">
              <w:t>Outcomes</w:t>
            </w:r>
          </w:p>
        </w:tc>
        <w:tc>
          <w:tcPr>
            <w:tcW w:w="7320" w:type="dxa"/>
          </w:tcPr>
          <w:p w:rsidR="00013E26" w:rsidRPr="00E17531" w:rsidRDefault="00013E26" w:rsidP="00622343">
            <w:pPr>
              <w:pStyle w:val="TableText"/>
              <w:cnfStyle w:val="000000000000" w:firstRow="0" w:lastRow="0" w:firstColumn="0" w:lastColumn="0" w:oddVBand="0" w:evenVBand="0" w:oddHBand="0" w:evenHBand="0" w:firstRowFirstColumn="0" w:firstRowLastColumn="0" w:lastRowFirstColumn="0" w:lastRowLastColumn="0"/>
            </w:pPr>
            <w:r w:rsidRPr="00E17531">
              <w:t>OS, PFS and safety</w:t>
            </w:r>
          </w:p>
        </w:tc>
      </w:tr>
      <w:tr w:rsidR="00013E26" w:rsidRPr="00E17531" w:rsidTr="00622343">
        <w:tc>
          <w:tcPr>
            <w:cnfStyle w:val="001000000000" w:firstRow="0" w:lastRow="0" w:firstColumn="1" w:lastColumn="0" w:oddVBand="0" w:evenVBand="0" w:oddHBand="0" w:evenHBand="0" w:firstRowFirstColumn="0" w:firstRowLastColumn="0" w:lastRowFirstColumn="0" w:lastRowLastColumn="0"/>
            <w:tcW w:w="1696" w:type="dxa"/>
          </w:tcPr>
          <w:p w:rsidR="00013E26" w:rsidRPr="00E17531" w:rsidRDefault="00013E26" w:rsidP="00622343">
            <w:pPr>
              <w:pStyle w:val="TableText"/>
            </w:pPr>
            <w:r w:rsidRPr="00E17531">
              <w:t>Clinical claim</w:t>
            </w:r>
          </w:p>
        </w:tc>
        <w:tc>
          <w:tcPr>
            <w:tcW w:w="7320" w:type="dxa"/>
          </w:tcPr>
          <w:p w:rsidR="00013E26" w:rsidRPr="00E17531" w:rsidRDefault="00013E26" w:rsidP="00622343">
            <w:pPr>
              <w:pStyle w:val="TableText"/>
              <w:cnfStyle w:val="000000000000" w:firstRow="0" w:lastRow="0" w:firstColumn="0" w:lastColumn="0" w:oddVBand="0" w:evenVBand="0" w:oddHBand="0" w:evenHBand="0" w:firstRowFirstColumn="0" w:firstRowLastColumn="0" w:lastRowFirstColumn="0" w:lastRowLastColumn="0"/>
            </w:pPr>
            <w:r w:rsidRPr="00E17531">
              <w:t xml:space="preserve">In Stage IV NSCLC patients with performance status of 0 or 1 whose tumours express PD-L1 (≥50%) and are </w:t>
            </w:r>
            <w:r w:rsidRPr="00E17531">
              <w:rPr>
                <w:i/>
              </w:rPr>
              <w:t>EGFR</w:t>
            </w:r>
            <w:r w:rsidRPr="00E17531">
              <w:t xml:space="preserve"> wildtype and </w:t>
            </w:r>
            <w:r w:rsidRPr="00E17531">
              <w:rPr>
                <w:i/>
              </w:rPr>
              <w:t>ALK</w:t>
            </w:r>
            <w:r w:rsidRPr="00E17531">
              <w:t xml:space="preserve"> translocation negative, pembrolizumab is more effective than platinum</w:t>
            </w:r>
            <w:r w:rsidR="00055388">
              <w:t>-based</w:t>
            </w:r>
            <w:r w:rsidRPr="00E17531">
              <w:t xml:space="preserve"> doublet </w:t>
            </w:r>
            <w:r w:rsidR="00055388">
              <w:t xml:space="preserve">chemotherapy </w:t>
            </w:r>
            <w:r w:rsidRPr="00E17531">
              <w:t>at improving PFS, OS and safety</w:t>
            </w:r>
          </w:p>
        </w:tc>
      </w:tr>
    </w:tbl>
    <w:p w:rsidR="00013E26" w:rsidRPr="00E17531" w:rsidRDefault="00013E26" w:rsidP="00622343">
      <w:pPr>
        <w:pStyle w:val="TableFooter"/>
      </w:pPr>
      <w:r w:rsidRPr="00E17531">
        <w:t xml:space="preserve">ALK = anaplastic lymphoma kinase; EGFR = epidermal growth factor receptor; IHC = Immunohistochemistry; IV = intravenous; NSCLC = non-small cell lung cancer; OS = overall survival; PD-L1 = programmed cell death ligand 1; PFS = progression-free survival; TPS = tumour proportion score </w:t>
      </w:r>
    </w:p>
    <w:p w:rsidR="00013E26" w:rsidRPr="00E17531" w:rsidRDefault="00013E26" w:rsidP="00622343">
      <w:pPr>
        <w:pStyle w:val="TableFooter"/>
      </w:pPr>
      <w:r w:rsidRPr="00E17531">
        <w:rPr>
          <w:vertAlign w:val="superscript"/>
        </w:rPr>
        <w:t>a</w:t>
      </w:r>
      <w:r w:rsidRPr="00E17531">
        <w:t xml:space="preserve"> </w:t>
      </w:r>
      <w:r w:rsidRPr="00E17531">
        <w:rPr>
          <w:i/>
        </w:rPr>
        <w:t>EGFR</w:t>
      </w:r>
      <w:r w:rsidRPr="00E17531">
        <w:t xml:space="preserve"> test and </w:t>
      </w:r>
      <w:r w:rsidRPr="00E17531">
        <w:rPr>
          <w:i/>
        </w:rPr>
        <w:t>ALK</w:t>
      </w:r>
      <w:r w:rsidRPr="00E17531">
        <w:t xml:space="preserve"> test are conducted only in patients with non-squamous or not otherwise specified NSCLC. Squamous NSCLCs are considered as </w:t>
      </w:r>
      <w:r w:rsidRPr="00E17531">
        <w:rPr>
          <w:i/>
        </w:rPr>
        <w:t>EGFR</w:t>
      </w:r>
      <w:r w:rsidRPr="00E17531">
        <w:t xml:space="preserve"> wildtype and </w:t>
      </w:r>
      <w:r w:rsidRPr="00E17531">
        <w:rPr>
          <w:i/>
        </w:rPr>
        <w:t>ALK</w:t>
      </w:r>
      <w:r w:rsidRPr="00E17531">
        <w:t xml:space="preserve"> negative</w:t>
      </w:r>
    </w:p>
    <w:p w:rsidR="00013E26" w:rsidRPr="00E17531" w:rsidRDefault="00013E26" w:rsidP="00622343">
      <w:pPr>
        <w:pStyle w:val="TableFooter"/>
      </w:pPr>
      <w:r w:rsidRPr="00E17531">
        <w:t>Source: Revised from Table 1.1-3, p18 of the resubmission</w:t>
      </w:r>
    </w:p>
    <w:p w:rsidR="00013E26" w:rsidRPr="00E17531" w:rsidRDefault="00013E26" w:rsidP="00D74B10">
      <w:pPr>
        <w:pStyle w:val="PBACESHeading1"/>
        <w:numPr>
          <w:ilvl w:val="0"/>
          <w:numId w:val="5"/>
        </w:numPr>
      </w:pPr>
      <w:bookmarkStart w:id="4" w:name="_Toc492658926"/>
      <w:r w:rsidRPr="00E17531">
        <w:t>Requested listings</w:t>
      </w:r>
      <w:bookmarkEnd w:id="3"/>
      <w:bookmarkEnd w:id="4"/>
    </w:p>
    <w:p w:rsidR="00013E26" w:rsidRPr="00E17531" w:rsidRDefault="00013E26" w:rsidP="00FA7956">
      <w:pPr>
        <w:pStyle w:val="ListParagraph"/>
        <w:numPr>
          <w:ilvl w:val="4"/>
          <w:numId w:val="5"/>
        </w:numPr>
        <w:spacing w:before="0" w:after="120"/>
        <w:ind w:left="709" w:hanging="709"/>
      </w:pPr>
      <w:bookmarkStart w:id="5" w:name="_Toc490140969"/>
      <w:r w:rsidRPr="00E17531">
        <w:t xml:space="preserve">The requested PBS </w:t>
      </w:r>
      <w:r w:rsidRPr="00E17531">
        <w:rPr>
          <w:color w:val="auto"/>
        </w:rPr>
        <w:t>listings</w:t>
      </w:r>
      <w:r w:rsidRPr="00E17531">
        <w:t xml:space="preserve"> are shown below. The resubmission requested a Spe</w:t>
      </w:r>
      <w:r w:rsidR="00936F2E" w:rsidRPr="00E17531">
        <w:t>cial Pricing Arrangement (SPA).</w:t>
      </w:r>
    </w:p>
    <w:p w:rsidR="00013E26" w:rsidRPr="00E17531" w:rsidRDefault="00013E26" w:rsidP="00622343">
      <w:pPr>
        <w:keepNext/>
        <w:rPr>
          <w:b/>
        </w:rPr>
      </w:pPr>
      <w:r w:rsidRPr="00E17531">
        <w:rPr>
          <w:b/>
        </w:rPr>
        <w:lastRenderedPageBreak/>
        <w:t>Proposed PBS Listing</w:t>
      </w:r>
    </w:p>
    <w:tbl>
      <w:tblPr>
        <w:tblW w:w="5000" w:type="pct"/>
        <w:tblLook w:val="0000" w:firstRow="0" w:lastRow="0" w:firstColumn="0" w:lastColumn="0" w:noHBand="0" w:noVBand="0"/>
      </w:tblPr>
      <w:tblGrid>
        <w:gridCol w:w="2865"/>
        <w:gridCol w:w="850"/>
        <w:gridCol w:w="1336"/>
        <w:gridCol w:w="1871"/>
        <w:gridCol w:w="1065"/>
        <w:gridCol w:w="1255"/>
      </w:tblGrid>
      <w:tr w:rsidR="00013E26" w:rsidRPr="00E17531" w:rsidTr="00622343">
        <w:trPr>
          <w:cantSplit/>
          <w:trHeight w:val="471"/>
        </w:trPr>
        <w:tc>
          <w:tcPr>
            <w:tcW w:w="1550" w:type="pct"/>
            <w:tcBorders>
              <w:bottom w:val="single" w:sz="4" w:space="0" w:color="auto"/>
            </w:tcBorders>
          </w:tcPr>
          <w:p w:rsidR="00013E26" w:rsidRPr="00E17531" w:rsidRDefault="00013E26" w:rsidP="00622343">
            <w:pPr>
              <w:keepNext/>
              <w:spacing w:before="40" w:after="40"/>
              <w:rPr>
                <w:rFonts w:ascii="Arial Narrow" w:eastAsia="Times New Roman" w:hAnsi="Arial Narrow" w:cs="Times New Roman"/>
                <w:sz w:val="20"/>
                <w:szCs w:val="20"/>
              </w:rPr>
            </w:pPr>
            <w:r w:rsidRPr="00E17531">
              <w:rPr>
                <w:rFonts w:ascii="Arial Narrow" w:eastAsia="Times New Roman" w:hAnsi="Arial Narrow" w:cs="Times New Roman"/>
                <w:sz w:val="20"/>
                <w:szCs w:val="20"/>
              </w:rPr>
              <w:t>Name, Restriction,</w:t>
            </w:r>
          </w:p>
          <w:p w:rsidR="00013E26" w:rsidRPr="00E17531" w:rsidRDefault="00013E26" w:rsidP="00622343">
            <w:pPr>
              <w:keepNext/>
              <w:spacing w:before="40" w:after="40"/>
              <w:rPr>
                <w:rFonts w:ascii="Arial Narrow" w:eastAsia="Times New Roman" w:hAnsi="Arial Narrow" w:cs="Times New Roman"/>
                <w:sz w:val="20"/>
                <w:szCs w:val="20"/>
              </w:rPr>
            </w:pPr>
            <w:r w:rsidRPr="00E17531">
              <w:rPr>
                <w:rFonts w:ascii="Arial Narrow" w:eastAsia="Times New Roman" w:hAnsi="Arial Narrow" w:cs="Times New Roman"/>
                <w:sz w:val="20"/>
                <w:szCs w:val="20"/>
              </w:rPr>
              <w:t>Manner of administration and form</w:t>
            </w:r>
          </w:p>
        </w:tc>
        <w:tc>
          <w:tcPr>
            <w:tcW w:w="460" w:type="pct"/>
            <w:tcBorders>
              <w:bottom w:val="single" w:sz="4" w:space="0" w:color="auto"/>
            </w:tcBorders>
          </w:tcPr>
          <w:p w:rsidR="00013E26" w:rsidRPr="00E17531" w:rsidRDefault="00013E26" w:rsidP="00622343">
            <w:pPr>
              <w:keepNext/>
              <w:spacing w:before="40" w:after="40"/>
              <w:rPr>
                <w:rFonts w:ascii="Arial Narrow" w:eastAsia="Times New Roman" w:hAnsi="Arial Narrow" w:cs="Times New Roman"/>
                <w:sz w:val="20"/>
                <w:szCs w:val="20"/>
              </w:rPr>
            </w:pPr>
            <w:r w:rsidRPr="00E17531">
              <w:rPr>
                <w:rFonts w:ascii="Arial Narrow" w:eastAsia="Times New Roman" w:hAnsi="Arial Narrow" w:cs="Times New Roman"/>
                <w:sz w:val="20"/>
                <w:szCs w:val="20"/>
              </w:rPr>
              <w:t>Max.</w:t>
            </w:r>
          </w:p>
          <w:p w:rsidR="00013E26" w:rsidRPr="00E17531" w:rsidRDefault="00CB0726" w:rsidP="00622343">
            <w:pPr>
              <w:keepNext/>
              <w:spacing w:before="40" w:after="40"/>
              <w:rPr>
                <w:rFonts w:ascii="Arial Narrow" w:eastAsia="Times New Roman" w:hAnsi="Arial Narrow" w:cs="Times New Roman"/>
                <w:sz w:val="20"/>
                <w:szCs w:val="20"/>
              </w:rPr>
            </w:pPr>
            <w:r>
              <w:rPr>
                <w:rFonts w:ascii="Arial Narrow" w:eastAsia="Times New Roman" w:hAnsi="Arial Narrow" w:cs="Times New Roman"/>
                <w:sz w:val="20"/>
                <w:szCs w:val="20"/>
              </w:rPr>
              <w:t>Amount</w:t>
            </w:r>
          </w:p>
        </w:tc>
        <w:tc>
          <w:tcPr>
            <w:tcW w:w="723" w:type="pct"/>
            <w:tcBorders>
              <w:bottom w:val="single" w:sz="4" w:space="0" w:color="auto"/>
            </w:tcBorders>
          </w:tcPr>
          <w:p w:rsidR="00013E26" w:rsidRPr="00E17531" w:rsidRDefault="00013E26" w:rsidP="00622343">
            <w:pPr>
              <w:keepNext/>
              <w:spacing w:before="40" w:after="40"/>
              <w:rPr>
                <w:rFonts w:ascii="Arial Narrow" w:eastAsia="Times New Roman" w:hAnsi="Arial Narrow" w:cs="Times New Roman"/>
                <w:sz w:val="20"/>
                <w:szCs w:val="20"/>
              </w:rPr>
            </w:pPr>
            <w:r w:rsidRPr="00E17531">
              <w:rPr>
                <w:rFonts w:ascii="Arial Narrow" w:eastAsia="Times New Roman" w:hAnsi="Arial Narrow" w:cs="Times New Roman"/>
                <w:sz w:val="20"/>
                <w:szCs w:val="20"/>
              </w:rPr>
              <w:t>№.of</w:t>
            </w:r>
          </w:p>
          <w:p w:rsidR="00013E26" w:rsidRPr="00E17531" w:rsidRDefault="00013E26" w:rsidP="00622343">
            <w:pPr>
              <w:keepNext/>
              <w:spacing w:before="40" w:after="40"/>
              <w:rPr>
                <w:rFonts w:ascii="Arial Narrow" w:eastAsia="Times New Roman" w:hAnsi="Arial Narrow" w:cs="Times New Roman"/>
                <w:sz w:val="20"/>
                <w:szCs w:val="20"/>
              </w:rPr>
            </w:pPr>
            <w:r w:rsidRPr="00E17531">
              <w:rPr>
                <w:rFonts w:ascii="Arial Narrow" w:eastAsia="Times New Roman" w:hAnsi="Arial Narrow" w:cs="Times New Roman"/>
                <w:sz w:val="20"/>
                <w:szCs w:val="20"/>
              </w:rPr>
              <w:t>Rpts</w:t>
            </w:r>
          </w:p>
        </w:tc>
        <w:tc>
          <w:tcPr>
            <w:tcW w:w="1012" w:type="pct"/>
            <w:tcBorders>
              <w:bottom w:val="single" w:sz="4" w:space="0" w:color="auto"/>
            </w:tcBorders>
          </w:tcPr>
          <w:p w:rsidR="00013E26" w:rsidRPr="00E17531" w:rsidRDefault="00013E26" w:rsidP="00622343">
            <w:pPr>
              <w:keepNext/>
              <w:spacing w:before="40" w:after="40"/>
              <w:rPr>
                <w:rFonts w:ascii="Arial Narrow" w:eastAsia="Times New Roman" w:hAnsi="Arial Narrow" w:cs="Times New Roman"/>
                <w:sz w:val="20"/>
                <w:szCs w:val="20"/>
                <w:vertAlign w:val="superscript"/>
              </w:rPr>
            </w:pPr>
            <w:r w:rsidRPr="00E17531">
              <w:rPr>
                <w:rFonts w:ascii="Arial Narrow" w:eastAsia="Times New Roman" w:hAnsi="Arial Narrow" w:cs="Times New Roman"/>
                <w:sz w:val="20"/>
                <w:szCs w:val="20"/>
              </w:rPr>
              <w:t>Dispensed Price for Max. Amount</w:t>
            </w:r>
          </w:p>
        </w:tc>
        <w:tc>
          <w:tcPr>
            <w:tcW w:w="1255" w:type="pct"/>
            <w:gridSpan w:val="2"/>
            <w:tcBorders>
              <w:bottom w:val="single" w:sz="4" w:space="0" w:color="auto"/>
            </w:tcBorders>
          </w:tcPr>
          <w:p w:rsidR="00013E26" w:rsidRPr="00E17531" w:rsidRDefault="00013E26" w:rsidP="00622343">
            <w:pPr>
              <w:keepNext/>
              <w:spacing w:before="40" w:after="40"/>
              <w:rPr>
                <w:rFonts w:ascii="Arial Narrow" w:eastAsia="Times New Roman" w:hAnsi="Arial Narrow" w:cs="Times New Roman"/>
                <w:sz w:val="20"/>
                <w:szCs w:val="20"/>
              </w:rPr>
            </w:pPr>
            <w:r w:rsidRPr="00E17531">
              <w:rPr>
                <w:rFonts w:ascii="Arial Narrow" w:eastAsia="Times New Roman" w:hAnsi="Arial Narrow" w:cs="Times New Roman"/>
                <w:sz w:val="20"/>
                <w:szCs w:val="20"/>
              </w:rPr>
              <w:t>Proprietary Name and Manufacturer</w:t>
            </w:r>
          </w:p>
        </w:tc>
      </w:tr>
      <w:tr w:rsidR="00013E26" w:rsidRPr="00E17531" w:rsidTr="00622343">
        <w:trPr>
          <w:cantSplit/>
          <w:trHeight w:val="389"/>
        </w:trPr>
        <w:tc>
          <w:tcPr>
            <w:tcW w:w="1550" w:type="pct"/>
          </w:tcPr>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PEMBROLIZUMAB</w:t>
            </w:r>
          </w:p>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50 mg injection: powder for, 1 vial</w:t>
            </w:r>
            <w:r w:rsidRPr="00E17531">
              <w:rPr>
                <w:rFonts w:ascii="Arial Narrow" w:eastAsia="Times New Roman" w:hAnsi="Arial Narrow" w:cs="Times New Roman"/>
                <w:sz w:val="20"/>
                <w:szCs w:val="20"/>
                <w:vertAlign w:val="superscript"/>
              </w:rPr>
              <w:t xml:space="preserve"> a</w:t>
            </w:r>
          </w:p>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100 mg/4 mL injection, 1 vial</w:t>
            </w:r>
            <w:r w:rsidRPr="00E17531">
              <w:rPr>
                <w:rFonts w:ascii="Arial Narrow" w:eastAsia="Times New Roman" w:hAnsi="Arial Narrow" w:cs="Times New Roman"/>
                <w:sz w:val="20"/>
                <w:szCs w:val="20"/>
                <w:vertAlign w:val="superscript"/>
              </w:rPr>
              <w:t xml:space="preserve"> a</w:t>
            </w:r>
          </w:p>
        </w:tc>
        <w:tc>
          <w:tcPr>
            <w:tcW w:w="460" w:type="pct"/>
          </w:tcPr>
          <w:p w:rsidR="00013E26" w:rsidRPr="00E17531" w:rsidRDefault="00013E26" w:rsidP="00622343">
            <w:pPr>
              <w:keepNext/>
              <w:spacing w:before="40" w:after="40"/>
              <w:ind w:right="-57"/>
              <w:rPr>
                <w:rFonts w:ascii="Arial Narrow" w:eastAsia="Times New Roman" w:hAnsi="Arial Narrow" w:cs="Times New Roman"/>
                <w:sz w:val="20"/>
                <w:szCs w:val="20"/>
              </w:rPr>
            </w:pPr>
          </w:p>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200 mg</w:t>
            </w:r>
          </w:p>
        </w:tc>
        <w:tc>
          <w:tcPr>
            <w:tcW w:w="723" w:type="pct"/>
          </w:tcPr>
          <w:p w:rsidR="00013E26" w:rsidRPr="00E17531" w:rsidRDefault="00013E26" w:rsidP="00622343">
            <w:pPr>
              <w:keepNext/>
              <w:spacing w:before="40" w:after="40"/>
              <w:ind w:right="-57"/>
              <w:rPr>
                <w:rFonts w:ascii="Arial Narrow" w:eastAsia="Times New Roman" w:hAnsi="Arial Narrow" w:cs="Times New Roman"/>
                <w:sz w:val="20"/>
                <w:szCs w:val="20"/>
              </w:rPr>
            </w:pPr>
          </w:p>
          <w:p w:rsidR="00013E26" w:rsidRPr="00E17531" w:rsidRDefault="00013E26" w:rsidP="00622343">
            <w:pPr>
              <w:keepNext/>
              <w:spacing w:before="40" w:after="40"/>
              <w:ind w:right="-57"/>
              <w:rPr>
                <w:rFonts w:ascii="Arial Narrow" w:eastAsia="Times New Roman" w:hAnsi="Arial Narrow" w:cs="Times New Roman"/>
                <w:sz w:val="20"/>
                <w:szCs w:val="20"/>
                <w:vertAlign w:val="superscript"/>
              </w:rPr>
            </w:pPr>
            <w:r w:rsidRPr="00E17531">
              <w:rPr>
                <w:rFonts w:ascii="Arial Narrow" w:eastAsia="Times New Roman" w:hAnsi="Arial Narrow" w:cs="Times New Roman"/>
                <w:sz w:val="20"/>
                <w:szCs w:val="20"/>
              </w:rPr>
              <w:t>5 (initial)</w:t>
            </w:r>
            <w:r w:rsidRPr="00E17531">
              <w:rPr>
                <w:rFonts w:ascii="Arial Narrow" w:eastAsia="Times New Roman" w:hAnsi="Arial Narrow" w:cs="Times New Roman"/>
                <w:sz w:val="20"/>
                <w:szCs w:val="20"/>
                <w:vertAlign w:val="superscript"/>
              </w:rPr>
              <w:t>a</w:t>
            </w:r>
          </w:p>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7 (continuing)</w:t>
            </w:r>
          </w:p>
        </w:tc>
        <w:tc>
          <w:tcPr>
            <w:tcW w:w="1012" w:type="pct"/>
          </w:tcPr>
          <w:p w:rsidR="00013E26" w:rsidRPr="00E17531" w:rsidRDefault="00013E26" w:rsidP="00622343">
            <w:pPr>
              <w:pStyle w:val="TableText"/>
              <w:ind w:left="-57"/>
            </w:pPr>
            <w:r w:rsidRPr="00E17531">
              <w:t>Published price:</w:t>
            </w:r>
          </w:p>
          <w:p w:rsidR="00013E26" w:rsidRPr="00E17531" w:rsidRDefault="00013E26" w:rsidP="00622343">
            <w:pPr>
              <w:pStyle w:val="TableText"/>
              <w:ind w:left="-57"/>
            </w:pPr>
            <w:r w:rsidRPr="00E17531">
              <w:t>$</w:t>
            </w:r>
            <w:r w:rsidRPr="00CB0726">
              <w:t>9,023.83</w:t>
            </w:r>
            <w:r w:rsidRPr="00E17531">
              <w:t xml:space="preserve"> (public)</w:t>
            </w:r>
            <w:r w:rsidRPr="00E17531">
              <w:rPr>
                <w:vertAlign w:val="superscript"/>
              </w:rPr>
              <w:t>b</w:t>
            </w:r>
          </w:p>
          <w:p w:rsidR="00013E26" w:rsidRPr="00E17531" w:rsidRDefault="00013E26" w:rsidP="00622343">
            <w:pPr>
              <w:pStyle w:val="TableText"/>
              <w:ind w:left="-57"/>
            </w:pPr>
            <w:r w:rsidRPr="00E17531">
              <w:t>$</w:t>
            </w:r>
            <w:r w:rsidRPr="00CB0726">
              <w:t>9,187.35</w:t>
            </w:r>
            <w:r w:rsidRPr="00E17531">
              <w:t xml:space="preserve"> (private)</w:t>
            </w:r>
            <w:r w:rsidRPr="00E17531">
              <w:rPr>
                <w:vertAlign w:val="superscript"/>
              </w:rPr>
              <w:t>b</w:t>
            </w:r>
          </w:p>
          <w:p w:rsidR="00013E26" w:rsidRPr="00E17531" w:rsidRDefault="00013E26" w:rsidP="00622343">
            <w:pPr>
              <w:pStyle w:val="TableText"/>
              <w:ind w:left="-57"/>
            </w:pPr>
            <w:r w:rsidRPr="00E17531">
              <w:t>Effective price</w:t>
            </w:r>
            <w:r w:rsidRPr="00E17531">
              <w:rPr>
                <w:vertAlign w:val="superscript"/>
              </w:rPr>
              <w:t>c</w:t>
            </w:r>
            <w:r w:rsidRPr="00E17531">
              <w:t>:</w:t>
            </w:r>
          </w:p>
          <w:p w:rsidR="00013E26" w:rsidRPr="00E17531" w:rsidRDefault="00013E26" w:rsidP="00622343">
            <w:pPr>
              <w:pStyle w:val="TableText"/>
              <w:ind w:left="-57"/>
            </w:pPr>
            <w:r w:rsidRPr="00E17531">
              <w:t>$</w:t>
            </w:r>
            <w:r w:rsidR="00E61B46">
              <w:rPr>
                <w:noProof/>
                <w:color w:val="000000"/>
                <w:highlight w:val="black"/>
              </w:rPr>
              <w:t>''''''''''''''''''''</w:t>
            </w:r>
            <w:r w:rsidRPr="00E17531">
              <w:t xml:space="preserve"> (public)</w:t>
            </w:r>
            <w:r w:rsidRPr="00E17531">
              <w:rPr>
                <w:vertAlign w:val="superscript"/>
              </w:rPr>
              <w:t>b</w:t>
            </w:r>
          </w:p>
          <w:p w:rsidR="00013E26" w:rsidRPr="00E17531" w:rsidRDefault="00013E26" w:rsidP="00622343">
            <w:pPr>
              <w:pStyle w:val="TableText"/>
              <w:ind w:left="-57"/>
              <w:rPr>
                <w:rFonts w:eastAsia="Times New Roman" w:cs="Times New Roman"/>
                <w:szCs w:val="20"/>
                <w:vertAlign w:val="superscript"/>
              </w:rPr>
            </w:pPr>
            <w:r w:rsidRPr="00E17531">
              <w:t>$</w:t>
            </w:r>
            <w:r w:rsidR="00E61B46">
              <w:rPr>
                <w:noProof/>
                <w:color w:val="000000"/>
                <w:highlight w:val="black"/>
              </w:rPr>
              <w:t>''''''''''''''''''''</w:t>
            </w:r>
            <w:r w:rsidRPr="00E17531">
              <w:t xml:space="preserve"> (private)</w:t>
            </w:r>
            <w:r w:rsidRPr="00E17531">
              <w:rPr>
                <w:vertAlign w:val="superscript"/>
              </w:rPr>
              <w:t>b</w:t>
            </w:r>
          </w:p>
        </w:tc>
        <w:tc>
          <w:tcPr>
            <w:tcW w:w="576" w:type="pct"/>
          </w:tcPr>
          <w:p w:rsidR="00013E26" w:rsidRPr="00E17531" w:rsidRDefault="00013E26" w:rsidP="00622343">
            <w:pPr>
              <w:keepNext/>
              <w:spacing w:before="40" w:after="40"/>
              <w:ind w:right="-57"/>
              <w:rPr>
                <w:rFonts w:ascii="Arial Narrow" w:eastAsia="Times New Roman" w:hAnsi="Arial Narrow" w:cs="Times New Roman"/>
                <w:sz w:val="20"/>
                <w:szCs w:val="20"/>
              </w:rPr>
            </w:pPr>
          </w:p>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Keytruda</w:t>
            </w:r>
            <w:r w:rsidRPr="00E17531">
              <w:rPr>
                <w:rFonts w:ascii="Arial Narrow" w:eastAsia="Times New Roman" w:hAnsi="Arial Narrow" w:cs="Times New Roman"/>
                <w:sz w:val="20"/>
                <w:szCs w:val="20"/>
                <w:vertAlign w:val="superscript"/>
              </w:rPr>
              <w:t>®</w:t>
            </w:r>
          </w:p>
        </w:tc>
        <w:tc>
          <w:tcPr>
            <w:tcW w:w="679" w:type="pct"/>
          </w:tcPr>
          <w:p w:rsidR="00013E26" w:rsidRPr="00E17531" w:rsidRDefault="00013E26" w:rsidP="00622343">
            <w:pPr>
              <w:keepNext/>
              <w:spacing w:before="40" w:after="40"/>
              <w:ind w:right="-57"/>
              <w:rPr>
                <w:rFonts w:ascii="Arial Narrow" w:eastAsia="Times New Roman" w:hAnsi="Arial Narrow" w:cs="Times New Roman"/>
                <w:sz w:val="20"/>
                <w:szCs w:val="20"/>
              </w:rPr>
            </w:pPr>
            <w:r w:rsidRPr="00E17531">
              <w:rPr>
                <w:rFonts w:ascii="Arial Narrow" w:eastAsia="Times New Roman" w:hAnsi="Arial Narrow" w:cs="Times New Roman"/>
                <w:sz w:val="20"/>
                <w:szCs w:val="20"/>
              </w:rPr>
              <w:t>Merck Sharp &amp; Dohme (AU) Pty Ltd</w:t>
            </w:r>
          </w:p>
        </w:tc>
      </w:tr>
    </w:tbl>
    <w:p w:rsidR="00C95AD8" w:rsidRDefault="00C95AD8"/>
    <w:tbl>
      <w:tblPr>
        <w:tblW w:w="5000" w:type="pct"/>
        <w:tblLook w:val="0000" w:firstRow="0" w:lastRow="0" w:firstColumn="0" w:lastColumn="0" w:noHBand="0" w:noVBand="0"/>
      </w:tblPr>
      <w:tblGrid>
        <w:gridCol w:w="2569"/>
        <w:gridCol w:w="6673"/>
      </w:tblGrid>
      <w:tr w:rsidR="00013E26" w:rsidRPr="00E17531" w:rsidTr="00622343">
        <w:tc>
          <w:tcPr>
            <w:tcW w:w="5000" w:type="pct"/>
            <w:gridSpan w:val="2"/>
          </w:tcPr>
          <w:p w:rsidR="00013E26" w:rsidRPr="00E17531" w:rsidRDefault="00013E26" w:rsidP="00622343">
            <w:pPr>
              <w:keepNext/>
              <w:spacing w:before="0" w:after="40"/>
              <w:rPr>
                <w:rFonts w:ascii="Arial Narrow" w:eastAsia="Times New Roman" w:hAnsi="Arial Narrow" w:cs="Times New Roman"/>
                <w:b/>
                <w:sz w:val="20"/>
                <w:szCs w:val="20"/>
                <w:u w:val="single"/>
              </w:rPr>
            </w:pPr>
            <w:r w:rsidRPr="00E17531">
              <w:rPr>
                <w:rFonts w:ascii="Arial Narrow" w:eastAsia="Times New Roman" w:hAnsi="Arial Narrow" w:cs="Times New Roman"/>
                <w:sz w:val="20"/>
                <w:szCs w:val="20"/>
              </w:rPr>
              <w:br w:type="page"/>
            </w:r>
            <w:r w:rsidRPr="00E17531">
              <w:rPr>
                <w:rFonts w:ascii="Arial Narrow" w:eastAsia="Times New Roman" w:hAnsi="Arial Narrow" w:cs="Times New Roman"/>
                <w:b/>
                <w:sz w:val="20"/>
                <w:szCs w:val="20"/>
                <w:u w:val="single"/>
              </w:rPr>
              <w:t>Treatment phase: Initial treatment</w:t>
            </w:r>
          </w:p>
        </w:tc>
      </w:tr>
      <w:tr w:rsidR="00BC21F3" w:rsidRPr="00E17531" w:rsidTr="00622343">
        <w:trPr>
          <w:trHeight w:val="275"/>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Category / Program</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Section 100 – Efficient funding of chemotherapy</w:t>
            </w:r>
          </w:p>
        </w:tc>
      </w:tr>
      <w:tr w:rsidR="00BC21F3" w:rsidRPr="00E17531" w:rsidTr="00622343">
        <w:trPr>
          <w:trHeight w:val="360"/>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Prescriber type:</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1"/>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Dental  </w:t>
            </w:r>
            <w:r w:rsidRPr="00E17531">
              <w:rPr>
                <w:rFonts w:ascii="Arial Narrow" w:eastAsia="Times New Roman" w:hAnsi="Arial Narrow" w:cs="Times New Roman"/>
                <w:sz w:val="20"/>
                <w:szCs w:val="24"/>
              </w:rPr>
              <w:fldChar w:fldCharType="begin">
                <w:ffData>
                  <w:name w:val=""/>
                  <w:enabled/>
                  <w:calcOnExit w:val="0"/>
                  <w:checkBox>
                    <w:sizeAuto/>
                    <w:default w:val="1"/>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Medical Practitioners  </w:t>
            </w:r>
            <w:r w:rsidRPr="00E17531">
              <w:rPr>
                <w:rFonts w:ascii="Arial Narrow" w:eastAsia="Times New Roman" w:hAnsi="Arial Narrow" w:cs="Times New Roman"/>
                <w:sz w:val="20"/>
                <w:szCs w:val="24"/>
              </w:rPr>
              <w:fldChar w:fldCharType="begin">
                <w:ffData>
                  <w:name w:val="Check3"/>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Nurse practitioners  </w:t>
            </w: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Optometrists</w:t>
            </w:r>
          </w:p>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5"/>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Midwives</w:t>
            </w:r>
          </w:p>
        </w:tc>
      </w:tr>
      <w:tr w:rsidR="00BC21F3" w:rsidRPr="00E17531" w:rsidTr="00622343">
        <w:trPr>
          <w:trHeight w:val="223"/>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Severity:</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Stage IV (metastatic) previously untreated</w:t>
            </w:r>
          </w:p>
        </w:tc>
      </w:tr>
      <w:tr w:rsidR="00BC21F3" w:rsidRPr="00E17531" w:rsidTr="00622343">
        <w:trPr>
          <w:trHeight w:val="285"/>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Condition:</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Non-small cell lung cancer (NSCLC)</w:t>
            </w:r>
          </w:p>
        </w:tc>
      </w:tr>
      <w:tr w:rsidR="00BC21F3" w:rsidRPr="00E17531" w:rsidTr="00622343">
        <w:trPr>
          <w:trHeight w:val="191"/>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PBS Indication:</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line="276" w:lineRule="auto"/>
              <w:rPr>
                <w:rFonts w:ascii="Arial Narrow" w:eastAsia="Times New Roman" w:hAnsi="Arial Narrow" w:cs="Times New Roman"/>
                <w:sz w:val="20"/>
                <w:szCs w:val="24"/>
                <w:vertAlign w:val="superscript"/>
              </w:rPr>
            </w:pPr>
            <w:r w:rsidRPr="00E17531">
              <w:rPr>
                <w:rFonts w:ascii="Arial Narrow" w:eastAsia="Times New Roman" w:hAnsi="Arial Narrow" w:cs="Times New Roman"/>
                <w:sz w:val="20"/>
                <w:szCs w:val="24"/>
              </w:rPr>
              <w:t>Stage IV (metastatic) previously untreated non-small cell lung cancer</w:t>
            </w:r>
          </w:p>
        </w:tc>
      </w:tr>
      <w:tr w:rsidR="00BC21F3" w:rsidRPr="00E17531" w:rsidTr="00622343">
        <w:trPr>
          <w:trHeight w:val="239"/>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b/>
                <w:sz w:val="20"/>
                <w:szCs w:val="24"/>
              </w:rPr>
              <w:t>Treatment phase:</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 xml:space="preserve">Initial </w:t>
            </w:r>
          </w:p>
        </w:tc>
      </w:tr>
      <w:tr w:rsidR="00BC21F3" w:rsidRPr="00E17531" w:rsidTr="00622343">
        <w:trPr>
          <w:trHeight w:val="360"/>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Restriction Level / Method:</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1"/>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Restricted benefit</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In Writing</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3"/>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Telephone</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Emergency</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5"/>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Electronic</w:t>
            </w:r>
          </w:p>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1"/>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Streamlined</w:t>
            </w:r>
          </w:p>
        </w:tc>
      </w:tr>
      <w:tr w:rsidR="00BC21F3" w:rsidRPr="00E17531" w:rsidTr="00622343">
        <w:trPr>
          <w:trHeight w:val="360"/>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Clinical criteria:</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The condition must be previously untreated,</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The treatment must be the sole PBS-subsidised therapy for this condition,</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a WHO performance status score of 0 or 1,</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b/>
                <w:sz w:val="20"/>
                <w:szCs w:val="24"/>
              </w:rPr>
              <w:t>AND</w:t>
            </w:r>
          </w:p>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The treatment must not exceed a total of 6 doses at a maximum dose of 200 mg every 3 weeks.</w:t>
            </w:r>
          </w:p>
        </w:tc>
      </w:tr>
      <w:tr w:rsidR="00BC21F3" w:rsidRPr="00E17531" w:rsidTr="00622343">
        <w:trPr>
          <w:trHeight w:val="360"/>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Population criteria:</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evidence of at least 50% programmed cell death ligand 1 (PD-L1) in tumour material,</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no evidence of an activating epidermal growth factor receptor (EGFR) gene or of an anaplastic lymphoma kinase (ALK) gene rearrangement in tumour material.</w:t>
            </w:r>
          </w:p>
        </w:tc>
      </w:tr>
      <w:tr w:rsidR="00BC21F3" w:rsidRPr="00E17531" w:rsidTr="00622343">
        <w:trPr>
          <w:trHeight w:val="360"/>
        </w:trPr>
        <w:tc>
          <w:tcPr>
            <w:tcW w:w="1390" w:type="pct"/>
            <w:tcBorders>
              <w:top w:val="single" w:sz="4" w:space="0" w:color="auto"/>
              <w:left w:val="single" w:sz="4" w:space="0" w:color="auto"/>
              <w:bottom w:val="single" w:sz="4" w:space="0" w:color="auto"/>
              <w:right w:val="single" w:sz="4" w:space="0" w:color="auto"/>
            </w:tcBorders>
          </w:tcPr>
          <w:p w:rsidR="00BC21F3" w:rsidRPr="00E17531" w:rsidRDefault="00BC21F3" w:rsidP="00622343">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Administrative Advice</w:t>
            </w:r>
          </w:p>
        </w:tc>
        <w:tc>
          <w:tcPr>
            <w:tcW w:w="3610"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hAnsi="Arial Narrow"/>
                <w:sz w:val="20"/>
              </w:rPr>
            </w:pPr>
            <w:r w:rsidRPr="00E17531">
              <w:rPr>
                <w:rFonts w:ascii="Arial Narrow" w:hAnsi="Arial Narrow"/>
                <w:sz w:val="20"/>
              </w:rPr>
              <w:t>No increase in the maximum number of repeats will be authorised.</w:t>
            </w:r>
          </w:p>
          <w:p w:rsidR="00BC21F3" w:rsidRPr="00E17531" w:rsidRDefault="00BC21F3" w:rsidP="00FE0198">
            <w:pPr>
              <w:spacing w:before="40" w:after="40"/>
              <w:rPr>
                <w:rFonts w:ascii="Arial Narrow" w:eastAsia="Times New Roman" w:hAnsi="Arial Narrow" w:cs="Times New Roman"/>
                <w:strike/>
                <w:sz w:val="20"/>
                <w:szCs w:val="24"/>
              </w:rPr>
            </w:pP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In the first few months after start of immunotherapy, some patients can have a transient tumour flare with subsequent disease response. When progression is suspected, this should be confirmed through a confirmatory scan, taken at least 4 weeks later.</w:t>
            </w:r>
          </w:p>
          <w:p w:rsidR="00BC21F3" w:rsidRPr="00E17531" w:rsidRDefault="00BC21F3" w:rsidP="00FE0198">
            <w:pPr>
              <w:spacing w:before="40" w:after="40"/>
              <w:rPr>
                <w:rFonts w:ascii="Arial Narrow" w:eastAsia="Times New Roman" w:hAnsi="Arial Narrow" w:cs="Times New Roman"/>
                <w:sz w:val="20"/>
                <w:szCs w:val="24"/>
              </w:rPr>
            </w:pPr>
          </w:p>
          <w:p w:rsidR="00BC21F3" w:rsidRPr="00E17531" w:rsidRDefault="00BC21F3" w:rsidP="00622343">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Special pricing arrangements apply.</w:t>
            </w:r>
          </w:p>
        </w:tc>
      </w:tr>
    </w:tbl>
    <w:p w:rsidR="00013E26" w:rsidRPr="00E17531" w:rsidRDefault="00013E26" w:rsidP="00622343">
      <w:pPr>
        <w:pStyle w:val="TableFooter"/>
      </w:pPr>
      <w:r w:rsidRPr="00E17531">
        <w:rPr>
          <w:vertAlign w:val="superscript"/>
        </w:rPr>
        <w:t>a</w:t>
      </w:r>
      <w:r w:rsidRPr="00E17531">
        <w:t xml:space="preserve"> Both for initial treatment and continuing treatment</w:t>
      </w:r>
    </w:p>
    <w:p w:rsidR="00013E26" w:rsidRPr="00E17531" w:rsidRDefault="00013E26" w:rsidP="00622343">
      <w:pPr>
        <w:pStyle w:val="TableFooter"/>
      </w:pPr>
      <w:r w:rsidRPr="00E17531">
        <w:rPr>
          <w:vertAlign w:val="superscript"/>
        </w:rPr>
        <w:t>b</w:t>
      </w:r>
      <w:r w:rsidRPr="00E17531">
        <w:t xml:space="preserve"> The dispensed prices have been recalculated using the Efficient Funding of Chemotherapy (EFC) fees as updated in July 2017.</w:t>
      </w:r>
    </w:p>
    <w:p w:rsidR="00013E26" w:rsidRPr="00E17531" w:rsidRDefault="00013E26" w:rsidP="004972C2">
      <w:pPr>
        <w:pStyle w:val="TableFooter"/>
      </w:pPr>
      <w:r w:rsidRPr="00E17531">
        <w:rPr>
          <w:vertAlign w:val="superscript"/>
        </w:rPr>
        <w:t>c</w:t>
      </w:r>
      <w:r w:rsidRPr="00E17531">
        <w:t xml:space="preserve"> Prices related to proposed special price arrangement</w:t>
      </w:r>
    </w:p>
    <w:p w:rsidR="00C95AD8" w:rsidRDefault="00C95AD8"/>
    <w:tbl>
      <w:tblPr>
        <w:tblW w:w="5000" w:type="pct"/>
        <w:tblLook w:val="0000" w:firstRow="0" w:lastRow="0" w:firstColumn="0" w:lastColumn="0" w:noHBand="0" w:noVBand="0"/>
      </w:tblPr>
      <w:tblGrid>
        <w:gridCol w:w="2591"/>
        <w:gridCol w:w="6651"/>
      </w:tblGrid>
      <w:tr w:rsidR="00BC21F3" w:rsidRPr="00E17531" w:rsidTr="00FE0198">
        <w:trPr>
          <w:cantSplit/>
        </w:trPr>
        <w:tc>
          <w:tcPr>
            <w:tcW w:w="5000" w:type="pct"/>
            <w:gridSpan w:val="2"/>
          </w:tcPr>
          <w:p w:rsidR="00BC21F3" w:rsidRPr="00E17531" w:rsidRDefault="00BC21F3" w:rsidP="004972C2">
            <w:pPr>
              <w:keepNext/>
              <w:spacing w:before="40" w:after="40"/>
              <w:rPr>
                <w:rFonts w:ascii="Arial Narrow" w:eastAsia="Times New Roman" w:hAnsi="Arial Narrow" w:cs="Times New Roman"/>
                <w:b/>
                <w:sz w:val="20"/>
                <w:szCs w:val="20"/>
                <w:u w:val="single"/>
              </w:rPr>
            </w:pPr>
            <w:r w:rsidRPr="00E17531">
              <w:rPr>
                <w:rFonts w:ascii="Arial Narrow" w:eastAsia="Times New Roman" w:hAnsi="Arial Narrow" w:cs="Times New Roman"/>
                <w:b/>
                <w:sz w:val="20"/>
                <w:szCs w:val="20"/>
                <w:u w:val="single"/>
              </w:rPr>
              <w:t>Treatment phase: Grandfathering</w:t>
            </w:r>
          </w:p>
        </w:tc>
      </w:tr>
      <w:tr w:rsidR="00BC21F3" w:rsidRPr="00E17531" w:rsidTr="00FE0198">
        <w:trPr>
          <w:trHeight w:val="275"/>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Category / Program</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Section 100 – Efficient funding of chemotherapy</w:t>
            </w:r>
          </w:p>
        </w:tc>
      </w:tr>
      <w:tr w:rsidR="00BC21F3" w:rsidRPr="00E17531" w:rsidTr="00FE0198">
        <w:trPr>
          <w:trHeight w:val="360"/>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Prescriber type:</w:t>
            </w:r>
          </w:p>
          <w:p w:rsidR="00BC21F3" w:rsidRPr="00E17531" w:rsidRDefault="00BC21F3" w:rsidP="00FE0198">
            <w:pPr>
              <w:spacing w:before="40" w:after="40"/>
              <w:rPr>
                <w:rFonts w:ascii="Arial Narrow" w:eastAsia="Times New Roman" w:hAnsi="Arial Narrow" w:cs="Times New Roman"/>
                <w:b/>
                <w:sz w:val="20"/>
                <w:szCs w:val="24"/>
              </w:rPr>
            </w:pP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1"/>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Dental  </w:t>
            </w:r>
            <w:r w:rsidRPr="00E17531">
              <w:rPr>
                <w:rFonts w:ascii="Arial Narrow" w:eastAsia="Times New Roman" w:hAnsi="Arial Narrow" w:cs="Times New Roman"/>
                <w:sz w:val="20"/>
                <w:szCs w:val="24"/>
              </w:rPr>
              <w:fldChar w:fldCharType="begin">
                <w:ffData>
                  <w:name w:val=""/>
                  <w:enabled/>
                  <w:calcOnExit w:val="0"/>
                  <w:checkBox>
                    <w:sizeAuto/>
                    <w:default w:val="1"/>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Medical Practitioners  </w:t>
            </w:r>
            <w:r w:rsidRPr="00E17531">
              <w:rPr>
                <w:rFonts w:ascii="Arial Narrow" w:eastAsia="Times New Roman" w:hAnsi="Arial Narrow" w:cs="Times New Roman"/>
                <w:sz w:val="20"/>
                <w:szCs w:val="24"/>
              </w:rPr>
              <w:fldChar w:fldCharType="begin">
                <w:ffData>
                  <w:name w:val="Check3"/>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Nurse practitioners  </w:t>
            </w: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Optometrists</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5"/>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Midwives</w:t>
            </w:r>
          </w:p>
        </w:tc>
      </w:tr>
      <w:tr w:rsidR="00BC21F3" w:rsidRPr="00E17531" w:rsidTr="00FE0198">
        <w:trPr>
          <w:trHeight w:val="223"/>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Severity:</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Stage IV (metastatic) previously untreated</w:t>
            </w:r>
          </w:p>
        </w:tc>
      </w:tr>
      <w:tr w:rsidR="00BC21F3" w:rsidRPr="00E17531" w:rsidTr="00FE0198">
        <w:trPr>
          <w:trHeight w:val="285"/>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Condition:</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Non-small cell lung cancer (NSCLC)</w:t>
            </w:r>
          </w:p>
        </w:tc>
      </w:tr>
      <w:tr w:rsidR="00BC21F3" w:rsidRPr="00E17531" w:rsidTr="00FE0198">
        <w:trPr>
          <w:trHeight w:val="191"/>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PBS Indication:</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Stage IV (metastatic) previously untreated non-small cell lung cancer</w:t>
            </w:r>
          </w:p>
        </w:tc>
      </w:tr>
      <w:tr w:rsidR="00BC21F3" w:rsidRPr="00E17531" w:rsidTr="00FE0198">
        <w:trPr>
          <w:trHeight w:val="239"/>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b/>
                <w:sz w:val="20"/>
                <w:szCs w:val="24"/>
              </w:rPr>
              <w:t>Treatment phase:</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 xml:space="preserve">Initial </w:t>
            </w:r>
          </w:p>
        </w:tc>
      </w:tr>
      <w:tr w:rsidR="00BC21F3" w:rsidRPr="00E17531" w:rsidTr="00FE0198">
        <w:trPr>
          <w:trHeight w:val="360"/>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Restriction Level / Method:</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1"/>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Restricted benefit</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In Writing</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3"/>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Telephone</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Emergency</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5"/>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Electronic</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1"/>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Streamlined</w:t>
            </w:r>
          </w:p>
        </w:tc>
      </w:tr>
      <w:tr w:rsidR="00BC21F3" w:rsidRPr="00E17531" w:rsidTr="00FE0198">
        <w:trPr>
          <w:trHeight w:val="360"/>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Clinical criteria:</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The treatment must be the sole PBS-subsidised therapy for this condition,</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previously received non-PBS subsidised treatment with this drug for this condition prior to (date of listing),</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a WHO performance status of 0 or 1,</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The treatment must not exceed a total of 6 doses at a maximum dose of 200 mg every 3 weeks.</w:t>
            </w:r>
          </w:p>
        </w:tc>
      </w:tr>
      <w:tr w:rsidR="00BC21F3" w:rsidRPr="00E17531" w:rsidTr="00FE0198">
        <w:trPr>
          <w:trHeight w:val="360"/>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Population criteria:</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evidence of at least 50% programmed cell death ligand 1 (PD-L1) in tumour material,</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no evidence of an activating epidermal growth factor gene or of an anaplastic lymphoma kinase (ALK) gene rearrangement in tumour material.</w:t>
            </w:r>
          </w:p>
        </w:tc>
      </w:tr>
      <w:tr w:rsidR="00BC21F3" w:rsidRPr="00E17531" w:rsidTr="00FE0198">
        <w:trPr>
          <w:trHeight w:val="360"/>
        </w:trPr>
        <w:tc>
          <w:tcPr>
            <w:tcW w:w="140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Administrative Advice</w:t>
            </w:r>
          </w:p>
        </w:tc>
        <w:tc>
          <w:tcPr>
            <w:tcW w:w="359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In the first few months after start of immunotherapy, some patients can have a transient tumour flare with subsequent disease response. When progression is suspected, this should be confirmed through a confirmatory scan, taken at least 4 weeks later.</w:t>
            </w:r>
          </w:p>
          <w:p w:rsidR="00BC21F3" w:rsidRPr="00E17531" w:rsidRDefault="00BC21F3" w:rsidP="00FE0198">
            <w:pPr>
              <w:spacing w:before="40" w:after="40"/>
              <w:rPr>
                <w:rFonts w:ascii="Arial Narrow" w:eastAsia="Times New Roman" w:hAnsi="Arial Narrow" w:cs="Times New Roman"/>
                <w:sz w:val="20"/>
                <w:szCs w:val="24"/>
              </w:rPr>
            </w:pP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Special Pricing Arrangements apply.</w:t>
            </w:r>
          </w:p>
        </w:tc>
      </w:tr>
    </w:tbl>
    <w:p w:rsidR="00782E7F" w:rsidRPr="00E17531" w:rsidRDefault="00782E7F">
      <w:r w:rsidRPr="00E17531">
        <w:br w:type="page"/>
      </w:r>
    </w:p>
    <w:tbl>
      <w:tblPr>
        <w:tblW w:w="5000" w:type="pct"/>
        <w:tblLook w:val="0000" w:firstRow="0" w:lastRow="0" w:firstColumn="0" w:lastColumn="0" w:noHBand="0" w:noVBand="0"/>
      </w:tblPr>
      <w:tblGrid>
        <w:gridCol w:w="2628"/>
        <w:gridCol w:w="6614"/>
      </w:tblGrid>
      <w:tr w:rsidR="00BC21F3" w:rsidRPr="00E17531" w:rsidTr="00FE0198">
        <w:trPr>
          <w:cantSplit/>
        </w:trPr>
        <w:tc>
          <w:tcPr>
            <w:tcW w:w="5000" w:type="pct"/>
            <w:gridSpan w:val="2"/>
          </w:tcPr>
          <w:p w:rsidR="00BC21F3" w:rsidRPr="00E17531" w:rsidRDefault="00BC21F3" w:rsidP="00782E7F">
            <w:pPr>
              <w:keepNext/>
              <w:spacing w:before="40" w:after="40"/>
              <w:rPr>
                <w:rFonts w:ascii="Arial Narrow" w:eastAsia="Times New Roman" w:hAnsi="Arial Narrow" w:cs="Times New Roman"/>
                <w:b/>
                <w:sz w:val="20"/>
                <w:szCs w:val="20"/>
                <w:u w:val="single"/>
              </w:rPr>
            </w:pPr>
            <w:r w:rsidRPr="00E17531">
              <w:rPr>
                <w:rFonts w:ascii="Arial Narrow" w:eastAsia="Times New Roman" w:hAnsi="Arial Narrow" w:cs="Times New Roman"/>
                <w:b/>
                <w:sz w:val="20"/>
                <w:szCs w:val="20"/>
                <w:u w:val="single"/>
              </w:rPr>
              <w:lastRenderedPageBreak/>
              <w:t>Treatment phase: Continuing treatment</w:t>
            </w:r>
          </w:p>
        </w:tc>
      </w:tr>
      <w:tr w:rsidR="00BC21F3" w:rsidRPr="00E17531" w:rsidTr="00FE0198">
        <w:trPr>
          <w:trHeight w:val="201"/>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Category / Program</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Section 100 – Efficient funding of chemotherapy</w:t>
            </w:r>
          </w:p>
        </w:tc>
      </w:tr>
      <w:tr w:rsidR="00BC21F3" w:rsidRPr="00E17531" w:rsidTr="00FE0198">
        <w:trPr>
          <w:trHeight w:val="360"/>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Prescriber type:</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1"/>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Dental  </w:t>
            </w:r>
            <w:r w:rsidRPr="00E17531">
              <w:rPr>
                <w:rFonts w:ascii="Arial Narrow" w:eastAsia="Times New Roman" w:hAnsi="Arial Narrow" w:cs="Times New Roman"/>
                <w:sz w:val="20"/>
                <w:szCs w:val="24"/>
              </w:rPr>
              <w:fldChar w:fldCharType="begin">
                <w:ffData>
                  <w:name w:val=""/>
                  <w:enabled/>
                  <w:calcOnExit w:val="0"/>
                  <w:checkBox>
                    <w:sizeAuto/>
                    <w:default w:val="1"/>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Medical Practitioners  </w:t>
            </w:r>
            <w:r w:rsidRPr="00E17531">
              <w:rPr>
                <w:rFonts w:ascii="Arial Narrow" w:eastAsia="Times New Roman" w:hAnsi="Arial Narrow" w:cs="Times New Roman"/>
                <w:sz w:val="20"/>
                <w:szCs w:val="24"/>
              </w:rPr>
              <w:fldChar w:fldCharType="begin">
                <w:ffData>
                  <w:name w:val="Check3"/>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 xml:space="preserve">Nurse practitioners  </w:t>
            </w: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Optometrists</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5"/>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Midwives</w:t>
            </w:r>
          </w:p>
        </w:tc>
      </w:tr>
      <w:tr w:rsidR="00BC21F3" w:rsidRPr="00E17531" w:rsidTr="00FE0198">
        <w:trPr>
          <w:trHeight w:val="106"/>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Severity:</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Stage IV previously untreated</w:t>
            </w:r>
          </w:p>
        </w:tc>
      </w:tr>
      <w:tr w:rsidR="00BC21F3" w:rsidRPr="00E17531" w:rsidTr="00FE0198">
        <w:trPr>
          <w:trHeight w:val="67"/>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Condition:</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Non-small cell lung cancer</w:t>
            </w:r>
          </w:p>
        </w:tc>
      </w:tr>
      <w:tr w:rsidR="00BC21F3" w:rsidRPr="00E17531" w:rsidTr="00FE0198">
        <w:trPr>
          <w:trHeight w:val="171"/>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PBS Indication:</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Stage IV (metastatic) previously untreated non-small cell lung cancer</w:t>
            </w:r>
          </w:p>
        </w:tc>
      </w:tr>
      <w:tr w:rsidR="00BC21F3" w:rsidRPr="00E17531" w:rsidTr="00FE0198">
        <w:trPr>
          <w:trHeight w:val="275"/>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b/>
                <w:sz w:val="20"/>
                <w:szCs w:val="24"/>
              </w:rPr>
              <w:t>Treatment phase:</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 xml:space="preserve">Continuing </w:t>
            </w:r>
          </w:p>
        </w:tc>
      </w:tr>
      <w:tr w:rsidR="00BC21F3" w:rsidRPr="00E17531" w:rsidTr="00FE0198">
        <w:trPr>
          <w:trHeight w:val="360"/>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Restriction Level / Method:</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1"/>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Restricted benefit</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In Writing</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3"/>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Telephone</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Emergency</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Check5"/>
                  <w:enabled/>
                  <w:calcOnExit w:val="0"/>
                  <w:checkBox>
                    <w:sizeAuto/>
                    <w:default w:val="0"/>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Authority Required - Electronic</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fldChar w:fldCharType="begin">
                <w:ffData>
                  <w:name w:val=""/>
                  <w:enabled/>
                  <w:calcOnExit w:val="0"/>
                  <w:checkBox>
                    <w:sizeAuto/>
                    <w:default w:val="1"/>
                  </w:checkBox>
                </w:ffData>
              </w:fldChar>
            </w:r>
            <w:r w:rsidRPr="00E17531">
              <w:rPr>
                <w:rFonts w:ascii="Arial Narrow" w:eastAsia="Times New Roman" w:hAnsi="Arial Narrow" w:cs="Times New Roman"/>
                <w:sz w:val="20"/>
                <w:szCs w:val="24"/>
              </w:rPr>
              <w:instrText xml:space="preserve"> FORMCHECKBOX </w:instrText>
            </w:r>
            <w:r w:rsidR="008B6089">
              <w:rPr>
                <w:rFonts w:ascii="Arial Narrow" w:eastAsia="Times New Roman" w:hAnsi="Arial Narrow" w:cs="Times New Roman"/>
                <w:sz w:val="20"/>
                <w:szCs w:val="24"/>
              </w:rPr>
            </w:r>
            <w:r w:rsidR="008B6089">
              <w:rPr>
                <w:rFonts w:ascii="Arial Narrow" w:eastAsia="Times New Roman" w:hAnsi="Arial Narrow" w:cs="Times New Roman"/>
                <w:sz w:val="20"/>
                <w:szCs w:val="24"/>
              </w:rPr>
              <w:fldChar w:fldCharType="separate"/>
            </w:r>
            <w:r w:rsidRPr="00E17531">
              <w:rPr>
                <w:rFonts w:ascii="Arial Narrow" w:eastAsia="Times New Roman" w:hAnsi="Arial Narrow" w:cs="Times New Roman"/>
                <w:sz w:val="20"/>
                <w:szCs w:val="24"/>
              </w:rPr>
              <w:fldChar w:fldCharType="end"/>
            </w:r>
            <w:r w:rsidRPr="00E17531">
              <w:rPr>
                <w:rFonts w:ascii="Arial Narrow" w:eastAsia="Times New Roman" w:hAnsi="Arial Narrow" w:cs="Times New Roman"/>
                <w:sz w:val="20"/>
                <w:szCs w:val="24"/>
              </w:rPr>
              <w:t>Streamlined</w:t>
            </w:r>
          </w:p>
        </w:tc>
      </w:tr>
      <w:tr w:rsidR="00BC21F3" w:rsidRPr="00E17531" w:rsidTr="00FE0198">
        <w:trPr>
          <w:trHeight w:val="360"/>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Clinical criteria:</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not have progressive disease,</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 must have previously been issued with an authority prescription for this drug for this indication,</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The treatment must not exceed a dose of 200 mg every 3 weeks,</w:t>
            </w:r>
          </w:p>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AND</w:t>
            </w: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Treatment must not exceed 35 administrations or 2 years of continuous treatment.</w:t>
            </w:r>
          </w:p>
        </w:tc>
      </w:tr>
      <w:tr w:rsidR="00BC21F3" w:rsidRPr="00E17531" w:rsidTr="00FE0198">
        <w:trPr>
          <w:trHeight w:val="360"/>
        </w:trPr>
        <w:tc>
          <w:tcPr>
            <w:tcW w:w="1422"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Administrative Advice</w:t>
            </w:r>
          </w:p>
        </w:tc>
        <w:tc>
          <w:tcPr>
            <w:tcW w:w="3578" w:type="pct"/>
            <w:tcBorders>
              <w:top w:val="single" w:sz="4" w:space="0" w:color="auto"/>
              <w:left w:val="single" w:sz="4" w:space="0" w:color="auto"/>
              <w:bottom w:val="single" w:sz="4" w:space="0" w:color="auto"/>
              <w:right w:val="single" w:sz="4" w:space="0" w:color="auto"/>
            </w:tcBorders>
          </w:tcPr>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No increase in the maximum number of repeats will be authorised.</w:t>
            </w:r>
          </w:p>
          <w:p w:rsidR="00BC21F3" w:rsidRPr="00E17531" w:rsidRDefault="00BC21F3" w:rsidP="00FE0198">
            <w:pPr>
              <w:spacing w:before="40" w:after="40"/>
              <w:rPr>
                <w:rFonts w:ascii="Arial Narrow" w:eastAsia="Times New Roman" w:hAnsi="Arial Narrow" w:cs="Times New Roman"/>
                <w:sz w:val="20"/>
                <w:szCs w:val="24"/>
              </w:rPr>
            </w:pPr>
          </w:p>
          <w:p w:rsidR="00BC21F3" w:rsidRPr="00E17531" w:rsidRDefault="00BC21F3" w:rsidP="00FE0198">
            <w:pPr>
              <w:spacing w:before="40" w:after="40"/>
              <w:rPr>
                <w:rFonts w:ascii="Arial Narrow" w:eastAsia="Times New Roman" w:hAnsi="Arial Narrow" w:cs="Times New Roman"/>
                <w:sz w:val="20"/>
                <w:szCs w:val="24"/>
              </w:rPr>
            </w:pPr>
            <w:r w:rsidRPr="00E17531">
              <w:rPr>
                <w:rFonts w:ascii="Arial Narrow" w:eastAsia="Times New Roman" w:hAnsi="Arial Narrow" w:cs="Times New Roman"/>
                <w:sz w:val="20"/>
                <w:szCs w:val="24"/>
              </w:rPr>
              <w:t>Special pricing arrangements apply</w:t>
            </w:r>
          </w:p>
        </w:tc>
      </w:tr>
    </w:tbl>
    <w:p w:rsidR="00013E26" w:rsidRPr="00E17531" w:rsidRDefault="00013E26" w:rsidP="007479FA">
      <w:pPr>
        <w:pStyle w:val="ListParagraph"/>
        <w:numPr>
          <w:ilvl w:val="4"/>
          <w:numId w:val="5"/>
        </w:numPr>
        <w:spacing w:after="120"/>
        <w:ind w:left="709" w:hanging="709"/>
      </w:pPr>
      <w:r w:rsidRPr="00E17531">
        <w:t>The requested PBS patient population in the resubmission is consistent with the population proposed in the pre-PBAC response to the March 2017 PBAC meeting. These changes have been maintained in this resubmission and are outlined below:</w:t>
      </w:r>
    </w:p>
    <w:p w:rsidR="00013E26" w:rsidRPr="00E17531" w:rsidRDefault="00936F2E" w:rsidP="00FA7956">
      <w:pPr>
        <w:pStyle w:val="ListParagraph"/>
        <w:numPr>
          <w:ilvl w:val="0"/>
          <w:numId w:val="10"/>
        </w:numPr>
        <w:spacing w:before="0" w:after="120"/>
        <w:ind w:left="1276" w:hanging="426"/>
      </w:pPr>
      <w:r w:rsidRPr="00E17531">
        <w:t>t</w:t>
      </w:r>
      <w:r w:rsidR="00013E26" w:rsidRPr="00E17531">
        <w:t>he disease stage is limited to Stage IV (vs Stage IIIB/</w:t>
      </w:r>
      <w:r w:rsidRPr="00E17531">
        <w:t>IV in the previous submission);</w:t>
      </w:r>
    </w:p>
    <w:p w:rsidR="00013E26" w:rsidRPr="00E17531" w:rsidRDefault="00936F2E" w:rsidP="00FA7956">
      <w:pPr>
        <w:pStyle w:val="ListParagraph"/>
        <w:numPr>
          <w:ilvl w:val="0"/>
          <w:numId w:val="10"/>
        </w:numPr>
        <w:spacing w:before="0" w:after="120"/>
        <w:ind w:left="1276" w:hanging="426"/>
      </w:pPr>
      <w:r w:rsidRPr="00E17531">
        <w:t>p</w:t>
      </w:r>
      <w:r w:rsidR="00013E26" w:rsidRPr="00E17531">
        <w:t>atients should have a performance status of 0 or 1 to be eligible for pembrolizumab (vs any performance status in the original submission); and</w:t>
      </w:r>
    </w:p>
    <w:p w:rsidR="00013E26" w:rsidRPr="00E17531" w:rsidRDefault="00936F2E" w:rsidP="00FA7956">
      <w:pPr>
        <w:pStyle w:val="ListParagraph"/>
        <w:numPr>
          <w:ilvl w:val="0"/>
          <w:numId w:val="10"/>
        </w:numPr>
        <w:spacing w:before="0" w:after="120"/>
        <w:ind w:left="1276" w:hanging="426"/>
      </w:pPr>
      <w:r w:rsidRPr="00E17531">
        <w:t>r</w:t>
      </w:r>
      <w:r w:rsidR="00013E26" w:rsidRPr="00E17531">
        <w:t>etreatment of patients who have progressive disease after achieving an initial objective response to pembrolizumab has been re</w:t>
      </w:r>
      <w:r w:rsidRPr="00E17531">
        <w:t>moved from the PBS restriction.</w:t>
      </w:r>
    </w:p>
    <w:p w:rsidR="00013E26" w:rsidRPr="00E17531" w:rsidRDefault="00013E26" w:rsidP="00FA7956">
      <w:pPr>
        <w:pStyle w:val="ListParagraph"/>
        <w:numPr>
          <w:ilvl w:val="4"/>
          <w:numId w:val="5"/>
        </w:numPr>
        <w:spacing w:before="0" w:after="120"/>
        <w:ind w:left="709" w:hanging="709"/>
      </w:pPr>
      <w:r w:rsidRPr="00E17531">
        <w:t>These revisions are consistent with the trial protocol in KN-024 and the TGA-approved product information (PI).</w:t>
      </w:r>
      <w:r w:rsidR="0017467E" w:rsidRPr="00E17531">
        <w:t xml:space="preserve"> The PBAC considered that these changes to the proposed restriction </w:t>
      </w:r>
      <w:r w:rsidR="007479FA" w:rsidRPr="00E17531">
        <w:t>we</w:t>
      </w:r>
      <w:r w:rsidR="0017467E" w:rsidRPr="00E17531">
        <w:t>re appropriate.</w:t>
      </w:r>
    </w:p>
    <w:p w:rsidR="0017467E" w:rsidRPr="00E17531" w:rsidRDefault="0017467E" w:rsidP="0017467E">
      <w:pPr>
        <w:pStyle w:val="ListParagraph"/>
        <w:ind w:left="720" w:firstLine="0"/>
        <w:rPr>
          <w:rFonts w:cs="Arial"/>
          <w:bCs/>
          <w:snapToGrid w:val="0"/>
          <w:szCs w:val="24"/>
        </w:rPr>
      </w:pPr>
      <w:r w:rsidRPr="00E17531">
        <w:rPr>
          <w:rFonts w:cs="Arial"/>
          <w:bCs/>
          <w:i/>
          <w:snapToGrid w:val="0"/>
          <w:szCs w:val="24"/>
        </w:rPr>
        <w:t>For more detail on PBAC’s view, see section 7 “PBAC outcome”.</w:t>
      </w:r>
    </w:p>
    <w:p w:rsidR="00013E26" w:rsidRPr="00E17531" w:rsidRDefault="00013E26" w:rsidP="00D74B10">
      <w:pPr>
        <w:pStyle w:val="PBACESHeading1"/>
        <w:numPr>
          <w:ilvl w:val="0"/>
          <w:numId w:val="5"/>
        </w:numPr>
      </w:pPr>
      <w:bookmarkStart w:id="6" w:name="_Toc492658927"/>
      <w:r w:rsidRPr="00E17531">
        <w:lastRenderedPageBreak/>
        <w:t>Background</w:t>
      </w:r>
      <w:bookmarkEnd w:id="5"/>
      <w:bookmarkEnd w:id="6"/>
    </w:p>
    <w:p w:rsidR="00013E26" w:rsidRPr="00E17531" w:rsidRDefault="00013E26" w:rsidP="00315A49">
      <w:pPr>
        <w:pStyle w:val="ESHeading2"/>
      </w:pPr>
      <w:r w:rsidRPr="00E17531">
        <w:t>Registration Status</w:t>
      </w:r>
    </w:p>
    <w:p w:rsidR="00013E26" w:rsidRPr="00E17531" w:rsidRDefault="00013E26" w:rsidP="00D74B10">
      <w:pPr>
        <w:pStyle w:val="ListParagraph"/>
        <w:numPr>
          <w:ilvl w:val="4"/>
          <w:numId w:val="5"/>
        </w:numPr>
        <w:ind w:left="709" w:hanging="709"/>
      </w:pPr>
      <w:bookmarkStart w:id="7" w:name="_Toc487029151"/>
      <w:r w:rsidRPr="00E17531">
        <w:t xml:space="preserve">In March 2017, pembrolizumab was approved by the TGA for the treatment of previously untreated metastatic NSCLC patients with tumours that are PD-L1 TPS ≥50% (as determined by a validated test), </w:t>
      </w:r>
      <w:r w:rsidRPr="00E17531">
        <w:rPr>
          <w:i/>
        </w:rPr>
        <w:t>EGFR</w:t>
      </w:r>
      <w:r w:rsidRPr="00E17531">
        <w:t xml:space="preserve"> wildtype and </w:t>
      </w:r>
      <w:r w:rsidRPr="00E17531">
        <w:rPr>
          <w:i/>
        </w:rPr>
        <w:t>ALK</w:t>
      </w:r>
      <w:r w:rsidRPr="00E17531">
        <w:t xml:space="preserve"> translocation negative.</w:t>
      </w:r>
    </w:p>
    <w:p w:rsidR="00013E26" w:rsidRPr="00E17531" w:rsidRDefault="00013E26" w:rsidP="00D74B10">
      <w:pPr>
        <w:pStyle w:val="ListParagraph"/>
        <w:numPr>
          <w:ilvl w:val="4"/>
          <w:numId w:val="5"/>
        </w:numPr>
        <w:spacing w:after="0"/>
        <w:ind w:left="709" w:hanging="709"/>
      </w:pPr>
      <w:r w:rsidRPr="00E17531">
        <w:t>Other TGA-approved indications include:</w:t>
      </w:r>
    </w:p>
    <w:p w:rsidR="00013E26" w:rsidRPr="00E17531" w:rsidRDefault="00013E26" w:rsidP="00D74B10">
      <w:pPr>
        <w:pStyle w:val="ListParagraph"/>
        <w:numPr>
          <w:ilvl w:val="0"/>
          <w:numId w:val="10"/>
        </w:numPr>
        <w:spacing w:before="0" w:after="0"/>
        <w:ind w:left="1276" w:hanging="426"/>
      </w:pPr>
      <w:r w:rsidRPr="00E17531">
        <w:t>Advanced NSCLC whose tumours express PD-L1 with a ≥1% TPS (as determined by a validated test) and who have received platinum-containing chemotherapy.</w:t>
      </w:r>
    </w:p>
    <w:p w:rsidR="00013E26" w:rsidRPr="00E17531" w:rsidRDefault="00013E26" w:rsidP="00D74B10">
      <w:pPr>
        <w:pStyle w:val="ListParagraph"/>
        <w:numPr>
          <w:ilvl w:val="0"/>
          <w:numId w:val="10"/>
        </w:numPr>
        <w:spacing w:before="0" w:after="0"/>
        <w:ind w:left="1276" w:hanging="426"/>
      </w:pPr>
      <w:r w:rsidRPr="00E17531">
        <w:t>Unresectable or metastatic melanoma in adults, as monotherapy.</w:t>
      </w:r>
    </w:p>
    <w:p w:rsidR="00013E26" w:rsidRPr="00E17531" w:rsidRDefault="00013E26" w:rsidP="00D74B10">
      <w:pPr>
        <w:pStyle w:val="ListParagraph"/>
        <w:numPr>
          <w:ilvl w:val="0"/>
          <w:numId w:val="10"/>
        </w:numPr>
        <w:spacing w:before="0" w:after="0"/>
        <w:ind w:left="1276" w:hanging="426"/>
      </w:pPr>
      <w:r w:rsidRPr="00E17531">
        <w:t>Recurrent or metastatic head and neck squamous cell carcinoma with disease progression on or after platinum-containing chemotherapy.</w:t>
      </w:r>
    </w:p>
    <w:p w:rsidR="00013E26" w:rsidRPr="00E17531" w:rsidRDefault="00013E26" w:rsidP="00315A49">
      <w:pPr>
        <w:pStyle w:val="ESHeading2"/>
      </w:pPr>
      <w:r w:rsidRPr="00E17531">
        <w:t>Previous PBAC consideration</w:t>
      </w:r>
    </w:p>
    <w:p w:rsidR="00013E26" w:rsidRPr="00E17531" w:rsidRDefault="00013E26" w:rsidP="00D74B10">
      <w:pPr>
        <w:pStyle w:val="ListParagraph"/>
        <w:numPr>
          <w:ilvl w:val="4"/>
          <w:numId w:val="5"/>
        </w:numPr>
        <w:ind w:left="709" w:hanging="709"/>
      </w:pPr>
      <w:bookmarkStart w:id="8" w:name="_Toc490140970"/>
      <w:bookmarkEnd w:id="7"/>
      <w:r w:rsidRPr="00E17531">
        <w:rPr>
          <w:color w:val="auto"/>
        </w:rPr>
        <w:t>This</w:t>
      </w:r>
      <w:r w:rsidRPr="00E17531">
        <w:t xml:space="preserve"> is the second integrated codependent technology submission to</w:t>
      </w:r>
      <w:r w:rsidR="00D15797" w:rsidRPr="00E17531">
        <w:t xml:space="preserve"> the</w:t>
      </w:r>
      <w:r w:rsidRPr="00E17531">
        <w:t xml:space="preserve"> </w:t>
      </w:r>
      <w:r w:rsidR="00D15797" w:rsidRPr="00E17531">
        <w:t xml:space="preserve">PBAC and </w:t>
      </w:r>
      <w:r w:rsidRPr="00E17531">
        <w:t xml:space="preserve">MSAC for pembrolizumab for </w:t>
      </w:r>
      <w:r w:rsidR="001F2BE0">
        <w:t xml:space="preserve">(i) </w:t>
      </w:r>
      <w:r w:rsidRPr="00E17531">
        <w:t>the first-line treatment of NSCLC in patients who</w:t>
      </w:r>
      <w:r w:rsidR="001F2BE0">
        <w:t>se tumour expresses</w:t>
      </w:r>
      <w:r w:rsidRPr="00E17531">
        <w:t xml:space="preserve"> express PD-L1 at TPS ≥50%</w:t>
      </w:r>
      <w:r w:rsidR="00D15797" w:rsidRPr="00E17531">
        <w:t xml:space="preserve"> and </w:t>
      </w:r>
      <w:r w:rsidR="001F2BE0">
        <w:t>(ii)</w:t>
      </w:r>
      <w:r w:rsidR="007479FA" w:rsidRPr="00E17531">
        <w:t xml:space="preserve"> </w:t>
      </w:r>
      <w:r w:rsidR="00D15797" w:rsidRPr="00E17531">
        <w:t>PD-L1 testing</w:t>
      </w:r>
      <w:r w:rsidRPr="00E17531">
        <w:t>. The first integrated codependent submission was considered by both committees in March</w:t>
      </w:r>
      <w:r w:rsidR="00D15797" w:rsidRPr="00E17531">
        <w:t xml:space="preserve"> and April</w:t>
      </w:r>
      <w:r w:rsidRPr="00E17531">
        <w:t xml:space="preserve"> 2017 respectively.</w:t>
      </w:r>
    </w:p>
    <w:p w:rsidR="00013E26" w:rsidRPr="00E17531" w:rsidRDefault="00013E26" w:rsidP="00D74B10">
      <w:pPr>
        <w:pStyle w:val="ListParagraph"/>
        <w:numPr>
          <w:ilvl w:val="4"/>
          <w:numId w:val="5"/>
        </w:numPr>
        <w:ind w:left="709" w:hanging="709"/>
      </w:pPr>
      <w:r w:rsidRPr="00E17531">
        <w:t>Pembrolizumab is currently listed on the PBS for unresectable Stage III or Stage IV malignant melanoma, regardless of PD-L1 expression.</w:t>
      </w:r>
    </w:p>
    <w:p w:rsidR="00013E26" w:rsidRPr="00E17531" w:rsidRDefault="00013E26" w:rsidP="00D74B10">
      <w:pPr>
        <w:pStyle w:val="ListParagraph"/>
        <w:numPr>
          <w:ilvl w:val="4"/>
          <w:numId w:val="5"/>
        </w:numPr>
        <w:ind w:left="709" w:hanging="709"/>
      </w:pPr>
      <w:r w:rsidRPr="00E17531">
        <w:t>At the March 2017 PBAC meeting, an integrated codependent submission to list pembrolizumab as first-line treatment for patients with Stage IIIB/IV, PD-L1 TPS ≥50% NSCLC was rejected by the PBAC on the basis of unfavourable and uncertain cost-effectiveness. The PBAC also advised that there was uncertainty in selecting a PD-L1 expression threshold to define an optimal patient population mostly likely to respond to treatment (Item 6.04, public summary document (PSD</w:t>
      </w:r>
      <w:r w:rsidR="00351609" w:rsidRPr="00E17531">
        <w:t>), March 2017</w:t>
      </w:r>
      <w:r w:rsidRPr="00E17531">
        <w:t>).</w:t>
      </w:r>
    </w:p>
    <w:p w:rsidR="00013E26" w:rsidRPr="00E17531" w:rsidRDefault="00013E26" w:rsidP="00D74B10">
      <w:pPr>
        <w:pStyle w:val="ListParagraph"/>
        <w:numPr>
          <w:ilvl w:val="4"/>
          <w:numId w:val="5"/>
        </w:numPr>
        <w:ind w:left="709" w:hanging="709"/>
      </w:pPr>
      <w:r w:rsidRPr="00E17531">
        <w:t xml:space="preserve">At the April 2017 MSAC meeting, </w:t>
      </w:r>
      <w:r w:rsidR="00D74B10" w:rsidRPr="00E17531">
        <w:t>A</w:t>
      </w:r>
      <w:r w:rsidRPr="00E17531">
        <w:t>pplication No. 1440 – PD-L1 testing for access to pembrolizumab for first-line treatment of locally advanced or metastatic NSCLC was considered. MSAC did not support public funding of PD-L1 IHC as a companion diagnostic test for selecting patients with NSCLC for treatment with pembrolizumab. MSAC considered that PD-L1 IHC as a companion diagnostic test has insufficient evidence of analytical validity (and documented poor reproducibility), weak evidence of clinical validity (lacks ability to predict response to therapy) and weak evidence of clinical utility (insufficient information to guide treatment) (Application No. 1440, PSD, April 2017 MSAC meeting).</w:t>
      </w:r>
    </w:p>
    <w:p w:rsidR="00013E26" w:rsidRPr="00E17531" w:rsidRDefault="00013E26" w:rsidP="00D74B10">
      <w:pPr>
        <w:pStyle w:val="PBACESHeading1"/>
        <w:numPr>
          <w:ilvl w:val="0"/>
          <w:numId w:val="5"/>
        </w:numPr>
      </w:pPr>
      <w:bookmarkStart w:id="9" w:name="_Toc492658928"/>
      <w:bookmarkStart w:id="10" w:name="_Toc476306884"/>
      <w:r w:rsidRPr="00E17531">
        <w:t>Population and disease</w:t>
      </w:r>
      <w:bookmarkEnd w:id="8"/>
      <w:bookmarkEnd w:id="9"/>
      <w:bookmarkEnd w:id="10"/>
    </w:p>
    <w:p w:rsidR="00013E26" w:rsidRPr="00E17531" w:rsidRDefault="00013E26" w:rsidP="00D74B10">
      <w:pPr>
        <w:pStyle w:val="ListParagraph"/>
        <w:numPr>
          <w:ilvl w:val="4"/>
          <w:numId w:val="5"/>
        </w:numPr>
        <w:ind w:left="709" w:hanging="709"/>
        <w:rPr>
          <w:color w:val="auto"/>
        </w:rPr>
      </w:pPr>
      <w:r w:rsidRPr="00E17531">
        <w:rPr>
          <w:color w:val="auto"/>
        </w:rPr>
        <w:t xml:space="preserve">Lung cancer is the fifth most commonly diagnosed invasive cancer and is the leading cause of cancer death in Australia. All patients suspected of having NSCLC undergo a biopsy at initial diagnosis to determine histology. For patients with NSCLC of </w:t>
      </w:r>
      <w:r w:rsidRPr="00E17531">
        <w:rPr>
          <w:color w:val="auto"/>
        </w:rPr>
        <w:lastRenderedPageBreak/>
        <w:t xml:space="preserve">squamous histology, assessment of PD-L1 status through IHC will be the only biomarker test undertaken at diagnosis. For patients who have non-squamous or not otherwise specified NSCLC, PD-L1 IHC testing will be performed at initial diagnosis, along with </w:t>
      </w:r>
      <w:r w:rsidRPr="00E17531">
        <w:rPr>
          <w:i/>
          <w:color w:val="auto"/>
        </w:rPr>
        <w:t>EGFR</w:t>
      </w:r>
      <w:r w:rsidRPr="00E17531">
        <w:rPr>
          <w:color w:val="auto"/>
        </w:rPr>
        <w:t xml:space="preserve"> and </w:t>
      </w:r>
      <w:r w:rsidRPr="00E17531">
        <w:rPr>
          <w:i/>
          <w:color w:val="auto"/>
        </w:rPr>
        <w:t>ALK</w:t>
      </w:r>
      <w:r w:rsidRPr="00E17531">
        <w:rPr>
          <w:color w:val="auto"/>
        </w:rPr>
        <w:t xml:space="preserve"> testing.</w:t>
      </w:r>
    </w:p>
    <w:p w:rsidR="00013E26" w:rsidRPr="00E17531" w:rsidRDefault="009F23FC" w:rsidP="00D74B10">
      <w:pPr>
        <w:pStyle w:val="ListParagraph"/>
        <w:numPr>
          <w:ilvl w:val="4"/>
          <w:numId w:val="5"/>
        </w:numPr>
        <w:ind w:left="709" w:hanging="709"/>
        <w:rPr>
          <w:color w:val="auto"/>
        </w:rPr>
      </w:pPr>
      <w:r w:rsidRPr="00E17531">
        <w:rPr>
          <w:color w:val="auto"/>
        </w:rPr>
        <w:t xml:space="preserve">The submission proposed that </w:t>
      </w:r>
      <w:r w:rsidR="007479FA" w:rsidRPr="00E17531">
        <w:rPr>
          <w:color w:val="auto"/>
        </w:rPr>
        <w:t xml:space="preserve">a </w:t>
      </w:r>
      <w:r w:rsidRPr="00E17531">
        <w:rPr>
          <w:color w:val="auto"/>
        </w:rPr>
        <w:t>p</w:t>
      </w:r>
      <w:r w:rsidR="00013E26" w:rsidRPr="00E17531">
        <w:rPr>
          <w:color w:val="auto"/>
        </w:rPr>
        <w:t xml:space="preserve">atient with Stage IV NSCLC whose tumour has ≥50% PD-L1 expressing cells, </w:t>
      </w:r>
      <w:r w:rsidR="007479FA" w:rsidRPr="00E17531">
        <w:rPr>
          <w:color w:val="auto"/>
        </w:rPr>
        <w:t>is</w:t>
      </w:r>
      <w:r w:rsidR="00013E26" w:rsidRPr="00E17531">
        <w:rPr>
          <w:color w:val="auto"/>
        </w:rPr>
        <w:t xml:space="preserve"> </w:t>
      </w:r>
      <w:r w:rsidR="00013E26" w:rsidRPr="00E17531">
        <w:rPr>
          <w:i/>
          <w:color w:val="auto"/>
        </w:rPr>
        <w:t>EGFR</w:t>
      </w:r>
      <w:r w:rsidR="00013E26" w:rsidRPr="00E17531">
        <w:rPr>
          <w:color w:val="auto"/>
        </w:rPr>
        <w:t xml:space="preserve"> wild-type and </w:t>
      </w:r>
      <w:r w:rsidR="00013E26" w:rsidRPr="00E17531">
        <w:rPr>
          <w:i/>
          <w:color w:val="auto"/>
        </w:rPr>
        <w:t>ALK</w:t>
      </w:r>
      <w:r w:rsidR="00013E26" w:rsidRPr="00E17531">
        <w:rPr>
          <w:color w:val="auto"/>
        </w:rPr>
        <w:t xml:space="preserve"> translocation negative</w:t>
      </w:r>
      <w:r w:rsidR="00013E26" w:rsidRPr="00E17531">
        <w:rPr>
          <w:rStyle w:val="FootnoteReference"/>
          <w:color w:val="auto"/>
        </w:rPr>
        <w:footnoteReference w:id="1"/>
      </w:r>
      <w:r w:rsidR="00013E26" w:rsidRPr="00E17531">
        <w:rPr>
          <w:color w:val="auto"/>
        </w:rPr>
        <w:t>, and ha</w:t>
      </w:r>
      <w:r w:rsidR="007479FA" w:rsidRPr="00E17531">
        <w:rPr>
          <w:color w:val="auto"/>
        </w:rPr>
        <w:t>s</w:t>
      </w:r>
      <w:r w:rsidR="00013E26" w:rsidRPr="00E17531">
        <w:rPr>
          <w:color w:val="auto"/>
        </w:rPr>
        <w:t xml:space="preserve"> a performance status of 0 or 1</w:t>
      </w:r>
      <w:r w:rsidR="00D15797" w:rsidRPr="00E17531">
        <w:rPr>
          <w:color w:val="auto"/>
        </w:rPr>
        <w:t>,</w:t>
      </w:r>
      <w:r w:rsidR="00013E26" w:rsidRPr="00E17531">
        <w:rPr>
          <w:color w:val="auto"/>
        </w:rPr>
        <w:t xml:space="preserve"> be eligible for first-line treatment with pembrolizumab. </w:t>
      </w:r>
      <w:r w:rsidR="004972C2" w:rsidRPr="00E17531">
        <w:rPr>
          <w:color w:val="auto"/>
        </w:rPr>
        <w:t>A p</w:t>
      </w:r>
      <w:r w:rsidR="00013E26" w:rsidRPr="00E17531">
        <w:rPr>
          <w:color w:val="auto"/>
        </w:rPr>
        <w:t xml:space="preserve">atient diagnosed with earlier stage disease and tested for PD-L1 at that time would only become eligible for pembrolizumab </w:t>
      </w:r>
      <w:r w:rsidR="004972C2" w:rsidRPr="00E17531">
        <w:rPr>
          <w:color w:val="auto"/>
        </w:rPr>
        <w:t>after</w:t>
      </w:r>
      <w:r w:rsidR="00013E26" w:rsidRPr="00E17531">
        <w:rPr>
          <w:color w:val="auto"/>
        </w:rPr>
        <w:t xml:space="preserve"> progress</w:t>
      </w:r>
      <w:r w:rsidR="004972C2" w:rsidRPr="00E17531">
        <w:rPr>
          <w:color w:val="auto"/>
        </w:rPr>
        <w:t>ing</w:t>
      </w:r>
      <w:r w:rsidR="00013E26" w:rsidRPr="00E17531">
        <w:rPr>
          <w:color w:val="auto"/>
        </w:rPr>
        <w:t xml:space="preserve"> to Stage IV (</w:t>
      </w:r>
      <w:r w:rsidR="004972C2" w:rsidRPr="00E17531">
        <w:rPr>
          <w:color w:val="auto"/>
        </w:rPr>
        <w:t>and the other requirements are met</w:t>
      </w:r>
      <w:r w:rsidR="00013E26" w:rsidRPr="00E17531">
        <w:rPr>
          <w:color w:val="auto"/>
        </w:rPr>
        <w:t xml:space="preserve">). However, given the evidence </w:t>
      </w:r>
      <w:r w:rsidR="00F66B6A">
        <w:rPr>
          <w:color w:val="auto"/>
        </w:rPr>
        <w:t>that</w:t>
      </w:r>
      <w:r w:rsidR="00013E26" w:rsidRPr="00E17531">
        <w:rPr>
          <w:color w:val="auto"/>
        </w:rPr>
        <w:t xml:space="preserve"> PD-L1 expression </w:t>
      </w:r>
      <w:r w:rsidR="00F66B6A">
        <w:rPr>
          <w:color w:val="auto"/>
        </w:rPr>
        <w:t>varies during the disease course</w:t>
      </w:r>
      <w:r w:rsidR="00013E26" w:rsidRPr="00E17531">
        <w:rPr>
          <w:color w:val="auto"/>
        </w:rPr>
        <w:t xml:space="preserve">, re-biopsy on </w:t>
      </w:r>
      <w:r w:rsidR="00F66B6A">
        <w:rPr>
          <w:color w:val="auto"/>
        </w:rPr>
        <w:t xml:space="preserve">disease </w:t>
      </w:r>
      <w:r w:rsidR="00013E26" w:rsidRPr="00E17531">
        <w:rPr>
          <w:color w:val="auto"/>
        </w:rPr>
        <w:t xml:space="preserve">progression to Stage IV disease would </w:t>
      </w:r>
      <w:r w:rsidR="00F66B6A">
        <w:rPr>
          <w:color w:val="auto"/>
        </w:rPr>
        <w:t xml:space="preserve">be required to </w:t>
      </w:r>
      <w:r w:rsidR="00013E26" w:rsidRPr="00E17531">
        <w:rPr>
          <w:color w:val="auto"/>
        </w:rPr>
        <w:t xml:space="preserve">ensure patients </w:t>
      </w:r>
      <w:r w:rsidR="00936F2E" w:rsidRPr="00E17531">
        <w:rPr>
          <w:color w:val="auto"/>
        </w:rPr>
        <w:t>receive the correct treatment.</w:t>
      </w:r>
    </w:p>
    <w:p w:rsidR="00013E26" w:rsidRPr="00E17531" w:rsidRDefault="00013E26" w:rsidP="00D74B10">
      <w:pPr>
        <w:pStyle w:val="PBACESHeading1"/>
        <w:numPr>
          <w:ilvl w:val="0"/>
          <w:numId w:val="5"/>
        </w:numPr>
      </w:pPr>
      <w:bookmarkStart w:id="11" w:name="_Toc490140971"/>
      <w:bookmarkStart w:id="12" w:name="_Toc492658929"/>
      <w:r w:rsidRPr="00E17531">
        <w:t>Comparator/s</w:t>
      </w:r>
      <w:bookmarkEnd w:id="11"/>
      <w:bookmarkEnd w:id="12"/>
    </w:p>
    <w:p w:rsidR="00013E26" w:rsidRPr="00E17531" w:rsidRDefault="00013E26" w:rsidP="00D74B10">
      <w:pPr>
        <w:pStyle w:val="ListParagraph"/>
        <w:numPr>
          <w:ilvl w:val="4"/>
          <w:numId w:val="5"/>
        </w:numPr>
        <w:ind w:left="709" w:hanging="709"/>
        <w:rPr>
          <w:color w:val="auto"/>
        </w:rPr>
      </w:pPr>
      <w:bookmarkStart w:id="13" w:name="_Toc490140972"/>
      <w:r w:rsidRPr="00E17531">
        <w:rPr>
          <w:color w:val="auto"/>
        </w:rPr>
        <w:t>The re-submission nominated current practice, i.e. no test and treatment with platinum-based doublet chemotherapy for all patients</w:t>
      </w:r>
      <w:r w:rsidR="004972C2" w:rsidRPr="00E17531">
        <w:rPr>
          <w:color w:val="auto"/>
        </w:rPr>
        <w:t>,</w:t>
      </w:r>
      <w:r w:rsidRPr="00E17531">
        <w:rPr>
          <w:color w:val="auto"/>
        </w:rPr>
        <w:t xml:space="preserve"> as the main comparator. This is unchanged from the previous submission and was accepted by the MSAC and PBAC.</w:t>
      </w:r>
    </w:p>
    <w:p w:rsidR="00013E26" w:rsidRPr="00E17531" w:rsidRDefault="00D15797" w:rsidP="00D74B10">
      <w:pPr>
        <w:pStyle w:val="ListParagraph"/>
        <w:numPr>
          <w:ilvl w:val="4"/>
          <w:numId w:val="5"/>
        </w:numPr>
        <w:ind w:left="709" w:hanging="709"/>
        <w:rPr>
          <w:color w:val="auto"/>
        </w:rPr>
      </w:pPr>
      <w:r w:rsidRPr="00E17531">
        <w:t>The PBAC considered</w:t>
      </w:r>
      <w:r w:rsidR="00013E26" w:rsidRPr="00E17531">
        <w:t xml:space="preserve"> that pembrolizumab w</w:t>
      </w:r>
      <w:r w:rsidR="004972C2" w:rsidRPr="00E17531">
        <w:t>ould</w:t>
      </w:r>
      <w:r w:rsidR="00013E26" w:rsidRPr="00E17531">
        <w:t xml:space="preserve"> displace, not replace, use of platinum-based </w:t>
      </w:r>
      <w:r w:rsidR="00055388">
        <w:t xml:space="preserve">doublet </w:t>
      </w:r>
      <w:r w:rsidR="00013E26" w:rsidRPr="00E17531">
        <w:t>chemotherapies in the proposed target population.</w:t>
      </w:r>
    </w:p>
    <w:p w:rsidR="00D15797" w:rsidRPr="00E17531" w:rsidRDefault="00D15797" w:rsidP="00D15797">
      <w:pPr>
        <w:pStyle w:val="ListParagraph"/>
        <w:ind w:left="720" w:firstLine="0"/>
        <w:rPr>
          <w:rFonts w:cs="Arial"/>
          <w:bCs/>
          <w:snapToGrid w:val="0"/>
          <w:szCs w:val="24"/>
        </w:rPr>
      </w:pPr>
      <w:r w:rsidRPr="00E17531">
        <w:rPr>
          <w:rFonts w:cs="Arial"/>
          <w:bCs/>
          <w:i/>
          <w:snapToGrid w:val="0"/>
          <w:szCs w:val="24"/>
        </w:rPr>
        <w:t>For more detail on PBAC’s view, see section 7 “PBAC outcome”.</w:t>
      </w:r>
    </w:p>
    <w:p w:rsidR="00013E26" w:rsidRPr="00E17531" w:rsidRDefault="00013E26" w:rsidP="00D74B10">
      <w:pPr>
        <w:pStyle w:val="PBACESHeading1"/>
        <w:numPr>
          <w:ilvl w:val="0"/>
          <w:numId w:val="5"/>
        </w:numPr>
      </w:pPr>
      <w:bookmarkStart w:id="14" w:name="_Toc492658930"/>
      <w:r w:rsidRPr="00E17531">
        <w:t>Consideration of the evidence</w:t>
      </w:r>
      <w:bookmarkEnd w:id="13"/>
      <w:bookmarkEnd w:id="14"/>
    </w:p>
    <w:p w:rsidR="00AB47A6" w:rsidRPr="00E17531" w:rsidRDefault="00AB47A6" w:rsidP="00AD25EE">
      <w:pPr>
        <w:pStyle w:val="ESHeading2"/>
      </w:pPr>
      <w:r w:rsidRPr="00E17531">
        <w:t>Sponsor hearing</w:t>
      </w:r>
    </w:p>
    <w:p w:rsidR="00AB47A6" w:rsidRPr="00E17531" w:rsidRDefault="00AB47A6" w:rsidP="00AB47A6">
      <w:pPr>
        <w:pStyle w:val="ListParagraph"/>
        <w:numPr>
          <w:ilvl w:val="4"/>
          <w:numId w:val="5"/>
        </w:numPr>
        <w:ind w:left="709" w:hanging="709"/>
        <w:rPr>
          <w:rFonts w:cs="Arial"/>
          <w:bCs/>
          <w:snapToGrid w:val="0"/>
        </w:rPr>
      </w:pPr>
      <w:r w:rsidRPr="00E17531">
        <w:rPr>
          <w:rFonts w:cs="Arial"/>
          <w:bCs/>
          <w:snapToGrid w:val="0"/>
        </w:rPr>
        <w:t>There was no hearing for this item.</w:t>
      </w:r>
    </w:p>
    <w:p w:rsidR="00AB47A6" w:rsidRPr="00E17531" w:rsidRDefault="00AB47A6" w:rsidP="00AD25EE">
      <w:pPr>
        <w:pStyle w:val="ESHeading2"/>
      </w:pPr>
      <w:r w:rsidRPr="00E17531">
        <w:t>Consumer comments</w:t>
      </w:r>
    </w:p>
    <w:p w:rsidR="00AB47A6" w:rsidRPr="00E17531" w:rsidRDefault="00AB47A6" w:rsidP="00AB47A6">
      <w:pPr>
        <w:pStyle w:val="ListParagraph"/>
        <w:numPr>
          <w:ilvl w:val="4"/>
          <w:numId w:val="5"/>
        </w:numPr>
        <w:ind w:left="709" w:hanging="709"/>
        <w:rPr>
          <w:rFonts w:cs="Arial"/>
          <w:bCs/>
          <w:snapToGrid w:val="0"/>
        </w:rPr>
      </w:pPr>
      <w:r w:rsidRPr="00E17531">
        <w:rPr>
          <w:rFonts w:cs="Arial"/>
          <w:bCs/>
          <w:snapToGrid w:val="0"/>
        </w:rPr>
        <w:t xml:space="preserve">The PBAC noted and welcomed the input from </w:t>
      </w:r>
      <w:r w:rsidR="007C0056">
        <w:rPr>
          <w:rFonts w:cs="Arial"/>
          <w:bCs/>
          <w:snapToGrid w:val="0"/>
        </w:rPr>
        <w:t>seven individuals</w:t>
      </w:r>
      <w:r w:rsidRPr="00E17531">
        <w:rPr>
          <w:rFonts w:cs="Arial"/>
          <w:bCs/>
          <w:snapToGrid w:val="0"/>
        </w:rPr>
        <w:t xml:space="preserve"> via the Consumer Comments facility on the PBS website. The comment supported the PBS listing of pembrolizumab for NSCLC and other rare cancers.</w:t>
      </w:r>
    </w:p>
    <w:p w:rsidR="00AB47A6" w:rsidRPr="00E17531" w:rsidRDefault="00AB47A6" w:rsidP="00AB47A6">
      <w:pPr>
        <w:pStyle w:val="ListParagraph"/>
        <w:numPr>
          <w:ilvl w:val="4"/>
          <w:numId w:val="5"/>
        </w:numPr>
        <w:ind w:left="709" w:hanging="709"/>
        <w:rPr>
          <w:rFonts w:cs="Arial"/>
          <w:bCs/>
          <w:snapToGrid w:val="0"/>
        </w:rPr>
      </w:pPr>
      <w:r w:rsidRPr="00E17531">
        <w:rPr>
          <w:rFonts w:cs="Arial"/>
          <w:bCs/>
          <w:snapToGrid w:val="0"/>
        </w:rPr>
        <w:t>The Medical Oncology Group of Australia (MOGA) also expressed its support for the submission, on the basis of increased survival benefit and decreased toxicity. The PBAC noted that the MOGA presented the European Society for Medical Oncology Magnitude of Clinical Benefit Scale (ESMO-MCBS) in this context as being 5 (out of a maximum of 5, where 5 and 4 represent the grades with substantial improvement)</w:t>
      </w:r>
      <w:r w:rsidRPr="00E17531">
        <w:rPr>
          <w:rFonts w:cs="Arial"/>
          <w:bCs/>
          <w:snapToGrid w:val="0"/>
          <w:vertAlign w:val="superscript"/>
        </w:rPr>
        <w:footnoteReference w:id="2"/>
      </w:r>
      <w:r w:rsidRPr="00E17531">
        <w:rPr>
          <w:rFonts w:cs="Arial"/>
          <w:bCs/>
          <w:snapToGrid w:val="0"/>
        </w:rPr>
        <w:t xml:space="preserve">, </w:t>
      </w:r>
      <w:r w:rsidRPr="00E17531">
        <w:rPr>
          <w:rFonts w:cs="Arial"/>
          <w:bCs/>
          <w:snapToGrid w:val="0"/>
        </w:rPr>
        <w:lastRenderedPageBreak/>
        <w:t xml:space="preserve">based the KN-024 comparison of pembrolizumab with platinum-based </w:t>
      </w:r>
      <w:r w:rsidR="00055388">
        <w:t xml:space="preserve">doublet </w:t>
      </w:r>
      <w:r w:rsidRPr="00E17531">
        <w:rPr>
          <w:rFonts w:cs="Arial"/>
          <w:bCs/>
          <w:snapToGrid w:val="0"/>
        </w:rPr>
        <w:t>chemotherapy.</w:t>
      </w:r>
    </w:p>
    <w:p w:rsidR="00013E26" w:rsidRPr="00E17531" w:rsidRDefault="00013E26" w:rsidP="00D74B10">
      <w:pPr>
        <w:pStyle w:val="PBACESHeading2"/>
        <w:numPr>
          <w:ilvl w:val="2"/>
          <w:numId w:val="5"/>
        </w:numPr>
      </w:pPr>
      <w:r w:rsidRPr="00E17531">
        <w:t>Overview of the evidence base</w:t>
      </w:r>
    </w:p>
    <w:p w:rsidR="00013E26" w:rsidRPr="00E17531" w:rsidRDefault="00013E26" w:rsidP="007312C0">
      <w:pPr>
        <w:pStyle w:val="ListParagraph"/>
        <w:numPr>
          <w:ilvl w:val="4"/>
          <w:numId w:val="5"/>
        </w:numPr>
        <w:ind w:left="709" w:hanging="709"/>
      </w:pPr>
      <w:r w:rsidRPr="00E17531">
        <w:rPr>
          <w:color w:val="auto"/>
        </w:rPr>
        <w:t xml:space="preserve">The resubmission presented evidence that has been linked to support the </w:t>
      </w:r>
      <w:r w:rsidR="004972C2" w:rsidRPr="00E17531">
        <w:rPr>
          <w:color w:val="auto"/>
        </w:rPr>
        <w:t>claim</w:t>
      </w:r>
      <w:r w:rsidRPr="00E17531">
        <w:rPr>
          <w:color w:val="auto"/>
        </w:rPr>
        <w:t xml:space="preserve"> that targeting treatment-</w:t>
      </w:r>
      <w:r w:rsidR="00936F2E" w:rsidRPr="00E17531">
        <w:rPr>
          <w:color w:val="auto"/>
        </w:rPr>
        <w:t>naïve patients with PD-L1 TPS ≥</w:t>
      </w:r>
      <w:r w:rsidRPr="00E17531">
        <w:rPr>
          <w:color w:val="auto"/>
        </w:rPr>
        <w:t>50% NSCLC with pembrolizumab will improve progression-free survival (PFS), overall survival (OS) and safety compared with platinum-based doublet chemotherapy (</w:t>
      </w:r>
      <w:r w:rsidR="007C0056" w:rsidRPr="00E17531">
        <w:t xml:space="preserve">Table </w:t>
      </w:r>
      <w:r w:rsidR="007C0056">
        <w:t>2</w:t>
      </w:r>
      <w:r w:rsidRPr="00E17531">
        <w:rPr>
          <w:color w:val="auto"/>
        </w:rPr>
        <w:t>). The same approach was used in the previous submission.</w:t>
      </w:r>
    </w:p>
    <w:p w:rsidR="00013E26" w:rsidRPr="00E17531" w:rsidRDefault="00013E26" w:rsidP="008F1A10">
      <w:pPr>
        <w:pStyle w:val="Caption"/>
      </w:pPr>
      <w:bookmarkStart w:id="15" w:name="_Ref490140772"/>
      <w:r w:rsidRPr="00E17531">
        <w:t xml:space="preserve">Table </w:t>
      </w:r>
      <w:r w:rsidR="007C0056">
        <w:rPr>
          <w:noProof/>
        </w:rPr>
        <w:t>2</w:t>
      </w:r>
      <w:bookmarkEnd w:id="15"/>
      <w:r w:rsidRPr="00E17531">
        <w:t>: 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116"/>
        <w:gridCol w:w="1701"/>
        <w:gridCol w:w="2471"/>
      </w:tblGrid>
      <w:tr w:rsidR="00013E26" w:rsidRPr="00E17531" w:rsidTr="00782E7F">
        <w:tc>
          <w:tcPr>
            <w:tcW w:w="1057" w:type="pct"/>
            <w:tcBorders>
              <w:top w:val="single" w:sz="4" w:space="0" w:color="auto"/>
              <w:left w:val="single" w:sz="4" w:space="0" w:color="auto"/>
              <w:bottom w:val="single" w:sz="4" w:space="0" w:color="auto"/>
              <w:right w:val="single" w:sz="4" w:space="0" w:color="auto"/>
            </w:tcBorders>
          </w:tcPr>
          <w:p w:rsidR="00013E26" w:rsidRPr="00E17531" w:rsidRDefault="00013E26" w:rsidP="00622343">
            <w:pPr>
              <w:pStyle w:val="TableText"/>
              <w:spacing w:line="254" w:lineRule="auto"/>
              <w:jc w:val="left"/>
              <w:rPr>
                <w:b/>
              </w:rPr>
            </w:pPr>
          </w:p>
        </w:tc>
        <w:tc>
          <w:tcPr>
            <w:tcW w:w="1686"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rPr>
                <w:b/>
              </w:rPr>
            </w:pPr>
            <w:r w:rsidRPr="00E17531">
              <w:rPr>
                <w:b/>
              </w:rPr>
              <w:t>Type of evidence supplied</w:t>
            </w:r>
          </w:p>
        </w:tc>
        <w:tc>
          <w:tcPr>
            <w:tcW w:w="920"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rPr>
                <w:b/>
              </w:rPr>
            </w:pPr>
            <w:r w:rsidRPr="00E17531">
              <w:rPr>
                <w:b/>
              </w:rPr>
              <w:t>Extent of evidence supplied</w:t>
            </w:r>
          </w:p>
        </w:tc>
        <w:tc>
          <w:tcPr>
            <w:tcW w:w="1337" w:type="pct"/>
            <w:tcBorders>
              <w:top w:val="single" w:sz="4" w:space="0" w:color="auto"/>
              <w:left w:val="single" w:sz="4" w:space="0" w:color="auto"/>
              <w:bottom w:val="single" w:sz="4" w:space="0" w:color="auto"/>
              <w:right w:val="single" w:sz="4" w:space="0" w:color="auto"/>
            </w:tcBorders>
            <w:vAlign w:val="center"/>
            <w:hideMark/>
          </w:tcPr>
          <w:p w:rsidR="00013E26" w:rsidRPr="00E17531" w:rsidRDefault="00013E26" w:rsidP="00622343">
            <w:pPr>
              <w:pStyle w:val="TableText"/>
              <w:spacing w:line="254" w:lineRule="auto"/>
              <w:rPr>
                <w:b/>
              </w:rPr>
            </w:pPr>
            <w:r w:rsidRPr="00E17531">
              <w:rPr>
                <w:b/>
              </w:rPr>
              <w:t>Overall risk of bias in clinical trials</w:t>
            </w:r>
          </w:p>
        </w:tc>
      </w:tr>
      <w:tr w:rsidR="00013E26" w:rsidRPr="00E17531" w:rsidTr="00782E7F">
        <w:tc>
          <w:tcPr>
            <w:tcW w:w="105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Accuracy and performance of the test (analytical validity)</w:t>
            </w:r>
          </w:p>
        </w:tc>
        <w:tc>
          <w:tcPr>
            <w:tcW w:w="1686"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A study of test accuracy with the evidentiary standard using the ≥50% TPS threshold</w:t>
            </w:r>
          </w:p>
        </w:tc>
        <w:tc>
          <w:tcPr>
            <w:tcW w:w="920" w:type="pct"/>
            <w:tcBorders>
              <w:top w:val="single" w:sz="4" w:space="0" w:color="auto"/>
              <w:left w:val="single" w:sz="4" w:space="0" w:color="auto"/>
              <w:bottom w:val="single" w:sz="4" w:space="0" w:color="auto"/>
              <w:right w:val="single" w:sz="4" w:space="0" w:color="auto"/>
            </w:tcBorders>
            <w:hideMark/>
          </w:tcPr>
          <w:p w:rsidR="00013E26" w:rsidRPr="00E17531" w:rsidRDefault="008B6089" w:rsidP="00622343">
            <w:pPr>
              <w:pStyle w:val="TableText"/>
              <w:spacing w:line="254" w:lineRule="auto"/>
            </w:pPr>
            <w:sdt>
              <w:sdtPr>
                <w:id w:val="-325985851"/>
                <w14:checkbox>
                  <w14:checked w14:val="1"/>
                  <w14:checkedState w14:val="2612" w14:font="MS Gothic"/>
                  <w14:uncheckedState w14:val="2610" w14:font="MS Gothic"/>
                </w14:checkbox>
              </w:sdtPr>
              <w:sdtEndPr/>
              <w:sdtContent>
                <w:r w:rsidR="00013E26" w:rsidRPr="00E17531">
                  <w:rPr>
                    <w:rFonts w:ascii="MS Gothic" w:eastAsia="MS Gothic" w:hAnsi="MS Gothic" w:cs="MS Gothic"/>
                  </w:rPr>
                  <w:t>☒</w:t>
                </w:r>
              </w:sdtContent>
            </w:sdt>
            <w:r w:rsidR="00013E26" w:rsidRPr="00E17531">
              <w:tab/>
              <w:t>k=5</w:t>
            </w:r>
            <w:r w:rsidR="00013E26" w:rsidRPr="00E17531">
              <w:tab/>
              <w:t>n=700</w:t>
            </w:r>
          </w:p>
        </w:tc>
        <w:tc>
          <w:tcPr>
            <w:tcW w:w="133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rPr>
                <w:szCs w:val="20"/>
              </w:rPr>
            </w:pPr>
            <w:r w:rsidRPr="00E17531">
              <w:rPr>
                <w:szCs w:val="20"/>
              </w:rPr>
              <w:t>k=3 low risk of bias</w:t>
            </w:r>
          </w:p>
          <w:p w:rsidR="00013E26" w:rsidRPr="00E17531" w:rsidRDefault="00013E26" w:rsidP="00622343">
            <w:pPr>
              <w:pStyle w:val="TableText"/>
              <w:spacing w:line="254" w:lineRule="auto"/>
              <w:jc w:val="left"/>
            </w:pPr>
            <w:r w:rsidRPr="00E17531">
              <w:rPr>
                <w:szCs w:val="20"/>
              </w:rPr>
              <w:t>k=2 unclear risk of bias</w:t>
            </w:r>
          </w:p>
        </w:tc>
      </w:tr>
      <w:tr w:rsidR="00013E26" w:rsidRPr="00E17531" w:rsidTr="00782E7F">
        <w:tc>
          <w:tcPr>
            <w:tcW w:w="105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Prognostic evidence</w:t>
            </w:r>
          </w:p>
        </w:tc>
        <w:tc>
          <w:tcPr>
            <w:tcW w:w="1686"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 xml:space="preserve">Comparison of outcomes in patients receiving </w:t>
            </w:r>
            <w:r w:rsidRPr="00E17531">
              <w:rPr>
                <w:u w:val="single"/>
              </w:rPr>
              <w:t>usual care</w:t>
            </w:r>
            <w:r w:rsidRPr="00E17531">
              <w:t xml:space="preserve"> conditioned on the presence or absence of the bioma</w:t>
            </w:r>
            <w:r w:rsidR="00782E7F" w:rsidRPr="00E17531">
              <w:t>rker</w:t>
            </w:r>
          </w:p>
        </w:tc>
        <w:tc>
          <w:tcPr>
            <w:tcW w:w="920" w:type="pct"/>
            <w:tcBorders>
              <w:top w:val="single" w:sz="4" w:space="0" w:color="auto"/>
              <w:left w:val="single" w:sz="4" w:space="0" w:color="auto"/>
              <w:bottom w:val="single" w:sz="4" w:space="0" w:color="auto"/>
              <w:right w:val="single" w:sz="4" w:space="0" w:color="auto"/>
            </w:tcBorders>
            <w:hideMark/>
          </w:tcPr>
          <w:p w:rsidR="00013E26" w:rsidRPr="00E17531" w:rsidRDefault="008B6089" w:rsidP="00622343">
            <w:pPr>
              <w:pStyle w:val="TableText"/>
              <w:spacing w:line="254" w:lineRule="auto"/>
            </w:pPr>
            <w:sdt>
              <w:sdtPr>
                <w:id w:val="-1062252950"/>
                <w14:checkbox>
                  <w14:checked w14:val="1"/>
                  <w14:checkedState w14:val="2612" w14:font="MS Gothic"/>
                  <w14:uncheckedState w14:val="2610" w14:font="MS Gothic"/>
                </w14:checkbox>
              </w:sdtPr>
              <w:sdtEndPr/>
              <w:sdtContent>
                <w:r w:rsidR="00013E26" w:rsidRPr="00E17531">
                  <w:rPr>
                    <w:rFonts w:ascii="MS Gothic" w:eastAsia="MS Gothic" w:hAnsi="MS Gothic" w:cs="MS Gothic"/>
                  </w:rPr>
                  <w:t>☒</w:t>
                </w:r>
              </w:sdtContent>
            </w:sdt>
            <w:r w:rsidR="00013E26" w:rsidRPr="00E17531">
              <w:tab/>
              <w:t>k=8</w:t>
            </w:r>
            <w:r w:rsidR="00013E26" w:rsidRPr="00E17531">
              <w:tab/>
              <w:t>n=12,939</w:t>
            </w:r>
          </w:p>
        </w:tc>
        <w:tc>
          <w:tcPr>
            <w:tcW w:w="133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pPr>
            <w:r w:rsidRPr="00E17531">
              <w:rPr>
                <w:szCs w:val="20"/>
              </w:rPr>
              <w:t>Low risk of bias</w:t>
            </w:r>
          </w:p>
        </w:tc>
      </w:tr>
      <w:tr w:rsidR="00013E26" w:rsidRPr="00E17531" w:rsidTr="00782E7F">
        <w:tc>
          <w:tcPr>
            <w:tcW w:w="105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 xml:space="preserve">Change in patient management </w:t>
            </w:r>
          </w:p>
        </w:tc>
        <w:tc>
          <w:tcPr>
            <w:tcW w:w="1686"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Evidence to show that biomarker determination guides decisions about treatment with the medicine</w:t>
            </w:r>
          </w:p>
        </w:tc>
        <w:tc>
          <w:tcPr>
            <w:tcW w:w="920" w:type="pct"/>
            <w:tcBorders>
              <w:top w:val="single" w:sz="4" w:space="0" w:color="auto"/>
              <w:left w:val="single" w:sz="4" w:space="0" w:color="auto"/>
              <w:bottom w:val="single" w:sz="4" w:space="0" w:color="auto"/>
              <w:right w:val="single" w:sz="4" w:space="0" w:color="auto"/>
            </w:tcBorders>
            <w:hideMark/>
          </w:tcPr>
          <w:p w:rsidR="00013E26" w:rsidRPr="00E17531" w:rsidRDefault="008B6089" w:rsidP="00622343">
            <w:pPr>
              <w:pStyle w:val="TableText"/>
              <w:spacing w:line="254" w:lineRule="auto"/>
            </w:pPr>
            <w:sdt>
              <w:sdtPr>
                <w:id w:val="-1854331969"/>
                <w14:checkbox>
                  <w14:checked w14:val="0"/>
                  <w14:checkedState w14:val="2612" w14:font="MS Gothic"/>
                  <w14:uncheckedState w14:val="2610" w14:font="MS Gothic"/>
                </w14:checkbox>
              </w:sdtPr>
              <w:sdtEndPr/>
              <w:sdtContent>
                <w:r w:rsidR="00013E26" w:rsidRPr="00E17531">
                  <w:rPr>
                    <w:rFonts w:ascii="MS Gothic" w:eastAsia="MS Gothic" w:hAnsi="MS Gothic" w:cs="MS Gothic"/>
                  </w:rPr>
                  <w:t>☐</w:t>
                </w:r>
              </w:sdtContent>
            </w:sdt>
            <w:r w:rsidR="00013E26" w:rsidRPr="00E17531">
              <w:tab/>
              <w:t>k=0</w:t>
            </w:r>
            <w:r w:rsidR="00013E26" w:rsidRPr="00E17531">
              <w:tab/>
              <w:t>n=0</w:t>
            </w:r>
          </w:p>
        </w:tc>
        <w:tc>
          <w:tcPr>
            <w:tcW w:w="133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pPr>
          </w:p>
        </w:tc>
      </w:tr>
      <w:tr w:rsidR="00013E26" w:rsidRPr="00E17531" w:rsidTr="00782E7F">
        <w:tc>
          <w:tcPr>
            <w:tcW w:w="1057" w:type="pct"/>
            <w:tcBorders>
              <w:top w:val="single" w:sz="4" w:space="0" w:color="auto"/>
              <w:left w:val="single" w:sz="4" w:space="0" w:color="auto"/>
              <w:bottom w:val="single" w:sz="4" w:space="0" w:color="auto"/>
              <w:right w:val="single" w:sz="4" w:space="0" w:color="auto"/>
            </w:tcBorders>
          </w:tcPr>
          <w:p w:rsidR="00013E26" w:rsidRPr="00E17531" w:rsidRDefault="00013E26" w:rsidP="00622343">
            <w:pPr>
              <w:pStyle w:val="TableText"/>
              <w:spacing w:line="254" w:lineRule="auto"/>
              <w:jc w:val="left"/>
            </w:pPr>
            <w:r w:rsidRPr="00E17531">
              <w:t xml:space="preserve">Treatment effectiveness </w:t>
            </w:r>
          </w:p>
          <w:p w:rsidR="00013E26" w:rsidRPr="00E17531" w:rsidRDefault="00013E26" w:rsidP="00622343">
            <w:pPr>
              <w:pStyle w:val="TableText"/>
              <w:spacing w:line="254" w:lineRule="auto"/>
              <w:jc w:val="left"/>
            </w:pPr>
          </w:p>
          <w:p w:rsidR="00013E26" w:rsidRPr="00E17531" w:rsidRDefault="00013E26" w:rsidP="00622343">
            <w:pPr>
              <w:pStyle w:val="TableText"/>
              <w:spacing w:line="254" w:lineRule="auto"/>
              <w:jc w:val="left"/>
            </w:pPr>
            <w:r w:rsidRPr="00E17531">
              <w:t>Predictive effect</w:t>
            </w:r>
            <w:r w:rsidRPr="00E17531">
              <w:br/>
            </w:r>
          </w:p>
          <w:p w:rsidR="00013E26" w:rsidRPr="00E17531" w:rsidRDefault="00013E26" w:rsidP="00622343">
            <w:pPr>
              <w:pStyle w:val="TableText"/>
              <w:spacing w:line="254" w:lineRule="auto"/>
              <w:jc w:val="left"/>
            </w:pPr>
          </w:p>
          <w:p w:rsidR="00013E26" w:rsidRPr="00E17531" w:rsidRDefault="00013E26" w:rsidP="00622343">
            <w:pPr>
              <w:pStyle w:val="TableText"/>
              <w:spacing w:line="254" w:lineRule="auto"/>
              <w:jc w:val="left"/>
            </w:pPr>
            <w:r w:rsidRPr="00E17531">
              <w:t>Treatment effect (enriched)</w:t>
            </w:r>
          </w:p>
        </w:tc>
        <w:tc>
          <w:tcPr>
            <w:tcW w:w="1686" w:type="pct"/>
            <w:tcBorders>
              <w:top w:val="single" w:sz="4" w:space="0" w:color="auto"/>
              <w:left w:val="single" w:sz="4" w:space="0" w:color="auto"/>
              <w:bottom w:val="single" w:sz="4" w:space="0" w:color="auto"/>
              <w:right w:val="single" w:sz="4" w:space="0" w:color="auto"/>
            </w:tcBorders>
          </w:tcPr>
          <w:p w:rsidR="00013E26" w:rsidRPr="00E17531" w:rsidRDefault="00013E26" w:rsidP="00622343">
            <w:pPr>
              <w:pStyle w:val="TableText"/>
              <w:spacing w:line="254" w:lineRule="auto"/>
              <w:jc w:val="left"/>
            </w:pPr>
          </w:p>
          <w:p w:rsidR="00013E26" w:rsidRPr="00E17531" w:rsidRDefault="00013E26" w:rsidP="00622343">
            <w:pPr>
              <w:pStyle w:val="TableText"/>
              <w:spacing w:line="254" w:lineRule="auto"/>
              <w:jc w:val="left"/>
            </w:pPr>
          </w:p>
          <w:p w:rsidR="00013E26" w:rsidRPr="00E17531" w:rsidRDefault="00013E26" w:rsidP="00622343">
            <w:pPr>
              <w:pStyle w:val="TableText"/>
              <w:spacing w:line="254" w:lineRule="auto"/>
              <w:jc w:val="left"/>
            </w:pPr>
            <w:r w:rsidRPr="00E17531">
              <w:t>Comparison of outcomes in patients with or without the biomarker who receive the medicine or its comparator</w:t>
            </w:r>
          </w:p>
          <w:p w:rsidR="00013E26" w:rsidRPr="00E17531" w:rsidRDefault="00013E26" w:rsidP="00622343">
            <w:pPr>
              <w:pStyle w:val="TableText"/>
              <w:spacing w:line="254" w:lineRule="auto"/>
              <w:jc w:val="left"/>
            </w:pPr>
          </w:p>
          <w:p w:rsidR="00013E26" w:rsidRPr="00E17531" w:rsidRDefault="00013E26" w:rsidP="000D7013">
            <w:pPr>
              <w:pStyle w:val="TableText"/>
              <w:spacing w:line="254" w:lineRule="auto"/>
              <w:jc w:val="left"/>
            </w:pPr>
            <w:r w:rsidRPr="00E17531">
              <w:t xml:space="preserve">Single randomised controlled trial of medicine vs </w:t>
            </w:r>
            <w:r w:rsidR="000D7013">
              <w:t>current</w:t>
            </w:r>
            <w:r w:rsidRPr="00E17531">
              <w:t xml:space="preserve"> care in patients that are test positive in both arms</w:t>
            </w:r>
          </w:p>
        </w:tc>
        <w:tc>
          <w:tcPr>
            <w:tcW w:w="920" w:type="pct"/>
            <w:tcBorders>
              <w:top w:val="single" w:sz="4" w:space="0" w:color="auto"/>
              <w:left w:val="single" w:sz="4" w:space="0" w:color="auto"/>
              <w:bottom w:val="single" w:sz="4" w:space="0" w:color="auto"/>
              <w:right w:val="single" w:sz="4" w:space="0" w:color="auto"/>
            </w:tcBorders>
          </w:tcPr>
          <w:p w:rsidR="00013E26" w:rsidRPr="00E17531" w:rsidRDefault="00013E26" w:rsidP="00622343">
            <w:pPr>
              <w:pStyle w:val="TableText"/>
              <w:spacing w:line="254" w:lineRule="auto"/>
            </w:pPr>
          </w:p>
          <w:p w:rsidR="00013E26" w:rsidRPr="00E17531" w:rsidRDefault="00013E26" w:rsidP="00622343">
            <w:pPr>
              <w:pStyle w:val="TableText"/>
              <w:spacing w:line="254" w:lineRule="auto"/>
            </w:pPr>
          </w:p>
          <w:p w:rsidR="00013E26" w:rsidRPr="00E17531" w:rsidRDefault="008B6089" w:rsidP="00622343">
            <w:pPr>
              <w:pStyle w:val="TableText"/>
              <w:spacing w:line="254" w:lineRule="auto"/>
            </w:pPr>
            <w:sdt>
              <w:sdtPr>
                <w:id w:val="-1560315810"/>
                <w14:checkbox>
                  <w14:checked w14:val="1"/>
                  <w14:checkedState w14:val="2612" w14:font="MS Gothic"/>
                  <w14:uncheckedState w14:val="2610" w14:font="MS Gothic"/>
                </w14:checkbox>
              </w:sdtPr>
              <w:sdtEndPr/>
              <w:sdtContent>
                <w:r w:rsidR="00013E26" w:rsidRPr="00E17531">
                  <w:rPr>
                    <w:rFonts w:ascii="MS Gothic" w:eastAsia="MS Gothic" w:hAnsi="MS Gothic" w:cs="MS Gothic"/>
                  </w:rPr>
                  <w:t>☒</w:t>
                </w:r>
              </w:sdtContent>
            </w:sdt>
            <w:r w:rsidR="00013E26" w:rsidRPr="00E17531">
              <w:tab/>
              <w:t>k=2</w:t>
            </w:r>
            <w:r w:rsidR="00013E26" w:rsidRPr="00E17531">
              <w:tab/>
              <w:t>n=142</w:t>
            </w:r>
            <w:r w:rsidR="00013E26" w:rsidRPr="00E17531">
              <w:br/>
            </w:r>
          </w:p>
          <w:p w:rsidR="00013E26" w:rsidRPr="00E17531" w:rsidRDefault="00013E26" w:rsidP="00622343">
            <w:pPr>
              <w:pStyle w:val="TableText"/>
              <w:spacing w:line="254" w:lineRule="auto"/>
            </w:pPr>
          </w:p>
          <w:p w:rsidR="00013E26" w:rsidRPr="00E17531" w:rsidRDefault="008B6089" w:rsidP="00622343">
            <w:pPr>
              <w:pStyle w:val="TableText"/>
              <w:spacing w:line="254" w:lineRule="auto"/>
            </w:pPr>
            <w:sdt>
              <w:sdtPr>
                <w:id w:val="-106586548"/>
                <w14:checkbox>
                  <w14:checked w14:val="1"/>
                  <w14:checkedState w14:val="2612" w14:font="MS Gothic"/>
                  <w14:uncheckedState w14:val="2610" w14:font="MS Gothic"/>
                </w14:checkbox>
              </w:sdtPr>
              <w:sdtEndPr/>
              <w:sdtContent>
                <w:r w:rsidR="00013E26" w:rsidRPr="00E17531">
                  <w:rPr>
                    <w:rFonts w:ascii="MS Gothic" w:eastAsia="MS Gothic" w:hAnsi="MS Gothic" w:cs="MS Gothic"/>
                  </w:rPr>
                  <w:t>☒</w:t>
                </w:r>
              </w:sdtContent>
            </w:sdt>
            <w:r w:rsidR="00013E26" w:rsidRPr="00E17531">
              <w:tab/>
              <w:t>k=1</w:t>
            </w:r>
            <w:r w:rsidR="00013E26" w:rsidRPr="00E17531">
              <w:tab/>
              <w:t>n</w:t>
            </w:r>
            <w:r w:rsidR="00D349EC" w:rsidRPr="00E17531">
              <w:t>=30</w:t>
            </w:r>
            <w:r w:rsidR="00013E26" w:rsidRPr="00E17531">
              <w:t>5</w:t>
            </w:r>
          </w:p>
        </w:tc>
        <w:tc>
          <w:tcPr>
            <w:tcW w:w="133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rPr>
                <w:color w:val="000000" w:themeColor="text1"/>
                <w:szCs w:val="20"/>
              </w:rPr>
            </w:pPr>
          </w:p>
          <w:p w:rsidR="00013E26" w:rsidRPr="00E17531" w:rsidRDefault="00013E26" w:rsidP="00622343">
            <w:pPr>
              <w:pStyle w:val="TableText"/>
              <w:spacing w:line="254" w:lineRule="auto"/>
              <w:rPr>
                <w:color w:val="000000" w:themeColor="text1"/>
                <w:szCs w:val="20"/>
              </w:rPr>
            </w:pPr>
          </w:p>
          <w:p w:rsidR="00013E26" w:rsidRPr="00E17531" w:rsidRDefault="00013E26" w:rsidP="00622343">
            <w:pPr>
              <w:pStyle w:val="TableText"/>
              <w:spacing w:line="254" w:lineRule="auto"/>
              <w:rPr>
                <w:color w:val="000000" w:themeColor="text1"/>
                <w:szCs w:val="20"/>
              </w:rPr>
            </w:pPr>
            <w:r w:rsidRPr="00E17531">
              <w:rPr>
                <w:color w:val="000000" w:themeColor="text1"/>
                <w:szCs w:val="20"/>
              </w:rPr>
              <w:t>High risk of bias as it is an indirect comparison</w:t>
            </w:r>
          </w:p>
          <w:p w:rsidR="00013E26" w:rsidRPr="00E17531" w:rsidRDefault="00013E26" w:rsidP="00622343">
            <w:pPr>
              <w:pStyle w:val="TableText"/>
              <w:spacing w:line="254" w:lineRule="auto"/>
              <w:rPr>
                <w:color w:val="000000" w:themeColor="text1"/>
                <w:szCs w:val="20"/>
              </w:rPr>
            </w:pPr>
          </w:p>
          <w:p w:rsidR="00013E26" w:rsidRPr="00E17531" w:rsidRDefault="00013E26" w:rsidP="00622343">
            <w:pPr>
              <w:pStyle w:val="TableText"/>
              <w:spacing w:line="254" w:lineRule="auto"/>
            </w:pPr>
          </w:p>
          <w:p w:rsidR="00013E26" w:rsidRPr="00E17531" w:rsidRDefault="00013E26" w:rsidP="00622343">
            <w:pPr>
              <w:pStyle w:val="TableText"/>
              <w:spacing w:line="254" w:lineRule="auto"/>
            </w:pPr>
            <w:r w:rsidRPr="00E17531">
              <w:t>PFS and OS: low risk of bias</w:t>
            </w:r>
          </w:p>
          <w:p w:rsidR="00013E26" w:rsidRPr="00E17531" w:rsidRDefault="00782E7F" w:rsidP="006265CE">
            <w:pPr>
              <w:pStyle w:val="TableText"/>
              <w:spacing w:line="254" w:lineRule="auto"/>
            </w:pPr>
            <w:r w:rsidRPr="00E17531">
              <w:t>Safety, QoL: h</w:t>
            </w:r>
            <w:r w:rsidR="00013E26" w:rsidRPr="00E17531">
              <w:t>igh risk of bias</w:t>
            </w:r>
          </w:p>
        </w:tc>
      </w:tr>
      <w:tr w:rsidR="00013E26" w:rsidRPr="00E17531" w:rsidTr="00782E7F">
        <w:tc>
          <w:tcPr>
            <w:tcW w:w="1057" w:type="pct"/>
            <w:tcBorders>
              <w:top w:val="single" w:sz="4" w:space="0" w:color="auto"/>
              <w:left w:val="single" w:sz="4" w:space="0" w:color="auto"/>
              <w:bottom w:val="single" w:sz="4" w:space="0" w:color="auto"/>
              <w:right w:val="single" w:sz="4" w:space="0" w:color="auto"/>
            </w:tcBorders>
            <w:hideMark/>
          </w:tcPr>
          <w:p w:rsidR="00013E26" w:rsidRPr="00E17531" w:rsidRDefault="00013E26" w:rsidP="00622343">
            <w:pPr>
              <w:pStyle w:val="TableText"/>
              <w:spacing w:line="254" w:lineRule="auto"/>
              <w:jc w:val="left"/>
            </w:pPr>
            <w:r w:rsidRPr="00E17531">
              <w:t>Other</w:t>
            </w:r>
          </w:p>
        </w:tc>
        <w:tc>
          <w:tcPr>
            <w:tcW w:w="1686" w:type="pct"/>
            <w:tcBorders>
              <w:top w:val="single" w:sz="4" w:space="0" w:color="auto"/>
              <w:left w:val="single" w:sz="4" w:space="0" w:color="auto"/>
              <w:bottom w:val="single" w:sz="4" w:space="0" w:color="auto"/>
              <w:right w:val="single" w:sz="4" w:space="0" w:color="auto"/>
            </w:tcBorders>
          </w:tcPr>
          <w:p w:rsidR="00013E26" w:rsidRPr="00E17531" w:rsidRDefault="00013E26" w:rsidP="00622343">
            <w:pPr>
              <w:pStyle w:val="TableText"/>
              <w:spacing w:line="254" w:lineRule="auto"/>
              <w:jc w:val="left"/>
            </w:pPr>
            <w:r w:rsidRPr="00E17531">
              <w:t>Single arm PD-L1 unselected chemotherapy trials versus KN-001 and KN-024</w:t>
            </w:r>
          </w:p>
        </w:tc>
        <w:tc>
          <w:tcPr>
            <w:tcW w:w="920" w:type="pct"/>
            <w:tcBorders>
              <w:top w:val="single" w:sz="4" w:space="0" w:color="auto"/>
              <w:left w:val="single" w:sz="4" w:space="0" w:color="auto"/>
              <w:bottom w:val="single" w:sz="4" w:space="0" w:color="auto"/>
              <w:right w:val="single" w:sz="4" w:space="0" w:color="auto"/>
            </w:tcBorders>
            <w:hideMark/>
          </w:tcPr>
          <w:p w:rsidR="00013E26" w:rsidRPr="00E17531" w:rsidRDefault="008B6089" w:rsidP="00622343">
            <w:pPr>
              <w:pStyle w:val="TableText"/>
              <w:spacing w:line="254" w:lineRule="auto"/>
            </w:pPr>
            <w:sdt>
              <w:sdtPr>
                <w:id w:val="396404607"/>
                <w14:checkbox>
                  <w14:checked w14:val="1"/>
                  <w14:checkedState w14:val="2612" w14:font="MS Gothic"/>
                  <w14:uncheckedState w14:val="2610" w14:font="MS Gothic"/>
                </w14:checkbox>
              </w:sdtPr>
              <w:sdtEndPr/>
              <w:sdtContent>
                <w:r w:rsidR="00013E26" w:rsidRPr="00E17531">
                  <w:rPr>
                    <w:rFonts w:ascii="MS Gothic" w:eastAsia="MS Gothic" w:hAnsi="MS Gothic" w:cs="MS Gothic"/>
                  </w:rPr>
                  <w:t>☒</w:t>
                </w:r>
              </w:sdtContent>
            </w:sdt>
            <w:r w:rsidR="00013E26" w:rsidRPr="00E17531">
              <w:tab/>
              <w:t>k=8</w:t>
            </w:r>
            <w:r w:rsidR="00013E26" w:rsidRPr="00E17531">
              <w:tab/>
              <w:t>n=2,129</w:t>
            </w:r>
          </w:p>
        </w:tc>
        <w:tc>
          <w:tcPr>
            <w:tcW w:w="1337" w:type="pct"/>
            <w:tcBorders>
              <w:top w:val="single" w:sz="4" w:space="0" w:color="auto"/>
              <w:left w:val="single" w:sz="4" w:space="0" w:color="auto"/>
              <w:bottom w:val="single" w:sz="4" w:space="0" w:color="auto"/>
              <w:right w:val="single" w:sz="4" w:space="0" w:color="auto"/>
            </w:tcBorders>
          </w:tcPr>
          <w:p w:rsidR="00013E26" w:rsidRPr="00E17531" w:rsidRDefault="00013E26" w:rsidP="00622343">
            <w:pPr>
              <w:pStyle w:val="TableText"/>
              <w:spacing w:line="254" w:lineRule="auto"/>
            </w:pPr>
            <w:r w:rsidRPr="00E17531">
              <w:t>High risk of bias as it is an indirect comparison</w:t>
            </w:r>
          </w:p>
        </w:tc>
      </w:tr>
    </w:tbl>
    <w:p w:rsidR="00013E26" w:rsidRPr="00E17531" w:rsidRDefault="00013E26" w:rsidP="00622343">
      <w:pPr>
        <w:pStyle w:val="TableFooter"/>
        <w:rPr>
          <w:vertAlign w:val="superscript"/>
        </w:rPr>
      </w:pPr>
      <w:r w:rsidRPr="00E17531">
        <w:t>K = number of studies, n = number of patients</w:t>
      </w:r>
    </w:p>
    <w:p w:rsidR="00013E26" w:rsidRPr="00E17531" w:rsidRDefault="00013E26" w:rsidP="00622343">
      <w:pPr>
        <w:pStyle w:val="TableFooter"/>
      </w:pPr>
      <w:r w:rsidRPr="00E17531">
        <w:rPr>
          <w:vertAlign w:val="superscript"/>
        </w:rPr>
        <w:t>a</w:t>
      </w:r>
      <w:r w:rsidRPr="00E17531">
        <w:t xml:space="preserve"> reference standard available</w:t>
      </w:r>
    </w:p>
    <w:p w:rsidR="00013E26" w:rsidRPr="00E17531" w:rsidRDefault="00013E26" w:rsidP="00622343">
      <w:pPr>
        <w:pStyle w:val="TableFooter"/>
      </w:pPr>
      <w:r w:rsidRPr="00E17531">
        <w:rPr>
          <w:vertAlign w:val="superscript"/>
        </w:rPr>
        <w:t>b</w:t>
      </w:r>
      <w:r w:rsidRPr="00E17531">
        <w:t xml:space="preserve"> Reference standard not available</w:t>
      </w:r>
    </w:p>
    <w:p w:rsidR="00013E26" w:rsidRPr="00E17531" w:rsidRDefault="00013E26" w:rsidP="00622343">
      <w:pPr>
        <w:pStyle w:val="TableFooter"/>
      </w:pPr>
      <w:r w:rsidRPr="00E17531">
        <w:t>Source: Table constructed during the evaluation, based on Section 2 of the resubmission</w:t>
      </w:r>
    </w:p>
    <w:p w:rsidR="00013E26" w:rsidRPr="00E17531" w:rsidRDefault="00013E26" w:rsidP="008F1A10">
      <w:pPr>
        <w:pStyle w:val="Caption"/>
      </w:pPr>
      <w:r w:rsidRPr="00E17531">
        <w:t xml:space="preserve">Table </w:t>
      </w:r>
      <w:r w:rsidR="007C0056">
        <w:rPr>
          <w:noProof/>
        </w:rPr>
        <w:t>3</w:t>
      </w:r>
      <w:r w:rsidRPr="00E17531">
        <w:t>: 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2591"/>
        <w:gridCol w:w="3604"/>
      </w:tblGrid>
      <w:tr w:rsidR="00013E26" w:rsidRPr="00E17531" w:rsidTr="00622343">
        <w:tc>
          <w:tcPr>
            <w:tcW w:w="1648"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jc w:val="left"/>
            </w:pPr>
            <w:r w:rsidRPr="00E17531">
              <w:t>Proposed test vs no test</w:t>
            </w:r>
          </w:p>
        </w:tc>
        <w:tc>
          <w:tcPr>
            <w:tcW w:w="3352" w:type="pct"/>
            <w:gridSpan w:val="2"/>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No studies</w:t>
            </w:r>
          </w:p>
        </w:tc>
      </w:tr>
      <w:tr w:rsidR="00013E26" w:rsidRPr="00E17531" w:rsidTr="00622343">
        <w:tc>
          <w:tcPr>
            <w:tcW w:w="1648"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jc w:val="left"/>
            </w:pPr>
            <w:r w:rsidRPr="00E17531">
              <w:t>Proposed test vs alternative test</w:t>
            </w:r>
          </w:p>
        </w:tc>
        <w:tc>
          <w:tcPr>
            <w:tcW w:w="3352" w:type="pct"/>
            <w:gridSpan w:val="2"/>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Ratcliffe et al, 2017; Rimm et al, 2017; Adam et al, 2016; Scheel et al, 2016</w:t>
            </w:r>
          </w:p>
        </w:tc>
      </w:tr>
      <w:tr w:rsidR="00013E26" w:rsidRPr="00E17531" w:rsidTr="00055388">
        <w:tc>
          <w:tcPr>
            <w:tcW w:w="1648" w:type="pct"/>
            <w:tcBorders>
              <w:top w:val="single" w:sz="4" w:space="0" w:color="000000"/>
              <w:left w:val="single" w:sz="4" w:space="0" w:color="000000"/>
              <w:bottom w:val="single" w:sz="4" w:space="0" w:color="000000"/>
              <w:right w:val="single" w:sz="4" w:space="0" w:color="000000"/>
            </w:tcBorders>
          </w:tcPr>
          <w:p w:rsidR="00013E26" w:rsidRPr="00E17531" w:rsidRDefault="00013E26" w:rsidP="00622343">
            <w:pPr>
              <w:pStyle w:val="TableText"/>
              <w:spacing w:line="254" w:lineRule="auto"/>
            </w:pPr>
          </w:p>
        </w:tc>
        <w:tc>
          <w:tcPr>
            <w:tcW w:w="1402" w:type="pct"/>
            <w:tcBorders>
              <w:top w:val="single" w:sz="4" w:space="0" w:color="000000"/>
              <w:left w:val="single" w:sz="4" w:space="0" w:color="000000"/>
              <w:bottom w:val="single" w:sz="4" w:space="0" w:color="000000"/>
              <w:right w:val="single" w:sz="4" w:space="0" w:color="000000"/>
            </w:tcBorders>
            <w:hideMark/>
          </w:tcPr>
          <w:p w:rsidR="00013E26" w:rsidRPr="00E17531" w:rsidRDefault="00055388" w:rsidP="00622343">
            <w:pPr>
              <w:pStyle w:val="TableText"/>
              <w:spacing w:line="254" w:lineRule="auto"/>
              <w:rPr>
                <w:b/>
              </w:rPr>
            </w:pPr>
            <w:r>
              <w:rPr>
                <w:b/>
              </w:rPr>
              <w:t>Pembrolizumab</w:t>
            </w:r>
          </w:p>
        </w:tc>
        <w:tc>
          <w:tcPr>
            <w:tcW w:w="1950"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rPr>
                <w:b/>
              </w:rPr>
            </w:pPr>
            <w:r w:rsidRPr="00E17531">
              <w:rPr>
                <w:b/>
              </w:rPr>
              <w:t>Platinum</w:t>
            </w:r>
            <w:r w:rsidR="00055388">
              <w:rPr>
                <w:b/>
              </w:rPr>
              <w:t>-based</w:t>
            </w:r>
            <w:r w:rsidRPr="00E17531">
              <w:rPr>
                <w:b/>
              </w:rPr>
              <w:t xml:space="preserve"> doublet chemotherapy</w:t>
            </w:r>
          </w:p>
        </w:tc>
      </w:tr>
      <w:tr w:rsidR="00013E26" w:rsidRPr="00E17531" w:rsidTr="00055388">
        <w:tc>
          <w:tcPr>
            <w:tcW w:w="1648"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Biomarker test positive</w:t>
            </w:r>
          </w:p>
        </w:tc>
        <w:tc>
          <w:tcPr>
            <w:tcW w:w="1402"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KN-024, KN-001</w:t>
            </w:r>
          </w:p>
        </w:tc>
        <w:tc>
          <w:tcPr>
            <w:tcW w:w="1950"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KN-024</w:t>
            </w:r>
          </w:p>
        </w:tc>
      </w:tr>
      <w:tr w:rsidR="00013E26" w:rsidRPr="00E17531" w:rsidTr="00055388">
        <w:tc>
          <w:tcPr>
            <w:tcW w:w="1648"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Biomarker test negative</w:t>
            </w:r>
            <w:r w:rsidRPr="00E17531">
              <w:rPr>
                <w:b/>
              </w:rPr>
              <w:t xml:space="preserve"> </w:t>
            </w:r>
          </w:p>
        </w:tc>
        <w:tc>
          <w:tcPr>
            <w:tcW w:w="1402"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KN-001</w:t>
            </w:r>
          </w:p>
        </w:tc>
        <w:tc>
          <w:tcPr>
            <w:tcW w:w="1950" w:type="pct"/>
            <w:tcBorders>
              <w:top w:val="single" w:sz="4" w:space="0" w:color="000000"/>
              <w:left w:val="single" w:sz="4" w:space="0" w:color="000000"/>
              <w:bottom w:val="single" w:sz="4" w:space="0" w:color="000000"/>
              <w:right w:val="single" w:sz="4" w:space="0" w:color="000000"/>
            </w:tcBorders>
            <w:hideMark/>
          </w:tcPr>
          <w:p w:rsidR="00013E26" w:rsidRPr="00E17531" w:rsidRDefault="00013E26" w:rsidP="00622343">
            <w:pPr>
              <w:pStyle w:val="TableText"/>
              <w:spacing w:line="254" w:lineRule="auto"/>
            </w:pPr>
            <w:r w:rsidRPr="00E17531">
              <w:t>No studies</w:t>
            </w:r>
          </w:p>
        </w:tc>
      </w:tr>
      <w:tr w:rsidR="00013E26" w:rsidRPr="00E17531" w:rsidTr="00055388">
        <w:tc>
          <w:tcPr>
            <w:tcW w:w="1648" w:type="pct"/>
            <w:tcBorders>
              <w:top w:val="single" w:sz="4" w:space="0" w:color="000000"/>
              <w:left w:val="single" w:sz="4" w:space="0" w:color="000000"/>
              <w:bottom w:val="single" w:sz="4" w:space="0" w:color="000000"/>
              <w:right w:val="single" w:sz="4" w:space="0" w:color="000000"/>
            </w:tcBorders>
          </w:tcPr>
          <w:p w:rsidR="00013E26" w:rsidRPr="00E17531" w:rsidRDefault="00013E26" w:rsidP="00622343">
            <w:pPr>
              <w:pStyle w:val="TableText"/>
              <w:spacing w:line="254" w:lineRule="auto"/>
            </w:pPr>
            <w:r w:rsidRPr="00E17531">
              <w:t>Biomarker unselected</w:t>
            </w:r>
          </w:p>
        </w:tc>
        <w:tc>
          <w:tcPr>
            <w:tcW w:w="1402" w:type="pct"/>
            <w:tcBorders>
              <w:top w:val="single" w:sz="4" w:space="0" w:color="000000"/>
              <w:left w:val="single" w:sz="4" w:space="0" w:color="000000"/>
              <w:bottom w:val="single" w:sz="4" w:space="0" w:color="000000"/>
              <w:right w:val="single" w:sz="4" w:space="0" w:color="000000"/>
            </w:tcBorders>
          </w:tcPr>
          <w:p w:rsidR="00013E26" w:rsidRPr="00E17531" w:rsidRDefault="00013E26" w:rsidP="00622343">
            <w:pPr>
              <w:pStyle w:val="TableText"/>
              <w:spacing w:line="254" w:lineRule="auto"/>
            </w:pPr>
            <w:r w:rsidRPr="00E17531">
              <w:t>No studies</w:t>
            </w:r>
          </w:p>
        </w:tc>
        <w:tc>
          <w:tcPr>
            <w:tcW w:w="1950" w:type="pct"/>
            <w:tcBorders>
              <w:top w:val="single" w:sz="4" w:space="0" w:color="000000"/>
              <w:left w:val="single" w:sz="4" w:space="0" w:color="000000"/>
              <w:bottom w:val="single" w:sz="4" w:space="0" w:color="000000"/>
              <w:right w:val="single" w:sz="4" w:space="0" w:color="000000"/>
            </w:tcBorders>
          </w:tcPr>
          <w:p w:rsidR="00013E26" w:rsidRPr="00E17531" w:rsidRDefault="00013E26" w:rsidP="00622343">
            <w:pPr>
              <w:pStyle w:val="TableText"/>
              <w:spacing w:line="254" w:lineRule="auto"/>
            </w:pPr>
            <w:r w:rsidRPr="00E17531">
              <w:t>Gronberg, 2009; Sandler, 2000;</w:t>
            </w:r>
          </w:p>
          <w:p w:rsidR="00013E26" w:rsidRPr="00E17531" w:rsidRDefault="00013E26" w:rsidP="00622343">
            <w:pPr>
              <w:pStyle w:val="TableText"/>
              <w:spacing w:line="254" w:lineRule="auto"/>
            </w:pPr>
            <w:r w:rsidRPr="00E17531">
              <w:t>Scagliotti, 2008; Thomas, 2006;</w:t>
            </w:r>
          </w:p>
          <w:p w:rsidR="00013E26" w:rsidRPr="00E17531" w:rsidRDefault="00013E26" w:rsidP="00622343">
            <w:pPr>
              <w:pStyle w:val="TableText"/>
              <w:spacing w:line="254" w:lineRule="auto"/>
            </w:pPr>
            <w:r w:rsidRPr="00E17531">
              <w:t>Yamamoto, 2006; Zatlouka, 2003</w:t>
            </w:r>
          </w:p>
        </w:tc>
      </w:tr>
    </w:tbl>
    <w:p w:rsidR="00013E26" w:rsidRPr="00E17531" w:rsidRDefault="00013E26" w:rsidP="00622343">
      <w:pPr>
        <w:pStyle w:val="TableFooter"/>
      </w:pPr>
      <w:r w:rsidRPr="00E17531">
        <w:t>Source: Table constructed during the evaluation, based on Section 2 of the resubmission</w:t>
      </w:r>
    </w:p>
    <w:p w:rsidR="0010165C" w:rsidRPr="00E17531" w:rsidRDefault="00BC1BF9" w:rsidP="007312C0">
      <w:pPr>
        <w:pStyle w:val="ListParagraph"/>
        <w:numPr>
          <w:ilvl w:val="4"/>
          <w:numId w:val="5"/>
        </w:numPr>
        <w:spacing w:before="0" w:after="120"/>
        <w:ind w:left="709" w:hanging="709"/>
      </w:pPr>
      <w:r w:rsidRPr="00E17531">
        <w:lastRenderedPageBreak/>
        <w:t xml:space="preserve">The resubmission provided new concordance data from Rimm et al 2017 and Adam et al 2016, which compared the four commercially available tests and compared </w:t>
      </w:r>
      <w:r w:rsidR="007B1569" w:rsidRPr="00E17531">
        <w:t xml:space="preserve">laboratory developed tests </w:t>
      </w:r>
      <w:r w:rsidRPr="00E17531">
        <w:t>with the evidentiary standard, as well as new evidence from six studies enrolling biomarker-unselected patients who received platinum-</w:t>
      </w:r>
      <w:r w:rsidR="00055388">
        <w:t xml:space="preserve">based </w:t>
      </w:r>
      <w:r w:rsidRPr="00E17531">
        <w:t xml:space="preserve">doublet chemotherapy. The other clinical studies have been considered by the PBAC at the March 2017 meeting and/or by the </w:t>
      </w:r>
      <w:r w:rsidR="006265CE" w:rsidRPr="00E17531">
        <w:t>MSAC at the April 2017 meeting.</w:t>
      </w:r>
    </w:p>
    <w:p w:rsidR="00013E26" w:rsidRPr="00E17531" w:rsidRDefault="00013E26" w:rsidP="007312C0">
      <w:pPr>
        <w:pStyle w:val="ListParagraph"/>
        <w:numPr>
          <w:ilvl w:val="4"/>
          <w:numId w:val="5"/>
        </w:numPr>
        <w:spacing w:before="0" w:after="120"/>
        <w:ind w:left="709" w:hanging="709"/>
      </w:pPr>
      <w:r w:rsidRPr="00E17531">
        <w:t>No evidence was presented on the effectiveness of the comparator in a biomarker negative population. The evidence provided for the effectiveness of pembrolizumab in a biomarker negative population is also limited to a few treatment naïve patients enrolled in a phase II trial (KN-001). Thus, a direct comparison of the effectiveness of both the proposed medicine and the current standard of care in the biomarker positive population compared to the biomarker negative population is not possible (predictive effect). The resubmission has provided data on the effectiveness of platinum</w:t>
      </w:r>
      <w:r w:rsidR="00055388">
        <w:t>-based</w:t>
      </w:r>
      <w:r w:rsidRPr="00E17531">
        <w:t xml:space="preserve"> doublet chemotherapy (comparator) in a biomarker unselected population as a surrogate for the biomarker negative population. Given that </w:t>
      </w:r>
      <w:r w:rsidR="007249EF" w:rsidRPr="00E17531">
        <w:t>22%-29%</w:t>
      </w:r>
      <w:r w:rsidRPr="00E17531">
        <w:t xml:space="preserve"> of the </w:t>
      </w:r>
      <w:r w:rsidR="007249EF" w:rsidRPr="00E17531">
        <w:t>Australian</w:t>
      </w:r>
      <w:r w:rsidRPr="00E17531">
        <w:t xml:space="preserve"> </w:t>
      </w:r>
      <w:r w:rsidR="00F66B6A">
        <w:t xml:space="preserve">NSCLC </w:t>
      </w:r>
      <w:r w:rsidRPr="00E17531">
        <w:t xml:space="preserve">population </w:t>
      </w:r>
      <w:r w:rsidR="00F66B6A">
        <w:t xml:space="preserve">have </w:t>
      </w:r>
      <w:r w:rsidRPr="00E17531">
        <w:t>a</w:t>
      </w:r>
      <w:r w:rsidR="00F66B6A">
        <w:t xml:space="preserve"> tumou</w:t>
      </w:r>
      <w:r w:rsidRPr="00E17531">
        <w:t xml:space="preserve">r </w:t>
      </w:r>
      <w:r w:rsidR="00F66B6A">
        <w:t xml:space="preserve">which is </w:t>
      </w:r>
      <w:r w:rsidRPr="00E17531">
        <w:t>PD-L1 positive (TPS ≥50%), the use of this evidence as a surrogate is problematic.</w:t>
      </w:r>
    </w:p>
    <w:p w:rsidR="00013E26" w:rsidRPr="00E17531" w:rsidRDefault="00013E26" w:rsidP="007312C0">
      <w:pPr>
        <w:pStyle w:val="ListParagraph"/>
        <w:numPr>
          <w:ilvl w:val="4"/>
          <w:numId w:val="5"/>
        </w:numPr>
        <w:spacing w:before="0" w:after="120"/>
        <w:ind w:left="709" w:hanging="709"/>
      </w:pPr>
      <w:r w:rsidRPr="00E17531">
        <w:rPr>
          <w:color w:val="auto"/>
        </w:rPr>
        <w:t>There are differences in the populations enrolled in the KN-024 and KN-001 trials that may or may not affect clinical outcomes. The studies enrolling biomarker-unselected patients are a poor surrogate for biomarker negative studies and the baseline characteristics of the patients enrolled in these studies are highly variable. Thus, the indirect comparisons undertaken with these studies are subject to a high risk of bias.</w:t>
      </w:r>
    </w:p>
    <w:p w:rsidR="00013E26" w:rsidRPr="00E17531" w:rsidRDefault="00013E26" w:rsidP="00AD25EE">
      <w:pPr>
        <w:pStyle w:val="ESHeading2"/>
      </w:pPr>
      <w:r w:rsidRPr="00E17531">
        <w:t>Comparative effectiveness (based on direct evidence only)</w:t>
      </w:r>
    </w:p>
    <w:p w:rsidR="00013E26" w:rsidRPr="00E17531" w:rsidRDefault="00013E26" w:rsidP="007312C0">
      <w:pPr>
        <w:pStyle w:val="ListParagraph"/>
        <w:numPr>
          <w:ilvl w:val="4"/>
          <w:numId w:val="5"/>
        </w:numPr>
        <w:spacing w:before="0" w:after="120"/>
        <w:ind w:left="709" w:hanging="709"/>
      </w:pPr>
      <w:r w:rsidRPr="00E17531">
        <w:rPr>
          <w:color w:val="auto"/>
        </w:rPr>
        <w:t>No direct evidence was presented.</w:t>
      </w:r>
    </w:p>
    <w:p w:rsidR="00013E26" w:rsidRPr="00E17531" w:rsidRDefault="00013E26" w:rsidP="00AD25EE">
      <w:pPr>
        <w:pStyle w:val="ESHeading2"/>
      </w:pPr>
      <w:r w:rsidRPr="00E17531">
        <w:t>Comparative effectiveness (based on linked evidence)</w:t>
      </w:r>
    </w:p>
    <w:p w:rsidR="004840E3" w:rsidRDefault="00013E26" w:rsidP="007312C0">
      <w:pPr>
        <w:pStyle w:val="ListParagraph"/>
        <w:numPr>
          <w:ilvl w:val="4"/>
          <w:numId w:val="5"/>
        </w:numPr>
        <w:spacing w:before="0" w:after="120"/>
        <w:ind w:left="709" w:hanging="709"/>
        <w:rPr>
          <w:color w:val="auto"/>
        </w:rPr>
      </w:pPr>
      <w:r w:rsidRPr="00E17531">
        <w:rPr>
          <w:color w:val="auto"/>
        </w:rPr>
        <w:t xml:space="preserve">Details of the treatment trials presented in the resubmission are provided in the table below. KN-024 was the key trial in the previous submission. No additional direct trial comparing pembrolizumab with platinum-based doublet </w:t>
      </w:r>
      <w:r w:rsidR="00055388">
        <w:rPr>
          <w:color w:val="auto"/>
        </w:rPr>
        <w:t xml:space="preserve">chemotherapy </w:t>
      </w:r>
      <w:r w:rsidRPr="00E17531">
        <w:rPr>
          <w:color w:val="auto"/>
        </w:rPr>
        <w:t>in the proposed PBS population was identified by the resubmission.</w:t>
      </w:r>
    </w:p>
    <w:p w:rsidR="004840E3" w:rsidRDefault="004840E3" w:rsidP="004840E3">
      <w:r>
        <w:br w:type="page"/>
      </w:r>
    </w:p>
    <w:p w:rsidR="00013E26" w:rsidRPr="00E17531" w:rsidRDefault="00013E26" w:rsidP="004840E3">
      <w:pPr>
        <w:pStyle w:val="ListParagraph"/>
        <w:spacing w:before="0" w:after="120"/>
        <w:ind w:left="709" w:firstLine="0"/>
        <w:rPr>
          <w:color w:val="auto"/>
        </w:rPr>
      </w:pPr>
    </w:p>
    <w:p w:rsidR="00013E26" w:rsidRPr="00E17531" w:rsidRDefault="00013E26" w:rsidP="008F1A10">
      <w:pPr>
        <w:pStyle w:val="Caption"/>
      </w:pPr>
      <w:r w:rsidRPr="00E17531">
        <w:t xml:space="preserve">Table </w:t>
      </w:r>
      <w:r w:rsidR="007C0056">
        <w:rPr>
          <w:noProof/>
        </w:rPr>
        <w:t>4</w:t>
      </w:r>
      <w:r w:rsidR="00782E7F" w:rsidRPr="00E17531">
        <w:t xml:space="preserve">: </w:t>
      </w:r>
      <w:r w:rsidRPr="00E17531">
        <w:t>Trials and associated reports presented in the resubmission</w:t>
      </w:r>
    </w:p>
    <w:tbl>
      <w:tblPr>
        <w:tblW w:w="496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1"/>
        <w:gridCol w:w="3538"/>
        <w:gridCol w:w="3758"/>
      </w:tblGrid>
      <w:tr w:rsidR="00013E26" w:rsidRPr="00E17531" w:rsidTr="00622343">
        <w:tc>
          <w:tcPr>
            <w:tcW w:w="954" w:type="pct"/>
            <w:tcBorders>
              <w:bottom w:val="single" w:sz="4" w:space="0" w:color="auto"/>
            </w:tcBorders>
          </w:tcPr>
          <w:p w:rsidR="00013E26" w:rsidRPr="00E17531" w:rsidRDefault="00013E26" w:rsidP="00622343">
            <w:pPr>
              <w:spacing w:before="0" w:after="0"/>
              <w:jc w:val="left"/>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Trial ID</w:t>
            </w:r>
          </w:p>
        </w:tc>
        <w:tc>
          <w:tcPr>
            <w:tcW w:w="1962" w:type="pct"/>
            <w:tcBorders>
              <w:bottom w:val="single" w:sz="4" w:space="0" w:color="auto"/>
            </w:tcBorders>
          </w:tcPr>
          <w:p w:rsidR="00013E26" w:rsidRPr="00E17531" w:rsidRDefault="00013E26" w:rsidP="00622343">
            <w:pPr>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Protocol title/ Publication title</w:t>
            </w:r>
          </w:p>
        </w:tc>
        <w:tc>
          <w:tcPr>
            <w:tcW w:w="2084" w:type="pct"/>
            <w:tcBorders>
              <w:bottom w:val="single" w:sz="4" w:space="0" w:color="auto"/>
            </w:tcBorders>
          </w:tcPr>
          <w:p w:rsidR="00013E26" w:rsidRPr="00E17531" w:rsidRDefault="00013E26" w:rsidP="00622343">
            <w:pPr>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Publication citation</w:t>
            </w:r>
          </w:p>
        </w:tc>
      </w:tr>
      <w:tr w:rsidR="00013E26" w:rsidRPr="00E17531" w:rsidTr="00622343">
        <w:tc>
          <w:tcPr>
            <w:tcW w:w="954" w:type="pct"/>
            <w:tcBorders>
              <w:bottom w:val="nil"/>
            </w:tcBorders>
          </w:tcPr>
          <w:p w:rsidR="00013E26" w:rsidRPr="00E17531" w:rsidRDefault="00013E26" w:rsidP="00622343">
            <w:pPr>
              <w:pStyle w:val="TableText"/>
            </w:pPr>
            <w:r w:rsidRPr="00E17531">
              <w:t>KN-024</w:t>
            </w:r>
          </w:p>
        </w:tc>
        <w:tc>
          <w:tcPr>
            <w:tcW w:w="1962" w:type="pct"/>
            <w:tcBorders>
              <w:top w:val="single" w:sz="4" w:space="0" w:color="auto"/>
              <w:left w:val="single" w:sz="4" w:space="0" w:color="auto"/>
              <w:bottom w:val="nil"/>
              <w:right w:val="single" w:sz="4" w:space="0" w:color="auto"/>
            </w:tcBorders>
          </w:tcPr>
          <w:p w:rsidR="00013E26" w:rsidRPr="00E17531" w:rsidRDefault="00013E26" w:rsidP="00622343">
            <w:pPr>
              <w:keepNext/>
              <w:widowControl w:val="0"/>
              <w:spacing w:before="0" w:after="0"/>
              <w:jc w:val="left"/>
              <w:rPr>
                <w:rFonts w:ascii="Arial Narrow" w:eastAsia="Times New Roman" w:hAnsi="Arial Narrow" w:cs="Times New Roman"/>
                <w:sz w:val="20"/>
                <w:szCs w:val="20"/>
                <w:u w:val="single"/>
              </w:rPr>
            </w:pPr>
            <w:r w:rsidRPr="00E17531">
              <w:rPr>
                <w:rFonts w:ascii="Arial Narrow" w:eastAsia="Times New Roman" w:hAnsi="Arial Narrow" w:cs="Times New Roman"/>
                <w:sz w:val="20"/>
                <w:szCs w:val="20"/>
                <w:u w:val="single"/>
              </w:rPr>
              <w:t xml:space="preserve">Clinical </w:t>
            </w:r>
            <w:r w:rsidR="00AD25EE" w:rsidRPr="00E17531">
              <w:rPr>
                <w:rFonts w:ascii="Arial Narrow" w:eastAsia="Times New Roman" w:hAnsi="Arial Narrow" w:cs="Times New Roman"/>
                <w:sz w:val="20"/>
                <w:szCs w:val="20"/>
                <w:u w:val="single"/>
              </w:rPr>
              <w:t>s</w:t>
            </w:r>
            <w:r w:rsidRPr="00E17531">
              <w:rPr>
                <w:rFonts w:ascii="Arial Narrow" w:eastAsia="Times New Roman" w:hAnsi="Arial Narrow" w:cs="Times New Roman"/>
                <w:sz w:val="20"/>
                <w:szCs w:val="20"/>
                <w:u w:val="single"/>
              </w:rPr>
              <w:t xml:space="preserve">tudy </w:t>
            </w:r>
            <w:r w:rsidR="00AD25EE" w:rsidRPr="00E17531">
              <w:rPr>
                <w:rFonts w:ascii="Arial Narrow" w:eastAsia="Times New Roman" w:hAnsi="Arial Narrow" w:cs="Times New Roman"/>
                <w:sz w:val="20"/>
                <w:szCs w:val="20"/>
                <w:u w:val="single"/>
              </w:rPr>
              <w:t>r</w:t>
            </w:r>
            <w:r w:rsidRPr="00E17531">
              <w:rPr>
                <w:rFonts w:ascii="Arial Narrow" w:eastAsia="Times New Roman" w:hAnsi="Arial Narrow" w:cs="Times New Roman"/>
                <w:sz w:val="20"/>
                <w:szCs w:val="20"/>
                <w:u w:val="single"/>
              </w:rPr>
              <w:t>eport KN-024</w:t>
            </w:r>
          </w:p>
          <w:p w:rsidR="00013E26" w:rsidRPr="00E17531" w:rsidRDefault="00013E26" w:rsidP="00622343">
            <w:pPr>
              <w:keepNext/>
              <w:widowControl w:val="0"/>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 xml:space="preserve">A randomized open-label Phase III trial of pembrolizumab versus (vs.) platinum based chemotherapy in first-line (1L) subjects with programmed cell death 1 ligand 1 (PD-L1) Strong Metastatic Non-Small Cell Lung Cancer (NSCLC). </w:t>
            </w:r>
          </w:p>
          <w:p w:rsidR="00013E26" w:rsidRPr="00E17531" w:rsidRDefault="00013E26" w:rsidP="00AD25EE">
            <w:pPr>
              <w:keepNext/>
              <w:widowControl w:val="0"/>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CSR Identification P024V01MK3475</w:t>
            </w:r>
          </w:p>
        </w:tc>
        <w:tc>
          <w:tcPr>
            <w:tcW w:w="2084" w:type="pct"/>
            <w:tcBorders>
              <w:top w:val="single" w:sz="4" w:space="0" w:color="auto"/>
              <w:left w:val="single" w:sz="4" w:space="0" w:color="auto"/>
              <w:bottom w:val="nil"/>
              <w:right w:val="single" w:sz="4" w:space="0" w:color="auto"/>
            </w:tcBorders>
          </w:tcPr>
          <w:p w:rsidR="00013E26" w:rsidRPr="00E17531" w:rsidRDefault="00013E26" w:rsidP="00622343">
            <w:pPr>
              <w:widowControl w:val="0"/>
              <w:spacing w:before="0" w:after="0"/>
              <w:jc w:val="left"/>
              <w:rPr>
                <w:rFonts w:ascii="Arial Narrow" w:eastAsia="Times New Roman" w:hAnsi="Arial Narrow" w:cs="Times New Roman"/>
                <w:sz w:val="20"/>
                <w:szCs w:val="20"/>
              </w:rPr>
            </w:pPr>
          </w:p>
          <w:p w:rsidR="00013E26" w:rsidRPr="00E17531" w:rsidRDefault="00013E26" w:rsidP="00AD25EE">
            <w:pPr>
              <w:widowControl w:val="0"/>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0"/>
              </w:rPr>
              <w:t>11 July 2016</w:t>
            </w:r>
          </w:p>
        </w:tc>
      </w:tr>
      <w:tr w:rsidR="00013E26" w:rsidRPr="00E17531" w:rsidTr="00622343">
        <w:tc>
          <w:tcPr>
            <w:tcW w:w="954" w:type="pct"/>
            <w:tcBorders>
              <w:top w:val="nil"/>
            </w:tcBorders>
          </w:tcPr>
          <w:p w:rsidR="00013E26" w:rsidRPr="00E17531" w:rsidRDefault="00013E26" w:rsidP="00622343">
            <w:pPr>
              <w:pStyle w:val="TableText"/>
            </w:pPr>
          </w:p>
        </w:tc>
        <w:tc>
          <w:tcPr>
            <w:tcW w:w="1962" w:type="pct"/>
            <w:tcBorders>
              <w:top w:val="nil"/>
              <w:left w:val="single" w:sz="4" w:space="0" w:color="auto"/>
              <w:bottom w:val="single" w:sz="4" w:space="0" w:color="auto"/>
              <w:right w:val="single" w:sz="4" w:space="0" w:color="auto"/>
            </w:tcBorders>
          </w:tcPr>
          <w:p w:rsidR="00013E26" w:rsidRPr="00E17531" w:rsidRDefault="00013E26" w:rsidP="00622343">
            <w:pPr>
              <w:widowControl w:val="0"/>
              <w:spacing w:before="0" w:after="0"/>
              <w:jc w:val="left"/>
              <w:rPr>
                <w:rFonts w:ascii="Arial Narrow" w:eastAsia="Times New Roman" w:hAnsi="Arial Narrow" w:cs="Times New Roman"/>
                <w:sz w:val="20"/>
                <w:szCs w:val="20"/>
                <w:u w:val="single"/>
              </w:rPr>
            </w:pPr>
            <w:r w:rsidRPr="00E17531">
              <w:rPr>
                <w:rFonts w:ascii="Arial Narrow" w:eastAsia="Times New Roman" w:hAnsi="Arial Narrow" w:cs="Times New Roman"/>
                <w:sz w:val="20"/>
                <w:szCs w:val="20"/>
                <w:u w:val="single"/>
              </w:rPr>
              <w:t>Publication</w:t>
            </w:r>
          </w:p>
          <w:p w:rsidR="00013E26" w:rsidRPr="00E17531" w:rsidRDefault="00013E26" w:rsidP="00622343">
            <w:pPr>
              <w:keepNext/>
              <w:widowControl w:val="0"/>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Reck, M, Rodriguez-Abreu, D, et al. Pembrolizumab versus chemotherapy for</w:t>
            </w:r>
          </w:p>
          <w:p w:rsidR="00013E26" w:rsidRPr="00E17531" w:rsidRDefault="00013E26" w:rsidP="00622343">
            <w:pPr>
              <w:keepNext/>
              <w:widowControl w:val="0"/>
              <w:spacing w:before="0" w:after="0"/>
              <w:jc w:val="left"/>
              <w:rPr>
                <w:rFonts w:ascii="Arial Narrow" w:eastAsia="Times New Roman" w:hAnsi="Arial Narrow" w:cs="Times New Roman"/>
                <w:sz w:val="20"/>
                <w:szCs w:val="20"/>
                <w:u w:val="single"/>
              </w:rPr>
            </w:pPr>
            <w:r w:rsidRPr="00E17531">
              <w:rPr>
                <w:rFonts w:ascii="Arial Narrow" w:eastAsia="Times New Roman" w:hAnsi="Arial Narrow" w:cs="Times New Roman"/>
                <w:sz w:val="20"/>
                <w:szCs w:val="20"/>
              </w:rPr>
              <w:t>PD-L1–positive non–small-cell lung cancer.</w:t>
            </w:r>
          </w:p>
        </w:tc>
        <w:tc>
          <w:tcPr>
            <w:tcW w:w="2084" w:type="pct"/>
            <w:tcBorders>
              <w:top w:val="nil"/>
              <w:left w:val="single" w:sz="4" w:space="0" w:color="auto"/>
              <w:bottom w:val="single" w:sz="4" w:space="0" w:color="auto"/>
              <w:right w:val="single" w:sz="4" w:space="0" w:color="auto"/>
            </w:tcBorders>
          </w:tcPr>
          <w:p w:rsidR="00013E26" w:rsidRPr="00E17531" w:rsidRDefault="00013E26" w:rsidP="00622343">
            <w:pPr>
              <w:spacing w:before="0" w:after="0"/>
              <w:jc w:val="left"/>
              <w:rPr>
                <w:rFonts w:ascii="Arial Narrow" w:eastAsia="Times New Roman" w:hAnsi="Arial Narrow" w:cs="Times New Roman"/>
                <w:sz w:val="20"/>
                <w:szCs w:val="20"/>
              </w:rPr>
            </w:pPr>
          </w:p>
          <w:p w:rsidR="00013E26" w:rsidRPr="00E17531" w:rsidRDefault="00013E26" w:rsidP="00622343">
            <w:pPr>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New England Journal of Medicine 2016; 375(19):1823-33</w:t>
            </w:r>
          </w:p>
        </w:tc>
      </w:tr>
    </w:tbl>
    <w:p w:rsidR="00013E26" w:rsidRPr="00E17531" w:rsidRDefault="00013E26" w:rsidP="00622343">
      <w:pPr>
        <w:pStyle w:val="TableFooter"/>
      </w:pPr>
      <w:r w:rsidRPr="00E17531">
        <w:t xml:space="preserve">Source: </w:t>
      </w:r>
      <w:r w:rsidRPr="00E17531">
        <w:rPr>
          <w:rFonts w:cs="Times New Roman"/>
          <w:szCs w:val="18"/>
        </w:rPr>
        <w:t>Table 2.2-4, pp73-74 of the resubmission.</w:t>
      </w:r>
    </w:p>
    <w:p w:rsidR="00013E26" w:rsidRPr="00E17531" w:rsidRDefault="00013E26" w:rsidP="008F1A10">
      <w:pPr>
        <w:pStyle w:val="Caption"/>
      </w:pPr>
      <w:r w:rsidRPr="00E17531">
        <w:t xml:space="preserve">Table </w:t>
      </w:r>
      <w:r w:rsidR="007C0056">
        <w:rPr>
          <w:noProof/>
        </w:rPr>
        <w:t>5</w:t>
      </w:r>
      <w:r w:rsidRPr="00E17531">
        <w:t>: Key features of the included evidence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567"/>
        <w:gridCol w:w="3190"/>
        <w:gridCol w:w="1550"/>
        <w:gridCol w:w="1550"/>
        <w:gridCol w:w="1488"/>
      </w:tblGrid>
      <w:tr w:rsidR="00013E26" w:rsidRPr="00E17531" w:rsidTr="00AD25EE">
        <w:tc>
          <w:tcPr>
            <w:tcW w:w="408" w:type="pct"/>
            <w:tcBorders>
              <w:bottom w:val="single" w:sz="4" w:space="0" w:color="auto"/>
            </w:tcBorders>
            <w:shd w:val="clear" w:color="auto" w:fill="auto"/>
            <w:vAlign w:val="center"/>
          </w:tcPr>
          <w:p w:rsidR="00013E26" w:rsidRPr="00E17531" w:rsidRDefault="00013E26" w:rsidP="00622343">
            <w:pPr>
              <w:keepNext/>
              <w:spacing w:before="0" w:after="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Trial</w:t>
            </w:r>
          </w:p>
        </w:tc>
        <w:tc>
          <w:tcPr>
            <w:tcW w:w="312" w:type="pct"/>
            <w:tcBorders>
              <w:bottom w:val="single" w:sz="4" w:space="0" w:color="auto"/>
            </w:tcBorders>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N</w:t>
            </w:r>
          </w:p>
        </w:tc>
        <w:tc>
          <w:tcPr>
            <w:tcW w:w="1755" w:type="pct"/>
            <w:tcBorders>
              <w:bottom w:val="single" w:sz="4" w:space="0" w:color="auto"/>
            </w:tcBorders>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Design/ duration</w:t>
            </w:r>
          </w:p>
        </w:tc>
        <w:tc>
          <w:tcPr>
            <w:tcW w:w="853" w:type="pct"/>
            <w:tcBorders>
              <w:bottom w:val="single" w:sz="4" w:space="0" w:color="auto"/>
            </w:tcBorders>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Patient population</w:t>
            </w:r>
          </w:p>
        </w:tc>
        <w:tc>
          <w:tcPr>
            <w:tcW w:w="853" w:type="pct"/>
            <w:tcBorders>
              <w:bottom w:val="single" w:sz="4" w:space="0" w:color="auto"/>
            </w:tcBorders>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Outcome(s)</w:t>
            </w:r>
          </w:p>
        </w:tc>
        <w:tc>
          <w:tcPr>
            <w:tcW w:w="819" w:type="pct"/>
            <w:tcBorders>
              <w:bottom w:val="single" w:sz="4" w:space="0" w:color="auto"/>
            </w:tcBorders>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Use in modelled evaluation</w:t>
            </w:r>
          </w:p>
        </w:tc>
      </w:tr>
      <w:tr w:rsidR="00013E26" w:rsidRPr="00E17531" w:rsidTr="0062234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13E26" w:rsidRPr="00E17531" w:rsidRDefault="00013E26" w:rsidP="00055388">
            <w:pPr>
              <w:keepNext/>
              <w:spacing w:before="0" w:after="0"/>
              <w:rPr>
                <w:rFonts w:ascii="Arial Narrow" w:eastAsia="Times New Roman" w:hAnsi="Arial Narrow" w:cs="Times New Roman"/>
                <w:b/>
                <w:sz w:val="20"/>
                <w:szCs w:val="24"/>
              </w:rPr>
            </w:pPr>
            <w:r w:rsidRPr="00E17531">
              <w:rPr>
                <w:rFonts w:ascii="Arial Narrow" w:eastAsia="Times New Roman" w:hAnsi="Arial Narrow" w:cs="Times New Roman"/>
                <w:b/>
                <w:sz w:val="20"/>
                <w:szCs w:val="24"/>
              </w:rPr>
              <w:t xml:space="preserve">Direct comparison </w:t>
            </w:r>
            <w:r w:rsidR="00055388">
              <w:rPr>
                <w:rFonts w:ascii="Arial Narrow" w:eastAsia="Times New Roman" w:hAnsi="Arial Narrow" w:cs="Times New Roman"/>
                <w:b/>
                <w:sz w:val="20"/>
                <w:szCs w:val="24"/>
              </w:rPr>
              <w:t>of</w:t>
            </w:r>
            <w:r w:rsidRPr="00E17531">
              <w:rPr>
                <w:rFonts w:ascii="Arial Narrow" w:eastAsia="Times New Roman" w:hAnsi="Arial Narrow" w:cs="Times New Roman"/>
                <w:b/>
                <w:sz w:val="20"/>
                <w:szCs w:val="24"/>
              </w:rPr>
              <w:t xml:space="preserve"> pembrolizumab and platinum-based </w:t>
            </w:r>
            <w:r w:rsidR="00055388">
              <w:rPr>
                <w:rFonts w:ascii="Arial Narrow" w:eastAsia="Times New Roman" w:hAnsi="Arial Narrow" w:cs="Times New Roman"/>
                <w:b/>
                <w:sz w:val="20"/>
                <w:szCs w:val="24"/>
              </w:rPr>
              <w:t xml:space="preserve">doublet </w:t>
            </w:r>
            <w:r w:rsidRPr="00E17531">
              <w:rPr>
                <w:rFonts w:ascii="Arial Narrow" w:eastAsia="Times New Roman" w:hAnsi="Arial Narrow" w:cs="Times New Roman"/>
                <w:b/>
                <w:sz w:val="20"/>
                <w:szCs w:val="24"/>
              </w:rPr>
              <w:t>chemothera</w:t>
            </w:r>
            <w:r w:rsidR="00055388">
              <w:rPr>
                <w:rFonts w:ascii="Arial Narrow" w:eastAsia="Times New Roman" w:hAnsi="Arial Narrow" w:cs="Times New Roman"/>
                <w:b/>
                <w:sz w:val="20"/>
                <w:szCs w:val="24"/>
              </w:rPr>
              <w:t>py in PD-L1 positive ≥50% NSCLC</w:t>
            </w:r>
          </w:p>
        </w:tc>
      </w:tr>
      <w:tr w:rsidR="00013E26" w:rsidRPr="00E17531" w:rsidTr="00AD25EE">
        <w:trPr>
          <w:trHeight w:val="1202"/>
        </w:trPr>
        <w:tc>
          <w:tcPr>
            <w:tcW w:w="408" w:type="pct"/>
            <w:tcBorders>
              <w:top w:val="single" w:sz="4" w:space="0" w:color="auto"/>
            </w:tcBorders>
            <w:shd w:val="clear" w:color="auto" w:fill="auto"/>
          </w:tcPr>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KN-024</w:t>
            </w:r>
          </w:p>
        </w:tc>
        <w:tc>
          <w:tcPr>
            <w:tcW w:w="312" w:type="pct"/>
            <w:tcBorders>
              <w:top w:val="single" w:sz="4" w:space="0" w:color="auto"/>
            </w:tcBorders>
            <w:shd w:val="clear" w:color="auto" w:fill="auto"/>
          </w:tcPr>
          <w:p w:rsidR="00013E26" w:rsidRPr="00E17531" w:rsidRDefault="00013E26" w:rsidP="00622343">
            <w:pPr>
              <w:spacing w:before="0" w:after="0"/>
              <w:jc w:val="center"/>
              <w:rPr>
                <w:rFonts w:ascii="Arial Narrow" w:eastAsia="Times New Roman" w:hAnsi="Arial Narrow" w:cs="Times New Roman"/>
                <w:sz w:val="20"/>
                <w:szCs w:val="24"/>
              </w:rPr>
            </w:pPr>
            <w:r w:rsidRPr="00E17531">
              <w:rPr>
                <w:rFonts w:ascii="Arial Narrow" w:eastAsia="Times New Roman" w:hAnsi="Arial Narrow" w:cs="Times New Roman"/>
                <w:sz w:val="20"/>
                <w:szCs w:val="24"/>
              </w:rPr>
              <w:t>305</w:t>
            </w:r>
          </w:p>
        </w:tc>
        <w:tc>
          <w:tcPr>
            <w:tcW w:w="1755" w:type="pct"/>
            <w:tcBorders>
              <w:top w:val="single" w:sz="4" w:space="0" w:color="auto"/>
            </w:tcBorders>
            <w:shd w:val="clear" w:color="auto" w:fill="auto"/>
          </w:tcPr>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R (1:1), OL, MC</w:t>
            </w:r>
          </w:p>
          <w:p w:rsidR="00013E26" w:rsidRPr="00E17531" w:rsidRDefault="00013E26" w:rsidP="00D74B10">
            <w:pPr>
              <w:numPr>
                <w:ilvl w:val="0"/>
                <w:numId w:val="11"/>
              </w:numPr>
              <w:spacing w:before="0" w:after="0"/>
              <w:ind w:left="254" w:hanging="198"/>
              <w:contextualSpacing/>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Pembrolizumab 200 mg Q3W</w:t>
            </w:r>
          </w:p>
          <w:p w:rsidR="00013E26" w:rsidRPr="00E17531" w:rsidRDefault="00013E26" w:rsidP="00D74B10">
            <w:pPr>
              <w:numPr>
                <w:ilvl w:val="0"/>
                <w:numId w:val="11"/>
              </w:numPr>
              <w:spacing w:before="0" w:after="0"/>
              <w:ind w:left="254" w:hanging="198"/>
              <w:contextualSpacing/>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Platinum</w:t>
            </w:r>
            <w:r w:rsidR="00055388">
              <w:rPr>
                <w:rFonts w:ascii="Arial Narrow" w:eastAsia="Times New Roman" w:hAnsi="Arial Narrow" w:cs="Times New Roman"/>
                <w:sz w:val="20"/>
                <w:szCs w:val="24"/>
              </w:rPr>
              <w:t>-based</w:t>
            </w:r>
            <w:r w:rsidRPr="00E17531">
              <w:rPr>
                <w:rFonts w:ascii="Arial Narrow" w:eastAsia="Times New Roman" w:hAnsi="Arial Narrow" w:cs="Times New Roman"/>
                <w:sz w:val="20"/>
                <w:szCs w:val="24"/>
              </w:rPr>
              <w:t xml:space="preserve"> doublet</w:t>
            </w:r>
            <w:r w:rsidR="00055388">
              <w:rPr>
                <w:rFonts w:ascii="Arial Narrow" w:eastAsia="Times New Roman" w:hAnsi="Arial Narrow" w:cs="Times New Roman"/>
                <w:sz w:val="20"/>
                <w:szCs w:val="24"/>
              </w:rPr>
              <w:t xml:space="preserve"> chemotherapy</w:t>
            </w:r>
          </w:p>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u w:val="single"/>
              </w:rPr>
              <w:t>Stratification</w:t>
            </w:r>
            <w:r w:rsidRPr="00E17531">
              <w:rPr>
                <w:rFonts w:ascii="Arial Narrow" w:eastAsia="Times New Roman" w:hAnsi="Arial Narrow" w:cs="Times New Roman"/>
                <w:sz w:val="20"/>
                <w:szCs w:val="24"/>
              </w:rPr>
              <w:t>: by ECOG (0 vs 1), region (east Asia vs non East Asia) and histology (squamous vs non-squamous).</w:t>
            </w:r>
          </w:p>
          <w:p w:rsidR="00013E26" w:rsidRPr="00E17531" w:rsidRDefault="00013E26" w:rsidP="00622343">
            <w:pPr>
              <w:spacing w:before="0" w:after="0"/>
              <w:jc w:val="left"/>
              <w:rPr>
                <w:rFonts w:ascii="Arial Narrow" w:eastAsia="Times New Roman" w:hAnsi="Arial Narrow" w:cs="Times New Roman"/>
                <w:sz w:val="20"/>
                <w:szCs w:val="24"/>
              </w:rPr>
            </w:pPr>
          </w:p>
          <w:p w:rsidR="00013E26" w:rsidRPr="00E17531" w:rsidRDefault="00013E26" w:rsidP="00622343">
            <w:pPr>
              <w:spacing w:before="0" w:after="0"/>
              <w:jc w:val="left"/>
              <w:rPr>
                <w:rFonts w:ascii="Arial Narrow" w:eastAsia="Times New Roman" w:hAnsi="Arial Narrow" w:cs="Times New Roman"/>
                <w:sz w:val="20"/>
                <w:szCs w:val="24"/>
                <w:vertAlign w:val="superscript"/>
              </w:rPr>
            </w:pPr>
            <w:r w:rsidRPr="00E17531">
              <w:rPr>
                <w:rFonts w:ascii="Arial Narrow" w:eastAsia="Times New Roman" w:hAnsi="Arial Narrow" w:cs="Times New Roman"/>
                <w:sz w:val="20"/>
                <w:szCs w:val="24"/>
              </w:rPr>
              <w:t>Retreatment with pembrolizumab was allowed in the protocol</w:t>
            </w:r>
            <w:r w:rsidRPr="00E17531">
              <w:rPr>
                <w:rFonts w:ascii="Arial Narrow" w:eastAsia="Times New Roman" w:hAnsi="Arial Narrow" w:cs="Times New Roman"/>
                <w:sz w:val="20"/>
                <w:szCs w:val="24"/>
                <w:vertAlign w:val="superscript"/>
              </w:rPr>
              <w:t>a</w:t>
            </w:r>
          </w:p>
          <w:p w:rsidR="00013E26" w:rsidRPr="00E17531" w:rsidRDefault="00013E26" w:rsidP="00622343">
            <w:pPr>
              <w:spacing w:before="0" w:after="0"/>
              <w:jc w:val="left"/>
              <w:rPr>
                <w:rFonts w:ascii="Arial Narrow" w:eastAsia="Times New Roman" w:hAnsi="Arial Narrow" w:cs="Times New Roman"/>
                <w:sz w:val="20"/>
                <w:szCs w:val="24"/>
              </w:rPr>
            </w:pPr>
          </w:p>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Patients were treated with pembrolizumab until disease progression or unacceptable toxicity.</w:t>
            </w:r>
          </w:p>
          <w:p w:rsidR="00013E26" w:rsidRPr="00E17531" w:rsidRDefault="00013E26" w:rsidP="00622343">
            <w:pPr>
              <w:spacing w:before="0" w:after="0"/>
              <w:jc w:val="left"/>
              <w:rPr>
                <w:rFonts w:ascii="Arial Narrow" w:eastAsia="Times New Roman" w:hAnsi="Arial Narrow" w:cs="Times New Roman"/>
                <w:sz w:val="20"/>
                <w:szCs w:val="24"/>
              </w:rPr>
            </w:pPr>
          </w:p>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Switching was allowed from chemotherapy to pembrolizumab</w:t>
            </w:r>
            <w:r w:rsidRPr="00E17531">
              <w:rPr>
                <w:rFonts w:ascii="Arial Narrow" w:eastAsia="Times New Roman" w:hAnsi="Arial Narrow" w:cs="Times New Roman"/>
                <w:sz w:val="20"/>
                <w:szCs w:val="24"/>
                <w:vertAlign w:val="superscript"/>
              </w:rPr>
              <w:t>b</w:t>
            </w:r>
          </w:p>
        </w:tc>
        <w:tc>
          <w:tcPr>
            <w:tcW w:w="853" w:type="pct"/>
            <w:tcBorders>
              <w:top w:val="single" w:sz="4" w:space="0" w:color="auto"/>
            </w:tcBorders>
            <w:shd w:val="clear" w:color="auto" w:fill="auto"/>
          </w:tcPr>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 xml:space="preserve">Treatment naïve PD-L1 highly positive (TPS ≥50%) Stage IV NSCLC with no evidence of </w:t>
            </w:r>
            <w:r w:rsidRPr="00E17531">
              <w:rPr>
                <w:rFonts w:ascii="Arial Narrow" w:eastAsia="Times New Roman" w:hAnsi="Arial Narrow" w:cs="Times New Roman"/>
                <w:i/>
                <w:sz w:val="20"/>
                <w:szCs w:val="24"/>
              </w:rPr>
              <w:t>EGFR</w:t>
            </w:r>
            <w:r w:rsidRPr="00E17531">
              <w:rPr>
                <w:rFonts w:ascii="Arial Narrow" w:eastAsia="Times New Roman" w:hAnsi="Arial Narrow" w:cs="Times New Roman"/>
                <w:sz w:val="20"/>
                <w:szCs w:val="24"/>
              </w:rPr>
              <w:t xml:space="preserve"> mutation or </w:t>
            </w:r>
            <w:r w:rsidRPr="00E17531">
              <w:rPr>
                <w:rFonts w:ascii="Arial Narrow" w:eastAsia="Times New Roman" w:hAnsi="Arial Narrow" w:cs="Times New Roman"/>
                <w:i/>
                <w:sz w:val="20"/>
                <w:szCs w:val="24"/>
              </w:rPr>
              <w:t>ALK</w:t>
            </w:r>
            <w:r w:rsidRPr="00E17531">
              <w:rPr>
                <w:rFonts w:ascii="Arial Narrow" w:eastAsia="Times New Roman" w:hAnsi="Arial Narrow" w:cs="Times New Roman"/>
                <w:sz w:val="20"/>
                <w:szCs w:val="24"/>
              </w:rPr>
              <w:t xml:space="preserve"> translocation</w:t>
            </w:r>
          </w:p>
        </w:tc>
        <w:tc>
          <w:tcPr>
            <w:tcW w:w="853" w:type="pct"/>
            <w:tcBorders>
              <w:top w:val="single" w:sz="4" w:space="0" w:color="auto"/>
            </w:tcBorders>
            <w:shd w:val="clear" w:color="auto" w:fill="auto"/>
          </w:tcPr>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Primary: PFS per RECIST 1.1 based on BICR review</w:t>
            </w:r>
          </w:p>
          <w:p w:rsidR="00013E26" w:rsidRPr="00E17531" w:rsidRDefault="00013E26" w:rsidP="00622343">
            <w:pPr>
              <w:spacing w:before="0" w:after="0"/>
              <w:jc w:val="left"/>
              <w:rPr>
                <w:rFonts w:ascii="Arial Narrow" w:eastAsia="Times New Roman" w:hAnsi="Arial Narrow" w:cs="Times New Roman"/>
                <w:sz w:val="20"/>
                <w:szCs w:val="24"/>
              </w:rPr>
            </w:pPr>
          </w:p>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 xml:space="preserve">Secondary: OS, ORR, QoL, safety </w:t>
            </w:r>
          </w:p>
        </w:tc>
        <w:tc>
          <w:tcPr>
            <w:tcW w:w="819" w:type="pct"/>
            <w:tcBorders>
              <w:top w:val="single" w:sz="4" w:space="0" w:color="auto"/>
            </w:tcBorders>
            <w:shd w:val="clear" w:color="auto" w:fill="auto"/>
          </w:tcPr>
          <w:p w:rsidR="00013E26" w:rsidRPr="00E17531" w:rsidRDefault="00013E26" w:rsidP="00622343">
            <w:pPr>
              <w:spacing w:before="0" w:after="0"/>
              <w:jc w:val="left"/>
              <w:rPr>
                <w:rFonts w:ascii="Arial Narrow" w:eastAsia="Times New Roman" w:hAnsi="Arial Narrow" w:cs="Times New Roman"/>
                <w:sz w:val="20"/>
                <w:szCs w:val="24"/>
              </w:rPr>
            </w:pPr>
            <w:r w:rsidRPr="00E17531">
              <w:rPr>
                <w:rFonts w:ascii="Arial Narrow" w:eastAsia="Times New Roman" w:hAnsi="Arial Narrow" w:cs="Times New Roman"/>
                <w:sz w:val="20"/>
                <w:szCs w:val="24"/>
              </w:rPr>
              <w:t>Used</w:t>
            </w:r>
          </w:p>
        </w:tc>
      </w:tr>
    </w:tbl>
    <w:p w:rsidR="00013E26" w:rsidRPr="00E17531" w:rsidRDefault="00013E26" w:rsidP="00622343">
      <w:pPr>
        <w:pStyle w:val="TableFooter"/>
      </w:pPr>
      <w:r w:rsidRPr="00E17531">
        <w:t>ALK = anaplastic lymphoma kinase; BICR = blinded independent central radiology; NSCLC =non-small cell lung cancer; ORR = objective response rate; ECOG = Eastern Cooperative Oncology Group; EGFR = epidermal growth factor receptor; MC = multi-centre; OL = open label; OS = overall survival; PFS = progression-free survival; QoL = Quality of life; Q3W = every three weeks; R (1:1) = randomised 1 to 1 ratio; TPS = tumour proportion score.</w:t>
      </w:r>
    </w:p>
    <w:p w:rsidR="00013E26" w:rsidRPr="00E17531" w:rsidRDefault="00013E26" w:rsidP="00622343">
      <w:pPr>
        <w:pStyle w:val="TableFooter"/>
      </w:pPr>
      <w:r w:rsidRPr="00E17531">
        <w:rPr>
          <w:vertAlign w:val="superscript"/>
        </w:rPr>
        <w:t>a</w:t>
      </w:r>
      <w:r w:rsidRPr="00E17531">
        <w:t xml:space="preserve"> The eligibility criteria for retreatment in KN-024 were: experienced disease progression after stopping initial treatment with pembrolizumab due to attaining a confirmed complete response (CR); treated for at least six months with pembrolizumab; and received at least two treatments with pembrolizumab beyond the date when the initial CR was declared; AND did not receive any anti-cancer treatment since the last dose of pembrolizumab; OR patients had stable disease (SD); partial response (PR) or CR and stopped pembrolizumab treatment after 24 months of study therapy for reasons other than disease progression or intolerability (Section 7.1.5.5, p90 KN-024 Protocol).</w:t>
      </w:r>
    </w:p>
    <w:p w:rsidR="00013E26" w:rsidRPr="00E17531" w:rsidRDefault="00013E26" w:rsidP="00622343">
      <w:pPr>
        <w:pStyle w:val="TableFooter"/>
      </w:pPr>
      <w:r w:rsidRPr="00E17531">
        <w:t>Source: Table compiled during the evaluation from the submission and the KN-024 clinical study report.</w:t>
      </w:r>
    </w:p>
    <w:p w:rsidR="00013E26" w:rsidRPr="00E17531" w:rsidRDefault="00013E26" w:rsidP="008817F8">
      <w:pPr>
        <w:pStyle w:val="ListParagraph"/>
        <w:numPr>
          <w:ilvl w:val="4"/>
          <w:numId w:val="5"/>
        </w:numPr>
        <w:spacing w:before="0" w:after="120"/>
        <w:ind w:left="709" w:hanging="709"/>
      </w:pPr>
      <w:r w:rsidRPr="00E17531">
        <w:t>The risk of bias and confounding in KN-024 differed for the different outcomes:</w:t>
      </w:r>
    </w:p>
    <w:p w:rsidR="00013E26" w:rsidRPr="00E17531" w:rsidRDefault="00013E26" w:rsidP="008817F8">
      <w:pPr>
        <w:pStyle w:val="ListParagraph"/>
        <w:numPr>
          <w:ilvl w:val="0"/>
          <w:numId w:val="10"/>
        </w:numPr>
        <w:spacing w:before="0" w:after="120"/>
        <w:ind w:left="1276" w:hanging="426"/>
      </w:pPr>
      <w:r w:rsidRPr="00E17531">
        <w:t>There was a low risk of bias for PFS, as disease progression was determined by independent radiologists without knowledge of patient treatment assignment</w:t>
      </w:r>
      <w:r w:rsidR="00AD25EE" w:rsidRPr="00E17531">
        <w:t>.</w:t>
      </w:r>
    </w:p>
    <w:p w:rsidR="00013E26" w:rsidRPr="00E17531" w:rsidRDefault="00013E26" w:rsidP="008817F8">
      <w:pPr>
        <w:pStyle w:val="ListParagraph"/>
        <w:numPr>
          <w:ilvl w:val="0"/>
          <w:numId w:val="10"/>
        </w:numPr>
        <w:spacing w:before="0" w:after="120"/>
        <w:ind w:left="1276" w:hanging="426"/>
      </w:pPr>
      <w:r w:rsidRPr="00E17531">
        <w:t xml:space="preserve">Assessment of OS had a low risk of confounding. Patients randomised to the chemotherapy arm were allowed to receive second-line immunotherapy, i.e. pembrolizumab, upon progression. However, this treatment switching would reflect current clinical practice, as another PD-L1/PD-1 inhibitor (nivolumab) </w:t>
      </w:r>
      <w:r w:rsidRPr="00E17531">
        <w:lastRenderedPageBreak/>
        <w:t>has been listed on the PBS for treatment of patients with locally advanced or metastatic NSCLC who have progressed on or after prior platinum</w:t>
      </w:r>
      <w:r w:rsidR="00F47B1B">
        <w:t>-</w:t>
      </w:r>
      <w:r w:rsidRPr="00E17531">
        <w:t xml:space="preserve">based </w:t>
      </w:r>
      <w:r w:rsidR="00055388">
        <w:t xml:space="preserve">doublet </w:t>
      </w:r>
      <w:r w:rsidRPr="00E17531">
        <w:t>chemotherapy, regardless of PD-L1 status (recommended at the March 2017 PBAC meeting).</w:t>
      </w:r>
    </w:p>
    <w:p w:rsidR="00013E26" w:rsidRPr="00E17531" w:rsidRDefault="00013E26" w:rsidP="008817F8">
      <w:pPr>
        <w:pStyle w:val="ListParagraph"/>
        <w:numPr>
          <w:ilvl w:val="0"/>
          <w:numId w:val="10"/>
        </w:numPr>
        <w:spacing w:before="0" w:after="120"/>
        <w:ind w:left="1276" w:hanging="426"/>
      </w:pPr>
      <w:r w:rsidRPr="00E17531">
        <w:t>Assessment of subjective safety outcomes and other patient-reported quality of life (QoL) outcomes were likely to be biased given that patients and investigators were aware of treatment allocation.</w:t>
      </w:r>
    </w:p>
    <w:p w:rsidR="00013E26" w:rsidRPr="00E17531" w:rsidRDefault="00013E26" w:rsidP="008817F8">
      <w:pPr>
        <w:pStyle w:val="ListParagraph"/>
        <w:numPr>
          <w:ilvl w:val="4"/>
          <w:numId w:val="5"/>
        </w:numPr>
        <w:spacing w:before="0" w:after="120"/>
        <w:ind w:left="709" w:hanging="709"/>
      </w:pPr>
      <w:r w:rsidRPr="00E17531">
        <w:t xml:space="preserve">The previous submission presented results of PFS and OS from KN-024, based on </w:t>
      </w:r>
      <w:r w:rsidR="00AD25EE" w:rsidRPr="00E17531">
        <w:t>median follow-up of 11 months.</w:t>
      </w:r>
    </w:p>
    <w:p w:rsidR="00013E26" w:rsidRPr="00E17531" w:rsidRDefault="00013E26" w:rsidP="008817F8">
      <w:pPr>
        <w:pStyle w:val="ListParagraph"/>
        <w:numPr>
          <w:ilvl w:val="4"/>
          <w:numId w:val="5"/>
        </w:numPr>
        <w:spacing w:before="0" w:after="120"/>
        <w:ind w:left="709" w:hanging="709"/>
      </w:pPr>
      <w:r w:rsidRPr="00E17531">
        <w:t>The updated OS results from KN-024 (median follow-up of 19 months) are presented in the table below. These data, although not presented in the previous submission, were provided in the pre-PBAC response and were considered by the PBAC at its March 2017 meeting.</w:t>
      </w:r>
    </w:p>
    <w:p w:rsidR="00013E26" w:rsidRPr="00E17531" w:rsidRDefault="00013E26" w:rsidP="008F1A10">
      <w:pPr>
        <w:pStyle w:val="Caption"/>
      </w:pPr>
      <w:r w:rsidRPr="00E17531">
        <w:t xml:space="preserve">Table </w:t>
      </w:r>
      <w:r w:rsidR="007C0056">
        <w:rPr>
          <w:noProof/>
        </w:rPr>
        <w:t>6</w:t>
      </w:r>
      <w:r w:rsidRPr="00E17531">
        <w:t>: Updated results of OS (19 months median follow-up</w:t>
      </w:r>
      <w:r w:rsidRPr="00E17531">
        <w:rPr>
          <w:vertAlign w:val="superscript"/>
        </w:rPr>
        <w:t>a</w:t>
      </w:r>
      <w:r w:rsidRPr="00E17531">
        <w:t>), ITT population, KN-024</w:t>
      </w: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453"/>
        <w:gridCol w:w="972"/>
        <w:gridCol w:w="1707"/>
        <w:gridCol w:w="1903"/>
        <w:gridCol w:w="1651"/>
      </w:tblGrid>
      <w:tr w:rsidR="00013E26" w:rsidRPr="00E17531" w:rsidTr="00622343">
        <w:tc>
          <w:tcPr>
            <w:tcW w:w="880" w:type="pct"/>
            <w:shd w:val="clear" w:color="auto" w:fill="auto"/>
          </w:tcPr>
          <w:p w:rsidR="00013E26" w:rsidRPr="00E17531" w:rsidRDefault="00013E26" w:rsidP="00622343">
            <w:pPr>
              <w:spacing w:before="0" w:after="0"/>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Treatment</w:t>
            </w:r>
          </w:p>
        </w:tc>
        <w:tc>
          <w:tcPr>
            <w:tcW w:w="779" w:type="pct"/>
            <w:shd w:val="clear" w:color="auto" w:fill="auto"/>
          </w:tcPr>
          <w:p w:rsidR="00013E26" w:rsidRPr="00E17531" w:rsidRDefault="00013E26" w:rsidP="00622343">
            <w:pPr>
              <w:tabs>
                <w:tab w:val="left" w:pos="870"/>
              </w:tabs>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Events</w:t>
            </w:r>
          </w:p>
          <w:p w:rsidR="00013E26" w:rsidRPr="00E17531" w:rsidRDefault="00013E26" w:rsidP="00622343">
            <w:pPr>
              <w:tabs>
                <w:tab w:val="left" w:pos="870"/>
              </w:tabs>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n/N (%)</w:t>
            </w:r>
          </w:p>
        </w:tc>
        <w:tc>
          <w:tcPr>
            <w:tcW w:w="521" w:type="pct"/>
            <w:shd w:val="clear" w:color="auto" w:fill="auto"/>
          </w:tcPr>
          <w:p w:rsidR="00013E26" w:rsidRPr="00E17531" w:rsidRDefault="00013E26" w:rsidP="00622343">
            <w:pPr>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Person-months</w:t>
            </w:r>
          </w:p>
        </w:tc>
        <w:tc>
          <w:tcPr>
            <w:tcW w:w="915" w:type="pct"/>
            <w:shd w:val="clear" w:color="auto" w:fill="auto"/>
          </w:tcPr>
          <w:p w:rsidR="00013E26" w:rsidRPr="00E17531" w:rsidRDefault="00013E26" w:rsidP="00622343">
            <w:pPr>
              <w:keepNext/>
              <w:spacing w:before="0" w:after="0"/>
              <w:ind w:left="-57" w:right="-57"/>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OS rate at Month 12</w:t>
            </w:r>
          </w:p>
          <w:p w:rsidR="00013E26" w:rsidRPr="00E17531" w:rsidRDefault="00013E26" w:rsidP="00622343">
            <w:pPr>
              <w:spacing w:before="0" w:after="0"/>
              <w:ind w:left="-57" w:right="-57"/>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(95% CI)</w:t>
            </w:r>
          </w:p>
        </w:tc>
        <w:tc>
          <w:tcPr>
            <w:tcW w:w="1020" w:type="pct"/>
            <w:shd w:val="clear" w:color="auto" w:fill="auto"/>
          </w:tcPr>
          <w:p w:rsidR="00013E26" w:rsidRPr="00E17531" w:rsidRDefault="00013E26" w:rsidP="00622343">
            <w:pPr>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Median OS</w:t>
            </w:r>
            <w:r w:rsidR="002F6D93" w:rsidRPr="00E17531">
              <w:rPr>
                <w:rFonts w:ascii="Arial Narrow" w:eastAsia="Times New Roman" w:hAnsi="Arial Narrow" w:cs="Times New Roman"/>
                <w:b/>
                <w:sz w:val="20"/>
                <w:szCs w:val="20"/>
              </w:rPr>
              <w:t xml:space="preserve"> (months)</w:t>
            </w:r>
            <w:r w:rsidRPr="00E17531">
              <w:rPr>
                <w:rFonts w:ascii="Arial Narrow" w:eastAsia="Times New Roman" w:hAnsi="Arial Narrow" w:cs="Times New Roman"/>
                <w:b/>
                <w:sz w:val="20"/>
                <w:szCs w:val="20"/>
                <w:vertAlign w:val="superscript"/>
              </w:rPr>
              <w:t>b</w:t>
            </w:r>
            <w:r w:rsidRPr="00E17531">
              <w:rPr>
                <w:rFonts w:ascii="Arial Narrow" w:eastAsia="Times New Roman" w:hAnsi="Arial Narrow" w:cs="Times New Roman"/>
                <w:b/>
                <w:sz w:val="20"/>
                <w:szCs w:val="20"/>
              </w:rPr>
              <w:br/>
              <w:t>(95% CI)</w:t>
            </w:r>
          </w:p>
        </w:tc>
        <w:tc>
          <w:tcPr>
            <w:tcW w:w="885" w:type="pct"/>
            <w:shd w:val="clear" w:color="auto" w:fill="auto"/>
          </w:tcPr>
          <w:p w:rsidR="00013E26" w:rsidRPr="00E17531" w:rsidRDefault="00013E26" w:rsidP="00622343">
            <w:pPr>
              <w:keepNext/>
              <w:spacing w:before="0" w:after="0"/>
              <w:jc w:val="center"/>
              <w:rPr>
                <w:rFonts w:ascii="Arial Narrow" w:eastAsia="Times New Roman" w:hAnsi="Arial Narrow" w:cs="Times New Roman"/>
                <w:b/>
                <w:sz w:val="20"/>
                <w:szCs w:val="20"/>
                <w:vertAlign w:val="superscript"/>
                <w:lang w:eastAsia="en-GB"/>
              </w:rPr>
            </w:pPr>
            <w:r w:rsidRPr="00E17531">
              <w:rPr>
                <w:rFonts w:ascii="Arial Narrow" w:eastAsia="Times New Roman" w:hAnsi="Arial Narrow" w:cs="Times New Roman"/>
                <w:b/>
                <w:sz w:val="20"/>
                <w:szCs w:val="20"/>
                <w:lang w:eastAsia="en-GB"/>
              </w:rPr>
              <w:t>HR</w:t>
            </w:r>
            <w:r w:rsidRPr="00E17531">
              <w:rPr>
                <w:rFonts w:ascii="Arial Narrow" w:eastAsia="Times New Roman" w:hAnsi="Arial Narrow" w:cs="Times New Roman"/>
                <w:b/>
                <w:sz w:val="20"/>
                <w:szCs w:val="20"/>
                <w:vertAlign w:val="superscript"/>
              </w:rPr>
              <w:t>c</w:t>
            </w:r>
            <w:r w:rsidRPr="00E17531">
              <w:rPr>
                <w:rFonts w:ascii="Arial Narrow" w:eastAsia="Times New Roman" w:hAnsi="Arial Narrow" w:cs="Times New Roman"/>
                <w:b/>
                <w:sz w:val="20"/>
                <w:szCs w:val="20"/>
                <w:lang w:eastAsia="en-GB"/>
              </w:rPr>
              <w:t xml:space="preserve"> (95% CI)</w:t>
            </w:r>
          </w:p>
          <w:p w:rsidR="00013E26" w:rsidRPr="00E17531" w:rsidRDefault="00013E26" w:rsidP="00622343">
            <w:pPr>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lang w:eastAsia="en-GB"/>
              </w:rPr>
              <w:t>p-value</w:t>
            </w:r>
            <w:r w:rsidRPr="00E17531">
              <w:rPr>
                <w:rFonts w:ascii="Arial Narrow" w:eastAsia="Times New Roman" w:hAnsi="Arial Narrow" w:cs="Times New Roman"/>
                <w:b/>
                <w:sz w:val="20"/>
                <w:szCs w:val="20"/>
                <w:vertAlign w:val="superscript"/>
              </w:rPr>
              <w:t>d</w:t>
            </w:r>
          </w:p>
        </w:tc>
      </w:tr>
      <w:tr w:rsidR="00013E26" w:rsidRPr="00E17531" w:rsidTr="00622343">
        <w:tc>
          <w:tcPr>
            <w:tcW w:w="880" w:type="pct"/>
            <w:shd w:val="clear" w:color="auto" w:fill="auto"/>
            <w:vAlign w:val="center"/>
          </w:tcPr>
          <w:p w:rsidR="00013E26" w:rsidRPr="00E17531" w:rsidRDefault="00013E26" w:rsidP="00622343">
            <w:pPr>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Pembrolizumab</w:t>
            </w:r>
          </w:p>
        </w:tc>
        <w:tc>
          <w:tcPr>
            <w:tcW w:w="779" w:type="pct"/>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63/154 (40.9%)</w:t>
            </w:r>
          </w:p>
        </w:tc>
        <w:tc>
          <w:tcPr>
            <w:tcW w:w="521" w:type="pct"/>
            <w:shd w:val="clear" w:color="auto" w:fill="auto"/>
            <w:vAlign w:val="center"/>
          </w:tcPr>
          <w:p w:rsidR="00013E26" w:rsidRPr="00E61B46" w:rsidRDefault="00E61B46" w:rsidP="00622343">
            <w:pPr>
              <w:keepNext/>
              <w:spacing w:before="0" w:after="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w:t>
            </w:r>
          </w:p>
        </w:tc>
        <w:tc>
          <w:tcPr>
            <w:tcW w:w="915" w:type="pct"/>
            <w:shd w:val="clear" w:color="auto" w:fill="auto"/>
            <w:vAlign w:val="center"/>
          </w:tcPr>
          <w:p w:rsidR="00013E26" w:rsidRPr="0099683E" w:rsidRDefault="00013E26" w:rsidP="00622343">
            <w:pPr>
              <w:keepNext/>
              <w:spacing w:before="0" w:after="0"/>
              <w:jc w:val="center"/>
              <w:rPr>
                <w:rFonts w:ascii="Arial Narrow" w:eastAsia="Times New Roman" w:hAnsi="Arial Narrow" w:cs="Times New Roman"/>
                <w:sz w:val="20"/>
                <w:szCs w:val="20"/>
              </w:rPr>
            </w:pPr>
            <w:r w:rsidRPr="0099683E">
              <w:rPr>
                <w:rFonts w:ascii="Arial Narrow" w:eastAsia="Times New Roman" w:hAnsi="Arial Narrow" w:cs="Times New Roman"/>
                <w:sz w:val="20"/>
                <w:szCs w:val="20"/>
              </w:rPr>
              <w:t>70.3%</w:t>
            </w:r>
          </w:p>
          <w:p w:rsidR="00013E26" w:rsidRPr="00E61B46" w:rsidRDefault="00E61B46" w:rsidP="00622343">
            <w:pPr>
              <w:keepNext/>
              <w:spacing w:before="0" w:after="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020" w:type="pct"/>
            <w:shd w:val="clear" w:color="auto" w:fill="auto"/>
            <w:vAlign w:val="center"/>
          </w:tcPr>
          <w:p w:rsidR="00013E26" w:rsidRPr="00E17531" w:rsidRDefault="00013E26" w:rsidP="002F6D93">
            <w:pPr>
              <w:keepNext/>
              <w:spacing w:before="0" w:after="0"/>
              <w:jc w:val="center"/>
              <w:rPr>
                <w:rFonts w:ascii="Arial Narrow" w:eastAsia="Times New Roman" w:hAnsi="Arial Narrow" w:cs="Times New Roman"/>
                <w:sz w:val="20"/>
                <w:szCs w:val="20"/>
                <w:vertAlign w:val="superscript"/>
              </w:rPr>
            </w:pPr>
            <w:r w:rsidRPr="00E17531">
              <w:rPr>
                <w:rFonts w:ascii="Arial Narrow" w:eastAsia="Times New Roman" w:hAnsi="Arial Narrow" w:cs="Times New Roman"/>
                <w:sz w:val="20"/>
                <w:szCs w:val="20"/>
              </w:rPr>
              <w:t>Not reached</w:t>
            </w:r>
            <w:r w:rsidRPr="00E17531">
              <w:rPr>
                <w:rFonts w:ascii="Arial Narrow" w:eastAsia="Times New Roman" w:hAnsi="Arial Narrow" w:cs="Times New Roman"/>
                <w:sz w:val="20"/>
                <w:szCs w:val="20"/>
              </w:rPr>
              <w:br/>
              <w:t xml:space="preserve">(14.9, </w:t>
            </w:r>
            <w:r w:rsidR="002F6D93" w:rsidRPr="00E17531">
              <w:rPr>
                <w:rFonts w:ascii="Arial Narrow" w:eastAsia="Times New Roman" w:hAnsi="Arial Narrow" w:cs="Times New Roman"/>
                <w:sz w:val="20"/>
                <w:szCs w:val="20"/>
              </w:rPr>
              <w:t>not reached</w:t>
            </w:r>
            <w:r w:rsidRPr="00E17531">
              <w:rPr>
                <w:rFonts w:ascii="Arial Narrow" w:eastAsia="Times New Roman" w:hAnsi="Arial Narrow" w:cs="Times New Roman"/>
                <w:sz w:val="20"/>
                <w:szCs w:val="20"/>
              </w:rPr>
              <w:t>)</w:t>
            </w:r>
          </w:p>
        </w:tc>
        <w:tc>
          <w:tcPr>
            <w:tcW w:w="885" w:type="pct"/>
            <w:vMerge w:val="restart"/>
            <w:shd w:val="clear" w:color="auto" w:fill="auto"/>
            <w:vAlign w:val="center"/>
          </w:tcPr>
          <w:p w:rsidR="00013E26" w:rsidRPr="00E17531" w:rsidRDefault="00013E26" w:rsidP="00622343">
            <w:pPr>
              <w:keepNext/>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0.63 (0.46, 0.88)</w:t>
            </w:r>
          </w:p>
          <w:p w:rsidR="00013E26" w:rsidRPr="00E17531" w:rsidRDefault="00013E26" w:rsidP="00622343">
            <w:pPr>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p = 0.003</w:t>
            </w:r>
          </w:p>
        </w:tc>
      </w:tr>
      <w:tr w:rsidR="00013E26" w:rsidRPr="00E17531" w:rsidTr="00622343">
        <w:tc>
          <w:tcPr>
            <w:tcW w:w="880" w:type="pct"/>
            <w:shd w:val="clear" w:color="auto" w:fill="auto"/>
            <w:vAlign w:val="center"/>
          </w:tcPr>
          <w:p w:rsidR="00013E26" w:rsidRPr="00E17531" w:rsidRDefault="00013E26" w:rsidP="00622343">
            <w:pPr>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Chemotherapy</w:t>
            </w:r>
          </w:p>
        </w:tc>
        <w:tc>
          <w:tcPr>
            <w:tcW w:w="779" w:type="pct"/>
            <w:shd w:val="clear" w:color="auto" w:fill="auto"/>
            <w:vAlign w:val="center"/>
          </w:tcPr>
          <w:p w:rsidR="00013E26" w:rsidRPr="00E17531" w:rsidRDefault="00013E26" w:rsidP="00622343">
            <w:pPr>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84/151 (55.6%)</w:t>
            </w:r>
          </w:p>
        </w:tc>
        <w:tc>
          <w:tcPr>
            <w:tcW w:w="521" w:type="pct"/>
            <w:shd w:val="clear" w:color="auto" w:fill="auto"/>
            <w:vAlign w:val="center"/>
          </w:tcPr>
          <w:p w:rsidR="00013E26" w:rsidRPr="00E61B46" w:rsidRDefault="00E61B46" w:rsidP="00622343">
            <w:pPr>
              <w:spacing w:before="0" w:after="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w:t>
            </w:r>
          </w:p>
        </w:tc>
        <w:tc>
          <w:tcPr>
            <w:tcW w:w="915" w:type="pct"/>
            <w:shd w:val="clear" w:color="auto" w:fill="auto"/>
            <w:vAlign w:val="center"/>
          </w:tcPr>
          <w:p w:rsidR="00013E26" w:rsidRPr="0099683E" w:rsidRDefault="00013E26" w:rsidP="00622343">
            <w:pPr>
              <w:spacing w:before="0" w:after="0"/>
              <w:jc w:val="center"/>
              <w:rPr>
                <w:rFonts w:ascii="Arial Narrow" w:eastAsia="Times New Roman" w:hAnsi="Arial Narrow" w:cs="Times New Roman"/>
                <w:sz w:val="20"/>
                <w:szCs w:val="20"/>
              </w:rPr>
            </w:pPr>
            <w:r w:rsidRPr="0099683E">
              <w:rPr>
                <w:rFonts w:ascii="Arial Narrow" w:eastAsia="Times New Roman" w:hAnsi="Arial Narrow" w:cs="Times New Roman"/>
                <w:sz w:val="20"/>
                <w:szCs w:val="20"/>
              </w:rPr>
              <w:t>54.8%</w:t>
            </w:r>
          </w:p>
          <w:p w:rsidR="00013E26" w:rsidRPr="00E61B46" w:rsidRDefault="00E61B46" w:rsidP="00622343">
            <w:pPr>
              <w:spacing w:before="0" w:after="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020" w:type="pct"/>
            <w:shd w:val="clear" w:color="auto" w:fill="auto"/>
            <w:vAlign w:val="center"/>
          </w:tcPr>
          <w:p w:rsidR="00013E26" w:rsidRPr="00E17531" w:rsidRDefault="00013E26" w:rsidP="00622343">
            <w:pPr>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14.5</w:t>
            </w:r>
          </w:p>
          <w:p w:rsidR="00013E26" w:rsidRPr="00E17531" w:rsidRDefault="00013E26" w:rsidP="002F6D93">
            <w:pPr>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(9.8, 19.6)</w:t>
            </w:r>
          </w:p>
        </w:tc>
        <w:tc>
          <w:tcPr>
            <w:tcW w:w="885" w:type="pct"/>
            <w:vMerge/>
            <w:shd w:val="clear" w:color="auto" w:fill="auto"/>
            <w:vAlign w:val="center"/>
          </w:tcPr>
          <w:p w:rsidR="00013E26" w:rsidRPr="00E17531" w:rsidRDefault="00013E26" w:rsidP="00622343">
            <w:pPr>
              <w:spacing w:before="0" w:after="0"/>
              <w:jc w:val="center"/>
              <w:rPr>
                <w:rFonts w:ascii="Arial Narrow" w:eastAsia="Times New Roman" w:hAnsi="Arial Narrow" w:cs="Times New Roman"/>
                <w:sz w:val="20"/>
                <w:szCs w:val="20"/>
              </w:rPr>
            </w:pPr>
          </w:p>
        </w:tc>
      </w:tr>
    </w:tbl>
    <w:p w:rsidR="00013E26" w:rsidRPr="00E17531" w:rsidRDefault="00013E26" w:rsidP="00622343">
      <w:pPr>
        <w:pStyle w:val="TableFooter"/>
      </w:pPr>
      <w:r w:rsidRPr="00E17531">
        <w:t>CI = confidence interval; HR = hazard ratio; ITT = intention-to-treat; OS = overall survival</w:t>
      </w:r>
    </w:p>
    <w:p w:rsidR="00013E26" w:rsidRPr="00E17531" w:rsidRDefault="00013E26" w:rsidP="00622343">
      <w:pPr>
        <w:pStyle w:val="TableFooter"/>
      </w:pPr>
      <w:r w:rsidRPr="00E17531">
        <w:rPr>
          <w:vertAlign w:val="superscript"/>
        </w:rPr>
        <w:t>a</w:t>
      </w:r>
      <w:r w:rsidRPr="00E17531">
        <w:t xml:space="preserve"> Database cut-off date: 5 January 2017</w:t>
      </w:r>
    </w:p>
    <w:p w:rsidR="00013E26" w:rsidRPr="00E17531" w:rsidRDefault="00013E26" w:rsidP="00622343">
      <w:pPr>
        <w:pStyle w:val="TableFooter"/>
      </w:pPr>
      <w:r w:rsidRPr="00E17531">
        <w:rPr>
          <w:vertAlign w:val="superscript"/>
        </w:rPr>
        <w:t>b</w:t>
      </w:r>
      <w:r w:rsidRPr="00E17531">
        <w:t xml:space="preserve"> From product-limit (Kaplan-Meier) method for censored data.</w:t>
      </w:r>
    </w:p>
    <w:p w:rsidR="00013E26" w:rsidRPr="00E17531" w:rsidRDefault="00013E26" w:rsidP="00622343">
      <w:pPr>
        <w:pStyle w:val="TableFooter"/>
      </w:pPr>
      <w:r w:rsidRPr="00E17531">
        <w:rPr>
          <w:vertAlign w:val="superscript"/>
        </w:rPr>
        <w:t>c</w:t>
      </w:r>
      <w:r w:rsidRPr="00E17531">
        <w:t xml:space="preserve"> Pembrolizumab vs chemotherapy. Based on Cox regression model with treatment as a covariate stratified by geographic region (East Asia vs non-East Asia), performance status (0 vs 1) and histology (squamous vs non-squamous).</w:t>
      </w:r>
    </w:p>
    <w:p w:rsidR="00013E26" w:rsidRPr="00E17531" w:rsidRDefault="00013E26" w:rsidP="00622343">
      <w:pPr>
        <w:pStyle w:val="TableFooter"/>
      </w:pPr>
      <w:r w:rsidRPr="00E17531">
        <w:rPr>
          <w:vertAlign w:val="superscript"/>
        </w:rPr>
        <w:t>d</w:t>
      </w:r>
      <w:r w:rsidRPr="00E17531">
        <w:t xml:space="preserve"> One-sided p-value based on log-rank test.</w:t>
      </w:r>
    </w:p>
    <w:p w:rsidR="00013E26" w:rsidRPr="00E17531" w:rsidRDefault="00013E26" w:rsidP="00622343">
      <w:pPr>
        <w:pStyle w:val="TableFooter"/>
        <w:rPr>
          <w:rFonts w:ascii="Calibri" w:hAnsi="Calibri"/>
          <w:szCs w:val="24"/>
        </w:rPr>
      </w:pPr>
      <w:r w:rsidRPr="00E17531">
        <w:t>Source: Table 2.5-2, p98 of the resubmission</w:t>
      </w:r>
    </w:p>
    <w:p w:rsidR="00013E26" w:rsidRPr="00E17531" w:rsidRDefault="00013E26" w:rsidP="008F1A10">
      <w:pPr>
        <w:pStyle w:val="Caption"/>
      </w:pPr>
      <w:r w:rsidRPr="00E17531">
        <w:t xml:space="preserve">Figure 1: Kaplan-Meier </w:t>
      </w:r>
      <w:r w:rsidR="002F6D93" w:rsidRPr="00E17531">
        <w:t xml:space="preserve">plot </w:t>
      </w:r>
      <w:r w:rsidRPr="00E17531">
        <w:t>of OS (19 months median follow-up</w:t>
      </w:r>
      <w:r w:rsidR="006B3B74" w:rsidRPr="00E17531">
        <w:rPr>
          <w:vertAlign w:val="superscript"/>
        </w:rPr>
        <w:t>a</w:t>
      </w:r>
      <w:r w:rsidRPr="00E17531">
        <w:t>), ITT population</w:t>
      </w:r>
    </w:p>
    <w:p w:rsidR="00013E26" w:rsidRPr="00E17531" w:rsidRDefault="00013E26" w:rsidP="00622343">
      <w:r w:rsidRPr="00E17531">
        <w:rPr>
          <w:noProof/>
          <w:lang w:eastAsia="en-AU"/>
        </w:rPr>
        <w:drawing>
          <wp:inline distT="0" distB="0" distL="0" distR="0" wp14:anchorId="0AB4AAD4" wp14:editId="500A3924">
            <wp:extent cx="5784112" cy="3072809"/>
            <wp:effectExtent l="0" t="0" r="7620" b="0"/>
            <wp:docPr id="26" name="Picture 26" title="Figure 1: Kaplan-Meier plot of OS (19 months median follow-upa),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8247" cy="3090943"/>
                    </a:xfrm>
                    <a:prstGeom prst="rect">
                      <a:avLst/>
                    </a:prstGeom>
                    <a:noFill/>
                  </pic:spPr>
                </pic:pic>
              </a:graphicData>
            </a:graphic>
          </wp:inline>
        </w:drawing>
      </w:r>
    </w:p>
    <w:p w:rsidR="00013E26" w:rsidRPr="00E17531" w:rsidRDefault="00013E26" w:rsidP="00622343">
      <w:pPr>
        <w:pStyle w:val="TableFooter"/>
      </w:pPr>
      <w:r w:rsidRPr="00E17531">
        <w:t>ITT = intention-to-treat; OS = overall survival; SOC = standard of care</w:t>
      </w:r>
    </w:p>
    <w:p w:rsidR="00013E26" w:rsidRPr="00E17531" w:rsidRDefault="00013E26" w:rsidP="00622343">
      <w:pPr>
        <w:pStyle w:val="TableFooter"/>
      </w:pPr>
      <w:r w:rsidRPr="00E17531">
        <w:rPr>
          <w:vertAlign w:val="superscript"/>
        </w:rPr>
        <w:t>a</w:t>
      </w:r>
      <w:r w:rsidRPr="00E17531">
        <w:t xml:space="preserve"> Database cut-off date: 5 January 2017</w:t>
      </w:r>
    </w:p>
    <w:p w:rsidR="00013E26" w:rsidRPr="00E17531" w:rsidRDefault="00013E26" w:rsidP="00622343">
      <w:pPr>
        <w:pStyle w:val="TableFooter"/>
      </w:pPr>
      <w:r w:rsidRPr="00E17531">
        <w:t>Source: Figure 2.5-2, p99 of the resubmission</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lastRenderedPageBreak/>
        <w:t>The updated results (based on median follow-up of 19 months) were similar to those presented in the original submission (HR: 0.60; 95% CI: 0.41, 0.89), and did not alter any of the previous conclusions regarding the comparative effectiveness of pembrolizumab versus chemotherapy in treatment-naïve patients with PD-L1 TPS ≥50% NSCLC.</w:t>
      </w:r>
    </w:p>
    <w:p w:rsidR="008817F8" w:rsidRPr="00E17531" w:rsidRDefault="006B3B74" w:rsidP="008817F8">
      <w:pPr>
        <w:pStyle w:val="ListParagraph"/>
        <w:numPr>
          <w:ilvl w:val="4"/>
          <w:numId w:val="5"/>
        </w:numPr>
        <w:spacing w:before="0" w:after="120"/>
        <w:ind w:left="709" w:hanging="709"/>
        <w:rPr>
          <w:color w:val="auto"/>
        </w:rPr>
      </w:pPr>
      <w:r w:rsidRPr="00E17531">
        <w:rPr>
          <w:color w:val="auto"/>
        </w:rPr>
        <w:t>The PSCR</w:t>
      </w:r>
      <w:r w:rsidR="005A1249" w:rsidRPr="00E17531">
        <w:rPr>
          <w:color w:val="auto"/>
        </w:rPr>
        <w:t xml:space="preserve"> </w:t>
      </w:r>
      <w:r w:rsidR="005D62F2" w:rsidRPr="00E17531">
        <w:rPr>
          <w:color w:val="auto"/>
        </w:rPr>
        <w:t>(p1,</w:t>
      </w:r>
      <w:r w:rsidR="00592F1B" w:rsidRPr="00E17531">
        <w:rPr>
          <w:color w:val="auto"/>
        </w:rPr>
        <w:t xml:space="preserve"> </w:t>
      </w:r>
      <w:r w:rsidR="005D62F2" w:rsidRPr="00E17531">
        <w:rPr>
          <w:color w:val="auto"/>
        </w:rPr>
        <w:t>9,</w:t>
      </w:r>
      <w:r w:rsidR="00592F1B" w:rsidRPr="00E17531">
        <w:rPr>
          <w:color w:val="auto"/>
        </w:rPr>
        <w:t xml:space="preserve"> </w:t>
      </w:r>
      <w:r w:rsidR="005D62F2" w:rsidRPr="00E17531">
        <w:rPr>
          <w:color w:val="auto"/>
        </w:rPr>
        <w:t xml:space="preserve">10) </w:t>
      </w:r>
      <w:r w:rsidR="005A1249" w:rsidRPr="00E17531">
        <w:rPr>
          <w:color w:val="auto"/>
        </w:rPr>
        <w:t xml:space="preserve">provided updated </w:t>
      </w:r>
      <w:r w:rsidR="00D47823" w:rsidRPr="00E17531">
        <w:rPr>
          <w:color w:val="auto"/>
        </w:rPr>
        <w:t>results</w:t>
      </w:r>
      <w:r w:rsidR="00C81D31" w:rsidRPr="00E17531">
        <w:rPr>
          <w:color w:val="auto"/>
        </w:rPr>
        <w:t xml:space="preserve"> (final analysis of KN-024)</w:t>
      </w:r>
      <w:r w:rsidR="005A1249" w:rsidRPr="00E17531">
        <w:rPr>
          <w:color w:val="auto"/>
        </w:rPr>
        <w:t xml:space="preserve"> for PFS and OS based on </w:t>
      </w:r>
      <w:r w:rsidR="002F6D93" w:rsidRPr="00E17531">
        <w:rPr>
          <w:color w:val="auto"/>
        </w:rPr>
        <w:t xml:space="preserve">a </w:t>
      </w:r>
      <w:r w:rsidR="005A1249" w:rsidRPr="00E17531">
        <w:rPr>
          <w:color w:val="auto"/>
        </w:rPr>
        <w:t xml:space="preserve">median follow-up of 25 months. </w:t>
      </w:r>
      <w:r w:rsidR="00C81D31" w:rsidRPr="00E17531">
        <w:rPr>
          <w:color w:val="auto"/>
        </w:rPr>
        <w:t>The updated OS results and Kaplan-Meier curves are presented below.</w:t>
      </w:r>
    </w:p>
    <w:p w:rsidR="00C95AD8" w:rsidRDefault="00C95AD8">
      <w:pPr>
        <w:spacing w:before="0" w:after="0"/>
        <w:jc w:val="left"/>
        <w:rPr>
          <w:rFonts w:ascii="Arial Narrow" w:hAnsi="Arial Narrow"/>
          <w:b/>
          <w:sz w:val="20"/>
          <w:szCs w:val="20"/>
        </w:rPr>
      </w:pPr>
    </w:p>
    <w:p w:rsidR="00C81D31" w:rsidRPr="00E17531" w:rsidRDefault="00C81D31" w:rsidP="00C81D31">
      <w:pPr>
        <w:spacing w:after="0"/>
        <w:rPr>
          <w:rFonts w:ascii="Arial Narrow" w:hAnsi="Arial Narrow"/>
          <w:b/>
          <w:sz w:val="20"/>
          <w:szCs w:val="20"/>
        </w:rPr>
      </w:pPr>
      <w:r w:rsidRPr="00E17531">
        <w:rPr>
          <w:rFonts w:ascii="Arial Narrow" w:hAnsi="Arial Narrow"/>
          <w:b/>
          <w:sz w:val="20"/>
          <w:szCs w:val="20"/>
        </w:rPr>
        <w:t xml:space="preserve">Table </w:t>
      </w:r>
      <w:r w:rsidR="0032658E" w:rsidRPr="00E17531">
        <w:rPr>
          <w:rFonts w:ascii="Arial Narrow" w:hAnsi="Arial Narrow"/>
          <w:b/>
          <w:sz w:val="20"/>
          <w:szCs w:val="20"/>
        </w:rPr>
        <w:t>7</w:t>
      </w:r>
      <w:r w:rsidRPr="00E17531">
        <w:rPr>
          <w:rFonts w:ascii="Arial Narrow" w:hAnsi="Arial Narrow"/>
          <w:b/>
          <w:sz w:val="20"/>
          <w:szCs w:val="20"/>
        </w:rPr>
        <w:t>:</w:t>
      </w:r>
      <w:r w:rsidR="007249EF" w:rsidRPr="00E17531">
        <w:rPr>
          <w:rFonts w:ascii="Arial Narrow" w:hAnsi="Arial Narrow"/>
          <w:b/>
          <w:sz w:val="20"/>
          <w:szCs w:val="20"/>
        </w:rPr>
        <w:t xml:space="preserve"> </w:t>
      </w:r>
      <w:r w:rsidR="002F6D93" w:rsidRPr="00E17531">
        <w:rPr>
          <w:rFonts w:ascii="Arial Narrow" w:hAnsi="Arial Narrow"/>
          <w:b/>
          <w:sz w:val="20"/>
          <w:szCs w:val="20"/>
        </w:rPr>
        <w:t>Further u</w:t>
      </w:r>
      <w:r w:rsidRPr="00E17531">
        <w:rPr>
          <w:rFonts w:ascii="Arial Narrow" w:hAnsi="Arial Narrow"/>
          <w:b/>
          <w:sz w:val="20"/>
          <w:szCs w:val="20"/>
        </w:rPr>
        <w:t>pdated results of OS from the final analysis of KN-024 (25 months median follow-up</w:t>
      </w:r>
      <w:r w:rsidR="006B3B74" w:rsidRPr="00E17531">
        <w:rPr>
          <w:rFonts w:ascii="Arial Narrow" w:hAnsi="Arial Narrow"/>
          <w:b/>
          <w:sz w:val="20"/>
          <w:szCs w:val="20"/>
          <w:vertAlign w:val="superscript"/>
        </w:rPr>
        <w:t>a</w:t>
      </w:r>
      <w:r w:rsidRPr="00E17531">
        <w:rPr>
          <w:rFonts w:ascii="Arial Narrow" w:hAnsi="Arial Narrow"/>
          <w:b/>
          <w:sz w:val="20"/>
          <w:szCs w:val="20"/>
        </w:rPr>
        <w:t>), ITT population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784"/>
        <w:gridCol w:w="1580"/>
        <w:gridCol w:w="1856"/>
        <w:gridCol w:w="2069"/>
        <w:gridCol w:w="1793"/>
      </w:tblGrid>
      <w:tr w:rsidR="00F644DA" w:rsidRPr="00E17531" w:rsidTr="00F644DA">
        <w:tc>
          <w:tcPr>
            <w:tcW w:w="982" w:type="pct"/>
            <w:shd w:val="clear" w:color="auto" w:fill="auto"/>
          </w:tcPr>
          <w:p w:rsidR="00F644DA" w:rsidRPr="00E17531" w:rsidRDefault="00F644DA" w:rsidP="00347DDE">
            <w:pPr>
              <w:spacing w:before="0" w:after="0"/>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Treatment</w:t>
            </w:r>
          </w:p>
        </w:tc>
        <w:tc>
          <w:tcPr>
            <w:tcW w:w="870" w:type="pct"/>
            <w:shd w:val="clear" w:color="auto" w:fill="auto"/>
          </w:tcPr>
          <w:p w:rsidR="002F6D93" w:rsidRPr="00E17531" w:rsidRDefault="002F6D93" w:rsidP="00F644DA">
            <w:pPr>
              <w:tabs>
                <w:tab w:val="left" w:pos="870"/>
              </w:tabs>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Events</w:t>
            </w:r>
          </w:p>
          <w:p w:rsidR="00F644DA" w:rsidRPr="00E17531" w:rsidRDefault="002F6D93" w:rsidP="00F644DA">
            <w:pPr>
              <w:tabs>
                <w:tab w:val="left" w:pos="870"/>
              </w:tabs>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n/</w:t>
            </w:r>
            <w:r w:rsidR="00F644DA" w:rsidRPr="00E17531">
              <w:rPr>
                <w:rFonts w:ascii="Arial Narrow" w:eastAsia="Times New Roman" w:hAnsi="Arial Narrow" w:cs="Times New Roman"/>
                <w:b/>
                <w:sz w:val="20"/>
                <w:szCs w:val="20"/>
              </w:rPr>
              <w:t>N</w:t>
            </w:r>
            <w:r w:rsidRPr="00E17531">
              <w:rPr>
                <w:rFonts w:ascii="Arial Narrow" w:eastAsia="Times New Roman" w:hAnsi="Arial Narrow" w:cs="Times New Roman"/>
                <w:b/>
                <w:sz w:val="20"/>
                <w:szCs w:val="20"/>
              </w:rPr>
              <w:t xml:space="preserve"> (%)</w:t>
            </w:r>
          </w:p>
        </w:tc>
        <w:tc>
          <w:tcPr>
            <w:tcW w:w="1022" w:type="pct"/>
            <w:shd w:val="clear" w:color="auto" w:fill="auto"/>
          </w:tcPr>
          <w:p w:rsidR="00F644DA" w:rsidRPr="00E17531" w:rsidRDefault="00F644DA" w:rsidP="00F644DA">
            <w:pPr>
              <w:keepNext/>
              <w:tabs>
                <w:tab w:val="left" w:pos="199"/>
                <w:tab w:val="center" w:pos="900"/>
              </w:tabs>
              <w:spacing w:before="0" w:after="0"/>
              <w:ind w:left="-57" w:right="-57"/>
              <w:jc w:val="left"/>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ab/>
              <w:t>OS rate at Month 12</w:t>
            </w:r>
          </w:p>
          <w:p w:rsidR="00F644DA" w:rsidRPr="00E17531" w:rsidRDefault="00F644DA" w:rsidP="00347DDE">
            <w:pPr>
              <w:spacing w:before="0" w:after="0"/>
              <w:ind w:left="-57" w:right="-57"/>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(95% CI)</w:t>
            </w:r>
          </w:p>
        </w:tc>
        <w:tc>
          <w:tcPr>
            <w:tcW w:w="1139" w:type="pct"/>
            <w:shd w:val="clear" w:color="auto" w:fill="auto"/>
          </w:tcPr>
          <w:p w:rsidR="00F644DA" w:rsidRPr="00E17531" w:rsidRDefault="00F644DA" w:rsidP="00347DDE">
            <w:pPr>
              <w:spacing w:before="0" w:after="0"/>
              <w:jc w:val="center"/>
              <w:rPr>
                <w:rFonts w:ascii="Arial Narrow" w:eastAsia="Times New Roman" w:hAnsi="Arial Narrow" w:cs="Times New Roman"/>
                <w:b/>
                <w:sz w:val="20"/>
                <w:szCs w:val="20"/>
              </w:rPr>
            </w:pPr>
            <w:r w:rsidRPr="00E17531">
              <w:rPr>
                <w:rFonts w:ascii="Arial Narrow" w:eastAsia="Times New Roman" w:hAnsi="Arial Narrow" w:cs="Times New Roman"/>
                <w:b/>
                <w:sz w:val="20"/>
                <w:szCs w:val="20"/>
              </w:rPr>
              <w:t xml:space="preserve">Median </w:t>
            </w:r>
            <w:r w:rsidR="006B3B74" w:rsidRPr="00E17531">
              <w:rPr>
                <w:rFonts w:ascii="Arial Narrow" w:eastAsia="Times New Roman" w:hAnsi="Arial Narrow" w:cs="Times New Roman"/>
                <w:b/>
                <w:sz w:val="20"/>
                <w:szCs w:val="20"/>
              </w:rPr>
              <w:t xml:space="preserve">OS </w:t>
            </w:r>
            <w:r w:rsidRPr="00E17531">
              <w:rPr>
                <w:rFonts w:ascii="Arial Narrow" w:eastAsia="Times New Roman" w:hAnsi="Arial Narrow" w:cs="Times New Roman"/>
                <w:b/>
                <w:sz w:val="20"/>
                <w:szCs w:val="20"/>
              </w:rPr>
              <w:t>(months)</w:t>
            </w:r>
            <w:r w:rsidR="006B3B74" w:rsidRPr="00E17531">
              <w:rPr>
                <w:rFonts w:ascii="Arial Narrow" w:eastAsia="Times New Roman" w:hAnsi="Arial Narrow" w:cs="Times New Roman"/>
                <w:b/>
                <w:sz w:val="20"/>
                <w:szCs w:val="20"/>
                <w:vertAlign w:val="superscript"/>
              </w:rPr>
              <w:t>b</w:t>
            </w:r>
            <w:r w:rsidRPr="00E17531">
              <w:rPr>
                <w:rFonts w:ascii="Arial Narrow" w:eastAsia="Times New Roman" w:hAnsi="Arial Narrow" w:cs="Times New Roman"/>
                <w:b/>
                <w:sz w:val="20"/>
                <w:szCs w:val="20"/>
              </w:rPr>
              <w:br/>
              <w:t>(95% CI)</w:t>
            </w:r>
          </w:p>
        </w:tc>
        <w:tc>
          <w:tcPr>
            <w:tcW w:w="987" w:type="pct"/>
            <w:shd w:val="clear" w:color="auto" w:fill="auto"/>
          </w:tcPr>
          <w:p w:rsidR="00F644DA" w:rsidRPr="00E17531" w:rsidRDefault="00F644DA" w:rsidP="00347DDE">
            <w:pPr>
              <w:keepNext/>
              <w:spacing w:before="0" w:after="0"/>
              <w:jc w:val="center"/>
              <w:rPr>
                <w:rFonts w:ascii="Arial Narrow" w:eastAsia="Times New Roman" w:hAnsi="Arial Narrow" w:cs="Times New Roman"/>
                <w:b/>
                <w:sz w:val="20"/>
                <w:szCs w:val="20"/>
                <w:vertAlign w:val="superscript"/>
                <w:lang w:eastAsia="en-GB"/>
              </w:rPr>
            </w:pPr>
            <w:r w:rsidRPr="00E17531">
              <w:rPr>
                <w:rFonts w:ascii="Arial Narrow" w:eastAsia="Times New Roman" w:hAnsi="Arial Narrow" w:cs="Times New Roman"/>
                <w:b/>
                <w:sz w:val="20"/>
                <w:szCs w:val="20"/>
                <w:lang w:eastAsia="en-GB"/>
              </w:rPr>
              <w:t>HR</w:t>
            </w:r>
            <w:r w:rsidR="006B3B74" w:rsidRPr="00E17531">
              <w:rPr>
                <w:rFonts w:ascii="Arial Narrow" w:eastAsia="Times New Roman" w:hAnsi="Arial Narrow" w:cs="Times New Roman"/>
                <w:b/>
                <w:sz w:val="20"/>
                <w:szCs w:val="20"/>
                <w:vertAlign w:val="superscript"/>
                <w:lang w:eastAsia="en-GB"/>
              </w:rPr>
              <w:t>c</w:t>
            </w:r>
            <w:r w:rsidRPr="00E17531">
              <w:rPr>
                <w:rFonts w:ascii="Arial Narrow" w:eastAsia="Times New Roman" w:hAnsi="Arial Narrow" w:cs="Times New Roman"/>
                <w:b/>
                <w:sz w:val="20"/>
                <w:szCs w:val="20"/>
                <w:lang w:eastAsia="en-GB"/>
              </w:rPr>
              <w:t xml:space="preserve"> (95% CI)</w:t>
            </w:r>
          </w:p>
          <w:p w:rsidR="00F644DA" w:rsidRPr="00E17531" w:rsidRDefault="00F644DA" w:rsidP="00347DDE">
            <w:pPr>
              <w:spacing w:before="0" w:after="0"/>
              <w:jc w:val="center"/>
              <w:rPr>
                <w:rFonts w:ascii="Arial Narrow" w:eastAsia="Times New Roman" w:hAnsi="Arial Narrow" w:cs="Times New Roman"/>
                <w:b/>
                <w:sz w:val="20"/>
                <w:szCs w:val="20"/>
                <w:vertAlign w:val="superscript"/>
              </w:rPr>
            </w:pPr>
            <w:r w:rsidRPr="00E17531">
              <w:rPr>
                <w:rFonts w:ascii="Arial Narrow" w:eastAsia="Times New Roman" w:hAnsi="Arial Narrow" w:cs="Times New Roman"/>
                <w:b/>
                <w:sz w:val="20"/>
                <w:szCs w:val="20"/>
                <w:lang w:eastAsia="en-GB"/>
              </w:rPr>
              <w:t>p-value</w:t>
            </w:r>
            <w:r w:rsidR="006B3B74" w:rsidRPr="00E17531">
              <w:rPr>
                <w:rFonts w:ascii="Arial Narrow" w:eastAsia="Times New Roman" w:hAnsi="Arial Narrow" w:cs="Times New Roman"/>
                <w:b/>
                <w:sz w:val="20"/>
                <w:szCs w:val="20"/>
                <w:vertAlign w:val="superscript"/>
                <w:lang w:eastAsia="en-GB"/>
              </w:rPr>
              <w:t>d</w:t>
            </w:r>
          </w:p>
        </w:tc>
      </w:tr>
      <w:tr w:rsidR="00C81D31" w:rsidRPr="00E17531" w:rsidTr="00F644DA">
        <w:tc>
          <w:tcPr>
            <w:tcW w:w="982" w:type="pct"/>
            <w:shd w:val="clear" w:color="auto" w:fill="auto"/>
            <w:vAlign w:val="center"/>
          </w:tcPr>
          <w:p w:rsidR="00C81D31" w:rsidRPr="00E17531" w:rsidRDefault="00C81D31" w:rsidP="00347DDE">
            <w:pPr>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Pembrolizumab</w:t>
            </w:r>
          </w:p>
        </w:tc>
        <w:tc>
          <w:tcPr>
            <w:tcW w:w="870" w:type="pct"/>
            <w:shd w:val="clear" w:color="auto" w:fill="auto"/>
            <w:vAlign w:val="center"/>
          </w:tcPr>
          <w:p w:rsidR="00C81D31" w:rsidRPr="00E17531" w:rsidRDefault="00C81D31" w:rsidP="00347DDE">
            <w:pPr>
              <w:keepNext/>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73/154 (47.4%)</w:t>
            </w:r>
          </w:p>
        </w:tc>
        <w:tc>
          <w:tcPr>
            <w:tcW w:w="1022" w:type="pct"/>
            <w:shd w:val="clear" w:color="auto" w:fill="auto"/>
            <w:vAlign w:val="center"/>
          </w:tcPr>
          <w:p w:rsidR="00C81D31" w:rsidRPr="0099683E" w:rsidRDefault="00C81D31" w:rsidP="00C81D31">
            <w:pPr>
              <w:keepNext/>
              <w:spacing w:before="0" w:after="0"/>
              <w:jc w:val="center"/>
              <w:rPr>
                <w:rFonts w:ascii="Arial Narrow" w:eastAsia="Times New Roman" w:hAnsi="Arial Narrow" w:cs="Times New Roman"/>
                <w:sz w:val="20"/>
                <w:szCs w:val="20"/>
              </w:rPr>
            </w:pPr>
            <w:r w:rsidRPr="0099683E">
              <w:rPr>
                <w:rFonts w:ascii="Arial Narrow" w:eastAsia="Times New Roman" w:hAnsi="Arial Narrow" w:cs="Times New Roman"/>
                <w:sz w:val="20"/>
                <w:szCs w:val="20"/>
              </w:rPr>
              <w:t>70.3%</w:t>
            </w:r>
          </w:p>
          <w:p w:rsidR="00C81D31" w:rsidRPr="00E61B46" w:rsidRDefault="00E61B46" w:rsidP="00C81D31">
            <w:pPr>
              <w:keepNext/>
              <w:spacing w:before="0" w:after="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39" w:type="pct"/>
            <w:shd w:val="clear" w:color="auto" w:fill="auto"/>
            <w:vAlign w:val="center"/>
          </w:tcPr>
          <w:p w:rsidR="00C81D31" w:rsidRPr="00E17531" w:rsidRDefault="00CE4792" w:rsidP="00C81D31">
            <w:pPr>
              <w:keepNext/>
              <w:spacing w:before="0" w:after="0"/>
              <w:jc w:val="center"/>
              <w:rPr>
                <w:rFonts w:ascii="Arial Narrow" w:hAnsi="Arial Narrow" w:cs="Arial"/>
                <w:sz w:val="20"/>
                <w:szCs w:val="20"/>
              </w:rPr>
            </w:pPr>
            <w:r w:rsidRPr="00E17531">
              <w:rPr>
                <w:rFonts w:ascii="Arial Narrow" w:hAnsi="Arial Narrow" w:cs="Arial"/>
                <w:sz w:val="20"/>
                <w:szCs w:val="20"/>
              </w:rPr>
              <w:t>30.0</w:t>
            </w:r>
          </w:p>
          <w:p w:rsidR="00C81D31" w:rsidRPr="00E17531" w:rsidRDefault="00C81D31" w:rsidP="002F6D93">
            <w:pPr>
              <w:keepNext/>
              <w:spacing w:before="0" w:after="0"/>
              <w:jc w:val="center"/>
              <w:rPr>
                <w:rFonts w:ascii="Arial Narrow" w:eastAsia="Times New Roman" w:hAnsi="Arial Narrow" w:cs="Times New Roman"/>
                <w:sz w:val="20"/>
                <w:szCs w:val="20"/>
                <w:vertAlign w:val="superscript"/>
              </w:rPr>
            </w:pPr>
            <w:r w:rsidRPr="00E17531">
              <w:rPr>
                <w:rFonts w:ascii="Arial Narrow" w:hAnsi="Arial Narrow" w:cs="Arial"/>
                <w:sz w:val="20"/>
                <w:szCs w:val="20"/>
              </w:rPr>
              <w:t xml:space="preserve">(18.3, </w:t>
            </w:r>
            <w:r w:rsidR="002F6D93" w:rsidRPr="00E17531">
              <w:rPr>
                <w:rFonts w:ascii="Arial Narrow" w:hAnsi="Arial Narrow" w:cs="Arial"/>
                <w:sz w:val="20"/>
                <w:szCs w:val="20"/>
              </w:rPr>
              <w:t>not reached</w:t>
            </w:r>
            <w:r w:rsidRPr="00E17531">
              <w:rPr>
                <w:rFonts w:ascii="Arial Narrow" w:hAnsi="Arial Narrow" w:cs="Arial"/>
                <w:sz w:val="20"/>
                <w:szCs w:val="20"/>
              </w:rPr>
              <w:t>)</w:t>
            </w:r>
          </w:p>
        </w:tc>
        <w:tc>
          <w:tcPr>
            <w:tcW w:w="987" w:type="pct"/>
            <w:vMerge w:val="restart"/>
            <w:shd w:val="clear" w:color="auto" w:fill="auto"/>
            <w:vAlign w:val="center"/>
          </w:tcPr>
          <w:p w:rsidR="00C81D31" w:rsidRPr="00E17531" w:rsidRDefault="00C81D31" w:rsidP="00347DDE">
            <w:pPr>
              <w:spacing w:before="0" w:after="0"/>
              <w:jc w:val="center"/>
              <w:rPr>
                <w:rFonts w:ascii="Arial Narrow" w:hAnsi="Arial Narrow" w:cs="Arial"/>
                <w:sz w:val="20"/>
                <w:szCs w:val="20"/>
              </w:rPr>
            </w:pPr>
            <w:r w:rsidRPr="00E17531">
              <w:rPr>
                <w:rFonts w:ascii="Arial Narrow" w:hAnsi="Arial Narrow" w:cs="Arial"/>
                <w:sz w:val="20"/>
                <w:szCs w:val="20"/>
              </w:rPr>
              <w:t>0.63 (0.47, 0.86)</w:t>
            </w:r>
          </w:p>
          <w:p w:rsidR="00C81D31" w:rsidRPr="00E17531" w:rsidRDefault="00C81D31" w:rsidP="00347DDE">
            <w:pPr>
              <w:spacing w:before="0" w:after="0"/>
              <w:jc w:val="center"/>
              <w:rPr>
                <w:rFonts w:ascii="Arial Narrow" w:eastAsia="Times New Roman" w:hAnsi="Arial Narrow" w:cs="Times New Roman"/>
                <w:sz w:val="20"/>
                <w:szCs w:val="20"/>
              </w:rPr>
            </w:pPr>
            <w:r w:rsidRPr="00E17531">
              <w:rPr>
                <w:rFonts w:ascii="Arial Narrow" w:hAnsi="Arial Narrow" w:cs="Arial"/>
                <w:sz w:val="20"/>
                <w:szCs w:val="20"/>
              </w:rPr>
              <w:t>p = 0.002</w:t>
            </w:r>
          </w:p>
        </w:tc>
      </w:tr>
      <w:tr w:rsidR="00C81D31" w:rsidRPr="00E17531" w:rsidTr="00F644DA">
        <w:tc>
          <w:tcPr>
            <w:tcW w:w="982" w:type="pct"/>
            <w:shd w:val="clear" w:color="auto" w:fill="auto"/>
            <w:vAlign w:val="center"/>
          </w:tcPr>
          <w:p w:rsidR="00C81D31" w:rsidRPr="00E17531" w:rsidRDefault="00C81D31" w:rsidP="00347DDE">
            <w:pPr>
              <w:spacing w:before="0" w:after="0"/>
              <w:jc w:val="left"/>
              <w:rPr>
                <w:rFonts w:ascii="Arial Narrow" w:eastAsia="Times New Roman" w:hAnsi="Arial Narrow" w:cs="Times New Roman"/>
                <w:sz w:val="20"/>
                <w:szCs w:val="20"/>
              </w:rPr>
            </w:pPr>
            <w:r w:rsidRPr="00E17531">
              <w:rPr>
                <w:rFonts w:ascii="Arial Narrow" w:eastAsia="Times New Roman" w:hAnsi="Arial Narrow" w:cs="Times New Roman"/>
                <w:sz w:val="20"/>
                <w:szCs w:val="20"/>
              </w:rPr>
              <w:t>Chemotherapy</w:t>
            </w:r>
          </w:p>
        </w:tc>
        <w:tc>
          <w:tcPr>
            <w:tcW w:w="870" w:type="pct"/>
            <w:shd w:val="clear" w:color="auto" w:fill="auto"/>
            <w:vAlign w:val="center"/>
          </w:tcPr>
          <w:p w:rsidR="00C81D31" w:rsidRPr="00E17531" w:rsidRDefault="00C81D31" w:rsidP="00347DDE">
            <w:pPr>
              <w:spacing w:before="0" w:after="0"/>
              <w:jc w:val="center"/>
              <w:rPr>
                <w:rFonts w:ascii="Arial Narrow" w:eastAsia="Times New Roman" w:hAnsi="Arial Narrow" w:cs="Times New Roman"/>
                <w:sz w:val="20"/>
                <w:szCs w:val="20"/>
              </w:rPr>
            </w:pPr>
            <w:r w:rsidRPr="00E17531">
              <w:rPr>
                <w:rFonts w:ascii="Arial Narrow" w:eastAsia="Times New Roman" w:hAnsi="Arial Narrow" w:cs="Times New Roman"/>
                <w:sz w:val="20"/>
                <w:szCs w:val="20"/>
              </w:rPr>
              <w:t>96/151 (63.6%)</w:t>
            </w:r>
          </w:p>
        </w:tc>
        <w:tc>
          <w:tcPr>
            <w:tcW w:w="1022" w:type="pct"/>
            <w:shd w:val="clear" w:color="auto" w:fill="auto"/>
            <w:vAlign w:val="center"/>
          </w:tcPr>
          <w:p w:rsidR="00C81D31" w:rsidRPr="0099683E" w:rsidRDefault="00C81D31" w:rsidP="00C81D31">
            <w:pPr>
              <w:spacing w:before="0" w:after="0"/>
              <w:jc w:val="center"/>
              <w:rPr>
                <w:rFonts w:ascii="Arial Narrow" w:eastAsia="Times New Roman" w:hAnsi="Arial Narrow" w:cs="Times New Roman"/>
                <w:sz w:val="20"/>
                <w:szCs w:val="20"/>
              </w:rPr>
            </w:pPr>
            <w:r w:rsidRPr="0099683E">
              <w:rPr>
                <w:rFonts w:ascii="Arial Narrow" w:eastAsia="Times New Roman" w:hAnsi="Arial Narrow" w:cs="Times New Roman"/>
                <w:sz w:val="20"/>
                <w:szCs w:val="20"/>
              </w:rPr>
              <w:t>54.8%</w:t>
            </w:r>
          </w:p>
          <w:p w:rsidR="00C81D31" w:rsidRPr="00E61B46" w:rsidRDefault="00E61B46" w:rsidP="00C81D31">
            <w:pPr>
              <w:spacing w:before="0" w:after="0"/>
              <w:jc w:val="center"/>
              <w:rPr>
                <w:rFonts w:ascii="Arial Narrow" w:eastAsia="Times New Roman" w:hAnsi="Arial Narrow" w:cs="Times New Roman"/>
                <w:sz w:val="20"/>
                <w:szCs w:val="20"/>
                <w:highlight w:val="black"/>
              </w:rPr>
            </w:pPr>
            <w:r>
              <w:rPr>
                <w:rFonts w:ascii="Arial Narrow" w:eastAsia="Times New Roman" w:hAnsi="Arial Narrow" w:cs="Times New Roman"/>
                <w:noProof/>
                <w:color w:val="000000"/>
                <w:sz w:val="20"/>
                <w:szCs w:val="20"/>
                <w:highlight w:val="black"/>
              </w:rPr>
              <w:t>'''''''''''''''''' '''''''''''''''''</w:t>
            </w:r>
          </w:p>
        </w:tc>
        <w:tc>
          <w:tcPr>
            <w:tcW w:w="1139" w:type="pct"/>
            <w:shd w:val="clear" w:color="auto" w:fill="auto"/>
            <w:vAlign w:val="center"/>
          </w:tcPr>
          <w:p w:rsidR="00C81D31" w:rsidRPr="00E17531" w:rsidRDefault="00C81D31" w:rsidP="00F644DA">
            <w:pPr>
              <w:spacing w:before="0" w:after="0"/>
              <w:jc w:val="center"/>
              <w:rPr>
                <w:rFonts w:ascii="Arial Narrow" w:hAnsi="Arial Narrow" w:cs="Arial"/>
                <w:sz w:val="20"/>
                <w:szCs w:val="20"/>
              </w:rPr>
            </w:pPr>
            <w:r w:rsidRPr="00E17531">
              <w:rPr>
                <w:rFonts w:ascii="Arial Narrow" w:hAnsi="Arial Narrow" w:cs="Arial"/>
                <w:sz w:val="20"/>
                <w:szCs w:val="20"/>
              </w:rPr>
              <w:t xml:space="preserve">14.2 </w:t>
            </w:r>
          </w:p>
          <w:p w:rsidR="00C81D31" w:rsidRPr="00E17531" w:rsidRDefault="00C81D31" w:rsidP="00F644DA">
            <w:pPr>
              <w:spacing w:before="0" w:after="0"/>
              <w:jc w:val="center"/>
              <w:rPr>
                <w:rFonts w:ascii="Arial Narrow" w:eastAsia="Times New Roman" w:hAnsi="Arial Narrow" w:cs="Times New Roman"/>
                <w:sz w:val="20"/>
                <w:szCs w:val="20"/>
              </w:rPr>
            </w:pPr>
            <w:r w:rsidRPr="00E17531">
              <w:rPr>
                <w:rFonts w:ascii="Arial Narrow" w:hAnsi="Arial Narrow" w:cs="Arial"/>
                <w:sz w:val="20"/>
                <w:szCs w:val="20"/>
              </w:rPr>
              <w:t>(9.8, 19.0)</w:t>
            </w:r>
          </w:p>
        </w:tc>
        <w:tc>
          <w:tcPr>
            <w:tcW w:w="987" w:type="pct"/>
            <w:vMerge/>
            <w:shd w:val="clear" w:color="auto" w:fill="auto"/>
            <w:vAlign w:val="center"/>
          </w:tcPr>
          <w:p w:rsidR="00C81D31" w:rsidRPr="00E17531" w:rsidRDefault="00C81D31" w:rsidP="00347DDE">
            <w:pPr>
              <w:spacing w:before="0" w:after="0"/>
              <w:jc w:val="center"/>
              <w:rPr>
                <w:rFonts w:ascii="Arial Narrow" w:eastAsia="Times New Roman" w:hAnsi="Arial Narrow" w:cs="Times New Roman"/>
                <w:sz w:val="20"/>
                <w:szCs w:val="20"/>
              </w:rPr>
            </w:pPr>
          </w:p>
        </w:tc>
      </w:tr>
    </w:tbl>
    <w:p w:rsidR="006B3B74" w:rsidRPr="00E17531" w:rsidRDefault="006B3B74" w:rsidP="006B3B74">
      <w:pPr>
        <w:pStyle w:val="TableFooter"/>
      </w:pPr>
      <w:r w:rsidRPr="00E17531">
        <w:t>CI = confidence interval; HR = hazard ratio; ITT = intention-to-treat; OS = overall survival</w:t>
      </w:r>
    </w:p>
    <w:p w:rsidR="006B3B74" w:rsidRPr="00E17531" w:rsidRDefault="006B3B74" w:rsidP="006B3B74">
      <w:pPr>
        <w:pStyle w:val="TableFooter"/>
      </w:pPr>
      <w:r w:rsidRPr="00E17531">
        <w:rPr>
          <w:vertAlign w:val="superscript"/>
        </w:rPr>
        <w:t>a</w:t>
      </w:r>
      <w:r w:rsidRPr="00E17531">
        <w:t xml:space="preserve"> Database cut-off date: 10 July 2017</w:t>
      </w:r>
    </w:p>
    <w:p w:rsidR="006B3B74" w:rsidRPr="00E17531" w:rsidRDefault="006B3B74" w:rsidP="006B3B74">
      <w:pPr>
        <w:pStyle w:val="TableFooter"/>
      </w:pPr>
      <w:r w:rsidRPr="00E17531">
        <w:rPr>
          <w:vertAlign w:val="superscript"/>
        </w:rPr>
        <w:t>b</w:t>
      </w:r>
      <w:r w:rsidRPr="00E17531">
        <w:t xml:space="preserve"> From product-limit (Kaplan-Meier) method for censored data.</w:t>
      </w:r>
    </w:p>
    <w:p w:rsidR="006B3B74" w:rsidRPr="00E17531" w:rsidRDefault="006B3B74" w:rsidP="006B3B74">
      <w:pPr>
        <w:pStyle w:val="TableFooter"/>
      </w:pPr>
      <w:r w:rsidRPr="00E17531">
        <w:rPr>
          <w:vertAlign w:val="superscript"/>
        </w:rPr>
        <w:t>c</w:t>
      </w:r>
      <w:r w:rsidRPr="00E17531">
        <w:t xml:space="preserve"> Pembrolizumab vs chemotherapy. Based on Cox regression model with treatment as a covariate stratified by geographic region (East Asia vs non-East Asia), performance status (0 vs 1) and histology (squamous vs non-squamous).</w:t>
      </w:r>
    </w:p>
    <w:p w:rsidR="006B3B74" w:rsidRPr="00E17531" w:rsidRDefault="006B3B74" w:rsidP="006B3B74">
      <w:pPr>
        <w:pStyle w:val="TableFooter"/>
      </w:pPr>
      <w:r w:rsidRPr="00E17531">
        <w:rPr>
          <w:vertAlign w:val="superscript"/>
        </w:rPr>
        <w:t>d</w:t>
      </w:r>
      <w:r w:rsidRPr="00E17531">
        <w:t xml:space="preserve"> One-sided p-value based on log-rank test.</w:t>
      </w:r>
    </w:p>
    <w:p w:rsidR="006B3B74" w:rsidRPr="00E17531" w:rsidRDefault="006B3B74" w:rsidP="006B3B74">
      <w:pPr>
        <w:pStyle w:val="TableFooter"/>
      </w:pPr>
      <w:r w:rsidRPr="00E17531">
        <w:t>Source: Table 1, p9 of the PSCR</w:t>
      </w:r>
    </w:p>
    <w:p w:rsidR="0047180F" w:rsidRPr="00E17531" w:rsidRDefault="0047180F" w:rsidP="00AD25EE">
      <w:pPr>
        <w:pStyle w:val="TableHeading"/>
        <w:rPr>
          <w:rFonts w:ascii="Calibri" w:hAnsi="Calibri"/>
          <w:i/>
        </w:rPr>
      </w:pPr>
      <w:r w:rsidRPr="00E17531">
        <w:t xml:space="preserve">Figure </w:t>
      </w:r>
      <w:r w:rsidR="004C0962" w:rsidRPr="00E17531">
        <w:t>2</w:t>
      </w:r>
      <w:r w:rsidRPr="00E17531">
        <w:t xml:space="preserve">: </w:t>
      </w:r>
      <w:r w:rsidR="007249EF" w:rsidRPr="00E17531">
        <w:t xml:space="preserve"> </w:t>
      </w:r>
      <w:r w:rsidRPr="00E17531">
        <w:t xml:space="preserve">Kaplan-Meier </w:t>
      </w:r>
      <w:r w:rsidR="002F6D93" w:rsidRPr="00E17531">
        <w:t xml:space="preserve">plot </w:t>
      </w:r>
      <w:r w:rsidRPr="00E17531">
        <w:t>of OS (25 months median follow-up</w:t>
      </w:r>
      <w:r w:rsidRPr="00E17531">
        <w:rPr>
          <w:vertAlign w:val="superscript"/>
        </w:rPr>
        <w:t>a</w:t>
      </w:r>
      <w:r w:rsidRPr="00E17531">
        <w:t>), ITT population</w:t>
      </w:r>
    </w:p>
    <w:p w:rsidR="00D47823" w:rsidRPr="00E17531" w:rsidRDefault="00C81D31" w:rsidP="00F644DA">
      <w:r w:rsidRPr="00E17531">
        <w:rPr>
          <w:noProof/>
          <w:lang w:eastAsia="en-AU"/>
        </w:rPr>
        <w:drawing>
          <wp:inline distT="0" distB="0" distL="0" distR="0" wp14:anchorId="333F07C6" wp14:editId="141A0DC6">
            <wp:extent cx="5688419" cy="3093108"/>
            <wp:effectExtent l="0" t="0" r="7620" b="0"/>
            <wp:docPr id="1" name="Picture 1" title="Figure 2:  Kaplan-Meier plot of OS (25 months median follow-upa),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98888" cy="3098800"/>
                    </a:xfrm>
                    <a:prstGeom prst="rect">
                      <a:avLst/>
                    </a:prstGeom>
                  </pic:spPr>
                </pic:pic>
              </a:graphicData>
            </a:graphic>
          </wp:inline>
        </w:drawing>
      </w:r>
    </w:p>
    <w:p w:rsidR="006B3B74" w:rsidRPr="00E17531" w:rsidRDefault="006B3B74" w:rsidP="006B3B74">
      <w:pPr>
        <w:pStyle w:val="TableFooter"/>
      </w:pPr>
      <w:r w:rsidRPr="00E17531">
        <w:t>ITT = intention-to-treat; OS = overall survival; SOC = standard of care</w:t>
      </w:r>
    </w:p>
    <w:p w:rsidR="006B3B74" w:rsidRPr="00E17531" w:rsidRDefault="006B3B74" w:rsidP="006B3B74">
      <w:pPr>
        <w:pStyle w:val="TableFooter"/>
      </w:pPr>
      <w:r w:rsidRPr="00E17531">
        <w:rPr>
          <w:vertAlign w:val="superscript"/>
        </w:rPr>
        <w:t>a</w:t>
      </w:r>
      <w:r w:rsidRPr="00E17531">
        <w:t xml:space="preserve"> Database cut-off date: 10 July 2017</w:t>
      </w:r>
    </w:p>
    <w:p w:rsidR="006B3B74" w:rsidRPr="00E17531" w:rsidRDefault="006B3B74" w:rsidP="006B3B74">
      <w:pPr>
        <w:pStyle w:val="TableFooter"/>
      </w:pPr>
      <w:r w:rsidRPr="00E17531">
        <w:t>Source: Figure 1, p10 of the PSCR</w:t>
      </w:r>
    </w:p>
    <w:p w:rsidR="004D6069" w:rsidRPr="00E17531" w:rsidRDefault="00653F82" w:rsidP="008817F8">
      <w:pPr>
        <w:pStyle w:val="ListParagraph"/>
        <w:numPr>
          <w:ilvl w:val="4"/>
          <w:numId w:val="5"/>
        </w:numPr>
        <w:spacing w:before="0" w:after="120"/>
        <w:ind w:left="709" w:hanging="709"/>
        <w:rPr>
          <w:color w:val="auto"/>
        </w:rPr>
      </w:pPr>
      <w:r w:rsidRPr="00E17531">
        <w:rPr>
          <w:color w:val="auto"/>
        </w:rPr>
        <w:t>The PSCR (p1) stated that the OS benefit of pembrolizumab relative to platinum</w:t>
      </w:r>
      <w:r w:rsidR="00055388">
        <w:rPr>
          <w:color w:val="auto"/>
        </w:rPr>
        <w:t>-based</w:t>
      </w:r>
      <w:r w:rsidRPr="00E17531">
        <w:rPr>
          <w:color w:val="auto"/>
        </w:rPr>
        <w:t xml:space="preserve"> doublet </w:t>
      </w:r>
      <w:r w:rsidR="00055388">
        <w:rPr>
          <w:color w:val="auto"/>
        </w:rPr>
        <w:t xml:space="preserve">chemotherapy </w:t>
      </w:r>
      <w:r w:rsidRPr="00E17531">
        <w:rPr>
          <w:color w:val="auto"/>
        </w:rPr>
        <w:t>was maintained in the final analysis of the KN-024 trial. The</w:t>
      </w:r>
      <w:r w:rsidR="00B014C9" w:rsidRPr="00E17531">
        <w:rPr>
          <w:color w:val="auto"/>
        </w:rPr>
        <w:t xml:space="preserve"> Economic Sub-committee of the PBAC and Evaluation Sub-committee of MSAC</w:t>
      </w:r>
      <w:r w:rsidRPr="00E17531">
        <w:rPr>
          <w:color w:val="auto"/>
        </w:rPr>
        <w:t xml:space="preserve"> </w:t>
      </w:r>
      <w:r w:rsidR="00B014C9" w:rsidRPr="00E17531">
        <w:rPr>
          <w:color w:val="auto"/>
        </w:rPr>
        <w:lastRenderedPageBreak/>
        <w:t>(</w:t>
      </w:r>
      <w:r w:rsidRPr="00E17531">
        <w:rPr>
          <w:color w:val="auto"/>
        </w:rPr>
        <w:t>ESC</w:t>
      </w:r>
      <w:r w:rsidR="00347DDE" w:rsidRPr="00E17531">
        <w:rPr>
          <w:color w:val="auto"/>
        </w:rPr>
        <w:t>s</w:t>
      </w:r>
      <w:r w:rsidR="00B014C9" w:rsidRPr="00E17531">
        <w:rPr>
          <w:color w:val="auto"/>
        </w:rPr>
        <w:t>)</w:t>
      </w:r>
      <w:r w:rsidRPr="00E17531">
        <w:rPr>
          <w:color w:val="auto"/>
        </w:rPr>
        <w:t xml:space="preserve"> noted that the updated data is consistent with the results presented in the resubmission, from 19 months median follow-up. However, the ESC</w:t>
      </w:r>
      <w:r w:rsidR="00347DDE" w:rsidRPr="00E17531">
        <w:rPr>
          <w:color w:val="auto"/>
        </w:rPr>
        <w:t>s</w:t>
      </w:r>
      <w:r w:rsidRPr="00E17531">
        <w:rPr>
          <w:color w:val="auto"/>
        </w:rPr>
        <w:t xml:space="preserve"> </w:t>
      </w:r>
      <w:r w:rsidR="008934D1" w:rsidRPr="00E17531">
        <w:rPr>
          <w:color w:val="auto"/>
        </w:rPr>
        <w:t xml:space="preserve">also </w:t>
      </w:r>
      <w:r w:rsidRPr="00E17531">
        <w:rPr>
          <w:color w:val="auto"/>
        </w:rPr>
        <w:t>noted that</w:t>
      </w:r>
      <w:r w:rsidR="00EB0CEA" w:rsidRPr="00E17531">
        <w:rPr>
          <w:color w:val="auto"/>
        </w:rPr>
        <w:t>,</w:t>
      </w:r>
      <w:r w:rsidRPr="00E17531">
        <w:rPr>
          <w:color w:val="auto"/>
        </w:rPr>
        <w:t xml:space="preserve"> although the median duration of follow-up ha</w:t>
      </w:r>
      <w:r w:rsidR="00EB0CEA" w:rsidRPr="00E17531">
        <w:rPr>
          <w:color w:val="auto"/>
        </w:rPr>
        <w:t>d</w:t>
      </w:r>
      <w:r w:rsidRPr="00E17531">
        <w:rPr>
          <w:color w:val="auto"/>
        </w:rPr>
        <w:t xml:space="preserve"> increased to 25 months, less than half of the patients in the pembrolizumab arm </w:t>
      </w:r>
      <w:r w:rsidR="00EB0CEA" w:rsidRPr="00E17531">
        <w:rPr>
          <w:color w:val="auto"/>
        </w:rPr>
        <w:t xml:space="preserve">had </w:t>
      </w:r>
      <w:r w:rsidRPr="00E17531">
        <w:rPr>
          <w:color w:val="auto"/>
        </w:rPr>
        <w:t>died during the period</w:t>
      </w:r>
      <w:r w:rsidR="00EB0CEA" w:rsidRPr="00E17531">
        <w:rPr>
          <w:color w:val="auto"/>
        </w:rPr>
        <w:t xml:space="preserve"> of </w:t>
      </w:r>
      <w:r w:rsidR="005D62F2" w:rsidRPr="00E17531">
        <w:rPr>
          <w:color w:val="auto"/>
        </w:rPr>
        <w:t>follow-up</w:t>
      </w:r>
      <w:r w:rsidRPr="00E17531">
        <w:rPr>
          <w:color w:val="auto"/>
        </w:rPr>
        <w:t>. The OS data, therefore, remain</w:t>
      </w:r>
      <w:r w:rsidR="008934D1" w:rsidRPr="00E17531">
        <w:rPr>
          <w:color w:val="auto"/>
        </w:rPr>
        <w:t>ed</w:t>
      </w:r>
      <w:r w:rsidRPr="00E17531">
        <w:rPr>
          <w:color w:val="auto"/>
        </w:rPr>
        <w:t xml:space="preserve"> immature to reliably estimate the long-term survival benefits of pembrolizumab versus platinum-based doublet chemotherapy in the proposed target population.</w:t>
      </w:r>
    </w:p>
    <w:p w:rsidR="00013E26" w:rsidRPr="00E17531" w:rsidRDefault="004D6069" w:rsidP="008817F8">
      <w:pPr>
        <w:pStyle w:val="ListParagraph"/>
        <w:numPr>
          <w:ilvl w:val="4"/>
          <w:numId w:val="5"/>
        </w:numPr>
        <w:spacing w:before="0" w:after="120"/>
        <w:ind w:left="709" w:hanging="709"/>
        <w:rPr>
          <w:color w:val="auto"/>
        </w:rPr>
      </w:pPr>
      <w:r w:rsidRPr="00E17531">
        <w:rPr>
          <w:color w:val="auto"/>
        </w:rPr>
        <w:t>The PSCR (p9) further provided survival outcomes for 1) PD-1/PD-L1 inhibitors in the second</w:t>
      </w:r>
      <w:r w:rsidR="00E3492A" w:rsidRPr="00E17531">
        <w:rPr>
          <w:color w:val="auto"/>
        </w:rPr>
        <w:t>-</w:t>
      </w:r>
      <w:r w:rsidRPr="00E17531">
        <w:rPr>
          <w:color w:val="auto"/>
        </w:rPr>
        <w:t>line setting, 2) other targeted therapies for non-small cell lung cancer, and 3) pembrolizumab in melanoma patients, as “context” for the results from KN-024. The ESCs considered that a comparison of the OS results from KN-024 with the OS results for pembrolizumab or other targeted therapies for treatment of other indications could not help resolve the concern regarding the uncertainty surrounding the cost-effectiveness associated with the proposed listing of PD-L1 testing and pembrolizumab relative to the current standard of care, namely no testing + platinum-based doublet chemotherapy.</w:t>
      </w:r>
    </w:p>
    <w:p w:rsidR="004741F3" w:rsidRPr="00E17531" w:rsidRDefault="004741F3" w:rsidP="008817F8">
      <w:pPr>
        <w:pStyle w:val="ListParagraph"/>
        <w:numPr>
          <w:ilvl w:val="4"/>
          <w:numId w:val="5"/>
        </w:numPr>
        <w:spacing w:before="0" w:after="120"/>
        <w:ind w:left="709" w:hanging="709"/>
        <w:rPr>
          <w:color w:val="auto"/>
        </w:rPr>
      </w:pPr>
      <w:r w:rsidRPr="00E17531">
        <w:rPr>
          <w:color w:val="auto"/>
        </w:rPr>
        <w:t>The pre-PBAC response (p1) argued that</w:t>
      </w:r>
      <w:r w:rsidR="00AD25EE" w:rsidRPr="00E17531">
        <w:rPr>
          <w:color w:val="auto"/>
        </w:rPr>
        <w:t>,</w:t>
      </w:r>
      <w:r w:rsidRPr="00E17531">
        <w:rPr>
          <w:color w:val="auto"/>
        </w:rPr>
        <w:t xml:space="preserve"> for a setting where the historical median survival was approximately 12 months</w:t>
      </w:r>
      <w:r w:rsidRPr="00E17531">
        <w:rPr>
          <w:color w:val="auto"/>
          <w:vertAlign w:val="superscript"/>
        </w:rPr>
        <w:footnoteReference w:id="3"/>
      </w:r>
      <w:r w:rsidRPr="00E17531">
        <w:rPr>
          <w:color w:val="auto"/>
        </w:rPr>
        <w:t xml:space="preserve">, the median survival of 30 months in the pembrolizumab arm of KN-024 represents a dramatic improvement in patient outcomes which reflects the durable efficacy of pembrolizumab. The pre-PBAC response stated that the consistency in OS results from different data-cuts (HR = 0.63 </w:t>
      </w:r>
      <w:r w:rsidR="00007EA6" w:rsidRPr="00E17531">
        <w:rPr>
          <w:color w:val="auto"/>
        </w:rPr>
        <w:t>[</w:t>
      </w:r>
      <w:r w:rsidRPr="00E17531">
        <w:rPr>
          <w:color w:val="auto"/>
        </w:rPr>
        <w:t>95% CI 0.46, 0.88</w:t>
      </w:r>
      <w:r w:rsidR="00007EA6" w:rsidRPr="00E17531">
        <w:rPr>
          <w:color w:val="auto"/>
        </w:rPr>
        <w:t>]</w:t>
      </w:r>
      <w:r w:rsidRPr="00E17531">
        <w:rPr>
          <w:color w:val="auto"/>
        </w:rPr>
        <w:t xml:space="preserve"> at 19 months, vs HR = 0.63 </w:t>
      </w:r>
      <w:r w:rsidR="00007EA6" w:rsidRPr="00E17531">
        <w:rPr>
          <w:color w:val="auto"/>
        </w:rPr>
        <w:t>[</w:t>
      </w:r>
      <w:r w:rsidRPr="00E17531">
        <w:rPr>
          <w:color w:val="auto"/>
        </w:rPr>
        <w:t>95% CI 0.47, 0.86</w:t>
      </w:r>
      <w:r w:rsidR="00007EA6" w:rsidRPr="00E17531">
        <w:rPr>
          <w:color w:val="auto"/>
        </w:rPr>
        <w:t>]</w:t>
      </w:r>
      <w:r w:rsidRPr="00E17531">
        <w:rPr>
          <w:color w:val="auto"/>
        </w:rPr>
        <w:t xml:space="preserve"> at 25 months) also provide confidence in clinical conclusions. The PBAC agreed with the pre-PBAC response that the evidence at 25 months was robust and confirmed earlier trial results, however the Committee considered that </w:t>
      </w:r>
      <w:r w:rsidR="009A7074" w:rsidRPr="00E17531">
        <w:rPr>
          <w:color w:val="auto"/>
        </w:rPr>
        <w:t xml:space="preserve">there was nonetheless uncertainty in the magnitude of </w:t>
      </w:r>
      <w:r w:rsidR="009A7074" w:rsidRPr="00E17531">
        <w:t>long-term survival benefits of pembrolizumab over platinum-based doublet chemotherapy.</w:t>
      </w:r>
    </w:p>
    <w:p w:rsidR="00013E26" w:rsidRPr="00E17531" w:rsidRDefault="00013E26" w:rsidP="00AD25EE">
      <w:pPr>
        <w:pStyle w:val="ESHeading2"/>
      </w:pPr>
      <w:r w:rsidRPr="00E17531">
        <w:t>Comparative harms</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t>No updated comparative data were provided by the resubmission regarding the safety of pembrolizumab versus platinum-based doublet chemotherapy for treatment of PD-L1 pos</w:t>
      </w:r>
      <w:r w:rsidR="00CA2E2F" w:rsidRPr="00E17531">
        <w:rPr>
          <w:color w:val="auto"/>
        </w:rPr>
        <w:t>itive (TPS ≥50%) NSCLC patients</w:t>
      </w:r>
      <w:r w:rsidRPr="00E17531">
        <w:rPr>
          <w:color w:val="auto"/>
        </w:rPr>
        <w:t>.</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t xml:space="preserve">After the end of the reporting period of the most recent Periodic Safety Updated Report (PSUR) (covering the period from 4 September 2016 to 3 March 2017) and during the preparation of the PSUR, the Marketing Authorisation Holder (MAH) determined that: 1) there is a possible causal association between encephalitis and pembrolizumab; and 2) sarcoidosis is considered an adverse drug reaction associated with pembrolizumab exposure. The MAH </w:t>
      </w:r>
      <w:r w:rsidR="00F64BF3" w:rsidRPr="00E17531">
        <w:rPr>
          <w:color w:val="auto"/>
        </w:rPr>
        <w:t>in</w:t>
      </w:r>
      <w:r w:rsidRPr="00E17531">
        <w:rPr>
          <w:color w:val="auto"/>
        </w:rPr>
        <w:t>tends to update the Company Core Data Sheets and the pembrolizumab core Risk Management Plan to reflect these late-breaking changes.</w:t>
      </w:r>
    </w:p>
    <w:p w:rsidR="00013E26" w:rsidRPr="00E17531" w:rsidRDefault="00013E26" w:rsidP="00AD25EE">
      <w:pPr>
        <w:pStyle w:val="ESHeading2"/>
      </w:pPr>
      <w:r w:rsidRPr="00E17531">
        <w:lastRenderedPageBreak/>
        <w:t>Benefits and harms</w:t>
      </w:r>
    </w:p>
    <w:p w:rsidR="008817F8" w:rsidRPr="00E17531" w:rsidRDefault="00013E26" w:rsidP="008817F8">
      <w:pPr>
        <w:pStyle w:val="ListParagraph"/>
        <w:numPr>
          <w:ilvl w:val="4"/>
          <w:numId w:val="5"/>
        </w:numPr>
        <w:spacing w:before="0" w:after="120"/>
        <w:ind w:left="709" w:hanging="709"/>
        <w:rPr>
          <w:color w:val="auto"/>
        </w:rPr>
      </w:pPr>
      <w:r w:rsidRPr="00E17531">
        <w:rPr>
          <w:color w:val="auto"/>
        </w:rPr>
        <w:t xml:space="preserve">A summary of the comparative benefits and harms for pembrolizumab 200 mg every 3 weeks versus platinum-based </w:t>
      </w:r>
      <w:r w:rsidR="00055388">
        <w:t xml:space="preserve">doublet </w:t>
      </w:r>
      <w:r w:rsidRPr="00E17531">
        <w:rPr>
          <w:color w:val="auto"/>
        </w:rPr>
        <w:t>chemotherapy in first-line NSCLC patients who</w:t>
      </w:r>
      <w:r w:rsidR="001F2BE0">
        <w:rPr>
          <w:color w:val="auto"/>
        </w:rPr>
        <w:t xml:space="preserve">se tumours express </w:t>
      </w:r>
      <w:r w:rsidRPr="00E17531">
        <w:rPr>
          <w:color w:val="auto"/>
        </w:rPr>
        <w:t>a high level of PD-L1 (TPS ≥50%) is presented in the table below.</w:t>
      </w:r>
    </w:p>
    <w:p w:rsidR="00C95AD8" w:rsidRDefault="00C95AD8">
      <w:pPr>
        <w:spacing w:before="0" w:after="0"/>
        <w:jc w:val="left"/>
        <w:rPr>
          <w:rFonts w:ascii="Arial Narrow" w:hAnsi="Arial Narrow"/>
          <w:b/>
          <w:iCs/>
          <w:color w:val="000000" w:themeColor="text1"/>
          <w:sz w:val="20"/>
          <w:szCs w:val="18"/>
        </w:rPr>
      </w:pPr>
    </w:p>
    <w:p w:rsidR="00013E26" w:rsidRPr="00E17531" w:rsidRDefault="00013E26" w:rsidP="008F1A10">
      <w:pPr>
        <w:pStyle w:val="Caption"/>
      </w:pPr>
      <w:r w:rsidRPr="00E17531">
        <w:t xml:space="preserve">Table </w:t>
      </w:r>
      <w:r w:rsidR="004C0962" w:rsidRPr="00E17531">
        <w:t>8</w:t>
      </w:r>
      <w:r w:rsidRPr="00E17531">
        <w:t>: Summary of comparative benefits and harms for pembrolizumab and chemotherapy in first</w:t>
      </w:r>
      <w:r w:rsidR="00936F2E" w:rsidRPr="00E17531">
        <w:t>-</w:t>
      </w:r>
      <w:r w:rsidRPr="00E17531">
        <w:t>line NSCLC patients who</w:t>
      </w:r>
      <w:r w:rsidR="001F2BE0">
        <w:t>se tumours express</w:t>
      </w:r>
      <w:r w:rsidRPr="00E17531">
        <w:t xml:space="preserve"> a high level of PD-L1 (TPS ≥50%)</w:t>
      </w:r>
    </w:p>
    <w:tbl>
      <w:tblPr>
        <w:tblStyle w:val="TableGrid"/>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and harms for pembrolizumab and chemotherapy in first-line NSCLC patients whose tumours express a high level of PD-L1 (TPS ≥50%)"/>
      </w:tblPr>
      <w:tblGrid>
        <w:gridCol w:w="1394"/>
        <w:gridCol w:w="1284"/>
        <w:gridCol w:w="7"/>
        <w:gridCol w:w="576"/>
        <w:gridCol w:w="728"/>
        <w:gridCol w:w="7"/>
        <w:gridCol w:w="681"/>
        <w:gridCol w:w="418"/>
        <w:gridCol w:w="1001"/>
        <w:gridCol w:w="403"/>
        <w:gridCol w:w="872"/>
        <w:gridCol w:w="367"/>
        <w:gridCol w:w="1344"/>
      </w:tblGrid>
      <w:tr w:rsidR="00013E26" w:rsidRPr="00E17531" w:rsidTr="00467740">
        <w:trPr>
          <w:cnfStyle w:val="100000000000" w:firstRow="1" w:lastRow="0" w:firstColumn="0" w:lastColumn="0" w:oddVBand="0" w:evenVBand="0" w:oddHBand="0" w:evenHBand="0" w:firstRowFirstColumn="0" w:firstRowLastColumn="0" w:lastRowFirstColumn="0" w:lastRowLastColumn="0"/>
          <w:tblHeader/>
        </w:trPr>
        <w:tc>
          <w:tcPr>
            <w:tcW w:w="5000" w:type="pct"/>
            <w:gridSpan w:val="13"/>
            <w:shd w:val="clear" w:color="auto" w:fill="auto"/>
            <w:vAlign w:val="center"/>
          </w:tcPr>
          <w:p w:rsidR="00013E26" w:rsidRPr="00E17531" w:rsidRDefault="00013E26" w:rsidP="00C7429A">
            <w:pPr>
              <w:pStyle w:val="TableText"/>
              <w:spacing w:before="0" w:after="0"/>
              <w:rPr>
                <w:u w:val="single"/>
                <w:lang w:val="en-AU"/>
              </w:rPr>
            </w:pPr>
            <w:r w:rsidRPr="00E17531">
              <w:rPr>
                <w:u w:val="single"/>
                <w:lang w:val="en-AU"/>
              </w:rPr>
              <w:t>Benefits</w:t>
            </w:r>
          </w:p>
        </w:tc>
      </w:tr>
      <w:tr w:rsidR="00013E26" w:rsidRPr="00E17531" w:rsidTr="00EB0CEA">
        <w:tc>
          <w:tcPr>
            <w:tcW w:w="1795" w:type="pct"/>
            <w:gridSpan w:val="4"/>
            <w:tcBorders>
              <w:bottom w:val="single" w:sz="4" w:space="0" w:color="auto"/>
            </w:tcBorders>
            <w:shd w:val="clear" w:color="auto" w:fill="auto"/>
            <w:vAlign w:val="center"/>
          </w:tcPr>
          <w:p w:rsidR="00013E26" w:rsidRPr="00E17531" w:rsidRDefault="00013E26" w:rsidP="00C7429A">
            <w:pPr>
              <w:pStyle w:val="TableText"/>
              <w:spacing w:before="0" w:after="0"/>
              <w:rPr>
                <w:b/>
                <w:lang w:val="en-AU"/>
              </w:rPr>
            </w:pPr>
          </w:p>
        </w:tc>
        <w:tc>
          <w:tcPr>
            <w:tcW w:w="780" w:type="pct"/>
            <w:gridSpan w:val="3"/>
            <w:tcBorders>
              <w:bottom w:val="single" w:sz="4" w:space="0" w:color="auto"/>
            </w:tcBorders>
            <w:shd w:val="clear" w:color="auto" w:fill="auto"/>
            <w:vAlign w:val="center"/>
          </w:tcPr>
          <w:p w:rsidR="00013E26" w:rsidRPr="00E17531" w:rsidRDefault="00013E26" w:rsidP="00C7429A">
            <w:pPr>
              <w:pStyle w:val="TableText"/>
              <w:spacing w:before="0" w:after="0"/>
              <w:jc w:val="center"/>
              <w:rPr>
                <w:b/>
                <w:lang w:val="en-AU"/>
              </w:rPr>
            </w:pPr>
            <w:r w:rsidRPr="00E17531">
              <w:rPr>
                <w:b/>
                <w:lang w:val="en-AU"/>
              </w:rPr>
              <w:t>Pembrolizumab</w:t>
            </w:r>
          </w:p>
          <w:p w:rsidR="00013E26" w:rsidRPr="00E17531" w:rsidRDefault="00013E26" w:rsidP="00C7429A">
            <w:pPr>
              <w:pStyle w:val="TableText"/>
              <w:spacing w:before="0" w:after="0"/>
              <w:jc w:val="center"/>
              <w:rPr>
                <w:b/>
                <w:lang w:val="en-AU"/>
              </w:rPr>
            </w:pPr>
            <w:r w:rsidRPr="00E17531">
              <w:rPr>
                <w:rFonts w:eastAsia="Times New Roman" w:cs="Times New Roman"/>
                <w:b/>
                <w:szCs w:val="20"/>
                <w:lang w:val="en-AU" w:eastAsia="en-AU"/>
              </w:rPr>
              <w:t>(N=154)</w:t>
            </w:r>
          </w:p>
        </w:tc>
        <w:tc>
          <w:tcPr>
            <w:tcW w:w="781" w:type="pct"/>
            <w:gridSpan w:val="2"/>
            <w:tcBorders>
              <w:bottom w:val="single" w:sz="4" w:space="0" w:color="auto"/>
            </w:tcBorders>
            <w:shd w:val="clear" w:color="auto" w:fill="auto"/>
            <w:vAlign w:val="center"/>
          </w:tcPr>
          <w:p w:rsidR="00013E26" w:rsidRPr="00E17531" w:rsidRDefault="00013E26" w:rsidP="00C7429A">
            <w:pPr>
              <w:spacing w:before="0" w:after="0"/>
              <w:jc w:val="center"/>
              <w:rPr>
                <w:rFonts w:ascii="Arial Narrow" w:eastAsia="Times New Roman" w:hAnsi="Arial Narrow" w:cs="Times New Roman"/>
                <w:b/>
                <w:sz w:val="20"/>
                <w:szCs w:val="20"/>
                <w:lang w:val="en-AU" w:eastAsia="en-AU"/>
              </w:rPr>
            </w:pPr>
            <w:r w:rsidRPr="00E17531">
              <w:rPr>
                <w:rFonts w:ascii="Arial Narrow" w:eastAsia="Times New Roman" w:hAnsi="Arial Narrow" w:cs="Times New Roman"/>
                <w:b/>
                <w:sz w:val="20"/>
                <w:szCs w:val="20"/>
                <w:lang w:val="en-AU" w:eastAsia="en-AU"/>
              </w:rPr>
              <w:t xml:space="preserve">Platinum-based </w:t>
            </w:r>
            <w:r w:rsidR="00055388" w:rsidRPr="00055388">
              <w:rPr>
                <w:rFonts w:ascii="Arial Narrow" w:eastAsia="Times New Roman" w:hAnsi="Arial Narrow" w:cs="Times New Roman"/>
                <w:b/>
                <w:sz w:val="20"/>
                <w:szCs w:val="20"/>
                <w:lang w:val="en-AU" w:eastAsia="en-AU"/>
              </w:rPr>
              <w:t xml:space="preserve">doublet </w:t>
            </w:r>
            <w:r w:rsidRPr="00E17531">
              <w:rPr>
                <w:rFonts w:ascii="Arial Narrow" w:eastAsia="Times New Roman" w:hAnsi="Arial Narrow" w:cs="Times New Roman"/>
                <w:b/>
                <w:sz w:val="20"/>
                <w:szCs w:val="20"/>
                <w:lang w:val="en-AU" w:eastAsia="en-AU"/>
              </w:rPr>
              <w:t>chemotherapy</w:t>
            </w:r>
          </w:p>
          <w:p w:rsidR="00013E26" w:rsidRPr="00E17531" w:rsidRDefault="00013E26" w:rsidP="00C7429A">
            <w:pPr>
              <w:pStyle w:val="TableText"/>
              <w:spacing w:before="0" w:after="0"/>
              <w:jc w:val="center"/>
              <w:rPr>
                <w:b/>
                <w:lang w:val="en-AU"/>
              </w:rPr>
            </w:pPr>
            <w:r w:rsidRPr="00E17531">
              <w:rPr>
                <w:rFonts w:eastAsia="Times New Roman" w:cs="Times New Roman"/>
                <w:b/>
                <w:szCs w:val="20"/>
                <w:lang w:val="en-AU" w:eastAsia="en-AU"/>
              </w:rPr>
              <w:t>(N=151)</w:t>
            </w:r>
          </w:p>
        </w:tc>
        <w:tc>
          <w:tcPr>
            <w:tcW w:w="702" w:type="pct"/>
            <w:gridSpan w:val="2"/>
            <w:tcBorders>
              <w:bottom w:val="single" w:sz="4" w:space="0" w:color="auto"/>
            </w:tcBorders>
            <w:shd w:val="clear" w:color="auto" w:fill="auto"/>
            <w:vAlign w:val="center"/>
          </w:tcPr>
          <w:p w:rsidR="00013E26" w:rsidRPr="00E17531" w:rsidRDefault="00013E26" w:rsidP="00EB0CEA">
            <w:pPr>
              <w:pStyle w:val="TableText"/>
              <w:spacing w:before="0" w:after="0"/>
              <w:jc w:val="center"/>
              <w:rPr>
                <w:rFonts w:asciiTheme="minorHAnsi" w:hAnsiTheme="minorHAnsi"/>
                <w:b/>
                <w:lang w:val="en-AU"/>
              </w:rPr>
            </w:pPr>
            <w:r w:rsidRPr="00E17531">
              <w:rPr>
                <w:rFonts w:eastAsia="Times New Roman" w:cs="Times New Roman"/>
                <w:b/>
                <w:szCs w:val="20"/>
                <w:lang w:val="en-AU" w:eastAsia="en-AU"/>
              </w:rPr>
              <w:t>Absolute difference</w:t>
            </w:r>
          </w:p>
        </w:tc>
        <w:tc>
          <w:tcPr>
            <w:tcW w:w="942" w:type="pct"/>
            <w:gridSpan w:val="2"/>
            <w:tcBorders>
              <w:bottom w:val="single" w:sz="4" w:space="0" w:color="auto"/>
            </w:tcBorders>
            <w:shd w:val="clear" w:color="auto" w:fill="auto"/>
            <w:vAlign w:val="center"/>
          </w:tcPr>
          <w:p w:rsidR="00013E26" w:rsidRPr="00E17531" w:rsidRDefault="00013E26" w:rsidP="00C7429A">
            <w:pPr>
              <w:pStyle w:val="TableText"/>
              <w:spacing w:before="0" w:after="0"/>
              <w:jc w:val="center"/>
              <w:rPr>
                <w:b/>
                <w:lang w:val="en-AU"/>
              </w:rPr>
            </w:pPr>
            <w:r w:rsidRPr="00E17531">
              <w:rPr>
                <w:b/>
                <w:lang w:val="en-AU"/>
              </w:rPr>
              <w:t>HR (95% CI)</w:t>
            </w:r>
          </w:p>
        </w:tc>
      </w:tr>
      <w:tr w:rsidR="00013E26" w:rsidRPr="00E17531" w:rsidTr="00C7429A">
        <w:tc>
          <w:tcPr>
            <w:tcW w:w="5000" w:type="pct"/>
            <w:gridSpan w:val="13"/>
            <w:shd w:val="clear" w:color="auto" w:fill="auto"/>
            <w:vAlign w:val="center"/>
          </w:tcPr>
          <w:p w:rsidR="00013E26" w:rsidRPr="00E17531" w:rsidRDefault="00013E26" w:rsidP="00946718">
            <w:pPr>
              <w:pStyle w:val="TableText"/>
              <w:spacing w:before="0" w:after="0"/>
              <w:rPr>
                <w:b/>
                <w:lang w:val="en-AU"/>
              </w:rPr>
            </w:pPr>
            <w:r w:rsidRPr="00E17531">
              <w:rPr>
                <w:b/>
                <w:lang w:val="en-AU"/>
              </w:rPr>
              <w:t xml:space="preserve">OS, median follow-up </w:t>
            </w:r>
            <w:r w:rsidR="00946718" w:rsidRPr="00E17531">
              <w:rPr>
                <w:b/>
                <w:lang w:val="en-AU"/>
              </w:rPr>
              <w:t>25</w:t>
            </w:r>
            <w:r w:rsidR="002B4F41" w:rsidRPr="00E17531">
              <w:rPr>
                <w:b/>
                <w:lang w:val="en-AU"/>
              </w:rPr>
              <w:t xml:space="preserve"> </w:t>
            </w:r>
            <w:r w:rsidRPr="00E17531">
              <w:rPr>
                <w:b/>
                <w:lang w:val="en-AU"/>
              </w:rPr>
              <w:t>months (</w:t>
            </w:r>
            <w:r w:rsidR="00946718" w:rsidRPr="00E17531">
              <w:rPr>
                <w:b/>
                <w:lang w:val="en-AU"/>
              </w:rPr>
              <w:t xml:space="preserve">further </w:t>
            </w:r>
            <w:r w:rsidRPr="00E17531">
              <w:rPr>
                <w:b/>
                <w:lang w:val="en-AU"/>
              </w:rPr>
              <w:t>updated results)</w:t>
            </w:r>
            <w:r w:rsidRPr="00E17531">
              <w:rPr>
                <w:b/>
                <w:vertAlign w:val="superscript"/>
                <w:lang w:val="en-AU"/>
              </w:rPr>
              <w:t>a</w:t>
            </w:r>
          </w:p>
        </w:tc>
      </w:tr>
      <w:tr w:rsidR="00013E26" w:rsidRPr="00E17531" w:rsidTr="00EB0CEA">
        <w:tc>
          <w:tcPr>
            <w:tcW w:w="1795" w:type="pct"/>
            <w:gridSpan w:val="4"/>
            <w:tcBorders>
              <w:bottom w:val="single" w:sz="4" w:space="0" w:color="auto"/>
            </w:tcBorders>
            <w:shd w:val="clear" w:color="auto" w:fill="auto"/>
            <w:vAlign w:val="center"/>
          </w:tcPr>
          <w:p w:rsidR="00013E26" w:rsidRPr="00E17531" w:rsidRDefault="00013E26" w:rsidP="00C7429A">
            <w:pPr>
              <w:pStyle w:val="TableText"/>
              <w:spacing w:before="0" w:after="0"/>
              <w:rPr>
                <w:lang w:val="en-AU"/>
              </w:rPr>
            </w:pPr>
            <w:r w:rsidRPr="00E17531">
              <w:rPr>
                <w:lang w:val="en-AU"/>
              </w:rPr>
              <w:t>Death, n (%)</w:t>
            </w:r>
          </w:p>
        </w:tc>
        <w:tc>
          <w:tcPr>
            <w:tcW w:w="780" w:type="pct"/>
            <w:gridSpan w:val="3"/>
            <w:tcBorders>
              <w:bottom w:val="single" w:sz="4" w:space="0" w:color="auto"/>
            </w:tcBorders>
            <w:shd w:val="clear" w:color="auto" w:fill="auto"/>
          </w:tcPr>
          <w:p w:rsidR="00013E26" w:rsidRPr="00E17531" w:rsidRDefault="00946718" w:rsidP="00946718">
            <w:pPr>
              <w:pStyle w:val="TableText"/>
              <w:spacing w:before="0" w:after="0"/>
              <w:jc w:val="center"/>
              <w:rPr>
                <w:lang w:val="en-AU"/>
              </w:rPr>
            </w:pPr>
            <w:r w:rsidRPr="00E17531">
              <w:rPr>
                <w:lang w:val="en-AU"/>
              </w:rPr>
              <w:t>7</w:t>
            </w:r>
            <w:r w:rsidR="00013E26" w:rsidRPr="00E17531">
              <w:rPr>
                <w:lang w:val="en-AU"/>
              </w:rPr>
              <w:t>3 (4</w:t>
            </w:r>
            <w:r w:rsidRPr="00E17531">
              <w:rPr>
                <w:lang w:val="en-AU"/>
              </w:rPr>
              <w:t>7</w:t>
            </w:r>
            <w:r w:rsidR="00013E26" w:rsidRPr="00E17531">
              <w:rPr>
                <w:lang w:val="en-AU"/>
              </w:rPr>
              <w:t>.</w:t>
            </w:r>
            <w:r w:rsidRPr="00E17531">
              <w:rPr>
                <w:lang w:val="en-AU"/>
              </w:rPr>
              <w:t>4</w:t>
            </w:r>
            <w:r w:rsidR="00013E26" w:rsidRPr="00E17531">
              <w:rPr>
                <w:lang w:val="en-AU"/>
              </w:rPr>
              <w:t>%)</w:t>
            </w:r>
          </w:p>
        </w:tc>
        <w:tc>
          <w:tcPr>
            <w:tcW w:w="781" w:type="pct"/>
            <w:gridSpan w:val="2"/>
            <w:tcBorders>
              <w:bottom w:val="single" w:sz="4" w:space="0" w:color="auto"/>
            </w:tcBorders>
            <w:shd w:val="clear" w:color="auto" w:fill="auto"/>
          </w:tcPr>
          <w:p w:rsidR="00013E26" w:rsidRPr="00E17531" w:rsidRDefault="00946718" w:rsidP="00946718">
            <w:pPr>
              <w:pStyle w:val="TableText"/>
              <w:spacing w:before="0" w:after="0"/>
              <w:jc w:val="center"/>
              <w:rPr>
                <w:lang w:val="en-AU"/>
              </w:rPr>
            </w:pPr>
            <w:r w:rsidRPr="00E17531">
              <w:rPr>
                <w:lang w:val="en-AU"/>
              </w:rPr>
              <w:t>96</w:t>
            </w:r>
            <w:r w:rsidR="00013E26" w:rsidRPr="00E17531">
              <w:rPr>
                <w:lang w:val="en-AU"/>
              </w:rPr>
              <w:t xml:space="preserve"> (</w:t>
            </w:r>
            <w:r w:rsidRPr="00E17531">
              <w:rPr>
                <w:lang w:val="en-AU"/>
              </w:rPr>
              <w:t>63</w:t>
            </w:r>
            <w:r w:rsidR="00013E26" w:rsidRPr="00E17531">
              <w:rPr>
                <w:lang w:val="en-AU"/>
              </w:rPr>
              <w:t>.6%)</w:t>
            </w:r>
          </w:p>
        </w:tc>
        <w:tc>
          <w:tcPr>
            <w:tcW w:w="702" w:type="pct"/>
            <w:gridSpan w:val="2"/>
            <w:tcBorders>
              <w:bottom w:val="single" w:sz="4" w:space="0" w:color="auto"/>
            </w:tcBorders>
            <w:shd w:val="clear" w:color="auto" w:fill="auto"/>
            <w:vAlign w:val="center"/>
          </w:tcPr>
          <w:p w:rsidR="00013E26" w:rsidRPr="00E17531" w:rsidRDefault="00013E26" w:rsidP="00946718">
            <w:pPr>
              <w:pStyle w:val="TableText"/>
              <w:spacing w:before="0" w:after="0"/>
              <w:jc w:val="center"/>
              <w:rPr>
                <w:lang w:val="en-AU"/>
              </w:rPr>
            </w:pPr>
            <w:r w:rsidRPr="00E17531">
              <w:rPr>
                <w:lang w:val="en-AU"/>
              </w:rPr>
              <w:t>-1</w:t>
            </w:r>
            <w:r w:rsidR="00946718" w:rsidRPr="00E17531">
              <w:rPr>
                <w:lang w:val="en-AU"/>
              </w:rPr>
              <w:t>6</w:t>
            </w:r>
            <w:r w:rsidRPr="00E17531">
              <w:rPr>
                <w:lang w:val="en-AU"/>
              </w:rPr>
              <w:t>.</w:t>
            </w:r>
            <w:r w:rsidR="00946718" w:rsidRPr="00E17531">
              <w:rPr>
                <w:lang w:val="en-AU"/>
              </w:rPr>
              <w:t>2</w:t>
            </w:r>
            <w:r w:rsidRPr="00E17531">
              <w:rPr>
                <w:lang w:val="en-AU"/>
              </w:rPr>
              <w:t>%</w:t>
            </w:r>
          </w:p>
        </w:tc>
        <w:tc>
          <w:tcPr>
            <w:tcW w:w="942" w:type="pct"/>
            <w:gridSpan w:val="2"/>
            <w:tcBorders>
              <w:bottom w:val="single" w:sz="4" w:space="0" w:color="auto"/>
            </w:tcBorders>
            <w:shd w:val="clear" w:color="auto" w:fill="auto"/>
            <w:vAlign w:val="center"/>
          </w:tcPr>
          <w:p w:rsidR="00013E26" w:rsidRPr="00E17531" w:rsidRDefault="00013E26" w:rsidP="00C7429A">
            <w:pPr>
              <w:pStyle w:val="TableText"/>
              <w:spacing w:before="0" w:after="0"/>
              <w:jc w:val="center"/>
              <w:rPr>
                <w:lang w:val="en-AU"/>
              </w:rPr>
            </w:pPr>
          </w:p>
        </w:tc>
      </w:tr>
      <w:tr w:rsidR="00013E26" w:rsidRPr="00E17531" w:rsidTr="00EB0CEA">
        <w:tc>
          <w:tcPr>
            <w:tcW w:w="1795" w:type="pct"/>
            <w:gridSpan w:val="4"/>
            <w:tcBorders>
              <w:bottom w:val="single" w:sz="4" w:space="0" w:color="auto"/>
            </w:tcBorders>
            <w:shd w:val="clear" w:color="auto" w:fill="auto"/>
            <w:vAlign w:val="center"/>
          </w:tcPr>
          <w:p w:rsidR="00013E26" w:rsidRPr="00E17531" w:rsidRDefault="00013E26" w:rsidP="00C7429A">
            <w:pPr>
              <w:pStyle w:val="TableText"/>
              <w:spacing w:before="0" w:after="0"/>
              <w:rPr>
                <w:lang w:val="en-AU"/>
              </w:rPr>
            </w:pPr>
            <w:r w:rsidRPr="00E17531">
              <w:rPr>
                <w:lang w:val="en-AU"/>
              </w:rPr>
              <w:t>% surviving at Month 12 (95% CI)</w:t>
            </w:r>
          </w:p>
        </w:tc>
        <w:tc>
          <w:tcPr>
            <w:tcW w:w="780" w:type="pct"/>
            <w:gridSpan w:val="3"/>
            <w:tcBorders>
              <w:bottom w:val="single" w:sz="4" w:space="0" w:color="auto"/>
            </w:tcBorders>
            <w:shd w:val="clear" w:color="auto" w:fill="auto"/>
          </w:tcPr>
          <w:p w:rsidR="00013E26" w:rsidRPr="0099683E" w:rsidRDefault="00013E26" w:rsidP="00C7429A">
            <w:pPr>
              <w:keepNext/>
              <w:spacing w:before="0" w:after="0"/>
              <w:jc w:val="center"/>
              <w:rPr>
                <w:rFonts w:ascii="Arial Narrow" w:eastAsia="Times New Roman" w:hAnsi="Arial Narrow" w:cs="Times New Roman"/>
                <w:sz w:val="20"/>
                <w:szCs w:val="20"/>
                <w:lang w:val="en-AU"/>
              </w:rPr>
            </w:pPr>
            <w:r w:rsidRPr="0099683E">
              <w:rPr>
                <w:rFonts w:ascii="Arial Narrow" w:eastAsia="Times New Roman" w:hAnsi="Arial Narrow" w:cs="Times New Roman"/>
                <w:sz w:val="20"/>
                <w:szCs w:val="20"/>
                <w:lang w:val="en-AU"/>
              </w:rPr>
              <w:t>70.3%</w:t>
            </w:r>
          </w:p>
          <w:p w:rsidR="00013E26" w:rsidRPr="00E61B46" w:rsidRDefault="00E61B46" w:rsidP="00C7429A">
            <w:pPr>
              <w:pStyle w:val="TableText"/>
              <w:spacing w:before="0" w:after="0"/>
              <w:jc w:val="center"/>
              <w:rPr>
                <w:highlight w:val="black"/>
                <w:lang w:val="en-AU"/>
              </w:rPr>
            </w:pPr>
            <w:r>
              <w:rPr>
                <w:rFonts w:eastAsia="Times New Roman" w:cs="Times New Roman"/>
                <w:noProof/>
                <w:color w:val="000000"/>
                <w:szCs w:val="20"/>
                <w:highlight w:val="black"/>
                <w:lang w:val="en-AU"/>
              </w:rPr>
              <w:t>''''''''''''''''''' '''''''''''''''''</w:t>
            </w:r>
          </w:p>
        </w:tc>
        <w:tc>
          <w:tcPr>
            <w:tcW w:w="781" w:type="pct"/>
            <w:gridSpan w:val="2"/>
            <w:tcBorders>
              <w:bottom w:val="single" w:sz="4" w:space="0" w:color="auto"/>
            </w:tcBorders>
            <w:shd w:val="clear" w:color="auto" w:fill="auto"/>
          </w:tcPr>
          <w:p w:rsidR="00013E26" w:rsidRPr="0099683E" w:rsidRDefault="00013E26" w:rsidP="00C7429A">
            <w:pPr>
              <w:spacing w:before="0" w:after="0"/>
              <w:jc w:val="center"/>
              <w:rPr>
                <w:rFonts w:ascii="Arial Narrow" w:eastAsia="Times New Roman" w:hAnsi="Arial Narrow" w:cs="Times New Roman"/>
                <w:sz w:val="20"/>
                <w:szCs w:val="20"/>
                <w:lang w:val="en-AU"/>
              </w:rPr>
            </w:pPr>
            <w:r w:rsidRPr="0099683E">
              <w:rPr>
                <w:rFonts w:ascii="Arial Narrow" w:eastAsia="Times New Roman" w:hAnsi="Arial Narrow" w:cs="Times New Roman"/>
                <w:sz w:val="20"/>
                <w:szCs w:val="20"/>
                <w:lang w:val="en-AU"/>
              </w:rPr>
              <w:t>54.8%</w:t>
            </w:r>
          </w:p>
          <w:p w:rsidR="00013E26" w:rsidRPr="00E61B46" w:rsidRDefault="00E61B46" w:rsidP="00C7429A">
            <w:pPr>
              <w:pStyle w:val="TableText"/>
              <w:spacing w:before="0" w:after="0"/>
              <w:jc w:val="center"/>
              <w:rPr>
                <w:highlight w:val="black"/>
                <w:lang w:val="en-AU"/>
              </w:rPr>
            </w:pPr>
            <w:r>
              <w:rPr>
                <w:rFonts w:eastAsia="Times New Roman" w:cs="Times New Roman"/>
                <w:noProof/>
                <w:color w:val="000000"/>
                <w:szCs w:val="20"/>
                <w:highlight w:val="black"/>
                <w:lang w:val="en-AU"/>
              </w:rPr>
              <w:t>''''''''''''''''' '''''''''''''''''''</w:t>
            </w:r>
          </w:p>
        </w:tc>
        <w:tc>
          <w:tcPr>
            <w:tcW w:w="702" w:type="pct"/>
            <w:gridSpan w:val="2"/>
            <w:tcBorders>
              <w:bottom w:val="single" w:sz="4" w:space="0" w:color="auto"/>
            </w:tcBorders>
            <w:shd w:val="clear" w:color="auto" w:fill="auto"/>
            <w:vAlign w:val="center"/>
          </w:tcPr>
          <w:p w:rsidR="00013E26" w:rsidRPr="00E61B46" w:rsidRDefault="00013E26" w:rsidP="00C7429A">
            <w:pPr>
              <w:pStyle w:val="TableText"/>
              <w:spacing w:before="0" w:after="0"/>
              <w:jc w:val="center"/>
              <w:rPr>
                <w:lang w:val="en-AU"/>
              </w:rPr>
            </w:pPr>
            <w:r w:rsidRPr="0099683E">
              <w:rPr>
                <w:lang w:val="en-AU"/>
              </w:rPr>
              <w:t>15.5%</w:t>
            </w:r>
          </w:p>
        </w:tc>
        <w:tc>
          <w:tcPr>
            <w:tcW w:w="942" w:type="pct"/>
            <w:gridSpan w:val="2"/>
            <w:tcBorders>
              <w:bottom w:val="single" w:sz="4" w:space="0" w:color="auto"/>
            </w:tcBorders>
            <w:shd w:val="clear" w:color="auto" w:fill="auto"/>
            <w:vAlign w:val="center"/>
          </w:tcPr>
          <w:p w:rsidR="00013E26" w:rsidRPr="00E17531" w:rsidRDefault="00013E26" w:rsidP="00C7429A">
            <w:pPr>
              <w:pStyle w:val="TableText"/>
              <w:spacing w:before="0" w:after="0"/>
              <w:jc w:val="center"/>
              <w:rPr>
                <w:lang w:val="en-AU"/>
              </w:rPr>
            </w:pPr>
          </w:p>
        </w:tc>
      </w:tr>
      <w:tr w:rsidR="00013E26" w:rsidRPr="00E17531" w:rsidTr="00EB0CEA">
        <w:tc>
          <w:tcPr>
            <w:tcW w:w="1795" w:type="pct"/>
            <w:gridSpan w:val="4"/>
            <w:tcBorders>
              <w:bottom w:val="single" w:sz="4" w:space="0" w:color="auto"/>
            </w:tcBorders>
            <w:shd w:val="clear" w:color="auto" w:fill="auto"/>
            <w:vAlign w:val="center"/>
          </w:tcPr>
          <w:p w:rsidR="00013E26" w:rsidRPr="00E17531" w:rsidRDefault="00013E26" w:rsidP="00C7429A">
            <w:pPr>
              <w:pStyle w:val="TableText"/>
              <w:spacing w:before="0" w:after="0"/>
              <w:rPr>
                <w:lang w:val="en-AU"/>
              </w:rPr>
            </w:pPr>
            <w:r w:rsidRPr="00E17531">
              <w:rPr>
                <w:lang w:val="en-AU"/>
              </w:rPr>
              <w:t>OS median</w:t>
            </w:r>
            <w:r w:rsidR="007311B9" w:rsidRPr="00E17531">
              <w:rPr>
                <w:lang w:val="en-AU"/>
              </w:rPr>
              <w:t>,</w:t>
            </w:r>
            <w:r w:rsidRPr="00E17531">
              <w:rPr>
                <w:lang w:val="en-AU"/>
              </w:rPr>
              <w:t xml:space="preserve"> months (95% CI)</w:t>
            </w:r>
          </w:p>
        </w:tc>
        <w:tc>
          <w:tcPr>
            <w:tcW w:w="780" w:type="pct"/>
            <w:gridSpan w:val="3"/>
            <w:tcBorders>
              <w:bottom w:val="single" w:sz="4" w:space="0" w:color="auto"/>
            </w:tcBorders>
            <w:shd w:val="clear" w:color="auto" w:fill="auto"/>
            <w:vAlign w:val="center"/>
          </w:tcPr>
          <w:p w:rsidR="00013E26" w:rsidRPr="00E17531" w:rsidRDefault="00946718" w:rsidP="00946718">
            <w:pPr>
              <w:spacing w:before="0" w:after="0"/>
              <w:ind w:firstLine="7"/>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rPr>
              <w:t>30.0</w:t>
            </w:r>
            <w:r w:rsidR="00013E26" w:rsidRPr="00E17531">
              <w:rPr>
                <w:rFonts w:ascii="Arial Narrow" w:eastAsia="Times New Roman" w:hAnsi="Arial Narrow" w:cs="Times New Roman"/>
                <w:sz w:val="20"/>
                <w:szCs w:val="20"/>
                <w:lang w:val="en-AU"/>
              </w:rPr>
              <w:t xml:space="preserve"> (1</w:t>
            </w:r>
            <w:r w:rsidRPr="00E17531">
              <w:rPr>
                <w:rFonts w:ascii="Arial Narrow" w:eastAsia="Times New Roman" w:hAnsi="Arial Narrow" w:cs="Times New Roman"/>
                <w:sz w:val="20"/>
                <w:szCs w:val="20"/>
                <w:lang w:val="en-AU"/>
              </w:rPr>
              <w:t>8</w:t>
            </w:r>
            <w:r w:rsidR="00013E26" w:rsidRPr="00E17531">
              <w:rPr>
                <w:rFonts w:ascii="Arial Narrow" w:eastAsia="Times New Roman" w:hAnsi="Arial Narrow" w:cs="Times New Roman"/>
                <w:sz w:val="20"/>
                <w:szCs w:val="20"/>
                <w:lang w:val="en-AU"/>
              </w:rPr>
              <w:t>.</w:t>
            </w:r>
            <w:r w:rsidRPr="00E17531">
              <w:rPr>
                <w:rFonts w:ascii="Arial Narrow" w:eastAsia="Times New Roman" w:hAnsi="Arial Narrow" w:cs="Times New Roman"/>
                <w:sz w:val="20"/>
                <w:szCs w:val="20"/>
                <w:lang w:val="en-AU"/>
              </w:rPr>
              <w:t>3</w:t>
            </w:r>
            <w:r w:rsidR="00013E26" w:rsidRPr="00E17531">
              <w:rPr>
                <w:rFonts w:ascii="Arial Narrow" w:eastAsia="Times New Roman" w:hAnsi="Arial Narrow" w:cs="Times New Roman"/>
                <w:sz w:val="20"/>
                <w:szCs w:val="20"/>
                <w:lang w:val="en-AU"/>
              </w:rPr>
              <w:t>, NR)</w:t>
            </w:r>
          </w:p>
        </w:tc>
        <w:tc>
          <w:tcPr>
            <w:tcW w:w="781" w:type="pct"/>
            <w:gridSpan w:val="2"/>
            <w:tcBorders>
              <w:bottom w:val="single" w:sz="4" w:space="0" w:color="auto"/>
            </w:tcBorders>
            <w:shd w:val="clear" w:color="auto" w:fill="auto"/>
            <w:vAlign w:val="center"/>
          </w:tcPr>
          <w:p w:rsidR="00013E26" w:rsidRPr="00E17531" w:rsidRDefault="00013E26" w:rsidP="00946718">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14.</w:t>
            </w:r>
            <w:r w:rsidR="00946718" w:rsidRPr="00E17531">
              <w:rPr>
                <w:rFonts w:ascii="Arial Narrow" w:eastAsia="Times New Roman" w:hAnsi="Arial Narrow" w:cs="Times New Roman"/>
                <w:sz w:val="20"/>
                <w:szCs w:val="20"/>
                <w:lang w:val="en-AU" w:eastAsia="en-AU"/>
              </w:rPr>
              <w:t>2</w:t>
            </w:r>
            <w:r w:rsidRPr="00E17531">
              <w:rPr>
                <w:rFonts w:ascii="Arial Narrow" w:eastAsia="Times New Roman" w:hAnsi="Arial Narrow" w:cs="Times New Roman"/>
                <w:sz w:val="20"/>
                <w:szCs w:val="20"/>
                <w:lang w:val="en-AU" w:eastAsia="en-AU"/>
              </w:rPr>
              <w:t xml:space="preserve"> (9.8, 19.</w:t>
            </w:r>
            <w:r w:rsidR="00946718" w:rsidRPr="00E17531">
              <w:rPr>
                <w:rFonts w:ascii="Arial Narrow" w:eastAsia="Times New Roman" w:hAnsi="Arial Narrow" w:cs="Times New Roman"/>
                <w:sz w:val="20"/>
                <w:szCs w:val="20"/>
                <w:lang w:val="en-AU" w:eastAsia="en-AU"/>
              </w:rPr>
              <w:t>0</w:t>
            </w:r>
            <w:r w:rsidRPr="00E17531">
              <w:rPr>
                <w:rFonts w:ascii="Arial Narrow" w:eastAsia="Times New Roman" w:hAnsi="Arial Narrow" w:cs="Times New Roman"/>
                <w:sz w:val="20"/>
                <w:szCs w:val="20"/>
                <w:lang w:val="en-AU" w:eastAsia="en-AU"/>
              </w:rPr>
              <w:t>)</w:t>
            </w:r>
          </w:p>
        </w:tc>
        <w:tc>
          <w:tcPr>
            <w:tcW w:w="702" w:type="pct"/>
            <w:gridSpan w:val="2"/>
            <w:tcBorders>
              <w:bottom w:val="single" w:sz="4" w:space="0" w:color="auto"/>
            </w:tcBorders>
            <w:shd w:val="clear" w:color="auto" w:fill="auto"/>
            <w:vAlign w:val="center"/>
          </w:tcPr>
          <w:p w:rsidR="00013E26" w:rsidRPr="00E17531" w:rsidRDefault="00946718" w:rsidP="00946718">
            <w:pPr>
              <w:pStyle w:val="TableText"/>
              <w:spacing w:before="0" w:after="0"/>
              <w:jc w:val="center"/>
              <w:rPr>
                <w:lang w:val="en-AU"/>
              </w:rPr>
            </w:pPr>
            <w:r w:rsidRPr="00E17531">
              <w:rPr>
                <w:lang w:val="en-AU"/>
              </w:rPr>
              <w:t>15.8</w:t>
            </w:r>
          </w:p>
        </w:tc>
        <w:tc>
          <w:tcPr>
            <w:tcW w:w="942" w:type="pct"/>
            <w:gridSpan w:val="2"/>
            <w:tcBorders>
              <w:bottom w:val="single" w:sz="4" w:space="0" w:color="auto"/>
            </w:tcBorders>
            <w:shd w:val="clear" w:color="auto" w:fill="auto"/>
            <w:vAlign w:val="center"/>
          </w:tcPr>
          <w:p w:rsidR="00013E26" w:rsidRPr="00E17531" w:rsidRDefault="00013E26" w:rsidP="00946718">
            <w:pPr>
              <w:keepNext/>
              <w:spacing w:before="0" w:after="0"/>
              <w:jc w:val="center"/>
              <w:rPr>
                <w:rFonts w:ascii="Arial Narrow" w:eastAsia="Times New Roman" w:hAnsi="Arial Narrow" w:cs="Times New Roman"/>
                <w:sz w:val="20"/>
                <w:szCs w:val="20"/>
                <w:lang w:val="en-AU"/>
              </w:rPr>
            </w:pPr>
            <w:r w:rsidRPr="00E17531">
              <w:rPr>
                <w:rFonts w:ascii="Arial Narrow" w:eastAsia="Times New Roman" w:hAnsi="Arial Narrow" w:cs="Times New Roman"/>
                <w:sz w:val="20"/>
                <w:szCs w:val="20"/>
                <w:lang w:val="en-AU"/>
              </w:rPr>
              <w:t>0.63 (0.4</w:t>
            </w:r>
            <w:r w:rsidR="00946718" w:rsidRPr="00E17531">
              <w:rPr>
                <w:rFonts w:ascii="Arial Narrow" w:eastAsia="Times New Roman" w:hAnsi="Arial Narrow" w:cs="Times New Roman"/>
                <w:sz w:val="20"/>
                <w:szCs w:val="20"/>
                <w:lang w:val="en-AU"/>
              </w:rPr>
              <w:t>7</w:t>
            </w:r>
            <w:r w:rsidRPr="00E17531">
              <w:rPr>
                <w:rFonts w:ascii="Arial Narrow" w:eastAsia="Times New Roman" w:hAnsi="Arial Narrow" w:cs="Times New Roman"/>
                <w:sz w:val="20"/>
                <w:szCs w:val="20"/>
                <w:lang w:val="en-AU"/>
              </w:rPr>
              <w:t>, 0.8</w:t>
            </w:r>
            <w:r w:rsidR="00946718" w:rsidRPr="00E17531">
              <w:rPr>
                <w:rFonts w:ascii="Arial Narrow" w:eastAsia="Times New Roman" w:hAnsi="Arial Narrow" w:cs="Times New Roman"/>
                <w:sz w:val="20"/>
                <w:szCs w:val="20"/>
                <w:lang w:val="en-AU"/>
              </w:rPr>
              <w:t>6</w:t>
            </w:r>
            <w:r w:rsidRPr="00E17531">
              <w:rPr>
                <w:rFonts w:ascii="Arial Narrow" w:eastAsia="Times New Roman" w:hAnsi="Arial Narrow" w:cs="Times New Roman"/>
                <w:sz w:val="20"/>
                <w:szCs w:val="20"/>
                <w:lang w:val="en-AU"/>
              </w:rPr>
              <w:t>)</w:t>
            </w:r>
          </w:p>
        </w:tc>
      </w:tr>
      <w:tr w:rsidR="00785F70" w:rsidRPr="00E17531" w:rsidTr="00C7429A">
        <w:tc>
          <w:tcPr>
            <w:tcW w:w="5000" w:type="pct"/>
            <w:gridSpan w:val="13"/>
            <w:shd w:val="clear" w:color="auto" w:fill="auto"/>
            <w:vAlign w:val="center"/>
          </w:tcPr>
          <w:p w:rsidR="00785F70" w:rsidRPr="00E17531" w:rsidRDefault="00785F70" w:rsidP="00785F70">
            <w:pPr>
              <w:pStyle w:val="TableText"/>
              <w:spacing w:before="0" w:after="0"/>
              <w:jc w:val="left"/>
              <w:rPr>
                <w:b/>
                <w:lang w:val="en-AU"/>
              </w:rPr>
            </w:pPr>
            <w:r w:rsidRPr="00E17531">
              <w:rPr>
                <w:b/>
                <w:lang w:val="en-AU"/>
              </w:rPr>
              <w:t>OS, median follow-up 11 months</w:t>
            </w:r>
            <w:r w:rsidRPr="00E17531">
              <w:rPr>
                <w:b/>
                <w:vertAlign w:val="superscript"/>
                <w:lang w:val="en-AU"/>
              </w:rPr>
              <w:t>b</w:t>
            </w:r>
          </w:p>
        </w:tc>
      </w:tr>
      <w:tr w:rsidR="00785F70" w:rsidRPr="00E17531" w:rsidTr="00EB0CEA">
        <w:tc>
          <w:tcPr>
            <w:tcW w:w="1795" w:type="pct"/>
            <w:gridSpan w:val="4"/>
            <w:tcBorders>
              <w:bottom w:val="single" w:sz="4" w:space="0" w:color="auto"/>
            </w:tcBorders>
            <w:shd w:val="clear" w:color="auto" w:fill="auto"/>
            <w:vAlign w:val="center"/>
          </w:tcPr>
          <w:p w:rsidR="00785F70" w:rsidRPr="00E17531" w:rsidRDefault="00785F70" w:rsidP="00785F70">
            <w:pPr>
              <w:pStyle w:val="TableText"/>
              <w:spacing w:before="0" w:after="0"/>
              <w:rPr>
                <w:lang w:val="en-AU"/>
              </w:rPr>
            </w:pPr>
            <w:r w:rsidRPr="00E17531">
              <w:rPr>
                <w:lang w:val="en-AU"/>
              </w:rPr>
              <w:t>Death, n (%)</w:t>
            </w:r>
          </w:p>
        </w:tc>
        <w:tc>
          <w:tcPr>
            <w:tcW w:w="780" w:type="pct"/>
            <w:gridSpan w:val="3"/>
            <w:tcBorders>
              <w:bottom w:val="single" w:sz="4" w:space="0" w:color="auto"/>
            </w:tcBorders>
            <w:shd w:val="clear" w:color="auto" w:fill="auto"/>
          </w:tcPr>
          <w:p w:rsidR="00785F70" w:rsidRPr="00E17531" w:rsidRDefault="00785F70" w:rsidP="00785F70">
            <w:pPr>
              <w:pStyle w:val="TableText"/>
              <w:spacing w:before="0" w:after="0"/>
              <w:jc w:val="center"/>
              <w:rPr>
                <w:lang w:val="en-AU"/>
              </w:rPr>
            </w:pPr>
            <w:r w:rsidRPr="00E17531">
              <w:rPr>
                <w:lang w:val="en-AU"/>
              </w:rPr>
              <w:t>44 (28.6%)</w:t>
            </w:r>
          </w:p>
        </w:tc>
        <w:tc>
          <w:tcPr>
            <w:tcW w:w="781" w:type="pct"/>
            <w:gridSpan w:val="2"/>
            <w:tcBorders>
              <w:bottom w:val="single" w:sz="4" w:space="0" w:color="auto"/>
            </w:tcBorders>
            <w:shd w:val="clear" w:color="auto" w:fill="auto"/>
          </w:tcPr>
          <w:p w:rsidR="00785F70" w:rsidRPr="00E17531" w:rsidRDefault="00785F70" w:rsidP="00785F70">
            <w:pPr>
              <w:pStyle w:val="TableText"/>
              <w:spacing w:before="0" w:after="0"/>
              <w:jc w:val="center"/>
              <w:rPr>
                <w:lang w:val="en-AU"/>
              </w:rPr>
            </w:pPr>
            <w:r w:rsidRPr="00E17531">
              <w:rPr>
                <w:szCs w:val="20"/>
                <w:lang w:val="en-AU"/>
              </w:rPr>
              <w:t>64 (42.4%)</w:t>
            </w:r>
          </w:p>
        </w:tc>
        <w:tc>
          <w:tcPr>
            <w:tcW w:w="70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-13.8%</w:t>
            </w:r>
          </w:p>
        </w:tc>
        <w:tc>
          <w:tcPr>
            <w:tcW w:w="94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p>
        </w:tc>
      </w:tr>
      <w:tr w:rsidR="00785F70" w:rsidRPr="00E17531" w:rsidTr="00EB0CEA">
        <w:tc>
          <w:tcPr>
            <w:tcW w:w="1795" w:type="pct"/>
            <w:gridSpan w:val="4"/>
            <w:tcBorders>
              <w:bottom w:val="single" w:sz="4" w:space="0" w:color="auto"/>
            </w:tcBorders>
            <w:shd w:val="clear" w:color="auto" w:fill="auto"/>
            <w:vAlign w:val="center"/>
          </w:tcPr>
          <w:p w:rsidR="00785F70" w:rsidRPr="00E17531" w:rsidRDefault="00785F70" w:rsidP="00785F70">
            <w:pPr>
              <w:pStyle w:val="TableText"/>
              <w:spacing w:before="0" w:after="0"/>
              <w:rPr>
                <w:lang w:val="en-AU"/>
              </w:rPr>
            </w:pPr>
            <w:r w:rsidRPr="00E17531">
              <w:rPr>
                <w:lang w:val="en-AU"/>
              </w:rPr>
              <w:t>% surviving at Month 12 (95% CI)</w:t>
            </w:r>
          </w:p>
        </w:tc>
        <w:tc>
          <w:tcPr>
            <w:tcW w:w="780" w:type="pct"/>
            <w:gridSpan w:val="3"/>
            <w:tcBorders>
              <w:bottom w:val="single" w:sz="4" w:space="0" w:color="auto"/>
            </w:tcBorders>
            <w:shd w:val="clear" w:color="auto" w:fill="auto"/>
          </w:tcPr>
          <w:p w:rsidR="00785F70" w:rsidRPr="00E61B46" w:rsidRDefault="00E61B46" w:rsidP="00785F70">
            <w:pPr>
              <w:pStyle w:val="TableText"/>
              <w:spacing w:before="0" w:after="0"/>
              <w:jc w:val="center"/>
              <w:rPr>
                <w:highlight w:val="black"/>
                <w:lang w:val="en-AU"/>
              </w:rPr>
            </w:pPr>
            <w:r>
              <w:rPr>
                <w:noProof/>
                <w:color w:val="000000"/>
                <w:highlight w:val="black"/>
                <w:lang w:val="en-AU"/>
              </w:rPr>
              <w:t>''''''''''''''''</w:t>
            </w:r>
          </w:p>
          <w:p w:rsidR="00785F70" w:rsidRPr="00E61B46" w:rsidRDefault="00E61B46" w:rsidP="00785F70">
            <w:pPr>
              <w:pStyle w:val="TableText"/>
              <w:spacing w:before="0" w:after="0"/>
              <w:jc w:val="center"/>
              <w:rPr>
                <w:highlight w:val="black"/>
                <w:lang w:val="en-AU"/>
              </w:rPr>
            </w:pPr>
            <w:r>
              <w:rPr>
                <w:noProof/>
                <w:color w:val="000000"/>
                <w:highlight w:val="black"/>
                <w:lang w:val="en-AU"/>
              </w:rPr>
              <w:t>'''''''''''''''''' ''''''''''''''''</w:t>
            </w:r>
          </w:p>
        </w:tc>
        <w:tc>
          <w:tcPr>
            <w:tcW w:w="781" w:type="pct"/>
            <w:gridSpan w:val="2"/>
            <w:tcBorders>
              <w:bottom w:val="single" w:sz="4" w:space="0" w:color="auto"/>
            </w:tcBorders>
            <w:shd w:val="clear" w:color="auto" w:fill="auto"/>
          </w:tcPr>
          <w:p w:rsidR="00785F70" w:rsidRPr="00E61B46" w:rsidRDefault="00E61B46" w:rsidP="00785F70">
            <w:pPr>
              <w:spacing w:before="0" w:after="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p w:rsidR="00785F70" w:rsidRPr="00E61B46" w:rsidRDefault="00E61B46" w:rsidP="00785F70">
            <w:pPr>
              <w:pStyle w:val="TableText"/>
              <w:spacing w:before="0" w:after="0"/>
              <w:jc w:val="center"/>
              <w:rPr>
                <w:highlight w:val="black"/>
                <w:lang w:val="en-AU"/>
              </w:rPr>
            </w:pPr>
            <w:r>
              <w:rPr>
                <w:noProof/>
                <w:color w:val="000000"/>
                <w:szCs w:val="20"/>
                <w:highlight w:val="black"/>
                <w:lang w:val="en-AU"/>
              </w:rPr>
              <w:t>'''''''''''''''''''' ''''''''''''''''</w:t>
            </w:r>
          </w:p>
        </w:tc>
        <w:tc>
          <w:tcPr>
            <w:tcW w:w="702" w:type="pct"/>
            <w:gridSpan w:val="2"/>
            <w:tcBorders>
              <w:bottom w:val="single" w:sz="4" w:space="0" w:color="auto"/>
            </w:tcBorders>
            <w:shd w:val="clear" w:color="auto" w:fill="auto"/>
            <w:vAlign w:val="center"/>
          </w:tcPr>
          <w:p w:rsidR="00785F70" w:rsidRPr="00E61B46" w:rsidRDefault="00E61B46" w:rsidP="00785F70">
            <w:pPr>
              <w:pStyle w:val="TableText"/>
              <w:spacing w:before="0" w:after="0"/>
              <w:jc w:val="center"/>
              <w:rPr>
                <w:highlight w:val="black"/>
                <w:lang w:val="en-AU"/>
              </w:rPr>
            </w:pPr>
            <w:r>
              <w:rPr>
                <w:noProof/>
                <w:color w:val="000000"/>
                <w:highlight w:val="black"/>
                <w:lang w:val="en-AU"/>
              </w:rPr>
              <w:t>''''''''''''''''</w:t>
            </w:r>
          </w:p>
        </w:tc>
        <w:tc>
          <w:tcPr>
            <w:tcW w:w="94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p>
        </w:tc>
      </w:tr>
      <w:tr w:rsidR="00785F70" w:rsidRPr="00E17531" w:rsidTr="00EB0CEA">
        <w:tc>
          <w:tcPr>
            <w:tcW w:w="1795" w:type="pct"/>
            <w:gridSpan w:val="4"/>
            <w:tcBorders>
              <w:bottom w:val="single" w:sz="4" w:space="0" w:color="auto"/>
            </w:tcBorders>
            <w:shd w:val="clear" w:color="auto" w:fill="auto"/>
            <w:vAlign w:val="center"/>
          </w:tcPr>
          <w:p w:rsidR="00785F70" w:rsidRPr="00E17531" w:rsidRDefault="00785F70" w:rsidP="00785F70">
            <w:pPr>
              <w:pStyle w:val="TableText"/>
              <w:spacing w:before="0" w:after="0"/>
              <w:rPr>
                <w:lang w:val="en-AU"/>
              </w:rPr>
            </w:pPr>
            <w:r w:rsidRPr="00E17531">
              <w:rPr>
                <w:lang w:val="en-AU"/>
              </w:rPr>
              <w:t>OS median</w:t>
            </w:r>
            <w:r w:rsidR="007311B9" w:rsidRPr="00E17531">
              <w:rPr>
                <w:lang w:val="en-AU"/>
              </w:rPr>
              <w:t>,</w:t>
            </w:r>
            <w:r w:rsidRPr="00E17531">
              <w:rPr>
                <w:lang w:val="en-AU"/>
              </w:rPr>
              <w:t xml:space="preserve"> months (95% CI)</w:t>
            </w:r>
          </w:p>
        </w:tc>
        <w:tc>
          <w:tcPr>
            <w:tcW w:w="780" w:type="pct"/>
            <w:gridSpan w:val="3"/>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NR (NR, NR)</w:t>
            </w:r>
          </w:p>
        </w:tc>
        <w:tc>
          <w:tcPr>
            <w:tcW w:w="781"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NR (9.4, NR)</w:t>
            </w:r>
          </w:p>
        </w:tc>
        <w:tc>
          <w:tcPr>
            <w:tcW w:w="70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Not estimable</w:t>
            </w:r>
          </w:p>
        </w:tc>
        <w:tc>
          <w:tcPr>
            <w:tcW w:w="94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0.60 (0.41, 0.89)</w:t>
            </w:r>
          </w:p>
        </w:tc>
      </w:tr>
      <w:tr w:rsidR="00785F70" w:rsidRPr="00E17531" w:rsidTr="003D3A16">
        <w:tc>
          <w:tcPr>
            <w:tcW w:w="5000" w:type="pct"/>
            <w:gridSpan w:val="13"/>
            <w:shd w:val="clear" w:color="auto" w:fill="auto"/>
            <w:vAlign w:val="center"/>
          </w:tcPr>
          <w:p w:rsidR="00785F70" w:rsidRPr="00E17531" w:rsidRDefault="00785F70" w:rsidP="00785F70">
            <w:pPr>
              <w:pStyle w:val="TableText"/>
              <w:spacing w:before="0" w:after="0"/>
              <w:jc w:val="left"/>
              <w:rPr>
                <w:b/>
                <w:lang w:val="en-AU"/>
              </w:rPr>
            </w:pPr>
            <w:r w:rsidRPr="00E17531">
              <w:rPr>
                <w:b/>
                <w:lang w:val="en-AU"/>
              </w:rPr>
              <w:t>PFS, median follow-up 11 months</w:t>
            </w:r>
            <w:r w:rsidRPr="00E17531">
              <w:rPr>
                <w:b/>
                <w:vertAlign w:val="superscript"/>
                <w:lang w:val="en-AU"/>
              </w:rPr>
              <w:t>b</w:t>
            </w:r>
          </w:p>
        </w:tc>
      </w:tr>
      <w:tr w:rsidR="00785F70" w:rsidRPr="00E17531" w:rsidTr="003D3A16">
        <w:tc>
          <w:tcPr>
            <w:tcW w:w="1795" w:type="pct"/>
            <w:gridSpan w:val="4"/>
            <w:tcBorders>
              <w:bottom w:val="single" w:sz="4" w:space="0" w:color="auto"/>
            </w:tcBorders>
            <w:shd w:val="clear" w:color="auto" w:fill="auto"/>
            <w:vAlign w:val="center"/>
          </w:tcPr>
          <w:p w:rsidR="00785F70" w:rsidRPr="00E17531" w:rsidRDefault="00785F70" w:rsidP="00785F70">
            <w:pPr>
              <w:pStyle w:val="TableText"/>
              <w:spacing w:before="0" w:after="0"/>
              <w:rPr>
                <w:lang w:val="en-AU"/>
              </w:rPr>
            </w:pPr>
            <w:r w:rsidRPr="00E17531">
              <w:rPr>
                <w:lang w:val="en-AU"/>
              </w:rPr>
              <w:t>Disease progression or death, n (%)</w:t>
            </w:r>
          </w:p>
        </w:tc>
        <w:tc>
          <w:tcPr>
            <w:tcW w:w="780" w:type="pct"/>
            <w:gridSpan w:val="3"/>
            <w:tcBorders>
              <w:bottom w:val="single" w:sz="4" w:space="0" w:color="auto"/>
            </w:tcBorders>
            <w:shd w:val="clear" w:color="auto" w:fill="auto"/>
            <w:vAlign w:val="center"/>
          </w:tcPr>
          <w:p w:rsidR="00785F70" w:rsidRPr="00E17531" w:rsidRDefault="00785F70" w:rsidP="00785F70">
            <w:pPr>
              <w:spacing w:before="0" w:after="0"/>
              <w:jc w:val="center"/>
              <w:rPr>
                <w:rFonts w:ascii="Arial Narrow" w:hAnsi="Arial Narrow"/>
                <w:sz w:val="20"/>
                <w:szCs w:val="20"/>
                <w:lang w:val="en-AU"/>
              </w:rPr>
            </w:pPr>
            <w:r w:rsidRPr="00E17531">
              <w:rPr>
                <w:rFonts w:ascii="Arial Narrow" w:hAnsi="Arial Narrow"/>
                <w:sz w:val="20"/>
                <w:szCs w:val="20"/>
                <w:lang w:val="en-AU"/>
              </w:rPr>
              <w:t>73 (47.4%)</w:t>
            </w:r>
          </w:p>
        </w:tc>
        <w:tc>
          <w:tcPr>
            <w:tcW w:w="781"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szCs w:val="20"/>
                <w:lang w:val="en-AU"/>
              </w:rPr>
              <w:t>116 (76.8%)</w:t>
            </w:r>
          </w:p>
        </w:tc>
        <w:tc>
          <w:tcPr>
            <w:tcW w:w="70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-29.4%</w:t>
            </w:r>
          </w:p>
        </w:tc>
        <w:tc>
          <w:tcPr>
            <w:tcW w:w="94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p>
        </w:tc>
      </w:tr>
      <w:tr w:rsidR="00785F70" w:rsidRPr="00E17531" w:rsidTr="003D3A16">
        <w:tc>
          <w:tcPr>
            <w:tcW w:w="1795" w:type="pct"/>
            <w:gridSpan w:val="4"/>
            <w:tcBorders>
              <w:bottom w:val="single" w:sz="4" w:space="0" w:color="auto"/>
            </w:tcBorders>
            <w:shd w:val="clear" w:color="auto" w:fill="auto"/>
            <w:vAlign w:val="center"/>
          </w:tcPr>
          <w:p w:rsidR="00785F70" w:rsidRPr="00E17531" w:rsidRDefault="00785F70" w:rsidP="00785F70">
            <w:pPr>
              <w:pStyle w:val="TableText"/>
              <w:spacing w:before="0" w:after="0"/>
              <w:rPr>
                <w:lang w:val="en-AU"/>
              </w:rPr>
            </w:pPr>
            <w:r w:rsidRPr="00E17531">
              <w:rPr>
                <w:lang w:val="en-AU"/>
              </w:rPr>
              <w:t>% progression-free surviving at Month 12 (95% CI)</w:t>
            </w:r>
          </w:p>
        </w:tc>
        <w:tc>
          <w:tcPr>
            <w:tcW w:w="780" w:type="pct"/>
            <w:gridSpan w:val="3"/>
            <w:tcBorders>
              <w:bottom w:val="single" w:sz="4" w:space="0" w:color="auto"/>
            </w:tcBorders>
            <w:shd w:val="clear" w:color="auto" w:fill="auto"/>
            <w:vAlign w:val="center"/>
          </w:tcPr>
          <w:p w:rsidR="00785F70" w:rsidRPr="00E61B46" w:rsidRDefault="00E61B46" w:rsidP="00785F70">
            <w:pPr>
              <w:pStyle w:val="TableText"/>
              <w:spacing w:before="0" w:after="0"/>
              <w:jc w:val="center"/>
              <w:rPr>
                <w:highlight w:val="black"/>
                <w:lang w:val="en-AU"/>
              </w:rPr>
            </w:pPr>
            <w:r>
              <w:rPr>
                <w:noProof/>
                <w:color w:val="000000"/>
                <w:highlight w:val="black"/>
                <w:lang w:val="en-AU"/>
              </w:rPr>
              <w:t>''''''''''''''</w:t>
            </w:r>
          </w:p>
          <w:p w:rsidR="00785F70" w:rsidRPr="00E61B46" w:rsidRDefault="00E61B46" w:rsidP="00785F70">
            <w:pPr>
              <w:pStyle w:val="TableText"/>
              <w:spacing w:before="0" w:after="0"/>
              <w:jc w:val="center"/>
              <w:rPr>
                <w:highlight w:val="black"/>
                <w:lang w:val="en-AU"/>
              </w:rPr>
            </w:pPr>
            <w:r>
              <w:rPr>
                <w:noProof/>
                <w:color w:val="000000"/>
                <w:highlight w:val="black"/>
                <w:lang w:val="en-AU"/>
              </w:rPr>
              <w:t>'''''''''''''''''' '''''''''''''''''''</w:t>
            </w:r>
          </w:p>
        </w:tc>
        <w:tc>
          <w:tcPr>
            <w:tcW w:w="781" w:type="pct"/>
            <w:gridSpan w:val="2"/>
            <w:tcBorders>
              <w:bottom w:val="single" w:sz="4" w:space="0" w:color="auto"/>
            </w:tcBorders>
            <w:shd w:val="clear" w:color="auto" w:fill="auto"/>
            <w:vAlign w:val="center"/>
          </w:tcPr>
          <w:p w:rsidR="00785F70" w:rsidRPr="00E61B46" w:rsidRDefault="00E61B46" w:rsidP="00785F70">
            <w:pPr>
              <w:spacing w:before="0" w:after="0"/>
              <w:jc w:val="center"/>
              <w:rPr>
                <w:rFonts w:ascii="Arial Narrow" w:hAnsi="Arial Narrow"/>
                <w:sz w:val="20"/>
                <w:szCs w:val="20"/>
                <w:highlight w:val="black"/>
                <w:lang w:val="en-AU"/>
              </w:rPr>
            </w:pPr>
            <w:r>
              <w:rPr>
                <w:rFonts w:ascii="Arial Narrow" w:hAnsi="Arial Narrow"/>
                <w:noProof/>
                <w:color w:val="000000"/>
                <w:sz w:val="20"/>
                <w:szCs w:val="20"/>
                <w:highlight w:val="black"/>
                <w:lang w:val="en-AU"/>
              </w:rPr>
              <w:t>''''''''''''''</w:t>
            </w:r>
          </w:p>
          <w:p w:rsidR="00785F70" w:rsidRPr="00E61B46" w:rsidRDefault="00E61B46" w:rsidP="00785F70">
            <w:pPr>
              <w:pStyle w:val="TableText"/>
              <w:spacing w:before="0" w:after="0"/>
              <w:jc w:val="center"/>
              <w:rPr>
                <w:highlight w:val="black"/>
                <w:lang w:val="en-AU"/>
              </w:rPr>
            </w:pPr>
            <w:r>
              <w:rPr>
                <w:noProof/>
                <w:color w:val="000000"/>
                <w:szCs w:val="20"/>
                <w:highlight w:val="black"/>
                <w:lang w:val="en-AU"/>
              </w:rPr>
              <w:t>''''''''''''''' '''''''''''''''''</w:t>
            </w:r>
          </w:p>
        </w:tc>
        <w:tc>
          <w:tcPr>
            <w:tcW w:w="702" w:type="pct"/>
            <w:gridSpan w:val="2"/>
            <w:tcBorders>
              <w:bottom w:val="single" w:sz="4" w:space="0" w:color="auto"/>
            </w:tcBorders>
            <w:shd w:val="clear" w:color="auto" w:fill="auto"/>
            <w:vAlign w:val="center"/>
          </w:tcPr>
          <w:p w:rsidR="00785F70" w:rsidRPr="00E61B46" w:rsidRDefault="00E61B46" w:rsidP="00785F70">
            <w:pPr>
              <w:pStyle w:val="TableText"/>
              <w:spacing w:before="0" w:after="0"/>
              <w:jc w:val="center"/>
              <w:rPr>
                <w:highlight w:val="black"/>
                <w:lang w:val="en-AU"/>
              </w:rPr>
            </w:pPr>
            <w:r>
              <w:rPr>
                <w:noProof/>
                <w:color w:val="000000"/>
                <w:highlight w:val="black"/>
                <w:lang w:val="en-AU"/>
              </w:rPr>
              <w:t>''''''''''''''''</w:t>
            </w:r>
          </w:p>
        </w:tc>
        <w:tc>
          <w:tcPr>
            <w:tcW w:w="94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p>
        </w:tc>
      </w:tr>
      <w:tr w:rsidR="00785F70" w:rsidRPr="00E17531" w:rsidTr="003D3A16">
        <w:tc>
          <w:tcPr>
            <w:tcW w:w="1795" w:type="pct"/>
            <w:gridSpan w:val="4"/>
            <w:tcBorders>
              <w:bottom w:val="single" w:sz="4" w:space="0" w:color="auto"/>
            </w:tcBorders>
            <w:shd w:val="clear" w:color="auto" w:fill="auto"/>
            <w:vAlign w:val="center"/>
          </w:tcPr>
          <w:p w:rsidR="00785F70" w:rsidRPr="00E17531" w:rsidRDefault="00785F70" w:rsidP="00785F70">
            <w:pPr>
              <w:pStyle w:val="TableText"/>
              <w:spacing w:before="0" w:after="0"/>
              <w:rPr>
                <w:lang w:val="en-AU"/>
              </w:rPr>
            </w:pPr>
            <w:r w:rsidRPr="00E17531">
              <w:rPr>
                <w:lang w:val="en-AU"/>
              </w:rPr>
              <w:t>PFS median</w:t>
            </w:r>
            <w:r w:rsidR="007311B9" w:rsidRPr="00E17531">
              <w:rPr>
                <w:lang w:val="en-AU"/>
              </w:rPr>
              <w:t>,</w:t>
            </w:r>
            <w:r w:rsidRPr="00E17531">
              <w:rPr>
                <w:lang w:val="en-AU"/>
              </w:rPr>
              <w:t xml:space="preserve"> months (95% CI)</w:t>
            </w:r>
          </w:p>
        </w:tc>
        <w:tc>
          <w:tcPr>
            <w:tcW w:w="780" w:type="pct"/>
            <w:gridSpan w:val="3"/>
            <w:tcBorders>
              <w:bottom w:val="single" w:sz="4" w:space="0" w:color="auto"/>
            </w:tcBorders>
            <w:shd w:val="clear" w:color="auto" w:fill="auto"/>
            <w:vAlign w:val="center"/>
          </w:tcPr>
          <w:p w:rsidR="00785F70" w:rsidRPr="00E17531" w:rsidRDefault="00785F70" w:rsidP="00437570">
            <w:pPr>
              <w:spacing w:before="0" w:after="0"/>
              <w:jc w:val="center"/>
              <w:rPr>
                <w:rFonts w:ascii="Arial Narrow" w:hAnsi="Arial Narrow"/>
                <w:sz w:val="20"/>
                <w:szCs w:val="20"/>
                <w:lang w:val="en-AU"/>
              </w:rPr>
            </w:pPr>
            <w:r w:rsidRPr="00E17531">
              <w:rPr>
                <w:rFonts w:ascii="Arial Narrow" w:hAnsi="Arial Narrow"/>
                <w:sz w:val="20"/>
                <w:szCs w:val="20"/>
                <w:lang w:val="en-AU"/>
              </w:rPr>
              <w:t>10.3</w:t>
            </w:r>
            <w:r w:rsidR="00437570" w:rsidRPr="00E17531">
              <w:rPr>
                <w:rFonts w:ascii="Arial Narrow" w:hAnsi="Arial Narrow"/>
                <w:sz w:val="20"/>
                <w:szCs w:val="20"/>
                <w:lang w:val="en-AU"/>
              </w:rPr>
              <w:t xml:space="preserve"> </w:t>
            </w:r>
            <w:r w:rsidRPr="00E17531">
              <w:rPr>
                <w:rFonts w:ascii="Arial Narrow" w:hAnsi="Arial Narrow"/>
                <w:sz w:val="20"/>
                <w:szCs w:val="20"/>
                <w:lang w:val="en-AU"/>
              </w:rPr>
              <w:t>(6.7, NR)</w:t>
            </w:r>
          </w:p>
        </w:tc>
        <w:tc>
          <w:tcPr>
            <w:tcW w:w="781" w:type="pct"/>
            <w:gridSpan w:val="2"/>
            <w:tcBorders>
              <w:bottom w:val="single" w:sz="4" w:space="0" w:color="auto"/>
            </w:tcBorders>
            <w:shd w:val="clear" w:color="auto" w:fill="auto"/>
            <w:vAlign w:val="center"/>
          </w:tcPr>
          <w:p w:rsidR="00785F70" w:rsidRPr="00E17531" w:rsidRDefault="00785F70" w:rsidP="00437570">
            <w:pPr>
              <w:spacing w:before="0" w:after="0"/>
              <w:jc w:val="center"/>
              <w:rPr>
                <w:rFonts w:ascii="Arial Narrow" w:eastAsia="Times New Roman" w:hAnsi="Arial Narrow" w:cs="Times New Roman"/>
                <w:sz w:val="20"/>
                <w:szCs w:val="20"/>
                <w:lang w:val="en-AU" w:eastAsia="en-AU"/>
              </w:rPr>
            </w:pPr>
            <w:r w:rsidRPr="00E17531">
              <w:rPr>
                <w:rFonts w:ascii="Arial Narrow" w:hAnsi="Arial Narrow"/>
                <w:sz w:val="20"/>
                <w:szCs w:val="20"/>
                <w:lang w:val="en-AU"/>
              </w:rPr>
              <w:t>6.0</w:t>
            </w:r>
            <w:r w:rsidR="00437570" w:rsidRPr="00E17531">
              <w:rPr>
                <w:rFonts w:ascii="Arial Narrow" w:hAnsi="Arial Narrow"/>
                <w:sz w:val="20"/>
                <w:szCs w:val="20"/>
                <w:lang w:val="en-AU"/>
              </w:rPr>
              <w:t xml:space="preserve"> </w:t>
            </w:r>
            <w:r w:rsidRPr="00E17531">
              <w:rPr>
                <w:rFonts w:ascii="Arial Narrow" w:hAnsi="Arial Narrow"/>
                <w:sz w:val="20"/>
                <w:szCs w:val="20"/>
                <w:lang w:val="en-AU"/>
              </w:rPr>
              <w:t>(4.2, 6.2)</w:t>
            </w:r>
          </w:p>
        </w:tc>
        <w:tc>
          <w:tcPr>
            <w:tcW w:w="702" w:type="pct"/>
            <w:gridSpan w:val="2"/>
            <w:tcBorders>
              <w:bottom w:val="single" w:sz="4" w:space="0" w:color="auto"/>
            </w:tcBorders>
            <w:shd w:val="clear" w:color="auto" w:fill="auto"/>
            <w:vAlign w:val="center"/>
          </w:tcPr>
          <w:p w:rsidR="00785F70" w:rsidRPr="00E17531" w:rsidRDefault="00785F70" w:rsidP="007311B9">
            <w:pPr>
              <w:pStyle w:val="TableText"/>
              <w:spacing w:before="0" w:after="0"/>
              <w:jc w:val="center"/>
              <w:rPr>
                <w:lang w:val="en-AU"/>
              </w:rPr>
            </w:pPr>
            <w:r w:rsidRPr="00E17531">
              <w:rPr>
                <w:lang w:val="en-AU"/>
              </w:rPr>
              <w:t>4.3</w:t>
            </w:r>
          </w:p>
        </w:tc>
        <w:tc>
          <w:tcPr>
            <w:tcW w:w="942" w:type="pct"/>
            <w:gridSpan w:val="2"/>
            <w:tcBorders>
              <w:bottom w:val="single" w:sz="4" w:space="0" w:color="auto"/>
            </w:tcBorders>
            <w:shd w:val="clear" w:color="auto" w:fill="auto"/>
            <w:vAlign w:val="center"/>
          </w:tcPr>
          <w:p w:rsidR="00785F70" w:rsidRPr="00E17531" w:rsidRDefault="00785F70" w:rsidP="00785F70">
            <w:pPr>
              <w:pStyle w:val="TableText"/>
              <w:spacing w:before="0" w:after="0"/>
              <w:jc w:val="center"/>
              <w:rPr>
                <w:lang w:val="en-AU"/>
              </w:rPr>
            </w:pPr>
            <w:r w:rsidRPr="00E17531">
              <w:rPr>
                <w:lang w:val="en-AU"/>
              </w:rPr>
              <w:t>0.50 (0.37, 0.68)</w:t>
            </w:r>
          </w:p>
        </w:tc>
      </w:tr>
      <w:tr w:rsidR="00785F70" w:rsidRPr="00E17531" w:rsidTr="00C7429A">
        <w:tc>
          <w:tcPr>
            <w:tcW w:w="5000" w:type="pct"/>
            <w:gridSpan w:val="13"/>
            <w:tcBorders>
              <w:top w:val="double" w:sz="4" w:space="0" w:color="auto"/>
            </w:tcBorders>
            <w:shd w:val="clear" w:color="auto" w:fill="auto"/>
            <w:vAlign w:val="center"/>
          </w:tcPr>
          <w:p w:rsidR="00785F70" w:rsidRPr="00E17531" w:rsidRDefault="00785F70" w:rsidP="00E5209D">
            <w:pPr>
              <w:pStyle w:val="TableText"/>
              <w:spacing w:before="0" w:after="0"/>
              <w:rPr>
                <w:u w:val="single"/>
                <w:lang w:val="en-AU"/>
              </w:rPr>
            </w:pPr>
            <w:r w:rsidRPr="00E17531">
              <w:rPr>
                <w:b/>
                <w:u w:val="single"/>
                <w:lang w:val="en-AU"/>
              </w:rPr>
              <w:t>Harms</w:t>
            </w:r>
            <w:r w:rsidR="00E5209D" w:rsidRPr="00E17531">
              <w:rPr>
                <w:b/>
                <w:u w:val="single"/>
                <w:vertAlign w:val="superscript"/>
                <w:lang w:val="en-AU"/>
              </w:rPr>
              <w:t>c</w:t>
            </w:r>
            <w:r w:rsidRPr="00E17531">
              <w:rPr>
                <w:rStyle w:val="CommentReference"/>
                <w:rFonts w:asciiTheme="minorHAnsi" w:hAnsiTheme="minorHAnsi"/>
                <w:lang w:val="en-AU"/>
              </w:rPr>
              <w:t xml:space="preserve"> </w:t>
            </w:r>
          </w:p>
        </w:tc>
      </w:tr>
      <w:tr w:rsidR="00785F70" w:rsidRPr="00E17531" w:rsidTr="00EB0CEA">
        <w:tc>
          <w:tcPr>
            <w:tcW w:w="767" w:type="pct"/>
            <w:vMerge w:val="restart"/>
            <w:shd w:val="clear" w:color="auto" w:fill="auto"/>
            <w:vAlign w:val="center"/>
          </w:tcPr>
          <w:p w:rsidR="00785F70" w:rsidRPr="00E17531" w:rsidRDefault="00785F70" w:rsidP="00785F70">
            <w:pPr>
              <w:pStyle w:val="TableText"/>
              <w:spacing w:before="0" w:after="0"/>
              <w:rPr>
                <w:lang w:val="en-AU"/>
              </w:rPr>
            </w:pPr>
          </w:p>
        </w:tc>
        <w:tc>
          <w:tcPr>
            <w:tcW w:w="711" w:type="pct"/>
            <w:gridSpan w:val="2"/>
            <w:vMerge w:val="restart"/>
            <w:shd w:val="clear" w:color="auto" w:fill="auto"/>
            <w:vAlign w:val="center"/>
          </w:tcPr>
          <w:p w:rsidR="00785F70" w:rsidRPr="00E17531" w:rsidRDefault="00785F70" w:rsidP="00785F70">
            <w:pPr>
              <w:pStyle w:val="TableText"/>
              <w:spacing w:before="0" w:after="0"/>
              <w:jc w:val="center"/>
              <w:rPr>
                <w:b/>
                <w:lang w:val="en-AU"/>
              </w:rPr>
            </w:pPr>
            <w:r w:rsidRPr="00E17531">
              <w:rPr>
                <w:b/>
                <w:lang w:val="en-AU"/>
              </w:rPr>
              <w:t>Pembrolizumab</w:t>
            </w:r>
          </w:p>
          <w:p w:rsidR="00785F70" w:rsidRPr="00E17531" w:rsidRDefault="00785F70" w:rsidP="00785F70">
            <w:pPr>
              <w:pStyle w:val="TableText"/>
              <w:spacing w:before="0" w:after="0"/>
              <w:jc w:val="center"/>
              <w:rPr>
                <w:b/>
                <w:lang w:val="en-AU"/>
              </w:rPr>
            </w:pPr>
            <w:r w:rsidRPr="00E17531">
              <w:rPr>
                <w:rFonts w:eastAsia="Times New Roman" w:cs="Times New Roman"/>
                <w:b/>
                <w:szCs w:val="20"/>
                <w:lang w:val="en-AU" w:eastAsia="en-AU"/>
              </w:rPr>
              <w:t>(N=154)</w:t>
            </w:r>
          </w:p>
        </w:tc>
        <w:tc>
          <w:tcPr>
            <w:tcW w:w="722" w:type="pct"/>
            <w:gridSpan w:val="3"/>
            <w:vMerge w:val="restart"/>
            <w:shd w:val="clear" w:color="auto" w:fill="auto"/>
            <w:vAlign w:val="center"/>
          </w:tcPr>
          <w:p w:rsidR="00785F70" w:rsidRPr="00E17531" w:rsidRDefault="00785F70" w:rsidP="00785F70">
            <w:pPr>
              <w:spacing w:before="0" w:after="0"/>
              <w:jc w:val="center"/>
              <w:rPr>
                <w:rFonts w:ascii="Arial Narrow" w:eastAsia="Times New Roman" w:hAnsi="Arial Narrow" w:cs="Times New Roman"/>
                <w:b/>
                <w:sz w:val="20"/>
                <w:szCs w:val="20"/>
                <w:lang w:val="en-AU" w:eastAsia="en-AU"/>
              </w:rPr>
            </w:pPr>
            <w:r w:rsidRPr="00E17531">
              <w:rPr>
                <w:rFonts w:ascii="Arial Narrow" w:eastAsia="Times New Roman" w:hAnsi="Arial Narrow" w:cs="Times New Roman"/>
                <w:b/>
                <w:sz w:val="20"/>
                <w:szCs w:val="20"/>
                <w:lang w:val="en-AU" w:eastAsia="en-AU"/>
              </w:rPr>
              <w:t xml:space="preserve">Platinum-based </w:t>
            </w:r>
            <w:r w:rsidR="00055388" w:rsidRPr="00055388">
              <w:rPr>
                <w:rFonts w:ascii="Arial Narrow" w:eastAsia="Times New Roman" w:hAnsi="Arial Narrow" w:cs="Times New Roman"/>
                <w:b/>
                <w:sz w:val="20"/>
                <w:szCs w:val="20"/>
                <w:lang w:val="en-AU" w:eastAsia="en-AU"/>
              </w:rPr>
              <w:t xml:space="preserve">doublet </w:t>
            </w:r>
            <w:r w:rsidRPr="00E17531">
              <w:rPr>
                <w:rFonts w:ascii="Arial Narrow" w:eastAsia="Times New Roman" w:hAnsi="Arial Narrow" w:cs="Times New Roman"/>
                <w:b/>
                <w:sz w:val="20"/>
                <w:szCs w:val="20"/>
                <w:lang w:val="en-AU" w:eastAsia="en-AU"/>
              </w:rPr>
              <w:t>chemotherapy</w:t>
            </w:r>
          </w:p>
          <w:p w:rsidR="00785F70" w:rsidRPr="00E17531" w:rsidRDefault="00785F70" w:rsidP="00785F70">
            <w:pPr>
              <w:pStyle w:val="TableText"/>
              <w:spacing w:before="0" w:after="0"/>
              <w:jc w:val="center"/>
              <w:rPr>
                <w:b/>
                <w:lang w:val="en-AU"/>
              </w:rPr>
            </w:pPr>
            <w:r w:rsidRPr="00E17531">
              <w:rPr>
                <w:rFonts w:eastAsia="Times New Roman" w:cs="Times New Roman"/>
                <w:b/>
                <w:szCs w:val="20"/>
                <w:lang w:val="en-AU" w:eastAsia="en-AU"/>
              </w:rPr>
              <w:t>(N=151)</w:t>
            </w:r>
          </w:p>
        </w:tc>
        <w:tc>
          <w:tcPr>
            <w:tcW w:w="605" w:type="pct"/>
            <w:gridSpan w:val="2"/>
            <w:vMerge w:val="restart"/>
            <w:shd w:val="clear" w:color="auto" w:fill="auto"/>
            <w:vAlign w:val="center"/>
          </w:tcPr>
          <w:p w:rsidR="00785F70" w:rsidRPr="00E17531" w:rsidRDefault="00785F70" w:rsidP="00785F70">
            <w:pPr>
              <w:pStyle w:val="TableText"/>
              <w:spacing w:before="0" w:after="0"/>
              <w:jc w:val="center"/>
              <w:rPr>
                <w:b/>
                <w:lang w:val="en-AU"/>
              </w:rPr>
            </w:pPr>
            <w:r w:rsidRPr="00E17531">
              <w:rPr>
                <w:b/>
                <w:lang w:val="en-AU"/>
              </w:rPr>
              <w:t>RR</w:t>
            </w:r>
          </w:p>
          <w:p w:rsidR="00785F70" w:rsidRPr="00E17531" w:rsidRDefault="00785F70" w:rsidP="00785F70">
            <w:pPr>
              <w:pStyle w:val="TableText"/>
              <w:spacing w:before="0" w:after="0"/>
              <w:jc w:val="center"/>
              <w:rPr>
                <w:b/>
                <w:lang w:val="en-AU"/>
              </w:rPr>
            </w:pPr>
            <w:r w:rsidRPr="00E17531">
              <w:rPr>
                <w:b/>
                <w:lang w:val="en-AU"/>
              </w:rPr>
              <w:t>(95% CI)</w:t>
            </w:r>
          </w:p>
        </w:tc>
        <w:tc>
          <w:tcPr>
            <w:tcW w:w="1455" w:type="pct"/>
            <w:gridSpan w:val="4"/>
            <w:shd w:val="clear" w:color="auto" w:fill="auto"/>
            <w:vAlign w:val="center"/>
          </w:tcPr>
          <w:p w:rsidR="00785F70" w:rsidRPr="00E17531" w:rsidRDefault="00785F70" w:rsidP="00785F70">
            <w:pPr>
              <w:pStyle w:val="TableText"/>
              <w:spacing w:before="0" w:after="0"/>
              <w:jc w:val="center"/>
              <w:rPr>
                <w:b/>
                <w:lang w:val="en-AU"/>
              </w:rPr>
            </w:pPr>
            <w:r w:rsidRPr="00E17531">
              <w:rPr>
                <w:rFonts w:eastAsia="Times New Roman" w:cs="Times New Roman"/>
                <w:b/>
                <w:szCs w:val="20"/>
                <w:lang w:val="en-AU" w:eastAsia="en-AU"/>
              </w:rPr>
              <w:t>Event rate/100 patients</w:t>
            </w:r>
          </w:p>
        </w:tc>
        <w:tc>
          <w:tcPr>
            <w:tcW w:w="740" w:type="pct"/>
            <w:vMerge w:val="restart"/>
            <w:shd w:val="clear" w:color="auto" w:fill="auto"/>
            <w:vAlign w:val="center"/>
          </w:tcPr>
          <w:p w:rsidR="00785F70" w:rsidRPr="00E17531" w:rsidRDefault="00785F70" w:rsidP="00785F70">
            <w:pPr>
              <w:pStyle w:val="TableText"/>
              <w:spacing w:before="0" w:after="0"/>
              <w:jc w:val="center"/>
              <w:rPr>
                <w:b/>
                <w:lang w:val="en-AU"/>
              </w:rPr>
            </w:pPr>
            <w:r w:rsidRPr="00E17531">
              <w:rPr>
                <w:b/>
                <w:lang w:val="en-AU"/>
              </w:rPr>
              <w:t>RD</w:t>
            </w:r>
          </w:p>
          <w:p w:rsidR="00785F70" w:rsidRPr="00E17531" w:rsidRDefault="00785F70" w:rsidP="00785F70">
            <w:pPr>
              <w:pStyle w:val="TableText"/>
              <w:spacing w:before="0" w:after="0"/>
              <w:jc w:val="center"/>
              <w:rPr>
                <w:b/>
                <w:lang w:val="en-AU"/>
              </w:rPr>
            </w:pPr>
            <w:r w:rsidRPr="00E17531">
              <w:rPr>
                <w:b/>
                <w:lang w:val="en-AU"/>
              </w:rPr>
              <w:t>(95% CI)</w:t>
            </w:r>
          </w:p>
        </w:tc>
      </w:tr>
      <w:tr w:rsidR="00785F70" w:rsidRPr="00E17531" w:rsidTr="00EB0CEA">
        <w:tc>
          <w:tcPr>
            <w:tcW w:w="767" w:type="pct"/>
            <w:vMerge/>
            <w:shd w:val="clear" w:color="auto" w:fill="auto"/>
            <w:vAlign w:val="center"/>
          </w:tcPr>
          <w:p w:rsidR="00785F70" w:rsidRPr="00E17531" w:rsidRDefault="00785F70" w:rsidP="00785F70">
            <w:pPr>
              <w:pStyle w:val="TableText"/>
              <w:spacing w:before="0" w:after="0"/>
              <w:rPr>
                <w:lang w:val="en-AU"/>
              </w:rPr>
            </w:pPr>
          </w:p>
        </w:tc>
        <w:tc>
          <w:tcPr>
            <w:tcW w:w="711" w:type="pct"/>
            <w:gridSpan w:val="2"/>
            <w:vMerge/>
            <w:shd w:val="clear" w:color="auto" w:fill="auto"/>
            <w:vAlign w:val="center"/>
          </w:tcPr>
          <w:p w:rsidR="00785F70" w:rsidRPr="00E17531" w:rsidRDefault="00785F70" w:rsidP="00785F70">
            <w:pPr>
              <w:pStyle w:val="TableText"/>
              <w:spacing w:before="0" w:after="0"/>
              <w:rPr>
                <w:lang w:val="en-AU"/>
              </w:rPr>
            </w:pPr>
          </w:p>
        </w:tc>
        <w:tc>
          <w:tcPr>
            <w:tcW w:w="722" w:type="pct"/>
            <w:gridSpan w:val="3"/>
            <w:vMerge/>
            <w:shd w:val="clear" w:color="auto" w:fill="auto"/>
            <w:vAlign w:val="center"/>
          </w:tcPr>
          <w:p w:rsidR="00785F70" w:rsidRPr="00E17531" w:rsidRDefault="00785F70" w:rsidP="00785F70">
            <w:pPr>
              <w:pStyle w:val="TableText"/>
              <w:spacing w:before="0" w:after="0"/>
              <w:rPr>
                <w:lang w:val="en-AU"/>
              </w:rPr>
            </w:pPr>
          </w:p>
        </w:tc>
        <w:tc>
          <w:tcPr>
            <w:tcW w:w="605" w:type="pct"/>
            <w:gridSpan w:val="2"/>
            <w:vMerge/>
            <w:shd w:val="clear" w:color="auto" w:fill="auto"/>
            <w:vAlign w:val="center"/>
          </w:tcPr>
          <w:p w:rsidR="00785F70" w:rsidRPr="00E17531" w:rsidRDefault="00785F70" w:rsidP="00785F70">
            <w:pPr>
              <w:pStyle w:val="TableText"/>
              <w:spacing w:before="0" w:after="0"/>
              <w:rPr>
                <w:lang w:val="en-AU"/>
              </w:rPr>
            </w:pPr>
          </w:p>
        </w:tc>
        <w:tc>
          <w:tcPr>
            <w:tcW w:w="773" w:type="pct"/>
            <w:gridSpan w:val="2"/>
            <w:shd w:val="clear" w:color="auto" w:fill="auto"/>
            <w:vAlign w:val="center"/>
          </w:tcPr>
          <w:p w:rsidR="00785F70" w:rsidRPr="00E17531" w:rsidRDefault="00785F70" w:rsidP="00785F70">
            <w:pPr>
              <w:pStyle w:val="TableText"/>
              <w:spacing w:before="0" w:after="0"/>
              <w:jc w:val="center"/>
              <w:rPr>
                <w:b/>
                <w:lang w:val="en-AU"/>
              </w:rPr>
            </w:pPr>
            <w:r w:rsidRPr="00E17531">
              <w:rPr>
                <w:b/>
                <w:lang w:val="en-AU"/>
              </w:rPr>
              <w:t>Pembrolizumab</w:t>
            </w:r>
          </w:p>
          <w:p w:rsidR="00785F70" w:rsidRPr="00E17531" w:rsidRDefault="00785F70" w:rsidP="00785F70">
            <w:pPr>
              <w:pStyle w:val="TableText"/>
              <w:spacing w:before="0" w:after="0"/>
              <w:jc w:val="center"/>
              <w:rPr>
                <w:b/>
                <w:lang w:val="en-AU"/>
              </w:rPr>
            </w:pPr>
            <w:r w:rsidRPr="00E17531">
              <w:rPr>
                <w:rFonts w:eastAsia="Times New Roman" w:cs="Times New Roman"/>
                <w:b/>
                <w:szCs w:val="20"/>
                <w:lang w:val="en-AU" w:eastAsia="en-AU"/>
              </w:rPr>
              <w:t>(N=154)</w:t>
            </w:r>
          </w:p>
        </w:tc>
        <w:tc>
          <w:tcPr>
            <w:tcW w:w="682" w:type="pct"/>
            <w:gridSpan w:val="2"/>
            <w:shd w:val="clear" w:color="auto" w:fill="auto"/>
            <w:vAlign w:val="center"/>
          </w:tcPr>
          <w:p w:rsidR="00785F70" w:rsidRPr="00E17531" w:rsidRDefault="00785F70" w:rsidP="00785F70">
            <w:pPr>
              <w:spacing w:before="0" w:after="0"/>
              <w:jc w:val="center"/>
              <w:rPr>
                <w:rFonts w:ascii="Arial Narrow" w:eastAsia="Times New Roman" w:hAnsi="Arial Narrow" w:cs="Times New Roman"/>
                <w:b/>
                <w:sz w:val="20"/>
                <w:szCs w:val="20"/>
                <w:lang w:val="en-AU" w:eastAsia="en-AU"/>
              </w:rPr>
            </w:pPr>
            <w:r w:rsidRPr="00E17531">
              <w:rPr>
                <w:rFonts w:ascii="Arial Narrow" w:eastAsia="Times New Roman" w:hAnsi="Arial Narrow" w:cs="Times New Roman"/>
                <w:b/>
                <w:sz w:val="20"/>
                <w:szCs w:val="20"/>
                <w:lang w:val="en-AU" w:eastAsia="en-AU"/>
              </w:rPr>
              <w:t xml:space="preserve">Platinum-based </w:t>
            </w:r>
            <w:r w:rsidR="00055388" w:rsidRPr="00055388">
              <w:rPr>
                <w:rFonts w:ascii="Arial Narrow" w:eastAsia="Times New Roman" w:hAnsi="Arial Narrow" w:cs="Times New Roman"/>
                <w:b/>
                <w:sz w:val="20"/>
                <w:szCs w:val="20"/>
                <w:lang w:val="en-AU" w:eastAsia="en-AU"/>
              </w:rPr>
              <w:t xml:space="preserve">doublet </w:t>
            </w:r>
            <w:r w:rsidRPr="00E17531">
              <w:rPr>
                <w:rFonts w:ascii="Arial Narrow" w:eastAsia="Times New Roman" w:hAnsi="Arial Narrow" w:cs="Times New Roman"/>
                <w:b/>
                <w:sz w:val="20"/>
                <w:szCs w:val="20"/>
                <w:lang w:val="en-AU" w:eastAsia="en-AU"/>
              </w:rPr>
              <w:t>chemotherapy</w:t>
            </w:r>
          </w:p>
          <w:p w:rsidR="00785F70" w:rsidRPr="00E17531" w:rsidRDefault="00785F70" w:rsidP="00785F70">
            <w:pPr>
              <w:pStyle w:val="TableText"/>
              <w:spacing w:before="0" w:after="0"/>
              <w:jc w:val="center"/>
              <w:rPr>
                <w:b/>
                <w:lang w:val="en-AU"/>
              </w:rPr>
            </w:pPr>
            <w:r w:rsidRPr="00E17531">
              <w:rPr>
                <w:rFonts w:eastAsia="Times New Roman" w:cs="Times New Roman"/>
                <w:b/>
                <w:szCs w:val="20"/>
                <w:lang w:val="en-AU" w:eastAsia="en-AU"/>
              </w:rPr>
              <w:t>(N=151)</w:t>
            </w:r>
          </w:p>
        </w:tc>
        <w:tc>
          <w:tcPr>
            <w:tcW w:w="740" w:type="pct"/>
            <w:vMerge/>
            <w:shd w:val="clear" w:color="auto" w:fill="auto"/>
            <w:vAlign w:val="center"/>
          </w:tcPr>
          <w:p w:rsidR="00785F70" w:rsidRPr="00E17531" w:rsidRDefault="00785F70" w:rsidP="00785F70">
            <w:pPr>
              <w:pStyle w:val="TableText"/>
              <w:spacing w:before="0" w:after="0"/>
              <w:rPr>
                <w:lang w:val="en-AU"/>
              </w:rPr>
            </w:pPr>
          </w:p>
        </w:tc>
      </w:tr>
      <w:tr w:rsidR="00785F70" w:rsidRPr="00E17531" w:rsidTr="00C7429A">
        <w:tc>
          <w:tcPr>
            <w:tcW w:w="5000" w:type="pct"/>
            <w:gridSpan w:val="13"/>
            <w:shd w:val="clear" w:color="auto" w:fill="auto"/>
            <w:vAlign w:val="center"/>
          </w:tcPr>
          <w:p w:rsidR="00785F70" w:rsidRPr="00E17531" w:rsidRDefault="00785F70" w:rsidP="00785F70">
            <w:pPr>
              <w:spacing w:before="0" w:after="0"/>
              <w:rPr>
                <w:rFonts w:ascii="Arial Narrow" w:eastAsia="Times New Roman" w:hAnsi="Arial Narrow" w:cs="Times New Roman"/>
                <w:b/>
                <w:sz w:val="20"/>
                <w:szCs w:val="20"/>
                <w:lang w:val="en-AU" w:eastAsia="en-AU"/>
              </w:rPr>
            </w:pPr>
            <w:r w:rsidRPr="00E17531">
              <w:rPr>
                <w:rFonts w:ascii="Arial Narrow" w:eastAsia="Times New Roman" w:hAnsi="Arial Narrow" w:cs="Times New Roman"/>
                <w:b/>
                <w:sz w:val="20"/>
                <w:szCs w:val="20"/>
                <w:lang w:val="en-AU" w:eastAsia="en-AU"/>
              </w:rPr>
              <w:t>Treatment-related</w:t>
            </w:r>
            <w:r w:rsidR="00E5209D" w:rsidRPr="00E17531">
              <w:rPr>
                <w:rFonts w:ascii="Arial Narrow" w:eastAsia="Times New Roman" w:hAnsi="Arial Narrow" w:cs="Times New Roman"/>
                <w:b/>
                <w:sz w:val="20"/>
                <w:szCs w:val="20"/>
                <w:vertAlign w:val="superscript"/>
                <w:lang w:val="en-AU" w:eastAsia="en-AU"/>
              </w:rPr>
              <w:t>d</w:t>
            </w:r>
            <w:r w:rsidRPr="00E17531">
              <w:rPr>
                <w:rFonts w:ascii="Arial Narrow" w:eastAsia="Times New Roman" w:hAnsi="Arial Narrow" w:cs="Times New Roman"/>
                <w:b/>
                <w:sz w:val="20"/>
                <w:szCs w:val="20"/>
                <w:lang w:val="en-AU" w:eastAsia="en-AU"/>
              </w:rPr>
              <w:t xml:space="preserve"> AEs</w:t>
            </w:r>
          </w:p>
        </w:tc>
      </w:tr>
      <w:tr w:rsidR="00785F70" w:rsidRPr="00E17531" w:rsidTr="00EB0CEA">
        <w:tc>
          <w:tcPr>
            <w:tcW w:w="767" w:type="pct"/>
            <w:shd w:val="clear" w:color="auto" w:fill="auto"/>
            <w:vAlign w:val="center"/>
          </w:tcPr>
          <w:p w:rsidR="00785F70" w:rsidRPr="00E17531" w:rsidRDefault="00785F70" w:rsidP="00315A49">
            <w:pPr>
              <w:pStyle w:val="TableText"/>
              <w:spacing w:before="0" w:after="0"/>
              <w:rPr>
                <w:lang w:val="en-AU"/>
              </w:rPr>
            </w:pPr>
            <w:r w:rsidRPr="00E17531">
              <w:rPr>
                <w:lang w:val="en-AU"/>
              </w:rPr>
              <w:t xml:space="preserve">Any </w:t>
            </w:r>
            <w:r w:rsidR="00315A49" w:rsidRPr="00E17531">
              <w:rPr>
                <w:lang w:val="en-AU"/>
              </w:rPr>
              <w:t>g</w:t>
            </w:r>
            <w:r w:rsidRPr="00E17531">
              <w:rPr>
                <w:lang w:val="en-AU"/>
              </w:rPr>
              <w:t>rade</w:t>
            </w:r>
          </w:p>
        </w:tc>
        <w:tc>
          <w:tcPr>
            <w:tcW w:w="707" w:type="pct"/>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113/154</w:t>
            </w:r>
          </w:p>
        </w:tc>
        <w:tc>
          <w:tcPr>
            <w:tcW w:w="722" w:type="pct"/>
            <w:gridSpan w:val="3"/>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135/150</w:t>
            </w:r>
          </w:p>
        </w:tc>
        <w:tc>
          <w:tcPr>
            <w:tcW w:w="609" w:type="pct"/>
            <w:gridSpan w:val="3"/>
            <w:shd w:val="clear" w:color="auto" w:fill="auto"/>
            <w:vAlign w:val="center"/>
          </w:tcPr>
          <w:p w:rsidR="00785F70" w:rsidRPr="00E17531" w:rsidRDefault="00785F70" w:rsidP="00785F70">
            <w:pPr>
              <w:pStyle w:val="TableText"/>
              <w:spacing w:before="0" w:after="0"/>
              <w:jc w:val="center"/>
              <w:rPr>
                <w:lang w:val="en-AU"/>
              </w:rPr>
            </w:pPr>
            <w:r w:rsidRPr="00E17531">
              <w:rPr>
                <w:lang w:val="en-AU"/>
              </w:rPr>
              <w:t>0.82</w:t>
            </w:r>
            <w:r w:rsidRPr="00E17531">
              <w:rPr>
                <w:lang w:val="en-AU"/>
              </w:rPr>
              <w:br/>
              <w:t>(0.73, 0.91)</w:t>
            </w:r>
          </w:p>
        </w:tc>
        <w:tc>
          <w:tcPr>
            <w:tcW w:w="773" w:type="pct"/>
            <w:gridSpan w:val="2"/>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73.4</w:t>
            </w:r>
          </w:p>
        </w:tc>
        <w:tc>
          <w:tcPr>
            <w:tcW w:w="682" w:type="pct"/>
            <w:gridSpan w:val="2"/>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90.0</w:t>
            </w:r>
          </w:p>
        </w:tc>
        <w:tc>
          <w:tcPr>
            <w:tcW w:w="740" w:type="pct"/>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 xml:space="preserve">-16.6% </w:t>
            </w:r>
            <w:r w:rsidRPr="00E17531">
              <w:rPr>
                <w:rFonts w:ascii="Arial Narrow" w:eastAsia="Times New Roman" w:hAnsi="Arial Narrow" w:cs="Times New Roman"/>
                <w:sz w:val="20"/>
                <w:szCs w:val="20"/>
                <w:lang w:val="en-AU" w:eastAsia="en-AU"/>
              </w:rPr>
              <w:br/>
              <w:t>(-25.1%, -8.1%)</w:t>
            </w:r>
          </w:p>
        </w:tc>
      </w:tr>
      <w:tr w:rsidR="00785F70" w:rsidRPr="00E17531" w:rsidTr="00EB0CEA">
        <w:tc>
          <w:tcPr>
            <w:tcW w:w="767" w:type="pct"/>
            <w:shd w:val="clear" w:color="auto" w:fill="auto"/>
            <w:vAlign w:val="center"/>
          </w:tcPr>
          <w:p w:rsidR="00785F70" w:rsidRPr="00E17531" w:rsidRDefault="00785F70" w:rsidP="00785F70">
            <w:pPr>
              <w:pStyle w:val="TableText"/>
              <w:spacing w:before="0" w:after="0"/>
              <w:rPr>
                <w:lang w:val="en-AU"/>
              </w:rPr>
            </w:pPr>
            <w:r w:rsidRPr="00E17531">
              <w:rPr>
                <w:lang w:val="en-AU"/>
              </w:rPr>
              <w:t>Grade 3, 4 or 5</w:t>
            </w:r>
          </w:p>
        </w:tc>
        <w:tc>
          <w:tcPr>
            <w:tcW w:w="707" w:type="pct"/>
            <w:shd w:val="clear" w:color="auto" w:fill="auto"/>
            <w:vAlign w:val="center"/>
          </w:tcPr>
          <w:p w:rsidR="00785F70" w:rsidRPr="00E17531" w:rsidRDefault="00785F70" w:rsidP="00785F70">
            <w:pPr>
              <w:pStyle w:val="TableText"/>
              <w:spacing w:before="0" w:after="0"/>
              <w:jc w:val="center"/>
              <w:rPr>
                <w:lang w:val="en-AU"/>
              </w:rPr>
            </w:pPr>
            <w:r w:rsidRPr="00E17531">
              <w:rPr>
                <w:rFonts w:eastAsia="Times New Roman" w:cs="Times New Roman"/>
                <w:szCs w:val="20"/>
                <w:lang w:val="en-AU" w:eastAsia="en-AU"/>
              </w:rPr>
              <w:t>41/154</w:t>
            </w:r>
          </w:p>
        </w:tc>
        <w:tc>
          <w:tcPr>
            <w:tcW w:w="722" w:type="pct"/>
            <w:gridSpan w:val="3"/>
            <w:shd w:val="clear" w:color="auto" w:fill="auto"/>
            <w:vAlign w:val="center"/>
          </w:tcPr>
          <w:p w:rsidR="00785F70" w:rsidRPr="00E17531" w:rsidRDefault="00785F70" w:rsidP="00785F70">
            <w:pPr>
              <w:pStyle w:val="TableText"/>
              <w:spacing w:before="0" w:after="0"/>
              <w:jc w:val="center"/>
              <w:rPr>
                <w:lang w:val="en-AU"/>
              </w:rPr>
            </w:pPr>
            <w:r w:rsidRPr="00E17531">
              <w:rPr>
                <w:rFonts w:eastAsia="Times New Roman" w:cs="Times New Roman"/>
                <w:szCs w:val="20"/>
                <w:lang w:val="en-AU" w:eastAsia="en-AU"/>
              </w:rPr>
              <w:t>80/150</w:t>
            </w:r>
          </w:p>
        </w:tc>
        <w:tc>
          <w:tcPr>
            <w:tcW w:w="609" w:type="pct"/>
            <w:gridSpan w:val="3"/>
            <w:shd w:val="clear" w:color="auto" w:fill="auto"/>
            <w:vAlign w:val="center"/>
          </w:tcPr>
          <w:p w:rsidR="00785F70" w:rsidRPr="00E17531" w:rsidRDefault="00785F70" w:rsidP="00785F70">
            <w:pPr>
              <w:pStyle w:val="TableText"/>
              <w:spacing w:before="0" w:after="0"/>
              <w:jc w:val="center"/>
              <w:rPr>
                <w:lang w:val="en-AU"/>
              </w:rPr>
            </w:pPr>
            <w:r w:rsidRPr="00E17531">
              <w:rPr>
                <w:lang w:val="en-AU"/>
              </w:rPr>
              <w:t>0.50</w:t>
            </w:r>
            <w:r w:rsidRPr="00E17531">
              <w:rPr>
                <w:lang w:val="en-AU"/>
              </w:rPr>
              <w:br/>
              <w:t>(0.37, 0.68)</w:t>
            </w:r>
          </w:p>
        </w:tc>
        <w:tc>
          <w:tcPr>
            <w:tcW w:w="773" w:type="pct"/>
            <w:gridSpan w:val="2"/>
            <w:shd w:val="clear" w:color="auto" w:fill="auto"/>
            <w:vAlign w:val="center"/>
          </w:tcPr>
          <w:p w:rsidR="00785F70" w:rsidRPr="00E17531" w:rsidRDefault="00785F70" w:rsidP="00785F70">
            <w:pPr>
              <w:pStyle w:val="TableText"/>
              <w:spacing w:before="0" w:after="0"/>
              <w:jc w:val="center"/>
              <w:rPr>
                <w:lang w:val="en-AU"/>
              </w:rPr>
            </w:pPr>
            <w:r w:rsidRPr="00E17531">
              <w:rPr>
                <w:rFonts w:eastAsia="Times New Roman" w:cs="Times New Roman"/>
                <w:szCs w:val="20"/>
                <w:lang w:val="en-AU" w:eastAsia="en-AU"/>
              </w:rPr>
              <w:t>26.6</w:t>
            </w:r>
          </w:p>
        </w:tc>
        <w:tc>
          <w:tcPr>
            <w:tcW w:w="682" w:type="pct"/>
            <w:gridSpan w:val="2"/>
            <w:shd w:val="clear" w:color="auto" w:fill="auto"/>
            <w:vAlign w:val="center"/>
          </w:tcPr>
          <w:p w:rsidR="00785F70" w:rsidRPr="00E17531" w:rsidRDefault="00785F70" w:rsidP="00785F70">
            <w:pPr>
              <w:pStyle w:val="TableText"/>
              <w:spacing w:before="0" w:after="0"/>
              <w:jc w:val="center"/>
              <w:rPr>
                <w:lang w:val="en-AU"/>
              </w:rPr>
            </w:pPr>
            <w:r w:rsidRPr="00E17531">
              <w:rPr>
                <w:rFonts w:eastAsia="Times New Roman" w:cs="Times New Roman"/>
                <w:szCs w:val="20"/>
                <w:lang w:val="en-AU" w:eastAsia="en-AU"/>
              </w:rPr>
              <w:t>53.3</w:t>
            </w:r>
          </w:p>
        </w:tc>
        <w:tc>
          <w:tcPr>
            <w:tcW w:w="740" w:type="pct"/>
            <w:shd w:val="clear" w:color="auto" w:fill="auto"/>
            <w:vAlign w:val="center"/>
          </w:tcPr>
          <w:p w:rsidR="00785F70" w:rsidRPr="00E17531" w:rsidRDefault="00785F70" w:rsidP="00785F70">
            <w:pPr>
              <w:pStyle w:val="TableText"/>
              <w:spacing w:before="0" w:after="0"/>
              <w:jc w:val="center"/>
              <w:rPr>
                <w:lang w:val="en-AU"/>
              </w:rPr>
            </w:pPr>
            <w:r w:rsidRPr="00E17531">
              <w:rPr>
                <w:rFonts w:eastAsia="Times New Roman" w:cs="Times New Roman"/>
                <w:szCs w:val="20"/>
                <w:lang w:val="en-AU" w:eastAsia="en-AU"/>
              </w:rPr>
              <w:t xml:space="preserve">-26.7% </w:t>
            </w:r>
            <w:r w:rsidRPr="00E17531">
              <w:rPr>
                <w:rFonts w:eastAsia="Times New Roman" w:cs="Times New Roman"/>
                <w:szCs w:val="20"/>
                <w:lang w:val="en-AU" w:eastAsia="en-AU"/>
              </w:rPr>
              <w:br/>
              <w:t>(-37.3%, -16.1%)</w:t>
            </w:r>
          </w:p>
        </w:tc>
      </w:tr>
      <w:tr w:rsidR="00785F70" w:rsidRPr="00E17531" w:rsidTr="00C7429A">
        <w:tc>
          <w:tcPr>
            <w:tcW w:w="5000" w:type="pct"/>
            <w:gridSpan w:val="13"/>
            <w:shd w:val="clear" w:color="auto" w:fill="auto"/>
            <w:vAlign w:val="center"/>
          </w:tcPr>
          <w:p w:rsidR="00785F70" w:rsidRPr="00E17531" w:rsidRDefault="00785F70" w:rsidP="00687FE1">
            <w:pPr>
              <w:spacing w:before="0" w:after="0"/>
              <w:rPr>
                <w:rFonts w:ascii="Arial Narrow" w:eastAsia="Times New Roman" w:hAnsi="Arial Narrow" w:cs="Times New Roman"/>
                <w:b/>
                <w:sz w:val="20"/>
                <w:szCs w:val="20"/>
                <w:lang w:val="en-AU" w:eastAsia="en-AU"/>
              </w:rPr>
            </w:pPr>
            <w:r w:rsidRPr="00E17531">
              <w:rPr>
                <w:rFonts w:ascii="Arial Narrow" w:eastAsia="Times New Roman" w:hAnsi="Arial Narrow" w:cs="Times New Roman"/>
                <w:b/>
                <w:sz w:val="20"/>
                <w:szCs w:val="20"/>
                <w:lang w:val="en-AU" w:eastAsia="en-AU"/>
              </w:rPr>
              <w:t>Immune</w:t>
            </w:r>
            <w:r w:rsidR="00687FE1" w:rsidRPr="00E17531">
              <w:rPr>
                <w:rFonts w:ascii="Arial Narrow" w:eastAsia="Times New Roman" w:hAnsi="Arial Narrow" w:cs="Times New Roman"/>
                <w:b/>
                <w:sz w:val="20"/>
                <w:szCs w:val="20"/>
                <w:lang w:val="en-AU" w:eastAsia="en-AU"/>
              </w:rPr>
              <w:t>-</w:t>
            </w:r>
            <w:r w:rsidRPr="00E17531">
              <w:rPr>
                <w:rFonts w:ascii="Arial Narrow" w:eastAsia="Times New Roman" w:hAnsi="Arial Narrow" w:cs="Times New Roman"/>
                <w:b/>
                <w:sz w:val="20"/>
                <w:szCs w:val="20"/>
                <w:lang w:val="en-AU" w:eastAsia="en-AU"/>
              </w:rPr>
              <w:t>mediated AEs</w:t>
            </w:r>
          </w:p>
        </w:tc>
      </w:tr>
      <w:tr w:rsidR="00785F70" w:rsidRPr="00E17531" w:rsidTr="00EB0CEA">
        <w:tc>
          <w:tcPr>
            <w:tcW w:w="767" w:type="pct"/>
            <w:tcBorders>
              <w:bottom w:val="single" w:sz="4" w:space="0" w:color="auto"/>
            </w:tcBorders>
            <w:shd w:val="clear" w:color="auto" w:fill="auto"/>
            <w:vAlign w:val="center"/>
          </w:tcPr>
          <w:p w:rsidR="00785F70" w:rsidRPr="00E17531" w:rsidRDefault="00315A49" w:rsidP="00785F70">
            <w:pPr>
              <w:spacing w:before="0" w:after="0"/>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Any g</w:t>
            </w:r>
            <w:r w:rsidR="00785F70" w:rsidRPr="00E17531">
              <w:rPr>
                <w:rFonts w:ascii="Arial Narrow" w:eastAsia="Times New Roman" w:hAnsi="Arial Narrow" w:cs="Times New Roman"/>
                <w:sz w:val="20"/>
                <w:szCs w:val="20"/>
                <w:lang w:val="en-AU" w:eastAsia="en-AU"/>
              </w:rPr>
              <w:t>rade</w:t>
            </w:r>
          </w:p>
        </w:tc>
        <w:tc>
          <w:tcPr>
            <w:tcW w:w="707" w:type="pct"/>
            <w:tcBorders>
              <w:bottom w:val="single" w:sz="4" w:space="0" w:color="auto"/>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45/154</w:t>
            </w:r>
          </w:p>
        </w:tc>
        <w:tc>
          <w:tcPr>
            <w:tcW w:w="722" w:type="pct"/>
            <w:gridSpan w:val="3"/>
            <w:tcBorders>
              <w:bottom w:val="single" w:sz="4" w:space="0" w:color="auto"/>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7/150</w:t>
            </w:r>
          </w:p>
        </w:tc>
        <w:tc>
          <w:tcPr>
            <w:tcW w:w="609" w:type="pct"/>
            <w:gridSpan w:val="3"/>
            <w:tcBorders>
              <w:bottom w:val="single" w:sz="4" w:space="0" w:color="auto"/>
            </w:tcBorders>
            <w:shd w:val="clear" w:color="auto" w:fill="auto"/>
            <w:vAlign w:val="center"/>
          </w:tcPr>
          <w:p w:rsidR="00785F70" w:rsidRPr="00E17531" w:rsidRDefault="00785F70" w:rsidP="00785F70">
            <w:pPr>
              <w:pStyle w:val="TableText"/>
              <w:spacing w:before="0" w:after="0"/>
              <w:ind w:left="-57" w:right="-57"/>
              <w:jc w:val="center"/>
              <w:rPr>
                <w:lang w:val="en-AU"/>
              </w:rPr>
            </w:pPr>
            <w:r w:rsidRPr="00E17531">
              <w:rPr>
                <w:lang w:val="en-AU"/>
              </w:rPr>
              <w:t>6.26</w:t>
            </w:r>
            <w:r w:rsidRPr="00E17531">
              <w:rPr>
                <w:lang w:val="en-AU"/>
              </w:rPr>
              <w:br/>
              <w:t>(2.92, 13.44)</w:t>
            </w:r>
          </w:p>
        </w:tc>
        <w:tc>
          <w:tcPr>
            <w:tcW w:w="773" w:type="pct"/>
            <w:gridSpan w:val="2"/>
            <w:tcBorders>
              <w:bottom w:val="single" w:sz="4" w:space="0" w:color="auto"/>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29.2</w:t>
            </w:r>
          </w:p>
        </w:tc>
        <w:tc>
          <w:tcPr>
            <w:tcW w:w="682" w:type="pct"/>
            <w:gridSpan w:val="2"/>
            <w:tcBorders>
              <w:bottom w:val="single" w:sz="4" w:space="0" w:color="auto"/>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4.7</w:t>
            </w:r>
          </w:p>
        </w:tc>
        <w:tc>
          <w:tcPr>
            <w:tcW w:w="740" w:type="pct"/>
            <w:tcBorders>
              <w:bottom w:val="single" w:sz="4" w:space="0" w:color="auto"/>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 xml:space="preserve">24.5% </w:t>
            </w:r>
            <w:r w:rsidRPr="00E17531">
              <w:rPr>
                <w:rFonts w:ascii="Arial Narrow" w:eastAsia="Times New Roman" w:hAnsi="Arial Narrow" w:cs="Times New Roman"/>
                <w:sz w:val="20"/>
                <w:szCs w:val="20"/>
                <w:lang w:val="en-AU" w:eastAsia="en-AU"/>
              </w:rPr>
              <w:br/>
              <w:t>(16.6%, 32.5%)</w:t>
            </w:r>
          </w:p>
        </w:tc>
      </w:tr>
      <w:tr w:rsidR="00785F70" w:rsidRPr="00E17531" w:rsidTr="00EB0CEA">
        <w:tc>
          <w:tcPr>
            <w:tcW w:w="767" w:type="pct"/>
            <w:tcBorders>
              <w:bottom w:val="nil"/>
            </w:tcBorders>
            <w:shd w:val="clear" w:color="auto" w:fill="auto"/>
            <w:vAlign w:val="center"/>
          </w:tcPr>
          <w:p w:rsidR="00785F70" w:rsidRPr="00E17531" w:rsidRDefault="00785F70" w:rsidP="00785F70">
            <w:pPr>
              <w:spacing w:before="0" w:after="0"/>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Grade 3,4 or 5</w:t>
            </w:r>
          </w:p>
        </w:tc>
        <w:tc>
          <w:tcPr>
            <w:tcW w:w="707" w:type="pct"/>
            <w:tcBorders>
              <w:bottom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15/154</w:t>
            </w:r>
          </w:p>
        </w:tc>
        <w:tc>
          <w:tcPr>
            <w:tcW w:w="722" w:type="pct"/>
            <w:gridSpan w:val="3"/>
            <w:tcBorders>
              <w:bottom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1/150</w:t>
            </w:r>
          </w:p>
        </w:tc>
        <w:tc>
          <w:tcPr>
            <w:tcW w:w="609" w:type="pct"/>
            <w:gridSpan w:val="3"/>
            <w:tcBorders>
              <w:bottom w:val="nil"/>
            </w:tcBorders>
            <w:shd w:val="clear" w:color="auto" w:fill="auto"/>
            <w:vAlign w:val="center"/>
          </w:tcPr>
          <w:p w:rsidR="00785F70" w:rsidRPr="00E17531" w:rsidRDefault="00785F70" w:rsidP="00785F70">
            <w:pPr>
              <w:pStyle w:val="TableText"/>
              <w:spacing w:before="0" w:after="0"/>
              <w:ind w:left="-57" w:right="-57"/>
              <w:jc w:val="center"/>
              <w:rPr>
                <w:lang w:val="en-AU"/>
              </w:rPr>
            </w:pPr>
            <w:r w:rsidRPr="00E17531">
              <w:rPr>
                <w:lang w:val="en-AU"/>
              </w:rPr>
              <w:t xml:space="preserve">14.61 </w:t>
            </w:r>
            <w:r w:rsidRPr="00E17531">
              <w:rPr>
                <w:lang w:val="en-AU"/>
              </w:rPr>
              <w:br/>
              <w:t>(1.95, 109.23)</w:t>
            </w:r>
          </w:p>
        </w:tc>
        <w:tc>
          <w:tcPr>
            <w:tcW w:w="773" w:type="pct"/>
            <w:gridSpan w:val="2"/>
            <w:tcBorders>
              <w:bottom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9.7</w:t>
            </w:r>
          </w:p>
        </w:tc>
        <w:tc>
          <w:tcPr>
            <w:tcW w:w="682" w:type="pct"/>
            <w:gridSpan w:val="2"/>
            <w:tcBorders>
              <w:bottom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0.7</w:t>
            </w:r>
          </w:p>
        </w:tc>
        <w:tc>
          <w:tcPr>
            <w:tcW w:w="740" w:type="pct"/>
            <w:tcBorders>
              <w:bottom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 xml:space="preserve">9.0% </w:t>
            </w:r>
            <w:r w:rsidRPr="00E17531">
              <w:rPr>
                <w:rFonts w:ascii="Arial Narrow" w:eastAsia="Times New Roman" w:hAnsi="Arial Narrow" w:cs="Times New Roman"/>
                <w:sz w:val="20"/>
                <w:szCs w:val="20"/>
                <w:lang w:val="en-AU" w:eastAsia="en-AU"/>
              </w:rPr>
              <w:br/>
              <w:t>(4.2%, 13.9%)</w:t>
            </w:r>
          </w:p>
        </w:tc>
      </w:tr>
      <w:tr w:rsidR="00785F70" w:rsidRPr="00E17531" w:rsidTr="00EB0CEA">
        <w:tc>
          <w:tcPr>
            <w:tcW w:w="767" w:type="pct"/>
            <w:tcBorders>
              <w:top w:val="nil"/>
            </w:tcBorders>
            <w:shd w:val="clear" w:color="auto" w:fill="auto"/>
            <w:vAlign w:val="center"/>
          </w:tcPr>
          <w:p w:rsidR="00785F70" w:rsidRPr="00E17531" w:rsidRDefault="00785F70" w:rsidP="00D74B10">
            <w:pPr>
              <w:pStyle w:val="TableText"/>
              <w:keepNext/>
              <w:widowControl/>
              <w:numPr>
                <w:ilvl w:val="0"/>
                <w:numId w:val="20"/>
              </w:numPr>
              <w:spacing w:before="0" w:after="0"/>
              <w:ind w:left="365" w:hanging="284"/>
              <w:rPr>
                <w:rFonts w:eastAsia="Times New Roman" w:cs="Times New Roman"/>
                <w:szCs w:val="20"/>
                <w:lang w:val="en-AU" w:eastAsia="en-AU"/>
              </w:rPr>
            </w:pPr>
            <w:r w:rsidRPr="00E17531">
              <w:rPr>
                <w:lang w:val="en-AU"/>
              </w:rPr>
              <w:t>Pneumonitis</w:t>
            </w:r>
          </w:p>
        </w:tc>
        <w:tc>
          <w:tcPr>
            <w:tcW w:w="707" w:type="pct"/>
            <w:tcBorders>
              <w:top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4/154</w:t>
            </w:r>
          </w:p>
        </w:tc>
        <w:tc>
          <w:tcPr>
            <w:tcW w:w="722" w:type="pct"/>
            <w:gridSpan w:val="3"/>
            <w:tcBorders>
              <w:top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1/150</w:t>
            </w:r>
          </w:p>
        </w:tc>
        <w:tc>
          <w:tcPr>
            <w:tcW w:w="609" w:type="pct"/>
            <w:gridSpan w:val="3"/>
            <w:tcBorders>
              <w:top w:val="nil"/>
            </w:tcBorders>
            <w:shd w:val="clear" w:color="auto" w:fill="auto"/>
            <w:vAlign w:val="center"/>
          </w:tcPr>
          <w:p w:rsidR="00785F70" w:rsidRPr="00E17531" w:rsidRDefault="00785F70" w:rsidP="00785F70">
            <w:pPr>
              <w:pStyle w:val="TableText"/>
              <w:spacing w:before="0" w:after="0"/>
              <w:ind w:left="-57" w:right="-57"/>
              <w:jc w:val="center"/>
              <w:rPr>
                <w:lang w:val="en-AU"/>
              </w:rPr>
            </w:pPr>
            <w:r w:rsidRPr="00E17531">
              <w:rPr>
                <w:lang w:val="en-AU"/>
              </w:rPr>
              <w:t>3.90</w:t>
            </w:r>
            <w:r w:rsidRPr="00E17531">
              <w:rPr>
                <w:lang w:val="en-AU"/>
              </w:rPr>
              <w:br/>
              <w:t>(0.44, 34.46)</w:t>
            </w:r>
          </w:p>
        </w:tc>
        <w:tc>
          <w:tcPr>
            <w:tcW w:w="773" w:type="pct"/>
            <w:gridSpan w:val="2"/>
            <w:tcBorders>
              <w:top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2.6</w:t>
            </w:r>
          </w:p>
        </w:tc>
        <w:tc>
          <w:tcPr>
            <w:tcW w:w="682" w:type="pct"/>
            <w:gridSpan w:val="2"/>
            <w:tcBorders>
              <w:top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0.7</w:t>
            </w:r>
          </w:p>
        </w:tc>
        <w:tc>
          <w:tcPr>
            <w:tcW w:w="740" w:type="pct"/>
            <w:tcBorders>
              <w:top w:val="nil"/>
            </w:tcBorders>
            <w:shd w:val="clear" w:color="auto" w:fill="auto"/>
            <w:vAlign w:val="center"/>
          </w:tcPr>
          <w:p w:rsidR="00785F70" w:rsidRPr="00E17531" w:rsidRDefault="00785F70" w:rsidP="00785F70">
            <w:pPr>
              <w:spacing w:before="0" w:after="0"/>
              <w:jc w:val="center"/>
              <w:rPr>
                <w:rFonts w:ascii="Arial Narrow" w:eastAsia="Times New Roman" w:hAnsi="Arial Narrow" w:cs="Times New Roman"/>
                <w:sz w:val="20"/>
                <w:szCs w:val="20"/>
                <w:lang w:val="en-AU" w:eastAsia="en-AU"/>
              </w:rPr>
            </w:pPr>
            <w:r w:rsidRPr="00E17531">
              <w:rPr>
                <w:rFonts w:ascii="Arial Narrow" w:eastAsia="Times New Roman" w:hAnsi="Arial Narrow" w:cs="Times New Roman"/>
                <w:sz w:val="20"/>
                <w:szCs w:val="20"/>
                <w:lang w:val="en-AU" w:eastAsia="en-AU"/>
              </w:rPr>
              <w:t>1.9%</w:t>
            </w:r>
            <w:r w:rsidRPr="00E17531">
              <w:rPr>
                <w:rFonts w:ascii="Arial Narrow" w:eastAsia="Times New Roman" w:hAnsi="Arial Narrow" w:cs="Times New Roman"/>
                <w:sz w:val="20"/>
                <w:szCs w:val="20"/>
                <w:lang w:val="en-AU" w:eastAsia="en-AU"/>
              </w:rPr>
              <w:br/>
              <w:t xml:space="preserve"> (-0.9%, 4.8%)</w:t>
            </w:r>
          </w:p>
        </w:tc>
      </w:tr>
    </w:tbl>
    <w:p w:rsidR="00013E26" w:rsidRPr="00E17531" w:rsidRDefault="00013E26" w:rsidP="00622343">
      <w:pPr>
        <w:pStyle w:val="TableFooter"/>
        <w:rPr>
          <w:rFonts w:eastAsia="TimesNewRoman"/>
          <w:lang w:eastAsia="en-GB"/>
        </w:rPr>
      </w:pPr>
      <w:r w:rsidRPr="00E17531">
        <w:rPr>
          <w:rFonts w:eastAsia="TimesNewRoman"/>
          <w:lang w:eastAsia="en-GB"/>
        </w:rPr>
        <w:t>AE = adverse event; CI = confidence interval; HR = hazard ratio; NR = not reached; OS = overall survival; PD-L1 = programmed cell death ligand 1; PFS = progression-free survival; RD = risk difference; RR = relative risk</w:t>
      </w:r>
    </w:p>
    <w:p w:rsidR="00013E26" w:rsidRPr="00E17531" w:rsidRDefault="00013E26" w:rsidP="00622343">
      <w:pPr>
        <w:pStyle w:val="TableFooter"/>
        <w:rPr>
          <w:rFonts w:eastAsia="TimesNewRoman"/>
          <w:lang w:eastAsia="en-AU"/>
        </w:rPr>
      </w:pPr>
      <w:r w:rsidRPr="00E17531">
        <w:rPr>
          <w:rFonts w:eastAsia="TimesNewRoman"/>
          <w:vertAlign w:val="superscript"/>
          <w:lang w:eastAsia="en-AU"/>
        </w:rPr>
        <w:t xml:space="preserve">a </w:t>
      </w:r>
      <w:r w:rsidRPr="00E17531">
        <w:rPr>
          <w:rFonts w:eastAsia="TimesNewRoman"/>
          <w:lang w:eastAsia="en-AU"/>
        </w:rPr>
        <w:t>Database cut-off date: J</w:t>
      </w:r>
      <w:r w:rsidR="00785F70" w:rsidRPr="00E17531">
        <w:rPr>
          <w:rFonts w:eastAsia="TimesNewRoman"/>
          <w:lang w:eastAsia="en-AU"/>
        </w:rPr>
        <w:t>uly</w:t>
      </w:r>
      <w:r w:rsidRPr="00E17531">
        <w:rPr>
          <w:rFonts w:eastAsia="TimesNewRoman"/>
          <w:lang w:eastAsia="en-AU"/>
        </w:rPr>
        <w:t xml:space="preserve"> 2017; median duration of follow-up </w:t>
      </w:r>
      <w:r w:rsidR="00785F70" w:rsidRPr="00E17531">
        <w:rPr>
          <w:rFonts w:eastAsia="TimesNewRoman"/>
          <w:lang w:eastAsia="en-AU"/>
        </w:rPr>
        <w:t>25.2</w:t>
      </w:r>
      <w:r w:rsidRPr="00E17531">
        <w:rPr>
          <w:rFonts w:eastAsia="TimesNewRoman"/>
          <w:lang w:eastAsia="en-AU"/>
        </w:rPr>
        <w:t xml:space="preserve"> months. OS data remain immature</w:t>
      </w:r>
      <w:r w:rsidR="00687FE1" w:rsidRPr="00E17531">
        <w:rPr>
          <w:rFonts w:eastAsia="TimesNewRoman"/>
          <w:lang w:eastAsia="en-AU"/>
        </w:rPr>
        <w:t>.</w:t>
      </w:r>
    </w:p>
    <w:p w:rsidR="00013E26" w:rsidRPr="00E17531" w:rsidRDefault="00013E26" w:rsidP="00622343">
      <w:pPr>
        <w:pStyle w:val="TableFooter"/>
        <w:rPr>
          <w:rFonts w:eastAsia="TimesNewRoman"/>
          <w:lang w:eastAsia="en-GB"/>
        </w:rPr>
      </w:pPr>
      <w:r w:rsidRPr="00E17531">
        <w:rPr>
          <w:rFonts w:eastAsia="TimesNewRoman"/>
          <w:vertAlign w:val="superscript"/>
          <w:lang w:eastAsia="en-AU"/>
        </w:rPr>
        <w:t>b</w:t>
      </w:r>
      <w:r w:rsidRPr="00E17531">
        <w:rPr>
          <w:rFonts w:eastAsia="TimesNewRoman"/>
          <w:lang w:eastAsia="en-GB"/>
        </w:rPr>
        <w:t xml:space="preserve"> Database cut-off date: May 9, 2016; median duration of follow up of 11.2 mon</w:t>
      </w:r>
      <w:r w:rsidR="00687FE1" w:rsidRPr="00E17531">
        <w:rPr>
          <w:rFonts w:eastAsia="TimesNewRoman"/>
          <w:lang w:eastAsia="en-GB"/>
        </w:rPr>
        <w:t>ths (range 6.3 to 19.7 months).</w:t>
      </w:r>
    </w:p>
    <w:p w:rsidR="00E5209D" w:rsidRPr="00E17531" w:rsidRDefault="00013E26" w:rsidP="00622343">
      <w:pPr>
        <w:pStyle w:val="TableFooter"/>
        <w:rPr>
          <w:rFonts w:eastAsia="TimesNewRoman"/>
          <w:lang w:eastAsia="en-AU"/>
        </w:rPr>
      </w:pPr>
      <w:r w:rsidRPr="00E17531">
        <w:rPr>
          <w:rFonts w:eastAsia="TimesNewRoman"/>
          <w:vertAlign w:val="superscript"/>
          <w:lang w:eastAsia="en-AU"/>
        </w:rPr>
        <w:t xml:space="preserve">c </w:t>
      </w:r>
      <w:r w:rsidR="00E5209D" w:rsidRPr="00E17531">
        <w:rPr>
          <w:rFonts w:eastAsia="TimesNewRoman"/>
          <w:lang w:eastAsia="en-AU"/>
        </w:rPr>
        <w:t>AEs were followed up for 30 days after last dose of study treatment</w:t>
      </w:r>
      <w:r w:rsidR="00687FE1" w:rsidRPr="00E17531">
        <w:rPr>
          <w:rFonts w:eastAsia="TimesNewRoman"/>
          <w:lang w:eastAsia="en-AU"/>
        </w:rPr>
        <w:t>.</w:t>
      </w:r>
    </w:p>
    <w:p w:rsidR="00013E26" w:rsidRPr="00E17531" w:rsidRDefault="00E5209D" w:rsidP="00622343">
      <w:pPr>
        <w:pStyle w:val="TableFooter"/>
        <w:rPr>
          <w:rFonts w:eastAsia="TimesNewRoman"/>
          <w:lang w:eastAsia="en-GB"/>
        </w:rPr>
      </w:pPr>
      <w:r w:rsidRPr="00E17531">
        <w:rPr>
          <w:rFonts w:eastAsia="TimesNewRoman"/>
          <w:vertAlign w:val="superscript"/>
          <w:lang w:eastAsia="en-AU"/>
        </w:rPr>
        <w:t xml:space="preserve">d </w:t>
      </w:r>
      <w:r w:rsidR="00013E26" w:rsidRPr="00E17531">
        <w:rPr>
          <w:rFonts w:eastAsia="TimesNewRoman"/>
          <w:lang w:eastAsia="en-GB"/>
        </w:rPr>
        <w:t>Events were attributed to treatment by the investigator and indicated by the investigator on case-report form</w:t>
      </w:r>
      <w:r w:rsidR="00687FE1" w:rsidRPr="00E17531">
        <w:rPr>
          <w:rFonts w:eastAsia="TimesNewRoman"/>
          <w:lang w:eastAsia="en-GB"/>
        </w:rPr>
        <w:t>.</w:t>
      </w:r>
    </w:p>
    <w:p w:rsidR="00013E26" w:rsidRPr="00E17531" w:rsidRDefault="00013E26" w:rsidP="00622343">
      <w:pPr>
        <w:pStyle w:val="TableFooter"/>
        <w:rPr>
          <w:rFonts w:eastAsia="TimesNewRoman"/>
          <w:lang w:eastAsia="en-GB"/>
        </w:rPr>
      </w:pPr>
      <w:r w:rsidRPr="00E17531">
        <w:rPr>
          <w:rFonts w:eastAsia="TimesNewRoman"/>
          <w:lang w:eastAsia="en-GB"/>
        </w:rPr>
        <w:t>Source: Compiled during the evaluation from effectiveness and safety data presented in the previous submission and this resubmission</w:t>
      </w:r>
    </w:p>
    <w:p w:rsidR="00E5209D" w:rsidRPr="00E17531" w:rsidRDefault="00013E26" w:rsidP="008817F8">
      <w:pPr>
        <w:pStyle w:val="ListParagraph"/>
        <w:numPr>
          <w:ilvl w:val="4"/>
          <w:numId w:val="5"/>
        </w:numPr>
        <w:spacing w:before="0" w:after="120"/>
        <w:ind w:left="709" w:hanging="709"/>
        <w:rPr>
          <w:rFonts w:ascii="Calibri" w:eastAsia="Times New Roman" w:hAnsi="Calibri" w:cs="Times New Roman"/>
        </w:rPr>
      </w:pPr>
      <w:r w:rsidRPr="00E17531">
        <w:rPr>
          <w:rFonts w:ascii="Calibri" w:eastAsia="Times New Roman" w:hAnsi="Calibri" w:cs="Times New Roman"/>
          <w:szCs w:val="24"/>
        </w:rPr>
        <w:t xml:space="preserve">On the basis of the evidence presented in the submission, for treatment naïve Stage IV NSCLC patients (with no evidence of </w:t>
      </w:r>
      <w:r w:rsidRPr="00E17531">
        <w:rPr>
          <w:rFonts w:ascii="Calibri" w:eastAsia="Times New Roman" w:hAnsi="Calibri" w:cs="Times New Roman"/>
          <w:i/>
          <w:szCs w:val="24"/>
        </w:rPr>
        <w:t>EGFR</w:t>
      </w:r>
      <w:r w:rsidRPr="00E17531">
        <w:rPr>
          <w:rFonts w:ascii="Calibri" w:eastAsia="Times New Roman" w:hAnsi="Calibri" w:cs="Times New Roman"/>
          <w:szCs w:val="24"/>
        </w:rPr>
        <w:t xml:space="preserve"> activating mutation or </w:t>
      </w:r>
      <w:r w:rsidRPr="00E17531">
        <w:rPr>
          <w:rFonts w:ascii="Calibri" w:eastAsia="Times New Roman" w:hAnsi="Calibri" w:cs="Times New Roman"/>
          <w:i/>
          <w:szCs w:val="24"/>
        </w:rPr>
        <w:t>ALK</w:t>
      </w:r>
      <w:r w:rsidRPr="00E17531">
        <w:rPr>
          <w:rFonts w:ascii="Calibri" w:eastAsia="Times New Roman" w:hAnsi="Calibri" w:cs="Times New Roman"/>
          <w:szCs w:val="24"/>
        </w:rPr>
        <w:t xml:space="preserve"> </w:t>
      </w:r>
      <w:r w:rsidRPr="00E17531">
        <w:rPr>
          <w:rFonts w:ascii="Calibri" w:eastAsia="Times New Roman" w:hAnsi="Calibri" w:cs="Times New Roman"/>
          <w:szCs w:val="24"/>
        </w:rPr>
        <w:lastRenderedPageBreak/>
        <w:t xml:space="preserve">translocation) with evidence of high </w:t>
      </w:r>
      <w:r w:rsidR="00F66B6A">
        <w:rPr>
          <w:rFonts w:ascii="Calibri" w:eastAsia="Times New Roman" w:hAnsi="Calibri" w:cs="Times New Roman"/>
          <w:szCs w:val="24"/>
        </w:rPr>
        <w:t xml:space="preserve">tumour </w:t>
      </w:r>
      <w:r w:rsidRPr="00E17531">
        <w:rPr>
          <w:rFonts w:ascii="Calibri" w:eastAsia="Times New Roman" w:hAnsi="Calibri" w:cs="Times New Roman"/>
          <w:szCs w:val="24"/>
        </w:rPr>
        <w:t xml:space="preserve">expression of PD-L1 (TPS ≥50%), treatment with pembrolizumab instead of first-line platinum-based </w:t>
      </w:r>
      <w:r w:rsidR="00055388">
        <w:t xml:space="preserve">doublet </w:t>
      </w:r>
      <w:r w:rsidRPr="00E17531">
        <w:rPr>
          <w:rFonts w:ascii="Calibri" w:eastAsia="Times New Roman" w:hAnsi="Calibri" w:cs="Times New Roman"/>
          <w:szCs w:val="24"/>
        </w:rPr>
        <w:t xml:space="preserve">chemotherapy for a median duration of </w:t>
      </w:r>
      <w:r w:rsidR="00FB2FDB" w:rsidRPr="00E17531">
        <w:rPr>
          <w:rFonts w:ascii="Calibri" w:eastAsia="Times New Roman" w:hAnsi="Calibri" w:cs="Times New Roman"/>
          <w:szCs w:val="24"/>
        </w:rPr>
        <w:t>25</w:t>
      </w:r>
      <w:r w:rsidRPr="00E17531">
        <w:rPr>
          <w:rFonts w:ascii="Calibri" w:eastAsia="Times New Roman" w:hAnsi="Calibri" w:cs="Times New Roman"/>
          <w:szCs w:val="24"/>
        </w:rPr>
        <w:t xml:space="preserve"> months</w:t>
      </w:r>
      <w:r w:rsidR="002B4F41" w:rsidRPr="00E17531">
        <w:rPr>
          <w:rFonts w:ascii="Calibri" w:eastAsia="Times New Roman" w:hAnsi="Calibri" w:cs="Times New Roman"/>
          <w:szCs w:val="24"/>
        </w:rPr>
        <w:t>, t</w:t>
      </w:r>
      <w:r w:rsidRPr="00E17531">
        <w:t xml:space="preserve">he risk of death would be reduced by 37%. However, whilst there was a statistically significant overall survival benefit associated with pembrolizumab over chemotherapy, the data was immature </w:t>
      </w:r>
      <w:r w:rsidR="002B4F41" w:rsidRPr="00E17531">
        <w:t>overall</w:t>
      </w:r>
      <w:r w:rsidRPr="00E17531">
        <w:t>.</w:t>
      </w:r>
    </w:p>
    <w:p w:rsidR="002B4F41" w:rsidRPr="00E17531" w:rsidRDefault="00013E26" w:rsidP="008817F8">
      <w:pPr>
        <w:pStyle w:val="ListParagraph"/>
        <w:numPr>
          <w:ilvl w:val="4"/>
          <w:numId w:val="5"/>
        </w:numPr>
        <w:spacing w:before="0" w:after="120"/>
        <w:ind w:left="709" w:hanging="709"/>
        <w:rPr>
          <w:rFonts w:ascii="Calibri" w:eastAsia="Times New Roman" w:hAnsi="Calibri" w:cs="Times New Roman"/>
          <w:szCs w:val="24"/>
        </w:rPr>
      </w:pPr>
      <w:r w:rsidRPr="00E17531">
        <w:rPr>
          <w:rFonts w:ascii="Calibri" w:eastAsia="Times New Roman" w:hAnsi="Calibri" w:cs="Times New Roman"/>
          <w:szCs w:val="24"/>
        </w:rPr>
        <w:t xml:space="preserve">On the basis of the evidence presented in the submission, for treatment naïve Stage IV NSCLC patients (with no evidence of </w:t>
      </w:r>
      <w:r w:rsidRPr="00E17531">
        <w:rPr>
          <w:rFonts w:ascii="Calibri" w:eastAsia="Times New Roman" w:hAnsi="Calibri" w:cs="Times New Roman"/>
          <w:i/>
          <w:szCs w:val="24"/>
        </w:rPr>
        <w:t>EGFR</w:t>
      </w:r>
      <w:r w:rsidRPr="00E17531">
        <w:rPr>
          <w:rFonts w:ascii="Calibri" w:eastAsia="Times New Roman" w:hAnsi="Calibri" w:cs="Times New Roman"/>
          <w:szCs w:val="24"/>
        </w:rPr>
        <w:t xml:space="preserve"> activating mutation or </w:t>
      </w:r>
      <w:r w:rsidRPr="00E17531">
        <w:rPr>
          <w:rFonts w:ascii="Calibri" w:eastAsia="Times New Roman" w:hAnsi="Calibri" w:cs="Times New Roman"/>
          <w:i/>
          <w:szCs w:val="24"/>
        </w:rPr>
        <w:t>ALK</w:t>
      </w:r>
      <w:r w:rsidRPr="00E17531">
        <w:rPr>
          <w:rFonts w:ascii="Calibri" w:eastAsia="Times New Roman" w:hAnsi="Calibri" w:cs="Times New Roman"/>
          <w:szCs w:val="24"/>
        </w:rPr>
        <w:t xml:space="preserve"> translocation) with evidence of high </w:t>
      </w:r>
      <w:r w:rsidR="00F66B6A">
        <w:rPr>
          <w:rFonts w:ascii="Calibri" w:eastAsia="Times New Roman" w:hAnsi="Calibri" w:cs="Times New Roman"/>
          <w:szCs w:val="24"/>
        </w:rPr>
        <w:t xml:space="preserve">tumour </w:t>
      </w:r>
      <w:r w:rsidRPr="00E17531">
        <w:rPr>
          <w:rFonts w:ascii="Calibri" w:eastAsia="Times New Roman" w:hAnsi="Calibri" w:cs="Times New Roman"/>
          <w:szCs w:val="24"/>
        </w:rPr>
        <w:t xml:space="preserve">expression of PD-L1 (TPS ≥50%), treatment with pembrolizumab instead of first-line platinum-based </w:t>
      </w:r>
      <w:r w:rsidR="00055388">
        <w:t xml:space="preserve">doublet </w:t>
      </w:r>
      <w:r w:rsidRPr="00E17531">
        <w:rPr>
          <w:rFonts w:ascii="Calibri" w:eastAsia="Times New Roman" w:hAnsi="Calibri" w:cs="Times New Roman"/>
          <w:szCs w:val="24"/>
        </w:rPr>
        <w:t>chemotherapy for a median duration of 11 months</w:t>
      </w:r>
      <w:r w:rsidR="002B4F41" w:rsidRPr="00E17531">
        <w:rPr>
          <w:rFonts w:ascii="Calibri" w:eastAsia="Times New Roman" w:hAnsi="Calibri" w:cs="Times New Roman"/>
          <w:szCs w:val="24"/>
        </w:rPr>
        <w:t>, t</w:t>
      </w:r>
      <w:r w:rsidR="00E5209D" w:rsidRPr="00E17531" w:rsidDel="00E5209D">
        <w:t>he risk of disease progression or death would be reduced by a statistically significant 50%</w:t>
      </w:r>
      <w:r w:rsidR="002B4F41" w:rsidRPr="00E17531">
        <w:t>.</w:t>
      </w:r>
    </w:p>
    <w:p w:rsidR="00013E26" w:rsidRPr="00E17531" w:rsidRDefault="00013E26" w:rsidP="008817F8">
      <w:pPr>
        <w:pStyle w:val="ListParagraph"/>
        <w:numPr>
          <w:ilvl w:val="4"/>
          <w:numId w:val="5"/>
        </w:numPr>
        <w:spacing w:before="0" w:after="120"/>
        <w:ind w:left="709" w:hanging="709"/>
        <w:rPr>
          <w:rFonts w:ascii="Calibri" w:eastAsia="Times New Roman" w:hAnsi="Calibri" w:cs="Times New Roman"/>
          <w:szCs w:val="24"/>
        </w:rPr>
      </w:pPr>
      <w:r w:rsidRPr="00E17531">
        <w:t>For every 100 patients</w:t>
      </w:r>
      <w:r w:rsidR="00780CD9" w:rsidRPr="00E17531">
        <w:t xml:space="preserve"> who are followed</w:t>
      </w:r>
      <w:r w:rsidR="00F64BF3" w:rsidRPr="00E17531">
        <w:t>-</w:t>
      </w:r>
      <w:r w:rsidR="00780CD9" w:rsidRPr="00E17531">
        <w:t>up for 30 days after</w:t>
      </w:r>
      <w:r w:rsidR="00F64BF3" w:rsidRPr="00E17531">
        <w:t xml:space="preserve"> the</w:t>
      </w:r>
      <w:r w:rsidR="00780CD9" w:rsidRPr="00E17531">
        <w:t xml:space="preserve"> last dose of study treatment</w:t>
      </w:r>
      <w:r w:rsidRPr="00E17531">
        <w:t>, 27 fewer patients would experience a drug-related Grade 3–5 AE, but an additional 9 patients may expe</w:t>
      </w:r>
      <w:r w:rsidR="00687FE1" w:rsidRPr="00E17531">
        <w:t>rience a Grade 3, 4 or 5 immune-</w:t>
      </w:r>
      <w:r w:rsidRPr="00E17531">
        <w:t xml:space="preserve">mediated AE. The risk of these immune-mediated </w:t>
      </w:r>
      <w:r w:rsidRPr="00E17531">
        <w:rPr>
          <w:color w:val="auto"/>
        </w:rPr>
        <w:t>events</w:t>
      </w:r>
      <w:r w:rsidRPr="00E17531">
        <w:t xml:space="preserve"> may be higher in clinical practice than that observed during the trial.</w:t>
      </w:r>
    </w:p>
    <w:p w:rsidR="00013E26" w:rsidRPr="00E17531" w:rsidRDefault="00013E26" w:rsidP="00AD25EE">
      <w:pPr>
        <w:pStyle w:val="ESHeading2"/>
      </w:pPr>
      <w:r w:rsidRPr="00E17531">
        <w:t>Interpretation of clinical evidence</w:t>
      </w:r>
    </w:p>
    <w:p w:rsidR="00013E26" w:rsidRPr="00E17531" w:rsidRDefault="00013E26" w:rsidP="00622343">
      <w:pPr>
        <w:rPr>
          <w:u w:val="single"/>
        </w:rPr>
      </w:pPr>
      <w:r w:rsidRPr="00E17531">
        <w:rPr>
          <w:u w:val="single"/>
        </w:rPr>
        <w:t>Clinical claim and therapeutic relativity</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t>The resubmission claimed that pembrolizumab is superior in terms of comparative effectiveness and superior</w:t>
      </w:r>
      <w:r w:rsidR="00592F1B" w:rsidRPr="00E17531">
        <w:rPr>
          <w:color w:val="auto"/>
        </w:rPr>
        <w:t xml:space="preserve"> in terms of comparative safety</w:t>
      </w:r>
      <w:r w:rsidRPr="00E17531">
        <w:rPr>
          <w:color w:val="auto"/>
        </w:rPr>
        <w:t xml:space="preserve"> in patients with metastatic, previously untreated Stage IV NSCLC whose tumours express high levels of PD-L1 expression (TPS ≥50%) with no </w:t>
      </w:r>
      <w:r w:rsidRPr="00E17531">
        <w:rPr>
          <w:i/>
          <w:color w:val="auto"/>
        </w:rPr>
        <w:t>EGFR</w:t>
      </w:r>
      <w:r w:rsidRPr="00E17531">
        <w:rPr>
          <w:color w:val="auto"/>
        </w:rPr>
        <w:t xml:space="preserve"> sensitising mutations or </w:t>
      </w:r>
      <w:r w:rsidRPr="00E17531">
        <w:rPr>
          <w:i/>
          <w:color w:val="auto"/>
        </w:rPr>
        <w:t>ALK</w:t>
      </w:r>
      <w:r w:rsidRPr="00E17531">
        <w:rPr>
          <w:color w:val="auto"/>
        </w:rPr>
        <w:t xml:space="preserve"> translocations.</w:t>
      </w:r>
    </w:p>
    <w:p w:rsidR="000E08F7" w:rsidRPr="00E17531" w:rsidRDefault="00013E26" w:rsidP="008817F8">
      <w:pPr>
        <w:pStyle w:val="ListParagraph"/>
        <w:numPr>
          <w:ilvl w:val="4"/>
          <w:numId w:val="5"/>
        </w:numPr>
        <w:spacing w:before="0" w:after="120"/>
        <w:ind w:left="709" w:hanging="709"/>
        <w:rPr>
          <w:color w:val="auto"/>
        </w:rPr>
      </w:pPr>
      <w:r w:rsidRPr="00E17531">
        <w:rPr>
          <w:color w:val="auto"/>
        </w:rPr>
        <w:t>The PBAC previously accepted the claim of superior effectiveness of (for both PFS and OS) and superior safety of pembrolizumab compared with platinum-based doublet chemotherapy (Item 6.04, pembrolizumab PSD, March 2017 PBAC meeting). The extended OS data (with a median duration of follow-up of 19 months) presented in the pre-PBAC response to the March 2017 PBAC meeting, and in the current resubmission, remain immature.</w:t>
      </w:r>
    </w:p>
    <w:p w:rsidR="00F703F3" w:rsidRPr="00E17531" w:rsidRDefault="00F703F3" w:rsidP="008817F8">
      <w:pPr>
        <w:pStyle w:val="ListParagraph"/>
        <w:numPr>
          <w:ilvl w:val="4"/>
          <w:numId w:val="5"/>
        </w:numPr>
        <w:spacing w:before="0" w:after="120"/>
        <w:ind w:left="709" w:hanging="709"/>
        <w:rPr>
          <w:color w:val="auto"/>
        </w:rPr>
      </w:pPr>
      <w:r w:rsidRPr="00E17531">
        <w:rPr>
          <w:color w:val="auto"/>
        </w:rPr>
        <w:t xml:space="preserve">The PSCR </w:t>
      </w:r>
      <w:r w:rsidR="004D6069" w:rsidRPr="00E17531">
        <w:rPr>
          <w:color w:val="auto"/>
        </w:rPr>
        <w:t>(p1</w:t>
      </w:r>
      <w:r w:rsidR="00592F1B" w:rsidRPr="00E17531">
        <w:rPr>
          <w:color w:val="auto"/>
        </w:rPr>
        <w:t>, 9, 10</w:t>
      </w:r>
      <w:r w:rsidR="004D6069" w:rsidRPr="00E17531">
        <w:rPr>
          <w:color w:val="auto"/>
        </w:rPr>
        <w:t xml:space="preserve">) </w:t>
      </w:r>
      <w:r w:rsidRPr="00E17531">
        <w:rPr>
          <w:color w:val="auto"/>
        </w:rPr>
        <w:t>pro</w:t>
      </w:r>
      <w:r w:rsidR="00B00ED4" w:rsidRPr="00E17531">
        <w:rPr>
          <w:color w:val="auto"/>
        </w:rPr>
        <w:t xml:space="preserve">vided updated OS and PFS </w:t>
      </w:r>
      <w:r w:rsidR="004D6069" w:rsidRPr="00E17531">
        <w:rPr>
          <w:color w:val="auto"/>
        </w:rPr>
        <w:t xml:space="preserve">results </w:t>
      </w:r>
      <w:r w:rsidR="000113A6" w:rsidRPr="00E17531">
        <w:rPr>
          <w:color w:val="auto"/>
        </w:rPr>
        <w:t xml:space="preserve">for KN-024, </w:t>
      </w:r>
      <w:r w:rsidR="004D6069" w:rsidRPr="00E17531">
        <w:rPr>
          <w:color w:val="auto"/>
        </w:rPr>
        <w:t xml:space="preserve">and </w:t>
      </w:r>
      <w:r w:rsidR="000113A6" w:rsidRPr="00E17531">
        <w:rPr>
          <w:color w:val="auto"/>
        </w:rPr>
        <w:t xml:space="preserve">(p9) </w:t>
      </w:r>
      <w:r w:rsidR="004D6069" w:rsidRPr="00E17531">
        <w:rPr>
          <w:color w:val="auto"/>
        </w:rPr>
        <w:t xml:space="preserve">provided other trial results </w:t>
      </w:r>
      <w:r w:rsidR="000113A6" w:rsidRPr="00E17531">
        <w:rPr>
          <w:color w:val="auto"/>
        </w:rPr>
        <w:t xml:space="preserve">as “context” for the results from KN-024. </w:t>
      </w:r>
      <w:r w:rsidR="00B00ED4" w:rsidRPr="00E17531">
        <w:rPr>
          <w:color w:val="auto"/>
        </w:rPr>
        <w:t>The ESC</w:t>
      </w:r>
      <w:r w:rsidR="005D62F2" w:rsidRPr="00E17531">
        <w:rPr>
          <w:color w:val="auto"/>
        </w:rPr>
        <w:t>s</w:t>
      </w:r>
      <w:r w:rsidR="00B00ED4" w:rsidRPr="00E17531">
        <w:rPr>
          <w:color w:val="auto"/>
        </w:rPr>
        <w:t xml:space="preserve"> acknowledged </w:t>
      </w:r>
      <w:r w:rsidR="000113A6" w:rsidRPr="00E17531">
        <w:rPr>
          <w:color w:val="auto"/>
        </w:rPr>
        <w:t xml:space="preserve">the </w:t>
      </w:r>
      <w:r w:rsidR="00B00ED4" w:rsidRPr="00E17531">
        <w:rPr>
          <w:color w:val="auto"/>
        </w:rPr>
        <w:t xml:space="preserve">favourable </w:t>
      </w:r>
      <w:r w:rsidR="000113A6" w:rsidRPr="00E17531">
        <w:rPr>
          <w:color w:val="auto"/>
        </w:rPr>
        <w:t>OS results from the final analy</w:t>
      </w:r>
      <w:r w:rsidR="00B00ED4" w:rsidRPr="00E17531">
        <w:rPr>
          <w:color w:val="auto"/>
        </w:rPr>
        <w:t>sis</w:t>
      </w:r>
      <w:r w:rsidR="000113A6" w:rsidRPr="00E17531">
        <w:rPr>
          <w:color w:val="auto"/>
        </w:rPr>
        <w:t xml:space="preserve">, however </w:t>
      </w:r>
      <w:r w:rsidR="00B00ED4" w:rsidRPr="00E17531">
        <w:rPr>
          <w:color w:val="auto"/>
        </w:rPr>
        <w:t>was</w:t>
      </w:r>
      <w:r w:rsidR="000113A6" w:rsidRPr="00E17531">
        <w:rPr>
          <w:color w:val="auto"/>
        </w:rPr>
        <w:t xml:space="preserve"> </w:t>
      </w:r>
      <w:r w:rsidR="00B00ED4" w:rsidRPr="00E17531">
        <w:rPr>
          <w:color w:val="auto"/>
        </w:rPr>
        <w:t>concerned that the</w:t>
      </w:r>
      <w:r w:rsidR="000113A6" w:rsidRPr="00E17531">
        <w:rPr>
          <w:color w:val="auto"/>
        </w:rPr>
        <w:t xml:space="preserve"> uncertainty around the estimate</w:t>
      </w:r>
      <w:r w:rsidR="00B00ED4" w:rsidRPr="00E17531">
        <w:rPr>
          <w:color w:val="auto"/>
        </w:rPr>
        <w:t xml:space="preserve"> of </w:t>
      </w:r>
      <w:r w:rsidR="005D62F2" w:rsidRPr="00E17531">
        <w:rPr>
          <w:color w:val="auto"/>
        </w:rPr>
        <w:t xml:space="preserve">incremental </w:t>
      </w:r>
      <w:r w:rsidR="00B00ED4" w:rsidRPr="00E17531">
        <w:rPr>
          <w:color w:val="auto"/>
        </w:rPr>
        <w:t>effect remained</w:t>
      </w:r>
      <w:r w:rsidR="000113A6" w:rsidRPr="00E17531">
        <w:rPr>
          <w:color w:val="auto"/>
        </w:rPr>
        <w:t>. The ESC</w:t>
      </w:r>
      <w:r w:rsidR="005D62F2" w:rsidRPr="00E17531">
        <w:rPr>
          <w:color w:val="auto"/>
        </w:rPr>
        <w:t>s</w:t>
      </w:r>
      <w:r w:rsidR="000113A6" w:rsidRPr="00E17531">
        <w:rPr>
          <w:color w:val="auto"/>
        </w:rPr>
        <w:t xml:space="preserve"> considered that a comparison of the OS results from KN-024 with th</w:t>
      </w:r>
      <w:r w:rsidR="005D62F2" w:rsidRPr="00E17531">
        <w:rPr>
          <w:color w:val="auto"/>
        </w:rPr>
        <w:t>os</w:t>
      </w:r>
      <w:r w:rsidR="000113A6" w:rsidRPr="00E17531">
        <w:rPr>
          <w:color w:val="auto"/>
        </w:rPr>
        <w:t xml:space="preserve">e </w:t>
      </w:r>
      <w:r w:rsidR="005D62F2" w:rsidRPr="00E17531">
        <w:rPr>
          <w:color w:val="auto"/>
        </w:rPr>
        <w:t xml:space="preserve">of other trials could </w:t>
      </w:r>
      <w:r w:rsidR="000113A6" w:rsidRPr="00E17531">
        <w:rPr>
          <w:color w:val="auto"/>
        </w:rPr>
        <w:t>not help resolve th</w:t>
      </w:r>
      <w:r w:rsidR="005D62F2" w:rsidRPr="00E17531">
        <w:rPr>
          <w:color w:val="auto"/>
        </w:rPr>
        <w:t>is</w:t>
      </w:r>
      <w:r w:rsidR="000113A6" w:rsidRPr="00E17531">
        <w:rPr>
          <w:color w:val="auto"/>
        </w:rPr>
        <w:t xml:space="preserve"> concern.</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t>When the PBAC considered the previous submission, the Committee considered that the comparative treatment effect of pembrolizumab versus chemotherapy with regard to improving QoL could not be reliably determined (Item 6.04, pembrolizumab PSD, March 2017 PBAC meeting). The resubmission did not provide any new clinical evidence to address this uncertainty.</w:t>
      </w:r>
    </w:p>
    <w:p w:rsidR="00013E26" w:rsidRPr="00E17531" w:rsidRDefault="00013E26" w:rsidP="008817F8">
      <w:pPr>
        <w:spacing w:before="0" w:after="120"/>
        <w:rPr>
          <w:u w:val="single"/>
        </w:rPr>
      </w:pPr>
      <w:r w:rsidRPr="00E17531">
        <w:rPr>
          <w:u w:val="single"/>
        </w:rPr>
        <w:t>Claim of codependence</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lastRenderedPageBreak/>
        <w:t xml:space="preserve">The resubmission claimed that treatment guided by PD-L1 status, where patients with high </w:t>
      </w:r>
      <w:r w:rsidR="00F66B6A">
        <w:rPr>
          <w:color w:val="auto"/>
        </w:rPr>
        <w:t xml:space="preserve">tumour </w:t>
      </w:r>
      <w:r w:rsidRPr="00E17531">
        <w:rPr>
          <w:color w:val="auto"/>
        </w:rPr>
        <w:t xml:space="preserve">expression of PD-L1 (i.e. TPS ≥50%) are treated with pembrolizumab, and patients with low or no expression of </w:t>
      </w:r>
      <w:r w:rsidR="00F66B6A">
        <w:rPr>
          <w:color w:val="auto"/>
        </w:rPr>
        <w:t xml:space="preserve">tumour </w:t>
      </w:r>
      <w:r w:rsidRPr="00E17531">
        <w:rPr>
          <w:color w:val="auto"/>
        </w:rPr>
        <w:t xml:space="preserve">PD-L1 (i.e. TPS &lt;50%) are treated with platinum-based </w:t>
      </w:r>
      <w:r w:rsidR="00055388">
        <w:t xml:space="preserve">doublet </w:t>
      </w:r>
      <w:r w:rsidRPr="00E17531">
        <w:rPr>
          <w:color w:val="auto"/>
        </w:rPr>
        <w:t xml:space="preserve">chemotherapy, results in improved outcomes versus the comparator, which is no testing and platinum-based </w:t>
      </w:r>
      <w:r w:rsidR="00055388">
        <w:t xml:space="preserve">doublet </w:t>
      </w:r>
      <w:r w:rsidRPr="00E17531">
        <w:rPr>
          <w:color w:val="auto"/>
        </w:rPr>
        <w:t>chemotherapy in all patients. This was based on the resubmission’s conclusions that:</w:t>
      </w:r>
    </w:p>
    <w:p w:rsidR="00013E26" w:rsidRPr="00E17531" w:rsidRDefault="00013E26" w:rsidP="008817F8">
      <w:pPr>
        <w:pStyle w:val="ListParagraph"/>
        <w:numPr>
          <w:ilvl w:val="0"/>
          <w:numId w:val="10"/>
        </w:numPr>
        <w:spacing w:before="0" w:after="120"/>
        <w:ind w:left="1276" w:hanging="426"/>
      </w:pPr>
      <w:r w:rsidRPr="00E17531">
        <w:t>the test is accurate,</w:t>
      </w:r>
    </w:p>
    <w:p w:rsidR="00013E26" w:rsidRPr="00E17531" w:rsidRDefault="00013E26" w:rsidP="008817F8">
      <w:pPr>
        <w:pStyle w:val="ListParagraph"/>
        <w:numPr>
          <w:ilvl w:val="0"/>
          <w:numId w:val="10"/>
        </w:numPr>
        <w:spacing w:before="0" w:after="120"/>
        <w:ind w:left="1276" w:hanging="426"/>
      </w:pPr>
      <w:r w:rsidRPr="00E17531">
        <w:t xml:space="preserve">there is no prognostic impact of PD-L1 status (therefore patients with TPS ≥50% in the trial treated with platinum-based </w:t>
      </w:r>
      <w:r w:rsidR="00055388">
        <w:t xml:space="preserve">doublet </w:t>
      </w:r>
      <w:r w:rsidRPr="00E17531">
        <w:t xml:space="preserve">chemotherapy can reasonably approximate an unselected population treated with platinum-based </w:t>
      </w:r>
      <w:r w:rsidR="00055388">
        <w:t xml:space="preserve">doublet </w:t>
      </w:r>
      <w:r w:rsidRPr="00E17531">
        <w:t>chemotherapy),</w:t>
      </w:r>
    </w:p>
    <w:p w:rsidR="00013E26" w:rsidRPr="00E17531" w:rsidRDefault="00013E26" w:rsidP="008817F8">
      <w:pPr>
        <w:pStyle w:val="ListParagraph"/>
        <w:numPr>
          <w:ilvl w:val="0"/>
          <w:numId w:val="10"/>
        </w:numPr>
        <w:spacing w:before="0" w:after="120"/>
        <w:ind w:left="1276" w:hanging="426"/>
      </w:pPr>
      <w:r w:rsidRPr="00E17531">
        <w:t xml:space="preserve">pembrolizumab has improved effectiveness and improved or non-inferior safety, when compared to platinum-based </w:t>
      </w:r>
      <w:r w:rsidR="00055388">
        <w:t xml:space="preserve">doublet </w:t>
      </w:r>
      <w:r w:rsidRPr="00E17531">
        <w:t>chemotherapy, and</w:t>
      </w:r>
    </w:p>
    <w:p w:rsidR="00013E26" w:rsidRPr="00E17531" w:rsidRDefault="00013E26" w:rsidP="008817F8">
      <w:pPr>
        <w:pStyle w:val="ListParagraph"/>
        <w:numPr>
          <w:ilvl w:val="0"/>
          <w:numId w:val="10"/>
        </w:numPr>
        <w:spacing w:before="0" w:after="120"/>
        <w:ind w:left="1276" w:hanging="426"/>
      </w:pPr>
      <w:r w:rsidRPr="00E17531">
        <w:t>that there is treatment effect variation by PD-L1 status.</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t xml:space="preserve">The lack of a reference standard prevented the determination of the diagnostic accuracy of the Dako 22C3 assay. Thus, the proportions of false positives and false negatives could not be determined accurately. The clinical outcomes of treating the false positives </w:t>
      </w:r>
      <w:r w:rsidR="00201F25" w:rsidRPr="00E17531">
        <w:rPr>
          <w:color w:val="auto"/>
        </w:rPr>
        <w:t xml:space="preserve">have been captured </w:t>
      </w:r>
      <w:r w:rsidRPr="00E17531">
        <w:rPr>
          <w:color w:val="auto"/>
        </w:rPr>
        <w:t xml:space="preserve">in the KN-024 trial, but </w:t>
      </w:r>
      <w:r w:rsidR="00315A49" w:rsidRPr="00E17531">
        <w:rPr>
          <w:color w:val="auto"/>
        </w:rPr>
        <w:t xml:space="preserve">not </w:t>
      </w:r>
      <w:r w:rsidRPr="00E17531">
        <w:rPr>
          <w:color w:val="auto"/>
        </w:rPr>
        <w:t>th</w:t>
      </w:r>
      <w:r w:rsidR="00201F25" w:rsidRPr="00E17531">
        <w:rPr>
          <w:color w:val="auto"/>
        </w:rPr>
        <w:t>ose</w:t>
      </w:r>
      <w:r w:rsidRPr="00E17531">
        <w:rPr>
          <w:color w:val="auto"/>
        </w:rPr>
        <w:t xml:space="preserve"> of not treating the false negatives. </w:t>
      </w:r>
      <w:r w:rsidR="00201F25" w:rsidRPr="00E17531">
        <w:t xml:space="preserve">These patients would receive platinum-based </w:t>
      </w:r>
      <w:r w:rsidR="00055388">
        <w:t xml:space="preserve">doublet </w:t>
      </w:r>
      <w:r w:rsidR="00201F25" w:rsidRPr="00E17531">
        <w:t>chemotherapy and may have inferior clinical outcomes compared with true positive patients receiving pembrolizumab.</w:t>
      </w:r>
      <w:r w:rsidR="00E040AB" w:rsidRPr="00E17531">
        <w:t xml:space="preserve"> The PBAC noted that patients who are false negatives to the PD-L1 TPS (≥50%) test</w:t>
      </w:r>
      <w:r w:rsidR="00AA5FFD" w:rsidRPr="00E17531">
        <w:t>,</w:t>
      </w:r>
      <w:r w:rsidR="00E040AB" w:rsidRPr="00E17531">
        <w:t xml:space="preserve"> and </w:t>
      </w:r>
      <w:r w:rsidR="00AA5FFD" w:rsidRPr="00E17531">
        <w:t xml:space="preserve">so </w:t>
      </w:r>
      <w:r w:rsidR="00E040AB" w:rsidRPr="00E17531">
        <w:t>do not qualify for pembrolizumab in the first-line setting, would be eligible to receive nivolumab in the second-line setting provided other restriction criteria for nivolumab are met.</w:t>
      </w:r>
    </w:p>
    <w:p w:rsidR="00013E26" w:rsidRPr="00E17531" w:rsidRDefault="00013E26" w:rsidP="008817F8">
      <w:pPr>
        <w:pStyle w:val="ListParagraph"/>
        <w:numPr>
          <w:ilvl w:val="4"/>
          <w:numId w:val="5"/>
        </w:numPr>
        <w:spacing w:before="0" w:after="120"/>
        <w:ind w:left="709" w:hanging="709"/>
        <w:rPr>
          <w:color w:val="auto"/>
        </w:rPr>
      </w:pPr>
      <w:r w:rsidRPr="00E17531">
        <w:rPr>
          <w:color w:val="auto"/>
        </w:rPr>
        <w:t>Although the PFS and OS of patients with a TPS ≥50% treated with pembrolizumab is superior to that of those treated with chemotherapy, the comparative results in patients with a TPS &lt;50% are unknown. If treatment effect modification is accepted, then the pembrolizumab treatment effect should increase as the level of PD-L1 expression increases. The selection of the 50% TPS threshold has not been justified as adequately discriminatory of a clinically relevant treatment effect. It is also unclear whether the results presented in KN-024 have been influenced by a biomarker-related prognostic effect</w:t>
      </w:r>
      <w:r w:rsidR="000348EF" w:rsidRPr="00E17531">
        <w:rPr>
          <w:color w:val="auto"/>
        </w:rPr>
        <w:t xml:space="preserve"> given the uncertainty over the prognostic value of PD-L1</w:t>
      </w:r>
      <w:r w:rsidRPr="00E17531">
        <w:rPr>
          <w:color w:val="auto"/>
        </w:rPr>
        <w:t>.</w:t>
      </w:r>
    </w:p>
    <w:p w:rsidR="00013E26" w:rsidRPr="00E17531" w:rsidRDefault="00013E26" w:rsidP="00AD25EE">
      <w:pPr>
        <w:pStyle w:val="ESHeading2"/>
      </w:pPr>
      <w:r w:rsidRPr="00E17531">
        <w:t>Economic analysis</w:t>
      </w:r>
    </w:p>
    <w:p w:rsidR="008817F8" w:rsidRPr="00E17531" w:rsidRDefault="00013E26" w:rsidP="003D017A">
      <w:pPr>
        <w:pStyle w:val="ListParagraph"/>
        <w:numPr>
          <w:ilvl w:val="4"/>
          <w:numId w:val="5"/>
        </w:numPr>
        <w:spacing w:before="0" w:after="120"/>
        <w:ind w:left="709" w:hanging="709"/>
      </w:pPr>
      <w:r w:rsidRPr="00E17531">
        <w:rPr>
          <w:color w:val="auto"/>
        </w:rPr>
        <w:t>A modelled economic evaluation, with incremental cost per life-year gained and incremental cost per quality-adjusted life year (QALY) gained, was presented based on the claim of superior effectiveness and safety compared to platinum</w:t>
      </w:r>
      <w:r w:rsidR="00055388">
        <w:rPr>
          <w:color w:val="auto"/>
        </w:rPr>
        <w:t>-based</w:t>
      </w:r>
      <w:r w:rsidRPr="00E17531">
        <w:rPr>
          <w:color w:val="auto"/>
        </w:rPr>
        <w:t xml:space="preserve"> doublet chemotherapy in treatment-naïve NSCLC patients who</w:t>
      </w:r>
      <w:r w:rsidR="001F2BE0">
        <w:rPr>
          <w:color w:val="auto"/>
        </w:rPr>
        <w:t>se tumours</w:t>
      </w:r>
      <w:r w:rsidRPr="00E17531">
        <w:rPr>
          <w:color w:val="auto"/>
        </w:rPr>
        <w:t xml:space="preserve"> expressed high levels of PD-L1 (TPS ≥50%).</w:t>
      </w:r>
    </w:p>
    <w:p w:rsidR="00C95AD8" w:rsidRDefault="00C95AD8">
      <w:pPr>
        <w:spacing w:before="0" w:after="0"/>
        <w:jc w:val="left"/>
        <w:rPr>
          <w:rFonts w:ascii="Arial Narrow" w:hAnsi="Arial Narrow"/>
          <w:b/>
          <w:iCs/>
          <w:color w:val="000000" w:themeColor="text1"/>
          <w:sz w:val="20"/>
          <w:szCs w:val="18"/>
        </w:rPr>
      </w:pPr>
      <w:r>
        <w:br w:type="page"/>
      </w:r>
    </w:p>
    <w:p w:rsidR="00013E26" w:rsidRPr="00E17531" w:rsidRDefault="00013E26" w:rsidP="008F1A10">
      <w:pPr>
        <w:pStyle w:val="Caption"/>
      </w:pPr>
      <w:r w:rsidRPr="00E17531">
        <w:lastRenderedPageBreak/>
        <w:t xml:space="preserve">Table </w:t>
      </w:r>
      <w:r w:rsidR="004C0962" w:rsidRPr="00E17531">
        <w:t>9</w:t>
      </w:r>
      <w:r w:rsidRPr="00E17531">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446"/>
        <w:gridCol w:w="2757"/>
        <w:gridCol w:w="4879"/>
      </w:tblGrid>
      <w:tr w:rsidR="00013E26" w:rsidRPr="00E17531" w:rsidTr="00C936E9">
        <w:tc>
          <w:tcPr>
            <w:tcW w:w="796" w:type="pct"/>
            <w:shd w:val="clear" w:color="auto" w:fill="auto"/>
          </w:tcPr>
          <w:p w:rsidR="00013E26" w:rsidRPr="00E17531" w:rsidRDefault="00013E26" w:rsidP="00C936E9">
            <w:pPr>
              <w:pStyle w:val="TableText"/>
              <w:jc w:val="left"/>
              <w:rPr>
                <w:b/>
              </w:rPr>
            </w:pPr>
            <w:r w:rsidRPr="00E17531">
              <w:rPr>
                <w:b/>
              </w:rPr>
              <w:t xml:space="preserve">Component </w:t>
            </w:r>
          </w:p>
        </w:tc>
        <w:tc>
          <w:tcPr>
            <w:tcW w:w="1518" w:type="pct"/>
            <w:shd w:val="clear" w:color="auto" w:fill="auto"/>
          </w:tcPr>
          <w:p w:rsidR="00013E26" w:rsidRPr="00E17531" w:rsidRDefault="00013E26" w:rsidP="00622343">
            <w:pPr>
              <w:pStyle w:val="TableText"/>
              <w:rPr>
                <w:b/>
              </w:rPr>
            </w:pPr>
            <w:r w:rsidRPr="00E17531">
              <w:rPr>
                <w:b/>
              </w:rPr>
              <w:t>Description</w:t>
            </w:r>
          </w:p>
        </w:tc>
        <w:tc>
          <w:tcPr>
            <w:tcW w:w="2686" w:type="pct"/>
          </w:tcPr>
          <w:p w:rsidR="00013E26" w:rsidRPr="00E17531" w:rsidRDefault="00013E26" w:rsidP="00622343">
            <w:pPr>
              <w:pStyle w:val="TableText"/>
              <w:rPr>
                <w:b/>
              </w:rPr>
            </w:pPr>
            <w:r w:rsidRPr="00E17531">
              <w:rPr>
                <w:b/>
              </w:rPr>
              <w:t>Justification/comments</w:t>
            </w:r>
          </w:p>
        </w:tc>
      </w:tr>
      <w:tr w:rsidR="00013E26" w:rsidRPr="00E17531" w:rsidTr="00C936E9">
        <w:tc>
          <w:tcPr>
            <w:tcW w:w="796" w:type="pct"/>
            <w:shd w:val="clear" w:color="auto" w:fill="auto"/>
          </w:tcPr>
          <w:p w:rsidR="00013E26" w:rsidRPr="00E17531" w:rsidRDefault="00013E26" w:rsidP="00C936E9">
            <w:pPr>
              <w:pStyle w:val="TableText"/>
              <w:jc w:val="left"/>
            </w:pPr>
            <w:r w:rsidRPr="00E17531">
              <w:t xml:space="preserve">Type of analysis </w:t>
            </w:r>
          </w:p>
        </w:tc>
        <w:tc>
          <w:tcPr>
            <w:tcW w:w="1518" w:type="pct"/>
            <w:shd w:val="clear" w:color="auto" w:fill="auto"/>
          </w:tcPr>
          <w:p w:rsidR="00013E26" w:rsidRPr="00E17531" w:rsidRDefault="00013E26" w:rsidP="00622343">
            <w:pPr>
              <w:pStyle w:val="TableText"/>
            </w:pPr>
            <w:r w:rsidRPr="00E17531">
              <w:t>Cost-utility analysis (base case)</w:t>
            </w:r>
          </w:p>
          <w:p w:rsidR="00013E26" w:rsidRPr="00E17531" w:rsidRDefault="00013E26" w:rsidP="00622343">
            <w:pPr>
              <w:pStyle w:val="TableText"/>
              <w:rPr>
                <w:rFonts w:ascii="Times" w:eastAsia="Times New Roman" w:hAnsi="Times" w:cs="Times New Roman"/>
                <w:szCs w:val="20"/>
              </w:rPr>
            </w:pPr>
            <w:r w:rsidRPr="00E17531">
              <w:t>Cost-effectiveness analysis</w:t>
            </w:r>
          </w:p>
        </w:tc>
        <w:tc>
          <w:tcPr>
            <w:tcW w:w="2686" w:type="pct"/>
          </w:tcPr>
          <w:p w:rsidR="00013E26" w:rsidRPr="00E17531" w:rsidRDefault="00013E26" w:rsidP="00622343">
            <w:pPr>
              <w:pStyle w:val="TableText"/>
            </w:pPr>
            <w:r w:rsidRPr="00E17531">
              <w:t xml:space="preserve">This is appropriate and unchanged from the previous submission. </w:t>
            </w:r>
          </w:p>
        </w:tc>
      </w:tr>
      <w:tr w:rsidR="00013E26" w:rsidRPr="00E17531" w:rsidTr="00C936E9">
        <w:tc>
          <w:tcPr>
            <w:tcW w:w="796" w:type="pct"/>
            <w:shd w:val="clear" w:color="auto" w:fill="auto"/>
          </w:tcPr>
          <w:p w:rsidR="00013E26" w:rsidRPr="00E17531" w:rsidRDefault="00013E26" w:rsidP="00C936E9">
            <w:pPr>
              <w:pStyle w:val="TableText"/>
              <w:jc w:val="left"/>
              <w:rPr>
                <w:rFonts w:ascii="Times" w:eastAsia="Times New Roman" w:hAnsi="Times" w:cs="Times New Roman"/>
                <w:szCs w:val="20"/>
              </w:rPr>
            </w:pPr>
            <w:r w:rsidRPr="00E17531">
              <w:t>Outcomes</w:t>
            </w:r>
          </w:p>
        </w:tc>
        <w:tc>
          <w:tcPr>
            <w:tcW w:w="1518" w:type="pct"/>
            <w:shd w:val="clear" w:color="auto" w:fill="auto"/>
          </w:tcPr>
          <w:p w:rsidR="00013E26" w:rsidRPr="00E17531" w:rsidRDefault="00013E26" w:rsidP="00622343">
            <w:pPr>
              <w:pStyle w:val="TableText"/>
            </w:pPr>
            <w:r w:rsidRPr="00E17531">
              <w:t xml:space="preserve">QALYs </w:t>
            </w:r>
          </w:p>
          <w:p w:rsidR="00013E26" w:rsidRPr="00E17531" w:rsidRDefault="00013E26" w:rsidP="00622343">
            <w:pPr>
              <w:pStyle w:val="TableText"/>
              <w:rPr>
                <w:rFonts w:ascii="Times" w:eastAsia="Times New Roman" w:hAnsi="Times" w:cs="Times New Roman"/>
                <w:szCs w:val="20"/>
              </w:rPr>
            </w:pPr>
            <w:r w:rsidRPr="00E17531">
              <w:t>LYG</w:t>
            </w:r>
          </w:p>
        </w:tc>
        <w:tc>
          <w:tcPr>
            <w:tcW w:w="2686" w:type="pct"/>
          </w:tcPr>
          <w:p w:rsidR="00013E26" w:rsidRPr="00E17531" w:rsidRDefault="00013E26" w:rsidP="00622343">
            <w:pPr>
              <w:pStyle w:val="TableText"/>
            </w:pPr>
            <w:r w:rsidRPr="00E17531">
              <w:t xml:space="preserve">These are appropriate health outcomes for a cost-utility analysis and a cost-effectiveness analysis, and unchanged from the previous submission. </w:t>
            </w:r>
          </w:p>
        </w:tc>
      </w:tr>
      <w:tr w:rsidR="00013E26" w:rsidRPr="00E17531" w:rsidTr="00C936E9">
        <w:tc>
          <w:tcPr>
            <w:tcW w:w="796" w:type="pct"/>
            <w:shd w:val="clear" w:color="auto" w:fill="auto"/>
          </w:tcPr>
          <w:p w:rsidR="00013E26" w:rsidRPr="00E17531" w:rsidRDefault="00013E26" w:rsidP="00C936E9">
            <w:pPr>
              <w:pStyle w:val="TableText"/>
              <w:jc w:val="left"/>
              <w:rPr>
                <w:rFonts w:ascii="Times" w:eastAsia="Times New Roman" w:hAnsi="Times" w:cs="Times New Roman"/>
                <w:szCs w:val="20"/>
              </w:rPr>
            </w:pPr>
            <w:r w:rsidRPr="00E17531">
              <w:t>Time horizon</w:t>
            </w:r>
          </w:p>
        </w:tc>
        <w:tc>
          <w:tcPr>
            <w:tcW w:w="1518" w:type="pct"/>
            <w:shd w:val="clear" w:color="auto" w:fill="auto"/>
          </w:tcPr>
          <w:p w:rsidR="00013E26" w:rsidRPr="00E17531" w:rsidRDefault="00013E26" w:rsidP="00622343">
            <w:pPr>
              <w:pStyle w:val="TableText"/>
            </w:pPr>
            <w:r w:rsidRPr="00E17531">
              <w:t>7.5 years in the model base case (vs 19 months in KN-024)</w:t>
            </w:r>
          </w:p>
        </w:tc>
        <w:tc>
          <w:tcPr>
            <w:tcW w:w="2686" w:type="pct"/>
          </w:tcPr>
          <w:p w:rsidR="00013E26" w:rsidRPr="00E17531" w:rsidRDefault="00013E26" w:rsidP="00622343">
            <w:pPr>
              <w:pStyle w:val="TableText"/>
            </w:pPr>
            <w:r w:rsidRPr="00E17531">
              <w:t xml:space="preserve">The PBAC previously accepted a 5-year time horizon in the context of first-line treatment of NSCLC (afatinib, erlotinib and gefitinib PSDs, July 2013 PBAC meetings). </w:t>
            </w:r>
          </w:p>
        </w:tc>
      </w:tr>
      <w:tr w:rsidR="00013E26" w:rsidRPr="00E17531" w:rsidTr="00C936E9">
        <w:tc>
          <w:tcPr>
            <w:tcW w:w="796" w:type="pct"/>
            <w:shd w:val="clear" w:color="auto" w:fill="auto"/>
          </w:tcPr>
          <w:p w:rsidR="00013E26" w:rsidRPr="00E17531" w:rsidRDefault="00013E26" w:rsidP="00C936E9">
            <w:pPr>
              <w:pStyle w:val="TableText"/>
              <w:jc w:val="left"/>
              <w:rPr>
                <w:rFonts w:ascii="Times" w:eastAsia="Times New Roman" w:hAnsi="Times" w:cs="Times New Roman"/>
                <w:szCs w:val="20"/>
              </w:rPr>
            </w:pPr>
            <w:r w:rsidRPr="00E17531">
              <w:t>Methods used to generate results</w:t>
            </w:r>
          </w:p>
        </w:tc>
        <w:tc>
          <w:tcPr>
            <w:tcW w:w="1518" w:type="pct"/>
            <w:shd w:val="clear" w:color="auto" w:fill="auto"/>
          </w:tcPr>
          <w:p w:rsidR="00013E26" w:rsidRPr="00E17531" w:rsidRDefault="00013E26" w:rsidP="00622343">
            <w:pPr>
              <w:pStyle w:val="TableText"/>
              <w:rPr>
                <w:rFonts w:ascii="Times" w:eastAsia="Times New Roman" w:hAnsi="Times" w:cs="Times New Roman"/>
                <w:szCs w:val="20"/>
              </w:rPr>
            </w:pPr>
            <w:r w:rsidRPr="00E17531">
              <w:t>Cohort analysis of partitioned survival (i.e. area under the curve)</w:t>
            </w:r>
          </w:p>
        </w:tc>
        <w:tc>
          <w:tcPr>
            <w:tcW w:w="2686" w:type="pct"/>
          </w:tcPr>
          <w:p w:rsidR="00013E26" w:rsidRPr="00E17531" w:rsidRDefault="00013E26" w:rsidP="00622343">
            <w:pPr>
              <w:pStyle w:val="TableText"/>
            </w:pPr>
            <w:r w:rsidRPr="00E17531">
              <w:t>This is reasonable and unchanged from the previous submission.</w:t>
            </w:r>
          </w:p>
        </w:tc>
      </w:tr>
      <w:tr w:rsidR="00013E26" w:rsidRPr="00E17531" w:rsidTr="00C936E9">
        <w:tc>
          <w:tcPr>
            <w:tcW w:w="796" w:type="pct"/>
            <w:shd w:val="clear" w:color="auto" w:fill="auto"/>
          </w:tcPr>
          <w:p w:rsidR="00013E26" w:rsidRPr="00E17531" w:rsidRDefault="00013E26" w:rsidP="00C936E9">
            <w:pPr>
              <w:pStyle w:val="TableText"/>
              <w:jc w:val="left"/>
              <w:rPr>
                <w:rFonts w:ascii="Times" w:eastAsia="Times New Roman" w:hAnsi="Times" w:cs="Times New Roman"/>
                <w:szCs w:val="20"/>
              </w:rPr>
            </w:pPr>
            <w:r w:rsidRPr="00E17531">
              <w:t>Health states</w:t>
            </w:r>
          </w:p>
        </w:tc>
        <w:tc>
          <w:tcPr>
            <w:tcW w:w="1518" w:type="pct"/>
            <w:shd w:val="clear" w:color="auto" w:fill="auto"/>
          </w:tcPr>
          <w:p w:rsidR="00013E26" w:rsidRPr="00E17531" w:rsidRDefault="00013E26" w:rsidP="00622343">
            <w:pPr>
              <w:pStyle w:val="TableText"/>
              <w:rPr>
                <w:rFonts w:ascii="Times" w:eastAsia="Times New Roman" w:hAnsi="Times" w:cs="Times New Roman"/>
                <w:szCs w:val="20"/>
              </w:rPr>
            </w:pPr>
            <w:r w:rsidRPr="00E17531">
              <w:t>3 health states: progression-free, progressive disease and death</w:t>
            </w:r>
          </w:p>
        </w:tc>
        <w:tc>
          <w:tcPr>
            <w:tcW w:w="2686" w:type="pct"/>
          </w:tcPr>
          <w:p w:rsidR="00013E26" w:rsidRPr="00E17531" w:rsidRDefault="00013E26" w:rsidP="00622343">
            <w:pPr>
              <w:pStyle w:val="TableText"/>
            </w:pPr>
            <w:r w:rsidRPr="00E17531">
              <w:t>A 3-health-state economic model has often been used for cancer drugs. This is unchanged from the previous submission.</w:t>
            </w:r>
          </w:p>
        </w:tc>
      </w:tr>
      <w:tr w:rsidR="00013E26" w:rsidRPr="00E17531" w:rsidTr="00C936E9">
        <w:tc>
          <w:tcPr>
            <w:tcW w:w="796" w:type="pct"/>
            <w:shd w:val="clear" w:color="auto" w:fill="auto"/>
          </w:tcPr>
          <w:p w:rsidR="00013E26" w:rsidRPr="00E17531" w:rsidRDefault="00013E26" w:rsidP="00C936E9">
            <w:pPr>
              <w:pStyle w:val="TableText"/>
              <w:jc w:val="left"/>
              <w:rPr>
                <w:rFonts w:ascii="Times" w:eastAsia="Times New Roman" w:hAnsi="Times" w:cs="Times New Roman"/>
                <w:szCs w:val="20"/>
              </w:rPr>
            </w:pPr>
            <w:r w:rsidRPr="00E17531">
              <w:t>Cycle length</w:t>
            </w:r>
          </w:p>
        </w:tc>
        <w:tc>
          <w:tcPr>
            <w:tcW w:w="1518" w:type="pct"/>
            <w:shd w:val="clear" w:color="auto" w:fill="auto"/>
          </w:tcPr>
          <w:p w:rsidR="00013E26" w:rsidRPr="00E17531" w:rsidRDefault="00013E26" w:rsidP="00622343">
            <w:pPr>
              <w:pStyle w:val="TableText"/>
              <w:rPr>
                <w:rFonts w:ascii="Times" w:eastAsia="Times New Roman" w:hAnsi="Times" w:cs="Times New Roman"/>
                <w:szCs w:val="20"/>
              </w:rPr>
            </w:pPr>
            <w:r w:rsidRPr="00E17531">
              <w:t>1 week</w:t>
            </w:r>
          </w:p>
        </w:tc>
        <w:tc>
          <w:tcPr>
            <w:tcW w:w="2686" w:type="pct"/>
          </w:tcPr>
          <w:p w:rsidR="00013E26" w:rsidRPr="00E17531" w:rsidRDefault="00013E26" w:rsidP="00622343">
            <w:pPr>
              <w:pStyle w:val="TableText"/>
            </w:pPr>
            <w:r w:rsidRPr="00E17531">
              <w:t>This is appropriate and unchanged from the previous submission.</w:t>
            </w:r>
          </w:p>
        </w:tc>
      </w:tr>
      <w:tr w:rsidR="00013E26" w:rsidRPr="00E17531" w:rsidTr="00C936E9">
        <w:tc>
          <w:tcPr>
            <w:tcW w:w="796" w:type="pct"/>
            <w:shd w:val="clear" w:color="auto" w:fill="auto"/>
          </w:tcPr>
          <w:p w:rsidR="00013E26" w:rsidRPr="00E17531" w:rsidRDefault="00013E26" w:rsidP="00C936E9">
            <w:pPr>
              <w:pStyle w:val="TableText"/>
              <w:jc w:val="left"/>
            </w:pPr>
            <w:r w:rsidRPr="00E17531">
              <w:t xml:space="preserve">Transition probability </w:t>
            </w:r>
          </w:p>
        </w:tc>
        <w:tc>
          <w:tcPr>
            <w:tcW w:w="1518" w:type="pct"/>
            <w:shd w:val="clear" w:color="auto" w:fill="auto"/>
          </w:tcPr>
          <w:p w:rsidR="00013E26" w:rsidRPr="00E17531" w:rsidRDefault="00013E26" w:rsidP="00622343">
            <w:pPr>
              <w:pStyle w:val="TableText"/>
            </w:pPr>
            <w:r w:rsidRPr="00E17531">
              <w:t>PFS and OS data from KN-024 were the basis for determining the proportions of patients in each health state. The survival curves were extrapolated to the 7.5-year time horizon using parametric survival functions.</w:t>
            </w:r>
          </w:p>
        </w:tc>
        <w:tc>
          <w:tcPr>
            <w:tcW w:w="2686" w:type="pct"/>
          </w:tcPr>
          <w:p w:rsidR="00013E26" w:rsidRPr="00E17531" w:rsidRDefault="00013E26" w:rsidP="00622343">
            <w:pPr>
              <w:pStyle w:val="TableText"/>
            </w:pPr>
            <w:r w:rsidRPr="00E17531">
              <w:t xml:space="preserve">Updated OS data with extended follow-up (median: 19 months) were used in the economic model. However, the data remain immature for a reliable estimate of the long-term survival. </w:t>
            </w:r>
          </w:p>
          <w:p w:rsidR="00013E26" w:rsidRPr="00E17531" w:rsidRDefault="00013E26" w:rsidP="00622343">
            <w:pPr>
              <w:pStyle w:val="TableText"/>
            </w:pPr>
            <w:r w:rsidRPr="00E17531">
              <w:t>The parametric distributions used for PFS and OS extrapolation remain unchanged from the previous submission. The PBAC has previously considered that the selection of a log-logistic distribution to extrapolate OS for pembrolizumab may be overly optimistic (Item 6.04, pembrolizumab PSD, March 2017 PBAC meeting).</w:t>
            </w:r>
          </w:p>
        </w:tc>
      </w:tr>
      <w:tr w:rsidR="00013E26" w:rsidRPr="00E17531" w:rsidTr="00C936E9">
        <w:trPr>
          <w:trHeight w:val="70"/>
        </w:trPr>
        <w:tc>
          <w:tcPr>
            <w:tcW w:w="796" w:type="pct"/>
            <w:shd w:val="clear" w:color="auto" w:fill="auto"/>
          </w:tcPr>
          <w:p w:rsidR="00013E26" w:rsidRPr="00E17531" w:rsidRDefault="00013E26" w:rsidP="00C936E9">
            <w:pPr>
              <w:pStyle w:val="TableText"/>
              <w:jc w:val="left"/>
              <w:rPr>
                <w:rFonts w:ascii="Times" w:eastAsia="Times New Roman" w:hAnsi="Times" w:cs="Times New Roman"/>
                <w:szCs w:val="20"/>
              </w:rPr>
            </w:pPr>
            <w:r w:rsidRPr="00E17531">
              <w:t>Software package</w:t>
            </w:r>
          </w:p>
        </w:tc>
        <w:tc>
          <w:tcPr>
            <w:tcW w:w="1518" w:type="pct"/>
            <w:shd w:val="clear" w:color="auto" w:fill="auto"/>
          </w:tcPr>
          <w:p w:rsidR="00013E26" w:rsidRPr="00E17531" w:rsidRDefault="00013E26" w:rsidP="00622343">
            <w:pPr>
              <w:pStyle w:val="TableText"/>
              <w:rPr>
                <w:rFonts w:ascii="Times" w:eastAsia="Times New Roman" w:hAnsi="Times" w:cs="Times New Roman"/>
                <w:szCs w:val="20"/>
              </w:rPr>
            </w:pPr>
            <w:r w:rsidRPr="00E17531">
              <w:t>Excel 2010</w:t>
            </w:r>
          </w:p>
        </w:tc>
        <w:tc>
          <w:tcPr>
            <w:tcW w:w="2686" w:type="pct"/>
          </w:tcPr>
          <w:p w:rsidR="00013E26" w:rsidRPr="00E17531" w:rsidRDefault="00013E26" w:rsidP="00622343">
            <w:pPr>
              <w:pStyle w:val="TableText"/>
            </w:pPr>
            <w:r w:rsidRPr="00E17531">
              <w:t>This is appropriate and unchanged from the previous submission.</w:t>
            </w:r>
          </w:p>
        </w:tc>
      </w:tr>
    </w:tbl>
    <w:p w:rsidR="00013E26" w:rsidRPr="00E17531" w:rsidRDefault="00013E26" w:rsidP="00622343">
      <w:pPr>
        <w:pStyle w:val="TableFooter"/>
      </w:pPr>
      <w:r w:rsidRPr="00E17531">
        <w:t xml:space="preserve">NSCLC = non-small cell lung cancer; LYG = life-year gained; OS = overall survival; PFS = progression-free survival; PSD = public summary document; QALYs = quality-adjusted life-years </w:t>
      </w:r>
    </w:p>
    <w:p w:rsidR="00013E26" w:rsidRPr="00E17531" w:rsidRDefault="00013E26" w:rsidP="00622343">
      <w:pPr>
        <w:pStyle w:val="TableFooter"/>
      </w:pPr>
      <w:r w:rsidRPr="00E17531">
        <w:t>Source: Table 3.1-1, p192 of the resubmission</w:t>
      </w:r>
    </w:p>
    <w:p w:rsidR="00013E26" w:rsidRPr="00E17531" w:rsidRDefault="004D011D" w:rsidP="008817F8">
      <w:pPr>
        <w:pStyle w:val="ListParagraph"/>
        <w:numPr>
          <w:ilvl w:val="4"/>
          <w:numId w:val="5"/>
        </w:numPr>
        <w:spacing w:before="0" w:after="120"/>
        <w:ind w:left="709" w:hanging="709"/>
        <w:rPr>
          <w:color w:val="auto"/>
        </w:rPr>
      </w:pPr>
      <w:r w:rsidRPr="00E17531">
        <w:rPr>
          <w:color w:val="auto"/>
        </w:rPr>
        <w:t xml:space="preserve">At the March 2017 meeting, “the PBAC considered the basic structure of the </w:t>
      </w:r>
      <w:r w:rsidRPr="00E17531">
        <w:t>economic model was sound, but noted the various iterations of the economic evaluation from the submission, the PSCR and the pre-PBAC response, reflecting different assumptions and inputs which still adopt this basic structure.” (paragraph 7.8, Item 6.04, pembrolizumab PSD, March 2017 PBAC meeting).</w:t>
      </w:r>
      <w:r>
        <w:t xml:space="preserve"> </w:t>
      </w:r>
      <w:r w:rsidR="00013E26" w:rsidRPr="00E17531">
        <w:rPr>
          <w:color w:val="auto"/>
        </w:rPr>
        <w:t>In comparison with the March 2017 submission, the model structure in the resubmission remained the same, as did most of the inputs. The major changes in the model variables/assumptions between the two submissions are summarised below.</w:t>
      </w:r>
    </w:p>
    <w:p w:rsidR="00C95AD8" w:rsidRDefault="00C95AD8">
      <w:pPr>
        <w:spacing w:before="0" w:after="0"/>
        <w:jc w:val="left"/>
        <w:rPr>
          <w:rFonts w:ascii="Arial Narrow" w:hAnsi="Arial Narrow"/>
          <w:b/>
          <w:iCs/>
          <w:color w:val="000000" w:themeColor="text1"/>
          <w:sz w:val="20"/>
          <w:szCs w:val="18"/>
        </w:rPr>
      </w:pPr>
      <w:r>
        <w:br w:type="page"/>
      </w:r>
    </w:p>
    <w:p w:rsidR="00013E26" w:rsidRPr="00E17531" w:rsidRDefault="00013E26" w:rsidP="008F1A10">
      <w:pPr>
        <w:pStyle w:val="Caption"/>
      </w:pPr>
      <w:r w:rsidRPr="00E17531">
        <w:lastRenderedPageBreak/>
        <w:t xml:space="preserve">Table </w:t>
      </w:r>
      <w:r w:rsidR="004C0962" w:rsidRPr="00E17531">
        <w:t>10</w:t>
      </w:r>
      <w:r w:rsidRPr="00E17531">
        <w:t>: Main differences in model inputs/assumptions between the previous and the current submissions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left w:w="28" w:type="dxa"/>
          <w:bottom w:w="28" w:type="dxa"/>
          <w:right w:w="28" w:type="dxa"/>
        </w:tblCellMar>
        <w:tblLook w:val="04A0" w:firstRow="1" w:lastRow="0" w:firstColumn="1" w:lastColumn="0" w:noHBand="0" w:noVBand="1"/>
        <w:tblCaption w:val="Table 10: Main differences in model inputs/assumptions between the previous and the current submissions"/>
      </w:tblPr>
      <w:tblGrid>
        <w:gridCol w:w="2155"/>
        <w:gridCol w:w="2835"/>
        <w:gridCol w:w="4092"/>
      </w:tblGrid>
      <w:tr w:rsidR="00013E26" w:rsidRPr="00E17531" w:rsidTr="00467740">
        <w:trPr>
          <w:cnfStyle w:val="100000000000" w:firstRow="1" w:lastRow="0" w:firstColumn="0" w:lastColumn="0" w:oddVBand="0" w:evenVBand="0" w:oddHBand="0" w:evenHBand="0" w:firstRowFirstColumn="0" w:firstRowLastColumn="0" w:lastRowFirstColumn="0" w:lastRowLastColumn="0"/>
          <w:tblHeader/>
        </w:trPr>
        <w:tc>
          <w:tcPr>
            <w:tcW w:w="1186" w:type="pct"/>
            <w:shd w:val="clear" w:color="auto" w:fill="FFFFFF" w:themeFill="background1"/>
          </w:tcPr>
          <w:p w:rsidR="00013E26" w:rsidRPr="00E17531" w:rsidRDefault="00013E26" w:rsidP="00C936E9">
            <w:pPr>
              <w:pStyle w:val="TableText"/>
              <w:keepNext/>
              <w:jc w:val="left"/>
              <w:rPr>
                <w:rStyle w:val="CommentReference"/>
                <w:szCs w:val="20"/>
                <w:lang w:val="en-AU"/>
              </w:rPr>
            </w:pPr>
          </w:p>
        </w:tc>
        <w:tc>
          <w:tcPr>
            <w:tcW w:w="1561" w:type="pct"/>
            <w:shd w:val="clear" w:color="auto" w:fill="FFFFFF" w:themeFill="background1"/>
            <w:hideMark/>
          </w:tcPr>
          <w:p w:rsidR="00013E26" w:rsidRPr="00E17531" w:rsidRDefault="00013E26" w:rsidP="00622343">
            <w:pPr>
              <w:pStyle w:val="TableText"/>
              <w:keepNext/>
              <w:jc w:val="center"/>
              <w:rPr>
                <w:rFonts w:cs="Times New Roman"/>
                <w:b w:val="0"/>
                <w:lang w:val="en-AU"/>
              </w:rPr>
            </w:pPr>
            <w:r w:rsidRPr="00E17531">
              <w:rPr>
                <w:rFonts w:cs="Times New Roman"/>
                <w:lang w:val="en-AU"/>
              </w:rPr>
              <w:t>March 2017 submission</w:t>
            </w:r>
          </w:p>
        </w:tc>
        <w:tc>
          <w:tcPr>
            <w:tcW w:w="2253" w:type="pct"/>
            <w:shd w:val="clear" w:color="auto" w:fill="FFFFFF" w:themeFill="background1"/>
            <w:hideMark/>
          </w:tcPr>
          <w:p w:rsidR="00013E26" w:rsidRPr="00E17531" w:rsidRDefault="00013E26" w:rsidP="00622343">
            <w:pPr>
              <w:pStyle w:val="TableText"/>
              <w:keepNext/>
              <w:jc w:val="center"/>
              <w:rPr>
                <w:rFonts w:cs="Times New Roman"/>
                <w:b w:val="0"/>
                <w:lang w:val="en-AU"/>
              </w:rPr>
            </w:pPr>
            <w:r w:rsidRPr="00E17531">
              <w:rPr>
                <w:rFonts w:cs="Times New Roman"/>
                <w:lang w:val="en-AU"/>
              </w:rPr>
              <w:t>Current resubmission</w:t>
            </w:r>
          </w:p>
        </w:tc>
      </w:tr>
      <w:tr w:rsidR="00013E26" w:rsidRPr="00E17531" w:rsidTr="00EB0CEA">
        <w:tc>
          <w:tcPr>
            <w:tcW w:w="1186" w:type="pct"/>
            <w:shd w:val="clear" w:color="auto" w:fill="FFFFFF" w:themeFill="background1"/>
            <w:hideMark/>
          </w:tcPr>
          <w:p w:rsidR="00013E26" w:rsidRPr="00E17531" w:rsidRDefault="00013E26" w:rsidP="008817F8">
            <w:pPr>
              <w:pStyle w:val="TableText"/>
              <w:spacing w:before="0" w:after="120"/>
              <w:jc w:val="left"/>
              <w:rPr>
                <w:rFonts w:cs="Times New Roman"/>
                <w:szCs w:val="20"/>
                <w:lang w:val="en-AU"/>
              </w:rPr>
            </w:pPr>
            <w:r w:rsidRPr="00E17531">
              <w:rPr>
                <w:rFonts w:cs="Times New Roman"/>
                <w:szCs w:val="20"/>
                <w:lang w:val="en-AU"/>
              </w:rPr>
              <w:t>Time horizon</w:t>
            </w:r>
          </w:p>
        </w:tc>
        <w:tc>
          <w:tcPr>
            <w:tcW w:w="1561" w:type="pct"/>
            <w:shd w:val="clear" w:color="auto" w:fill="FFFFFF" w:themeFill="background1"/>
            <w:hideMark/>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7 years</w:t>
            </w:r>
            <w:r w:rsidRPr="00E17531">
              <w:rPr>
                <w:rFonts w:cs="Times New Roman"/>
                <w:szCs w:val="20"/>
                <w:vertAlign w:val="superscript"/>
                <w:lang w:val="en-AU"/>
              </w:rPr>
              <w:t>a</w:t>
            </w:r>
          </w:p>
        </w:tc>
        <w:tc>
          <w:tcPr>
            <w:tcW w:w="2253" w:type="pct"/>
            <w:shd w:val="clear" w:color="auto" w:fill="FFFFFF" w:themeFill="background1"/>
            <w:hideMark/>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7.5 years</w:t>
            </w:r>
          </w:p>
        </w:tc>
      </w:tr>
      <w:tr w:rsidR="00013E26" w:rsidRPr="00E17531" w:rsidTr="00EB0CEA">
        <w:tc>
          <w:tcPr>
            <w:tcW w:w="1186" w:type="pct"/>
            <w:shd w:val="clear" w:color="auto" w:fill="FFFFFF" w:themeFill="background1"/>
          </w:tcPr>
          <w:p w:rsidR="00013E26" w:rsidRPr="00E17531" w:rsidRDefault="00013E26" w:rsidP="008817F8">
            <w:pPr>
              <w:pStyle w:val="TableText"/>
              <w:spacing w:before="0" w:after="120"/>
              <w:jc w:val="left"/>
              <w:rPr>
                <w:rFonts w:cs="Times New Roman"/>
                <w:szCs w:val="20"/>
                <w:lang w:val="en-AU"/>
              </w:rPr>
            </w:pPr>
            <w:r w:rsidRPr="00E17531">
              <w:rPr>
                <w:rFonts w:cs="Times New Roman"/>
                <w:szCs w:val="20"/>
                <w:lang w:val="en-AU"/>
              </w:rPr>
              <w:t>OS estimates</w:t>
            </w:r>
          </w:p>
        </w:tc>
        <w:tc>
          <w:tcPr>
            <w:tcW w:w="1561"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 xml:space="preserve">Survival data from KN-024 with a median follow-up duration of 11 months </w:t>
            </w:r>
            <w:r w:rsidR="00EB0CEA" w:rsidRPr="00E17531">
              <w:rPr>
                <w:rFonts w:cs="Times New Roman"/>
                <w:szCs w:val="20"/>
                <w:lang w:val="en-AU"/>
              </w:rPr>
              <w:t>(cross-over adjusted analysis)</w:t>
            </w:r>
          </w:p>
        </w:tc>
        <w:tc>
          <w:tcPr>
            <w:tcW w:w="2253"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Survival data from KN-024 with a median follow-up duration of 19 months</w:t>
            </w:r>
            <w:r w:rsidR="00EB0CEA" w:rsidRPr="00E17531">
              <w:rPr>
                <w:rFonts w:cs="Times New Roman"/>
                <w:szCs w:val="20"/>
                <w:lang w:val="en-AU"/>
              </w:rPr>
              <w:t xml:space="preserve"> (ITT analysis)</w:t>
            </w:r>
          </w:p>
        </w:tc>
      </w:tr>
      <w:tr w:rsidR="00013E26" w:rsidRPr="00E17531" w:rsidTr="00EB0CEA">
        <w:tc>
          <w:tcPr>
            <w:tcW w:w="1186" w:type="pct"/>
            <w:shd w:val="clear" w:color="auto" w:fill="FFFFFF" w:themeFill="background1"/>
          </w:tcPr>
          <w:p w:rsidR="00013E26" w:rsidRPr="00E17531" w:rsidRDefault="00013E26" w:rsidP="008817F8">
            <w:pPr>
              <w:pStyle w:val="TableText"/>
              <w:spacing w:before="0" w:after="120"/>
              <w:jc w:val="left"/>
              <w:rPr>
                <w:rFonts w:cs="Times New Roman"/>
                <w:szCs w:val="20"/>
                <w:lang w:val="en-AU"/>
              </w:rPr>
            </w:pPr>
            <w:r w:rsidRPr="00E17531">
              <w:rPr>
                <w:rFonts w:cs="Times New Roman"/>
                <w:szCs w:val="20"/>
                <w:lang w:val="en-AU"/>
              </w:rPr>
              <w:t>Adjustment for treatment switching?</w:t>
            </w:r>
          </w:p>
        </w:tc>
        <w:tc>
          <w:tcPr>
            <w:tcW w:w="1561"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Yes. Using two-stage approach in the base case</w:t>
            </w:r>
          </w:p>
        </w:tc>
        <w:tc>
          <w:tcPr>
            <w:tcW w:w="2253"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No</w:t>
            </w:r>
          </w:p>
        </w:tc>
      </w:tr>
      <w:tr w:rsidR="00013E26" w:rsidRPr="00E17531" w:rsidTr="00EB0CEA">
        <w:tc>
          <w:tcPr>
            <w:tcW w:w="1186" w:type="pct"/>
            <w:shd w:val="clear" w:color="auto" w:fill="FFFFFF" w:themeFill="background1"/>
          </w:tcPr>
          <w:p w:rsidR="00013E26" w:rsidRPr="00E17531" w:rsidRDefault="00013E26" w:rsidP="008817F8">
            <w:pPr>
              <w:pStyle w:val="TableText"/>
              <w:spacing w:before="0" w:after="120"/>
              <w:jc w:val="left"/>
              <w:rPr>
                <w:rFonts w:cs="Times New Roman"/>
                <w:szCs w:val="20"/>
                <w:lang w:val="en-AU"/>
              </w:rPr>
            </w:pPr>
            <w:r w:rsidRPr="00E17531">
              <w:rPr>
                <w:rFonts w:cs="Times New Roman"/>
                <w:szCs w:val="20"/>
                <w:lang w:val="en-AU"/>
              </w:rPr>
              <w:t>Drug acquisition costs</w:t>
            </w:r>
          </w:p>
        </w:tc>
        <w:tc>
          <w:tcPr>
            <w:tcW w:w="1561"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Based on the proposed and listed prices of each medicine at the time of previous submission</w:t>
            </w:r>
          </w:p>
        </w:tc>
        <w:tc>
          <w:tcPr>
            <w:tcW w:w="2253"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szCs w:val="20"/>
                <w:lang w:val="en-AU"/>
              </w:rPr>
              <w:t>Updated using the proposed price for pembrolizumab and the current PBS prices for chemotherapies</w:t>
            </w:r>
          </w:p>
        </w:tc>
      </w:tr>
      <w:tr w:rsidR="00013E26" w:rsidRPr="00E17531" w:rsidTr="00EB0CEA">
        <w:tc>
          <w:tcPr>
            <w:tcW w:w="1186" w:type="pct"/>
            <w:shd w:val="clear" w:color="auto" w:fill="FFFFFF" w:themeFill="background1"/>
          </w:tcPr>
          <w:p w:rsidR="00013E26" w:rsidRPr="00E17531" w:rsidRDefault="00013E26" w:rsidP="008817F8">
            <w:pPr>
              <w:pStyle w:val="TableText"/>
              <w:spacing w:before="0" w:after="120"/>
              <w:jc w:val="left"/>
              <w:rPr>
                <w:rFonts w:cs="Times New Roman"/>
                <w:szCs w:val="20"/>
                <w:lang w:val="en-AU"/>
              </w:rPr>
            </w:pPr>
            <w:r w:rsidRPr="00E17531">
              <w:rPr>
                <w:rFonts w:cs="Times New Roman"/>
                <w:szCs w:val="20"/>
                <w:lang w:val="en-AU"/>
              </w:rPr>
              <w:t>Second-line immunotherapy upon disease progression considered?</w:t>
            </w:r>
          </w:p>
        </w:tc>
        <w:tc>
          <w:tcPr>
            <w:tcW w:w="1561"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No</w:t>
            </w:r>
            <w:r w:rsidRPr="00E17531">
              <w:rPr>
                <w:rFonts w:cs="Times New Roman"/>
                <w:szCs w:val="20"/>
                <w:vertAlign w:val="superscript"/>
                <w:lang w:val="en-AU"/>
              </w:rPr>
              <w:t>b</w:t>
            </w:r>
          </w:p>
        </w:tc>
        <w:tc>
          <w:tcPr>
            <w:tcW w:w="2253"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Yes</w:t>
            </w:r>
            <w:r w:rsidR="00EB0CEA" w:rsidRPr="00E17531">
              <w:rPr>
                <w:rFonts w:cs="Times New Roman"/>
                <w:szCs w:val="20"/>
                <w:lang w:val="en-AU"/>
              </w:rPr>
              <w:t>:</w:t>
            </w:r>
            <w:r w:rsidRPr="00E17531">
              <w:rPr>
                <w:rFonts w:cs="Times New Roman"/>
                <w:szCs w:val="20"/>
                <w:lang w:val="en-AU"/>
              </w:rPr>
              <w:t xml:space="preserve"> </w:t>
            </w:r>
            <w:r w:rsidR="00EB0CEA" w:rsidRPr="00E17531">
              <w:rPr>
                <w:rFonts w:cs="Times New Roman"/>
                <w:szCs w:val="20"/>
                <w:lang w:val="en-AU"/>
              </w:rPr>
              <w:t>i</w:t>
            </w:r>
            <w:r w:rsidRPr="00E17531">
              <w:rPr>
                <w:rFonts w:cs="Times New Roman"/>
                <w:szCs w:val="20"/>
                <w:lang w:val="en-AU"/>
              </w:rPr>
              <w:t>nclud</w:t>
            </w:r>
            <w:r w:rsidR="00EB0CEA" w:rsidRPr="00E17531">
              <w:rPr>
                <w:rFonts w:cs="Times New Roman"/>
                <w:szCs w:val="20"/>
                <w:lang w:val="en-AU"/>
              </w:rPr>
              <w:t>ed</w:t>
            </w:r>
            <w:r w:rsidRPr="00E17531">
              <w:rPr>
                <w:rFonts w:cs="Times New Roman"/>
                <w:szCs w:val="20"/>
                <w:lang w:val="en-AU"/>
              </w:rPr>
              <w:t xml:space="preserve"> second-line nivolumab following first-line </w:t>
            </w:r>
            <w:r w:rsidR="00055388">
              <w:rPr>
                <w:rFonts w:cs="Times New Roman"/>
                <w:szCs w:val="20"/>
                <w:lang w:val="en-AU"/>
              </w:rPr>
              <w:t xml:space="preserve">platinum-based </w:t>
            </w:r>
            <w:r w:rsidRPr="00E17531">
              <w:rPr>
                <w:rFonts w:cs="Times New Roman"/>
                <w:szCs w:val="20"/>
                <w:lang w:val="en-AU"/>
              </w:rPr>
              <w:t>doublet chemo</w:t>
            </w:r>
            <w:r w:rsidR="00EB0CEA" w:rsidRPr="00E17531">
              <w:rPr>
                <w:rFonts w:cs="Times New Roman"/>
                <w:szCs w:val="20"/>
                <w:lang w:val="en-AU"/>
              </w:rPr>
              <w:t>therapy</w:t>
            </w:r>
          </w:p>
        </w:tc>
      </w:tr>
      <w:tr w:rsidR="00013E26" w:rsidRPr="00E17531" w:rsidTr="00EB0CEA">
        <w:tc>
          <w:tcPr>
            <w:tcW w:w="1186" w:type="pct"/>
            <w:shd w:val="clear" w:color="auto" w:fill="FFFFFF" w:themeFill="background1"/>
          </w:tcPr>
          <w:p w:rsidR="00013E26" w:rsidRPr="00E17531" w:rsidRDefault="00013E26" w:rsidP="008817F8">
            <w:pPr>
              <w:pStyle w:val="TableText"/>
              <w:spacing w:before="0" w:after="120"/>
              <w:jc w:val="left"/>
              <w:rPr>
                <w:rFonts w:cs="Times New Roman"/>
                <w:szCs w:val="20"/>
                <w:lang w:val="en-AU"/>
              </w:rPr>
            </w:pPr>
            <w:r w:rsidRPr="00E17531">
              <w:rPr>
                <w:rFonts w:cs="Times New Roman"/>
                <w:szCs w:val="20"/>
                <w:lang w:val="en-AU"/>
              </w:rPr>
              <w:t>Costs for disease management</w:t>
            </w:r>
          </w:p>
        </w:tc>
        <w:tc>
          <w:tcPr>
            <w:tcW w:w="1561"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Based on the health care resource use data from the PIVOTAL study</w:t>
            </w:r>
          </w:p>
        </w:tc>
        <w:tc>
          <w:tcPr>
            <w:tcW w:w="2253" w:type="pct"/>
            <w:shd w:val="clear" w:color="auto" w:fill="FFFFFF" w:themeFill="background1"/>
          </w:tcPr>
          <w:p w:rsidR="00013E26" w:rsidRPr="00E17531" w:rsidRDefault="00013E26" w:rsidP="008817F8">
            <w:pPr>
              <w:pStyle w:val="TableText"/>
              <w:spacing w:before="0" w:after="120"/>
              <w:rPr>
                <w:rFonts w:cs="Times New Roman"/>
                <w:szCs w:val="20"/>
                <w:lang w:val="en-AU"/>
              </w:rPr>
            </w:pPr>
            <w:r w:rsidRPr="00E17531">
              <w:rPr>
                <w:rFonts w:cs="Times New Roman"/>
                <w:szCs w:val="20"/>
                <w:lang w:val="en-AU"/>
              </w:rPr>
              <w:t>Assum</w:t>
            </w:r>
            <w:r w:rsidR="00EB0CEA" w:rsidRPr="00E17531">
              <w:rPr>
                <w:rFonts w:cs="Times New Roman"/>
                <w:szCs w:val="20"/>
                <w:lang w:val="en-AU"/>
              </w:rPr>
              <w:t>ed</w:t>
            </w:r>
            <w:r w:rsidRPr="00E17531">
              <w:rPr>
                <w:rFonts w:cs="Times New Roman"/>
                <w:szCs w:val="20"/>
                <w:lang w:val="en-AU"/>
              </w:rPr>
              <w:t xml:space="preserve"> reduced disease management costs in </w:t>
            </w:r>
            <w:r w:rsidR="00EB0CEA" w:rsidRPr="00E17531">
              <w:rPr>
                <w:rFonts w:cs="Times New Roman"/>
                <w:szCs w:val="20"/>
                <w:lang w:val="en-AU"/>
              </w:rPr>
              <w:t xml:space="preserve">patients with stable disease for 2 years and in </w:t>
            </w:r>
            <w:r w:rsidRPr="00E17531">
              <w:rPr>
                <w:rFonts w:cs="Times New Roman"/>
                <w:szCs w:val="20"/>
                <w:lang w:val="en-AU"/>
              </w:rPr>
              <w:t>patients treated with pembrolizumab (vs chemotherapy).</w:t>
            </w:r>
          </w:p>
        </w:tc>
      </w:tr>
    </w:tbl>
    <w:p w:rsidR="00013E26" w:rsidRPr="00E17531" w:rsidRDefault="00013E26" w:rsidP="00622343">
      <w:pPr>
        <w:pStyle w:val="TableFooter"/>
      </w:pPr>
      <w:r w:rsidRPr="00E17531">
        <w:rPr>
          <w:vertAlign w:val="superscript"/>
        </w:rPr>
        <w:t>a</w:t>
      </w:r>
      <w:r w:rsidRPr="00E17531">
        <w:t xml:space="preserve"> A 5-year time horizon was used in the pre-PBAC economic model relating to the previous submission.</w:t>
      </w:r>
    </w:p>
    <w:p w:rsidR="00013E26" w:rsidRPr="00E17531" w:rsidRDefault="00013E26" w:rsidP="00622343">
      <w:pPr>
        <w:pStyle w:val="TableFooter"/>
      </w:pPr>
      <w:r w:rsidRPr="00E17531">
        <w:rPr>
          <w:vertAlign w:val="superscript"/>
        </w:rPr>
        <w:t xml:space="preserve">b </w:t>
      </w:r>
      <w:r w:rsidRPr="00E17531">
        <w:t xml:space="preserve">Second-line nivolumab in patients who have failed platinum-based </w:t>
      </w:r>
      <w:r w:rsidR="00055388" w:rsidRPr="00055388">
        <w:t xml:space="preserve">doublet </w:t>
      </w:r>
      <w:r w:rsidRPr="00E17531">
        <w:t xml:space="preserve">chemotherapy was not considered in the base case of the economic model in the previous submission, but was taken into account in the revised economic model in the pre-PBAC response. </w:t>
      </w:r>
    </w:p>
    <w:p w:rsidR="00013E26" w:rsidRPr="00E17531" w:rsidRDefault="00013E26" w:rsidP="00622343">
      <w:pPr>
        <w:pStyle w:val="TableFooter"/>
      </w:pPr>
      <w:r w:rsidRPr="00E17531">
        <w:t>Source: Table compiled during the evaluation, based on Section 3 of the resubmission and Section D of the previous submission.</w:t>
      </w:r>
    </w:p>
    <w:p w:rsidR="00013E26" w:rsidRPr="00E17531" w:rsidRDefault="00531258" w:rsidP="008817F8">
      <w:pPr>
        <w:pStyle w:val="ListParagraph"/>
        <w:numPr>
          <w:ilvl w:val="4"/>
          <w:numId w:val="5"/>
        </w:numPr>
        <w:spacing w:before="0" w:after="120"/>
        <w:ind w:left="709" w:hanging="709"/>
        <w:rPr>
          <w:color w:val="auto"/>
        </w:rPr>
      </w:pPr>
      <w:r>
        <w:t>A key difference arose because n</w:t>
      </w:r>
      <w:r w:rsidR="00C936E9" w:rsidRPr="00E17531">
        <w:t>ivolumab was</w:t>
      </w:r>
      <w:r w:rsidR="00013E26" w:rsidRPr="00E17531">
        <w:t xml:space="preserve"> listed on the PBS</w:t>
      </w:r>
      <w:r w:rsidR="00C936E9" w:rsidRPr="00E17531">
        <w:t xml:space="preserve"> on 1 August 2017</w:t>
      </w:r>
      <w:r w:rsidR="00013E26" w:rsidRPr="00E17531">
        <w:t xml:space="preserve"> for treatment of patients with NSCLC who have progressed on or after prior platinum-based </w:t>
      </w:r>
      <w:r w:rsidR="00055388">
        <w:t xml:space="preserve">doublet </w:t>
      </w:r>
      <w:r w:rsidR="00013E26" w:rsidRPr="00E17531">
        <w:t xml:space="preserve">chemotherapy. As the treatment switching from first-line platinum-based doublet chemotherapy to second-line immunotherapy as observed in KN-024 would now reflect Australian clinical practice, it is appropriate to use the ITT OS data, without adjustment for treatment switching, and to cost second-line nivolumab in the economic model. </w:t>
      </w:r>
      <w:r w:rsidR="00E61B46">
        <w:rPr>
          <w:noProof/>
          <w:color w:val="000000"/>
          <w:highlight w:val="black"/>
        </w:rPr>
        <w:t>'''''''' ''''''''''''''''' ''''''''' ''''' ''''''''''''''''''''' '''''''' '''' ''''''' '''''''''''''''' '''''''''''' '''''''' '''' '''''' ''''''''''''''''' ''''''''''''''' '''''''' '''''''''''' ''''''' '''' '''''' ''''''''''''''''' '''''''''''''''''''''' ''''''''' '''''''' '''''''''''''''' '''''''''''''' ''''' ''''''''''''''</w:t>
      </w:r>
      <w:r w:rsidR="00B225C8" w:rsidRPr="00E17531">
        <w:rPr>
          <w:rStyle w:val="FootnoteReference"/>
        </w:rPr>
        <w:footnoteReference w:id="4"/>
      </w:r>
      <w:r w:rsidR="00A76C86" w:rsidRPr="00E17531">
        <w:t>)</w:t>
      </w:r>
      <w:r w:rsidR="007B1569" w:rsidRPr="00E17531">
        <w:t xml:space="preserve">. </w:t>
      </w:r>
      <w:r w:rsidR="00013E26" w:rsidRPr="00E17531">
        <w:t xml:space="preserve">The resubmission assumed that patients would receive </w:t>
      </w:r>
      <w:r w:rsidR="00E61B46">
        <w:rPr>
          <w:noProof/>
          <w:color w:val="000000"/>
          <w:highlight w:val="black"/>
        </w:rPr>
        <w:t>''''''</w:t>
      </w:r>
      <w:r w:rsidR="00013E26" w:rsidRPr="00E17531">
        <w:t xml:space="preserve"> 2-week cycles of nivolumab treatment after they have failed first-line </w:t>
      </w:r>
      <w:r w:rsidR="00055388">
        <w:t xml:space="preserve">platinum-based </w:t>
      </w:r>
      <w:r w:rsidR="00013E26" w:rsidRPr="00E17531">
        <w:t xml:space="preserve">doublet chemotherapy. The estimation of the number of infusions for nivolumab in a second-line setting was not justified in the resubmission. KN-024 trial data on the duration of second-line immunotherapy following </w:t>
      </w:r>
      <w:r w:rsidR="00055388">
        <w:t xml:space="preserve">platinum-based </w:t>
      </w:r>
      <w:r w:rsidR="00013E26" w:rsidRPr="00E17531">
        <w:t xml:space="preserve">doublet chemotherapy are lacking. The resubmission’s assumption of a mean treatment duration of </w:t>
      </w:r>
      <w:r w:rsidR="00E61B46">
        <w:rPr>
          <w:noProof/>
          <w:color w:val="000000"/>
          <w:highlight w:val="black"/>
        </w:rPr>
        <w:t>'''''' ''''''''''''''</w:t>
      </w:r>
      <w:r w:rsidR="00013E26" w:rsidRPr="00E17531">
        <w:t xml:space="preserve"> may be an overestimate. An overestimated treatment duration for second-line nivolumab would result in an ICER</w:t>
      </w:r>
      <w:r w:rsidR="003D017A" w:rsidRPr="00E17531">
        <w:t>/QALY</w:t>
      </w:r>
      <w:r w:rsidR="00013E26" w:rsidRPr="00E17531">
        <w:t xml:space="preserve"> favouring PD-L1/pembrolizumab.</w:t>
      </w:r>
    </w:p>
    <w:p w:rsidR="003958B0" w:rsidRPr="00E17531" w:rsidRDefault="00FD7F4C" w:rsidP="008817F8">
      <w:pPr>
        <w:pStyle w:val="ListParagraph"/>
        <w:numPr>
          <w:ilvl w:val="4"/>
          <w:numId w:val="5"/>
        </w:numPr>
        <w:spacing w:before="0" w:after="120"/>
        <w:ind w:left="709" w:hanging="709"/>
        <w:rPr>
          <w:color w:val="auto"/>
        </w:rPr>
      </w:pPr>
      <w:r w:rsidRPr="00E17531">
        <w:rPr>
          <w:color w:val="auto"/>
        </w:rPr>
        <w:t xml:space="preserve">The PSCR (p3) stated that the estimates of mean treatment duration with nivolumab were based on the </w:t>
      </w:r>
      <w:r w:rsidR="00330FD1" w:rsidRPr="00E17531">
        <w:rPr>
          <w:color w:val="auto"/>
        </w:rPr>
        <w:t>n</w:t>
      </w:r>
      <w:r w:rsidRPr="00E17531">
        <w:rPr>
          <w:color w:val="auto"/>
        </w:rPr>
        <w:t>ivolumab November 2016 PSD. The PSCR acknowledged that the treatment costs for nivolumab w</w:t>
      </w:r>
      <w:r w:rsidR="00330FD1" w:rsidRPr="00E17531">
        <w:rPr>
          <w:color w:val="auto"/>
        </w:rPr>
        <w:t>ould need to</w:t>
      </w:r>
      <w:r w:rsidRPr="00E17531">
        <w:rPr>
          <w:color w:val="auto"/>
        </w:rPr>
        <w:t xml:space="preserve"> be updated to reflect the Deed </w:t>
      </w:r>
      <w:r w:rsidR="00330FD1" w:rsidRPr="00E17531">
        <w:rPr>
          <w:color w:val="auto"/>
        </w:rPr>
        <w:t xml:space="preserve">for nivolumab agreed </w:t>
      </w:r>
      <w:r w:rsidRPr="00E17531">
        <w:rPr>
          <w:color w:val="auto"/>
        </w:rPr>
        <w:t xml:space="preserve">with </w:t>
      </w:r>
      <w:r w:rsidR="00330FD1" w:rsidRPr="00E17531">
        <w:rPr>
          <w:color w:val="auto"/>
        </w:rPr>
        <w:t>t</w:t>
      </w:r>
      <w:r w:rsidRPr="00E17531">
        <w:rPr>
          <w:color w:val="auto"/>
        </w:rPr>
        <w:t xml:space="preserve">he Department if pembrolizumab </w:t>
      </w:r>
      <w:r w:rsidR="00330FD1" w:rsidRPr="00E17531">
        <w:rPr>
          <w:color w:val="auto"/>
        </w:rPr>
        <w:t xml:space="preserve">was to </w:t>
      </w:r>
      <w:r w:rsidRPr="00E17531">
        <w:rPr>
          <w:color w:val="auto"/>
        </w:rPr>
        <w:t>receive a positive PBAC recommendation.</w:t>
      </w:r>
    </w:p>
    <w:p w:rsidR="003958B0" w:rsidRPr="00E17531" w:rsidRDefault="003958B0" w:rsidP="008817F8">
      <w:pPr>
        <w:pStyle w:val="ListParagraph"/>
        <w:numPr>
          <w:ilvl w:val="4"/>
          <w:numId w:val="5"/>
        </w:numPr>
        <w:spacing w:before="0" w:after="120"/>
        <w:ind w:left="709" w:hanging="709"/>
        <w:rPr>
          <w:color w:val="auto"/>
          <w:szCs w:val="24"/>
        </w:rPr>
      </w:pPr>
      <w:r w:rsidRPr="00E17531">
        <w:rPr>
          <w:color w:val="auto"/>
        </w:rPr>
        <w:lastRenderedPageBreak/>
        <w:t>The ESC</w:t>
      </w:r>
      <w:r w:rsidR="00347DDE" w:rsidRPr="00E17531">
        <w:rPr>
          <w:color w:val="auto"/>
        </w:rPr>
        <w:t>s</w:t>
      </w:r>
      <w:r w:rsidRPr="00E17531">
        <w:rPr>
          <w:color w:val="auto"/>
        </w:rPr>
        <w:t xml:space="preserve"> considered that patients enrolled in the later-line nivolumab for non-squamous NSCLC trial (Checkmate 057) w</w:t>
      </w:r>
      <w:r w:rsidR="00330FD1" w:rsidRPr="00E17531">
        <w:rPr>
          <w:color w:val="auto"/>
        </w:rPr>
        <w:t>ere</w:t>
      </w:r>
      <w:r w:rsidRPr="00E17531">
        <w:rPr>
          <w:color w:val="auto"/>
        </w:rPr>
        <w:t xml:space="preserve"> not representative of the subjects in KN-024, who experienced disease progression and received second-line nivolumab following first-line platinum-based doublet chemotherapy. The subjects in the nivolumab arm of Checkmate 057 appeared to have better prognosis than those in the chemotherapy arm of KN-024 at </w:t>
      </w:r>
      <w:r w:rsidR="00C936E9" w:rsidRPr="00E17531">
        <w:rPr>
          <w:color w:val="auto"/>
        </w:rPr>
        <w:t>enrolment</w:t>
      </w:r>
      <w:r w:rsidRPr="00E17531">
        <w:rPr>
          <w:color w:val="auto"/>
        </w:rPr>
        <w:t>, e.g. with younger age (median age: 61 years vs 66 years) and more patients with less advanced disease (Stage IIIB disease: 7% vs 0.7%</w:t>
      </w:r>
      <w:r w:rsidR="00207635" w:rsidRPr="00E17531">
        <w:rPr>
          <w:rStyle w:val="FootnoteReference"/>
          <w:color w:val="auto"/>
        </w:rPr>
        <w:footnoteReference w:id="5"/>
      </w:r>
      <w:r w:rsidRPr="00E17531">
        <w:rPr>
          <w:color w:val="auto"/>
        </w:rPr>
        <w:t>) . The ESC</w:t>
      </w:r>
      <w:r w:rsidR="00347DDE" w:rsidRPr="00E17531">
        <w:rPr>
          <w:color w:val="auto"/>
        </w:rPr>
        <w:t>s</w:t>
      </w:r>
      <w:r w:rsidRPr="00E17531">
        <w:rPr>
          <w:color w:val="auto"/>
        </w:rPr>
        <w:t xml:space="preserve"> considered that it would be reasonable to assume that patients who progressed on or after first-line </w:t>
      </w:r>
      <w:r w:rsidR="00E17531" w:rsidRPr="00E17531">
        <w:rPr>
          <w:color w:val="auto"/>
        </w:rPr>
        <w:t>platinum-based</w:t>
      </w:r>
      <w:r w:rsidRPr="00E17531">
        <w:rPr>
          <w:color w:val="auto"/>
        </w:rPr>
        <w:t xml:space="preserve"> </w:t>
      </w:r>
      <w:r w:rsidR="00055388">
        <w:t xml:space="preserve">doublet </w:t>
      </w:r>
      <w:r w:rsidRPr="00E17531">
        <w:rPr>
          <w:color w:val="auto"/>
        </w:rPr>
        <w:t xml:space="preserve">chemotherapy in KN-024 had </w:t>
      </w:r>
      <w:r w:rsidR="00330FD1" w:rsidRPr="00E17531">
        <w:rPr>
          <w:color w:val="auto"/>
        </w:rPr>
        <w:t xml:space="preserve">a </w:t>
      </w:r>
      <w:r w:rsidRPr="00E17531">
        <w:rPr>
          <w:color w:val="auto"/>
        </w:rPr>
        <w:t xml:space="preserve">shorter time from first disease progression to subsequent disease progression compared with the PFS reported in Checkmate 057 and, thus, shorter duration of treatment with nivolumab. In KN-024, the median PFS and median time from randomisation to disease progression after second-line therapy or death (PFS2) were 6.1 months (Table 1, p9, PSCR) and 8.4 months (Figure 10, COM.116), respectively, for the </w:t>
      </w:r>
      <w:r w:rsidR="00055388">
        <w:t xml:space="preserve">platinum-based </w:t>
      </w:r>
      <w:r w:rsidRPr="00E17531">
        <w:rPr>
          <w:color w:val="auto"/>
        </w:rPr>
        <w:t>doublet chemotherapy arm</w:t>
      </w:r>
      <w:r w:rsidR="006E02F3" w:rsidRPr="00E17531">
        <w:rPr>
          <w:color w:val="auto"/>
        </w:rPr>
        <w:t xml:space="preserve">, in which 64.2% of patients switched </w:t>
      </w:r>
      <w:r w:rsidR="006E02F3" w:rsidRPr="00E17531">
        <w:rPr>
          <w:color w:val="auto"/>
          <w:szCs w:val="24"/>
        </w:rPr>
        <w:t>to a PD-1 inhibitor after progression</w:t>
      </w:r>
      <w:r w:rsidRPr="00E17531">
        <w:rPr>
          <w:color w:val="auto"/>
          <w:szCs w:val="24"/>
        </w:rPr>
        <w:t xml:space="preserve">. The difference (2.3 months) was much shorter than the </w:t>
      </w:r>
      <w:r w:rsidR="00E61B46">
        <w:rPr>
          <w:noProof/>
          <w:color w:val="000000"/>
          <w:szCs w:val="24"/>
          <w:highlight w:val="black"/>
        </w:rPr>
        <w:t>'''''''</w:t>
      </w:r>
      <w:r w:rsidRPr="00E17531">
        <w:rPr>
          <w:color w:val="auto"/>
          <w:szCs w:val="24"/>
        </w:rPr>
        <w:t xml:space="preserve"> months assumed in the resubmission </w:t>
      </w:r>
      <w:r w:rsidR="004062B5" w:rsidRPr="00E17531">
        <w:rPr>
          <w:color w:val="auto"/>
          <w:szCs w:val="24"/>
        </w:rPr>
        <w:t>based on</w:t>
      </w:r>
      <w:r w:rsidRPr="00E17531">
        <w:rPr>
          <w:color w:val="auto"/>
          <w:szCs w:val="24"/>
        </w:rPr>
        <w:t xml:space="preserve"> data from Checkmate 057. </w:t>
      </w:r>
      <w:r w:rsidR="00371D13" w:rsidRPr="00E17531">
        <w:rPr>
          <w:color w:val="auto"/>
          <w:szCs w:val="24"/>
        </w:rPr>
        <w:t>S</w:t>
      </w:r>
      <w:r w:rsidRPr="00E17531">
        <w:rPr>
          <w:color w:val="auto"/>
          <w:szCs w:val="24"/>
        </w:rPr>
        <w:t>ensitivity analys</w:t>
      </w:r>
      <w:r w:rsidR="00371D13" w:rsidRPr="00E17531">
        <w:rPr>
          <w:color w:val="auto"/>
          <w:szCs w:val="24"/>
        </w:rPr>
        <w:t>e</w:t>
      </w:r>
      <w:r w:rsidRPr="00E17531">
        <w:rPr>
          <w:color w:val="auto"/>
          <w:szCs w:val="24"/>
        </w:rPr>
        <w:t>s w</w:t>
      </w:r>
      <w:r w:rsidR="00371D13" w:rsidRPr="00E17531">
        <w:rPr>
          <w:color w:val="auto"/>
          <w:szCs w:val="24"/>
        </w:rPr>
        <w:t>ere</w:t>
      </w:r>
      <w:r w:rsidRPr="00E17531">
        <w:rPr>
          <w:color w:val="auto"/>
          <w:szCs w:val="24"/>
        </w:rPr>
        <w:t xml:space="preserve"> performed by reducing the number of treatment cycles from </w:t>
      </w:r>
      <w:r w:rsidR="00E61B46">
        <w:rPr>
          <w:noProof/>
          <w:color w:val="000000"/>
          <w:szCs w:val="24"/>
          <w:highlight w:val="black"/>
        </w:rPr>
        <w:t>''''' ''''''''''' ''''''' ''''''' ''''''''''''''''</w:t>
      </w:r>
      <w:r w:rsidRPr="00E17531">
        <w:rPr>
          <w:color w:val="auto"/>
          <w:szCs w:val="24"/>
        </w:rPr>
        <w:t xml:space="preserve"> to 5.0 cycles (</w:t>
      </w:r>
      <w:r w:rsidR="00E15390" w:rsidRPr="00E17531">
        <w:rPr>
          <w:color w:val="auto"/>
          <w:szCs w:val="24"/>
        </w:rPr>
        <w:t>i.e.</w:t>
      </w:r>
      <w:r w:rsidRPr="00E17531">
        <w:rPr>
          <w:color w:val="auto"/>
          <w:szCs w:val="24"/>
        </w:rPr>
        <w:t xml:space="preserve"> 2.3 months) (Table</w:t>
      </w:r>
      <w:r w:rsidR="00D83A64" w:rsidRPr="00E17531">
        <w:rPr>
          <w:color w:val="auto"/>
          <w:szCs w:val="24"/>
        </w:rPr>
        <w:t>s</w:t>
      </w:r>
      <w:r w:rsidRPr="00E17531">
        <w:rPr>
          <w:color w:val="auto"/>
          <w:szCs w:val="24"/>
        </w:rPr>
        <w:t xml:space="preserve"> </w:t>
      </w:r>
      <w:r w:rsidR="00D83A64" w:rsidRPr="00E17531">
        <w:rPr>
          <w:color w:val="auto"/>
          <w:szCs w:val="24"/>
        </w:rPr>
        <w:t xml:space="preserve">13 and </w:t>
      </w:r>
      <w:r w:rsidR="00371D13" w:rsidRPr="00E17531">
        <w:rPr>
          <w:color w:val="auto"/>
          <w:szCs w:val="24"/>
        </w:rPr>
        <w:t>14</w:t>
      </w:r>
      <w:r w:rsidRPr="00E17531">
        <w:rPr>
          <w:color w:val="auto"/>
          <w:szCs w:val="24"/>
        </w:rPr>
        <w:t>).</w:t>
      </w:r>
    </w:p>
    <w:p w:rsidR="003068C9" w:rsidRPr="00E17531" w:rsidRDefault="003068C9" w:rsidP="008817F8">
      <w:pPr>
        <w:pStyle w:val="ListParagraph"/>
        <w:numPr>
          <w:ilvl w:val="4"/>
          <w:numId w:val="5"/>
        </w:numPr>
        <w:spacing w:before="0" w:after="120"/>
        <w:ind w:left="709" w:hanging="709"/>
        <w:rPr>
          <w:color w:val="auto"/>
          <w:szCs w:val="24"/>
        </w:rPr>
      </w:pPr>
      <w:r w:rsidRPr="00E17531">
        <w:rPr>
          <w:color w:val="auto"/>
          <w:szCs w:val="24"/>
        </w:rPr>
        <w:t xml:space="preserve">The pre-PBAC response (p2-3) </w:t>
      </w:r>
      <w:r w:rsidR="00635BDF" w:rsidRPr="00E17531">
        <w:rPr>
          <w:color w:val="auto"/>
          <w:szCs w:val="24"/>
        </w:rPr>
        <w:t>argued that the approach applied by the ESCs to estimate the use of second-line nivolumab underestimated the treatment duration for two reasons:</w:t>
      </w:r>
    </w:p>
    <w:p w:rsidR="00635BDF" w:rsidRPr="00E17531" w:rsidRDefault="00E3492A" w:rsidP="00AA5FFD">
      <w:pPr>
        <w:pStyle w:val="ListParagraph"/>
        <w:numPr>
          <w:ilvl w:val="0"/>
          <w:numId w:val="10"/>
        </w:numPr>
        <w:spacing w:before="0" w:after="120"/>
        <w:ind w:left="1276" w:hanging="426"/>
        <w:rPr>
          <w:color w:val="auto"/>
          <w:szCs w:val="24"/>
        </w:rPr>
      </w:pPr>
      <w:r w:rsidRPr="00E17531">
        <w:rPr>
          <w:color w:val="auto"/>
          <w:szCs w:val="24"/>
        </w:rPr>
        <w:t>t</w:t>
      </w:r>
      <w:r w:rsidR="00635BDF" w:rsidRPr="00E17531">
        <w:rPr>
          <w:color w:val="auto"/>
          <w:szCs w:val="24"/>
        </w:rPr>
        <w:t>he PFS2 of 8.4 months is based on the entire ITT population, not just those that crossed over to a PD-1 inhibitor (64.2%); the treatment duration of the latter would be longer</w:t>
      </w:r>
      <w:r w:rsidR="00D74742" w:rsidRPr="00E17531">
        <w:rPr>
          <w:color w:val="auto"/>
          <w:szCs w:val="24"/>
        </w:rPr>
        <w:t>;</w:t>
      </w:r>
    </w:p>
    <w:p w:rsidR="00635BDF" w:rsidRPr="00E17531" w:rsidRDefault="00E3492A" w:rsidP="00AA5FFD">
      <w:pPr>
        <w:pStyle w:val="ListParagraph"/>
        <w:numPr>
          <w:ilvl w:val="0"/>
          <w:numId w:val="10"/>
        </w:numPr>
        <w:spacing w:before="0" w:after="120"/>
        <w:ind w:left="1276" w:hanging="426"/>
        <w:rPr>
          <w:color w:val="auto"/>
          <w:szCs w:val="24"/>
        </w:rPr>
      </w:pPr>
      <w:r w:rsidRPr="00E17531">
        <w:rPr>
          <w:color w:val="auto"/>
          <w:szCs w:val="24"/>
        </w:rPr>
        <w:t>t</w:t>
      </w:r>
      <w:r w:rsidR="00635BDF" w:rsidRPr="00E17531">
        <w:rPr>
          <w:color w:val="auto"/>
          <w:szCs w:val="24"/>
        </w:rPr>
        <w:t xml:space="preserve">he </w:t>
      </w:r>
      <w:r w:rsidR="00635BDF" w:rsidRPr="00E17531">
        <w:t>mean</w:t>
      </w:r>
      <w:r w:rsidR="00635BDF" w:rsidRPr="00E17531">
        <w:rPr>
          <w:color w:val="auto"/>
          <w:szCs w:val="24"/>
        </w:rPr>
        <w:t>, rather than the median, treatment duration should be used to estimate costs, consistent with how costs were determine</w:t>
      </w:r>
      <w:r w:rsidR="009B7429" w:rsidRPr="00E17531">
        <w:rPr>
          <w:color w:val="auto"/>
          <w:szCs w:val="24"/>
        </w:rPr>
        <w:t>d</w:t>
      </w:r>
      <w:r w:rsidR="00635BDF" w:rsidRPr="00E17531">
        <w:rPr>
          <w:color w:val="auto"/>
          <w:szCs w:val="24"/>
        </w:rPr>
        <w:t xml:space="preserve"> in the </w:t>
      </w:r>
      <w:r w:rsidRPr="00E17531">
        <w:rPr>
          <w:color w:val="auto"/>
          <w:szCs w:val="24"/>
        </w:rPr>
        <w:t>second-</w:t>
      </w:r>
      <w:r w:rsidR="00635BDF" w:rsidRPr="00E17531">
        <w:rPr>
          <w:color w:val="auto"/>
          <w:szCs w:val="24"/>
        </w:rPr>
        <w:t>line nivolumab economic evaluation (November 2016 PSDs); this would be the best estimate of costs as it captures the subset of patients with durable responses.</w:t>
      </w:r>
    </w:p>
    <w:p w:rsidR="001E0FD1" w:rsidRPr="00E17531" w:rsidRDefault="001E0FD1" w:rsidP="001E0FD1">
      <w:pPr>
        <w:ind w:left="720"/>
        <w:rPr>
          <w:szCs w:val="24"/>
        </w:rPr>
      </w:pPr>
      <w:r w:rsidRPr="00E17531">
        <w:rPr>
          <w:szCs w:val="24"/>
        </w:rPr>
        <w:t xml:space="preserve">The pre-PBAC response maintained that the </w:t>
      </w:r>
      <w:r w:rsidR="00E61B46">
        <w:rPr>
          <w:noProof/>
          <w:color w:val="000000"/>
          <w:szCs w:val="24"/>
          <w:highlight w:val="black"/>
        </w:rPr>
        <w:t>''' '''''''''''''''''</w:t>
      </w:r>
      <w:r w:rsidRPr="00E17531">
        <w:rPr>
          <w:szCs w:val="24"/>
        </w:rPr>
        <w:t xml:space="preserve"> treatment duration for nivolumab proposed by the submission was appropriate.</w:t>
      </w:r>
    </w:p>
    <w:p w:rsidR="004062B5" w:rsidRPr="004062B5" w:rsidRDefault="007938BD" w:rsidP="007938BD">
      <w:pPr>
        <w:pStyle w:val="ListParagraph"/>
        <w:numPr>
          <w:ilvl w:val="4"/>
          <w:numId w:val="5"/>
        </w:numPr>
        <w:spacing w:before="0" w:after="120"/>
        <w:ind w:left="709" w:hanging="709"/>
        <w:rPr>
          <w:color w:val="auto"/>
          <w:szCs w:val="24"/>
        </w:rPr>
      </w:pPr>
      <w:r w:rsidRPr="00E17531">
        <w:rPr>
          <w:szCs w:val="24"/>
        </w:rPr>
        <w:t>The PBAC agreed with the ESCs’ views on the treatment duration of second-line nivolumab</w:t>
      </w:r>
      <w:r w:rsidR="00C54620" w:rsidRPr="00E17531">
        <w:rPr>
          <w:szCs w:val="24"/>
        </w:rPr>
        <w:t xml:space="preserve">, </w:t>
      </w:r>
      <w:r w:rsidR="00E61BA2" w:rsidRPr="00E17531">
        <w:rPr>
          <w:szCs w:val="24"/>
        </w:rPr>
        <w:t xml:space="preserve">considering </w:t>
      </w:r>
      <w:r w:rsidR="00C54620" w:rsidRPr="00E17531">
        <w:rPr>
          <w:szCs w:val="24"/>
        </w:rPr>
        <w:t>that</w:t>
      </w:r>
      <w:r w:rsidR="004062B5">
        <w:rPr>
          <w:szCs w:val="24"/>
        </w:rPr>
        <w:t>:</w:t>
      </w:r>
    </w:p>
    <w:p w:rsidR="004062B5" w:rsidRDefault="00C54620" w:rsidP="004062B5">
      <w:pPr>
        <w:pStyle w:val="ListParagraph"/>
        <w:numPr>
          <w:ilvl w:val="0"/>
          <w:numId w:val="10"/>
        </w:numPr>
        <w:spacing w:before="0" w:after="120"/>
        <w:ind w:left="1276" w:hanging="426"/>
        <w:rPr>
          <w:color w:val="auto"/>
          <w:szCs w:val="24"/>
        </w:rPr>
      </w:pPr>
      <w:r w:rsidRPr="004062B5">
        <w:rPr>
          <w:color w:val="auto"/>
          <w:szCs w:val="24"/>
        </w:rPr>
        <w:t>the health outcomes in the model reflected the 64.2% of trial participants crossing over to a PD-1 inhibitor, so if this basis were to be changed in estimating costs, corresponding change would be needed for estimating health outcomes, and</w:t>
      </w:r>
    </w:p>
    <w:p w:rsidR="00635BDF" w:rsidRPr="00E17531" w:rsidRDefault="00C54620" w:rsidP="004062B5">
      <w:pPr>
        <w:pStyle w:val="ListParagraph"/>
        <w:numPr>
          <w:ilvl w:val="0"/>
          <w:numId w:val="10"/>
        </w:numPr>
        <w:spacing w:before="0" w:after="120"/>
        <w:ind w:left="1276" w:hanging="426"/>
        <w:rPr>
          <w:color w:val="auto"/>
          <w:szCs w:val="24"/>
        </w:rPr>
      </w:pPr>
      <w:r w:rsidRPr="004062B5">
        <w:rPr>
          <w:color w:val="auto"/>
          <w:szCs w:val="24"/>
        </w:rPr>
        <w:t xml:space="preserve">the health outcomes in the model reflected an extrapolation from the truncated means in the clinical data, so in the absence of a similar </w:t>
      </w:r>
      <w:r w:rsidRPr="004062B5">
        <w:rPr>
          <w:color w:val="auto"/>
          <w:szCs w:val="24"/>
        </w:rPr>
        <w:lastRenderedPageBreak/>
        <w:t>extrapolation for the truncated mean in the time to PFS2, the median is likely to provide a better estimate</w:t>
      </w:r>
      <w:r w:rsidR="007938BD" w:rsidRPr="004062B5">
        <w:rPr>
          <w:color w:val="auto"/>
          <w:szCs w:val="24"/>
        </w:rPr>
        <w:t>.</w:t>
      </w:r>
    </w:p>
    <w:p w:rsidR="00013E26" w:rsidRPr="00E17531" w:rsidRDefault="00013E26" w:rsidP="008817F8">
      <w:pPr>
        <w:pStyle w:val="ListParagraph"/>
        <w:numPr>
          <w:ilvl w:val="4"/>
          <w:numId w:val="5"/>
        </w:numPr>
        <w:spacing w:before="0" w:after="120"/>
        <w:ind w:left="709" w:hanging="709"/>
        <w:rPr>
          <w:color w:val="auto"/>
          <w:szCs w:val="24"/>
        </w:rPr>
      </w:pPr>
      <w:r w:rsidRPr="00E17531">
        <w:rPr>
          <w:color w:val="auto"/>
          <w:szCs w:val="24"/>
        </w:rPr>
        <w:t>The key drivers of the model are summarised below.</w:t>
      </w:r>
    </w:p>
    <w:p w:rsidR="00013E26" w:rsidRPr="00E17531" w:rsidRDefault="00013E26" w:rsidP="008F1A10">
      <w:pPr>
        <w:pStyle w:val="Caption"/>
      </w:pPr>
      <w:r w:rsidRPr="00E17531">
        <w:t>Table</w:t>
      </w:r>
      <w:r w:rsidR="00E64E6C" w:rsidRPr="00E17531">
        <w:t>1</w:t>
      </w:r>
      <w:r w:rsidR="004C0962" w:rsidRPr="00E17531">
        <w:t>1</w:t>
      </w:r>
      <w:r w:rsidRPr="00E17531">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79"/>
        <w:gridCol w:w="2977"/>
        <w:gridCol w:w="3526"/>
      </w:tblGrid>
      <w:tr w:rsidR="00013E26" w:rsidRPr="00E17531" w:rsidTr="00575BF2">
        <w:trPr>
          <w:tblHeader/>
        </w:trPr>
        <w:tc>
          <w:tcPr>
            <w:tcW w:w="1420" w:type="pct"/>
            <w:shd w:val="clear" w:color="auto" w:fill="auto"/>
          </w:tcPr>
          <w:p w:rsidR="00013E26" w:rsidRPr="00E17531" w:rsidRDefault="00013E26" w:rsidP="00612837">
            <w:pPr>
              <w:pStyle w:val="TableText"/>
              <w:keepNext/>
              <w:ind w:right="168"/>
              <w:jc w:val="left"/>
              <w:rPr>
                <w:b/>
              </w:rPr>
            </w:pPr>
            <w:r w:rsidRPr="00E17531">
              <w:rPr>
                <w:b/>
              </w:rPr>
              <w:t>Description</w:t>
            </w:r>
          </w:p>
        </w:tc>
        <w:tc>
          <w:tcPr>
            <w:tcW w:w="1639" w:type="pct"/>
            <w:shd w:val="clear" w:color="auto" w:fill="auto"/>
          </w:tcPr>
          <w:p w:rsidR="00013E26" w:rsidRPr="00E17531" w:rsidRDefault="00013E26" w:rsidP="00612837">
            <w:pPr>
              <w:pStyle w:val="TableText"/>
              <w:keepNext/>
              <w:ind w:right="224"/>
              <w:jc w:val="left"/>
              <w:rPr>
                <w:b/>
              </w:rPr>
            </w:pPr>
            <w:r w:rsidRPr="00E17531">
              <w:rPr>
                <w:b/>
              </w:rPr>
              <w:t>Method/Value</w:t>
            </w:r>
          </w:p>
        </w:tc>
        <w:tc>
          <w:tcPr>
            <w:tcW w:w="1941" w:type="pct"/>
            <w:shd w:val="clear" w:color="auto" w:fill="auto"/>
          </w:tcPr>
          <w:p w:rsidR="00013E26" w:rsidRPr="00E17531" w:rsidRDefault="00013E26" w:rsidP="00612837">
            <w:pPr>
              <w:pStyle w:val="TableText"/>
              <w:keepNext/>
              <w:ind w:right="204"/>
              <w:jc w:val="left"/>
              <w:rPr>
                <w:b/>
              </w:rPr>
            </w:pPr>
            <w:r w:rsidRPr="00E17531">
              <w:rPr>
                <w:b/>
              </w:rPr>
              <w:t>Impact</w:t>
            </w:r>
          </w:p>
        </w:tc>
      </w:tr>
      <w:tr w:rsidR="00013E26" w:rsidRPr="00E17531" w:rsidTr="00575BF2">
        <w:tc>
          <w:tcPr>
            <w:tcW w:w="1420" w:type="pct"/>
            <w:shd w:val="clear" w:color="auto" w:fill="auto"/>
          </w:tcPr>
          <w:p w:rsidR="00013E26" w:rsidRPr="00E17531" w:rsidRDefault="00013E26" w:rsidP="00612837">
            <w:pPr>
              <w:pStyle w:val="TableText"/>
              <w:keepNext/>
              <w:ind w:right="168"/>
              <w:jc w:val="left"/>
            </w:pPr>
            <w:r w:rsidRPr="00E17531">
              <w:t>Duration of pembrolizumab treatment</w:t>
            </w:r>
          </w:p>
        </w:tc>
        <w:tc>
          <w:tcPr>
            <w:tcW w:w="1639" w:type="pct"/>
            <w:shd w:val="clear" w:color="auto" w:fill="auto"/>
          </w:tcPr>
          <w:p w:rsidR="00013E26" w:rsidRPr="00E17531" w:rsidRDefault="00013E26" w:rsidP="00612837">
            <w:pPr>
              <w:pStyle w:val="TableText"/>
              <w:keepNext/>
              <w:ind w:right="224"/>
              <w:jc w:val="left"/>
            </w:pPr>
            <w:r w:rsidRPr="00E17531">
              <w:t>Treatment until disease progression or 2 years maximum.</w:t>
            </w:r>
          </w:p>
        </w:tc>
        <w:tc>
          <w:tcPr>
            <w:tcW w:w="1941" w:type="pct"/>
            <w:shd w:val="clear" w:color="auto" w:fill="auto"/>
          </w:tcPr>
          <w:p w:rsidR="00013E26" w:rsidRPr="00E17531" w:rsidRDefault="00013E26" w:rsidP="00612837">
            <w:pPr>
              <w:pStyle w:val="TableText"/>
              <w:keepNext/>
              <w:ind w:right="204"/>
              <w:jc w:val="left"/>
            </w:pPr>
            <w:r w:rsidRPr="00E17531">
              <w:t>If patients do not stop treatment at 2 years in practice, the assumption used in the model would favour PD-L1/pembrolizumab.</w:t>
            </w:r>
          </w:p>
        </w:tc>
      </w:tr>
      <w:tr w:rsidR="00013E26" w:rsidRPr="00E17531" w:rsidTr="00575BF2">
        <w:tc>
          <w:tcPr>
            <w:tcW w:w="1420" w:type="pct"/>
            <w:shd w:val="clear" w:color="auto" w:fill="auto"/>
          </w:tcPr>
          <w:p w:rsidR="00013E26" w:rsidRPr="00E17531" w:rsidRDefault="00013E26" w:rsidP="00612837">
            <w:pPr>
              <w:pStyle w:val="TableText"/>
              <w:ind w:right="168"/>
              <w:jc w:val="left"/>
            </w:pPr>
            <w:r w:rsidRPr="00E17531">
              <w:t>Extrapolation of pembrolizumab OS</w:t>
            </w:r>
          </w:p>
        </w:tc>
        <w:tc>
          <w:tcPr>
            <w:tcW w:w="1639" w:type="pct"/>
            <w:shd w:val="clear" w:color="auto" w:fill="auto"/>
          </w:tcPr>
          <w:p w:rsidR="00013E26" w:rsidRPr="00E17531" w:rsidRDefault="00013E26" w:rsidP="00612837">
            <w:pPr>
              <w:pStyle w:val="TableText"/>
              <w:ind w:right="224"/>
              <w:jc w:val="left"/>
            </w:pPr>
            <w:r w:rsidRPr="00E17531">
              <w:t>The selection of the log-logistic model in the base case analysis may overestimate long-term survival.</w:t>
            </w:r>
          </w:p>
        </w:tc>
        <w:tc>
          <w:tcPr>
            <w:tcW w:w="1941" w:type="pct"/>
            <w:shd w:val="clear" w:color="auto" w:fill="auto"/>
          </w:tcPr>
          <w:p w:rsidR="00013E26" w:rsidRPr="00E17531" w:rsidRDefault="00013E26" w:rsidP="00612837">
            <w:pPr>
              <w:pStyle w:val="TableText"/>
              <w:ind w:right="204"/>
              <w:jc w:val="left"/>
            </w:pPr>
            <w:r w:rsidRPr="00E17531">
              <w:t>High, favours PD-L1/pembrolizumab</w:t>
            </w:r>
            <w:r w:rsidR="00F030EE" w:rsidRPr="00E17531">
              <w:t>.</w:t>
            </w:r>
          </w:p>
        </w:tc>
      </w:tr>
      <w:tr w:rsidR="00013E26" w:rsidRPr="00E17531" w:rsidTr="00575BF2">
        <w:tc>
          <w:tcPr>
            <w:tcW w:w="1420" w:type="pct"/>
            <w:shd w:val="clear" w:color="auto" w:fill="auto"/>
          </w:tcPr>
          <w:p w:rsidR="00013E26" w:rsidRPr="00E17531" w:rsidRDefault="00013E26" w:rsidP="00612837">
            <w:pPr>
              <w:pStyle w:val="TableText"/>
              <w:ind w:right="168"/>
              <w:jc w:val="left"/>
            </w:pPr>
            <w:r w:rsidRPr="00E17531">
              <w:t>Time horizon</w:t>
            </w:r>
          </w:p>
        </w:tc>
        <w:tc>
          <w:tcPr>
            <w:tcW w:w="1639" w:type="pct"/>
            <w:shd w:val="clear" w:color="auto" w:fill="auto"/>
          </w:tcPr>
          <w:p w:rsidR="00013E26" w:rsidRPr="00E17531" w:rsidRDefault="00013E26" w:rsidP="00612837">
            <w:pPr>
              <w:pStyle w:val="TableText"/>
              <w:ind w:right="224"/>
              <w:jc w:val="left"/>
            </w:pPr>
            <w:r w:rsidRPr="00E17531">
              <w:t>7.5 years</w:t>
            </w:r>
          </w:p>
        </w:tc>
        <w:tc>
          <w:tcPr>
            <w:tcW w:w="1941" w:type="pct"/>
            <w:shd w:val="clear" w:color="auto" w:fill="auto"/>
          </w:tcPr>
          <w:p w:rsidR="00013E26" w:rsidRPr="00E17531" w:rsidRDefault="00013E26" w:rsidP="00612837">
            <w:pPr>
              <w:pStyle w:val="TableText"/>
              <w:ind w:right="204"/>
              <w:jc w:val="left"/>
            </w:pPr>
            <w:r w:rsidRPr="00E17531">
              <w:t>Moderate-high, favours PD-L1/pembrolizumab</w:t>
            </w:r>
            <w:r w:rsidR="00F030EE" w:rsidRPr="00E17531">
              <w:t>.</w:t>
            </w:r>
          </w:p>
        </w:tc>
      </w:tr>
      <w:tr w:rsidR="00013E26" w:rsidRPr="00E17531" w:rsidTr="00575BF2">
        <w:tc>
          <w:tcPr>
            <w:tcW w:w="1420" w:type="pct"/>
            <w:shd w:val="clear" w:color="auto" w:fill="auto"/>
          </w:tcPr>
          <w:p w:rsidR="00013E26" w:rsidRPr="00E17531" w:rsidRDefault="00013E26" w:rsidP="00612837">
            <w:pPr>
              <w:pStyle w:val="TableText"/>
              <w:ind w:right="168"/>
              <w:jc w:val="left"/>
            </w:pPr>
            <w:r w:rsidRPr="00E17531">
              <w:t>Duration of nivolumab treatment as a second-line therapy in no testing/chemotherapy arm</w:t>
            </w:r>
          </w:p>
        </w:tc>
        <w:tc>
          <w:tcPr>
            <w:tcW w:w="1639" w:type="pct"/>
            <w:shd w:val="clear" w:color="auto" w:fill="auto"/>
          </w:tcPr>
          <w:p w:rsidR="00013E26" w:rsidRPr="00E61B46" w:rsidRDefault="00E61B46" w:rsidP="00612837">
            <w:pPr>
              <w:pStyle w:val="TableText"/>
              <w:ind w:right="224"/>
              <w:jc w:val="left"/>
              <w:rPr>
                <w:highlight w:val="black"/>
              </w:rPr>
            </w:pPr>
            <w:r>
              <w:rPr>
                <w:noProof/>
                <w:color w:val="000000"/>
                <w:highlight w:val="black"/>
              </w:rPr>
              <w:t>''''''''' '''''''''''''''''' '''''''' '''' '''''''''''''''' '''''''''''''''</w:t>
            </w:r>
          </w:p>
        </w:tc>
        <w:tc>
          <w:tcPr>
            <w:tcW w:w="1941" w:type="pct"/>
            <w:shd w:val="clear" w:color="auto" w:fill="auto"/>
          </w:tcPr>
          <w:p w:rsidR="00013E26" w:rsidRPr="00E17531" w:rsidRDefault="00013E26" w:rsidP="00612837">
            <w:pPr>
              <w:pStyle w:val="TableText"/>
              <w:ind w:right="204"/>
              <w:jc w:val="left"/>
            </w:pPr>
            <w:r w:rsidRPr="00E17531">
              <w:t>Moderate-high, favours PD-L1/pembrolizumab</w:t>
            </w:r>
            <w:r w:rsidR="00F030EE" w:rsidRPr="00E17531">
              <w:t>.</w:t>
            </w:r>
          </w:p>
        </w:tc>
      </w:tr>
    </w:tbl>
    <w:p w:rsidR="00013E26" w:rsidRPr="00E17531" w:rsidRDefault="00013E26" w:rsidP="00622343">
      <w:pPr>
        <w:pStyle w:val="TableFooter"/>
      </w:pPr>
      <w:r w:rsidRPr="00E17531">
        <w:t>Source: Table compiled during the evaluation.</w:t>
      </w:r>
    </w:p>
    <w:p w:rsidR="008817F8" w:rsidRPr="00E17531" w:rsidRDefault="00013E26" w:rsidP="00CE39AA">
      <w:pPr>
        <w:pStyle w:val="ListParagraph"/>
        <w:numPr>
          <w:ilvl w:val="4"/>
          <w:numId w:val="5"/>
        </w:numPr>
        <w:spacing w:before="0" w:after="120"/>
        <w:ind w:left="709" w:hanging="709"/>
        <w:rPr>
          <w:szCs w:val="24"/>
        </w:rPr>
      </w:pPr>
      <w:r w:rsidRPr="00E17531">
        <w:rPr>
          <w:color w:val="auto"/>
          <w:szCs w:val="24"/>
        </w:rPr>
        <w:t>The result of the economic evaluation is summarised below</w:t>
      </w:r>
      <w:r w:rsidR="00575BF2" w:rsidRPr="00E17531">
        <w:rPr>
          <w:szCs w:val="24"/>
        </w:rPr>
        <w:t xml:space="preserve">, based on the submission’s estimated cost of nivolumab, </w:t>
      </w:r>
      <w:r w:rsidR="00E61B46">
        <w:rPr>
          <w:noProof/>
          <w:color w:val="000000"/>
          <w:szCs w:val="24"/>
          <w:highlight w:val="black"/>
        </w:rPr>
        <w:t xml:space="preserve">''''''''''' '''' ''''''''''' '''''''' ''''' ''''''' '''''''''''''''''' ''''''''''''''''''''' '''''''''' </w:t>
      </w:r>
      <w:r w:rsidR="00575BF2" w:rsidRPr="00E17531">
        <w:rPr>
          <w:szCs w:val="24"/>
        </w:rPr>
        <w:t xml:space="preserve">(per 240 mg: </w:t>
      </w:r>
      <w:r w:rsidR="00E61B46">
        <w:rPr>
          <w:noProof/>
          <w:color w:val="000000"/>
          <w:szCs w:val="24"/>
          <w:highlight w:val="black"/>
        </w:rPr>
        <w:t>'''''''''''''</w:t>
      </w:r>
      <w:r w:rsidR="00575BF2" w:rsidRPr="00E17531">
        <w:rPr>
          <w:szCs w:val="24"/>
        </w:rPr>
        <w:t xml:space="preserve"> vs $</w:t>
      </w:r>
      <w:r w:rsidR="00575BF2" w:rsidRPr="00232508">
        <w:rPr>
          <w:szCs w:val="24"/>
        </w:rPr>
        <w:t>5,165</w:t>
      </w:r>
      <w:r w:rsidR="00575BF2" w:rsidRPr="00E17531">
        <w:rPr>
          <w:rStyle w:val="FootnoteReference"/>
          <w:szCs w:val="24"/>
        </w:rPr>
        <w:footnoteReference w:id="6"/>
      </w:r>
      <w:r w:rsidR="00575BF2" w:rsidRPr="00E17531">
        <w:rPr>
          <w:szCs w:val="24"/>
        </w:rPr>
        <w:t>).</w:t>
      </w:r>
    </w:p>
    <w:p w:rsidR="00013E26" w:rsidRPr="00E17531" w:rsidRDefault="00013E26" w:rsidP="008F1A10">
      <w:pPr>
        <w:pStyle w:val="Caption"/>
      </w:pPr>
      <w:r w:rsidRPr="00E17531">
        <w:t xml:space="preserve">Table </w:t>
      </w:r>
      <w:r w:rsidR="00E64E6C" w:rsidRPr="00E17531">
        <w:t>1</w:t>
      </w:r>
      <w:r w:rsidR="004C0962" w:rsidRPr="00E17531">
        <w:t>2</w:t>
      </w:r>
      <w:r w:rsidRPr="00E17531">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1490"/>
        <w:gridCol w:w="2192"/>
        <w:gridCol w:w="3403"/>
        <w:gridCol w:w="1336"/>
      </w:tblGrid>
      <w:tr w:rsidR="00013E26" w:rsidRPr="00E17531" w:rsidTr="00055388">
        <w:tc>
          <w:tcPr>
            <w:tcW w:w="1250" w:type="pct"/>
            <w:gridSpan w:val="2"/>
          </w:tcPr>
          <w:p w:rsidR="00013E26" w:rsidRPr="00E17531" w:rsidRDefault="00013E26" w:rsidP="00622343">
            <w:pPr>
              <w:pStyle w:val="TableText"/>
              <w:rPr>
                <w:b/>
              </w:rPr>
            </w:pPr>
            <w:r w:rsidRPr="00E17531">
              <w:rPr>
                <w:b/>
              </w:rPr>
              <w:t>Component</w:t>
            </w:r>
          </w:p>
        </w:tc>
        <w:tc>
          <w:tcPr>
            <w:tcW w:w="1186" w:type="pct"/>
          </w:tcPr>
          <w:p w:rsidR="00013E26" w:rsidRPr="00E17531" w:rsidRDefault="00013E26" w:rsidP="00622343">
            <w:pPr>
              <w:pStyle w:val="TableText"/>
              <w:jc w:val="center"/>
              <w:rPr>
                <w:b/>
              </w:rPr>
            </w:pPr>
            <w:r w:rsidRPr="00E17531">
              <w:rPr>
                <w:b/>
              </w:rPr>
              <w:t>PD-L1/pembrolizumab</w:t>
            </w:r>
          </w:p>
        </w:tc>
        <w:tc>
          <w:tcPr>
            <w:tcW w:w="1841" w:type="pct"/>
          </w:tcPr>
          <w:p w:rsidR="00013E26" w:rsidRPr="00E17531" w:rsidRDefault="00013E26" w:rsidP="00622343">
            <w:pPr>
              <w:pStyle w:val="TableText"/>
              <w:jc w:val="center"/>
              <w:rPr>
                <w:b/>
              </w:rPr>
            </w:pPr>
            <w:r w:rsidRPr="00E17531">
              <w:rPr>
                <w:b/>
              </w:rPr>
              <w:t>Platinum-based doublet chemotherapy</w:t>
            </w:r>
          </w:p>
        </w:tc>
        <w:tc>
          <w:tcPr>
            <w:tcW w:w="723" w:type="pct"/>
          </w:tcPr>
          <w:p w:rsidR="00013E26" w:rsidRPr="00E17531" w:rsidRDefault="00013E26" w:rsidP="00622343">
            <w:pPr>
              <w:pStyle w:val="TableText"/>
              <w:jc w:val="center"/>
              <w:rPr>
                <w:b/>
              </w:rPr>
            </w:pPr>
            <w:r w:rsidRPr="00E17531">
              <w:rPr>
                <w:b/>
              </w:rPr>
              <w:t>Increment</w:t>
            </w:r>
          </w:p>
        </w:tc>
      </w:tr>
      <w:tr w:rsidR="00013E26" w:rsidRPr="00E17531" w:rsidTr="00055388">
        <w:tc>
          <w:tcPr>
            <w:tcW w:w="1250" w:type="pct"/>
            <w:gridSpan w:val="2"/>
          </w:tcPr>
          <w:p w:rsidR="00013E26" w:rsidRPr="00E17531" w:rsidRDefault="00013E26" w:rsidP="00622343">
            <w:pPr>
              <w:pStyle w:val="TableText"/>
            </w:pPr>
            <w:r w:rsidRPr="00E17531">
              <w:t>Costs</w:t>
            </w:r>
          </w:p>
        </w:tc>
        <w:tc>
          <w:tcPr>
            <w:tcW w:w="1186" w:type="pct"/>
          </w:tcPr>
          <w:p w:rsidR="00013E26" w:rsidRPr="00E17531" w:rsidRDefault="00013E26" w:rsidP="00622343">
            <w:pPr>
              <w:pStyle w:val="TableText"/>
              <w:jc w:val="center"/>
            </w:pPr>
            <w:r w:rsidRPr="00E17531">
              <w:t>$</w:t>
            </w:r>
            <w:r w:rsidR="00E61B46">
              <w:rPr>
                <w:noProof/>
                <w:color w:val="000000"/>
                <w:highlight w:val="black"/>
              </w:rPr>
              <w:t>'''''''''''''''</w:t>
            </w:r>
          </w:p>
        </w:tc>
        <w:tc>
          <w:tcPr>
            <w:tcW w:w="1841" w:type="pct"/>
          </w:tcPr>
          <w:p w:rsidR="00013E26" w:rsidRPr="00E17531" w:rsidRDefault="00013E26" w:rsidP="00622343">
            <w:pPr>
              <w:pStyle w:val="TableText"/>
              <w:jc w:val="center"/>
            </w:pPr>
            <w:r w:rsidRPr="00E17531">
              <w:t>$</w:t>
            </w:r>
            <w:r w:rsidR="00E61B46">
              <w:rPr>
                <w:noProof/>
                <w:color w:val="000000"/>
                <w:highlight w:val="black"/>
              </w:rPr>
              <w:t>''''''''''''''''</w:t>
            </w:r>
          </w:p>
        </w:tc>
        <w:tc>
          <w:tcPr>
            <w:tcW w:w="723" w:type="pct"/>
          </w:tcPr>
          <w:p w:rsidR="00013E26" w:rsidRPr="00E17531" w:rsidRDefault="00013E26" w:rsidP="00622343">
            <w:pPr>
              <w:pStyle w:val="TableText"/>
              <w:jc w:val="center"/>
            </w:pPr>
            <w:r w:rsidRPr="00E17531">
              <w:t>$</w:t>
            </w:r>
            <w:r w:rsidR="00E61B46">
              <w:rPr>
                <w:noProof/>
                <w:color w:val="000000"/>
                <w:highlight w:val="black"/>
              </w:rPr>
              <w:t>'''''''''''''''</w:t>
            </w:r>
          </w:p>
        </w:tc>
      </w:tr>
      <w:tr w:rsidR="00013E26" w:rsidRPr="00E17531" w:rsidTr="00055388">
        <w:tc>
          <w:tcPr>
            <w:tcW w:w="444" w:type="pct"/>
            <w:vMerge w:val="restart"/>
          </w:tcPr>
          <w:p w:rsidR="00013E26" w:rsidRPr="00E17531" w:rsidRDefault="00013E26" w:rsidP="00622343">
            <w:pPr>
              <w:pStyle w:val="TableText"/>
            </w:pPr>
            <w:r w:rsidRPr="00E17531">
              <w:t>LYs</w:t>
            </w:r>
          </w:p>
        </w:tc>
        <w:tc>
          <w:tcPr>
            <w:tcW w:w="806" w:type="pct"/>
          </w:tcPr>
          <w:p w:rsidR="00013E26" w:rsidRPr="00E17531" w:rsidRDefault="00013E26" w:rsidP="00622343">
            <w:pPr>
              <w:pStyle w:val="TableText"/>
            </w:pPr>
            <w:r w:rsidRPr="00E17531">
              <w:t>Progression free</w:t>
            </w:r>
          </w:p>
        </w:tc>
        <w:tc>
          <w:tcPr>
            <w:tcW w:w="1186" w:type="pct"/>
          </w:tcPr>
          <w:p w:rsidR="00013E26" w:rsidRPr="00E17531" w:rsidRDefault="00013E26" w:rsidP="00622343">
            <w:pPr>
              <w:pStyle w:val="TableText"/>
              <w:jc w:val="center"/>
            </w:pPr>
            <w:r w:rsidRPr="00E17531">
              <w:t>0.87</w:t>
            </w:r>
          </w:p>
        </w:tc>
        <w:tc>
          <w:tcPr>
            <w:tcW w:w="1841" w:type="pct"/>
          </w:tcPr>
          <w:p w:rsidR="00013E26" w:rsidRPr="00E17531" w:rsidRDefault="00013E26" w:rsidP="00622343">
            <w:pPr>
              <w:pStyle w:val="TableText"/>
              <w:jc w:val="center"/>
            </w:pPr>
            <w:r w:rsidRPr="00E17531">
              <w:t>0.67</w:t>
            </w:r>
          </w:p>
        </w:tc>
        <w:tc>
          <w:tcPr>
            <w:tcW w:w="723" w:type="pct"/>
          </w:tcPr>
          <w:p w:rsidR="00013E26" w:rsidRPr="00E17531" w:rsidRDefault="00013E26" w:rsidP="00622343">
            <w:pPr>
              <w:pStyle w:val="TableText"/>
              <w:jc w:val="center"/>
            </w:pPr>
            <w:r w:rsidRPr="00E17531">
              <w:t>0.19</w:t>
            </w:r>
          </w:p>
        </w:tc>
      </w:tr>
      <w:tr w:rsidR="00013E26" w:rsidRPr="00E17531" w:rsidTr="00055388">
        <w:tc>
          <w:tcPr>
            <w:tcW w:w="444" w:type="pct"/>
            <w:vMerge/>
          </w:tcPr>
          <w:p w:rsidR="00013E26" w:rsidRPr="00E17531" w:rsidRDefault="00013E26" w:rsidP="00622343">
            <w:pPr>
              <w:pStyle w:val="TableText"/>
            </w:pPr>
          </w:p>
        </w:tc>
        <w:tc>
          <w:tcPr>
            <w:tcW w:w="806" w:type="pct"/>
          </w:tcPr>
          <w:p w:rsidR="00013E26" w:rsidRPr="00E17531" w:rsidRDefault="00013E26" w:rsidP="00622343">
            <w:pPr>
              <w:pStyle w:val="TableText"/>
            </w:pPr>
            <w:r w:rsidRPr="00E17531">
              <w:t>Progressive</w:t>
            </w:r>
          </w:p>
        </w:tc>
        <w:tc>
          <w:tcPr>
            <w:tcW w:w="1186" w:type="pct"/>
          </w:tcPr>
          <w:p w:rsidR="00013E26" w:rsidRPr="00E17531" w:rsidRDefault="00013E26" w:rsidP="00622343">
            <w:pPr>
              <w:pStyle w:val="TableText"/>
              <w:jc w:val="center"/>
            </w:pPr>
            <w:r w:rsidRPr="00E17531">
              <w:t>1.22</w:t>
            </w:r>
          </w:p>
        </w:tc>
        <w:tc>
          <w:tcPr>
            <w:tcW w:w="1841" w:type="pct"/>
          </w:tcPr>
          <w:p w:rsidR="00013E26" w:rsidRPr="00E17531" w:rsidRDefault="00013E26" w:rsidP="00622343">
            <w:pPr>
              <w:pStyle w:val="TableText"/>
              <w:jc w:val="center"/>
            </w:pPr>
            <w:r w:rsidRPr="00E17531">
              <w:t>1.12</w:t>
            </w:r>
          </w:p>
        </w:tc>
        <w:tc>
          <w:tcPr>
            <w:tcW w:w="723" w:type="pct"/>
          </w:tcPr>
          <w:p w:rsidR="00013E26" w:rsidRPr="00E17531" w:rsidRDefault="00013E26" w:rsidP="00622343">
            <w:pPr>
              <w:pStyle w:val="TableText"/>
              <w:jc w:val="center"/>
            </w:pPr>
            <w:r w:rsidRPr="00E17531">
              <w:t>0.10</w:t>
            </w:r>
          </w:p>
        </w:tc>
      </w:tr>
      <w:tr w:rsidR="00013E26" w:rsidRPr="00E17531" w:rsidTr="00055388">
        <w:tc>
          <w:tcPr>
            <w:tcW w:w="444" w:type="pct"/>
            <w:vMerge/>
          </w:tcPr>
          <w:p w:rsidR="00013E26" w:rsidRPr="00E17531" w:rsidRDefault="00013E26" w:rsidP="00622343">
            <w:pPr>
              <w:pStyle w:val="TableText"/>
            </w:pPr>
          </w:p>
        </w:tc>
        <w:tc>
          <w:tcPr>
            <w:tcW w:w="806" w:type="pct"/>
          </w:tcPr>
          <w:p w:rsidR="00013E26" w:rsidRPr="00E17531" w:rsidRDefault="00013E26" w:rsidP="00622343">
            <w:pPr>
              <w:pStyle w:val="TableText"/>
            </w:pPr>
            <w:r w:rsidRPr="00E17531">
              <w:t>Total</w:t>
            </w:r>
          </w:p>
        </w:tc>
        <w:tc>
          <w:tcPr>
            <w:tcW w:w="1186" w:type="pct"/>
          </w:tcPr>
          <w:p w:rsidR="00013E26" w:rsidRPr="00E17531" w:rsidRDefault="00013E26" w:rsidP="00622343">
            <w:pPr>
              <w:pStyle w:val="TableText"/>
              <w:jc w:val="center"/>
            </w:pPr>
            <w:r w:rsidRPr="00E17531">
              <w:t>2.09</w:t>
            </w:r>
          </w:p>
        </w:tc>
        <w:tc>
          <w:tcPr>
            <w:tcW w:w="1841" w:type="pct"/>
          </w:tcPr>
          <w:p w:rsidR="00013E26" w:rsidRPr="00E17531" w:rsidRDefault="00013E26" w:rsidP="00622343">
            <w:pPr>
              <w:pStyle w:val="TableText"/>
              <w:jc w:val="center"/>
            </w:pPr>
            <w:r w:rsidRPr="00E17531">
              <w:t>1.80</w:t>
            </w:r>
          </w:p>
        </w:tc>
        <w:tc>
          <w:tcPr>
            <w:tcW w:w="723" w:type="pct"/>
          </w:tcPr>
          <w:p w:rsidR="00013E26" w:rsidRPr="00E17531" w:rsidRDefault="00013E26" w:rsidP="00622343">
            <w:pPr>
              <w:pStyle w:val="TableText"/>
              <w:jc w:val="center"/>
            </w:pPr>
            <w:r w:rsidRPr="00E17531">
              <w:t>0.29</w:t>
            </w:r>
          </w:p>
        </w:tc>
      </w:tr>
      <w:tr w:rsidR="00013E26" w:rsidRPr="00E17531" w:rsidTr="00055388">
        <w:tc>
          <w:tcPr>
            <w:tcW w:w="444" w:type="pct"/>
            <w:vMerge w:val="restart"/>
          </w:tcPr>
          <w:p w:rsidR="00013E26" w:rsidRPr="00E17531" w:rsidRDefault="00013E26" w:rsidP="00622343">
            <w:pPr>
              <w:pStyle w:val="TableText"/>
            </w:pPr>
            <w:r w:rsidRPr="00E17531">
              <w:t>QALYs</w:t>
            </w:r>
          </w:p>
        </w:tc>
        <w:tc>
          <w:tcPr>
            <w:tcW w:w="806" w:type="pct"/>
          </w:tcPr>
          <w:p w:rsidR="00013E26" w:rsidRPr="00E17531" w:rsidRDefault="00013E26" w:rsidP="00622343">
            <w:pPr>
              <w:pStyle w:val="TableText"/>
            </w:pPr>
            <w:r w:rsidRPr="00E17531">
              <w:t>Progression free</w:t>
            </w:r>
          </w:p>
        </w:tc>
        <w:tc>
          <w:tcPr>
            <w:tcW w:w="1186" w:type="pct"/>
          </w:tcPr>
          <w:p w:rsidR="00013E26" w:rsidRPr="00E17531" w:rsidRDefault="00013E26" w:rsidP="00622343">
            <w:pPr>
              <w:pStyle w:val="TableText"/>
              <w:jc w:val="center"/>
            </w:pPr>
            <w:r w:rsidRPr="00E17531">
              <w:t>0.65</w:t>
            </w:r>
          </w:p>
        </w:tc>
        <w:tc>
          <w:tcPr>
            <w:tcW w:w="1841" w:type="pct"/>
          </w:tcPr>
          <w:p w:rsidR="00013E26" w:rsidRPr="00E17531" w:rsidRDefault="00013E26" w:rsidP="00622343">
            <w:pPr>
              <w:pStyle w:val="TableText"/>
              <w:jc w:val="center"/>
            </w:pPr>
            <w:r w:rsidRPr="00E17531">
              <w:t>0.50</w:t>
            </w:r>
          </w:p>
        </w:tc>
        <w:tc>
          <w:tcPr>
            <w:tcW w:w="723" w:type="pct"/>
          </w:tcPr>
          <w:p w:rsidR="00013E26" w:rsidRPr="00E17531" w:rsidRDefault="00013E26" w:rsidP="00622343">
            <w:pPr>
              <w:pStyle w:val="TableText"/>
              <w:jc w:val="center"/>
            </w:pPr>
            <w:r w:rsidRPr="00E17531">
              <w:t>0.15</w:t>
            </w:r>
          </w:p>
        </w:tc>
      </w:tr>
      <w:tr w:rsidR="00013E26" w:rsidRPr="00E17531" w:rsidTr="00055388">
        <w:tc>
          <w:tcPr>
            <w:tcW w:w="444" w:type="pct"/>
            <w:vMerge/>
          </w:tcPr>
          <w:p w:rsidR="00013E26" w:rsidRPr="00E17531" w:rsidRDefault="00013E26" w:rsidP="00622343">
            <w:pPr>
              <w:pStyle w:val="TableText"/>
            </w:pPr>
          </w:p>
        </w:tc>
        <w:tc>
          <w:tcPr>
            <w:tcW w:w="806" w:type="pct"/>
          </w:tcPr>
          <w:p w:rsidR="00013E26" w:rsidRPr="00E17531" w:rsidRDefault="00013E26" w:rsidP="00622343">
            <w:pPr>
              <w:pStyle w:val="TableText"/>
            </w:pPr>
            <w:r w:rsidRPr="00E17531">
              <w:t>Progressive</w:t>
            </w:r>
          </w:p>
        </w:tc>
        <w:tc>
          <w:tcPr>
            <w:tcW w:w="1186" w:type="pct"/>
          </w:tcPr>
          <w:p w:rsidR="00013E26" w:rsidRPr="00E17531" w:rsidRDefault="00013E26" w:rsidP="00622343">
            <w:pPr>
              <w:pStyle w:val="TableText"/>
              <w:jc w:val="center"/>
            </w:pPr>
            <w:r w:rsidRPr="00E17531">
              <w:t>0.84</w:t>
            </w:r>
          </w:p>
        </w:tc>
        <w:tc>
          <w:tcPr>
            <w:tcW w:w="1841" w:type="pct"/>
          </w:tcPr>
          <w:p w:rsidR="00013E26" w:rsidRPr="00E17531" w:rsidRDefault="00013E26" w:rsidP="00622343">
            <w:pPr>
              <w:pStyle w:val="TableText"/>
              <w:jc w:val="center"/>
            </w:pPr>
            <w:r w:rsidRPr="00E17531">
              <w:t>0.78</w:t>
            </w:r>
          </w:p>
        </w:tc>
        <w:tc>
          <w:tcPr>
            <w:tcW w:w="723" w:type="pct"/>
          </w:tcPr>
          <w:p w:rsidR="00013E26" w:rsidRPr="00E17531" w:rsidRDefault="00013E26" w:rsidP="00622343">
            <w:pPr>
              <w:pStyle w:val="TableText"/>
              <w:jc w:val="center"/>
            </w:pPr>
            <w:r w:rsidRPr="00E17531">
              <w:t>0.06</w:t>
            </w:r>
          </w:p>
        </w:tc>
      </w:tr>
      <w:tr w:rsidR="00013E26" w:rsidRPr="00E17531" w:rsidTr="00055388">
        <w:tc>
          <w:tcPr>
            <w:tcW w:w="444" w:type="pct"/>
            <w:vMerge/>
          </w:tcPr>
          <w:p w:rsidR="00013E26" w:rsidRPr="00E17531" w:rsidRDefault="00013E26" w:rsidP="00622343">
            <w:pPr>
              <w:pStyle w:val="TableText"/>
            </w:pPr>
          </w:p>
        </w:tc>
        <w:tc>
          <w:tcPr>
            <w:tcW w:w="806" w:type="pct"/>
          </w:tcPr>
          <w:p w:rsidR="00013E26" w:rsidRPr="00E17531" w:rsidRDefault="00013E26" w:rsidP="00622343">
            <w:pPr>
              <w:pStyle w:val="TableText"/>
            </w:pPr>
            <w:r w:rsidRPr="00E17531">
              <w:t>Total</w:t>
            </w:r>
          </w:p>
        </w:tc>
        <w:tc>
          <w:tcPr>
            <w:tcW w:w="1186" w:type="pct"/>
          </w:tcPr>
          <w:p w:rsidR="00013E26" w:rsidRPr="00E17531" w:rsidRDefault="00013E26" w:rsidP="00622343">
            <w:pPr>
              <w:pStyle w:val="TableText"/>
              <w:jc w:val="center"/>
            </w:pPr>
            <w:r w:rsidRPr="00E17531">
              <w:t>1.49</w:t>
            </w:r>
          </w:p>
        </w:tc>
        <w:tc>
          <w:tcPr>
            <w:tcW w:w="1841" w:type="pct"/>
          </w:tcPr>
          <w:p w:rsidR="00013E26" w:rsidRPr="00E17531" w:rsidRDefault="00013E26" w:rsidP="00622343">
            <w:pPr>
              <w:pStyle w:val="TableText"/>
              <w:jc w:val="center"/>
            </w:pPr>
            <w:r w:rsidRPr="00E17531">
              <w:t>1.27</w:t>
            </w:r>
          </w:p>
        </w:tc>
        <w:tc>
          <w:tcPr>
            <w:tcW w:w="723" w:type="pct"/>
          </w:tcPr>
          <w:p w:rsidR="00013E26" w:rsidRPr="00E17531" w:rsidRDefault="00013E26" w:rsidP="00622343">
            <w:pPr>
              <w:pStyle w:val="TableText"/>
              <w:jc w:val="center"/>
            </w:pPr>
            <w:r w:rsidRPr="00E17531">
              <w:t>0.21</w:t>
            </w:r>
          </w:p>
        </w:tc>
      </w:tr>
      <w:tr w:rsidR="00013E26" w:rsidRPr="00E17531" w:rsidTr="00055388">
        <w:tc>
          <w:tcPr>
            <w:tcW w:w="4277" w:type="pct"/>
            <w:gridSpan w:val="4"/>
          </w:tcPr>
          <w:p w:rsidR="00013E26" w:rsidRPr="00E17531" w:rsidRDefault="00013E26" w:rsidP="00622343">
            <w:pPr>
              <w:pStyle w:val="TableText"/>
              <w:rPr>
                <w:b/>
                <w:szCs w:val="16"/>
              </w:rPr>
            </w:pPr>
            <w:r w:rsidRPr="00E17531">
              <w:rPr>
                <w:b/>
              </w:rPr>
              <w:t>Incremental cost/extra LY gained</w:t>
            </w:r>
          </w:p>
        </w:tc>
        <w:tc>
          <w:tcPr>
            <w:tcW w:w="723" w:type="pct"/>
          </w:tcPr>
          <w:p w:rsidR="00013E26" w:rsidRPr="00E17531" w:rsidRDefault="00013E26" w:rsidP="00622343">
            <w:pPr>
              <w:pStyle w:val="TableText"/>
              <w:jc w:val="right"/>
              <w:rPr>
                <w:b/>
                <w:szCs w:val="16"/>
              </w:rPr>
            </w:pPr>
            <w:r w:rsidRPr="00E17531">
              <w:rPr>
                <w:b/>
                <w:szCs w:val="16"/>
              </w:rPr>
              <w:t>$</w:t>
            </w:r>
            <w:r w:rsidR="00E61B46">
              <w:rPr>
                <w:b/>
                <w:noProof/>
                <w:color w:val="000000"/>
                <w:szCs w:val="16"/>
                <w:highlight w:val="black"/>
              </w:rPr>
              <w:t>''''''''''''''</w:t>
            </w:r>
          </w:p>
        </w:tc>
      </w:tr>
      <w:tr w:rsidR="00013E26" w:rsidRPr="00E17531" w:rsidTr="00055388">
        <w:tc>
          <w:tcPr>
            <w:tcW w:w="4277" w:type="pct"/>
            <w:gridSpan w:val="4"/>
          </w:tcPr>
          <w:p w:rsidR="00013E26" w:rsidRPr="00E17531" w:rsidRDefault="00013E26" w:rsidP="00622343">
            <w:pPr>
              <w:pStyle w:val="TableText"/>
              <w:rPr>
                <w:b/>
                <w:szCs w:val="16"/>
              </w:rPr>
            </w:pPr>
            <w:r w:rsidRPr="00E17531">
              <w:rPr>
                <w:b/>
              </w:rPr>
              <w:t>Incremental cost/extra QALY gained</w:t>
            </w:r>
          </w:p>
        </w:tc>
        <w:tc>
          <w:tcPr>
            <w:tcW w:w="723" w:type="pct"/>
          </w:tcPr>
          <w:p w:rsidR="00013E26" w:rsidRPr="00E17531" w:rsidRDefault="00013E26" w:rsidP="00622343">
            <w:pPr>
              <w:pStyle w:val="TableText"/>
              <w:jc w:val="right"/>
              <w:rPr>
                <w:b/>
                <w:szCs w:val="16"/>
              </w:rPr>
            </w:pPr>
            <w:r w:rsidRPr="00E17531">
              <w:rPr>
                <w:b/>
              </w:rPr>
              <w:t>$</w:t>
            </w:r>
            <w:r w:rsidR="00E61B46">
              <w:rPr>
                <w:b/>
                <w:noProof/>
                <w:color w:val="000000"/>
                <w:highlight w:val="black"/>
              </w:rPr>
              <w:t>'''''''''''''</w:t>
            </w:r>
          </w:p>
        </w:tc>
      </w:tr>
    </w:tbl>
    <w:p w:rsidR="00013E26" w:rsidRPr="00E17531" w:rsidRDefault="00013E26" w:rsidP="00622343">
      <w:pPr>
        <w:pStyle w:val="TableFooter"/>
        <w:rPr>
          <w:rFonts w:eastAsia="TimesNewRoman"/>
          <w:lang w:eastAsia="en-GB"/>
        </w:rPr>
      </w:pPr>
      <w:r w:rsidRPr="00E17531">
        <w:rPr>
          <w:rFonts w:eastAsia="TimesNewRoman"/>
          <w:szCs w:val="18"/>
          <w:lang w:eastAsia="en-GB"/>
        </w:rPr>
        <w:t xml:space="preserve">LY = life year; </w:t>
      </w:r>
      <w:r w:rsidRPr="00E17531">
        <w:rPr>
          <w:rFonts w:eastAsia="TimesNewRoman"/>
          <w:lang w:eastAsia="en-GB"/>
        </w:rPr>
        <w:t>PD-L1 = programmed cell death ligand 1; QALY = quality-adjusted life year.</w:t>
      </w:r>
    </w:p>
    <w:p w:rsidR="00013E26" w:rsidRDefault="00013E26" w:rsidP="00622343">
      <w:pPr>
        <w:pStyle w:val="TableFooter"/>
        <w:rPr>
          <w:rFonts w:eastAsia="TimesNewRoman"/>
          <w:lang w:eastAsia="en-GB"/>
        </w:rPr>
      </w:pPr>
      <w:r w:rsidRPr="00E17531">
        <w:rPr>
          <w:rFonts w:eastAsia="TimesNewRoman"/>
          <w:lang w:eastAsia="en-GB"/>
        </w:rPr>
        <w:t>Source: Table constructed during the evaluation, based on Table 3.8-4, p242 and Table 3.5-8, P243 of the resubmission and the 1L NSCLC Resubmission_Section 3 Workbook.xlsm.</w:t>
      </w:r>
    </w:p>
    <w:p w:rsidR="00FB1392" w:rsidRDefault="00FB1392" w:rsidP="00622343">
      <w:pPr>
        <w:pStyle w:val="TableFooter"/>
        <w:rPr>
          <w:rFonts w:eastAsia="TimesNewRoman"/>
          <w:lang w:eastAsia="en-GB"/>
        </w:rPr>
      </w:pPr>
    </w:p>
    <w:p w:rsidR="00FB1392" w:rsidRPr="00FB1392" w:rsidRDefault="00FB1392" w:rsidP="00622343">
      <w:pPr>
        <w:pStyle w:val="TableFooter"/>
        <w:rPr>
          <w:rFonts w:asciiTheme="minorHAnsi" w:eastAsiaTheme="minorHAnsi" w:hAnsiTheme="minorHAnsi" w:cstheme="minorBidi"/>
          <w:snapToGrid/>
          <w:color w:val="000000" w:themeColor="text1"/>
          <w:sz w:val="24"/>
          <w:szCs w:val="24"/>
        </w:rPr>
      </w:pPr>
      <w:r w:rsidRPr="00FB1392">
        <w:rPr>
          <w:rFonts w:asciiTheme="minorHAnsi" w:eastAsiaTheme="minorHAnsi" w:hAnsiTheme="minorHAnsi" w:cstheme="minorBidi"/>
          <w:snapToGrid/>
          <w:color w:val="000000" w:themeColor="text1"/>
          <w:sz w:val="24"/>
          <w:szCs w:val="24"/>
        </w:rPr>
        <w:t xml:space="preserve">The redacted table shows an </w:t>
      </w:r>
      <w:r w:rsidR="00CB0726">
        <w:rPr>
          <w:rFonts w:asciiTheme="minorHAnsi" w:eastAsiaTheme="minorHAnsi" w:hAnsiTheme="minorHAnsi" w:cstheme="minorBidi"/>
          <w:snapToGrid/>
          <w:color w:val="000000" w:themeColor="text1"/>
          <w:sz w:val="24"/>
          <w:szCs w:val="24"/>
        </w:rPr>
        <w:t>ICER/</w:t>
      </w:r>
      <w:r w:rsidRPr="00FB1392">
        <w:rPr>
          <w:rFonts w:asciiTheme="minorHAnsi" w:eastAsiaTheme="minorHAnsi" w:hAnsiTheme="minorHAnsi" w:cstheme="minorBidi"/>
          <w:snapToGrid/>
          <w:color w:val="000000" w:themeColor="text1"/>
          <w:sz w:val="24"/>
          <w:szCs w:val="24"/>
        </w:rPr>
        <w:t>LY in the range of $15,000/LY - $45,000/LY and an ICER</w:t>
      </w:r>
      <w:r w:rsidR="00CB0726">
        <w:rPr>
          <w:rFonts w:asciiTheme="minorHAnsi" w:eastAsiaTheme="minorHAnsi" w:hAnsiTheme="minorHAnsi" w:cstheme="minorBidi"/>
          <w:snapToGrid/>
          <w:color w:val="000000" w:themeColor="text1"/>
          <w:sz w:val="24"/>
          <w:szCs w:val="24"/>
        </w:rPr>
        <w:t>/QALY</w:t>
      </w:r>
      <w:r w:rsidRPr="00FB1392">
        <w:rPr>
          <w:rFonts w:asciiTheme="minorHAnsi" w:eastAsiaTheme="minorHAnsi" w:hAnsiTheme="minorHAnsi" w:cstheme="minorBidi"/>
          <w:snapToGrid/>
          <w:color w:val="000000" w:themeColor="text1"/>
          <w:sz w:val="24"/>
          <w:szCs w:val="24"/>
        </w:rPr>
        <w:t xml:space="preserve"> in the range of $45,000/QALY - $75,000/QALY.</w:t>
      </w:r>
    </w:p>
    <w:p w:rsidR="00013E26" w:rsidRPr="00E17531" w:rsidRDefault="00013E26" w:rsidP="008817F8">
      <w:pPr>
        <w:pStyle w:val="ListParagraph"/>
        <w:numPr>
          <w:ilvl w:val="4"/>
          <w:numId w:val="5"/>
        </w:numPr>
        <w:spacing w:before="0" w:after="120"/>
        <w:ind w:left="709" w:hanging="709"/>
        <w:rPr>
          <w:color w:val="auto"/>
          <w:szCs w:val="24"/>
        </w:rPr>
      </w:pPr>
      <w:r w:rsidRPr="00E17531">
        <w:rPr>
          <w:szCs w:val="24"/>
        </w:rPr>
        <w:t xml:space="preserve">The result of the economic evaluation </w:t>
      </w:r>
      <w:r w:rsidR="00610BF5" w:rsidRPr="00E17531">
        <w:rPr>
          <w:szCs w:val="24"/>
        </w:rPr>
        <w:t>wa</w:t>
      </w:r>
      <w:r w:rsidRPr="00E17531">
        <w:rPr>
          <w:szCs w:val="24"/>
        </w:rPr>
        <w:t xml:space="preserve">s subject to a number of assumptions. The </w:t>
      </w:r>
      <w:r w:rsidR="00D74742" w:rsidRPr="00E17531">
        <w:rPr>
          <w:szCs w:val="24"/>
        </w:rPr>
        <w:t xml:space="preserve">PBAC considered that the </w:t>
      </w:r>
      <w:r w:rsidRPr="00E17531">
        <w:rPr>
          <w:szCs w:val="24"/>
        </w:rPr>
        <w:t xml:space="preserve">main economic uncertainties </w:t>
      </w:r>
      <w:r w:rsidR="00610BF5" w:rsidRPr="00E17531">
        <w:rPr>
          <w:szCs w:val="24"/>
        </w:rPr>
        <w:t>we</w:t>
      </w:r>
      <w:r w:rsidRPr="00E17531">
        <w:rPr>
          <w:szCs w:val="24"/>
        </w:rPr>
        <w:t>re:</w:t>
      </w:r>
    </w:p>
    <w:p w:rsidR="00F030EE" w:rsidRPr="00E17531" w:rsidRDefault="00610BF5" w:rsidP="00F030EE">
      <w:pPr>
        <w:pStyle w:val="ListParagraph"/>
        <w:numPr>
          <w:ilvl w:val="0"/>
          <w:numId w:val="10"/>
        </w:numPr>
        <w:spacing w:before="0" w:after="120"/>
        <w:ind w:left="1276" w:hanging="426"/>
        <w:rPr>
          <w:szCs w:val="24"/>
        </w:rPr>
      </w:pPr>
      <w:r w:rsidRPr="00E17531">
        <w:rPr>
          <w:color w:val="auto"/>
          <w:szCs w:val="24"/>
        </w:rPr>
        <w:t>t</w:t>
      </w:r>
      <w:r w:rsidR="00F030EE" w:rsidRPr="00E17531">
        <w:rPr>
          <w:color w:val="auto"/>
          <w:szCs w:val="24"/>
        </w:rPr>
        <w:t>he</w:t>
      </w:r>
      <w:r w:rsidR="00F030EE" w:rsidRPr="00E17531">
        <w:rPr>
          <w:szCs w:val="24"/>
        </w:rPr>
        <w:t xml:space="preserve"> </w:t>
      </w:r>
      <w:r w:rsidR="00C870F5" w:rsidRPr="00E17531">
        <w:rPr>
          <w:szCs w:val="24"/>
        </w:rPr>
        <w:t xml:space="preserve">post hoc </w:t>
      </w:r>
      <w:r w:rsidR="00F030EE" w:rsidRPr="00E17531">
        <w:rPr>
          <w:szCs w:val="24"/>
        </w:rPr>
        <w:t>use of the Chow test</w:t>
      </w:r>
      <w:r w:rsidR="00C870F5" w:rsidRPr="00E17531">
        <w:rPr>
          <w:szCs w:val="24"/>
        </w:rPr>
        <w:t>;</w:t>
      </w:r>
    </w:p>
    <w:p w:rsidR="00013E26" w:rsidRPr="00E17531" w:rsidRDefault="00330FD1" w:rsidP="00F030EE">
      <w:pPr>
        <w:pStyle w:val="ListParagraph"/>
        <w:numPr>
          <w:ilvl w:val="0"/>
          <w:numId w:val="10"/>
        </w:numPr>
        <w:spacing w:before="0" w:after="120"/>
        <w:ind w:left="1276" w:hanging="426"/>
        <w:rPr>
          <w:szCs w:val="24"/>
        </w:rPr>
      </w:pPr>
      <w:r w:rsidRPr="00E17531">
        <w:rPr>
          <w:szCs w:val="24"/>
        </w:rPr>
        <w:t>t</w:t>
      </w:r>
      <w:r w:rsidR="00013E26" w:rsidRPr="00E17531">
        <w:rPr>
          <w:szCs w:val="24"/>
        </w:rPr>
        <w:t xml:space="preserve">he </w:t>
      </w:r>
      <w:r w:rsidR="00013E26" w:rsidRPr="00E17531">
        <w:rPr>
          <w:color w:val="auto"/>
          <w:szCs w:val="24"/>
        </w:rPr>
        <w:t>extrapolation</w:t>
      </w:r>
      <w:r w:rsidR="00013E26" w:rsidRPr="00E17531">
        <w:rPr>
          <w:szCs w:val="24"/>
        </w:rPr>
        <w:t xml:space="preserve"> method of the trial OS curve</w:t>
      </w:r>
      <w:r w:rsidR="00575BF2" w:rsidRPr="00E17531">
        <w:rPr>
          <w:szCs w:val="24"/>
        </w:rPr>
        <w:t xml:space="preserve"> for pembrolizumab</w:t>
      </w:r>
      <w:r w:rsidR="00013E26" w:rsidRPr="00E17531">
        <w:rPr>
          <w:szCs w:val="24"/>
        </w:rPr>
        <w:t>;</w:t>
      </w:r>
      <w:r w:rsidR="00610BF5" w:rsidRPr="00E17531">
        <w:rPr>
          <w:szCs w:val="24"/>
        </w:rPr>
        <w:t xml:space="preserve"> and</w:t>
      </w:r>
    </w:p>
    <w:p w:rsidR="00013E26" w:rsidRPr="00E17531" w:rsidRDefault="00610BF5" w:rsidP="008817F8">
      <w:pPr>
        <w:pStyle w:val="ListParagraph"/>
        <w:numPr>
          <w:ilvl w:val="0"/>
          <w:numId w:val="10"/>
        </w:numPr>
        <w:spacing w:before="0" w:after="120"/>
        <w:ind w:left="1276" w:hanging="426"/>
        <w:rPr>
          <w:szCs w:val="24"/>
        </w:rPr>
      </w:pPr>
      <w:r w:rsidRPr="00E17531">
        <w:rPr>
          <w:szCs w:val="24"/>
        </w:rPr>
        <w:lastRenderedPageBreak/>
        <w:t>t</w:t>
      </w:r>
      <w:r w:rsidR="00013E26" w:rsidRPr="00E17531">
        <w:rPr>
          <w:szCs w:val="24"/>
        </w:rPr>
        <w:t xml:space="preserve">he </w:t>
      </w:r>
      <w:r w:rsidR="00013E26" w:rsidRPr="00E17531">
        <w:rPr>
          <w:color w:val="auto"/>
          <w:szCs w:val="24"/>
        </w:rPr>
        <w:t>treatment</w:t>
      </w:r>
      <w:r w:rsidR="00013E26" w:rsidRPr="00E17531">
        <w:rPr>
          <w:szCs w:val="24"/>
        </w:rPr>
        <w:t xml:space="preserve"> duration for nivolumab as second-line therapy in patients who have failed platin</w:t>
      </w:r>
      <w:r w:rsidR="00575BF2" w:rsidRPr="00E17531">
        <w:rPr>
          <w:szCs w:val="24"/>
        </w:rPr>
        <w:t>um-based doublet chemotherapy</w:t>
      </w:r>
      <w:r w:rsidR="00013E26" w:rsidRPr="00E17531">
        <w:rPr>
          <w:szCs w:val="24"/>
        </w:rPr>
        <w:t>.</w:t>
      </w:r>
    </w:p>
    <w:p w:rsidR="008817F8" w:rsidRPr="00E17531" w:rsidRDefault="00013E26" w:rsidP="008817F8">
      <w:pPr>
        <w:pStyle w:val="ListParagraph"/>
        <w:spacing w:before="0" w:after="120"/>
        <w:ind w:left="709" w:firstLine="0"/>
        <w:rPr>
          <w:szCs w:val="24"/>
        </w:rPr>
      </w:pPr>
      <w:r w:rsidRPr="00E17531">
        <w:rPr>
          <w:szCs w:val="24"/>
        </w:rPr>
        <w:t xml:space="preserve">The economic model </w:t>
      </w:r>
      <w:r w:rsidR="00610BF5" w:rsidRPr="00E17531">
        <w:rPr>
          <w:szCs w:val="24"/>
        </w:rPr>
        <w:t>wa</w:t>
      </w:r>
      <w:r w:rsidRPr="00E17531">
        <w:rPr>
          <w:szCs w:val="24"/>
        </w:rPr>
        <w:t xml:space="preserve">s sensitive to changes (and combination of changes) of the above variables (see </w:t>
      </w:r>
      <w:r w:rsidR="00BD2F5B" w:rsidRPr="00E17531">
        <w:rPr>
          <w:szCs w:val="24"/>
        </w:rPr>
        <w:t>the following t</w:t>
      </w:r>
      <w:r w:rsidRPr="00E17531">
        <w:rPr>
          <w:szCs w:val="24"/>
        </w:rPr>
        <w:t>able).</w:t>
      </w:r>
    </w:p>
    <w:p w:rsidR="00013E26" w:rsidRPr="00E17531" w:rsidRDefault="00013E26" w:rsidP="008F1A10">
      <w:pPr>
        <w:pStyle w:val="Caption"/>
      </w:pPr>
      <w:r w:rsidRPr="00E17531">
        <w:t xml:space="preserve">Table </w:t>
      </w:r>
      <w:r w:rsidR="00E64E6C" w:rsidRPr="00E17531">
        <w:t>1</w:t>
      </w:r>
      <w:r w:rsidR="004C0962" w:rsidRPr="00E17531">
        <w:t>3</w:t>
      </w:r>
      <w:r w:rsidRPr="00E17531">
        <w:t>: Results of key sensitivity analyses</w:t>
      </w:r>
      <w:r w:rsidR="00D92D5E" w:rsidRPr="00E17531">
        <w:t xml:space="preserve"> based on the submission</w:t>
      </w:r>
      <w:r w:rsidR="00575BF2" w:rsidRPr="00E17531">
        <w:rPr>
          <w:vertAlign w:val="superscript"/>
        </w:rPr>
        <w:t>c</w:t>
      </w:r>
      <w:r w:rsidR="00D92D5E" w:rsidRPr="00E17531">
        <w:t xml:space="preserve"> (and PSCR</w:t>
      </w:r>
      <w:r w:rsidR="00575BF2" w:rsidRPr="00E17531">
        <w:rPr>
          <w:vertAlign w:val="superscript"/>
        </w:rPr>
        <w:t>d</w:t>
      </w:r>
      <w:r w:rsidR="00D92D5E" w:rsidRPr="00E17531">
        <w:t>)</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5"/>
        <w:gridCol w:w="5241"/>
        <w:gridCol w:w="1164"/>
        <w:gridCol w:w="1164"/>
        <w:gridCol w:w="1029"/>
      </w:tblGrid>
      <w:tr w:rsidR="00013E26" w:rsidRPr="00E17531" w:rsidTr="00622343">
        <w:tc>
          <w:tcPr>
            <w:tcW w:w="3200" w:type="pct"/>
            <w:gridSpan w:val="2"/>
            <w:tcBorders>
              <w:top w:val="single" w:sz="4" w:space="0" w:color="auto"/>
              <w:left w:val="single" w:sz="4" w:space="0" w:color="auto"/>
              <w:bottom w:val="single" w:sz="4" w:space="0" w:color="auto"/>
              <w:right w:val="single" w:sz="4" w:space="0" w:color="auto"/>
            </w:tcBorders>
          </w:tcPr>
          <w:p w:rsidR="00013E26" w:rsidRPr="00E17531" w:rsidRDefault="00013E26" w:rsidP="00882514">
            <w:pPr>
              <w:keepNext/>
              <w:widowControl w:val="0"/>
              <w:spacing w:before="0" w:after="0"/>
              <w:rPr>
                <w:rFonts w:ascii="Arial Narrow" w:hAnsi="Arial Narrow"/>
                <w:b/>
                <w:sz w:val="20"/>
              </w:rPr>
            </w:pP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17531" w:rsidRDefault="00013E26" w:rsidP="00882514">
            <w:pPr>
              <w:keepNext/>
              <w:widowControl w:val="0"/>
              <w:spacing w:before="0" w:after="0"/>
              <w:ind w:left="-57" w:right="-57"/>
              <w:jc w:val="center"/>
              <w:rPr>
                <w:rFonts w:ascii="Arial Narrow" w:hAnsi="Arial Narrow"/>
                <w:b/>
                <w:sz w:val="20"/>
              </w:rPr>
            </w:pPr>
            <w:r w:rsidRPr="00E17531">
              <w:rPr>
                <w:rFonts w:ascii="Arial Narrow" w:hAnsi="Arial Narrow"/>
                <w:b/>
                <w:sz w:val="20"/>
              </w:rPr>
              <w:t>Incremental costs</w:t>
            </w: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17531" w:rsidRDefault="00013E26" w:rsidP="00882514">
            <w:pPr>
              <w:keepNext/>
              <w:widowControl w:val="0"/>
              <w:spacing w:before="0" w:after="0"/>
              <w:ind w:left="-57" w:right="-57"/>
              <w:jc w:val="center"/>
              <w:rPr>
                <w:rFonts w:ascii="Arial Narrow" w:hAnsi="Arial Narrow"/>
                <w:b/>
                <w:sz w:val="20"/>
              </w:rPr>
            </w:pPr>
            <w:r w:rsidRPr="00E17531">
              <w:rPr>
                <w:rFonts w:ascii="Arial Narrow" w:hAnsi="Arial Narrow"/>
                <w:b/>
                <w:sz w:val="20"/>
              </w:rPr>
              <w:t>Incremental QALYs</w:t>
            </w:r>
          </w:p>
        </w:tc>
        <w:tc>
          <w:tcPr>
            <w:tcW w:w="552" w:type="pct"/>
            <w:tcBorders>
              <w:top w:val="single" w:sz="4" w:space="0" w:color="auto"/>
              <w:left w:val="single" w:sz="4" w:space="0" w:color="auto"/>
              <w:bottom w:val="single" w:sz="4" w:space="0" w:color="auto"/>
              <w:right w:val="single" w:sz="4" w:space="0" w:color="auto"/>
            </w:tcBorders>
            <w:vAlign w:val="center"/>
          </w:tcPr>
          <w:p w:rsidR="00013E26" w:rsidRPr="00E17531" w:rsidRDefault="00013E26" w:rsidP="00882514">
            <w:pPr>
              <w:keepNext/>
              <w:widowControl w:val="0"/>
              <w:spacing w:before="0" w:after="0"/>
              <w:ind w:left="-57" w:right="-57"/>
              <w:jc w:val="center"/>
              <w:rPr>
                <w:rFonts w:ascii="Arial Narrow" w:hAnsi="Arial Narrow"/>
                <w:b/>
                <w:sz w:val="20"/>
              </w:rPr>
            </w:pPr>
            <w:r w:rsidRPr="00E17531">
              <w:rPr>
                <w:rFonts w:ascii="Arial Narrow" w:hAnsi="Arial Narrow"/>
                <w:b/>
                <w:sz w:val="20"/>
              </w:rPr>
              <w:t>ICER</w:t>
            </w:r>
          </w:p>
        </w:tc>
      </w:tr>
      <w:tr w:rsidR="00013E26" w:rsidRPr="00E17531" w:rsidTr="00D74742">
        <w:tc>
          <w:tcPr>
            <w:tcW w:w="3200" w:type="pct"/>
            <w:gridSpan w:val="2"/>
            <w:tcBorders>
              <w:top w:val="single" w:sz="4" w:space="0" w:color="auto"/>
              <w:left w:val="single" w:sz="4" w:space="0" w:color="auto"/>
              <w:bottom w:val="single" w:sz="4" w:space="0" w:color="auto"/>
              <w:right w:val="single" w:sz="4" w:space="0" w:color="auto"/>
            </w:tcBorders>
          </w:tcPr>
          <w:p w:rsidR="00013E26" w:rsidRPr="00E17531" w:rsidRDefault="00013E26" w:rsidP="00882514">
            <w:pPr>
              <w:keepNext/>
              <w:widowControl w:val="0"/>
              <w:spacing w:before="0" w:after="0"/>
              <w:rPr>
                <w:rFonts w:ascii="Arial Narrow" w:hAnsi="Arial Narrow"/>
                <w:b/>
                <w:sz w:val="20"/>
              </w:rPr>
            </w:pPr>
            <w:r w:rsidRPr="00E17531">
              <w:rPr>
                <w:rFonts w:ascii="Arial Narrow" w:hAnsi="Arial Narrow"/>
                <w:b/>
                <w:sz w:val="20"/>
              </w:rPr>
              <w:t>Base case</w:t>
            </w: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61B46" w:rsidRDefault="00E61B46" w:rsidP="00D74742">
            <w:pPr>
              <w:keepNext/>
              <w:widowControl w:val="0"/>
              <w:spacing w:before="0" w:after="0"/>
              <w:jc w:val="center"/>
              <w:rPr>
                <w:rFonts w:ascii="Arial Narrow" w:hAnsi="Arial Narrow"/>
                <w:b/>
                <w:sz w:val="20"/>
                <w:highlight w:val="black"/>
              </w:rPr>
            </w:pPr>
            <w:r>
              <w:rPr>
                <w:rFonts w:ascii="Arial Narrow" w:hAnsi="Arial Narrow"/>
                <w:b/>
                <w:noProof/>
                <w:color w:val="000000"/>
                <w:sz w:val="20"/>
                <w:highlight w:val="black"/>
              </w:rPr>
              <w:t>'''''''''''''''</w:t>
            </w:r>
          </w:p>
          <w:p w:rsidR="00D92D5E" w:rsidRPr="00E61B46" w:rsidRDefault="00E61B46" w:rsidP="00D74742">
            <w:pPr>
              <w:keepNext/>
              <w:widowControl w:val="0"/>
              <w:spacing w:before="0" w:after="0"/>
              <w:jc w:val="center"/>
              <w:rPr>
                <w:rFonts w:ascii="Arial Narrow" w:hAnsi="Arial Narrow"/>
                <w:b/>
                <w:sz w:val="20"/>
                <w:highlight w:val="black"/>
              </w:rPr>
            </w:pPr>
            <w:r>
              <w:rPr>
                <w:rFonts w:ascii="Arial Narrow" w:hAnsi="Arial Narrow"/>
                <w:b/>
                <w:noProof/>
                <w:color w:val="000000"/>
                <w:sz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17531" w:rsidRDefault="00013E26" w:rsidP="00882514">
            <w:pPr>
              <w:keepNext/>
              <w:widowControl w:val="0"/>
              <w:spacing w:before="0" w:after="0"/>
              <w:jc w:val="center"/>
              <w:rPr>
                <w:rFonts w:ascii="Arial Narrow" w:hAnsi="Arial Narrow"/>
                <w:b/>
                <w:sz w:val="20"/>
              </w:rPr>
            </w:pPr>
            <w:r w:rsidRPr="00E17531">
              <w:rPr>
                <w:rFonts w:ascii="Arial Narrow" w:hAnsi="Arial Narrow"/>
                <w:b/>
                <w:sz w:val="20"/>
              </w:rPr>
              <w:t>0.21</w:t>
            </w:r>
          </w:p>
          <w:p w:rsidR="00D92D5E" w:rsidRPr="00232508" w:rsidRDefault="00D92D5E" w:rsidP="008934D1">
            <w:pPr>
              <w:keepNext/>
              <w:widowControl w:val="0"/>
              <w:spacing w:before="0" w:after="0"/>
              <w:jc w:val="center"/>
              <w:rPr>
                <w:rFonts w:ascii="Arial Narrow" w:hAnsi="Arial Narrow"/>
                <w:b/>
                <w:i/>
                <w:sz w:val="20"/>
              </w:rPr>
            </w:pPr>
            <w:r w:rsidRPr="00232508">
              <w:rPr>
                <w:rFonts w:ascii="Arial Narrow" w:hAnsi="Arial Narrow"/>
                <w:b/>
                <w:i/>
                <w:sz w:val="20"/>
              </w:rPr>
              <w:t>(0.</w:t>
            </w:r>
            <w:r w:rsidR="008934D1" w:rsidRPr="00232508">
              <w:rPr>
                <w:rFonts w:ascii="Arial Narrow" w:hAnsi="Arial Narrow"/>
                <w:b/>
                <w:i/>
                <w:sz w:val="20"/>
              </w:rPr>
              <w:t>23</w:t>
            </w:r>
            <w:r w:rsidRPr="00232508">
              <w:rPr>
                <w:rFonts w:ascii="Arial Narrow" w:hAnsi="Arial Narrow"/>
                <w:b/>
                <w:i/>
                <w:sz w:val="20"/>
              </w:rPr>
              <w:t>)</w:t>
            </w:r>
          </w:p>
        </w:tc>
        <w:tc>
          <w:tcPr>
            <w:tcW w:w="552" w:type="pct"/>
            <w:tcBorders>
              <w:top w:val="single" w:sz="4" w:space="0" w:color="auto"/>
              <w:left w:val="single" w:sz="4" w:space="0" w:color="auto"/>
              <w:bottom w:val="single" w:sz="4" w:space="0" w:color="auto"/>
              <w:right w:val="single" w:sz="4" w:space="0" w:color="auto"/>
            </w:tcBorders>
            <w:vAlign w:val="center"/>
          </w:tcPr>
          <w:p w:rsidR="00013E26" w:rsidRPr="00E61B46" w:rsidRDefault="00E61B46" w:rsidP="00D74742">
            <w:pPr>
              <w:keepNext/>
              <w:widowControl w:val="0"/>
              <w:spacing w:before="0" w:after="0"/>
              <w:jc w:val="center"/>
              <w:rPr>
                <w:rFonts w:ascii="Arial Narrow" w:hAnsi="Arial Narrow"/>
                <w:b/>
                <w:sz w:val="20"/>
                <w:highlight w:val="black"/>
              </w:rPr>
            </w:pPr>
            <w:r>
              <w:rPr>
                <w:rFonts w:ascii="Arial Narrow" w:hAnsi="Arial Narrow"/>
                <w:b/>
                <w:noProof/>
                <w:color w:val="000000"/>
                <w:sz w:val="20"/>
                <w:highlight w:val="black"/>
              </w:rPr>
              <w:t>''''''''''''''</w:t>
            </w:r>
          </w:p>
          <w:p w:rsidR="00D92D5E" w:rsidRPr="00E61B46" w:rsidRDefault="00E61B46" w:rsidP="00D74742">
            <w:pPr>
              <w:keepNext/>
              <w:widowControl w:val="0"/>
              <w:spacing w:before="0" w:after="0"/>
              <w:jc w:val="center"/>
              <w:rPr>
                <w:rFonts w:ascii="Arial Narrow" w:hAnsi="Arial Narrow"/>
                <w:b/>
                <w:sz w:val="20"/>
                <w:highlight w:val="black"/>
              </w:rPr>
            </w:pPr>
            <w:r>
              <w:rPr>
                <w:rFonts w:ascii="Arial Narrow" w:hAnsi="Arial Narrow"/>
                <w:b/>
                <w:noProof/>
                <w:color w:val="000000"/>
                <w:sz w:val="20"/>
                <w:highlight w:val="black"/>
              </w:rPr>
              <w:t>''''''''''''''''''''</w:t>
            </w:r>
          </w:p>
        </w:tc>
      </w:tr>
      <w:tr w:rsidR="00013E26" w:rsidRPr="00E17531" w:rsidTr="00D74742">
        <w:trPr>
          <w:cantSplit/>
        </w:trPr>
        <w:tc>
          <w:tcPr>
            <w:tcW w:w="389" w:type="pct"/>
            <w:tcBorders>
              <w:top w:val="single" w:sz="4" w:space="0" w:color="auto"/>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rPr>
            </w:pPr>
            <w:r w:rsidRPr="00E17531">
              <w:rPr>
                <w:rFonts w:ascii="Arial Narrow" w:hAnsi="Arial Narrow"/>
                <w:sz w:val="20"/>
              </w:rPr>
              <w:t>1</w:t>
            </w:r>
          </w:p>
        </w:tc>
        <w:tc>
          <w:tcPr>
            <w:tcW w:w="2811" w:type="pct"/>
            <w:tcBorders>
              <w:top w:val="single" w:sz="4" w:space="0" w:color="auto"/>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szCs w:val="20"/>
              </w:rPr>
            </w:pPr>
            <w:r w:rsidRPr="00E17531">
              <w:rPr>
                <w:rFonts w:ascii="Arial Narrow" w:hAnsi="Arial Narrow"/>
                <w:sz w:val="20"/>
                <w:szCs w:val="20"/>
              </w:rPr>
              <w:t>Parametric model to extrapolate OS for pembrolizumab (base case: log-logistic)</w:t>
            </w:r>
          </w:p>
        </w:tc>
        <w:tc>
          <w:tcPr>
            <w:tcW w:w="624" w:type="pct"/>
            <w:tcBorders>
              <w:top w:val="single" w:sz="4" w:space="0" w:color="auto"/>
              <w:left w:val="single" w:sz="4" w:space="0" w:color="auto"/>
              <w:bottom w:val="nil"/>
              <w:right w:val="single" w:sz="4" w:space="0" w:color="auto"/>
            </w:tcBorders>
            <w:vAlign w:val="center"/>
          </w:tcPr>
          <w:p w:rsidR="00013E26" w:rsidRPr="00E61B46" w:rsidRDefault="00013E26" w:rsidP="00D74742">
            <w:pPr>
              <w:widowControl w:val="0"/>
              <w:spacing w:before="0" w:after="0"/>
              <w:jc w:val="center"/>
              <w:rPr>
                <w:rFonts w:ascii="Arial Narrow" w:hAnsi="Arial Narrow"/>
                <w:sz w:val="20"/>
                <w:szCs w:val="20"/>
              </w:rPr>
            </w:pPr>
          </w:p>
        </w:tc>
        <w:tc>
          <w:tcPr>
            <w:tcW w:w="624" w:type="pct"/>
            <w:tcBorders>
              <w:top w:val="single" w:sz="4" w:space="0" w:color="auto"/>
              <w:left w:val="single" w:sz="4" w:space="0" w:color="auto"/>
              <w:bottom w:val="nil"/>
              <w:right w:val="single" w:sz="4" w:space="0" w:color="auto"/>
            </w:tcBorders>
            <w:vAlign w:val="center"/>
          </w:tcPr>
          <w:p w:rsidR="00013E26" w:rsidRPr="00E17531" w:rsidRDefault="00013E26" w:rsidP="00882514">
            <w:pPr>
              <w:widowControl w:val="0"/>
              <w:spacing w:before="0" w:after="0"/>
              <w:jc w:val="center"/>
              <w:rPr>
                <w:rFonts w:ascii="Arial Narrow" w:hAnsi="Arial Narrow"/>
                <w:sz w:val="20"/>
                <w:szCs w:val="20"/>
              </w:rPr>
            </w:pPr>
          </w:p>
        </w:tc>
        <w:tc>
          <w:tcPr>
            <w:tcW w:w="552" w:type="pct"/>
            <w:tcBorders>
              <w:top w:val="single" w:sz="4" w:space="0" w:color="auto"/>
              <w:left w:val="single" w:sz="4" w:space="0" w:color="auto"/>
              <w:bottom w:val="nil"/>
              <w:right w:val="single" w:sz="4" w:space="0" w:color="auto"/>
            </w:tcBorders>
            <w:vAlign w:val="center"/>
          </w:tcPr>
          <w:p w:rsidR="00013E26" w:rsidRPr="00E61B46" w:rsidRDefault="00013E26" w:rsidP="00D74742">
            <w:pPr>
              <w:widowControl w:val="0"/>
              <w:spacing w:before="0" w:after="0"/>
              <w:jc w:val="center"/>
              <w:rPr>
                <w:rFonts w:ascii="Arial Narrow" w:hAnsi="Arial Narrow"/>
                <w:sz w:val="20"/>
                <w:szCs w:val="20"/>
              </w:rPr>
            </w:pPr>
          </w:p>
        </w:tc>
      </w:tr>
      <w:tr w:rsidR="00013E26" w:rsidRPr="00E17531" w:rsidTr="00D74742">
        <w:tc>
          <w:tcPr>
            <w:tcW w:w="389" w:type="pct"/>
            <w:tcBorders>
              <w:top w:val="nil"/>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rPr>
            </w:pPr>
          </w:p>
        </w:tc>
        <w:tc>
          <w:tcPr>
            <w:tcW w:w="2811" w:type="pct"/>
            <w:tcBorders>
              <w:top w:val="nil"/>
              <w:left w:val="single" w:sz="4" w:space="0" w:color="auto"/>
              <w:bottom w:val="nil"/>
              <w:right w:val="single" w:sz="4" w:space="0" w:color="auto"/>
            </w:tcBorders>
          </w:tcPr>
          <w:p w:rsidR="00013E26" w:rsidRPr="00E17531" w:rsidRDefault="00013E26" w:rsidP="00D74B10">
            <w:pPr>
              <w:widowControl w:val="0"/>
              <w:numPr>
                <w:ilvl w:val="0"/>
                <w:numId w:val="8"/>
              </w:numPr>
              <w:spacing w:before="0" w:after="0"/>
              <w:rPr>
                <w:rFonts w:ascii="Arial Narrow" w:hAnsi="Arial Narrow"/>
                <w:sz w:val="20"/>
                <w:szCs w:val="20"/>
              </w:rPr>
            </w:pPr>
            <w:r w:rsidRPr="00E17531">
              <w:rPr>
                <w:rFonts w:ascii="Arial Narrow" w:hAnsi="Arial Narrow"/>
                <w:sz w:val="20"/>
                <w:szCs w:val="20"/>
              </w:rPr>
              <w:t>Exponential (best fit based on AIC and BIC)</w:t>
            </w:r>
          </w:p>
        </w:tc>
        <w:tc>
          <w:tcPr>
            <w:tcW w:w="624" w:type="pct"/>
            <w:tcBorders>
              <w:top w:val="nil"/>
              <w:left w:val="single" w:sz="4" w:space="0" w:color="auto"/>
              <w:bottom w:val="nil"/>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tcBorders>
              <w:top w:val="nil"/>
              <w:left w:val="single" w:sz="4" w:space="0" w:color="auto"/>
              <w:bottom w:val="nil"/>
              <w:right w:val="single" w:sz="4" w:space="0" w:color="auto"/>
            </w:tcBorders>
            <w:vAlign w:val="center"/>
          </w:tcPr>
          <w:p w:rsidR="00013E26" w:rsidRPr="00E17531" w:rsidRDefault="00013E26" w:rsidP="00882514">
            <w:pPr>
              <w:widowControl w:val="0"/>
              <w:spacing w:before="0" w:after="0"/>
              <w:jc w:val="center"/>
              <w:rPr>
                <w:rFonts w:ascii="Arial Narrow" w:hAnsi="Arial Narrow"/>
                <w:sz w:val="20"/>
                <w:szCs w:val="20"/>
              </w:rPr>
            </w:pPr>
            <w:r w:rsidRPr="00E17531">
              <w:rPr>
                <w:rFonts w:ascii="Arial Narrow" w:hAnsi="Arial Narrow"/>
                <w:sz w:val="20"/>
                <w:szCs w:val="20"/>
              </w:rPr>
              <w:t>0.17</w:t>
            </w:r>
          </w:p>
          <w:p w:rsidR="00D92D5E" w:rsidRPr="00E17531" w:rsidRDefault="00D92D5E" w:rsidP="00882514">
            <w:pPr>
              <w:widowControl w:val="0"/>
              <w:spacing w:before="0" w:after="0"/>
              <w:jc w:val="center"/>
              <w:rPr>
                <w:rFonts w:ascii="Arial Narrow" w:hAnsi="Arial Narrow"/>
                <w:sz w:val="20"/>
                <w:szCs w:val="20"/>
              </w:rPr>
            </w:pPr>
            <w:r w:rsidRPr="00232508">
              <w:rPr>
                <w:rFonts w:ascii="Arial Narrow" w:hAnsi="Arial Narrow"/>
                <w:i/>
                <w:sz w:val="20"/>
                <w:szCs w:val="20"/>
              </w:rPr>
              <w:t>(</w:t>
            </w:r>
            <w:r w:rsidR="00882514" w:rsidRPr="00232508">
              <w:rPr>
                <w:rFonts w:ascii="Arial Narrow" w:hAnsi="Arial Narrow"/>
                <w:i/>
                <w:sz w:val="20"/>
                <w:szCs w:val="20"/>
              </w:rPr>
              <w:t>0.19</w:t>
            </w:r>
            <w:r w:rsidRPr="00E17531">
              <w:rPr>
                <w:rFonts w:ascii="Arial Narrow" w:hAnsi="Arial Narrow"/>
                <w:sz w:val="20"/>
                <w:szCs w:val="20"/>
              </w:rPr>
              <w:t>)</w:t>
            </w:r>
          </w:p>
        </w:tc>
        <w:tc>
          <w:tcPr>
            <w:tcW w:w="552" w:type="pct"/>
            <w:tcBorders>
              <w:top w:val="nil"/>
              <w:left w:val="single" w:sz="4" w:space="0" w:color="auto"/>
              <w:bottom w:val="nil"/>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13E26" w:rsidRPr="00E17531" w:rsidTr="00D74742">
        <w:tc>
          <w:tcPr>
            <w:tcW w:w="389" w:type="pct"/>
            <w:tcBorders>
              <w:top w:val="single" w:sz="4" w:space="0" w:color="auto"/>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rPr>
            </w:pPr>
            <w:r w:rsidRPr="00E17531">
              <w:rPr>
                <w:rFonts w:ascii="Arial Narrow" w:hAnsi="Arial Narrow"/>
                <w:sz w:val="20"/>
              </w:rPr>
              <w:t>2</w:t>
            </w:r>
          </w:p>
        </w:tc>
        <w:tc>
          <w:tcPr>
            <w:tcW w:w="2811" w:type="pct"/>
            <w:tcBorders>
              <w:top w:val="single" w:sz="4" w:space="0" w:color="auto"/>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szCs w:val="20"/>
              </w:rPr>
            </w:pPr>
            <w:r w:rsidRPr="00E17531">
              <w:rPr>
                <w:rFonts w:ascii="Arial Narrow" w:hAnsi="Arial Narrow"/>
                <w:sz w:val="20"/>
                <w:szCs w:val="20"/>
              </w:rPr>
              <w:t>Time horizon (base case: 7.5 years)</w:t>
            </w:r>
          </w:p>
        </w:tc>
        <w:tc>
          <w:tcPr>
            <w:tcW w:w="624" w:type="pct"/>
            <w:tcBorders>
              <w:top w:val="single" w:sz="4" w:space="0" w:color="auto"/>
              <w:left w:val="single" w:sz="4" w:space="0" w:color="auto"/>
              <w:bottom w:val="nil"/>
              <w:right w:val="single" w:sz="4" w:space="0" w:color="auto"/>
            </w:tcBorders>
            <w:vAlign w:val="center"/>
          </w:tcPr>
          <w:p w:rsidR="00013E26" w:rsidRPr="00E61B46" w:rsidRDefault="00013E26" w:rsidP="00D74742">
            <w:pPr>
              <w:widowControl w:val="0"/>
              <w:spacing w:before="0" w:after="0"/>
              <w:jc w:val="center"/>
              <w:rPr>
                <w:rFonts w:ascii="Arial Narrow" w:hAnsi="Arial Narrow"/>
                <w:sz w:val="20"/>
                <w:szCs w:val="20"/>
              </w:rPr>
            </w:pPr>
          </w:p>
        </w:tc>
        <w:tc>
          <w:tcPr>
            <w:tcW w:w="624" w:type="pct"/>
            <w:tcBorders>
              <w:top w:val="single" w:sz="4" w:space="0" w:color="auto"/>
              <w:left w:val="single" w:sz="4" w:space="0" w:color="auto"/>
              <w:bottom w:val="nil"/>
              <w:right w:val="single" w:sz="4" w:space="0" w:color="auto"/>
            </w:tcBorders>
            <w:vAlign w:val="center"/>
          </w:tcPr>
          <w:p w:rsidR="00013E26" w:rsidRPr="00E17531" w:rsidRDefault="00013E26" w:rsidP="00882514">
            <w:pPr>
              <w:widowControl w:val="0"/>
              <w:spacing w:before="0" w:after="0"/>
              <w:jc w:val="center"/>
              <w:rPr>
                <w:rFonts w:ascii="Arial Narrow" w:hAnsi="Arial Narrow"/>
                <w:sz w:val="20"/>
                <w:szCs w:val="20"/>
              </w:rPr>
            </w:pPr>
          </w:p>
        </w:tc>
        <w:tc>
          <w:tcPr>
            <w:tcW w:w="552" w:type="pct"/>
            <w:tcBorders>
              <w:top w:val="single" w:sz="4" w:space="0" w:color="auto"/>
              <w:left w:val="single" w:sz="4" w:space="0" w:color="auto"/>
              <w:bottom w:val="nil"/>
              <w:right w:val="single" w:sz="4" w:space="0" w:color="auto"/>
            </w:tcBorders>
            <w:vAlign w:val="center"/>
          </w:tcPr>
          <w:p w:rsidR="00013E26" w:rsidRPr="00E61B46" w:rsidRDefault="00013E26" w:rsidP="00D74742">
            <w:pPr>
              <w:widowControl w:val="0"/>
              <w:spacing w:before="0" w:after="0"/>
              <w:jc w:val="center"/>
              <w:rPr>
                <w:rFonts w:ascii="Arial Narrow" w:hAnsi="Arial Narrow"/>
                <w:sz w:val="20"/>
                <w:szCs w:val="20"/>
              </w:rPr>
            </w:pPr>
          </w:p>
        </w:tc>
      </w:tr>
      <w:tr w:rsidR="00013E26" w:rsidRPr="00E17531" w:rsidTr="00D74742">
        <w:tc>
          <w:tcPr>
            <w:tcW w:w="389" w:type="pct"/>
            <w:tcBorders>
              <w:top w:val="nil"/>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rPr>
            </w:pPr>
          </w:p>
        </w:tc>
        <w:tc>
          <w:tcPr>
            <w:tcW w:w="2811" w:type="pct"/>
            <w:tcBorders>
              <w:top w:val="nil"/>
              <w:left w:val="single" w:sz="4" w:space="0" w:color="auto"/>
              <w:bottom w:val="nil"/>
              <w:right w:val="single" w:sz="4" w:space="0" w:color="auto"/>
            </w:tcBorders>
          </w:tcPr>
          <w:p w:rsidR="00013E26" w:rsidRPr="00E17531" w:rsidRDefault="00013E26" w:rsidP="00D74B10">
            <w:pPr>
              <w:widowControl w:val="0"/>
              <w:numPr>
                <w:ilvl w:val="0"/>
                <w:numId w:val="8"/>
              </w:numPr>
              <w:spacing w:before="0" w:after="0"/>
              <w:rPr>
                <w:rFonts w:ascii="Arial Narrow" w:hAnsi="Arial Narrow"/>
                <w:sz w:val="20"/>
                <w:szCs w:val="20"/>
              </w:rPr>
            </w:pPr>
            <w:r w:rsidRPr="00E17531">
              <w:rPr>
                <w:rFonts w:ascii="Arial Narrow" w:hAnsi="Arial Narrow"/>
                <w:sz w:val="20"/>
                <w:szCs w:val="20"/>
              </w:rPr>
              <w:t>5 years</w:t>
            </w:r>
            <w:r w:rsidRPr="00E17531">
              <w:rPr>
                <w:rFonts w:ascii="Arial Narrow" w:hAnsi="Arial Narrow"/>
                <w:sz w:val="20"/>
                <w:szCs w:val="20"/>
                <w:vertAlign w:val="superscript"/>
              </w:rPr>
              <w:t>a</w:t>
            </w:r>
          </w:p>
        </w:tc>
        <w:tc>
          <w:tcPr>
            <w:tcW w:w="624" w:type="pct"/>
            <w:tcBorders>
              <w:top w:val="nil"/>
              <w:left w:val="single" w:sz="4" w:space="0" w:color="auto"/>
              <w:bottom w:val="nil"/>
              <w:right w:val="single" w:sz="4" w:space="0" w:color="auto"/>
            </w:tcBorders>
            <w:vAlign w:val="center"/>
          </w:tcPr>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tcBorders>
              <w:top w:val="nil"/>
              <w:left w:val="single" w:sz="4" w:space="0" w:color="auto"/>
              <w:bottom w:val="nil"/>
              <w:right w:val="single" w:sz="4" w:space="0" w:color="auto"/>
            </w:tcBorders>
            <w:vAlign w:val="center"/>
          </w:tcPr>
          <w:p w:rsidR="00013E26" w:rsidRPr="00E17531" w:rsidRDefault="00013E26" w:rsidP="00882514">
            <w:pPr>
              <w:widowControl w:val="0"/>
              <w:spacing w:before="0" w:after="0"/>
              <w:jc w:val="center"/>
              <w:rPr>
                <w:rFonts w:ascii="Arial Narrow" w:hAnsi="Arial Narrow"/>
                <w:sz w:val="20"/>
                <w:szCs w:val="20"/>
              </w:rPr>
            </w:pPr>
            <w:r w:rsidRPr="00E17531">
              <w:rPr>
                <w:rFonts w:ascii="Arial Narrow" w:hAnsi="Arial Narrow"/>
                <w:sz w:val="20"/>
                <w:szCs w:val="20"/>
              </w:rPr>
              <w:t>0.15</w:t>
            </w:r>
          </w:p>
          <w:p w:rsidR="00D92D5E" w:rsidRPr="00E17531" w:rsidRDefault="00D92D5E" w:rsidP="00882514">
            <w:pPr>
              <w:widowControl w:val="0"/>
              <w:spacing w:before="0" w:after="0"/>
              <w:jc w:val="center"/>
              <w:rPr>
                <w:rFonts w:ascii="Arial Narrow" w:hAnsi="Arial Narrow"/>
                <w:sz w:val="20"/>
                <w:szCs w:val="20"/>
              </w:rPr>
            </w:pPr>
            <w:r w:rsidRPr="00232508">
              <w:rPr>
                <w:rFonts w:ascii="Arial Narrow" w:hAnsi="Arial Narrow"/>
                <w:i/>
                <w:sz w:val="20"/>
                <w:szCs w:val="20"/>
              </w:rPr>
              <w:t>(</w:t>
            </w:r>
            <w:r w:rsidR="00882514" w:rsidRPr="00232508">
              <w:rPr>
                <w:rFonts w:ascii="Arial Narrow" w:hAnsi="Arial Narrow"/>
                <w:i/>
                <w:sz w:val="20"/>
                <w:szCs w:val="20"/>
              </w:rPr>
              <w:t>0.16</w:t>
            </w:r>
            <w:r w:rsidRPr="00E17531">
              <w:rPr>
                <w:rFonts w:ascii="Arial Narrow" w:hAnsi="Arial Narrow"/>
                <w:sz w:val="20"/>
                <w:szCs w:val="20"/>
              </w:rPr>
              <w:t xml:space="preserve"> )</w:t>
            </w:r>
          </w:p>
        </w:tc>
        <w:tc>
          <w:tcPr>
            <w:tcW w:w="552" w:type="pct"/>
            <w:tcBorders>
              <w:top w:val="nil"/>
              <w:left w:val="single" w:sz="4" w:space="0" w:color="auto"/>
              <w:bottom w:val="nil"/>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13E26" w:rsidRPr="00E17531" w:rsidTr="00D74742">
        <w:tc>
          <w:tcPr>
            <w:tcW w:w="389" w:type="pct"/>
            <w:tcBorders>
              <w:top w:val="single" w:sz="4" w:space="0" w:color="auto"/>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rPr>
            </w:pPr>
            <w:r w:rsidRPr="00E17531">
              <w:rPr>
                <w:rFonts w:ascii="Arial Narrow" w:hAnsi="Arial Narrow"/>
                <w:sz w:val="20"/>
              </w:rPr>
              <w:t>3</w:t>
            </w:r>
          </w:p>
        </w:tc>
        <w:tc>
          <w:tcPr>
            <w:tcW w:w="2811" w:type="pct"/>
            <w:tcBorders>
              <w:top w:val="single" w:sz="4" w:space="0" w:color="auto"/>
              <w:left w:val="single" w:sz="4" w:space="0" w:color="auto"/>
              <w:bottom w:val="nil"/>
              <w:right w:val="single" w:sz="4" w:space="0" w:color="auto"/>
            </w:tcBorders>
          </w:tcPr>
          <w:p w:rsidR="00013E26" w:rsidRPr="00E17531" w:rsidRDefault="00013E26" w:rsidP="00882514">
            <w:pPr>
              <w:widowControl w:val="0"/>
              <w:spacing w:before="0" w:after="0"/>
              <w:rPr>
                <w:rFonts w:ascii="Arial Narrow" w:hAnsi="Arial Narrow"/>
                <w:sz w:val="20"/>
                <w:szCs w:val="20"/>
              </w:rPr>
            </w:pPr>
            <w:r w:rsidRPr="00E17531">
              <w:rPr>
                <w:rFonts w:ascii="Arial Narrow" w:hAnsi="Arial Narrow"/>
                <w:sz w:val="20"/>
                <w:szCs w:val="20"/>
              </w:rPr>
              <w:t>Cost for 2</w:t>
            </w:r>
            <w:r w:rsidRPr="00E17531">
              <w:rPr>
                <w:rFonts w:ascii="Arial Narrow" w:hAnsi="Arial Narrow"/>
                <w:sz w:val="20"/>
                <w:szCs w:val="20"/>
                <w:vertAlign w:val="superscript"/>
              </w:rPr>
              <w:t>nd</w:t>
            </w:r>
            <w:r w:rsidRPr="00E17531">
              <w:rPr>
                <w:rFonts w:ascii="Arial Narrow" w:hAnsi="Arial Narrow"/>
                <w:sz w:val="20"/>
                <w:szCs w:val="20"/>
              </w:rPr>
              <w:t xml:space="preserve">-line nivolumab </w:t>
            </w:r>
            <w:r w:rsidR="00E61B46">
              <w:rPr>
                <w:rFonts w:ascii="Arial Narrow" w:hAnsi="Arial Narrow"/>
                <w:noProof/>
                <w:color w:val="000000"/>
                <w:sz w:val="20"/>
                <w:szCs w:val="20"/>
                <w:highlight w:val="black"/>
              </w:rPr>
              <w:t>''''''''''''' ''''''''''''' '''''''''''''''''''' ''''''''''' ''''''''''''''''''''''''''''''''''' ''''''''''''' ''''''''''''''''''''''' ''' ''''''''''''''''''''''' '''''''''''''''''''''' ''''' ''''''''' '''''''''''''''''''''</w:t>
            </w:r>
          </w:p>
        </w:tc>
        <w:tc>
          <w:tcPr>
            <w:tcW w:w="624" w:type="pct"/>
            <w:tcBorders>
              <w:top w:val="single" w:sz="4" w:space="0" w:color="auto"/>
              <w:left w:val="single" w:sz="4" w:space="0" w:color="auto"/>
              <w:bottom w:val="nil"/>
              <w:right w:val="single" w:sz="4" w:space="0" w:color="auto"/>
            </w:tcBorders>
            <w:vAlign w:val="center"/>
          </w:tcPr>
          <w:p w:rsidR="00013E26" w:rsidRPr="00E61B46" w:rsidRDefault="00013E26" w:rsidP="00D74742">
            <w:pPr>
              <w:widowControl w:val="0"/>
              <w:spacing w:before="0" w:after="0"/>
              <w:jc w:val="center"/>
              <w:rPr>
                <w:rFonts w:ascii="Arial Narrow" w:hAnsi="Arial Narrow"/>
                <w:sz w:val="20"/>
                <w:szCs w:val="20"/>
              </w:rPr>
            </w:pPr>
          </w:p>
        </w:tc>
        <w:tc>
          <w:tcPr>
            <w:tcW w:w="624" w:type="pct"/>
            <w:tcBorders>
              <w:top w:val="single" w:sz="4" w:space="0" w:color="auto"/>
              <w:left w:val="single" w:sz="4" w:space="0" w:color="auto"/>
              <w:bottom w:val="nil"/>
              <w:right w:val="single" w:sz="4" w:space="0" w:color="auto"/>
            </w:tcBorders>
            <w:vAlign w:val="center"/>
          </w:tcPr>
          <w:p w:rsidR="00013E26" w:rsidRPr="00E17531" w:rsidRDefault="00013E26" w:rsidP="00882514">
            <w:pPr>
              <w:widowControl w:val="0"/>
              <w:spacing w:before="0" w:after="0"/>
              <w:jc w:val="center"/>
              <w:rPr>
                <w:rFonts w:ascii="Arial Narrow" w:hAnsi="Arial Narrow"/>
                <w:sz w:val="20"/>
                <w:szCs w:val="20"/>
              </w:rPr>
            </w:pPr>
          </w:p>
        </w:tc>
        <w:tc>
          <w:tcPr>
            <w:tcW w:w="552" w:type="pct"/>
            <w:tcBorders>
              <w:top w:val="single" w:sz="4" w:space="0" w:color="auto"/>
              <w:left w:val="single" w:sz="4" w:space="0" w:color="auto"/>
              <w:bottom w:val="nil"/>
              <w:right w:val="single" w:sz="4" w:space="0" w:color="auto"/>
            </w:tcBorders>
            <w:vAlign w:val="center"/>
          </w:tcPr>
          <w:p w:rsidR="00013E26" w:rsidRPr="00E61B46" w:rsidRDefault="00013E26" w:rsidP="00D74742">
            <w:pPr>
              <w:widowControl w:val="0"/>
              <w:spacing w:before="0" w:after="0"/>
              <w:jc w:val="center"/>
              <w:rPr>
                <w:rFonts w:ascii="Arial Narrow" w:hAnsi="Arial Narrow"/>
                <w:sz w:val="20"/>
                <w:szCs w:val="20"/>
              </w:rPr>
            </w:pPr>
          </w:p>
        </w:tc>
      </w:tr>
      <w:tr w:rsidR="00013E26" w:rsidRPr="00E17531" w:rsidTr="00D74742">
        <w:tc>
          <w:tcPr>
            <w:tcW w:w="389" w:type="pct"/>
            <w:tcBorders>
              <w:top w:val="nil"/>
              <w:left w:val="single" w:sz="4" w:space="0" w:color="auto"/>
              <w:bottom w:val="single" w:sz="4" w:space="0" w:color="auto"/>
              <w:right w:val="single" w:sz="4" w:space="0" w:color="auto"/>
            </w:tcBorders>
          </w:tcPr>
          <w:p w:rsidR="00013E26" w:rsidRPr="00E17531" w:rsidRDefault="00013E26" w:rsidP="00882514">
            <w:pPr>
              <w:widowControl w:val="0"/>
              <w:spacing w:before="0" w:after="0"/>
              <w:rPr>
                <w:rFonts w:ascii="Arial Narrow" w:hAnsi="Arial Narrow"/>
                <w:sz w:val="20"/>
              </w:rPr>
            </w:pPr>
          </w:p>
        </w:tc>
        <w:tc>
          <w:tcPr>
            <w:tcW w:w="2811" w:type="pct"/>
            <w:tcBorders>
              <w:top w:val="nil"/>
              <w:left w:val="single" w:sz="4" w:space="0" w:color="auto"/>
              <w:bottom w:val="single" w:sz="4" w:space="0" w:color="auto"/>
              <w:right w:val="single" w:sz="4" w:space="0" w:color="auto"/>
            </w:tcBorders>
          </w:tcPr>
          <w:p w:rsidR="00013E26" w:rsidRPr="00E17531" w:rsidRDefault="00013E26" w:rsidP="00D74B10">
            <w:pPr>
              <w:widowControl w:val="0"/>
              <w:numPr>
                <w:ilvl w:val="0"/>
                <w:numId w:val="9"/>
              </w:numPr>
              <w:spacing w:before="0" w:after="0"/>
              <w:rPr>
                <w:rFonts w:ascii="Arial Narrow" w:hAnsi="Arial Narrow"/>
                <w:sz w:val="20"/>
                <w:szCs w:val="20"/>
              </w:rPr>
            </w:pPr>
            <w:r w:rsidRPr="00E17531">
              <w:rPr>
                <w:rFonts w:ascii="Arial Narrow" w:hAnsi="Arial Narrow"/>
                <w:sz w:val="20"/>
                <w:szCs w:val="20"/>
              </w:rPr>
              <w:t xml:space="preserve">Treatment duration of </w:t>
            </w:r>
            <w:r w:rsidR="00D33B74" w:rsidRPr="00E17531">
              <w:rPr>
                <w:rFonts w:ascii="Arial Narrow" w:hAnsi="Arial Narrow"/>
                <w:sz w:val="20"/>
                <w:szCs w:val="20"/>
              </w:rPr>
              <w:t>nivolumab calculated as median PFS2 minus median PFS</w:t>
            </w:r>
            <w:r w:rsidR="00D33B74" w:rsidRPr="00E17531">
              <w:rPr>
                <w:rFonts w:ascii="Arial Narrow" w:hAnsi="Arial Narrow"/>
                <w:sz w:val="20"/>
                <w:szCs w:val="20"/>
                <w:vertAlign w:val="superscript"/>
              </w:rPr>
              <w:t>a, b</w:t>
            </w:r>
            <w:r w:rsidR="00D33B74" w:rsidRPr="00E17531">
              <w:rPr>
                <w:rFonts w:ascii="Arial Narrow" w:hAnsi="Arial Narrow"/>
                <w:sz w:val="20"/>
                <w:szCs w:val="20"/>
              </w:rPr>
              <w:t xml:space="preserve"> </w:t>
            </w:r>
          </w:p>
        </w:tc>
        <w:tc>
          <w:tcPr>
            <w:tcW w:w="624" w:type="pct"/>
            <w:tcBorders>
              <w:top w:val="nil"/>
              <w:left w:val="single" w:sz="4" w:space="0" w:color="auto"/>
              <w:bottom w:val="single" w:sz="4" w:space="0" w:color="auto"/>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tcBorders>
              <w:top w:val="nil"/>
              <w:left w:val="single" w:sz="4" w:space="0" w:color="auto"/>
              <w:bottom w:val="single" w:sz="4" w:space="0" w:color="auto"/>
              <w:right w:val="single" w:sz="4" w:space="0" w:color="auto"/>
            </w:tcBorders>
            <w:vAlign w:val="center"/>
          </w:tcPr>
          <w:p w:rsidR="00013E26" w:rsidRPr="00E17531" w:rsidRDefault="00013E26" w:rsidP="00882514">
            <w:pPr>
              <w:widowControl w:val="0"/>
              <w:spacing w:before="0" w:after="0"/>
              <w:jc w:val="center"/>
              <w:rPr>
                <w:rFonts w:ascii="Arial Narrow" w:hAnsi="Arial Narrow"/>
                <w:sz w:val="20"/>
                <w:szCs w:val="20"/>
              </w:rPr>
            </w:pPr>
            <w:r w:rsidRPr="00E17531">
              <w:rPr>
                <w:rFonts w:ascii="Arial Narrow" w:hAnsi="Arial Narrow"/>
                <w:sz w:val="20"/>
                <w:szCs w:val="20"/>
              </w:rPr>
              <w:t>0.21</w:t>
            </w:r>
          </w:p>
          <w:p w:rsidR="00D92D5E" w:rsidRPr="00232508" w:rsidRDefault="00D92D5E" w:rsidP="00882514">
            <w:pPr>
              <w:widowControl w:val="0"/>
              <w:spacing w:before="0" w:after="0"/>
              <w:jc w:val="center"/>
              <w:rPr>
                <w:rFonts w:ascii="Arial Narrow" w:hAnsi="Arial Narrow"/>
                <w:i/>
                <w:sz w:val="20"/>
                <w:szCs w:val="20"/>
              </w:rPr>
            </w:pPr>
            <w:r w:rsidRPr="00232508">
              <w:rPr>
                <w:rFonts w:ascii="Arial Narrow" w:hAnsi="Arial Narrow"/>
                <w:i/>
                <w:sz w:val="20"/>
                <w:szCs w:val="20"/>
              </w:rPr>
              <w:t>(</w:t>
            </w:r>
            <w:r w:rsidR="00882514" w:rsidRPr="00232508">
              <w:rPr>
                <w:rFonts w:ascii="Arial Narrow" w:hAnsi="Arial Narrow"/>
                <w:i/>
                <w:sz w:val="20"/>
                <w:szCs w:val="20"/>
              </w:rPr>
              <w:t>0.23</w:t>
            </w:r>
            <w:r w:rsidRPr="00232508">
              <w:rPr>
                <w:rFonts w:ascii="Arial Narrow" w:hAnsi="Arial Narrow"/>
                <w:i/>
                <w:sz w:val="20"/>
                <w:szCs w:val="20"/>
              </w:rPr>
              <w:t>)</w:t>
            </w:r>
          </w:p>
        </w:tc>
        <w:tc>
          <w:tcPr>
            <w:tcW w:w="552" w:type="pct"/>
            <w:tcBorders>
              <w:top w:val="nil"/>
              <w:left w:val="single" w:sz="4" w:space="0" w:color="auto"/>
              <w:bottom w:val="single" w:sz="4" w:space="0" w:color="auto"/>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13E26" w:rsidRPr="00E17531" w:rsidTr="00622343">
        <w:tc>
          <w:tcPr>
            <w:tcW w:w="3200" w:type="pct"/>
            <w:gridSpan w:val="2"/>
            <w:tcBorders>
              <w:top w:val="single" w:sz="4" w:space="0" w:color="auto"/>
              <w:left w:val="single" w:sz="4" w:space="0" w:color="auto"/>
              <w:bottom w:val="single" w:sz="4" w:space="0" w:color="auto"/>
              <w:right w:val="single" w:sz="4" w:space="0" w:color="auto"/>
            </w:tcBorders>
          </w:tcPr>
          <w:p w:rsidR="00013E26" w:rsidRPr="00E17531" w:rsidRDefault="00013E26" w:rsidP="00882514">
            <w:pPr>
              <w:widowControl w:val="0"/>
              <w:spacing w:before="0" w:after="0"/>
              <w:rPr>
                <w:rFonts w:ascii="Arial Narrow" w:hAnsi="Arial Narrow"/>
                <w:sz w:val="20"/>
                <w:szCs w:val="20"/>
              </w:rPr>
            </w:pPr>
            <w:r w:rsidRPr="00E17531">
              <w:rPr>
                <w:rFonts w:ascii="Arial Narrow" w:hAnsi="Arial Narrow"/>
                <w:sz w:val="20"/>
                <w:szCs w:val="20"/>
              </w:rPr>
              <w:t>Multivariate analyses</w:t>
            </w:r>
            <w:r w:rsidRPr="00E17531">
              <w:rPr>
                <w:rFonts w:ascii="Arial Narrow" w:hAnsi="Arial Narrow"/>
                <w:sz w:val="20"/>
                <w:szCs w:val="20"/>
                <w:vertAlign w:val="superscript"/>
              </w:rPr>
              <w:t>a</w:t>
            </w:r>
          </w:p>
        </w:tc>
        <w:tc>
          <w:tcPr>
            <w:tcW w:w="624" w:type="pct"/>
            <w:tcBorders>
              <w:top w:val="single" w:sz="4" w:space="0" w:color="auto"/>
              <w:left w:val="nil"/>
              <w:bottom w:val="single" w:sz="4" w:space="0" w:color="auto"/>
              <w:right w:val="nil"/>
            </w:tcBorders>
            <w:vAlign w:val="center"/>
          </w:tcPr>
          <w:p w:rsidR="00013E26" w:rsidRPr="00E17531" w:rsidRDefault="00013E26" w:rsidP="00882514">
            <w:pPr>
              <w:widowControl w:val="0"/>
              <w:spacing w:before="0" w:after="0"/>
              <w:jc w:val="right"/>
              <w:rPr>
                <w:rFonts w:ascii="Arial Narrow" w:hAnsi="Arial Narrow"/>
                <w:sz w:val="20"/>
                <w:szCs w:val="20"/>
              </w:rPr>
            </w:pPr>
          </w:p>
        </w:tc>
        <w:tc>
          <w:tcPr>
            <w:tcW w:w="624" w:type="pct"/>
            <w:tcBorders>
              <w:top w:val="single" w:sz="4" w:space="0" w:color="auto"/>
              <w:left w:val="nil"/>
              <w:bottom w:val="single" w:sz="4" w:space="0" w:color="auto"/>
              <w:right w:val="nil"/>
            </w:tcBorders>
            <w:vAlign w:val="center"/>
          </w:tcPr>
          <w:p w:rsidR="00013E26" w:rsidRPr="00E17531" w:rsidRDefault="00013E26" w:rsidP="00882514">
            <w:pPr>
              <w:widowControl w:val="0"/>
              <w:spacing w:before="0" w:after="0"/>
              <w:jc w:val="center"/>
              <w:rPr>
                <w:rFonts w:ascii="Arial Narrow" w:hAnsi="Arial Narrow"/>
                <w:sz w:val="20"/>
                <w:szCs w:val="20"/>
              </w:rPr>
            </w:pPr>
          </w:p>
        </w:tc>
        <w:tc>
          <w:tcPr>
            <w:tcW w:w="552" w:type="pct"/>
            <w:tcBorders>
              <w:top w:val="single" w:sz="4" w:space="0" w:color="auto"/>
              <w:left w:val="nil"/>
              <w:bottom w:val="single" w:sz="4" w:space="0" w:color="auto"/>
              <w:right w:val="single" w:sz="4" w:space="0" w:color="auto"/>
            </w:tcBorders>
            <w:vAlign w:val="center"/>
          </w:tcPr>
          <w:p w:rsidR="00013E26" w:rsidRPr="00E61B46" w:rsidRDefault="00013E26" w:rsidP="00882514">
            <w:pPr>
              <w:widowControl w:val="0"/>
              <w:spacing w:before="0" w:after="0"/>
              <w:jc w:val="right"/>
              <w:rPr>
                <w:rFonts w:ascii="Arial Narrow" w:hAnsi="Arial Narrow"/>
                <w:sz w:val="20"/>
                <w:szCs w:val="20"/>
              </w:rPr>
            </w:pPr>
          </w:p>
        </w:tc>
      </w:tr>
      <w:tr w:rsidR="00013E26" w:rsidRPr="00E17531" w:rsidTr="00D74742">
        <w:tc>
          <w:tcPr>
            <w:tcW w:w="389" w:type="pct"/>
            <w:tcBorders>
              <w:top w:val="single" w:sz="4" w:space="0" w:color="auto"/>
              <w:left w:val="single" w:sz="4" w:space="0" w:color="auto"/>
              <w:bottom w:val="single" w:sz="4" w:space="0" w:color="auto"/>
              <w:right w:val="single" w:sz="4" w:space="0" w:color="auto"/>
            </w:tcBorders>
          </w:tcPr>
          <w:p w:rsidR="00013E26" w:rsidRPr="00E17531" w:rsidRDefault="00013E26" w:rsidP="00882514">
            <w:pPr>
              <w:widowControl w:val="0"/>
              <w:spacing w:before="0" w:after="0"/>
              <w:rPr>
                <w:rFonts w:ascii="Arial Narrow" w:hAnsi="Arial Narrow"/>
                <w:sz w:val="20"/>
              </w:rPr>
            </w:pPr>
            <w:r w:rsidRPr="00E17531">
              <w:rPr>
                <w:rFonts w:ascii="Arial Narrow" w:hAnsi="Arial Narrow"/>
                <w:sz w:val="20"/>
              </w:rPr>
              <w:t>1+2</w:t>
            </w:r>
          </w:p>
        </w:tc>
        <w:tc>
          <w:tcPr>
            <w:tcW w:w="2811" w:type="pct"/>
            <w:tcBorders>
              <w:top w:val="single" w:sz="4" w:space="0" w:color="auto"/>
              <w:left w:val="single" w:sz="4" w:space="0" w:color="auto"/>
              <w:bottom w:val="single" w:sz="4" w:space="0" w:color="auto"/>
              <w:right w:val="single" w:sz="4" w:space="0" w:color="auto"/>
            </w:tcBorders>
          </w:tcPr>
          <w:p w:rsidR="00013E26" w:rsidRPr="00E17531" w:rsidRDefault="00013E26" w:rsidP="00882514">
            <w:pPr>
              <w:widowControl w:val="0"/>
              <w:spacing w:before="0" w:after="0"/>
              <w:rPr>
                <w:rFonts w:ascii="Arial Narrow" w:hAnsi="Arial Narrow"/>
                <w:sz w:val="20"/>
                <w:szCs w:val="20"/>
              </w:rPr>
            </w:pPr>
            <w:r w:rsidRPr="00E17531">
              <w:rPr>
                <w:rFonts w:ascii="Arial Narrow" w:hAnsi="Arial Narrow"/>
                <w:sz w:val="20"/>
                <w:szCs w:val="20"/>
              </w:rPr>
              <w:t>5-year time horizon + exponential extrapolation for pembrolizumab OS</w:t>
            </w: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17531" w:rsidRDefault="00013E26" w:rsidP="00D74742">
            <w:pPr>
              <w:widowControl w:val="0"/>
              <w:spacing w:before="0" w:after="0"/>
              <w:jc w:val="center"/>
              <w:rPr>
                <w:rFonts w:ascii="Arial Narrow" w:hAnsi="Arial Narrow"/>
                <w:sz w:val="20"/>
                <w:szCs w:val="20"/>
              </w:rPr>
            </w:pPr>
            <w:r w:rsidRPr="00E17531">
              <w:rPr>
                <w:rFonts w:ascii="Arial Narrow" w:hAnsi="Arial Narrow"/>
                <w:sz w:val="20"/>
                <w:szCs w:val="20"/>
              </w:rPr>
              <w:t>0.14</w:t>
            </w:r>
          </w:p>
          <w:p w:rsidR="00D92D5E" w:rsidRPr="00232508" w:rsidRDefault="00D92D5E" w:rsidP="00D74742">
            <w:pPr>
              <w:widowControl w:val="0"/>
              <w:spacing w:before="0" w:after="0"/>
              <w:jc w:val="center"/>
              <w:rPr>
                <w:rFonts w:ascii="Arial Narrow" w:hAnsi="Arial Narrow"/>
                <w:i/>
                <w:sz w:val="20"/>
                <w:szCs w:val="20"/>
              </w:rPr>
            </w:pPr>
            <w:r w:rsidRPr="00232508">
              <w:rPr>
                <w:rFonts w:ascii="Arial Narrow" w:hAnsi="Arial Narrow"/>
                <w:i/>
                <w:sz w:val="20"/>
                <w:szCs w:val="20"/>
              </w:rPr>
              <w:t>(</w:t>
            </w:r>
            <w:r w:rsidR="00882514" w:rsidRPr="00232508">
              <w:rPr>
                <w:rFonts w:ascii="Arial Narrow" w:hAnsi="Arial Narrow"/>
                <w:i/>
                <w:sz w:val="20"/>
                <w:szCs w:val="20"/>
              </w:rPr>
              <w:t>0.15</w:t>
            </w:r>
            <w:r w:rsidRPr="00232508">
              <w:rPr>
                <w:rFonts w:ascii="Arial Narrow" w:hAnsi="Arial Narrow"/>
                <w:i/>
                <w:sz w:val="20"/>
                <w:szCs w:val="20"/>
              </w:rPr>
              <w:t>)</w:t>
            </w:r>
          </w:p>
        </w:tc>
        <w:tc>
          <w:tcPr>
            <w:tcW w:w="552" w:type="pct"/>
            <w:tcBorders>
              <w:top w:val="single" w:sz="4" w:space="0" w:color="auto"/>
              <w:left w:val="single" w:sz="4" w:space="0" w:color="auto"/>
              <w:bottom w:val="single" w:sz="4" w:space="0" w:color="auto"/>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13E26" w:rsidRPr="00E17531" w:rsidTr="00D74742">
        <w:tc>
          <w:tcPr>
            <w:tcW w:w="389" w:type="pct"/>
            <w:tcBorders>
              <w:top w:val="single" w:sz="4" w:space="0" w:color="auto"/>
              <w:left w:val="single" w:sz="4" w:space="0" w:color="auto"/>
              <w:bottom w:val="single" w:sz="4" w:space="0" w:color="auto"/>
              <w:right w:val="single" w:sz="4" w:space="0" w:color="auto"/>
            </w:tcBorders>
          </w:tcPr>
          <w:p w:rsidR="00013E26" w:rsidRPr="00E17531" w:rsidRDefault="00013E26" w:rsidP="00882514">
            <w:pPr>
              <w:widowControl w:val="0"/>
              <w:spacing w:before="0" w:after="0"/>
              <w:rPr>
                <w:rFonts w:ascii="Arial Narrow" w:hAnsi="Arial Narrow"/>
                <w:sz w:val="20"/>
              </w:rPr>
            </w:pPr>
            <w:r w:rsidRPr="00E17531">
              <w:rPr>
                <w:rFonts w:ascii="Arial Narrow" w:hAnsi="Arial Narrow"/>
                <w:sz w:val="20"/>
              </w:rPr>
              <w:t>1+2+3</w:t>
            </w:r>
          </w:p>
        </w:tc>
        <w:tc>
          <w:tcPr>
            <w:tcW w:w="2811" w:type="pct"/>
            <w:tcBorders>
              <w:top w:val="single" w:sz="4" w:space="0" w:color="auto"/>
              <w:left w:val="single" w:sz="4" w:space="0" w:color="auto"/>
              <w:bottom w:val="single" w:sz="4" w:space="0" w:color="auto"/>
              <w:right w:val="single" w:sz="4" w:space="0" w:color="auto"/>
            </w:tcBorders>
          </w:tcPr>
          <w:p w:rsidR="00013E26" w:rsidRPr="00E17531" w:rsidRDefault="00013E26" w:rsidP="00AE51E5">
            <w:pPr>
              <w:widowControl w:val="0"/>
              <w:spacing w:before="0" w:after="0"/>
              <w:rPr>
                <w:rFonts w:ascii="Arial Narrow" w:hAnsi="Arial Narrow"/>
                <w:sz w:val="20"/>
                <w:szCs w:val="20"/>
              </w:rPr>
            </w:pPr>
            <w:r w:rsidRPr="00E17531">
              <w:rPr>
                <w:rFonts w:ascii="Arial Narrow" w:hAnsi="Arial Narrow"/>
                <w:sz w:val="20"/>
                <w:szCs w:val="20"/>
              </w:rPr>
              <w:t xml:space="preserve">5-year time horizon + exponential extrapolation for pembrolizumab OS + </w:t>
            </w:r>
            <w:r w:rsidR="00AE51E5" w:rsidRPr="00E17531">
              <w:rPr>
                <w:rFonts w:ascii="Arial Narrow" w:hAnsi="Arial Narrow"/>
                <w:sz w:val="20"/>
                <w:szCs w:val="20"/>
              </w:rPr>
              <w:t>treatment duration of nivolumab calculated as median PFS2 minus median PFS</w:t>
            </w:r>
            <w:r w:rsidR="00AE51E5" w:rsidRPr="00E17531">
              <w:rPr>
                <w:rFonts w:ascii="Arial Narrow" w:hAnsi="Arial Narrow"/>
                <w:sz w:val="20"/>
                <w:szCs w:val="20"/>
                <w:vertAlign w:val="superscript"/>
              </w:rPr>
              <w:t>b</w:t>
            </w:r>
          </w:p>
        </w:tc>
        <w:tc>
          <w:tcPr>
            <w:tcW w:w="624" w:type="pct"/>
            <w:tcBorders>
              <w:top w:val="single" w:sz="4" w:space="0" w:color="auto"/>
              <w:left w:val="single" w:sz="4" w:space="0" w:color="auto"/>
              <w:bottom w:val="single" w:sz="4" w:space="0" w:color="auto"/>
              <w:right w:val="single" w:sz="4" w:space="0" w:color="auto"/>
            </w:tcBorders>
            <w:vAlign w:val="center"/>
          </w:tcPr>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013E26" w:rsidRPr="00E17531" w:rsidRDefault="00013E26" w:rsidP="00D74742">
            <w:pPr>
              <w:widowControl w:val="0"/>
              <w:spacing w:before="0" w:after="0"/>
              <w:jc w:val="center"/>
              <w:rPr>
                <w:rFonts w:ascii="Arial Narrow" w:hAnsi="Arial Narrow"/>
                <w:sz w:val="20"/>
                <w:szCs w:val="20"/>
              </w:rPr>
            </w:pPr>
            <w:r w:rsidRPr="00E17531">
              <w:rPr>
                <w:rFonts w:ascii="Arial Narrow" w:hAnsi="Arial Narrow"/>
                <w:sz w:val="20"/>
                <w:szCs w:val="20"/>
              </w:rPr>
              <w:t>0.14</w:t>
            </w:r>
          </w:p>
          <w:p w:rsidR="00D92D5E" w:rsidRPr="00232508" w:rsidRDefault="00D92D5E" w:rsidP="00D74742">
            <w:pPr>
              <w:widowControl w:val="0"/>
              <w:spacing w:before="0" w:after="0"/>
              <w:jc w:val="center"/>
              <w:rPr>
                <w:rFonts w:ascii="Arial Narrow" w:hAnsi="Arial Narrow"/>
                <w:i/>
                <w:sz w:val="20"/>
                <w:szCs w:val="20"/>
              </w:rPr>
            </w:pPr>
            <w:r w:rsidRPr="00232508">
              <w:rPr>
                <w:rFonts w:ascii="Arial Narrow" w:hAnsi="Arial Narrow"/>
                <w:i/>
                <w:sz w:val="20"/>
                <w:szCs w:val="20"/>
              </w:rPr>
              <w:t>(</w:t>
            </w:r>
            <w:r w:rsidR="00882514" w:rsidRPr="00232508">
              <w:rPr>
                <w:rFonts w:ascii="Arial Narrow" w:hAnsi="Arial Narrow"/>
                <w:i/>
                <w:sz w:val="20"/>
                <w:szCs w:val="20"/>
              </w:rPr>
              <w:t>0.15</w:t>
            </w:r>
            <w:r w:rsidRPr="00232508">
              <w:rPr>
                <w:rFonts w:ascii="Arial Narrow" w:hAnsi="Arial Narrow"/>
                <w:i/>
                <w:sz w:val="20"/>
                <w:szCs w:val="20"/>
              </w:rPr>
              <w:t>)</w:t>
            </w:r>
          </w:p>
        </w:tc>
        <w:tc>
          <w:tcPr>
            <w:tcW w:w="552" w:type="pct"/>
            <w:tcBorders>
              <w:top w:val="single" w:sz="4" w:space="0" w:color="auto"/>
              <w:left w:val="single" w:sz="4" w:space="0" w:color="auto"/>
              <w:bottom w:val="single" w:sz="4" w:space="0" w:color="auto"/>
              <w:right w:val="single" w:sz="4" w:space="0" w:color="auto"/>
            </w:tcBorders>
            <w:vAlign w:val="center"/>
          </w:tcPr>
          <w:p w:rsidR="00013E26"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92D5E"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74742" w:rsidRPr="00E17531" w:rsidTr="00D74742">
        <w:tc>
          <w:tcPr>
            <w:tcW w:w="389" w:type="pct"/>
            <w:tcBorders>
              <w:top w:val="single" w:sz="4" w:space="0" w:color="auto"/>
              <w:left w:val="single" w:sz="4" w:space="0" w:color="auto"/>
              <w:bottom w:val="single" w:sz="4" w:space="0" w:color="auto"/>
              <w:right w:val="single" w:sz="4" w:space="0" w:color="auto"/>
            </w:tcBorders>
          </w:tcPr>
          <w:p w:rsidR="00D74742" w:rsidRPr="00E17531" w:rsidRDefault="00D74742" w:rsidP="00882514">
            <w:pPr>
              <w:widowControl w:val="0"/>
              <w:spacing w:before="0" w:after="0"/>
              <w:rPr>
                <w:rFonts w:ascii="Arial Narrow" w:hAnsi="Arial Narrow"/>
                <w:sz w:val="20"/>
              </w:rPr>
            </w:pPr>
            <w:r w:rsidRPr="00E17531">
              <w:rPr>
                <w:rFonts w:ascii="Arial Narrow" w:hAnsi="Arial Narrow"/>
                <w:sz w:val="20"/>
              </w:rPr>
              <w:t>1+3</w:t>
            </w:r>
          </w:p>
        </w:tc>
        <w:tc>
          <w:tcPr>
            <w:tcW w:w="2811" w:type="pct"/>
            <w:tcBorders>
              <w:top w:val="single" w:sz="4" w:space="0" w:color="auto"/>
              <w:left w:val="single" w:sz="4" w:space="0" w:color="auto"/>
              <w:bottom w:val="single" w:sz="4" w:space="0" w:color="auto"/>
              <w:right w:val="single" w:sz="4" w:space="0" w:color="auto"/>
            </w:tcBorders>
          </w:tcPr>
          <w:p w:rsidR="00D74742" w:rsidRPr="00E17531" w:rsidRDefault="00D74742" w:rsidP="00AE51E5">
            <w:pPr>
              <w:widowControl w:val="0"/>
              <w:spacing w:before="0" w:after="0"/>
              <w:rPr>
                <w:rFonts w:ascii="Arial Narrow" w:hAnsi="Arial Narrow"/>
                <w:sz w:val="20"/>
                <w:szCs w:val="20"/>
              </w:rPr>
            </w:pPr>
            <w:r w:rsidRPr="00E17531">
              <w:rPr>
                <w:rFonts w:ascii="Arial Narrow" w:hAnsi="Arial Narrow"/>
                <w:sz w:val="20"/>
                <w:szCs w:val="20"/>
              </w:rPr>
              <w:t>Exponential extrapolation for pembrolizumab OS + treatment duration of nivolumab calculated as median PFS2 minus median PFS</w:t>
            </w:r>
            <w:r w:rsidRPr="00E17531">
              <w:rPr>
                <w:rFonts w:ascii="Arial Narrow" w:hAnsi="Arial Narrow"/>
                <w:sz w:val="20"/>
                <w:szCs w:val="20"/>
                <w:vertAlign w:val="superscript"/>
              </w:rPr>
              <w:t>b</w:t>
            </w:r>
          </w:p>
        </w:tc>
        <w:tc>
          <w:tcPr>
            <w:tcW w:w="624" w:type="pct"/>
            <w:tcBorders>
              <w:top w:val="single" w:sz="4" w:space="0" w:color="auto"/>
              <w:left w:val="single" w:sz="4" w:space="0" w:color="auto"/>
              <w:bottom w:val="single" w:sz="4" w:space="0" w:color="auto"/>
              <w:right w:val="single" w:sz="4" w:space="0" w:color="auto"/>
            </w:tcBorders>
            <w:vAlign w:val="center"/>
          </w:tcPr>
          <w:p w:rsidR="00D74742"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74742"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D74742" w:rsidRPr="00E17531" w:rsidRDefault="00D74742" w:rsidP="00D74742">
            <w:pPr>
              <w:widowControl w:val="0"/>
              <w:spacing w:before="0" w:after="0"/>
              <w:jc w:val="center"/>
              <w:rPr>
                <w:rFonts w:ascii="Arial Narrow" w:hAnsi="Arial Narrow"/>
                <w:sz w:val="20"/>
                <w:szCs w:val="20"/>
              </w:rPr>
            </w:pPr>
            <w:r w:rsidRPr="00E17531">
              <w:rPr>
                <w:rFonts w:ascii="Arial Narrow" w:hAnsi="Arial Narrow"/>
                <w:sz w:val="20"/>
                <w:szCs w:val="20"/>
              </w:rPr>
              <w:t>0.17</w:t>
            </w:r>
          </w:p>
          <w:p w:rsidR="00D74742" w:rsidRPr="00232508" w:rsidRDefault="00D74742" w:rsidP="00D74742">
            <w:pPr>
              <w:widowControl w:val="0"/>
              <w:spacing w:before="0" w:after="0"/>
              <w:jc w:val="center"/>
              <w:rPr>
                <w:rFonts w:ascii="Arial Narrow" w:hAnsi="Arial Narrow"/>
                <w:i/>
                <w:sz w:val="20"/>
                <w:szCs w:val="20"/>
              </w:rPr>
            </w:pPr>
            <w:r w:rsidRPr="00232508">
              <w:rPr>
                <w:rFonts w:ascii="Arial Narrow" w:hAnsi="Arial Narrow"/>
                <w:i/>
                <w:sz w:val="20"/>
                <w:szCs w:val="20"/>
              </w:rPr>
              <w:t>(0.19)</w:t>
            </w:r>
          </w:p>
        </w:tc>
        <w:tc>
          <w:tcPr>
            <w:tcW w:w="552" w:type="pct"/>
            <w:tcBorders>
              <w:top w:val="single" w:sz="4" w:space="0" w:color="auto"/>
              <w:left w:val="single" w:sz="4" w:space="0" w:color="auto"/>
              <w:bottom w:val="single" w:sz="4" w:space="0" w:color="auto"/>
              <w:right w:val="single" w:sz="4" w:space="0" w:color="auto"/>
            </w:tcBorders>
            <w:vAlign w:val="center"/>
          </w:tcPr>
          <w:p w:rsidR="00D74742"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p w:rsidR="00D74742" w:rsidRPr="00E61B46" w:rsidRDefault="00E61B46" w:rsidP="00D74742">
            <w:pPr>
              <w:widowControl w:val="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013E26" w:rsidRPr="00E17531" w:rsidRDefault="00013E26" w:rsidP="00622343">
      <w:pPr>
        <w:pStyle w:val="TableFooter"/>
      </w:pPr>
      <w:r w:rsidRPr="00E17531">
        <w:t>AIC = Akaike Information Criterion; BIC = Bayesian Information Criterion; OS = overall survival; PD-L1 = programmed cell death ligand 1</w:t>
      </w:r>
      <w:r w:rsidR="00D33B74" w:rsidRPr="00E17531">
        <w:t>; PFS = progression-free survival; PFS2 = time from randomisation to disease progression after second-line therapy or death</w:t>
      </w:r>
    </w:p>
    <w:p w:rsidR="00013E26" w:rsidRPr="00E17531" w:rsidRDefault="00013E26" w:rsidP="00622343">
      <w:pPr>
        <w:pStyle w:val="TableFooter"/>
      </w:pPr>
      <w:r w:rsidRPr="00E17531">
        <w:rPr>
          <w:vertAlign w:val="superscript"/>
        </w:rPr>
        <w:t>a</w:t>
      </w:r>
      <w:r w:rsidRPr="00E17531">
        <w:t xml:space="preserve"> Sensitivity analyses performed during the evaluation</w:t>
      </w:r>
    </w:p>
    <w:p w:rsidR="00013E26" w:rsidRPr="00E17531" w:rsidRDefault="00013E26" w:rsidP="00622343">
      <w:pPr>
        <w:pStyle w:val="TableFooter"/>
      </w:pPr>
      <w:r w:rsidRPr="00E17531">
        <w:rPr>
          <w:vertAlign w:val="superscript"/>
        </w:rPr>
        <w:t xml:space="preserve">b </w:t>
      </w:r>
      <w:r w:rsidR="00D33B74" w:rsidRPr="00E17531">
        <w:t>Equal</w:t>
      </w:r>
      <w:r w:rsidR="00D83A64" w:rsidRPr="00E17531">
        <w:t>s</w:t>
      </w:r>
      <w:r w:rsidR="00D33B74" w:rsidRPr="00E17531">
        <w:t xml:space="preserve"> to </w:t>
      </w:r>
      <w:r w:rsidRPr="00E17531">
        <w:t>2.4 months</w:t>
      </w:r>
      <w:r w:rsidR="00D33B74" w:rsidRPr="00E17531">
        <w:t xml:space="preserve"> (</w:t>
      </w:r>
      <w:r w:rsidR="00AE51E5" w:rsidRPr="00E17531">
        <w:t>= 8.4 months – 6.0 months)</w:t>
      </w:r>
      <w:r w:rsidR="00D33B74" w:rsidRPr="00E17531">
        <w:t xml:space="preserve"> based on the survival data presented in the resubmission (median follow-up of 11 months for PFS and 19 months for PFS2) and 2.3 months (</w:t>
      </w:r>
      <w:r w:rsidR="00AE51E5" w:rsidRPr="00E17531">
        <w:t>= 8.4 months – 6.1 months</w:t>
      </w:r>
      <w:r w:rsidR="00D33B74" w:rsidRPr="00E17531">
        <w:t>) based on the updated survival data provided by the PSCR (median follow-up of 25 months for PFS and 19 months for PFS)</w:t>
      </w:r>
      <w:r w:rsidR="00BD2F5B" w:rsidRPr="00E17531">
        <w:t>.</w:t>
      </w:r>
    </w:p>
    <w:p w:rsidR="00575BF2" w:rsidRPr="00E17531" w:rsidRDefault="00575BF2" w:rsidP="00622343">
      <w:pPr>
        <w:pStyle w:val="TableFooter"/>
      </w:pPr>
      <w:r w:rsidRPr="00E17531">
        <w:rPr>
          <w:vertAlign w:val="superscript"/>
        </w:rPr>
        <w:t>c</w:t>
      </w:r>
      <w:r w:rsidRPr="00E17531">
        <w:t xml:space="preserve"> Based on data with a median follow-up data of 19 months.</w:t>
      </w:r>
    </w:p>
    <w:p w:rsidR="00575BF2" w:rsidRPr="00E17531" w:rsidRDefault="00575BF2" w:rsidP="00622343">
      <w:pPr>
        <w:pStyle w:val="TableFooter"/>
      </w:pPr>
      <w:r w:rsidRPr="00E17531">
        <w:rPr>
          <w:vertAlign w:val="superscript"/>
        </w:rPr>
        <w:t>d</w:t>
      </w:r>
      <w:r w:rsidRPr="00E17531">
        <w:t xml:space="preserve"> Based on data with a median follow-up data of 25 months.</w:t>
      </w:r>
    </w:p>
    <w:p w:rsidR="00013E26" w:rsidRDefault="00013E26" w:rsidP="00622343">
      <w:pPr>
        <w:pStyle w:val="TableFooter"/>
      </w:pPr>
      <w:r w:rsidRPr="00E17531">
        <w:t>Source: Adapted from Table 3.9-4, p249 of the resubmission, including additional sensitivity analyses performed during the evaluation.</w:t>
      </w:r>
      <w:r w:rsidR="00C72F8A" w:rsidRPr="00E17531">
        <w:t xml:space="preserve"> (Source</w:t>
      </w:r>
      <w:r w:rsidR="00575BF2" w:rsidRPr="00E17531">
        <w:t xml:space="preserve"> for figures in</w:t>
      </w:r>
      <w:r w:rsidR="00C72F8A" w:rsidRPr="00E17531">
        <w:t xml:space="preserve"> italics: Sensitivity analyses performed </w:t>
      </w:r>
      <w:r w:rsidR="00BD2F5B" w:rsidRPr="00E17531">
        <w:t>during the evaluation</w:t>
      </w:r>
      <w:r w:rsidR="00C72F8A" w:rsidRPr="00E17531">
        <w:t>, based on the “Section 3 Workbook_Updated” Workbook provided with the PSCR)</w:t>
      </w:r>
    </w:p>
    <w:p w:rsidR="00232508" w:rsidRPr="00E17531" w:rsidRDefault="00232508" w:rsidP="00232508">
      <w:pPr>
        <w:spacing w:before="0" w:after="120"/>
      </w:pPr>
      <w:r w:rsidRPr="00FC53C2">
        <w:t>The redacted table shows ICERs in the range of $45,000/QALY - $105,000/QALY.</w:t>
      </w:r>
    </w:p>
    <w:p w:rsidR="00013E26" w:rsidRPr="00E17531" w:rsidRDefault="00013E26" w:rsidP="00E5769A">
      <w:pPr>
        <w:pStyle w:val="ListParagraph"/>
        <w:numPr>
          <w:ilvl w:val="4"/>
          <w:numId w:val="5"/>
        </w:numPr>
        <w:spacing w:before="0" w:after="120"/>
        <w:ind w:left="709" w:hanging="709"/>
        <w:rPr>
          <w:color w:val="auto"/>
          <w:szCs w:val="24"/>
        </w:rPr>
      </w:pPr>
      <w:r w:rsidRPr="00E17531">
        <w:rPr>
          <w:color w:val="auto"/>
          <w:szCs w:val="24"/>
        </w:rPr>
        <w:t>Additional scenarios of test accessibility explored during the evaluation (compared to standard of care) are presented in the table below.</w:t>
      </w:r>
    </w:p>
    <w:p w:rsidR="00C95AD8" w:rsidRDefault="00C95AD8">
      <w:pPr>
        <w:spacing w:before="0" w:after="0"/>
        <w:jc w:val="left"/>
        <w:rPr>
          <w:rFonts w:ascii="Arial Narrow" w:hAnsi="Arial Narrow"/>
          <w:b/>
          <w:iCs/>
          <w:color w:val="000000" w:themeColor="text1"/>
          <w:sz w:val="20"/>
          <w:szCs w:val="18"/>
        </w:rPr>
      </w:pPr>
      <w:r>
        <w:br w:type="page"/>
      </w:r>
    </w:p>
    <w:p w:rsidR="00013E26" w:rsidRPr="00E17531" w:rsidRDefault="00013E26" w:rsidP="008F1A10">
      <w:pPr>
        <w:pStyle w:val="Caption"/>
      </w:pPr>
      <w:r w:rsidRPr="00E17531">
        <w:lastRenderedPageBreak/>
        <w:t xml:space="preserve">Table </w:t>
      </w:r>
      <w:r w:rsidR="00E64E6C" w:rsidRPr="00E17531">
        <w:t>1</w:t>
      </w:r>
      <w:r w:rsidR="004C0962" w:rsidRPr="00E17531">
        <w:t>4</w:t>
      </w:r>
      <w:r w:rsidRPr="00E17531">
        <w:t>: Results of key sensitivity analyses</w:t>
      </w:r>
      <w:r w:rsidR="00620BD2" w:rsidRPr="00E17531">
        <w:t xml:space="preserve"> based on the submission (and PSCR)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876"/>
        <w:gridCol w:w="2155"/>
      </w:tblGrid>
      <w:tr w:rsidR="007D1F95" w:rsidRPr="00E17531" w:rsidTr="00F8463B">
        <w:trPr>
          <w:cantSplit/>
          <w:trHeight w:val="20"/>
        </w:trPr>
        <w:tc>
          <w:tcPr>
            <w:tcW w:w="2819" w:type="pct"/>
          </w:tcPr>
          <w:p w:rsidR="007D1F95" w:rsidRPr="00E17531" w:rsidRDefault="007D1F95" w:rsidP="00622343">
            <w:pPr>
              <w:pStyle w:val="TableText"/>
              <w:ind w:firstLine="720"/>
              <w:rPr>
                <w:lang w:eastAsia="en-AU"/>
              </w:rPr>
            </w:pPr>
          </w:p>
        </w:tc>
        <w:tc>
          <w:tcPr>
            <w:tcW w:w="1015" w:type="pct"/>
          </w:tcPr>
          <w:p w:rsidR="007D1F95" w:rsidRPr="00E17531" w:rsidRDefault="007D1F95" w:rsidP="00622343">
            <w:pPr>
              <w:pStyle w:val="TableText"/>
              <w:jc w:val="center"/>
              <w:rPr>
                <w:b/>
                <w:lang w:eastAsia="en-AU"/>
              </w:rPr>
            </w:pPr>
            <w:r w:rsidRPr="00E17531">
              <w:rPr>
                <w:b/>
                <w:lang w:eastAsia="en-AU"/>
              </w:rPr>
              <w:t>ICER</w:t>
            </w:r>
          </w:p>
        </w:tc>
        <w:tc>
          <w:tcPr>
            <w:tcW w:w="1166" w:type="pct"/>
          </w:tcPr>
          <w:p w:rsidR="007D1F95" w:rsidRPr="00E17531" w:rsidRDefault="007D1F95" w:rsidP="00371D13">
            <w:pPr>
              <w:pStyle w:val="TableText"/>
              <w:jc w:val="center"/>
              <w:rPr>
                <w:b/>
                <w:lang w:eastAsia="en-AU"/>
              </w:rPr>
            </w:pPr>
            <w:r w:rsidRPr="00E17531">
              <w:rPr>
                <w:b/>
                <w:lang w:eastAsia="en-AU"/>
              </w:rPr>
              <w:t xml:space="preserve">ICER; </w:t>
            </w:r>
            <w:r w:rsidR="00F8463B" w:rsidRPr="00E17531">
              <w:rPr>
                <w:b/>
                <w:lang w:eastAsia="en-AU"/>
              </w:rPr>
              <w:t xml:space="preserve">Scenarios + </w:t>
            </w:r>
            <w:r w:rsidRPr="00E17531">
              <w:rPr>
                <w:b/>
                <w:lang w:eastAsia="en-AU"/>
              </w:rPr>
              <w:t>multivariate analyses</w:t>
            </w:r>
            <w:r w:rsidR="00F8463B" w:rsidRPr="00E17531">
              <w:rPr>
                <w:b/>
                <w:lang w:eastAsia="en-AU"/>
              </w:rPr>
              <w:t xml:space="preserve"> 1+2+3 of</w:t>
            </w:r>
            <w:r w:rsidRPr="00E17531">
              <w:rPr>
                <w:b/>
                <w:lang w:eastAsia="en-AU"/>
              </w:rPr>
              <w:t xml:space="preserve"> Table </w:t>
            </w:r>
            <w:r w:rsidR="00371D13" w:rsidRPr="00E17531">
              <w:rPr>
                <w:b/>
                <w:lang w:eastAsia="en-AU"/>
              </w:rPr>
              <w:t>13</w:t>
            </w:r>
          </w:p>
        </w:tc>
      </w:tr>
      <w:tr w:rsidR="007D1F95" w:rsidRPr="00E17531" w:rsidTr="00F8463B">
        <w:trPr>
          <w:cantSplit/>
          <w:trHeight w:val="20"/>
        </w:trPr>
        <w:tc>
          <w:tcPr>
            <w:tcW w:w="2819" w:type="pct"/>
          </w:tcPr>
          <w:p w:rsidR="007D1F95" w:rsidRPr="00E17531" w:rsidRDefault="007D1F95" w:rsidP="00622343">
            <w:pPr>
              <w:pStyle w:val="TableText"/>
              <w:rPr>
                <w:lang w:eastAsia="en-AU"/>
              </w:rPr>
            </w:pPr>
            <w:r w:rsidRPr="00E17531">
              <w:rPr>
                <w:lang w:eastAsia="en-AU"/>
              </w:rPr>
              <w:t>Base case</w:t>
            </w:r>
          </w:p>
          <w:p w:rsidR="007D1F95" w:rsidRPr="00E17531" w:rsidRDefault="007D1F95" w:rsidP="00D74B10">
            <w:pPr>
              <w:pStyle w:val="TableText"/>
              <w:widowControl/>
              <w:numPr>
                <w:ilvl w:val="0"/>
                <w:numId w:val="11"/>
              </w:numPr>
              <w:spacing w:before="0" w:after="0"/>
              <w:ind w:left="313" w:hanging="266"/>
              <w:rPr>
                <w:lang w:eastAsia="en-AU"/>
              </w:rPr>
            </w:pPr>
            <w:r w:rsidRPr="00E17531">
              <w:rPr>
                <w:lang w:eastAsia="en-AU"/>
              </w:rPr>
              <w:t>MSAC funded test: testing at diagnosis of NSCLC (any stage)</w:t>
            </w:r>
          </w:p>
          <w:p w:rsidR="007D1F95" w:rsidRPr="00E17531" w:rsidRDefault="007D1F95" w:rsidP="00D74B10">
            <w:pPr>
              <w:pStyle w:val="TableText"/>
              <w:widowControl/>
              <w:numPr>
                <w:ilvl w:val="0"/>
                <w:numId w:val="11"/>
              </w:numPr>
              <w:spacing w:before="0" w:after="0"/>
              <w:ind w:left="313" w:hanging="266"/>
              <w:rPr>
                <w:lang w:eastAsia="en-AU"/>
              </w:rPr>
            </w:pPr>
            <w:r w:rsidRPr="00E17531">
              <w:rPr>
                <w:lang w:eastAsia="en-AU"/>
              </w:rPr>
              <w:t xml:space="preserve">Highly positive patients (TPS ≥50%) eligible for pembrolizumab </w:t>
            </w:r>
          </w:p>
          <w:p w:rsidR="007D1F95" w:rsidRPr="00E17531" w:rsidRDefault="007D1F95" w:rsidP="00D74B10">
            <w:pPr>
              <w:pStyle w:val="TableText"/>
              <w:widowControl/>
              <w:numPr>
                <w:ilvl w:val="0"/>
                <w:numId w:val="11"/>
              </w:numPr>
              <w:spacing w:before="0" w:after="0"/>
              <w:ind w:left="313" w:hanging="266"/>
              <w:rPr>
                <w:lang w:eastAsia="en-AU"/>
              </w:rPr>
            </w:pPr>
            <w:r w:rsidRPr="00E17531">
              <w:rPr>
                <w:lang w:eastAsia="en-AU"/>
              </w:rPr>
              <w:t>Maximum treatment duration for pembrolizumab course, 2 years</w:t>
            </w:r>
          </w:p>
        </w:tc>
        <w:tc>
          <w:tcPr>
            <w:tcW w:w="1015" w:type="pct"/>
          </w:tcPr>
          <w:p w:rsidR="007D1F95" w:rsidRPr="00E17531" w:rsidRDefault="007D1F95" w:rsidP="00622343">
            <w:pPr>
              <w:pStyle w:val="TableText"/>
              <w:jc w:val="center"/>
              <w:rPr>
                <w:lang w:eastAsia="en-AU"/>
              </w:rPr>
            </w:pPr>
          </w:p>
          <w:p w:rsidR="007D1F95" w:rsidRPr="00E17531" w:rsidRDefault="007D1F95" w:rsidP="00622343">
            <w:pPr>
              <w:pStyle w:val="TableText"/>
              <w:jc w:val="center"/>
              <w:rPr>
                <w:lang w:eastAsia="en-AU"/>
              </w:rPr>
            </w:pPr>
            <w:r w:rsidRPr="00E17531">
              <w:rPr>
                <w:lang w:eastAsia="en-AU"/>
              </w:rPr>
              <w:t>$</w:t>
            </w:r>
            <w:r w:rsidR="00E61B46">
              <w:rPr>
                <w:noProof/>
                <w:color w:val="000000"/>
                <w:highlight w:val="black"/>
                <w:lang w:eastAsia="en-AU"/>
              </w:rPr>
              <w:t>''''''''''''''''</w:t>
            </w:r>
            <w:r w:rsidRPr="00E17531">
              <w:rPr>
                <w:lang w:eastAsia="en-AU"/>
              </w:rPr>
              <w:t>/QALY</w:t>
            </w:r>
          </w:p>
          <w:p w:rsidR="007D1F95" w:rsidRPr="00E17531" w:rsidRDefault="007D1F95" w:rsidP="00622343">
            <w:pPr>
              <w:pStyle w:val="TableText"/>
              <w:jc w:val="center"/>
              <w:rPr>
                <w:lang w:eastAsia="en-AU"/>
              </w:rPr>
            </w:pPr>
            <w:r w:rsidRPr="00E17531">
              <w:rPr>
                <w:lang w:eastAsia="en-AU"/>
              </w:rPr>
              <w:t>(</w:t>
            </w:r>
            <w:r w:rsidRPr="00E17531">
              <w:rPr>
                <w:iCs/>
                <w:lang w:eastAsia="en-AU"/>
              </w:rPr>
              <w:t>$</w:t>
            </w:r>
            <w:r w:rsidR="00E61B46">
              <w:rPr>
                <w:iCs/>
                <w:noProof/>
                <w:color w:val="000000"/>
                <w:highlight w:val="black"/>
                <w:lang w:eastAsia="en-AU"/>
              </w:rPr>
              <w:t>'''''''''''''''</w:t>
            </w:r>
            <w:r w:rsidRPr="00E17531">
              <w:rPr>
                <w:iCs/>
                <w:lang w:eastAsia="en-AU"/>
              </w:rPr>
              <w:t>/QALY)</w:t>
            </w:r>
          </w:p>
        </w:tc>
        <w:tc>
          <w:tcPr>
            <w:tcW w:w="1166" w:type="pct"/>
          </w:tcPr>
          <w:p w:rsidR="007D1F95" w:rsidRPr="00E17531" w:rsidRDefault="007D1F95" w:rsidP="00622343">
            <w:pPr>
              <w:pStyle w:val="TableText"/>
              <w:jc w:val="center"/>
              <w:rPr>
                <w:lang w:eastAsia="en-AU"/>
              </w:rPr>
            </w:pPr>
          </w:p>
          <w:p w:rsidR="007D1F95" w:rsidRPr="00E17531" w:rsidRDefault="007D1F95" w:rsidP="00622343">
            <w:pPr>
              <w:pStyle w:val="TableText"/>
              <w:jc w:val="center"/>
              <w:rPr>
                <w:lang w:eastAsia="en-AU"/>
              </w:rPr>
            </w:pPr>
          </w:p>
          <w:p w:rsidR="007D1F95" w:rsidRPr="00E17531" w:rsidRDefault="007D1F95" w:rsidP="007D1F95">
            <w:pPr>
              <w:pStyle w:val="TableText"/>
              <w:jc w:val="center"/>
              <w:rPr>
                <w:lang w:eastAsia="en-AU"/>
              </w:rPr>
            </w:pPr>
            <w:r w:rsidRPr="00E17531">
              <w:rPr>
                <w:iCs/>
                <w:lang w:eastAsia="en-AU"/>
              </w:rPr>
              <w:t>$</w:t>
            </w:r>
            <w:r w:rsidR="00E61B46">
              <w:rPr>
                <w:iCs/>
                <w:noProof/>
                <w:color w:val="000000"/>
                <w:highlight w:val="black"/>
                <w:lang w:eastAsia="en-AU"/>
              </w:rPr>
              <w:t>''''''''''''''''''</w:t>
            </w:r>
            <w:r w:rsidRPr="00E17531">
              <w:rPr>
                <w:iCs/>
                <w:lang w:eastAsia="en-AU"/>
              </w:rPr>
              <w:t>/QALY</w:t>
            </w:r>
          </w:p>
        </w:tc>
      </w:tr>
      <w:tr w:rsidR="007D1F95" w:rsidRPr="00E17531" w:rsidTr="00F8463B">
        <w:trPr>
          <w:cantSplit/>
          <w:trHeight w:val="20"/>
        </w:trPr>
        <w:tc>
          <w:tcPr>
            <w:tcW w:w="2819" w:type="pct"/>
            <w:tcBorders>
              <w:bottom w:val="single" w:sz="4" w:space="0" w:color="000000"/>
            </w:tcBorders>
          </w:tcPr>
          <w:p w:rsidR="007D1F95" w:rsidRPr="00E17531" w:rsidRDefault="007D1F95" w:rsidP="00622343">
            <w:pPr>
              <w:pStyle w:val="TableText"/>
              <w:rPr>
                <w:lang w:eastAsia="en-AU"/>
              </w:rPr>
            </w:pPr>
            <w:r w:rsidRPr="00E17531">
              <w:rPr>
                <w:lang w:eastAsia="en-AU"/>
              </w:rPr>
              <w:t>Scenario 1: Pembrolizumab treatment until progression</w:t>
            </w:r>
          </w:p>
        </w:tc>
        <w:tc>
          <w:tcPr>
            <w:tcW w:w="1015" w:type="pct"/>
            <w:tcBorders>
              <w:bottom w:val="single" w:sz="4" w:space="0" w:color="000000"/>
            </w:tcBorders>
          </w:tcPr>
          <w:p w:rsidR="007D1F95" w:rsidRPr="00E17531" w:rsidRDefault="007D1F95" w:rsidP="00622343">
            <w:pPr>
              <w:pStyle w:val="TableText"/>
              <w:jc w:val="center"/>
            </w:pPr>
            <w:r w:rsidRPr="00E17531">
              <w:t>$</w:t>
            </w:r>
            <w:r w:rsidR="00E61B46">
              <w:rPr>
                <w:noProof/>
                <w:color w:val="000000"/>
                <w:highlight w:val="black"/>
              </w:rPr>
              <w:t>'''''''''''''''</w:t>
            </w:r>
            <w:r w:rsidRPr="00E17531">
              <w:t>/QALY</w:t>
            </w:r>
          </w:p>
          <w:p w:rsidR="007D1F95" w:rsidRPr="00E17531" w:rsidRDefault="007D1F95" w:rsidP="00622343">
            <w:pPr>
              <w:pStyle w:val="TableText"/>
              <w:jc w:val="center"/>
              <w:rPr>
                <w:lang w:eastAsia="en-AU"/>
              </w:rPr>
            </w:pPr>
            <w:r w:rsidRPr="00E17531">
              <w:t>(</w:t>
            </w:r>
            <w:r w:rsidRPr="00E17531">
              <w:rPr>
                <w:iCs/>
              </w:rPr>
              <w:t>$</w:t>
            </w:r>
            <w:r w:rsidR="00E61B46">
              <w:rPr>
                <w:iCs/>
                <w:noProof/>
                <w:color w:val="000000"/>
                <w:highlight w:val="black"/>
              </w:rPr>
              <w:t>'''''''''''''''''</w:t>
            </w:r>
            <w:r w:rsidRPr="00E17531">
              <w:rPr>
                <w:iCs/>
              </w:rPr>
              <w:t>/QALY)</w:t>
            </w:r>
          </w:p>
        </w:tc>
        <w:tc>
          <w:tcPr>
            <w:tcW w:w="1166" w:type="pct"/>
            <w:tcBorders>
              <w:bottom w:val="single" w:sz="4" w:space="0" w:color="000000"/>
            </w:tcBorders>
          </w:tcPr>
          <w:p w:rsidR="007D1F95" w:rsidRPr="00E17531" w:rsidRDefault="007D1F95" w:rsidP="00622343">
            <w:pPr>
              <w:pStyle w:val="TableText"/>
              <w:jc w:val="center"/>
            </w:pPr>
          </w:p>
          <w:p w:rsidR="00F8463B" w:rsidRPr="00E17531" w:rsidRDefault="00F8463B" w:rsidP="00622343">
            <w:pPr>
              <w:pStyle w:val="TableText"/>
              <w:jc w:val="center"/>
            </w:pPr>
            <w:r w:rsidRPr="00E17531">
              <w:rPr>
                <w:iCs/>
              </w:rPr>
              <w:t>$</w:t>
            </w:r>
            <w:r w:rsidR="00E61B46">
              <w:rPr>
                <w:iCs/>
                <w:noProof/>
                <w:color w:val="000000"/>
                <w:highlight w:val="black"/>
              </w:rPr>
              <w:t>'''''''''''''''''''</w:t>
            </w:r>
            <w:r w:rsidRPr="00E17531">
              <w:rPr>
                <w:iCs/>
              </w:rPr>
              <w:t>/QALY</w:t>
            </w:r>
          </w:p>
        </w:tc>
      </w:tr>
      <w:tr w:rsidR="007D1F95" w:rsidRPr="00E17531" w:rsidTr="00F8463B">
        <w:trPr>
          <w:cantSplit/>
          <w:trHeight w:val="20"/>
        </w:trPr>
        <w:tc>
          <w:tcPr>
            <w:tcW w:w="2819" w:type="pct"/>
            <w:tcBorders>
              <w:bottom w:val="single" w:sz="4" w:space="0" w:color="000000"/>
            </w:tcBorders>
          </w:tcPr>
          <w:p w:rsidR="007D1F95" w:rsidRPr="00E17531" w:rsidRDefault="007D1F95" w:rsidP="00622343">
            <w:pPr>
              <w:pStyle w:val="TableText"/>
              <w:rPr>
                <w:lang w:eastAsia="en-AU"/>
              </w:rPr>
            </w:pPr>
            <w:r w:rsidRPr="00E17531">
              <w:rPr>
                <w:lang w:eastAsia="en-AU"/>
              </w:rPr>
              <w:t>Scenario 2: Pembrolizumab eligibility not restricted by PD-L1 status (i.e. no testing)</w:t>
            </w:r>
          </w:p>
        </w:tc>
        <w:tc>
          <w:tcPr>
            <w:tcW w:w="1015" w:type="pct"/>
            <w:tcBorders>
              <w:bottom w:val="single" w:sz="4" w:space="0" w:color="000000"/>
            </w:tcBorders>
          </w:tcPr>
          <w:p w:rsidR="007D1F95" w:rsidRPr="00E17531" w:rsidRDefault="007D1F95" w:rsidP="00622343">
            <w:pPr>
              <w:pStyle w:val="TableText"/>
              <w:jc w:val="center"/>
              <w:rPr>
                <w:vertAlign w:val="superscript"/>
                <w:lang w:eastAsia="en-AU"/>
              </w:rPr>
            </w:pPr>
            <w:r w:rsidRPr="00E17531">
              <w:rPr>
                <w:lang w:eastAsia="en-AU"/>
              </w:rPr>
              <w:t>$</w:t>
            </w:r>
            <w:r w:rsidR="00E61B46">
              <w:rPr>
                <w:noProof/>
                <w:color w:val="000000"/>
                <w:highlight w:val="black"/>
                <w:lang w:eastAsia="en-AU"/>
              </w:rPr>
              <w:t>'''''''''''''''</w:t>
            </w:r>
            <w:r w:rsidRPr="00E17531">
              <w:rPr>
                <w:lang w:eastAsia="en-AU"/>
              </w:rPr>
              <w:t>/QALY</w:t>
            </w:r>
            <w:r w:rsidRPr="00E17531">
              <w:rPr>
                <w:vertAlign w:val="superscript"/>
                <w:lang w:eastAsia="en-AU"/>
              </w:rPr>
              <w:t>a</w:t>
            </w:r>
          </w:p>
          <w:p w:rsidR="007D1F95" w:rsidRPr="00E17531" w:rsidRDefault="007D1F95" w:rsidP="007D1F95">
            <w:pPr>
              <w:pStyle w:val="TableText"/>
              <w:jc w:val="center"/>
              <w:rPr>
                <w:iCs/>
                <w:lang w:eastAsia="en-AU"/>
              </w:rPr>
            </w:pPr>
            <w:r w:rsidRPr="00E17531">
              <w:rPr>
                <w:lang w:eastAsia="en-AU"/>
              </w:rPr>
              <w:t>(</w:t>
            </w:r>
            <w:r w:rsidRPr="00E17531">
              <w:rPr>
                <w:iCs/>
                <w:lang w:eastAsia="en-AU"/>
              </w:rPr>
              <w:t>$</w:t>
            </w:r>
            <w:r w:rsidR="00E61B46">
              <w:rPr>
                <w:iCs/>
                <w:noProof/>
                <w:color w:val="000000"/>
                <w:highlight w:val="black"/>
                <w:lang w:eastAsia="en-AU"/>
              </w:rPr>
              <w:t>''''''''''''''''</w:t>
            </w:r>
            <w:r w:rsidRPr="00E17531">
              <w:rPr>
                <w:iCs/>
                <w:lang w:eastAsia="en-AU"/>
              </w:rPr>
              <w:t>/QALY</w:t>
            </w:r>
            <w:r w:rsidRPr="00E17531">
              <w:rPr>
                <w:lang w:eastAsia="en-AU"/>
              </w:rPr>
              <w:t>)</w:t>
            </w:r>
          </w:p>
          <w:p w:rsidR="007D1F95" w:rsidRPr="00E17531" w:rsidRDefault="007D1F95" w:rsidP="00622343">
            <w:pPr>
              <w:pStyle w:val="TableText"/>
              <w:jc w:val="center"/>
              <w:rPr>
                <w:vertAlign w:val="superscript"/>
                <w:lang w:eastAsia="en-AU"/>
              </w:rPr>
            </w:pPr>
            <w:r w:rsidRPr="00E17531">
              <w:rPr>
                <w:lang w:eastAsia="en-AU"/>
              </w:rPr>
              <w:t>$</w:t>
            </w:r>
            <w:r w:rsidR="00E61B46">
              <w:rPr>
                <w:noProof/>
                <w:color w:val="000000"/>
                <w:highlight w:val="black"/>
                <w:lang w:eastAsia="en-AU"/>
              </w:rPr>
              <w:t>'''''''''''''''''</w:t>
            </w:r>
            <w:r w:rsidRPr="00E17531">
              <w:rPr>
                <w:lang w:eastAsia="en-AU"/>
              </w:rPr>
              <w:t>/QALY</w:t>
            </w:r>
            <w:r w:rsidRPr="00E17531">
              <w:rPr>
                <w:vertAlign w:val="superscript"/>
                <w:lang w:eastAsia="en-AU"/>
              </w:rPr>
              <w:t>b</w:t>
            </w:r>
          </w:p>
          <w:p w:rsidR="007D1F95" w:rsidRPr="00E17531" w:rsidRDefault="007D1F95" w:rsidP="00622343">
            <w:pPr>
              <w:pStyle w:val="TableText"/>
              <w:jc w:val="center"/>
              <w:rPr>
                <w:lang w:eastAsia="en-AU"/>
              </w:rPr>
            </w:pPr>
            <w:r w:rsidRPr="00E17531">
              <w:rPr>
                <w:lang w:eastAsia="en-AU"/>
              </w:rPr>
              <w:t>(</w:t>
            </w:r>
            <w:r w:rsidRPr="00E17531">
              <w:rPr>
                <w:iCs/>
                <w:lang w:eastAsia="en-AU"/>
              </w:rPr>
              <w:t>$</w:t>
            </w:r>
            <w:r w:rsidR="00E61B46">
              <w:rPr>
                <w:iCs/>
                <w:noProof/>
                <w:color w:val="000000"/>
                <w:highlight w:val="black"/>
                <w:lang w:eastAsia="en-AU"/>
              </w:rPr>
              <w:t>''''''''''''''''''''</w:t>
            </w:r>
            <w:r w:rsidRPr="00E17531">
              <w:rPr>
                <w:iCs/>
                <w:lang w:eastAsia="en-AU"/>
              </w:rPr>
              <w:t>/QALY)</w:t>
            </w:r>
          </w:p>
        </w:tc>
        <w:tc>
          <w:tcPr>
            <w:tcW w:w="1166" w:type="pct"/>
            <w:tcBorders>
              <w:bottom w:val="single" w:sz="4" w:space="0" w:color="000000"/>
            </w:tcBorders>
          </w:tcPr>
          <w:p w:rsidR="007D1F95" w:rsidRPr="00E17531" w:rsidRDefault="007D1F95" w:rsidP="00622343">
            <w:pPr>
              <w:pStyle w:val="TableText"/>
              <w:jc w:val="center"/>
              <w:rPr>
                <w:lang w:eastAsia="en-AU"/>
              </w:rPr>
            </w:pPr>
          </w:p>
          <w:p w:rsidR="00F8463B" w:rsidRPr="00E17531" w:rsidRDefault="00F8463B" w:rsidP="00622343">
            <w:pPr>
              <w:pStyle w:val="TableText"/>
              <w:jc w:val="center"/>
              <w:rPr>
                <w:lang w:eastAsia="en-AU"/>
              </w:rPr>
            </w:pPr>
            <w:r w:rsidRPr="00E17531">
              <w:rPr>
                <w:iCs/>
                <w:lang w:eastAsia="en-AU"/>
              </w:rPr>
              <w:t>$</w:t>
            </w:r>
            <w:r w:rsidR="00E61B46">
              <w:rPr>
                <w:iCs/>
                <w:noProof/>
                <w:color w:val="000000"/>
                <w:highlight w:val="black"/>
                <w:lang w:eastAsia="en-AU"/>
              </w:rPr>
              <w:t>'''''''''''''''''''''</w:t>
            </w:r>
            <w:r w:rsidRPr="00E17531">
              <w:rPr>
                <w:iCs/>
                <w:lang w:eastAsia="en-AU"/>
              </w:rPr>
              <w:t>/QALY</w:t>
            </w:r>
          </w:p>
          <w:p w:rsidR="00F8463B" w:rsidRPr="00E17531" w:rsidRDefault="00F8463B" w:rsidP="00622343">
            <w:pPr>
              <w:pStyle w:val="TableText"/>
              <w:jc w:val="center"/>
              <w:rPr>
                <w:lang w:eastAsia="en-AU"/>
              </w:rPr>
            </w:pPr>
          </w:p>
          <w:p w:rsidR="00F8463B" w:rsidRPr="00E17531" w:rsidRDefault="00F8463B" w:rsidP="00622343">
            <w:pPr>
              <w:pStyle w:val="TableText"/>
              <w:jc w:val="center"/>
              <w:rPr>
                <w:lang w:eastAsia="en-AU"/>
              </w:rPr>
            </w:pPr>
            <w:r w:rsidRPr="00E17531">
              <w:rPr>
                <w:iCs/>
                <w:lang w:eastAsia="en-AU"/>
              </w:rPr>
              <w:t>$</w:t>
            </w:r>
            <w:r w:rsidR="00E61B46">
              <w:rPr>
                <w:iCs/>
                <w:noProof/>
                <w:color w:val="000000"/>
                <w:highlight w:val="black"/>
                <w:lang w:eastAsia="en-AU"/>
              </w:rPr>
              <w:t>'''''''''''''''''''''''</w:t>
            </w:r>
            <w:r w:rsidRPr="00E17531">
              <w:rPr>
                <w:iCs/>
                <w:lang w:eastAsia="en-AU"/>
              </w:rPr>
              <w:t>/QALY</w:t>
            </w:r>
          </w:p>
        </w:tc>
      </w:tr>
      <w:tr w:rsidR="007D1F95" w:rsidRPr="00E17531" w:rsidTr="00F8463B">
        <w:trPr>
          <w:cantSplit/>
          <w:trHeight w:val="20"/>
        </w:trPr>
        <w:tc>
          <w:tcPr>
            <w:tcW w:w="2819" w:type="pct"/>
            <w:tcBorders>
              <w:bottom w:val="single" w:sz="4" w:space="0" w:color="000000"/>
            </w:tcBorders>
          </w:tcPr>
          <w:p w:rsidR="007D1F95" w:rsidRPr="00E17531" w:rsidRDefault="007D1F95" w:rsidP="00622343">
            <w:pPr>
              <w:pStyle w:val="TableText"/>
              <w:rPr>
                <w:lang w:eastAsia="en-AU"/>
              </w:rPr>
            </w:pPr>
            <w:r w:rsidRPr="00E17531">
              <w:rPr>
                <w:lang w:eastAsia="en-AU"/>
              </w:rPr>
              <w:t>Scenario 3: Testing of archived sample in patients who are diagnosed at an earlier stage of disease (Stage I-III)</w:t>
            </w:r>
            <w:r w:rsidRPr="00E17531">
              <w:rPr>
                <w:vertAlign w:val="superscript"/>
                <w:lang w:eastAsia="en-AU"/>
              </w:rPr>
              <w:t>c</w:t>
            </w:r>
          </w:p>
        </w:tc>
        <w:tc>
          <w:tcPr>
            <w:tcW w:w="1015" w:type="pct"/>
            <w:tcBorders>
              <w:bottom w:val="single" w:sz="4" w:space="0" w:color="000000"/>
            </w:tcBorders>
          </w:tcPr>
          <w:p w:rsidR="007D1F95" w:rsidRPr="00E17531" w:rsidRDefault="007D1F95" w:rsidP="00622343">
            <w:pPr>
              <w:pStyle w:val="TableText"/>
              <w:jc w:val="center"/>
              <w:rPr>
                <w:lang w:eastAsia="en-AU"/>
              </w:rPr>
            </w:pPr>
            <w:r w:rsidRPr="00E17531">
              <w:rPr>
                <w:lang w:eastAsia="en-AU"/>
              </w:rPr>
              <w:t>$</w:t>
            </w:r>
            <w:r w:rsidR="00E61B46">
              <w:rPr>
                <w:noProof/>
                <w:color w:val="000000"/>
                <w:highlight w:val="black"/>
                <w:lang w:eastAsia="en-AU"/>
              </w:rPr>
              <w:t>''''''''''''''''</w:t>
            </w:r>
            <w:r w:rsidRPr="00E17531">
              <w:rPr>
                <w:lang w:eastAsia="en-AU"/>
              </w:rPr>
              <w:t>/QALY</w:t>
            </w:r>
          </w:p>
          <w:p w:rsidR="007D1F95" w:rsidRPr="00E17531" w:rsidRDefault="007D1F95" w:rsidP="00622343">
            <w:pPr>
              <w:pStyle w:val="TableText"/>
              <w:jc w:val="center"/>
              <w:rPr>
                <w:lang w:eastAsia="en-AU"/>
              </w:rPr>
            </w:pPr>
            <w:r w:rsidRPr="00E17531">
              <w:rPr>
                <w:lang w:eastAsia="en-AU"/>
              </w:rPr>
              <w:t>(</w:t>
            </w:r>
            <w:r w:rsidRPr="00E17531">
              <w:rPr>
                <w:iCs/>
                <w:lang w:eastAsia="en-AU"/>
              </w:rPr>
              <w:t>$</w:t>
            </w:r>
            <w:r w:rsidR="00E61B46">
              <w:rPr>
                <w:iCs/>
                <w:noProof/>
                <w:color w:val="000000"/>
                <w:highlight w:val="black"/>
                <w:lang w:eastAsia="en-AU"/>
              </w:rPr>
              <w:t>''''''''''''''''</w:t>
            </w:r>
            <w:r w:rsidRPr="00E17531">
              <w:rPr>
                <w:iCs/>
                <w:lang w:eastAsia="en-AU"/>
              </w:rPr>
              <w:t>/QALY)</w:t>
            </w:r>
          </w:p>
        </w:tc>
        <w:tc>
          <w:tcPr>
            <w:tcW w:w="1166" w:type="pct"/>
            <w:tcBorders>
              <w:bottom w:val="single" w:sz="4" w:space="0" w:color="000000"/>
            </w:tcBorders>
          </w:tcPr>
          <w:p w:rsidR="007D1F95" w:rsidRPr="00E17531" w:rsidRDefault="007D1F95" w:rsidP="00622343">
            <w:pPr>
              <w:pStyle w:val="TableText"/>
              <w:jc w:val="center"/>
              <w:rPr>
                <w:lang w:eastAsia="en-AU"/>
              </w:rPr>
            </w:pPr>
          </w:p>
          <w:p w:rsidR="00884BF2" w:rsidRPr="00E17531" w:rsidRDefault="00884BF2" w:rsidP="00622343">
            <w:pPr>
              <w:pStyle w:val="TableText"/>
              <w:jc w:val="center"/>
              <w:rPr>
                <w:lang w:eastAsia="en-AU"/>
              </w:rPr>
            </w:pPr>
            <w:r w:rsidRPr="00E17531">
              <w:rPr>
                <w:iCs/>
                <w:lang w:eastAsia="en-AU"/>
              </w:rPr>
              <w:t>$</w:t>
            </w:r>
            <w:r w:rsidR="00E61B46">
              <w:rPr>
                <w:iCs/>
                <w:noProof/>
                <w:color w:val="000000"/>
                <w:highlight w:val="black"/>
                <w:lang w:eastAsia="en-AU"/>
              </w:rPr>
              <w:t>''''''''''''''''''</w:t>
            </w:r>
            <w:r w:rsidRPr="00E17531">
              <w:rPr>
                <w:iCs/>
                <w:lang w:eastAsia="en-AU"/>
              </w:rPr>
              <w:t>/QALY</w:t>
            </w:r>
          </w:p>
        </w:tc>
      </w:tr>
      <w:tr w:rsidR="007D1F95" w:rsidRPr="00E17531" w:rsidTr="00F8463B">
        <w:trPr>
          <w:cantSplit/>
          <w:trHeight w:val="20"/>
        </w:trPr>
        <w:tc>
          <w:tcPr>
            <w:tcW w:w="2819" w:type="pct"/>
            <w:tcBorders>
              <w:bottom w:val="single" w:sz="4" w:space="0" w:color="auto"/>
            </w:tcBorders>
          </w:tcPr>
          <w:p w:rsidR="007D1F95" w:rsidRPr="00E17531" w:rsidRDefault="007D1F95" w:rsidP="00622343">
            <w:pPr>
              <w:pStyle w:val="TableText"/>
              <w:rPr>
                <w:lang w:eastAsia="en-AU"/>
              </w:rPr>
            </w:pPr>
            <w:r w:rsidRPr="00E17531">
              <w:rPr>
                <w:lang w:eastAsia="en-AU"/>
              </w:rPr>
              <w:t>Scenario 4: Testing of re-biopsied material on diagnosis of advanced disease</w:t>
            </w:r>
            <w:r w:rsidRPr="00E17531">
              <w:rPr>
                <w:vertAlign w:val="superscript"/>
                <w:lang w:eastAsia="en-AU"/>
              </w:rPr>
              <w:t>d</w:t>
            </w:r>
          </w:p>
        </w:tc>
        <w:tc>
          <w:tcPr>
            <w:tcW w:w="1015" w:type="pct"/>
            <w:tcBorders>
              <w:bottom w:val="single" w:sz="4" w:space="0" w:color="auto"/>
            </w:tcBorders>
          </w:tcPr>
          <w:p w:rsidR="007D1F95" w:rsidRPr="00E17531" w:rsidRDefault="007D1F95" w:rsidP="00622343">
            <w:pPr>
              <w:pStyle w:val="TableText"/>
              <w:jc w:val="center"/>
              <w:rPr>
                <w:lang w:eastAsia="en-AU"/>
              </w:rPr>
            </w:pPr>
            <w:r w:rsidRPr="00E17531">
              <w:rPr>
                <w:lang w:eastAsia="en-AU"/>
              </w:rPr>
              <w:t>$</w:t>
            </w:r>
            <w:r w:rsidR="00E61B46">
              <w:rPr>
                <w:noProof/>
                <w:color w:val="000000"/>
                <w:highlight w:val="black"/>
                <w:lang w:eastAsia="en-AU"/>
              </w:rPr>
              <w:t>'''''''''''''''</w:t>
            </w:r>
            <w:r w:rsidRPr="00E17531">
              <w:rPr>
                <w:lang w:eastAsia="en-AU"/>
              </w:rPr>
              <w:t>/QALY</w:t>
            </w:r>
          </w:p>
          <w:p w:rsidR="007D1F95" w:rsidRPr="00E17531" w:rsidRDefault="007D1F95" w:rsidP="00622343">
            <w:pPr>
              <w:pStyle w:val="TableText"/>
              <w:jc w:val="center"/>
              <w:rPr>
                <w:lang w:eastAsia="en-AU"/>
              </w:rPr>
            </w:pPr>
            <w:r w:rsidRPr="00E17531">
              <w:rPr>
                <w:lang w:eastAsia="en-AU"/>
              </w:rPr>
              <w:t>(</w:t>
            </w:r>
            <w:r w:rsidRPr="00E17531">
              <w:rPr>
                <w:iCs/>
                <w:lang w:eastAsia="en-AU"/>
              </w:rPr>
              <w:t>$</w:t>
            </w:r>
            <w:r w:rsidR="00E61B46">
              <w:rPr>
                <w:iCs/>
                <w:noProof/>
                <w:color w:val="000000"/>
                <w:highlight w:val="black"/>
                <w:lang w:eastAsia="en-AU"/>
              </w:rPr>
              <w:t>'''''''''''''''''</w:t>
            </w:r>
            <w:r w:rsidRPr="00E17531">
              <w:rPr>
                <w:iCs/>
                <w:lang w:eastAsia="en-AU"/>
              </w:rPr>
              <w:t>/QALY)</w:t>
            </w:r>
          </w:p>
        </w:tc>
        <w:tc>
          <w:tcPr>
            <w:tcW w:w="1166" w:type="pct"/>
            <w:tcBorders>
              <w:bottom w:val="single" w:sz="4" w:space="0" w:color="auto"/>
            </w:tcBorders>
          </w:tcPr>
          <w:p w:rsidR="007D1F95" w:rsidRPr="00E17531" w:rsidRDefault="007D1F95" w:rsidP="00622343">
            <w:pPr>
              <w:pStyle w:val="TableText"/>
              <w:jc w:val="center"/>
              <w:rPr>
                <w:lang w:eastAsia="en-AU"/>
              </w:rPr>
            </w:pPr>
          </w:p>
          <w:p w:rsidR="00884BF2" w:rsidRPr="00E17531" w:rsidRDefault="00884BF2" w:rsidP="00622343">
            <w:pPr>
              <w:pStyle w:val="TableText"/>
              <w:jc w:val="center"/>
              <w:rPr>
                <w:lang w:eastAsia="en-AU"/>
              </w:rPr>
            </w:pPr>
            <w:r w:rsidRPr="00E17531">
              <w:rPr>
                <w:iCs/>
                <w:lang w:eastAsia="en-AU"/>
              </w:rPr>
              <w:t>$</w:t>
            </w:r>
            <w:r w:rsidR="00E61B46">
              <w:rPr>
                <w:iCs/>
                <w:noProof/>
                <w:color w:val="000000"/>
                <w:highlight w:val="black"/>
                <w:lang w:eastAsia="en-AU"/>
              </w:rPr>
              <w:t>'''''''''''''''''</w:t>
            </w:r>
            <w:r w:rsidRPr="00E17531">
              <w:rPr>
                <w:iCs/>
                <w:lang w:eastAsia="en-AU"/>
              </w:rPr>
              <w:t>/QALY</w:t>
            </w:r>
          </w:p>
        </w:tc>
      </w:tr>
    </w:tbl>
    <w:p w:rsidR="00013E26" w:rsidRPr="00E17531" w:rsidRDefault="00013E26" w:rsidP="00622343">
      <w:pPr>
        <w:pStyle w:val="TableFooter"/>
      </w:pPr>
      <w:r w:rsidRPr="00E17531">
        <w:t xml:space="preserve">ICER = incremental cost effectiveness ratio; NSCLC = non-small cell lung cancer; QALY = quality-adjusted life year. </w:t>
      </w:r>
    </w:p>
    <w:p w:rsidR="00013E26" w:rsidRPr="00E17531" w:rsidRDefault="00013E26" w:rsidP="00622343">
      <w:pPr>
        <w:pStyle w:val="TableFooter"/>
      </w:pPr>
      <w:r w:rsidRPr="00E17531">
        <w:rPr>
          <w:vertAlign w:val="superscript"/>
        </w:rPr>
        <w:t>a</w:t>
      </w:r>
      <w:r w:rsidRPr="00E17531">
        <w:t xml:space="preserve"> As KN-024 did not enrol patients with TPS &lt;50%, the resubmission estimated health outcomes in these patients with pembrolizumab treatment by assuming the efficacy of pembrolizumab in a PD-L1 negative cohort is the same as the efficacy of </w:t>
      </w:r>
      <w:r w:rsidR="00055388" w:rsidRPr="00055388">
        <w:t xml:space="preserve">platinum-based </w:t>
      </w:r>
      <w:r w:rsidRPr="00E17531">
        <w:t>doublet chemotherapy, as observed in KN-024</w:t>
      </w:r>
    </w:p>
    <w:p w:rsidR="00013E26" w:rsidRPr="00E17531" w:rsidRDefault="00013E26" w:rsidP="00622343">
      <w:pPr>
        <w:pStyle w:val="TableFooter"/>
      </w:pPr>
      <w:r w:rsidRPr="00E17531">
        <w:rPr>
          <w:vertAlign w:val="superscript"/>
        </w:rPr>
        <w:t>b</w:t>
      </w:r>
      <w:r w:rsidRPr="00E17531">
        <w:t xml:space="preserve"> As KN-024 did not enrol patients with TPS &lt;50%, the resubmission estimated health outcomes in these patients with pembrolizumab treatment by assuming the efficacy of pembrolizumab in a PD-L1 negative cohort is halved compared with pembrolizumab in a PD-L1 positive cohort.</w:t>
      </w:r>
    </w:p>
    <w:p w:rsidR="00013E26" w:rsidRPr="00E17531" w:rsidRDefault="00013E26" w:rsidP="00622343">
      <w:pPr>
        <w:pStyle w:val="TableFooter"/>
      </w:pPr>
      <w:r w:rsidRPr="00E17531">
        <w:rPr>
          <w:vertAlign w:val="superscript"/>
          <w:lang w:eastAsia="en-AU"/>
        </w:rPr>
        <w:t>c</w:t>
      </w:r>
      <w:r w:rsidRPr="00E17531">
        <w:t xml:space="preserve"> S</w:t>
      </w:r>
      <w:r w:rsidRPr="00E17531">
        <w:rPr>
          <w:lang w:eastAsia="en-AU"/>
        </w:rPr>
        <w:t>ample retrieval costs</w:t>
      </w:r>
      <w:r w:rsidRPr="00E17531">
        <w:rPr>
          <w:vertAlign w:val="superscript"/>
          <w:lang w:eastAsia="en-AU"/>
        </w:rPr>
        <w:t xml:space="preserve"> </w:t>
      </w:r>
      <w:r w:rsidRPr="00E17531">
        <w:rPr>
          <w:lang w:eastAsia="en-AU"/>
        </w:rPr>
        <w:t xml:space="preserve">were applied in 48.5% of patients who received a diagnosis at an earlier stage of disease (based on an </w:t>
      </w:r>
      <w:r w:rsidRPr="00E17531">
        <w:t>analysis of Victorian cancer registry data reported that 51.5% of NSCLC patients were Stage IV at diagnosis). A sample retrieval cost of $85.00 was applied, based on the MSAC advice when it considered MSAC Application 1331 (Review of archival tissue for further diagnostic testing) (Application 1331, public summary document, November 2016 MSAC meeting).</w:t>
      </w:r>
    </w:p>
    <w:p w:rsidR="00013E26" w:rsidRPr="00E17531" w:rsidRDefault="00013E26" w:rsidP="00622343">
      <w:pPr>
        <w:pStyle w:val="TableFooter"/>
      </w:pPr>
      <w:r w:rsidRPr="00E17531">
        <w:rPr>
          <w:vertAlign w:val="superscript"/>
        </w:rPr>
        <w:t>d</w:t>
      </w:r>
      <w:r w:rsidRPr="00E17531">
        <w:t xml:space="preserve"> A</w:t>
      </w:r>
      <w:r w:rsidRPr="00E17531">
        <w:rPr>
          <w:lang w:eastAsia="en-AU"/>
        </w:rPr>
        <w:t xml:space="preserve"> 48.5% re-biopsy rate was applied to reflect re-biopsy and subsequent testing in patients who received a diagnosis at earlier stage disease (based on an </w:t>
      </w:r>
      <w:r w:rsidRPr="00E17531">
        <w:t>analysis of Victorian cancer registry data that reported that 51.5% of NSCLC patients were Stage IV at diagnosis).</w:t>
      </w:r>
    </w:p>
    <w:p w:rsidR="00232508" w:rsidRDefault="00013E26" w:rsidP="00622343">
      <w:pPr>
        <w:pStyle w:val="TableFooter"/>
      </w:pPr>
      <w:r w:rsidRPr="00E17531">
        <w:t>Source: Constructed during the evaluation, based on the 1L NSCLC Resubmission_Section 3 Workbook.xlsm of the resubmission</w:t>
      </w:r>
    </w:p>
    <w:p w:rsidR="00232508" w:rsidRPr="00E17531" w:rsidRDefault="00232508" w:rsidP="00232508">
      <w:pPr>
        <w:spacing w:before="0" w:after="120"/>
      </w:pPr>
      <w:r w:rsidRPr="00FC53C2">
        <w:t>The redacted table shows ICERs in the range of $45,000/QALY - $</w:t>
      </w:r>
      <w:r>
        <w:t>200</w:t>
      </w:r>
      <w:r w:rsidRPr="00FC53C2">
        <w:t>,000/QALY.</w:t>
      </w:r>
    </w:p>
    <w:p w:rsidR="00013E26" w:rsidRPr="00E17531" w:rsidRDefault="00013E26" w:rsidP="00E5769A">
      <w:pPr>
        <w:pStyle w:val="ListParagraph"/>
        <w:numPr>
          <w:ilvl w:val="4"/>
          <w:numId w:val="5"/>
        </w:numPr>
        <w:spacing w:before="0" w:after="120"/>
        <w:ind w:left="709" w:hanging="709"/>
        <w:rPr>
          <w:color w:val="auto"/>
        </w:rPr>
      </w:pPr>
      <w:r w:rsidRPr="00E17531">
        <w:rPr>
          <w:color w:val="auto"/>
        </w:rPr>
        <w:t>Compared to current care of platinum-based doublet chemotherapy without PD-L1 testing, the pembrolizumab all-comers strategy is associated with an ICER</w:t>
      </w:r>
      <w:r w:rsidR="00056555" w:rsidRPr="00E17531">
        <w:rPr>
          <w:color w:val="auto"/>
        </w:rPr>
        <w:t xml:space="preserve"> per QALY gained of </w:t>
      </w:r>
      <w:r w:rsidR="00A853E0">
        <w:rPr>
          <w:color w:val="auto"/>
        </w:rPr>
        <w:t>$45,000 - $75,000</w:t>
      </w:r>
      <w:r w:rsidR="00056555" w:rsidRPr="00E17531">
        <w:rPr>
          <w:color w:val="auto"/>
        </w:rPr>
        <w:t xml:space="preserve"> to </w:t>
      </w:r>
      <w:r w:rsidR="00A853E0">
        <w:rPr>
          <w:color w:val="auto"/>
        </w:rPr>
        <w:t>more than $200,000</w:t>
      </w:r>
      <w:r w:rsidRPr="00E17531">
        <w:rPr>
          <w:color w:val="auto"/>
        </w:rPr>
        <w:t>, depending on different assumptions regarding the treatment effect of pembrolizumab in treatment of PD-L1 negative (TPS &lt;50%) NSCLC. Given the ICERs</w:t>
      </w:r>
      <w:r w:rsidR="00FA6FBB" w:rsidRPr="00E17531">
        <w:rPr>
          <w:color w:val="auto"/>
        </w:rPr>
        <w:t xml:space="preserve"> per QALY gained were estimated using </w:t>
      </w:r>
      <w:r w:rsidRPr="00E17531">
        <w:rPr>
          <w:color w:val="auto"/>
        </w:rPr>
        <w:t>uncertain assumptions, the pembrolizumab all-comer</w:t>
      </w:r>
      <w:r w:rsidR="004062B5">
        <w:rPr>
          <w:color w:val="auto"/>
        </w:rPr>
        <w:t>s</w:t>
      </w:r>
      <w:r w:rsidRPr="00E17531">
        <w:rPr>
          <w:color w:val="auto"/>
        </w:rPr>
        <w:t xml:space="preserve"> funding strategy requires further clinical evidence before its cost-effectiveness can be explored further or established.</w:t>
      </w:r>
    </w:p>
    <w:p w:rsidR="00013E26" w:rsidRPr="00E17531" w:rsidRDefault="00013E26" w:rsidP="00E5769A">
      <w:pPr>
        <w:pStyle w:val="ListParagraph"/>
        <w:numPr>
          <w:ilvl w:val="4"/>
          <w:numId w:val="5"/>
        </w:numPr>
        <w:spacing w:before="0" w:after="120"/>
        <w:ind w:left="709" w:hanging="709"/>
        <w:rPr>
          <w:color w:val="auto"/>
        </w:rPr>
      </w:pPr>
      <w:r w:rsidRPr="00E17531">
        <w:rPr>
          <w:color w:val="auto"/>
        </w:rPr>
        <w:t>Treating patients with pembrolizumab until progression had a substantial impact on the ICER (</w:t>
      </w:r>
      <w:r w:rsidR="00E61B46">
        <w:rPr>
          <w:noProof/>
          <w:color w:val="000000"/>
          <w:highlight w:val="black"/>
        </w:rPr>
        <w:t>''''''''</w:t>
      </w:r>
      <w:r w:rsidRPr="00E17531">
        <w:rPr>
          <w:color w:val="auto"/>
        </w:rPr>
        <w:t xml:space="preserve">% increase). The resubmission indicated this uncertainty could be managed </w:t>
      </w:r>
      <w:r w:rsidR="004062B5">
        <w:rPr>
          <w:color w:val="auto"/>
        </w:rPr>
        <w:t xml:space="preserve">with </w:t>
      </w:r>
      <w:r w:rsidRPr="00E17531">
        <w:rPr>
          <w:color w:val="auto"/>
        </w:rPr>
        <w:t xml:space="preserve">a </w:t>
      </w:r>
      <w:r w:rsidR="00531258">
        <w:rPr>
          <w:color w:val="auto"/>
        </w:rPr>
        <w:t>r</w:t>
      </w:r>
      <w:r w:rsidRPr="00E17531">
        <w:rPr>
          <w:color w:val="auto"/>
        </w:rPr>
        <w:t xml:space="preserve">isk </w:t>
      </w:r>
      <w:r w:rsidR="00531258">
        <w:rPr>
          <w:color w:val="auto"/>
        </w:rPr>
        <w:t>s</w:t>
      </w:r>
      <w:r w:rsidRPr="00E17531">
        <w:rPr>
          <w:color w:val="auto"/>
        </w:rPr>
        <w:t xml:space="preserve">haring </w:t>
      </w:r>
      <w:r w:rsidR="00531258">
        <w:rPr>
          <w:color w:val="auto"/>
        </w:rPr>
        <w:t>a</w:t>
      </w:r>
      <w:r w:rsidRPr="00E17531">
        <w:rPr>
          <w:color w:val="auto"/>
        </w:rPr>
        <w:t>rrangement (RSA) to be discussed further with the Department.</w:t>
      </w:r>
    </w:p>
    <w:p w:rsidR="00E5769A" w:rsidRPr="00E17531" w:rsidRDefault="00FD7F4C" w:rsidP="00F817B3">
      <w:pPr>
        <w:pStyle w:val="ListParagraph"/>
        <w:numPr>
          <w:ilvl w:val="4"/>
          <w:numId w:val="5"/>
        </w:numPr>
        <w:spacing w:before="0" w:after="0"/>
        <w:ind w:left="709" w:hanging="709"/>
        <w:jc w:val="left"/>
      </w:pPr>
      <w:r w:rsidRPr="00E17531">
        <w:rPr>
          <w:color w:val="auto"/>
        </w:rPr>
        <w:t>The ESC</w:t>
      </w:r>
      <w:r w:rsidR="00347DDE" w:rsidRPr="00E17531">
        <w:rPr>
          <w:color w:val="auto"/>
        </w:rPr>
        <w:t>s</w:t>
      </w:r>
      <w:r w:rsidRPr="00E17531">
        <w:rPr>
          <w:color w:val="auto"/>
        </w:rPr>
        <w:t xml:space="preserve"> noted that the PSCR provided a revised economic </w:t>
      </w:r>
      <w:r w:rsidR="004062B5" w:rsidRPr="00E17531">
        <w:rPr>
          <w:color w:val="auto"/>
        </w:rPr>
        <w:t>model that included the updated data from the KN-024 trial 10 July 2017</w:t>
      </w:r>
      <w:r w:rsidRPr="00E17531">
        <w:rPr>
          <w:color w:val="auto"/>
        </w:rPr>
        <w:t xml:space="preserve"> database lock. The ESC</w:t>
      </w:r>
      <w:r w:rsidR="00347DDE" w:rsidRPr="00E17531">
        <w:rPr>
          <w:color w:val="auto"/>
        </w:rPr>
        <w:t>s</w:t>
      </w:r>
      <w:r w:rsidRPr="00E17531">
        <w:rPr>
          <w:color w:val="auto"/>
        </w:rPr>
        <w:t xml:space="preserve"> noted that the Kaplan</w:t>
      </w:r>
      <w:r w:rsidR="00B00ED4" w:rsidRPr="00E17531">
        <w:rPr>
          <w:color w:val="auto"/>
        </w:rPr>
        <w:t>-</w:t>
      </w:r>
      <w:r w:rsidRPr="00E17531">
        <w:rPr>
          <w:color w:val="auto"/>
        </w:rPr>
        <w:t>Meier</w:t>
      </w:r>
      <w:r w:rsidR="00981597" w:rsidRPr="00E17531">
        <w:rPr>
          <w:color w:val="auto"/>
        </w:rPr>
        <w:t xml:space="preserve"> OS</w:t>
      </w:r>
      <w:r w:rsidRPr="00E17531">
        <w:rPr>
          <w:color w:val="auto"/>
        </w:rPr>
        <w:t xml:space="preserve"> curve as presented in Figure 3 (p11) of the PSCR differed from the trial data </w:t>
      </w:r>
      <w:r w:rsidR="00B00ED4" w:rsidRPr="00E17531">
        <w:rPr>
          <w:color w:val="auto"/>
        </w:rPr>
        <w:t>p</w:t>
      </w:r>
      <w:r w:rsidRPr="00E17531">
        <w:rPr>
          <w:color w:val="auto"/>
        </w:rPr>
        <w:t>rovided w</w:t>
      </w:r>
      <w:r w:rsidR="006C58F9" w:rsidRPr="00E17531">
        <w:rPr>
          <w:color w:val="auto"/>
        </w:rPr>
        <w:t>ith the revised economic model.</w:t>
      </w:r>
      <w:r w:rsidR="00205707" w:rsidRPr="00E17531">
        <w:rPr>
          <w:color w:val="auto"/>
        </w:rPr>
        <w:t xml:space="preserve"> </w:t>
      </w:r>
      <w:r w:rsidR="00981597" w:rsidRPr="00E17531">
        <w:rPr>
          <w:color w:val="auto"/>
        </w:rPr>
        <w:t>T</w:t>
      </w:r>
      <w:r w:rsidR="00205707" w:rsidRPr="00E17531">
        <w:rPr>
          <w:color w:val="auto"/>
        </w:rPr>
        <w:t xml:space="preserve">he trial-based </w:t>
      </w:r>
      <w:r w:rsidR="00981597" w:rsidRPr="00E17531">
        <w:rPr>
          <w:color w:val="auto"/>
        </w:rPr>
        <w:t xml:space="preserve">PFS and </w:t>
      </w:r>
      <w:r w:rsidR="00205707" w:rsidRPr="00E17531">
        <w:rPr>
          <w:color w:val="auto"/>
        </w:rPr>
        <w:t>OS curve</w:t>
      </w:r>
      <w:r w:rsidR="00981597" w:rsidRPr="00E17531">
        <w:rPr>
          <w:color w:val="auto"/>
        </w:rPr>
        <w:t>s</w:t>
      </w:r>
      <w:r w:rsidR="00205707" w:rsidRPr="00E17531">
        <w:rPr>
          <w:color w:val="auto"/>
        </w:rPr>
        <w:t xml:space="preserve"> </w:t>
      </w:r>
      <w:r w:rsidR="00981597" w:rsidRPr="00E17531">
        <w:rPr>
          <w:color w:val="auto"/>
        </w:rPr>
        <w:t>and the extrapolated curves</w:t>
      </w:r>
      <w:r w:rsidR="00205707" w:rsidRPr="00E17531">
        <w:rPr>
          <w:color w:val="auto"/>
        </w:rPr>
        <w:t xml:space="preserve"> </w:t>
      </w:r>
      <w:r w:rsidR="00981597" w:rsidRPr="00E17531">
        <w:rPr>
          <w:color w:val="auto"/>
        </w:rPr>
        <w:t>are</w:t>
      </w:r>
      <w:r w:rsidR="00205707" w:rsidRPr="00E17531">
        <w:rPr>
          <w:color w:val="auto"/>
        </w:rPr>
        <w:t xml:space="preserve"> presented below.</w:t>
      </w:r>
    </w:p>
    <w:p w:rsidR="0043576F" w:rsidRPr="00E17531" w:rsidRDefault="00205707" w:rsidP="00531258">
      <w:pPr>
        <w:keepNext/>
        <w:jc w:val="left"/>
        <w:rPr>
          <w:lang w:eastAsia="en-AU"/>
        </w:rPr>
      </w:pPr>
      <w:r w:rsidRPr="00E17531">
        <w:rPr>
          <w:rFonts w:ascii="Arial Narrow" w:hAnsi="Arial Narrow"/>
          <w:b/>
          <w:sz w:val="20"/>
          <w:szCs w:val="20"/>
        </w:rPr>
        <w:lastRenderedPageBreak/>
        <w:t xml:space="preserve">Figure </w:t>
      </w:r>
      <w:r w:rsidR="004C0962" w:rsidRPr="00E17531">
        <w:rPr>
          <w:rFonts w:ascii="Arial Narrow" w:hAnsi="Arial Narrow"/>
          <w:b/>
          <w:sz w:val="20"/>
          <w:szCs w:val="20"/>
        </w:rPr>
        <w:t>3</w:t>
      </w:r>
      <w:r w:rsidRPr="00E17531">
        <w:rPr>
          <w:rFonts w:ascii="Arial Narrow" w:hAnsi="Arial Narrow"/>
          <w:b/>
          <w:sz w:val="20"/>
          <w:szCs w:val="20"/>
        </w:rPr>
        <w:t xml:space="preserve">: Kaplan-Meier </w:t>
      </w:r>
      <w:r w:rsidR="005F66C0" w:rsidRPr="00E17531">
        <w:rPr>
          <w:rFonts w:ascii="Arial Narrow" w:hAnsi="Arial Narrow"/>
          <w:b/>
          <w:sz w:val="20"/>
          <w:szCs w:val="20"/>
        </w:rPr>
        <w:t xml:space="preserve">plot </w:t>
      </w:r>
      <w:r w:rsidRPr="00E17531">
        <w:rPr>
          <w:rFonts w:ascii="Arial Narrow" w:hAnsi="Arial Narrow"/>
          <w:b/>
          <w:sz w:val="20"/>
          <w:szCs w:val="20"/>
        </w:rPr>
        <w:t>of OS for pembrolizumab (25 months median follow-up) fitted with different parametric distributions</w:t>
      </w:r>
    </w:p>
    <w:p w:rsidR="00981597" w:rsidRPr="00E17531" w:rsidRDefault="008B6089" w:rsidP="009A3CCF">
      <w:pPr>
        <w:jc w:val="left"/>
      </w:pPr>
      <w:r w:rsidRPr="00E17531">
        <w:rPr>
          <w:noProof/>
          <w:lang w:eastAsia="en-AU"/>
        </w:rPr>
        <w:drawing>
          <wp:inline distT="0" distB="0" distL="0" distR="0" wp14:anchorId="54EA255F" wp14:editId="35A89271">
            <wp:extent cx="5731510" cy="4532591"/>
            <wp:effectExtent l="0" t="0" r="2540" b="1905"/>
            <wp:docPr id="3" name="Picture 3" descr="cid:image004.png@01D3467C.9D908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3467C.9D9086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4532591"/>
                    </a:xfrm>
                    <a:prstGeom prst="rect">
                      <a:avLst/>
                    </a:prstGeom>
                    <a:noFill/>
                    <a:ln>
                      <a:noFill/>
                    </a:ln>
                  </pic:spPr>
                </pic:pic>
              </a:graphicData>
            </a:graphic>
          </wp:inline>
        </w:drawing>
      </w:r>
    </w:p>
    <w:p w:rsidR="00981597" w:rsidRPr="00E17531" w:rsidRDefault="00981597" w:rsidP="00981597">
      <w:pPr>
        <w:pStyle w:val="TableFooter"/>
      </w:pPr>
      <w:r w:rsidRPr="00E17531">
        <w:t xml:space="preserve">* OS curve for pembrolizumab was extrapolated using different parametric distributions from Week 32 </w:t>
      </w:r>
    </w:p>
    <w:p w:rsidR="00981597" w:rsidRPr="00E17531" w:rsidRDefault="00981597" w:rsidP="00981597">
      <w:pPr>
        <w:pStyle w:val="TableFooter"/>
      </w:pPr>
      <w:r w:rsidRPr="00E17531">
        <w:t xml:space="preserve">** OS curve for chemotherapy was extrapolated using different parametric distributions from Week 38 </w:t>
      </w:r>
    </w:p>
    <w:p w:rsidR="00E5769A" w:rsidRPr="00E17531" w:rsidRDefault="009A3CCF" w:rsidP="009A3CCF">
      <w:pPr>
        <w:pStyle w:val="TableFooter"/>
      </w:pPr>
      <w:r w:rsidRPr="00E17531">
        <w:t xml:space="preserve">Source: constructed based on the “Section 3 Workbook_Updated” Workbook. </w:t>
      </w:r>
    </w:p>
    <w:p w:rsidR="00E5769A" w:rsidRPr="00E17531" w:rsidRDefault="00E5769A">
      <w:pPr>
        <w:spacing w:before="0" w:after="0"/>
        <w:jc w:val="left"/>
        <w:rPr>
          <w:rFonts w:ascii="Arial Narrow" w:eastAsia="Times New Roman" w:hAnsi="Arial Narrow" w:cs="Arial"/>
          <w:i/>
          <w:snapToGrid w:val="0"/>
          <w:sz w:val="18"/>
          <w:szCs w:val="20"/>
        </w:rPr>
      </w:pPr>
      <w:r w:rsidRPr="00E17531">
        <w:rPr>
          <w:i/>
        </w:rPr>
        <w:br w:type="page"/>
      </w:r>
    </w:p>
    <w:p w:rsidR="00981597" w:rsidRPr="00E17531" w:rsidRDefault="00981597" w:rsidP="00981597">
      <w:pPr>
        <w:jc w:val="left"/>
        <w:rPr>
          <w:rFonts w:ascii="Arial Narrow" w:hAnsi="Arial Narrow"/>
          <w:sz w:val="20"/>
          <w:szCs w:val="20"/>
          <w:lang w:eastAsia="en-AU"/>
        </w:rPr>
      </w:pPr>
      <w:r w:rsidRPr="00E17531">
        <w:rPr>
          <w:rFonts w:ascii="Arial Narrow" w:hAnsi="Arial Narrow"/>
          <w:b/>
          <w:sz w:val="20"/>
          <w:szCs w:val="20"/>
        </w:rPr>
        <w:lastRenderedPageBreak/>
        <w:t xml:space="preserve">Figure </w:t>
      </w:r>
      <w:r w:rsidR="006C58F9" w:rsidRPr="00E17531">
        <w:rPr>
          <w:rFonts w:ascii="Arial Narrow" w:hAnsi="Arial Narrow"/>
          <w:b/>
          <w:sz w:val="20"/>
          <w:szCs w:val="20"/>
        </w:rPr>
        <w:t>4</w:t>
      </w:r>
      <w:r w:rsidRPr="00E17531">
        <w:rPr>
          <w:rFonts w:ascii="Arial Narrow" w:hAnsi="Arial Narrow"/>
          <w:b/>
          <w:sz w:val="20"/>
          <w:szCs w:val="20"/>
        </w:rPr>
        <w:t>: Kaplan-Meier plot of PFS for pembrolizumab (25 months median follow-up) fitted with different parametric distributions</w:t>
      </w:r>
    </w:p>
    <w:p w:rsidR="00981597" w:rsidRPr="00E17531" w:rsidRDefault="008B6089" w:rsidP="00981597">
      <w:r w:rsidRPr="00E17531">
        <w:rPr>
          <w:noProof/>
          <w:lang w:eastAsia="en-AU"/>
        </w:rPr>
        <w:drawing>
          <wp:inline distT="0" distB="0" distL="0" distR="0" wp14:anchorId="23E07B92" wp14:editId="75F162AF">
            <wp:extent cx="5731510" cy="4365970"/>
            <wp:effectExtent l="0" t="0" r="2540" b="0"/>
            <wp:docPr id="4" name="Picture 4" descr="cid:image007.png@01D3467C.9D908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7.png@01D3467C.9D9086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4365970"/>
                    </a:xfrm>
                    <a:prstGeom prst="rect">
                      <a:avLst/>
                    </a:prstGeom>
                    <a:noFill/>
                    <a:ln>
                      <a:noFill/>
                    </a:ln>
                  </pic:spPr>
                </pic:pic>
              </a:graphicData>
            </a:graphic>
          </wp:inline>
        </w:drawing>
      </w:r>
      <w:bookmarkStart w:id="16" w:name="_GoBack"/>
      <w:bookmarkEnd w:id="16"/>
    </w:p>
    <w:p w:rsidR="00981597" w:rsidRPr="00E17531" w:rsidRDefault="00981597" w:rsidP="00981597">
      <w:pPr>
        <w:spacing w:before="0" w:after="0"/>
        <w:rPr>
          <w:rFonts w:ascii="Arial Narrow" w:hAnsi="Arial Narrow"/>
          <w:sz w:val="18"/>
          <w:szCs w:val="18"/>
        </w:rPr>
      </w:pPr>
      <w:r w:rsidRPr="00E17531">
        <w:rPr>
          <w:rFonts w:ascii="Arial Narrow" w:hAnsi="Arial Narrow"/>
          <w:sz w:val="18"/>
          <w:szCs w:val="18"/>
        </w:rPr>
        <w:t xml:space="preserve">* PFS curves for both pembrolizumab and chemotherapy were extrapolated using different parametric distributions from Week 27 </w:t>
      </w:r>
    </w:p>
    <w:p w:rsidR="00981597" w:rsidRPr="00E17531" w:rsidRDefault="00981597" w:rsidP="00981597">
      <w:pPr>
        <w:pStyle w:val="TableFooter"/>
        <w:spacing w:before="0" w:after="0"/>
      </w:pPr>
      <w:r w:rsidRPr="00E17531">
        <w:t>Source: constructed based on the “Sectio</w:t>
      </w:r>
      <w:r w:rsidR="00610BF5" w:rsidRPr="00E17531">
        <w:t>n 3 Workbook_Updated” Workbook.</w:t>
      </w:r>
    </w:p>
    <w:p w:rsidR="00531258" w:rsidRPr="00E17531" w:rsidRDefault="00531258" w:rsidP="00531258">
      <w:pPr>
        <w:pStyle w:val="ListParagraph"/>
        <w:numPr>
          <w:ilvl w:val="4"/>
          <w:numId w:val="5"/>
        </w:numPr>
        <w:spacing w:after="120"/>
        <w:ind w:left="709" w:hanging="709"/>
        <w:rPr>
          <w:color w:val="auto"/>
        </w:rPr>
      </w:pPr>
      <w:r>
        <w:t xml:space="preserve">The PBAC recalled </w:t>
      </w:r>
      <w:r w:rsidRPr="00E17531">
        <w:t>(Item 6.04, pembrolizumab PSD, March 2017 PBAC meeting)</w:t>
      </w:r>
      <w:r>
        <w:t xml:space="preserve"> that t</w:t>
      </w:r>
      <w:r w:rsidRPr="00E17531">
        <w:t xml:space="preserve">he selection of the log-logistic distribution to extrapolate OS for pembrolizumab in the economic model was optimistic. </w:t>
      </w:r>
      <w:r w:rsidRPr="00E17531">
        <w:rPr>
          <w:color w:val="auto"/>
        </w:rPr>
        <w:t>It was noted that the economic model in the pre-PBAC response to the March 2017 meeting used more conservative assumptions to estimate the survival benefits associated with pembrolizumab versus platinum-based doublet chemotherapy, i.e. a time horizon of 5 years and an exponential distribution to extrapolate the OS data for pembrolizumab. The</w:t>
      </w:r>
      <w:r>
        <w:rPr>
          <w:color w:val="auto"/>
        </w:rPr>
        <w:t xml:space="preserve"> extrapolation</w:t>
      </w:r>
      <w:r w:rsidRPr="00E17531">
        <w:rPr>
          <w:color w:val="auto"/>
        </w:rPr>
        <w:t xml:space="preserve"> assumptions were tested in sensitivity analyses p</w:t>
      </w:r>
      <w:r>
        <w:rPr>
          <w:color w:val="auto"/>
        </w:rPr>
        <w:t>erformed during the evaluation of the resubmission.</w:t>
      </w:r>
    </w:p>
    <w:p w:rsidR="00531258" w:rsidRPr="00E17531" w:rsidRDefault="00531258" w:rsidP="00531258">
      <w:pPr>
        <w:pStyle w:val="ListParagraph"/>
        <w:numPr>
          <w:ilvl w:val="4"/>
          <w:numId w:val="5"/>
        </w:numPr>
        <w:spacing w:before="0" w:after="120"/>
        <w:ind w:left="709" w:hanging="709"/>
        <w:rPr>
          <w:color w:val="auto"/>
        </w:rPr>
      </w:pPr>
      <w:r w:rsidRPr="00E17531">
        <w:rPr>
          <w:color w:val="auto"/>
        </w:rPr>
        <w:t xml:space="preserve">The PSCR (p11) </w:t>
      </w:r>
      <w:r>
        <w:rPr>
          <w:color w:val="auto"/>
        </w:rPr>
        <w:t xml:space="preserve">then </w:t>
      </w:r>
      <w:r w:rsidRPr="00E17531">
        <w:rPr>
          <w:color w:val="auto"/>
        </w:rPr>
        <w:t xml:space="preserve">presented an updated OS </w:t>
      </w:r>
      <w:r>
        <w:rPr>
          <w:color w:val="auto"/>
        </w:rPr>
        <w:t>K</w:t>
      </w:r>
      <w:r w:rsidRPr="00E17531">
        <w:rPr>
          <w:color w:val="auto"/>
        </w:rPr>
        <w:t xml:space="preserve">aplan-Meier curve for patients receiving pembrolizumab to demonstrate the face validity of the extrapolation based on a log-logistic distribution, which the PSCR (p2) maintained was the appropriate basis for extrapolation. No other curves were fitted to the updated data and so it was not possible to assess the appropriateness of the log-logistic model. The PSCR also argued that the time horizon of 7.5 years was appropriate. The ESCs noted that, based on the updated model provided with the PSCR, 15.9% of patients in the pembrolizumab arm were modelled to be alive at 10 years, which the ESCs considered to be clinically implausible given the available clinical evidence and the </w:t>
      </w:r>
      <w:r w:rsidRPr="00E17531">
        <w:rPr>
          <w:color w:val="auto"/>
        </w:rPr>
        <w:lastRenderedPageBreak/>
        <w:t xml:space="preserve">known prognosis of Stage IV NSCLC. The ESCs therefore considered that the selection of the log-logistic distribution </w:t>
      </w:r>
      <w:r w:rsidR="0002143D">
        <w:rPr>
          <w:color w:val="auto"/>
        </w:rPr>
        <w:t xml:space="preserve">for pembrolizumab </w:t>
      </w:r>
      <w:r w:rsidRPr="00E17531">
        <w:rPr>
          <w:color w:val="auto"/>
        </w:rPr>
        <w:t>lacked face validity.</w:t>
      </w:r>
    </w:p>
    <w:p w:rsidR="00531258" w:rsidRPr="00E17531" w:rsidRDefault="00531258" w:rsidP="00531258">
      <w:pPr>
        <w:pStyle w:val="ListParagraph"/>
        <w:numPr>
          <w:ilvl w:val="4"/>
          <w:numId w:val="5"/>
        </w:numPr>
        <w:spacing w:before="0" w:after="120"/>
        <w:ind w:left="709" w:hanging="709"/>
        <w:rPr>
          <w:color w:val="auto"/>
        </w:rPr>
      </w:pPr>
      <w:r w:rsidRPr="00E17531">
        <w:rPr>
          <w:color w:val="auto"/>
        </w:rPr>
        <w:t xml:space="preserve">The pre-PBAC response (p2) stated that, as the time horizon used in the economic evaluation is 7.5 years, the sponsor did not consider 10 year estimates relevant to the current analysis. The pre-PBAC response maintained that selection of the log-logistic function to extrapolate survival outcomes for pembrolizumab-treated patients was appropriate. The PBAC agreed with the ESCs that the log-logistic extrapolation </w:t>
      </w:r>
      <w:r w:rsidR="0002143D">
        <w:rPr>
          <w:color w:val="auto"/>
        </w:rPr>
        <w:t xml:space="preserve">for pembrolizumab alone </w:t>
      </w:r>
      <w:r w:rsidRPr="00E17531">
        <w:rPr>
          <w:color w:val="auto"/>
        </w:rPr>
        <w:t xml:space="preserve">was not appropriate, and considered that truncating the model at 7.5 years did not address the issue of clinical plausibility. The PBAC </w:t>
      </w:r>
      <w:r w:rsidR="0002143D">
        <w:rPr>
          <w:color w:val="auto"/>
        </w:rPr>
        <w:t xml:space="preserve">also </w:t>
      </w:r>
      <w:r w:rsidRPr="00E17531">
        <w:rPr>
          <w:color w:val="auto"/>
        </w:rPr>
        <w:t>a</w:t>
      </w:r>
      <w:r w:rsidR="0002143D">
        <w:rPr>
          <w:color w:val="auto"/>
        </w:rPr>
        <w:t xml:space="preserve">greed with the ESCs </w:t>
      </w:r>
      <w:r w:rsidRPr="00E17531">
        <w:rPr>
          <w:color w:val="auto"/>
        </w:rPr>
        <w:t xml:space="preserve">that using the more conservative exponential distribution </w:t>
      </w:r>
      <w:r w:rsidR="0002143D">
        <w:rPr>
          <w:color w:val="auto"/>
        </w:rPr>
        <w:t xml:space="preserve">for both interventions </w:t>
      </w:r>
      <w:r w:rsidRPr="00E17531">
        <w:rPr>
          <w:color w:val="auto"/>
        </w:rPr>
        <w:t xml:space="preserve">would </w:t>
      </w:r>
      <w:r>
        <w:rPr>
          <w:color w:val="auto"/>
        </w:rPr>
        <w:t xml:space="preserve">have </w:t>
      </w:r>
      <w:r w:rsidRPr="00E17531">
        <w:rPr>
          <w:color w:val="auto"/>
        </w:rPr>
        <w:t>be</w:t>
      </w:r>
      <w:r>
        <w:rPr>
          <w:color w:val="auto"/>
        </w:rPr>
        <w:t>en</w:t>
      </w:r>
      <w:r w:rsidRPr="00E17531">
        <w:rPr>
          <w:color w:val="auto"/>
        </w:rPr>
        <w:t xml:space="preserve"> more appropriate</w:t>
      </w:r>
      <w:r>
        <w:rPr>
          <w:color w:val="auto"/>
        </w:rPr>
        <w:t xml:space="preserve"> </w:t>
      </w:r>
      <w:r w:rsidR="0002143D">
        <w:rPr>
          <w:color w:val="auto"/>
        </w:rPr>
        <w:t>for the model as presented.</w:t>
      </w:r>
    </w:p>
    <w:p w:rsidR="003705E2" w:rsidRPr="00E17531" w:rsidRDefault="003705E2" w:rsidP="00E5769A">
      <w:pPr>
        <w:pStyle w:val="ListParagraph"/>
        <w:numPr>
          <w:ilvl w:val="4"/>
          <w:numId w:val="5"/>
        </w:numPr>
        <w:spacing w:before="0" w:after="120"/>
        <w:ind w:left="709" w:hanging="709"/>
      </w:pPr>
      <w:r w:rsidRPr="00E17531">
        <w:rPr>
          <w:rFonts w:eastAsiaTheme="majorEastAsia" w:cstheme="majorBidi"/>
        </w:rPr>
        <w:t>The ESCs noted that the start point of extrapolation used in the submission was 27 weeks for PFS, 32 weeks for pembrolizumab OS, and 40 weeks for chemotherapy OS; fractions of the available follow-up data.</w:t>
      </w:r>
      <w:r w:rsidRPr="00E17531">
        <w:t xml:space="preserve"> The ESCs advised that these start points were justified by the post hoc use of the Chow test, which the PBAC has previously advised in the context of this model was inappropriate for this purpose (see Table 9, pembrolizumab P</w:t>
      </w:r>
      <w:r w:rsidR="00351609" w:rsidRPr="00E17531">
        <w:t>SD</w:t>
      </w:r>
      <w:r w:rsidRPr="00E17531">
        <w:t>, March 2017). Without also assessing the extrapolations using the full sets of observed data (</w:t>
      </w:r>
      <w:r w:rsidR="00351609" w:rsidRPr="00E17531">
        <w:t>i.e.</w:t>
      </w:r>
      <w:r w:rsidRPr="00E17531">
        <w:t xml:space="preserve"> starting at Day 1), the ESC</w:t>
      </w:r>
      <w:r w:rsidR="000D7013">
        <w:t>s</w:t>
      </w:r>
      <w:r w:rsidRPr="00E17531">
        <w:t xml:space="preserve"> w</w:t>
      </w:r>
      <w:r w:rsidR="000D7013">
        <w:t>ere</w:t>
      </w:r>
      <w:r w:rsidRPr="00E17531">
        <w:t xml:space="preserve"> unable to advise on the consequence of not using the earlier data in generating the extrapolations.</w:t>
      </w:r>
    </w:p>
    <w:p w:rsidR="00150E39" w:rsidRPr="00E17531" w:rsidRDefault="00150E39" w:rsidP="00E5769A">
      <w:pPr>
        <w:pStyle w:val="ListParagraph"/>
        <w:numPr>
          <w:ilvl w:val="4"/>
          <w:numId w:val="5"/>
        </w:numPr>
        <w:spacing w:before="0" w:after="120"/>
        <w:ind w:left="709" w:hanging="709"/>
      </w:pPr>
      <w:r w:rsidRPr="00E17531">
        <w:rPr>
          <w:rFonts w:eastAsiaTheme="majorEastAsia" w:cstheme="majorBidi"/>
        </w:rPr>
        <w:t>The PBAC agreed with the ESCs’ views</w:t>
      </w:r>
      <w:r w:rsidR="00400BEC" w:rsidRPr="00E17531">
        <w:rPr>
          <w:rFonts w:eastAsiaTheme="majorEastAsia" w:cstheme="majorBidi"/>
        </w:rPr>
        <w:t xml:space="preserve">, considering that the approach taken in the modelling provided a further source of uncertainty in extrapolating the affected </w:t>
      </w:r>
      <w:r w:rsidR="003834C1" w:rsidRPr="00E17531">
        <w:rPr>
          <w:rFonts w:eastAsiaTheme="majorEastAsia" w:cstheme="majorBidi"/>
        </w:rPr>
        <w:t xml:space="preserve">inputs to </w:t>
      </w:r>
      <w:r w:rsidR="00400BEC" w:rsidRPr="00E17531">
        <w:rPr>
          <w:rFonts w:eastAsiaTheme="majorEastAsia" w:cstheme="majorBidi"/>
        </w:rPr>
        <w:t>the economic evaluation from the clinical data</w:t>
      </w:r>
      <w:r w:rsidRPr="00E17531">
        <w:rPr>
          <w:rFonts w:eastAsiaTheme="majorEastAsia" w:cstheme="majorBidi"/>
        </w:rPr>
        <w:t>.</w:t>
      </w:r>
    </w:p>
    <w:p w:rsidR="00013E26" w:rsidRPr="00E17531" w:rsidRDefault="00013E26" w:rsidP="00AD25EE">
      <w:pPr>
        <w:pStyle w:val="ESHeading2"/>
      </w:pPr>
      <w:r w:rsidRPr="00E17531">
        <w:t>Medicine cost/patient/course: $</w:t>
      </w:r>
      <w:r w:rsidR="00E61B46">
        <w:rPr>
          <w:noProof/>
          <w:color w:val="000000"/>
          <w:highlight w:val="black"/>
        </w:rPr>
        <w:t>''''''''''''</w:t>
      </w:r>
    </w:p>
    <w:p w:rsidR="00013E26" w:rsidRPr="00E17531" w:rsidRDefault="00013E26" w:rsidP="00E5769A">
      <w:pPr>
        <w:pStyle w:val="ListParagraph"/>
        <w:numPr>
          <w:ilvl w:val="4"/>
          <w:numId w:val="5"/>
        </w:numPr>
        <w:spacing w:before="0" w:after="120"/>
        <w:ind w:left="709" w:hanging="709"/>
        <w:rPr>
          <w:color w:val="auto"/>
        </w:rPr>
      </w:pPr>
      <w:r w:rsidRPr="00E17531">
        <w:rPr>
          <w:color w:val="auto"/>
        </w:rPr>
        <w:t>The average cost per administration was $</w:t>
      </w:r>
      <w:r w:rsidR="00E61B46">
        <w:rPr>
          <w:noProof/>
          <w:color w:val="000000"/>
          <w:highlight w:val="black"/>
        </w:rPr>
        <w:t>'''''''''''</w:t>
      </w:r>
      <w:r w:rsidRPr="00E17531">
        <w:rPr>
          <w:color w:val="auto"/>
        </w:rPr>
        <w:t xml:space="preserve"> (4 x 50 mg vials). Each patient was assumed to have an average of </w:t>
      </w:r>
      <w:r w:rsidR="00E61B46">
        <w:rPr>
          <w:noProof/>
          <w:color w:val="000000"/>
          <w:highlight w:val="black"/>
        </w:rPr>
        <w:t>'''''''''''</w:t>
      </w:r>
      <w:r w:rsidRPr="00E17531">
        <w:rPr>
          <w:color w:val="auto"/>
        </w:rPr>
        <w:t xml:space="preserve"> administrations per treatment course, based on the modelled time on treatment (</w:t>
      </w:r>
      <w:r w:rsidR="00150E39" w:rsidRPr="00E17531">
        <w:rPr>
          <w:color w:val="auto"/>
        </w:rPr>
        <w:t>e.g.</w:t>
      </w:r>
      <w:r w:rsidRPr="00E17531">
        <w:rPr>
          <w:color w:val="auto"/>
        </w:rPr>
        <w:t xml:space="preserve"> patients would receive pembrolizumab until they experience disease progression or reach the maximum treatment duration of 2 years).</w:t>
      </w:r>
    </w:p>
    <w:p w:rsidR="00384C5C" w:rsidRPr="00E17531" w:rsidRDefault="00013E26" w:rsidP="00E5769A">
      <w:pPr>
        <w:pStyle w:val="ListParagraph"/>
        <w:numPr>
          <w:ilvl w:val="4"/>
          <w:numId w:val="5"/>
        </w:numPr>
        <w:spacing w:before="0" w:after="120"/>
        <w:ind w:left="709" w:hanging="709"/>
        <w:rPr>
          <w:color w:val="auto"/>
        </w:rPr>
      </w:pPr>
      <w:r w:rsidRPr="00E17531">
        <w:rPr>
          <w:color w:val="auto"/>
        </w:rPr>
        <w:t xml:space="preserve">The resubmission estimated that the average cost for </w:t>
      </w:r>
      <w:r w:rsidR="00083899" w:rsidRPr="00E17531">
        <w:rPr>
          <w:color w:val="auto"/>
        </w:rPr>
        <w:t xml:space="preserve">platinum-based </w:t>
      </w:r>
      <w:r w:rsidRPr="00E17531">
        <w:rPr>
          <w:color w:val="auto"/>
        </w:rPr>
        <w:t>doublet chemotherapy was $</w:t>
      </w:r>
      <w:r w:rsidRPr="00F636CB">
        <w:rPr>
          <w:color w:val="auto"/>
        </w:rPr>
        <w:t>914</w:t>
      </w:r>
      <w:r w:rsidRPr="00E17531">
        <w:rPr>
          <w:color w:val="auto"/>
        </w:rPr>
        <w:t>, based on a cost of $</w:t>
      </w:r>
      <w:r w:rsidRPr="00F636CB">
        <w:rPr>
          <w:color w:val="auto"/>
        </w:rPr>
        <w:t>183</w:t>
      </w:r>
      <w:r w:rsidRPr="00E17531">
        <w:rPr>
          <w:color w:val="auto"/>
        </w:rPr>
        <w:t xml:space="preserve"> per cycle for an average of </w:t>
      </w:r>
      <w:r w:rsidR="004062B5">
        <w:rPr>
          <w:color w:val="auto"/>
        </w:rPr>
        <w:t xml:space="preserve">five </w:t>
      </w:r>
      <w:r w:rsidRPr="00E17531">
        <w:rPr>
          <w:color w:val="auto"/>
        </w:rPr>
        <w:t>treatment cycles. The resubmission did not explain how the cost per cycle of $</w:t>
      </w:r>
      <w:r w:rsidRPr="00F636CB">
        <w:rPr>
          <w:color w:val="auto"/>
        </w:rPr>
        <w:t>183</w:t>
      </w:r>
      <w:r w:rsidRPr="00E17531">
        <w:rPr>
          <w:color w:val="auto"/>
        </w:rPr>
        <w:t xml:space="preserve"> was calculated. The cost for platinum</w:t>
      </w:r>
      <w:r w:rsidR="00055388">
        <w:rPr>
          <w:color w:val="auto"/>
        </w:rPr>
        <w:t>-based</w:t>
      </w:r>
      <w:r w:rsidRPr="00E17531">
        <w:rPr>
          <w:color w:val="auto"/>
        </w:rPr>
        <w:t xml:space="preserve"> doublet chemotherapy with or without pemetrexed maintenance was estimated to be $</w:t>
      </w:r>
      <w:r w:rsidRPr="00F636CB">
        <w:rPr>
          <w:color w:val="auto"/>
        </w:rPr>
        <w:t>897</w:t>
      </w:r>
      <w:r w:rsidRPr="00E17531">
        <w:rPr>
          <w:color w:val="auto"/>
        </w:rPr>
        <w:t xml:space="preserve"> per p</w:t>
      </w:r>
      <w:r w:rsidR="005F66C0" w:rsidRPr="00E17531">
        <w:rPr>
          <w:color w:val="auto"/>
        </w:rPr>
        <w:t>atient per course, by assuming:</w:t>
      </w:r>
    </w:p>
    <w:p w:rsidR="00384C5C" w:rsidRPr="00E17531" w:rsidRDefault="00013E26" w:rsidP="00C5009E">
      <w:pPr>
        <w:pStyle w:val="ListParagraph"/>
        <w:numPr>
          <w:ilvl w:val="0"/>
          <w:numId w:val="10"/>
        </w:numPr>
        <w:spacing w:before="0" w:after="120"/>
        <w:ind w:left="1276" w:hanging="426"/>
        <w:rPr>
          <w:color w:val="auto"/>
        </w:rPr>
      </w:pPr>
      <w:r w:rsidRPr="00E17531">
        <w:rPr>
          <w:color w:val="auto"/>
        </w:rPr>
        <w:t xml:space="preserve">a weighted cost for </w:t>
      </w:r>
      <w:r w:rsidR="00055388">
        <w:t xml:space="preserve">platinum-based </w:t>
      </w:r>
      <w:r w:rsidRPr="00E17531">
        <w:rPr>
          <w:color w:val="auto"/>
        </w:rPr>
        <w:t>doublet chemotherapy of $</w:t>
      </w:r>
      <w:r w:rsidRPr="00F636CB">
        <w:rPr>
          <w:color w:val="auto"/>
        </w:rPr>
        <w:t>103</w:t>
      </w:r>
      <w:r w:rsidRPr="00E17531">
        <w:rPr>
          <w:color w:val="auto"/>
        </w:rPr>
        <w:t xml:space="preserve"> per cycle (as us</w:t>
      </w:r>
      <w:r w:rsidR="005F66C0" w:rsidRPr="00E17531">
        <w:rPr>
          <w:color w:val="auto"/>
        </w:rPr>
        <w:t>ed in the economic evaluation);</w:t>
      </w:r>
    </w:p>
    <w:p w:rsidR="00384C5C" w:rsidRPr="00E17531" w:rsidRDefault="00013E26" w:rsidP="00C5009E">
      <w:pPr>
        <w:pStyle w:val="ListParagraph"/>
        <w:numPr>
          <w:ilvl w:val="0"/>
          <w:numId w:val="10"/>
        </w:numPr>
        <w:spacing w:before="0" w:after="120"/>
        <w:ind w:left="1276" w:hanging="426"/>
        <w:rPr>
          <w:color w:val="auto"/>
        </w:rPr>
      </w:pPr>
      <w:r w:rsidRPr="00E17531">
        <w:rPr>
          <w:color w:val="auto"/>
        </w:rPr>
        <w:t xml:space="preserve">an average of 4.25 administrations for </w:t>
      </w:r>
      <w:r w:rsidR="00055388">
        <w:t xml:space="preserve">platinum-based </w:t>
      </w:r>
      <w:r w:rsidRPr="00E17531">
        <w:rPr>
          <w:color w:val="auto"/>
        </w:rPr>
        <w:t>doublet chemotherapy, based on the economic model, applying the</w:t>
      </w:r>
      <w:r w:rsidR="005F66C0" w:rsidRPr="00E17531">
        <w:rPr>
          <w:color w:val="auto"/>
        </w:rPr>
        <w:t xml:space="preserve"> maximum of 5 treatment cycles;</w:t>
      </w:r>
    </w:p>
    <w:p w:rsidR="00384C5C" w:rsidRPr="00E17531" w:rsidRDefault="00013E26" w:rsidP="00C5009E">
      <w:pPr>
        <w:pStyle w:val="ListParagraph"/>
        <w:numPr>
          <w:ilvl w:val="0"/>
          <w:numId w:val="10"/>
        </w:numPr>
        <w:spacing w:before="0" w:after="120"/>
        <w:ind w:left="1276" w:hanging="426"/>
        <w:rPr>
          <w:color w:val="auto"/>
        </w:rPr>
      </w:pPr>
      <w:r w:rsidRPr="00E17531">
        <w:rPr>
          <w:color w:val="auto"/>
        </w:rPr>
        <w:lastRenderedPageBreak/>
        <w:t>11.5%</w:t>
      </w:r>
      <w:r w:rsidRPr="00E17531">
        <w:rPr>
          <w:rStyle w:val="FootnoteReference"/>
          <w:color w:val="auto"/>
        </w:rPr>
        <w:footnoteReference w:id="7"/>
      </w:r>
      <w:r w:rsidRPr="00E17531">
        <w:rPr>
          <w:color w:val="auto"/>
        </w:rPr>
        <w:t xml:space="preserve"> of patients receiving </w:t>
      </w:r>
      <w:r w:rsidR="00055388">
        <w:t xml:space="preserve">platinum-based </w:t>
      </w:r>
      <w:r w:rsidRPr="00E17531">
        <w:rPr>
          <w:color w:val="auto"/>
        </w:rPr>
        <w:t>doublet chemotherapy would contin</w:t>
      </w:r>
      <w:r w:rsidR="005F66C0" w:rsidRPr="00E17531">
        <w:rPr>
          <w:color w:val="auto"/>
        </w:rPr>
        <w:t>ue onto pemetrexed maintenance;</w:t>
      </w:r>
    </w:p>
    <w:p w:rsidR="00384C5C" w:rsidRPr="00E17531" w:rsidRDefault="00013E26" w:rsidP="00C5009E">
      <w:pPr>
        <w:pStyle w:val="ListParagraph"/>
        <w:numPr>
          <w:ilvl w:val="0"/>
          <w:numId w:val="10"/>
        </w:numPr>
        <w:spacing w:before="0" w:after="120"/>
        <w:ind w:left="1276" w:hanging="426"/>
        <w:rPr>
          <w:color w:val="auto"/>
        </w:rPr>
      </w:pPr>
      <w:r w:rsidRPr="00E17531">
        <w:rPr>
          <w:color w:val="auto"/>
        </w:rPr>
        <w:t xml:space="preserve">a cost for </w:t>
      </w:r>
      <w:r w:rsidRPr="00E17531">
        <w:rPr>
          <w:color w:val="auto"/>
          <w:szCs w:val="24"/>
        </w:rPr>
        <w:t>pemetrexed</w:t>
      </w:r>
      <w:r w:rsidRPr="00E17531">
        <w:rPr>
          <w:color w:val="auto"/>
        </w:rPr>
        <w:t xml:space="preserve"> of $</w:t>
      </w:r>
      <w:r w:rsidRPr="00F636CB">
        <w:rPr>
          <w:color w:val="auto"/>
        </w:rPr>
        <w:t>454</w:t>
      </w:r>
      <w:r w:rsidRPr="00E17531">
        <w:rPr>
          <w:color w:val="auto"/>
        </w:rPr>
        <w:t xml:space="preserve"> per cycle (as used i</w:t>
      </w:r>
      <w:r w:rsidR="005F66C0" w:rsidRPr="00E17531">
        <w:rPr>
          <w:color w:val="auto"/>
        </w:rPr>
        <w:t>n the economic evaluation); and</w:t>
      </w:r>
    </w:p>
    <w:p w:rsidR="00384C5C" w:rsidRPr="00E17531" w:rsidRDefault="00013E26" w:rsidP="00C5009E">
      <w:pPr>
        <w:pStyle w:val="ListParagraph"/>
        <w:numPr>
          <w:ilvl w:val="0"/>
          <w:numId w:val="10"/>
        </w:numPr>
        <w:spacing w:before="0" w:after="120"/>
        <w:ind w:left="1276" w:hanging="426"/>
        <w:rPr>
          <w:color w:val="auto"/>
        </w:rPr>
      </w:pPr>
      <w:r w:rsidRPr="00E17531">
        <w:rPr>
          <w:color w:val="auto"/>
        </w:rPr>
        <w:t xml:space="preserve">a modelled treatment duration of 8.83 cycles for </w:t>
      </w:r>
      <w:r w:rsidR="005F66C0" w:rsidRPr="00E17531">
        <w:rPr>
          <w:color w:val="auto"/>
        </w:rPr>
        <w:t>pemetrexed maintenance therapy.</w:t>
      </w:r>
    </w:p>
    <w:p w:rsidR="00225F17" w:rsidRPr="00E17531" w:rsidRDefault="00740F7D" w:rsidP="00E5769A">
      <w:pPr>
        <w:pStyle w:val="ListParagraph"/>
        <w:spacing w:before="0" w:after="120"/>
        <w:ind w:left="709" w:firstLine="0"/>
        <w:rPr>
          <w:color w:val="auto"/>
        </w:rPr>
      </w:pPr>
      <w:r w:rsidRPr="00E17531">
        <w:rPr>
          <w:color w:val="auto"/>
        </w:rPr>
        <w:t>The evaluation considered that the</w:t>
      </w:r>
      <w:r w:rsidR="005F66C0" w:rsidRPr="00E17531">
        <w:rPr>
          <w:color w:val="auto"/>
        </w:rPr>
        <w:t>se assumptions were reasonable.</w:t>
      </w:r>
    </w:p>
    <w:p w:rsidR="00013E26" w:rsidRPr="00E17531" w:rsidRDefault="00013E26" w:rsidP="00AD25EE">
      <w:pPr>
        <w:pStyle w:val="ESHeading2"/>
      </w:pPr>
      <w:r w:rsidRPr="00E17531">
        <w:t>Estimated PBS &amp; financial implications</w:t>
      </w:r>
    </w:p>
    <w:p w:rsidR="00013E26" w:rsidRPr="00E17531" w:rsidRDefault="0051511F" w:rsidP="00E5769A">
      <w:pPr>
        <w:pStyle w:val="ListParagraph"/>
        <w:numPr>
          <w:ilvl w:val="4"/>
          <w:numId w:val="5"/>
        </w:numPr>
        <w:spacing w:before="0" w:after="120"/>
        <w:ind w:left="709" w:hanging="709"/>
      </w:pPr>
      <w:r w:rsidRPr="00E17531">
        <w:rPr>
          <w:color w:val="auto"/>
        </w:rPr>
        <w:t xml:space="preserve">This submission was </w:t>
      </w:r>
      <w:r w:rsidR="00013E26" w:rsidRPr="00E17531">
        <w:rPr>
          <w:color w:val="auto"/>
        </w:rPr>
        <w:t>n</w:t>
      </w:r>
      <w:r w:rsidRPr="00E17531">
        <w:rPr>
          <w:color w:val="auto"/>
        </w:rPr>
        <w:t>ot</w:t>
      </w:r>
      <w:r w:rsidR="00013E26" w:rsidRPr="00E17531">
        <w:rPr>
          <w:color w:val="auto"/>
        </w:rPr>
        <w:t xml:space="preserve"> considered by DUSC. The resubmission used </w:t>
      </w:r>
      <w:r w:rsidR="00013E26" w:rsidRPr="00E17531">
        <w:t xml:space="preserve">an epidemiological approach to estimate the number of patients eligible for pembrolizumab treatment each year over a 6-year period. The sponsor-commissioned ONCOSight report was used to estimate the incident patients with NSCLC. The number of patients eligible for pembrolizumab, i.e. patients with a performance status of 1 or 2 who are either diagnosed with Stage IV NSCLC or progress to Stage IV disease and whose tumours are </w:t>
      </w:r>
      <w:r w:rsidR="00013E26" w:rsidRPr="00E17531">
        <w:rPr>
          <w:i/>
          <w:color w:val="auto"/>
        </w:rPr>
        <w:t>EGFR</w:t>
      </w:r>
      <w:r w:rsidR="00013E26" w:rsidRPr="00E17531">
        <w:rPr>
          <w:color w:val="auto"/>
        </w:rPr>
        <w:t xml:space="preserve"> wildtype </w:t>
      </w:r>
      <w:r w:rsidR="00013E26" w:rsidRPr="00E17531">
        <w:rPr>
          <w:i/>
          <w:color w:val="auto"/>
        </w:rPr>
        <w:t>ALK</w:t>
      </w:r>
      <w:r w:rsidR="00013E26" w:rsidRPr="00E17531">
        <w:rPr>
          <w:color w:val="auto"/>
        </w:rPr>
        <w:t xml:space="preserve"> translocation negative and express ≥50% PD-L1, was estimated on the basis of the literature, clinical studies and previous PBAC/DUSC considerations. </w:t>
      </w:r>
      <w:r w:rsidR="00013E26" w:rsidRPr="00E17531">
        <w:t xml:space="preserve">In estimating the net financial implications to the PBS/RPBS associated with the requested listing of pembrolizumab, there is uncertainty surrounding the disease progression rate from earlier stages of disease to Stage IV. </w:t>
      </w:r>
      <w:r w:rsidR="00013E26" w:rsidRPr="00E17531">
        <w:rPr>
          <w:color w:val="auto"/>
        </w:rPr>
        <w:t>Patients who would be eligible for pembrolizumab once PBS listing occurs via the grandfathering restriction in Year 1 of listing were also considered in the financial analysis. Given the claim of superior safety of pembrolizumab, the resubmission assumed a higher uptake rate for pembrolizumab than platinum chemo</w:t>
      </w:r>
      <w:r w:rsidRPr="00E17531">
        <w:rPr>
          <w:color w:val="auto"/>
        </w:rPr>
        <w:t>therapy (83.5%-85% vs 60%). The evaluation considered this was</w:t>
      </w:r>
      <w:r w:rsidR="00013E26" w:rsidRPr="00E17531">
        <w:rPr>
          <w:color w:val="auto"/>
        </w:rPr>
        <w:t xml:space="preserve"> reasonable.</w:t>
      </w:r>
    </w:p>
    <w:p w:rsidR="007C7EC6" w:rsidRPr="00E17531" w:rsidRDefault="00013E26" w:rsidP="00E5769A">
      <w:pPr>
        <w:pStyle w:val="ListParagraph"/>
        <w:numPr>
          <w:ilvl w:val="4"/>
          <w:numId w:val="5"/>
        </w:numPr>
        <w:spacing w:before="0" w:after="120"/>
        <w:ind w:left="709" w:hanging="709"/>
      </w:pPr>
      <w:r w:rsidRPr="00E17531">
        <w:rPr>
          <w:color w:val="auto"/>
        </w:rPr>
        <w:t>The</w:t>
      </w:r>
      <w:r w:rsidRPr="00E17531">
        <w:t xml:space="preserve"> PBS listing of pembrolizumab is expected to result in decreased use of </w:t>
      </w:r>
      <w:r w:rsidR="00342DEE">
        <w:t xml:space="preserve">current </w:t>
      </w:r>
      <w:r w:rsidRPr="00E17531">
        <w:t>therapies used to treat the proposed target population, i.e. platinum-based doublet chemotherapy, most often gemcitabine and carboplatin, pemetrexed maintenance in some non-squamous patie</w:t>
      </w:r>
      <w:r w:rsidR="005F66C0" w:rsidRPr="00E17531">
        <w:t>nts, and second-line nivolumab.</w:t>
      </w:r>
    </w:p>
    <w:p w:rsidR="00E64E6C" w:rsidRPr="00E17531" w:rsidRDefault="00013E26" w:rsidP="00E5769A">
      <w:pPr>
        <w:pStyle w:val="ListParagraph"/>
        <w:numPr>
          <w:ilvl w:val="4"/>
          <w:numId w:val="5"/>
        </w:numPr>
        <w:spacing w:before="0" w:after="120"/>
        <w:ind w:left="709" w:hanging="709"/>
      </w:pPr>
      <w:r w:rsidRPr="00E17531">
        <w:rPr>
          <w:color w:val="auto"/>
        </w:rPr>
        <w:t>The</w:t>
      </w:r>
      <w:r w:rsidRPr="00E17531">
        <w:t xml:space="preserve"> estimated financial impact of listing pembrolizumab is summarised in the table below.</w:t>
      </w:r>
    </w:p>
    <w:p w:rsidR="00C95AD8" w:rsidRDefault="00C95AD8">
      <w:pPr>
        <w:spacing w:before="0" w:after="0"/>
        <w:jc w:val="left"/>
        <w:rPr>
          <w:rFonts w:ascii="Arial Narrow" w:hAnsi="Arial Narrow"/>
          <w:b/>
          <w:iCs/>
          <w:color w:val="000000" w:themeColor="text1"/>
          <w:sz w:val="20"/>
          <w:szCs w:val="18"/>
        </w:rPr>
      </w:pPr>
      <w:r>
        <w:br w:type="page"/>
      </w:r>
    </w:p>
    <w:p w:rsidR="00013E26" w:rsidRPr="00E17531" w:rsidRDefault="00013E26" w:rsidP="008F1A10">
      <w:pPr>
        <w:pStyle w:val="Caption"/>
      </w:pPr>
      <w:r w:rsidRPr="00E17531">
        <w:lastRenderedPageBreak/>
        <w:t xml:space="preserve">Table </w:t>
      </w:r>
      <w:r w:rsidR="00E64E6C" w:rsidRPr="00E17531">
        <w:t>1</w:t>
      </w:r>
      <w:r w:rsidR="004C0962" w:rsidRPr="00E17531">
        <w:t>5</w:t>
      </w:r>
      <w:r w:rsidRPr="00E17531">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6"/>
        <w:gridCol w:w="1238"/>
        <w:gridCol w:w="1241"/>
        <w:gridCol w:w="1241"/>
        <w:gridCol w:w="1241"/>
        <w:gridCol w:w="1241"/>
        <w:gridCol w:w="1244"/>
      </w:tblGrid>
      <w:tr w:rsidR="00013E26" w:rsidRPr="00E17531" w:rsidTr="00622343">
        <w:trPr>
          <w:tblHeader/>
        </w:trPr>
        <w:tc>
          <w:tcPr>
            <w:tcW w:w="901" w:type="pct"/>
            <w:shd w:val="clear" w:color="auto" w:fill="auto"/>
            <w:vAlign w:val="center"/>
          </w:tcPr>
          <w:p w:rsidR="00013E26" w:rsidRPr="00E17531" w:rsidRDefault="00013E26" w:rsidP="00622343">
            <w:pPr>
              <w:pStyle w:val="TableText"/>
              <w:rPr>
                <w:szCs w:val="20"/>
              </w:rPr>
            </w:pPr>
          </w:p>
        </w:tc>
        <w:tc>
          <w:tcPr>
            <w:tcW w:w="682" w:type="pct"/>
            <w:shd w:val="clear" w:color="auto" w:fill="auto"/>
            <w:vAlign w:val="center"/>
          </w:tcPr>
          <w:p w:rsidR="00013E26" w:rsidRPr="00E17531" w:rsidRDefault="00013E26" w:rsidP="00622343">
            <w:pPr>
              <w:pStyle w:val="TableText"/>
              <w:jc w:val="center"/>
              <w:rPr>
                <w:b/>
                <w:szCs w:val="20"/>
              </w:rPr>
            </w:pPr>
            <w:r w:rsidRPr="00E17531">
              <w:rPr>
                <w:b/>
                <w:szCs w:val="20"/>
              </w:rPr>
              <w:t>Year 1</w:t>
            </w:r>
          </w:p>
        </w:tc>
        <w:tc>
          <w:tcPr>
            <w:tcW w:w="683" w:type="pct"/>
            <w:shd w:val="clear" w:color="auto" w:fill="auto"/>
            <w:vAlign w:val="center"/>
          </w:tcPr>
          <w:p w:rsidR="00013E26" w:rsidRPr="00E17531" w:rsidRDefault="00013E26" w:rsidP="00622343">
            <w:pPr>
              <w:pStyle w:val="TableText"/>
              <w:jc w:val="center"/>
              <w:rPr>
                <w:b/>
                <w:szCs w:val="20"/>
              </w:rPr>
            </w:pPr>
            <w:r w:rsidRPr="00E17531">
              <w:rPr>
                <w:b/>
                <w:szCs w:val="20"/>
              </w:rPr>
              <w:t>Year 2</w:t>
            </w:r>
          </w:p>
        </w:tc>
        <w:tc>
          <w:tcPr>
            <w:tcW w:w="683" w:type="pct"/>
            <w:shd w:val="clear" w:color="auto" w:fill="auto"/>
            <w:vAlign w:val="center"/>
          </w:tcPr>
          <w:p w:rsidR="00013E26" w:rsidRPr="00E17531" w:rsidRDefault="00013E26" w:rsidP="00622343">
            <w:pPr>
              <w:pStyle w:val="TableText"/>
              <w:jc w:val="center"/>
              <w:rPr>
                <w:b/>
                <w:szCs w:val="20"/>
              </w:rPr>
            </w:pPr>
            <w:r w:rsidRPr="00E17531">
              <w:rPr>
                <w:b/>
                <w:szCs w:val="20"/>
              </w:rPr>
              <w:t>Year 3</w:t>
            </w:r>
          </w:p>
        </w:tc>
        <w:tc>
          <w:tcPr>
            <w:tcW w:w="683" w:type="pct"/>
            <w:shd w:val="clear" w:color="auto" w:fill="auto"/>
            <w:vAlign w:val="center"/>
          </w:tcPr>
          <w:p w:rsidR="00013E26" w:rsidRPr="00E17531" w:rsidRDefault="00013E26" w:rsidP="00622343">
            <w:pPr>
              <w:pStyle w:val="TableText"/>
              <w:jc w:val="center"/>
              <w:rPr>
                <w:b/>
                <w:szCs w:val="20"/>
              </w:rPr>
            </w:pPr>
            <w:r w:rsidRPr="00E17531">
              <w:rPr>
                <w:b/>
                <w:szCs w:val="20"/>
              </w:rPr>
              <w:t>Year 4</w:t>
            </w:r>
          </w:p>
        </w:tc>
        <w:tc>
          <w:tcPr>
            <w:tcW w:w="683" w:type="pct"/>
            <w:shd w:val="clear" w:color="auto" w:fill="auto"/>
            <w:vAlign w:val="center"/>
          </w:tcPr>
          <w:p w:rsidR="00013E26" w:rsidRPr="00E17531" w:rsidRDefault="00013E26" w:rsidP="00622343">
            <w:pPr>
              <w:pStyle w:val="TableText"/>
              <w:jc w:val="center"/>
              <w:rPr>
                <w:b/>
                <w:szCs w:val="20"/>
              </w:rPr>
            </w:pPr>
            <w:r w:rsidRPr="00E17531">
              <w:rPr>
                <w:b/>
                <w:szCs w:val="20"/>
              </w:rPr>
              <w:t>Year 5</w:t>
            </w:r>
          </w:p>
        </w:tc>
        <w:tc>
          <w:tcPr>
            <w:tcW w:w="685" w:type="pct"/>
          </w:tcPr>
          <w:p w:rsidR="00013E26" w:rsidRPr="00E17531" w:rsidRDefault="00013E26" w:rsidP="00622343">
            <w:pPr>
              <w:pStyle w:val="TableText"/>
              <w:jc w:val="center"/>
              <w:rPr>
                <w:b/>
                <w:szCs w:val="20"/>
              </w:rPr>
            </w:pPr>
            <w:r w:rsidRPr="00E17531">
              <w:rPr>
                <w:b/>
                <w:szCs w:val="20"/>
              </w:rPr>
              <w:t>Year 6</w:t>
            </w:r>
          </w:p>
        </w:tc>
      </w:tr>
      <w:tr w:rsidR="00013E26" w:rsidRPr="00E17531" w:rsidTr="00622343">
        <w:tc>
          <w:tcPr>
            <w:tcW w:w="5000" w:type="pct"/>
            <w:gridSpan w:val="7"/>
            <w:shd w:val="clear" w:color="auto" w:fill="auto"/>
            <w:vAlign w:val="center"/>
          </w:tcPr>
          <w:p w:rsidR="00013E26" w:rsidRPr="00E17531" w:rsidRDefault="00013E26" w:rsidP="00622343">
            <w:pPr>
              <w:pStyle w:val="TableText"/>
              <w:rPr>
                <w:b/>
                <w:bCs/>
                <w:color w:val="000000"/>
                <w:szCs w:val="20"/>
              </w:rPr>
            </w:pPr>
            <w:r w:rsidRPr="00E17531">
              <w:rPr>
                <w:b/>
                <w:szCs w:val="20"/>
              </w:rPr>
              <w:t xml:space="preserve">Estimated extent of use </w:t>
            </w:r>
            <w:r w:rsidRPr="00E17531">
              <w:rPr>
                <w:b/>
                <w:bCs/>
                <w:color w:val="000000"/>
                <w:szCs w:val="20"/>
              </w:rPr>
              <w:t>of pembrolizumab</w:t>
            </w:r>
          </w:p>
        </w:tc>
      </w:tr>
      <w:tr w:rsidR="00013E26" w:rsidRPr="00E17531" w:rsidTr="00622343">
        <w:tc>
          <w:tcPr>
            <w:tcW w:w="901" w:type="pct"/>
            <w:shd w:val="clear" w:color="auto" w:fill="auto"/>
            <w:vAlign w:val="center"/>
          </w:tcPr>
          <w:p w:rsidR="00013E26" w:rsidRPr="00E17531" w:rsidRDefault="00013E26" w:rsidP="00622343">
            <w:pPr>
              <w:pStyle w:val="TableText"/>
              <w:jc w:val="left"/>
              <w:rPr>
                <w:rFonts w:eastAsia="Times New Roman" w:cs="Times New Roman"/>
                <w:szCs w:val="20"/>
              </w:rPr>
            </w:pPr>
            <w:r w:rsidRPr="00E17531">
              <w:rPr>
                <w:szCs w:val="20"/>
              </w:rPr>
              <w:t xml:space="preserve">Number of patients likely to be treated </w:t>
            </w:r>
          </w:p>
        </w:tc>
        <w:tc>
          <w:tcPr>
            <w:tcW w:w="682"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5" w:type="pct"/>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r>
      <w:tr w:rsidR="00013E26" w:rsidRPr="00E17531" w:rsidTr="00622343">
        <w:tc>
          <w:tcPr>
            <w:tcW w:w="901" w:type="pct"/>
            <w:shd w:val="clear" w:color="auto" w:fill="auto"/>
            <w:vAlign w:val="center"/>
          </w:tcPr>
          <w:p w:rsidR="00013E26" w:rsidRPr="00E17531" w:rsidRDefault="00013E26" w:rsidP="00622343">
            <w:pPr>
              <w:pStyle w:val="TableText"/>
              <w:jc w:val="left"/>
              <w:rPr>
                <w:rFonts w:eastAsia="Times New Roman" w:cs="Times New Roman"/>
                <w:szCs w:val="20"/>
              </w:rPr>
            </w:pPr>
            <w:r w:rsidRPr="00E17531">
              <w:rPr>
                <w:szCs w:val="20"/>
              </w:rPr>
              <w:t>Number of administrations</w:t>
            </w:r>
            <w:r w:rsidRPr="00E17531">
              <w:rPr>
                <w:szCs w:val="20"/>
                <w:vertAlign w:val="superscript"/>
              </w:rPr>
              <w:t>a</w:t>
            </w:r>
          </w:p>
        </w:tc>
        <w:tc>
          <w:tcPr>
            <w:tcW w:w="682"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c>
          <w:tcPr>
            <w:tcW w:w="685" w:type="pct"/>
            <w:vAlign w:val="center"/>
          </w:tcPr>
          <w:p w:rsidR="00013E26" w:rsidRPr="00E61B46" w:rsidRDefault="00E61B46" w:rsidP="00622343">
            <w:pPr>
              <w:pStyle w:val="TableText"/>
              <w:jc w:val="center"/>
              <w:rPr>
                <w:bCs/>
                <w:color w:val="000000"/>
                <w:szCs w:val="20"/>
                <w:highlight w:val="black"/>
              </w:rPr>
            </w:pPr>
            <w:r>
              <w:rPr>
                <w:noProof/>
                <w:color w:val="000000"/>
                <w:szCs w:val="20"/>
                <w:highlight w:val="black"/>
              </w:rPr>
              <w:t>''''''''''''''''</w:t>
            </w:r>
          </w:p>
        </w:tc>
      </w:tr>
      <w:tr w:rsidR="00013E26" w:rsidRPr="00E17531" w:rsidTr="00622343">
        <w:tc>
          <w:tcPr>
            <w:tcW w:w="5000" w:type="pct"/>
            <w:gridSpan w:val="7"/>
            <w:shd w:val="clear" w:color="auto" w:fill="auto"/>
            <w:vAlign w:val="center"/>
          </w:tcPr>
          <w:p w:rsidR="00013E26" w:rsidRPr="00E17531" w:rsidRDefault="00013E26" w:rsidP="00622343">
            <w:pPr>
              <w:pStyle w:val="TableText"/>
              <w:jc w:val="left"/>
              <w:rPr>
                <w:b/>
                <w:bCs/>
                <w:color w:val="000000"/>
                <w:szCs w:val="20"/>
              </w:rPr>
            </w:pPr>
            <w:r w:rsidRPr="00E17531">
              <w:rPr>
                <w:b/>
                <w:bCs/>
                <w:color w:val="000000"/>
                <w:szCs w:val="20"/>
              </w:rPr>
              <w:t>Estimated financial implications of pembrolizumab to the PBS/RPBS</w:t>
            </w:r>
          </w:p>
        </w:tc>
      </w:tr>
      <w:tr w:rsidR="00013E26" w:rsidRPr="00E17531" w:rsidTr="00622343">
        <w:tc>
          <w:tcPr>
            <w:tcW w:w="901" w:type="pct"/>
            <w:shd w:val="clear" w:color="auto" w:fill="auto"/>
            <w:vAlign w:val="center"/>
          </w:tcPr>
          <w:p w:rsidR="00013E26" w:rsidRPr="00E17531" w:rsidRDefault="00013E26" w:rsidP="00622343">
            <w:pPr>
              <w:pStyle w:val="TableText"/>
              <w:jc w:val="left"/>
              <w:rPr>
                <w:szCs w:val="20"/>
              </w:rPr>
            </w:pPr>
            <w:r w:rsidRPr="00E17531">
              <w:rPr>
                <w:szCs w:val="20"/>
              </w:rPr>
              <w:t>Cost to PBS/RPBS less copayments</w:t>
            </w:r>
            <w:r w:rsidRPr="00E17531">
              <w:rPr>
                <w:szCs w:val="20"/>
                <w:vertAlign w:val="superscript"/>
              </w:rPr>
              <w:t>b</w:t>
            </w:r>
          </w:p>
        </w:tc>
        <w:tc>
          <w:tcPr>
            <w:tcW w:w="682" w:type="pct"/>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5000" w:type="pct"/>
            <w:gridSpan w:val="7"/>
            <w:tcBorders>
              <w:bottom w:val="single" w:sz="4" w:space="0" w:color="auto"/>
            </w:tcBorders>
            <w:shd w:val="clear" w:color="auto" w:fill="auto"/>
            <w:vAlign w:val="center"/>
          </w:tcPr>
          <w:p w:rsidR="00013E26" w:rsidRPr="00E17531" w:rsidRDefault="00013E26" w:rsidP="00622343">
            <w:pPr>
              <w:pStyle w:val="TableText"/>
              <w:jc w:val="left"/>
              <w:rPr>
                <w:bCs/>
                <w:color w:val="000000"/>
                <w:szCs w:val="20"/>
              </w:rPr>
            </w:pPr>
            <w:r w:rsidRPr="00E17531">
              <w:rPr>
                <w:b/>
                <w:bCs/>
                <w:color w:val="000000"/>
                <w:szCs w:val="20"/>
              </w:rPr>
              <w:t xml:space="preserve">Estimated financial implications for platinum-based </w:t>
            </w:r>
            <w:r w:rsidR="00055388" w:rsidRPr="00055388">
              <w:rPr>
                <w:b/>
                <w:bCs/>
                <w:color w:val="000000"/>
                <w:szCs w:val="20"/>
              </w:rPr>
              <w:t xml:space="preserve">doublet </w:t>
            </w:r>
            <w:r w:rsidRPr="00E17531">
              <w:rPr>
                <w:b/>
                <w:bCs/>
                <w:color w:val="000000"/>
                <w:szCs w:val="20"/>
              </w:rPr>
              <w:t>chemotherapy, pemetrexed maintenance and nivolumab</w:t>
            </w:r>
          </w:p>
        </w:tc>
      </w:tr>
      <w:tr w:rsidR="00013E26" w:rsidRPr="00E17531" w:rsidTr="00622343">
        <w:tc>
          <w:tcPr>
            <w:tcW w:w="901" w:type="pct"/>
            <w:tcBorders>
              <w:bottom w:val="nil"/>
            </w:tcBorders>
            <w:shd w:val="clear" w:color="auto" w:fill="auto"/>
            <w:vAlign w:val="center"/>
          </w:tcPr>
          <w:p w:rsidR="00013E26" w:rsidRPr="00E17531" w:rsidRDefault="00013E26" w:rsidP="00622343">
            <w:pPr>
              <w:pStyle w:val="TableText"/>
              <w:jc w:val="left"/>
              <w:rPr>
                <w:szCs w:val="20"/>
              </w:rPr>
            </w:pPr>
            <w:r w:rsidRPr="00E17531">
              <w:rPr>
                <w:szCs w:val="20"/>
              </w:rPr>
              <w:t>Cost to PBS/RPBS less copayments</w:t>
            </w:r>
          </w:p>
        </w:tc>
        <w:tc>
          <w:tcPr>
            <w:tcW w:w="682"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bottom w:val="nil"/>
            </w:tcBorders>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901" w:type="pct"/>
            <w:tcBorders>
              <w:top w:val="nil"/>
            </w:tcBorders>
            <w:shd w:val="clear" w:color="auto" w:fill="auto"/>
            <w:vAlign w:val="center"/>
          </w:tcPr>
          <w:p w:rsidR="00013E26" w:rsidRPr="00E17531" w:rsidRDefault="00013E26" w:rsidP="00622343">
            <w:pPr>
              <w:pStyle w:val="TableText"/>
              <w:ind w:left="251"/>
              <w:jc w:val="left"/>
              <w:rPr>
                <w:szCs w:val="20"/>
              </w:rPr>
            </w:pPr>
            <w:r w:rsidRPr="00E17531">
              <w:rPr>
                <w:szCs w:val="20"/>
              </w:rPr>
              <w:t>Revised</w:t>
            </w:r>
            <w:r w:rsidRPr="00E17531">
              <w:rPr>
                <w:szCs w:val="20"/>
                <w:vertAlign w:val="superscript"/>
              </w:rPr>
              <w:t>c</w:t>
            </w:r>
          </w:p>
        </w:tc>
        <w:tc>
          <w:tcPr>
            <w:tcW w:w="682"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top w:val="nil"/>
            </w:tcBorders>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5000" w:type="pct"/>
            <w:gridSpan w:val="7"/>
            <w:tcBorders>
              <w:bottom w:val="single" w:sz="4" w:space="0" w:color="auto"/>
            </w:tcBorders>
            <w:shd w:val="clear" w:color="auto" w:fill="auto"/>
            <w:vAlign w:val="center"/>
          </w:tcPr>
          <w:p w:rsidR="00013E26" w:rsidRPr="00E17531" w:rsidRDefault="00013E26" w:rsidP="00622343">
            <w:pPr>
              <w:pStyle w:val="TableText"/>
              <w:jc w:val="left"/>
              <w:rPr>
                <w:b/>
                <w:bCs/>
                <w:color w:val="000000"/>
                <w:szCs w:val="20"/>
              </w:rPr>
            </w:pPr>
            <w:r w:rsidRPr="00E17531">
              <w:rPr>
                <w:b/>
                <w:bCs/>
                <w:color w:val="000000"/>
                <w:szCs w:val="20"/>
              </w:rPr>
              <w:t>Net financial implications to the PBS/RPBS</w:t>
            </w:r>
          </w:p>
        </w:tc>
      </w:tr>
      <w:tr w:rsidR="00013E26" w:rsidRPr="00E17531" w:rsidTr="00622343">
        <w:tc>
          <w:tcPr>
            <w:tcW w:w="901" w:type="pct"/>
            <w:tcBorders>
              <w:bottom w:val="nil"/>
            </w:tcBorders>
            <w:shd w:val="clear" w:color="auto" w:fill="auto"/>
            <w:vAlign w:val="center"/>
          </w:tcPr>
          <w:p w:rsidR="00013E26" w:rsidRPr="00E17531" w:rsidRDefault="00013E26" w:rsidP="00622343">
            <w:pPr>
              <w:pStyle w:val="TableText"/>
              <w:jc w:val="left"/>
              <w:rPr>
                <w:szCs w:val="20"/>
              </w:rPr>
            </w:pPr>
            <w:r w:rsidRPr="00E17531">
              <w:rPr>
                <w:szCs w:val="20"/>
              </w:rPr>
              <w:t>Net cost to PBS/RPBS</w:t>
            </w:r>
          </w:p>
        </w:tc>
        <w:tc>
          <w:tcPr>
            <w:tcW w:w="682"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bottom w:val="nil"/>
            </w:tcBorders>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901" w:type="pct"/>
            <w:tcBorders>
              <w:top w:val="nil"/>
            </w:tcBorders>
            <w:shd w:val="clear" w:color="auto" w:fill="auto"/>
            <w:vAlign w:val="center"/>
          </w:tcPr>
          <w:p w:rsidR="00013E26" w:rsidRPr="00E17531" w:rsidRDefault="00013E26" w:rsidP="00622343">
            <w:pPr>
              <w:pStyle w:val="TableText"/>
              <w:ind w:left="251"/>
              <w:jc w:val="left"/>
              <w:rPr>
                <w:szCs w:val="20"/>
              </w:rPr>
            </w:pPr>
            <w:r w:rsidRPr="00E17531">
              <w:rPr>
                <w:szCs w:val="20"/>
              </w:rPr>
              <w:t>Revised</w:t>
            </w:r>
            <w:r w:rsidRPr="00E17531">
              <w:rPr>
                <w:szCs w:val="20"/>
                <w:vertAlign w:val="superscript"/>
              </w:rPr>
              <w:t>c</w:t>
            </w:r>
          </w:p>
        </w:tc>
        <w:tc>
          <w:tcPr>
            <w:tcW w:w="682"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top w:val="nil"/>
            </w:tcBorders>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5000" w:type="pct"/>
            <w:gridSpan w:val="7"/>
            <w:tcBorders>
              <w:bottom w:val="single" w:sz="4" w:space="0" w:color="auto"/>
            </w:tcBorders>
            <w:shd w:val="clear" w:color="auto" w:fill="auto"/>
            <w:vAlign w:val="center"/>
          </w:tcPr>
          <w:p w:rsidR="00013E26" w:rsidRPr="00E17531" w:rsidRDefault="00013E26" w:rsidP="00622343">
            <w:pPr>
              <w:pStyle w:val="TableText"/>
              <w:jc w:val="left"/>
              <w:rPr>
                <w:b/>
                <w:bCs/>
                <w:color w:val="000000"/>
                <w:szCs w:val="20"/>
              </w:rPr>
            </w:pPr>
            <w:r w:rsidRPr="00E17531">
              <w:rPr>
                <w:b/>
                <w:bCs/>
                <w:color w:val="000000"/>
                <w:szCs w:val="20"/>
              </w:rPr>
              <w:t>Net financial implications to the MBS</w:t>
            </w:r>
          </w:p>
        </w:tc>
      </w:tr>
      <w:tr w:rsidR="00013E26" w:rsidRPr="00E17531" w:rsidTr="00622343">
        <w:tc>
          <w:tcPr>
            <w:tcW w:w="901" w:type="pct"/>
            <w:tcBorders>
              <w:bottom w:val="nil"/>
            </w:tcBorders>
            <w:shd w:val="clear" w:color="auto" w:fill="auto"/>
            <w:vAlign w:val="center"/>
          </w:tcPr>
          <w:p w:rsidR="00013E26" w:rsidRPr="00E17531" w:rsidRDefault="00013E26" w:rsidP="00622343">
            <w:pPr>
              <w:pStyle w:val="TableText"/>
              <w:jc w:val="left"/>
              <w:rPr>
                <w:szCs w:val="20"/>
              </w:rPr>
            </w:pPr>
            <w:r w:rsidRPr="00E17531">
              <w:rPr>
                <w:szCs w:val="20"/>
              </w:rPr>
              <w:t>Net cost to MBS</w:t>
            </w:r>
          </w:p>
        </w:tc>
        <w:tc>
          <w:tcPr>
            <w:tcW w:w="682" w:type="pct"/>
            <w:tcBorders>
              <w:bottom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bottom w:val="nil"/>
            </w:tcBorders>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901" w:type="pct"/>
            <w:tcBorders>
              <w:top w:val="nil"/>
            </w:tcBorders>
            <w:shd w:val="clear" w:color="auto" w:fill="auto"/>
            <w:vAlign w:val="center"/>
          </w:tcPr>
          <w:p w:rsidR="00013E26" w:rsidRPr="00E17531" w:rsidRDefault="00013E26" w:rsidP="00622343">
            <w:pPr>
              <w:pStyle w:val="TableText"/>
              <w:ind w:left="251"/>
              <w:jc w:val="left"/>
              <w:rPr>
                <w:szCs w:val="20"/>
              </w:rPr>
            </w:pPr>
            <w:r w:rsidRPr="00E17531">
              <w:rPr>
                <w:szCs w:val="20"/>
              </w:rPr>
              <w:t>Revised</w:t>
            </w:r>
            <w:r w:rsidRPr="00E17531">
              <w:rPr>
                <w:szCs w:val="20"/>
                <w:vertAlign w:val="superscript"/>
              </w:rPr>
              <w:t>d</w:t>
            </w:r>
          </w:p>
        </w:tc>
        <w:tc>
          <w:tcPr>
            <w:tcW w:w="682"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top w:val="nil"/>
            </w:tcBorders>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5000" w:type="pct"/>
            <w:gridSpan w:val="7"/>
            <w:tcBorders>
              <w:bottom w:val="single" w:sz="4" w:space="0" w:color="auto"/>
            </w:tcBorders>
            <w:shd w:val="clear" w:color="auto" w:fill="auto"/>
            <w:vAlign w:val="center"/>
          </w:tcPr>
          <w:p w:rsidR="00013E26" w:rsidRPr="00E17531" w:rsidRDefault="00013E26" w:rsidP="00622343">
            <w:pPr>
              <w:pStyle w:val="TableText"/>
              <w:jc w:val="left"/>
              <w:rPr>
                <w:b/>
                <w:bCs/>
                <w:color w:val="000000"/>
                <w:szCs w:val="20"/>
              </w:rPr>
            </w:pPr>
            <w:r w:rsidRPr="00E17531">
              <w:rPr>
                <w:b/>
                <w:bCs/>
                <w:color w:val="000000"/>
                <w:szCs w:val="20"/>
              </w:rPr>
              <w:t>Net financial implications to the Government</w:t>
            </w:r>
          </w:p>
        </w:tc>
      </w:tr>
      <w:tr w:rsidR="00013E26" w:rsidRPr="00E17531" w:rsidTr="00622343">
        <w:tc>
          <w:tcPr>
            <w:tcW w:w="901" w:type="pct"/>
            <w:tcBorders>
              <w:bottom w:val="nil"/>
            </w:tcBorders>
            <w:shd w:val="clear" w:color="auto" w:fill="auto"/>
            <w:vAlign w:val="center"/>
          </w:tcPr>
          <w:p w:rsidR="00013E26" w:rsidRPr="00E17531" w:rsidRDefault="00013E26" w:rsidP="00622343">
            <w:pPr>
              <w:pStyle w:val="TableText"/>
              <w:jc w:val="left"/>
              <w:rPr>
                <w:szCs w:val="20"/>
              </w:rPr>
            </w:pPr>
            <w:r w:rsidRPr="00E17531">
              <w:rPr>
                <w:szCs w:val="20"/>
              </w:rPr>
              <w:t>Net cost to the Government</w:t>
            </w:r>
          </w:p>
        </w:tc>
        <w:tc>
          <w:tcPr>
            <w:tcW w:w="682"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bottom w:val="nil"/>
            </w:tcBorders>
            <w:shd w:val="clear" w:color="auto" w:fill="auto"/>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bottom w:val="nil"/>
            </w:tcBorders>
            <w:vAlign w:val="center"/>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r w:rsidR="00013E26" w:rsidRPr="00E17531" w:rsidTr="00622343">
        <w:tc>
          <w:tcPr>
            <w:tcW w:w="901" w:type="pct"/>
            <w:tcBorders>
              <w:top w:val="nil"/>
            </w:tcBorders>
            <w:shd w:val="clear" w:color="auto" w:fill="auto"/>
            <w:vAlign w:val="center"/>
          </w:tcPr>
          <w:p w:rsidR="00013E26" w:rsidRPr="00E17531" w:rsidRDefault="00013E26" w:rsidP="00622343">
            <w:pPr>
              <w:pStyle w:val="TableText"/>
              <w:ind w:left="251"/>
              <w:jc w:val="left"/>
              <w:rPr>
                <w:szCs w:val="20"/>
              </w:rPr>
            </w:pPr>
            <w:r w:rsidRPr="00E17531">
              <w:rPr>
                <w:szCs w:val="20"/>
              </w:rPr>
              <w:t>Revised</w:t>
            </w:r>
            <w:r w:rsidRPr="00E17531">
              <w:rPr>
                <w:szCs w:val="20"/>
                <w:vertAlign w:val="superscript"/>
              </w:rPr>
              <w:t>c,d</w:t>
            </w:r>
          </w:p>
        </w:tc>
        <w:tc>
          <w:tcPr>
            <w:tcW w:w="682"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3" w:type="pct"/>
            <w:tcBorders>
              <w:top w:val="nil"/>
            </w:tcBorders>
            <w:shd w:val="clear" w:color="auto" w:fill="auto"/>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c>
          <w:tcPr>
            <w:tcW w:w="685" w:type="pct"/>
            <w:tcBorders>
              <w:top w:val="nil"/>
            </w:tcBorders>
          </w:tcPr>
          <w:p w:rsidR="00013E26" w:rsidRPr="00E61B46" w:rsidRDefault="00E61B46" w:rsidP="00580DFA">
            <w:pPr>
              <w:pStyle w:val="TableText"/>
              <w:jc w:val="center"/>
              <w:rPr>
                <w:bCs/>
                <w:color w:val="000000"/>
                <w:szCs w:val="20"/>
                <w:highlight w:val="black"/>
              </w:rPr>
            </w:pPr>
            <w:r>
              <w:rPr>
                <w:noProof/>
                <w:color w:val="000000"/>
                <w:szCs w:val="20"/>
                <w:highlight w:val="black"/>
              </w:rPr>
              <w:t>''''''''''''''''''''''''''''''</w:t>
            </w:r>
          </w:p>
        </w:tc>
      </w:tr>
    </w:tbl>
    <w:p w:rsidR="00013E26" w:rsidRPr="00E17531" w:rsidRDefault="00013E26" w:rsidP="00622343">
      <w:pPr>
        <w:pStyle w:val="TableFooter"/>
      </w:pPr>
      <w:r w:rsidRPr="00E17531">
        <w:rPr>
          <w:vertAlign w:val="superscript"/>
        </w:rPr>
        <w:t>a</w:t>
      </w:r>
      <w:r w:rsidRPr="00E17531">
        <w:t xml:space="preserve"> The average number of administrations per patient for pembrolizumab was based on the modelled time on treatment used in the economic evaluation, </w:t>
      </w:r>
      <w:r w:rsidR="00E61B46">
        <w:rPr>
          <w:noProof/>
          <w:color w:val="000000"/>
          <w:highlight w:val="black"/>
        </w:rPr>
        <w:t>'''' '''''''''''''' '''' ''''''''''' ''' ''''' ''''''''''''''''''''''' ''''''''''' ''''' ''''''''''''' '''''</w:t>
      </w:r>
    </w:p>
    <w:p w:rsidR="00013E26" w:rsidRPr="00E17531" w:rsidRDefault="00013E26" w:rsidP="00622343">
      <w:pPr>
        <w:pStyle w:val="TableFooter"/>
      </w:pPr>
      <w:r w:rsidRPr="00E17531">
        <w:rPr>
          <w:vertAlign w:val="superscript"/>
        </w:rPr>
        <w:t xml:space="preserve">b </w:t>
      </w:r>
      <w:r w:rsidRPr="00E17531">
        <w:t>Using the proposed effective price for pembrolizumab</w:t>
      </w:r>
    </w:p>
    <w:p w:rsidR="00622343" w:rsidRPr="00E17531" w:rsidRDefault="00013E26" w:rsidP="00622343">
      <w:pPr>
        <w:pStyle w:val="TableFooter"/>
      </w:pPr>
      <w:r w:rsidRPr="00E17531">
        <w:rPr>
          <w:vertAlign w:val="superscript"/>
        </w:rPr>
        <w:t xml:space="preserve">c </w:t>
      </w:r>
      <w:r w:rsidRPr="00E17531">
        <w:t xml:space="preserve">When calculating the number of patients who would be treated with second-line nivolumab, the resubmission erroneously multiplied the switching rate by the number of patients receiving first-line pembrolizumab, not the number of patients receiving </w:t>
      </w:r>
      <w:r w:rsidR="00055388" w:rsidRPr="00055388">
        <w:t xml:space="preserve">platinum-based </w:t>
      </w:r>
      <w:r w:rsidRPr="00E17531">
        <w:t>doublet chemotherapy. This error was revised during the evaluation.</w:t>
      </w:r>
    </w:p>
    <w:p w:rsidR="00013E26" w:rsidRPr="00E17531" w:rsidRDefault="00013E26" w:rsidP="00622343">
      <w:pPr>
        <w:pStyle w:val="TableFooter"/>
      </w:pPr>
      <w:r w:rsidRPr="00E17531">
        <w:rPr>
          <w:vertAlign w:val="superscript"/>
        </w:rPr>
        <w:t>d</w:t>
      </w:r>
      <w:r w:rsidRPr="00E17531">
        <w:t xml:space="preserve"> Estimates were revised during the evaluation by including costs for disease management and drug administration.</w:t>
      </w:r>
    </w:p>
    <w:p w:rsidR="00317085" w:rsidRDefault="00013E26" w:rsidP="00622343">
      <w:pPr>
        <w:pStyle w:val="TableFooter"/>
      </w:pPr>
      <w:r w:rsidRPr="00E17531">
        <w:t>Source: Table 4.2-10, p261, Table 4.2-12, p263, Table 4.3-5, p267, Table 4.4-15, p275, Table 4.7-3, p283, and Table 4.5-2, p276 of the resubmission. Estimates in italics were calculated during the evaluation.</w:t>
      </w:r>
    </w:p>
    <w:p w:rsidR="00317085" w:rsidRPr="00E17531" w:rsidRDefault="00317085" w:rsidP="00317085">
      <w:pPr>
        <w:pStyle w:val="ListParagraph"/>
        <w:spacing w:before="0" w:after="120"/>
        <w:ind w:left="576" w:firstLine="0"/>
      </w:pPr>
      <w:r w:rsidRPr="00070622">
        <w:t>The redacted table shows that at year 5, the estimated number of patients was less than 10,000 per year</w:t>
      </w:r>
      <w:r w:rsidR="00F636CB">
        <w:t xml:space="preserve"> </w:t>
      </w:r>
      <w:r w:rsidR="00F636CB" w:rsidRPr="00F636CB">
        <w:t>and the net cost to the PBS would be</w:t>
      </w:r>
      <w:r w:rsidR="00F636CB">
        <w:t xml:space="preserve"> $30 - $100 million</w:t>
      </w:r>
      <w:r w:rsidRPr="00070622">
        <w:t>.</w:t>
      </w:r>
    </w:p>
    <w:p w:rsidR="00013E26" w:rsidRPr="00E17531" w:rsidRDefault="00013E26" w:rsidP="00E5769A">
      <w:pPr>
        <w:pStyle w:val="ListParagraph"/>
        <w:numPr>
          <w:ilvl w:val="4"/>
          <w:numId w:val="5"/>
        </w:numPr>
        <w:spacing w:before="0" w:after="120"/>
        <w:ind w:left="709" w:hanging="709"/>
      </w:pPr>
      <w:r w:rsidRPr="00E17531">
        <w:t xml:space="preserve">The decreased use of second-line nivolumab as a result of pembrolizumab listing was not considered in the previous submission, but was taken into account in the current resubmission. In estimating the cost offset associated with second-line nivolumab, the resubmission erroneously calculated the number of patients receiving second-line nivolumab by multiplying the switching rate (64.2%) by the number of patients likely to receive first-line pembrolizumab, not by the number of patients who would otherwise receive platinum-based </w:t>
      </w:r>
      <w:r w:rsidR="00055388">
        <w:t xml:space="preserve">doublet </w:t>
      </w:r>
      <w:r w:rsidRPr="00E17531">
        <w:t xml:space="preserve">chemotherapy. After correcting this error, the nivolumab cost to the PBS/RPBS would decrease by around 29% compared </w:t>
      </w:r>
      <w:r w:rsidR="00643008">
        <w:t xml:space="preserve">to </w:t>
      </w:r>
      <w:r w:rsidRPr="00E17531">
        <w:t xml:space="preserve">the submission’s estimate. The cost-offset relating to second-line nivolumab was estimated to be </w:t>
      </w:r>
      <w:r w:rsidR="00FD10C0">
        <w:t>$10 - $30 million</w:t>
      </w:r>
      <w:r w:rsidRPr="00E17531">
        <w:t xml:space="preserve"> in the first 6 years of listing, which accounted for about </w:t>
      </w:r>
      <w:r w:rsidR="00E61B46">
        <w:rPr>
          <w:noProof/>
          <w:color w:val="000000"/>
          <w:highlight w:val="black"/>
        </w:rPr>
        <w:t>''''''</w:t>
      </w:r>
      <w:r w:rsidRPr="00E17531">
        <w:t xml:space="preserve">% of the total </w:t>
      </w:r>
      <w:r w:rsidR="00643008" w:rsidRPr="00E17531">
        <w:t>cost</w:t>
      </w:r>
      <w:r w:rsidR="00643008">
        <w:t>-</w:t>
      </w:r>
      <w:r w:rsidRPr="00E17531">
        <w:t xml:space="preserve">offsets associated with the listing of pembrolizumab. The inclusion of nivolumab following first-line </w:t>
      </w:r>
      <w:r w:rsidR="00055388">
        <w:t xml:space="preserve">platinum-based </w:t>
      </w:r>
      <w:r w:rsidRPr="00E17531">
        <w:t xml:space="preserve">doublet </w:t>
      </w:r>
      <w:r w:rsidRPr="00E17531">
        <w:lastRenderedPageBreak/>
        <w:t xml:space="preserve">chemotherapy in the financial analysis would result in an increase in the proportion of the pembrolizumab cost to the PBS/RPBS offset by other medicines from </w:t>
      </w:r>
      <w:r w:rsidR="00E61B46">
        <w:rPr>
          <w:noProof/>
          <w:color w:val="000000"/>
          <w:highlight w:val="black"/>
        </w:rPr>
        <w:t>'''</w:t>
      </w:r>
      <w:r w:rsidRPr="00E17531">
        <w:t xml:space="preserve">% - </w:t>
      </w:r>
      <w:r w:rsidR="00E61B46">
        <w:rPr>
          <w:noProof/>
          <w:color w:val="000000"/>
          <w:highlight w:val="black"/>
        </w:rPr>
        <w:t>''</w:t>
      </w:r>
      <w:r w:rsidRPr="00E17531">
        <w:t xml:space="preserve">% in the previous submission to </w:t>
      </w:r>
      <w:r w:rsidR="00E61B46">
        <w:rPr>
          <w:noProof/>
          <w:color w:val="000000"/>
          <w:highlight w:val="black"/>
        </w:rPr>
        <w:t>'''''</w:t>
      </w:r>
      <w:r w:rsidRPr="00E17531">
        <w:t xml:space="preserve">% - </w:t>
      </w:r>
      <w:r w:rsidR="00E61B46">
        <w:rPr>
          <w:noProof/>
          <w:color w:val="000000"/>
          <w:highlight w:val="black"/>
        </w:rPr>
        <w:t>''''''</w:t>
      </w:r>
      <w:r w:rsidRPr="00E17531">
        <w:t>% in the current resubmission.</w:t>
      </w:r>
    </w:p>
    <w:p w:rsidR="00013E26" w:rsidRPr="00E17531" w:rsidRDefault="00013E26" w:rsidP="00E5769A">
      <w:pPr>
        <w:pStyle w:val="ListParagraph"/>
        <w:numPr>
          <w:ilvl w:val="4"/>
          <w:numId w:val="5"/>
        </w:numPr>
        <w:spacing w:before="0" w:after="120"/>
        <w:ind w:left="709" w:hanging="709"/>
      </w:pPr>
      <w:r w:rsidRPr="00E17531">
        <w:t xml:space="preserve">The resubmission could have overestimated the cost-offsets associated with the proposed listing of pembrolizumab, as the treatment duration for platinum-based doublet chemotherapy and pemetrexed maintenance therapy used in the financial analysis was longer than the modelled time on treatment in the economic evaluation. The resubmission’s assumption of 12 (2-week) cycles for nivolumab as second-line therapy following platinum chemotherapy is a likely overestimate. Using the modelled number of treatment cycles for </w:t>
      </w:r>
      <w:r w:rsidR="00055388">
        <w:t xml:space="preserve">platinum-based doublet </w:t>
      </w:r>
      <w:r w:rsidRPr="00E17531">
        <w:t xml:space="preserve">chemotherapy and pemetrexed and reducing the duration of nivolumab treatment from </w:t>
      </w:r>
      <w:r w:rsidR="00E61B46">
        <w:rPr>
          <w:noProof/>
          <w:color w:val="000000"/>
          <w:highlight w:val="black"/>
        </w:rPr>
        <w:t>'''''' '''''''''''''' '''''' ''''''''''''''''''' '''''''''''''</w:t>
      </w:r>
      <w:r w:rsidRPr="00E17531">
        <w:t xml:space="preserve"> to 2.4 months</w:t>
      </w:r>
      <w:r w:rsidRPr="00E17531">
        <w:rPr>
          <w:rStyle w:val="FootnoteReference"/>
        </w:rPr>
        <w:footnoteReference w:id="8"/>
      </w:r>
      <w:r w:rsidRPr="00E17531">
        <w:t xml:space="preserve"> (5.2 cycles), the net cost to the PBS/RPBS would be </w:t>
      </w:r>
      <w:r w:rsidR="00317085">
        <w:t>$30 - $60 million per year</w:t>
      </w:r>
      <w:r w:rsidRPr="00E17531">
        <w:t xml:space="preserve"> in Year 1 of listing, increasing to </w:t>
      </w:r>
      <w:r w:rsidR="00317085">
        <w:t>$60 - $100 million per year</w:t>
      </w:r>
      <w:r w:rsidRPr="00E17531">
        <w:t xml:space="preserve"> in Year 6, based on the</w:t>
      </w:r>
      <w:r w:rsidR="00921B0C" w:rsidRPr="00E17531">
        <w:t xml:space="preserve"> submission’s</w:t>
      </w:r>
      <w:r w:rsidRPr="00E17531">
        <w:t xml:space="preserve"> estimated price of nivolumab. </w:t>
      </w:r>
    </w:p>
    <w:p w:rsidR="00013E26" w:rsidRPr="00E17531" w:rsidRDefault="00013E26" w:rsidP="00E5769A">
      <w:pPr>
        <w:pStyle w:val="ListParagraph"/>
        <w:numPr>
          <w:ilvl w:val="4"/>
          <w:numId w:val="5"/>
        </w:numPr>
        <w:spacing w:before="0" w:after="120"/>
        <w:ind w:left="709" w:hanging="709"/>
      </w:pPr>
      <w:r w:rsidRPr="00E17531">
        <w:t>Pembrolizumab use may displace rather than replace comparator platinum chemotherapy use. The exclusion of costs associated with second-line platinum</w:t>
      </w:r>
      <w:r w:rsidR="00055388">
        <w:t>-based</w:t>
      </w:r>
      <w:r w:rsidRPr="00E17531">
        <w:t xml:space="preserve"> doublet chemotherapy following first-line pembrolizumab in the financial analysis favours pembrolizumab.</w:t>
      </w:r>
      <w:r w:rsidR="006200DA" w:rsidRPr="00E17531">
        <w:t xml:space="preserve"> The PBAC considered that the cost of second-line chemotherapy should be accounted for in the financial analyses.</w:t>
      </w:r>
    </w:p>
    <w:p w:rsidR="000F4A74" w:rsidRPr="00E17531" w:rsidRDefault="00013E26" w:rsidP="00E5769A">
      <w:pPr>
        <w:pStyle w:val="ListParagraph"/>
        <w:numPr>
          <w:ilvl w:val="4"/>
          <w:numId w:val="5"/>
        </w:numPr>
        <w:spacing w:before="0" w:after="120"/>
        <w:ind w:left="709" w:hanging="709"/>
      </w:pPr>
      <w:r w:rsidRPr="00E17531">
        <w:rPr>
          <w:color w:val="auto"/>
        </w:rPr>
        <w:t>There</w:t>
      </w:r>
      <w:r w:rsidRPr="00E17531">
        <w:t xml:space="preserve"> is potential for pembrolizumab use in patients who</w:t>
      </w:r>
      <w:r w:rsidR="001F2BE0">
        <w:t>se tumours</w:t>
      </w:r>
      <w:r w:rsidRPr="00E17531">
        <w:t xml:space="preserve"> express lower levels of PD-L1 (TPS &lt;50%), particularly in those that we</w:t>
      </w:r>
      <w:r w:rsidR="005F66C0" w:rsidRPr="00E17531">
        <w:t>akly express PD-L1 (TPS 1-49%).</w:t>
      </w:r>
    </w:p>
    <w:p w:rsidR="000F4A74" w:rsidRPr="00E17531" w:rsidRDefault="000F4A74" w:rsidP="00E5769A">
      <w:pPr>
        <w:pStyle w:val="ListParagraph"/>
        <w:numPr>
          <w:ilvl w:val="4"/>
          <w:numId w:val="5"/>
        </w:numPr>
        <w:spacing w:before="0" w:after="120"/>
        <w:ind w:left="709" w:hanging="709"/>
      </w:pPr>
      <w:r w:rsidRPr="00E17531">
        <w:t xml:space="preserve">The PSCR (p7) stated that the cost to the PBS of treating patients with pembrolizumab was updated </w:t>
      </w:r>
      <w:r w:rsidR="00643008">
        <w:t xml:space="preserve">to </w:t>
      </w:r>
      <w:r w:rsidR="00643008" w:rsidRPr="00E17531">
        <w:t>tak</w:t>
      </w:r>
      <w:r w:rsidR="00643008">
        <w:t>e</w:t>
      </w:r>
      <w:r w:rsidR="00643008" w:rsidRPr="00E17531">
        <w:t xml:space="preserve"> </w:t>
      </w:r>
      <w:r w:rsidRPr="00E17531">
        <w:t>feedback from the evaluation</w:t>
      </w:r>
      <w:r w:rsidR="00643008">
        <w:t xml:space="preserve"> </w:t>
      </w:r>
      <w:r w:rsidR="00643008" w:rsidRPr="00E17531">
        <w:t>into consideration</w:t>
      </w:r>
      <w:r w:rsidRPr="00E17531">
        <w:t xml:space="preserve">. The PSCR provided a revised financial model, which was not </w:t>
      </w:r>
      <w:r w:rsidR="005F66C0" w:rsidRPr="00E17531">
        <w:t>independently verified</w:t>
      </w:r>
      <w:r w:rsidRPr="00E17531">
        <w:t>.</w:t>
      </w:r>
    </w:p>
    <w:p w:rsidR="00013E26" w:rsidRPr="00E17531" w:rsidRDefault="00013E26" w:rsidP="00AD25EE">
      <w:pPr>
        <w:pStyle w:val="ESHeading2"/>
      </w:pPr>
      <w:r w:rsidRPr="00E17531">
        <w:t>Quality use of medicines</w:t>
      </w:r>
    </w:p>
    <w:p w:rsidR="00013E26" w:rsidRPr="00E17531" w:rsidRDefault="00013E26" w:rsidP="00E5769A">
      <w:pPr>
        <w:pStyle w:val="ListParagraph"/>
        <w:numPr>
          <w:ilvl w:val="4"/>
          <w:numId w:val="5"/>
        </w:numPr>
        <w:spacing w:before="0" w:after="120"/>
        <w:ind w:left="709" w:hanging="709"/>
        <w:rPr>
          <w:color w:val="auto"/>
        </w:rPr>
      </w:pPr>
      <w:r w:rsidRPr="00E17531">
        <w:rPr>
          <w:color w:val="auto"/>
        </w:rPr>
        <w:t>When the PBAC considered the previous submission, the Committee noted that a greater awareness, recognition and management of immune-related AEs was likely to have occurred in the KN-010 trial before AEs progressed to ≥ Grade 3. Until there is adequate familiarity with immunotherapy and its side effects, AE rates in practice may be higher than observed in the trial (Item 6.04, pembrolizumab PSD, March 2017 PBAC meeting). The resubmission noted that the sponsor will provide updated information to physicians, nurses, pharmacists and patients, education programs and a ‘1-800’ telephone medical information service to ensure appropriate use of pembrolizumab including identifying and managing potential immune-related adverse events.</w:t>
      </w:r>
    </w:p>
    <w:p w:rsidR="00013E26" w:rsidRPr="00E17531" w:rsidRDefault="00013E26" w:rsidP="00AD25EE">
      <w:pPr>
        <w:pStyle w:val="ESHeading2"/>
      </w:pPr>
      <w:r w:rsidRPr="00E17531">
        <w:t>Financial management – risk sharing arrangements</w:t>
      </w:r>
    </w:p>
    <w:p w:rsidR="00013E26" w:rsidRPr="00E17531" w:rsidRDefault="00013E26" w:rsidP="00E5769A">
      <w:pPr>
        <w:pStyle w:val="ListParagraph"/>
        <w:numPr>
          <w:ilvl w:val="4"/>
          <w:numId w:val="5"/>
        </w:numPr>
        <w:spacing w:before="0" w:after="120"/>
        <w:ind w:left="709" w:hanging="709"/>
        <w:rPr>
          <w:color w:val="auto"/>
        </w:rPr>
      </w:pPr>
      <w:r w:rsidRPr="00E17531">
        <w:rPr>
          <w:color w:val="auto"/>
        </w:rPr>
        <w:t>The submission proposed a Special Pricing Arrangement (SPA).</w:t>
      </w:r>
    </w:p>
    <w:p w:rsidR="00013E26" w:rsidRPr="00E17531" w:rsidRDefault="00013E26" w:rsidP="00E5769A">
      <w:pPr>
        <w:pStyle w:val="ListParagraph"/>
        <w:numPr>
          <w:ilvl w:val="4"/>
          <w:numId w:val="5"/>
        </w:numPr>
        <w:spacing w:before="0" w:after="120"/>
        <w:ind w:left="709" w:hanging="709"/>
        <w:rPr>
          <w:color w:val="auto"/>
        </w:rPr>
      </w:pPr>
      <w:r w:rsidRPr="00E17531">
        <w:rPr>
          <w:color w:val="auto"/>
        </w:rPr>
        <w:lastRenderedPageBreak/>
        <w:t xml:space="preserve">The economic analysis and financial analysis were conducted by assuming patients still on pembrolizumab therapy would cease treatment at 2 years. The resubmission stated that a Deed of Agreement would be required if pembrolizumab is recommended, </w:t>
      </w:r>
      <w:r w:rsidR="00643008" w:rsidRPr="00E17531">
        <w:rPr>
          <w:color w:val="auto"/>
        </w:rPr>
        <w:t>based on</w:t>
      </w:r>
      <w:r w:rsidRPr="00E17531">
        <w:rPr>
          <w:color w:val="auto"/>
        </w:rPr>
        <w:t xml:space="preserve"> the administrations by treatment year </w:t>
      </w:r>
      <w:r w:rsidR="00643008" w:rsidRPr="00E17531">
        <w:rPr>
          <w:color w:val="auto"/>
        </w:rPr>
        <w:t>to</w:t>
      </w:r>
      <w:r w:rsidRPr="00E17531">
        <w:rPr>
          <w:color w:val="auto"/>
        </w:rPr>
        <w:t xml:space="preserve"> account for the costs associated with the patient at the appropriate time point.</w:t>
      </w:r>
    </w:p>
    <w:p w:rsidR="000D7013" w:rsidRPr="00E17531" w:rsidRDefault="000D7013" w:rsidP="000D7013">
      <w:pPr>
        <w:pStyle w:val="ListParagraph"/>
        <w:numPr>
          <w:ilvl w:val="4"/>
          <w:numId w:val="5"/>
        </w:numPr>
        <w:spacing w:before="0" w:after="120"/>
        <w:ind w:left="709" w:hanging="709"/>
      </w:pPr>
      <w:r w:rsidRPr="00E17531">
        <w:t>The PBAC considered that a PBS listing of first-line pembrolizumab would impact on the Deed of Agreement for nivolumab. The PBAC considered that if pembrolizumab was made available on the PBS, there would only be a minor increase in the total number of patients treated for metastatic Stage IV NSCLC either in the first- or second-line setting, above what was estimated for the nivolumab caps at the time of negotiations with the sponsor of nivolumab. From first principles, the increase would comprise those patients with metastatic Stage IV NSCLC eligible in first-line who would otherwise not remain eligible in second-line, reduced by the proportion of first-line patients who</w:t>
      </w:r>
      <w:r w:rsidR="001F2BE0">
        <w:t>se tumours</w:t>
      </w:r>
      <w:r w:rsidRPr="00E17531">
        <w:t xml:space="preserve"> do not express a high level of PD-L1 (i.e. have a TPS of &lt;50%).</w:t>
      </w:r>
    </w:p>
    <w:p w:rsidR="0093243A" w:rsidRPr="00E17531" w:rsidRDefault="0093243A" w:rsidP="00E5769A">
      <w:pPr>
        <w:pStyle w:val="ListParagraph"/>
        <w:numPr>
          <w:ilvl w:val="4"/>
          <w:numId w:val="5"/>
        </w:numPr>
        <w:spacing w:before="0" w:after="120"/>
        <w:ind w:left="709" w:hanging="709"/>
        <w:rPr>
          <w:color w:val="auto"/>
        </w:rPr>
      </w:pPr>
      <w:r w:rsidRPr="00E17531">
        <w:rPr>
          <w:color w:val="auto"/>
        </w:rPr>
        <w:t>The PBAC</w:t>
      </w:r>
      <w:r w:rsidR="00B201C6" w:rsidRPr="00E17531">
        <w:rPr>
          <w:color w:val="auto"/>
        </w:rPr>
        <w:t xml:space="preserve"> </w:t>
      </w:r>
      <w:r w:rsidR="00C90AC9" w:rsidRPr="00E17531">
        <w:rPr>
          <w:color w:val="auto"/>
        </w:rPr>
        <w:t>advised that negotiations with the sponsor to determine the best approach for a</w:t>
      </w:r>
      <w:r w:rsidR="00605A73" w:rsidRPr="00E17531">
        <w:rPr>
          <w:color w:val="auto"/>
        </w:rPr>
        <w:t>ny</w:t>
      </w:r>
      <w:r w:rsidR="00C90AC9" w:rsidRPr="00E17531">
        <w:rPr>
          <w:color w:val="auto"/>
        </w:rPr>
        <w:t xml:space="preserve"> RSA would need to be discussed in the context of the existing RSA for nivolumab in NSCLC.</w:t>
      </w:r>
    </w:p>
    <w:p w:rsidR="0093243A" w:rsidRPr="00E17531" w:rsidRDefault="0093243A" w:rsidP="0093243A">
      <w:pPr>
        <w:pStyle w:val="ListParagraph"/>
        <w:ind w:left="720" w:firstLine="0"/>
        <w:rPr>
          <w:rFonts w:cs="Arial"/>
          <w:bCs/>
          <w:snapToGrid w:val="0"/>
          <w:szCs w:val="24"/>
        </w:rPr>
      </w:pPr>
      <w:r w:rsidRPr="00E17531">
        <w:rPr>
          <w:rFonts w:cs="Arial"/>
          <w:bCs/>
          <w:i/>
          <w:snapToGrid w:val="0"/>
          <w:szCs w:val="24"/>
        </w:rPr>
        <w:t>For more detail on PBAC’s view, see section 7 “PBAC outcome”.</w:t>
      </w:r>
    </w:p>
    <w:p w:rsidR="00F41798" w:rsidRPr="00E17531" w:rsidRDefault="00F41798" w:rsidP="00F41798">
      <w:pPr>
        <w:pStyle w:val="PBACHeading1"/>
        <w:numPr>
          <w:ilvl w:val="0"/>
          <w:numId w:val="18"/>
        </w:numPr>
        <w:spacing w:before="0" w:after="0"/>
        <w:outlineLvl w:val="0"/>
        <w:rPr>
          <w:rFonts w:asciiTheme="minorHAnsi" w:hAnsiTheme="minorHAnsi"/>
          <w:sz w:val="32"/>
          <w:szCs w:val="32"/>
        </w:rPr>
      </w:pPr>
      <w:r w:rsidRPr="00E17531">
        <w:rPr>
          <w:rFonts w:asciiTheme="minorHAnsi" w:hAnsiTheme="minorHAnsi"/>
          <w:sz w:val="32"/>
          <w:szCs w:val="32"/>
        </w:rPr>
        <w:t xml:space="preserve">PBAC </w:t>
      </w:r>
      <w:r w:rsidR="00315A49" w:rsidRPr="00E17531">
        <w:rPr>
          <w:rFonts w:asciiTheme="minorHAnsi" w:hAnsiTheme="minorHAnsi"/>
          <w:sz w:val="32"/>
          <w:szCs w:val="32"/>
        </w:rPr>
        <w:t>o</w:t>
      </w:r>
      <w:r w:rsidRPr="00E17531">
        <w:rPr>
          <w:rFonts w:asciiTheme="minorHAnsi" w:hAnsiTheme="minorHAnsi"/>
          <w:sz w:val="32"/>
          <w:szCs w:val="32"/>
        </w:rPr>
        <w:t>utcome</w:t>
      </w:r>
    </w:p>
    <w:p w:rsidR="00F41798" w:rsidRPr="00E17531" w:rsidRDefault="00F41798" w:rsidP="00315A49">
      <w:pPr>
        <w:pStyle w:val="ListParagraph"/>
        <w:numPr>
          <w:ilvl w:val="4"/>
          <w:numId w:val="5"/>
        </w:numPr>
        <w:spacing w:after="120"/>
        <w:ind w:left="709" w:hanging="709"/>
      </w:pPr>
      <w:r w:rsidRPr="00E17531">
        <w:t>The PBAC deferred making a recommendation to list pembrolizumab</w:t>
      </w:r>
      <w:r w:rsidR="00105C47" w:rsidRPr="00E17531">
        <w:t xml:space="preserve"> for the first-</w:t>
      </w:r>
      <w:r w:rsidRPr="00E17531">
        <w:t xml:space="preserve">line treatment of patients with metastatic (Stage IV) non-small cell lung cancer (NSCLC), who </w:t>
      </w:r>
      <w:r w:rsidR="00022A86" w:rsidRPr="00E17531">
        <w:t>do not have an activating epidermal growth factor receptor (</w:t>
      </w:r>
      <w:r w:rsidR="00022A86" w:rsidRPr="00E17531">
        <w:rPr>
          <w:i/>
          <w:iCs/>
        </w:rPr>
        <w:t>EGFR</w:t>
      </w:r>
      <w:r w:rsidR="00022A86" w:rsidRPr="00E17531">
        <w:t>) gene mutation or an anaplastic lymphoma kinas</w:t>
      </w:r>
      <w:r w:rsidR="0017467E" w:rsidRPr="00E17531">
        <w:t>e</w:t>
      </w:r>
      <w:r w:rsidR="00022A86" w:rsidRPr="00E17531">
        <w:t xml:space="preserve"> (</w:t>
      </w:r>
      <w:r w:rsidR="00022A86" w:rsidRPr="00E17531">
        <w:rPr>
          <w:i/>
          <w:iCs/>
        </w:rPr>
        <w:t>ALK</w:t>
      </w:r>
      <w:r w:rsidR="00022A86" w:rsidRPr="00E17531">
        <w:t xml:space="preserve">) gene rearrangement in tumour material, and </w:t>
      </w:r>
      <w:r w:rsidR="00F66B6A">
        <w:t xml:space="preserve">whose tumours </w:t>
      </w:r>
      <w:r w:rsidRPr="00E17531">
        <w:t xml:space="preserve">express </w:t>
      </w:r>
      <w:r w:rsidR="00F66B6A">
        <w:t xml:space="preserve">high levels </w:t>
      </w:r>
      <w:r w:rsidRPr="00E17531">
        <w:t xml:space="preserve">of programmed cell death ligand 1 (PD-L1), defined as a tumour proportion score (TPS) of ≥50%. </w:t>
      </w:r>
      <w:r w:rsidR="00AA5FFD" w:rsidRPr="00E17531">
        <w:t>In deciding to defer, t</w:t>
      </w:r>
      <w:r w:rsidRPr="00E17531">
        <w:t>he PBAC advis</w:t>
      </w:r>
      <w:r w:rsidR="00AA5FFD" w:rsidRPr="00E17531">
        <w:t>ed</w:t>
      </w:r>
      <w:r w:rsidRPr="00E17531">
        <w:t xml:space="preserve"> that </w:t>
      </w:r>
      <w:r w:rsidR="006B2C26">
        <w:t>(</w:t>
      </w:r>
      <w:r w:rsidR="00A7042F">
        <w:t xml:space="preserve">i) </w:t>
      </w:r>
      <w:r w:rsidRPr="00E17531">
        <w:t>a further price reduction would be required for acceptable cost effectiveness once necessary changes are made to the economic evaluation</w:t>
      </w:r>
      <w:r w:rsidR="006B2C26">
        <w:t>;</w:t>
      </w:r>
      <w:r w:rsidR="00A7042F">
        <w:t xml:space="preserve"> </w:t>
      </w:r>
      <w:r w:rsidR="006B2C26">
        <w:t>(</w:t>
      </w:r>
      <w:r w:rsidR="00A7042F">
        <w:t>ii) n</w:t>
      </w:r>
      <w:r w:rsidRPr="00E17531">
        <w:t>egotiations with the sponsor are required to determine the best approach for a Risk Sharing Agreement (RSA) in the context of the existing RSA for nivolumab in NSCLC</w:t>
      </w:r>
      <w:r w:rsidR="006B2C26">
        <w:t>;</w:t>
      </w:r>
      <w:r w:rsidRPr="00E17531">
        <w:t xml:space="preserve"> and </w:t>
      </w:r>
      <w:r w:rsidR="006B2C26">
        <w:t>(</w:t>
      </w:r>
      <w:r w:rsidR="00A7042F">
        <w:t>iii)</w:t>
      </w:r>
      <w:r w:rsidRPr="00E17531">
        <w:t xml:space="preserve"> updated advice is needed from the Medical Advisory Services Committee (MSAC) in relation to the codependent PD-L1 test.</w:t>
      </w:r>
      <w:r w:rsidR="00407CFC" w:rsidRPr="00E17531">
        <w:t xml:space="preserve"> The PBAC also advised that, if MSAC subsequently decided to support the MBS listing for PD-L1, it would support the listing of pembrolizumab according to the circumstances supported by MSAC, once the PBAC’s other concerns were resolved.</w:t>
      </w:r>
    </w:p>
    <w:p w:rsidR="00652458" w:rsidRPr="00E17531" w:rsidRDefault="000465E4" w:rsidP="008D1616">
      <w:pPr>
        <w:pStyle w:val="ListParagraph"/>
        <w:numPr>
          <w:ilvl w:val="4"/>
          <w:numId w:val="5"/>
        </w:numPr>
        <w:spacing w:before="0" w:after="120"/>
        <w:ind w:left="709" w:hanging="709"/>
      </w:pPr>
      <w:r w:rsidRPr="00E17531">
        <w:t>The PBAC noted that the revised restriction</w:t>
      </w:r>
      <w:r w:rsidR="00407CFC" w:rsidRPr="00E17531">
        <w:t>s</w:t>
      </w:r>
      <w:r w:rsidRPr="00E17531">
        <w:t xml:space="preserve"> provided in the resubmission appropriately addressed the Committee’s previous concerns with regard to limiting the disease stage to Stage IV, performance status, and removing the eligibility for retreatment of patients who previously responded to treatment. </w:t>
      </w:r>
      <w:r w:rsidR="00793446" w:rsidRPr="00E17531">
        <w:t xml:space="preserve">The PBAC also agreed with the </w:t>
      </w:r>
      <w:r w:rsidR="00E21F55" w:rsidRPr="00E17531">
        <w:t xml:space="preserve">further changes suggested by the </w:t>
      </w:r>
      <w:r w:rsidR="00793446" w:rsidRPr="00E17531">
        <w:t>Secretariat for consistency with similar restrictions</w:t>
      </w:r>
      <w:r w:rsidR="00E21F55" w:rsidRPr="00E17531">
        <w:t xml:space="preserve"> and to align </w:t>
      </w:r>
      <w:r w:rsidR="0024064F" w:rsidRPr="00E17531">
        <w:t xml:space="preserve">the numbers of repeats </w:t>
      </w:r>
      <w:r w:rsidR="00E21F55" w:rsidRPr="00E17531">
        <w:t>with the maximum number of infusions allowed in the TGA-approved product information</w:t>
      </w:r>
      <w:r w:rsidR="00793446" w:rsidRPr="00E17531">
        <w:t>.</w:t>
      </w:r>
      <w:r w:rsidR="00256FE7" w:rsidRPr="00E17531">
        <w:t xml:space="preserve"> </w:t>
      </w:r>
      <w:r w:rsidR="00895CD1" w:rsidRPr="00E17531">
        <w:t>The PBAC also foreshadowed that, i</w:t>
      </w:r>
      <w:r w:rsidR="00256FE7" w:rsidRPr="00E17531">
        <w:t xml:space="preserve">n the event of any recommendation to list </w:t>
      </w:r>
      <w:r w:rsidR="007F6D03" w:rsidRPr="00E17531">
        <w:t>pembrolizumab,</w:t>
      </w:r>
      <w:r w:rsidR="00256FE7" w:rsidRPr="00E17531">
        <w:t xml:space="preserve"> as </w:t>
      </w:r>
      <w:r w:rsidR="00256FE7" w:rsidRPr="00E17531">
        <w:lastRenderedPageBreak/>
        <w:t>first-line therapy in metastatic NSCLC, both its restriction and that of nivolumab would need to be modified to prevent PBS-subsidised sequential immunotherapy.</w:t>
      </w:r>
    </w:p>
    <w:p w:rsidR="00784CDE" w:rsidRPr="00E17531" w:rsidRDefault="00784CDE" w:rsidP="00784CDE">
      <w:pPr>
        <w:pStyle w:val="ListParagraph"/>
        <w:numPr>
          <w:ilvl w:val="4"/>
          <w:numId w:val="5"/>
        </w:numPr>
        <w:spacing w:before="0" w:after="120"/>
        <w:ind w:left="709" w:hanging="709"/>
      </w:pPr>
      <w:r w:rsidRPr="00E17531">
        <w:t>The PBAC noted that, since its first consideration of pembrolizumab for first-line metastatic NSCLC in patients with TPS of ≥50% in March 2017, nivolumab (another PD-L1 inhibitor) has become PBS subsidised for the second-line treatment of NSCLC. The PBAC considered that this had shifted the clinical context and clinical need in the treatment of metastatic NSCLC, as patients who</w:t>
      </w:r>
      <w:r w:rsidR="001F2BE0">
        <w:t>se tumours</w:t>
      </w:r>
      <w:r w:rsidRPr="00E17531">
        <w:t xml:space="preserve"> do not have high expression of PD-L1 and do not qualify for pembrolizumab in the first-line setting, may still access nivolumab in the second-line setting.</w:t>
      </w:r>
    </w:p>
    <w:p w:rsidR="00611DF2" w:rsidRPr="00E17531" w:rsidRDefault="00611DF2" w:rsidP="006B2C26">
      <w:pPr>
        <w:pStyle w:val="ListParagraph"/>
        <w:numPr>
          <w:ilvl w:val="4"/>
          <w:numId w:val="5"/>
        </w:numPr>
        <w:spacing w:before="0" w:after="120"/>
        <w:ind w:left="709" w:hanging="709"/>
      </w:pPr>
      <w:r w:rsidRPr="00E17531">
        <w:t xml:space="preserve">The PBAC noted that the resubmission provided no new evidence to justify the choice of the 50% TPS threshold as discriminatory for a clinically relevant variation in effect from pembrolizumab treatment. Similarly, the resubmission did not provide comparative evidence of the effectiveness of pembrolizumab in patients with tumour expression of PD-L1 TPS &lt;50%. The PBAC considered </w:t>
      </w:r>
      <w:r w:rsidR="00C3565F" w:rsidRPr="00E17531">
        <w:t xml:space="preserve">that </w:t>
      </w:r>
      <w:r w:rsidRPr="00E17531">
        <w:t xml:space="preserve">it is likely that pembrolizumab </w:t>
      </w:r>
      <w:r w:rsidR="00C3565F" w:rsidRPr="00E17531">
        <w:t>is</w:t>
      </w:r>
      <w:r w:rsidRPr="00E17531">
        <w:t xml:space="preserve"> effective in at least a proportion of these patients, although to a lesser extent than in</w:t>
      </w:r>
      <w:r w:rsidR="00C3565F" w:rsidRPr="00E17531">
        <w:t xml:space="preserve"> those with a</w:t>
      </w:r>
      <w:r w:rsidRPr="00E17531">
        <w:t xml:space="preserve"> TPS ≥50%, if </w:t>
      </w:r>
      <w:r w:rsidR="00C3565F" w:rsidRPr="00E17531">
        <w:t xml:space="preserve">it is accepted that there is a link between increasing pembrolizumab </w:t>
      </w:r>
      <w:r w:rsidRPr="00E17531">
        <w:t xml:space="preserve">treatment effect with increasing </w:t>
      </w:r>
      <w:r w:rsidR="00C3565F" w:rsidRPr="00E17531">
        <w:t xml:space="preserve">strength of </w:t>
      </w:r>
      <w:r w:rsidRPr="00E17531">
        <w:t xml:space="preserve">PD-L1 expression. The PBAC also considered that there is the possibility of leakage in instances where patients’ PD-L1 expression sits just below the TPS threshold, however, </w:t>
      </w:r>
      <w:r w:rsidR="00C3565F" w:rsidRPr="00E17531">
        <w:t xml:space="preserve">advised </w:t>
      </w:r>
      <w:r w:rsidRPr="00E17531">
        <w:t>that this</w:t>
      </w:r>
      <w:r w:rsidR="00AE37B3" w:rsidRPr="00E17531">
        <w:t xml:space="preserve"> </w:t>
      </w:r>
      <w:r w:rsidR="00C3565F" w:rsidRPr="00E17531">
        <w:t>risk could</w:t>
      </w:r>
      <w:r w:rsidR="00AE37B3" w:rsidRPr="00E17531">
        <w:t xml:space="preserve"> be managed through </w:t>
      </w:r>
      <w:r w:rsidR="00C3565F" w:rsidRPr="00E17531">
        <w:t>an</w:t>
      </w:r>
      <w:r w:rsidR="00AE37B3" w:rsidRPr="00E17531">
        <w:t xml:space="preserve"> RSA. Additionally, the PBAC considered that pa</w:t>
      </w:r>
      <w:r w:rsidR="006B28FF" w:rsidRPr="00E17531">
        <w:t>tients who</w:t>
      </w:r>
      <w:r w:rsidR="001F2BE0">
        <w:t>se tumours</w:t>
      </w:r>
      <w:r w:rsidR="006B28FF" w:rsidRPr="00E17531">
        <w:t xml:space="preserve"> </w:t>
      </w:r>
      <w:r w:rsidR="001F2BE0">
        <w:t>express</w:t>
      </w:r>
      <w:r w:rsidR="00AE37B3" w:rsidRPr="00E17531">
        <w:t xml:space="preserve"> TPS &lt;50% and/or are false negatives</w:t>
      </w:r>
      <w:r w:rsidR="006B28FF" w:rsidRPr="00E17531">
        <w:t xml:space="preserve"> and</w:t>
      </w:r>
      <w:r w:rsidRPr="00E17531">
        <w:t xml:space="preserve"> </w:t>
      </w:r>
      <w:r w:rsidR="00C3565F" w:rsidRPr="00E17531">
        <w:t xml:space="preserve">so would </w:t>
      </w:r>
      <w:r w:rsidRPr="00E17531">
        <w:t xml:space="preserve">not qualify for first-line pembrolizumab </w:t>
      </w:r>
      <w:r w:rsidR="00C3565F" w:rsidRPr="00E17531">
        <w:t>st</w:t>
      </w:r>
      <w:r w:rsidRPr="00E17531">
        <w:t xml:space="preserve">ill have the option of nivolumab in the second-line setting. </w:t>
      </w:r>
      <w:r w:rsidR="00AE37B3" w:rsidRPr="00E17531">
        <w:t xml:space="preserve">Therefore, the PBAC considered that its concerns regarding the clinical utility of the PD-L1 test and the TPS threshold </w:t>
      </w:r>
      <w:r w:rsidR="00C3565F" w:rsidRPr="00E17531">
        <w:t>we</w:t>
      </w:r>
      <w:r w:rsidR="00AE37B3" w:rsidRPr="00E17531">
        <w:t>re of less clinical importance in the current clinical setting where nivolumab is available second-line, than at its March 2017 consideration of the pembrolizumab submission (where nivolumab</w:t>
      </w:r>
      <w:r w:rsidR="00C3565F" w:rsidRPr="00E17531">
        <w:t xml:space="preserve"> was not available on the PBS).</w:t>
      </w:r>
      <w:r w:rsidR="006B2C26">
        <w:t xml:space="preserve"> The PBAC foreshadowed that</w:t>
      </w:r>
      <w:r w:rsidR="00882FA5">
        <w:t>,</w:t>
      </w:r>
      <w:r w:rsidR="006B2C26">
        <w:t xml:space="preserve"> in the event of a recommendation to list, the committee would propose changing the relevant criterion in the restriction to “</w:t>
      </w:r>
      <w:r w:rsidR="006B2C26" w:rsidRPr="006B2C26">
        <w:t xml:space="preserve">Patient must have evidence of programmed cell death ligand 1 (PD-L1) expression in at least 50% of tumour cells in </w:t>
      </w:r>
      <w:r w:rsidR="006B2C26">
        <w:t xml:space="preserve">the </w:t>
      </w:r>
      <w:r w:rsidR="006B2C26" w:rsidRPr="006B2C26">
        <w:t>tumour sample</w:t>
      </w:r>
      <w:r w:rsidR="006B2C26">
        <w:t>”.</w:t>
      </w:r>
    </w:p>
    <w:p w:rsidR="000465E4" w:rsidRPr="00E17531" w:rsidRDefault="006B3E81" w:rsidP="008D1616">
      <w:pPr>
        <w:pStyle w:val="ListParagraph"/>
        <w:numPr>
          <w:ilvl w:val="4"/>
          <w:numId w:val="5"/>
        </w:numPr>
        <w:spacing w:before="0" w:after="120"/>
        <w:ind w:left="709" w:hanging="709"/>
      </w:pPr>
      <w:r w:rsidRPr="00E17531">
        <w:t xml:space="preserve">The </w:t>
      </w:r>
      <w:r w:rsidR="00C3565F" w:rsidRPr="00E17531">
        <w:t xml:space="preserve">PBAC agreed with the </w:t>
      </w:r>
      <w:r w:rsidRPr="00E17531">
        <w:t>submission</w:t>
      </w:r>
      <w:r w:rsidR="00C3565F" w:rsidRPr="00E17531">
        <w:t>’s</w:t>
      </w:r>
      <w:r w:rsidRPr="00E17531">
        <w:t xml:space="preserve"> nominat</w:t>
      </w:r>
      <w:r w:rsidR="00C3565F" w:rsidRPr="00E17531">
        <w:t>ion of</w:t>
      </w:r>
      <w:r w:rsidRPr="00E17531">
        <w:t xml:space="preserve"> platinum-based doublet chemotherapy as the main comparator for pembrolizum</w:t>
      </w:r>
      <w:r w:rsidR="001F0038" w:rsidRPr="00E17531">
        <w:t>ab in the proposed population</w:t>
      </w:r>
      <w:r w:rsidRPr="00E17531">
        <w:t xml:space="preserve">. </w:t>
      </w:r>
      <w:r w:rsidR="00687FE1" w:rsidRPr="00E17531">
        <w:t>However, t</w:t>
      </w:r>
      <w:r w:rsidR="001F0038" w:rsidRPr="00E17531">
        <w:t xml:space="preserve">he PBAC </w:t>
      </w:r>
      <w:r w:rsidR="00687FE1" w:rsidRPr="00E17531">
        <w:t xml:space="preserve">also </w:t>
      </w:r>
      <w:r w:rsidR="001F0038" w:rsidRPr="00E17531">
        <w:t>considered that pembrolizumab may displace rather than replace platinum-b</w:t>
      </w:r>
      <w:r w:rsidR="00687FE1" w:rsidRPr="00E17531">
        <w:t>ased doublet chemotherapy use.</w:t>
      </w:r>
    </w:p>
    <w:p w:rsidR="003D30FA" w:rsidRPr="00E17531" w:rsidRDefault="003F3C9D" w:rsidP="008D1616">
      <w:pPr>
        <w:pStyle w:val="ListParagraph"/>
        <w:numPr>
          <w:ilvl w:val="4"/>
          <w:numId w:val="5"/>
        </w:numPr>
        <w:spacing w:before="0" w:after="120"/>
        <w:ind w:left="709" w:hanging="709"/>
      </w:pPr>
      <w:r w:rsidRPr="00E17531">
        <w:t>The PBAC considered that the claim</w:t>
      </w:r>
      <w:r w:rsidR="00687FE1" w:rsidRPr="00E17531">
        <w:t>s</w:t>
      </w:r>
      <w:r w:rsidRPr="00E17531">
        <w:t xml:space="preserve"> of superior comparative effectiveness (in terms of both progression-free survival and overall survival) and superior comparative safety were both reasonable. The PBAC considered that the trial data was robust, however noted that</w:t>
      </w:r>
      <w:r w:rsidR="00687FE1" w:rsidRPr="00E17531">
        <w:t>,</w:t>
      </w:r>
      <w:r w:rsidRPr="00E17531">
        <w:t xml:space="preserve"> although the median duration of follow up had increased to 25 months, less than half of the patients in the pembrolizumab arm died during the observation period. The OS data</w:t>
      </w:r>
      <w:r w:rsidR="00687FE1" w:rsidRPr="00E17531">
        <w:t xml:space="preserve"> in the final analysis supplied in the </w:t>
      </w:r>
      <w:r w:rsidR="00CA697C" w:rsidRPr="00E17531">
        <w:t>PSCR</w:t>
      </w:r>
      <w:r w:rsidRPr="00E17531">
        <w:t>, therefore, remain</w:t>
      </w:r>
      <w:r w:rsidR="00687FE1" w:rsidRPr="00E17531">
        <w:t>ed</w:t>
      </w:r>
      <w:r w:rsidRPr="00E17531">
        <w:t xml:space="preserve"> immature to estimate </w:t>
      </w:r>
      <w:r w:rsidR="007F6D03" w:rsidRPr="00E17531">
        <w:t xml:space="preserve">reliably </w:t>
      </w:r>
      <w:r w:rsidRPr="00E17531">
        <w:t>the</w:t>
      </w:r>
      <w:r w:rsidR="009F5BAE" w:rsidRPr="00E17531">
        <w:t xml:space="preserve"> magnitude of</w:t>
      </w:r>
      <w:r w:rsidRPr="00E17531">
        <w:t xml:space="preserve"> long-term survival benefits of pembrolizumab versus platinum-based doublet chemotherapy in the proposed target population. </w:t>
      </w:r>
      <w:r w:rsidR="009F5BAE" w:rsidRPr="00E17531">
        <w:t xml:space="preserve">The PBAC noted that approximately six patients would need to receive treatment with pembrolizumab for one additional survivor over two years. </w:t>
      </w:r>
      <w:r w:rsidRPr="00E17531">
        <w:t>The PBAC noted that</w:t>
      </w:r>
      <w:r w:rsidR="00687FE1" w:rsidRPr="00E17531">
        <w:t>, overall,</w:t>
      </w:r>
      <w:r w:rsidRPr="00E17531">
        <w:t xml:space="preserve"> pembrolizumab </w:t>
      </w:r>
      <w:r w:rsidR="00687FE1" w:rsidRPr="00E17531">
        <w:t>i</w:t>
      </w:r>
      <w:r w:rsidRPr="00E17531">
        <w:t xml:space="preserve">s less toxic than platinum-based </w:t>
      </w:r>
      <w:r w:rsidR="00055388">
        <w:lastRenderedPageBreak/>
        <w:t xml:space="preserve">doublet </w:t>
      </w:r>
      <w:r w:rsidRPr="00E17531">
        <w:t xml:space="preserve">chemotherapy, but </w:t>
      </w:r>
      <w:r w:rsidR="00687FE1" w:rsidRPr="00E17531">
        <w:t>i</w:t>
      </w:r>
      <w:r w:rsidRPr="00E17531">
        <w:t xml:space="preserve">s associated with </w:t>
      </w:r>
      <w:r w:rsidR="009E7742" w:rsidRPr="00E17531">
        <w:t xml:space="preserve">a </w:t>
      </w:r>
      <w:r w:rsidR="00687FE1" w:rsidRPr="00E17531">
        <w:t>higher risk of immune-</w:t>
      </w:r>
      <w:r w:rsidRPr="00E17531">
        <w:t xml:space="preserve">mediated adverse events. </w:t>
      </w:r>
      <w:r w:rsidR="009F5BAE" w:rsidRPr="00E17531">
        <w:t>The PBAC considered that autoimmune toxicities could be significant for a minority of patients, noting that</w:t>
      </w:r>
      <w:r w:rsidR="00687FE1" w:rsidRPr="00E17531">
        <w:t>,</w:t>
      </w:r>
      <w:r w:rsidR="009F5BAE" w:rsidRPr="00E17531">
        <w:t xml:space="preserve"> for approximately every 11 patients treated with pembrolizumab, there would be one case of Grade 3, 4 or 5</w:t>
      </w:r>
      <w:r w:rsidR="00687FE1" w:rsidRPr="00E17531">
        <w:t xml:space="preserve"> immune-mediated adverse event.</w:t>
      </w:r>
    </w:p>
    <w:p w:rsidR="009063A1" w:rsidRPr="00E17531" w:rsidRDefault="009063A1" w:rsidP="009063A1">
      <w:pPr>
        <w:pStyle w:val="ListParagraph"/>
        <w:numPr>
          <w:ilvl w:val="4"/>
          <w:numId w:val="5"/>
        </w:numPr>
        <w:spacing w:before="0" w:after="120"/>
        <w:ind w:left="709" w:hanging="709"/>
        <w:rPr>
          <w:color w:val="auto"/>
        </w:rPr>
      </w:pPr>
      <w:r w:rsidRPr="00E17531">
        <w:t>The PBAC recalled its consideration of the March 2017 submission that the data from KN-024 on quality of life were equivocal, and provided a weak basis to judge whether pembrolizumab resulted in no detriment to quality of life or possibly improved quality of life</w:t>
      </w:r>
      <w:r w:rsidR="000401D6" w:rsidRPr="00E17531">
        <w:t xml:space="preserve"> </w:t>
      </w:r>
      <w:r w:rsidR="000401D6" w:rsidRPr="00E17531">
        <w:rPr>
          <w:color w:val="auto"/>
        </w:rPr>
        <w:t>(Item 6.04, pembrolizumab PSD, March 2017 PBAC meeting)</w:t>
      </w:r>
      <w:r w:rsidRPr="00E17531">
        <w:t xml:space="preserve">. The PBAC noted the </w:t>
      </w:r>
      <w:r w:rsidRPr="00E17531">
        <w:rPr>
          <w:color w:val="auto"/>
        </w:rPr>
        <w:t>resubmission did not provide any new clinical evidence to address this uncertainty.</w:t>
      </w:r>
    </w:p>
    <w:p w:rsidR="00351609" w:rsidRPr="00E17531" w:rsidRDefault="005E10C6" w:rsidP="008D1616">
      <w:pPr>
        <w:pStyle w:val="ListParagraph"/>
        <w:numPr>
          <w:ilvl w:val="4"/>
          <w:numId w:val="5"/>
        </w:numPr>
        <w:spacing w:before="0" w:after="120"/>
        <w:ind w:left="709" w:hanging="709"/>
      </w:pPr>
      <w:r w:rsidRPr="00E17531">
        <w:t xml:space="preserve">The PBAC </w:t>
      </w:r>
      <w:r w:rsidR="009B7429" w:rsidRPr="00E17531">
        <w:t>noted</w:t>
      </w:r>
      <w:r w:rsidR="00687FE1" w:rsidRPr="00E17531">
        <w:t xml:space="preserve"> </w:t>
      </w:r>
      <w:r w:rsidRPr="00E17531">
        <w:t xml:space="preserve">the </w:t>
      </w:r>
      <w:r w:rsidR="00687FE1" w:rsidRPr="00E17531">
        <w:t xml:space="preserve">following </w:t>
      </w:r>
      <w:r w:rsidRPr="00E17531">
        <w:t>key issues with the economic model identified by the ESCs</w:t>
      </w:r>
      <w:r w:rsidR="00687FE1" w:rsidRPr="00E17531">
        <w:t>.</w:t>
      </w:r>
    </w:p>
    <w:p w:rsidR="007D514C" w:rsidRPr="00E17531" w:rsidRDefault="007D514C" w:rsidP="00C5009E">
      <w:pPr>
        <w:pStyle w:val="ListParagraph"/>
        <w:numPr>
          <w:ilvl w:val="0"/>
          <w:numId w:val="10"/>
        </w:numPr>
        <w:spacing w:before="0" w:after="120"/>
        <w:ind w:left="1276" w:hanging="426"/>
      </w:pPr>
      <w:r w:rsidRPr="00E17531">
        <w:t>The post hoc use of the Chow test</w:t>
      </w:r>
      <w:r w:rsidR="003834C1" w:rsidRPr="00E17531">
        <w:t>.</w:t>
      </w:r>
    </w:p>
    <w:p w:rsidR="00351609" w:rsidRPr="00E17531" w:rsidRDefault="00351609" w:rsidP="00C5009E">
      <w:pPr>
        <w:pStyle w:val="ListParagraph"/>
        <w:numPr>
          <w:ilvl w:val="0"/>
          <w:numId w:val="10"/>
        </w:numPr>
        <w:spacing w:before="0" w:after="120"/>
        <w:ind w:left="1276" w:hanging="426"/>
      </w:pPr>
      <w:r w:rsidRPr="00E17531">
        <w:t xml:space="preserve">The selection of a log-logistic distribution to extrapolate OS with pembrolizumab in the base case was not adequately justified as it was not the best fit for the clinical data or by Akaike Information Criterion or Bayesian Information Criterion. The use of log-logistic extrapolation resulted in an </w:t>
      </w:r>
      <w:r w:rsidR="00687FE1" w:rsidRPr="00E17531">
        <w:t>over</w:t>
      </w:r>
      <w:r w:rsidR="00CA697C" w:rsidRPr="00E17531">
        <w:t>-</w:t>
      </w:r>
      <w:r w:rsidRPr="00E17531">
        <w:t>optimistic projected survival associated with pembrolizumab.</w:t>
      </w:r>
    </w:p>
    <w:p w:rsidR="00351609" w:rsidRPr="00E17531" w:rsidRDefault="00351609" w:rsidP="00C5009E">
      <w:pPr>
        <w:pStyle w:val="ListParagraph"/>
        <w:numPr>
          <w:ilvl w:val="0"/>
          <w:numId w:val="10"/>
        </w:numPr>
        <w:spacing w:before="0" w:after="120"/>
        <w:ind w:left="1276" w:hanging="426"/>
      </w:pPr>
      <w:r w:rsidRPr="00E17531">
        <w:t xml:space="preserve">The mean </w:t>
      </w:r>
      <w:r w:rsidRPr="00E17531">
        <w:rPr>
          <w:color w:val="auto"/>
          <w:szCs w:val="24"/>
        </w:rPr>
        <w:t>treatment</w:t>
      </w:r>
      <w:r w:rsidRPr="00E17531">
        <w:t xml:space="preserve"> duration for second-line nivolumab as assumed in the resubmission (</w:t>
      </w:r>
      <w:r w:rsidR="00E61B46">
        <w:rPr>
          <w:noProof/>
          <w:color w:val="000000"/>
          <w:highlight w:val="black"/>
        </w:rPr>
        <w:t>'''''' ''''''''''''''''</w:t>
      </w:r>
      <w:r w:rsidRPr="00E17531">
        <w:t xml:space="preserve">) </w:t>
      </w:r>
      <w:r w:rsidR="006747BE">
        <w:t>wa</w:t>
      </w:r>
      <w:r w:rsidRPr="00E17531">
        <w:t>s a likely overestimate.</w:t>
      </w:r>
      <w:r w:rsidR="00B309A2" w:rsidRPr="00E17531">
        <w:t xml:space="preserve"> </w:t>
      </w:r>
      <w:r w:rsidRPr="00E17531">
        <w:t xml:space="preserve">This favoured the strategy of testing for PD-L1 positivity (TPS ≥50%) and subsequent treatment of PD-L1 positive patients, compared with the </w:t>
      </w:r>
      <w:r w:rsidR="000D7013">
        <w:t>current</w:t>
      </w:r>
      <w:r w:rsidRPr="00E17531">
        <w:t xml:space="preserve"> care (i.e. no PD-L1 testing + platinum</w:t>
      </w:r>
      <w:r w:rsidR="00055388">
        <w:t>-based</w:t>
      </w:r>
      <w:r w:rsidRPr="00E17531">
        <w:t xml:space="preserve"> doublet chemotherapy).</w:t>
      </w:r>
    </w:p>
    <w:p w:rsidR="007177E8" w:rsidRPr="00E17531" w:rsidRDefault="00351609" w:rsidP="008D1616">
      <w:pPr>
        <w:pStyle w:val="ListParagraph"/>
        <w:numPr>
          <w:ilvl w:val="4"/>
          <w:numId w:val="5"/>
        </w:numPr>
        <w:spacing w:before="0" w:after="120"/>
        <w:ind w:left="709" w:hanging="709"/>
      </w:pPr>
      <w:r w:rsidRPr="00E17531">
        <w:t>The PBAC recalled that it previously considered that that application of the Chow test would only be appropriate if the “structural changes” of the model slope were known a priori (</w:t>
      </w:r>
      <w:r w:rsidR="00C5009E" w:rsidRPr="00E17531">
        <w:t>p</w:t>
      </w:r>
      <w:r w:rsidRPr="00E17531">
        <w:t xml:space="preserve">embrolizumab PSD, March 2017). </w:t>
      </w:r>
      <w:r w:rsidR="007F6D03" w:rsidRPr="00E17531">
        <w:t>Therefore,</w:t>
      </w:r>
      <w:r w:rsidRPr="00E17531">
        <w:t xml:space="preserve"> the PBAC considered that use of the Chow test was inappropriate</w:t>
      </w:r>
      <w:r w:rsidR="00A80AB5" w:rsidRPr="00E17531">
        <w:t xml:space="preserve"> in the context of the modelling</w:t>
      </w:r>
      <w:r w:rsidRPr="00E17531">
        <w:t xml:space="preserve">, and that </w:t>
      </w:r>
      <w:r w:rsidR="00A80AB5" w:rsidRPr="00E17531">
        <w:t xml:space="preserve">a consequence might have been </w:t>
      </w:r>
      <w:r w:rsidRPr="00E17531">
        <w:t xml:space="preserve">to </w:t>
      </w:r>
      <w:r w:rsidR="00A80AB5" w:rsidRPr="00E17531">
        <w:t xml:space="preserve">increase </w:t>
      </w:r>
      <w:r w:rsidRPr="00E17531">
        <w:t xml:space="preserve">the </w:t>
      </w:r>
      <w:r w:rsidR="00A80AB5" w:rsidRPr="00E17531">
        <w:t xml:space="preserve">modelled </w:t>
      </w:r>
      <w:r w:rsidRPr="00E17531">
        <w:t>OS difference.</w:t>
      </w:r>
      <w:r w:rsidR="009355D7" w:rsidRPr="00E17531">
        <w:t xml:space="preserve"> The PBAC also considered that use of the Chow test to </w:t>
      </w:r>
      <w:r w:rsidR="003834C1" w:rsidRPr="00E17531">
        <w:t>determine</w:t>
      </w:r>
      <w:r w:rsidR="009355D7" w:rsidRPr="00E17531">
        <w:t xml:space="preserve"> the start point of </w:t>
      </w:r>
      <w:r w:rsidR="003834C1" w:rsidRPr="00E17531">
        <w:t xml:space="preserve">the goodness of fit comparison </w:t>
      </w:r>
      <w:r w:rsidR="009355D7" w:rsidRPr="00E17531">
        <w:t xml:space="preserve">later in the Kaplan-Meier curve </w:t>
      </w:r>
      <w:r w:rsidR="003834C1" w:rsidRPr="00E17531">
        <w:t xml:space="preserve">rather than from the start of the trial </w:t>
      </w:r>
      <w:r w:rsidR="009355D7" w:rsidRPr="00E17531">
        <w:t xml:space="preserve">added a further source of uncertainty in extrapolating the affected </w:t>
      </w:r>
      <w:r w:rsidR="003834C1" w:rsidRPr="00E17531">
        <w:t xml:space="preserve">inputs to </w:t>
      </w:r>
      <w:r w:rsidR="009355D7" w:rsidRPr="00E17531">
        <w:t>the economic eva</w:t>
      </w:r>
      <w:r w:rsidR="003834C1" w:rsidRPr="00E17531">
        <w:t>luation from the clinical data.</w:t>
      </w:r>
    </w:p>
    <w:p w:rsidR="009B7429" w:rsidRPr="00E17531" w:rsidRDefault="009B7429" w:rsidP="008D1616">
      <w:pPr>
        <w:pStyle w:val="ListParagraph"/>
        <w:numPr>
          <w:ilvl w:val="4"/>
          <w:numId w:val="5"/>
        </w:numPr>
        <w:spacing w:before="0" w:after="120"/>
        <w:ind w:left="709" w:hanging="709"/>
      </w:pPr>
      <w:r w:rsidRPr="00E17531">
        <w:rPr>
          <w:color w:val="auto"/>
        </w:rPr>
        <w:t>The PBAC agreed with the ESCs</w:t>
      </w:r>
      <w:r w:rsidR="00F47B1B">
        <w:rPr>
          <w:color w:val="auto"/>
        </w:rPr>
        <w:t>’ view</w:t>
      </w:r>
      <w:r w:rsidRPr="00E17531">
        <w:rPr>
          <w:color w:val="auto"/>
        </w:rPr>
        <w:t xml:space="preserve"> that the log-logistic extrapolation was not appropriate, and considered that truncating the model at 7.5 years did not address the issue of clinical plausibility. The PBAC advised that using the more conservative exponential distribution </w:t>
      </w:r>
      <w:r w:rsidR="001F3641">
        <w:rPr>
          <w:color w:val="auto"/>
        </w:rPr>
        <w:t xml:space="preserve">for both interventions </w:t>
      </w:r>
      <w:r w:rsidR="001F3641" w:rsidRPr="00E17531">
        <w:rPr>
          <w:color w:val="auto"/>
        </w:rPr>
        <w:t xml:space="preserve">would </w:t>
      </w:r>
      <w:r w:rsidR="001F3641">
        <w:rPr>
          <w:color w:val="auto"/>
        </w:rPr>
        <w:t xml:space="preserve">have </w:t>
      </w:r>
      <w:r w:rsidR="001F3641" w:rsidRPr="00E17531">
        <w:rPr>
          <w:color w:val="auto"/>
        </w:rPr>
        <w:t>be</w:t>
      </w:r>
      <w:r w:rsidR="001F3641">
        <w:rPr>
          <w:color w:val="auto"/>
        </w:rPr>
        <w:t>en</w:t>
      </w:r>
      <w:r w:rsidR="001F3641" w:rsidRPr="00E17531">
        <w:rPr>
          <w:color w:val="auto"/>
        </w:rPr>
        <w:t xml:space="preserve"> more appropriate</w:t>
      </w:r>
      <w:r w:rsidR="001F3641">
        <w:rPr>
          <w:color w:val="auto"/>
        </w:rPr>
        <w:t xml:space="preserve"> for the model as presented</w:t>
      </w:r>
      <w:r w:rsidRPr="00E17531">
        <w:rPr>
          <w:color w:val="auto"/>
        </w:rPr>
        <w:t>.</w:t>
      </w:r>
    </w:p>
    <w:p w:rsidR="007F6D03" w:rsidRPr="007F6D03" w:rsidRDefault="009B7429" w:rsidP="009B7429">
      <w:pPr>
        <w:pStyle w:val="ListParagraph"/>
        <w:numPr>
          <w:ilvl w:val="4"/>
          <w:numId w:val="5"/>
        </w:numPr>
        <w:spacing w:before="0" w:after="120"/>
        <w:ind w:left="709" w:hanging="709"/>
      </w:pPr>
      <w:r w:rsidRPr="00E17531">
        <w:rPr>
          <w:szCs w:val="24"/>
        </w:rPr>
        <w:t>The PBAC agreed with the ESCs’ views on the treatment duration of second-line nivolumab, noting that</w:t>
      </w:r>
      <w:r w:rsidR="007F6D03">
        <w:rPr>
          <w:szCs w:val="24"/>
        </w:rPr>
        <w:t>:</w:t>
      </w:r>
    </w:p>
    <w:p w:rsidR="007F6D03" w:rsidRDefault="009B7429" w:rsidP="007F6D03">
      <w:pPr>
        <w:pStyle w:val="ListParagraph"/>
        <w:numPr>
          <w:ilvl w:val="0"/>
          <w:numId w:val="10"/>
        </w:numPr>
        <w:spacing w:before="0" w:after="120"/>
        <w:ind w:left="1276" w:hanging="426"/>
      </w:pPr>
      <w:r w:rsidRPr="007F6D03">
        <w:t xml:space="preserve">the health outcomes in the model reflected the 64.2% of trial participants crossing over to a PD-1 inhibitor, so if this basis were to be changed in </w:t>
      </w:r>
      <w:r w:rsidRPr="007F6D03">
        <w:lastRenderedPageBreak/>
        <w:t>estimating costs, corresponding change would be needed for estimating health outcomes, and</w:t>
      </w:r>
    </w:p>
    <w:p w:rsidR="009B7429" w:rsidRPr="00E17531" w:rsidRDefault="009B7429" w:rsidP="007F6D03">
      <w:pPr>
        <w:pStyle w:val="ListParagraph"/>
        <w:numPr>
          <w:ilvl w:val="0"/>
          <w:numId w:val="10"/>
        </w:numPr>
        <w:spacing w:before="0" w:after="120"/>
        <w:ind w:left="1276" w:hanging="426"/>
      </w:pPr>
      <w:r w:rsidRPr="007F6D03">
        <w:t>the health outcomes in the model reflected an extrapolation from the truncated means in the clinical data, so in the absence of a similar extrapolation for the truncated mean in the time to PFS2, the median is likely to provide a better estimate.</w:t>
      </w:r>
    </w:p>
    <w:p w:rsidR="00D06327" w:rsidRPr="00E17531" w:rsidRDefault="00D06327" w:rsidP="008D1616">
      <w:pPr>
        <w:pStyle w:val="ListParagraph"/>
        <w:numPr>
          <w:ilvl w:val="4"/>
          <w:numId w:val="5"/>
        </w:numPr>
        <w:spacing w:before="0" w:after="120"/>
        <w:ind w:left="709" w:hanging="709"/>
      </w:pPr>
      <w:r w:rsidRPr="00E17531">
        <w:t xml:space="preserve">The PBAC noted that the ICER/QALY increased from </w:t>
      </w:r>
      <w:r w:rsidR="00C13D99">
        <w:t>$45,000/QALY - $75,000/QALY</w:t>
      </w:r>
      <w:r w:rsidRPr="00E17531">
        <w:t xml:space="preserve"> when the exponential function was used to extrapolate OS, and to </w:t>
      </w:r>
      <w:r w:rsidR="00C13D99">
        <w:t>$45,000/QALY - $75,000/QALY</w:t>
      </w:r>
      <w:r w:rsidR="00C13D99" w:rsidRPr="00E17531" w:rsidDel="00C13D99">
        <w:t xml:space="preserve"> </w:t>
      </w:r>
      <w:r w:rsidRPr="00E17531">
        <w:t xml:space="preserve">when the shorter treatment duration of nivolumab as proposed by the ESCs were applied in the economic model. The PBAC further noted that multivariate sensitivity analyses of these scenarios increased the ICER/QALY to </w:t>
      </w:r>
      <w:r w:rsidR="00C13D99">
        <w:t>$45,000/QALY - $75,000/QALY</w:t>
      </w:r>
      <w:r w:rsidRPr="00E17531">
        <w:t>.</w:t>
      </w:r>
      <w:r w:rsidR="00B56226" w:rsidRPr="00E17531">
        <w:t xml:space="preserve"> The PBAC considered that</w:t>
      </w:r>
      <w:r w:rsidR="00A80AB5" w:rsidRPr="00E17531">
        <w:t>,</w:t>
      </w:r>
      <w:r w:rsidR="00B56226" w:rsidRPr="00E17531">
        <w:t xml:space="preserve"> although use of the exponential function was a more conservative approach compared to the log-logistic function, there remained uncertainty in the economic model </w:t>
      </w:r>
      <w:r w:rsidR="00CE24FC" w:rsidRPr="00E17531">
        <w:t xml:space="preserve">using an exponential </w:t>
      </w:r>
      <w:r w:rsidR="007F6D03" w:rsidRPr="00E17531">
        <w:t>function that</w:t>
      </w:r>
      <w:r w:rsidR="00CE24FC" w:rsidRPr="00E17531">
        <w:t xml:space="preserve"> still </w:t>
      </w:r>
      <w:r w:rsidR="00B56226" w:rsidRPr="00E17531">
        <w:t>inappropriate</w:t>
      </w:r>
      <w:r w:rsidR="00CE24FC" w:rsidRPr="00E17531">
        <w:t>ly</w:t>
      </w:r>
      <w:r w:rsidR="00B56226" w:rsidRPr="00E17531">
        <w:t xml:space="preserve"> </w:t>
      </w:r>
      <w:r w:rsidR="00CE24FC" w:rsidRPr="00E17531">
        <w:t>excluded the earlier results of the relevant Kaplan-Meier curves</w:t>
      </w:r>
      <w:r w:rsidR="00B56226" w:rsidRPr="00E17531">
        <w:t>.</w:t>
      </w:r>
      <w:r w:rsidRPr="00E17531">
        <w:t xml:space="preserve"> </w:t>
      </w:r>
      <w:r w:rsidR="00A80AB5" w:rsidRPr="00E17531">
        <w:t>However, t</w:t>
      </w:r>
      <w:r w:rsidRPr="00E17531">
        <w:t xml:space="preserve">he PBAC </w:t>
      </w:r>
      <w:r w:rsidR="00A80AB5" w:rsidRPr="00E17531">
        <w:t xml:space="preserve">decided to </w:t>
      </w:r>
      <w:r w:rsidRPr="00E17531">
        <w:t>accept the submission’s proposed time horizon of 7.5 years</w:t>
      </w:r>
      <w:r w:rsidR="00A80AB5" w:rsidRPr="00E17531">
        <w:t xml:space="preserve"> in light of other contextual issues identified below</w:t>
      </w:r>
      <w:r w:rsidRPr="00E17531">
        <w:t>.</w:t>
      </w:r>
    </w:p>
    <w:p w:rsidR="006B28FF" w:rsidRPr="00E17531" w:rsidRDefault="006B28FF" w:rsidP="008D1616">
      <w:pPr>
        <w:pStyle w:val="ListParagraph"/>
        <w:numPr>
          <w:ilvl w:val="4"/>
          <w:numId w:val="5"/>
        </w:numPr>
        <w:spacing w:before="0" w:after="120"/>
        <w:ind w:left="709" w:hanging="709"/>
      </w:pPr>
      <w:r w:rsidRPr="00E17531">
        <w:t xml:space="preserve">The PBAC considered that </w:t>
      </w:r>
      <w:r w:rsidR="00F47B1B">
        <w:t xml:space="preserve">a </w:t>
      </w:r>
      <w:r w:rsidRPr="00E17531">
        <w:t>further price reduction</w:t>
      </w:r>
      <w:r w:rsidR="00F47B1B">
        <w:t xml:space="preserve"> wa</w:t>
      </w:r>
      <w:r w:rsidRPr="00E17531">
        <w:t xml:space="preserve">s required for </w:t>
      </w:r>
      <w:r w:rsidR="00A80AB5" w:rsidRPr="00E17531">
        <w:t>any</w:t>
      </w:r>
      <w:r w:rsidRPr="00E17531">
        <w:t xml:space="preserve"> PBS listing of pembrolizumab</w:t>
      </w:r>
      <w:r w:rsidR="00A80AB5" w:rsidRPr="00E17531">
        <w:t xml:space="preserve"> to be acceptably cost-effective</w:t>
      </w:r>
      <w:r w:rsidRPr="00E17531">
        <w:t xml:space="preserve">. The PBAC advised that the </w:t>
      </w:r>
      <w:r w:rsidR="007D6FE6">
        <w:t xml:space="preserve">base case of the </w:t>
      </w:r>
      <w:r w:rsidRPr="00E17531">
        <w:t xml:space="preserve">economic model would need to be </w:t>
      </w:r>
      <w:r w:rsidR="007D6FE6">
        <w:t xml:space="preserve">respecified </w:t>
      </w:r>
      <w:r w:rsidRPr="00E17531">
        <w:t>to:</w:t>
      </w:r>
    </w:p>
    <w:p w:rsidR="006747BE" w:rsidRDefault="006747BE" w:rsidP="00C5009E">
      <w:pPr>
        <w:pStyle w:val="ListParagraph"/>
        <w:numPr>
          <w:ilvl w:val="0"/>
          <w:numId w:val="10"/>
        </w:numPr>
        <w:spacing w:before="0" w:after="120"/>
        <w:ind w:left="1276" w:hanging="426"/>
      </w:pPr>
      <w:r>
        <w:t xml:space="preserve">use </w:t>
      </w:r>
      <w:r w:rsidRPr="00E17531">
        <w:t xml:space="preserve">the </w:t>
      </w:r>
      <w:r>
        <w:t xml:space="preserve">observed </w:t>
      </w:r>
      <w:r w:rsidRPr="00E17531">
        <w:t xml:space="preserve">Kaplan-Meier </w:t>
      </w:r>
      <w:r>
        <w:t xml:space="preserve">results </w:t>
      </w:r>
      <w:r w:rsidR="007D6FE6">
        <w:t xml:space="preserve">from the key trial in the model up </w:t>
      </w:r>
      <w:r w:rsidRPr="00E17531">
        <w:t xml:space="preserve">to </w:t>
      </w:r>
      <w:r>
        <w:t>the median duration of follow-up;</w:t>
      </w:r>
    </w:p>
    <w:p w:rsidR="009853DC" w:rsidRDefault="009853DC" w:rsidP="009853DC">
      <w:pPr>
        <w:pStyle w:val="ListParagraph"/>
        <w:numPr>
          <w:ilvl w:val="0"/>
          <w:numId w:val="10"/>
        </w:numPr>
        <w:spacing w:before="0" w:after="120"/>
        <w:ind w:left="1276" w:hanging="426"/>
        <w:rPr>
          <w:rFonts w:cs="Arial"/>
          <w:bCs/>
          <w:snapToGrid w:val="0"/>
          <w:lang w:val="en-GB"/>
        </w:rPr>
      </w:pPr>
      <w:r w:rsidRPr="00997C25">
        <w:rPr>
          <w:rFonts w:cs="Arial"/>
          <w:bCs/>
          <w:snapToGrid w:val="0"/>
          <w:lang w:val="en-GB"/>
        </w:rPr>
        <w:t>extrapolate the PFS and OS curves in the model beyond this time point</w:t>
      </w:r>
      <w:r>
        <w:rPr>
          <w:rFonts w:cs="Arial"/>
          <w:bCs/>
          <w:snapToGrid w:val="0"/>
          <w:lang w:val="en-GB"/>
        </w:rPr>
        <w:t xml:space="preserve"> with reference to parametric functions generated</w:t>
      </w:r>
      <w:r w:rsidRPr="00642BDF">
        <w:rPr>
          <w:rFonts w:cs="Arial"/>
          <w:bCs/>
          <w:snapToGrid w:val="0"/>
          <w:lang w:val="en-GB"/>
        </w:rPr>
        <w:t xml:space="preserve"> </w:t>
      </w:r>
      <w:r>
        <w:rPr>
          <w:rFonts w:cs="Arial"/>
          <w:bCs/>
          <w:snapToGrid w:val="0"/>
          <w:lang w:val="en-GB"/>
        </w:rPr>
        <w:t xml:space="preserve">by appropriately </w:t>
      </w:r>
      <w:r w:rsidRPr="00642BDF">
        <w:rPr>
          <w:rFonts w:cs="Arial"/>
          <w:bCs/>
          <w:snapToGrid w:val="0"/>
          <w:lang w:val="en-GB"/>
        </w:rPr>
        <w:t>us</w:t>
      </w:r>
      <w:r>
        <w:rPr>
          <w:rFonts w:cs="Arial"/>
          <w:bCs/>
          <w:snapToGrid w:val="0"/>
          <w:lang w:val="en-GB"/>
        </w:rPr>
        <w:t>ing</w:t>
      </w:r>
      <w:r w:rsidRPr="00642BDF">
        <w:rPr>
          <w:rFonts w:cs="Arial"/>
          <w:bCs/>
          <w:snapToGrid w:val="0"/>
          <w:lang w:val="en-GB"/>
        </w:rPr>
        <w:t xml:space="preserve"> the observed Kaplan-Meier results for each treatment arm </w:t>
      </w:r>
      <w:r w:rsidRPr="00997C25">
        <w:rPr>
          <w:rFonts w:cs="Arial"/>
          <w:bCs/>
          <w:snapToGrid w:val="0"/>
          <w:lang w:val="en-GB"/>
        </w:rPr>
        <w:t>to inform the</w:t>
      </w:r>
      <w:r>
        <w:rPr>
          <w:rFonts w:cs="Arial"/>
          <w:bCs/>
          <w:snapToGrid w:val="0"/>
          <w:lang w:val="en-GB"/>
        </w:rPr>
        <w:t>ir</w:t>
      </w:r>
      <w:r w:rsidRPr="00997C25">
        <w:rPr>
          <w:rFonts w:cs="Arial"/>
          <w:bCs/>
          <w:snapToGrid w:val="0"/>
          <w:lang w:val="en-GB"/>
        </w:rPr>
        <w:t xml:space="preserve"> goodness of fit assessment </w:t>
      </w:r>
      <w:r w:rsidRPr="005228EC">
        <w:rPr>
          <w:rFonts w:cs="Arial"/>
          <w:bCs/>
          <w:snapToGrid w:val="0"/>
          <w:lang w:val="en-GB"/>
        </w:rPr>
        <w:t xml:space="preserve">(i.e. not excluding any </w:t>
      </w:r>
      <w:r>
        <w:rPr>
          <w:rFonts w:cs="Arial"/>
          <w:bCs/>
          <w:snapToGrid w:val="0"/>
          <w:lang w:val="en-GB"/>
        </w:rPr>
        <w:t xml:space="preserve">Kaplan-Meier </w:t>
      </w:r>
      <w:r w:rsidRPr="005228EC">
        <w:rPr>
          <w:rFonts w:cs="Arial"/>
          <w:bCs/>
          <w:snapToGrid w:val="0"/>
          <w:lang w:val="en-GB"/>
        </w:rPr>
        <w:t>results by relying on the Chow test)</w:t>
      </w:r>
      <w:r w:rsidRPr="00997C25">
        <w:rPr>
          <w:rFonts w:cs="Arial"/>
          <w:bCs/>
          <w:snapToGrid w:val="0"/>
          <w:lang w:val="en-GB"/>
        </w:rPr>
        <w:t>;</w:t>
      </w:r>
    </w:p>
    <w:p w:rsidR="007B3F59" w:rsidRDefault="007B3F59" w:rsidP="007B3F59">
      <w:pPr>
        <w:pStyle w:val="ListParagraph"/>
        <w:numPr>
          <w:ilvl w:val="0"/>
          <w:numId w:val="10"/>
        </w:numPr>
        <w:spacing w:before="0" w:after="120"/>
        <w:ind w:left="1276" w:hanging="426"/>
        <w:rPr>
          <w:rFonts w:cs="Arial"/>
          <w:bCs/>
          <w:snapToGrid w:val="0"/>
          <w:lang w:val="en-GB"/>
        </w:rPr>
      </w:pPr>
      <w:r w:rsidRPr="00642BDF">
        <w:rPr>
          <w:rFonts w:cs="Arial"/>
          <w:bCs/>
          <w:snapToGrid w:val="0"/>
          <w:lang w:val="en-GB"/>
        </w:rPr>
        <w:t xml:space="preserve">apply </w:t>
      </w:r>
      <w:r w:rsidRPr="007B3F59">
        <w:t>the</w:t>
      </w:r>
      <w:r w:rsidRPr="00642BDF">
        <w:rPr>
          <w:rFonts w:cs="Arial"/>
          <w:bCs/>
          <w:snapToGrid w:val="0"/>
          <w:lang w:val="en-GB"/>
        </w:rPr>
        <w:t xml:space="preserve"> same extrapolation function between treatment arms</w:t>
      </w:r>
      <w:r>
        <w:rPr>
          <w:rFonts w:cs="Arial"/>
          <w:bCs/>
          <w:snapToGrid w:val="0"/>
          <w:lang w:val="en-GB"/>
        </w:rPr>
        <w:t xml:space="preserve"> for both PFS and OS</w:t>
      </w:r>
      <w:r w:rsidRPr="00642BDF">
        <w:rPr>
          <w:rFonts w:cs="Arial"/>
          <w:bCs/>
          <w:snapToGrid w:val="0"/>
          <w:lang w:val="en-GB"/>
        </w:rPr>
        <w:t>;</w:t>
      </w:r>
    </w:p>
    <w:p w:rsidR="0002143D" w:rsidRPr="0002143D" w:rsidRDefault="0002143D" w:rsidP="0002143D">
      <w:pPr>
        <w:pStyle w:val="ListParagraph"/>
        <w:numPr>
          <w:ilvl w:val="0"/>
          <w:numId w:val="10"/>
        </w:numPr>
        <w:spacing w:before="0" w:after="120"/>
        <w:ind w:left="1276" w:hanging="426"/>
      </w:pPr>
      <w:r w:rsidRPr="00642BDF">
        <w:rPr>
          <w:rFonts w:cs="Arial"/>
          <w:bCs/>
          <w:snapToGrid w:val="0"/>
          <w:lang w:val="en-GB"/>
        </w:rPr>
        <w:t xml:space="preserve">apply a conservative set of extrapolation curves after the median duration of follow-up </w:t>
      </w:r>
      <w:r w:rsidRPr="00997C25">
        <w:rPr>
          <w:rFonts w:cs="Arial"/>
          <w:bCs/>
          <w:snapToGrid w:val="0"/>
          <w:lang w:val="en-GB"/>
        </w:rPr>
        <w:t>that take into account the remaining uncertainty in the magnitude of PFS and OS benefit</w:t>
      </w:r>
      <w:r>
        <w:rPr>
          <w:rFonts w:cs="Arial"/>
          <w:bCs/>
          <w:snapToGrid w:val="0"/>
          <w:lang w:val="en-GB"/>
        </w:rPr>
        <w:t>;</w:t>
      </w:r>
    </w:p>
    <w:p w:rsidR="007D6FE6" w:rsidRPr="00E17531" w:rsidRDefault="007D6FE6" w:rsidP="00C5009E">
      <w:pPr>
        <w:pStyle w:val="ListParagraph"/>
        <w:numPr>
          <w:ilvl w:val="0"/>
          <w:numId w:val="10"/>
        </w:numPr>
        <w:spacing w:before="0" w:after="120"/>
        <w:ind w:left="1276" w:hanging="426"/>
      </w:pPr>
      <w:r w:rsidRPr="00642BDF">
        <w:rPr>
          <w:rFonts w:cs="Arial"/>
          <w:bCs/>
          <w:snapToGrid w:val="0"/>
          <w:lang w:val="en-GB"/>
        </w:rPr>
        <w:t xml:space="preserve">converge </w:t>
      </w:r>
      <w:r>
        <w:rPr>
          <w:rFonts w:cs="Arial"/>
          <w:bCs/>
          <w:snapToGrid w:val="0"/>
          <w:lang w:val="en-GB"/>
        </w:rPr>
        <w:t xml:space="preserve">the extrapolation curves </w:t>
      </w:r>
      <w:r w:rsidRPr="00642BDF">
        <w:rPr>
          <w:rFonts w:cs="Arial"/>
          <w:bCs/>
          <w:snapToGrid w:val="0"/>
          <w:lang w:val="en-GB"/>
        </w:rPr>
        <w:t xml:space="preserve">to </w:t>
      </w:r>
      <w:r>
        <w:rPr>
          <w:rFonts w:cs="Arial"/>
          <w:bCs/>
          <w:snapToGrid w:val="0"/>
          <w:lang w:val="en-GB"/>
        </w:rPr>
        <w:t>the</w:t>
      </w:r>
      <w:r w:rsidRPr="00642BDF">
        <w:rPr>
          <w:rFonts w:cs="Arial"/>
          <w:bCs/>
          <w:snapToGrid w:val="0"/>
          <w:lang w:val="en-GB"/>
        </w:rPr>
        <w:t xml:space="preserve"> base case time horizon of </w:t>
      </w:r>
      <w:r>
        <w:rPr>
          <w:rFonts w:cs="Arial"/>
          <w:bCs/>
          <w:snapToGrid w:val="0"/>
          <w:lang w:val="en-GB"/>
        </w:rPr>
        <w:t>7.</w:t>
      </w:r>
      <w:r w:rsidRPr="00642BDF">
        <w:rPr>
          <w:rFonts w:cs="Arial"/>
          <w:bCs/>
          <w:snapToGrid w:val="0"/>
          <w:lang w:val="en-GB"/>
        </w:rPr>
        <w:t>5 years</w:t>
      </w:r>
      <w:r w:rsidR="0002143D">
        <w:rPr>
          <w:rFonts w:cs="Arial"/>
          <w:bCs/>
          <w:snapToGrid w:val="0"/>
          <w:lang w:val="en-GB"/>
        </w:rPr>
        <w:t>;</w:t>
      </w:r>
    </w:p>
    <w:p w:rsidR="00C556C9" w:rsidRPr="00E17531" w:rsidRDefault="007D6FE6" w:rsidP="00C5009E">
      <w:pPr>
        <w:pStyle w:val="ListParagraph"/>
        <w:numPr>
          <w:ilvl w:val="0"/>
          <w:numId w:val="10"/>
        </w:numPr>
        <w:spacing w:before="0" w:after="120"/>
        <w:ind w:left="1276" w:hanging="426"/>
      </w:pPr>
      <w:r>
        <w:t xml:space="preserve">estimate </w:t>
      </w:r>
      <w:r w:rsidR="007D514C" w:rsidRPr="00E17531">
        <w:t xml:space="preserve">the duration of post-chemotherapy </w:t>
      </w:r>
      <w:r w:rsidR="007D514C" w:rsidRPr="00E17531">
        <w:rPr>
          <w:color w:val="auto"/>
          <w:szCs w:val="24"/>
        </w:rPr>
        <w:t>nivolumab</w:t>
      </w:r>
      <w:r w:rsidR="007D514C" w:rsidRPr="00E17531">
        <w:t xml:space="preserve"> use </w:t>
      </w:r>
      <w:r>
        <w:t xml:space="preserve">following the approach advised </w:t>
      </w:r>
      <w:r w:rsidR="007D514C" w:rsidRPr="00E17531">
        <w:t>by the ESCs</w:t>
      </w:r>
      <w:r w:rsidR="00C556C9" w:rsidRPr="00E17531">
        <w:t>; and</w:t>
      </w:r>
    </w:p>
    <w:p w:rsidR="006B28FF" w:rsidRPr="00E17531" w:rsidRDefault="007D6FE6" w:rsidP="00C5009E">
      <w:pPr>
        <w:pStyle w:val="ListParagraph"/>
        <w:numPr>
          <w:ilvl w:val="0"/>
          <w:numId w:val="10"/>
        </w:numPr>
        <w:spacing w:before="0" w:after="120"/>
        <w:ind w:left="1276" w:hanging="426"/>
      </w:pPr>
      <w:r>
        <w:t xml:space="preserve">incorporate </w:t>
      </w:r>
      <w:r w:rsidR="00192EE6" w:rsidRPr="00E17531">
        <w:t>t</w:t>
      </w:r>
      <w:r w:rsidR="006B28FF" w:rsidRPr="00E17531">
        <w:t xml:space="preserve">he effective price of nivolumab (in the case where pembrolizumab receives a positive PBAC recommendation </w:t>
      </w:r>
      <w:r w:rsidR="00D70AD1" w:rsidRPr="00E17531">
        <w:t xml:space="preserve">so that </w:t>
      </w:r>
      <w:r w:rsidR="006B28FF" w:rsidRPr="00E17531">
        <w:t xml:space="preserve">the Deed of Agreement for nivolumab </w:t>
      </w:r>
      <w:r w:rsidR="00D70AD1" w:rsidRPr="00E17531">
        <w:t xml:space="preserve">can then be </w:t>
      </w:r>
      <w:r w:rsidR="006B28FF" w:rsidRPr="00E17531">
        <w:t>disclosed to the sponsor of pembrolizumab)</w:t>
      </w:r>
      <w:r w:rsidR="00081EC8" w:rsidRPr="00E17531">
        <w:t>.</w:t>
      </w:r>
    </w:p>
    <w:p w:rsidR="00081EC8" w:rsidRPr="00E17531" w:rsidRDefault="00081EC8" w:rsidP="003601B8">
      <w:pPr>
        <w:pStyle w:val="ListParagraph"/>
        <w:numPr>
          <w:ilvl w:val="4"/>
          <w:numId w:val="5"/>
        </w:numPr>
        <w:spacing w:before="0" w:after="120"/>
        <w:ind w:left="709" w:hanging="709"/>
      </w:pPr>
      <w:r w:rsidRPr="00E17531">
        <w:t xml:space="preserve">The PBAC advised that </w:t>
      </w:r>
      <w:r w:rsidR="007D6FE6" w:rsidRPr="00642BDF">
        <w:rPr>
          <w:rFonts w:cs="Arial"/>
          <w:bCs/>
          <w:snapToGrid w:val="0"/>
          <w:lang w:val="en-GB"/>
        </w:rPr>
        <w:t>the requested price for pembrolizumab should then be adjus</w:t>
      </w:r>
      <w:r w:rsidR="007D6FE6" w:rsidRPr="00997C25">
        <w:rPr>
          <w:rFonts w:cs="Arial"/>
          <w:bCs/>
          <w:snapToGrid w:val="0"/>
          <w:lang w:val="en-GB"/>
        </w:rPr>
        <w:t xml:space="preserve">ted to maintain </w:t>
      </w:r>
      <w:r w:rsidRPr="00E17531">
        <w:t xml:space="preserve">the ICER/QALY after </w:t>
      </w:r>
      <w:r w:rsidR="00342AD3" w:rsidRPr="00E17531">
        <w:t xml:space="preserve">these </w:t>
      </w:r>
      <w:r w:rsidRPr="00E17531">
        <w:t xml:space="preserve">adjustments to the model </w:t>
      </w:r>
      <w:r w:rsidR="003601B8" w:rsidRPr="00E17531">
        <w:t xml:space="preserve">to be less than </w:t>
      </w:r>
      <w:r w:rsidR="00C13D99">
        <w:t>$45,000/QALY - $75,000/QALY</w:t>
      </w:r>
      <w:r w:rsidR="003601B8" w:rsidRPr="00E17531">
        <w:t xml:space="preserve">, given that the net costs to government are </w:t>
      </w:r>
      <w:r w:rsidR="00D70AD1" w:rsidRPr="00E17531">
        <w:t xml:space="preserve">estimated to be </w:t>
      </w:r>
      <w:r w:rsidR="003601B8" w:rsidRPr="00E17531">
        <w:t xml:space="preserve">high, at above </w:t>
      </w:r>
      <w:r w:rsidR="00467740">
        <w:t>$30 - $60 million</w:t>
      </w:r>
      <w:r w:rsidR="003601B8" w:rsidRPr="00E17531">
        <w:t xml:space="preserve"> per annum</w:t>
      </w:r>
      <w:r w:rsidR="00F47B1B">
        <w:t>, and the</w:t>
      </w:r>
      <w:r w:rsidR="00F47B1B" w:rsidRPr="00E17531">
        <w:t xml:space="preserve"> </w:t>
      </w:r>
      <w:r w:rsidR="00F47B1B">
        <w:t xml:space="preserve">large number of </w:t>
      </w:r>
      <w:r w:rsidR="00F47B1B">
        <w:lastRenderedPageBreak/>
        <w:t xml:space="preserve">patients with </w:t>
      </w:r>
      <w:r w:rsidR="00F47B1B" w:rsidRPr="00E17531">
        <w:t>NS</w:t>
      </w:r>
      <w:r w:rsidR="00F47B1B">
        <w:t>CLC</w:t>
      </w:r>
      <w:r w:rsidR="003601B8" w:rsidRPr="00E17531">
        <w:t xml:space="preserve">. The PBAC considered that an acceptable ICER/QALY was critical to ensuring the cost effective listing of pembrolizumab and </w:t>
      </w:r>
      <w:r w:rsidR="00256FE7" w:rsidRPr="00E17531">
        <w:t xml:space="preserve">expected </w:t>
      </w:r>
      <w:r w:rsidR="003601B8" w:rsidRPr="00E17531">
        <w:t xml:space="preserve">that </w:t>
      </w:r>
      <w:r w:rsidR="00256FE7" w:rsidRPr="00E17531">
        <w:t>the requested effective price of pembrolizumab would need to be reduced to achieve this target</w:t>
      </w:r>
      <w:r w:rsidR="00D70AD1" w:rsidRPr="00E17531">
        <w:t>.</w:t>
      </w:r>
    </w:p>
    <w:p w:rsidR="00256FE7" w:rsidRPr="00E17531" w:rsidRDefault="00256FE7" w:rsidP="003601B8">
      <w:pPr>
        <w:pStyle w:val="ListParagraph"/>
        <w:numPr>
          <w:ilvl w:val="4"/>
          <w:numId w:val="5"/>
        </w:numPr>
        <w:spacing w:before="0" w:after="120"/>
        <w:ind w:left="709" w:hanging="709"/>
      </w:pPr>
      <w:r w:rsidRPr="00E17531">
        <w:t xml:space="preserve">The PBAC also noted that </w:t>
      </w:r>
      <w:r w:rsidR="0019695D" w:rsidRPr="00E17531">
        <w:t>increas</w:t>
      </w:r>
      <w:r w:rsidR="0019695D">
        <w:t xml:space="preserve">ing the </w:t>
      </w:r>
      <w:r w:rsidR="004B3A49">
        <w:t>a</w:t>
      </w:r>
      <w:r w:rsidR="0019695D">
        <w:t xml:space="preserve">verage per patient cost of pembrolizumab by </w:t>
      </w:r>
      <w:r w:rsidR="00234BD1">
        <w:t xml:space="preserve">moving the recommended </w:t>
      </w:r>
      <w:r w:rsidRPr="00E17531">
        <w:t>dose from a 2 mg/kg basis to a fixed 200 mg basis is likely associated with a 25% wast</w:t>
      </w:r>
      <w:r w:rsidR="00F47B1B">
        <w:t>ag</w:t>
      </w:r>
      <w:r w:rsidRPr="00E17531">
        <w:t>e of pembrolizumab</w:t>
      </w:r>
      <w:r w:rsidR="00CC4ED9" w:rsidRPr="00E17531">
        <w:rPr>
          <w:rStyle w:val="FootnoteReference"/>
        </w:rPr>
        <w:footnoteReference w:id="9"/>
      </w:r>
      <w:r w:rsidR="0019695D">
        <w:t xml:space="preserve"> because corroborating evidence indicates that this </w:t>
      </w:r>
      <w:r w:rsidR="00F66B6A">
        <w:t xml:space="preserve">is </w:t>
      </w:r>
      <w:r w:rsidR="0019695D">
        <w:t>not also associated with an improv</w:t>
      </w:r>
      <w:r w:rsidR="004B3A49">
        <w:t>ement in patient</w:t>
      </w:r>
      <w:r w:rsidR="0019695D">
        <w:t xml:space="preserve"> health outcomes. The PBAC considered that this</w:t>
      </w:r>
      <w:r w:rsidRPr="00E17531">
        <w:t xml:space="preserve"> further justifi</w:t>
      </w:r>
      <w:r w:rsidR="0019695D">
        <w:t>ed</w:t>
      </w:r>
      <w:r w:rsidRPr="00E17531">
        <w:t xml:space="preserve"> </w:t>
      </w:r>
      <w:r w:rsidR="004B3A49">
        <w:t xml:space="preserve">its </w:t>
      </w:r>
      <w:r w:rsidRPr="00E17531">
        <w:t>expectation of a price reduction</w:t>
      </w:r>
      <w:r w:rsidR="004B3A49">
        <w:t>, given that the TGA has recommended dosing on a fixed basis</w:t>
      </w:r>
      <w:r w:rsidRPr="00E17531">
        <w:t>.</w:t>
      </w:r>
    </w:p>
    <w:p w:rsidR="00B201C6" w:rsidRPr="00E17531" w:rsidRDefault="00B201C6" w:rsidP="00B201C6">
      <w:pPr>
        <w:pStyle w:val="ListParagraph"/>
        <w:numPr>
          <w:ilvl w:val="4"/>
          <w:numId w:val="5"/>
        </w:numPr>
        <w:spacing w:before="0" w:after="120"/>
        <w:ind w:left="709" w:hanging="709"/>
      </w:pPr>
      <w:r w:rsidRPr="00E17531">
        <w:t xml:space="preserve">The PBAC considered that </w:t>
      </w:r>
      <w:r w:rsidR="004B3A49">
        <w:t xml:space="preserve">the submission’s estimates of substantial cost offsets from second-line nivolumab resulting from </w:t>
      </w:r>
      <w:r w:rsidRPr="00E17531">
        <w:t xml:space="preserve">a PBS listing of first-line pembrolizumab </w:t>
      </w:r>
      <w:r w:rsidR="004B3A49">
        <w:t xml:space="preserve">in NSCLC </w:t>
      </w:r>
      <w:r w:rsidRPr="00E17531">
        <w:t xml:space="preserve">would </w:t>
      </w:r>
      <w:r w:rsidR="00B67604">
        <w:t>affect</w:t>
      </w:r>
      <w:r w:rsidRPr="00E17531">
        <w:t xml:space="preserve"> the </w:t>
      </w:r>
      <w:r w:rsidR="004B3A49">
        <w:t xml:space="preserve">risk sharing arrangements (RSA) in the </w:t>
      </w:r>
      <w:r w:rsidRPr="00E17531">
        <w:t>Deed of Agreement for nivolumab</w:t>
      </w:r>
      <w:r w:rsidR="004B3A49">
        <w:t xml:space="preserve"> in NSCLC</w:t>
      </w:r>
      <w:r w:rsidRPr="00E17531">
        <w:t>. The PBAC considered that</w:t>
      </w:r>
      <w:r w:rsidR="004B3A49">
        <w:t>,</w:t>
      </w:r>
      <w:r w:rsidRPr="00E17531">
        <w:t xml:space="preserve"> if pembrolizumab was made available on the PBS, there would only be a minor increase in the </w:t>
      </w:r>
      <w:r w:rsidR="004B3A49">
        <w:t>overall</w:t>
      </w:r>
      <w:r w:rsidRPr="00E17531">
        <w:t xml:space="preserve"> number of patients treated for metastatic Stage IV NSCLC either in the first- or second-line setting, above what was </w:t>
      </w:r>
      <w:r w:rsidR="00342AD3" w:rsidRPr="00E17531">
        <w:t xml:space="preserve">accepted </w:t>
      </w:r>
      <w:r w:rsidRPr="00E17531">
        <w:t xml:space="preserve">for the nivolumab caps at the time of </w:t>
      </w:r>
      <w:r w:rsidR="004B3A49">
        <w:t xml:space="preserve">the </w:t>
      </w:r>
      <w:r w:rsidRPr="00E17531">
        <w:t>negotiations</w:t>
      </w:r>
      <w:r w:rsidR="00342AD3" w:rsidRPr="00E17531">
        <w:t xml:space="preserve"> with the sponsor of nivolumab.</w:t>
      </w:r>
      <w:r w:rsidR="004B3A49">
        <w:t xml:space="preserve"> However, </w:t>
      </w:r>
      <w:r w:rsidR="00B67604">
        <w:t xml:space="preserve">as </w:t>
      </w:r>
      <w:r w:rsidR="004B3A49">
        <w:t>requested</w:t>
      </w:r>
      <w:r w:rsidR="00B67604">
        <w:t>, the</w:t>
      </w:r>
      <w:r w:rsidR="004B3A49">
        <w:t xml:space="preserve"> PBS listing of pembrolizumab would reduce the PBS expenditure on nivolumab, thus reducing the effect of its risk sharing arrangements</w:t>
      </w:r>
      <w:r w:rsidR="00B67604">
        <w:t>,</w:t>
      </w:r>
      <w:r w:rsidR="004B3A49">
        <w:t xml:space="preserve"> without necessarily providing similar risk sharing arrangements </w:t>
      </w:r>
      <w:r w:rsidR="00B67604">
        <w:t>across both immunotherapies.</w:t>
      </w:r>
    </w:p>
    <w:p w:rsidR="00C90AC9" w:rsidRPr="00E17531" w:rsidRDefault="00C90AC9" w:rsidP="00C90AC9">
      <w:pPr>
        <w:pStyle w:val="ListParagraph"/>
        <w:numPr>
          <w:ilvl w:val="4"/>
          <w:numId w:val="5"/>
        </w:numPr>
        <w:spacing w:before="0" w:after="120"/>
        <w:ind w:left="709" w:hanging="709"/>
        <w:rPr>
          <w:color w:val="auto"/>
        </w:rPr>
      </w:pPr>
      <w:r w:rsidRPr="00E17531">
        <w:rPr>
          <w:color w:val="auto"/>
        </w:rPr>
        <w:t xml:space="preserve">The PBAC advised that negotiations with the sponsor to determine the best approach for a RSA would need to be discussed in the context of the </w:t>
      </w:r>
      <w:r w:rsidR="004B3A49">
        <w:rPr>
          <w:color w:val="auto"/>
        </w:rPr>
        <w:t xml:space="preserve">consequences for the </w:t>
      </w:r>
      <w:r w:rsidRPr="00E17531">
        <w:rPr>
          <w:color w:val="auto"/>
        </w:rPr>
        <w:t>existing RSA for nivolumab in NSCLC.</w:t>
      </w:r>
    </w:p>
    <w:p w:rsidR="00B201C6" w:rsidRPr="00E17531" w:rsidRDefault="00B201C6" w:rsidP="00B201C6">
      <w:pPr>
        <w:spacing w:before="240"/>
        <w:rPr>
          <w:rFonts w:cs="Arial"/>
          <w:b/>
          <w:bCs/>
          <w:snapToGrid w:val="0"/>
        </w:rPr>
      </w:pPr>
      <w:r w:rsidRPr="00E17531">
        <w:rPr>
          <w:rFonts w:cs="Arial"/>
          <w:b/>
          <w:bCs/>
          <w:snapToGrid w:val="0"/>
        </w:rPr>
        <w:t>Outcome:</w:t>
      </w:r>
    </w:p>
    <w:p w:rsidR="00B201C6" w:rsidRPr="00E17531" w:rsidRDefault="00B201C6" w:rsidP="00B201C6">
      <w:pPr>
        <w:rPr>
          <w:rFonts w:cs="Arial"/>
          <w:bCs/>
          <w:snapToGrid w:val="0"/>
        </w:rPr>
      </w:pPr>
      <w:r w:rsidRPr="00E17531">
        <w:rPr>
          <w:rFonts w:cs="Arial"/>
          <w:bCs/>
          <w:snapToGrid w:val="0"/>
        </w:rPr>
        <w:t>Deferred</w:t>
      </w:r>
    </w:p>
    <w:p w:rsidR="004840E3" w:rsidRPr="004840E3" w:rsidRDefault="004840E3" w:rsidP="004840E3">
      <w:pPr>
        <w:pStyle w:val="PBACHeading1"/>
        <w:numPr>
          <w:ilvl w:val="0"/>
          <w:numId w:val="18"/>
        </w:numPr>
        <w:spacing w:before="0" w:after="0"/>
        <w:outlineLvl w:val="0"/>
        <w:rPr>
          <w:rFonts w:asciiTheme="minorHAnsi" w:hAnsiTheme="minorHAnsi"/>
          <w:sz w:val="32"/>
          <w:szCs w:val="32"/>
        </w:rPr>
      </w:pPr>
      <w:r w:rsidRPr="004840E3">
        <w:rPr>
          <w:rFonts w:asciiTheme="minorHAnsi" w:hAnsiTheme="minorHAnsi"/>
          <w:sz w:val="32"/>
          <w:szCs w:val="32"/>
        </w:rPr>
        <w:t>Context for Decision</w:t>
      </w:r>
    </w:p>
    <w:p w:rsidR="004840E3" w:rsidRPr="00D24BA5" w:rsidRDefault="004840E3" w:rsidP="004840E3">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840E3" w:rsidRPr="004840E3" w:rsidRDefault="004840E3" w:rsidP="004840E3">
      <w:pPr>
        <w:pStyle w:val="PBACHeading1"/>
        <w:numPr>
          <w:ilvl w:val="0"/>
          <w:numId w:val="18"/>
        </w:numPr>
        <w:spacing w:before="0" w:after="0"/>
        <w:outlineLvl w:val="0"/>
        <w:rPr>
          <w:rFonts w:asciiTheme="minorHAnsi" w:hAnsiTheme="minorHAnsi"/>
          <w:sz w:val="32"/>
          <w:szCs w:val="32"/>
        </w:rPr>
      </w:pPr>
      <w:r w:rsidRPr="004840E3">
        <w:rPr>
          <w:rFonts w:asciiTheme="minorHAnsi" w:hAnsiTheme="minorHAnsi"/>
          <w:sz w:val="32"/>
          <w:szCs w:val="32"/>
        </w:rPr>
        <w:t>Sponsor’s Comment</w:t>
      </w:r>
    </w:p>
    <w:p w:rsidR="00B201C6" w:rsidRPr="0012328C" w:rsidRDefault="0012328C" w:rsidP="00B201C6">
      <w:pPr>
        <w:widowControl w:val="0"/>
      </w:pPr>
      <w:r w:rsidRPr="0012328C">
        <w:t>MSD is disappointed that access to Keytruda has not yet been achieved for 1L NSCLC patients in Australia.  MSD will continue to work with the Department to make this therapy available as soon as possible, so that Australian patients have comparable access to innovative NSCLC therapies as patients in other countries.</w:t>
      </w:r>
    </w:p>
    <w:sectPr w:rsidR="00B201C6" w:rsidRPr="0012328C" w:rsidSect="00CD1C4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F5DF8A" w15:done="0"/>
  <w15:commentEx w15:paraId="26EC82D6" w15:done="0"/>
  <w15:commentEx w15:paraId="7181F663" w15:done="0"/>
  <w15:commentEx w15:paraId="534553D2" w15:done="0"/>
  <w15:commentEx w15:paraId="718F7A0D" w15:done="0"/>
  <w15:commentEx w15:paraId="67F22FEF" w15:done="0"/>
  <w15:commentEx w15:paraId="4E0168C9" w15:done="0"/>
  <w15:commentEx w15:paraId="318C5182" w15:done="0"/>
  <w15:commentEx w15:paraId="19A412FA" w15:done="0"/>
  <w15:commentEx w15:paraId="471811A0" w15:done="0"/>
  <w15:commentEx w15:paraId="123A9F90" w15:done="0"/>
  <w15:commentEx w15:paraId="727F419A" w15:done="0"/>
  <w15:commentEx w15:paraId="4D2E8454" w15:done="0"/>
  <w15:commentEx w15:paraId="30420946" w15:done="0"/>
  <w15:commentEx w15:paraId="20C19F28" w15:done="0"/>
  <w15:commentEx w15:paraId="24C934F4" w15:done="0"/>
  <w15:commentEx w15:paraId="72D0A2EE" w15:done="0"/>
  <w15:commentEx w15:paraId="76CFA2E0" w15:done="0"/>
  <w15:commentEx w15:paraId="3A377A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B46" w:rsidRDefault="00E61B46" w:rsidP="00013E26">
      <w:pPr>
        <w:spacing w:before="0" w:after="0"/>
      </w:pPr>
      <w:r>
        <w:separator/>
      </w:r>
    </w:p>
  </w:endnote>
  <w:endnote w:type="continuationSeparator" w:id="0">
    <w:p w:rsidR="00E61B46" w:rsidRDefault="00E61B46" w:rsidP="00013E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B46" w:rsidRDefault="00E61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542670"/>
      <w:docPartObj>
        <w:docPartGallery w:val="Page Numbers (Bottom of Page)"/>
        <w:docPartUnique/>
      </w:docPartObj>
    </w:sdtPr>
    <w:sdtEndPr>
      <w:rPr>
        <w:noProof/>
      </w:rPr>
    </w:sdtEndPr>
    <w:sdtContent>
      <w:p w:rsidR="007C0056" w:rsidRDefault="007C0056">
        <w:pPr>
          <w:pStyle w:val="Footer"/>
          <w:jc w:val="center"/>
        </w:pPr>
        <w:r>
          <w:fldChar w:fldCharType="begin"/>
        </w:r>
        <w:r>
          <w:instrText xml:space="preserve"> PAGE   \* MERGEFORMAT </w:instrText>
        </w:r>
        <w:r>
          <w:fldChar w:fldCharType="separate"/>
        </w:r>
        <w:r w:rsidR="008B6089">
          <w:rPr>
            <w:noProof/>
          </w:rPr>
          <w:t>22</w:t>
        </w:r>
        <w:r>
          <w:rPr>
            <w:noProof/>
          </w:rPr>
          <w:fldChar w:fldCharType="end"/>
        </w:r>
      </w:p>
    </w:sdtContent>
  </w:sdt>
  <w:p w:rsidR="007C0056" w:rsidRDefault="007C00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B46" w:rsidRDefault="00E61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B46" w:rsidRDefault="00E61B46" w:rsidP="00013E26">
      <w:pPr>
        <w:spacing w:before="0" w:after="0"/>
      </w:pPr>
      <w:r>
        <w:separator/>
      </w:r>
    </w:p>
  </w:footnote>
  <w:footnote w:type="continuationSeparator" w:id="0">
    <w:p w:rsidR="00E61B46" w:rsidRDefault="00E61B46" w:rsidP="00013E26">
      <w:pPr>
        <w:spacing w:before="0" w:after="0"/>
      </w:pPr>
      <w:r>
        <w:continuationSeparator/>
      </w:r>
    </w:p>
  </w:footnote>
  <w:footnote w:id="1">
    <w:p w:rsidR="007C0056" w:rsidRDefault="007C0056" w:rsidP="00622343">
      <w:pPr>
        <w:pStyle w:val="FootnoteText"/>
      </w:pPr>
      <w:r>
        <w:rPr>
          <w:rStyle w:val="FootnoteReference"/>
        </w:rPr>
        <w:footnoteRef/>
      </w:r>
      <w:r>
        <w:t xml:space="preserve"> Patients with squamous NSCLC do not undergo EGFR test and ALK testing but are considered EGFR wild-type and ALK translocation negative. </w:t>
      </w:r>
    </w:p>
  </w:footnote>
  <w:footnote w:id="2">
    <w:p w:rsidR="007C0056" w:rsidRPr="00E8221E" w:rsidRDefault="007C0056" w:rsidP="00B51670">
      <w:pPr>
        <w:pStyle w:val="ListParagraph"/>
        <w:ind w:left="0" w:firstLine="0"/>
        <w:rPr>
          <w:rFonts w:ascii="Arial Narrow" w:hAnsi="Arial Narrow" w:cs="Arial"/>
          <w:sz w:val="20"/>
          <w:szCs w:val="20"/>
        </w:rPr>
      </w:pPr>
      <w:r w:rsidRPr="002F12DC">
        <w:rPr>
          <w:color w:val="auto"/>
          <w:sz w:val="18"/>
        </w:rPr>
        <w:footnoteRef/>
      </w:r>
      <w:r w:rsidRPr="002F12DC">
        <w:rPr>
          <w:color w:val="auto"/>
          <w:sz w:val="18"/>
          <w:szCs w:val="20"/>
        </w:rPr>
        <w:t xml:space="preserve"> Cherny NI, Dafni U, Bogaerts J, et al: ESMO-Magnitude of Clinical Benefit Scale version 1.1. Annals of Oncology 28:2340-2366, 2017</w:t>
      </w:r>
    </w:p>
  </w:footnote>
  <w:footnote w:id="3">
    <w:p w:rsidR="007C0056" w:rsidRPr="008F6C4F" w:rsidRDefault="007C0056" w:rsidP="004741F3">
      <w:pPr>
        <w:pStyle w:val="FootnoteText"/>
        <w:rPr>
          <w:rFonts w:ascii="Arial" w:hAnsi="Arial" w:cs="Arial"/>
        </w:rPr>
      </w:pPr>
      <w:r w:rsidRPr="008F6C4F">
        <w:rPr>
          <w:rStyle w:val="FootnoteReference"/>
          <w:rFonts w:ascii="Arial" w:hAnsi="Arial" w:cs="Arial"/>
        </w:rPr>
        <w:footnoteRef/>
      </w:r>
      <w:r w:rsidRPr="008F6C4F">
        <w:rPr>
          <w:rFonts w:ascii="Arial" w:hAnsi="Arial" w:cs="Arial"/>
        </w:rPr>
        <w:t xml:space="preserve"> </w:t>
      </w:r>
      <w:r w:rsidRPr="00277D25">
        <w:rPr>
          <w:rFonts w:ascii="Arial" w:hAnsi="Arial" w:cs="Arial"/>
          <w:sz w:val="16"/>
          <w:szCs w:val="16"/>
        </w:rPr>
        <w:t>Noonan et al, 2015, The Influence of the Evolution of First-Line Chemotherapy on Steadily Improving Survival in Advanced Non-Small-Cell Lung Cancer Clinical Trials, Vol 10, Issue 11, Pages 1523-153</w:t>
      </w:r>
    </w:p>
  </w:footnote>
  <w:footnote w:id="4">
    <w:p w:rsidR="007C0056" w:rsidRDefault="007C0056">
      <w:pPr>
        <w:pStyle w:val="FootnoteText"/>
      </w:pPr>
      <w:r>
        <w:rPr>
          <w:rStyle w:val="FootnoteReference"/>
        </w:rPr>
        <w:footnoteRef/>
      </w:r>
      <w:r>
        <w:t xml:space="preserve"> The dispensed price for nivolumab was estimated by ass</w:t>
      </w:r>
      <w:r w:rsidRPr="00B225C8">
        <w:t xml:space="preserve">uming </w:t>
      </w:r>
      <w:r>
        <w:t xml:space="preserve">that </w:t>
      </w:r>
      <w:r w:rsidRPr="00232508">
        <w:t>29</w:t>
      </w:r>
      <w:r w:rsidRPr="00B225C8">
        <w:t xml:space="preserve">% of NSCLC patients </w:t>
      </w:r>
      <w:r>
        <w:t xml:space="preserve">would be </w:t>
      </w:r>
      <w:r w:rsidRPr="00B225C8">
        <w:t xml:space="preserve">treated in a public hospital setting and the remaining </w:t>
      </w:r>
      <w:r w:rsidRPr="00232508">
        <w:t>71</w:t>
      </w:r>
      <w:r w:rsidRPr="00B225C8">
        <w:t>% in a private hospital setting</w:t>
      </w:r>
      <w:r>
        <w:t xml:space="preserve"> (as assumed in the financial analysis of the resubmission).</w:t>
      </w:r>
    </w:p>
  </w:footnote>
  <w:footnote w:id="5">
    <w:p w:rsidR="007C0056" w:rsidRPr="00CC3834" w:rsidRDefault="007C0056">
      <w:pPr>
        <w:pStyle w:val="FootnoteText"/>
      </w:pPr>
      <w:r w:rsidRPr="00CC3834">
        <w:rPr>
          <w:rStyle w:val="FootnoteReference"/>
        </w:rPr>
        <w:footnoteRef/>
      </w:r>
      <w:r w:rsidRPr="00CC3834">
        <w:t xml:space="preserve"> Borghaei H, Paz</w:t>
      </w:r>
      <w:r w:rsidRPr="00CC3834">
        <w:rPr>
          <w:rFonts w:ascii="MS Mincho" w:eastAsia="MS Mincho" w:hAnsi="MS Mincho" w:cs="MS Mincho" w:hint="eastAsia"/>
        </w:rPr>
        <w:t>‑</w:t>
      </w:r>
      <w:r w:rsidRPr="00CC3834">
        <w:t>Ares, L. Horn L, et al. Nivolumab versus Docetaxel in Advanced Nonsquamous Non–Small-Cell Lung Cancer. New England Journal of Medicine 2015; 373:1627-39</w:t>
      </w:r>
    </w:p>
  </w:footnote>
  <w:footnote w:id="6">
    <w:p w:rsidR="007C0056" w:rsidRDefault="007C0056" w:rsidP="00575BF2">
      <w:pPr>
        <w:pStyle w:val="FootnoteText"/>
      </w:pPr>
      <w:r>
        <w:rPr>
          <w:rStyle w:val="FootnoteReference"/>
        </w:rPr>
        <w:footnoteRef/>
      </w:r>
      <w:r>
        <w:t xml:space="preserve"> The dispensed price for nivolumab was estimated by ass</w:t>
      </w:r>
      <w:r w:rsidRPr="00B225C8">
        <w:t xml:space="preserve">uming </w:t>
      </w:r>
      <w:r>
        <w:t xml:space="preserve">that </w:t>
      </w:r>
      <w:r w:rsidRPr="00232508">
        <w:t>29</w:t>
      </w:r>
      <w:r w:rsidRPr="00B225C8">
        <w:t xml:space="preserve">% of NSCLC patients </w:t>
      </w:r>
      <w:r>
        <w:t xml:space="preserve">would be </w:t>
      </w:r>
      <w:r w:rsidRPr="00B225C8">
        <w:t xml:space="preserve">treated in a public hospital setting and the remaining </w:t>
      </w:r>
      <w:r w:rsidRPr="00232508">
        <w:t>71</w:t>
      </w:r>
      <w:r w:rsidRPr="00B225C8">
        <w:t>% in a private hospital setting</w:t>
      </w:r>
      <w:r>
        <w:t xml:space="preserve"> (as assumed in the financial analysis of the resubmission).</w:t>
      </w:r>
    </w:p>
  </w:footnote>
  <w:footnote w:id="7">
    <w:p w:rsidR="007C0056" w:rsidRDefault="007C0056">
      <w:pPr>
        <w:pStyle w:val="FootnoteText"/>
      </w:pPr>
      <w:r>
        <w:rPr>
          <w:rStyle w:val="FootnoteReference"/>
        </w:rPr>
        <w:footnoteRef/>
      </w:r>
      <w:r>
        <w:t xml:space="preserve"> B</w:t>
      </w:r>
      <w:r w:rsidRPr="00BF2750">
        <w:t>ased on data from the PIVOTAL study (Table 1b of Appendix 5 to the main submission)</w:t>
      </w:r>
      <w:r>
        <w:t>.</w:t>
      </w:r>
    </w:p>
  </w:footnote>
  <w:footnote w:id="8">
    <w:p w:rsidR="007C0056" w:rsidRDefault="007C0056" w:rsidP="00622343">
      <w:pPr>
        <w:pStyle w:val="FootnoteText"/>
      </w:pPr>
      <w:r>
        <w:rPr>
          <w:rStyle w:val="FootnoteReference"/>
        </w:rPr>
        <w:footnoteRef/>
      </w:r>
      <w:r>
        <w:t xml:space="preserve"> </w:t>
      </w:r>
      <w:r w:rsidRPr="0065798A">
        <w:t>2.4 months = 8.4 months – 6.0 months, where 8.4 months was the median time from randomisation to disease progression after second-line therapy in the platinum</w:t>
      </w:r>
      <w:r>
        <w:t>-based</w:t>
      </w:r>
      <w:r w:rsidRPr="0065798A">
        <w:t xml:space="preserve"> doublet </w:t>
      </w:r>
      <w:r>
        <w:t xml:space="preserve">chemotherapy </w:t>
      </w:r>
      <w:r w:rsidRPr="0065798A">
        <w:t xml:space="preserve">arm in KN-024 (based on data with a median follow-up data of 19 months), and 6.0 was the median </w:t>
      </w:r>
      <w:r>
        <w:t>PFS.</w:t>
      </w:r>
    </w:p>
  </w:footnote>
  <w:footnote w:id="9">
    <w:p w:rsidR="007C0056" w:rsidRDefault="007C0056">
      <w:pPr>
        <w:pStyle w:val="FootnoteText"/>
      </w:pPr>
      <w:r>
        <w:rPr>
          <w:rStyle w:val="FootnoteReference"/>
        </w:rPr>
        <w:footnoteRef/>
      </w:r>
      <w:r>
        <w:t xml:space="preserve"> </w:t>
      </w:r>
      <w:r w:rsidRPr="00CC4ED9">
        <w:t>JNCI J Natl Cancer Inst (2017) 109(11): djx063_JNCI J Natl Cancer Inst (2017) 109(11): djx063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B46" w:rsidRDefault="00E61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56" w:rsidRPr="00661FE4" w:rsidRDefault="007C0056" w:rsidP="00CD1C49">
    <w:pPr>
      <w:pStyle w:val="Header"/>
      <w:jc w:val="center"/>
      <w:rPr>
        <w:rFonts w:cs="Arial"/>
        <w:i/>
      </w:rPr>
    </w:pPr>
    <w:r>
      <w:rPr>
        <w:rFonts w:cs="Arial"/>
        <w:i/>
      </w:rPr>
      <w:t>Public Summary Document</w:t>
    </w:r>
    <w:r w:rsidRPr="00661FE4">
      <w:rPr>
        <w:rFonts w:cs="Arial"/>
        <w:i/>
      </w:rPr>
      <w:t xml:space="preserve"> – November 2017 PBAC Meeting</w:t>
    </w:r>
  </w:p>
  <w:p w:rsidR="007C0056" w:rsidRDefault="007C0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B46" w:rsidRDefault="00E61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E8B"/>
    <w:multiLevelType w:val="hybridMultilevel"/>
    <w:tmpl w:val="E10291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B60B48"/>
    <w:multiLevelType w:val="hybridMultilevel"/>
    <w:tmpl w:val="15C207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4634013"/>
    <w:multiLevelType w:val="hybridMultilevel"/>
    <w:tmpl w:val="C3D0ABEE"/>
    <w:lvl w:ilvl="0" w:tplc="4B6CBC1C">
      <w:start w:val="1"/>
      <w:numFmt w:val="bullet"/>
      <w:pStyle w:val="MSACESBulletpoin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4F23E9A"/>
    <w:multiLevelType w:val="hybridMultilevel"/>
    <w:tmpl w:val="5AE4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CB3C2D"/>
    <w:multiLevelType w:val="hybridMultilevel"/>
    <w:tmpl w:val="B2EA3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3B3FC6"/>
    <w:multiLevelType w:val="hybridMultilevel"/>
    <w:tmpl w:val="91B68994"/>
    <w:lvl w:ilvl="0" w:tplc="6608C86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490F8C"/>
    <w:multiLevelType w:val="multilevel"/>
    <w:tmpl w:val="1988F17C"/>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3.%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E474578"/>
    <w:multiLevelType w:val="multilevel"/>
    <w:tmpl w:val="901603CE"/>
    <w:lvl w:ilvl="0">
      <w:start w:val="1"/>
      <w:numFmt w:val="decimal"/>
      <w:pStyle w:val="FigureA"/>
      <w:lvlText w:val="Figure A.%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F0A6A75"/>
    <w:multiLevelType w:val="multilevel"/>
    <w:tmpl w:val="DFDC7920"/>
    <w:styleLink w:val="General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nsid w:val="20E108A9"/>
    <w:multiLevelType w:val="hybridMultilevel"/>
    <w:tmpl w:val="87A66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106D79"/>
    <w:multiLevelType w:val="hybridMultilevel"/>
    <w:tmpl w:val="10A270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7505DF2"/>
    <w:multiLevelType w:val="hybridMultilevel"/>
    <w:tmpl w:val="A0346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4E6825"/>
    <w:multiLevelType w:val="multilevel"/>
    <w:tmpl w:val="6B806826"/>
    <w:lvl w:ilvl="0">
      <w:start w:val="1"/>
      <w:numFmt w:val="decimal"/>
      <w:lvlText w:val="%1"/>
      <w:lvlJc w:val="left"/>
      <w:pPr>
        <w:ind w:left="340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E9D0B6B"/>
    <w:multiLevelType w:val="hybridMultilevel"/>
    <w:tmpl w:val="541C24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02A6E7C"/>
    <w:multiLevelType w:val="hybridMultilevel"/>
    <w:tmpl w:val="9A66C17A"/>
    <w:lvl w:ilvl="0" w:tplc="0C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5564A4"/>
    <w:multiLevelType w:val="hybridMultilevel"/>
    <w:tmpl w:val="DEB0C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9275CA"/>
    <w:multiLevelType w:val="hybridMultilevel"/>
    <w:tmpl w:val="0D90C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55215E"/>
    <w:multiLevelType w:val="hybridMultilevel"/>
    <w:tmpl w:val="F522C6CA"/>
    <w:lvl w:ilvl="0" w:tplc="A79A391E">
      <w:start w:val="1"/>
      <w:numFmt w:val="bullet"/>
      <w:pStyle w:val="Instruction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866EB2"/>
    <w:multiLevelType w:val="multilevel"/>
    <w:tmpl w:val="8A6A8D7C"/>
    <w:lvl w:ilvl="0">
      <w:start w:val="1"/>
      <w:numFmt w:val="decimal"/>
      <w:lvlText w:val="%1"/>
      <w:lvlJc w:val="left"/>
      <w:pPr>
        <w:ind w:left="432" w:hanging="432"/>
      </w:pPr>
      <w:rPr>
        <w:rFonts w:hint="default"/>
        <w:b/>
        <w:i w:val="0"/>
      </w:rPr>
    </w:lvl>
    <w:lvl w:ilvl="1">
      <w:start w:val="1"/>
      <w:numFmt w:val="bullet"/>
      <w:lvlText w:val=""/>
      <w:lvlJc w:val="left"/>
      <w:pPr>
        <w:ind w:left="576" w:hanging="576"/>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44DE469A"/>
    <w:multiLevelType w:val="hybridMultilevel"/>
    <w:tmpl w:val="9FBA25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A0445F4"/>
    <w:multiLevelType w:val="multilevel"/>
    <w:tmpl w:val="2440100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A255F5"/>
    <w:multiLevelType w:val="hybridMultilevel"/>
    <w:tmpl w:val="AA4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A426B28"/>
    <w:multiLevelType w:val="multilevel"/>
    <w:tmpl w:val="88E67880"/>
    <w:styleLink w:val="MultiLevelheadinglis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7">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2C1787"/>
    <w:multiLevelType w:val="hybridMultilevel"/>
    <w:tmpl w:val="99968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84D033C"/>
    <w:multiLevelType w:val="multilevel"/>
    <w:tmpl w:val="9BB84B74"/>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77" w:hanging="1077"/>
      </w:pPr>
      <w:rPr>
        <w:rFonts w:hint="default"/>
        <w:i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57" w:hanging="57"/>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B3A2D42"/>
    <w:multiLevelType w:val="hybridMultilevel"/>
    <w:tmpl w:val="F48A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E166EFE"/>
    <w:multiLevelType w:val="hybridMultilevel"/>
    <w:tmpl w:val="A8928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612AAD"/>
    <w:multiLevelType w:val="hybridMultilevel"/>
    <w:tmpl w:val="C1C2D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27"/>
  </w:num>
  <w:num w:numId="3">
    <w:abstractNumId w:val="18"/>
  </w:num>
  <w:num w:numId="4">
    <w:abstractNumId w:val="6"/>
  </w:num>
  <w:num w:numId="5">
    <w:abstractNumId w:val="29"/>
  </w:num>
  <w:num w:numId="6">
    <w:abstractNumId w:val="22"/>
  </w:num>
  <w:num w:numId="7">
    <w:abstractNumId w:val="20"/>
  </w:num>
  <w:num w:numId="8">
    <w:abstractNumId w:val="8"/>
  </w:num>
  <w:num w:numId="9">
    <w:abstractNumId w:val="25"/>
  </w:num>
  <w:num w:numId="10">
    <w:abstractNumId w:val="17"/>
  </w:num>
  <w:num w:numId="11">
    <w:abstractNumId w:val="9"/>
  </w:num>
  <w:num w:numId="12">
    <w:abstractNumId w:val="7"/>
  </w:num>
  <w:num w:numId="13">
    <w:abstractNumId w:val="26"/>
  </w:num>
  <w:num w:numId="14">
    <w:abstractNumId w:val="3"/>
  </w:num>
  <w:num w:numId="15">
    <w:abstractNumId w:val="2"/>
  </w:num>
  <w:num w:numId="16">
    <w:abstractNumId w:val="11"/>
  </w:num>
  <w:num w:numId="17">
    <w:abstractNumId w:val="2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0"/>
  </w:num>
  <w:num w:numId="21">
    <w:abstractNumId w:val="15"/>
  </w:num>
  <w:num w:numId="22">
    <w:abstractNumId w:val="31"/>
  </w:num>
  <w:num w:numId="23">
    <w:abstractNumId w:val="12"/>
  </w:num>
  <w:num w:numId="24">
    <w:abstractNumId w:val="21"/>
  </w:num>
  <w:num w:numId="25">
    <w:abstractNumId w:val="1"/>
  </w:num>
  <w:num w:numId="26">
    <w:abstractNumId w:val="4"/>
  </w:num>
  <w:num w:numId="27">
    <w:abstractNumId w:val="24"/>
  </w:num>
  <w:num w:numId="28">
    <w:abstractNumId w:val="14"/>
  </w:num>
  <w:num w:numId="29">
    <w:abstractNumId w:val="30"/>
  </w:num>
  <w:num w:numId="30">
    <w:abstractNumId w:val="32"/>
  </w:num>
  <w:num w:numId="31">
    <w:abstractNumId w:val="28"/>
  </w:num>
  <w:num w:numId="32">
    <w:abstractNumId w:val="19"/>
  </w:num>
  <w:num w:numId="33">
    <w:abstractNumId w:val="10"/>
  </w:num>
  <w:num w:numId="34">
    <w:abstractNumId w:val="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ian Liufu">
    <w15:presenceInfo w15:providerId="None" w15:userId="Vivian Liu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13E26"/>
    <w:rsid w:val="000008D6"/>
    <w:rsid w:val="00007EA6"/>
    <w:rsid w:val="000113A6"/>
    <w:rsid w:val="00013E26"/>
    <w:rsid w:val="0002143D"/>
    <w:rsid w:val="00022A86"/>
    <w:rsid w:val="00031E38"/>
    <w:rsid w:val="000348EF"/>
    <w:rsid w:val="00036F0D"/>
    <w:rsid w:val="000401D6"/>
    <w:rsid w:val="00040A7A"/>
    <w:rsid w:val="0004125A"/>
    <w:rsid w:val="000465E4"/>
    <w:rsid w:val="00055388"/>
    <w:rsid w:val="00056555"/>
    <w:rsid w:val="0005762F"/>
    <w:rsid w:val="0007055E"/>
    <w:rsid w:val="000721A4"/>
    <w:rsid w:val="00077D8B"/>
    <w:rsid w:val="00081EC8"/>
    <w:rsid w:val="00083899"/>
    <w:rsid w:val="000B5A8A"/>
    <w:rsid w:val="000D4978"/>
    <w:rsid w:val="000D640E"/>
    <w:rsid w:val="000D7013"/>
    <w:rsid w:val="000E08F7"/>
    <w:rsid w:val="000E6397"/>
    <w:rsid w:val="000F4A74"/>
    <w:rsid w:val="0010165C"/>
    <w:rsid w:val="00105C47"/>
    <w:rsid w:val="00107957"/>
    <w:rsid w:val="0012328C"/>
    <w:rsid w:val="00137C2F"/>
    <w:rsid w:val="00150E39"/>
    <w:rsid w:val="0017467E"/>
    <w:rsid w:val="0017641D"/>
    <w:rsid w:val="001843BD"/>
    <w:rsid w:val="00192EE6"/>
    <w:rsid w:val="0019695D"/>
    <w:rsid w:val="001B32B7"/>
    <w:rsid w:val="001B4681"/>
    <w:rsid w:val="001C2D1B"/>
    <w:rsid w:val="001C528D"/>
    <w:rsid w:val="001C750B"/>
    <w:rsid w:val="001D6EE1"/>
    <w:rsid w:val="001E0FD1"/>
    <w:rsid w:val="001F0038"/>
    <w:rsid w:val="001F1B3B"/>
    <w:rsid w:val="001F261C"/>
    <w:rsid w:val="001F2BE0"/>
    <w:rsid w:val="001F3641"/>
    <w:rsid w:val="001F3A30"/>
    <w:rsid w:val="00201F25"/>
    <w:rsid w:val="00205707"/>
    <w:rsid w:val="00207635"/>
    <w:rsid w:val="00213FBA"/>
    <w:rsid w:val="00225F17"/>
    <w:rsid w:val="00226691"/>
    <w:rsid w:val="00230FDF"/>
    <w:rsid w:val="00232508"/>
    <w:rsid w:val="00234BD1"/>
    <w:rsid w:val="0024064F"/>
    <w:rsid w:val="00241542"/>
    <w:rsid w:val="00246C0E"/>
    <w:rsid w:val="00256FE7"/>
    <w:rsid w:val="00263CAD"/>
    <w:rsid w:val="00274E72"/>
    <w:rsid w:val="00275E3B"/>
    <w:rsid w:val="00277796"/>
    <w:rsid w:val="00280352"/>
    <w:rsid w:val="00281023"/>
    <w:rsid w:val="002822A0"/>
    <w:rsid w:val="00282EF8"/>
    <w:rsid w:val="00286ADC"/>
    <w:rsid w:val="002947D0"/>
    <w:rsid w:val="002B4F41"/>
    <w:rsid w:val="002F0B2B"/>
    <w:rsid w:val="002F12DC"/>
    <w:rsid w:val="002F2386"/>
    <w:rsid w:val="002F6D93"/>
    <w:rsid w:val="003044B9"/>
    <w:rsid w:val="003063A0"/>
    <w:rsid w:val="003068C9"/>
    <w:rsid w:val="00315A49"/>
    <w:rsid w:val="00317085"/>
    <w:rsid w:val="0032658E"/>
    <w:rsid w:val="00330FD1"/>
    <w:rsid w:val="00342AD3"/>
    <w:rsid w:val="00342DEE"/>
    <w:rsid w:val="00347DDE"/>
    <w:rsid w:val="00351609"/>
    <w:rsid w:val="00357F08"/>
    <w:rsid w:val="003601B8"/>
    <w:rsid w:val="0036390C"/>
    <w:rsid w:val="003705E2"/>
    <w:rsid w:val="00371D13"/>
    <w:rsid w:val="003834C1"/>
    <w:rsid w:val="00384C5C"/>
    <w:rsid w:val="003958B0"/>
    <w:rsid w:val="003970CF"/>
    <w:rsid w:val="003977F5"/>
    <w:rsid w:val="003A5CD3"/>
    <w:rsid w:val="003D017A"/>
    <w:rsid w:val="003D1F31"/>
    <w:rsid w:val="003D30FA"/>
    <w:rsid w:val="003D3A16"/>
    <w:rsid w:val="003F3C9D"/>
    <w:rsid w:val="003F4046"/>
    <w:rsid w:val="003F7DBC"/>
    <w:rsid w:val="00400BEC"/>
    <w:rsid w:val="004062B5"/>
    <w:rsid w:val="00407CFC"/>
    <w:rsid w:val="00411087"/>
    <w:rsid w:val="00416D6C"/>
    <w:rsid w:val="00425B29"/>
    <w:rsid w:val="00432EEC"/>
    <w:rsid w:val="0043576F"/>
    <w:rsid w:val="00437570"/>
    <w:rsid w:val="004500FB"/>
    <w:rsid w:val="004541A4"/>
    <w:rsid w:val="00467740"/>
    <w:rsid w:val="00467922"/>
    <w:rsid w:val="0047180F"/>
    <w:rsid w:val="004741F3"/>
    <w:rsid w:val="004744CC"/>
    <w:rsid w:val="004840E3"/>
    <w:rsid w:val="00485F91"/>
    <w:rsid w:val="004972C2"/>
    <w:rsid w:val="004B058C"/>
    <w:rsid w:val="004B3A49"/>
    <w:rsid w:val="004C0962"/>
    <w:rsid w:val="004D011D"/>
    <w:rsid w:val="004D6069"/>
    <w:rsid w:val="004E6060"/>
    <w:rsid w:val="004E686E"/>
    <w:rsid w:val="004F2338"/>
    <w:rsid w:val="0051511F"/>
    <w:rsid w:val="00520D76"/>
    <w:rsid w:val="005221F1"/>
    <w:rsid w:val="00522275"/>
    <w:rsid w:val="00531258"/>
    <w:rsid w:val="00535259"/>
    <w:rsid w:val="00553AFC"/>
    <w:rsid w:val="0056033F"/>
    <w:rsid w:val="00575BF2"/>
    <w:rsid w:val="0057791F"/>
    <w:rsid w:val="00580DFA"/>
    <w:rsid w:val="005814B8"/>
    <w:rsid w:val="00592F1B"/>
    <w:rsid w:val="00593BC3"/>
    <w:rsid w:val="00594623"/>
    <w:rsid w:val="005A1249"/>
    <w:rsid w:val="005A2B39"/>
    <w:rsid w:val="005D3D2C"/>
    <w:rsid w:val="005D62F2"/>
    <w:rsid w:val="005E10C6"/>
    <w:rsid w:val="005F36BA"/>
    <w:rsid w:val="005F66C0"/>
    <w:rsid w:val="005F6DC5"/>
    <w:rsid w:val="00605A73"/>
    <w:rsid w:val="00610BF5"/>
    <w:rsid w:val="00611DF2"/>
    <w:rsid w:val="00612837"/>
    <w:rsid w:val="00613844"/>
    <w:rsid w:val="006200DA"/>
    <w:rsid w:val="00620BD2"/>
    <w:rsid w:val="00622343"/>
    <w:rsid w:val="006265CE"/>
    <w:rsid w:val="00635BDF"/>
    <w:rsid w:val="00643008"/>
    <w:rsid w:val="00652458"/>
    <w:rsid w:val="00653C6B"/>
    <w:rsid w:val="00653F82"/>
    <w:rsid w:val="0065627B"/>
    <w:rsid w:val="00656711"/>
    <w:rsid w:val="006739F1"/>
    <w:rsid w:val="006747BE"/>
    <w:rsid w:val="00680270"/>
    <w:rsid w:val="006879C7"/>
    <w:rsid w:val="00687FE1"/>
    <w:rsid w:val="0069583A"/>
    <w:rsid w:val="00695AAE"/>
    <w:rsid w:val="006B14F6"/>
    <w:rsid w:val="006B28FF"/>
    <w:rsid w:val="006B2C26"/>
    <w:rsid w:val="006B3B74"/>
    <w:rsid w:val="006B3E81"/>
    <w:rsid w:val="006B4407"/>
    <w:rsid w:val="006C3497"/>
    <w:rsid w:val="006C58F9"/>
    <w:rsid w:val="006E02F3"/>
    <w:rsid w:val="00701BA6"/>
    <w:rsid w:val="00706C0D"/>
    <w:rsid w:val="00712A9C"/>
    <w:rsid w:val="007138E1"/>
    <w:rsid w:val="007169D4"/>
    <w:rsid w:val="007177E8"/>
    <w:rsid w:val="007249EF"/>
    <w:rsid w:val="007253E6"/>
    <w:rsid w:val="007311B9"/>
    <w:rsid w:val="007312C0"/>
    <w:rsid w:val="00735AFF"/>
    <w:rsid w:val="00740F7D"/>
    <w:rsid w:val="00745D6F"/>
    <w:rsid w:val="00746745"/>
    <w:rsid w:val="0074704A"/>
    <w:rsid w:val="007479FA"/>
    <w:rsid w:val="0075062B"/>
    <w:rsid w:val="00750D11"/>
    <w:rsid w:val="00761EDB"/>
    <w:rsid w:val="00766A85"/>
    <w:rsid w:val="00780CD9"/>
    <w:rsid w:val="00781A14"/>
    <w:rsid w:val="00781DE1"/>
    <w:rsid w:val="00782E7F"/>
    <w:rsid w:val="00784CDE"/>
    <w:rsid w:val="00785F70"/>
    <w:rsid w:val="00793446"/>
    <w:rsid w:val="007938BD"/>
    <w:rsid w:val="00795C54"/>
    <w:rsid w:val="007A4261"/>
    <w:rsid w:val="007A5194"/>
    <w:rsid w:val="007B1569"/>
    <w:rsid w:val="007B3F59"/>
    <w:rsid w:val="007C0056"/>
    <w:rsid w:val="007C7D95"/>
    <w:rsid w:val="007C7EC6"/>
    <w:rsid w:val="007D1F95"/>
    <w:rsid w:val="007D514C"/>
    <w:rsid w:val="007D6FE6"/>
    <w:rsid w:val="007E355D"/>
    <w:rsid w:val="007E612E"/>
    <w:rsid w:val="007F6D03"/>
    <w:rsid w:val="007F76F9"/>
    <w:rsid w:val="0080094D"/>
    <w:rsid w:val="00803367"/>
    <w:rsid w:val="00820B4E"/>
    <w:rsid w:val="00830861"/>
    <w:rsid w:val="00876502"/>
    <w:rsid w:val="008817F8"/>
    <w:rsid w:val="00882514"/>
    <w:rsid w:val="00882FA5"/>
    <w:rsid w:val="00884BF2"/>
    <w:rsid w:val="00887084"/>
    <w:rsid w:val="00887FC6"/>
    <w:rsid w:val="008934D1"/>
    <w:rsid w:val="008941DC"/>
    <w:rsid w:val="00895CD1"/>
    <w:rsid w:val="008B4C3E"/>
    <w:rsid w:val="008B6089"/>
    <w:rsid w:val="008C305C"/>
    <w:rsid w:val="008C3180"/>
    <w:rsid w:val="008D0A9F"/>
    <w:rsid w:val="008D1616"/>
    <w:rsid w:val="008D6B62"/>
    <w:rsid w:val="008E4008"/>
    <w:rsid w:val="008F1A10"/>
    <w:rsid w:val="009056D0"/>
    <w:rsid w:val="009063A1"/>
    <w:rsid w:val="00920350"/>
    <w:rsid w:val="00921B0C"/>
    <w:rsid w:val="009254A6"/>
    <w:rsid w:val="0093243A"/>
    <w:rsid w:val="009355D7"/>
    <w:rsid w:val="00936F2E"/>
    <w:rsid w:val="00942F3B"/>
    <w:rsid w:val="009450F8"/>
    <w:rsid w:val="00946718"/>
    <w:rsid w:val="00977586"/>
    <w:rsid w:val="00981597"/>
    <w:rsid w:val="00983738"/>
    <w:rsid w:val="009853DC"/>
    <w:rsid w:val="009902F3"/>
    <w:rsid w:val="00992ECD"/>
    <w:rsid w:val="00996019"/>
    <w:rsid w:val="0099683E"/>
    <w:rsid w:val="009A3CCF"/>
    <w:rsid w:val="009A5C61"/>
    <w:rsid w:val="009A7074"/>
    <w:rsid w:val="009B57C6"/>
    <w:rsid w:val="009B7429"/>
    <w:rsid w:val="009C65C0"/>
    <w:rsid w:val="009C7450"/>
    <w:rsid w:val="009C7DAD"/>
    <w:rsid w:val="009D0EEA"/>
    <w:rsid w:val="009E7742"/>
    <w:rsid w:val="009F0673"/>
    <w:rsid w:val="009F23FC"/>
    <w:rsid w:val="009F27B0"/>
    <w:rsid w:val="009F5BAE"/>
    <w:rsid w:val="00A11EE1"/>
    <w:rsid w:val="00A24B6C"/>
    <w:rsid w:val="00A2753C"/>
    <w:rsid w:val="00A34774"/>
    <w:rsid w:val="00A67B78"/>
    <w:rsid w:val="00A7042F"/>
    <w:rsid w:val="00A76C86"/>
    <w:rsid w:val="00A80A11"/>
    <w:rsid w:val="00A80AB5"/>
    <w:rsid w:val="00A828E0"/>
    <w:rsid w:val="00A8320E"/>
    <w:rsid w:val="00A853E0"/>
    <w:rsid w:val="00AA59B4"/>
    <w:rsid w:val="00AA5FFD"/>
    <w:rsid w:val="00AA7A8F"/>
    <w:rsid w:val="00AB47A6"/>
    <w:rsid w:val="00AC4F9C"/>
    <w:rsid w:val="00AD25EE"/>
    <w:rsid w:val="00AD6BD4"/>
    <w:rsid w:val="00AE006B"/>
    <w:rsid w:val="00AE0543"/>
    <w:rsid w:val="00AE2DA1"/>
    <w:rsid w:val="00AE345F"/>
    <w:rsid w:val="00AE37B3"/>
    <w:rsid w:val="00AE3F4C"/>
    <w:rsid w:val="00AE51E5"/>
    <w:rsid w:val="00B00ED4"/>
    <w:rsid w:val="00B014C9"/>
    <w:rsid w:val="00B15DE2"/>
    <w:rsid w:val="00B201C6"/>
    <w:rsid w:val="00B20C81"/>
    <w:rsid w:val="00B225C8"/>
    <w:rsid w:val="00B23487"/>
    <w:rsid w:val="00B309A2"/>
    <w:rsid w:val="00B44437"/>
    <w:rsid w:val="00B46A97"/>
    <w:rsid w:val="00B51670"/>
    <w:rsid w:val="00B56226"/>
    <w:rsid w:val="00B67604"/>
    <w:rsid w:val="00B768A7"/>
    <w:rsid w:val="00B93913"/>
    <w:rsid w:val="00BB6419"/>
    <w:rsid w:val="00BC1BF9"/>
    <w:rsid w:val="00BC21F3"/>
    <w:rsid w:val="00BC58E6"/>
    <w:rsid w:val="00BD2F5B"/>
    <w:rsid w:val="00BD375C"/>
    <w:rsid w:val="00BD7CD1"/>
    <w:rsid w:val="00BE5725"/>
    <w:rsid w:val="00BF5A55"/>
    <w:rsid w:val="00C13D99"/>
    <w:rsid w:val="00C13F6E"/>
    <w:rsid w:val="00C20966"/>
    <w:rsid w:val="00C24322"/>
    <w:rsid w:val="00C3565F"/>
    <w:rsid w:val="00C47054"/>
    <w:rsid w:val="00C5009E"/>
    <w:rsid w:val="00C53733"/>
    <w:rsid w:val="00C54620"/>
    <w:rsid w:val="00C556C9"/>
    <w:rsid w:val="00C56388"/>
    <w:rsid w:val="00C72F4F"/>
    <w:rsid w:val="00C72F8A"/>
    <w:rsid w:val="00C7429A"/>
    <w:rsid w:val="00C81D31"/>
    <w:rsid w:val="00C870F5"/>
    <w:rsid w:val="00C90AC9"/>
    <w:rsid w:val="00C936E9"/>
    <w:rsid w:val="00C95AD8"/>
    <w:rsid w:val="00C97793"/>
    <w:rsid w:val="00CA2E2F"/>
    <w:rsid w:val="00CA697C"/>
    <w:rsid w:val="00CB0726"/>
    <w:rsid w:val="00CB1BBA"/>
    <w:rsid w:val="00CC0E6A"/>
    <w:rsid w:val="00CC3834"/>
    <w:rsid w:val="00CC4ED9"/>
    <w:rsid w:val="00CC6073"/>
    <w:rsid w:val="00CD1C49"/>
    <w:rsid w:val="00CE1405"/>
    <w:rsid w:val="00CE24FC"/>
    <w:rsid w:val="00CE39AA"/>
    <w:rsid w:val="00CE4792"/>
    <w:rsid w:val="00CE4A76"/>
    <w:rsid w:val="00CF3816"/>
    <w:rsid w:val="00D06327"/>
    <w:rsid w:val="00D079A5"/>
    <w:rsid w:val="00D15797"/>
    <w:rsid w:val="00D16524"/>
    <w:rsid w:val="00D27EA2"/>
    <w:rsid w:val="00D3089F"/>
    <w:rsid w:val="00D30E02"/>
    <w:rsid w:val="00D33B74"/>
    <w:rsid w:val="00D349EC"/>
    <w:rsid w:val="00D47823"/>
    <w:rsid w:val="00D543C9"/>
    <w:rsid w:val="00D70AD1"/>
    <w:rsid w:val="00D72B92"/>
    <w:rsid w:val="00D74742"/>
    <w:rsid w:val="00D74B10"/>
    <w:rsid w:val="00D83A64"/>
    <w:rsid w:val="00D92D38"/>
    <w:rsid w:val="00D92D5E"/>
    <w:rsid w:val="00DA797C"/>
    <w:rsid w:val="00DD5724"/>
    <w:rsid w:val="00DF0C1A"/>
    <w:rsid w:val="00E018BA"/>
    <w:rsid w:val="00E040AB"/>
    <w:rsid w:val="00E15390"/>
    <w:rsid w:val="00E167A6"/>
    <w:rsid w:val="00E17531"/>
    <w:rsid w:val="00E21F55"/>
    <w:rsid w:val="00E34089"/>
    <w:rsid w:val="00E3492A"/>
    <w:rsid w:val="00E5209D"/>
    <w:rsid w:val="00E5769A"/>
    <w:rsid w:val="00E61B46"/>
    <w:rsid w:val="00E61BA2"/>
    <w:rsid w:val="00E64E6C"/>
    <w:rsid w:val="00E6635B"/>
    <w:rsid w:val="00E76DCD"/>
    <w:rsid w:val="00E8147B"/>
    <w:rsid w:val="00E825BA"/>
    <w:rsid w:val="00E960CD"/>
    <w:rsid w:val="00E96BF8"/>
    <w:rsid w:val="00EA2885"/>
    <w:rsid w:val="00EA3C26"/>
    <w:rsid w:val="00EB0CEA"/>
    <w:rsid w:val="00EB2D79"/>
    <w:rsid w:val="00EC0E9A"/>
    <w:rsid w:val="00EE2AEA"/>
    <w:rsid w:val="00F030EE"/>
    <w:rsid w:val="00F073E9"/>
    <w:rsid w:val="00F07D67"/>
    <w:rsid w:val="00F1662C"/>
    <w:rsid w:val="00F17808"/>
    <w:rsid w:val="00F41798"/>
    <w:rsid w:val="00F46E23"/>
    <w:rsid w:val="00F47B1B"/>
    <w:rsid w:val="00F636CB"/>
    <w:rsid w:val="00F644DA"/>
    <w:rsid w:val="00F64BF3"/>
    <w:rsid w:val="00F65D26"/>
    <w:rsid w:val="00F66B6A"/>
    <w:rsid w:val="00F703F3"/>
    <w:rsid w:val="00F70C7A"/>
    <w:rsid w:val="00F80BAA"/>
    <w:rsid w:val="00F817B3"/>
    <w:rsid w:val="00F8463B"/>
    <w:rsid w:val="00FA6FBB"/>
    <w:rsid w:val="00FA7956"/>
    <w:rsid w:val="00FB1392"/>
    <w:rsid w:val="00FB2FDB"/>
    <w:rsid w:val="00FB4E5C"/>
    <w:rsid w:val="00FC6F11"/>
    <w:rsid w:val="00FD10C0"/>
    <w:rsid w:val="00FD1E57"/>
    <w:rsid w:val="00FD7F4C"/>
    <w:rsid w:val="00FE0198"/>
    <w:rsid w:val="00FF00C7"/>
    <w:rsid w:val="00FF31A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3" w:qFormat="1"/>
    <w:lsdException w:name="heading 3" w:uiPriority="3" w:qFormat="1"/>
    <w:lsdException w:name="heading 4" w:uiPriority="3" w:qFormat="1"/>
    <w:lsdException w:name="heading 5" w:uiPriority="10" w:qFormat="1"/>
    <w:lsdException w:name="heading 6" w:uiPriority="12" w:qFormat="1"/>
    <w:lsdException w:name="heading 7" w:uiPriority="12" w:qFormat="1"/>
    <w:lsdException w:name="heading 8" w:uiPriority="7"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Title" w:semiHidden="0" w:unhideWhenUsed="0" w:qFormat="1"/>
    <w:lsdException w:name="Default Paragraph Font" w:uiPriority="1"/>
    <w:lsdException w:name="Body Text" w:uiPriority="3"/>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1"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2" w:qFormat="1"/>
  </w:latentStyles>
  <w:style w:type="paragraph" w:default="1" w:styleId="Normal">
    <w:name w:val="Normal"/>
    <w:qFormat/>
    <w:rsid w:val="00013E26"/>
    <w:pPr>
      <w:spacing w:before="120" w:after="160"/>
      <w:jc w:val="both"/>
    </w:pPr>
    <w:rPr>
      <w:rFonts w:asciiTheme="minorHAnsi" w:eastAsiaTheme="minorHAnsi" w:hAnsiTheme="minorHAnsi" w:cstheme="minorBidi"/>
      <w:sz w:val="24"/>
      <w:szCs w:val="22"/>
      <w:lang w:eastAsia="en-US"/>
    </w:rPr>
  </w:style>
  <w:style w:type="paragraph" w:styleId="Heading1">
    <w:name w:val="heading 1"/>
    <w:next w:val="Normal"/>
    <w:link w:val="Heading1Char"/>
    <w:uiPriority w:val="1"/>
    <w:qFormat/>
    <w:rsid w:val="00013E26"/>
    <w:pPr>
      <w:keepNext/>
      <w:keepLines/>
      <w:numPr>
        <w:numId w:val="4"/>
      </w:numPr>
      <w:spacing w:before="400" w:after="120" w:line="259" w:lineRule="auto"/>
      <w:outlineLvl w:val="0"/>
    </w:pPr>
    <w:rPr>
      <w:rFonts w:asciiTheme="minorHAnsi" w:eastAsiaTheme="majorEastAsia" w:hAnsiTheme="minorHAnsi" w:cstheme="majorBidi"/>
      <w:b/>
      <w:sz w:val="32"/>
      <w:szCs w:val="28"/>
      <w:lang w:eastAsia="en-US"/>
    </w:rPr>
  </w:style>
  <w:style w:type="paragraph" w:styleId="Heading2">
    <w:name w:val="heading 2"/>
    <w:basedOn w:val="Normal"/>
    <w:next w:val="Normal"/>
    <w:link w:val="Heading2Char"/>
    <w:uiPriority w:val="3"/>
    <w:qFormat/>
    <w:rsid w:val="00013E2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013E26"/>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013E26"/>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unhideWhenUsed/>
    <w:rsid w:val="00013E26"/>
    <w:pPr>
      <w:numPr>
        <w:ilvl w:val="0"/>
        <w:numId w:val="0"/>
      </w:numPr>
      <w:outlineLvl w:val="4"/>
    </w:pPr>
  </w:style>
  <w:style w:type="paragraph" w:styleId="Heading6">
    <w:name w:val="heading 6"/>
    <w:aliases w:val="Heading 3 - Body"/>
    <w:basedOn w:val="Heading3"/>
    <w:next w:val="Normal"/>
    <w:link w:val="Heading6Char"/>
    <w:uiPriority w:val="12"/>
    <w:unhideWhenUsed/>
    <w:rsid w:val="00013E26"/>
    <w:pPr>
      <w:outlineLvl w:val="5"/>
    </w:pPr>
    <w:rPr>
      <w:sz w:val="24"/>
    </w:rPr>
  </w:style>
  <w:style w:type="paragraph" w:styleId="Heading7">
    <w:name w:val="heading 7"/>
    <w:basedOn w:val="Heading1"/>
    <w:next w:val="Normal"/>
    <w:link w:val="Heading7Char"/>
    <w:uiPriority w:val="12"/>
    <w:unhideWhenUsed/>
    <w:qFormat/>
    <w:rsid w:val="00013E26"/>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unhideWhenUsed/>
    <w:qFormat/>
    <w:rsid w:val="00013E2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Page number"/>
    <w:basedOn w:val="Heading1"/>
    <w:next w:val="Normal"/>
    <w:link w:val="Heading9Char"/>
    <w:unhideWhenUsed/>
    <w:qFormat/>
    <w:rsid w:val="00013E26"/>
    <w:pPr>
      <w:numPr>
        <w:numId w:val="0"/>
      </w:numPr>
      <w:ind w:left="1584" w:hanging="1584"/>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3"/>
    <w:rsid w:val="00013E26"/>
    <w:rPr>
      <w:rFonts w:asciiTheme="minorHAnsi" w:eastAsiaTheme="majorEastAsia" w:hAnsiTheme="minorHAnsi" w:cstheme="majorBidi"/>
      <w:b/>
      <w:sz w:val="32"/>
      <w:szCs w:val="28"/>
      <w:lang w:eastAsia="en-US"/>
    </w:rPr>
  </w:style>
  <w:style w:type="character" w:customStyle="1" w:styleId="Heading2Char">
    <w:name w:val="Heading 2 Char"/>
    <w:basedOn w:val="DefaultParagraphFont"/>
    <w:link w:val="Heading2"/>
    <w:uiPriority w:val="3"/>
    <w:rsid w:val="00013E26"/>
    <w:rPr>
      <w:rFonts w:ascii="Arial" w:eastAsiaTheme="majorEastAsia" w:hAnsi="Arial" w:cstheme="majorBidi"/>
      <w:b/>
      <w:i/>
      <w:snapToGrid w:val="0"/>
      <w:sz w:val="28"/>
      <w:szCs w:val="28"/>
      <w:lang w:eastAsia="en-US"/>
    </w:rPr>
  </w:style>
  <w:style w:type="character" w:customStyle="1" w:styleId="Heading3Char">
    <w:name w:val="Heading 3 Char"/>
    <w:basedOn w:val="DefaultParagraphFont"/>
    <w:link w:val="Heading3"/>
    <w:uiPriority w:val="3"/>
    <w:rsid w:val="00013E26"/>
    <w:rPr>
      <w:rFonts w:asciiTheme="minorHAnsi" w:eastAsiaTheme="majorEastAsia" w:hAnsiTheme="minorHAnsi" w:cstheme="majorBidi"/>
      <w:b/>
      <w:sz w:val="28"/>
      <w:szCs w:val="28"/>
      <w:lang w:eastAsia="en-US"/>
    </w:rPr>
  </w:style>
  <w:style w:type="character" w:customStyle="1" w:styleId="Heading4Char">
    <w:name w:val="Heading 4 Char"/>
    <w:basedOn w:val="DefaultParagraphFont"/>
    <w:link w:val="Heading4"/>
    <w:uiPriority w:val="3"/>
    <w:rsid w:val="00013E26"/>
    <w:rPr>
      <w:rFonts w:asciiTheme="minorHAnsi" w:eastAsiaTheme="majorEastAsia" w:hAnsiTheme="minorHAnsi" w:cstheme="majorBidi"/>
      <w:b/>
      <w:color w:val="000000" w:themeColor="text1"/>
      <w:sz w:val="24"/>
      <w:szCs w:val="28"/>
      <w:lang w:eastAsia="en-US"/>
    </w:rPr>
  </w:style>
  <w:style w:type="character" w:customStyle="1" w:styleId="Heading5Char">
    <w:name w:val="Heading 5 Char"/>
    <w:aliases w:val="Heading 2 - Body Char"/>
    <w:basedOn w:val="DefaultParagraphFont"/>
    <w:link w:val="Heading5"/>
    <w:uiPriority w:val="10"/>
    <w:rsid w:val="00013E26"/>
    <w:rPr>
      <w:rFonts w:ascii="Arial" w:eastAsiaTheme="majorEastAsia" w:hAnsi="Arial" w:cstheme="majorBidi"/>
      <w:b/>
      <w:i/>
      <w:snapToGrid w:val="0"/>
      <w:sz w:val="28"/>
      <w:szCs w:val="28"/>
      <w:lang w:eastAsia="en-US"/>
    </w:rPr>
  </w:style>
  <w:style w:type="character" w:customStyle="1" w:styleId="Heading6Char">
    <w:name w:val="Heading 6 Char"/>
    <w:aliases w:val="Heading 3 - Body Char"/>
    <w:basedOn w:val="DefaultParagraphFont"/>
    <w:link w:val="Heading6"/>
    <w:uiPriority w:val="12"/>
    <w:rsid w:val="00013E26"/>
    <w:rPr>
      <w:rFonts w:asciiTheme="minorHAnsi" w:eastAsiaTheme="majorEastAsia" w:hAnsiTheme="minorHAnsi" w:cstheme="majorBidi"/>
      <w:b/>
      <w:sz w:val="24"/>
      <w:szCs w:val="28"/>
      <w:lang w:eastAsia="en-US"/>
    </w:rPr>
  </w:style>
  <w:style w:type="character" w:customStyle="1" w:styleId="Heading7Char">
    <w:name w:val="Heading 7 Char"/>
    <w:basedOn w:val="DefaultParagraphFont"/>
    <w:link w:val="Heading7"/>
    <w:uiPriority w:val="12"/>
    <w:rsid w:val="00013E26"/>
    <w:rPr>
      <w:rFonts w:asciiTheme="minorHAnsi" w:eastAsiaTheme="majorEastAsia" w:hAnsiTheme="minorHAnsi" w:cstheme="majorBidi"/>
      <w:b/>
      <w:i/>
      <w:sz w:val="24"/>
      <w:szCs w:val="24"/>
      <w:lang w:eastAsia="en-US"/>
    </w:rPr>
  </w:style>
  <w:style w:type="character" w:customStyle="1" w:styleId="Heading8Char">
    <w:name w:val="Heading 8 Char"/>
    <w:basedOn w:val="DefaultParagraphFont"/>
    <w:link w:val="Heading8"/>
    <w:uiPriority w:val="12"/>
    <w:rsid w:val="00013E2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aliases w:val="Section heading - Body Char,Page number Char"/>
    <w:basedOn w:val="DefaultParagraphFont"/>
    <w:link w:val="Heading9"/>
    <w:uiPriority w:val="7"/>
    <w:rsid w:val="00013E26"/>
    <w:rPr>
      <w:rFonts w:asciiTheme="minorHAnsi" w:eastAsiaTheme="majorEastAsia" w:hAnsiTheme="minorHAnsi" w:cstheme="majorBidi"/>
      <w:b/>
      <w:sz w:val="36"/>
      <w:szCs w:val="28"/>
      <w:lang w:eastAsia="en-US"/>
    </w:rPr>
  </w:style>
  <w:style w:type="paragraph" w:styleId="ListParagraph">
    <w:name w:val="List Paragraph"/>
    <w:aliases w:val="ES Paragraph,BulletPoints,PBAC ES Paragraph,List Paragraph1,Bullet point,List Paragraph11,Recommendation"/>
    <w:basedOn w:val="Normal"/>
    <w:link w:val="ListParagraphChar"/>
    <w:uiPriority w:val="34"/>
    <w:qFormat/>
    <w:rsid w:val="00013E26"/>
    <w:pPr>
      <w:ind w:left="1077" w:hanging="1077"/>
    </w:pPr>
    <w:rPr>
      <w:color w:val="000000" w:themeColor="text1"/>
    </w:rPr>
  </w:style>
  <w:style w:type="paragraph" w:styleId="BalloonText">
    <w:name w:val="Balloon Text"/>
    <w:basedOn w:val="Normal"/>
    <w:link w:val="BalloonTextChar"/>
    <w:uiPriority w:val="9"/>
    <w:unhideWhenUsed/>
    <w:rsid w:val="00013E2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013E26"/>
    <w:rPr>
      <w:rFonts w:ascii="Segoe UI" w:eastAsiaTheme="minorHAnsi" w:hAnsi="Segoe UI" w:cs="Segoe UI"/>
      <w:sz w:val="18"/>
      <w:szCs w:val="18"/>
      <w:lang w:eastAsia="en-US"/>
    </w:rPr>
  </w:style>
  <w:style w:type="paragraph" w:customStyle="1" w:styleId="InstructionalText">
    <w:name w:val="Instructional Text"/>
    <w:basedOn w:val="Normal"/>
    <w:link w:val="InstructionalTextChar"/>
    <w:uiPriority w:val="3"/>
    <w:qFormat/>
    <w:rsid w:val="00013E26"/>
    <w:rPr>
      <w:color w:val="0070C0"/>
    </w:rPr>
  </w:style>
  <w:style w:type="table" w:styleId="TableGrid">
    <w:name w:val="Table Grid"/>
    <w:aliases w:val="Summary box,Table Gridbeth"/>
    <w:basedOn w:val="TableNormal"/>
    <w:uiPriority w:val="59"/>
    <w:rsid w:val="00013E2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Caption Char1 Char,Caption Char Char Char,Caption Char1 Char Char Char,Caption Char Char Char Char Char,Caption Char Char1 Char,Caption Char1 Char1,Caption Char Char Char1,Caption Char Char,Caption Char2 Char,12,- H"/>
    <w:basedOn w:val="Normal"/>
    <w:next w:val="Normal"/>
    <w:link w:val="CaptionChar"/>
    <w:autoRedefine/>
    <w:unhideWhenUsed/>
    <w:qFormat/>
    <w:rsid w:val="008F1A10"/>
    <w:pPr>
      <w:keepNext/>
      <w:spacing w:after="0"/>
      <w:contextualSpacing/>
    </w:pPr>
    <w:rPr>
      <w:rFonts w:ascii="Arial Narrow" w:hAnsi="Arial Narrow"/>
      <w:b/>
      <w:iCs/>
      <w:color w:val="000000" w:themeColor="text1"/>
      <w:sz w:val="20"/>
      <w:szCs w:val="18"/>
    </w:rPr>
  </w:style>
  <w:style w:type="paragraph" w:customStyle="1" w:styleId="TableText">
    <w:name w:val="Table Text"/>
    <w:basedOn w:val="Normal"/>
    <w:link w:val="TableTextChar"/>
    <w:qFormat/>
    <w:rsid w:val="00013E26"/>
    <w:pPr>
      <w:widowControl w:val="0"/>
      <w:spacing w:before="40" w:after="40"/>
    </w:pPr>
    <w:rPr>
      <w:rFonts w:ascii="Arial Narrow" w:hAnsi="Arial Narrow"/>
      <w:sz w:val="20"/>
    </w:rPr>
  </w:style>
  <w:style w:type="character" w:styleId="Hyperlink">
    <w:name w:val="Hyperlink"/>
    <w:basedOn w:val="DefaultParagraphFont"/>
    <w:uiPriority w:val="99"/>
    <w:unhideWhenUsed/>
    <w:rsid w:val="00013E26"/>
    <w:rPr>
      <w:color w:val="00B0F0"/>
      <w:u w:val="single"/>
    </w:rPr>
  </w:style>
  <w:style w:type="paragraph" w:styleId="FootnoteText">
    <w:name w:val="footnote text"/>
    <w:aliases w:val="Footnote Text Char1,Footnote Text Char Char,Footnote Text Char2,Footnote Text Char Char1"/>
    <w:basedOn w:val="Normal"/>
    <w:link w:val="FootnoteTextChar"/>
    <w:unhideWhenUsed/>
    <w:rsid w:val="00013E26"/>
    <w:pPr>
      <w:spacing w:before="0" w:after="0"/>
    </w:pPr>
    <w:rPr>
      <w:sz w:val="18"/>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013E26"/>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013E26"/>
    <w:rPr>
      <w:vertAlign w:val="superscript"/>
    </w:rPr>
  </w:style>
  <w:style w:type="character" w:styleId="CommentReference">
    <w:name w:val="annotation reference"/>
    <w:aliases w:val="Table Title"/>
    <w:basedOn w:val="DefaultParagraphFont"/>
    <w:uiPriority w:val="99"/>
    <w:unhideWhenUsed/>
    <w:qFormat/>
    <w:rsid w:val="00013E26"/>
    <w:rPr>
      <w:sz w:val="16"/>
      <w:szCs w:val="16"/>
    </w:rPr>
  </w:style>
  <w:style w:type="paragraph" w:styleId="CommentText">
    <w:name w:val="annotation text"/>
    <w:basedOn w:val="Normal"/>
    <w:link w:val="CommentTextChar"/>
    <w:uiPriority w:val="99"/>
    <w:unhideWhenUsed/>
    <w:rsid w:val="00013E26"/>
    <w:rPr>
      <w:sz w:val="20"/>
      <w:szCs w:val="20"/>
    </w:rPr>
  </w:style>
  <w:style w:type="character" w:customStyle="1" w:styleId="CommentTextChar">
    <w:name w:val="Comment Text Char"/>
    <w:basedOn w:val="DefaultParagraphFont"/>
    <w:link w:val="CommentText"/>
    <w:uiPriority w:val="99"/>
    <w:rsid w:val="00013E2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nhideWhenUsed/>
    <w:rsid w:val="00013E26"/>
    <w:rPr>
      <w:b/>
      <w:bCs/>
    </w:rPr>
  </w:style>
  <w:style w:type="character" w:customStyle="1" w:styleId="CommentSubjectChar">
    <w:name w:val="Comment Subject Char"/>
    <w:basedOn w:val="CommentTextChar"/>
    <w:link w:val="CommentSubject"/>
    <w:rsid w:val="00013E26"/>
    <w:rPr>
      <w:rFonts w:asciiTheme="minorHAnsi" w:eastAsiaTheme="minorHAnsi" w:hAnsiTheme="minorHAnsi" w:cstheme="minorBidi"/>
      <w:b/>
      <w:bCs/>
      <w:lang w:eastAsia="en-US"/>
    </w:rPr>
  </w:style>
  <w:style w:type="character" w:customStyle="1" w:styleId="InstructionalTextChar">
    <w:name w:val="Instructional Text Char"/>
    <w:basedOn w:val="DefaultParagraphFont"/>
    <w:link w:val="InstructionalText"/>
    <w:uiPriority w:val="3"/>
    <w:rsid w:val="00013E26"/>
    <w:rPr>
      <w:rFonts w:asciiTheme="minorHAnsi" w:eastAsiaTheme="minorHAnsi" w:hAnsiTheme="minorHAnsi" w:cstheme="minorBidi"/>
      <w:color w:val="0070C0"/>
      <w:sz w:val="24"/>
      <w:szCs w:val="22"/>
      <w:lang w:eastAsia="en-US"/>
    </w:rPr>
  </w:style>
  <w:style w:type="character" w:customStyle="1" w:styleId="CaptionChar">
    <w:name w:val="Caption Char"/>
    <w:aliases w:val="Table and Figure Name Char,Caption Char1 Char Char,Caption Char Char Char Char,Caption Char1 Char Char Char Char,Caption Char Char Char Char Char Char,Caption Char Char1 Char Char,Caption Char1 Char1 Char,Caption Char Char Char1 Char"/>
    <w:link w:val="Caption"/>
    <w:rsid w:val="008F1A10"/>
    <w:rPr>
      <w:rFonts w:ascii="Arial Narrow" w:eastAsiaTheme="minorHAnsi" w:hAnsi="Arial Narrow" w:cstheme="minorBidi"/>
      <w:b/>
      <w:iCs/>
      <w:color w:val="000000" w:themeColor="text1"/>
      <w:szCs w:val="18"/>
      <w:lang w:eastAsia="en-US"/>
    </w:rPr>
  </w:style>
  <w:style w:type="paragraph" w:customStyle="1" w:styleId="TableFooter">
    <w:name w:val="Table Footer"/>
    <w:basedOn w:val="Normal"/>
    <w:link w:val="TableFooterChar"/>
    <w:uiPriority w:val="4"/>
    <w:qFormat/>
    <w:rsid w:val="00013E26"/>
    <w:pPr>
      <w:widowControl w:val="0"/>
      <w:spacing w:before="4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013E26"/>
    <w:rPr>
      <w:rFonts w:ascii="Arial Narrow" w:hAnsi="Arial Narrow" w:cs="Arial"/>
      <w:snapToGrid w:val="0"/>
      <w:sz w:val="18"/>
      <w:lang w:eastAsia="en-US"/>
    </w:rPr>
  </w:style>
  <w:style w:type="paragraph" w:styleId="Header">
    <w:name w:val="header"/>
    <w:aliases w:val="Page Header,Header title,he=header,cntr/bld"/>
    <w:basedOn w:val="Normal"/>
    <w:link w:val="HeaderChar"/>
    <w:uiPriority w:val="99"/>
    <w:unhideWhenUsed/>
    <w:rsid w:val="00013E26"/>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013E26"/>
    <w:rPr>
      <w:rFonts w:asciiTheme="minorHAnsi" w:eastAsiaTheme="minorHAnsi" w:hAnsiTheme="minorHAnsi" w:cstheme="minorBidi"/>
      <w:sz w:val="24"/>
      <w:szCs w:val="22"/>
      <w:lang w:eastAsia="en-US"/>
    </w:rPr>
  </w:style>
  <w:style w:type="paragraph" w:styleId="Footer">
    <w:name w:val="footer"/>
    <w:basedOn w:val="Normal"/>
    <w:link w:val="FooterChar"/>
    <w:uiPriority w:val="99"/>
    <w:unhideWhenUsed/>
    <w:rsid w:val="00013E26"/>
    <w:pPr>
      <w:tabs>
        <w:tab w:val="center" w:pos="4513"/>
        <w:tab w:val="right" w:pos="9026"/>
      </w:tabs>
      <w:spacing w:before="0" w:after="0"/>
    </w:pPr>
  </w:style>
  <w:style w:type="character" w:customStyle="1" w:styleId="FooterChar">
    <w:name w:val="Footer Char"/>
    <w:basedOn w:val="DefaultParagraphFont"/>
    <w:link w:val="Footer"/>
    <w:uiPriority w:val="99"/>
    <w:rsid w:val="00013E26"/>
    <w:rPr>
      <w:rFonts w:asciiTheme="minorHAnsi" w:eastAsiaTheme="minorHAnsi" w:hAnsiTheme="minorHAnsi" w:cstheme="minorBidi"/>
      <w:sz w:val="24"/>
      <w:szCs w:val="22"/>
      <w:lang w:eastAsia="en-US"/>
    </w:rPr>
  </w:style>
  <w:style w:type="paragraph" w:styleId="TOC2">
    <w:name w:val="toc 2"/>
    <w:basedOn w:val="Normal"/>
    <w:next w:val="Normal"/>
    <w:autoRedefine/>
    <w:uiPriority w:val="39"/>
    <w:rsid w:val="00013E26"/>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013E26"/>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BodyText">
    <w:name w:val="Body Text"/>
    <w:basedOn w:val="Normal"/>
    <w:link w:val="BodyTextChar"/>
    <w:uiPriority w:val="3"/>
    <w:rsid w:val="00013E26"/>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uiPriority w:val="3"/>
    <w:rsid w:val="00013E26"/>
    <w:rPr>
      <w:rFonts w:ascii="Arial" w:hAnsi="Arial" w:cs="Arial"/>
      <w:snapToGrid w:val="0"/>
      <w:sz w:val="22"/>
      <w:lang w:eastAsia="en-US"/>
    </w:rPr>
  </w:style>
  <w:style w:type="paragraph" w:styleId="NoSpacing">
    <w:name w:val="No Spacing"/>
    <w:uiPriority w:val="1"/>
    <w:qFormat/>
    <w:rsid w:val="00013E26"/>
    <w:pPr>
      <w:widowControl w:val="0"/>
      <w:jc w:val="both"/>
    </w:pPr>
    <w:rPr>
      <w:rFonts w:ascii="Arial" w:hAnsi="Arial" w:cs="Arial"/>
      <w:snapToGrid w:val="0"/>
      <w:sz w:val="22"/>
      <w:lang w:eastAsia="en-US"/>
    </w:rPr>
  </w:style>
  <w:style w:type="paragraph" w:styleId="NormalWeb">
    <w:name w:val="Normal (Web)"/>
    <w:basedOn w:val="Normal"/>
    <w:uiPriority w:val="99"/>
    <w:rsid w:val="00013E26"/>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unhideWhenUsed/>
    <w:rsid w:val="00013E26"/>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013E26"/>
    <w:pPr>
      <w:widowControl w:val="0"/>
      <w:tabs>
        <w:tab w:val="right" w:pos="1134"/>
        <w:tab w:val="right" w:leader="dot" w:pos="9015"/>
      </w:tabs>
      <w:spacing w:after="0"/>
      <w:ind w:left="879"/>
    </w:pPr>
    <w:rPr>
      <w:rFonts w:ascii="Arial" w:eastAsia="Times New Roman" w:hAnsi="Arial" w:cs="Arial"/>
      <w:snapToGrid w:val="0"/>
      <w:sz w:val="20"/>
      <w:szCs w:val="20"/>
    </w:rPr>
  </w:style>
  <w:style w:type="paragraph" w:styleId="TOC4">
    <w:name w:val="toc 4"/>
    <w:basedOn w:val="Normal"/>
    <w:next w:val="Normal"/>
    <w:autoRedefine/>
    <w:uiPriority w:val="39"/>
    <w:rsid w:val="00013E26"/>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013E26"/>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013E26"/>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013E26"/>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013E26"/>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013E26"/>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013E26"/>
    <w:rPr>
      <w:rFonts w:ascii="Arial" w:hAnsi="Arial" w:cs="Arial"/>
      <w:snapToGrid w:val="0"/>
      <w:sz w:val="22"/>
      <w:lang w:eastAsia="en-US"/>
    </w:rPr>
  </w:style>
  <w:style w:type="character" w:customStyle="1" w:styleId="ListParagraphChar">
    <w:name w:val="List Paragraph Char"/>
    <w:aliases w:val="ES Paragraph Char,BulletPoints Char,PBAC ES Paragraph Char,List Paragraph1 Char,Bullet point Char,List Paragraph11 Char,Recommendation Char"/>
    <w:basedOn w:val="DefaultParagraphFont"/>
    <w:link w:val="ListParagraph"/>
    <w:uiPriority w:val="34"/>
    <w:qFormat/>
    <w:locked/>
    <w:rsid w:val="00013E26"/>
    <w:rPr>
      <w:rFonts w:asciiTheme="minorHAnsi" w:eastAsiaTheme="minorHAnsi" w:hAnsiTheme="minorHAnsi" w:cstheme="minorBidi"/>
      <w:color w:val="000000" w:themeColor="text1"/>
      <w:sz w:val="24"/>
      <w:szCs w:val="22"/>
      <w:lang w:eastAsia="en-US"/>
    </w:rPr>
  </w:style>
  <w:style w:type="numbering" w:customStyle="1" w:styleId="Headings">
    <w:name w:val="Headings"/>
    <w:uiPriority w:val="99"/>
    <w:rsid w:val="00013E26"/>
    <w:pPr>
      <w:numPr>
        <w:numId w:val="1"/>
      </w:numPr>
    </w:pPr>
  </w:style>
  <w:style w:type="character" w:styleId="FollowedHyperlink">
    <w:name w:val="FollowedHyperlink"/>
    <w:basedOn w:val="DefaultParagraphFont"/>
    <w:uiPriority w:val="99"/>
    <w:unhideWhenUsed/>
    <w:rsid w:val="00013E26"/>
    <w:rPr>
      <w:color w:val="954F72" w:themeColor="followedHyperlink"/>
      <w:u w:val="single"/>
    </w:rPr>
  </w:style>
  <w:style w:type="paragraph" w:customStyle="1" w:styleId="BulletLast">
    <w:name w:val="Bullet Last"/>
    <w:basedOn w:val="Normal"/>
    <w:rsid w:val="00013E26"/>
    <w:pPr>
      <w:numPr>
        <w:numId w:val="2"/>
      </w:numPr>
      <w:spacing w:before="0" w:after="240"/>
      <w:ind w:left="357" w:hanging="357"/>
    </w:pPr>
    <w:rPr>
      <w:sz w:val="22"/>
    </w:rPr>
  </w:style>
  <w:style w:type="character" w:customStyle="1" w:styleId="StyleArial11pt">
    <w:name w:val="Style Arial 11 pt"/>
    <w:basedOn w:val="DefaultParagraphFont"/>
    <w:uiPriority w:val="3"/>
    <w:rsid w:val="00013E26"/>
    <w:rPr>
      <w:rFonts w:ascii="Arial" w:hAnsi="Arial"/>
      <w:sz w:val="22"/>
    </w:rPr>
  </w:style>
  <w:style w:type="paragraph" w:customStyle="1" w:styleId="ESHeading1">
    <w:name w:val="ES Heading 1"/>
    <w:basedOn w:val="Heading1"/>
    <w:next w:val="Heading1"/>
    <w:uiPriority w:val="2"/>
    <w:qFormat/>
    <w:rsid w:val="00013E26"/>
    <w:pPr>
      <w:numPr>
        <w:numId w:val="0"/>
      </w:numPr>
      <w:spacing w:before="240" w:line="240" w:lineRule="auto"/>
      <w:ind w:left="720" w:hanging="720"/>
    </w:pPr>
    <w:rPr>
      <w:rFonts w:eastAsia="Times New Roman" w:cs="Arial"/>
      <w:snapToGrid w:val="0"/>
      <w:szCs w:val="32"/>
    </w:rPr>
  </w:style>
  <w:style w:type="paragraph" w:customStyle="1" w:styleId="Default">
    <w:name w:val="Default"/>
    <w:uiPriority w:val="3"/>
    <w:rsid w:val="00013E26"/>
    <w:pPr>
      <w:autoSpaceDE w:val="0"/>
      <w:autoSpaceDN w:val="0"/>
      <w:adjustRightInd w:val="0"/>
    </w:pPr>
    <w:rPr>
      <w:rFonts w:ascii="Arial" w:hAnsi="Arial" w:cs="Arial"/>
      <w:color w:val="000000"/>
      <w:sz w:val="24"/>
      <w:szCs w:val="24"/>
    </w:rPr>
  </w:style>
  <w:style w:type="paragraph" w:customStyle="1" w:styleId="Heading1subheading">
    <w:name w:val="Heading 1 subheading"/>
    <w:basedOn w:val="Heading1"/>
    <w:next w:val="Normal"/>
    <w:link w:val="Heading1subheadingChar"/>
    <w:uiPriority w:val="3"/>
    <w:qFormat/>
    <w:rsid w:val="00013E26"/>
    <w:pPr>
      <w:numPr>
        <w:ilvl w:val="1"/>
      </w:numPr>
    </w:pPr>
    <w:rPr>
      <w:caps/>
    </w:rPr>
  </w:style>
  <w:style w:type="paragraph" w:customStyle="1" w:styleId="Heading2SECTION2">
    <w:name w:val="Heading 2 SECTION 2"/>
    <w:basedOn w:val="Heading2"/>
    <w:next w:val="Normal"/>
    <w:link w:val="Heading2SECTION2Char"/>
    <w:uiPriority w:val="3"/>
    <w:qFormat/>
    <w:rsid w:val="00013E26"/>
    <w:pPr>
      <w:numPr>
        <w:ilvl w:val="2"/>
      </w:numPr>
      <w:tabs>
        <w:tab w:val="left" w:pos="1134"/>
      </w:tabs>
    </w:pPr>
  </w:style>
  <w:style w:type="character" w:customStyle="1" w:styleId="Heading1subheadingChar">
    <w:name w:val="Heading 1 subheading Char"/>
    <w:basedOn w:val="Heading1Char"/>
    <w:link w:val="Heading1subheading"/>
    <w:uiPriority w:val="3"/>
    <w:rsid w:val="00013E26"/>
    <w:rPr>
      <w:rFonts w:asciiTheme="minorHAnsi" w:eastAsiaTheme="majorEastAsia" w:hAnsiTheme="minorHAnsi" w:cstheme="majorBidi"/>
      <w:b/>
      <w:caps/>
      <w:sz w:val="32"/>
      <w:szCs w:val="28"/>
      <w:lang w:eastAsia="en-US"/>
    </w:rPr>
  </w:style>
  <w:style w:type="character" w:customStyle="1" w:styleId="Heading2SECTION2Char">
    <w:name w:val="Heading 2 SECTION 2 Char"/>
    <w:basedOn w:val="Heading2Char"/>
    <w:link w:val="Heading2SECTION2"/>
    <w:uiPriority w:val="3"/>
    <w:rsid w:val="00013E26"/>
    <w:rPr>
      <w:rFonts w:ascii="Arial" w:eastAsiaTheme="majorEastAsia" w:hAnsi="Arial" w:cstheme="majorBidi"/>
      <w:b/>
      <w:i/>
      <w:snapToGrid w:val="0"/>
      <w:sz w:val="28"/>
      <w:szCs w:val="28"/>
      <w:lang w:eastAsia="en-US"/>
    </w:rPr>
  </w:style>
  <w:style w:type="paragraph" w:customStyle="1" w:styleId="Comment">
    <w:name w:val="Comment"/>
    <w:basedOn w:val="Normal"/>
    <w:link w:val="CommentChar"/>
    <w:uiPriority w:val="3"/>
    <w:rsid w:val="00013E26"/>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3"/>
    <w:rsid w:val="00013E26"/>
    <w:rPr>
      <w:rFonts w:ascii="Calibri" w:hAnsi="Calibri" w:cs="Tahoma"/>
      <w:i/>
      <w:color w:val="C00000"/>
      <w:sz w:val="22"/>
      <w:szCs w:val="22"/>
    </w:rPr>
  </w:style>
  <w:style w:type="character" w:customStyle="1" w:styleId="TableTextChar">
    <w:name w:val="Table Text Char"/>
    <w:link w:val="TableText"/>
    <w:rsid w:val="00013E26"/>
    <w:rPr>
      <w:rFonts w:ascii="Arial Narrow" w:eastAsiaTheme="minorHAnsi" w:hAnsi="Arial Narrow" w:cstheme="minorBidi"/>
      <w:szCs w:val="22"/>
      <w:lang w:eastAsia="en-US"/>
    </w:rPr>
  </w:style>
  <w:style w:type="paragraph" w:customStyle="1" w:styleId="Guidelines">
    <w:name w:val="Guidelines"/>
    <w:basedOn w:val="Normal"/>
    <w:link w:val="GuidelinesChar"/>
    <w:uiPriority w:val="3"/>
    <w:rsid w:val="00013E26"/>
    <w:pPr>
      <w:spacing w:before="0" w:after="240" w:line="312" w:lineRule="auto"/>
    </w:pPr>
    <w:rPr>
      <w:rFonts w:ascii="Calibri" w:eastAsia="Times New Roman" w:hAnsi="Calibri" w:cs="Tahoma"/>
      <w:vanish/>
      <w:color w:val="C00000"/>
      <w:sz w:val="22"/>
      <w:lang w:eastAsia="en-AU"/>
    </w:rPr>
  </w:style>
  <w:style w:type="character" w:customStyle="1" w:styleId="GuidelinesChar">
    <w:name w:val="Guidelines Char"/>
    <w:basedOn w:val="DefaultParagraphFont"/>
    <w:link w:val="Guidelines"/>
    <w:uiPriority w:val="3"/>
    <w:rsid w:val="00013E26"/>
    <w:rPr>
      <w:rFonts w:ascii="Calibri" w:hAnsi="Calibri" w:cs="Tahoma"/>
      <w:vanish/>
      <w:color w:val="C00000"/>
      <w:sz w:val="22"/>
      <w:szCs w:val="22"/>
    </w:rPr>
  </w:style>
  <w:style w:type="paragraph" w:customStyle="1" w:styleId="AttachmentHeading">
    <w:name w:val="Attachment Heading"/>
    <w:basedOn w:val="Heading1"/>
    <w:next w:val="Normal"/>
    <w:uiPriority w:val="3"/>
    <w:qFormat/>
    <w:rsid w:val="00013E26"/>
    <w:pPr>
      <w:numPr>
        <w:numId w:val="0"/>
      </w:numPr>
    </w:pPr>
  </w:style>
  <w:style w:type="table" w:customStyle="1" w:styleId="PBACTableStyle">
    <w:name w:val="PBAC Table Style"/>
    <w:basedOn w:val="TableGrid1"/>
    <w:uiPriority w:val="99"/>
    <w:rsid w:val="00013E26"/>
    <w:pPr>
      <w:widowControl w:val="0"/>
      <w:contextualSpacing/>
      <w:jc w:val="center"/>
    </w:pPr>
    <w:rPr>
      <w:rFonts w:ascii="Arial Narrow" w:hAnsi="Arial Narrow"/>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Segoe UI Symbol" w:hAnsi="Segoe UI Symbol"/>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Segoe UI Symbol" w:hAnsi="Segoe UI Symbol"/>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Segoe UI Symbol" w:hAnsi="Segoe UI Symbol"/>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1">
    <w:name w:val="List Table 1 Light1"/>
    <w:basedOn w:val="TableNormal"/>
    <w:uiPriority w:val="46"/>
    <w:rsid w:val="00013E26"/>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013E26"/>
    <w:rPr>
      <w:rFonts w:asciiTheme="minorHAnsi" w:eastAsiaTheme="minorHAnsi" w:hAnsiTheme="minorHAnsi" w:cstheme="minorBidi"/>
      <w:color w:val="53813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013E26"/>
    <w:pPr>
      <w:numPr>
        <w:numId w:val="3"/>
      </w:numPr>
      <w:contextualSpacing/>
      <w:jc w:val="left"/>
    </w:pPr>
    <w:rPr>
      <w:rFonts w:ascii="Calibri" w:hAnsi="Calibri"/>
    </w:rPr>
  </w:style>
  <w:style w:type="paragraph" w:customStyle="1" w:styleId="ESHeading2">
    <w:name w:val="ES Heading 2"/>
    <w:basedOn w:val="Heading2"/>
    <w:link w:val="ESHeading2Char"/>
    <w:uiPriority w:val="2"/>
    <w:qFormat/>
    <w:rsid w:val="00013E26"/>
    <w:pPr>
      <w:numPr>
        <w:ilvl w:val="0"/>
        <w:numId w:val="0"/>
      </w:numPr>
      <w:ind w:left="720" w:hanging="720"/>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013E26"/>
    <w:rPr>
      <w:rFonts w:ascii="Calibri" w:eastAsiaTheme="minorHAnsi" w:hAnsi="Calibri" w:cstheme="minorBidi"/>
      <w:color w:val="0070C0"/>
      <w:sz w:val="24"/>
      <w:szCs w:val="22"/>
      <w:lang w:eastAsia="en-US"/>
    </w:rPr>
  </w:style>
  <w:style w:type="character" w:customStyle="1" w:styleId="ESHeading2Char">
    <w:name w:val="ES Heading 2 Char"/>
    <w:basedOn w:val="Heading2Char"/>
    <w:link w:val="ESHeading2"/>
    <w:uiPriority w:val="2"/>
    <w:rsid w:val="00013E26"/>
    <w:rPr>
      <w:rFonts w:asciiTheme="majorHAnsi" w:eastAsiaTheme="majorEastAsia" w:hAnsiTheme="majorHAnsi" w:cstheme="majorBidi"/>
      <w:b/>
      <w:i/>
      <w:snapToGrid w:val="0"/>
      <w:sz w:val="28"/>
      <w:szCs w:val="28"/>
      <w:lang w:eastAsia="en-US"/>
    </w:rPr>
  </w:style>
  <w:style w:type="paragraph" w:customStyle="1" w:styleId="CommentTabletext">
    <w:name w:val="Comment Table text"/>
    <w:basedOn w:val="Normal"/>
    <w:uiPriority w:val="3"/>
    <w:rsid w:val="00013E26"/>
    <w:pPr>
      <w:tabs>
        <w:tab w:val="num" w:pos="720"/>
      </w:tabs>
      <w:spacing w:before="40" w:after="40"/>
      <w:ind w:left="720"/>
    </w:pPr>
    <w:rPr>
      <w:rFonts w:ascii="Arial Narrow" w:eastAsia="Times New Roman" w:hAnsi="Arial Narrow" w:cs="Tahoma"/>
      <w:i/>
      <w:sz w:val="20"/>
      <w:szCs w:val="20"/>
      <w:lang w:eastAsia="en-AU"/>
    </w:rPr>
  </w:style>
  <w:style w:type="paragraph" w:customStyle="1" w:styleId="ESHeadingCAPS">
    <w:name w:val="ES Heading CAPS"/>
    <w:basedOn w:val="ESHeading2"/>
    <w:link w:val="ESHeadingCAPSChar"/>
    <w:uiPriority w:val="2"/>
    <w:qFormat/>
    <w:rsid w:val="00013E26"/>
    <w:rPr>
      <w:i w:val="0"/>
      <w:smallCaps/>
      <w:sz w:val="32"/>
    </w:rPr>
  </w:style>
  <w:style w:type="paragraph" w:customStyle="1" w:styleId="ESHeading3">
    <w:name w:val="ES Heading 3"/>
    <w:basedOn w:val="ESHeading2"/>
    <w:link w:val="ESHeading3Char"/>
    <w:uiPriority w:val="2"/>
    <w:qFormat/>
    <w:rsid w:val="00013E26"/>
    <w:pPr>
      <w:ind w:left="1080" w:hanging="1080"/>
    </w:pPr>
    <w:rPr>
      <w:i w:val="0"/>
      <w:sz w:val="24"/>
    </w:rPr>
  </w:style>
  <w:style w:type="character" w:customStyle="1" w:styleId="ESHeadingCAPSChar">
    <w:name w:val="ES Heading CAPS Char"/>
    <w:basedOn w:val="ESHeading2Char"/>
    <w:link w:val="ESHeadingCAPS"/>
    <w:uiPriority w:val="2"/>
    <w:rsid w:val="00013E26"/>
    <w:rPr>
      <w:rFonts w:asciiTheme="majorHAnsi" w:eastAsiaTheme="majorEastAsia" w:hAnsiTheme="majorHAnsi" w:cstheme="majorBidi"/>
      <w:b/>
      <w:i w:val="0"/>
      <w:smallCaps/>
      <w:snapToGrid w:val="0"/>
      <w:sz w:val="32"/>
      <w:szCs w:val="28"/>
      <w:lang w:eastAsia="en-US"/>
    </w:rPr>
  </w:style>
  <w:style w:type="paragraph" w:customStyle="1" w:styleId="Paragraphheading1">
    <w:name w:val="Paragraph heading 1"/>
    <w:uiPriority w:val="3"/>
    <w:rsid w:val="00013E26"/>
    <w:pPr>
      <w:ind w:left="720" w:hanging="720"/>
    </w:pPr>
    <w:rPr>
      <w:rFonts w:asciiTheme="majorHAnsi" w:hAnsiTheme="majorHAnsi" w:cs="Arial"/>
      <w:i/>
      <w:snapToGrid w:val="0"/>
      <w:sz w:val="32"/>
      <w:szCs w:val="32"/>
      <w:lang w:eastAsia="en-US"/>
    </w:rPr>
  </w:style>
  <w:style w:type="character" w:customStyle="1" w:styleId="ESHeading3Char">
    <w:name w:val="ES Heading 3 Char"/>
    <w:basedOn w:val="ESHeading2Char"/>
    <w:link w:val="ESHeading3"/>
    <w:uiPriority w:val="2"/>
    <w:rsid w:val="00013E26"/>
    <w:rPr>
      <w:rFonts w:asciiTheme="majorHAnsi" w:eastAsiaTheme="majorEastAsia" w:hAnsiTheme="majorHAnsi" w:cstheme="majorBidi"/>
      <w:b/>
      <w:i w:val="0"/>
      <w:snapToGrid w:val="0"/>
      <w:sz w:val="24"/>
      <w:szCs w:val="28"/>
      <w:lang w:eastAsia="en-US"/>
    </w:rPr>
  </w:style>
  <w:style w:type="paragraph" w:customStyle="1" w:styleId="Level1">
    <w:name w:val="Level 1"/>
    <w:basedOn w:val="Normal"/>
    <w:uiPriority w:val="3"/>
    <w:rsid w:val="00013E26"/>
  </w:style>
  <w:style w:type="paragraph" w:customStyle="1" w:styleId="ESParagraphDotpoint">
    <w:name w:val="ES Paragraph Dotpoint"/>
    <w:basedOn w:val="ListParagraph"/>
    <w:link w:val="ESParagraphDotpointChar"/>
    <w:uiPriority w:val="2"/>
    <w:qFormat/>
    <w:rsid w:val="00013E26"/>
    <w:pPr>
      <w:tabs>
        <w:tab w:val="num" w:pos="360"/>
      </w:tabs>
      <w:spacing w:before="0" w:after="0"/>
      <w:ind w:left="1843" w:hanging="709"/>
    </w:pPr>
  </w:style>
  <w:style w:type="character" w:customStyle="1" w:styleId="ESParagraphDotpointChar">
    <w:name w:val="ES Paragraph Dotpoint Char"/>
    <w:basedOn w:val="ListParagraphChar"/>
    <w:link w:val="ESParagraphDotpoint"/>
    <w:uiPriority w:val="2"/>
    <w:rsid w:val="00013E26"/>
    <w:rPr>
      <w:rFonts w:asciiTheme="minorHAnsi" w:eastAsiaTheme="minorHAnsi" w:hAnsiTheme="minorHAnsi" w:cstheme="minorBidi"/>
      <w:color w:val="000000" w:themeColor="text1"/>
      <w:sz w:val="24"/>
      <w:szCs w:val="22"/>
      <w:lang w:eastAsia="en-US"/>
    </w:rPr>
  </w:style>
  <w:style w:type="paragraph" w:customStyle="1" w:styleId="AttachmentHeading2">
    <w:name w:val="Attachment Heading 2"/>
    <w:basedOn w:val="Heading2"/>
    <w:link w:val="AttachmentHeading2Char"/>
    <w:uiPriority w:val="3"/>
    <w:qFormat/>
    <w:rsid w:val="00013E26"/>
    <w:pPr>
      <w:numPr>
        <w:ilvl w:val="0"/>
        <w:numId w:val="0"/>
      </w:numPr>
    </w:pPr>
  </w:style>
  <w:style w:type="character" w:customStyle="1" w:styleId="AttachmentHeading2Char">
    <w:name w:val="Attachment Heading 2 Char"/>
    <w:basedOn w:val="Heading2Char"/>
    <w:link w:val="AttachmentHeading2"/>
    <w:uiPriority w:val="3"/>
    <w:rsid w:val="00013E26"/>
    <w:rPr>
      <w:rFonts w:ascii="Arial" w:eastAsiaTheme="majorEastAsia" w:hAnsi="Arial" w:cstheme="majorBidi"/>
      <w:b/>
      <w:i/>
      <w:snapToGrid w:val="0"/>
      <w:sz w:val="28"/>
      <w:szCs w:val="28"/>
      <w:lang w:eastAsia="en-US"/>
    </w:rPr>
  </w:style>
  <w:style w:type="table" w:styleId="TableGrid1">
    <w:name w:val="Table Grid 1"/>
    <w:basedOn w:val="TableNormal"/>
    <w:uiPriority w:val="99"/>
    <w:semiHidden/>
    <w:unhideWhenUsed/>
    <w:rsid w:val="00013E26"/>
    <w:pPr>
      <w:spacing w:before="120" w:after="160"/>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bletextChar1">
    <w:name w:val="Table text Char1"/>
    <w:basedOn w:val="DefaultParagraphFont"/>
    <w:link w:val="Tabletext0"/>
    <w:locked/>
    <w:rsid w:val="00013E26"/>
    <w:rPr>
      <w:rFonts w:ascii="Arial" w:hAnsi="Arial"/>
    </w:rPr>
  </w:style>
  <w:style w:type="paragraph" w:customStyle="1" w:styleId="Tabletext0">
    <w:name w:val="Table text"/>
    <w:basedOn w:val="Normal"/>
    <w:link w:val="TabletextChar1"/>
    <w:uiPriority w:val="99"/>
    <w:qFormat/>
    <w:rsid w:val="00013E26"/>
    <w:pPr>
      <w:spacing w:before="0" w:after="120"/>
    </w:pPr>
    <w:rPr>
      <w:rFonts w:ascii="Arial" w:eastAsia="Times New Roman" w:hAnsi="Arial" w:cs="Times New Roman"/>
      <w:sz w:val="20"/>
      <w:szCs w:val="20"/>
      <w:lang w:eastAsia="en-AU"/>
    </w:rPr>
  </w:style>
  <w:style w:type="character" w:styleId="HTMLCite">
    <w:name w:val="HTML Cite"/>
    <w:basedOn w:val="DefaultParagraphFont"/>
    <w:uiPriority w:val="99"/>
    <w:unhideWhenUsed/>
    <w:rsid w:val="00013E26"/>
    <w:rPr>
      <w:i/>
      <w:iCs/>
    </w:rPr>
  </w:style>
  <w:style w:type="paragraph" w:customStyle="1" w:styleId="Heading2Clinical">
    <w:name w:val="Heading 2 Clinical"/>
    <w:basedOn w:val="Heading3"/>
    <w:link w:val="Heading2ClinicalChar"/>
    <w:qFormat/>
    <w:rsid w:val="00013E26"/>
    <w:pPr>
      <w:numPr>
        <w:ilvl w:val="4"/>
      </w:numPr>
      <w:tabs>
        <w:tab w:val="left" w:pos="1418"/>
      </w:tabs>
    </w:pPr>
    <w:rPr>
      <w:color w:val="000000" w:themeColor="text1"/>
    </w:rPr>
  </w:style>
  <w:style w:type="character" w:customStyle="1" w:styleId="Heading2ClinicalChar">
    <w:name w:val="Heading 2 Clinical Char"/>
    <w:basedOn w:val="Heading4Char"/>
    <w:link w:val="Heading2Clinical"/>
    <w:rsid w:val="00013E26"/>
    <w:rPr>
      <w:rFonts w:asciiTheme="minorHAnsi" w:eastAsiaTheme="majorEastAsia" w:hAnsiTheme="minorHAnsi" w:cstheme="majorBidi"/>
      <w:b/>
      <w:color w:val="000000" w:themeColor="text1"/>
      <w:sz w:val="28"/>
      <w:szCs w:val="28"/>
      <w:lang w:eastAsia="en-US"/>
    </w:rPr>
  </w:style>
  <w:style w:type="paragraph" w:customStyle="1" w:styleId="TableHeading">
    <w:name w:val="Table Heading"/>
    <w:basedOn w:val="Normal"/>
    <w:link w:val="TableHeadingChar"/>
    <w:qFormat/>
    <w:rsid w:val="00013E26"/>
    <w:pPr>
      <w:keepNext/>
      <w:tabs>
        <w:tab w:val="left" w:pos="1134"/>
      </w:tabs>
      <w:spacing w:before="240" w:after="40"/>
      <w:ind w:left="1134" w:hanging="1134"/>
    </w:pPr>
    <w:rPr>
      <w:rFonts w:ascii="Arial Narrow" w:hAnsi="Arial Narrow"/>
      <w:b/>
      <w:sz w:val="20"/>
      <w:lang w:eastAsia="en-AU" w:bidi="en-US"/>
    </w:rPr>
  </w:style>
  <w:style w:type="numbering" w:customStyle="1" w:styleId="Lists">
    <w:name w:val="Lists"/>
    <w:uiPriority w:val="99"/>
    <w:rsid w:val="00013E26"/>
    <w:pPr>
      <w:numPr>
        <w:numId w:val="6"/>
      </w:numPr>
    </w:pPr>
  </w:style>
  <w:style w:type="table" w:customStyle="1" w:styleId="MSDAustralia">
    <w:name w:val="MSD Australia"/>
    <w:basedOn w:val="TableGrid"/>
    <w:uiPriority w:val="99"/>
    <w:rsid w:val="00013E26"/>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ource">
    <w:name w:val="Source"/>
    <w:basedOn w:val="Normal"/>
    <w:uiPriority w:val="35"/>
    <w:qFormat/>
    <w:rsid w:val="00013E26"/>
    <w:pPr>
      <w:keepLines/>
      <w:tabs>
        <w:tab w:val="left" w:pos="284"/>
      </w:tabs>
      <w:spacing w:before="60" w:after="360" w:line="360" w:lineRule="auto"/>
      <w:contextualSpacing/>
      <w:jc w:val="left"/>
    </w:pPr>
    <w:rPr>
      <w:rFonts w:ascii="Arial" w:hAnsi="Arial"/>
      <w:sz w:val="18"/>
      <w:szCs w:val="20"/>
    </w:rPr>
  </w:style>
  <w:style w:type="table" w:customStyle="1" w:styleId="ExecSummTable">
    <w:name w:val="Exec Summ Table"/>
    <w:basedOn w:val="MSDAustralia"/>
    <w:uiPriority w:val="99"/>
    <w:rsid w:val="00013E26"/>
    <w:rPr>
      <w:sz w:val="18"/>
      <w:lang w:eastAsia="en-AU" w:bidi="th-TH"/>
    </w:rP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character" w:customStyle="1" w:styleId="TabletextChar0">
    <w:name w:val="Table text Char"/>
    <w:uiPriority w:val="99"/>
    <w:rsid w:val="00013E26"/>
    <w:rPr>
      <w:rFonts w:ascii="Arial Narrow" w:eastAsia="Times New Roman" w:hAnsi="Arial Narrow" w:cs="Times New Roman"/>
      <w:sz w:val="20"/>
      <w:szCs w:val="20"/>
    </w:rPr>
  </w:style>
  <w:style w:type="paragraph" w:customStyle="1" w:styleId="EndNoteBibliographyTitle">
    <w:name w:val="EndNote Bibliography Title"/>
    <w:basedOn w:val="Normal"/>
    <w:link w:val="EndNoteBibliographyTitleChar"/>
    <w:rsid w:val="00013E26"/>
    <w:pPr>
      <w:spacing w:after="0"/>
      <w:jc w:val="center"/>
    </w:pPr>
    <w:rPr>
      <w:rFonts w:ascii="Calibri" w:hAnsi="Calibri"/>
      <w:noProof/>
      <w:lang w:val="en-US"/>
    </w:rPr>
  </w:style>
  <w:style w:type="character" w:customStyle="1" w:styleId="EndNoteBibliographyTitleChar">
    <w:name w:val="EndNote Bibliography Title Char"/>
    <w:basedOn w:val="TableTextChar"/>
    <w:link w:val="EndNoteBibliographyTitle"/>
    <w:rsid w:val="00013E26"/>
    <w:rPr>
      <w:rFonts w:ascii="Calibri" w:eastAsiaTheme="minorHAnsi" w:hAnsi="Calibri" w:cstheme="minorBidi"/>
      <w:noProof/>
      <w:sz w:val="24"/>
      <w:szCs w:val="22"/>
      <w:lang w:val="en-US" w:eastAsia="en-US"/>
    </w:rPr>
  </w:style>
  <w:style w:type="paragraph" w:customStyle="1" w:styleId="EndNoteBibliography">
    <w:name w:val="EndNote Bibliography"/>
    <w:basedOn w:val="Normal"/>
    <w:link w:val="EndNoteBibliographyChar"/>
    <w:rsid w:val="00013E26"/>
    <w:rPr>
      <w:rFonts w:ascii="Calibri" w:hAnsi="Calibri"/>
      <w:noProof/>
      <w:lang w:val="en-US"/>
    </w:rPr>
  </w:style>
  <w:style w:type="character" w:customStyle="1" w:styleId="EndNoteBibliographyChar">
    <w:name w:val="EndNote Bibliography Char"/>
    <w:basedOn w:val="TableTextChar"/>
    <w:link w:val="EndNoteBibliography"/>
    <w:rsid w:val="00013E26"/>
    <w:rPr>
      <w:rFonts w:ascii="Calibri" w:eastAsiaTheme="minorHAnsi" w:hAnsi="Calibri" w:cstheme="minorBidi"/>
      <w:noProof/>
      <w:sz w:val="24"/>
      <w:szCs w:val="22"/>
      <w:lang w:val="en-US" w:eastAsia="en-US"/>
    </w:rPr>
  </w:style>
  <w:style w:type="numbering" w:customStyle="1" w:styleId="Lists1">
    <w:name w:val="Lists1"/>
    <w:uiPriority w:val="99"/>
    <w:rsid w:val="00013E26"/>
  </w:style>
  <w:style w:type="table" w:customStyle="1" w:styleId="ExecSummTable1">
    <w:name w:val="Exec Summ Table1"/>
    <w:basedOn w:val="TableNormal"/>
    <w:uiPriority w:val="99"/>
    <w:rsid w:val="00013E26"/>
    <w:pPr>
      <w:ind w:left="57" w:right="57"/>
    </w:pPr>
    <w:rPr>
      <w:rFonts w:ascii="Arial" w:eastAsiaTheme="minorHAnsi" w:hAnsi="Arial" w:cstheme="minorBidi"/>
      <w:sz w:val="18"/>
      <w:lang w:bidi="th-TH"/>
    </w:rPr>
    <w:tblPr>
      <w:tblBorders>
        <w:top w:val="single" w:sz="12" w:space="0" w:color="004540"/>
        <w:bottom w:val="single" w:sz="12" w:space="0" w:color="004540"/>
        <w:insideH w:val="single" w:sz="4" w:space="0" w:color="004540"/>
      </w:tblBorders>
      <w:tblCellMar>
        <w:left w:w="57" w:type="dxa"/>
        <w:right w:w="57" w:type="dxa"/>
      </w:tblCellMar>
    </w:tblPr>
    <w:tblStylePr w:type="firstRow">
      <w:rPr>
        <w:b/>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table" w:customStyle="1" w:styleId="TableGridLight1">
    <w:name w:val="Table Grid Light1"/>
    <w:basedOn w:val="TableNormal"/>
    <w:uiPriority w:val="40"/>
    <w:rsid w:val="00013E26"/>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IntroductionText">
    <w:name w:val="Cover Introduction Text"/>
    <w:basedOn w:val="Normal"/>
    <w:uiPriority w:val="21"/>
    <w:rsid w:val="00013E26"/>
    <w:pPr>
      <w:keepLines/>
      <w:spacing w:before="0" w:after="240" w:line="360" w:lineRule="auto"/>
      <w:jc w:val="center"/>
    </w:pPr>
    <w:rPr>
      <w:rFonts w:ascii="Arial" w:hAnsi="Arial"/>
      <w:b/>
      <w:spacing w:val="-2"/>
      <w:szCs w:val="20"/>
    </w:rPr>
  </w:style>
  <w:style w:type="numbering" w:customStyle="1" w:styleId="Lists2">
    <w:name w:val="Lists2"/>
    <w:uiPriority w:val="99"/>
    <w:rsid w:val="00013E26"/>
  </w:style>
  <w:style w:type="numbering" w:customStyle="1" w:styleId="Lists3">
    <w:name w:val="Lists3"/>
    <w:uiPriority w:val="99"/>
    <w:rsid w:val="00013E26"/>
  </w:style>
  <w:style w:type="numbering" w:customStyle="1" w:styleId="Lists4">
    <w:name w:val="Lists4"/>
    <w:uiPriority w:val="99"/>
    <w:rsid w:val="00013E26"/>
  </w:style>
  <w:style w:type="numbering" w:customStyle="1" w:styleId="Lists5">
    <w:name w:val="Lists5"/>
    <w:uiPriority w:val="99"/>
    <w:rsid w:val="00013E26"/>
  </w:style>
  <w:style w:type="table" w:customStyle="1" w:styleId="ExecSummTable2">
    <w:name w:val="Exec Summ Table2"/>
    <w:basedOn w:val="MSDAustralia"/>
    <w:uiPriority w:val="99"/>
    <w:rsid w:val="00013E26"/>
    <w:rPr>
      <w:sz w:val="18"/>
      <w:lang w:eastAsia="en-AU" w:bidi="th-TH"/>
    </w:rPr>
    <w:tblPr/>
    <w:tblStylePr w:type="firstRow">
      <w:rPr>
        <w:b/>
      </w:rPr>
      <w:tblPr/>
      <w:trPr>
        <w:cantSplit/>
        <w:tblHeader/>
      </w:trPr>
      <w:tcPr>
        <w:tcBorders>
          <w:top w:val="single" w:sz="12" w:space="0" w:color="004540"/>
          <w:left w:val="nil"/>
          <w:bottom w:val="single" w:sz="12" w:space="0" w:color="004540"/>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numbering" w:customStyle="1" w:styleId="Lists6">
    <w:name w:val="Lists6"/>
    <w:uiPriority w:val="99"/>
    <w:rsid w:val="00013E26"/>
  </w:style>
  <w:style w:type="table" w:customStyle="1" w:styleId="TableGridbeth1">
    <w:name w:val="Table Gridbeth1"/>
    <w:basedOn w:val="TableNormal"/>
    <w:next w:val="TableGrid"/>
    <w:uiPriority w:val="59"/>
    <w:rsid w:val="00013E2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Lists7">
    <w:name w:val="Lists7"/>
    <w:uiPriority w:val="99"/>
    <w:rsid w:val="00013E26"/>
  </w:style>
  <w:style w:type="table" w:customStyle="1" w:styleId="PBACTableStyle1">
    <w:name w:val="PBAC Table Style1"/>
    <w:basedOn w:val="TableGrid1"/>
    <w:uiPriority w:val="99"/>
    <w:rsid w:val="00013E2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styleId="ListBullet">
    <w:name w:val="List Bullet"/>
    <w:basedOn w:val="Normal"/>
    <w:uiPriority w:val="4"/>
    <w:qFormat/>
    <w:rsid w:val="00013E26"/>
    <w:pPr>
      <w:keepLines/>
      <w:numPr>
        <w:numId w:val="7"/>
      </w:numPr>
      <w:spacing w:before="0" w:after="360" w:line="360" w:lineRule="auto"/>
      <w:jc w:val="left"/>
    </w:pPr>
    <w:rPr>
      <w:rFonts w:ascii="Arial" w:hAnsi="Arial"/>
      <w:sz w:val="20"/>
      <w:szCs w:val="20"/>
    </w:rPr>
  </w:style>
  <w:style w:type="paragraph" w:styleId="ListBullet2">
    <w:name w:val="List Bullet 2"/>
    <w:basedOn w:val="ListBullet"/>
    <w:uiPriority w:val="16"/>
    <w:qFormat/>
    <w:rsid w:val="00013E26"/>
    <w:pPr>
      <w:numPr>
        <w:ilvl w:val="1"/>
      </w:numPr>
    </w:pPr>
  </w:style>
  <w:style w:type="paragraph" w:styleId="ListBullet3">
    <w:name w:val="List Bullet 3"/>
    <w:basedOn w:val="Normal"/>
    <w:uiPriority w:val="16"/>
    <w:qFormat/>
    <w:rsid w:val="00013E26"/>
    <w:pPr>
      <w:keepLines/>
      <w:numPr>
        <w:ilvl w:val="2"/>
        <w:numId w:val="7"/>
      </w:numPr>
      <w:spacing w:before="0" w:after="360" w:line="360" w:lineRule="auto"/>
      <w:contextualSpacing/>
      <w:jc w:val="left"/>
    </w:pPr>
    <w:rPr>
      <w:rFonts w:ascii="Arial" w:hAnsi="Arial"/>
      <w:sz w:val="20"/>
      <w:szCs w:val="20"/>
    </w:rPr>
  </w:style>
  <w:style w:type="paragraph" w:styleId="ListBullet4">
    <w:name w:val="List Bullet 4"/>
    <w:basedOn w:val="Normal"/>
    <w:uiPriority w:val="16"/>
    <w:qFormat/>
    <w:rsid w:val="00013E26"/>
    <w:pPr>
      <w:keepLines/>
      <w:numPr>
        <w:ilvl w:val="3"/>
        <w:numId w:val="7"/>
      </w:numPr>
      <w:spacing w:before="0" w:after="360" w:line="360" w:lineRule="auto"/>
      <w:contextualSpacing/>
      <w:jc w:val="left"/>
    </w:pPr>
    <w:rPr>
      <w:rFonts w:ascii="Arial" w:hAnsi="Arial"/>
      <w:sz w:val="20"/>
      <w:szCs w:val="20"/>
    </w:rPr>
  </w:style>
  <w:style w:type="paragraph" w:customStyle="1" w:styleId="V50Instructions">
    <w:name w:val="V5.0 Instructions"/>
    <w:basedOn w:val="Normal"/>
    <w:link w:val="V50InstructionsChar"/>
    <w:qFormat/>
    <w:rsid w:val="00013E26"/>
    <w:rPr>
      <w:color w:val="4472C4" w:themeColor="accent5"/>
    </w:rPr>
  </w:style>
  <w:style w:type="character" w:customStyle="1" w:styleId="V50InstructionsChar">
    <w:name w:val="V5.0 Instructions Char"/>
    <w:basedOn w:val="DefaultParagraphFont"/>
    <w:link w:val="V50Instructions"/>
    <w:rsid w:val="00013E26"/>
    <w:rPr>
      <w:rFonts w:asciiTheme="minorHAnsi" w:eastAsiaTheme="minorHAnsi" w:hAnsiTheme="minorHAnsi" w:cstheme="minorBidi"/>
      <w:color w:val="4472C4" w:themeColor="accent5"/>
      <w:sz w:val="24"/>
      <w:szCs w:val="22"/>
      <w:lang w:eastAsia="en-US"/>
    </w:rPr>
  </w:style>
  <w:style w:type="character" w:customStyle="1" w:styleId="TableHeadingChar">
    <w:name w:val="Table Heading Char"/>
    <w:link w:val="TableHeading"/>
    <w:locked/>
    <w:rsid w:val="00013E26"/>
    <w:rPr>
      <w:rFonts w:ascii="Arial Narrow" w:eastAsiaTheme="minorHAnsi" w:hAnsi="Arial Narrow" w:cstheme="minorBidi"/>
      <w:b/>
      <w:szCs w:val="22"/>
      <w:lang w:bidi="en-US"/>
    </w:rPr>
  </w:style>
  <w:style w:type="numbering" w:customStyle="1" w:styleId="GeneralList">
    <w:name w:val="General List"/>
    <w:uiPriority w:val="99"/>
    <w:locked/>
    <w:rsid w:val="00013E26"/>
    <w:pPr>
      <w:numPr>
        <w:numId w:val="8"/>
      </w:numPr>
    </w:pPr>
  </w:style>
  <w:style w:type="paragraph" w:styleId="BodyText3">
    <w:name w:val="Body Text 3"/>
    <w:basedOn w:val="Normal"/>
    <w:link w:val="BodyText3Char"/>
    <w:uiPriority w:val="9"/>
    <w:unhideWhenUsed/>
    <w:rsid w:val="00013E26"/>
    <w:pPr>
      <w:spacing w:after="120"/>
    </w:pPr>
    <w:rPr>
      <w:sz w:val="16"/>
      <w:szCs w:val="16"/>
    </w:rPr>
  </w:style>
  <w:style w:type="character" w:customStyle="1" w:styleId="BodyText3Char">
    <w:name w:val="Body Text 3 Char"/>
    <w:basedOn w:val="DefaultParagraphFont"/>
    <w:link w:val="BodyText3"/>
    <w:uiPriority w:val="9"/>
    <w:rsid w:val="00013E26"/>
    <w:rPr>
      <w:rFonts w:asciiTheme="minorHAnsi" w:eastAsiaTheme="minorHAnsi" w:hAnsiTheme="minorHAnsi" w:cstheme="minorBidi"/>
      <w:sz w:val="16"/>
      <w:szCs w:val="16"/>
      <w:lang w:eastAsia="en-US"/>
    </w:rPr>
  </w:style>
  <w:style w:type="paragraph" w:customStyle="1" w:styleId="FigureA">
    <w:name w:val="Figure A"/>
    <w:basedOn w:val="Normal"/>
    <w:next w:val="Normal"/>
    <w:rsid w:val="00013E26"/>
    <w:pPr>
      <w:numPr>
        <w:numId w:val="12"/>
      </w:numPr>
      <w:tabs>
        <w:tab w:val="left" w:pos="1134"/>
      </w:tabs>
      <w:spacing w:before="0" w:after="120"/>
      <w:ind w:left="1134" w:hanging="1134"/>
    </w:pPr>
    <w:rPr>
      <w:rFonts w:ascii="Arial Bold" w:eastAsia="Times New Roman" w:hAnsi="Arial Bold" w:cs="Times New Roman"/>
      <w:b/>
      <w:sz w:val="20"/>
      <w:szCs w:val="24"/>
    </w:rPr>
  </w:style>
  <w:style w:type="numbering" w:customStyle="1" w:styleId="MultiLevelheadinglist">
    <w:name w:val="Multi Level heading list"/>
    <w:uiPriority w:val="99"/>
    <w:locked/>
    <w:rsid w:val="00013E26"/>
    <w:pPr>
      <w:numPr>
        <w:numId w:val="13"/>
      </w:numPr>
    </w:pPr>
  </w:style>
  <w:style w:type="paragraph" w:customStyle="1" w:styleId="PBACESHeading1">
    <w:name w:val="PBAC ES Heading 1"/>
    <w:basedOn w:val="Heading1"/>
    <w:next w:val="Normal"/>
    <w:link w:val="PBACESHeading1Char"/>
    <w:uiPriority w:val="2"/>
    <w:qFormat/>
    <w:rsid w:val="00013E26"/>
    <w:pPr>
      <w:numPr>
        <w:numId w:val="0"/>
      </w:numPr>
      <w:spacing w:before="240" w:line="240" w:lineRule="auto"/>
      <w:ind w:left="720" w:hanging="720"/>
    </w:pPr>
    <w:rPr>
      <w:rFonts w:cs="Arial"/>
      <w:snapToGrid w:val="0"/>
      <w:szCs w:val="32"/>
    </w:rPr>
  </w:style>
  <w:style w:type="paragraph" w:customStyle="1" w:styleId="PBACESHeading2">
    <w:name w:val="PBAC ES Heading 2"/>
    <w:basedOn w:val="Heading2"/>
    <w:link w:val="PBACESHeading2Char"/>
    <w:uiPriority w:val="2"/>
    <w:qFormat/>
    <w:rsid w:val="00013E26"/>
    <w:pPr>
      <w:numPr>
        <w:ilvl w:val="0"/>
        <w:numId w:val="0"/>
      </w:numPr>
      <w:ind w:left="720" w:hanging="720"/>
    </w:pPr>
    <w:rPr>
      <w:rFonts w:asciiTheme="majorHAnsi" w:hAnsiTheme="majorHAnsi"/>
    </w:rPr>
  </w:style>
  <w:style w:type="paragraph" w:customStyle="1" w:styleId="PBACESHeadingCAPS">
    <w:name w:val="PBAC ES Heading CAPS"/>
    <w:basedOn w:val="PBACESHeading2"/>
    <w:link w:val="PBACESHeadingCAPSChar"/>
    <w:uiPriority w:val="2"/>
    <w:qFormat/>
    <w:rsid w:val="00013E26"/>
    <w:rPr>
      <w:i w:val="0"/>
      <w:smallCaps/>
      <w:sz w:val="32"/>
    </w:rPr>
  </w:style>
  <w:style w:type="paragraph" w:customStyle="1" w:styleId="PBACESHeading3">
    <w:name w:val="PBAC ES Heading 3"/>
    <w:basedOn w:val="PBACESHeading2"/>
    <w:link w:val="PBACESHeading3Char"/>
    <w:uiPriority w:val="2"/>
    <w:qFormat/>
    <w:rsid w:val="00013E26"/>
    <w:pPr>
      <w:ind w:left="1080" w:hanging="1080"/>
    </w:pPr>
    <w:rPr>
      <w:i w:val="0"/>
      <w:sz w:val="24"/>
    </w:rPr>
  </w:style>
  <w:style w:type="paragraph" w:customStyle="1" w:styleId="MSACHeading1">
    <w:name w:val="MSAC Heading 1"/>
    <w:basedOn w:val="Heading1"/>
    <w:next w:val="MSACESParagraph"/>
    <w:link w:val="MSACHeading1Char"/>
    <w:qFormat/>
    <w:rsid w:val="00013E26"/>
    <w:pPr>
      <w:numPr>
        <w:numId w:val="0"/>
      </w:numPr>
      <w:spacing w:before="160" w:after="240"/>
      <w:ind w:left="720" w:hanging="720"/>
    </w:pPr>
    <w:rPr>
      <w:rFonts w:ascii="Arial" w:hAnsi="Arial"/>
      <w:sz w:val="24"/>
    </w:rPr>
  </w:style>
  <w:style w:type="paragraph" w:customStyle="1" w:styleId="MSACESParagraph">
    <w:name w:val="MSAC ES Paragraph"/>
    <w:link w:val="MSACESParagraphChar"/>
    <w:qFormat/>
    <w:rsid w:val="00013E26"/>
    <w:pPr>
      <w:spacing w:after="240"/>
    </w:pPr>
    <w:rPr>
      <w:rFonts w:eastAsiaTheme="minorHAnsi" w:cstheme="minorBidi"/>
      <w:sz w:val="24"/>
      <w:szCs w:val="22"/>
      <w:lang w:eastAsia="en-US"/>
    </w:rPr>
  </w:style>
  <w:style w:type="paragraph" w:customStyle="1" w:styleId="MSACESHeading2">
    <w:name w:val="MSAC ES Heading 2"/>
    <w:basedOn w:val="Heading2"/>
    <w:next w:val="MSACESParagraph"/>
    <w:link w:val="MSACESHeading2Char"/>
    <w:qFormat/>
    <w:rsid w:val="00013E26"/>
    <w:pPr>
      <w:numPr>
        <w:ilvl w:val="0"/>
        <w:numId w:val="0"/>
      </w:numPr>
      <w:ind w:left="57" w:hanging="57"/>
    </w:pPr>
    <w:rPr>
      <w:rFonts w:ascii="Cambria" w:hAnsi="Cambria"/>
      <w:i w:val="0"/>
      <w:sz w:val="24"/>
    </w:rPr>
  </w:style>
  <w:style w:type="character" w:customStyle="1" w:styleId="MSACESHeading2Char">
    <w:name w:val="MSAC ES Heading 2 Char"/>
    <w:basedOn w:val="DefaultParagraphFont"/>
    <w:link w:val="MSACESHeading2"/>
    <w:rsid w:val="00013E26"/>
    <w:rPr>
      <w:rFonts w:ascii="Cambria" w:eastAsiaTheme="majorEastAsia" w:hAnsi="Cambria" w:cstheme="majorBidi"/>
      <w:b/>
      <w:snapToGrid w:val="0"/>
      <w:sz w:val="24"/>
      <w:szCs w:val="28"/>
      <w:lang w:eastAsia="en-US"/>
    </w:rPr>
  </w:style>
  <w:style w:type="character" w:customStyle="1" w:styleId="MSACESParagraphChar">
    <w:name w:val="MSAC ES Paragraph Char"/>
    <w:basedOn w:val="DefaultParagraphFont"/>
    <w:link w:val="MSACESParagraph"/>
    <w:rsid w:val="00013E26"/>
    <w:rPr>
      <w:rFonts w:eastAsiaTheme="minorHAnsi" w:cstheme="minorBidi"/>
      <w:sz w:val="24"/>
      <w:szCs w:val="22"/>
      <w:lang w:eastAsia="en-US"/>
    </w:rPr>
  </w:style>
  <w:style w:type="table" w:customStyle="1" w:styleId="PBACTableStyle2">
    <w:name w:val="PBAC Table Style2"/>
    <w:basedOn w:val="TableGrid1"/>
    <w:uiPriority w:val="99"/>
    <w:rsid w:val="00013E2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MSACSubtitle">
    <w:name w:val="MSAC Subtitle"/>
    <w:basedOn w:val="Normal"/>
    <w:next w:val="Normal"/>
    <w:link w:val="MSACSubtitleChar"/>
    <w:qFormat/>
    <w:rsid w:val="00013E26"/>
    <w:pPr>
      <w:spacing w:before="0" w:after="240"/>
      <w:jc w:val="center"/>
    </w:pPr>
    <w:rPr>
      <w:rFonts w:ascii="Arial" w:hAnsi="Arial"/>
      <w:b/>
      <w:i/>
      <w:color w:val="000080"/>
      <w:sz w:val="28"/>
    </w:rPr>
  </w:style>
  <w:style w:type="character" w:customStyle="1" w:styleId="MSACSubtitleChar">
    <w:name w:val="MSAC Subtitle Char"/>
    <w:basedOn w:val="DefaultParagraphFont"/>
    <w:link w:val="MSACSubtitle"/>
    <w:rsid w:val="00013E26"/>
    <w:rPr>
      <w:rFonts w:ascii="Arial" w:eastAsiaTheme="minorHAnsi" w:hAnsi="Arial" w:cstheme="minorBidi"/>
      <w:b/>
      <w:i/>
      <w:color w:val="000080"/>
      <w:sz w:val="28"/>
      <w:szCs w:val="22"/>
      <w:lang w:eastAsia="en-US"/>
    </w:rPr>
  </w:style>
  <w:style w:type="character" w:customStyle="1" w:styleId="MSACHeading1Char">
    <w:name w:val="MSAC Heading 1 Char"/>
    <w:basedOn w:val="DefaultParagraphFont"/>
    <w:link w:val="MSACHeading1"/>
    <w:rsid w:val="00013E26"/>
    <w:rPr>
      <w:rFonts w:ascii="Arial" w:eastAsiaTheme="majorEastAsia" w:hAnsi="Arial" w:cstheme="majorBidi"/>
      <w:b/>
      <w:sz w:val="24"/>
      <w:szCs w:val="28"/>
      <w:lang w:eastAsia="en-US"/>
    </w:rPr>
  </w:style>
  <w:style w:type="paragraph" w:customStyle="1" w:styleId="MSACESBulletpoint">
    <w:name w:val="MSAC ES Bulletpoint"/>
    <w:basedOn w:val="MSACESParagraph"/>
    <w:link w:val="MSACESBulletpointChar"/>
    <w:qFormat/>
    <w:rsid w:val="00013E26"/>
    <w:pPr>
      <w:numPr>
        <w:numId w:val="15"/>
      </w:numPr>
      <w:ind w:left="714" w:hanging="357"/>
      <w:contextualSpacing/>
    </w:pPr>
  </w:style>
  <w:style w:type="character" w:customStyle="1" w:styleId="MSACESBulletpointChar">
    <w:name w:val="MSAC ES Bulletpoint Char"/>
    <w:basedOn w:val="MSACESParagraphChar"/>
    <w:link w:val="MSACESBulletpoint"/>
    <w:rsid w:val="00013E26"/>
    <w:rPr>
      <w:rFonts w:eastAsiaTheme="minorHAnsi" w:cstheme="minorBidi"/>
      <w:sz w:val="24"/>
      <w:szCs w:val="22"/>
      <w:lang w:eastAsia="en-US"/>
    </w:rPr>
  </w:style>
  <w:style w:type="paragraph" w:customStyle="1" w:styleId="Tablecaption">
    <w:name w:val="Table caption"/>
    <w:basedOn w:val="Normal"/>
    <w:link w:val="TablecaptionChar"/>
    <w:rsid w:val="00013E26"/>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013E26"/>
    <w:rPr>
      <w:rFonts w:ascii="Arial Narrow" w:hAnsi="Arial Narrow" w:cs="Arial"/>
      <w:lang w:eastAsia="en-US"/>
    </w:rPr>
  </w:style>
  <w:style w:type="paragraph" w:customStyle="1" w:styleId="Tabletextright">
    <w:name w:val="Table text right"/>
    <w:basedOn w:val="Normal"/>
    <w:link w:val="TabletextrightChar"/>
    <w:qFormat/>
    <w:rsid w:val="00013E26"/>
    <w:pPr>
      <w:keepNext/>
      <w:spacing w:before="0" w:after="0"/>
      <w:jc w:val="right"/>
    </w:pPr>
    <w:rPr>
      <w:rFonts w:ascii="Arial Narrow" w:eastAsia="Times New Roman" w:hAnsi="Arial Narrow" w:cs="Arial"/>
      <w:sz w:val="20"/>
      <w:szCs w:val="20"/>
    </w:rPr>
  </w:style>
  <w:style w:type="character" w:customStyle="1" w:styleId="TabletextrightChar">
    <w:name w:val="Table text right Char"/>
    <w:basedOn w:val="DefaultParagraphFont"/>
    <w:link w:val="Tabletextright"/>
    <w:rsid w:val="00013E26"/>
    <w:rPr>
      <w:rFonts w:ascii="Arial Narrow" w:hAnsi="Arial Narrow" w:cs="Arial"/>
      <w:lang w:eastAsia="en-US"/>
    </w:rPr>
  </w:style>
  <w:style w:type="character" w:customStyle="1" w:styleId="PBACESHeading2Char">
    <w:name w:val="PBAC ES Heading 2 Char"/>
    <w:basedOn w:val="Heading2Char"/>
    <w:link w:val="PBACESHeading2"/>
    <w:uiPriority w:val="2"/>
    <w:rsid w:val="00013E26"/>
    <w:rPr>
      <w:rFonts w:asciiTheme="majorHAnsi" w:eastAsiaTheme="majorEastAsia" w:hAnsiTheme="majorHAnsi" w:cstheme="majorBidi"/>
      <w:b/>
      <w:i/>
      <w:snapToGrid w:val="0"/>
      <w:sz w:val="28"/>
      <w:szCs w:val="28"/>
      <w:lang w:eastAsia="en-US"/>
    </w:rPr>
  </w:style>
  <w:style w:type="character" w:customStyle="1" w:styleId="PBACESHeadingCAPSChar">
    <w:name w:val="PBAC ES Heading CAPS Char"/>
    <w:basedOn w:val="PBACESHeading2Char"/>
    <w:link w:val="PBACESHeadingCAPS"/>
    <w:uiPriority w:val="2"/>
    <w:rsid w:val="00013E26"/>
    <w:rPr>
      <w:rFonts w:asciiTheme="majorHAnsi" w:eastAsiaTheme="majorEastAsia" w:hAnsiTheme="majorHAnsi" w:cstheme="majorBidi"/>
      <w:b/>
      <w:i w:val="0"/>
      <w:smallCaps/>
      <w:snapToGrid w:val="0"/>
      <w:sz w:val="32"/>
      <w:szCs w:val="28"/>
      <w:lang w:eastAsia="en-US"/>
    </w:rPr>
  </w:style>
  <w:style w:type="character" w:customStyle="1" w:styleId="PBACESHeading3Char">
    <w:name w:val="PBAC ES Heading 3 Char"/>
    <w:basedOn w:val="PBACESHeading2Char"/>
    <w:link w:val="PBACESHeading3"/>
    <w:uiPriority w:val="2"/>
    <w:rsid w:val="00013E26"/>
    <w:rPr>
      <w:rFonts w:asciiTheme="majorHAnsi" w:eastAsiaTheme="majorEastAsia" w:hAnsiTheme="majorHAnsi" w:cstheme="majorBidi"/>
      <w:b/>
      <w:i w:val="0"/>
      <w:snapToGrid w:val="0"/>
      <w:sz w:val="24"/>
      <w:szCs w:val="28"/>
      <w:lang w:eastAsia="en-US"/>
    </w:rPr>
  </w:style>
  <w:style w:type="paragraph" w:customStyle="1" w:styleId="PBACESParagraphDotpoint">
    <w:name w:val="PBAC ES Paragraph Dotpoint"/>
    <w:basedOn w:val="ListParagraph"/>
    <w:link w:val="PBACESParagraphDotpointChar"/>
    <w:uiPriority w:val="2"/>
    <w:qFormat/>
    <w:rsid w:val="00013E26"/>
    <w:pPr>
      <w:spacing w:before="0" w:after="0"/>
      <w:ind w:left="1843" w:hanging="709"/>
    </w:pPr>
  </w:style>
  <w:style w:type="character" w:customStyle="1" w:styleId="PBACESParagraphDotpointChar">
    <w:name w:val="PBAC ES Paragraph Dotpoint Char"/>
    <w:basedOn w:val="ListParagraphChar"/>
    <w:link w:val="PBACESParagraphDotpoint"/>
    <w:uiPriority w:val="2"/>
    <w:rsid w:val="00013E26"/>
    <w:rPr>
      <w:rFonts w:asciiTheme="minorHAnsi" w:eastAsiaTheme="minorHAnsi" w:hAnsiTheme="minorHAnsi" w:cstheme="minorBidi"/>
      <w:color w:val="000000" w:themeColor="text1"/>
      <w:sz w:val="24"/>
      <w:szCs w:val="22"/>
      <w:lang w:eastAsia="en-US"/>
    </w:rPr>
  </w:style>
  <w:style w:type="paragraph" w:customStyle="1" w:styleId="V50InstructionsBullets">
    <w:name w:val="V5.0 Instructions Bullets"/>
    <w:basedOn w:val="Normal"/>
    <w:qFormat/>
    <w:rsid w:val="00013E26"/>
    <w:pPr>
      <w:numPr>
        <w:numId w:val="17"/>
      </w:numPr>
      <w:spacing w:before="0" w:after="0"/>
      <w:ind w:left="714" w:hanging="357"/>
      <w:jc w:val="left"/>
    </w:pPr>
    <w:rPr>
      <w:color w:val="4472C4" w:themeColor="accent5"/>
    </w:rPr>
  </w:style>
  <w:style w:type="paragraph" w:customStyle="1" w:styleId="MSACESStyle">
    <w:name w:val="MSAC ES Style"/>
    <w:next w:val="Normal"/>
    <w:link w:val="MSACESStyleChar"/>
    <w:rsid w:val="00013E26"/>
    <w:pPr>
      <w:spacing w:after="160" w:line="259" w:lineRule="auto"/>
    </w:pPr>
    <w:rPr>
      <w:rFonts w:ascii="Arial" w:eastAsiaTheme="majorEastAsia" w:hAnsi="Arial" w:cs="Arial"/>
      <w:b/>
      <w:iCs/>
      <w:sz w:val="28"/>
      <w:szCs w:val="18"/>
      <w:lang w:eastAsia="en-US"/>
    </w:rPr>
  </w:style>
  <w:style w:type="character" w:customStyle="1" w:styleId="PBACESHeading1Char">
    <w:name w:val="PBAC ES Heading 1 Char"/>
    <w:basedOn w:val="Heading1Char"/>
    <w:link w:val="PBACESHeading1"/>
    <w:uiPriority w:val="2"/>
    <w:rsid w:val="00013E26"/>
    <w:rPr>
      <w:rFonts w:asciiTheme="minorHAnsi" w:eastAsiaTheme="majorEastAsia" w:hAnsiTheme="minorHAnsi" w:cs="Arial"/>
      <w:b/>
      <w:snapToGrid w:val="0"/>
      <w:sz w:val="32"/>
      <w:szCs w:val="32"/>
      <w:lang w:eastAsia="en-US"/>
    </w:rPr>
  </w:style>
  <w:style w:type="character" w:customStyle="1" w:styleId="MSACESStyleChar">
    <w:name w:val="MSAC ES Style Char"/>
    <w:basedOn w:val="PBACESHeading1Char"/>
    <w:link w:val="MSACESStyle"/>
    <w:rsid w:val="00013E26"/>
    <w:rPr>
      <w:rFonts w:ascii="Arial" w:eastAsiaTheme="majorEastAsia" w:hAnsi="Arial" w:cs="Arial"/>
      <w:b/>
      <w:iCs/>
      <w:snapToGrid/>
      <w:sz w:val="28"/>
      <w:szCs w:val="18"/>
      <w:lang w:eastAsia="en-US"/>
    </w:rPr>
  </w:style>
  <w:style w:type="paragraph" w:customStyle="1" w:styleId="PBACHeading1">
    <w:name w:val="PBAC Heading 1"/>
    <w:qFormat/>
    <w:rsid w:val="00013E26"/>
    <w:pPr>
      <w:spacing w:before="200" w:after="120"/>
      <w:ind w:left="720" w:hanging="720"/>
    </w:pPr>
    <w:rPr>
      <w:rFonts w:ascii="Arial" w:hAnsi="Arial" w:cs="Arial"/>
      <w:b/>
      <w:snapToGrid w:val="0"/>
      <w:sz w:val="22"/>
      <w:szCs w:val="22"/>
      <w:lang w:eastAsia="en-US"/>
    </w:rPr>
  </w:style>
  <w:style w:type="table" w:customStyle="1" w:styleId="Summarybox1">
    <w:name w:val="Summary box1"/>
    <w:basedOn w:val="TableNormal"/>
    <w:next w:val="TableGrid"/>
    <w:uiPriority w:val="39"/>
    <w:rsid w:val="00013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mmarybox2">
    <w:name w:val="Summary box2"/>
    <w:basedOn w:val="TableNormal"/>
    <w:next w:val="TableGrid"/>
    <w:uiPriority w:val="39"/>
    <w:rsid w:val="00013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13E26"/>
    <w:pPr>
      <w:spacing w:before="0" w:line="240" w:lineRule="exact"/>
      <w:jc w:val="left"/>
    </w:pPr>
    <w:rPr>
      <w:rFonts w:ascii="Verdana" w:eastAsia="MS Mincho" w:hAnsi="Verdana" w:cs="Verdana"/>
      <w:sz w:val="20"/>
      <w:szCs w:val="20"/>
      <w:lang w:val="en-US"/>
    </w:rPr>
  </w:style>
  <w:style w:type="paragraph" w:customStyle="1" w:styleId="V50Heading2nonumbers">
    <w:name w:val="V5.0 Heading 2 no numbers"/>
    <w:basedOn w:val="Heading2"/>
    <w:qFormat/>
    <w:rsid w:val="003F4046"/>
    <w:pPr>
      <w:numPr>
        <w:ilvl w:val="0"/>
        <w:numId w:val="0"/>
      </w:numPr>
      <w:spacing w:before="240"/>
      <w:ind w:left="578" w:hanging="578"/>
    </w:pPr>
    <w:rPr>
      <w:rFonts w:asciiTheme="minorHAnsi" w:hAnsiTheme="minorHAnsi"/>
      <w:snapToGrid/>
    </w:rPr>
  </w:style>
  <w:style w:type="table" w:customStyle="1" w:styleId="TableGrid10">
    <w:name w:val="Table Grid1"/>
    <w:basedOn w:val="TableNormal"/>
    <w:next w:val="TableGrid"/>
    <w:uiPriority w:val="59"/>
    <w:rsid w:val="0029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09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60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3" w:qFormat="1"/>
    <w:lsdException w:name="heading 3" w:uiPriority="3" w:qFormat="1"/>
    <w:lsdException w:name="heading 4" w:uiPriority="3" w:qFormat="1"/>
    <w:lsdException w:name="heading 5" w:uiPriority="10" w:qFormat="1"/>
    <w:lsdException w:name="heading 6" w:uiPriority="12" w:qFormat="1"/>
    <w:lsdException w:name="heading 7" w:uiPriority="12" w:qFormat="1"/>
    <w:lsdException w:name="heading 8" w:uiPriority="7"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List Bullet 2" w:uiPriority="16" w:qFormat="1"/>
    <w:lsdException w:name="List Bullet 3" w:uiPriority="16" w:qFormat="1"/>
    <w:lsdException w:name="List Bullet 4" w:uiPriority="16" w:qFormat="1"/>
    <w:lsdException w:name="Title" w:semiHidden="0" w:unhideWhenUsed="0" w:qFormat="1"/>
    <w:lsdException w:name="Default Paragraph Font" w:uiPriority="1"/>
    <w:lsdException w:name="Body Text" w:uiPriority="3"/>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1"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2" w:qFormat="1"/>
  </w:latentStyles>
  <w:style w:type="paragraph" w:default="1" w:styleId="Normal">
    <w:name w:val="Normal"/>
    <w:qFormat/>
    <w:rsid w:val="00013E26"/>
    <w:pPr>
      <w:spacing w:before="120" w:after="160"/>
      <w:jc w:val="both"/>
    </w:pPr>
    <w:rPr>
      <w:rFonts w:asciiTheme="minorHAnsi" w:eastAsiaTheme="minorHAnsi" w:hAnsiTheme="minorHAnsi" w:cstheme="minorBidi"/>
      <w:sz w:val="24"/>
      <w:szCs w:val="22"/>
      <w:lang w:eastAsia="en-US"/>
    </w:rPr>
  </w:style>
  <w:style w:type="paragraph" w:styleId="Heading1">
    <w:name w:val="heading 1"/>
    <w:next w:val="Normal"/>
    <w:link w:val="Heading1Char"/>
    <w:uiPriority w:val="1"/>
    <w:qFormat/>
    <w:rsid w:val="00013E26"/>
    <w:pPr>
      <w:keepNext/>
      <w:keepLines/>
      <w:numPr>
        <w:numId w:val="4"/>
      </w:numPr>
      <w:spacing w:before="400" w:after="120" w:line="259" w:lineRule="auto"/>
      <w:outlineLvl w:val="0"/>
    </w:pPr>
    <w:rPr>
      <w:rFonts w:asciiTheme="minorHAnsi" w:eastAsiaTheme="majorEastAsia" w:hAnsiTheme="minorHAnsi" w:cstheme="majorBidi"/>
      <w:b/>
      <w:sz w:val="32"/>
      <w:szCs w:val="28"/>
      <w:lang w:eastAsia="en-US"/>
    </w:rPr>
  </w:style>
  <w:style w:type="paragraph" w:styleId="Heading2">
    <w:name w:val="heading 2"/>
    <w:basedOn w:val="Normal"/>
    <w:next w:val="Normal"/>
    <w:link w:val="Heading2Char"/>
    <w:uiPriority w:val="3"/>
    <w:qFormat/>
    <w:rsid w:val="00013E2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013E26"/>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013E26"/>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unhideWhenUsed/>
    <w:rsid w:val="00013E26"/>
    <w:pPr>
      <w:numPr>
        <w:ilvl w:val="0"/>
        <w:numId w:val="0"/>
      </w:numPr>
      <w:outlineLvl w:val="4"/>
    </w:pPr>
  </w:style>
  <w:style w:type="paragraph" w:styleId="Heading6">
    <w:name w:val="heading 6"/>
    <w:aliases w:val="Heading 3 - Body"/>
    <w:basedOn w:val="Heading3"/>
    <w:next w:val="Normal"/>
    <w:link w:val="Heading6Char"/>
    <w:uiPriority w:val="12"/>
    <w:unhideWhenUsed/>
    <w:rsid w:val="00013E26"/>
    <w:pPr>
      <w:outlineLvl w:val="5"/>
    </w:pPr>
    <w:rPr>
      <w:sz w:val="24"/>
    </w:rPr>
  </w:style>
  <w:style w:type="paragraph" w:styleId="Heading7">
    <w:name w:val="heading 7"/>
    <w:basedOn w:val="Heading1"/>
    <w:next w:val="Normal"/>
    <w:link w:val="Heading7Char"/>
    <w:uiPriority w:val="12"/>
    <w:unhideWhenUsed/>
    <w:qFormat/>
    <w:rsid w:val="00013E26"/>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unhideWhenUsed/>
    <w:qFormat/>
    <w:rsid w:val="00013E2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Page number"/>
    <w:basedOn w:val="Heading1"/>
    <w:next w:val="Normal"/>
    <w:link w:val="Heading9Char"/>
    <w:unhideWhenUsed/>
    <w:qFormat/>
    <w:rsid w:val="00013E26"/>
    <w:pPr>
      <w:numPr>
        <w:numId w:val="0"/>
      </w:numPr>
      <w:ind w:left="1584" w:hanging="1584"/>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3"/>
    <w:rsid w:val="00013E26"/>
    <w:rPr>
      <w:rFonts w:asciiTheme="minorHAnsi" w:eastAsiaTheme="majorEastAsia" w:hAnsiTheme="minorHAnsi" w:cstheme="majorBidi"/>
      <w:b/>
      <w:sz w:val="32"/>
      <w:szCs w:val="28"/>
      <w:lang w:eastAsia="en-US"/>
    </w:rPr>
  </w:style>
  <w:style w:type="character" w:customStyle="1" w:styleId="Heading2Char">
    <w:name w:val="Heading 2 Char"/>
    <w:basedOn w:val="DefaultParagraphFont"/>
    <w:link w:val="Heading2"/>
    <w:uiPriority w:val="3"/>
    <w:rsid w:val="00013E26"/>
    <w:rPr>
      <w:rFonts w:ascii="Arial" w:eastAsiaTheme="majorEastAsia" w:hAnsi="Arial" w:cstheme="majorBidi"/>
      <w:b/>
      <w:i/>
      <w:snapToGrid w:val="0"/>
      <w:sz w:val="28"/>
      <w:szCs w:val="28"/>
      <w:lang w:eastAsia="en-US"/>
    </w:rPr>
  </w:style>
  <w:style w:type="character" w:customStyle="1" w:styleId="Heading3Char">
    <w:name w:val="Heading 3 Char"/>
    <w:basedOn w:val="DefaultParagraphFont"/>
    <w:link w:val="Heading3"/>
    <w:uiPriority w:val="3"/>
    <w:rsid w:val="00013E26"/>
    <w:rPr>
      <w:rFonts w:asciiTheme="minorHAnsi" w:eastAsiaTheme="majorEastAsia" w:hAnsiTheme="minorHAnsi" w:cstheme="majorBidi"/>
      <w:b/>
      <w:sz w:val="28"/>
      <w:szCs w:val="28"/>
      <w:lang w:eastAsia="en-US"/>
    </w:rPr>
  </w:style>
  <w:style w:type="character" w:customStyle="1" w:styleId="Heading4Char">
    <w:name w:val="Heading 4 Char"/>
    <w:basedOn w:val="DefaultParagraphFont"/>
    <w:link w:val="Heading4"/>
    <w:uiPriority w:val="3"/>
    <w:rsid w:val="00013E26"/>
    <w:rPr>
      <w:rFonts w:asciiTheme="minorHAnsi" w:eastAsiaTheme="majorEastAsia" w:hAnsiTheme="minorHAnsi" w:cstheme="majorBidi"/>
      <w:b/>
      <w:color w:val="000000" w:themeColor="text1"/>
      <w:sz w:val="24"/>
      <w:szCs w:val="28"/>
      <w:lang w:eastAsia="en-US"/>
    </w:rPr>
  </w:style>
  <w:style w:type="character" w:customStyle="1" w:styleId="Heading5Char">
    <w:name w:val="Heading 5 Char"/>
    <w:aliases w:val="Heading 2 - Body Char"/>
    <w:basedOn w:val="DefaultParagraphFont"/>
    <w:link w:val="Heading5"/>
    <w:uiPriority w:val="10"/>
    <w:rsid w:val="00013E26"/>
    <w:rPr>
      <w:rFonts w:ascii="Arial" w:eastAsiaTheme="majorEastAsia" w:hAnsi="Arial" w:cstheme="majorBidi"/>
      <w:b/>
      <w:i/>
      <w:snapToGrid w:val="0"/>
      <w:sz w:val="28"/>
      <w:szCs w:val="28"/>
      <w:lang w:eastAsia="en-US"/>
    </w:rPr>
  </w:style>
  <w:style w:type="character" w:customStyle="1" w:styleId="Heading6Char">
    <w:name w:val="Heading 6 Char"/>
    <w:aliases w:val="Heading 3 - Body Char"/>
    <w:basedOn w:val="DefaultParagraphFont"/>
    <w:link w:val="Heading6"/>
    <w:uiPriority w:val="12"/>
    <w:rsid w:val="00013E26"/>
    <w:rPr>
      <w:rFonts w:asciiTheme="minorHAnsi" w:eastAsiaTheme="majorEastAsia" w:hAnsiTheme="minorHAnsi" w:cstheme="majorBidi"/>
      <w:b/>
      <w:sz w:val="24"/>
      <w:szCs w:val="28"/>
      <w:lang w:eastAsia="en-US"/>
    </w:rPr>
  </w:style>
  <w:style w:type="character" w:customStyle="1" w:styleId="Heading7Char">
    <w:name w:val="Heading 7 Char"/>
    <w:basedOn w:val="DefaultParagraphFont"/>
    <w:link w:val="Heading7"/>
    <w:uiPriority w:val="12"/>
    <w:rsid w:val="00013E26"/>
    <w:rPr>
      <w:rFonts w:asciiTheme="minorHAnsi" w:eastAsiaTheme="majorEastAsia" w:hAnsiTheme="minorHAnsi" w:cstheme="majorBidi"/>
      <w:b/>
      <w:i/>
      <w:sz w:val="24"/>
      <w:szCs w:val="24"/>
      <w:lang w:eastAsia="en-US"/>
    </w:rPr>
  </w:style>
  <w:style w:type="character" w:customStyle="1" w:styleId="Heading8Char">
    <w:name w:val="Heading 8 Char"/>
    <w:basedOn w:val="DefaultParagraphFont"/>
    <w:link w:val="Heading8"/>
    <w:uiPriority w:val="12"/>
    <w:rsid w:val="00013E2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aliases w:val="Section heading - Body Char,Page number Char"/>
    <w:basedOn w:val="DefaultParagraphFont"/>
    <w:link w:val="Heading9"/>
    <w:uiPriority w:val="7"/>
    <w:rsid w:val="00013E26"/>
    <w:rPr>
      <w:rFonts w:asciiTheme="minorHAnsi" w:eastAsiaTheme="majorEastAsia" w:hAnsiTheme="minorHAnsi" w:cstheme="majorBidi"/>
      <w:b/>
      <w:sz w:val="36"/>
      <w:szCs w:val="28"/>
      <w:lang w:eastAsia="en-US"/>
    </w:rPr>
  </w:style>
  <w:style w:type="paragraph" w:styleId="ListParagraph">
    <w:name w:val="List Paragraph"/>
    <w:aliases w:val="ES Paragraph,BulletPoints,PBAC ES Paragraph,List Paragraph1,Bullet point,List Paragraph11,Recommendation"/>
    <w:basedOn w:val="Normal"/>
    <w:link w:val="ListParagraphChar"/>
    <w:uiPriority w:val="34"/>
    <w:qFormat/>
    <w:rsid w:val="00013E26"/>
    <w:pPr>
      <w:ind w:left="1077" w:hanging="1077"/>
    </w:pPr>
    <w:rPr>
      <w:color w:val="000000" w:themeColor="text1"/>
    </w:rPr>
  </w:style>
  <w:style w:type="paragraph" w:styleId="BalloonText">
    <w:name w:val="Balloon Text"/>
    <w:basedOn w:val="Normal"/>
    <w:link w:val="BalloonTextChar"/>
    <w:uiPriority w:val="9"/>
    <w:unhideWhenUsed/>
    <w:rsid w:val="00013E2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013E26"/>
    <w:rPr>
      <w:rFonts w:ascii="Segoe UI" w:eastAsiaTheme="minorHAnsi" w:hAnsi="Segoe UI" w:cs="Segoe UI"/>
      <w:sz w:val="18"/>
      <w:szCs w:val="18"/>
      <w:lang w:eastAsia="en-US"/>
    </w:rPr>
  </w:style>
  <w:style w:type="paragraph" w:customStyle="1" w:styleId="InstructionalText">
    <w:name w:val="Instructional Text"/>
    <w:basedOn w:val="Normal"/>
    <w:link w:val="InstructionalTextChar"/>
    <w:uiPriority w:val="3"/>
    <w:qFormat/>
    <w:rsid w:val="00013E26"/>
    <w:rPr>
      <w:color w:val="0070C0"/>
    </w:rPr>
  </w:style>
  <w:style w:type="table" w:styleId="TableGrid">
    <w:name w:val="Table Grid"/>
    <w:aliases w:val="Summary box,Table Gridbeth"/>
    <w:basedOn w:val="TableNormal"/>
    <w:uiPriority w:val="59"/>
    <w:rsid w:val="00013E2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Caption Char1 Char,Caption Char Char Char,Caption Char1 Char Char Char,Caption Char Char Char Char Char,Caption Char Char1 Char,Caption Char1 Char1,Caption Char Char Char1,Caption Char Char,Caption Char2 Char,12,- H"/>
    <w:basedOn w:val="Normal"/>
    <w:next w:val="Normal"/>
    <w:link w:val="CaptionChar"/>
    <w:autoRedefine/>
    <w:unhideWhenUsed/>
    <w:qFormat/>
    <w:rsid w:val="008F1A10"/>
    <w:pPr>
      <w:keepNext/>
      <w:spacing w:after="0"/>
      <w:contextualSpacing/>
    </w:pPr>
    <w:rPr>
      <w:rFonts w:ascii="Arial Narrow" w:hAnsi="Arial Narrow"/>
      <w:b/>
      <w:iCs/>
      <w:color w:val="000000" w:themeColor="text1"/>
      <w:sz w:val="20"/>
      <w:szCs w:val="18"/>
    </w:rPr>
  </w:style>
  <w:style w:type="paragraph" w:customStyle="1" w:styleId="TableText">
    <w:name w:val="Table Text"/>
    <w:basedOn w:val="Normal"/>
    <w:link w:val="TableTextChar"/>
    <w:qFormat/>
    <w:rsid w:val="00013E26"/>
    <w:pPr>
      <w:widowControl w:val="0"/>
      <w:spacing w:before="40" w:after="40"/>
    </w:pPr>
    <w:rPr>
      <w:rFonts w:ascii="Arial Narrow" w:hAnsi="Arial Narrow"/>
      <w:sz w:val="20"/>
    </w:rPr>
  </w:style>
  <w:style w:type="character" w:styleId="Hyperlink">
    <w:name w:val="Hyperlink"/>
    <w:basedOn w:val="DefaultParagraphFont"/>
    <w:uiPriority w:val="99"/>
    <w:unhideWhenUsed/>
    <w:rsid w:val="00013E26"/>
    <w:rPr>
      <w:color w:val="00B0F0"/>
      <w:u w:val="single"/>
    </w:rPr>
  </w:style>
  <w:style w:type="paragraph" w:styleId="FootnoteText">
    <w:name w:val="footnote text"/>
    <w:aliases w:val="Footnote Text Char1,Footnote Text Char Char,Footnote Text Char2,Footnote Text Char Char1"/>
    <w:basedOn w:val="Normal"/>
    <w:link w:val="FootnoteTextChar"/>
    <w:unhideWhenUsed/>
    <w:rsid w:val="00013E26"/>
    <w:pPr>
      <w:spacing w:before="0" w:after="0"/>
    </w:pPr>
    <w:rPr>
      <w:sz w:val="18"/>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013E26"/>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013E26"/>
    <w:rPr>
      <w:vertAlign w:val="superscript"/>
    </w:rPr>
  </w:style>
  <w:style w:type="character" w:styleId="CommentReference">
    <w:name w:val="annotation reference"/>
    <w:aliases w:val="Table Title"/>
    <w:basedOn w:val="DefaultParagraphFont"/>
    <w:uiPriority w:val="99"/>
    <w:unhideWhenUsed/>
    <w:qFormat/>
    <w:rsid w:val="00013E26"/>
    <w:rPr>
      <w:sz w:val="16"/>
      <w:szCs w:val="16"/>
    </w:rPr>
  </w:style>
  <w:style w:type="paragraph" w:styleId="CommentText">
    <w:name w:val="annotation text"/>
    <w:basedOn w:val="Normal"/>
    <w:link w:val="CommentTextChar"/>
    <w:uiPriority w:val="99"/>
    <w:unhideWhenUsed/>
    <w:rsid w:val="00013E26"/>
    <w:rPr>
      <w:sz w:val="20"/>
      <w:szCs w:val="20"/>
    </w:rPr>
  </w:style>
  <w:style w:type="character" w:customStyle="1" w:styleId="CommentTextChar">
    <w:name w:val="Comment Text Char"/>
    <w:basedOn w:val="DefaultParagraphFont"/>
    <w:link w:val="CommentText"/>
    <w:uiPriority w:val="99"/>
    <w:rsid w:val="00013E2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nhideWhenUsed/>
    <w:rsid w:val="00013E26"/>
    <w:rPr>
      <w:b/>
      <w:bCs/>
    </w:rPr>
  </w:style>
  <w:style w:type="character" w:customStyle="1" w:styleId="CommentSubjectChar">
    <w:name w:val="Comment Subject Char"/>
    <w:basedOn w:val="CommentTextChar"/>
    <w:link w:val="CommentSubject"/>
    <w:rsid w:val="00013E26"/>
    <w:rPr>
      <w:rFonts w:asciiTheme="minorHAnsi" w:eastAsiaTheme="minorHAnsi" w:hAnsiTheme="minorHAnsi" w:cstheme="minorBidi"/>
      <w:b/>
      <w:bCs/>
      <w:lang w:eastAsia="en-US"/>
    </w:rPr>
  </w:style>
  <w:style w:type="character" w:customStyle="1" w:styleId="InstructionalTextChar">
    <w:name w:val="Instructional Text Char"/>
    <w:basedOn w:val="DefaultParagraphFont"/>
    <w:link w:val="InstructionalText"/>
    <w:uiPriority w:val="3"/>
    <w:rsid w:val="00013E26"/>
    <w:rPr>
      <w:rFonts w:asciiTheme="minorHAnsi" w:eastAsiaTheme="minorHAnsi" w:hAnsiTheme="minorHAnsi" w:cstheme="minorBidi"/>
      <w:color w:val="0070C0"/>
      <w:sz w:val="24"/>
      <w:szCs w:val="22"/>
      <w:lang w:eastAsia="en-US"/>
    </w:rPr>
  </w:style>
  <w:style w:type="character" w:customStyle="1" w:styleId="CaptionChar">
    <w:name w:val="Caption Char"/>
    <w:aliases w:val="Table and Figure Name Char,Caption Char1 Char Char,Caption Char Char Char Char,Caption Char1 Char Char Char Char,Caption Char Char Char Char Char Char,Caption Char Char1 Char Char,Caption Char1 Char1 Char,Caption Char Char Char1 Char"/>
    <w:link w:val="Caption"/>
    <w:rsid w:val="008F1A10"/>
    <w:rPr>
      <w:rFonts w:ascii="Arial Narrow" w:eastAsiaTheme="minorHAnsi" w:hAnsi="Arial Narrow" w:cstheme="minorBidi"/>
      <w:b/>
      <w:iCs/>
      <w:color w:val="000000" w:themeColor="text1"/>
      <w:szCs w:val="18"/>
      <w:lang w:eastAsia="en-US"/>
    </w:rPr>
  </w:style>
  <w:style w:type="paragraph" w:customStyle="1" w:styleId="TableFooter">
    <w:name w:val="Table Footer"/>
    <w:basedOn w:val="Normal"/>
    <w:link w:val="TableFooterChar"/>
    <w:uiPriority w:val="4"/>
    <w:qFormat/>
    <w:rsid w:val="00013E26"/>
    <w:pPr>
      <w:widowControl w:val="0"/>
      <w:spacing w:before="4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013E26"/>
    <w:rPr>
      <w:rFonts w:ascii="Arial Narrow" w:hAnsi="Arial Narrow" w:cs="Arial"/>
      <w:snapToGrid w:val="0"/>
      <w:sz w:val="18"/>
      <w:lang w:eastAsia="en-US"/>
    </w:rPr>
  </w:style>
  <w:style w:type="paragraph" w:styleId="Header">
    <w:name w:val="header"/>
    <w:aliases w:val="Page Header,Header title,he=header,cntr/bld"/>
    <w:basedOn w:val="Normal"/>
    <w:link w:val="HeaderChar"/>
    <w:uiPriority w:val="99"/>
    <w:unhideWhenUsed/>
    <w:rsid w:val="00013E26"/>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013E26"/>
    <w:rPr>
      <w:rFonts w:asciiTheme="minorHAnsi" w:eastAsiaTheme="minorHAnsi" w:hAnsiTheme="minorHAnsi" w:cstheme="minorBidi"/>
      <w:sz w:val="24"/>
      <w:szCs w:val="22"/>
      <w:lang w:eastAsia="en-US"/>
    </w:rPr>
  </w:style>
  <w:style w:type="paragraph" w:styleId="Footer">
    <w:name w:val="footer"/>
    <w:basedOn w:val="Normal"/>
    <w:link w:val="FooterChar"/>
    <w:uiPriority w:val="99"/>
    <w:unhideWhenUsed/>
    <w:rsid w:val="00013E26"/>
    <w:pPr>
      <w:tabs>
        <w:tab w:val="center" w:pos="4513"/>
        <w:tab w:val="right" w:pos="9026"/>
      </w:tabs>
      <w:spacing w:before="0" w:after="0"/>
    </w:pPr>
  </w:style>
  <w:style w:type="character" w:customStyle="1" w:styleId="FooterChar">
    <w:name w:val="Footer Char"/>
    <w:basedOn w:val="DefaultParagraphFont"/>
    <w:link w:val="Footer"/>
    <w:uiPriority w:val="99"/>
    <w:rsid w:val="00013E26"/>
    <w:rPr>
      <w:rFonts w:asciiTheme="minorHAnsi" w:eastAsiaTheme="minorHAnsi" w:hAnsiTheme="minorHAnsi" w:cstheme="minorBidi"/>
      <w:sz w:val="24"/>
      <w:szCs w:val="22"/>
      <w:lang w:eastAsia="en-US"/>
    </w:rPr>
  </w:style>
  <w:style w:type="paragraph" w:styleId="TOC2">
    <w:name w:val="toc 2"/>
    <w:basedOn w:val="Normal"/>
    <w:next w:val="Normal"/>
    <w:autoRedefine/>
    <w:uiPriority w:val="39"/>
    <w:rsid w:val="00013E26"/>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013E26"/>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BodyText">
    <w:name w:val="Body Text"/>
    <w:basedOn w:val="Normal"/>
    <w:link w:val="BodyTextChar"/>
    <w:uiPriority w:val="3"/>
    <w:rsid w:val="00013E26"/>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uiPriority w:val="3"/>
    <w:rsid w:val="00013E26"/>
    <w:rPr>
      <w:rFonts w:ascii="Arial" w:hAnsi="Arial" w:cs="Arial"/>
      <w:snapToGrid w:val="0"/>
      <w:sz w:val="22"/>
      <w:lang w:eastAsia="en-US"/>
    </w:rPr>
  </w:style>
  <w:style w:type="paragraph" w:styleId="NoSpacing">
    <w:name w:val="No Spacing"/>
    <w:uiPriority w:val="1"/>
    <w:qFormat/>
    <w:rsid w:val="00013E26"/>
    <w:pPr>
      <w:widowControl w:val="0"/>
      <w:jc w:val="both"/>
    </w:pPr>
    <w:rPr>
      <w:rFonts w:ascii="Arial" w:hAnsi="Arial" w:cs="Arial"/>
      <w:snapToGrid w:val="0"/>
      <w:sz w:val="22"/>
      <w:lang w:eastAsia="en-US"/>
    </w:rPr>
  </w:style>
  <w:style w:type="paragraph" w:styleId="NormalWeb">
    <w:name w:val="Normal (Web)"/>
    <w:basedOn w:val="Normal"/>
    <w:uiPriority w:val="99"/>
    <w:rsid w:val="00013E26"/>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unhideWhenUsed/>
    <w:rsid w:val="00013E26"/>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013E26"/>
    <w:pPr>
      <w:widowControl w:val="0"/>
      <w:tabs>
        <w:tab w:val="right" w:pos="1134"/>
        <w:tab w:val="right" w:leader="dot" w:pos="9015"/>
      </w:tabs>
      <w:spacing w:after="0"/>
      <w:ind w:left="879"/>
    </w:pPr>
    <w:rPr>
      <w:rFonts w:ascii="Arial" w:eastAsia="Times New Roman" w:hAnsi="Arial" w:cs="Arial"/>
      <w:snapToGrid w:val="0"/>
      <w:sz w:val="20"/>
      <w:szCs w:val="20"/>
    </w:rPr>
  </w:style>
  <w:style w:type="paragraph" w:styleId="TOC4">
    <w:name w:val="toc 4"/>
    <w:basedOn w:val="Normal"/>
    <w:next w:val="Normal"/>
    <w:autoRedefine/>
    <w:uiPriority w:val="39"/>
    <w:rsid w:val="00013E26"/>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013E26"/>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013E26"/>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013E26"/>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013E26"/>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013E26"/>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013E26"/>
    <w:rPr>
      <w:rFonts w:ascii="Arial" w:hAnsi="Arial" w:cs="Arial"/>
      <w:snapToGrid w:val="0"/>
      <w:sz w:val="22"/>
      <w:lang w:eastAsia="en-US"/>
    </w:rPr>
  </w:style>
  <w:style w:type="character" w:customStyle="1" w:styleId="ListParagraphChar">
    <w:name w:val="List Paragraph Char"/>
    <w:aliases w:val="ES Paragraph Char,BulletPoints Char,PBAC ES Paragraph Char,List Paragraph1 Char,Bullet point Char,List Paragraph11 Char,Recommendation Char"/>
    <w:basedOn w:val="DefaultParagraphFont"/>
    <w:link w:val="ListParagraph"/>
    <w:uiPriority w:val="34"/>
    <w:qFormat/>
    <w:locked/>
    <w:rsid w:val="00013E26"/>
    <w:rPr>
      <w:rFonts w:asciiTheme="minorHAnsi" w:eastAsiaTheme="minorHAnsi" w:hAnsiTheme="minorHAnsi" w:cstheme="minorBidi"/>
      <w:color w:val="000000" w:themeColor="text1"/>
      <w:sz w:val="24"/>
      <w:szCs w:val="22"/>
      <w:lang w:eastAsia="en-US"/>
    </w:rPr>
  </w:style>
  <w:style w:type="numbering" w:customStyle="1" w:styleId="Headings">
    <w:name w:val="Headings"/>
    <w:uiPriority w:val="99"/>
    <w:rsid w:val="00013E26"/>
    <w:pPr>
      <w:numPr>
        <w:numId w:val="1"/>
      </w:numPr>
    </w:pPr>
  </w:style>
  <w:style w:type="character" w:styleId="FollowedHyperlink">
    <w:name w:val="FollowedHyperlink"/>
    <w:basedOn w:val="DefaultParagraphFont"/>
    <w:uiPriority w:val="99"/>
    <w:unhideWhenUsed/>
    <w:rsid w:val="00013E26"/>
    <w:rPr>
      <w:color w:val="954F72" w:themeColor="followedHyperlink"/>
      <w:u w:val="single"/>
    </w:rPr>
  </w:style>
  <w:style w:type="paragraph" w:customStyle="1" w:styleId="BulletLast">
    <w:name w:val="Bullet Last"/>
    <w:basedOn w:val="Normal"/>
    <w:rsid w:val="00013E26"/>
    <w:pPr>
      <w:numPr>
        <w:numId w:val="2"/>
      </w:numPr>
      <w:spacing w:before="0" w:after="240"/>
      <w:ind w:left="357" w:hanging="357"/>
    </w:pPr>
    <w:rPr>
      <w:sz w:val="22"/>
    </w:rPr>
  </w:style>
  <w:style w:type="character" w:customStyle="1" w:styleId="StyleArial11pt">
    <w:name w:val="Style Arial 11 pt"/>
    <w:basedOn w:val="DefaultParagraphFont"/>
    <w:uiPriority w:val="3"/>
    <w:rsid w:val="00013E26"/>
    <w:rPr>
      <w:rFonts w:ascii="Arial" w:hAnsi="Arial"/>
      <w:sz w:val="22"/>
    </w:rPr>
  </w:style>
  <w:style w:type="paragraph" w:customStyle="1" w:styleId="ESHeading1">
    <w:name w:val="ES Heading 1"/>
    <w:basedOn w:val="Heading1"/>
    <w:next w:val="Heading1"/>
    <w:uiPriority w:val="2"/>
    <w:qFormat/>
    <w:rsid w:val="00013E26"/>
    <w:pPr>
      <w:numPr>
        <w:numId w:val="0"/>
      </w:numPr>
      <w:spacing w:before="240" w:line="240" w:lineRule="auto"/>
      <w:ind w:left="720" w:hanging="720"/>
    </w:pPr>
    <w:rPr>
      <w:rFonts w:eastAsia="Times New Roman" w:cs="Arial"/>
      <w:snapToGrid w:val="0"/>
      <w:szCs w:val="32"/>
    </w:rPr>
  </w:style>
  <w:style w:type="paragraph" w:customStyle="1" w:styleId="Default">
    <w:name w:val="Default"/>
    <w:uiPriority w:val="3"/>
    <w:rsid w:val="00013E26"/>
    <w:pPr>
      <w:autoSpaceDE w:val="0"/>
      <w:autoSpaceDN w:val="0"/>
      <w:adjustRightInd w:val="0"/>
    </w:pPr>
    <w:rPr>
      <w:rFonts w:ascii="Arial" w:hAnsi="Arial" w:cs="Arial"/>
      <w:color w:val="000000"/>
      <w:sz w:val="24"/>
      <w:szCs w:val="24"/>
    </w:rPr>
  </w:style>
  <w:style w:type="paragraph" w:customStyle="1" w:styleId="Heading1subheading">
    <w:name w:val="Heading 1 subheading"/>
    <w:basedOn w:val="Heading1"/>
    <w:next w:val="Normal"/>
    <w:link w:val="Heading1subheadingChar"/>
    <w:uiPriority w:val="3"/>
    <w:qFormat/>
    <w:rsid w:val="00013E26"/>
    <w:pPr>
      <w:numPr>
        <w:ilvl w:val="1"/>
      </w:numPr>
    </w:pPr>
    <w:rPr>
      <w:caps/>
    </w:rPr>
  </w:style>
  <w:style w:type="paragraph" w:customStyle="1" w:styleId="Heading2SECTION2">
    <w:name w:val="Heading 2 SECTION 2"/>
    <w:basedOn w:val="Heading2"/>
    <w:next w:val="Normal"/>
    <w:link w:val="Heading2SECTION2Char"/>
    <w:uiPriority w:val="3"/>
    <w:qFormat/>
    <w:rsid w:val="00013E26"/>
    <w:pPr>
      <w:numPr>
        <w:ilvl w:val="2"/>
      </w:numPr>
      <w:tabs>
        <w:tab w:val="left" w:pos="1134"/>
      </w:tabs>
    </w:pPr>
  </w:style>
  <w:style w:type="character" w:customStyle="1" w:styleId="Heading1subheadingChar">
    <w:name w:val="Heading 1 subheading Char"/>
    <w:basedOn w:val="Heading1Char"/>
    <w:link w:val="Heading1subheading"/>
    <w:uiPriority w:val="3"/>
    <w:rsid w:val="00013E26"/>
    <w:rPr>
      <w:rFonts w:asciiTheme="minorHAnsi" w:eastAsiaTheme="majorEastAsia" w:hAnsiTheme="minorHAnsi" w:cstheme="majorBidi"/>
      <w:b/>
      <w:caps/>
      <w:sz w:val="32"/>
      <w:szCs w:val="28"/>
      <w:lang w:eastAsia="en-US"/>
    </w:rPr>
  </w:style>
  <w:style w:type="character" w:customStyle="1" w:styleId="Heading2SECTION2Char">
    <w:name w:val="Heading 2 SECTION 2 Char"/>
    <w:basedOn w:val="Heading2Char"/>
    <w:link w:val="Heading2SECTION2"/>
    <w:uiPriority w:val="3"/>
    <w:rsid w:val="00013E26"/>
    <w:rPr>
      <w:rFonts w:ascii="Arial" w:eastAsiaTheme="majorEastAsia" w:hAnsi="Arial" w:cstheme="majorBidi"/>
      <w:b/>
      <w:i/>
      <w:snapToGrid w:val="0"/>
      <w:sz w:val="28"/>
      <w:szCs w:val="28"/>
      <w:lang w:eastAsia="en-US"/>
    </w:rPr>
  </w:style>
  <w:style w:type="paragraph" w:customStyle="1" w:styleId="Comment">
    <w:name w:val="Comment"/>
    <w:basedOn w:val="Normal"/>
    <w:link w:val="CommentChar"/>
    <w:uiPriority w:val="3"/>
    <w:rsid w:val="00013E26"/>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3"/>
    <w:rsid w:val="00013E26"/>
    <w:rPr>
      <w:rFonts w:ascii="Calibri" w:hAnsi="Calibri" w:cs="Tahoma"/>
      <w:i/>
      <w:color w:val="C00000"/>
      <w:sz w:val="22"/>
      <w:szCs w:val="22"/>
    </w:rPr>
  </w:style>
  <w:style w:type="character" w:customStyle="1" w:styleId="TableTextChar">
    <w:name w:val="Table Text Char"/>
    <w:link w:val="TableText"/>
    <w:rsid w:val="00013E26"/>
    <w:rPr>
      <w:rFonts w:ascii="Arial Narrow" w:eastAsiaTheme="minorHAnsi" w:hAnsi="Arial Narrow" w:cstheme="minorBidi"/>
      <w:szCs w:val="22"/>
      <w:lang w:eastAsia="en-US"/>
    </w:rPr>
  </w:style>
  <w:style w:type="paragraph" w:customStyle="1" w:styleId="Guidelines">
    <w:name w:val="Guidelines"/>
    <w:basedOn w:val="Normal"/>
    <w:link w:val="GuidelinesChar"/>
    <w:uiPriority w:val="3"/>
    <w:rsid w:val="00013E26"/>
    <w:pPr>
      <w:spacing w:before="0" w:after="240" w:line="312" w:lineRule="auto"/>
    </w:pPr>
    <w:rPr>
      <w:rFonts w:ascii="Calibri" w:eastAsia="Times New Roman" w:hAnsi="Calibri" w:cs="Tahoma"/>
      <w:vanish/>
      <w:color w:val="C00000"/>
      <w:sz w:val="22"/>
      <w:lang w:eastAsia="en-AU"/>
    </w:rPr>
  </w:style>
  <w:style w:type="character" w:customStyle="1" w:styleId="GuidelinesChar">
    <w:name w:val="Guidelines Char"/>
    <w:basedOn w:val="DefaultParagraphFont"/>
    <w:link w:val="Guidelines"/>
    <w:uiPriority w:val="3"/>
    <w:rsid w:val="00013E26"/>
    <w:rPr>
      <w:rFonts w:ascii="Calibri" w:hAnsi="Calibri" w:cs="Tahoma"/>
      <w:vanish/>
      <w:color w:val="C00000"/>
      <w:sz w:val="22"/>
      <w:szCs w:val="22"/>
    </w:rPr>
  </w:style>
  <w:style w:type="paragraph" w:customStyle="1" w:styleId="AttachmentHeading">
    <w:name w:val="Attachment Heading"/>
    <w:basedOn w:val="Heading1"/>
    <w:next w:val="Normal"/>
    <w:uiPriority w:val="3"/>
    <w:qFormat/>
    <w:rsid w:val="00013E26"/>
    <w:pPr>
      <w:numPr>
        <w:numId w:val="0"/>
      </w:numPr>
    </w:pPr>
  </w:style>
  <w:style w:type="table" w:customStyle="1" w:styleId="PBACTableStyle">
    <w:name w:val="PBAC Table Style"/>
    <w:basedOn w:val="TableGrid1"/>
    <w:uiPriority w:val="99"/>
    <w:rsid w:val="00013E26"/>
    <w:pPr>
      <w:widowControl w:val="0"/>
      <w:contextualSpacing/>
      <w:jc w:val="center"/>
    </w:pPr>
    <w:rPr>
      <w:rFonts w:ascii="Arial Narrow" w:hAnsi="Arial Narrow"/>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Segoe UI Symbol" w:hAnsi="Segoe UI Symbol"/>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Segoe UI Symbol" w:hAnsi="Segoe UI Symbol"/>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Segoe UI Symbol" w:hAnsi="Segoe UI Symbol"/>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1">
    <w:name w:val="List Table 1 Light1"/>
    <w:basedOn w:val="TableNormal"/>
    <w:uiPriority w:val="46"/>
    <w:rsid w:val="00013E26"/>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013E26"/>
    <w:rPr>
      <w:rFonts w:asciiTheme="minorHAnsi" w:eastAsiaTheme="minorHAnsi" w:hAnsiTheme="minorHAnsi" w:cstheme="minorBidi"/>
      <w:color w:val="538135"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013E26"/>
    <w:pPr>
      <w:numPr>
        <w:numId w:val="3"/>
      </w:numPr>
      <w:contextualSpacing/>
      <w:jc w:val="left"/>
    </w:pPr>
    <w:rPr>
      <w:rFonts w:ascii="Calibri" w:hAnsi="Calibri"/>
    </w:rPr>
  </w:style>
  <w:style w:type="paragraph" w:customStyle="1" w:styleId="ESHeading2">
    <w:name w:val="ES Heading 2"/>
    <w:basedOn w:val="Heading2"/>
    <w:link w:val="ESHeading2Char"/>
    <w:uiPriority w:val="2"/>
    <w:qFormat/>
    <w:rsid w:val="00013E26"/>
    <w:pPr>
      <w:numPr>
        <w:ilvl w:val="0"/>
        <w:numId w:val="0"/>
      </w:numPr>
      <w:ind w:left="720" w:hanging="720"/>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013E26"/>
    <w:rPr>
      <w:rFonts w:ascii="Calibri" w:eastAsiaTheme="minorHAnsi" w:hAnsi="Calibri" w:cstheme="minorBidi"/>
      <w:color w:val="0070C0"/>
      <w:sz w:val="24"/>
      <w:szCs w:val="22"/>
      <w:lang w:eastAsia="en-US"/>
    </w:rPr>
  </w:style>
  <w:style w:type="character" w:customStyle="1" w:styleId="ESHeading2Char">
    <w:name w:val="ES Heading 2 Char"/>
    <w:basedOn w:val="Heading2Char"/>
    <w:link w:val="ESHeading2"/>
    <w:uiPriority w:val="2"/>
    <w:rsid w:val="00013E26"/>
    <w:rPr>
      <w:rFonts w:asciiTheme="majorHAnsi" w:eastAsiaTheme="majorEastAsia" w:hAnsiTheme="majorHAnsi" w:cstheme="majorBidi"/>
      <w:b/>
      <w:i/>
      <w:snapToGrid w:val="0"/>
      <w:sz w:val="28"/>
      <w:szCs w:val="28"/>
      <w:lang w:eastAsia="en-US"/>
    </w:rPr>
  </w:style>
  <w:style w:type="paragraph" w:customStyle="1" w:styleId="CommentTabletext">
    <w:name w:val="Comment Table text"/>
    <w:basedOn w:val="Normal"/>
    <w:uiPriority w:val="3"/>
    <w:rsid w:val="00013E26"/>
    <w:pPr>
      <w:tabs>
        <w:tab w:val="num" w:pos="720"/>
      </w:tabs>
      <w:spacing w:before="40" w:after="40"/>
      <w:ind w:left="720"/>
    </w:pPr>
    <w:rPr>
      <w:rFonts w:ascii="Arial Narrow" w:eastAsia="Times New Roman" w:hAnsi="Arial Narrow" w:cs="Tahoma"/>
      <w:i/>
      <w:sz w:val="20"/>
      <w:szCs w:val="20"/>
      <w:lang w:eastAsia="en-AU"/>
    </w:rPr>
  </w:style>
  <w:style w:type="paragraph" w:customStyle="1" w:styleId="ESHeadingCAPS">
    <w:name w:val="ES Heading CAPS"/>
    <w:basedOn w:val="ESHeading2"/>
    <w:link w:val="ESHeadingCAPSChar"/>
    <w:uiPriority w:val="2"/>
    <w:qFormat/>
    <w:rsid w:val="00013E26"/>
    <w:rPr>
      <w:i w:val="0"/>
      <w:smallCaps/>
      <w:sz w:val="32"/>
    </w:rPr>
  </w:style>
  <w:style w:type="paragraph" w:customStyle="1" w:styleId="ESHeading3">
    <w:name w:val="ES Heading 3"/>
    <w:basedOn w:val="ESHeading2"/>
    <w:link w:val="ESHeading3Char"/>
    <w:uiPriority w:val="2"/>
    <w:qFormat/>
    <w:rsid w:val="00013E26"/>
    <w:pPr>
      <w:ind w:left="1080" w:hanging="1080"/>
    </w:pPr>
    <w:rPr>
      <w:i w:val="0"/>
      <w:sz w:val="24"/>
    </w:rPr>
  </w:style>
  <w:style w:type="character" w:customStyle="1" w:styleId="ESHeadingCAPSChar">
    <w:name w:val="ES Heading CAPS Char"/>
    <w:basedOn w:val="ESHeading2Char"/>
    <w:link w:val="ESHeadingCAPS"/>
    <w:uiPriority w:val="2"/>
    <w:rsid w:val="00013E26"/>
    <w:rPr>
      <w:rFonts w:asciiTheme="majorHAnsi" w:eastAsiaTheme="majorEastAsia" w:hAnsiTheme="majorHAnsi" w:cstheme="majorBidi"/>
      <w:b/>
      <w:i w:val="0"/>
      <w:smallCaps/>
      <w:snapToGrid w:val="0"/>
      <w:sz w:val="32"/>
      <w:szCs w:val="28"/>
      <w:lang w:eastAsia="en-US"/>
    </w:rPr>
  </w:style>
  <w:style w:type="paragraph" w:customStyle="1" w:styleId="Paragraphheading1">
    <w:name w:val="Paragraph heading 1"/>
    <w:uiPriority w:val="3"/>
    <w:rsid w:val="00013E26"/>
    <w:pPr>
      <w:ind w:left="720" w:hanging="720"/>
    </w:pPr>
    <w:rPr>
      <w:rFonts w:asciiTheme="majorHAnsi" w:hAnsiTheme="majorHAnsi" w:cs="Arial"/>
      <w:i/>
      <w:snapToGrid w:val="0"/>
      <w:sz w:val="32"/>
      <w:szCs w:val="32"/>
      <w:lang w:eastAsia="en-US"/>
    </w:rPr>
  </w:style>
  <w:style w:type="character" w:customStyle="1" w:styleId="ESHeading3Char">
    <w:name w:val="ES Heading 3 Char"/>
    <w:basedOn w:val="ESHeading2Char"/>
    <w:link w:val="ESHeading3"/>
    <w:uiPriority w:val="2"/>
    <w:rsid w:val="00013E26"/>
    <w:rPr>
      <w:rFonts w:asciiTheme="majorHAnsi" w:eastAsiaTheme="majorEastAsia" w:hAnsiTheme="majorHAnsi" w:cstheme="majorBidi"/>
      <w:b/>
      <w:i w:val="0"/>
      <w:snapToGrid w:val="0"/>
      <w:sz w:val="24"/>
      <w:szCs w:val="28"/>
      <w:lang w:eastAsia="en-US"/>
    </w:rPr>
  </w:style>
  <w:style w:type="paragraph" w:customStyle="1" w:styleId="Level1">
    <w:name w:val="Level 1"/>
    <w:basedOn w:val="Normal"/>
    <w:uiPriority w:val="3"/>
    <w:rsid w:val="00013E26"/>
  </w:style>
  <w:style w:type="paragraph" w:customStyle="1" w:styleId="ESParagraphDotpoint">
    <w:name w:val="ES Paragraph Dotpoint"/>
    <w:basedOn w:val="ListParagraph"/>
    <w:link w:val="ESParagraphDotpointChar"/>
    <w:uiPriority w:val="2"/>
    <w:qFormat/>
    <w:rsid w:val="00013E26"/>
    <w:pPr>
      <w:tabs>
        <w:tab w:val="num" w:pos="360"/>
      </w:tabs>
      <w:spacing w:before="0" w:after="0"/>
      <w:ind w:left="1843" w:hanging="709"/>
    </w:pPr>
  </w:style>
  <w:style w:type="character" w:customStyle="1" w:styleId="ESParagraphDotpointChar">
    <w:name w:val="ES Paragraph Dotpoint Char"/>
    <w:basedOn w:val="ListParagraphChar"/>
    <w:link w:val="ESParagraphDotpoint"/>
    <w:uiPriority w:val="2"/>
    <w:rsid w:val="00013E26"/>
    <w:rPr>
      <w:rFonts w:asciiTheme="minorHAnsi" w:eastAsiaTheme="minorHAnsi" w:hAnsiTheme="minorHAnsi" w:cstheme="minorBidi"/>
      <w:color w:val="000000" w:themeColor="text1"/>
      <w:sz w:val="24"/>
      <w:szCs w:val="22"/>
      <w:lang w:eastAsia="en-US"/>
    </w:rPr>
  </w:style>
  <w:style w:type="paragraph" w:customStyle="1" w:styleId="AttachmentHeading2">
    <w:name w:val="Attachment Heading 2"/>
    <w:basedOn w:val="Heading2"/>
    <w:link w:val="AttachmentHeading2Char"/>
    <w:uiPriority w:val="3"/>
    <w:qFormat/>
    <w:rsid w:val="00013E26"/>
    <w:pPr>
      <w:numPr>
        <w:ilvl w:val="0"/>
        <w:numId w:val="0"/>
      </w:numPr>
    </w:pPr>
  </w:style>
  <w:style w:type="character" w:customStyle="1" w:styleId="AttachmentHeading2Char">
    <w:name w:val="Attachment Heading 2 Char"/>
    <w:basedOn w:val="Heading2Char"/>
    <w:link w:val="AttachmentHeading2"/>
    <w:uiPriority w:val="3"/>
    <w:rsid w:val="00013E26"/>
    <w:rPr>
      <w:rFonts w:ascii="Arial" w:eastAsiaTheme="majorEastAsia" w:hAnsi="Arial" w:cstheme="majorBidi"/>
      <w:b/>
      <w:i/>
      <w:snapToGrid w:val="0"/>
      <w:sz w:val="28"/>
      <w:szCs w:val="28"/>
      <w:lang w:eastAsia="en-US"/>
    </w:rPr>
  </w:style>
  <w:style w:type="table" w:styleId="TableGrid1">
    <w:name w:val="Table Grid 1"/>
    <w:basedOn w:val="TableNormal"/>
    <w:uiPriority w:val="99"/>
    <w:semiHidden/>
    <w:unhideWhenUsed/>
    <w:rsid w:val="00013E26"/>
    <w:pPr>
      <w:spacing w:before="120" w:after="160"/>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bletextChar1">
    <w:name w:val="Table text Char1"/>
    <w:basedOn w:val="DefaultParagraphFont"/>
    <w:link w:val="Tabletext0"/>
    <w:locked/>
    <w:rsid w:val="00013E26"/>
    <w:rPr>
      <w:rFonts w:ascii="Arial" w:hAnsi="Arial"/>
    </w:rPr>
  </w:style>
  <w:style w:type="paragraph" w:customStyle="1" w:styleId="Tabletext0">
    <w:name w:val="Table text"/>
    <w:basedOn w:val="Normal"/>
    <w:link w:val="TabletextChar1"/>
    <w:uiPriority w:val="99"/>
    <w:qFormat/>
    <w:rsid w:val="00013E26"/>
    <w:pPr>
      <w:spacing w:before="0" w:after="120"/>
    </w:pPr>
    <w:rPr>
      <w:rFonts w:ascii="Arial" w:eastAsia="Times New Roman" w:hAnsi="Arial" w:cs="Times New Roman"/>
      <w:sz w:val="20"/>
      <w:szCs w:val="20"/>
      <w:lang w:eastAsia="en-AU"/>
    </w:rPr>
  </w:style>
  <w:style w:type="character" w:styleId="HTMLCite">
    <w:name w:val="HTML Cite"/>
    <w:basedOn w:val="DefaultParagraphFont"/>
    <w:uiPriority w:val="99"/>
    <w:unhideWhenUsed/>
    <w:rsid w:val="00013E26"/>
    <w:rPr>
      <w:i/>
      <w:iCs/>
    </w:rPr>
  </w:style>
  <w:style w:type="paragraph" w:customStyle="1" w:styleId="Heading2Clinical">
    <w:name w:val="Heading 2 Clinical"/>
    <w:basedOn w:val="Heading3"/>
    <w:link w:val="Heading2ClinicalChar"/>
    <w:qFormat/>
    <w:rsid w:val="00013E26"/>
    <w:pPr>
      <w:numPr>
        <w:ilvl w:val="4"/>
      </w:numPr>
      <w:tabs>
        <w:tab w:val="left" w:pos="1418"/>
      </w:tabs>
    </w:pPr>
    <w:rPr>
      <w:color w:val="000000" w:themeColor="text1"/>
    </w:rPr>
  </w:style>
  <w:style w:type="character" w:customStyle="1" w:styleId="Heading2ClinicalChar">
    <w:name w:val="Heading 2 Clinical Char"/>
    <w:basedOn w:val="Heading4Char"/>
    <w:link w:val="Heading2Clinical"/>
    <w:rsid w:val="00013E26"/>
    <w:rPr>
      <w:rFonts w:asciiTheme="minorHAnsi" w:eastAsiaTheme="majorEastAsia" w:hAnsiTheme="minorHAnsi" w:cstheme="majorBidi"/>
      <w:b/>
      <w:color w:val="000000" w:themeColor="text1"/>
      <w:sz w:val="28"/>
      <w:szCs w:val="28"/>
      <w:lang w:eastAsia="en-US"/>
    </w:rPr>
  </w:style>
  <w:style w:type="paragraph" w:customStyle="1" w:styleId="TableHeading">
    <w:name w:val="Table Heading"/>
    <w:basedOn w:val="Normal"/>
    <w:link w:val="TableHeadingChar"/>
    <w:qFormat/>
    <w:rsid w:val="00013E26"/>
    <w:pPr>
      <w:keepNext/>
      <w:tabs>
        <w:tab w:val="left" w:pos="1134"/>
      </w:tabs>
      <w:spacing w:before="240" w:after="40"/>
      <w:ind w:left="1134" w:hanging="1134"/>
    </w:pPr>
    <w:rPr>
      <w:rFonts w:ascii="Arial Narrow" w:hAnsi="Arial Narrow"/>
      <w:b/>
      <w:sz w:val="20"/>
      <w:lang w:eastAsia="en-AU" w:bidi="en-US"/>
    </w:rPr>
  </w:style>
  <w:style w:type="numbering" w:customStyle="1" w:styleId="Lists">
    <w:name w:val="Lists"/>
    <w:uiPriority w:val="99"/>
    <w:rsid w:val="00013E26"/>
    <w:pPr>
      <w:numPr>
        <w:numId w:val="6"/>
      </w:numPr>
    </w:pPr>
  </w:style>
  <w:style w:type="table" w:customStyle="1" w:styleId="MSDAustralia">
    <w:name w:val="MSD Australia"/>
    <w:basedOn w:val="TableGrid"/>
    <w:uiPriority w:val="99"/>
    <w:rsid w:val="00013E26"/>
    <w:pPr>
      <w:ind w:left="57" w:right="57"/>
    </w:pPr>
    <w:rPr>
      <w:rFonts w:ascii="Arial" w:hAnsi="Arial"/>
      <w:sz w:val="20"/>
      <w:szCs w:val="20"/>
      <w:lang w:val="en-AU"/>
    </w:rPr>
    <w:tblPr>
      <w:tblBorders>
        <w:top w:val="single" w:sz="12" w:space="0" w:color="4472C4" w:themeColor="accent5"/>
        <w:left w:val="none" w:sz="0" w:space="0" w:color="auto"/>
        <w:bottom w:val="single" w:sz="12" w:space="0" w:color="4472C4" w:themeColor="accent5"/>
        <w:right w:val="none" w:sz="0" w:space="0" w:color="auto"/>
        <w:insideH w:val="single" w:sz="4" w:space="0" w:color="4472C4"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Source">
    <w:name w:val="Source"/>
    <w:basedOn w:val="Normal"/>
    <w:uiPriority w:val="35"/>
    <w:qFormat/>
    <w:rsid w:val="00013E26"/>
    <w:pPr>
      <w:keepLines/>
      <w:tabs>
        <w:tab w:val="left" w:pos="284"/>
      </w:tabs>
      <w:spacing w:before="60" w:after="360" w:line="360" w:lineRule="auto"/>
      <w:contextualSpacing/>
      <w:jc w:val="left"/>
    </w:pPr>
    <w:rPr>
      <w:rFonts w:ascii="Arial" w:hAnsi="Arial"/>
      <w:sz w:val="18"/>
      <w:szCs w:val="20"/>
    </w:rPr>
  </w:style>
  <w:style w:type="table" w:customStyle="1" w:styleId="ExecSummTable">
    <w:name w:val="Exec Summ Table"/>
    <w:basedOn w:val="MSDAustralia"/>
    <w:uiPriority w:val="99"/>
    <w:rsid w:val="00013E26"/>
    <w:rPr>
      <w:sz w:val="18"/>
      <w:lang w:eastAsia="en-AU" w:bidi="th-TH"/>
    </w:rPr>
    <w:tblPr/>
    <w:tblStylePr w:type="firstRow">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style>
  <w:style w:type="character" w:customStyle="1" w:styleId="TabletextChar0">
    <w:name w:val="Table text Char"/>
    <w:uiPriority w:val="99"/>
    <w:rsid w:val="00013E26"/>
    <w:rPr>
      <w:rFonts w:ascii="Arial Narrow" w:eastAsia="Times New Roman" w:hAnsi="Arial Narrow" w:cs="Times New Roman"/>
      <w:sz w:val="20"/>
      <w:szCs w:val="20"/>
    </w:rPr>
  </w:style>
  <w:style w:type="paragraph" w:customStyle="1" w:styleId="EndNoteBibliographyTitle">
    <w:name w:val="EndNote Bibliography Title"/>
    <w:basedOn w:val="Normal"/>
    <w:link w:val="EndNoteBibliographyTitleChar"/>
    <w:rsid w:val="00013E26"/>
    <w:pPr>
      <w:spacing w:after="0"/>
      <w:jc w:val="center"/>
    </w:pPr>
    <w:rPr>
      <w:rFonts w:ascii="Calibri" w:hAnsi="Calibri"/>
      <w:noProof/>
      <w:lang w:val="en-US"/>
    </w:rPr>
  </w:style>
  <w:style w:type="character" w:customStyle="1" w:styleId="EndNoteBibliographyTitleChar">
    <w:name w:val="EndNote Bibliography Title Char"/>
    <w:basedOn w:val="TableTextChar"/>
    <w:link w:val="EndNoteBibliographyTitle"/>
    <w:rsid w:val="00013E26"/>
    <w:rPr>
      <w:rFonts w:ascii="Calibri" w:eastAsiaTheme="minorHAnsi" w:hAnsi="Calibri" w:cstheme="minorBidi"/>
      <w:noProof/>
      <w:sz w:val="24"/>
      <w:szCs w:val="22"/>
      <w:lang w:val="en-US" w:eastAsia="en-US"/>
    </w:rPr>
  </w:style>
  <w:style w:type="paragraph" w:customStyle="1" w:styleId="EndNoteBibliography">
    <w:name w:val="EndNote Bibliography"/>
    <w:basedOn w:val="Normal"/>
    <w:link w:val="EndNoteBibliographyChar"/>
    <w:rsid w:val="00013E26"/>
    <w:rPr>
      <w:rFonts w:ascii="Calibri" w:hAnsi="Calibri"/>
      <w:noProof/>
      <w:lang w:val="en-US"/>
    </w:rPr>
  </w:style>
  <w:style w:type="character" w:customStyle="1" w:styleId="EndNoteBibliographyChar">
    <w:name w:val="EndNote Bibliography Char"/>
    <w:basedOn w:val="TableTextChar"/>
    <w:link w:val="EndNoteBibliography"/>
    <w:rsid w:val="00013E26"/>
    <w:rPr>
      <w:rFonts w:ascii="Calibri" w:eastAsiaTheme="minorHAnsi" w:hAnsi="Calibri" w:cstheme="minorBidi"/>
      <w:noProof/>
      <w:sz w:val="24"/>
      <w:szCs w:val="22"/>
      <w:lang w:val="en-US" w:eastAsia="en-US"/>
    </w:rPr>
  </w:style>
  <w:style w:type="numbering" w:customStyle="1" w:styleId="Lists1">
    <w:name w:val="Lists1"/>
    <w:uiPriority w:val="99"/>
    <w:rsid w:val="00013E26"/>
  </w:style>
  <w:style w:type="table" w:customStyle="1" w:styleId="ExecSummTable1">
    <w:name w:val="Exec Summ Table1"/>
    <w:basedOn w:val="TableNormal"/>
    <w:uiPriority w:val="99"/>
    <w:rsid w:val="00013E26"/>
    <w:pPr>
      <w:ind w:left="57" w:right="57"/>
    </w:pPr>
    <w:rPr>
      <w:rFonts w:ascii="Arial" w:eastAsiaTheme="minorHAnsi" w:hAnsi="Arial" w:cstheme="minorBidi"/>
      <w:sz w:val="18"/>
      <w:lang w:bidi="th-TH"/>
    </w:rPr>
    <w:tblPr>
      <w:tblBorders>
        <w:top w:val="single" w:sz="12" w:space="0" w:color="004540"/>
        <w:bottom w:val="single" w:sz="12" w:space="0" w:color="004540"/>
        <w:insideH w:val="single" w:sz="4" w:space="0" w:color="004540"/>
      </w:tblBorders>
      <w:tblCellMar>
        <w:left w:w="57" w:type="dxa"/>
        <w:right w:w="57" w:type="dxa"/>
      </w:tblCellMar>
    </w:tblPr>
    <w:tblStylePr w:type="firstRow">
      <w:rPr>
        <w:b/>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table" w:customStyle="1" w:styleId="TableGridLight1">
    <w:name w:val="Table Grid Light1"/>
    <w:basedOn w:val="TableNormal"/>
    <w:uiPriority w:val="40"/>
    <w:rsid w:val="00013E26"/>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IntroductionText">
    <w:name w:val="Cover Introduction Text"/>
    <w:basedOn w:val="Normal"/>
    <w:uiPriority w:val="21"/>
    <w:rsid w:val="00013E26"/>
    <w:pPr>
      <w:keepLines/>
      <w:spacing w:before="0" w:after="240" w:line="360" w:lineRule="auto"/>
      <w:jc w:val="center"/>
    </w:pPr>
    <w:rPr>
      <w:rFonts w:ascii="Arial" w:hAnsi="Arial"/>
      <w:b/>
      <w:spacing w:val="-2"/>
      <w:szCs w:val="20"/>
    </w:rPr>
  </w:style>
  <w:style w:type="numbering" w:customStyle="1" w:styleId="Lists2">
    <w:name w:val="Lists2"/>
    <w:uiPriority w:val="99"/>
    <w:rsid w:val="00013E26"/>
  </w:style>
  <w:style w:type="numbering" w:customStyle="1" w:styleId="Lists3">
    <w:name w:val="Lists3"/>
    <w:uiPriority w:val="99"/>
    <w:rsid w:val="00013E26"/>
  </w:style>
  <w:style w:type="numbering" w:customStyle="1" w:styleId="Lists4">
    <w:name w:val="Lists4"/>
    <w:uiPriority w:val="99"/>
    <w:rsid w:val="00013E26"/>
  </w:style>
  <w:style w:type="numbering" w:customStyle="1" w:styleId="Lists5">
    <w:name w:val="Lists5"/>
    <w:uiPriority w:val="99"/>
    <w:rsid w:val="00013E26"/>
  </w:style>
  <w:style w:type="table" w:customStyle="1" w:styleId="ExecSummTable2">
    <w:name w:val="Exec Summ Table2"/>
    <w:basedOn w:val="MSDAustralia"/>
    <w:uiPriority w:val="99"/>
    <w:rsid w:val="00013E26"/>
    <w:rPr>
      <w:sz w:val="18"/>
      <w:lang w:eastAsia="en-AU" w:bidi="th-TH"/>
    </w:rPr>
    <w:tblPr/>
    <w:tblStylePr w:type="firstRow">
      <w:rPr>
        <w:b/>
      </w:rPr>
      <w:tblPr/>
      <w:trPr>
        <w:cantSplit/>
        <w:tblHeader/>
      </w:trPr>
      <w:tcPr>
        <w:tcBorders>
          <w:top w:val="single" w:sz="12" w:space="0" w:color="004540"/>
          <w:left w:val="nil"/>
          <w:bottom w:val="single" w:sz="12" w:space="0" w:color="004540"/>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numbering" w:customStyle="1" w:styleId="Lists6">
    <w:name w:val="Lists6"/>
    <w:uiPriority w:val="99"/>
    <w:rsid w:val="00013E26"/>
  </w:style>
  <w:style w:type="table" w:customStyle="1" w:styleId="TableGridbeth1">
    <w:name w:val="Table Gridbeth1"/>
    <w:basedOn w:val="TableNormal"/>
    <w:next w:val="TableGrid"/>
    <w:uiPriority w:val="59"/>
    <w:rsid w:val="00013E2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Lists7">
    <w:name w:val="Lists7"/>
    <w:uiPriority w:val="99"/>
    <w:rsid w:val="00013E26"/>
  </w:style>
  <w:style w:type="table" w:customStyle="1" w:styleId="PBACTableStyle1">
    <w:name w:val="PBAC Table Style1"/>
    <w:basedOn w:val="TableGrid1"/>
    <w:uiPriority w:val="99"/>
    <w:rsid w:val="00013E2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styleId="ListBullet">
    <w:name w:val="List Bullet"/>
    <w:basedOn w:val="Normal"/>
    <w:uiPriority w:val="4"/>
    <w:qFormat/>
    <w:rsid w:val="00013E26"/>
    <w:pPr>
      <w:keepLines/>
      <w:numPr>
        <w:numId w:val="7"/>
      </w:numPr>
      <w:spacing w:before="0" w:after="360" w:line="360" w:lineRule="auto"/>
      <w:jc w:val="left"/>
    </w:pPr>
    <w:rPr>
      <w:rFonts w:ascii="Arial" w:hAnsi="Arial"/>
      <w:sz w:val="20"/>
      <w:szCs w:val="20"/>
    </w:rPr>
  </w:style>
  <w:style w:type="paragraph" w:styleId="ListBullet2">
    <w:name w:val="List Bullet 2"/>
    <w:basedOn w:val="ListBullet"/>
    <w:uiPriority w:val="16"/>
    <w:qFormat/>
    <w:rsid w:val="00013E26"/>
    <w:pPr>
      <w:numPr>
        <w:ilvl w:val="1"/>
      </w:numPr>
    </w:pPr>
  </w:style>
  <w:style w:type="paragraph" w:styleId="ListBullet3">
    <w:name w:val="List Bullet 3"/>
    <w:basedOn w:val="Normal"/>
    <w:uiPriority w:val="16"/>
    <w:qFormat/>
    <w:rsid w:val="00013E26"/>
    <w:pPr>
      <w:keepLines/>
      <w:numPr>
        <w:ilvl w:val="2"/>
        <w:numId w:val="7"/>
      </w:numPr>
      <w:spacing w:before="0" w:after="360" w:line="360" w:lineRule="auto"/>
      <w:contextualSpacing/>
      <w:jc w:val="left"/>
    </w:pPr>
    <w:rPr>
      <w:rFonts w:ascii="Arial" w:hAnsi="Arial"/>
      <w:sz w:val="20"/>
      <w:szCs w:val="20"/>
    </w:rPr>
  </w:style>
  <w:style w:type="paragraph" w:styleId="ListBullet4">
    <w:name w:val="List Bullet 4"/>
    <w:basedOn w:val="Normal"/>
    <w:uiPriority w:val="16"/>
    <w:qFormat/>
    <w:rsid w:val="00013E26"/>
    <w:pPr>
      <w:keepLines/>
      <w:numPr>
        <w:ilvl w:val="3"/>
        <w:numId w:val="7"/>
      </w:numPr>
      <w:spacing w:before="0" w:after="360" w:line="360" w:lineRule="auto"/>
      <w:contextualSpacing/>
      <w:jc w:val="left"/>
    </w:pPr>
    <w:rPr>
      <w:rFonts w:ascii="Arial" w:hAnsi="Arial"/>
      <w:sz w:val="20"/>
      <w:szCs w:val="20"/>
    </w:rPr>
  </w:style>
  <w:style w:type="paragraph" w:customStyle="1" w:styleId="V50Instructions">
    <w:name w:val="V5.0 Instructions"/>
    <w:basedOn w:val="Normal"/>
    <w:link w:val="V50InstructionsChar"/>
    <w:qFormat/>
    <w:rsid w:val="00013E26"/>
    <w:rPr>
      <w:color w:val="4472C4" w:themeColor="accent5"/>
    </w:rPr>
  </w:style>
  <w:style w:type="character" w:customStyle="1" w:styleId="V50InstructionsChar">
    <w:name w:val="V5.0 Instructions Char"/>
    <w:basedOn w:val="DefaultParagraphFont"/>
    <w:link w:val="V50Instructions"/>
    <w:rsid w:val="00013E26"/>
    <w:rPr>
      <w:rFonts w:asciiTheme="minorHAnsi" w:eastAsiaTheme="minorHAnsi" w:hAnsiTheme="minorHAnsi" w:cstheme="minorBidi"/>
      <w:color w:val="4472C4" w:themeColor="accent5"/>
      <w:sz w:val="24"/>
      <w:szCs w:val="22"/>
      <w:lang w:eastAsia="en-US"/>
    </w:rPr>
  </w:style>
  <w:style w:type="character" w:customStyle="1" w:styleId="TableHeadingChar">
    <w:name w:val="Table Heading Char"/>
    <w:link w:val="TableHeading"/>
    <w:locked/>
    <w:rsid w:val="00013E26"/>
    <w:rPr>
      <w:rFonts w:ascii="Arial Narrow" w:eastAsiaTheme="minorHAnsi" w:hAnsi="Arial Narrow" w:cstheme="minorBidi"/>
      <w:b/>
      <w:szCs w:val="22"/>
      <w:lang w:bidi="en-US"/>
    </w:rPr>
  </w:style>
  <w:style w:type="numbering" w:customStyle="1" w:styleId="GeneralList">
    <w:name w:val="General List"/>
    <w:uiPriority w:val="99"/>
    <w:locked/>
    <w:rsid w:val="00013E26"/>
    <w:pPr>
      <w:numPr>
        <w:numId w:val="8"/>
      </w:numPr>
    </w:pPr>
  </w:style>
  <w:style w:type="paragraph" w:styleId="BodyText3">
    <w:name w:val="Body Text 3"/>
    <w:basedOn w:val="Normal"/>
    <w:link w:val="BodyText3Char"/>
    <w:uiPriority w:val="9"/>
    <w:unhideWhenUsed/>
    <w:rsid w:val="00013E26"/>
    <w:pPr>
      <w:spacing w:after="120"/>
    </w:pPr>
    <w:rPr>
      <w:sz w:val="16"/>
      <w:szCs w:val="16"/>
    </w:rPr>
  </w:style>
  <w:style w:type="character" w:customStyle="1" w:styleId="BodyText3Char">
    <w:name w:val="Body Text 3 Char"/>
    <w:basedOn w:val="DefaultParagraphFont"/>
    <w:link w:val="BodyText3"/>
    <w:uiPriority w:val="9"/>
    <w:rsid w:val="00013E26"/>
    <w:rPr>
      <w:rFonts w:asciiTheme="minorHAnsi" w:eastAsiaTheme="minorHAnsi" w:hAnsiTheme="minorHAnsi" w:cstheme="minorBidi"/>
      <w:sz w:val="16"/>
      <w:szCs w:val="16"/>
      <w:lang w:eastAsia="en-US"/>
    </w:rPr>
  </w:style>
  <w:style w:type="paragraph" w:customStyle="1" w:styleId="FigureA">
    <w:name w:val="Figure A"/>
    <w:basedOn w:val="Normal"/>
    <w:next w:val="Normal"/>
    <w:rsid w:val="00013E26"/>
    <w:pPr>
      <w:numPr>
        <w:numId w:val="12"/>
      </w:numPr>
      <w:tabs>
        <w:tab w:val="left" w:pos="1134"/>
      </w:tabs>
      <w:spacing w:before="0" w:after="120"/>
      <w:ind w:left="1134" w:hanging="1134"/>
    </w:pPr>
    <w:rPr>
      <w:rFonts w:ascii="Arial Bold" w:eastAsia="Times New Roman" w:hAnsi="Arial Bold" w:cs="Times New Roman"/>
      <w:b/>
      <w:sz w:val="20"/>
      <w:szCs w:val="24"/>
    </w:rPr>
  </w:style>
  <w:style w:type="numbering" w:customStyle="1" w:styleId="MultiLevelheadinglist">
    <w:name w:val="Multi Level heading list"/>
    <w:uiPriority w:val="99"/>
    <w:locked/>
    <w:rsid w:val="00013E26"/>
    <w:pPr>
      <w:numPr>
        <w:numId w:val="13"/>
      </w:numPr>
    </w:pPr>
  </w:style>
  <w:style w:type="paragraph" w:customStyle="1" w:styleId="PBACESHeading1">
    <w:name w:val="PBAC ES Heading 1"/>
    <w:basedOn w:val="Heading1"/>
    <w:next w:val="Normal"/>
    <w:link w:val="PBACESHeading1Char"/>
    <w:uiPriority w:val="2"/>
    <w:qFormat/>
    <w:rsid w:val="00013E26"/>
    <w:pPr>
      <w:numPr>
        <w:numId w:val="0"/>
      </w:numPr>
      <w:spacing w:before="240" w:line="240" w:lineRule="auto"/>
      <w:ind w:left="720" w:hanging="720"/>
    </w:pPr>
    <w:rPr>
      <w:rFonts w:cs="Arial"/>
      <w:snapToGrid w:val="0"/>
      <w:szCs w:val="32"/>
    </w:rPr>
  </w:style>
  <w:style w:type="paragraph" w:customStyle="1" w:styleId="PBACESHeading2">
    <w:name w:val="PBAC ES Heading 2"/>
    <w:basedOn w:val="Heading2"/>
    <w:link w:val="PBACESHeading2Char"/>
    <w:uiPriority w:val="2"/>
    <w:qFormat/>
    <w:rsid w:val="00013E26"/>
    <w:pPr>
      <w:numPr>
        <w:ilvl w:val="0"/>
        <w:numId w:val="0"/>
      </w:numPr>
      <w:ind w:left="720" w:hanging="720"/>
    </w:pPr>
    <w:rPr>
      <w:rFonts w:asciiTheme="majorHAnsi" w:hAnsiTheme="majorHAnsi"/>
    </w:rPr>
  </w:style>
  <w:style w:type="paragraph" w:customStyle="1" w:styleId="PBACESHeadingCAPS">
    <w:name w:val="PBAC ES Heading CAPS"/>
    <w:basedOn w:val="PBACESHeading2"/>
    <w:link w:val="PBACESHeadingCAPSChar"/>
    <w:uiPriority w:val="2"/>
    <w:qFormat/>
    <w:rsid w:val="00013E26"/>
    <w:rPr>
      <w:i w:val="0"/>
      <w:smallCaps/>
      <w:sz w:val="32"/>
    </w:rPr>
  </w:style>
  <w:style w:type="paragraph" w:customStyle="1" w:styleId="PBACESHeading3">
    <w:name w:val="PBAC ES Heading 3"/>
    <w:basedOn w:val="PBACESHeading2"/>
    <w:link w:val="PBACESHeading3Char"/>
    <w:uiPriority w:val="2"/>
    <w:qFormat/>
    <w:rsid w:val="00013E26"/>
    <w:pPr>
      <w:ind w:left="1080" w:hanging="1080"/>
    </w:pPr>
    <w:rPr>
      <w:i w:val="0"/>
      <w:sz w:val="24"/>
    </w:rPr>
  </w:style>
  <w:style w:type="paragraph" w:customStyle="1" w:styleId="MSACHeading1">
    <w:name w:val="MSAC Heading 1"/>
    <w:basedOn w:val="Heading1"/>
    <w:next w:val="MSACESParagraph"/>
    <w:link w:val="MSACHeading1Char"/>
    <w:qFormat/>
    <w:rsid w:val="00013E26"/>
    <w:pPr>
      <w:numPr>
        <w:numId w:val="0"/>
      </w:numPr>
      <w:spacing w:before="160" w:after="240"/>
      <w:ind w:left="720" w:hanging="720"/>
    </w:pPr>
    <w:rPr>
      <w:rFonts w:ascii="Arial" w:hAnsi="Arial"/>
      <w:sz w:val="24"/>
    </w:rPr>
  </w:style>
  <w:style w:type="paragraph" w:customStyle="1" w:styleId="MSACESParagraph">
    <w:name w:val="MSAC ES Paragraph"/>
    <w:link w:val="MSACESParagraphChar"/>
    <w:qFormat/>
    <w:rsid w:val="00013E26"/>
    <w:pPr>
      <w:spacing w:after="240"/>
    </w:pPr>
    <w:rPr>
      <w:rFonts w:eastAsiaTheme="minorHAnsi" w:cstheme="minorBidi"/>
      <w:sz w:val="24"/>
      <w:szCs w:val="22"/>
      <w:lang w:eastAsia="en-US"/>
    </w:rPr>
  </w:style>
  <w:style w:type="paragraph" w:customStyle="1" w:styleId="MSACESHeading2">
    <w:name w:val="MSAC ES Heading 2"/>
    <w:basedOn w:val="Heading2"/>
    <w:next w:val="MSACESParagraph"/>
    <w:link w:val="MSACESHeading2Char"/>
    <w:qFormat/>
    <w:rsid w:val="00013E26"/>
    <w:pPr>
      <w:numPr>
        <w:ilvl w:val="0"/>
        <w:numId w:val="0"/>
      </w:numPr>
      <w:ind w:left="57" w:hanging="57"/>
    </w:pPr>
    <w:rPr>
      <w:rFonts w:ascii="Cambria" w:hAnsi="Cambria"/>
      <w:i w:val="0"/>
      <w:sz w:val="24"/>
    </w:rPr>
  </w:style>
  <w:style w:type="character" w:customStyle="1" w:styleId="MSACESHeading2Char">
    <w:name w:val="MSAC ES Heading 2 Char"/>
    <w:basedOn w:val="DefaultParagraphFont"/>
    <w:link w:val="MSACESHeading2"/>
    <w:rsid w:val="00013E26"/>
    <w:rPr>
      <w:rFonts w:ascii="Cambria" w:eastAsiaTheme="majorEastAsia" w:hAnsi="Cambria" w:cstheme="majorBidi"/>
      <w:b/>
      <w:snapToGrid w:val="0"/>
      <w:sz w:val="24"/>
      <w:szCs w:val="28"/>
      <w:lang w:eastAsia="en-US"/>
    </w:rPr>
  </w:style>
  <w:style w:type="character" w:customStyle="1" w:styleId="MSACESParagraphChar">
    <w:name w:val="MSAC ES Paragraph Char"/>
    <w:basedOn w:val="DefaultParagraphFont"/>
    <w:link w:val="MSACESParagraph"/>
    <w:rsid w:val="00013E26"/>
    <w:rPr>
      <w:rFonts w:eastAsiaTheme="minorHAnsi" w:cstheme="minorBidi"/>
      <w:sz w:val="24"/>
      <w:szCs w:val="22"/>
      <w:lang w:eastAsia="en-US"/>
    </w:rPr>
  </w:style>
  <w:style w:type="table" w:customStyle="1" w:styleId="PBACTableStyle2">
    <w:name w:val="PBAC Table Style2"/>
    <w:basedOn w:val="TableGrid1"/>
    <w:uiPriority w:val="99"/>
    <w:rsid w:val="00013E2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MSACSubtitle">
    <w:name w:val="MSAC Subtitle"/>
    <w:basedOn w:val="Normal"/>
    <w:next w:val="Normal"/>
    <w:link w:val="MSACSubtitleChar"/>
    <w:qFormat/>
    <w:rsid w:val="00013E26"/>
    <w:pPr>
      <w:spacing w:before="0" w:after="240"/>
      <w:jc w:val="center"/>
    </w:pPr>
    <w:rPr>
      <w:rFonts w:ascii="Arial" w:hAnsi="Arial"/>
      <w:b/>
      <w:i/>
      <w:color w:val="000080"/>
      <w:sz w:val="28"/>
    </w:rPr>
  </w:style>
  <w:style w:type="character" w:customStyle="1" w:styleId="MSACSubtitleChar">
    <w:name w:val="MSAC Subtitle Char"/>
    <w:basedOn w:val="DefaultParagraphFont"/>
    <w:link w:val="MSACSubtitle"/>
    <w:rsid w:val="00013E26"/>
    <w:rPr>
      <w:rFonts w:ascii="Arial" w:eastAsiaTheme="minorHAnsi" w:hAnsi="Arial" w:cstheme="minorBidi"/>
      <w:b/>
      <w:i/>
      <w:color w:val="000080"/>
      <w:sz w:val="28"/>
      <w:szCs w:val="22"/>
      <w:lang w:eastAsia="en-US"/>
    </w:rPr>
  </w:style>
  <w:style w:type="character" w:customStyle="1" w:styleId="MSACHeading1Char">
    <w:name w:val="MSAC Heading 1 Char"/>
    <w:basedOn w:val="DefaultParagraphFont"/>
    <w:link w:val="MSACHeading1"/>
    <w:rsid w:val="00013E26"/>
    <w:rPr>
      <w:rFonts w:ascii="Arial" w:eastAsiaTheme="majorEastAsia" w:hAnsi="Arial" w:cstheme="majorBidi"/>
      <w:b/>
      <w:sz w:val="24"/>
      <w:szCs w:val="28"/>
      <w:lang w:eastAsia="en-US"/>
    </w:rPr>
  </w:style>
  <w:style w:type="paragraph" w:customStyle="1" w:styleId="MSACESBulletpoint">
    <w:name w:val="MSAC ES Bulletpoint"/>
    <w:basedOn w:val="MSACESParagraph"/>
    <w:link w:val="MSACESBulletpointChar"/>
    <w:qFormat/>
    <w:rsid w:val="00013E26"/>
    <w:pPr>
      <w:numPr>
        <w:numId w:val="15"/>
      </w:numPr>
      <w:ind w:left="714" w:hanging="357"/>
      <w:contextualSpacing/>
    </w:pPr>
  </w:style>
  <w:style w:type="character" w:customStyle="1" w:styleId="MSACESBulletpointChar">
    <w:name w:val="MSAC ES Bulletpoint Char"/>
    <w:basedOn w:val="MSACESParagraphChar"/>
    <w:link w:val="MSACESBulletpoint"/>
    <w:rsid w:val="00013E26"/>
    <w:rPr>
      <w:rFonts w:eastAsiaTheme="minorHAnsi" w:cstheme="minorBidi"/>
      <w:sz w:val="24"/>
      <w:szCs w:val="22"/>
      <w:lang w:eastAsia="en-US"/>
    </w:rPr>
  </w:style>
  <w:style w:type="paragraph" w:customStyle="1" w:styleId="Tablecaption">
    <w:name w:val="Table caption"/>
    <w:basedOn w:val="Normal"/>
    <w:link w:val="TablecaptionChar"/>
    <w:rsid w:val="00013E26"/>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013E26"/>
    <w:rPr>
      <w:rFonts w:ascii="Arial Narrow" w:hAnsi="Arial Narrow" w:cs="Arial"/>
      <w:lang w:eastAsia="en-US"/>
    </w:rPr>
  </w:style>
  <w:style w:type="paragraph" w:customStyle="1" w:styleId="Tabletextright">
    <w:name w:val="Table text right"/>
    <w:basedOn w:val="Normal"/>
    <w:link w:val="TabletextrightChar"/>
    <w:qFormat/>
    <w:rsid w:val="00013E26"/>
    <w:pPr>
      <w:keepNext/>
      <w:spacing w:before="0" w:after="0"/>
      <w:jc w:val="right"/>
    </w:pPr>
    <w:rPr>
      <w:rFonts w:ascii="Arial Narrow" w:eastAsia="Times New Roman" w:hAnsi="Arial Narrow" w:cs="Arial"/>
      <w:sz w:val="20"/>
      <w:szCs w:val="20"/>
    </w:rPr>
  </w:style>
  <w:style w:type="character" w:customStyle="1" w:styleId="TabletextrightChar">
    <w:name w:val="Table text right Char"/>
    <w:basedOn w:val="DefaultParagraphFont"/>
    <w:link w:val="Tabletextright"/>
    <w:rsid w:val="00013E26"/>
    <w:rPr>
      <w:rFonts w:ascii="Arial Narrow" w:hAnsi="Arial Narrow" w:cs="Arial"/>
      <w:lang w:eastAsia="en-US"/>
    </w:rPr>
  </w:style>
  <w:style w:type="character" w:customStyle="1" w:styleId="PBACESHeading2Char">
    <w:name w:val="PBAC ES Heading 2 Char"/>
    <w:basedOn w:val="Heading2Char"/>
    <w:link w:val="PBACESHeading2"/>
    <w:uiPriority w:val="2"/>
    <w:rsid w:val="00013E26"/>
    <w:rPr>
      <w:rFonts w:asciiTheme="majorHAnsi" w:eastAsiaTheme="majorEastAsia" w:hAnsiTheme="majorHAnsi" w:cstheme="majorBidi"/>
      <w:b/>
      <w:i/>
      <w:snapToGrid w:val="0"/>
      <w:sz w:val="28"/>
      <w:szCs w:val="28"/>
      <w:lang w:eastAsia="en-US"/>
    </w:rPr>
  </w:style>
  <w:style w:type="character" w:customStyle="1" w:styleId="PBACESHeadingCAPSChar">
    <w:name w:val="PBAC ES Heading CAPS Char"/>
    <w:basedOn w:val="PBACESHeading2Char"/>
    <w:link w:val="PBACESHeadingCAPS"/>
    <w:uiPriority w:val="2"/>
    <w:rsid w:val="00013E26"/>
    <w:rPr>
      <w:rFonts w:asciiTheme="majorHAnsi" w:eastAsiaTheme="majorEastAsia" w:hAnsiTheme="majorHAnsi" w:cstheme="majorBidi"/>
      <w:b/>
      <w:i w:val="0"/>
      <w:smallCaps/>
      <w:snapToGrid w:val="0"/>
      <w:sz w:val="32"/>
      <w:szCs w:val="28"/>
      <w:lang w:eastAsia="en-US"/>
    </w:rPr>
  </w:style>
  <w:style w:type="character" w:customStyle="1" w:styleId="PBACESHeading3Char">
    <w:name w:val="PBAC ES Heading 3 Char"/>
    <w:basedOn w:val="PBACESHeading2Char"/>
    <w:link w:val="PBACESHeading3"/>
    <w:uiPriority w:val="2"/>
    <w:rsid w:val="00013E26"/>
    <w:rPr>
      <w:rFonts w:asciiTheme="majorHAnsi" w:eastAsiaTheme="majorEastAsia" w:hAnsiTheme="majorHAnsi" w:cstheme="majorBidi"/>
      <w:b/>
      <w:i w:val="0"/>
      <w:snapToGrid w:val="0"/>
      <w:sz w:val="24"/>
      <w:szCs w:val="28"/>
      <w:lang w:eastAsia="en-US"/>
    </w:rPr>
  </w:style>
  <w:style w:type="paragraph" w:customStyle="1" w:styleId="PBACESParagraphDotpoint">
    <w:name w:val="PBAC ES Paragraph Dotpoint"/>
    <w:basedOn w:val="ListParagraph"/>
    <w:link w:val="PBACESParagraphDotpointChar"/>
    <w:uiPriority w:val="2"/>
    <w:qFormat/>
    <w:rsid w:val="00013E26"/>
    <w:pPr>
      <w:spacing w:before="0" w:after="0"/>
      <w:ind w:left="1843" w:hanging="709"/>
    </w:pPr>
  </w:style>
  <w:style w:type="character" w:customStyle="1" w:styleId="PBACESParagraphDotpointChar">
    <w:name w:val="PBAC ES Paragraph Dotpoint Char"/>
    <w:basedOn w:val="ListParagraphChar"/>
    <w:link w:val="PBACESParagraphDotpoint"/>
    <w:uiPriority w:val="2"/>
    <w:rsid w:val="00013E26"/>
    <w:rPr>
      <w:rFonts w:asciiTheme="minorHAnsi" w:eastAsiaTheme="minorHAnsi" w:hAnsiTheme="minorHAnsi" w:cstheme="minorBidi"/>
      <w:color w:val="000000" w:themeColor="text1"/>
      <w:sz w:val="24"/>
      <w:szCs w:val="22"/>
      <w:lang w:eastAsia="en-US"/>
    </w:rPr>
  </w:style>
  <w:style w:type="paragraph" w:customStyle="1" w:styleId="V50InstructionsBullets">
    <w:name w:val="V5.0 Instructions Bullets"/>
    <w:basedOn w:val="Normal"/>
    <w:qFormat/>
    <w:rsid w:val="00013E26"/>
    <w:pPr>
      <w:numPr>
        <w:numId w:val="17"/>
      </w:numPr>
      <w:spacing w:before="0" w:after="0"/>
      <w:ind w:left="714" w:hanging="357"/>
      <w:jc w:val="left"/>
    </w:pPr>
    <w:rPr>
      <w:color w:val="4472C4" w:themeColor="accent5"/>
    </w:rPr>
  </w:style>
  <w:style w:type="paragraph" w:customStyle="1" w:styleId="MSACESStyle">
    <w:name w:val="MSAC ES Style"/>
    <w:next w:val="Normal"/>
    <w:link w:val="MSACESStyleChar"/>
    <w:rsid w:val="00013E26"/>
    <w:pPr>
      <w:spacing w:after="160" w:line="259" w:lineRule="auto"/>
    </w:pPr>
    <w:rPr>
      <w:rFonts w:ascii="Arial" w:eastAsiaTheme="majorEastAsia" w:hAnsi="Arial" w:cs="Arial"/>
      <w:b/>
      <w:iCs/>
      <w:sz w:val="28"/>
      <w:szCs w:val="18"/>
      <w:lang w:eastAsia="en-US"/>
    </w:rPr>
  </w:style>
  <w:style w:type="character" w:customStyle="1" w:styleId="PBACESHeading1Char">
    <w:name w:val="PBAC ES Heading 1 Char"/>
    <w:basedOn w:val="Heading1Char"/>
    <w:link w:val="PBACESHeading1"/>
    <w:uiPriority w:val="2"/>
    <w:rsid w:val="00013E26"/>
    <w:rPr>
      <w:rFonts w:asciiTheme="minorHAnsi" w:eastAsiaTheme="majorEastAsia" w:hAnsiTheme="minorHAnsi" w:cs="Arial"/>
      <w:b/>
      <w:snapToGrid w:val="0"/>
      <w:sz w:val="32"/>
      <w:szCs w:val="32"/>
      <w:lang w:eastAsia="en-US"/>
    </w:rPr>
  </w:style>
  <w:style w:type="character" w:customStyle="1" w:styleId="MSACESStyleChar">
    <w:name w:val="MSAC ES Style Char"/>
    <w:basedOn w:val="PBACESHeading1Char"/>
    <w:link w:val="MSACESStyle"/>
    <w:rsid w:val="00013E26"/>
    <w:rPr>
      <w:rFonts w:ascii="Arial" w:eastAsiaTheme="majorEastAsia" w:hAnsi="Arial" w:cs="Arial"/>
      <w:b/>
      <w:iCs/>
      <w:snapToGrid/>
      <w:sz w:val="28"/>
      <w:szCs w:val="18"/>
      <w:lang w:eastAsia="en-US"/>
    </w:rPr>
  </w:style>
  <w:style w:type="paragraph" w:customStyle="1" w:styleId="PBACHeading1">
    <w:name w:val="PBAC Heading 1"/>
    <w:qFormat/>
    <w:rsid w:val="00013E26"/>
    <w:pPr>
      <w:spacing w:before="200" w:after="120"/>
      <w:ind w:left="720" w:hanging="720"/>
    </w:pPr>
    <w:rPr>
      <w:rFonts w:ascii="Arial" w:hAnsi="Arial" w:cs="Arial"/>
      <w:b/>
      <w:snapToGrid w:val="0"/>
      <w:sz w:val="22"/>
      <w:szCs w:val="22"/>
      <w:lang w:eastAsia="en-US"/>
    </w:rPr>
  </w:style>
  <w:style w:type="table" w:customStyle="1" w:styleId="Summarybox1">
    <w:name w:val="Summary box1"/>
    <w:basedOn w:val="TableNormal"/>
    <w:next w:val="TableGrid"/>
    <w:uiPriority w:val="39"/>
    <w:rsid w:val="00013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mmarybox2">
    <w:name w:val="Summary box2"/>
    <w:basedOn w:val="TableNormal"/>
    <w:next w:val="TableGrid"/>
    <w:uiPriority w:val="39"/>
    <w:rsid w:val="00013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13E26"/>
    <w:pPr>
      <w:spacing w:before="0" w:line="240" w:lineRule="exact"/>
      <w:jc w:val="left"/>
    </w:pPr>
    <w:rPr>
      <w:rFonts w:ascii="Verdana" w:eastAsia="MS Mincho" w:hAnsi="Verdana" w:cs="Verdana"/>
      <w:sz w:val="20"/>
      <w:szCs w:val="20"/>
      <w:lang w:val="en-US"/>
    </w:rPr>
  </w:style>
  <w:style w:type="paragraph" w:customStyle="1" w:styleId="V50Heading2nonumbers">
    <w:name w:val="V5.0 Heading 2 no numbers"/>
    <w:basedOn w:val="Heading2"/>
    <w:qFormat/>
    <w:rsid w:val="003F4046"/>
    <w:pPr>
      <w:numPr>
        <w:ilvl w:val="0"/>
        <w:numId w:val="0"/>
      </w:numPr>
      <w:spacing w:before="240"/>
      <w:ind w:left="578" w:hanging="578"/>
    </w:pPr>
    <w:rPr>
      <w:rFonts w:asciiTheme="minorHAnsi" w:hAnsiTheme="minorHAnsi"/>
      <w:snapToGrid/>
    </w:rPr>
  </w:style>
  <w:style w:type="table" w:customStyle="1" w:styleId="TableGrid10">
    <w:name w:val="Table Grid1"/>
    <w:basedOn w:val="TableNormal"/>
    <w:next w:val="TableGrid"/>
    <w:uiPriority w:val="59"/>
    <w:rsid w:val="0029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09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60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6458">
      <w:bodyDiv w:val="1"/>
      <w:marLeft w:val="0"/>
      <w:marRight w:val="0"/>
      <w:marTop w:val="0"/>
      <w:marBottom w:val="0"/>
      <w:divBdr>
        <w:top w:val="none" w:sz="0" w:space="0" w:color="auto"/>
        <w:left w:val="none" w:sz="0" w:space="0" w:color="auto"/>
        <w:bottom w:val="none" w:sz="0" w:space="0" w:color="auto"/>
        <w:right w:val="none" w:sz="0" w:space="0" w:color="auto"/>
      </w:divBdr>
    </w:div>
    <w:div w:id="390420004">
      <w:bodyDiv w:val="1"/>
      <w:marLeft w:val="0"/>
      <w:marRight w:val="0"/>
      <w:marTop w:val="0"/>
      <w:marBottom w:val="0"/>
      <w:divBdr>
        <w:top w:val="none" w:sz="0" w:space="0" w:color="auto"/>
        <w:left w:val="none" w:sz="0" w:space="0" w:color="auto"/>
        <w:bottom w:val="none" w:sz="0" w:space="0" w:color="auto"/>
        <w:right w:val="none" w:sz="0" w:space="0" w:color="auto"/>
      </w:divBdr>
    </w:div>
    <w:div w:id="442454720">
      <w:bodyDiv w:val="1"/>
      <w:marLeft w:val="0"/>
      <w:marRight w:val="0"/>
      <w:marTop w:val="0"/>
      <w:marBottom w:val="0"/>
      <w:divBdr>
        <w:top w:val="none" w:sz="0" w:space="0" w:color="auto"/>
        <w:left w:val="none" w:sz="0" w:space="0" w:color="auto"/>
        <w:bottom w:val="none" w:sz="0" w:space="0" w:color="auto"/>
        <w:right w:val="none" w:sz="0" w:space="0" w:color="auto"/>
      </w:divBdr>
    </w:div>
    <w:div w:id="451441046">
      <w:bodyDiv w:val="1"/>
      <w:marLeft w:val="0"/>
      <w:marRight w:val="0"/>
      <w:marTop w:val="0"/>
      <w:marBottom w:val="0"/>
      <w:divBdr>
        <w:top w:val="none" w:sz="0" w:space="0" w:color="auto"/>
        <w:left w:val="none" w:sz="0" w:space="0" w:color="auto"/>
        <w:bottom w:val="none" w:sz="0" w:space="0" w:color="auto"/>
        <w:right w:val="none" w:sz="0" w:space="0" w:color="auto"/>
      </w:divBdr>
    </w:div>
    <w:div w:id="990904960">
      <w:bodyDiv w:val="1"/>
      <w:marLeft w:val="0"/>
      <w:marRight w:val="0"/>
      <w:marTop w:val="0"/>
      <w:marBottom w:val="0"/>
      <w:divBdr>
        <w:top w:val="none" w:sz="0" w:space="0" w:color="auto"/>
        <w:left w:val="none" w:sz="0" w:space="0" w:color="auto"/>
        <w:bottom w:val="none" w:sz="0" w:space="0" w:color="auto"/>
        <w:right w:val="none" w:sz="0" w:space="0" w:color="auto"/>
      </w:divBdr>
    </w:div>
    <w:div w:id="1170634298">
      <w:bodyDiv w:val="1"/>
      <w:marLeft w:val="0"/>
      <w:marRight w:val="0"/>
      <w:marTop w:val="0"/>
      <w:marBottom w:val="0"/>
      <w:divBdr>
        <w:top w:val="none" w:sz="0" w:space="0" w:color="auto"/>
        <w:left w:val="none" w:sz="0" w:space="0" w:color="auto"/>
        <w:bottom w:val="none" w:sz="0" w:space="0" w:color="auto"/>
        <w:right w:val="none" w:sz="0" w:space="0" w:color="auto"/>
      </w:divBdr>
    </w:div>
    <w:div w:id="1630086746">
      <w:bodyDiv w:val="1"/>
      <w:marLeft w:val="0"/>
      <w:marRight w:val="0"/>
      <w:marTop w:val="0"/>
      <w:marBottom w:val="0"/>
      <w:divBdr>
        <w:top w:val="none" w:sz="0" w:space="0" w:color="auto"/>
        <w:left w:val="none" w:sz="0" w:space="0" w:color="auto"/>
        <w:bottom w:val="none" w:sz="0" w:space="0" w:color="auto"/>
        <w:right w:val="none" w:sz="0" w:space="0" w:color="auto"/>
      </w:divBdr>
    </w:div>
    <w:div w:id="1857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4.png@01D3467C.9D9086E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07.png@01D3467C.9D9086E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C11C-07CC-47BA-A7C0-2F0C4332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12355</Words>
  <Characters>72877</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2018-02-19T02:21:00Z</dcterms:created>
  <dcterms:modified xsi:type="dcterms:W3CDTF">2018-03-08T22:50:00Z</dcterms:modified>
</cp:coreProperties>
</file>