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FC" w:rsidRPr="0016581E" w:rsidRDefault="00A873CB" w:rsidP="0042082A">
      <w:pPr>
        <w:spacing w:before="120" w:after="120"/>
        <w:ind w:left="851" w:hanging="851"/>
        <w:jc w:val="left"/>
        <w:outlineLvl w:val="0"/>
        <w:rPr>
          <w:rFonts w:asciiTheme="minorHAnsi" w:hAnsiTheme="minorHAnsi" w:cstheme="minorHAnsi"/>
          <w:b/>
          <w:sz w:val="36"/>
          <w:szCs w:val="36"/>
        </w:rPr>
      </w:pPr>
      <w:bookmarkStart w:id="0" w:name="_Toc380679761"/>
      <w:bookmarkStart w:id="1" w:name="_Toc380742618"/>
      <w:bookmarkStart w:id="2" w:name="_Toc380746185"/>
      <w:bookmarkStart w:id="3" w:name="_Toc380746311"/>
      <w:bookmarkStart w:id="4" w:name="_Toc380746592"/>
      <w:bookmarkStart w:id="5" w:name="_Toc381019901"/>
      <w:bookmarkStart w:id="6" w:name="_Toc382553532"/>
      <w:bookmarkStart w:id="7" w:name="_Toc392857619"/>
      <w:r w:rsidRPr="0016581E">
        <w:rPr>
          <w:rFonts w:asciiTheme="minorHAnsi" w:hAnsiTheme="minorHAnsi" w:cstheme="minorHAnsi"/>
          <w:b/>
          <w:sz w:val="36"/>
          <w:szCs w:val="36"/>
        </w:rPr>
        <w:t>7.06</w:t>
      </w:r>
      <w:r w:rsidR="007F11E6" w:rsidRPr="0016581E">
        <w:rPr>
          <w:rFonts w:asciiTheme="minorHAnsi" w:hAnsiTheme="minorHAnsi" w:cstheme="minorHAnsi"/>
          <w:b/>
          <w:sz w:val="36"/>
          <w:szCs w:val="36"/>
        </w:rPr>
        <w:tab/>
      </w:r>
      <w:r w:rsidR="004E23FC" w:rsidRPr="0016581E">
        <w:rPr>
          <w:rFonts w:asciiTheme="minorHAnsi" w:hAnsiTheme="minorHAnsi" w:cstheme="minorHAnsi"/>
          <w:b/>
          <w:sz w:val="36"/>
          <w:szCs w:val="36"/>
        </w:rPr>
        <w:t>PALBOCICLIB</w:t>
      </w:r>
      <w:r w:rsidR="0042082A">
        <w:rPr>
          <w:rFonts w:asciiTheme="minorHAnsi" w:hAnsiTheme="minorHAnsi" w:cstheme="minorHAnsi"/>
          <w:b/>
          <w:sz w:val="36"/>
          <w:szCs w:val="36"/>
        </w:rPr>
        <w:t>,</w:t>
      </w:r>
      <w:r w:rsidR="00A40587">
        <w:rPr>
          <w:rFonts w:asciiTheme="minorHAnsi" w:hAnsiTheme="minorHAnsi" w:cstheme="minorHAnsi"/>
          <w:b/>
          <w:sz w:val="36"/>
          <w:szCs w:val="36"/>
        </w:rPr>
        <w:br/>
      </w:r>
      <w:r w:rsidR="004E23FC" w:rsidRPr="0016581E">
        <w:rPr>
          <w:rFonts w:asciiTheme="minorHAnsi" w:hAnsiTheme="minorHAnsi" w:cstheme="minorHAnsi"/>
          <w:b/>
          <w:sz w:val="36"/>
          <w:szCs w:val="36"/>
        </w:rPr>
        <w:t>Ca</w:t>
      </w:r>
      <w:r w:rsidR="0034257C" w:rsidRPr="0016581E">
        <w:rPr>
          <w:rFonts w:asciiTheme="minorHAnsi" w:hAnsiTheme="minorHAnsi" w:cstheme="minorHAnsi"/>
          <w:b/>
          <w:sz w:val="36"/>
          <w:szCs w:val="36"/>
        </w:rPr>
        <w:t>psule 75 mg, 100 mg and 125 mg</w:t>
      </w:r>
      <w:r w:rsidR="00A40587">
        <w:rPr>
          <w:rFonts w:asciiTheme="minorHAnsi" w:hAnsiTheme="minorHAnsi" w:cstheme="minorHAnsi"/>
          <w:b/>
          <w:sz w:val="36"/>
          <w:szCs w:val="36"/>
        </w:rPr>
        <w:br/>
      </w:r>
      <w:r w:rsidR="004E23FC" w:rsidRPr="0016581E">
        <w:rPr>
          <w:rFonts w:asciiTheme="minorHAnsi" w:hAnsiTheme="minorHAnsi" w:cstheme="minorHAnsi"/>
          <w:b/>
          <w:sz w:val="36"/>
          <w:szCs w:val="36"/>
        </w:rPr>
        <w:t>Ibrance</w:t>
      </w:r>
      <w:r w:rsidR="007F11E6" w:rsidRPr="0016581E">
        <w:rPr>
          <w:rFonts w:asciiTheme="minorHAnsi" w:hAnsiTheme="minorHAnsi" w:cstheme="minorHAnsi"/>
          <w:b/>
          <w:sz w:val="36"/>
          <w:szCs w:val="36"/>
        </w:rPr>
        <w:t>®</w:t>
      </w:r>
      <w:r w:rsidR="004E23FC" w:rsidRPr="0016581E">
        <w:rPr>
          <w:rFonts w:asciiTheme="minorHAnsi" w:hAnsiTheme="minorHAnsi" w:cstheme="minorHAnsi"/>
          <w:b/>
          <w:sz w:val="36"/>
          <w:szCs w:val="36"/>
        </w:rPr>
        <w:t xml:space="preserve">, </w:t>
      </w:r>
      <w:r w:rsidR="004E23FC" w:rsidRPr="00D424CA">
        <w:rPr>
          <w:rFonts w:asciiTheme="minorHAnsi" w:hAnsiTheme="minorHAnsi" w:cstheme="minorHAnsi"/>
          <w:b/>
          <w:sz w:val="36"/>
          <w:szCs w:val="36"/>
        </w:rPr>
        <w:t>Pfizer</w:t>
      </w:r>
      <w:r w:rsidR="00D424CA" w:rsidRPr="00D424CA">
        <w:rPr>
          <w:rFonts w:asciiTheme="minorHAnsi" w:hAnsiTheme="minorHAnsi" w:cstheme="minorHAnsi"/>
          <w:b/>
          <w:sz w:val="36"/>
          <w:szCs w:val="36"/>
        </w:rPr>
        <w:t xml:space="preserve"> </w:t>
      </w:r>
      <w:r w:rsidR="00D424CA" w:rsidRPr="00D424CA">
        <w:rPr>
          <w:rFonts w:asciiTheme="minorHAnsi" w:hAnsiTheme="minorHAnsi"/>
          <w:b/>
          <w:sz w:val="36"/>
          <w:szCs w:val="36"/>
        </w:rPr>
        <w:t>Australia Pty Ltd</w:t>
      </w:r>
    </w:p>
    <w:p w:rsidR="004E23FC" w:rsidRPr="0016581E" w:rsidRDefault="007A6EB6" w:rsidP="00397776">
      <w:pPr>
        <w:pStyle w:val="Heading1"/>
        <w:keepNext/>
        <w:keepLines/>
        <w:widowControl/>
        <w:numPr>
          <w:ilvl w:val="0"/>
          <w:numId w:val="5"/>
        </w:numPr>
        <w:spacing w:before="240" w:after="120"/>
        <w:ind w:left="709" w:hanging="709"/>
        <w:jc w:val="left"/>
      </w:pPr>
      <w:bookmarkStart w:id="8" w:name="_Toc413139271"/>
      <w:bookmarkStart w:id="9" w:name="_Toc493059776"/>
      <w:r w:rsidRPr="0016581E">
        <w:rPr>
          <w:caps w:val="0"/>
        </w:rPr>
        <w:t>Purpose of application</w:t>
      </w:r>
      <w:bookmarkEnd w:id="8"/>
      <w:bookmarkEnd w:id="9"/>
    </w:p>
    <w:p w:rsidR="004E23FC" w:rsidRPr="0016581E" w:rsidRDefault="004E23FC" w:rsidP="0032077E">
      <w:pPr>
        <w:pStyle w:val="ListParagraph"/>
        <w:widowControl/>
        <w:numPr>
          <w:ilvl w:val="1"/>
          <w:numId w:val="4"/>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Authority Required listing for palbociclib for treatment of non pre-menopausal patients with </w:t>
      </w:r>
      <w:r w:rsidR="000A218A" w:rsidRPr="0016581E">
        <w:rPr>
          <w:rFonts w:asciiTheme="minorHAnsi" w:hAnsiTheme="minorHAnsi" w:cstheme="minorHAnsi"/>
          <w:sz w:val="24"/>
          <w:szCs w:val="24"/>
        </w:rPr>
        <w:t>HR+/HER2-</w:t>
      </w:r>
      <w:r w:rsidRPr="0016581E">
        <w:rPr>
          <w:rFonts w:asciiTheme="minorHAnsi" w:hAnsiTheme="minorHAnsi" w:cstheme="minorHAnsi"/>
          <w:sz w:val="24"/>
          <w:szCs w:val="24"/>
        </w:rPr>
        <w:t xml:space="preserve"> locally advanced inoperable breast cancer and metastatic breast cancer. </w:t>
      </w:r>
      <w:r w:rsidR="00130C18" w:rsidRPr="0016581E">
        <w:rPr>
          <w:rFonts w:asciiTheme="minorHAnsi" w:hAnsiTheme="minorHAnsi" w:cstheme="minorHAnsi"/>
          <w:sz w:val="24"/>
          <w:szCs w:val="24"/>
        </w:rPr>
        <w:t xml:space="preserve">The PBAC previously considered an application for palbociclib for this indication at the March 2017 meeting. </w:t>
      </w:r>
    </w:p>
    <w:p w:rsidR="0060413B" w:rsidRPr="0016581E" w:rsidRDefault="0060413B" w:rsidP="0032077E">
      <w:pPr>
        <w:pStyle w:val="ListParagraph"/>
        <w:widowControl/>
        <w:numPr>
          <w:ilvl w:val="1"/>
          <w:numId w:val="4"/>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requested basis for listing was a cost-utility analysis for palbociclib plus a</w:t>
      </w:r>
      <w:r w:rsidR="00E67C4F" w:rsidRPr="0016581E">
        <w:rPr>
          <w:rFonts w:asciiTheme="minorHAnsi" w:hAnsiTheme="minorHAnsi" w:cstheme="minorHAnsi"/>
          <w:sz w:val="24"/>
          <w:szCs w:val="24"/>
        </w:rPr>
        <w:t xml:space="preserve"> non-steroidal aromatase inhibitor (</w:t>
      </w:r>
      <w:r w:rsidRPr="0016581E">
        <w:rPr>
          <w:rFonts w:asciiTheme="minorHAnsi" w:hAnsiTheme="minorHAnsi" w:cstheme="minorHAnsi"/>
          <w:sz w:val="24"/>
          <w:szCs w:val="24"/>
        </w:rPr>
        <w:t>NSAI</w:t>
      </w:r>
      <w:r w:rsidR="00E67C4F" w:rsidRPr="0016581E">
        <w:rPr>
          <w:rFonts w:asciiTheme="minorHAnsi" w:hAnsiTheme="minorHAnsi" w:cstheme="minorHAnsi"/>
          <w:sz w:val="24"/>
          <w:szCs w:val="24"/>
        </w:rPr>
        <w:t>)</w:t>
      </w:r>
      <w:r w:rsidRPr="0016581E">
        <w:rPr>
          <w:rFonts w:asciiTheme="minorHAnsi" w:hAnsiTheme="minorHAnsi" w:cstheme="minorHAnsi"/>
          <w:sz w:val="24"/>
          <w:szCs w:val="24"/>
        </w:rPr>
        <w:t xml:space="preserve"> compared with a NSAI alone. This is unchanged from the previous submission. </w:t>
      </w:r>
    </w:p>
    <w:p w:rsidR="004E23FC" w:rsidRPr="0016581E" w:rsidRDefault="004E23FC" w:rsidP="004E23FC">
      <w:pPr>
        <w:pStyle w:val="TableHeading0"/>
      </w:pPr>
      <w:r w:rsidRPr="0016581E">
        <w:t xml:space="preserve">Table </w:t>
      </w:r>
      <w:r w:rsidR="00C4393E" w:rsidRPr="0016581E">
        <w:t>1</w:t>
      </w:r>
      <w:r w:rsidRPr="0016581E">
        <w:t xml:space="preserve">: Key components of the clinical issue addressed by the </w:t>
      </w:r>
      <w:r w:rsidR="008C08EE" w:rsidRPr="0016581E">
        <w:t>re-</w:t>
      </w:r>
      <w:r w:rsidRPr="0016581E">
        <w:t>submission</w:t>
      </w:r>
    </w:p>
    <w:tbl>
      <w:tblPr>
        <w:tblStyle w:val="TableGrid"/>
        <w:tblW w:w="0" w:type="auto"/>
        <w:tblLook w:val="04A0" w:firstRow="1" w:lastRow="0" w:firstColumn="1" w:lastColumn="0" w:noHBand="0" w:noVBand="1"/>
        <w:tblCaption w:val="Table 1: Key components of the clinical issue addressed by the re-submission"/>
      </w:tblPr>
      <w:tblGrid>
        <w:gridCol w:w="1242"/>
        <w:gridCol w:w="7774"/>
      </w:tblGrid>
      <w:tr w:rsidR="004E23FC" w:rsidRPr="00D576EE" w:rsidTr="00353CDC">
        <w:trPr>
          <w:cantSplit/>
          <w:tblHeader/>
        </w:trPr>
        <w:tc>
          <w:tcPr>
            <w:tcW w:w="1242" w:type="dxa"/>
            <w:shd w:val="clear" w:color="auto" w:fill="auto"/>
          </w:tcPr>
          <w:p w:rsidR="004E23FC" w:rsidRPr="00D576EE" w:rsidRDefault="004E23FC" w:rsidP="00353CDC">
            <w:pPr>
              <w:pStyle w:val="TableText1"/>
              <w:rPr>
                <w:szCs w:val="20"/>
              </w:rPr>
            </w:pPr>
            <w:r w:rsidRPr="00D576EE">
              <w:rPr>
                <w:szCs w:val="20"/>
              </w:rPr>
              <w:t>Component</w:t>
            </w:r>
          </w:p>
        </w:tc>
        <w:tc>
          <w:tcPr>
            <w:tcW w:w="7774" w:type="dxa"/>
            <w:shd w:val="clear" w:color="auto" w:fill="auto"/>
          </w:tcPr>
          <w:p w:rsidR="004E23FC" w:rsidRPr="00D576EE" w:rsidRDefault="004E23FC" w:rsidP="00353CDC">
            <w:pPr>
              <w:pStyle w:val="TableText1"/>
              <w:rPr>
                <w:szCs w:val="20"/>
              </w:rPr>
            </w:pPr>
            <w:r w:rsidRPr="00D576EE">
              <w:rPr>
                <w:szCs w:val="20"/>
              </w:rPr>
              <w:t>Description</w:t>
            </w:r>
          </w:p>
        </w:tc>
      </w:tr>
      <w:tr w:rsidR="004E23FC" w:rsidRPr="00D576EE" w:rsidTr="00353CDC">
        <w:trPr>
          <w:cantSplit/>
          <w:trHeight w:val="58"/>
        </w:trPr>
        <w:tc>
          <w:tcPr>
            <w:tcW w:w="1242" w:type="dxa"/>
            <w:shd w:val="clear" w:color="auto" w:fill="auto"/>
          </w:tcPr>
          <w:p w:rsidR="004E23FC" w:rsidRPr="00D576EE" w:rsidRDefault="004E23FC" w:rsidP="00353CDC">
            <w:pPr>
              <w:pStyle w:val="TableText1"/>
              <w:rPr>
                <w:szCs w:val="20"/>
              </w:rPr>
            </w:pPr>
            <w:r w:rsidRPr="00D576EE">
              <w:rPr>
                <w:szCs w:val="20"/>
              </w:rPr>
              <w:t>Population</w:t>
            </w:r>
          </w:p>
        </w:tc>
        <w:tc>
          <w:tcPr>
            <w:tcW w:w="7774" w:type="dxa"/>
            <w:shd w:val="clear" w:color="auto" w:fill="auto"/>
          </w:tcPr>
          <w:p w:rsidR="004E23FC" w:rsidRPr="00D576EE" w:rsidRDefault="004E23FC" w:rsidP="00353CDC">
            <w:pPr>
              <w:pStyle w:val="TableText1"/>
              <w:rPr>
                <w:szCs w:val="20"/>
              </w:rPr>
            </w:pPr>
            <w:r w:rsidRPr="00D576EE">
              <w:rPr>
                <w:szCs w:val="20"/>
              </w:rPr>
              <w:t>Non pre-menopausal patients with hormone receptor positive (HR+)/ human epidermal growth factor receptor 2 negative (HER2-) locally advanced inoperable breast cancer and metastatic breast cancer</w:t>
            </w:r>
          </w:p>
        </w:tc>
      </w:tr>
      <w:tr w:rsidR="004E23FC" w:rsidRPr="00D576EE" w:rsidTr="00353CDC">
        <w:trPr>
          <w:cantSplit/>
        </w:trPr>
        <w:tc>
          <w:tcPr>
            <w:tcW w:w="1242" w:type="dxa"/>
            <w:shd w:val="clear" w:color="auto" w:fill="auto"/>
          </w:tcPr>
          <w:p w:rsidR="004E23FC" w:rsidRPr="00D576EE" w:rsidRDefault="004E23FC" w:rsidP="00353CDC">
            <w:pPr>
              <w:pStyle w:val="TableText1"/>
              <w:rPr>
                <w:szCs w:val="20"/>
              </w:rPr>
            </w:pPr>
            <w:r w:rsidRPr="00D576EE">
              <w:rPr>
                <w:szCs w:val="20"/>
              </w:rPr>
              <w:t>Intervention</w:t>
            </w:r>
          </w:p>
        </w:tc>
        <w:tc>
          <w:tcPr>
            <w:tcW w:w="7774" w:type="dxa"/>
            <w:shd w:val="clear" w:color="auto" w:fill="auto"/>
          </w:tcPr>
          <w:p w:rsidR="004E23FC" w:rsidRPr="00D576EE" w:rsidRDefault="004E23FC" w:rsidP="00353CDC">
            <w:pPr>
              <w:pStyle w:val="TableText1"/>
              <w:rPr>
                <w:szCs w:val="20"/>
              </w:rPr>
            </w:pPr>
            <w:r w:rsidRPr="00D576EE">
              <w:rPr>
                <w:szCs w:val="20"/>
              </w:rPr>
              <w:t>Palbociclib (125 mg on days 1-21 of a 28-day cycle) + NSAI</w:t>
            </w:r>
          </w:p>
        </w:tc>
      </w:tr>
      <w:tr w:rsidR="004E23FC" w:rsidRPr="00D576EE" w:rsidTr="00353CDC">
        <w:trPr>
          <w:cantSplit/>
        </w:trPr>
        <w:tc>
          <w:tcPr>
            <w:tcW w:w="1242" w:type="dxa"/>
            <w:shd w:val="clear" w:color="auto" w:fill="auto"/>
          </w:tcPr>
          <w:p w:rsidR="004E23FC" w:rsidRPr="00D576EE" w:rsidRDefault="004E23FC" w:rsidP="00353CDC">
            <w:pPr>
              <w:pStyle w:val="TableText1"/>
              <w:rPr>
                <w:szCs w:val="20"/>
              </w:rPr>
            </w:pPr>
            <w:r w:rsidRPr="00D576EE">
              <w:rPr>
                <w:szCs w:val="20"/>
              </w:rPr>
              <w:t>Comparator</w:t>
            </w:r>
          </w:p>
        </w:tc>
        <w:tc>
          <w:tcPr>
            <w:tcW w:w="7774" w:type="dxa"/>
            <w:shd w:val="clear" w:color="auto" w:fill="auto"/>
          </w:tcPr>
          <w:p w:rsidR="004E23FC" w:rsidRPr="00D576EE" w:rsidRDefault="0075536A" w:rsidP="00353CDC">
            <w:pPr>
              <w:pStyle w:val="TableText1"/>
              <w:rPr>
                <w:szCs w:val="20"/>
              </w:rPr>
            </w:pPr>
            <w:r w:rsidRPr="00D576EE">
              <w:rPr>
                <w:szCs w:val="20"/>
              </w:rPr>
              <w:t>Non-steroidal aromatase inhibitor</w:t>
            </w:r>
          </w:p>
        </w:tc>
      </w:tr>
      <w:tr w:rsidR="004E23FC" w:rsidRPr="00D576EE" w:rsidTr="00353CDC">
        <w:trPr>
          <w:cantSplit/>
        </w:trPr>
        <w:tc>
          <w:tcPr>
            <w:tcW w:w="1242" w:type="dxa"/>
            <w:shd w:val="clear" w:color="auto" w:fill="auto"/>
          </w:tcPr>
          <w:p w:rsidR="004E23FC" w:rsidRPr="00D576EE" w:rsidRDefault="004E23FC" w:rsidP="00353CDC">
            <w:pPr>
              <w:pStyle w:val="TableText1"/>
              <w:rPr>
                <w:szCs w:val="20"/>
              </w:rPr>
            </w:pPr>
            <w:r w:rsidRPr="00D576EE">
              <w:rPr>
                <w:szCs w:val="20"/>
              </w:rPr>
              <w:t>Outcomes</w:t>
            </w:r>
          </w:p>
        </w:tc>
        <w:tc>
          <w:tcPr>
            <w:tcW w:w="7774" w:type="dxa"/>
            <w:shd w:val="clear" w:color="auto" w:fill="auto"/>
          </w:tcPr>
          <w:p w:rsidR="004E23FC" w:rsidRPr="00D576EE" w:rsidRDefault="00985684" w:rsidP="00353CDC">
            <w:pPr>
              <w:pStyle w:val="TableLeft"/>
              <w:rPr>
                <w:szCs w:val="20"/>
              </w:rPr>
            </w:pPr>
            <w:r w:rsidRPr="00D576EE">
              <w:rPr>
                <w:szCs w:val="20"/>
              </w:rPr>
              <w:t>Progression-free</w:t>
            </w:r>
            <w:r w:rsidR="00E67C4F" w:rsidRPr="00D576EE">
              <w:rPr>
                <w:szCs w:val="20"/>
              </w:rPr>
              <w:t xml:space="preserve"> survival</w:t>
            </w:r>
          </w:p>
          <w:p w:rsidR="004E23FC" w:rsidRPr="00D576EE" w:rsidRDefault="004E23FC" w:rsidP="00353CDC">
            <w:pPr>
              <w:pStyle w:val="TableLeft"/>
              <w:rPr>
                <w:szCs w:val="20"/>
              </w:rPr>
            </w:pPr>
            <w:r w:rsidRPr="00D576EE">
              <w:rPr>
                <w:szCs w:val="20"/>
              </w:rPr>
              <w:t xml:space="preserve">Overall </w:t>
            </w:r>
            <w:r w:rsidR="00E67C4F" w:rsidRPr="00D576EE">
              <w:rPr>
                <w:szCs w:val="20"/>
              </w:rPr>
              <w:t>survival</w:t>
            </w:r>
          </w:p>
          <w:p w:rsidR="004E23FC" w:rsidRPr="00D576EE" w:rsidRDefault="00E67C4F" w:rsidP="00353CDC">
            <w:pPr>
              <w:pStyle w:val="TableLeft"/>
              <w:rPr>
                <w:szCs w:val="20"/>
              </w:rPr>
            </w:pPr>
            <w:r w:rsidRPr="00D576EE">
              <w:rPr>
                <w:szCs w:val="20"/>
              </w:rPr>
              <w:t>Overall response rate</w:t>
            </w:r>
          </w:p>
          <w:p w:rsidR="004E23FC" w:rsidRPr="00D576EE" w:rsidRDefault="004E23FC" w:rsidP="00353CDC">
            <w:pPr>
              <w:pStyle w:val="TableLeft"/>
              <w:rPr>
                <w:szCs w:val="20"/>
              </w:rPr>
            </w:pPr>
            <w:r w:rsidRPr="00D576EE">
              <w:rPr>
                <w:szCs w:val="20"/>
              </w:rPr>
              <w:t xml:space="preserve">Health related quality of life </w:t>
            </w:r>
          </w:p>
          <w:p w:rsidR="004E23FC" w:rsidRPr="00D576EE" w:rsidRDefault="00E67C4F" w:rsidP="00353CDC">
            <w:pPr>
              <w:pStyle w:val="TableText1"/>
              <w:rPr>
                <w:szCs w:val="20"/>
              </w:rPr>
            </w:pPr>
            <w:r w:rsidRPr="00D576EE">
              <w:rPr>
                <w:szCs w:val="20"/>
              </w:rPr>
              <w:t>Serious adverse events</w:t>
            </w:r>
          </w:p>
        </w:tc>
      </w:tr>
      <w:tr w:rsidR="004E23FC" w:rsidRPr="00D576EE" w:rsidTr="00353CDC">
        <w:trPr>
          <w:cantSplit/>
        </w:trPr>
        <w:tc>
          <w:tcPr>
            <w:tcW w:w="1242" w:type="dxa"/>
            <w:shd w:val="clear" w:color="auto" w:fill="auto"/>
          </w:tcPr>
          <w:p w:rsidR="004E23FC" w:rsidRPr="00D576EE" w:rsidRDefault="004E23FC" w:rsidP="00353CDC">
            <w:pPr>
              <w:pStyle w:val="TableText1"/>
              <w:rPr>
                <w:szCs w:val="20"/>
              </w:rPr>
            </w:pPr>
            <w:r w:rsidRPr="00D576EE">
              <w:rPr>
                <w:szCs w:val="20"/>
              </w:rPr>
              <w:t>Clinical claim</w:t>
            </w:r>
          </w:p>
        </w:tc>
        <w:tc>
          <w:tcPr>
            <w:tcW w:w="7774" w:type="dxa"/>
            <w:shd w:val="clear" w:color="auto" w:fill="auto"/>
          </w:tcPr>
          <w:p w:rsidR="004E23FC" w:rsidRPr="00D576EE" w:rsidRDefault="004E23FC" w:rsidP="00353CDC">
            <w:pPr>
              <w:pStyle w:val="TableText1"/>
              <w:rPr>
                <w:szCs w:val="20"/>
              </w:rPr>
            </w:pPr>
            <w:r w:rsidRPr="00D576EE">
              <w:rPr>
                <w:szCs w:val="20"/>
              </w:rPr>
              <w:t>Superior comparative effectiveness to letrozole (or anastrozole) as the main comparator and a worse but manageable safety profile</w:t>
            </w:r>
          </w:p>
        </w:tc>
      </w:tr>
    </w:tbl>
    <w:p w:rsidR="004E23FC" w:rsidRPr="00D576EE" w:rsidRDefault="004E23FC" w:rsidP="004E23FC">
      <w:pPr>
        <w:pStyle w:val="TableFooter"/>
        <w:rPr>
          <w:szCs w:val="18"/>
        </w:rPr>
      </w:pPr>
      <w:r w:rsidRPr="00D576EE">
        <w:rPr>
          <w:szCs w:val="18"/>
        </w:rPr>
        <w:t>Source: Compiled during evaluation</w:t>
      </w:r>
    </w:p>
    <w:p w:rsidR="00DE3DFC" w:rsidRPr="0016581E" w:rsidRDefault="0046025D" w:rsidP="00397776">
      <w:pPr>
        <w:pStyle w:val="Heading1"/>
        <w:keepNext/>
        <w:keepLines/>
        <w:widowControl/>
        <w:numPr>
          <w:ilvl w:val="0"/>
          <w:numId w:val="5"/>
        </w:numPr>
        <w:spacing w:before="240" w:after="120"/>
        <w:ind w:left="709" w:hanging="709"/>
        <w:jc w:val="left"/>
        <w:rPr>
          <w:caps w:val="0"/>
        </w:rPr>
      </w:pPr>
      <w:bookmarkStart w:id="10" w:name="_Toc413139272"/>
      <w:bookmarkStart w:id="11" w:name="_Toc493059777"/>
      <w:r w:rsidRPr="0016581E">
        <w:rPr>
          <w:caps w:val="0"/>
        </w:rPr>
        <w:t>Requested listing</w:t>
      </w:r>
      <w:bookmarkEnd w:id="10"/>
      <w:bookmarkEnd w:id="11"/>
    </w:p>
    <w:p w:rsidR="00C3561D" w:rsidRDefault="00DE3DFC" w:rsidP="00C3561D">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Suggestions and additions proposed by the Secretariat to the requested listing are added in italics and suggested deletions are crossed out with strikethrough.</w:t>
      </w:r>
    </w:p>
    <w:p w:rsidR="00C3561D" w:rsidRDefault="00C3561D">
      <w:pPr>
        <w:widowControl/>
        <w:spacing w:after="160" w:line="259" w:lineRule="auto"/>
        <w:jc w:val="left"/>
        <w:rPr>
          <w:rFonts w:asciiTheme="minorHAnsi" w:hAnsiTheme="minorHAnsi" w:cstheme="minorHAnsi"/>
          <w:sz w:val="24"/>
          <w:szCs w:val="24"/>
        </w:rPr>
      </w:pPr>
      <w:r>
        <w:rPr>
          <w:rFonts w:asciiTheme="minorHAnsi" w:hAnsiTheme="minorHAnsi" w:cstheme="minorHAnsi"/>
          <w:sz w:val="24"/>
          <w:szCs w:val="24"/>
        </w:rPr>
        <w:br w:type="page"/>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DE3DFC" w:rsidRPr="0016581E" w:rsidTr="00490903">
        <w:trPr>
          <w:cantSplit/>
          <w:trHeight w:val="471"/>
        </w:trPr>
        <w:tc>
          <w:tcPr>
            <w:tcW w:w="3261" w:type="dxa"/>
            <w:gridSpan w:val="2"/>
            <w:tcBorders>
              <w:bottom w:val="single" w:sz="4" w:space="0" w:color="auto"/>
            </w:tcBorders>
          </w:tcPr>
          <w:p w:rsidR="00DE3DFC" w:rsidRPr="0016581E" w:rsidRDefault="00DE3DFC" w:rsidP="00490903">
            <w:pPr>
              <w:keepNext/>
              <w:ind w:left="-108"/>
              <w:rPr>
                <w:rFonts w:ascii="Arial Narrow" w:hAnsi="Arial Narrow"/>
                <w:sz w:val="20"/>
              </w:rPr>
            </w:pPr>
            <w:r w:rsidRPr="0016581E">
              <w:rPr>
                <w:rFonts w:ascii="Arial Narrow" w:hAnsi="Arial Narrow"/>
                <w:sz w:val="20"/>
              </w:rPr>
              <w:lastRenderedPageBreak/>
              <w:t>Name, Restriction,</w:t>
            </w:r>
          </w:p>
          <w:p w:rsidR="00DE3DFC" w:rsidRPr="0016581E" w:rsidRDefault="00DE3DFC" w:rsidP="00490903">
            <w:pPr>
              <w:keepNext/>
              <w:ind w:left="-108"/>
              <w:rPr>
                <w:rFonts w:ascii="Arial Narrow" w:hAnsi="Arial Narrow"/>
                <w:sz w:val="20"/>
              </w:rPr>
            </w:pPr>
            <w:r w:rsidRPr="0016581E">
              <w:rPr>
                <w:rFonts w:ascii="Arial Narrow" w:hAnsi="Arial Narrow"/>
                <w:sz w:val="20"/>
              </w:rPr>
              <w:t>Manner of administration and form</w:t>
            </w:r>
          </w:p>
        </w:tc>
        <w:tc>
          <w:tcPr>
            <w:tcW w:w="567" w:type="dxa"/>
            <w:tcBorders>
              <w:bottom w:val="single" w:sz="4" w:space="0" w:color="auto"/>
            </w:tcBorders>
          </w:tcPr>
          <w:p w:rsidR="00DE3DFC" w:rsidRPr="0016581E" w:rsidRDefault="00DE3DFC" w:rsidP="00490903">
            <w:pPr>
              <w:keepNext/>
              <w:ind w:left="-108"/>
              <w:rPr>
                <w:rFonts w:ascii="Arial Narrow" w:hAnsi="Arial Narrow"/>
                <w:sz w:val="20"/>
              </w:rPr>
            </w:pPr>
            <w:r w:rsidRPr="0016581E">
              <w:rPr>
                <w:rFonts w:ascii="Arial Narrow" w:hAnsi="Arial Narrow"/>
                <w:sz w:val="20"/>
              </w:rPr>
              <w:t>Max.</w:t>
            </w:r>
          </w:p>
          <w:p w:rsidR="00DE3DFC" w:rsidRPr="0016581E" w:rsidRDefault="00DE3DFC" w:rsidP="00490903">
            <w:pPr>
              <w:keepNext/>
              <w:ind w:left="-108"/>
              <w:rPr>
                <w:rFonts w:ascii="Arial Narrow" w:hAnsi="Arial Narrow"/>
                <w:sz w:val="20"/>
              </w:rPr>
            </w:pPr>
            <w:r w:rsidRPr="0016581E">
              <w:rPr>
                <w:rFonts w:ascii="Arial Narrow" w:hAnsi="Arial Narrow"/>
                <w:sz w:val="20"/>
              </w:rPr>
              <w:t>Qty</w:t>
            </w:r>
          </w:p>
        </w:tc>
        <w:tc>
          <w:tcPr>
            <w:tcW w:w="850" w:type="dxa"/>
            <w:tcBorders>
              <w:bottom w:val="single" w:sz="4" w:space="0" w:color="auto"/>
            </w:tcBorders>
          </w:tcPr>
          <w:p w:rsidR="00DE3DFC" w:rsidRPr="0016581E" w:rsidRDefault="00DE3DFC" w:rsidP="00490903">
            <w:pPr>
              <w:keepNext/>
              <w:ind w:left="-108"/>
              <w:rPr>
                <w:rFonts w:ascii="Arial Narrow" w:hAnsi="Arial Narrow"/>
                <w:sz w:val="20"/>
              </w:rPr>
            </w:pPr>
            <w:r w:rsidRPr="0016581E">
              <w:rPr>
                <w:rFonts w:ascii="Arial Narrow" w:hAnsi="Arial Narrow"/>
                <w:sz w:val="20"/>
              </w:rPr>
              <w:t>№.of</w:t>
            </w:r>
          </w:p>
          <w:p w:rsidR="00DE3DFC" w:rsidRPr="0016581E" w:rsidRDefault="00DE3DFC" w:rsidP="00490903">
            <w:pPr>
              <w:keepNext/>
              <w:ind w:left="-108"/>
              <w:rPr>
                <w:rFonts w:ascii="Arial Narrow" w:hAnsi="Arial Narrow"/>
                <w:sz w:val="20"/>
              </w:rPr>
            </w:pPr>
            <w:r w:rsidRPr="0016581E">
              <w:rPr>
                <w:rFonts w:ascii="Arial Narrow" w:hAnsi="Arial Narrow"/>
                <w:sz w:val="20"/>
              </w:rPr>
              <w:t>Rpts</w:t>
            </w:r>
          </w:p>
        </w:tc>
        <w:tc>
          <w:tcPr>
            <w:tcW w:w="1701" w:type="dxa"/>
            <w:tcBorders>
              <w:bottom w:val="single" w:sz="4" w:space="0" w:color="auto"/>
            </w:tcBorders>
          </w:tcPr>
          <w:p w:rsidR="00DE3DFC" w:rsidRPr="0016581E" w:rsidRDefault="00DE3DFC" w:rsidP="00490903">
            <w:pPr>
              <w:keepNext/>
              <w:ind w:left="-108"/>
              <w:rPr>
                <w:rFonts w:ascii="Arial Narrow" w:hAnsi="Arial Narrow"/>
                <w:sz w:val="20"/>
              </w:rPr>
            </w:pPr>
            <w:r w:rsidRPr="0016581E">
              <w:rPr>
                <w:rFonts w:ascii="Arial Narrow" w:hAnsi="Arial Narrow"/>
                <w:sz w:val="20"/>
              </w:rPr>
              <w:t>Dispensed Price for Max. Qty</w:t>
            </w:r>
          </w:p>
        </w:tc>
        <w:tc>
          <w:tcPr>
            <w:tcW w:w="2835" w:type="dxa"/>
            <w:gridSpan w:val="2"/>
            <w:tcBorders>
              <w:bottom w:val="single" w:sz="4" w:space="0" w:color="auto"/>
            </w:tcBorders>
          </w:tcPr>
          <w:p w:rsidR="00DE3DFC" w:rsidRPr="0016581E" w:rsidRDefault="00DE3DFC" w:rsidP="00490903">
            <w:pPr>
              <w:keepNext/>
              <w:rPr>
                <w:rFonts w:ascii="Arial Narrow" w:hAnsi="Arial Narrow"/>
                <w:sz w:val="20"/>
              </w:rPr>
            </w:pPr>
            <w:r w:rsidRPr="0016581E">
              <w:rPr>
                <w:rFonts w:ascii="Arial Narrow" w:hAnsi="Arial Narrow"/>
                <w:sz w:val="20"/>
              </w:rPr>
              <w:t>Proprietary Name and Manufacturer</w:t>
            </w:r>
          </w:p>
        </w:tc>
      </w:tr>
      <w:tr w:rsidR="00DE3DFC" w:rsidRPr="0016581E" w:rsidTr="00490903">
        <w:trPr>
          <w:cantSplit/>
          <w:trHeight w:val="577"/>
        </w:trPr>
        <w:tc>
          <w:tcPr>
            <w:tcW w:w="3261" w:type="dxa"/>
            <w:gridSpan w:val="2"/>
          </w:tcPr>
          <w:p w:rsidR="00DE3DFC" w:rsidRPr="0016581E" w:rsidRDefault="00DE3DFC" w:rsidP="00490903">
            <w:pPr>
              <w:keepNext/>
              <w:ind w:left="-108"/>
              <w:rPr>
                <w:rFonts w:ascii="Arial Narrow" w:hAnsi="Arial Narrow"/>
                <w:sz w:val="20"/>
              </w:rPr>
            </w:pPr>
            <w:r w:rsidRPr="0016581E">
              <w:rPr>
                <w:rFonts w:ascii="Arial Narrow" w:hAnsi="Arial Narrow"/>
                <w:smallCaps/>
                <w:sz w:val="20"/>
              </w:rPr>
              <w:t>Palbociclib</w:t>
            </w:r>
          </w:p>
          <w:p w:rsidR="00DE3DFC" w:rsidRPr="0016581E" w:rsidRDefault="00DE3DFC" w:rsidP="00490903">
            <w:pPr>
              <w:keepNext/>
              <w:ind w:left="-108"/>
              <w:rPr>
                <w:rFonts w:ascii="Arial Narrow" w:hAnsi="Arial Narrow"/>
                <w:sz w:val="20"/>
              </w:rPr>
            </w:pPr>
            <w:r w:rsidRPr="0016581E">
              <w:rPr>
                <w:rFonts w:ascii="Arial Narrow" w:hAnsi="Arial Narrow"/>
                <w:sz w:val="20"/>
              </w:rPr>
              <w:t>Capsule 75 mg, 100 mg, 125 mg</w:t>
            </w:r>
          </w:p>
        </w:tc>
        <w:tc>
          <w:tcPr>
            <w:tcW w:w="567" w:type="dxa"/>
          </w:tcPr>
          <w:p w:rsidR="00DE3DFC" w:rsidRPr="0016581E" w:rsidRDefault="00DE3DFC" w:rsidP="00490903">
            <w:pPr>
              <w:keepNext/>
              <w:ind w:left="-108"/>
              <w:rPr>
                <w:rFonts w:ascii="Arial Narrow" w:hAnsi="Arial Narrow"/>
                <w:sz w:val="20"/>
              </w:rPr>
            </w:pPr>
          </w:p>
          <w:p w:rsidR="00DE3DFC" w:rsidRPr="0016581E" w:rsidRDefault="00DE3DFC" w:rsidP="00490903">
            <w:pPr>
              <w:keepNext/>
              <w:ind w:left="-108"/>
              <w:rPr>
                <w:rFonts w:ascii="Arial Narrow" w:hAnsi="Arial Narrow"/>
                <w:sz w:val="20"/>
              </w:rPr>
            </w:pPr>
            <w:r w:rsidRPr="0016581E">
              <w:rPr>
                <w:rFonts w:ascii="Arial Narrow" w:hAnsi="Arial Narrow"/>
                <w:sz w:val="20"/>
              </w:rPr>
              <w:t>21</w:t>
            </w:r>
          </w:p>
        </w:tc>
        <w:tc>
          <w:tcPr>
            <w:tcW w:w="850" w:type="dxa"/>
          </w:tcPr>
          <w:p w:rsidR="00DE3DFC" w:rsidRPr="0016581E" w:rsidRDefault="00DE3DFC" w:rsidP="00490903">
            <w:pPr>
              <w:keepNext/>
              <w:ind w:left="-108"/>
              <w:rPr>
                <w:rFonts w:ascii="Arial Narrow" w:hAnsi="Arial Narrow"/>
                <w:sz w:val="20"/>
              </w:rPr>
            </w:pPr>
          </w:p>
          <w:p w:rsidR="00DE3DFC" w:rsidRPr="0016581E" w:rsidRDefault="00DE3DFC" w:rsidP="00490903">
            <w:pPr>
              <w:keepNext/>
              <w:ind w:left="-108"/>
              <w:rPr>
                <w:rFonts w:ascii="Arial Narrow" w:hAnsi="Arial Narrow"/>
                <w:sz w:val="20"/>
              </w:rPr>
            </w:pPr>
            <w:r w:rsidRPr="0016581E">
              <w:rPr>
                <w:rFonts w:ascii="Arial Narrow" w:hAnsi="Arial Narrow"/>
                <w:sz w:val="20"/>
              </w:rPr>
              <w:t>5</w:t>
            </w:r>
          </w:p>
        </w:tc>
        <w:tc>
          <w:tcPr>
            <w:tcW w:w="1701" w:type="dxa"/>
          </w:tcPr>
          <w:p w:rsidR="00DE3DFC" w:rsidRPr="0016581E" w:rsidRDefault="00DE3DFC" w:rsidP="00490903">
            <w:pPr>
              <w:keepNext/>
              <w:ind w:left="-108"/>
              <w:rPr>
                <w:rFonts w:ascii="Arial Narrow" w:hAnsi="Arial Narrow"/>
                <w:sz w:val="20"/>
              </w:rPr>
            </w:pPr>
            <w:r w:rsidRPr="0016581E">
              <w:rPr>
                <w:rFonts w:ascii="Arial Narrow" w:hAnsi="Arial Narrow"/>
                <w:sz w:val="20"/>
              </w:rPr>
              <w:t>$</w:t>
            </w:r>
            <w:r w:rsidR="00DE0B8F">
              <w:rPr>
                <w:rFonts w:ascii="Arial Narrow" w:hAnsi="Arial Narrow"/>
                <w:noProof/>
                <w:color w:val="000000"/>
                <w:sz w:val="20"/>
                <w:highlight w:val="black"/>
              </w:rPr>
              <w:t>''''''''''''''''''''</w:t>
            </w:r>
            <w:r w:rsidRPr="0016581E">
              <w:rPr>
                <w:rFonts w:ascii="Arial Narrow" w:hAnsi="Arial Narrow"/>
                <w:sz w:val="20"/>
              </w:rPr>
              <w:t xml:space="preserve"> (effective)</w:t>
            </w:r>
          </w:p>
          <w:p w:rsidR="00DE3DFC" w:rsidRPr="0016581E" w:rsidRDefault="00DE3DFC" w:rsidP="00490903">
            <w:pPr>
              <w:keepNext/>
              <w:ind w:left="-108"/>
              <w:rPr>
                <w:rFonts w:ascii="Arial Narrow" w:hAnsi="Arial Narrow"/>
                <w:sz w:val="20"/>
              </w:rPr>
            </w:pPr>
            <w:r w:rsidRPr="0016581E">
              <w:rPr>
                <w:rFonts w:ascii="Arial Narrow" w:hAnsi="Arial Narrow"/>
                <w:sz w:val="20"/>
              </w:rPr>
              <w:t>$</w:t>
            </w:r>
            <w:r w:rsidR="00DE0B8F">
              <w:rPr>
                <w:rFonts w:ascii="Arial Narrow" w:hAnsi="Arial Narrow"/>
                <w:noProof/>
                <w:color w:val="000000"/>
                <w:sz w:val="20"/>
                <w:highlight w:val="black"/>
              </w:rPr>
              <w:t>'''''''''''''''''''</w:t>
            </w:r>
            <w:r w:rsidRPr="0016581E">
              <w:rPr>
                <w:rFonts w:ascii="Arial Narrow" w:hAnsi="Arial Narrow"/>
                <w:sz w:val="20"/>
              </w:rPr>
              <w:t xml:space="preserve"> (published)</w:t>
            </w:r>
          </w:p>
        </w:tc>
        <w:tc>
          <w:tcPr>
            <w:tcW w:w="1559" w:type="dxa"/>
          </w:tcPr>
          <w:p w:rsidR="00DE3DFC" w:rsidRPr="0016581E" w:rsidRDefault="00DE3DFC" w:rsidP="00490903">
            <w:pPr>
              <w:keepNext/>
              <w:rPr>
                <w:rFonts w:ascii="Arial Narrow" w:hAnsi="Arial Narrow"/>
                <w:sz w:val="20"/>
              </w:rPr>
            </w:pPr>
            <w:r w:rsidRPr="0016581E">
              <w:rPr>
                <w:rFonts w:ascii="Arial Narrow" w:hAnsi="Arial Narrow"/>
                <w:sz w:val="20"/>
              </w:rPr>
              <w:t>Ibrance®</w:t>
            </w:r>
          </w:p>
        </w:tc>
        <w:tc>
          <w:tcPr>
            <w:tcW w:w="1276" w:type="dxa"/>
          </w:tcPr>
          <w:p w:rsidR="00DE3DFC" w:rsidRPr="0016581E" w:rsidRDefault="00DE3DFC" w:rsidP="00490903">
            <w:pPr>
              <w:keepNext/>
              <w:rPr>
                <w:rFonts w:ascii="Arial Narrow" w:hAnsi="Arial Narrow"/>
                <w:sz w:val="20"/>
              </w:rPr>
            </w:pPr>
            <w:r w:rsidRPr="0016581E">
              <w:rPr>
                <w:rFonts w:ascii="Arial Narrow" w:hAnsi="Arial Narrow"/>
                <w:sz w:val="20"/>
              </w:rPr>
              <w:t>Pfizer Australia</w:t>
            </w:r>
          </w:p>
        </w:tc>
      </w:tr>
      <w:tr w:rsidR="00DE3DFC" w:rsidRPr="0016581E" w:rsidTr="00490903">
        <w:trPr>
          <w:cantSplit/>
          <w:trHeight w:val="360"/>
        </w:trPr>
        <w:tc>
          <w:tcPr>
            <w:tcW w:w="9214" w:type="dxa"/>
            <w:gridSpan w:val="7"/>
            <w:tcBorders>
              <w:bottom w:val="single" w:sz="4" w:space="0" w:color="auto"/>
            </w:tcBorders>
          </w:tcPr>
          <w:p w:rsidR="00DE3DFC" w:rsidRPr="0016581E" w:rsidRDefault="00DE3DFC" w:rsidP="00490903">
            <w:pPr>
              <w:rPr>
                <w:rFonts w:ascii="Arial Narrow" w:hAnsi="Arial Narrow"/>
                <w:sz w:val="20"/>
              </w:rPr>
            </w:pP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 xml:space="preserve">Category / </w:t>
            </w:r>
          </w:p>
          <w:p w:rsidR="00DE3DFC" w:rsidRPr="0016581E" w:rsidRDefault="00DE3DFC" w:rsidP="00490903">
            <w:pPr>
              <w:rPr>
                <w:rFonts w:ascii="Arial Narrow" w:hAnsi="Arial Narrow"/>
                <w:b/>
                <w:sz w:val="20"/>
              </w:rPr>
            </w:pPr>
            <w:r w:rsidRPr="0016581E">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t>GENERAL – General Schedule (Code GE)</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Check1"/>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 xml:space="preserve">Dental  </w:t>
            </w:r>
            <w:r w:rsidRPr="0016581E">
              <w:rPr>
                <w:rFonts w:ascii="Arial Narrow" w:hAnsi="Arial Narrow"/>
                <w:sz w:val="20"/>
              </w:rPr>
              <w:fldChar w:fldCharType="begin">
                <w:ffData>
                  <w:name w:val=""/>
                  <w:enabled/>
                  <w:calcOnExit w:val="0"/>
                  <w:checkBox>
                    <w:sizeAuto/>
                    <w:default w:val="1"/>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 xml:space="preserve">Medical Practitioners  </w:t>
            </w:r>
            <w:r w:rsidRPr="0016581E">
              <w:rPr>
                <w:rFonts w:ascii="Arial Narrow" w:hAnsi="Arial Narrow"/>
                <w:sz w:val="20"/>
              </w:rPr>
              <w:fldChar w:fldCharType="begin">
                <w:ffData>
                  <w:name w:val="Check3"/>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 xml:space="preserve">Nurse practitioners  </w:t>
            </w:r>
            <w:r w:rsidRPr="0016581E">
              <w:rPr>
                <w:rFonts w:ascii="Arial Narrow" w:hAnsi="Arial Narrow"/>
                <w:sz w:val="20"/>
              </w:rPr>
              <w:fldChar w:fldCharType="begin">
                <w:ffData>
                  <w:name w:val=""/>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Optometrists</w:t>
            </w:r>
          </w:p>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Check5"/>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Midwives</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trike/>
                <w:sz w:val="20"/>
              </w:rPr>
            </w:pPr>
            <w:r w:rsidRPr="0016581E">
              <w:rPr>
                <w:rFonts w:ascii="Arial Narrow" w:hAnsi="Arial Narrow"/>
                <w:strike/>
                <w:sz w:val="20"/>
              </w:rPr>
              <w:t xml:space="preserve">Advanced </w:t>
            </w:r>
            <w:r w:rsidRPr="0016581E">
              <w:rPr>
                <w:rFonts w:ascii="Arial Narrow" w:hAnsi="Arial Narrow"/>
                <w:i/>
                <w:sz w:val="20"/>
              </w:rPr>
              <w:t>Locally advanced or metastatic</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t>Breast cancer</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i/>
                <w:sz w:val="20"/>
              </w:rPr>
            </w:pPr>
            <w:r w:rsidRPr="0016581E">
              <w:rPr>
                <w:rFonts w:ascii="Arial Narrow" w:hAnsi="Arial Narrow"/>
                <w:b/>
                <w:sz w:val="20"/>
              </w:rPr>
              <w:t>PBS Indication:</w:t>
            </w:r>
          </w:p>
          <w:p w:rsidR="00DE3DFC" w:rsidRPr="0016581E" w:rsidRDefault="00DE3DFC" w:rsidP="00490903">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t xml:space="preserve">Locally advanced </w:t>
            </w:r>
            <w:r w:rsidRPr="0016581E">
              <w:rPr>
                <w:rFonts w:ascii="Arial Narrow" w:hAnsi="Arial Narrow"/>
                <w:strike/>
                <w:sz w:val="20"/>
              </w:rPr>
              <w:t>inoperable breast cancer and</w:t>
            </w:r>
            <w:r w:rsidRPr="0016581E">
              <w:rPr>
                <w:rFonts w:ascii="Arial Narrow" w:hAnsi="Arial Narrow"/>
                <w:sz w:val="20"/>
              </w:rPr>
              <w:t xml:space="preserve"> </w:t>
            </w:r>
            <w:r w:rsidRPr="0016581E">
              <w:rPr>
                <w:rFonts w:ascii="Arial Narrow" w:hAnsi="Arial Narrow"/>
                <w:i/>
                <w:sz w:val="20"/>
              </w:rPr>
              <w:t xml:space="preserve">or </w:t>
            </w:r>
            <w:r w:rsidRPr="0016581E">
              <w:rPr>
                <w:rFonts w:ascii="Arial Narrow" w:hAnsi="Arial Narrow"/>
                <w:sz w:val="20"/>
              </w:rPr>
              <w:t>metastatic breast cancer</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Restriction Level / Method:</w:t>
            </w:r>
          </w:p>
          <w:p w:rsidR="00DE3DFC" w:rsidRPr="0016581E" w:rsidRDefault="00DE3DFC" w:rsidP="00490903">
            <w:pPr>
              <w:rPr>
                <w:rFonts w:ascii="Arial Narrow" w:hAnsi="Arial Narrow"/>
                <w:i/>
                <w:sz w:val="20"/>
              </w:rPr>
            </w:pPr>
          </w:p>
          <w:p w:rsidR="00DE3DFC" w:rsidRPr="0016581E" w:rsidRDefault="00DE3DFC" w:rsidP="00490903">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Check1"/>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Restricted benefit</w:t>
            </w:r>
          </w:p>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
                  <w:enabled/>
                  <w:calcOnExit w:val="0"/>
                  <w:checkBox>
                    <w:sizeAuto/>
                    <w:default w:val="1"/>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Authority Required - In Writing</w:t>
            </w:r>
          </w:p>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Check3"/>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Authority Required - Telephone</w:t>
            </w:r>
          </w:p>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Authority Required - Emergency</w:t>
            </w:r>
          </w:p>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Check5"/>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Authority Required - Electronic</w:t>
            </w:r>
          </w:p>
          <w:p w:rsidR="00DE3DFC" w:rsidRPr="0016581E" w:rsidRDefault="00DE3DFC" w:rsidP="00490903">
            <w:pPr>
              <w:rPr>
                <w:rFonts w:ascii="Arial Narrow" w:hAnsi="Arial Narrow"/>
                <w:sz w:val="20"/>
              </w:rPr>
            </w:pPr>
            <w:r w:rsidRPr="0016581E">
              <w:rPr>
                <w:rFonts w:ascii="Arial Narrow" w:hAnsi="Arial Narrow"/>
                <w:sz w:val="20"/>
              </w:rPr>
              <w:fldChar w:fldCharType="begin">
                <w:ffData>
                  <w:name w:val="Check5"/>
                  <w:enabled/>
                  <w:calcOnExit w:val="0"/>
                  <w:checkBox>
                    <w:sizeAuto/>
                    <w:default w:val="0"/>
                  </w:checkBox>
                </w:ffData>
              </w:fldChar>
            </w:r>
            <w:r w:rsidRPr="0016581E">
              <w:rPr>
                <w:rFonts w:ascii="Arial Narrow" w:hAnsi="Arial Narrow"/>
                <w:sz w:val="20"/>
              </w:rPr>
              <w:instrText xml:space="preserve"> FORMCHECKBOX </w:instrText>
            </w:r>
            <w:r w:rsidR="00993230">
              <w:rPr>
                <w:rFonts w:ascii="Arial Narrow" w:hAnsi="Arial Narrow"/>
                <w:sz w:val="20"/>
              </w:rPr>
            </w:r>
            <w:r w:rsidR="00993230">
              <w:rPr>
                <w:rFonts w:ascii="Arial Narrow" w:hAnsi="Arial Narrow"/>
                <w:sz w:val="20"/>
              </w:rPr>
              <w:fldChar w:fldCharType="separate"/>
            </w:r>
            <w:r w:rsidRPr="0016581E">
              <w:rPr>
                <w:rFonts w:ascii="Arial Narrow" w:hAnsi="Arial Narrow"/>
                <w:sz w:val="20"/>
              </w:rPr>
              <w:fldChar w:fldCharType="end"/>
            </w:r>
            <w:r w:rsidRPr="0016581E">
              <w:rPr>
                <w:rFonts w:ascii="Arial Narrow" w:hAnsi="Arial Narrow"/>
                <w:sz w:val="20"/>
              </w:rPr>
              <w:t>Streamlined</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b/>
                <w:sz w:val="20"/>
              </w:rPr>
              <w:t>Treatment criteria:</w:t>
            </w:r>
            <w:r w:rsidRPr="0016581E">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t xml:space="preserve">The treatment must be in combination with a non-steroidal aromatase inhibitor </w:t>
            </w:r>
          </w:p>
          <w:p w:rsidR="00DE3DFC" w:rsidRPr="0016581E" w:rsidRDefault="00DE3DFC" w:rsidP="00490903">
            <w:pPr>
              <w:rPr>
                <w:rFonts w:ascii="Arial Narrow" w:hAnsi="Arial Narrow"/>
                <w:sz w:val="20"/>
              </w:rPr>
            </w:pPr>
            <w:r w:rsidRPr="0016581E">
              <w:rPr>
                <w:rFonts w:ascii="Arial Narrow" w:hAnsi="Arial Narrow"/>
                <w:sz w:val="20"/>
              </w:rPr>
              <w:t xml:space="preserve">AND </w:t>
            </w:r>
          </w:p>
          <w:p w:rsidR="00DE3DFC" w:rsidRPr="0016581E" w:rsidRDefault="00DE3DFC" w:rsidP="00490903">
            <w:pPr>
              <w:rPr>
                <w:rFonts w:ascii="Arial Narrow" w:hAnsi="Arial Narrow"/>
                <w:i/>
                <w:sz w:val="20"/>
              </w:rPr>
            </w:pPr>
            <w:r w:rsidRPr="0016581E">
              <w:rPr>
                <w:rFonts w:ascii="Arial Narrow" w:hAnsi="Arial Narrow"/>
                <w:sz w:val="20"/>
              </w:rPr>
              <w:t>The treatment must be an initial endocrine-based therapy for this condition.</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b/>
                <w:sz w:val="20"/>
              </w:rPr>
              <w:t>Clinical criteria:</w:t>
            </w:r>
            <w:r w:rsidRPr="0016581E">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t>The condition must be hormone receptor positive,</w:t>
            </w:r>
          </w:p>
          <w:p w:rsidR="00DE3DFC" w:rsidRPr="0016581E" w:rsidRDefault="00DE3DFC" w:rsidP="00490903">
            <w:pPr>
              <w:rPr>
                <w:rFonts w:ascii="Arial Narrow" w:hAnsi="Arial Narrow"/>
                <w:sz w:val="20"/>
              </w:rPr>
            </w:pPr>
            <w:r w:rsidRPr="0016581E">
              <w:rPr>
                <w:rFonts w:ascii="Arial Narrow" w:hAnsi="Arial Narrow"/>
                <w:sz w:val="20"/>
              </w:rPr>
              <w:t>AND</w:t>
            </w:r>
          </w:p>
          <w:p w:rsidR="00DE3DFC" w:rsidRPr="0016581E" w:rsidRDefault="00DE3DFC" w:rsidP="00490903">
            <w:pPr>
              <w:rPr>
                <w:rFonts w:ascii="Arial Narrow" w:hAnsi="Arial Narrow"/>
                <w:sz w:val="20"/>
              </w:rPr>
            </w:pPr>
            <w:r w:rsidRPr="0016581E">
              <w:rPr>
                <w:rFonts w:ascii="Arial Narrow" w:hAnsi="Arial Narrow"/>
                <w:sz w:val="20"/>
              </w:rPr>
              <w:t>The condition must be human epidermal growth factor receptor 2 (HER2) negative,</w:t>
            </w:r>
          </w:p>
          <w:p w:rsidR="00DE3DFC" w:rsidRPr="0016581E" w:rsidRDefault="00DE3DFC" w:rsidP="00490903">
            <w:pPr>
              <w:rPr>
                <w:rFonts w:ascii="Arial Narrow" w:hAnsi="Arial Narrow"/>
                <w:i/>
                <w:sz w:val="20"/>
              </w:rPr>
            </w:pPr>
            <w:r w:rsidRPr="0016581E">
              <w:rPr>
                <w:rFonts w:ascii="Arial Narrow" w:hAnsi="Arial Narrow"/>
                <w:i/>
                <w:sz w:val="20"/>
              </w:rPr>
              <w:t>AND</w:t>
            </w:r>
          </w:p>
          <w:p w:rsidR="00DE3DFC" w:rsidRPr="0016581E" w:rsidRDefault="00DE3DFC" w:rsidP="00490903">
            <w:pPr>
              <w:rPr>
                <w:rFonts w:ascii="Arial Narrow" w:hAnsi="Arial Narrow"/>
                <w:i/>
                <w:sz w:val="20"/>
              </w:rPr>
            </w:pPr>
            <w:r w:rsidRPr="0016581E">
              <w:rPr>
                <w:rFonts w:ascii="Arial Narrow" w:hAnsi="Arial Narrow"/>
                <w:i/>
                <w:sz w:val="20"/>
              </w:rPr>
              <w:t>The condition must be inoperable</w:t>
            </w:r>
          </w:p>
          <w:p w:rsidR="00DE3DFC" w:rsidRPr="0016581E" w:rsidRDefault="00DE3DFC" w:rsidP="00490903">
            <w:pPr>
              <w:rPr>
                <w:rFonts w:ascii="Arial Narrow" w:hAnsi="Arial Narrow"/>
                <w:sz w:val="20"/>
              </w:rPr>
            </w:pPr>
            <w:r w:rsidRPr="0016581E">
              <w:rPr>
                <w:rFonts w:ascii="Arial Narrow" w:hAnsi="Arial Narrow"/>
                <w:sz w:val="20"/>
              </w:rPr>
              <w:t>AND</w:t>
            </w:r>
          </w:p>
          <w:p w:rsidR="00DE3DFC" w:rsidRPr="0016581E" w:rsidRDefault="00DE3DFC" w:rsidP="00490903">
            <w:pPr>
              <w:rPr>
                <w:rFonts w:ascii="Arial Narrow" w:hAnsi="Arial Narrow"/>
                <w:sz w:val="20"/>
              </w:rPr>
            </w:pPr>
            <w:r w:rsidRPr="0016581E">
              <w:rPr>
                <w:rFonts w:ascii="Arial Narrow" w:hAnsi="Arial Narrow"/>
                <w:sz w:val="20"/>
              </w:rPr>
              <w:t xml:space="preserve">Patient must have a </w:t>
            </w:r>
            <w:r w:rsidRPr="0016581E">
              <w:rPr>
                <w:rFonts w:ascii="Arial Narrow" w:hAnsi="Arial Narrow"/>
                <w:strike/>
                <w:sz w:val="20"/>
              </w:rPr>
              <w:t>ECOG</w:t>
            </w:r>
            <w:r w:rsidRPr="0016581E">
              <w:rPr>
                <w:rFonts w:ascii="Arial Narrow" w:hAnsi="Arial Narrow"/>
                <w:sz w:val="20"/>
              </w:rPr>
              <w:t xml:space="preserve"> </w:t>
            </w:r>
            <w:r w:rsidRPr="0016581E">
              <w:rPr>
                <w:rFonts w:ascii="Arial Narrow" w:hAnsi="Arial Narrow"/>
                <w:i/>
                <w:sz w:val="20"/>
              </w:rPr>
              <w:t xml:space="preserve">WHO </w:t>
            </w:r>
            <w:r w:rsidRPr="0016581E">
              <w:rPr>
                <w:rFonts w:ascii="Arial Narrow" w:hAnsi="Arial Narrow"/>
                <w:sz w:val="20"/>
              </w:rPr>
              <w:t>performance status of 0 to 2</w:t>
            </w:r>
          </w:p>
          <w:p w:rsidR="00DE3DFC" w:rsidRPr="0016581E" w:rsidRDefault="00DE3DFC" w:rsidP="00490903">
            <w:pPr>
              <w:rPr>
                <w:rFonts w:ascii="Arial Narrow" w:hAnsi="Arial Narrow"/>
                <w:i/>
                <w:sz w:val="20"/>
              </w:rPr>
            </w:pPr>
            <w:r w:rsidRPr="0016581E">
              <w:rPr>
                <w:rFonts w:ascii="Arial Narrow" w:hAnsi="Arial Narrow"/>
                <w:i/>
                <w:sz w:val="20"/>
              </w:rPr>
              <w:t>AND</w:t>
            </w:r>
          </w:p>
          <w:p w:rsidR="00DE3DFC" w:rsidRPr="0016581E" w:rsidRDefault="00DE3DFC" w:rsidP="00490903">
            <w:pPr>
              <w:rPr>
                <w:rFonts w:ascii="Arial Narrow" w:hAnsi="Arial Narrow"/>
                <w:sz w:val="20"/>
              </w:rPr>
            </w:pPr>
            <w:r w:rsidRPr="0016581E">
              <w:rPr>
                <w:rFonts w:ascii="Arial Narrow" w:hAnsi="Arial Narrow"/>
                <w:i/>
                <w:sz w:val="20"/>
              </w:rPr>
              <w:t>Patient must have stable or responding disease according to the Response Evaluation Criteria In Solid Tumours (RECIST)</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b/>
                <w:sz w:val="20"/>
              </w:rPr>
              <w:t>Population criteria:</w:t>
            </w:r>
            <w:r w:rsidRPr="0016581E">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z w:val="20"/>
              </w:rPr>
            </w:pPr>
            <w:r w:rsidRPr="0016581E">
              <w:rPr>
                <w:rFonts w:ascii="Arial Narrow" w:hAnsi="Arial Narrow"/>
                <w:sz w:val="20"/>
              </w:rPr>
              <w:t>Patient must not be pre-menopausal</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t>Prescriber Instructions</w:t>
            </w:r>
          </w:p>
          <w:p w:rsidR="00DE3DFC" w:rsidRPr="0016581E" w:rsidRDefault="00DE3DFC" w:rsidP="00490903">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pStyle w:val="Default"/>
              <w:rPr>
                <w:rFonts w:ascii="Arial Narrow" w:hAnsi="Arial Narrow"/>
                <w:i/>
                <w:sz w:val="20"/>
              </w:rPr>
            </w:pPr>
            <w:r w:rsidRPr="0016581E">
              <w:rPr>
                <w:rFonts w:ascii="Arial Narrow" w:hAnsi="Arial Narrow"/>
                <w:i/>
                <w:sz w:val="20"/>
              </w:rPr>
              <w:t>A patient who has progressive disease when treated with this drug is no longer eligible for PBS-subsidised treatment with this drug</w:t>
            </w:r>
          </w:p>
          <w:p w:rsidR="00DE3DFC" w:rsidRPr="0016581E" w:rsidRDefault="00DE3DFC" w:rsidP="00490903">
            <w:pPr>
              <w:pStyle w:val="Default"/>
              <w:rPr>
                <w:rFonts w:ascii="Arial Narrow" w:hAnsi="Arial Narrow"/>
                <w:i/>
                <w:sz w:val="20"/>
                <w:szCs w:val="20"/>
              </w:rPr>
            </w:pPr>
          </w:p>
          <w:p w:rsidR="00DE3DFC" w:rsidRPr="0016581E" w:rsidRDefault="00DE3DFC" w:rsidP="00490903">
            <w:pPr>
              <w:pStyle w:val="Default"/>
              <w:rPr>
                <w:rFonts w:ascii="Arial Narrow" w:hAnsi="Arial Narrow"/>
                <w:sz w:val="20"/>
                <w:szCs w:val="20"/>
              </w:rPr>
            </w:pPr>
            <w:r w:rsidRPr="0016581E">
              <w:rPr>
                <w:rFonts w:ascii="Arial Narrow" w:hAnsi="Arial Narrow"/>
                <w:sz w:val="20"/>
                <w:szCs w:val="20"/>
              </w:rPr>
              <w:t xml:space="preserve">Authority applications for initial treatment must be made in writing and must include: </w:t>
            </w:r>
          </w:p>
          <w:p w:rsidR="00DE3DFC" w:rsidRPr="0016581E" w:rsidRDefault="00DE3DFC" w:rsidP="00490903">
            <w:pPr>
              <w:pStyle w:val="Default"/>
              <w:rPr>
                <w:rFonts w:ascii="Arial Narrow" w:hAnsi="Arial Narrow"/>
                <w:sz w:val="20"/>
                <w:szCs w:val="20"/>
              </w:rPr>
            </w:pPr>
            <w:r w:rsidRPr="0016581E">
              <w:rPr>
                <w:rFonts w:ascii="Arial Narrow" w:hAnsi="Arial Narrow"/>
                <w:sz w:val="20"/>
                <w:szCs w:val="20"/>
              </w:rPr>
              <w:t xml:space="preserve">(a) a completed authority prescription form; and </w:t>
            </w:r>
          </w:p>
          <w:p w:rsidR="00DE3DFC" w:rsidRPr="0016581E" w:rsidRDefault="00DE3DFC" w:rsidP="00490903">
            <w:pPr>
              <w:pStyle w:val="Default"/>
              <w:rPr>
                <w:rFonts w:ascii="Arial Narrow" w:hAnsi="Arial Narrow"/>
                <w:sz w:val="20"/>
                <w:szCs w:val="20"/>
              </w:rPr>
            </w:pPr>
            <w:r w:rsidRPr="0016581E">
              <w:rPr>
                <w:rFonts w:ascii="Arial Narrow" w:hAnsi="Arial Narrow"/>
                <w:sz w:val="20"/>
                <w:szCs w:val="20"/>
              </w:rPr>
              <w:t xml:space="preserve">(b) a completed [TBA] - PBS Supporting Information Form which includes: </w:t>
            </w:r>
          </w:p>
          <w:p w:rsidR="00DE3DFC" w:rsidRPr="0016581E" w:rsidRDefault="00DE3DFC" w:rsidP="00490903">
            <w:pPr>
              <w:pStyle w:val="Default"/>
              <w:rPr>
                <w:rFonts w:ascii="Arial Narrow" w:hAnsi="Arial Narrow"/>
                <w:sz w:val="20"/>
                <w:szCs w:val="20"/>
              </w:rPr>
            </w:pPr>
            <w:r w:rsidRPr="0016581E">
              <w:rPr>
                <w:rFonts w:ascii="Arial Narrow" w:hAnsi="Arial Narrow"/>
                <w:sz w:val="20"/>
                <w:szCs w:val="20"/>
              </w:rPr>
              <w:t xml:space="preserve">(i) a copy of the pathology reports from an Approved Pathology Authority confirming the presence of hormone receptor and lack of presence of HER2 gene amplification by in situ hybridisation (ISH); and </w:t>
            </w:r>
          </w:p>
          <w:p w:rsidR="00DE3DFC" w:rsidRPr="0016581E" w:rsidRDefault="00DE3DFC" w:rsidP="00490903">
            <w:pPr>
              <w:rPr>
                <w:rFonts w:ascii="Arial Narrow" w:hAnsi="Arial Narrow"/>
                <w:sz w:val="20"/>
              </w:rPr>
            </w:pPr>
            <w:r w:rsidRPr="0016581E">
              <w:rPr>
                <w:rFonts w:ascii="Arial Narrow" w:hAnsi="Arial Narrow"/>
                <w:sz w:val="20"/>
              </w:rPr>
              <w:t xml:space="preserve">(ii) </w:t>
            </w:r>
            <w:proofErr w:type="gramStart"/>
            <w:r w:rsidRPr="0016581E">
              <w:rPr>
                <w:rFonts w:ascii="Arial Narrow" w:hAnsi="Arial Narrow"/>
                <w:sz w:val="20"/>
              </w:rPr>
              <w:t>a</w:t>
            </w:r>
            <w:proofErr w:type="gramEnd"/>
            <w:r w:rsidRPr="0016581E">
              <w:rPr>
                <w:rFonts w:ascii="Arial Narrow" w:hAnsi="Arial Narrow"/>
                <w:sz w:val="20"/>
              </w:rPr>
              <w:t xml:space="preserve"> copy of the signed patient acknowledgement form.</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b/>
                <w:sz w:val="20"/>
              </w:rPr>
            </w:pPr>
            <w:r w:rsidRPr="0016581E">
              <w:rPr>
                <w:rFonts w:ascii="Arial Narrow" w:hAnsi="Arial Narrow"/>
                <w:b/>
                <w:sz w:val="20"/>
              </w:rPr>
              <w:lastRenderedPageBreak/>
              <w:t>Administrative Advice</w:t>
            </w:r>
          </w:p>
          <w:p w:rsidR="00DE3DFC" w:rsidRPr="0016581E" w:rsidRDefault="00DE3DFC" w:rsidP="00490903">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pStyle w:val="TableLeft"/>
              <w:rPr>
                <w:i/>
                <w:u w:val="single"/>
              </w:rPr>
            </w:pPr>
            <w:r w:rsidRPr="0016581E">
              <w:rPr>
                <w:i/>
              </w:rPr>
              <w:t xml:space="preserve">Response Evaluation Criteria In Solid Tumours (RECIST) is defined as follows: </w:t>
            </w:r>
          </w:p>
          <w:p w:rsidR="00DE3DFC" w:rsidRPr="0016581E" w:rsidRDefault="00DE3DFC" w:rsidP="00490903">
            <w:pPr>
              <w:rPr>
                <w:rFonts w:ascii="Arial Narrow" w:hAnsi="Arial Narrow"/>
                <w:i/>
                <w:sz w:val="20"/>
              </w:rPr>
            </w:pPr>
            <w:r w:rsidRPr="0016581E">
              <w:rPr>
                <w:rFonts w:ascii="Arial Narrow" w:hAnsi="Arial Narrow"/>
                <w:i/>
                <w:sz w:val="20"/>
              </w:rPr>
              <w:t xml:space="preserve">Complete response (CR) is disappearance of all target lesions. </w:t>
            </w:r>
          </w:p>
          <w:p w:rsidR="00DE3DFC" w:rsidRPr="0016581E" w:rsidRDefault="00DE3DFC" w:rsidP="00490903">
            <w:pPr>
              <w:rPr>
                <w:rFonts w:ascii="Arial Narrow" w:hAnsi="Arial Narrow"/>
                <w:i/>
                <w:sz w:val="20"/>
              </w:rPr>
            </w:pPr>
            <w:r w:rsidRPr="0016581E">
              <w:rPr>
                <w:rFonts w:ascii="Arial Narrow" w:hAnsi="Arial Narrow"/>
                <w:i/>
                <w:sz w:val="20"/>
              </w:rPr>
              <w:t xml:space="preserve">Partial response (PR) is a 30% decrease in the sum of the longest diameter of target lesions. </w:t>
            </w:r>
          </w:p>
          <w:p w:rsidR="00DE3DFC" w:rsidRPr="0016581E" w:rsidRDefault="00DE3DFC" w:rsidP="00490903">
            <w:pPr>
              <w:rPr>
                <w:rFonts w:ascii="Arial Narrow" w:hAnsi="Arial Narrow"/>
                <w:i/>
                <w:sz w:val="20"/>
              </w:rPr>
            </w:pPr>
            <w:r w:rsidRPr="0016581E">
              <w:rPr>
                <w:rFonts w:ascii="Arial Narrow" w:hAnsi="Arial Narrow"/>
                <w:i/>
                <w:sz w:val="20"/>
              </w:rPr>
              <w:t>Progressive disease (PD) is a 20% increase in the sum of the longest diameter of target lesions.</w:t>
            </w:r>
          </w:p>
          <w:p w:rsidR="00DE3DFC" w:rsidRPr="0016581E" w:rsidRDefault="00DE3DFC" w:rsidP="00490903">
            <w:pPr>
              <w:rPr>
                <w:rFonts w:ascii="Arial Narrow" w:hAnsi="Arial Narrow"/>
                <w:i/>
                <w:sz w:val="20"/>
              </w:rPr>
            </w:pPr>
            <w:r w:rsidRPr="0016581E">
              <w:rPr>
                <w:rFonts w:ascii="Arial Narrow" w:hAnsi="Arial Narrow"/>
                <w:i/>
                <w:sz w:val="20"/>
              </w:rPr>
              <w:t>Stable disease (SD) is small changes that do not meet above criteria.</w:t>
            </w:r>
          </w:p>
          <w:p w:rsidR="00DE3DFC" w:rsidRPr="0016581E" w:rsidRDefault="00DE3DFC" w:rsidP="00490903">
            <w:pPr>
              <w:rPr>
                <w:rFonts w:ascii="Arial Narrow" w:hAnsi="Arial Narrow"/>
                <w:sz w:val="20"/>
              </w:rPr>
            </w:pPr>
          </w:p>
          <w:p w:rsidR="00DE3DFC" w:rsidRPr="0016581E" w:rsidRDefault="00DE3DFC" w:rsidP="00490903">
            <w:pPr>
              <w:rPr>
                <w:rFonts w:ascii="Arial Narrow" w:hAnsi="Arial Narrow"/>
                <w:sz w:val="20"/>
              </w:rPr>
            </w:pPr>
            <w:r w:rsidRPr="0016581E">
              <w:rPr>
                <w:rFonts w:ascii="Arial Narrow" w:hAnsi="Arial Narrow"/>
                <w:sz w:val="20"/>
              </w:rPr>
              <w:t>No applications for increased maximum quantities will be authorised.</w:t>
            </w:r>
          </w:p>
          <w:p w:rsidR="00DE3DFC" w:rsidRPr="0016581E" w:rsidRDefault="00DE3DFC" w:rsidP="00490903">
            <w:pPr>
              <w:rPr>
                <w:rFonts w:ascii="Arial Narrow" w:hAnsi="Arial Narrow"/>
                <w:sz w:val="20"/>
              </w:rPr>
            </w:pPr>
          </w:p>
          <w:p w:rsidR="00DE3DFC" w:rsidRPr="0016581E" w:rsidRDefault="00DE3DFC" w:rsidP="00490903">
            <w:pPr>
              <w:rPr>
                <w:rFonts w:ascii="Arial Narrow" w:hAnsi="Arial Narrow"/>
                <w:sz w:val="20"/>
              </w:rPr>
            </w:pPr>
            <w:r w:rsidRPr="0016581E">
              <w:rPr>
                <w:rFonts w:ascii="Arial Narrow" w:hAnsi="Arial Narrow"/>
                <w:sz w:val="20"/>
              </w:rPr>
              <w:t>No applications for increased repeats will be authorised.</w:t>
            </w:r>
          </w:p>
          <w:p w:rsidR="00DE3DFC" w:rsidRPr="0016581E" w:rsidRDefault="00DE3DFC" w:rsidP="00490903">
            <w:pPr>
              <w:rPr>
                <w:rFonts w:ascii="Arial Narrow" w:hAnsi="Arial Narrow"/>
                <w:sz w:val="20"/>
              </w:rPr>
            </w:pPr>
          </w:p>
          <w:p w:rsidR="00DE3DFC" w:rsidRPr="0016581E" w:rsidRDefault="00DE3DFC" w:rsidP="00490903">
            <w:pPr>
              <w:rPr>
                <w:rFonts w:ascii="Arial Narrow" w:hAnsi="Arial Narrow"/>
                <w:sz w:val="20"/>
              </w:rPr>
            </w:pPr>
            <w:r w:rsidRPr="0016581E">
              <w:rPr>
                <w:rFonts w:ascii="Arial Narrow" w:hAnsi="Arial Narrow"/>
                <w:sz w:val="20"/>
              </w:rPr>
              <w:t>Special Pricing Arrangements apply.</w:t>
            </w:r>
          </w:p>
          <w:p w:rsidR="00DE3DFC" w:rsidRPr="0016581E" w:rsidRDefault="00DE3DFC" w:rsidP="00490903">
            <w:pPr>
              <w:rPr>
                <w:rFonts w:ascii="Arial Narrow" w:hAnsi="Arial Narrow"/>
                <w:sz w:val="20"/>
              </w:rPr>
            </w:pPr>
          </w:p>
          <w:p w:rsidR="00DE3DFC" w:rsidRPr="0016581E" w:rsidRDefault="00DE3DFC" w:rsidP="00490903">
            <w:pPr>
              <w:rPr>
                <w:rFonts w:ascii="Arial Narrow" w:hAnsi="Arial Narrow"/>
                <w:sz w:val="20"/>
              </w:rPr>
            </w:pPr>
            <w:r w:rsidRPr="0016581E">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DE3DFC" w:rsidRPr="0016581E" w:rsidRDefault="00DE3DFC" w:rsidP="00490903">
            <w:pPr>
              <w:rPr>
                <w:rFonts w:ascii="Arial Narrow" w:hAnsi="Arial Narrow"/>
                <w:sz w:val="20"/>
              </w:rPr>
            </w:pPr>
          </w:p>
          <w:p w:rsidR="00DE3DFC" w:rsidRPr="0016581E" w:rsidRDefault="00DE3DFC" w:rsidP="00490903">
            <w:pPr>
              <w:rPr>
                <w:rFonts w:ascii="Arial Narrow" w:hAnsi="Arial Narrow"/>
                <w:sz w:val="20"/>
              </w:rPr>
            </w:pPr>
            <w:r w:rsidRPr="0016581E">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DE3DFC" w:rsidRPr="0016581E" w:rsidRDefault="00DE3DFC" w:rsidP="00490903">
            <w:pPr>
              <w:rPr>
                <w:rFonts w:ascii="Arial Narrow" w:hAnsi="Arial Narrow"/>
                <w:sz w:val="20"/>
              </w:rPr>
            </w:pPr>
          </w:p>
          <w:p w:rsidR="00DE3DFC" w:rsidRPr="0016581E" w:rsidRDefault="00DE3DFC" w:rsidP="00490903">
            <w:pPr>
              <w:rPr>
                <w:rFonts w:ascii="Arial Narrow" w:hAnsi="Arial Narrow"/>
                <w:sz w:val="20"/>
              </w:rPr>
            </w:pPr>
            <w:r w:rsidRPr="0016581E">
              <w:rPr>
                <w:rFonts w:ascii="Arial Narrow" w:hAnsi="Arial Narrow"/>
                <w:sz w:val="20"/>
              </w:rPr>
              <w:t xml:space="preserve">Applications for authority to prescribe should be forwarded to: </w:t>
            </w:r>
          </w:p>
          <w:p w:rsidR="00DE3DFC" w:rsidRPr="0016581E" w:rsidRDefault="00DE3DFC" w:rsidP="00490903">
            <w:pPr>
              <w:rPr>
                <w:rFonts w:ascii="Arial Narrow" w:hAnsi="Arial Narrow"/>
                <w:sz w:val="20"/>
              </w:rPr>
            </w:pPr>
            <w:r w:rsidRPr="0016581E">
              <w:rPr>
                <w:rFonts w:ascii="Arial Narrow" w:hAnsi="Arial Narrow"/>
                <w:sz w:val="20"/>
              </w:rPr>
              <w:t>Department of Human Services</w:t>
            </w:r>
          </w:p>
          <w:p w:rsidR="00DE3DFC" w:rsidRPr="0016581E" w:rsidRDefault="00DE3DFC" w:rsidP="00490903">
            <w:pPr>
              <w:rPr>
                <w:rFonts w:ascii="Arial Narrow" w:hAnsi="Arial Narrow"/>
                <w:sz w:val="20"/>
              </w:rPr>
            </w:pPr>
            <w:r w:rsidRPr="0016581E">
              <w:rPr>
                <w:rFonts w:ascii="Arial Narrow" w:hAnsi="Arial Narrow"/>
                <w:sz w:val="20"/>
              </w:rPr>
              <w:t xml:space="preserve">Complex Drugs </w:t>
            </w:r>
          </w:p>
          <w:p w:rsidR="00DE3DFC" w:rsidRPr="0016581E" w:rsidRDefault="00DE3DFC" w:rsidP="00490903">
            <w:pPr>
              <w:rPr>
                <w:rFonts w:ascii="Arial Narrow" w:hAnsi="Arial Narrow"/>
                <w:sz w:val="20"/>
              </w:rPr>
            </w:pPr>
            <w:r w:rsidRPr="0016581E">
              <w:rPr>
                <w:rFonts w:ascii="Arial Narrow" w:hAnsi="Arial Narrow"/>
                <w:sz w:val="20"/>
              </w:rPr>
              <w:t xml:space="preserve">Reply Paid 9826 </w:t>
            </w:r>
          </w:p>
          <w:p w:rsidR="00DE3DFC" w:rsidRPr="0016581E" w:rsidRDefault="00DE3DFC" w:rsidP="00490903">
            <w:pPr>
              <w:rPr>
                <w:rFonts w:ascii="Arial Narrow" w:hAnsi="Arial Narrow"/>
                <w:sz w:val="20"/>
              </w:rPr>
            </w:pPr>
            <w:r w:rsidRPr="0016581E">
              <w:rPr>
                <w:rFonts w:ascii="Arial Narrow" w:hAnsi="Arial Narrow"/>
                <w:sz w:val="20"/>
              </w:rPr>
              <w:t>HOBART TAS 7001</w:t>
            </w:r>
          </w:p>
        </w:tc>
      </w:tr>
      <w:tr w:rsidR="00DE3DFC" w:rsidRPr="0016581E" w:rsidTr="0049090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i/>
                <w:strike/>
                <w:sz w:val="20"/>
              </w:rPr>
            </w:pPr>
            <w:r w:rsidRPr="0016581E">
              <w:rPr>
                <w:rFonts w:ascii="Arial Narrow" w:hAnsi="Arial Narrow"/>
                <w:b/>
                <w:strike/>
                <w:sz w:val="20"/>
              </w:rPr>
              <w:t>Note</w:t>
            </w:r>
          </w:p>
          <w:p w:rsidR="00DE3DFC" w:rsidRPr="0016581E" w:rsidRDefault="00DE3DFC" w:rsidP="00490903">
            <w:pPr>
              <w:rPr>
                <w:rFonts w:ascii="Arial Narrow" w:hAnsi="Arial Narrow"/>
                <w:i/>
                <w:strike/>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DE3DFC" w:rsidRPr="0016581E" w:rsidRDefault="00DE3DFC" w:rsidP="00490903">
            <w:pPr>
              <w:rPr>
                <w:rFonts w:ascii="Arial Narrow" w:hAnsi="Arial Narrow"/>
                <w:strike/>
                <w:sz w:val="20"/>
              </w:rPr>
            </w:pPr>
            <w:r w:rsidRPr="0016581E">
              <w:rPr>
                <w:rFonts w:ascii="Arial Narrow" w:hAnsi="Arial Narrow"/>
                <w:strike/>
                <w:sz w:val="20"/>
              </w:rPr>
              <w:t>A patient who has progressive disease when treated with this drug is no longer eligible for PBS-subsidised treatment with this drug</w:t>
            </w:r>
          </w:p>
        </w:tc>
      </w:tr>
    </w:tbl>
    <w:p w:rsidR="0032077E" w:rsidRDefault="004E23FC"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The recommended dose regimen for palbociclib is a 125 mg capsule taken orally once daily for 21 consecutive days followed by 7 days off treatment to comprise a complete cycle of 28 days.</w:t>
      </w:r>
    </w:p>
    <w:p w:rsidR="0032077E" w:rsidRDefault="004E23FC"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The re-submission included a note within the PBS restriction that patients whose disease progressed on palbociclib would no longer be eligible for PBS-subsidised palbociclib. This is changed from the previous submission</w:t>
      </w:r>
      <w:r w:rsidR="00411A82" w:rsidRPr="0032077E">
        <w:rPr>
          <w:rFonts w:asciiTheme="minorHAnsi" w:hAnsiTheme="minorHAnsi" w:cstheme="minorHAnsi"/>
          <w:sz w:val="24"/>
          <w:szCs w:val="24"/>
        </w:rPr>
        <w:t>,</w:t>
      </w:r>
      <w:r w:rsidR="009D3EE0" w:rsidRPr="0032077E">
        <w:rPr>
          <w:rFonts w:asciiTheme="minorHAnsi" w:hAnsiTheme="minorHAnsi" w:cstheme="minorHAnsi"/>
          <w:sz w:val="24"/>
          <w:szCs w:val="24"/>
        </w:rPr>
        <w:t xml:space="preserve"> </w:t>
      </w:r>
      <w:r w:rsidR="00411A82" w:rsidRPr="0032077E">
        <w:rPr>
          <w:rFonts w:asciiTheme="minorHAnsi" w:hAnsiTheme="minorHAnsi" w:cstheme="minorHAnsi"/>
          <w:sz w:val="24"/>
          <w:szCs w:val="24"/>
        </w:rPr>
        <w:t>in line with the PBAC’s previous consideration</w:t>
      </w:r>
      <w:r w:rsidRPr="0032077E">
        <w:rPr>
          <w:rFonts w:asciiTheme="minorHAnsi" w:hAnsiTheme="minorHAnsi" w:cstheme="minorHAnsi"/>
          <w:sz w:val="24"/>
          <w:szCs w:val="24"/>
        </w:rPr>
        <w:t>.</w:t>
      </w:r>
      <w:r w:rsidR="0069645C" w:rsidRPr="0032077E">
        <w:rPr>
          <w:rFonts w:asciiTheme="minorHAnsi" w:hAnsiTheme="minorHAnsi" w:cstheme="minorHAnsi"/>
          <w:sz w:val="24"/>
          <w:szCs w:val="24"/>
        </w:rPr>
        <w:t xml:space="preserve"> </w:t>
      </w:r>
      <w:r w:rsidR="0016581E" w:rsidRPr="0032077E">
        <w:rPr>
          <w:rFonts w:asciiTheme="minorHAnsi" w:hAnsiTheme="minorHAnsi" w:cstheme="minorHAnsi"/>
          <w:sz w:val="24"/>
          <w:szCs w:val="24"/>
        </w:rPr>
        <w:t>However,</w:t>
      </w:r>
      <w:r w:rsidR="0069645C" w:rsidRPr="0032077E">
        <w:rPr>
          <w:rFonts w:asciiTheme="minorHAnsi" w:hAnsiTheme="minorHAnsi" w:cstheme="minorHAnsi"/>
          <w:sz w:val="24"/>
          <w:szCs w:val="24"/>
        </w:rPr>
        <w:t xml:space="preserve"> there is a risk of treatment with palbociclib continuing post-progression even with a restriction specifying conditions relating to ceasing treatment (</w:t>
      </w:r>
      <w:r w:rsidR="00416EEF">
        <w:rPr>
          <w:rFonts w:asciiTheme="minorHAnsi" w:hAnsiTheme="minorHAnsi" w:cstheme="minorHAnsi"/>
          <w:sz w:val="24"/>
          <w:szCs w:val="24"/>
        </w:rPr>
        <w:t>Public Summary Document (PSD)</w:t>
      </w:r>
      <w:r w:rsidR="0069645C" w:rsidRPr="0032077E">
        <w:rPr>
          <w:rFonts w:asciiTheme="minorHAnsi" w:hAnsiTheme="minorHAnsi" w:cstheme="minorHAnsi"/>
          <w:sz w:val="24"/>
          <w:szCs w:val="24"/>
        </w:rPr>
        <w:t>, March 2017, item 7.4 and 7.14).</w:t>
      </w:r>
    </w:p>
    <w:p w:rsidR="0032077E" w:rsidRDefault="004E23FC"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 xml:space="preserve">The re-submission included a restriction relating to </w:t>
      </w:r>
      <w:r w:rsidR="00E67C4F" w:rsidRPr="0032077E">
        <w:rPr>
          <w:rFonts w:asciiTheme="minorHAnsi" w:hAnsiTheme="minorHAnsi" w:cstheme="minorHAnsi"/>
          <w:sz w:val="24"/>
          <w:szCs w:val="24"/>
        </w:rPr>
        <w:t xml:space="preserve">World Health Organisation (WHO) Eastern Cooperative Oncology Group (ECOG) </w:t>
      </w:r>
      <w:r w:rsidRPr="0032077E">
        <w:rPr>
          <w:rFonts w:asciiTheme="minorHAnsi" w:hAnsiTheme="minorHAnsi" w:cstheme="minorHAnsi"/>
          <w:sz w:val="24"/>
          <w:szCs w:val="24"/>
        </w:rPr>
        <w:t>status. This is changed from the previous submission</w:t>
      </w:r>
      <w:r w:rsidR="00411A82" w:rsidRPr="0032077E">
        <w:rPr>
          <w:rFonts w:asciiTheme="minorHAnsi" w:hAnsiTheme="minorHAnsi" w:cstheme="minorHAnsi"/>
          <w:sz w:val="24"/>
          <w:szCs w:val="24"/>
        </w:rPr>
        <w:t>, in line with the PBAC’s previous consideration</w:t>
      </w:r>
      <w:r w:rsidR="00FB5EF3" w:rsidRPr="0032077E">
        <w:rPr>
          <w:rFonts w:asciiTheme="minorHAnsi" w:hAnsiTheme="minorHAnsi" w:cstheme="minorHAnsi"/>
          <w:sz w:val="24"/>
          <w:szCs w:val="24"/>
        </w:rPr>
        <w:t xml:space="preserve"> (</w:t>
      </w:r>
      <w:r w:rsidR="00416EEF">
        <w:rPr>
          <w:rFonts w:asciiTheme="minorHAnsi" w:hAnsiTheme="minorHAnsi" w:cstheme="minorHAnsi"/>
          <w:sz w:val="24"/>
          <w:szCs w:val="24"/>
        </w:rPr>
        <w:t>PSD</w:t>
      </w:r>
      <w:r w:rsidR="00FB5EF3" w:rsidRPr="0032077E">
        <w:rPr>
          <w:rFonts w:asciiTheme="minorHAnsi" w:hAnsiTheme="minorHAnsi" w:cstheme="minorHAnsi"/>
          <w:sz w:val="24"/>
          <w:szCs w:val="24"/>
        </w:rPr>
        <w:t>, March 2017, item 7.4).</w:t>
      </w:r>
    </w:p>
    <w:p w:rsidR="0032077E" w:rsidRDefault="00622A4C"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 xml:space="preserve">The re-submission </w:t>
      </w:r>
      <w:r w:rsidR="00981A0B" w:rsidRPr="0032077E">
        <w:rPr>
          <w:rFonts w:asciiTheme="minorHAnsi" w:hAnsiTheme="minorHAnsi" w:cstheme="minorHAnsi"/>
          <w:sz w:val="24"/>
          <w:szCs w:val="24"/>
        </w:rPr>
        <w:t xml:space="preserve">again </w:t>
      </w:r>
      <w:r w:rsidRPr="0032077E">
        <w:rPr>
          <w:rFonts w:asciiTheme="minorHAnsi" w:hAnsiTheme="minorHAnsi" w:cstheme="minorHAnsi"/>
          <w:sz w:val="24"/>
          <w:szCs w:val="24"/>
        </w:rPr>
        <w:t xml:space="preserve">requested that the PBAC consider whether patients who are currently well managed with a NSAI (letrozole or anastrozole) should also be able to access the addition of palbociclib to their NSAI regimen at the time of PBS-listing </w:t>
      </w:r>
      <w:r w:rsidR="0032077E">
        <w:rPr>
          <w:rFonts w:asciiTheme="minorHAnsi" w:hAnsiTheme="minorHAnsi" w:cstheme="minorHAnsi"/>
          <w:sz w:val="24"/>
          <w:szCs w:val="24"/>
        </w:rPr>
        <w:t>(a prevalent pool of patients).</w:t>
      </w:r>
    </w:p>
    <w:p w:rsidR="0032077E" w:rsidRDefault="00B14B95"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 xml:space="preserve">The re-submission (and reiterated in the </w:t>
      </w:r>
      <w:r w:rsidR="00FF3709" w:rsidRPr="0032077E">
        <w:rPr>
          <w:rFonts w:asciiTheme="minorHAnsi" w:hAnsiTheme="minorHAnsi" w:cstheme="minorHAnsi"/>
          <w:sz w:val="24"/>
          <w:szCs w:val="24"/>
        </w:rPr>
        <w:t>Pre-Sub-Committee-Response (</w:t>
      </w:r>
      <w:r w:rsidRPr="0032077E">
        <w:rPr>
          <w:rFonts w:asciiTheme="minorHAnsi" w:hAnsiTheme="minorHAnsi" w:cstheme="minorHAnsi"/>
          <w:sz w:val="24"/>
          <w:szCs w:val="24"/>
        </w:rPr>
        <w:t>PSCR</w:t>
      </w:r>
      <w:r w:rsidR="00FF3709" w:rsidRPr="0032077E">
        <w:rPr>
          <w:rFonts w:asciiTheme="minorHAnsi" w:hAnsiTheme="minorHAnsi" w:cstheme="minorHAnsi"/>
          <w:sz w:val="24"/>
          <w:szCs w:val="24"/>
        </w:rPr>
        <w:t>)</w:t>
      </w:r>
      <w:r w:rsidRPr="0032077E">
        <w:rPr>
          <w:rFonts w:asciiTheme="minorHAnsi" w:hAnsiTheme="minorHAnsi" w:cstheme="minorHAnsi"/>
          <w:sz w:val="24"/>
          <w:szCs w:val="24"/>
        </w:rPr>
        <w:t xml:space="preserve">, p3) requested that patients who are being treated with palbociclib prior to PBS-listing be </w:t>
      </w:r>
      <w:r w:rsidRPr="0032077E">
        <w:rPr>
          <w:rFonts w:asciiTheme="minorHAnsi" w:hAnsiTheme="minorHAnsi" w:cstheme="minorHAnsi"/>
          <w:sz w:val="24"/>
          <w:szCs w:val="24"/>
        </w:rPr>
        <w:lastRenderedPageBreak/>
        <w:t xml:space="preserve">grandfathered to receive PBS-subsidised treatment with this drug. </w:t>
      </w:r>
      <w:r w:rsidR="005C31FB" w:rsidRPr="0032077E">
        <w:rPr>
          <w:rFonts w:asciiTheme="minorHAnsi" w:hAnsiTheme="minorHAnsi" w:cstheme="minorHAnsi"/>
          <w:sz w:val="24"/>
          <w:szCs w:val="24"/>
        </w:rPr>
        <w:t xml:space="preserve">The re-submission stated that 500 patients would likely be eligible for grandfathering in Year 1. </w:t>
      </w:r>
      <w:r w:rsidRPr="0032077E">
        <w:rPr>
          <w:rFonts w:asciiTheme="minorHAnsi" w:hAnsiTheme="minorHAnsi" w:cstheme="minorHAnsi"/>
          <w:sz w:val="24"/>
          <w:szCs w:val="24"/>
        </w:rPr>
        <w:t xml:space="preserve">The re-submission did not propose the text for a Grandfather restriction, </w:t>
      </w:r>
      <w:r w:rsidR="0002421F" w:rsidRPr="0032077E">
        <w:rPr>
          <w:rFonts w:asciiTheme="minorHAnsi" w:hAnsiTheme="minorHAnsi" w:cstheme="minorHAnsi"/>
          <w:sz w:val="24"/>
          <w:szCs w:val="24"/>
        </w:rPr>
        <w:t>nor discuss why these</w:t>
      </w:r>
      <w:r w:rsidRPr="0032077E">
        <w:rPr>
          <w:rFonts w:asciiTheme="minorHAnsi" w:hAnsiTheme="minorHAnsi" w:cstheme="minorHAnsi"/>
          <w:sz w:val="24"/>
          <w:szCs w:val="24"/>
        </w:rPr>
        <w:t xml:space="preserve"> patients would be unable to access treatment with the proposed restrictions.</w:t>
      </w:r>
      <w:r w:rsidR="004C70AD" w:rsidRPr="0032077E">
        <w:rPr>
          <w:rFonts w:asciiTheme="minorHAnsi" w:hAnsiTheme="minorHAnsi" w:cstheme="minorHAnsi"/>
          <w:sz w:val="24"/>
          <w:szCs w:val="24"/>
        </w:rPr>
        <w:t xml:space="preserve"> </w:t>
      </w:r>
      <w:r w:rsidR="00D23904" w:rsidRPr="0032077E">
        <w:rPr>
          <w:rFonts w:asciiTheme="minorHAnsi" w:hAnsiTheme="minorHAnsi" w:cstheme="minorHAnsi"/>
          <w:sz w:val="24"/>
          <w:szCs w:val="24"/>
        </w:rPr>
        <w:t>The pre-PBAC response stated that in Australia, the sponsor has included more than 250 advanced breast cancer patients in clinical trials of palbociclib and is currently recruiting up to 300 patients in clinical trials of palbociclib for other forms of breast cancer</w:t>
      </w:r>
      <w:r w:rsidR="00FA23FE" w:rsidRPr="0032077E">
        <w:rPr>
          <w:rFonts w:asciiTheme="minorHAnsi" w:hAnsiTheme="minorHAnsi" w:cstheme="minorHAnsi"/>
          <w:sz w:val="24"/>
          <w:szCs w:val="24"/>
        </w:rPr>
        <w:t>.</w:t>
      </w:r>
    </w:p>
    <w:p w:rsidR="0032077E" w:rsidRDefault="00FF7E2B"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 xml:space="preserve">The re-submission proposed an effective price for </w:t>
      </w:r>
      <w:r w:rsidR="0016581E" w:rsidRPr="0032077E">
        <w:rPr>
          <w:rFonts w:asciiTheme="minorHAnsi" w:hAnsiTheme="minorHAnsi" w:cstheme="minorHAnsi"/>
          <w:sz w:val="24"/>
          <w:szCs w:val="24"/>
        </w:rPr>
        <w:t>palbociclib that</w:t>
      </w:r>
      <w:r w:rsidRPr="0032077E">
        <w:rPr>
          <w:rFonts w:asciiTheme="minorHAnsi" w:hAnsiTheme="minorHAnsi" w:cstheme="minorHAnsi"/>
          <w:sz w:val="24"/>
          <w:szCs w:val="24"/>
        </w:rPr>
        <w:t xml:space="preserve"> is </w:t>
      </w:r>
      <w:r w:rsidR="00DE0B8F">
        <w:rPr>
          <w:rFonts w:asciiTheme="minorHAnsi" w:hAnsiTheme="minorHAnsi" w:cstheme="minorHAnsi"/>
          <w:noProof/>
          <w:color w:val="000000"/>
          <w:sz w:val="24"/>
          <w:szCs w:val="24"/>
          <w:highlight w:val="black"/>
        </w:rPr>
        <w:t>'''''</w:t>
      </w:r>
      <w:r w:rsidRPr="0032077E">
        <w:rPr>
          <w:rFonts w:asciiTheme="minorHAnsi" w:hAnsiTheme="minorHAnsi" w:cstheme="minorHAnsi"/>
          <w:sz w:val="24"/>
          <w:szCs w:val="24"/>
        </w:rPr>
        <w:t>% lower than the previous submission</w:t>
      </w:r>
      <w:r w:rsidR="0069645C" w:rsidRPr="0032077E">
        <w:rPr>
          <w:rFonts w:asciiTheme="minorHAnsi" w:hAnsiTheme="minorHAnsi" w:cstheme="minorHAnsi"/>
          <w:sz w:val="24"/>
          <w:szCs w:val="24"/>
        </w:rPr>
        <w:t>.</w:t>
      </w:r>
    </w:p>
    <w:p w:rsidR="002D371A" w:rsidRPr="0032077E" w:rsidRDefault="002D371A"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32077E">
        <w:rPr>
          <w:rFonts w:asciiTheme="minorHAnsi" w:hAnsiTheme="minorHAnsi" w:cstheme="minorHAnsi"/>
          <w:sz w:val="24"/>
          <w:szCs w:val="24"/>
        </w:rPr>
        <w:t>The</w:t>
      </w:r>
      <w:r w:rsidR="00AD4ADD" w:rsidRPr="0032077E">
        <w:rPr>
          <w:rFonts w:asciiTheme="minorHAnsi" w:hAnsiTheme="minorHAnsi" w:cstheme="minorHAnsi"/>
          <w:sz w:val="24"/>
          <w:szCs w:val="24"/>
        </w:rPr>
        <w:t xml:space="preserve"> economic model and financial forecasts in the </w:t>
      </w:r>
      <w:r w:rsidRPr="0032077E">
        <w:rPr>
          <w:rFonts w:asciiTheme="minorHAnsi" w:hAnsiTheme="minorHAnsi" w:cstheme="minorHAnsi"/>
          <w:sz w:val="24"/>
          <w:szCs w:val="24"/>
        </w:rPr>
        <w:t xml:space="preserve">re-submission </w:t>
      </w:r>
      <w:r w:rsidR="00FB407D" w:rsidRPr="0032077E">
        <w:rPr>
          <w:rFonts w:asciiTheme="minorHAnsi" w:hAnsiTheme="minorHAnsi" w:cstheme="minorHAnsi"/>
          <w:sz w:val="24"/>
          <w:szCs w:val="24"/>
        </w:rPr>
        <w:t xml:space="preserve">included the assumption that up to 10% of patients would be treated with of filgrastim, a granulocyte colony stimulating factor (G-CSF), for the treatment of neutropenia associated with the usage of palbociclib. While this assumption is discussed below, the PSCR (p 3) requested that the PBAC may wish to consider whether the current PBS streamlined authority restrictions for filgrastim should be expanded to capture rare, unresolved occurrences of CDK4/6 inhibitor-induced high grade neutropenia. </w:t>
      </w:r>
    </w:p>
    <w:p w:rsidR="00B97E36" w:rsidRPr="0016581E" w:rsidRDefault="00B97E36" w:rsidP="008213B8">
      <w:pPr>
        <w:widowControl/>
        <w:spacing w:before="120" w:after="160"/>
        <w:ind w:left="709"/>
        <w:rPr>
          <w:rFonts w:asciiTheme="minorHAnsi" w:hAnsiTheme="minorHAnsi" w:cstheme="minorHAnsi"/>
          <w:sz w:val="24"/>
          <w:szCs w:val="24"/>
        </w:rPr>
      </w:pPr>
      <w:r w:rsidRPr="0016581E">
        <w:rPr>
          <w:rFonts w:asciiTheme="minorHAnsi" w:hAnsiTheme="minorHAnsi"/>
          <w:i/>
          <w:sz w:val="24"/>
          <w:szCs w:val="24"/>
        </w:rPr>
        <w:t>For more detail on PBAC’s view, see section 7 PBAC outcome.</w:t>
      </w:r>
    </w:p>
    <w:p w:rsidR="004E23FC" w:rsidRPr="0016581E" w:rsidRDefault="0046025D" w:rsidP="00397776">
      <w:pPr>
        <w:pStyle w:val="Heading1"/>
        <w:keepNext/>
        <w:keepLines/>
        <w:widowControl/>
        <w:numPr>
          <w:ilvl w:val="0"/>
          <w:numId w:val="5"/>
        </w:numPr>
        <w:spacing w:before="240" w:after="120"/>
        <w:ind w:left="709" w:hanging="709"/>
        <w:jc w:val="left"/>
        <w:rPr>
          <w:caps w:val="0"/>
        </w:rPr>
      </w:pPr>
      <w:bookmarkStart w:id="12" w:name="_Toc413139273"/>
      <w:bookmarkStart w:id="13" w:name="_Toc493059778"/>
      <w:r w:rsidRPr="0016581E">
        <w:rPr>
          <w:caps w:val="0"/>
        </w:rPr>
        <w:t>Background</w:t>
      </w:r>
      <w:bookmarkEnd w:id="12"/>
      <w:bookmarkEnd w:id="13"/>
    </w:p>
    <w:p w:rsidR="0046025D" w:rsidRPr="00FD62B5" w:rsidRDefault="0046025D" w:rsidP="00FD62B5">
      <w:pPr>
        <w:pStyle w:val="Heading2"/>
      </w:pPr>
      <w:bookmarkStart w:id="14" w:name="_Toc493059779"/>
      <w:r w:rsidRPr="00FD62B5">
        <w:t>Registration status</w:t>
      </w:r>
      <w:bookmarkEnd w:id="14"/>
    </w:p>
    <w:p w:rsidR="00961906" w:rsidRPr="0016581E" w:rsidRDefault="004E23FC" w:rsidP="0094535A">
      <w:pPr>
        <w:pStyle w:val="ListParagraph"/>
        <w:numPr>
          <w:ilvl w:val="1"/>
          <w:numId w:val="5"/>
        </w:numPr>
        <w:spacing w:before="120" w:after="160"/>
        <w:ind w:left="709" w:hanging="709"/>
        <w:contextualSpacing w:val="0"/>
        <w:rPr>
          <w:rFonts w:asciiTheme="minorHAnsi" w:hAnsiTheme="minorHAnsi"/>
          <w:sz w:val="24"/>
          <w:szCs w:val="24"/>
        </w:rPr>
      </w:pPr>
      <w:r w:rsidRPr="0016581E">
        <w:rPr>
          <w:rFonts w:asciiTheme="minorHAnsi" w:hAnsiTheme="minorHAnsi"/>
          <w:sz w:val="24"/>
          <w:szCs w:val="24"/>
        </w:rPr>
        <w:t xml:space="preserve">Palbociclib was TGA registered on 3 May 2017 for </w:t>
      </w:r>
      <w:r w:rsidR="00961906" w:rsidRPr="0016581E">
        <w:rPr>
          <w:rFonts w:asciiTheme="minorHAnsi" w:hAnsiTheme="minorHAnsi"/>
          <w:sz w:val="24"/>
          <w:szCs w:val="24"/>
        </w:rPr>
        <w:t>the treatment of hormone receptor (HR)-positive, human epidermal growth factor receptor 2 (HER2)-negative advanced or metastatic breast cancer in combination with:</w:t>
      </w:r>
    </w:p>
    <w:p w:rsidR="00961906" w:rsidRPr="0016581E" w:rsidRDefault="00961906" w:rsidP="0094535A">
      <w:pPr>
        <w:pStyle w:val="ListParagraph"/>
        <w:widowControl/>
        <w:numPr>
          <w:ilvl w:val="1"/>
          <w:numId w:val="22"/>
        </w:numPr>
        <w:spacing w:before="120" w:after="160"/>
        <w:ind w:left="1134" w:hanging="425"/>
        <w:jc w:val="left"/>
        <w:rPr>
          <w:rFonts w:asciiTheme="minorHAnsi" w:hAnsiTheme="minorHAnsi" w:cstheme="minorHAnsi"/>
          <w:sz w:val="24"/>
          <w:szCs w:val="24"/>
        </w:rPr>
      </w:pPr>
      <w:r w:rsidRPr="0016581E">
        <w:rPr>
          <w:rFonts w:asciiTheme="minorHAnsi" w:hAnsiTheme="minorHAnsi" w:cstheme="minorHAnsi"/>
          <w:sz w:val="24"/>
          <w:szCs w:val="24"/>
        </w:rPr>
        <w:t>an aromatase inhibitor as initial endocrine-based therapy;</w:t>
      </w:r>
    </w:p>
    <w:p w:rsidR="00BA6B66" w:rsidRPr="0032077E" w:rsidRDefault="00961906" w:rsidP="0094535A">
      <w:pPr>
        <w:pStyle w:val="ListParagraph"/>
        <w:widowControl/>
        <w:numPr>
          <w:ilvl w:val="1"/>
          <w:numId w:val="22"/>
        </w:numPr>
        <w:spacing w:before="120" w:after="160"/>
        <w:ind w:left="1134" w:hanging="425"/>
        <w:contextualSpacing w:val="0"/>
        <w:jc w:val="left"/>
        <w:rPr>
          <w:rFonts w:asciiTheme="minorHAnsi" w:hAnsiTheme="minorHAnsi" w:cstheme="minorHAnsi"/>
          <w:sz w:val="24"/>
          <w:szCs w:val="24"/>
        </w:rPr>
      </w:pPr>
      <w:proofErr w:type="gramStart"/>
      <w:r w:rsidRPr="0016581E">
        <w:rPr>
          <w:rFonts w:asciiTheme="minorHAnsi" w:hAnsiTheme="minorHAnsi" w:cstheme="minorHAnsi"/>
          <w:sz w:val="24"/>
          <w:szCs w:val="24"/>
        </w:rPr>
        <w:t>fulvestrant</w:t>
      </w:r>
      <w:proofErr w:type="gramEnd"/>
      <w:r w:rsidRPr="0016581E">
        <w:rPr>
          <w:rFonts w:asciiTheme="minorHAnsi" w:hAnsiTheme="minorHAnsi" w:cstheme="minorHAnsi"/>
          <w:sz w:val="24"/>
          <w:szCs w:val="24"/>
        </w:rPr>
        <w:t xml:space="preserve"> in patients who have received prior therapy.</w:t>
      </w:r>
    </w:p>
    <w:p w:rsidR="0046025D" w:rsidRPr="00FD62B5" w:rsidRDefault="0046025D" w:rsidP="00FD62B5">
      <w:pPr>
        <w:pStyle w:val="Heading2"/>
      </w:pPr>
      <w:bookmarkStart w:id="15" w:name="_Toc493059780"/>
      <w:r w:rsidRPr="00FD62B5">
        <w:t>Previous PBAC consideration</w:t>
      </w:r>
      <w:bookmarkEnd w:id="15"/>
    </w:p>
    <w:p w:rsidR="0032077E" w:rsidRDefault="000A218A" w:rsidP="0032077E">
      <w:pPr>
        <w:pStyle w:val="ListParagraph"/>
        <w:numPr>
          <w:ilvl w:val="1"/>
          <w:numId w:val="5"/>
        </w:numPr>
        <w:spacing w:before="120" w:after="160"/>
        <w:ind w:left="709" w:hanging="709"/>
        <w:contextualSpacing w:val="0"/>
        <w:rPr>
          <w:rFonts w:asciiTheme="minorHAnsi" w:hAnsiTheme="minorHAnsi" w:cstheme="minorHAnsi"/>
          <w:sz w:val="24"/>
        </w:rPr>
      </w:pPr>
      <w:r w:rsidRPr="0016581E">
        <w:rPr>
          <w:rFonts w:asciiTheme="minorHAnsi" w:hAnsiTheme="minorHAnsi" w:cstheme="minorHAnsi"/>
          <w:sz w:val="24"/>
        </w:rPr>
        <w:t xml:space="preserve">In March 2016 the PBAC did not recommend the listing of palbociclib on the PBS as initial endocrine-based therapy for HR+/HER2- advanced breast cancer on the basis that </w:t>
      </w:r>
      <w:r w:rsidR="0075536A" w:rsidRPr="0016581E">
        <w:rPr>
          <w:rFonts w:asciiTheme="minorHAnsi" w:hAnsiTheme="minorHAnsi" w:cstheme="minorHAnsi"/>
          <w:sz w:val="24"/>
        </w:rPr>
        <w:t xml:space="preserve">at the time of its consideration </w:t>
      </w:r>
      <w:r w:rsidRPr="0016581E">
        <w:rPr>
          <w:rFonts w:asciiTheme="minorHAnsi" w:hAnsiTheme="minorHAnsi" w:cstheme="minorHAnsi"/>
          <w:sz w:val="24"/>
        </w:rPr>
        <w:t xml:space="preserve">the PBAC did not know the circumstances in which palbociclib would be registered for use in Australia by the TGA. The PBAC noted that single agent endocrine therapy as first-line therapy is associated with significant clinical benefits in most patients and the addition of palbociclib increases the toxicity of treatment with an uncertain effect on overall survival. It was uncertain which patients would most benefit from the addition of palbociclib to a first line NSAI. Combination first line </w:t>
      </w:r>
      <w:r w:rsidR="0016581E" w:rsidRPr="0016581E">
        <w:rPr>
          <w:rFonts w:asciiTheme="minorHAnsi" w:hAnsiTheme="minorHAnsi" w:cstheme="minorHAnsi"/>
          <w:sz w:val="24"/>
        </w:rPr>
        <w:t>treatment that included palbociclib</w:t>
      </w:r>
      <w:r w:rsidRPr="0016581E">
        <w:rPr>
          <w:rFonts w:asciiTheme="minorHAnsi" w:hAnsiTheme="minorHAnsi" w:cstheme="minorHAnsi"/>
          <w:sz w:val="24"/>
        </w:rPr>
        <w:t xml:space="preserve"> had a high and uncertain cost-effectiveness. Additionally, the PBAC was of the view that the likely net cost of listing palbociclib to the PBS would be more than </w:t>
      </w:r>
      <w:r w:rsidR="00E01024">
        <w:rPr>
          <w:rFonts w:asciiTheme="minorHAnsi" w:hAnsiTheme="minorHAnsi" w:cstheme="minorHAnsi"/>
          <w:sz w:val="24"/>
        </w:rPr>
        <w:t>$100</w:t>
      </w:r>
      <w:r w:rsidRPr="00E01024">
        <w:rPr>
          <w:rFonts w:asciiTheme="minorHAnsi" w:hAnsiTheme="minorHAnsi" w:cstheme="minorHAnsi"/>
          <w:sz w:val="24"/>
        </w:rPr>
        <w:t xml:space="preserve"> million</w:t>
      </w:r>
      <w:r w:rsidRPr="0016581E">
        <w:rPr>
          <w:rFonts w:asciiTheme="minorHAnsi" w:hAnsiTheme="minorHAnsi" w:cstheme="minorHAnsi"/>
          <w:sz w:val="24"/>
        </w:rPr>
        <w:t xml:space="preserve"> over the first five years, and as such, there would be a significant opportunity cost to the Commonwealth. The PBAC noted that there are a range of effective second-line </w:t>
      </w:r>
      <w:r w:rsidRPr="0016581E">
        <w:rPr>
          <w:rFonts w:asciiTheme="minorHAnsi" w:hAnsiTheme="minorHAnsi" w:cstheme="minorHAnsi"/>
          <w:sz w:val="24"/>
        </w:rPr>
        <w:lastRenderedPageBreak/>
        <w:t>therapies (including oral agents) (</w:t>
      </w:r>
      <w:r w:rsidR="00416EEF">
        <w:rPr>
          <w:rFonts w:asciiTheme="minorHAnsi" w:hAnsiTheme="minorHAnsi" w:cstheme="minorHAnsi"/>
          <w:sz w:val="24"/>
        </w:rPr>
        <w:t>PSD</w:t>
      </w:r>
      <w:r w:rsidRPr="0016581E">
        <w:rPr>
          <w:rFonts w:asciiTheme="minorHAnsi" w:hAnsiTheme="minorHAnsi" w:cstheme="minorHAnsi"/>
          <w:sz w:val="24"/>
        </w:rPr>
        <w:t>, March 2017, item 7.1).</w:t>
      </w:r>
    </w:p>
    <w:p w:rsidR="0046025D" w:rsidRPr="0032077E" w:rsidRDefault="002966B8" w:rsidP="0032077E">
      <w:pPr>
        <w:pStyle w:val="ListParagraph"/>
        <w:numPr>
          <w:ilvl w:val="1"/>
          <w:numId w:val="5"/>
        </w:numPr>
        <w:spacing w:before="120" w:after="160"/>
        <w:ind w:left="709" w:hanging="709"/>
        <w:contextualSpacing w:val="0"/>
        <w:rPr>
          <w:rFonts w:asciiTheme="minorHAnsi" w:hAnsiTheme="minorHAnsi" w:cstheme="minorHAnsi"/>
          <w:sz w:val="24"/>
        </w:rPr>
      </w:pPr>
      <w:r w:rsidRPr="0032077E">
        <w:rPr>
          <w:rFonts w:asciiTheme="minorHAnsi" w:hAnsiTheme="minorHAnsi" w:cstheme="minorHAnsi"/>
          <w:sz w:val="24"/>
        </w:rPr>
        <w:t>A summary of the outstanding matters of concern to the PBAC are provided in the table below</w:t>
      </w:r>
      <w:r w:rsidR="009C5CC1" w:rsidRPr="0032077E">
        <w:rPr>
          <w:rFonts w:asciiTheme="minorHAnsi" w:hAnsiTheme="minorHAnsi" w:cstheme="minorHAnsi"/>
          <w:sz w:val="24"/>
        </w:rPr>
        <w:t>.</w:t>
      </w:r>
      <w:r w:rsidR="000A218A" w:rsidRPr="0032077E">
        <w:rPr>
          <w:rFonts w:asciiTheme="minorHAnsi" w:hAnsiTheme="minorHAnsi" w:cstheme="minorHAnsi"/>
          <w:sz w:val="24"/>
        </w:rPr>
        <w:t xml:space="preserve"> </w:t>
      </w:r>
    </w:p>
    <w:p w:rsidR="004E23FC" w:rsidRPr="0016581E" w:rsidRDefault="002966B8" w:rsidP="004E23FC">
      <w:pPr>
        <w:pStyle w:val="TableHeading0"/>
      </w:pPr>
      <w:r w:rsidRPr="0016581E">
        <w:t>Table 2</w:t>
      </w:r>
      <w:r w:rsidR="004E23FC" w:rsidRPr="0016581E">
        <w:t xml:space="preserve">: Summary of outstanding matters of concern </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422"/>
        <w:gridCol w:w="2426"/>
      </w:tblGrid>
      <w:tr w:rsidR="004E23FC" w:rsidRPr="0016581E" w:rsidTr="006B788D">
        <w:trPr>
          <w:tblHeader/>
        </w:trPr>
        <w:tc>
          <w:tcPr>
            <w:tcW w:w="3629" w:type="pct"/>
            <w:shd w:val="clear" w:color="auto" w:fill="auto"/>
          </w:tcPr>
          <w:p w:rsidR="004E23FC" w:rsidRPr="0016581E" w:rsidRDefault="004E23FC" w:rsidP="00353CDC">
            <w:pPr>
              <w:pStyle w:val="TableText1"/>
              <w:rPr>
                <w:b/>
              </w:rPr>
            </w:pPr>
            <w:r w:rsidRPr="0016581E">
              <w:rPr>
                <w:b/>
              </w:rPr>
              <w:t>Matters of concern</w:t>
            </w:r>
          </w:p>
        </w:tc>
        <w:tc>
          <w:tcPr>
            <w:tcW w:w="1371" w:type="pct"/>
            <w:shd w:val="clear" w:color="auto" w:fill="auto"/>
          </w:tcPr>
          <w:p w:rsidR="004E23FC" w:rsidRPr="0016581E" w:rsidRDefault="004E23FC" w:rsidP="00353CDC">
            <w:pPr>
              <w:pStyle w:val="TableText1"/>
              <w:rPr>
                <w:b/>
              </w:rPr>
            </w:pPr>
            <w:r w:rsidRPr="0016581E">
              <w:rPr>
                <w:b/>
              </w:rPr>
              <w:t>How the resubmission addresses it</w:t>
            </w:r>
          </w:p>
        </w:tc>
      </w:tr>
      <w:tr w:rsidR="00CC66A8" w:rsidRPr="0016581E" w:rsidTr="006B788D">
        <w:tc>
          <w:tcPr>
            <w:tcW w:w="3629" w:type="pct"/>
            <w:shd w:val="clear" w:color="auto" w:fill="auto"/>
          </w:tcPr>
          <w:p w:rsidR="00E44AC3" w:rsidRPr="0016581E" w:rsidRDefault="00E44AC3" w:rsidP="008F4AF9">
            <w:pPr>
              <w:pStyle w:val="TableText1"/>
              <w:keepNext w:val="0"/>
              <w:widowControl w:val="0"/>
              <w:spacing w:before="0" w:after="0"/>
              <w:rPr>
                <w:b/>
              </w:rPr>
            </w:pPr>
            <w:r w:rsidRPr="0016581E">
              <w:rPr>
                <w:b/>
              </w:rPr>
              <w:t>Regulatory status</w:t>
            </w:r>
          </w:p>
          <w:p w:rsidR="00CC66A8" w:rsidRPr="0016581E" w:rsidRDefault="00CC66A8" w:rsidP="00CC66A8">
            <w:pPr>
              <w:pStyle w:val="TableText1"/>
              <w:keepNext w:val="0"/>
              <w:widowControl w:val="0"/>
              <w:spacing w:after="120"/>
            </w:pPr>
            <w:r w:rsidRPr="0016581E">
              <w:t>The PBAC noted that the evaluation of palbociclib was on-going with the TGA at the time of the Committee’s consideration of the submission. The TGA</w:t>
            </w:r>
            <w:r w:rsidR="0036024B" w:rsidRPr="0016581E">
              <w:t>’s</w:t>
            </w:r>
            <w:r w:rsidRPr="0016581E">
              <w:t xml:space="preserve"> view immediately before the PBAC meeting was that the TGA Delegate was not in a position to recommend the approval of palbociclib in the first-line setting. The PBAC noted that it appeared that an updated Clinical Study Report for PALOMA-2 was provided to the TGA after the major submission was made to the PBAC, and it was unclear if the same data cut-offs for this trial were provided to the TGA and PBAC. (</w:t>
            </w:r>
            <w:r w:rsidR="00416EEF">
              <w:t>PSD</w:t>
            </w:r>
            <w:r w:rsidRPr="0016581E">
              <w:t>, March 2017, item 7.2)</w:t>
            </w:r>
          </w:p>
        </w:tc>
        <w:tc>
          <w:tcPr>
            <w:tcW w:w="1371" w:type="pct"/>
            <w:shd w:val="clear" w:color="auto" w:fill="auto"/>
          </w:tcPr>
          <w:p w:rsidR="00CC66A8" w:rsidRPr="0016581E" w:rsidRDefault="00CC66A8" w:rsidP="00093A8E">
            <w:pPr>
              <w:pStyle w:val="TableText1"/>
              <w:spacing w:after="120"/>
            </w:pPr>
            <w:r w:rsidRPr="0016581E">
              <w:t>Palbociclib was registered on the Australian Register of Therapeutic Goods (ARTG) on 3</w:t>
            </w:r>
            <w:r w:rsidRPr="0016581E">
              <w:rPr>
                <w:vertAlign w:val="superscript"/>
              </w:rPr>
              <w:t>rd</w:t>
            </w:r>
            <w:r w:rsidRPr="0016581E">
              <w:t xml:space="preserve"> May 2017 </w:t>
            </w:r>
          </w:p>
        </w:tc>
      </w:tr>
      <w:tr w:rsidR="00CC66A8" w:rsidRPr="0016581E" w:rsidTr="006B788D">
        <w:tc>
          <w:tcPr>
            <w:tcW w:w="3629" w:type="pct"/>
            <w:shd w:val="clear" w:color="auto" w:fill="auto"/>
          </w:tcPr>
          <w:p w:rsidR="00E44AC3" w:rsidRPr="0016581E" w:rsidRDefault="00E44AC3" w:rsidP="008F4AF9">
            <w:pPr>
              <w:rPr>
                <w:rFonts w:ascii="Arial Narrow" w:hAnsi="Arial Narrow"/>
                <w:b/>
                <w:sz w:val="20"/>
              </w:rPr>
            </w:pPr>
            <w:r w:rsidRPr="0016581E">
              <w:rPr>
                <w:rFonts w:ascii="Arial Narrow" w:hAnsi="Arial Narrow"/>
                <w:b/>
                <w:sz w:val="20"/>
              </w:rPr>
              <w:t>PALOMA-1 open-label design</w:t>
            </w:r>
          </w:p>
          <w:p w:rsidR="00CC66A8" w:rsidRPr="0016581E" w:rsidRDefault="00CC66A8" w:rsidP="00CC66A8">
            <w:pPr>
              <w:spacing w:after="120"/>
              <w:rPr>
                <w:rFonts w:ascii="Arial Narrow" w:hAnsi="Arial Narrow"/>
                <w:sz w:val="20"/>
              </w:rPr>
            </w:pPr>
            <w:r w:rsidRPr="0016581E">
              <w:rPr>
                <w:rFonts w:ascii="Arial Narrow" w:hAnsi="Arial Narrow"/>
                <w:sz w:val="20"/>
              </w:rPr>
              <w:t>The PBAC noted the issues in the trial design and significant risk of bias of PALOMA-1 raised by ESC. Though the predictable adverse event profile of palbociclib may also bias assessment of clinical response and patient reported outcomes in a blinded trial, the PBAC considered that data from PALOMA-2 would be more informative in evaluating the comparative efficacy and safety of palbociclib. (</w:t>
            </w:r>
            <w:r w:rsidR="00416EEF">
              <w:rPr>
                <w:rFonts w:ascii="Arial Narrow" w:hAnsi="Arial Narrow"/>
                <w:sz w:val="20"/>
              </w:rPr>
              <w:t>PSD</w:t>
            </w:r>
            <w:r w:rsidRPr="0016581E">
              <w:rPr>
                <w:rFonts w:ascii="Arial Narrow" w:hAnsi="Arial Narrow"/>
                <w:sz w:val="20"/>
              </w:rPr>
              <w:t>, March 2017, item 7.8).</w:t>
            </w:r>
          </w:p>
          <w:p w:rsidR="00CC66A8" w:rsidRPr="0016581E" w:rsidRDefault="00CC66A8" w:rsidP="00CC66A8">
            <w:pPr>
              <w:spacing w:after="120"/>
              <w:rPr>
                <w:rFonts w:ascii="Arial Narrow" w:hAnsi="Arial Narrow"/>
                <w:sz w:val="20"/>
              </w:rPr>
            </w:pPr>
            <w:r w:rsidRPr="0016581E">
              <w:rPr>
                <w:rFonts w:ascii="Arial Narrow" w:hAnsi="Arial Narrow"/>
                <w:sz w:val="20"/>
              </w:rPr>
              <w:t xml:space="preserve">Tumour response, </w:t>
            </w:r>
            <w:r w:rsidR="00AE4C7B" w:rsidRPr="0016581E">
              <w:rPr>
                <w:rFonts w:ascii="Arial Narrow" w:hAnsi="Arial Narrow"/>
                <w:sz w:val="20"/>
              </w:rPr>
              <w:t>investigator-assessed</w:t>
            </w:r>
            <w:r w:rsidRPr="0016581E">
              <w:rPr>
                <w:rFonts w:ascii="Arial Narrow" w:hAnsi="Arial Narrow"/>
                <w:sz w:val="20"/>
              </w:rPr>
              <w:t xml:space="preserve"> PFS and patient reported outcomes are potentially subject to bias in PALOMA-1 because of the open label design of the trial. The ESC noted that while reported outcomes of PALOMA-1 are more mature than PALOMA-2, PALOMA-1:</w:t>
            </w:r>
          </w:p>
          <w:p w:rsidR="00CC66A8" w:rsidRPr="0016581E" w:rsidRDefault="00CC66A8" w:rsidP="00CC66A8">
            <w:pPr>
              <w:spacing w:after="120"/>
              <w:rPr>
                <w:rFonts w:ascii="Arial Narrow" w:hAnsi="Arial Narrow"/>
                <w:sz w:val="20"/>
              </w:rPr>
            </w:pPr>
            <w:r w:rsidRPr="0016581E">
              <w:rPr>
                <w:rFonts w:ascii="Arial Narrow" w:hAnsi="Arial Narrow"/>
                <w:sz w:val="20"/>
              </w:rPr>
              <w:t>• was an adaptive, open label Phase II exploratory trial with power of 80% to demonstrate PFS at alpha of 0.1; not powered or designed to demonstrate OS;</w:t>
            </w:r>
          </w:p>
          <w:p w:rsidR="00CC66A8" w:rsidRPr="0016581E" w:rsidRDefault="00CC66A8" w:rsidP="00CC66A8">
            <w:pPr>
              <w:spacing w:after="120"/>
              <w:rPr>
                <w:rFonts w:ascii="Arial Narrow" w:hAnsi="Arial Narrow"/>
                <w:sz w:val="20"/>
              </w:rPr>
            </w:pPr>
            <w:r w:rsidRPr="0016581E">
              <w:rPr>
                <w:rFonts w:ascii="Arial Narrow" w:hAnsi="Arial Narrow"/>
                <w:sz w:val="20"/>
              </w:rPr>
              <w:t xml:space="preserve">• had changes to the trial protocol as data was collected; </w:t>
            </w:r>
          </w:p>
          <w:p w:rsidR="00CC66A8" w:rsidRPr="0016581E" w:rsidRDefault="00CC66A8" w:rsidP="00CC66A8">
            <w:pPr>
              <w:spacing w:after="120"/>
              <w:rPr>
                <w:rFonts w:ascii="Arial Narrow" w:hAnsi="Arial Narrow"/>
                <w:sz w:val="20"/>
              </w:rPr>
            </w:pPr>
            <w:r w:rsidRPr="0016581E">
              <w:rPr>
                <w:rFonts w:ascii="Arial Narrow" w:hAnsi="Arial Narrow"/>
                <w:sz w:val="20"/>
              </w:rPr>
              <w:t>• had changes to the eligibility criteria during the course of the trial based on biomarker status;</w:t>
            </w:r>
          </w:p>
          <w:p w:rsidR="00CC66A8" w:rsidRPr="0016581E" w:rsidRDefault="00CC66A8" w:rsidP="00CC66A8">
            <w:pPr>
              <w:spacing w:after="120"/>
              <w:rPr>
                <w:rFonts w:ascii="Arial Narrow" w:hAnsi="Arial Narrow"/>
                <w:sz w:val="20"/>
              </w:rPr>
            </w:pPr>
            <w:r w:rsidRPr="0016581E">
              <w:rPr>
                <w:rFonts w:ascii="Arial Narrow" w:hAnsi="Arial Narrow"/>
                <w:sz w:val="20"/>
              </w:rPr>
              <w:t>• has a higher risk of bias than PALOMA-2; and</w:t>
            </w:r>
          </w:p>
          <w:p w:rsidR="00CC66A8" w:rsidRPr="0016581E" w:rsidRDefault="00CC66A8" w:rsidP="00CC66A8">
            <w:pPr>
              <w:spacing w:after="120"/>
              <w:rPr>
                <w:rFonts w:ascii="Arial Narrow" w:hAnsi="Arial Narrow"/>
                <w:sz w:val="20"/>
              </w:rPr>
            </w:pPr>
            <w:r w:rsidRPr="0016581E">
              <w:rPr>
                <w:rFonts w:ascii="Arial Narrow" w:hAnsi="Arial Narrow"/>
                <w:sz w:val="20"/>
              </w:rPr>
              <w:t>• had a smaller number of patients than PALOMA-2.</w:t>
            </w:r>
          </w:p>
          <w:p w:rsidR="00CC66A8" w:rsidRPr="0016581E" w:rsidRDefault="00CC66A8" w:rsidP="00CC66A8">
            <w:pPr>
              <w:pStyle w:val="TableText1"/>
              <w:keepNext w:val="0"/>
              <w:widowControl w:val="0"/>
              <w:spacing w:after="120"/>
              <w:rPr>
                <w:highlight w:val="cyan"/>
              </w:rPr>
            </w:pPr>
            <w:r w:rsidRPr="0016581E">
              <w:t>(</w:t>
            </w:r>
            <w:r w:rsidR="00416EEF">
              <w:t>PSD</w:t>
            </w:r>
            <w:r w:rsidRPr="0016581E">
              <w:t>, March 2017, item 6.7).</w:t>
            </w:r>
          </w:p>
        </w:tc>
        <w:tc>
          <w:tcPr>
            <w:tcW w:w="1371" w:type="pct"/>
            <w:shd w:val="clear" w:color="auto" w:fill="auto"/>
          </w:tcPr>
          <w:p w:rsidR="00622A4C" w:rsidRPr="0016581E" w:rsidRDefault="0095743B" w:rsidP="00093A8E">
            <w:pPr>
              <w:pStyle w:val="TableText1"/>
              <w:spacing w:after="120"/>
            </w:pPr>
            <w:r w:rsidRPr="0016581E">
              <w:t xml:space="preserve">Fitted log-logistic functions to investigator-assessed PFS in PALOMA-2 to inform transition probabilities associated with progression. Also fitted log-logistic functions to updated OS from PALOMA-1 to inform transition probabilities associated with death </w:t>
            </w:r>
          </w:p>
        </w:tc>
      </w:tr>
      <w:tr w:rsidR="00CC66A8" w:rsidRPr="0016581E" w:rsidTr="006B788D">
        <w:tc>
          <w:tcPr>
            <w:tcW w:w="3629" w:type="pct"/>
            <w:shd w:val="clear" w:color="auto" w:fill="auto"/>
          </w:tcPr>
          <w:p w:rsidR="00CC66A8" w:rsidRPr="0016581E" w:rsidRDefault="00CC66A8" w:rsidP="00CF51D0">
            <w:pPr>
              <w:pStyle w:val="TableText1"/>
              <w:keepNext w:val="0"/>
              <w:widowControl w:val="0"/>
              <w:spacing w:after="120"/>
            </w:pPr>
            <w:r w:rsidRPr="0016581E">
              <w:t>The PBAC noted the issues associated with the BICR outcome due to treatment decisions, including treatment cessation, being based on investigator rather than BICR assessed PFS, and increased censoring. The PBAC however stated its preference that the base case economic model be based on BICR PFS, as a less-biased estimate of incremental effectiveness</w:t>
            </w:r>
            <w:r w:rsidR="00CF51D0" w:rsidRPr="0016581E">
              <w:t>.</w:t>
            </w:r>
            <w:r w:rsidRPr="0016581E">
              <w:t xml:space="preserve"> (</w:t>
            </w:r>
            <w:r w:rsidR="00416EEF">
              <w:t>PSD</w:t>
            </w:r>
            <w:r w:rsidRPr="0016581E">
              <w:t>, March 2017, item 7.9).</w:t>
            </w:r>
          </w:p>
        </w:tc>
        <w:tc>
          <w:tcPr>
            <w:tcW w:w="1371" w:type="pct"/>
            <w:shd w:val="clear" w:color="auto" w:fill="auto"/>
          </w:tcPr>
          <w:p w:rsidR="00CC66A8" w:rsidRPr="0016581E" w:rsidRDefault="002966B8" w:rsidP="00093A8E">
            <w:pPr>
              <w:pStyle w:val="TableText1"/>
              <w:spacing w:after="120"/>
            </w:pPr>
            <w:r w:rsidRPr="0016581E">
              <w:t>The re-submission argued that investigator-assessed PFS is appropriate</w:t>
            </w:r>
            <w:r w:rsidR="00332014" w:rsidRPr="0016581E">
              <w:t xml:space="preserve"> to apply in the economic model</w:t>
            </w:r>
            <w:r w:rsidRPr="0016581E">
              <w:t xml:space="preserve"> </w:t>
            </w:r>
          </w:p>
        </w:tc>
      </w:tr>
      <w:tr w:rsidR="00CC66A8" w:rsidRPr="0016581E" w:rsidTr="006B788D">
        <w:tc>
          <w:tcPr>
            <w:tcW w:w="3629" w:type="pct"/>
            <w:shd w:val="clear" w:color="auto" w:fill="auto"/>
          </w:tcPr>
          <w:p w:rsidR="00CC66A8" w:rsidRPr="0016581E" w:rsidRDefault="00CC66A8" w:rsidP="006B788D">
            <w:pPr>
              <w:pStyle w:val="TableText1"/>
              <w:keepNext w:val="0"/>
              <w:widowControl w:val="0"/>
              <w:spacing w:after="120"/>
              <w:rPr>
                <w:highlight w:val="cyan"/>
              </w:rPr>
            </w:pPr>
            <w:r w:rsidRPr="0016581E">
              <w:t>The PBAC noted that the OS reported for PALOMA-1 was not significantly different, though numerically different in the favour of palbociclib. Overall survival has not yet been formally reported for PALOMA-2 (</w:t>
            </w:r>
            <w:r w:rsidR="00416EEF">
              <w:t>PSD</w:t>
            </w:r>
            <w:r w:rsidRPr="0016581E">
              <w:t>, March 2017, item 7.10).</w:t>
            </w:r>
          </w:p>
        </w:tc>
        <w:tc>
          <w:tcPr>
            <w:tcW w:w="1371" w:type="pct"/>
            <w:shd w:val="clear" w:color="auto" w:fill="auto"/>
          </w:tcPr>
          <w:p w:rsidR="00CC66A8" w:rsidRPr="0016581E" w:rsidRDefault="00CC66A8" w:rsidP="00093A8E">
            <w:pPr>
              <w:pStyle w:val="TableText1"/>
              <w:spacing w:after="120"/>
              <w:rPr>
                <w:highlight w:val="cyan"/>
              </w:rPr>
            </w:pPr>
            <w:r w:rsidRPr="0016581E">
              <w:t xml:space="preserve">Provided updated OS </w:t>
            </w:r>
            <w:r w:rsidR="00356F88" w:rsidRPr="0016581E">
              <w:t xml:space="preserve">(as of 30 December 2016) </w:t>
            </w:r>
            <w:r w:rsidRPr="0016581E">
              <w:t>results for PALOMA-1</w:t>
            </w:r>
            <w:r w:rsidR="00724291" w:rsidRPr="0016581E">
              <w:t xml:space="preserve">. </w:t>
            </w:r>
            <w:r w:rsidR="006B788D" w:rsidRPr="0016581E">
              <w:t xml:space="preserve">Did not provide updated </w:t>
            </w:r>
            <w:r w:rsidRPr="0016581E">
              <w:t>OS results for PALOMA-2.</w:t>
            </w:r>
            <w:r w:rsidR="006B788D" w:rsidRPr="0016581E">
              <w:t xml:space="preserve"> </w:t>
            </w:r>
            <w:r w:rsidR="00DE0B8F">
              <w:rPr>
                <w:noProof/>
                <w:color w:val="000000"/>
                <w:highlight w:val="black"/>
              </w:rPr>
              <w:t>''''''''''''''''''' '''''''''''''' ''''''''''''''' '''''''' ''''''''''''''''''''' '''' ''''''''' ''''''''''''''' '''''''''''''' '''''''''''''' '''''''''' '''''''''' '''''''''''''''''''''' ''''''''''''''''''''''''</w:t>
            </w:r>
          </w:p>
        </w:tc>
      </w:tr>
      <w:tr w:rsidR="00CC66A8" w:rsidRPr="0016581E" w:rsidTr="006B788D">
        <w:tc>
          <w:tcPr>
            <w:tcW w:w="3629" w:type="pct"/>
            <w:shd w:val="clear" w:color="auto" w:fill="auto"/>
          </w:tcPr>
          <w:p w:rsidR="00E44AC3" w:rsidRPr="0016581E" w:rsidRDefault="00E44AC3" w:rsidP="001850F7">
            <w:pPr>
              <w:rPr>
                <w:rFonts w:ascii="Arial Narrow" w:hAnsi="Arial Narrow"/>
                <w:b/>
                <w:sz w:val="20"/>
              </w:rPr>
            </w:pPr>
            <w:r w:rsidRPr="0016581E">
              <w:rPr>
                <w:rFonts w:ascii="Arial Narrow" w:hAnsi="Arial Narrow"/>
                <w:b/>
                <w:sz w:val="20"/>
              </w:rPr>
              <w:t>Clinical claim</w:t>
            </w:r>
            <w:r w:rsidR="008F4AF9" w:rsidRPr="0016581E">
              <w:rPr>
                <w:rFonts w:ascii="Arial Narrow" w:hAnsi="Arial Narrow"/>
                <w:b/>
                <w:sz w:val="20"/>
              </w:rPr>
              <w:t xml:space="preserve"> </w:t>
            </w:r>
            <w:r w:rsidR="00337D8B" w:rsidRPr="0016581E">
              <w:rPr>
                <w:rFonts w:ascii="Arial Narrow" w:hAnsi="Arial Narrow"/>
                <w:b/>
                <w:sz w:val="20"/>
              </w:rPr>
              <w:t>–</w:t>
            </w:r>
            <w:r w:rsidR="008F4AF9" w:rsidRPr="0016581E">
              <w:rPr>
                <w:rFonts w:ascii="Arial Narrow" w:hAnsi="Arial Narrow"/>
                <w:b/>
                <w:sz w:val="20"/>
              </w:rPr>
              <w:t>efficacy</w:t>
            </w:r>
          </w:p>
          <w:p w:rsidR="008F4AF9" w:rsidRPr="0016581E" w:rsidRDefault="00CC66A8" w:rsidP="00CC66A8">
            <w:pPr>
              <w:spacing w:after="120"/>
              <w:rPr>
                <w:rFonts w:ascii="Arial Narrow" w:hAnsi="Arial Narrow"/>
                <w:sz w:val="20"/>
              </w:rPr>
            </w:pPr>
            <w:r w:rsidRPr="0016581E">
              <w:rPr>
                <w:rFonts w:ascii="Arial Narrow" w:hAnsi="Arial Narrow"/>
                <w:sz w:val="20"/>
              </w:rPr>
              <w:t xml:space="preserve">The submission claimed that palbociclib plus letrozole had superior comparative </w:t>
            </w:r>
            <w:r w:rsidRPr="0016581E">
              <w:rPr>
                <w:rFonts w:ascii="Arial Narrow" w:hAnsi="Arial Narrow"/>
                <w:sz w:val="20"/>
              </w:rPr>
              <w:lastRenderedPageBreak/>
              <w:t>effectiveness to letrozole (or anastrozole).</w:t>
            </w:r>
          </w:p>
          <w:p w:rsidR="00CC66A8" w:rsidRPr="0016581E" w:rsidRDefault="00CC66A8" w:rsidP="008F4AF9">
            <w:pPr>
              <w:spacing w:after="120"/>
              <w:rPr>
                <w:highlight w:val="cyan"/>
              </w:rPr>
            </w:pPr>
            <w:r w:rsidRPr="0016581E">
              <w:rPr>
                <w:rFonts w:ascii="Arial Narrow" w:hAnsi="Arial Narrow"/>
                <w:sz w:val="20"/>
              </w:rPr>
              <w:t xml:space="preserve">The PBAC noted the increased PFS reported in the trials, but considered the overall comparative clinical benefit of palbociclib remained unclear in the absence of evidence of a survival benefit or patient-reported improvements in their quality of life, and given the data indicating excess adverse events. The PBAC considered that use of palbociclib with letrozole had an inferior safety profile to use of letrozole alone. In addition, the PBAC noted that many women with advanced breast cancer are managed effectively on hormone therapy only and the next line chemotherapies include well-tolerated oral therapies, and therefore the benefit of palbociclib in delaying time to chemotherapy is uncertain, particularly given that palbociclib itself is associated with significant toxicities. </w:t>
            </w:r>
            <w:r w:rsidR="008F4AF9" w:rsidRPr="0016581E">
              <w:rPr>
                <w:rFonts w:ascii="Arial Narrow" w:hAnsi="Arial Narrow"/>
                <w:sz w:val="20"/>
              </w:rPr>
              <w:t>(</w:t>
            </w:r>
            <w:r w:rsidR="00416EEF">
              <w:rPr>
                <w:rFonts w:ascii="Arial Narrow" w:hAnsi="Arial Narrow"/>
                <w:sz w:val="20"/>
              </w:rPr>
              <w:t>PSD</w:t>
            </w:r>
            <w:r w:rsidR="008F4AF9" w:rsidRPr="0016581E">
              <w:rPr>
                <w:rFonts w:ascii="Arial Narrow" w:hAnsi="Arial Narrow"/>
                <w:sz w:val="20"/>
              </w:rPr>
              <w:t>, March 2017, item 7.11-12).</w:t>
            </w:r>
          </w:p>
        </w:tc>
        <w:tc>
          <w:tcPr>
            <w:tcW w:w="1371" w:type="pct"/>
            <w:shd w:val="clear" w:color="auto" w:fill="auto"/>
          </w:tcPr>
          <w:p w:rsidR="00CC66A8" w:rsidRPr="0016581E" w:rsidRDefault="00CC66A8" w:rsidP="00093A8E">
            <w:pPr>
              <w:pStyle w:val="TableText1"/>
              <w:spacing w:after="120"/>
              <w:rPr>
                <w:highlight w:val="cyan"/>
              </w:rPr>
            </w:pPr>
            <w:r w:rsidRPr="0016581E">
              <w:lastRenderedPageBreak/>
              <w:t xml:space="preserve">Clinical claim </w:t>
            </w:r>
            <w:r w:rsidR="008F4AF9" w:rsidRPr="0016581E">
              <w:t>un</w:t>
            </w:r>
            <w:r w:rsidRPr="0016581E">
              <w:t>changed</w:t>
            </w:r>
            <w:r w:rsidR="00371A53" w:rsidRPr="0016581E">
              <w:t xml:space="preserve"> </w:t>
            </w:r>
          </w:p>
        </w:tc>
      </w:tr>
      <w:tr w:rsidR="008F4AF9" w:rsidRPr="0016581E" w:rsidTr="006B788D">
        <w:tc>
          <w:tcPr>
            <w:tcW w:w="3629" w:type="pct"/>
            <w:shd w:val="clear" w:color="auto" w:fill="auto"/>
          </w:tcPr>
          <w:p w:rsidR="008F4AF9" w:rsidRPr="0016581E" w:rsidRDefault="008F4AF9">
            <w:pPr>
              <w:rPr>
                <w:rFonts w:ascii="Arial Narrow" w:hAnsi="Arial Narrow"/>
                <w:b/>
                <w:sz w:val="20"/>
              </w:rPr>
            </w:pPr>
            <w:r w:rsidRPr="0016581E">
              <w:rPr>
                <w:rFonts w:ascii="Arial Narrow" w:hAnsi="Arial Narrow"/>
                <w:b/>
                <w:sz w:val="20"/>
              </w:rPr>
              <w:lastRenderedPageBreak/>
              <w:t>Clinical claim – safety</w:t>
            </w:r>
          </w:p>
          <w:p w:rsidR="008F4AF9" w:rsidRPr="0016581E" w:rsidRDefault="008F4AF9" w:rsidP="008F4AF9">
            <w:pPr>
              <w:rPr>
                <w:rFonts w:ascii="Arial Narrow" w:hAnsi="Arial Narrow"/>
                <w:sz w:val="20"/>
              </w:rPr>
            </w:pPr>
            <w:r w:rsidRPr="0016581E">
              <w:rPr>
                <w:rFonts w:ascii="Arial Narrow" w:hAnsi="Arial Narrow"/>
                <w:sz w:val="20"/>
              </w:rPr>
              <w:t xml:space="preserve">The submission claimed that palbociclib plus letrozole had </w:t>
            </w:r>
            <w:r w:rsidRPr="0016581E">
              <w:rPr>
                <w:rFonts w:ascii="Arial Narrow" w:hAnsi="Arial Narrow"/>
                <w:b/>
                <w:sz w:val="20"/>
              </w:rPr>
              <w:t>a slightly worse</w:t>
            </w:r>
            <w:r w:rsidRPr="0016581E">
              <w:rPr>
                <w:rFonts w:ascii="Arial Narrow" w:hAnsi="Arial Narrow"/>
                <w:sz w:val="20"/>
              </w:rPr>
              <w:t xml:space="preserve"> but manageable safety profile to letrozole (or anastrozole).</w:t>
            </w:r>
          </w:p>
          <w:p w:rsidR="008F4AF9" w:rsidRPr="0016581E" w:rsidRDefault="008F4AF9" w:rsidP="008F4AF9">
            <w:pPr>
              <w:rPr>
                <w:rFonts w:ascii="Arial Narrow" w:hAnsi="Arial Narrow"/>
                <w:sz w:val="20"/>
              </w:rPr>
            </w:pPr>
          </w:p>
          <w:p w:rsidR="008F4AF9" w:rsidRPr="0016581E" w:rsidRDefault="008F4AF9" w:rsidP="00F14722">
            <w:pPr>
              <w:rPr>
                <w:rFonts w:ascii="Arial Narrow" w:hAnsi="Arial Narrow"/>
                <w:b/>
                <w:sz w:val="20"/>
              </w:rPr>
            </w:pPr>
            <w:r w:rsidRPr="0016581E">
              <w:rPr>
                <w:rFonts w:ascii="Arial Narrow" w:hAnsi="Arial Narrow"/>
                <w:sz w:val="20"/>
              </w:rPr>
              <w:t>The PBAC noted that in both PALOMA-1 and PALOMA-2, substantially more patients treated with palbociclib + letrozole reported A</w:t>
            </w:r>
            <w:r w:rsidR="00F14722" w:rsidRPr="0016581E">
              <w:rPr>
                <w:rFonts w:ascii="Arial Narrow" w:hAnsi="Arial Narrow"/>
                <w:sz w:val="20"/>
              </w:rPr>
              <w:t>E</w:t>
            </w:r>
            <w:r w:rsidRPr="0016581E">
              <w:rPr>
                <w:rFonts w:ascii="Arial Narrow" w:hAnsi="Arial Narrow"/>
                <w:sz w:val="20"/>
              </w:rPr>
              <w:t>s compared with those treated with letrozole alone. Of note, more patients treated with palbociclib + letrozole had grade ≥3 A</w:t>
            </w:r>
            <w:r w:rsidR="00F14722" w:rsidRPr="0016581E">
              <w:rPr>
                <w:rFonts w:ascii="Arial Narrow" w:hAnsi="Arial Narrow"/>
                <w:sz w:val="20"/>
              </w:rPr>
              <w:t>E</w:t>
            </w:r>
            <w:r w:rsidRPr="0016581E">
              <w:rPr>
                <w:rFonts w:ascii="Arial Narrow" w:hAnsi="Arial Narrow"/>
                <w:sz w:val="20"/>
              </w:rPr>
              <w:t>s, temporarily discontinued treatment due to A</w:t>
            </w:r>
            <w:r w:rsidR="00F14722" w:rsidRPr="0016581E">
              <w:rPr>
                <w:rFonts w:ascii="Arial Narrow" w:hAnsi="Arial Narrow"/>
                <w:sz w:val="20"/>
              </w:rPr>
              <w:t>E</w:t>
            </w:r>
            <w:r w:rsidRPr="0016581E">
              <w:rPr>
                <w:rFonts w:ascii="Arial Narrow" w:hAnsi="Arial Narrow"/>
                <w:sz w:val="20"/>
              </w:rPr>
              <w:t>s, discontinued treatment altogether or had a dose reduction. The PBAC noted that across the two trials, approximately 74% patients would experience neutropenia, and a higher number of patients would experience troublesome symptoms such as fatigue. There was an increased risk of febrile neutropenia in PALOMA-2. The PBAC considered that the submission’s comparative safety claim of ‘a slightly worse but manageable safety profile’ understated the toxicity of palbociclib, and that this was particularly important for a chronic oral therapy. (</w:t>
            </w:r>
            <w:r w:rsidR="00416EEF">
              <w:rPr>
                <w:rFonts w:ascii="Arial Narrow" w:hAnsi="Arial Narrow"/>
                <w:sz w:val="20"/>
              </w:rPr>
              <w:t>PSD</w:t>
            </w:r>
            <w:r w:rsidRPr="0016581E">
              <w:rPr>
                <w:rFonts w:ascii="Arial Narrow" w:hAnsi="Arial Narrow"/>
                <w:sz w:val="20"/>
              </w:rPr>
              <w:t>, March 2017, item 7.11-12).</w:t>
            </w:r>
          </w:p>
        </w:tc>
        <w:tc>
          <w:tcPr>
            <w:tcW w:w="1371" w:type="pct"/>
            <w:shd w:val="clear" w:color="auto" w:fill="auto"/>
          </w:tcPr>
          <w:p w:rsidR="008F4AF9" w:rsidRPr="0016581E" w:rsidRDefault="008F4AF9" w:rsidP="00093A8E">
            <w:pPr>
              <w:pStyle w:val="TableText1"/>
              <w:spacing w:after="120"/>
            </w:pPr>
            <w:r w:rsidRPr="0016581E">
              <w:t xml:space="preserve">Clinical claim changed to a </w:t>
            </w:r>
            <w:r w:rsidRPr="0016581E">
              <w:rPr>
                <w:b/>
              </w:rPr>
              <w:t>worse</w:t>
            </w:r>
            <w:r w:rsidRPr="0016581E">
              <w:t xml:space="preserve"> but manageable safety profile</w:t>
            </w:r>
            <w:r w:rsidR="00093A8E" w:rsidRPr="0016581E">
              <w:t>.</w:t>
            </w:r>
          </w:p>
        </w:tc>
      </w:tr>
      <w:tr w:rsidR="00CC66A8" w:rsidRPr="0016581E" w:rsidTr="006B788D">
        <w:tc>
          <w:tcPr>
            <w:tcW w:w="3629" w:type="pct"/>
            <w:shd w:val="clear" w:color="auto" w:fill="auto"/>
          </w:tcPr>
          <w:p w:rsidR="001850F7" w:rsidRPr="0016581E" w:rsidRDefault="001850F7" w:rsidP="001850F7">
            <w:pPr>
              <w:pStyle w:val="TableText1"/>
              <w:keepNext w:val="0"/>
              <w:widowControl w:val="0"/>
              <w:spacing w:after="120"/>
              <w:rPr>
                <w:b/>
              </w:rPr>
            </w:pPr>
            <w:r w:rsidRPr="0016581E">
              <w:rPr>
                <w:b/>
              </w:rPr>
              <w:t>Economic evidence –efficacy data</w:t>
            </w:r>
          </w:p>
          <w:p w:rsidR="00D90651" w:rsidRPr="0016581E" w:rsidRDefault="00CC66A8" w:rsidP="001850F7">
            <w:pPr>
              <w:pStyle w:val="TableText1"/>
              <w:keepNext w:val="0"/>
              <w:widowControl w:val="0"/>
              <w:spacing w:after="120"/>
            </w:pPr>
            <w:r w:rsidRPr="0016581E">
              <w:t xml:space="preserve">It was inappropriate to base the economic model on </w:t>
            </w:r>
            <w:r w:rsidR="00AE4C7B" w:rsidRPr="0016581E">
              <w:t>investigator-assessed</w:t>
            </w:r>
            <w:r w:rsidRPr="0016581E">
              <w:t xml:space="preserve"> PFS from PALOMA-1, which is potentially subject to bias compared to BICR, and OS from PALOMA</w:t>
            </w:r>
            <w:r w:rsidRPr="0016581E">
              <w:noBreakHyphen/>
              <w:t xml:space="preserve">1, which was immature and not statistically </w:t>
            </w:r>
            <w:proofErr w:type="gramStart"/>
            <w:r w:rsidRPr="0016581E">
              <w:t>significant</w:t>
            </w:r>
            <w:proofErr w:type="gramEnd"/>
            <w:r w:rsidRPr="0016581E">
              <w:t xml:space="preserve"> different between the treatment arms. The PBAC rejected the justification from the sponsor that using the PFS from PALOMA-1 increases internal validity as the OS data were also from PALOMA-1, and required less extrapolation as the duration of follow-up was longer in PALOMA-1 than PALOMA-2. The PBAC considered that the BICR assessed PFS of PALOMA-2 </w:t>
            </w:r>
            <w:proofErr w:type="gramStart"/>
            <w:r w:rsidRPr="0016581E">
              <w:t>was</w:t>
            </w:r>
            <w:proofErr w:type="gramEnd"/>
            <w:r w:rsidRPr="0016581E">
              <w:t xml:space="preserve"> more appropriate data to inform the base case model. </w:t>
            </w:r>
            <w:r w:rsidR="00D90651" w:rsidRPr="0016581E">
              <w:t>(</w:t>
            </w:r>
            <w:r w:rsidR="00416EEF">
              <w:t>PSD</w:t>
            </w:r>
            <w:r w:rsidR="00D90651" w:rsidRPr="0016581E">
              <w:t xml:space="preserve">, March 2017, item </w:t>
            </w:r>
            <w:r w:rsidR="0042389B" w:rsidRPr="0016581E">
              <w:t>7.13</w:t>
            </w:r>
            <w:r w:rsidR="00E44AC3" w:rsidRPr="0016581E">
              <w:t>)</w:t>
            </w:r>
          </w:p>
        </w:tc>
        <w:tc>
          <w:tcPr>
            <w:tcW w:w="1371" w:type="pct"/>
            <w:shd w:val="clear" w:color="auto" w:fill="auto"/>
          </w:tcPr>
          <w:p w:rsidR="00CC66A8" w:rsidRPr="0016581E" w:rsidRDefault="00666536" w:rsidP="00093A8E">
            <w:pPr>
              <w:pStyle w:val="TableText1"/>
              <w:spacing w:after="120"/>
            </w:pPr>
            <w:r w:rsidRPr="0016581E">
              <w:t xml:space="preserve">Fitted log-logistic functions to </w:t>
            </w:r>
            <w:r w:rsidR="00AE4C7B" w:rsidRPr="0016581E">
              <w:t>investigator-assessed</w:t>
            </w:r>
            <w:r w:rsidR="00CC66A8" w:rsidRPr="0016581E">
              <w:t xml:space="preserve"> PFS in PALOMA-2 to inform transition probabilit</w:t>
            </w:r>
            <w:r w:rsidR="00371A53" w:rsidRPr="0016581E">
              <w:t xml:space="preserve">ies associated with progression. </w:t>
            </w:r>
            <w:r w:rsidR="00CC66A8" w:rsidRPr="0016581E">
              <w:t xml:space="preserve">Also </w:t>
            </w:r>
            <w:r w:rsidRPr="0016581E">
              <w:t xml:space="preserve">fitted log-logistic functions to </w:t>
            </w:r>
            <w:r w:rsidR="00CC66A8" w:rsidRPr="0016581E">
              <w:t>updated OS from PALOMA-1</w:t>
            </w:r>
            <w:r w:rsidR="00371A53" w:rsidRPr="0016581E">
              <w:t xml:space="preserve"> </w:t>
            </w:r>
            <w:r w:rsidR="0095743B" w:rsidRPr="0016581E">
              <w:t>to inform transition probabilities associated with death</w:t>
            </w:r>
            <w:r w:rsidR="00093A8E" w:rsidRPr="0016581E">
              <w:t>.</w:t>
            </w:r>
          </w:p>
        </w:tc>
      </w:tr>
      <w:tr w:rsidR="00CC66A8" w:rsidRPr="0016581E" w:rsidTr="006B788D">
        <w:trPr>
          <w:trHeight w:val="346"/>
        </w:trPr>
        <w:tc>
          <w:tcPr>
            <w:tcW w:w="3629" w:type="pct"/>
            <w:shd w:val="clear" w:color="auto" w:fill="auto"/>
          </w:tcPr>
          <w:p w:rsidR="001850F7" w:rsidRPr="0016581E" w:rsidRDefault="001850F7" w:rsidP="001850F7">
            <w:pPr>
              <w:pStyle w:val="TableText1"/>
              <w:keepNext w:val="0"/>
              <w:widowControl w:val="0"/>
              <w:spacing w:after="120"/>
              <w:rPr>
                <w:b/>
              </w:rPr>
            </w:pPr>
            <w:r w:rsidRPr="0016581E">
              <w:rPr>
                <w:b/>
              </w:rPr>
              <w:t>Economic evidence – duration of treatment with palbociclib</w:t>
            </w:r>
          </w:p>
          <w:p w:rsidR="00D90651" w:rsidRPr="0016581E" w:rsidRDefault="00CC66A8" w:rsidP="001850F7">
            <w:pPr>
              <w:pStyle w:val="TableText1"/>
              <w:keepNext w:val="0"/>
              <w:widowControl w:val="0"/>
              <w:spacing w:after="120"/>
            </w:pPr>
            <w:r w:rsidRPr="0016581E">
              <w:t>The PBAC agreed with the ESC that the submission underestimated the cost of providing palbociclib. The PBAC considered the palbociclib cost should be based on the mean treatment duration, and the calculations in the model were incorrect due to not inc</w:t>
            </w:r>
            <w:r w:rsidR="00D90651" w:rsidRPr="0016581E">
              <w:t>luding, costs beyond 22 cycles.</w:t>
            </w:r>
            <w:r w:rsidR="001850F7" w:rsidRPr="0016581E">
              <w:t xml:space="preserve"> </w:t>
            </w:r>
            <w:r w:rsidR="00D90651" w:rsidRPr="0016581E">
              <w:t>(</w:t>
            </w:r>
            <w:r w:rsidR="00416EEF">
              <w:t>PSD</w:t>
            </w:r>
            <w:r w:rsidR="00D90651" w:rsidRPr="0016581E">
              <w:t xml:space="preserve">, March 2017, item </w:t>
            </w:r>
            <w:r w:rsidR="0042389B" w:rsidRPr="0016581E">
              <w:t>7.13</w:t>
            </w:r>
            <w:r w:rsidR="00E44AC3" w:rsidRPr="0016581E">
              <w:t>)</w:t>
            </w:r>
          </w:p>
        </w:tc>
        <w:tc>
          <w:tcPr>
            <w:tcW w:w="1371" w:type="pct"/>
            <w:shd w:val="clear" w:color="auto" w:fill="auto"/>
          </w:tcPr>
          <w:p w:rsidR="00CC66A8" w:rsidRPr="0016581E" w:rsidRDefault="00CC66A8" w:rsidP="00093A8E">
            <w:pPr>
              <w:pStyle w:val="TableText1"/>
              <w:spacing w:after="120"/>
              <w:rPr>
                <w:highlight w:val="cyan"/>
              </w:rPr>
            </w:pPr>
            <w:r w:rsidRPr="0016581E">
              <w:t xml:space="preserve">Duration of treatment with palbociclib changed to </w:t>
            </w:r>
            <w:r w:rsidR="00666536" w:rsidRPr="0016581E">
              <w:t xml:space="preserve">27 cycles </w:t>
            </w:r>
            <w:r w:rsidRPr="0016581E">
              <w:t>(median PFS from PALOMA-2).</w:t>
            </w:r>
            <w:r w:rsidR="00666536" w:rsidRPr="0016581E">
              <w:t xml:space="preserve"> Usage beyond 27 cycles remains</w:t>
            </w:r>
            <w:r w:rsidR="001850F7" w:rsidRPr="0016581E">
              <w:t xml:space="preserve"> inappropriately</w:t>
            </w:r>
            <w:r w:rsidR="00666536" w:rsidRPr="0016581E">
              <w:t xml:space="preserve"> truncated.</w:t>
            </w:r>
          </w:p>
        </w:tc>
      </w:tr>
      <w:tr w:rsidR="00CC66A8" w:rsidRPr="0016581E" w:rsidTr="006B788D">
        <w:tc>
          <w:tcPr>
            <w:tcW w:w="3629" w:type="pct"/>
            <w:shd w:val="clear" w:color="auto" w:fill="auto"/>
          </w:tcPr>
          <w:p w:rsidR="001850F7" w:rsidRPr="0016581E" w:rsidRDefault="001850F7" w:rsidP="001850F7">
            <w:pPr>
              <w:pStyle w:val="TableText1"/>
              <w:keepNext w:val="0"/>
              <w:widowControl w:val="0"/>
              <w:spacing w:after="120"/>
              <w:rPr>
                <w:b/>
              </w:rPr>
            </w:pPr>
            <w:r w:rsidRPr="0016581E">
              <w:rPr>
                <w:b/>
              </w:rPr>
              <w:t>Economic evidence – cost of letrozole</w:t>
            </w:r>
          </w:p>
          <w:p w:rsidR="00D90651" w:rsidRPr="0016581E" w:rsidRDefault="00CC66A8" w:rsidP="001850F7">
            <w:pPr>
              <w:pStyle w:val="TableText1"/>
              <w:keepNext w:val="0"/>
              <w:widowControl w:val="0"/>
              <w:spacing w:after="120"/>
            </w:pPr>
            <w:r w:rsidRPr="0016581E">
              <w:t>It was appropriate to include the cost of letrozole in both arms of the model, rather than assume the</w:t>
            </w:r>
            <w:r w:rsidR="00D90651" w:rsidRPr="0016581E">
              <w:t xml:space="preserve"> cost is the same in both arms.</w:t>
            </w:r>
            <w:r w:rsidR="001850F7" w:rsidRPr="0016581E">
              <w:t xml:space="preserve"> </w:t>
            </w:r>
            <w:r w:rsidR="00D90651" w:rsidRPr="0016581E">
              <w:t>(</w:t>
            </w:r>
            <w:r w:rsidR="00416EEF">
              <w:t>PSD</w:t>
            </w:r>
            <w:r w:rsidR="00D90651" w:rsidRPr="0016581E">
              <w:t xml:space="preserve">, March 2017, item </w:t>
            </w:r>
            <w:r w:rsidR="0042389B" w:rsidRPr="0016581E">
              <w:t>7.13</w:t>
            </w:r>
            <w:r w:rsidR="00E44AC3" w:rsidRPr="0016581E">
              <w:t>)</w:t>
            </w:r>
          </w:p>
        </w:tc>
        <w:tc>
          <w:tcPr>
            <w:tcW w:w="1371" w:type="pct"/>
            <w:shd w:val="clear" w:color="auto" w:fill="auto"/>
          </w:tcPr>
          <w:p w:rsidR="00CC66A8" w:rsidRPr="0016581E" w:rsidRDefault="0095743B" w:rsidP="00093A8E">
            <w:pPr>
              <w:pStyle w:val="TableText1"/>
              <w:spacing w:after="120"/>
              <w:rPr>
                <w:highlight w:val="cyan"/>
              </w:rPr>
            </w:pPr>
            <w:r w:rsidRPr="0016581E">
              <w:t>The re-submission i</w:t>
            </w:r>
            <w:r w:rsidR="00CC66A8" w:rsidRPr="0016581E">
              <w:t>ncluded the costs for letrozole and anastrozole to both the comparator and the palbociclib arms.</w:t>
            </w:r>
            <w:r w:rsidRPr="0016581E">
              <w:t xml:space="preserve"> Previously these costs were excluded.</w:t>
            </w:r>
          </w:p>
        </w:tc>
      </w:tr>
      <w:tr w:rsidR="00CC66A8" w:rsidRPr="0016581E" w:rsidTr="006B788D">
        <w:tc>
          <w:tcPr>
            <w:tcW w:w="3629" w:type="pct"/>
            <w:shd w:val="clear" w:color="auto" w:fill="auto"/>
          </w:tcPr>
          <w:p w:rsidR="00E44AC3" w:rsidRPr="0016581E" w:rsidRDefault="001850F7" w:rsidP="001850F7">
            <w:pPr>
              <w:pStyle w:val="TableText1"/>
              <w:keepNext w:val="0"/>
              <w:widowControl w:val="0"/>
              <w:spacing w:before="0" w:after="0"/>
              <w:rPr>
                <w:b/>
              </w:rPr>
            </w:pPr>
            <w:r w:rsidRPr="0016581E">
              <w:rPr>
                <w:b/>
              </w:rPr>
              <w:t xml:space="preserve">Economic evidence – </w:t>
            </w:r>
            <w:r w:rsidR="00E44AC3" w:rsidRPr="0016581E">
              <w:rPr>
                <w:b/>
              </w:rPr>
              <w:t>time horizon</w:t>
            </w:r>
          </w:p>
          <w:p w:rsidR="00CC66A8" w:rsidRPr="0016581E" w:rsidRDefault="00CC66A8" w:rsidP="00892CEE">
            <w:pPr>
              <w:pStyle w:val="TableText1"/>
              <w:keepNext w:val="0"/>
              <w:widowControl w:val="0"/>
              <w:spacing w:after="120"/>
              <w:rPr>
                <w:highlight w:val="cyan"/>
              </w:rPr>
            </w:pPr>
            <w:r w:rsidRPr="0016581E">
              <w:t xml:space="preserve">The time horizon of 10 years applied in the economic model was too long given the available clinical evidence. The PBAC noted that the pre-PBAC response reiterated the survival rate of approximately 10% at 10-years in HR+/HER2- advanced breast cancer, </w:t>
            </w:r>
            <w:r w:rsidRPr="0016581E">
              <w:lastRenderedPageBreak/>
              <w:t>but the PBAC considered a shorter time horizon was appropriate given the immaturity of the existing OS data and that any increase in OS was uncertain at the moment. The PBAC recalled that in previous submissions for advanced breast cancer, although for later line treatment, the time horizon was 3 years (everolimus, 2013 and paclitaxel, 2008).</w:t>
            </w:r>
            <w:r w:rsidR="00892CEE" w:rsidRPr="0016581E">
              <w:t xml:space="preserve"> </w:t>
            </w:r>
            <w:r w:rsidRPr="0016581E">
              <w:t>(</w:t>
            </w:r>
            <w:r w:rsidR="00416EEF">
              <w:t>PSD</w:t>
            </w:r>
            <w:r w:rsidRPr="0016581E">
              <w:t>, March 2017, item 7.13).</w:t>
            </w:r>
          </w:p>
        </w:tc>
        <w:tc>
          <w:tcPr>
            <w:tcW w:w="1371" w:type="pct"/>
            <w:shd w:val="clear" w:color="auto" w:fill="auto"/>
          </w:tcPr>
          <w:p w:rsidR="00CC66A8" w:rsidRPr="0016581E" w:rsidRDefault="00CC66A8" w:rsidP="00093A8E">
            <w:pPr>
              <w:pStyle w:val="TableText1"/>
              <w:spacing w:after="120"/>
              <w:rPr>
                <w:highlight w:val="cyan"/>
              </w:rPr>
            </w:pPr>
            <w:r w:rsidRPr="0016581E">
              <w:lastRenderedPageBreak/>
              <w:t>Time horizon</w:t>
            </w:r>
            <w:r w:rsidR="000F4F08" w:rsidRPr="0016581E">
              <w:t xml:space="preserve"> (10 years)</w:t>
            </w:r>
            <w:r w:rsidRPr="0016581E">
              <w:t xml:space="preserve"> unchanged.</w:t>
            </w:r>
          </w:p>
        </w:tc>
      </w:tr>
      <w:tr w:rsidR="00CC66A8" w:rsidRPr="0016581E" w:rsidTr="006B788D">
        <w:tc>
          <w:tcPr>
            <w:tcW w:w="3629" w:type="pct"/>
            <w:shd w:val="clear" w:color="auto" w:fill="auto"/>
          </w:tcPr>
          <w:p w:rsidR="000F4F08" w:rsidRPr="0016581E" w:rsidRDefault="001850F7" w:rsidP="001850F7">
            <w:pPr>
              <w:pStyle w:val="TableText1"/>
              <w:keepNext w:val="0"/>
              <w:widowControl w:val="0"/>
              <w:spacing w:before="0" w:after="0"/>
              <w:rPr>
                <w:b/>
              </w:rPr>
            </w:pPr>
            <w:r w:rsidRPr="0016581E">
              <w:rPr>
                <w:b/>
              </w:rPr>
              <w:lastRenderedPageBreak/>
              <w:t>Economic evidence – e</w:t>
            </w:r>
            <w:r w:rsidR="000F4F08" w:rsidRPr="0016581E">
              <w:rPr>
                <w:b/>
              </w:rPr>
              <w:t>xtrapolation</w:t>
            </w:r>
          </w:p>
          <w:p w:rsidR="00D90651" w:rsidRPr="0016581E" w:rsidRDefault="00CC66A8" w:rsidP="00D90651">
            <w:pPr>
              <w:pStyle w:val="TableText1"/>
              <w:keepNext w:val="0"/>
              <w:widowControl w:val="0"/>
              <w:spacing w:after="120"/>
            </w:pPr>
            <w:r w:rsidRPr="0016581E">
              <w:t>The PBAC considered that it would be more robust for the extrapolation to occur from an earlier point of the Kaplan-Meier curves at a time point where the observed data are not unreliable. The PBAC considered in this case extrapolating from the point of median follow-up would be appropriate. The PBAC also noted that it may be more appropriate to extrapolate the OS data in the submission using a Weibull function rather than log-logistic function based on the goodness of fit. In addition, the extrapolation approach assumed that the treatment effect persists for the model duration, which the PBAC considered was an inappropriate assumption.</w:t>
            </w:r>
          </w:p>
          <w:p w:rsidR="00CC66A8" w:rsidRPr="0016581E" w:rsidRDefault="00CC66A8" w:rsidP="00D90651">
            <w:pPr>
              <w:pStyle w:val="TableText1"/>
              <w:keepNext w:val="0"/>
              <w:widowControl w:val="0"/>
              <w:spacing w:after="120"/>
              <w:rPr>
                <w:highlight w:val="cyan"/>
              </w:rPr>
            </w:pPr>
            <w:r w:rsidRPr="0016581E">
              <w:t>(</w:t>
            </w:r>
            <w:r w:rsidR="00416EEF">
              <w:t>PSD</w:t>
            </w:r>
            <w:r w:rsidRPr="0016581E">
              <w:t>, March 2017, item 7.13).</w:t>
            </w:r>
          </w:p>
        </w:tc>
        <w:tc>
          <w:tcPr>
            <w:tcW w:w="1371" w:type="pct"/>
            <w:shd w:val="clear" w:color="auto" w:fill="auto"/>
          </w:tcPr>
          <w:p w:rsidR="00CC66A8" w:rsidRPr="0016581E" w:rsidRDefault="00797D54" w:rsidP="00093A8E">
            <w:pPr>
              <w:pStyle w:val="TableText1"/>
              <w:spacing w:after="120"/>
              <w:rPr>
                <w:highlight w:val="cyan"/>
              </w:rPr>
            </w:pPr>
            <w:r w:rsidRPr="0016581E">
              <w:t xml:space="preserve">The PFS and OS Kaplan-Meier trial data from PALOMA-1 and PALOMA-2 were not directly applied in the economic model. Instead the re-submission estimated PFS and OS using only fitted parametric (log-logistic) functions for the entire </w:t>
            </w:r>
            <w:r w:rsidR="009813FE" w:rsidRPr="0016581E">
              <w:t>time horizon</w:t>
            </w:r>
            <w:r w:rsidR="00666536" w:rsidRPr="0016581E">
              <w:t>.</w:t>
            </w:r>
            <w:r w:rsidRPr="0016581E">
              <w:t xml:space="preserve"> The a</w:t>
            </w:r>
            <w:r w:rsidR="00CC66A8" w:rsidRPr="0016581E">
              <w:t xml:space="preserve">ssumption regarding treatment effect </w:t>
            </w:r>
            <w:r w:rsidRPr="0016581E">
              <w:t xml:space="preserve">was </w:t>
            </w:r>
            <w:r w:rsidR="00CC66A8" w:rsidRPr="0016581E">
              <w:t>unchanged.</w:t>
            </w:r>
          </w:p>
        </w:tc>
      </w:tr>
      <w:tr w:rsidR="00CC66A8" w:rsidRPr="0016581E" w:rsidTr="006B788D">
        <w:tc>
          <w:tcPr>
            <w:tcW w:w="3629" w:type="pct"/>
            <w:shd w:val="clear" w:color="auto" w:fill="auto"/>
          </w:tcPr>
          <w:p w:rsidR="000F4F08" w:rsidRPr="0016581E" w:rsidRDefault="001850F7" w:rsidP="001850F7">
            <w:pPr>
              <w:pStyle w:val="TableText1"/>
              <w:keepNext w:val="0"/>
              <w:widowControl w:val="0"/>
              <w:spacing w:before="0" w:after="0"/>
              <w:rPr>
                <w:b/>
              </w:rPr>
            </w:pPr>
            <w:r w:rsidRPr="0016581E">
              <w:rPr>
                <w:b/>
              </w:rPr>
              <w:t xml:space="preserve">Economic evidence – </w:t>
            </w:r>
            <w:r w:rsidR="000F4F08" w:rsidRPr="0016581E">
              <w:rPr>
                <w:b/>
              </w:rPr>
              <w:t>Post-progression treatment costs</w:t>
            </w:r>
          </w:p>
          <w:p w:rsidR="00CC66A8" w:rsidRPr="0016581E" w:rsidRDefault="00CC66A8" w:rsidP="001850F7">
            <w:pPr>
              <w:pStyle w:val="TableText1"/>
              <w:keepNext w:val="0"/>
              <w:widowControl w:val="0"/>
              <w:spacing w:after="120"/>
              <w:rPr>
                <w:highlight w:val="cyan"/>
              </w:rPr>
            </w:pPr>
            <w:r w:rsidRPr="0016581E">
              <w:t>The PBAC noted the error with the estimated post-progression costs that was identified during the evaluation, and the re-specification of post-progression costs in the PSCR. The PBAC agreed with ESC that it was not clear which source of cost was reasonable to apply to the economic model at this time. Not accepting the argument in the pre-PBAC response about the post-progression cost from Verry et al (2012), the PBAC considered that post-progression costs need to be fully accounted for and up-to-date.</w:t>
            </w:r>
            <w:r w:rsidR="001850F7" w:rsidRPr="0016581E">
              <w:t xml:space="preserve"> </w:t>
            </w:r>
            <w:r w:rsidRPr="0016581E">
              <w:t>(</w:t>
            </w:r>
            <w:r w:rsidR="00416EEF">
              <w:t>PSD</w:t>
            </w:r>
            <w:r w:rsidRPr="0016581E">
              <w:t>, March 2017, item 7.13).</w:t>
            </w:r>
          </w:p>
        </w:tc>
        <w:tc>
          <w:tcPr>
            <w:tcW w:w="1371" w:type="pct"/>
            <w:shd w:val="clear" w:color="auto" w:fill="auto"/>
          </w:tcPr>
          <w:p w:rsidR="00CC66A8" w:rsidRPr="0016581E" w:rsidRDefault="00CC66A8" w:rsidP="00093A8E">
            <w:pPr>
              <w:pStyle w:val="TableText1"/>
              <w:spacing w:after="120"/>
              <w:rPr>
                <w:highlight w:val="cyan"/>
              </w:rPr>
            </w:pPr>
            <w:r w:rsidRPr="0016581E">
              <w:t>Updated pre-progression and post-progression costs.</w:t>
            </w:r>
          </w:p>
        </w:tc>
      </w:tr>
      <w:tr w:rsidR="00CC66A8" w:rsidRPr="0016581E" w:rsidTr="006B788D">
        <w:tc>
          <w:tcPr>
            <w:tcW w:w="3629" w:type="pct"/>
            <w:shd w:val="clear" w:color="auto" w:fill="auto"/>
          </w:tcPr>
          <w:p w:rsidR="001850F7" w:rsidRPr="0016581E" w:rsidRDefault="001850F7" w:rsidP="001850F7">
            <w:pPr>
              <w:pStyle w:val="TableText1"/>
              <w:keepNext w:val="0"/>
              <w:widowControl w:val="0"/>
              <w:spacing w:after="120"/>
              <w:rPr>
                <w:b/>
              </w:rPr>
            </w:pPr>
            <w:r w:rsidRPr="0016581E">
              <w:rPr>
                <w:b/>
              </w:rPr>
              <w:t>Economic evidence – adverse events</w:t>
            </w:r>
          </w:p>
          <w:p w:rsidR="00CC66A8" w:rsidRPr="0016581E" w:rsidRDefault="00CC66A8" w:rsidP="001850F7">
            <w:pPr>
              <w:pStyle w:val="TableText1"/>
              <w:keepNext w:val="0"/>
              <w:widowControl w:val="0"/>
              <w:spacing w:after="120"/>
              <w:rPr>
                <w:highlight w:val="cyan"/>
              </w:rPr>
            </w:pPr>
            <w:r w:rsidRPr="0016581E">
              <w:t>Given the safety profile of palbociclib, costs and quality of life impacts for adverse events should be more systematically applied in the economic model. The PBAC considered it was appropriate to at least include all serious adverse events in the model rather than only treatment-related events. The PBAC noted that the increased risk of febrile neutropenia in PALOMA-2 and while the risk is small, the PBAC considered it was important and should be included in economic model.</w:t>
            </w:r>
            <w:r w:rsidR="001850F7" w:rsidRPr="0016581E">
              <w:t xml:space="preserve"> </w:t>
            </w:r>
            <w:r w:rsidRPr="0016581E">
              <w:t>(</w:t>
            </w:r>
            <w:r w:rsidR="00416EEF">
              <w:t>PSD</w:t>
            </w:r>
            <w:r w:rsidRPr="0016581E">
              <w:t>, March 2017, item 7.13).</w:t>
            </w:r>
          </w:p>
        </w:tc>
        <w:tc>
          <w:tcPr>
            <w:tcW w:w="1371" w:type="pct"/>
            <w:shd w:val="clear" w:color="auto" w:fill="auto"/>
          </w:tcPr>
          <w:p w:rsidR="00CC66A8" w:rsidRPr="0016581E" w:rsidRDefault="00CC66A8" w:rsidP="00093A8E">
            <w:pPr>
              <w:pStyle w:val="TableText1"/>
              <w:spacing w:after="120"/>
              <w:rPr>
                <w:highlight w:val="cyan"/>
              </w:rPr>
            </w:pPr>
            <w:r w:rsidRPr="0016581E">
              <w:t xml:space="preserve">Included hospitalisation costs for treatment related </w:t>
            </w:r>
            <w:r w:rsidR="00666536" w:rsidRPr="0016581E">
              <w:t>SAEs</w:t>
            </w:r>
            <w:r w:rsidR="00093A8E" w:rsidRPr="0016581E">
              <w:t>.</w:t>
            </w:r>
          </w:p>
        </w:tc>
      </w:tr>
      <w:tr w:rsidR="00CC66A8" w:rsidRPr="0016581E" w:rsidTr="006B788D">
        <w:tc>
          <w:tcPr>
            <w:tcW w:w="3629" w:type="pct"/>
            <w:shd w:val="clear" w:color="auto" w:fill="auto"/>
          </w:tcPr>
          <w:p w:rsidR="001850F7" w:rsidRPr="0016581E" w:rsidRDefault="001850F7" w:rsidP="00CC66A8">
            <w:pPr>
              <w:widowControl/>
              <w:spacing w:after="120"/>
              <w:rPr>
                <w:rFonts w:ascii="Arial Narrow" w:hAnsi="Arial Narrow"/>
                <w:b/>
                <w:sz w:val="20"/>
              </w:rPr>
            </w:pPr>
            <w:r w:rsidRPr="0016581E">
              <w:rPr>
                <w:rFonts w:ascii="Arial Narrow" w:hAnsi="Arial Narrow"/>
                <w:b/>
                <w:sz w:val="20"/>
              </w:rPr>
              <w:t>Financial estimates</w:t>
            </w:r>
          </w:p>
          <w:p w:rsidR="00CC66A8" w:rsidRPr="0016581E" w:rsidRDefault="00CC66A8" w:rsidP="00CC66A8">
            <w:pPr>
              <w:widowControl/>
              <w:spacing w:after="120"/>
              <w:rPr>
                <w:rFonts w:ascii="Arial Narrow" w:hAnsi="Arial Narrow"/>
                <w:sz w:val="20"/>
              </w:rPr>
            </w:pPr>
            <w:r w:rsidRPr="0016581E">
              <w:rPr>
                <w:rFonts w:ascii="Arial Narrow" w:hAnsi="Arial Narrow"/>
                <w:sz w:val="20"/>
              </w:rPr>
              <w:t>The PBAC considered that usage and financial impact remained likely to be underestimated, due to:</w:t>
            </w:r>
          </w:p>
          <w:p w:rsidR="00CC66A8" w:rsidRPr="0016581E" w:rsidRDefault="00CC66A8" w:rsidP="009A4C06">
            <w:pPr>
              <w:pStyle w:val="ListParagraph"/>
              <w:widowControl/>
              <w:numPr>
                <w:ilvl w:val="0"/>
                <w:numId w:val="17"/>
              </w:numPr>
              <w:spacing w:after="120"/>
              <w:ind w:left="534" w:hanging="458"/>
              <w:rPr>
                <w:rFonts w:ascii="Arial Narrow" w:hAnsi="Arial Narrow"/>
                <w:sz w:val="20"/>
              </w:rPr>
            </w:pPr>
            <w:r w:rsidRPr="0016581E">
              <w:rPr>
                <w:rFonts w:ascii="Arial Narrow" w:hAnsi="Arial Narrow"/>
                <w:sz w:val="20"/>
              </w:rPr>
              <w:t>The likelihood that average treatment duration with palbociclib will be longer than the estimate from PALOMA-2 (median PFS of 24.8 months).</w:t>
            </w:r>
          </w:p>
          <w:p w:rsidR="00CC66A8" w:rsidRPr="0016581E" w:rsidRDefault="00CC66A8" w:rsidP="009A4C06">
            <w:pPr>
              <w:pStyle w:val="ListParagraph"/>
              <w:widowControl/>
              <w:numPr>
                <w:ilvl w:val="0"/>
                <w:numId w:val="17"/>
              </w:numPr>
              <w:spacing w:after="120"/>
              <w:ind w:left="534" w:hanging="458"/>
              <w:rPr>
                <w:rFonts w:ascii="Arial Narrow" w:hAnsi="Arial Narrow"/>
                <w:sz w:val="20"/>
              </w:rPr>
            </w:pPr>
            <w:r w:rsidRPr="0016581E">
              <w:rPr>
                <w:rFonts w:ascii="Arial Narrow" w:hAnsi="Arial Narrow"/>
                <w:sz w:val="20"/>
              </w:rPr>
              <w:t xml:space="preserve">The risk of treatment with palbociclib continuing post-progression even with a restriction specifying conditions relating to ceasing treatment. </w:t>
            </w:r>
          </w:p>
          <w:p w:rsidR="00CC66A8" w:rsidRPr="0016581E" w:rsidRDefault="00CC66A8" w:rsidP="009A4C06">
            <w:pPr>
              <w:pStyle w:val="ListParagraph"/>
              <w:widowControl/>
              <w:numPr>
                <w:ilvl w:val="0"/>
                <w:numId w:val="17"/>
              </w:numPr>
              <w:spacing w:after="120"/>
              <w:ind w:left="534" w:hanging="458"/>
              <w:rPr>
                <w:rFonts w:ascii="Arial Narrow" w:hAnsi="Arial Narrow"/>
                <w:sz w:val="20"/>
              </w:rPr>
            </w:pPr>
            <w:r w:rsidRPr="0016581E">
              <w:rPr>
                <w:rFonts w:ascii="Arial Narrow" w:hAnsi="Arial Narrow"/>
                <w:sz w:val="20"/>
              </w:rPr>
              <w:t>The potential for use in patients being treated with letrozole or anastrozole at the time of palbociclib’s listing (i.e. the prevalent pool of patients).</w:t>
            </w:r>
          </w:p>
          <w:p w:rsidR="00CC66A8" w:rsidRPr="0016581E" w:rsidRDefault="00CC66A8" w:rsidP="009A4C06">
            <w:pPr>
              <w:pStyle w:val="ListParagraph"/>
              <w:widowControl/>
              <w:numPr>
                <w:ilvl w:val="0"/>
                <w:numId w:val="17"/>
              </w:numPr>
              <w:spacing w:after="120"/>
              <w:ind w:left="534" w:hanging="458"/>
              <w:rPr>
                <w:bCs/>
              </w:rPr>
            </w:pPr>
            <w:r w:rsidRPr="0016581E">
              <w:rPr>
                <w:rFonts w:ascii="Arial Narrow" w:hAnsi="Arial Narrow"/>
                <w:sz w:val="20"/>
              </w:rPr>
              <w:t>Due to the different avenues through which patient’s may currently access palbociclib, the size of patient population who would likely be eligible for grandfathering may be greater than approximately 500, as stated in the pre-PBAC response</w:t>
            </w:r>
            <w:r w:rsidRPr="0016581E">
              <w:rPr>
                <w:bCs/>
              </w:rPr>
              <w:t xml:space="preserve">. </w:t>
            </w:r>
          </w:p>
          <w:p w:rsidR="00CC66A8" w:rsidRPr="0016581E" w:rsidRDefault="00CC66A8" w:rsidP="00CC66A8">
            <w:pPr>
              <w:pStyle w:val="TableText1"/>
              <w:keepNext w:val="0"/>
              <w:widowControl w:val="0"/>
              <w:spacing w:after="120"/>
            </w:pPr>
            <w:r w:rsidRPr="0016581E">
              <w:t>(</w:t>
            </w:r>
            <w:r w:rsidR="00416EEF">
              <w:t>PSD</w:t>
            </w:r>
            <w:r w:rsidRPr="0016581E">
              <w:t>, March 2017, item 7.14).</w:t>
            </w:r>
          </w:p>
        </w:tc>
        <w:tc>
          <w:tcPr>
            <w:tcW w:w="1371" w:type="pct"/>
            <w:shd w:val="clear" w:color="auto" w:fill="auto"/>
          </w:tcPr>
          <w:p w:rsidR="008D0FF8" w:rsidRPr="0016581E" w:rsidRDefault="008D0FF8" w:rsidP="001C57D5">
            <w:pPr>
              <w:spacing w:after="120"/>
              <w:rPr>
                <w:rFonts w:ascii="Arial Narrow" w:hAnsi="Arial Narrow"/>
                <w:sz w:val="20"/>
              </w:rPr>
            </w:pPr>
            <w:r w:rsidRPr="0016581E">
              <w:rPr>
                <w:rFonts w:ascii="Arial Narrow" w:hAnsi="Arial Narrow"/>
                <w:sz w:val="20"/>
              </w:rPr>
              <w:t>The re-submission included a note within the PBS restriction that patients whose disease progressed on palbociclib would no longer be eligible for PBS-subsidised palbociclib.</w:t>
            </w:r>
          </w:p>
          <w:p w:rsidR="00CC66A8" w:rsidRPr="0016581E" w:rsidRDefault="008D0FF8" w:rsidP="00716343">
            <w:pPr>
              <w:spacing w:after="120"/>
              <w:rPr>
                <w:rFonts w:ascii="Arial Narrow" w:hAnsi="Arial Narrow"/>
                <w:sz w:val="20"/>
              </w:rPr>
            </w:pPr>
            <w:r w:rsidRPr="0016581E">
              <w:rPr>
                <w:rFonts w:ascii="Arial Narrow" w:hAnsi="Arial Narrow"/>
                <w:sz w:val="20"/>
              </w:rPr>
              <w:t>The re-submission</w:t>
            </w:r>
            <w:r w:rsidR="00171202" w:rsidRPr="0016581E">
              <w:rPr>
                <w:rFonts w:ascii="Arial Narrow" w:hAnsi="Arial Narrow"/>
                <w:sz w:val="20"/>
              </w:rPr>
              <w:t xml:space="preserve"> (and reiterated in the PSCR) </w:t>
            </w:r>
            <w:r w:rsidR="001C57D5" w:rsidRPr="0016581E">
              <w:rPr>
                <w:rFonts w:ascii="Arial Narrow" w:hAnsi="Arial Narrow"/>
                <w:sz w:val="20"/>
              </w:rPr>
              <w:t>a</w:t>
            </w:r>
            <w:r w:rsidR="00CC66A8" w:rsidRPr="0016581E">
              <w:rPr>
                <w:rFonts w:ascii="Arial Narrow" w:hAnsi="Arial Narrow"/>
                <w:sz w:val="20"/>
              </w:rPr>
              <w:t xml:space="preserve">dded grandfathered patients </w:t>
            </w:r>
            <w:r w:rsidR="001C57D5" w:rsidRPr="0016581E">
              <w:rPr>
                <w:rFonts w:ascii="Arial Narrow" w:hAnsi="Arial Narrow"/>
                <w:sz w:val="20"/>
              </w:rPr>
              <w:t>in the financial estimates</w:t>
            </w:r>
            <w:r w:rsidR="00171202" w:rsidRPr="0016581E">
              <w:rPr>
                <w:rFonts w:ascii="Arial Narrow" w:hAnsi="Arial Narrow"/>
                <w:sz w:val="20"/>
              </w:rPr>
              <w:t xml:space="preserve"> and requested a Grandfather </w:t>
            </w:r>
            <w:r w:rsidR="000C20B6" w:rsidRPr="0016581E">
              <w:rPr>
                <w:rFonts w:ascii="Arial Narrow" w:hAnsi="Arial Narrow"/>
                <w:sz w:val="20"/>
              </w:rPr>
              <w:t xml:space="preserve">restriction. </w:t>
            </w:r>
          </w:p>
        </w:tc>
      </w:tr>
    </w:tbl>
    <w:p w:rsidR="004E23FC" w:rsidRPr="0016581E" w:rsidRDefault="00D712A7" w:rsidP="00666536">
      <w:pPr>
        <w:rPr>
          <w:rFonts w:ascii="Arial Narrow" w:hAnsi="Arial Narrow"/>
          <w:sz w:val="18"/>
          <w:szCs w:val="18"/>
        </w:rPr>
      </w:pPr>
      <w:r w:rsidRPr="0016581E">
        <w:rPr>
          <w:rFonts w:ascii="Arial Narrow" w:hAnsi="Arial Narrow"/>
          <w:sz w:val="18"/>
          <w:szCs w:val="18"/>
        </w:rPr>
        <w:t xml:space="preserve">AE: Adverse event. </w:t>
      </w:r>
      <w:r w:rsidR="00666536" w:rsidRPr="0016581E">
        <w:rPr>
          <w:rFonts w:ascii="Arial Narrow" w:hAnsi="Arial Narrow"/>
          <w:sz w:val="18"/>
          <w:szCs w:val="18"/>
        </w:rPr>
        <w:t xml:space="preserve">PFS: </w:t>
      </w:r>
      <w:r w:rsidR="00985684" w:rsidRPr="0016581E">
        <w:rPr>
          <w:rFonts w:ascii="Arial Narrow" w:hAnsi="Arial Narrow"/>
          <w:sz w:val="18"/>
          <w:szCs w:val="18"/>
        </w:rPr>
        <w:t>Progression-free</w:t>
      </w:r>
      <w:r w:rsidR="00666536" w:rsidRPr="0016581E">
        <w:rPr>
          <w:rFonts w:ascii="Arial Narrow" w:hAnsi="Arial Narrow"/>
          <w:sz w:val="18"/>
          <w:szCs w:val="18"/>
        </w:rPr>
        <w:t xml:space="preserve"> survival. SAE: Serious adverse event.</w:t>
      </w:r>
    </w:p>
    <w:p w:rsidR="009D1282" w:rsidRPr="0016581E" w:rsidRDefault="004E23FC" w:rsidP="0032077E">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Ribociclib, a near market comparator, was also considered by the PBAC in July 2017 for the first-line endocrine treatment of hormone receptor HR+, HER2- </w:t>
      </w:r>
      <w:r w:rsidR="00F0597F" w:rsidRPr="0016581E">
        <w:rPr>
          <w:rFonts w:asciiTheme="minorHAnsi" w:hAnsiTheme="minorHAnsi" w:cstheme="minorHAnsi"/>
          <w:color w:val="000000" w:themeColor="text1"/>
          <w:sz w:val="24"/>
        </w:rPr>
        <w:t xml:space="preserve">advanced </w:t>
      </w:r>
      <w:r w:rsidR="00F0597F" w:rsidRPr="0016581E">
        <w:rPr>
          <w:rFonts w:asciiTheme="minorHAnsi" w:hAnsiTheme="minorHAnsi" w:cstheme="minorHAnsi"/>
          <w:color w:val="000000" w:themeColor="text1"/>
          <w:sz w:val="24"/>
        </w:rPr>
        <w:lastRenderedPageBreak/>
        <w:t xml:space="preserve">breast cancer </w:t>
      </w:r>
      <w:r w:rsidR="00F0597F">
        <w:rPr>
          <w:rFonts w:asciiTheme="minorHAnsi" w:hAnsiTheme="minorHAnsi" w:cstheme="minorHAnsi"/>
          <w:color w:val="000000" w:themeColor="text1"/>
          <w:sz w:val="24"/>
        </w:rPr>
        <w:t>(</w:t>
      </w:r>
      <w:r w:rsidRPr="0016581E">
        <w:rPr>
          <w:rFonts w:asciiTheme="minorHAnsi" w:hAnsiTheme="minorHAnsi" w:cstheme="minorHAnsi"/>
          <w:sz w:val="24"/>
          <w:szCs w:val="24"/>
        </w:rPr>
        <w:t>ABC</w:t>
      </w:r>
      <w:r w:rsidR="00F0597F">
        <w:rPr>
          <w:rFonts w:asciiTheme="minorHAnsi" w:hAnsiTheme="minorHAnsi" w:cstheme="minorHAnsi"/>
          <w:sz w:val="24"/>
          <w:szCs w:val="24"/>
        </w:rPr>
        <w:t>)</w:t>
      </w:r>
      <w:r w:rsidRPr="0016581E">
        <w:rPr>
          <w:rFonts w:asciiTheme="minorHAnsi" w:hAnsiTheme="minorHAnsi" w:cstheme="minorHAnsi"/>
          <w:sz w:val="24"/>
          <w:szCs w:val="24"/>
        </w:rPr>
        <w:t xml:space="preserve"> in combination with letrozole.</w:t>
      </w:r>
      <w:r w:rsidR="001D3CDC" w:rsidRPr="0016581E">
        <w:rPr>
          <w:rFonts w:asciiTheme="minorHAnsi" w:hAnsiTheme="minorHAnsi" w:cstheme="minorHAnsi"/>
          <w:sz w:val="24"/>
          <w:szCs w:val="24"/>
        </w:rPr>
        <w:t xml:space="preserve"> At the meeting, the PBAC did not recommend the listing of ribociclib on the PBS as initial endocrine-based therapy for patients with non pre</w:t>
      </w:r>
      <w:r w:rsidR="00CA381F">
        <w:rPr>
          <w:rFonts w:asciiTheme="minorHAnsi" w:hAnsiTheme="minorHAnsi" w:cstheme="minorHAnsi"/>
          <w:sz w:val="24"/>
          <w:szCs w:val="24"/>
        </w:rPr>
        <w:t>-</w:t>
      </w:r>
      <w:r w:rsidR="001D3CDC" w:rsidRPr="0016581E">
        <w:rPr>
          <w:rFonts w:asciiTheme="minorHAnsi" w:hAnsiTheme="minorHAnsi" w:cstheme="minorHAnsi"/>
          <w:sz w:val="24"/>
          <w:szCs w:val="24"/>
        </w:rPr>
        <w:t>menopausal, hormone receptor positive (HR+), human epidermal growth factor receptor 2 negative (HER2-) advanced breast cancer on the basis of unfavourable and uncertain cost-effectiveness, and uncertainties regarding the effect of ribociclib on overall survival based on the data presented in the submission. The PBAC considered that the incremental cost-effectiveness ratio (ICER) was unacceptably high, noting that this was largely driven by the high cost of ribociclib.</w:t>
      </w:r>
      <w:r w:rsidR="009D1282" w:rsidRPr="0016581E">
        <w:rPr>
          <w:rFonts w:asciiTheme="minorHAnsi" w:hAnsiTheme="minorHAnsi" w:cstheme="minorHAnsi"/>
          <w:sz w:val="24"/>
          <w:szCs w:val="24"/>
        </w:rPr>
        <w:t xml:space="preserve"> A major re-submission was </w:t>
      </w:r>
      <w:r w:rsidR="009D1282" w:rsidRPr="0016581E">
        <w:rPr>
          <w:rFonts w:asciiTheme="minorHAnsi" w:hAnsiTheme="minorHAnsi" w:cstheme="minorHAnsi"/>
          <w:sz w:val="24"/>
        </w:rPr>
        <w:t>considered by the PBAC for a similar indication at the November 2017 meeting.</w:t>
      </w:r>
    </w:p>
    <w:p w:rsidR="00B97E36" w:rsidRPr="0016581E" w:rsidRDefault="00B97E36" w:rsidP="00482718">
      <w:pPr>
        <w:spacing w:before="120" w:after="160"/>
        <w:ind w:firstLine="709"/>
        <w:rPr>
          <w:rFonts w:asciiTheme="minorHAnsi" w:hAnsiTheme="minorHAnsi" w:cstheme="minorHAnsi"/>
          <w:sz w:val="24"/>
          <w:szCs w:val="24"/>
        </w:rPr>
      </w:pPr>
      <w:r w:rsidRPr="0016581E">
        <w:rPr>
          <w:rFonts w:asciiTheme="minorHAnsi" w:hAnsiTheme="minorHAnsi"/>
          <w:i/>
          <w:sz w:val="24"/>
          <w:szCs w:val="24"/>
        </w:rPr>
        <w:t>For more detail on PBAC’s view, see section 7 PBAC outcome.</w:t>
      </w:r>
    </w:p>
    <w:p w:rsidR="004E23FC" w:rsidRPr="0016581E" w:rsidRDefault="0046025D" w:rsidP="00397776">
      <w:pPr>
        <w:pStyle w:val="Heading1"/>
        <w:keepNext/>
        <w:keepLines/>
        <w:widowControl/>
        <w:numPr>
          <w:ilvl w:val="0"/>
          <w:numId w:val="5"/>
        </w:numPr>
        <w:spacing w:before="240" w:after="120"/>
        <w:ind w:left="709" w:hanging="709"/>
        <w:jc w:val="left"/>
      </w:pPr>
      <w:bookmarkStart w:id="16" w:name="_Toc493059781"/>
      <w:r w:rsidRPr="0016581E">
        <w:rPr>
          <w:caps w:val="0"/>
        </w:rPr>
        <w:t>Population and disease</w:t>
      </w:r>
      <w:bookmarkEnd w:id="16"/>
    </w:p>
    <w:p w:rsidR="0032077E" w:rsidRDefault="004E23FC" w:rsidP="0032077E">
      <w:pPr>
        <w:pStyle w:val="ListParagraph"/>
        <w:numPr>
          <w:ilvl w:val="1"/>
          <w:numId w:val="5"/>
        </w:numPr>
        <w:spacing w:before="120" w:after="160"/>
        <w:ind w:left="709" w:hanging="709"/>
        <w:contextualSpacing w:val="0"/>
        <w:rPr>
          <w:rFonts w:asciiTheme="minorHAnsi" w:hAnsiTheme="minorHAnsi" w:cstheme="minorHAnsi"/>
          <w:sz w:val="24"/>
        </w:rPr>
      </w:pPr>
      <w:r w:rsidRPr="0016581E">
        <w:rPr>
          <w:rFonts w:asciiTheme="minorHAnsi" w:hAnsiTheme="minorHAnsi" w:cstheme="minorHAnsi"/>
          <w:sz w:val="24"/>
        </w:rPr>
        <w:t xml:space="preserve">Breast cancer is among the most commonly diagnosed cancers in Australia. The most common form of breast cancer is the HR+/HER- molecular subtype, which is associated with favourable prognosis due to its responsiveness to hormonal/endocrine therapy. However, development of endocrine resistance </w:t>
      </w:r>
      <w:r w:rsidR="0070249F" w:rsidRPr="0016581E">
        <w:rPr>
          <w:rFonts w:asciiTheme="minorHAnsi" w:hAnsiTheme="minorHAnsi" w:cstheme="minorHAnsi"/>
          <w:sz w:val="24"/>
        </w:rPr>
        <w:t xml:space="preserve">may </w:t>
      </w:r>
      <w:r w:rsidRPr="0016581E">
        <w:rPr>
          <w:rFonts w:asciiTheme="minorHAnsi" w:hAnsiTheme="minorHAnsi" w:cstheme="minorHAnsi"/>
          <w:sz w:val="24"/>
        </w:rPr>
        <w:t>limit the efficacy of current therapies, which eventually leads to disease progression.</w:t>
      </w:r>
    </w:p>
    <w:p w:rsidR="004E23FC" w:rsidRPr="0032077E" w:rsidRDefault="004E23FC" w:rsidP="0032077E">
      <w:pPr>
        <w:pStyle w:val="ListParagraph"/>
        <w:numPr>
          <w:ilvl w:val="1"/>
          <w:numId w:val="5"/>
        </w:numPr>
        <w:spacing w:before="120" w:after="160"/>
        <w:ind w:left="709" w:hanging="709"/>
        <w:contextualSpacing w:val="0"/>
        <w:rPr>
          <w:rFonts w:asciiTheme="minorHAnsi" w:hAnsiTheme="minorHAnsi" w:cstheme="minorHAnsi"/>
          <w:sz w:val="24"/>
        </w:rPr>
      </w:pPr>
      <w:r w:rsidRPr="0032077E">
        <w:rPr>
          <w:rFonts w:asciiTheme="minorHAnsi" w:hAnsiTheme="minorHAnsi" w:cstheme="minorHAnsi"/>
          <w:sz w:val="24"/>
          <w:szCs w:val="24"/>
        </w:rPr>
        <w:t>The</w:t>
      </w:r>
      <w:r w:rsidRPr="0032077E">
        <w:rPr>
          <w:rFonts w:asciiTheme="minorHAnsi" w:hAnsiTheme="minorHAnsi" w:cstheme="minorHAnsi"/>
          <w:sz w:val="24"/>
        </w:rPr>
        <w:t xml:space="preserve"> re-submission proposed the addition of palbociclib, in combination with a NSAI, for the treatment of non pre-menopausal patients with HR+/HER2- locally advanced inoperable breast cancer and metastatic breast cancer. While palbociclib was proposed for listing</w:t>
      </w:r>
      <w:r w:rsidR="00574288" w:rsidRPr="0032077E">
        <w:rPr>
          <w:rFonts w:asciiTheme="minorHAnsi" w:hAnsiTheme="minorHAnsi" w:cstheme="minorHAnsi"/>
          <w:sz w:val="24"/>
        </w:rPr>
        <w:t xml:space="preserve"> and registered</w:t>
      </w:r>
      <w:r w:rsidRPr="0032077E">
        <w:rPr>
          <w:rFonts w:asciiTheme="minorHAnsi" w:hAnsiTheme="minorHAnsi" w:cstheme="minorHAnsi"/>
          <w:sz w:val="24"/>
        </w:rPr>
        <w:t xml:space="preserve"> in combination with any NSAI, the clinical evidence presented in the </w:t>
      </w:r>
      <w:r w:rsidR="008C08EE" w:rsidRPr="0032077E">
        <w:rPr>
          <w:rFonts w:asciiTheme="minorHAnsi" w:hAnsiTheme="minorHAnsi" w:cstheme="minorHAnsi"/>
          <w:sz w:val="24"/>
        </w:rPr>
        <w:t>re-</w:t>
      </w:r>
      <w:r w:rsidRPr="0032077E">
        <w:rPr>
          <w:rFonts w:asciiTheme="minorHAnsi" w:hAnsiTheme="minorHAnsi" w:cstheme="minorHAnsi"/>
          <w:sz w:val="24"/>
        </w:rPr>
        <w:t xml:space="preserve">submission </w:t>
      </w:r>
      <w:r w:rsidR="002966B8" w:rsidRPr="0032077E">
        <w:rPr>
          <w:rFonts w:asciiTheme="minorHAnsi" w:hAnsiTheme="minorHAnsi" w:cstheme="minorHAnsi"/>
          <w:sz w:val="24"/>
        </w:rPr>
        <w:t>was</w:t>
      </w:r>
      <w:r w:rsidRPr="0032077E">
        <w:rPr>
          <w:rFonts w:asciiTheme="minorHAnsi" w:hAnsiTheme="minorHAnsi" w:cstheme="minorHAnsi"/>
          <w:sz w:val="24"/>
        </w:rPr>
        <w:t xml:space="preserve"> specific to a particular NSAI </w:t>
      </w:r>
      <w:r w:rsidR="00EF2CB4" w:rsidRPr="0032077E">
        <w:rPr>
          <w:rFonts w:asciiTheme="minorHAnsi" w:hAnsiTheme="minorHAnsi" w:cstheme="minorHAnsi"/>
          <w:sz w:val="24"/>
        </w:rPr>
        <w:t>(letrozole).</w:t>
      </w:r>
    </w:p>
    <w:p w:rsidR="00B97E36" w:rsidRPr="0016581E" w:rsidRDefault="00B97E36" w:rsidP="0083492B">
      <w:pPr>
        <w:spacing w:before="120" w:after="160"/>
        <w:ind w:firstLine="709"/>
        <w:rPr>
          <w:bCs/>
        </w:rPr>
      </w:pPr>
      <w:r w:rsidRPr="0016581E">
        <w:rPr>
          <w:rFonts w:asciiTheme="minorHAnsi" w:hAnsiTheme="minorHAnsi"/>
          <w:i/>
          <w:sz w:val="24"/>
          <w:szCs w:val="24"/>
        </w:rPr>
        <w:t>For more detail on PBAC’s view, see section 7 PBAC outcome.</w:t>
      </w:r>
    </w:p>
    <w:p w:rsidR="004E23FC" w:rsidRPr="0016581E" w:rsidRDefault="0046025D" w:rsidP="00397776">
      <w:pPr>
        <w:pStyle w:val="Heading1"/>
        <w:keepNext/>
        <w:keepLines/>
        <w:widowControl/>
        <w:numPr>
          <w:ilvl w:val="0"/>
          <w:numId w:val="5"/>
        </w:numPr>
        <w:spacing w:before="240" w:after="120"/>
        <w:ind w:left="709" w:hanging="709"/>
        <w:jc w:val="left"/>
      </w:pPr>
      <w:bookmarkStart w:id="17" w:name="_Toc413139275"/>
      <w:bookmarkStart w:id="18" w:name="_Toc493059782"/>
      <w:r w:rsidRPr="0016581E">
        <w:rPr>
          <w:caps w:val="0"/>
        </w:rPr>
        <w:t>Comparator</w:t>
      </w:r>
      <w:bookmarkEnd w:id="17"/>
      <w:bookmarkEnd w:id="18"/>
    </w:p>
    <w:p w:rsidR="004E23FC" w:rsidRPr="0016581E" w:rsidRDefault="0016581E" w:rsidP="0032077E">
      <w:pPr>
        <w:pStyle w:val="ListParagraph"/>
        <w:numPr>
          <w:ilvl w:val="1"/>
          <w:numId w:val="5"/>
        </w:numPr>
        <w:spacing w:before="120" w:after="160"/>
        <w:ind w:left="709" w:hanging="709"/>
        <w:contextualSpacing w:val="0"/>
        <w:rPr>
          <w:rFonts w:asciiTheme="minorHAnsi" w:hAnsiTheme="minorHAnsi" w:cstheme="minorHAnsi"/>
          <w:sz w:val="24"/>
        </w:rPr>
      </w:pPr>
      <w:r>
        <w:rPr>
          <w:rFonts w:asciiTheme="minorHAnsi" w:hAnsiTheme="minorHAnsi" w:cstheme="minorHAnsi"/>
          <w:sz w:val="24"/>
        </w:rPr>
        <w:t xml:space="preserve">The comparator provided in the resubmission was </w:t>
      </w:r>
      <w:r w:rsidR="004E23FC" w:rsidRPr="0016581E">
        <w:rPr>
          <w:rFonts w:asciiTheme="minorHAnsi" w:hAnsiTheme="minorHAnsi" w:cstheme="minorHAnsi"/>
          <w:sz w:val="24"/>
        </w:rPr>
        <w:t xml:space="preserve">NSAI (letrozole or anastrozole) alone. </w:t>
      </w:r>
      <w:r w:rsidR="00574288" w:rsidRPr="0016581E">
        <w:rPr>
          <w:rFonts w:asciiTheme="minorHAnsi" w:hAnsiTheme="minorHAnsi" w:cstheme="minorHAnsi"/>
          <w:sz w:val="24"/>
        </w:rPr>
        <w:t>This is unchanged from the previous submission.</w:t>
      </w:r>
      <w:r w:rsidR="00EF2CB4" w:rsidRPr="0016581E">
        <w:rPr>
          <w:rFonts w:asciiTheme="minorHAnsi" w:hAnsiTheme="minorHAnsi" w:cstheme="minorHAnsi"/>
          <w:sz w:val="24"/>
        </w:rPr>
        <w:t xml:space="preserve"> </w:t>
      </w:r>
      <w:r w:rsidR="004E23FC" w:rsidRPr="0016581E">
        <w:rPr>
          <w:rFonts w:asciiTheme="minorHAnsi" w:hAnsiTheme="minorHAnsi" w:cstheme="minorHAnsi"/>
          <w:sz w:val="24"/>
        </w:rPr>
        <w:t>T</w:t>
      </w:r>
      <w:r w:rsidR="00574288" w:rsidRPr="0016581E">
        <w:rPr>
          <w:rFonts w:asciiTheme="minorHAnsi" w:hAnsiTheme="minorHAnsi" w:cstheme="minorHAnsi"/>
          <w:sz w:val="24"/>
        </w:rPr>
        <w:t xml:space="preserve">he PBAC </w:t>
      </w:r>
      <w:r w:rsidR="004570E5" w:rsidRPr="0016581E">
        <w:rPr>
          <w:rFonts w:asciiTheme="minorHAnsi" w:hAnsiTheme="minorHAnsi" w:cstheme="minorHAnsi"/>
          <w:sz w:val="24"/>
        </w:rPr>
        <w:t xml:space="preserve">previously </w:t>
      </w:r>
      <w:r w:rsidR="00574288" w:rsidRPr="0016581E">
        <w:rPr>
          <w:rFonts w:asciiTheme="minorHAnsi" w:hAnsiTheme="minorHAnsi" w:cstheme="minorHAnsi"/>
          <w:sz w:val="24"/>
        </w:rPr>
        <w:t>considered</w:t>
      </w:r>
      <w:r w:rsidR="00EF2CB4" w:rsidRPr="0016581E">
        <w:rPr>
          <w:rFonts w:asciiTheme="minorHAnsi" w:hAnsiTheme="minorHAnsi" w:cstheme="minorHAnsi"/>
          <w:sz w:val="24"/>
        </w:rPr>
        <w:t xml:space="preserve"> that</w:t>
      </w:r>
      <w:r w:rsidR="00574288" w:rsidRPr="0016581E">
        <w:rPr>
          <w:rFonts w:asciiTheme="minorHAnsi" w:hAnsiTheme="minorHAnsi" w:cstheme="minorHAnsi"/>
          <w:sz w:val="24"/>
        </w:rPr>
        <w:t xml:space="preserve"> t</w:t>
      </w:r>
      <w:r w:rsidR="004E23FC" w:rsidRPr="0016581E">
        <w:rPr>
          <w:rFonts w:asciiTheme="minorHAnsi" w:hAnsiTheme="minorHAnsi" w:cstheme="minorHAnsi"/>
          <w:sz w:val="24"/>
        </w:rPr>
        <w:t xml:space="preserve">his is the appropriate comparator. </w:t>
      </w:r>
    </w:p>
    <w:p w:rsidR="00F9515F" w:rsidRPr="0016581E" w:rsidRDefault="009D1282" w:rsidP="0032077E">
      <w:pPr>
        <w:pStyle w:val="ListParagraph"/>
        <w:numPr>
          <w:ilvl w:val="1"/>
          <w:numId w:val="5"/>
        </w:numPr>
        <w:spacing w:before="120" w:after="160"/>
        <w:ind w:left="709" w:hanging="709"/>
        <w:contextualSpacing w:val="0"/>
        <w:rPr>
          <w:rFonts w:asciiTheme="minorHAnsi" w:hAnsiTheme="minorHAnsi" w:cstheme="minorHAnsi"/>
          <w:sz w:val="24"/>
        </w:rPr>
      </w:pPr>
      <w:r w:rsidRPr="0016581E">
        <w:rPr>
          <w:rFonts w:asciiTheme="minorHAnsi" w:hAnsiTheme="minorHAnsi" w:cstheme="minorHAnsi"/>
          <w:sz w:val="24"/>
        </w:rPr>
        <w:t>The</w:t>
      </w:r>
      <w:r w:rsidR="008C212A" w:rsidRPr="0016581E">
        <w:rPr>
          <w:rFonts w:asciiTheme="minorHAnsi" w:hAnsiTheme="minorHAnsi" w:cstheme="minorHAnsi"/>
          <w:sz w:val="24"/>
          <w:szCs w:val="24"/>
        </w:rPr>
        <w:t xml:space="preserve"> ESC </w:t>
      </w:r>
      <w:r w:rsidRPr="0016581E">
        <w:rPr>
          <w:rFonts w:asciiTheme="minorHAnsi" w:hAnsiTheme="minorHAnsi" w:cstheme="minorHAnsi"/>
          <w:sz w:val="24"/>
          <w:szCs w:val="24"/>
        </w:rPr>
        <w:t xml:space="preserve">considered </w:t>
      </w:r>
      <w:r w:rsidR="008C212A" w:rsidRPr="0016581E">
        <w:rPr>
          <w:rFonts w:asciiTheme="minorHAnsi" w:hAnsiTheme="minorHAnsi" w:cstheme="minorHAnsi"/>
          <w:sz w:val="24"/>
          <w:szCs w:val="24"/>
        </w:rPr>
        <w:t xml:space="preserve">that </w:t>
      </w:r>
      <w:r w:rsidR="00F67696" w:rsidRPr="0016581E">
        <w:rPr>
          <w:rFonts w:asciiTheme="minorHAnsi" w:hAnsiTheme="minorHAnsi" w:cstheme="minorHAnsi"/>
          <w:sz w:val="24"/>
        </w:rPr>
        <w:t xml:space="preserve">it </w:t>
      </w:r>
      <w:r w:rsidR="00187F42" w:rsidRPr="0016581E">
        <w:rPr>
          <w:rFonts w:asciiTheme="minorHAnsi" w:hAnsiTheme="minorHAnsi" w:cstheme="minorHAnsi"/>
          <w:sz w:val="24"/>
        </w:rPr>
        <w:t xml:space="preserve">would be </w:t>
      </w:r>
      <w:r w:rsidR="00F67696" w:rsidRPr="0016581E">
        <w:rPr>
          <w:rFonts w:asciiTheme="minorHAnsi" w:hAnsiTheme="minorHAnsi" w:cstheme="minorHAnsi"/>
          <w:sz w:val="24"/>
        </w:rPr>
        <w:t>appropriate to consider</w:t>
      </w:r>
      <w:r w:rsidR="00724291" w:rsidRPr="0016581E">
        <w:rPr>
          <w:rFonts w:asciiTheme="minorHAnsi" w:hAnsiTheme="minorHAnsi" w:cstheme="minorHAnsi"/>
          <w:sz w:val="24"/>
        </w:rPr>
        <w:t xml:space="preserve"> ribociclib </w:t>
      </w:r>
      <w:r w:rsidR="00F67696" w:rsidRPr="0016581E">
        <w:rPr>
          <w:rFonts w:asciiTheme="minorHAnsi" w:hAnsiTheme="minorHAnsi" w:cstheme="minorHAnsi"/>
          <w:sz w:val="24"/>
        </w:rPr>
        <w:t>as a</w:t>
      </w:r>
      <w:r w:rsidR="00724291" w:rsidRPr="0016581E">
        <w:rPr>
          <w:rFonts w:asciiTheme="minorHAnsi" w:hAnsiTheme="minorHAnsi" w:cstheme="minorHAnsi"/>
          <w:sz w:val="24"/>
        </w:rPr>
        <w:t xml:space="preserve"> near market comparator, </w:t>
      </w:r>
      <w:r w:rsidRPr="0016581E">
        <w:rPr>
          <w:rFonts w:asciiTheme="minorHAnsi" w:hAnsiTheme="minorHAnsi" w:cstheme="minorHAnsi"/>
          <w:sz w:val="24"/>
        </w:rPr>
        <w:t>which was on the agenda</w:t>
      </w:r>
      <w:r w:rsidR="00724291" w:rsidRPr="0016581E">
        <w:rPr>
          <w:rFonts w:asciiTheme="minorHAnsi" w:hAnsiTheme="minorHAnsi" w:cstheme="minorHAnsi"/>
          <w:sz w:val="24"/>
        </w:rPr>
        <w:t xml:space="preserve"> for a similar indication </w:t>
      </w:r>
      <w:r w:rsidR="00574288" w:rsidRPr="0016581E">
        <w:rPr>
          <w:rFonts w:asciiTheme="minorHAnsi" w:hAnsiTheme="minorHAnsi" w:cstheme="minorHAnsi"/>
          <w:sz w:val="24"/>
        </w:rPr>
        <w:t>at the November</w:t>
      </w:r>
      <w:r w:rsidR="00724291" w:rsidRPr="0016581E">
        <w:rPr>
          <w:rFonts w:asciiTheme="minorHAnsi" w:hAnsiTheme="minorHAnsi" w:cstheme="minorHAnsi"/>
          <w:sz w:val="24"/>
        </w:rPr>
        <w:t xml:space="preserve"> 2017</w:t>
      </w:r>
      <w:r w:rsidR="00F66A9C" w:rsidRPr="0016581E">
        <w:rPr>
          <w:rFonts w:asciiTheme="minorHAnsi" w:hAnsiTheme="minorHAnsi" w:cstheme="minorHAnsi"/>
          <w:sz w:val="24"/>
        </w:rPr>
        <w:t xml:space="preserve"> meeting</w:t>
      </w:r>
      <w:r w:rsidR="00724291" w:rsidRPr="0016581E">
        <w:rPr>
          <w:rFonts w:asciiTheme="minorHAnsi" w:hAnsiTheme="minorHAnsi" w:cstheme="minorHAnsi"/>
          <w:sz w:val="24"/>
        </w:rPr>
        <w:t>.</w:t>
      </w:r>
    </w:p>
    <w:p w:rsidR="00B97E36" w:rsidRPr="0016581E" w:rsidRDefault="00B97E36" w:rsidP="00284998">
      <w:pPr>
        <w:spacing w:before="120" w:after="160"/>
        <w:ind w:firstLine="709"/>
        <w:rPr>
          <w:rFonts w:asciiTheme="minorHAnsi" w:hAnsiTheme="minorHAnsi" w:cstheme="minorHAnsi"/>
          <w:sz w:val="24"/>
        </w:rPr>
      </w:pPr>
      <w:r w:rsidRPr="0016581E">
        <w:rPr>
          <w:rFonts w:asciiTheme="minorHAnsi" w:hAnsiTheme="minorHAnsi"/>
          <w:i/>
          <w:sz w:val="24"/>
          <w:szCs w:val="24"/>
        </w:rPr>
        <w:t>For more detail on PBAC’s view, see section 7 PBAC outcome.</w:t>
      </w:r>
    </w:p>
    <w:p w:rsidR="004E23FC" w:rsidRPr="0016581E" w:rsidRDefault="0046025D" w:rsidP="00397776">
      <w:pPr>
        <w:pStyle w:val="Heading1"/>
        <w:keepNext/>
        <w:keepLines/>
        <w:widowControl/>
        <w:numPr>
          <w:ilvl w:val="0"/>
          <w:numId w:val="5"/>
        </w:numPr>
        <w:spacing w:before="240" w:after="120"/>
        <w:ind w:left="709" w:hanging="709"/>
        <w:jc w:val="left"/>
      </w:pPr>
      <w:bookmarkStart w:id="19" w:name="_Toc413139276"/>
      <w:bookmarkStart w:id="20" w:name="_Toc493059783"/>
      <w:r w:rsidRPr="0016581E">
        <w:rPr>
          <w:caps w:val="0"/>
        </w:rPr>
        <w:t>Consideration of the evidence</w:t>
      </w:r>
      <w:bookmarkEnd w:id="19"/>
      <w:bookmarkEnd w:id="20"/>
    </w:p>
    <w:p w:rsidR="00DC1B4E" w:rsidRPr="0016581E" w:rsidRDefault="00DC1B4E" w:rsidP="00785119">
      <w:pPr>
        <w:pStyle w:val="Heading2"/>
        <w:keepNext/>
        <w:rPr>
          <w:b w:val="0"/>
          <w:bCs/>
          <w:i w:val="0"/>
          <w:szCs w:val="28"/>
        </w:rPr>
      </w:pPr>
      <w:bookmarkStart w:id="21" w:name="_Toc413139277"/>
      <w:bookmarkStart w:id="22" w:name="_Toc493059784"/>
      <w:r w:rsidRPr="0016581E">
        <w:rPr>
          <w:bCs/>
          <w:szCs w:val="28"/>
        </w:rPr>
        <w:t>Sponsor hearing</w:t>
      </w:r>
    </w:p>
    <w:p w:rsidR="00DC1B4E" w:rsidRPr="0016581E" w:rsidRDefault="00DC1B4E" w:rsidP="0032077E">
      <w:pPr>
        <w:pStyle w:val="ListParagraph"/>
        <w:numPr>
          <w:ilvl w:val="1"/>
          <w:numId w:val="5"/>
        </w:numPr>
        <w:spacing w:after="120"/>
        <w:ind w:left="709" w:hanging="709"/>
        <w:contextualSpacing w:val="0"/>
        <w:rPr>
          <w:rFonts w:asciiTheme="minorHAnsi" w:hAnsiTheme="minorHAnsi"/>
          <w:bCs/>
          <w:sz w:val="24"/>
          <w:szCs w:val="24"/>
        </w:rPr>
      </w:pPr>
      <w:r w:rsidRPr="0016581E">
        <w:rPr>
          <w:rFonts w:asciiTheme="minorHAnsi" w:hAnsiTheme="minorHAnsi" w:cstheme="minorHAnsi"/>
          <w:sz w:val="24"/>
        </w:rPr>
        <w:t>The</w:t>
      </w:r>
      <w:r w:rsidR="00AE2F69" w:rsidRPr="0016581E">
        <w:rPr>
          <w:rFonts w:asciiTheme="minorHAnsi" w:hAnsiTheme="minorHAnsi" w:cstheme="minorHAnsi"/>
          <w:sz w:val="24"/>
        </w:rPr>
        <w:t>re</w:t>
      </w:r>
      <w:r w:rsidR="00AE2F69" w:rsidRPr="0016581E">
        <w:rPr>
          <w:rFonts w:asciiTheme="minorHAnsi" w:hAnsiTheme="minorHAnsi"/>
          <w:bCs/>
          <w:sz w:val="24"/>
          <w:szCs w:val="24"/>
        </w:rPr>
        <w:t xml:space="preserve"> was no hearing for this item</w:t>
      </w:r>
      <w:r w:rsidRPr="0016581E">
        <w:rPr>
          <w:rFonts w:asciiTheme="minorHAnsi" w:hAnsiTheme="minorHAnsi"/>
          <w:bCs/>
          <w:sz w:val="24"/>
          <w:szCs w:val="24"/>
        </w:rPr>
        <w:t>.</w:t>
      </w:r>
    </w:p>
    <w:p w:rsidR="00F80CD0" w:rsidRDefault="00F80CD0">
      <w:pPr>
        <w:widowControl/>
        <w:spacing w:after="160" w:line="259" w:lineRule="auto"/>
        <w:jc w:val="left"/>
        <w:rPr>
          <w:rFonts w:asciiTheme="minorHAnsi" w:hAnsiTheme="minorHAnsi"/>
          <w:b/>
          <w:bCs/>
          <w:i/>
          <w:sz w:val="28"/>
          <w:szCs w:val="28"/>
        </w:rPr>
      </w:pPr>
      <w:r>
        <w:rPr>
          <w:bCs/>
          <w:szCs w:val="28"/>
        </w:rPr>
        <w:br w:type="page"/>
      </w:r>
    </w:p>
    <w:p w:rsidR="00DC1B4E" w:rsidRPr="0016581E" w:rsidRDefault="00DC1B4E" w:rsidP="00785119">
      <w:pPr>
        <w:pStyle w:val="Heading2"/>
        <w:keepNext/>
        <w:rPr>
          <w:b w:val="0"/>
          <w:bCs/>
          <w:i w:val="0"/>
          <w:szCs w:val="28"/>
        </w:rPr>
      </w:pPr>
      <w:r w:rsidRPr="0016581E">
        <w:rPr>
          <w:bCs/>
          <w:szCs w:val="28"/>
        </w:rPr>
        <w:lastRenderedPageBreak/>
        <w:t>Consumer comments</w:t>
      </w:r>
    </w:p>
    <w:p w:rsidR="00BA6B66" w:rsidRPr="0016581E" w:rsidRDefault="00BA6B66" w:rsidP="0032077E">
      <w:pPr>
        <w:pStyle w:val="ListParagraph"/>
        <w:numPr>
          <w:ilvl w:val="1"/>
          <w:numId w:val="5"/>
        </w:numPr>
        <w:spacing w:after="12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PBAC noted and welcomed the input from individuals (115), health care professionals (2) and organisations (1) via the Consumer Comments facility on the PBS website. The comments were similar to those received when the original palbociclib submission was considered, and described a range of benefits of treatment with palbociclib including the ability to return to work and live active lives, improved quality of life, manageable side effects, </w:t>
      </w:r>
      <w:r w:rsidRPr="0016581E">
        <w:rPr>
          <w:rFonts w:asciiTheme="minorHAnsi" w:hAnsiTheme="minorHAnsi"/>
          <w:bCs/>
          <w:sz w:val="24"/>
          <w:szCs w:val="24"/>
        </w:rPr>
        <w:t xml:space="preserve">slowed disease progression and delayed time to chemotherapy, but </w:t>
      </w:r>
      <w:proofErr w:type="gramStart"/>
      <w:r w:rsidRPr="0016581E">
        <w:rPr>
          <w:rFonts w:asciiTheme="minorHAnsi" w:hAnsiTheme="minorHAnsi"/>
          <w:bCs/>
          <w:sz w:val="24"/>
          <w:szCs w:val="24"/>
        </w:rPr>
        <w:t>its</w:t>
      </w:r>
      <w:proofErr w:type="gramEnd"/>
      <w:r w:rsidRPr="0016581E">
        <w:rPr>
          <w:rFonts w:asciiTheme="minorHAnsi" w:hAnsiTheme="minorHAnsi"/>
          <w:bCs/>
          <w:sz w:val="24"/>
          <w:szCs w:val="24"/>
        </w:rPr>
        <w:t xml:space="preserve"> very high financial cost was also noted</w:t>
      </w:r>
      <w:r w:rsidRPr="0016581E">
        <w:rPr>
          <w:rFonts w:asciiTheme="minorHAnsi" w:hAnsiTheme="minorHAnsi" w:cstheme="minorHAnsi"/>
          <w:sz w:val="24"/>
          <w:szCs w:val="24"/>
        </w:rPr>
        <w:t xml:space="preserve">. Many comments stated that there was a need for affordable and fair access to new and innovative cancer treatments. The PBAC noted the significant increase in consumer responses compared to </w:t>
      </w:r>
      <w:r w:rsidR="004C70AD" w:rsidRPr="0016581E">
        <w:rPr>
          <w:rFonts w:asciiTheme="minorHAnsi" w:hAnsiTheme="minorHAnsi" w:cstheme="minorHAnsi"/>
          <w:sz w:val="24"/>
          <w:szCs w:val="24"/>
        </w:rPr>
        <w:t>when</w:t>
      </w:r>
      <w:r w:rsidRPr="0016581E">
        <w:rPr>
          <w:rFonts w:asciiTheme="minorHAnsi" w:hAnsiTheme="minorHAnsi" w:cstheme="minorHAnsi"/>
          <w:sz w:val="24"/>
          <w:szCs w:val="24"/>
        </w:rPr>
        <w:t xml:space="preserve"> palbociclib</w:t>
      </w:r>
      <w:r w:rsidR="004C70AD" w:rsidRPr="0016581E">
        <w:rPr>
          <w:rFonts w:asciiTheme="minorHAnsi" w:hAnsiTheme="minorHAnsi" w:cstheme="minorHAnsi"/>
          <w:sz w:val="24"/>
          <w:szCs w:val="24"/>
        </w:rPr>
        <w:t xml:space="preserve"> was last considered</w:t>
      </w:r>
      <w:r w:rsidRPr="0016581E">
        <w:rPr>
          <w:rFonts w:asciiTheme="minorHAnsi" w:hAnsiTheme="minorHAnsi" w:cstheme="minorHAnsi"/>
          <w:sz w:val="24"/>
          <w:szCs w:val="24"/>
        </w:rPr>
        <w:t>.</w:t>
      </w:r>
    </w:p>
    <w:p w:rsidR="00BA6B66" w:rsidRPr="0016581E" w:rsidRDefault="00BA6B66" w:rsidP="0032077E">
      <w:pPr>
        <w:pStyle w:val="ListParagraph"/>
        <w:numPr>
          <w:ilvl w:val="1"/>
          <w:numId w:val="5"/>
        </w:numPr>
        <w:spacing w:after="12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PBAC noted the advice received from Breast Cancer Network Australia (BCNA) supporting the listing of palbociclib. The PBAC specifically noted the claim that the use of palbociclib may improve quality of life and result in time and financial savings to both the health system and patients. The BCNA also noted evidence presented at the recent American Society of Clinical Oncology (ASCO) Annual Scientific Meeting that showed all women treated with palbociclib in the PALOMA-2 clinical trial benefited from the treatment, including those with visceral disease.</w:t>
      </w:r>
    </w:p>
    <w:p w:rsidR="00BA6B66" w:rsidRPr="0016581E" w:rsidRDefault="00BA6B66" w:rsidP="0032077E">
      <w:pPr>
        <w:pStyle w:val="ListParagraph"/>
        <w:numPr>
          <w:ilvl w:val="1"/>
          <w:numId w:val="5"/>
        </w:numPr>
        <w:spacing w:after="12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Medical Oncology Group of Australia (MOGA) expressed its support for the palbociclib submission, </w:t>
      </w:r>
      <w:r w:rsidR="0016581E" w:rsidRPr="0016581E">
        <w:rPr>
          <w:rFonts w:asciiTheme="minorHAnsi" w:hAnsiTheme="minorHAnsi" w:cstheme="minorHAnsi"/>
          <w:sz w:val="24"/>
          <w:szCs w:val="24"/>
        </w:rPr>
        <w:t>based on</w:t>
      </w:r>
      <w:r w:rsidRPr="0016581E">
        <w:rPr>
          <w:rFonts w:asciiTheme="minorHAnsi" w:hAnsiTheme="minorHAnsi" w:cstheme="minorHAnsi"/>
          <w:sz w:val="24"/>
          <w:szCs w:val="24"/>
        </w:rPr>
        <w:t xml:space="preserve"> improved progression free survival (PFS). The PBAC noted that the MOGA presented the European Society for Medical Oncology Magnitude of Clinical Benefit Scale (ESMO-MCBS) for palbociclib, which was limited to 3 (out of a maximum of 5, where 5 and 4 represent the grades with substantial improvement)</w:t>
      </w:r>
      <w:r w:rsidRPr="0016581E">
        <w:rPr>
          <w:vertAlign w:val="superscript"/>
        </w:rPr>
        <w:footnoteReference w:customMarkFollows="1" w:id="1"/>
        <w:t>[1]</w:t>
      </w:r>
      <w:r w:rsidRPr="0016581E">
        <w:rPr>
          <w:rFonts w:asciiTheme="minorHAnsi" w:hAnsiTheme="minorHAnsi" w:cstheme="minorHAnsi"/>
          <w:sz w:val="24"/>
          <w:szCs w:val="24"/>
        </w:rPr>
        <w:t>, based on a comparison with NSAI alone. The MOGA noted that if future analysis demonstrates a survival benefit for palbociclib in combination with letrozole, the ESMO-MCBS score may increase to 4.</w:t>
      </w:r>
    </w:p>
    <w:p w:rsidR="004E23FC" w:rsidRPr="00BA4CBB" w:rsidRDefault="004E23FC" w:rsidP="00484411">
      <w:pPr>
        <w:pStyle w:val="Heading2"/>
        <w:keepNext/>
      </w:pPr>
      <w:r w:rsidRPr="00BA4CBB">
        <w:t>Clinical trials</w:t>
      </w:r>
      <w:bookmarkEnd w:id="21"/>
      <w:bookmarkEnd w:id="22"/>
    </w:p>
    <w:p w:rsidR="00353CDC" w:rsidRPr="0016581E" w:rsidRDefault="004E23FC" w:rsidP="0032077E">
      <w:pPr>
        <w:pStyle w:val="ListParagraph"/>
        <w:numPr>
          <w:ilvl w:val="1"/>
          <w:numId w:val="5"/>
        </w:numPr>
        <w:spacing w:before="120" w:after="160"/>
        <w:ind w:left="709" w:hanging="709"/>
        <w:contextualSpacing w:val="0"/>
        <w:rPr>
          <w:rFonts w:asciiTheme="minorHAnsi" w:hAnsiTheme="minorHAnsi" w:cstheme="minorHAnsi"/>
          <w:color w:val="000000" w:themeColor="text1"/>
          <w:sz w:val="24"/>
        </w:rPr>
      </w:pPr>
      <w:r w:rsidRPr="0016581E">
        <w:rPr>
          <w:rFonts w:asciiTheme="minorHAnsi" w:hAnsiTheme="minorHAnsi" w:cstheme="minorHAnsi"/>
          <w:color w:val="000000" w:themeColor="text1"/>
          <w:sz w:val="24"/>
        </w:rPr>
        <w:t xml:space="preserve">The </w:t>
      </w:r>
      <w:r w:rsidR="00353CDC" w:rsidRPr="0016581E">
        <w:rPr>
          <w:rFonts w:asciiTheme="minorHAnsi" w:hAnsiTheme="minorHAnsi" w:cstheme="minorHAnsi"/>
          <w:color w:val="000000" w:themeColor="text1"/>
          <w:sz w:val="24"/>
        </w:rPr>
        <w:t>re-</w:t>
      </w:r>
      <w:r w:rsidRPr="0016581E">
        <w:rPr>
          <w:rFonts w:asciiTheme="minorHAnsi" w:hAnsiTheme="minorHAnsi" w:cstheme="minorHAnsi"/>
          <w:color w:val="000000" w:themeColor="text1"/>
          <w:sz w:val="24"/>
        </w:rPr>
        <w:t xml:space="preserve">submission </w:t>
      </w:r>
      <w:r w:rsidR="00353CDC" w:rsidRPr="0016581E">
        <w:rPr>
          <w:rFonts w:asciiTheme="minorHAnsi" w:hAnsiTheme="minorHAnsi" w:cstheme="minorHAnsi"/>
          <w:color w:val="000000" w:themeColor="text1"/>
          <w:sz w:val="24"/>
        </w:rPr>
        <w:t>was</w:t>
      </w:r>
      <w:r w:rsidRPr="0016581E">
        <w:rPr>
          <w:rFonts w:asciiTheme="minorHAnsi" w:hAnsiTheme="minorHAnsi" w:cstheme="minorHAnsi"/>
          <w:color w:val="000000" w:themeColor="text1"/>
          <w:sz w:val="24"/>
        </w:rPr>
        <w:t xml:space="preserve"> based on </w:t>
      </w:r>
      <w:r w:rsidR="00353CDC" w:rsidRPr="0016581E">
        <w:rPr>
          <w:rFonts w:asciiTheme="minorHAnsi" w:hAnsiTheme="minorHAnsi" w:cstheme="minorHAnsi"/>
          <w:color w:val="000000" w:themeColor="text1"/>
          <w:sz w:val="24"/>
        </w:rPr>
        <w:t>two</w:t>
      </w:r>
      <w:r w:rsidRPr="0016581E">
        <w:rPr>
          <w:rFonts w:asciiTheme="minorHAnsi" w:hAnsiTheme="minorHAnsi" w:cstheme="minorHAnsi"/>
          <w:color w:val="000000" w:themeColor="text1"/>
          <w:sz w:val="24"/>
        </w:rPr>
        <w:t xml:space="preserve"> head-to-head trial</w:t>
      </w:r>
      <w:r w:rsidR="00353CDC" w:rsidRPr="0016581E">
        <w:rPr>
          <w:rFonts w:asciiTheme="minorHAnsi" w:hAnsiTheme="minorHAnsi" w:cstheme="minorHAnsi"/>
          <w:color w:val="000000" w:themeColor="text1"/>
          <w:sz w:val="24"/>
        </w:rPr>
        <w:t>s</w:t>
      </w:r>
      <w:r w:rsidRPr="0016581E">
        <w:rPr>
          <w:rFonts w:asciiTheme="minorHAnsi" w:hAnsiTheme="minorHAnsi" w:cstheme="minorHAnsi"/>
          <w:color w:val="000000" w:themeColor="text1"/>
          <w:sz w:val="24"/>
        </w:rPr>
        <w:t xml:space="preserve"> comparing </w:t>
      </w:r>
      <w:r w:rsidR="00353CDC" w:rsidRPr="0016581E">
        <w:rPr>
          <w:rFonts w:asciiTheme="minorHAnsi" w:hAnsiTheme="minorHAnsi" w:cstheme="minorHAnsi"/>
          <w:color w:val="000000" w:themeColor="text1"/>
          <w:sz w:val="24"/>
        </w:rPr>
        <w:t>palbociclib + letrozole to letrozole alone:</w:t>
      </w:r>
    </w:p>
    <w:p w:rsidR="00353CDC" w:rsidRPr="0016581E" w:rsidRDefault="00353CDC" w:rsidP="00A37238">
      <w:pPr>
        <w:pStyle w:val="ListParagraph"/>
        <w:widowControl/>
        <w:numPr>
          <w:ilvl w:val="1"/>
          <w:numId w:val="11"/>
        </w:numPr>
        <w:spacing w:before="120" w:after="160"/>
        <w:ind w:left="1276" w:hanging="425"/>
        <w:rPr>
          <w:rFonts w:asciiTheme="minorHAnsi" w:hAnsiTheme="minorHAnsi" w:cstheme="minorHAnsi"/>
          <w:color w:val="000000" w:themeColor="text1"/>
          <w:sz w:val="24"/>
        </w:rPr>
      </w:pPr>
      <w:r w:rsidRPr="0016581E">
        <w:rPr>
          <w:rFonts w:asciiTheme="minorHAnsi" w:hAnsiTheme="minorHAnsi" w:cstheme="minorHAnsi"/>
          <w:color w:val="000000" w:themeColor="text1"/>
          <w:sz w:val="24"/>
        </w:rPr>
        <w:t xml:space="preserve">PALOMA-1: an open-label, multicentre, phase II RCT for first line treatment of ER+, HER2- </w:t>
      </w:r>
      <w:r w:rsidR="00E50F40" w:rsidRPr="0016581E">
        <w:rPr>
          <w:rFonts w:asciiTheme="minorHAnsi" w:hAnsiTheme="minorHAnsi" w:cstheme="minorHAnsi"/>
          <w:color w:val="000000" w:themeColor="text1"/>
          <w:sz w:val="24"/>
        </w:rPr>
        <w:t>advanced breast cancer (</w:t>
      </w:r>
      <w:r w:rsidRPr="0016581E">
        <w:rPr>
          <w:rFonts w:asciiTheme="minorHAnsi" w:hAnsiTheme="minorHAnsi" w:cstheme="minorHAnsi"/>
          <w:color w:val="000000" w:themeColor="text1"/>
          <w:sz w:val="24"/>
        </w:rPr>
        <w:t>ABC</w:t>
      </w:r>
      <w:r w:rsidR="00E50F40" w:rsidRPr="0016581E">
        <w:rPr>
          <w:rFonts w:asciiTheme="minorHAnsi" w:hAnsiTheme="minorHAnsi" w:cstheme="minorHAnsi"/>
          <w:color w:val="000000" w:themeColor="text1"/>
          <w:sz w:val="24"/>
        </w:rPr>
        <w:t>)</w:t>
      </w:r>
      <w:r w:rsidRPr="0016581E">
        <w:rPr>
          <w:rFonts w:asciiTheme="minorHAnsi" w:hAnsiTheme="minorHAnsi" w:cstheme="minorHAnsi"/>
          <w:color w:val="000000" w:themeColor="text1"/>
          <w:sz w:val="24"/>
        </w:rPr>
        <w:t xml:space="preserve"> in postmenopausal women.</w:t>
      </w:r>
    </w:p>
    <w:p w:rsidR="00353CDC" w:rsidRPr="0016581E" w:rsidRDefault="00353CDC" w:rsidP="00A37238">
      <w:pPr>
        <w:pStyle w:val="ListParagraph"/>
        <w:widowControl/>
        <w:numPr>
          <w:ilvl w:val="1"/>
          <w:numId w:val="11"/>
        </w:numPr>
        <w:spacing w:before="120" w:after="160"/>
        <w:ind w:left="1276" w:hanging="425"/>
        <w:contextualSpacing w:val="0"/>
        <w:rPr>
          <w:rFonts w:asciiTheme="minorHAnsi" w:hAnsiTheme="minorHAnsi" w:cstheme="minorHAnsi"/>
          <w:color w:val="000000" w:themeColor="text1"/>
          <w:sz w:val="24"/>
        </w:rPr>
      </w:pPr>
      <w:r w:rsidRPr="0016581E">
        <w:rPr>
          <w:rFonts w:asciiTheme="minorHAnsi" w:hAnsiTheme="minorHAnsi" w:cstheme="minorHAnsi"/>
          <w:color w:val="000000" w:themeColor="text1"/>
          <w:sz w:val="24"/>
        </w:rPr>
        <w:t>PALOMA-2: a double-blind, randomised, multicentre, placebo-controlled, parallel-group, phase III trial for first line treatment of ER+, HER2- ABC in postmenopausal women.</w:t>
      </w:r>
    </w:p>
    <w:p w:rsidR="004E23FC" w:rsidRPr="0016581E" w:rsidRDefault="004E23FC" w:rsidP="0032077E">
      <w:pPr>
        <w:pStyle w:val="ListParagraph"/>
        <w:numPr>
          <w:ilvl w:val="1"/>
          <w:numId w:val="5"/>
        </w:numPr>
        <w:spacing w:before="120" w:after="160"/>
        <w:ind w:left="709" w:hanging="709"/>
        <w:contextualSpacing w:val="0"/>
        <w:rPr>
          <w:rFonts w:asciiTheme="minorHAnsi" w:hAnsiTheme="minorHAnsi" w:cstheme="minorHAnsi"/>
          <w:sz w:val="24"/>
        </w:rPr>
      </w:pPr>
      <w:r w:rsidRPr="0016581E">
        <w:rPr>
          <w:rFonts w:asciiTheme="minorHAnsi" w:hAnsiTheme="minorHAnsi" w:cstheme="minorHAnsi"/>
          <w:sz w:val="24"/>
        </w:rPr>
        <w:t xml:space="preserve">Details of the trials presented in the </w:t>
      </w:r>
      <w:r w:rsidR="008C08EE" w:rsidRPr="0016581E">
        <w:rPr>
          <w:rFonts w:asciiTheme="minorHAnsi" w:hAnsiTheme="minorHAnsi" w:cstheme="minorHAnsi"/>
          <w:sz w:val="24"/>
        </w:rPr>
        <w:t>re-</w:t>
      </w:r>
      <w:r w:rsidRPr="0016581E">
        <w:rPr>
          <w:rFonts w:asciiTheme="minorHAnsi" w:hAnsiTheme="minorHAnsi" w:cstheme="minorHAnsi"/>
          <w:sz w:val="24"/>
        </w:rPr>
        <w:t>submission are provided in the table below.</w:t>
      </w:r>
      <w:r w:rsidR="002B1392" w:rsidRPr="0016581E">
        <w:rPr>
          <w:rFonts w:asciiTheme="minorHAnsi" w:hAnsiTheme="minorHAnsi" w:cstheme="minorHAnsi"/>
          <w:sz w:val="24"/>
        </w:rPr>
        <w:t xml:space="preserve"> An independent search located no other relevant trials, but did identify several additional citations of the trials presented in the previous submission.</w:t>
      </w:r>
    </w:p>
    <w:p w:rsidR="004E23FC" w:rsidRPr="0016581E" w:rsidRDefault="002966B8" w:rsidP="004E23FC">
      <w:pPr>
        <w:pStyle w:val="TableHeading0"/>
      </w:pPr>
      <w:r w:rsidRPr="0016581E">
        <w:lastRenderedPageBreak/>
        <w:t>Table 3</w:t>
      </w:r>
      <w:r w:rsidR="004E23FC" w:rsidRPr="0016581E">
        <w:t xml:space="preserve">: Trials and associated reports presented in the </w:t>
      </w:r>
      <w:r w:rsidR="008C08EE" w:rsidRPr="0016581E">
        <w:t>re-</w:t>
      </w:r>
      <w:r w:rsidR="004E23FC" w:rsidRPr="0016581E">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4979"/>
        <w:gridCol w:w="2826"/>
      </w:tblGrid>
      <w:tr w:rsidR="004E23FC" w:rsidRPr="0016581E" w:rsidTr="0031280F">
        <w:trPr>
          <w:tblHeader/>
        </w:trPr>
        <w:tc>
          <w:tcPr>
            <w:tcW w:w="703" w:type="pct"/>
          </w:tcPr>
          <w:p w:rsidR="004E23FC" w:rsidRPr="0016581E" w:rsidRDefault="004E23FC" w:rsidP="0031280F">
            <w:pPr>
              <w:pStyle w:val="TableText1"/>
              <w:keepNext w:val="0"/>
              <w:widowControl w:val="0"/>
              <w:rPr>
                <w:b/>
              </w:rPr>
            </w:pPr>
            <w:r w:rsidRPr="0016581E">
              <w:rPr>
                <w:b/>
              </w:rPr>
              <w:t>Trial ID/First Author</w:t>
            </w:r>
          </w:p>
        </w:tc>
        <w:tc>
          <w:tcPr>
            <w:tcW w:w="2741" w:type="pct"/>
          </w:tcPr>
          <w:p w:rsidR="004E23FC" w:rsidRPr="0016581E" w:rsidRDefault="004E23FC" w:rsidP="0031280F">
            <w:pPr>
              <w:pStyle w:val="TableText1"/>
              <w:keepNext w:val="0"/>
              <w:widowControl w:val="0"/>
              <w:rPr>
                <w:b/>
              </w:rPr>
            </w:pPr>
            <w:r w:rsidRPr="0016581E">
              <w:rPr>
                <w:b/>
              </w:rPr>
              <w:t>Protocol title/ Publication title</w:t>
            </w:r>
          </w:p>
        </w:tc>
        <w:tc>
          <w:tcPr>
            <w:tcW w:w="1556" w:type="pct"/>
          </w:tcPr>
          <w:p w:rsidR="004E23FC" w:rsidRPr="0016581E" w:rsidRDefault="004E23FC" w:rsidP="0031280F">
            <w:pPr>
              <w:pStyle w:val="TableText1"/>
              <w:keepNext w:val="0"/>
              <w:widowControl w:val="0"/>
              <w:rPr>
                <w:b/>
              </w:rPr>
            </w:pPr>
            <w:r w:rsidRPr="0016581E">
              <w:rPr>
                <w:b/>
              </w:rPr>
              <w:t>Publication citation</w:t>
            </w:r>
          </w:p>
        </w:tc>
      </w:tr>
      <w:tr w:rsidR="004E23FC" w:rsidRPr="0016581E" w:rsidTr="0031280F">
        <w:tc>
          <w:tcPr>
            <w:tcW w:w="5000" w:type="pct"/>
            <w:gridSpan w:val="3"/>
          </w:tcPr>
          <w:p w:rsidR="004E23FC" w:rsidRPr="0016581E" w:rsidRDefault="0066023A" w:rsidP="0031280F">
            <w:pPr>
              <w:pStyle w:val="TableText1"/>
              <w:keepNext w:val="0"/>
              <w:widowControl w:val="0"/>
              <w:rPr>
                <w:b/>
              </w:rPr>
            </w:pPr>
            <w:r w:rsidRPr="0016581E">
              <w:rPr>
                <w:b/>
              </w:rPr>
              <w:t>Direct randomised trials</w:t>
            </w:r>
          </w:p>
        </w:tc>
      </w:tr>
      <w:tr w:rsidR="0066023A" w:rsidRPr="0016581E" w:rsidTr="0031280F">
        <w:tc>
          <w:tcPr>
            <w:tcW w:w="703" w:type="pct"/>
            <w:vMerge w:val="restart"/>
          </w:tcPr>
          <w:p w:rsidR="0066023A" w:rsidRPr="0016581E" w:rsidRDefault="0066023A" w:rsidP="0031280F">
            <w:pPr>
              <w:jc w:val="left"/>
              <w:rPr>
                <w:rFonts w:ascii="Arial Narrow" w:hAnsi="Arial Narrow"/>
                <w:sz w:val="20"/>
              </w:rPr>
            </w:pPr>
            <w:r w:rsidRPr="0016581E">
              <w:rPr>
                <w:rFonts w:ascii="Arial Narrow" w:hAnsi="Arial Narrow"/>
                <w:sz w:val="20"/>
              </w:rPr>
              <w:t>PALOMA-1</w:t>
            </w:r>
          </w:p>
          <w:p w:rsidR="0066023A" w:rsidRPr="0016581E" w:rsidRDefault="0066023A" w:rsidP="0031280F">
            <w:pPr>
              <w:jc w:val="left"/>
              <w:rPr>
                <w:rFonts w:ascii="Arial Narrow" w:hAnsi="Arial Narrow"/>
                <w:sz w:val="20"/>
              </w:rPr>
            </w:pPr>
            <w:r w:rsidRPr="0016581E">
              <w:rPr>
                <w:rFonts w:ascii="Arial Narrow" w:hAnsi="Arial Narrow"/>
                <w:sz w:val="20"/>
              </w:rPr>
              <w:t>A5481003</w:t>
            </w:r>
          </w:p>
          <w:p w:rsidR="0066023A" w:rsidRPr="0016581E" w:rsidRDefault="0066023A" w:rsidP="0031280F">
            <w:pPr>
              <w:pStyle w:val="TableText1"/>
              <w:keepNext w:val="0"/>
              <w:widowControl w:val="0"/>
              <w:rPr>
                <w:rFonts w:ascii="Times" w:eastAsia="Times New Roman" w:hAnsi="Times" w:cs="Times New Roman"/>
              </w:rPr>
            </w:pPr>
            <w:r w:rsidRPr="0016581E">
              <w:t>[NCT00721409]</w:t>
            </w:r>
          </w:p>
        </w:tc>
        <w:tc>
          <w:tcPr>
            <w:tcW w:w="2741" w:type="pct"/>
          </w:tcPr>
          <w:p w:rsidR="0066023A" w:rsidRPr="0016581E" w:rsidRDefault="0066023A" w:rsidP="0031280F">
            <w:pPr>
              <w:pStyle w:val="TableText1"/>
              <w:keepNext w:val="0"/>
              <w:widowControl w:val="0"/>
              <w:rPr>
                <w:rFonts w:ascii="Times" w:eastAsia="Times New Roman" w:hAnsi="Times" w:cs="Times New Roman"/>
              </w:rPr>
            </w:pPr>
            <w:r w:rsidRPr="0016581E">
              <w:t>Clinical Study Report A5481003 (30 July 2015). Phase 1/2, Open-Label, Randomised Study of the Safety, Efficacy, and Pharmacokinetics of Letrozole Plus PD 0332991 (Oral CDK 4/6 Inhibitor) and Letrozole Single Agent for the First-Line Treatment of ER-Positive, HER2-Negative Advanced Breast Cancer in Postmenopausal Women.</w:t>
            </w:r>
          </w:p>
        </w:tc>
        <w:tc>
          <w:tcPr>
            <w:tcW w:w="1556" w:type="pct"/>
          </w:tcPr>
          <w:p w:rsidR="0066023A" w:rsidRPr="0016581E" w:rsidRDefault="0066023A" w:rsidP="0031280F">
            <w:pPr>
              <w:pStyle w:val="TableText1"/>
              <w:keepNext w:val="0"/>
              <w:widowControl w:val="0"/>
              <w:rPr>
                <w:rFonts w:ascii="Times" w:eastAsia="Times New Roman" w:hAnsi="Times" w:cs="Times New Roman"/>
              </w:rPr>
            </w:pPr>
            <w:r w:rsidRPr="0016581E">
              <w:t>30 July 2015.</w:t>
            </w:r>
          </w:p>
        </w:tc>
      </w:tr>
      <w:tr w:rsidR="0066023A" w:rsidRPr="0016581E" w:rsidTr="0031280F">
        <w:tc>
          <w:tcPr>
            <w:tcW w:w="703" w:type="pct"/>
            <w:vMerge/>
          </w:tcPr>
          <w:p w:rsidR="0066023A" w:rsidRPr="0016581E" w:rsidRDefault="0066023A" w:rsidP="0031280F">
            <w:pPr>
              <w:pStyle w:val="TableText1"/>
              <w:keepNext w:val="0"/>
              <w:widowControl w:val="0"/>
              <w:rPr>
                <w:rFonts w:ascii="Times" w:eastAsia="Times New Roman" w:hAnsi="Times" w:cs="Times New Roman"/>
              </w:rPr>
            </w:pPr>
          </w:p>
        </w:tc>
        <w:tc>
          <w:tcPr>
            <w:tcW w:w="2741" w:type="pct"/>
          </w:tcPr>
          <w:p w:rsidR="0066023A" w:rsidRPr="0016581E" w:rsidRDefault="0066023A" w:rsidP="0031280F">
            <w:pPr>
              <w:pStyle w:val="TableText1"/>
              <w:keepNext w:val="0"/>
              <w:widowControl w:val="0"/>
              <w:rPr>
                <w:rFonts w:ascii="Times" w:eastAsia="Times New Roman" w:hAnsi="Times" w:cs="Times New Roman"/>
              </w:rPr>
            </w:pPr>
            <w:r w:rsidRPr="0016581E">
              <w:t xml:space="preserve">Finn, RS Crown, JP Lang, I et al. The cyclin-dependent kinase 4/6 inhibitor palbociclib in combination with letrozole versus letrozole alone as first-line treatment of oestrogen receptor-positive, HER2-negative, advanced breast cancer (PALOMA-1/TRIO-18): a randomised phase 2 study. </w:t>
            </w:r>
          </w:p>
        </w:tc>
        <w:tc>
          <w:tcPr>
            <w:tcW w:w="1556" w:type="pct"/>
          </w:tcPr>
          <w:p w:rsidR="0066023A" w:rsidRPr="0016581E" w:rsidRDefault="0066023A" w:rsidP="0031280F">
            <w:pPr>
              <w:pStyle w:val="TableText1"/>
              <w:keepNext w:val="0"/>
              <w:widowControl w:val="0"/>
              <w:rPr>
                <w:rFonts w:ascii="Times" w:eastAsia="Times New Roman" w:hAnsi="Times" w:cs="Times New Roman"/>
              </w:rPr>
            </w:pPr>
            <w:r w:rsidRPr="0016581E">
              <w:t>The Lancet 2015; 16:25-35.</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 xml:space="preserve">Finn, RS Crown, JP Lang, I et al. Overall survival results from the randomized phase II study of palbociclib (P) in combination with letrozole (L) vs letrozole alone for frontline treatment of ER+/HER2– advanced breast cancer (PALOMA-1; TRIO-18). </w:t>
            </w:r>
          </w:p>
        </w:tc>
        <w:tc>
          <w:tcPr>
            <w:tcW w:w="1556" w:type="pct"/>
          </w:tcPr>
          <w:p w:rsidR="0066023A" w:rsidRPr="0016581E" w:rsidRDefault="0066023A" w:rsidP="0031280F">
            <w:pPr>
              <w:pStyle w:val="TableText1"/>
              <w:keepNext w:val="0"/>
              <w:widowControl w:val="0"/>
            </w:pPr>
            <w:r w:rsidRPr="0016581E">
              <w:t>2017 ASCO Meeting, J Clin Oncol 35, 2017 (suppl; abstr 1001)</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Finn, RS Crown, JP, Ettl J et al. Efficacy and safety of palbociclib in combination with letrozole as first-line treatment of ER-positive, HER2-negative, advanced breast cancer: expanded analyses of subgroups from the randomised pivotal trial PALOMA-1/TRIO-18.</w:t>
            </w:r>
          </w:p>
        </w:tc>
        <w:tc>
          <w:tcPr>
            <w:tcW w:w="1556" w:type="pct"/>
          </w:tcPr>
          <w:p w:rsidR="0066023A" w:rsidRPr="0016581E" w:rsidRDefault="0066023A" w:rsidP="0031280F">
            <w:pPr>
              <w:pStyle w:val="TableText1"/>
              <w:keepNext w:val="0"/>
              <w:widowControl w:val="0"/>
            </w:pPr>
            <w:r w:rsidRPr="0016581E">
              <w:t>Breast Cancer Research (2016) 18:67.</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Bell, T Crown, JP Lang, I Bhattacharyya, H Zanotti, G Randolph, S Kim, S Huang, X Bartlett, CH Finn, R Slamon, D. Impact of adding palbociclib to letrozole on pain severity and pain interference with various activities of daily life in patients with ER+, HER2- metastatic breast cancer as first line treatment.</w:t>
            </w:r>
          </w:p>
        </w:tc>
        <w:tc>
          <w:tcPr>
            <w:tcW w:w="1556" w:type="pct"/>
          </w:tcPr>
          <w:p w:rsidR="0066023A" w:rsidRPr="0016581E" w:rsidRDefault="0066023A" w:rsidP="0031280F">
            <w:pPr>
              <w:pStyle w:val="TableText1"/>
              <w:keepNext w:val="0"/>
              <w:widowControl w:val="0"/>
            </w:pPr>
            <w:r w:rsidRPr="0016581E">
              <w:t>Cancer research (2015) 75:9 SUPPL.1</w:t>
            </w:r>
          </w:p>
        </w:tc>
      </w:tr>
      <w:tr w:rsidR="0066023A" w:rsidRPr="0016581E" w:rsidTr="0031280F">
        <w:tc>
          <w:tcPr>
            <w:tcW w:w="703" w:type="pct"/>
            <w:vMerge w:val="restart"/>
          </w:tcPr>
          <w:p w:rsidR="0066023A" w:rsidRPr="0016581E" w:rsidRDefault="0066023A" w:rsidP="0031280F">
            <w:pPr>
              <w:jc w:val="left"/>
              <w:rPr>
                <w:rFonts w:ascii="Arial Narrow" w:hAnsi="Arial Narrow"/>
                <w:sz w:val="20"/>
              </w:rPr>
            </w:pPr>
            <w:r w:rsidRPr="0016581E">
              <w:rPr>
                <w:rFonts w:ascii="Arial Narrow" w:hAnsi="Arial Narrow"/>
                <w:sz w:val="20"/>
              </w:rPr>
              <w:t xml:space="preserve">PALOMA-2 </w:t>
            </w:r>
          </w:p>
          <w:p w:rsidR="0066023A" w:rsidRPr="0016581E" w:rsidRDefault="0066023A" w:rsidP="0031280F">
            <w:pPr>
              <w:jc w:val="left"/>
              <w:rPr>
                <w:rFonts w:ascii="Arial Narrow" w:hAnsi="Arial Narrow"/>
                <w:sz w:val="20"/>
              </w:rPr>
            </w:pPr>
            <w:r w:rsidRPr="0016581E">
              <w:rPr>
                <w:rFonts w:ascii="Arial Narrow" w:hAnsi="Arial Narrow"/>
                <w:sz w:val="20"/>
              </w:rPr>
              <w:t>A5481008</w:t>
            </w:r>
          </w:p>
          <w:p w:rsidR="0066023A" w:rsidRPr="0016581E" w:rsidRDefault="0066023A" w:rsidP="0031280F">
            <w:pPr>
              <w:pStyle w:val="TableText1"/>
              <w:keepNext w:val="0"/>
              <w:widowControl w:val="0"/>
            </w:pPr>
            <w:r w:rsidRPr="0016581E">
              <w:t>[NCT01740427]</w:t>
            </w:r>
          </w:p>
        </w:tc>
        <w:tc>
          <w:tcPr>
            <w:tcW w:w="2741" w:type="pct"/>
          </w:tcPr>
          <w:p w:rsidR="0066023A" w:rsidRPr="0016581E" w:rsidRDefault="0066023A" w:rsidP="0031280F">
            <w:pPr>
              <w:pStyle w:val="TableText1"/>
              <w:keepNext w:val="0"/>
              <w:widowControl w:val="0"/>
            </w:pPr>
            <w:r w:rsidRPr="0016581E">
              <w:t>Clinical Study Report A5481008 (11 August 2016). A Randomised, Multicenter, Double-Blind Phase 3 Study of PD-0332991 (Oral CDK 4/6 Inhibitor) Plus Letrozole Versus Placebo Plus Letrozole for the Treatment of Postmenopausal Women With ER (+), HER2 (-) Breast Cancer Who Have Not Received Any Prior Systemic Anti-Cancer Treatment for Advanced Disease.</w:t>
            </w:r>
          </w:p>
        </w:tc>
        <w:tc>
          <w:tcPr>
            <w:tcW w:w="1556" w:type="pct"/>
          </w:tcPr>
          <w:p w:rsidR="0066023A" w:rsidRPr="0016581E" w:rsidRDefault="0066023A" w:rsidP="0031280F">
            <w:pPr>
              <w:pStyle w:val="TableText1"/>
              <w:keepNext w:val="0"/>
              <w:widowControl w:val="0"/>
            </w:pPr>
            <w:r w:rsidRPr="0016581E">
              <w:t>11 August 2016</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 xml:space="preserve">Finn, RS Martin, M Hope, </w:t>
            </w:r>
            <w:proofErr w:type="gramStart"/>
            <w:r w:rsidRPr="0016581E">
              <w:t>S</w:t>
            </w:r>
            <w:proofErr w:type="gramEnd"/>
            <w:r w:rsidRPr="0016581E">
              <w:t xml:space="preserve"> et al. PALOMA-2: Primary results from a phase III trial of palbociclib (P) with letrozole (L) compared with letrozole alone in postmenopausal women with ER+/HER2– advanced breast cancer (ABC).</w:t>
            </w:r>
          </w:p>
        </w:tc>
        <w:tc>
          <w:tcPr>
            <w:tcW w:w="1556" w:type="pct"/>
          </w:tcPr>
          <w:p w:rsidR="0066023A" w:rsidRPr="0016581E" w:rsidRDefault="0066023A" w:rsidP="0031280F">
            <w:pPr>
              <w:pStyle w:val="TableText1"/>
              <w:keepNext w:val="0"/>
              <w:widowControl w:val="0"/>
            </w:pPr>
            <w:r w:rsidRPr="0016581E">
              <w:t>J Clin Oncol 34, 2016 (suppl; abstract 507).</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 xml:space="preserve">Finn R., Jiang Y, Rugo H et al. Biomarker analyses from the phase 3 PALOMA-2 trial of palbociclib (P) with letrozole (L) compared with placebo (PLB) plus L in postmenopausal women with ER + /HER2-advanced breast cancer (ABC). </w:t>
            </w:r>
          </w:p>
        </w:tc>
        <w:tc>
          <w:tcPr>
            <w:tcW w:w="1556" w:type="pct"/>
          </w:tcPr>
          <w:p w:rsidR="0066023A" w:rsidRPr="0016581E" w:rsidRDefault="0066023A" w:rsidP="0031280F">
            <w:pPr>
              <w:pStyle w:val="TableText1"/>
              <w:keepNext w:val="0"/>
              <w:widowControl w:val="0"/>
            </w:pPr>
            <w:r w:rsidRPr="0016581E">
              <w:t>Annals of Oncology. Conference: 41</w:t>
            </w:r>
            <w:r w:rsidRPr="0016581E">
              <w:rPr>
                <w:vertAlign w:val="superscript"/>
              </w:rPr>
              <w:t>st</w:t>
            </w:r>
            <w:r w:rsidRPr="0016581E">
              <w:t xml:space="preserve"> European Society for Medical Oncology Congress, ESMO 2016. Denmark. 27 (no pagination), 2016. Date of Publication: 2016.</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 xml:space="preserve">Rugo H, Dieras V, Gelmon K.A et al. Impact of palbociclib plus letrozole on health related quality of life (HRQOL) compared with letrozole alone in treatment naive postmenopausal patients with ER+ HER2-metastatic breast cancer (MBC): Results from PALOMA-2. </w:t>
            </w:r>
          </w:p>
        </w:tc>
        <w:tc>
          <w:tcPr>
            <w:tcW w:w="1556" w:type="pct"/>
          </w:tcPr>
          <w:p w:rsidR="0066023A" w:rsidRPr="0016581E" w:rsidRDefault="0066023A" w:rsidP="0031280F">
            <w:pPr>
              <w:pStyle w:val="TableText1"/>
              <w:keepNext w:val="0"/>
              <w:widowControl w:val="0"/>
            </w:pPr>
            <w:r w:rsidRPr="0016581E">
              <w:t>Annals of Oncology. Conference: 41</w:t>
            </w:r>
            <w:r w:rsidRPr="0016581E">
              <w:rPr>
                <w:vertAlign w:val="superscript"/>
              </w:rPr>
              <w:t>st</w:t>
            </w:r>
            <w:r w:rsidRPr="0016581E">
              <w:t xml:space="preserve"> European Society for Medical Oncology Congress, ESMO 2016. Denmark. 27 (no pagination), 2016. Date of Publication: 2016.</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 xml:space="preserve">Ruiz A., Gauthier E., Durairaj C et al. Evaluation of the effects of palbociclib (PAL) letrozole (LET) on Tc. </w:t>
            </w:r>
          </w:p>
        </w:tc>
        <w:tc>
          <w:tcPr>
            <w:tcW w:w="1556" w:type="pct"/>
          </w:tcPr>
          <w:p w:rsidR="0066023A" w:rsidRPr="0016581E" w:rsidRDefault="0066023A" w:rsidP="0031280F">
            <w:pPr>
              <w:pStyle w:val="TableText1"/>
              <w:keepNext w:val="0"/>
              <w:widowControl w:val="0"/>
            </w:pPr>
            <w:r w:rsidRPr="0016581E">
              <w:t>Cancer Research. Conference: 39</w:t>
            </w:r>
            <w:r w:rsidRPr="0016581E">
              <w:rPr>
                <w:vertAlign w:val="superscript"/>
              </w:rPr>
              <w:t>th</w:t>
            </w:r>
            <w:r w:rsidRPr="0016581E">
              <w:t xml:space="preserve"> Annual CTRC-AACR San Antonio Breast Cancer Symposium. United States. 77 (4 Supplement 1) (no pagination), 2017. Date of </w:t>
            </w:r>
            <w:r w:rsidRPr="0016581E">
              <w:lastRenderedPageBreak/>
              <w:t>Publication: February 2017.</w:t>
            </w:r>
          </w:p>
        </w:tc>
      </w:tr>
      <w:tr w:rsidR="0066023A" w:rsidRPr="0016581E" w:rsidTr="0031280F">
        <w:tc>
          <w:tcPr>
            <w:tcW w:w="703" w:type="pct"/>
            <w:vMerge/>
          </w:tcPr>
          <w:p w:rsidR="0066023A" w:rsidRPr="0016581E" w:rsidRDefault="0066023A" w:rsidP="0031280F">
            <w:pPr>
              <w:pStyle w:val="TableText1"/>
              <w:keepNext w:val="0"/>
              <w:widowControl w:val="0"/>
            </w:pPr>
          </w:p>
        </w:tc>
        <w:tc>
          <w:tcPr>
            <w:tcW w:w="2741" w:type="pct"/>
          </w:tcPr>
          <w:p w:rsidR="0066023A" w:rsidRPr="0016581E" w:rsidRDefault="0066023A" w:rsidP="0031280F">
            <w:pPr>
              <w:pStyle w:val="TableText1"/>
              <w:keepNext w:val="0"/>
              <w:widowControl w:val="0"/>
            </w:pPr>
            <w:r w:rsidRPr="0016581E">
              <w:t xml:space="preserve">Finn, RS Dieras, V Rugo HS et al.  Palbociclib (PAL) + letrozole (L) as first-line (1L) therapy (tx) in estrogen receptor-positive (ER+)/human epidermal growth factor receptor 2-negative (HER2−) advanced breast cancer (ABC): Efficacy and safety across patient (pt) subgroups. </w:t>
            </w:r>
          </w:p>
        </w:tc>
        <w:tc>
          <w:tcPr>
            <w:tcW w:w="1556" w:type="pct"/>
          </w:tcPr>
          <w:p w:rsidR="0066023A" w:rsidRPr="0016581E" w:rsidRDefault="0066023A" w:rsidP="0031280F">
            <w:pPr>
              <w:pStyle w:val="TableText1"/>
              <w:keepNext w:val="0"/>
              <w:widowControl w:val="0"/>
            </w:pPr>
            <w:r w:rsidRPr="0016581E">
              <w:t>2017 ASCO Meeting, J Clin Oncol 35, 2017 (suppl; abstr 1039)</w:t>
            </w:r>
          </w:p>
        </w:tc>
      </w:tr>
    </w:tbl>
    <w:p w:rsidR="004E23FC" w:rsidRPr="0016581E" w:rsidRDefault="004E23FC" w:rsidP="00A3069F">
      <w:pPr>
        <w:pStyle w:val="TableFooter"/>
        <w:spacing w:after="120"/>
      </w:pPr>
      <w:r w:rsidRPr="0016581E">
        <w:t>Source:</w:t>
      </w:r>
      <w:r w:rsidR="00437286" w:rsidRPr="0016581E">
        <w:t xml:space="preserve"> Table B.2.2 p31 of the re-submission.</w:t>
      </w:r>
    </w:p>
    <w:p w:rsidR="004E23FC" w:rsidRPr="0016581E" w:rsidRDefault="004E23FC" w:rsidP="004B7EF3">
      <w:pPr>
        <w:pStyle w:val="ListParagraph"/>
        <w:numPr>
          <w:ilvl w:val="1"/>
          <w:numId w:val="5"/>
        </w:numPr>
        <w:spacing w:before="120" w:after="160"/>
        <w:ind w:left="709" w:hanging="709"/>
        <w:contextualSpacing w:val="0"/>
        <w:rPr>
          <w:rFonts w:asciiTheme="minorHAnsi" w:hAnsiTheme="minorHAnsi" w:cstheme="minorHAnsi"/>
          <w:sz w:val="24"/>
        </w:rPr>
      </w:pPr>
      <w:r w:rsidRPr="0016581E">
        <w:rPr>
          <w:rFonts w:asciiTheme="minorHAnsi" w:hAnsiTheme="minorHAnsi" w:cstheme="minorHAnsi"/>
          <w:sz w:val="24"/>
        </w:rPr>
        <w:t>The key features of the direct randomised trials are summarised in the table below.</w:t>
      </w:r>
      <w:r w:rsidR="00437286" w:rsidRPr="0016581E">
        <w:rPr>
          <w:rFonts w:asciiTheme="minorHAnsi" w:hAnsiTheme="minorHAnsi" w:cstheme="minorHAnsi"/>
          <w:sz w:val="24"/>
        </w:rPr>
        <w:t xml:space="preserve"> </w:t>
      </w:r>
      <w:r w:rsidR="00EF1E46" w:rsidRPr="0016581E">
        <w:rPr>
          <w:rFonts w:asciiTheme="minorHAnsi" w:hAnsiTheme="minorHAnsi" w:cstheme="minorHAnsi"/>
          <w:sz w:val="24"/>
        </w:rPr>
        <w:t>The median duration of follow-up</w:t>
      </w:r>
      <w:r w:rsidR="005B4C0D" w:rsidRPr="0016581E">
        <w:rPr>
          <w:rFonts w:asciiTheme="minorHAnsi" w:hAnsiTheme="minorHAnsi" w:cstheme="minorHAnsi"/>
          <w:sz w:val="24"/>
        </w:rPr>
        <w:t xml:space="preserve"> in PALOMA-1</w:t>
      </w:r>
      <w:r w:rsidR="00EF1E46" w:rsidRPr="0016581E">
        <w:rPr>
          <w:rFonts w:asciiTheme="minorHAnsi" w:hAnsiTheme="minorHAnsi" w:cstheme="minorHAnsi"/>
          <w:sz w:val="24"/>
        </w:rPr>
        <w:t xml:space="preserve"> </w:t>
      </w:r>
      <w:r w:rsidR="005B4C0D" w:rsidRPr="0016581E">
        <w:rPr>
          <w:rFonts w:asciiTheme="minorHAnsi" w:hAnsiTheme="minorHAnsi" w:cstheme="minorHAnsi"/>
          <w:sz w:val="24"/>
        </w:rPr>
        <w:t xml:space="preserve">increased from </w:t>
      </w:r>
      <w:r w:rsidR="00EF1E46" w:rsidRPr="0016581E">
        <w:rPr>
          <w:rFonts w:asciiTheme="minorHAnsi" w:hAnsiTheme="minorHAnsi" w:cstheme="minorHAnsi"/>
          <w:sz w:val="24"/>
        </w:rPr>
        <w:t xml:space="preserve">the </w:t>
      </w:r>
      <w:r w:rsidR="00437286" w:rsidRPr="0016581E">
        <w:rPr>
          <w:rFonts w:asciiTheme="minorHAnsi" w:hAnsiTheme="minorHAnsi" w:cstheme="minorHAnsi"/>
          <w:sz w:val="24"/>
        </w:rPr>
        <w:t xml:space="preserve">previous </w:t>
      </w:r>
      <w:r w:rsidR="00F66A9C" w:rsidRPr="0016581E">
        <w:rPr>
          <w:rFonts w:asciiTheme="minorHAnsi" w:hAnsiTheme="minorHAnsi" w:cstheme="minorHAnsi"/>
          <w:sz w:val="24"/>
        </w:rPr>
        <w:t xml:space="preserve">submission </w:t>
      </w:r>
      <w:r w:rsidR="005B4C0D" w:rsidRPr="0016581E">
        <w:rPr>
          <w:rFonts w:asciiTheme="minorHAnsi" w:hAnsiTheme="minorHAnsi" w:cstheme="minorHAnsi"/>
          <w:sz w:val="24"/>
        </w:rPr>
        <w:t>(from 29.6 months for palbociclib + letrozole, and 27.9 months for letrozole alone)</w:t>
      </w:r>
      <w:r w:rsidR="00437286" w:rsidRPr="0016581E">
        <w:rPr>
          <w:rFonts w:asciiTheme="minorHAnsi" w:hAnsiTheme="minorHAnsi" w:cstheme="minorHAnsi"/>
          <w:sz w:val="24"/>
        </w:rPr>
        <w:t>.</w:t>
      </w:r>
    </w:p>
    <w:p w:rsidR="004E23FC" w:rsidRPr="0016581E" w:rsidRDefault="004E23FC" w:rsidP="004E23FC">
      <w:pPr>
        <w:pStyle w:val="TableHeading0"/>
      </w:pPr>
      <w:r w:rsidRPr="0016581E">
        <w:t xml:space="preserve">Table </w:t>
      </w:r>
      <w:r w:rsidR="002966B8" w:rsidRPr="0016581E">
        <w:t>4</w:t>
      </w:r>
      <w:r w:rsidRPr="0016581E">
        <w:t xml:space="preserve">: Key features of the included evidence, </w:t>
      </w:r>
      <w:r w:rsidR="00437286" w:rsidRPr="0016581E">
        <w:t>palbociclib plus letrozole vs. letrozole alone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5"/>
        <w:gridCol w:w="332"/>
        <w:gridCol w:w="1297"/>
        <w:gridCol w:w="612"/>
        <w:gridCol w:w="1560"/>
        <w:gridCol w:w="2755"/>
        <w:gridCol w:w="1691"/>
      </w:tblGrid>
      <w:tr w:rsidR="004E23FC" w:rsidRPr="0016581E" w:rsidTr="002966B8">
        <w:tc>
          <w:tcPr>
            <w:tcW w:w="459" w:type="pct"/>
            <w:shd w:val="clear" w:color="auto" w:fill="auto"/>
            <w:vAlign w:val="center"/>
          </w:tcPr>
          <w:p w:rsidR="004E23FC" w:rsidRPr="0016581E" w:rsidRDefault="004E23FC" w:rsidP="002966B8">
            <w:pPr>
              <w:pStyle w:val="TableText1"/>
              <w:jc w:val="center"/>
              <w:rPr>
                <w:b/>
              </w:rPr>
            </w:pPr>
            <w:r w:rsidRPr="0016581E">
              <w:rPr>
                <w:b/>
              </w:rPr>
              <w:t>Trial</w:t>
            </w:r>
          </w:p>
        </w:tc>
        <w:tc>
          <w:tcPr>
            <w:tcW w:w="183" w:type="pct"/>
            <w:shd w:val="clear" w:color="auto" w:fill="auto"/>
            <w:vAlign w:val="center"/>
          </w:tcPr>
          <w:p w:rsidR="004E23FC" w:rsidRPr="0016581E" w:rsidRDefault="004E23FC" w:rsidP="002966B8">
            <w:pPr>
              <w:pStyle w:val="TableText1"/>
              <w:jc w:val="center"/>
              <w:rPr>
                <w:b/>
              </w:rPr>
            </w:pPr>
            <w:r w:rsidRPr="0016581E">
              <w:rPr>
                <w:b/>
              </w:rPr>
              <w:t>N</w:t>
            </w:r>
          </w:p>
        </w:tc>
        <w:tc>
          <w:tcPr>
            <w:tcW w:w="714" w:type="pct"/>
            <w:shd w:val="clear" w:color="auto" w:fill="auto"/>
            <w:vAlign w:val="center"/>
          </w:tcPr>
          <w:p w:rsidR="004E23FC" w:rsidRPr="0016581E" w:rsidRDefault="004E23FC" w:rsidP="002966B8">
            <w:pPr>
              <w:pStyle w:val="TableText1"/>
              <w:jc w:val="center"/>
              <w:rPr>
                <w:b/>
              </w:rPr>
            </w:pPr>
            <w:r w:rsidRPr="0016581E">
              <w:rPr>
                <w:b/>
              </w:rPr>
              <w:t>Design/ duration of follow-up</w:t>
            </w:r>
          </w:p>
        </w:tc>
        <w:tc>
          <w:tcPr>
            <w:tcW w:w="337" w:type="pct"/>
            <w:shd w:val="clear" w:color="auto" w:fill="auto"/>
            <w:vAlign w:val="center"/>
          </w:tcPr>
          <w:p w:rsidR="004E23FC" w:rsidRPr="0016581E" w:rsidRDefault="004E23FC" w:rsidP="002966B8">
            <w:pPr>
              <w:pStyle w:val="TableText1"/>
              <w:jc w:val="center"/>
              <w:rPr>
                <w:b/>
              </w:rPr>
            </w:pPr>
            <w:r w:rsidRPr="0016581E">
              <w:rPr>
                <w:b/>
              </w:rPr>
              <w:t>Risk of bias</w:t>
            </w:r>
          </w:p>
        </w:tc>
        <w:tc>
          <w:tcPr>
            <w:tcW w:w="859" w:type="pct"/>
            <w:shd w:val="clear" w:color="auto" w:fill="auto"/>
            <w:vAlign w:val="center"/>
          </w:tcPr>
          <w:p w:rsidR="004E23FC" w:rsidRPr="0016581E" w:rsidRDefault="004E23FC" w:rsidP="002966B8">
            <w:pPr>
              <w:pStyle w:val="TableText1"/>
              <w:jc w:val="center"/>
              <w:rPr>
                <w:b/>
              </w:rPr>
            </w:pPr>
            <w:r w:rsidRPr="0016581E">
              <w:rPr>
                <w:b/>
              </w:rPr>
              <w:t>Patient population</w:t>
            </w:r>
          </w:p>
        </w:tc>
        <w:tc>
          <w:tcPr>
            <w:tcW w:w="1517" w:type="pct"/>
            <w:shd w:val="clear" w:color="auto" w:fill="auto"/>
            <w:vAlign w:val="center"/>
          </w:tcPr>
          <w:p w:rsidR="004E23FC" w:rsidRPr="0016581E" w:rsidRDefault="004E23FC" w:rsidP="002966B8">
            <w:pPr>
              <w:pStyle w:val="TableText1"/>
              <w:jc w:val="center"/>
              <w:rPr>
                <w:b/>
              </w:rPr>
            </w:pPr>
            <w:r w:rsidRPr="0016581E">
              <w:rPr>
                <w:b/>
              </w:rPr>
              <w:t>Outcome(s)</w:t>
            </w:r>
          </w:p>
        </w:tc>
        <w:tc>
          <w:tcPr>
            <w:tcW w:w="932" w:type="pct"/>
            <w:shd w:val="clear" w:color="auto" w:fill="auto"/>
            <w:vAlign w:val="center"/>
          </w:tcPr>
          <w:p w:rsidR="004E23FC" w:rsidRPr="0016581E" w:rsidRDefault="004E23FC" w:rsidP="002966B8">
            <w:pPr>
              <w:pStyle w:val="TableText1"/>
              <w:jc w:val="center"/>
              <w:rPr>
                <w:b/>
              </w:rPr>
            </w:pPr>
            <w:r w:rsidRPr="0016581E">
              <w:rPr>
                <w:b/>
              </w:rPr>
              <w:t>Use in modelled evaluation</w:t>
            </w:r>
          </w:p>
        </w:tc>
      </w:tr>
      <w:tr w:rsidR="00437286" w:rsidRPr="0016581E" w:rsidTr="00437286">
        <w:tc>
          <w:tcPr>
            <w:tcW w:w="459" w:type="pct"/>
            <w:shd w:val="clear" w:color="auto" w:fill="auto"/>
            <w:vAlign w:val="center"/>
          </w:tcPr>
          <w:p w:rsidR="00437286" w:rsidRPr="0016581E" w:rsidRDefault="00437286" w:rsidP="00437286">
            <w:pPr>
              <w:pStyle w:val="TableText1"/>
              <w:jc w:val="center"/>
            </w:pPr>
            <w:r w:rsidRPr="0016581E">
              <w:t>PALOMA-1</w:t>
            </w:r>
          </w:p>
        </w:tc>
        <w:tc>
          <w:tcPr>
            <w:tcW w:w="183"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165</w:t>
            </w:r>
          </w:p>
        </w:tc>
        <w:tc>
          <w:tcPr>
            <w:tcW w:w="714" w:type="pct"/>
            <w:shd w:val="clear" w:color="auto" w:fill="auto"/>
            <w:vAlign w:val="center"/>
          </w:tcPr>
          <w:p w:rsidR="00437286" w:rsidRPr="0016581E" w:rsidRDefault="00437286" w:rsidP="00437286">
            <w:pPr>
              <w:keepNext/>
              <w:widowControl/>
              <w:jc w:val="center"/>
              <w:rPr>
                <w:rFonts w:ascii="Arial Narrow" w:hAnsi="Arial Narrow"/>
                <w:sz w:val="20"/>
              </w:rPr>
            </w:pPr>
            <w:r w:rsidRPr="0016581E">
              <w:rPr>
                <w:rFonts w:ascii="Arial Narrow" w:hAnsi="Arial Narrow"/>
                <w:sz w:val="20"/>
              </w:rPr>
              <w:t>R, OL</w:t>
            </w:r>
          </w:p>
          <w:p w:rsidR="00437286" w:rsidRPr="0016581E" w:rsidRDefault="0039579E" w:rsidP="0039579E">
            <w:pPr>
              <w:keepNext/>
              <w:widowControl/>
              <w:jc w:val="center"/>
              <w:rPr>
                <w:rFonts w:ascii="Times" w:hAnsi="Times" w:cs="Times New Roman"/>
              </w:rPr>
            </w:pPr>
            <w:r w:rsidRPr="0016581E">
              <w:rPr>
                <w:rFonts w:ascii="Arial Narrow" w:hAnsi="Arial Narrow"/>
                <w:sz w:val="20"/>
              </w:rPr>
              <w:t>64.7 months</w:t>
            </w:r>
          </w:p>
        </w:tc>
        <w:tc>
          <w:tcPr>
            <w:tcW w:w="337"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High</w:t>
            </w:r>
          </w:p>
        </w:tc>
        <w:tc>
          <w:tcPr>
            <w:tcW w:w="859"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Treatment naïve ER+/HER2– ABC</w:t>
            </w:r>
          </w:p>
        </w:tc>
        <w:tc>
          <w:tcPr>
            <w:tcW w:w="1517" w:type="pct"/>
            <w:shd w:val="clear" w:color="auto" w:fill="auto"/>
            <w:vAlign w:val="center"/>
          </w:tcPr>
          <w:p w:rsidR="00437286" w:rsidRPr="0016581E" w:rsidRDefault="00437286" w:rsidP="00437286">
            <w:pPr>
              <w:keepNext/>
              <w:widowControl/>
              <w:jc w:val="center"/>
              <w:rPr>
                <w:rFonts w:ascii="Arial Narrow" w:hAnsi="Arial Narrow"/>
                <w:sz w:val="20"/>
              </w:rPr>
            </w:pPr>
            <w:r w:rsidRPr="0016581E">
              <w:rPr>
                <w:rFonts w:ascii="Arial Narrow" w:hAnsi="Arial Narrow"/>
                <w:sz w:val="20"/>
              </w:rPr>
              <w:t xml:space="preserve">Primary: </w:t>
            </w:r>
            <w:r w:rsidR="00AE4C7B" w:rsidRPr="0016581E">
              <w:rPr>
                <w:rFonts w:ascii="Arial Narrow" w:hAnsi="Arial Narrow"/>
                <w:sz w:val="20"/>
              </w:rPr>
              <w:t>investigator-assessed</w:t>
            </w:r>
            <w:r w:rsidRPr="0016581E">
              <w:rPr>
                <w:rFonts w:ascii="Arial Narrow" w:hAnsi="Arial Narrow"/>
                <w:sz w:val="20"/>
              </w:rPr>
              <w:t xml:space="preserve"> PFS</w:t>
            </w:r>
          </w:p>
          <w:p w:rsidR="00437286" w:rsidRPr="0016581E" w:rsidRDefault="00437286" w:rsidP="00437286">
            <w:pPr>
              <w:pStyle w:val="TableText1"/>
              <w:jc w:val="center"/>
              <w:rPr>
                <w:rFonts w:ascii="Times" w:eastAsia="Times New Roman" w:hAnsi="Times" w:cs="Times New Roman"/>
              </w:rPr>
            </w:pPr>
            <w:r w:rsidRPr="0016581E">
              <w:t>Secondary: BICR PFS, OS; 1, 2, &amp; 3-y survival; TTP; OR; CBR; DOR; AE; PROs</w:t>
            </w:r>
          </w:p>
        </w:tc>
        <w:tc>
          <w:tcPr>
            <w:tcW w:w="932"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PFS and OS used in base case</w:t>
            </w:r>
          </w:p>
        </w:tc>
      </w:tr>
      <w:tr w:rsidR="00437286" w:rsidRPr="0016581E" w:rsidTr="00437286">
        <w:tc>
          <w:tcPr>
            <w:tcW w:w="459"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PALOMA-2</w:t>
            </w:r>
          </w:p>
        </w:tc>
        <w:tc>
          <w:tcPr>
            <w:tcW w:w="183"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666</w:t>
            </w:r>
          </w:p>
        </w:tc>
        <w:tc>
          <w:tcPr>
            <w:tcW w:w="714" w:type="pct"/>
            <w:shd w:val="clear" w:color="auto" w:fill="auto"/>
            <w:vAlign w:val="center"/>
          </w:tcPr>
          <w:p w:rsidR="00437286" w:rsidRPr="0016581E" w:rsidRDefault="00437286" w:rsidP="00437286">
            <w:pPr>
              <w:keepNext/>
              <w:widowControl/>
              <w:jc w:val="center"/>
              <w:rPr>
                <w:rFonts w:ascii="Arial Narrow" w:hAnsi="Arial Narrow"/>
                <w:sz w:val="20"/>
              </w:rPr>
            </w:pPr>
            <w:r w:rsidRPr="0016581E">
              <w:rPr>
                <w:rFonts w:ascii="Arial Narrow" w:hAnsi="Arial Narrow"/>
                <w:sz w:val="20"/>
              </w:rPr>
              <w:t>R, DB</w:t>
            </w:r>
          </w:p>
          <w:p w:rsidR="00437286" w:rsidRPr="0016581E" w:rsidRDefault="00437286" w:rsidP="00437286">
            <w:pPr>
              <w:keepNext/>
              <w:widowControl/>
              <w:jc w:val="center"/>
              <w:rPr>
                <w:rFonts w:ascii="Arial Narrow" w:hAnsi="Arial Narrow"/>
                <w:sz w:val="20"/>
              </w:rPr>
            </w:pPr>
            <w:r w:rsidRPr="0016581E">
              <w:rPr>
                <w:rFonts w:ascii="Arial Narrow" w:hAnsi="Arial Narrow"/>
                <w:sz w:val="20"/>
              </w:rPr>
              <w:t xml:space="preserve">P+L: </w:t>
            </w:r>
            <w:r w:rsidR="0039579E" w:rsidRPr="0016581E">
              <w:rPr>
                <w:rFonts w:ascii="Arial Narrow" w:hAnsi="Arial Narrow"/>
                <w:sz w:val="20"/>
              </w:rPr>
              <w:t>23.0</w:t>
            </w:r>
            <w:r w:rsidRPr="0016581E">
              <w:rPr>
                <w:rFonts w:ascii="Arial Narrow" w:hAnsi="Arial Narrow"/>
                <w:sz w:val="20"/>
              </w:rPr>
              <w:t xml:space="preserve"> mths</w:t>
            </w:r>
          </w:p>
          <w:p w:rsidR="00437286" w:rsidRPr="0016581E" w:rsidRDefault="00437286" w:rsidP="0039579E">
            <w:pPr>
              <w:pStyle w:val="TableText1"/>
              <w:jc w:val="center"/>
              <w:rPr>
                <w:rFonts w:ascii="Times" w:eastAsia="Times New Roman" w:hAnsi="Times" w:cs="Times New Roman"/>
              </w:rPr>
            </w:pPr>
            <w:r w:rsidRPr="0016581E">
              <w:t xml:space="preserve">L: </w:t>
            </w:r>
            <w:r w:rsidR="0039579E" w:rsidRPr="0016581E">
              <w:t>22.3</w:t>
            </w:r>
            <w:r w:rsidRPr="0016581E">
              <w:t xml:space="preserve"> mths</w:t>
            </w:r>
          </w:p>
        </w:tc>
        <w:tc>
          <w:tcPr>
            <w:tcW w:w="337"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Low</w:t>
            </w:r>
          </w:p>
        </w:tc>
        <w:tc>
          <w:tcPr>
            <w:tcW w:w="859"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Treatment naïve ER+/HER2– ABC</w:t>
            </w:r>
          </w:p>
        </w:tc>
        <w:tc>
          <w:tcPr>
            <w:tcW w:w="1517" w:type="pct"/>
            <w:shd w:val="clear" w:color="auto" w:fill="auto"/>
            <w:vAlign w:val="center"/>
          </w:tcPr>
          <w:p w:rsidR="00437286" w:rsidRPr="0016581E" w:rsidRDefault="00437286" w:rsidP="00437286">
            <w:pPr>
              <w:keepNext/>
              <w:widowControl/>
              <w:jc w:val="center"/>
              <w:rPr>
                <w:rFonts w:ascii="Arial Narrow" w:hAnsi="Arial Narrow"/>
                <w:sz w:val="20"/>
              </w:rPr>
            </w:pPr>
            <w:r w:rsidRPr="0016581E">
              <w:rPr>
                <w:rFonts w:ascii="Arial Narrow" w:hAnsi="Arial Narrow"/>
                <w:sz w:val="20"/>
              </w:rPr>
              <w:t xml:space="preserve">Primary: </w:t>
            </w:r>
            <w:r w:rsidR="00AE4C7B" w:rsidRPr="0016581E">
              <w:rPr>
                <w:rFonts w:ascii="Arial Narrow" w:hAnsi="Arial Narrow"/>
                <w:sz w:val="20"/>
              </w:rPr>
              <w:t>investigator-assessed</w:t>
            </w:r>
            <w:r w:rsidRPr="0016581E">
              <w:rPr>
                <w:rFonts w:ascii="Arial Narrow" w:hAnsi="Arial Narrow"/>
                <w:sz w:val="20"/>
              </w:rPr>
              <w:t xml:space="preserve"> PFS</w:t>
            </w:r>
          </w:p>
          <w:p w:rsidR="00437286" w:rsidRPr="0016581E" w:rsidRDefault="00437286" w:rsidP="00437286">
            <w:pPr>
              <w:pStyle w:val="TableText1"/>
              <w:jc w:val="center"/>
              <w:rPr>
                <w:rFonts w:ascii="Times" w:eastAsia="Times New Roman" w:hAnsi="Times" w:cs="Times New Roman"/>
              </w:rPr>
            </w:pPr>
            <w:r w:rsidRPr="0016581E">
              <w:t>Secondary: BICR PFS, OS; OR; DOR; DC; CBR; PROs; AE</w:t>
            </w:r>
          </w:p>
        </w:tc>
        <w:tc>
          <w:tcPr>
            <w:tcW w:w="932" w:type="pct"/>
            <w:shd w:val="clear" w:color="auto" w:fill="auto"/>
            <w:vAlign w:val="center"/>
          </w:tcPr>
          <w:p w:rsidR="00437286" w:rsidRPr="0016581E" w:rsidRDefault="00437286" w:rsidP="00437286">
            <w:pPr>
              <w:pStyle w:val="TableText1"/>
              <w:jc w:val="center"/>
              <w:rPr>
                <w:rFonts w:ascii="Times" w:eastAsia="Times New Roman" w:hAnsi="Times" w:cs="Times New Roman"/>
              </w:rPr>
            </w:pPr>
            <w:r w:rsidRPr="0016581E">
              <w:t>PFS and PROs used in sensitivity analysis</w:t>
            </w:r>
          </w:p>
        </w:tc>
      </w:tr>
    </w:tbl>
    <w:p w:rsidR="004E23FC" w:rsidRPr="0016581E" w:rsidRDefault="00437286" w:rsidP="004E23FC">
      <w:pPr>
        <w:pStyle w:val="TableFooter"/>
      </w:pPr>
      <w:r w:rsidRPr="0016581E">
        <w:t>ABC=Advanced breast cancer; BICR= Blinded Independent Central Review; DB=double blind; OL=open label; OS=overall survival; PFS=progression-free survival; R=randomised; TTP=Time to progression, OR=Objective response; CBR=Clinical benefit rate; DOR=Duration of response; AE=Adverse Events; PROs=Patient-reported outcomes.</w:t>
      </w:r>
    </w:p>
    <w:p w:rsidR="004E23FC" w:rsidRPr="0016581E" w:rsidRDefault="004E23FC" w:rsidP="00A3069F">
      <w:pPr>
        <w:pStyle w:val="TableFooter"/>
        <w:spacing w:after="120"/>
      </w:pPr>
      <w:r w:rsidRPr="0016581E">
        <w:t>Source: compiled during the evaluation</w:t>
      </w:r>
      <w:r w:rsidR="0039579E" w:rsidRPr="0016581E">
        <w:t xml:space="preserve"> based on p41-48 and p52-53 of the re-submission.</w:t>
      </w:r>
    </w:p>
    <w:p w:rsidR="004E23FC" w:rsidRPr="0016581E" w:rsidRDefault="00354BD6"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PBAC </w:t>
      </w:r>
      <w:r w:rsidR="0093686E" w:rsidRPr="0016581E">
        <w:rPr>
          <w:rFonts w:asciiTheme="minorHAnsi" w:hAnsiTheme="minorHAnsi" w:cstheme="minorHAnsi"/>
          <w:sz w:val="24"/>
          <w:szCs w:val="24"/>
        </w:rPr>
        <w:t xml:space="preserve">previously </w:t>
      </w:r>
      <w:r w:rsidRPr="0016581E">
        <w:rPr>
          <w:rFonts w:asciiTheme="minorHAnsi" w:hAnsiTheme="minorHAnsi" w:cstheme="minorHAnsi"/>
          <w:sz w:val="24"/>
          <w:szCs w:val="24"/>
        </w:rPr>
        <w:t xml:space="preserve">noted the issues in the trial design and significant risk of bias of </w:t>
      </w:r>
      <w:r w:rsidRPr="0016581E">
        <w:rPr>
          <w:rFonts w:asciiTheme="minorHAnsi" w:hAnsiTheme="minorHAnsi" w:cstheme="minorHAnsi"/>
          <w:sz w:val="24"/>
        </w:rPr>
        <w:t>PALOMA</w:t>
      </w:r>
      <w:r w:rsidRPr="0016581E">
        <w:rPr>
          <w:rFonts w:asciiTheme="minorHAnsi" w:hAnsiTheme="minorHAnsi" w:cstheme="minorHAnsi"/>
          <w:sz w:val="24"/>
          <w:szCs w:val="24"/>
        </w:rPr>
        <w:t>-1</w:t>
      </w:r>
      <w:r w:rsidR="005B4C0D" w:rsidRPr="0016581E">
        <w:rPr>
          <w:rFonts w:asciiTheme="minorHAnsi" w:hAnsiTheme="minorHAnsi" w:cstheme="minorHAnsi"/>
          <w:sz w:val="24"/>
          <w:szCs w:val="24"/>
        </w:rPr>
        <w:t xml:space="preserve"> arising from the open-label design</w:t>
      </w:r>
      <w:r w:rsidRPr="0016581E">
        <w:rPr>
          <w:rFonts w:asciiTheme="minorHAnsi" w:hAnsiTheme="minorHAnsi" w:cstheme="minorHAnsi"/>
          <w:sz w:val="24"/>
          <w:szCs w:val="24"/>
        </w:rPr>
        <w:t>. Though the predictable adverse event profile of palbociclib may also bias assessment of clinical response and patient reported outcomes in a blinded trial, the PBAC considered that data from PALOMA-2 would be more informative in evaluating the comparative efficacy and safety of palbociclib (</w:t>
      </w:r>
      <w:r w:rsidR="00416EEF">
        <w:rPr>
          <w:rFonts w:asciiTheme="minorHAnsi" w:hAnsiTheme="minorHAnsi" w:cstheme="minorHAnsi"/>
          <w:sz w:val="24"/>
          <w:szCs w:val="24"/>
        </w:rPr>
        <w:t>PSD</w:t>
      </w:r>
      <w:r w:rsidRPr="0016581E">
        <w:rPr>
          <w:rFonts w:asciiTheme="minorHAnsi" w:hAnsiTheme="minorHAnsi" w:cstheme="minorHAnsi"/>
          <w:sz w:val="24"/>
          <w:szCs w:val="24"/>
        </w:rPr>
        <w:t>, March 2017, item 7.8).</w:t>
      </w:r>
    </w:p>
    <w:p w:rsidR="004E23FC" w:rsidRPr="00BA4CBB" w:rsidRDefault="004E23FC" w:rsidP="004E23FC">
      <w:pPr>
        <w:pStyle w:val="Heading2"/>
      </w:pPr>
      <w:bookmarkStart w:id="23" w:name="_Toc413139278"/>
      <w:bookmarkStart w:id="24" w:name="_Toc493059785"/>
      <w:r w:rsidRPr="00BA4CBB">
        <w:t>Comparative effectiveness</w:t>
      </w:r>
      <w:bookmarkEnd w:id="23"/>
      <w:bookmarkEnd w:id="24"/>
      <w:r w:rsidRPr="00BA4CBB">
        <w:t xml:space="preserve"> </w:t>
      </w:r>
    </w:p>
    <w:p w:rsidR="00061167" w:rsidRPr="0016581E" w:rsidRDefault="00061167"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Figures 1 to 4 demonstrate the difference between the </w:t>
      </w:r>
      <w:r w:rsidR="00AE4C7B" w:rsidRPr="0016581E">
        <w:rPr>
          <w:rFonts w:asciiTheme="minorHAnsi" w:hAnsiTheme="minorHAnsi" w:cstheme="minorHAnsi"/>
          <w:sz w:val="24"/>
          <w:szCs w:val="24"/>
        </w:rPr>
        <w:t>investigator-assessed</w:t>
      </w:r>
      <w:r w:rsidRPr="0016581E">
        <w:rPr>
          <w:rFonts w:asciiTheme="minorHAnsi" w:hAnsiTheme="minorHAnsi" w:cstheme="minorHAnsi"/>
          <w:sz w:val="24"/>
          <w:szCs w:val="24"/>
        </w:rPr>
        <w:t xml:space="preserve"> and the Blinded Independent Central Review (BICR) assessed PFS.</w:t>
      </w:r>
      <w:r w:rsidR="00696234" w:rsidRPr="0016581E">
        <w:rPr>
          <w:rFonts w:asciiTheme="minorHAnsi" w:hAnsiTheme="minorHAnsi" w:cstheme="minorHAnsi"/>
          <w:sz w:val="24"/>
          <w:szCs w:val="24"/>
        </w:rPr>
        <w:t xml:space="preserve"> These figures are unchanged </w:t>
      </w:r>
      <w:r w:rsidR="004C4A83" w:rsidRPr="0016581E">
        <w:rPr>
          <w:rFonts w:asciiTheme="minorHAnsi" w:hAnsiTheme="minorHAnsi" w:cstheme="minorHAnsi"/>
          <w:sz w:val="24"/>
          <w:szCs w:val="24"/>
        </w:rPr>
        <w:t>from the previous submission.</w:t>
      </w:r>
      <w:r w:rsidR="00B65433" w:rsidRPr="0016581E">
        <w:rPr>
          <w:rFonts w:asciiTheme="minorHAnsi" w:hAnsiTheme="minorHAnsi" w:cstheme="minorHAnsi"/>
          <w:sz w:val="24"/>
          <w:szCs w:val="24"/>
        </w:rPr>
        <w:t xml:space="preserve"> </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6.6 Figure 1 and Figure 2 demonstrate the difference between the investigator assessed and the BICR assessed PFS. "/>
      </w:tblPr>
      <w:tblGrid>
        <w:gridCol w:w="4621"/>
        <w:gridCol w:w="4621"/>
      </w:tblGrid>
      <w:tr w:rsidR="00061167" w:rsidRPr="0016581E" w:rsidTr="00EA2CC2">
        <w:trPr>
          <w:tblHeader/>
        </w:trPr>
        <w:tc>
          <w:tcPr>
            <w:tcW w:w="4621" w:type="dxa"/>
          </w:tcPr>
          <w:p w:rsidR="00061167" w:rsidRPr="0016581E" w:rsidRDefault="00061167" w:rsidP="00061167">
            <w:pPr>
              <w:keepNext/>
              <w:widowControl/>
              <w:rPr>
                <w:b/>
              </w:rPr>
            </w:pPr>
            <w:bookmarkStart w:id="25" w:name="_Toc471220734"/>
            <w:r w:rsidRPr="0016581E">
              <w:rPr>
                <w:rStyle w:val="CommentReference"/>
              </w:rPr>
              <w:lastRenderedPageBreak/>
              <w:t>Figure 1: PALOMA-1 Kaplan-Meier Plot of PFS – Investigator Assessment (ITT Population)</w:t>
            </w:r>
            <w:bookmarkEnd w:id="25"/>
            <w:r w:rsidRPr="0016581E">
              <w:rPr>
                <w:rStyle w:val="CommentReference"/>
                <w:b w:val="0"/>
              </w:rPr>
              <w:t xml:space="preserve"> </w:t>
            </w:r>
          </w:p>
        </w:tc>
        <w:tc>
          <w:tcPr>
            <w:tcW w:w="4621" w:type="dxa"/>
          </w:tcPr>
          <w:p w:rsidR="00061167" w:rsidRPr="0016581E" w:rsidRDefault="00061167" w:rsidP="00EA2CC2">
            <w:pPr>
              <w:keepNext/>
              <w:widowControl/>
              <w:rPr>
                <w:rFonts w:ascii="Arial Narrow" w:hAnsi="Arial Narrow"/>
                <w:b/>
                <w:szCs w:val="16"/>
              </w:rPr>
            </w:pPr>
            <w:r w:rsidRPr="0016581E">
              <w:rPr>
                <w:rStyle w:val="CommentReference"/>
              </w:rPr>
              <w:t>Figure 2: PALOMA-1 Kaplan-Meier Plot of PFS – BICR (ITT Population)</w:t>
            </w:r>
          </w:p>
        </w:tc>
      </w:tr>
      <w:tr w:rsidR="00061167" w:rsidRPr="0016581E" w:rsidTr="00EA2CC2">
        <w:tc>
          <w:tcPr>
            <w:tcW w:w="4621" w:type="dxa"/>
          </w:tcPr>
          <w:p w:rsidR="00061167" w:rsidRPr="0016581E" w:rsidRDefault="00061167" w:rsidP="00EA2CC2">
            <w:pPr>
              <w:widowControl/>
              <w:rPr>
                <w:szCs w:val="22"/>
              </w:rPr>
            </w:pPr>
            <w:r w:rsidRPr="0016581E">
              <w:rPr>
                <w:rFonts w:cs="Times New Roman"/>
                <w:noProof/>
                <w:snapToGrid/>
                <w:szCs w:val="22"/>
              </w:rPr>
              <w:drawing>
                <wp:inline distT="0" distB="0" distL="0" distR="0" wp14:anchorId="151958AD" wp14:editId="086B9135">
                  <wp:extent cx="2924175" cy="2133600"/>
                  <wp:effectExtent l="0" t="0" r="9525" b="0"/>
                  <wp:docPr id="28" name="Picture 28" title="Figure 1: PALOMA-1 Kaplan-Meier Plot of PFS – Investigator Assessment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6115" cy="2142312"/>
                          </a:xfrm>
                          <a:prstGeom prst="rect">
                            <a:avLst/>
                          </a:prstGeom>
                          <a:noFill/>
                          <a:ln>
                            <a:noFill/>
                          </a:ln>
                        </pic:spPr>
                      </pic:pic>
                    </a:graphicData>
                  </a:graphic>
                </wp:inline>
              </w:drawing>
            </w:r>
          </w:p>
        </w:tc>
        <w:tc>
          <w:tcPr>
            <w:tcW w:w="4621" w:type="dxa"/>
          </w:tcPr>
          <w:p w:rsidR="00061167" w:rsidRPr="0016581E" w:rsidRDefault="00061167" w:rsidP="00EA2CC2">
            <w:pPr>
              <w:widowControl/>
              <w:rPr>
                <w:szCs w:val="22"/>
              </w:rPr>
            </w:pPr>
            <w:r w:rsidRPr="0016581E">
              <w:rPr>
                <w:rFonts w:cs="Times New Roman"/>
                <w:noProof/>
                <w:snapToGrid/>
                <w:szCs w:val="22"/>
              </w:rPr>
              <w:drawing>
                <wp:inline distT="0" distB="0" distL="0" distR="0" wp14:anchorId="21AE661D" wp14:editId="3A90216E">
                  <wp:extent cx="2951737" cy="2200275"/>
                  <wp:effectExtent l="0" t="0" r="1270" b="0"/>
                  <wp:docPr id="29" name="Picture 29" title="Figure 2: PALOMA-1 Kaplan-Meier Plot of PFS – BI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3479" cy="2209028"/>
                          </a:xfrm>
                          <a:prstGeom prst="rect">
                            <a:avLst/>
                          </a:prstGeom>
                          <a:noFill/>
                          <a:ln>
                            <a:noFill/>
                          </a:ln>
                        </pic:spPr>
                      </pic:pic>
                    </a:graphicData>
                  </a:graphic>
                </wp:inline>
              </w:drawing>
            </w:r>
          </w:p>
        </w:tc>
      </w:tr>
    </w:tbl>
    <w:p w:rsidR="00061167" w:rsidRPr="0016581E" w:rsidRDefault="00380EED" w:rsidP="00061167">
      <w:pPr>
        <w:pStyle w:val="TableFooter"/>
      </w:pPr>
      <w:r w:rsidRPr="0016581E">
        <w:t xml:space="preserve">BICR: Blinded Independent Central Review. ITT: Intent-to-treat. PFS: Progression-free survival. </w:t>
      </w:r>
      <w:r w:rsidR="00061167" w:rsidRPr="0016581E">
        <w:t>Source: Figure B.6.1 p</w:t>
      </w:r>
      <w:r w:rsidR="00533F1A" w:rsidRPr="0016581E">
        <w:t>71</w:t>
      </w:r>
      <w:r w:rsidR="00061167" w:rsidRPr="0016581E">
        <w:t xml:space="preserve"> and Figure B.6.2 p</w:t>
      </w:r>
      <w:r w:rsidR="00533F1A" w:rsidRPr="0016581E">
        <w:t>73</w:t>
      </w:r>
      <w:r w:rsidR="00061167" w:rsidRPr="0016581E">
        <w:t xml:space="preserve"> of the </w:t>
      </w:r>
      <w:r w:rsidR="00533F1A" w:rsidRPr="0016581E">
        <w:t>re-</w:t>
      </w:r>
      <w:r w:rsidR="00061167" w:rsidRPr="0016581E">
        <w:t>submission</w:t>
      </w:r>
    </w:p>
    <w:p w:rsidR="00061167" w:rsidRPr="0016581E" w:rsidRDefault="00061167" w:rsidP="00061167">
      <w:pPr>
        <w:pStyle w:val="TableFoote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Figure 3 and Figure 4"/>
      </w:tblPr>
      <w:tblGrid>
        <w:gridCol w:w="4621"/>
        <w:gridCol w:w="4621"/>
      </w:tblGrid>
      <w:tr w:rsidR="00061167" w:rsidRPr="0016581E" w:rsidTr="00EA2CC2">
        <w:trPr>
          <w:tblHeader/>
        </w:trPr>
        <w:tc>
          <w:tcPr>
            <w:tcW w:w="4621" w:type="dxa"/>
          </w:tcPr>
          <w:p w:rsidR="00061167" w:rsidRPr="0016581E" w:rsidRDefault="00061167" w:rsidP="00EA2CC2">
            <w:pPr>
              <w:keepNext/>
              <w:widowControl/>
              <w:rPr>
                <w:rFonts w:ascii="Arial Narrow" w:hAnsi="Arial Narrow"/>
                <w:b/>
                <w:szCs w:val="16"/>
              </w:rPr>
            </w:pPr>
            <w:r w:rsidRPr="0016581E">
              <w:rPr>
                <w:rStyle w:val="CommentReference"/>
              </w:rPr>
              <w:t xml:space="preserve">Figure 3: PALOMA-2 Kaplan-Meier Plot of PFS – Investigator Assessment (ITT Population) </w:t>
            </w:r>
          </w:p>
        </w:tc>
        <w:tc>
          <w:tcPr>
            <w:tcW w:w="4621" w:type="dxa"/>
          </w:tcPr>
          <w:p w:rsidR="00061167" w:rsidRPr="0016581E" w:rsidRDefault="00061167" w:rsidP="00EA2CC2">
            <w:pPr>
              <w:keepNext/>
              <w:widowControl/>
              <w:rPr>
                <w:rFonts w:ascii="Arial Narrow" w:hAnsi="Arial Narrow"/>
                <w:b/>
                <w:szCs w:val="16"/>
              </w:rPr>
            </w:pPr>
            <w:r w:rsidRPr="0016581E">
              <w:rPr>
                <w:rStyle w:val="CommentReference"/>
              </w:rPr>
              <w:t>Figure 4: PALOMA-2 Kaplan-Meier Plot of PFS – BICR (ITT Population)</w:t>
            </w:r>
          </w:p>
        </w:tc>
      </w:tr>
      <w:tr w:rsidR="00061167" w:rsidRPr="0016581E" w:rsidTr="00EA2CC2">
        <w:tc>
          <w:tcPr>
            <w:tcW w:w="4621" w:type="dxa"/>
          </w:tcPr>
          <w:p w:rsidR="00061167" w:rsidRPr="0016581E" w:rsidRDefault="00061167" w:rsidP="00EA2CC2">
            <w:pPr>
              <w:pStyle w:val="TableFooter"/>
            </w:pPr>
            <w:r w:rsidRPr="0016581E">
              <w:rPr>
                <w:rFonts w:ascii="Calibri" w:eastAsia="Calibri" w:hAnsi="Calibri" w:cs="Times New Roman"/>
                <w:noProof/>
                <w:snapToGrid/>
                <w:szCs w:val="22"/>
              </w:rPr>
              <w:drawing>
                <wp:inline distT="0" distB="0" distL="0" distR="0" wp14:anchorId="465F49F5" wp14:editId="50A52367">
                  <wp:extent cx="2865120" cy="1866900"/>
                  <wp:effectExtent l="0" t="0" r="0" b="0"/>
                  <wp:docPr id="30" name="Picture 30" title="Figure 3: PALOMA-2 Kaplan-Meier Plot of PFS – Investigator Assessment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692" cy="1880956"/>
                          </a:xfrm>
                          <a:prstGeom prst="rect">
                            <a:avLst/>
                          </a:prstGeom>
                          <a:noFill/>
                          <a:ln>
                            <a:noFill/>
                          </a:ln>
                        </pic:spPr>
                      </pic:pic>
                    </a:graphicData>
                  </a:graphic>
                </wp:inline>
              </w:drawing>
            </w:r>
          </w:p>
        </w:tc>
        <w:tc>
          <w:tcPr>
            <w:tcW w:w="4621" w:type="dxa"/>
          </w:tcPr>
          <w:p w:rsidR="00061167" w:rsidRPr="0016581E" w:rsidRDefault="00061167" w:rsidP="00EA2CC2">
            <w:pPr>
              <w:pStyle w:val="TableFooter"/>
            </w:pPr>
            <w:r w:rsidRPr="0016581E">
              <w:rPr>
                <w:rFonts w:cs="Times New Roman"/>
                <w:noProof/>
                <w:snapToGrid/>
                <w:szCs w:val="22"/>
              </w:rPr>
              <w:drawing>
                <wp:inline distT="0" distB="0" distL="0" distR="0" wp14:anchorId="6A4C19BB" wp14:editId="048409AE">
                  <wp:extent cx="2619067" cy="1962150"/>
                  <wp:effectExtent l="0" t="0" r="0" b="0"/>
                  <wp:docPr id="31" name="Picture 31" title="Figure 4: PALOMA-2 Kaplan-Meier Plot of PFS – BI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3899" cy="1973262"/>
                          </a:xfrm>
                          <a:prstGeom prst="rect">
                            <a:avLst/>
                          </a:prstGeom>
                          <a:noFill/>
                          <a:ln>
                            <a:noFill/>
                          </a:ln>
                        </pic:spPr>
                      </pic:pic>
                    </a:graphicData>
                  </a:graphic>
                </wp:inline>
              </w:drawing>
            </w:r>
          </w:p>
        </w:tc>
      </w:tr>
    </w:tbl>
    <w:p w:rsidR="00061167" w:rsidRPr="0016581E" w:rsidRDefault="00380EED" w:rsidP="00061167">
      <w:pPr>
        <w:pStyle w:val="TableFooter"/>
      </w:pPr>
      <w:r w:rsidRPr="0016581E">
        <w:t xml:space="preserve">BICR: Blinded Independent Central Review. ITT: Intent-to-treat. PFS: Progression-free survival. </w:t>
      </w:r>
      <w:r w:rsidR="00061167" w:rsidRPr="0016581E">
        <w:t xml:space="preserve">Source: </w:t>
      </w:r>
      <w:r w:rsidR="008B5D9E" w:rsidRPr="0016581E">
        <w:t>Figure B.6.10 p91 and Figure B.6.13 p98 of the re-submission</w:t>
      </w:r>
    </w:p>
    <w:p w:rsidR="004C4A83" w:rsidRPr="0016581E" w:rsidRDefault="004C4A83"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rPr>
        <w:t>Figure</w:t>
      </w:r>
      <w:r w:rsidRPr="0016581E">
        <w:rPr>
          <w:rFonts w:asciiTheme="minorHAnsi" w:hAnsiTheme="minorHAnsi" w:cstheme="minorHAnsi"/>
          <w:sz w:val="24"/>
          <w:szCs w:val="24"/>
        </w:rPr>
        <w:t xml:space="preserve"> 5 demonstrate</w:t>
      </w:r>
      <w:r w:rsidR="00CF1C35" w:rsidRPr="0016581E">
        <w:rPr>
          <w:rFonts w:asciiTheme="minorHAnsi" w:hAnsiTheme="minorHAnsi" w:cstheme="minorHAnsi"/>
          <w:sz w:val="24"/>
          <w:szCs w:val="24"/>
        </w:rPr>
        <w:t>s</w:t>
      </w:r>
      <w:r w:rsidRPr="0016581E">
        <w:rPr>
          <w:rFonts w:asciiTheme="minorHAnsi" w:hAnsiTheme="minorHAnsi" w:cstheme="minorHAnsi"/>
          <w:sz w:val="24"/>
          <w:szCs w:val="24"/>
        </w:rPr>
        <w:t xml:space="preserve"> the OS difference between palbociclib + letrozole and letrozole alone in PALOMA-1 based on updated data. This is changed from the previous submission.</w:t>
      </w:r>
      <w:r w:rsidR="009A173C" w:rsidRPr="0016581E">
        <w:rPr>
          <w:rFonts w:asciiTheme="minorHAnsi" w:hAnsiTheme="minorHAnsi" w:cstheme="minorHAnsi"/>
          <w:sz w:val="24"/>
          <w:szCs w:val="24"/>
        </w:rPr>
        <w:t xml:space="preserve"> The ESC considered that these data suggest that palbociclib + letrozole is not associated with an increase in OS compared with letrozole alone.</w:t>
      </w:r>
    </w:p>
    <w:p w:rsidR="00061167" w:rsidRPr="0016581E" w:rsidRDefault="00061167" w:rsidP="00061167">
      <w:pPr>
        <w:keepNext/>
        <w:widowControl/>
        <w:rPr>
          <w:rFonts w:ascii="Arial Narrow" w:hAnsi="Arial Narrow"/>
          <w:b/>
          <w:sz w:val="20"/>
          <w:szCs w:val="16"/>
        </w:rPr>
      </w:pPr>
      <w:r w:rsidRPr="0016581E">
        <w:rPr>
          <w:rStyle w:val="CommentReference"/>
        </w:rPr>
        <w:lastRenderedPageBreak/>
        <w:t>Figure 5:</w:t>
      </w:r>
      <w:r w:rsidR="007014EE" w:rsidRPr="0016581E">
        <w:rPr>
          <w:rStyle w:val="CommentReference"/>
        </w:rPr>
        <w:t xml:space="preserve"> Updated</w:t>
      </w:r>
      <w:r w:rsidRPr="0016581E">
        <w:rPr>
          <w:rStyle w:val="CommentReference"/>
        </w:rPr>
        <w:t xml:space="preserve"> PALOMA-1 Kaplan-Meier Plot of Overall Survival (Intent-to-Treat Population)</w:t>
      </w:r>
      <w:r w:rsidR="001743D7" w:rsidRPr="0016581E">
        <w:rPr>
          <w:rStyle w:val="CommentReference"/>
        </w:rPr>
        <w:t xml:space="preserve"> (30 December 2016)</w:t>
      </w:r>
    </w:p>
    <w:p w:rsidR="00061167" w:rsidRPr="0016581E" w:rsidRDefault="001743D7" w:rsidP="00061167">
      <w:pPr>
        <w:widowControl/>
      </w:pPr>
      <w:r w:rsidRPr="0016581E">
        <w:rPr>
          <w:noProof/>
          <w:lang w:eastAsia="en-AU"/>
        </w:rPr>
        <w:drawing>
          <wp:inline distT="0" distB="0" distL="0" distR="0" wp14:anchorId="58741D85" wp14:editId="799D51D4">
            <wp:extent cx="5923528" cy="3715024"/>
            <wp:effectExtent l="0" t="0" r="1270" b="0"/>
            <wp:docPr id="15" name="Picture 15" title="Figure 5: Updated PALOMA-1 Kaplan-Meier Plot of Overall Survival (Intent-to-Treat Population) (30 Decemb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108" r="2528" b="2364"/>
                    <a:stretch/>
                  </pic:blipFill>
                  <pic:spPr bwMode="auto">
                    <a:xfrm>
                      <a:off x="0" y="0"/>
                      <a:ext cx="5944057" cy="3727899"/>
                    </a:xfrm>
                    <a:prstGeom prst="rect">
                      <a:avLst/>
                    </a:prstGeom>
                    <a:noFill/>
                    <a:ln>
                      <a:noFill/>
                    </a:ln>
                    <a:extLst>
                      <a:ext uri="{53640926-AAD7-44D8-BBD7-CCE9431645EC}">
                        <a14:shadowObscured xmlns:a14="http://schemas.microsoft.com/office/drawing/2010/main"/>
                      </a:ext>
                    </a:extLst>
                  </pic:spPr>
                </pic:pic>
              </a:graphicData>
            </a:graphic>
          </wp:inline>
        </w:drawing>
      </w:r>
    </w:p>
    <w:p w:rsidR="00061167" w:rsidRDefault="00061167" w:rsidP="00061167">
      <w:pPr>
        <w:pStyle w:val="TableFooter"/>
      </w:pPr>
      <w:r w:rsidRPr="0016581E">
        <w:t>Source: Figure B.6.</w:t>
      </w:r>
      <w:r w:rsidR="001743D7" w:rsidRPr="0016581E">
        <w:t>5</w:t>
      </w:r>
      <w:r w:rsidRPr="0016581E">
        <w:t xml:space="preserve"> p</w:t>
      </w:r>
      <w:r w:rsidR="001743D7" w:rsidRPr="0016581E">
        <w:t>80</w:t>
      </w:r>
      <w:r w:rsidRPr="0016581E">
        <w:t xml:space="preserve"> of the </w:t>
      </w:r>
      <w:r w:rsidR="001743D7" w:rsidRPr="0016581E">
        <w:t>re-</w:t>
      </w:r>
      <w:r w:rsidRPr="0016581E">
        <w:t>submission</w:t>
      </w:r>
    </w:p>
    <w:p w:rsidR="006C4FDD" w:rsidRDefault="006C4FDD">
      <w:pPr>
        <w:widowControl/>
        <w:spacing w:after="160" w:line="259" w:lineRule="auto"/>
        <w:jc w:val="left"/>
        <w:rPr>
          <w:rFonts w:asciiTheme="minorHAnsi" w:hAnsiTheme="minorHAnsi" w:cstheme="minorHAnsi"/>
          <w:sz w:val="24"/>
          <w:szCs w:val="24"/>
        </w:rPr>
      </w:pPr>
      <w:r>
        <w:rPr>
          <w:rFonts w:asciiTheme="minorHAnsi" w:hAnsiTheme="minorHAnsi" w:cstheme="minorHAnsi"/>
          <w:sz w:val="24"/>
          <w:szCs w:val="24"/>
        </w:rPr>
        <w:br w:type="page"/>
      </w:r>
    </w:p>
    <w:p w:rsidR="000D0834" w:rsidRPr="0016581E" w:rsidRDefault="002966B8" w:rsidP="004B7EF3">
      <w:pPr>
        <w:pStyle w:val="ListParagraph"/>
        <w:numPr>
          <w:ilvl w:val="1"/>
          <w:numId w:val="5"/>
        </w:numPr>
        <w:spacing w:before="120" w:after="160"/>
        <w:ind w:left="709" w:hanging="709"/>
        <w:contextualSpacing w:val="0"/>
        <w:rPr>
          <w:rFonts w:ascii="Arial Narrow" w:eastAsiaTheme="minorHAnsi" w:hAnsi="Arial Narrow" w:cstheme="minorBidi"/>
          <w:b/>
          <w:snapToGrid/>
          <w:sz w:val="20"/>
          <w:szCs w:val="22"/>
        </w:rPr>
      </w:pPr>
      <w:r w:rsidRPr="0016581E">
        <w:rPr>
          <w:rFonts w:asciiTheme="minorHAnsi" w:hAnsiTheme="minorHAnsi" w:cstheme="minorHAnsi"/>
          <w:sz w:val="24"/>
          <w:szCs w:val="24"/>
        </w:rPr>
        <w:lastRenderedPageBreak/>
        <w:t xml:space="preserve">The key results </w:t>
      </w:r>
      <w:r w:rsidRPr="0016581E">
        <w:rPr>
          <w:rFonts w:asciiTheme="minorHAnsi" w:hAnsiTheme="minorHAnsi" w:cstheme="minorHAnsi"/>
          <w:sz w:val="24"/>
        </w:rPr>
        <w:t>from</w:t>
      </w:r>
      <w:r w:rsidRPr="0016581E">
        <w:rPr>
          <w:rFonts w:asciiTheme="minorHAnsi" w:hAnsiTheme="minorHAnsi" w:cstheme="minorHAnsi"/>
          <w:sz w:val="24"/>
          <w:szCs w:val="24"/>
        </w:rPr>
        <w:t xml:space="preserve"> the direct randomised trials are presented in the table below.</w:t>
      </w:r>
    </w:p>
    <w:p w:rsidR="004E23FC" w:rsidRPr="0016581E" w:rsidRDefault="004E23FC" w:rsidP="004E23FC">
      <w:pPr>
        <w:pStyle w:val="TableHeading0"/>
      </w:pPr>
      <w:r w:rsidRPr="0016581E">
        <w:t xml:space="preserve">Table </w:t>
      </w:r>
      <w:r w:rsidR="002966B8" w:rsidRPr="0016581E">
        <w:t>5</w:t>
      </w:r>
      <w:r w:rsidRPr="0016581E">
        <w:t>:</w:t>
      </w:r>
      <w:r w:rsidR="00061167" w:rsidRPr="0016581E">
        <w:t xml:space="preserve"> </w:t>
      </w:r>
      <w:r w:rsidRPr="0016581E">
        <w:t>Results of</w:t>
      </w:r>
      <w:r w:rsidR="00061167" w:rsidRPr="0016581E">
        <w:t xml:space="preserve"> PFS and OS</w:t>
      </w:r>
      <w:r w:rsidRPr="0016581E">
        <w:t xml:space="preserve"> across the direct randomised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6"/>
        <w:gridCol w:w="1480"/>
        <w:gridCol w:w="1480"/>
        <w:gridCol w:w="1270"/>
        <w:gridCol w:w="1270"/>
        <w:gridCol w:w="380"/>
        <w:gridCol w:w="2016"/>
      </w:tblGrid>
      <w:tr w:rsidR="00061167" w:rsidRPr="0016581E" w:rsidTr="005812A1">
        <w:tc>
          <w:tcPr>
            <w:tcW w:w="653" w:type="pct"/>
            <w:shd w:val="clear" w:color="auto" w:fill="auto"/>
            <w:vAlign w:val="center"/>
          </w:tcPr>
          <w:p w:rsidR="00061167" w:rsidRPr="0016581E" w:rsidRDefault="00061167" w:rsidP="00061167">
            <w:pPr>
              <w:pStyle w:val="TableText1"/>
              <w:jc w:val="center"/>
              <w:rPr>
                <w:b/>
              </w:rPr>
            </w:pPr>
            <w:r w:rsidRPr="0016581E">
              <w:rPr>
                <w:b/>
              </w:rPr>
              <w:t>Trial ID</w:t>
            </w:r>
          </w:p>
        </w:tc>
        <w:tc>
          <w:tcPr>
            <w:tcW w:w="815" w:type="pct"/>
            <w:shd w:val="clear" w:color="auto" w:fill="auto"/>
            <w:vAlign w:val="center"/>
          </w:tcPr>
          <w:p w:rsidR="00061167" w:rsidRPr="0016581E" w:rsidRDefault="00061167" w:rsidP="00061167">
            <w:pPr>
              <w:keepNext/>
              <w:jc w:val="center"/>
              <w:rPr>
                <w:rFonts w:ascii="Arial Narrow" w:hAnsi="Arial Narrow"/>
                <w:b/>
                <w:sz w:val="20"/>
              </w:rPr>
            </w:pPr>
            <w:r w:rsidRPr="0016581E">
              <w:rPr>
                <w:rFonts w:ascii="Arial Narrow" w:hAnsi="Arial Narrow"/>
                <w:b/>
                <w:sz w:val="20"/>
              </w:rPr>
              <w:t>P + L</w:t>
            </w:r>
          </w:p>
          <w:p w:rsidR="00061167" w:rsidRPr="0016581E" w:rsidRDefault="00061167" w:rsidP="00061167">
            <w:pPr>
              <w:pStyle w:val="TableText1"/>
              <w:jc w:val="center"/>
              <w:rPr>
                <w:b/>
              </w:rPr>
            </w:pPr>
            <w:proofErr w:type="gramStart"/>
            <w:r w:rsidRPr="0016581E">
              <w:rPr>
                <w:b/>
              </w:rPr>
              <w:t>n</w:t>
            </w:r>
            <w:proofErr w:type="gramEnd"/>
            <w:r w:rsidRPr="0016581E">
              <w:rPr>
                <w:b/>
              </w:rPr>
              <w:t xml:space="preserve"> with event/N (%)</w:t>
            </w:r>
          </w:p>
        </w:tc>
        <w:tc>
          <w:tcPr>
            <w:tcW w:w="815" w:type="pct"/>
            <w:shd w:val="clear" w:color="auto" w:fill="auto"/>
            <w:vAlign w:val="center"/>
          </w:tcPr>
          <w:p w:rsidR="00061167" w:rsidRPr="0016581E" w:rsidRDefault="00061167" w:rsidP="00061167">
            <w:pPr>
              <w:keepNext/>
              <w:jc w:val="center"/>
              <w:rPr>
                <w:rFonts w:ascii="Arial Narrow" w:hAnsi="Arial Narrow"/>
                <w:b/>
                <w:sz w:val="20"/>
              </w:rPr>
            </w:pPr>
            <w:r w:rsidRPr="0016581E">
              <w:rPr>
                <w:rFonts w:ascii="Arial Narrow" w:hAnsi="Arial Narrow"/>
                <w:b/>
                <w:sz w:val="20"/>
              </w:rPr>
              <w:t>L</w:t>
            </w:r>
          </w:p>
          <w:p w:rsidR="00061167" w:rsidRPr="0016581E" w:rsidRDefault="00061167" w:rsidP="00061167">
            <w:pPr>
              <w:pStyle w:val="TableText1"/>
              <w:jc w:val="center"/>
              <w:rPr>
                <w:b/>
              </w:rPr>
            </w:pPr>
            <w:proofErr w:type="gramStart"/>
            <w:r w:rsidRPr="0016581E">
              <w:rPr>
                <w:b/>
              </w:rPr>
              <w:t>n</w:t>
            </w:r>
            <w:proofErr w:type="gramEnd"/>
            <w:r w:rsidRPr="0016581E">
              <w:rPr>
                <w:b/>
              </w:rPr>
              <w:t xml:space="preserve"> with event/N (%)</w:t>
            </w:r>
          </w:p>
        </w:tc>
        <w:tc>
          <w:tcPr>
            <w:tcW w:w="699" w:type="pct"/>
            <w:vAlign w:val="center"/>
          </w:tcPr>
          <w:p w:rsidR="00061167" w:rsidRPr="0016581E" w:rsidRDefault="00061167" w:rsidP="00061167">
            <w:pPr>
              <w:keepNext/>
              <w:jc w:val="center"/>
              <w:rPr>
                <w:rFonts w:ascii="Arial Narrow" w:hAnsi="Arial Narrow"/>
                <w:b/>
                <w:sz w:val="20"/>
              </w:rPr>
            </w:pPr>
            <w:r w:rsidRPr="0016581E">
              <w:rPr>
                <w:rFonts w:ascii="Arial Narrow" w:hAnsi="Arial Narrow"/>
                <w:b/>
                <w:sz w:val="20"/>
              </w:rPr>
              <w:t>P + L</w:t>
            </w:r>
          </w:p>
          <w:p w:rsidR="00061167" w:rsidRPr="0016581E" w:rsidRDefault="00061167" w:rsidP="00061167">
            <w:pPr>
              <w:keepNext/>
              <w:widowControl/>
              <w:jc w:val="center"/>
              <w:rPr>
                <w:rFonts w:ascii="Arial Narrow" w:hAnsi="Arial Narrow"/>
                <w:b/>
                <w:sz w:val="20"/>
              </w:rPr>
            </w:pPr>
            <w:r w:rsidRPr="0016581E">
              <w:rPr>
                <w:rFonts w:ascii="Arial Narrow" w:hAnsi="Arial Narrow"/>
                <w:b/>
                <w:sz w:val="20"/>
              </w:rPr>
              <w:t>Median months</w:t>
            </w:r>
          </w:p>
          <w:p w:rsidR="00061167" w:rsidRPr="0016581E" w:rsidRDefault="00061167" w:rsidP="00061167">
            <w:pPr>
              <w:pStyle w:val="TableText1"/>
              <w:jc w:val="center"/>
              <w:rPr>
                <w:b/>
              </w:rPr>
            </w:pPr>
            <w:r w:rsidRPr="0016581E">
              <w:rPr>
                <w:b/>
              </w:rPr>
              <w:t>(95% CI)</w:t>
            </w:r>
          </w:p>
        </w:tc>
        <w:tc>
          <w:tcPr>
            <w:tcW w:w="699" w:type="pct"/>
            <w:vAlign w:val="center"/>
          </w:tcPr>
          <w:p w:rsidR="00061167" w:rsidRPr="0016581E" w:rsidRDefault="00061167" w:rsidP="00061167">
            <w:pPr>
              <w:keepNext/>
              <w:widowControl/>
              <w:jc w:val="center"/>
              <w:rPr>
                <w:rFonts w:ascii="Arial Narrow" w:hAnsi="Arial Narrow"/>
                <w:b/>
                <w:sz w:val="20"/>
              </w:rPr>
            </w:pPr>
            <w:r w:rsidRPr="0016581E">
              <w:rPr>
                <w:rFonts w:ascii="Arial Narrow" w:hAnsi="Arial Narrow"/>
                <w:b/>
                <w:sz w:val="20"/>
              </w:rPr>
              <w:t>L</w:t>
            </w:r>
          </w:p>
          <w:p w:rsidR="00061167" w:rsidRPr="0016581E" w:rsidRDefault="00061167" w:rsidP="00061167">
            <w:pPr>
              <w:keepNext/>
              <w:widowControl/>
              <w:jc w:val="center"/>
              <w:rPr>
                <w:rFonts w:ascii="Arial Narrow" w:hAnsi="Arial Narrow"/>
                <w:b/>
                <w:sz w:val="20"/>
              </w:rPr>
            </w:pPr>
            <w:r w:rsidRPr="0016581E">
              <w:rPr>
                <w:rFonts w:ascii="Arial Narrow" w:hAnsi="Arial Narrow"/>
                <w:b/>
                <w:sz w:val="20"/>
              </w:rPr>
              <w:t>Median months</w:t>
            </w:r>
          </w:p>
          <w:p w:rsidR="00061167" w:rsidRPr="0016581E" w:rsidRDefault="00061167" w:rsidP="00061167">
            <w:pPr>
              <w:pStyle w:val="TableText1"/>
              <w:jc w:val="center"/>
              <w:rPr>
                <w:b/>
              </w:rPr>
            </w:pPr>
            <w:r w:rsidRPr="0016581E">
              <w:rPr>
                <w:b/>
              </w:rPr>
              <w:t>(95% CI)</w:t>
            </w:r>
          </w:p>
        </w:tc>
        <w:tc>
          <w:tcPr>
            <w:tcW w:w="209" w:type="pct"/>
            <w:shd w:val="clear" w:color="auto" w:fill="auto"/>
            <w:vAlign w:val="center"/>
          </w:tcPr>
          <w:p w:rsidR="00061167" w:rsidRPr="0016581E" w:rsidRDefault="00061167" w:rsidP="00061167">
            <w:pPr>
              <w:pStyle w:val="TableText1"/>
              <w:jc w:val="center"/>
              <w:rPr>
                <w:b/>
              </w:rPr>
            </w:pPr>
            <w:r w:rsidRPr="0016581E">
              <w:rPr>
                <w:b/>
              </w:rPr>
              <w:t>Diff.</w:t>
            </w:r>
          </w:p>
        </w:tc>
        <w:tc>
          <w:tcPr>
            <w:tcW w:w="1110" w:type="pct"/>
            <w:shd w:val="clear" w:color="auto" w:fill="auto"/>
            <w:vAlign w:val="center"/>
          </w:tcPr>
          <w:p w:rsidR="00061167" w:rsidRPr="0016581E" w:rsidRDefault="00061167" w:rsidP="00061167">
            <w:pPr>
              <w:keepNext/>
              <w:widowControl/>
              <w:jc w:val="center"/>
              <w:rPr>
                <w:rFonts w:ascii="Arial Narrow" w:hAnsi="Arial Narrow"/>
                <w:b/>
                <w:sz w:val="20"/>
              </w:rPr>
            </w:pPr>
            <w:r w:rsidRPr="0016581E">
              <w:rPr>
                <w:rFonts w:ascii="Arial Narrow" w:hAnsi="Arial Narrow"/>
                <w:b/>
                <w:sz w:val="20"/>
              </w:rPr>
              <w:t>HR</w:t>
            </w:r>
          </w:p>
          <w:p w:rsidR="00061167" w:rsidRPr="0016581E" w:rsidRDefault="00061167" w:rsidP="00061167">
            <w:pPr>
              <w:pStyle w:val="TableText1"/>
              <w:jc w:val="center"/>
              <w:rPr>
                <w:b/>
              </w:rPr>
            </w:pPr>
            <w:r w:rsidRPr="0016581E">
              <w:rPr>
                <w:b/>
              </w:rPr>
              <w:t>(95% CI)</w:t>
            </w:r>
          </w:p>
        </w:tc>
      </w:tr>
      <w:tr w:rsidR="001333AC" w:rsidRPr="0016581E" w:rsidTr="005812A1">
        <w:tc>
          <w:tcPr>
            <w:tcW w:w="5000" w:type="pct"/>
            <w:gridSpan w:val="7"/>
            <w:tcBorders>
              <w:bottom w:val="single" w:sz="4" w:space="0" w:color="auto"/>
            </w:tcBorders>
            <w:shd w:val="clear" w:color="auto" w:fill="auto"/>
            <w:vAlign w:val="center"/>
          </w:tcPr>
          <w:p w:rsidR="001333AC" w:rsidRPr="0016581E" w:rsidRDefault="001333AC" w:rsidP="00353CDC">
            <w:pPr>
              <w:pStyle w:val="TableText1"/>
            </w:pPr>
            <w:r w:rsidRPr="0016581E">
              <w:rPr>
                <w:b/>
              </w:rPr>
              <w:t>PFS</w:t>
            </w:r>
          </w:p>
        </w:tc>
      </w:tr>
      <w:tr w:rsidR="00276274" w:rsidRPr="0016581E" w:rsidTr="005812A1">
        <w:tc>
          <w:tcPr>
            <w:tcW w:w="5000" w:type="pct"/>
            <w:gridSpan w:val="7"/>
            <w:tcBorders>
              <w:bottom w:val="single" w:sz="4" w:space="0" w:color="auto"/>
            </w:tcBorders>
            <w:shd w:val="clear" w:color="auto" w:fill="auto"/>
          </w:tcPr>
          <w:p w:rsidR="00276274" w:rsidRPr="0016581E" w:rsidRDefault="00276274" w:rsidP="00276274">
            <w:pPr>
              <w:pStyle w:val="TableText1"/>
            </w:pPr>
            <w:r w:rsidRPr="0016581E">
              <w:t>PALOMA-1</w:t>
            </w:r>
            <w:r w:rsidR="00EA2CC2" w:rsidRPr="0016581E">
              <w:t xml:space="preserve"> (29 November 2013)</w:t>
            </w:r>
            <w:r w:rsidR="00CD20BE" w:rsidRPr="0016581E">
              <w:rPr>
                <w:vertAlign w:val="superscript"/>
              </w:rPr>
              <w:t>a</w:t>
            </w:r>
          </w:p>
        </w:tc>
      </w:tr>
      <w:tr w:rsidR="00276274" w:rsidRPr="0016581E" w:rsidTr="005812A1">
        <w:tc>
          <w:tcPr>
            <w:tcW w:w="653" w:type="pct"/>
            <w:tcBorders>
              <w:top w:val="single" w:sz="4" w:space="0" w:color="auto"/>
              <w:bottom w:val="single" w:sz="4" w:space="0" w:color="auto"/>
            </w:tcBorders>
            <w:shd w:val="clear" w:color="auto" w:fill="auto"/>
            <w:vAlign w:val="center"/>
          </w:tcPr>
          <w:p w:rsidR="00276274" w:rsidRPr="0016581E" w:rsidRDefault="00276274" w:rsidP="00777B5C">
            <w:pPr>
              <w:pStyle w:val="TableText1"/>
            </w:pPr>
            <w:r w:rsidRPr="0016581E">
              <w:t>Investigator</w:t>
            </w:r>
          </w:p>
        </w:tc>
        <w:tc>
          <w:tcPr>
            <w:tcW w:w="815" w:type="pct"/>
            <w:tcBorders>
              <w:top w:val="single" w:sz="4" w:space="0" w:color="auto"/>
              <w:bottom w:val="single" w:sz="4" w:space="0" w:color="auto"/>
            </w:tcBorders>
            <w:shd w:val="clear" w:color="auto" w:fill="auto"/>
            <w:vAlign w:val="center"/>
          </w:tcPr>
          <w:p w:rsidR="00276274" w:rsidRPr="0016581E" w:rsidRDefault="00276274" w:rsidP="001333AC">
            <w:pPr>
              <w:pStyle w:val="TableText1"/>
              <w:jc w:val="center"/>
            </w:pPr>
            <w:r w:rsidRPr="0016581E">
              <w:t>41/84 (48.8)</w:t>
            </w:r>
          </w:p>
        </w:tc>
        <w:tc>
          <w:tcPr>
            <w:tcW w:w="815" w:type="pct"/>
            <w:tcBorders>
              <w:top w:val="single" w:sz="4" w:space="0" w:color="auto"/>
              <w:bottom w:val="single" w:sz="4" w:space="0" w:color="auto"/>
            </w:tcBorders>
            <w:shd w:val="clear" w:color="auto" w:fill="auto"/>
            <w:vAlign w:val="center"/>
          </w:tcPr>
          <w:p w:rsidR="00276274" w:rsidRPr="0016581E" w:rsidRDefault="00276274" w:rsidP="001333AC">
            <w:pPr>
              <w:pStyle w:val="TableText1"/>
              <w:jc w:val="center"/>
            </w:pPr>
            <w:r w:rsidRPr="0016581E">
              <w:t>59/81 (72.8)</w:t>
            </w:r>
          </w:p>
        </w:tc>
        <w:tc>
          <w:tcPr>
            <w:tcW w:w="699" w:type="pct"/>
            <w:tcBorders>
              <w:top w:val="single" w:sz="4" w:space="0" w:color="auto"/>
              <w:bottom w:val="single" w:sz="4" w:space="0" w:color="auto"/>
            </w:tcBorders>
            <w:vAlign w:val="center"/>
          </w:tcPr>
          <w:p w:rsidR="00276274" w:rsidRPr="0016581E" w:rsidRDefault="00276274" w:rsidP="001333AC">
            <w:pPr>
              <w:pStyle w:val="TableText1"/>
              <w:jc w:val="center"/>
            </w:pPr>
            <w:r w:rsidRPr="0016581E">
              <w:t>20.2 (13.8, 27.5)</w:t>
            </w:r>
          </w:p>
        </w:tc>
        <w:tc>
          <w:tcPr>
            <w:tcW w:w="699" w:type="pct"/>
            <w:tcBorders>
              <w:top w:val="single" w:sz="4" w:space="0" w:color="auto"/>
              <w:bottom w:val="single" w:sz="4" w:space="0" w:color="auto"/>
            </w:tcBorders>
            <w:vAlign w:val="center"/>
          </w:tcPr>
          <w:p w:rsidR="00276274" w:rsidRPr="0016581E" w:rsidRDefault="00276274" w:rsidP="001333AC">
            <w:pPr>
              <w:pStyle w:val="TableText1"/>
              <w:jc w:val="center"/>
            </w:pPr>
            <w:r w:rsidRPr="0016581E">
              <w:t>10.2 (5.7, 12.6)</w:t>
            </w:r>
          </w:p>
        </w:tc>
        <w:tc>
          <w:tcPr>
            <w:tcW w:w="209" w:type="pct"/>
            <w:tcBorders>
              <w:top w:val="single" w:sz="4" w:space="0" w:color="auto"/>
              <w:bottom w:val="single" w:sz="4" w:space="0" w:color="auto"/>
            </w:tcBorders>
            <w:shd w:val="clear" w:color="auto" w:fill="auto"/>
            <w:vAlign w:val="center"/>
          </w:tcPr>
          <w:p w:rsidR="00276274" w:rsidRPr="0016581E" w:rsidRDefault="00276274" w:rsidP="001333AC">
            <w:pPr>
              <w:pStyle w:val="TableText1"/>
              <w:jc w:val="center"/>
            </w:pPr>
            <w:r w:rsidRPr="0016581E">
              <w:t>10.0</w:t>
            </w:r>
          </w:p>
        </w:tc>
        <w:tc>
          <w:tcPr>
            <w:tcW w:w="1110" w:type="pct"/>
            <w:tcBorders>
              <w:top w:val="single" w:sz="4" w:space="0" w:color="auto"/>
              <w:bottom w:val="single" w:sz="4" w:space="0" w:color="auto"/>
            </w:tcBorders>
            <w:shd w:val="clear" w:color="auto" w:fill="auto"/>
            <w:vAlign w:val="center"/>
          </w:tcPr>
          <w:p w:rsidR="00276274" w:rsidRPr="0016581E" w:rsidRDefault="00276274" w:rsidP="001333AC">
            <w:pPr>
              <w:pStyle w:val="TableText1"/>
              <w:jc w:val="center"/>
            </w:pPr>
            <w:r w:rsidRPr="0016581E">
              <w:t>HR 0.488</w:t>
            </w:r>
            <w:r w:rsidR="0002122B" w:rsidRPr="0016581E">
              <w:rPr>
                <w:vertAlign w:val="superscript"/>
              </w:rPr>
              <w:t>d</w:t>
            </w:r>
            <w:r w:rsidRPr="0016581E">
              <w:t xml:space="preserve"> (0.319, 0.748)</w:t>
            </w:r>
          </w:p>
          <w:p w:rsidR="00276274" w:rsidRPr="0016581E" w:rsidRDefault="00276274" w:rsidP="001333AC">
            <w:pPr>
              <w:pStyle w:val="TableText1"/>
              <w:jc w:val="center"/>
            </w:pPr>
            <w:r w:rsidRPr="0016581E">
              <w:t>1-sided p-value 0.0004</w:t>
            </w:r>
            <w:r w:rsidR="0002122B" w:rsidRPr="0016581E">
              <w:rPr>
                <w:vertAlign w:val="superscript"/>
              </w:rPr>
              <w:t>e</w:t>
            </w:r>
          </w:p>
        </w:tc>
      </w:tr>
      <w:tr w:rsidR="00276274" w:rsidRPr="0016581E" w:rsidTr="005812A1">
        <w:tc>
          <w:tcPr>
            <w:tcW w:w="653" w:type="pct"/>
            <w:tcBorders>
              <w:top w:val="single" w:sz="4" w:space="0" w:color="auto"/>
            </w:tcBorders>
            <w:shd w:val="clear" w:color="auto" w:fill="auto"/>
            <w:vAlign w:val="center"/>
          </w:tcPr>
          <w:p w:rsidR="00276274" w:rsidRPr="0016581E" w:rsidRDefault="00276274" w:rsidP="00777B5C">
            <w:pPr>
              <w:pStyle w:val="TableText1"/>
            </w:pPr>
            <w:r w:rsidRPr="0016581E">
              <w:t>BICR</w:t>
            </w:r>
          </w:p>
        </w:tc>
        <w:tc>
          <w:tcPr>
            <w:tcW w:w="815" w:type="pct"/>
            <w:tcBorders>
              <w:top w:val="single" w:sz="4" w:space="0" w:color="auto"/>
            </w:tcBorders>
            <w:shd w:val="clear" w:color="auto" w:fill="auto"/>
            <w:vAlign w:val="center"/>
          </w:tcPr>
          <w:p w:rsidR="00276274" w:rsidRPr="0016581E" w:rsidRDefault="00276274" w:rsidP="001333AC">
            <w:pPr>
              <w:pStyle w:val="TableText1"/>
              <w:jc w:val="center"/>
            </w:pPr>
            <w:r w:rsidRPr="0016581E">
              <w:t>31/84 (36.9)</w:t>
            </w:r>
          </w:p>
        </w:tc>
        <w:tc>
          <w:tcPr>
            <w:tcW w:w="815" w:type="pct"/>
            <w:tcBorders>
              <w:top w:val="single" w:sz="4" w:space="0" w:color="auto"/>
            </w:tcBorders>
            <w:shd w:val="clear" w:color="auto" w:fill="auto"/>
            <w:vAlign w:val="center"/>
          </w:tcPr>
          <w:p w:rsidR="00276274" w:rsidRPr="0016581E" w:rsidRDefault="00276274" w:rsidP="001333AC">
            <w:pPr>
              <w:pStyle w:val="TableText1"/>
              <w:jc w:val="center"/>
            </w:pPr>
            <w:r w:rsidRPr="0016581E">
              <w:t>33/81 (40.7)</w:t>
            </w:r>
          </w:p>
        </w:tc>
        <w:tc>
          <w:tcPr>
            <w:tcW w:w="699" w:type="pct"/>
            <w:tcBorders>
              <w:top w:val="single" w:sz="4" w:space="0" w:color="auto"/>
            </w:tcBorders>
            <w:vAlign w:val="center"/>
          </w:tcPr>
          <w:p w:rsidR="00276274" w:rsidRPr="0016581E" w:rsidRDefault="00276274" w:rsidP="001333AC">
            <w:pPr>
              <w:pStyle w:val="TableText1"/>
              <w:jc w:val="center"/>
            </w:pPr>
            <w:r w:rsidRPr="0016581E">
              <w:t>25.7 (17.7, NR)</w:t>
            </w:r>
          </w:p>
        </w:tc>
        <w:tc>
          <w:tcPr>
            <w:tcW w:w="699" w:type="pct"/>
            <w:tcBorders>
              <w:top w:val="single" w:sz="4" w:space="0" w:color="auto"/>
            </w:tcBorders>
            <w:vAlign w:val="center"/>
          </w:tcPr>
          <w:p w:rsidR="00276274" w:rsidRPr="0016581E" w:rsidRDefault="00276274" w:rsidP="001333AC">
            <w:pPr>
              <w:pStyle w:val="TableText1"/>
              <w:jc w:val="center"/>
            </w:pPr>
            <w:r w:rsidRPr="0016581E">
              <w:t>14.8 (9.3, 20.4)</w:t>
            </w:r>
          </w:p>
        </w:tc>
        <w:tc>
          <w:tcPr>
            <w:tcW w:w="209" w:type="pct"/>
            <w:tcBorders>
              <w:top w:val="single" w:sz="4" w:space="0" w:color="auto"/>
            </w:tcBorders>
            <w:shd w:val="clear" w:color="auto" w:fill="auto"/>
            <w:vAlign w:val="center"/>
          </w:tcPr>
          <w:p w:rsidR="00276274" w:rsidRPr="0016581E" w:rsidRDefault="00276274" w:rsidP="001333AC">
            <w:pPr>
              <w:pStyle w:val="TableText1"/>
              <w:jc w:val="center"/>
            </w:pPr>
            <w:r w:rsidRPr="0016581E">
              <w:t>10.9</w:t>
            </w:r>
          </w:p>
        </w:tc>
        <w:tc>
          <w:tcPr>
            <w:tcW w:w="1110" w:type="pct"/>
            <w:tcBorders>
              <w:top w:val="single" w:sz="4" w:space="0" w:color="auto"/>
            </w:tcBorders>
            <w:shd w:val="clear" w:color="auto" w:fill="auto"/>
            <w:vAlign w:val="center"/>
          </w:tcPr>
          <w:p w:rsidR="00276274" w:rsidRPr="0016581E" w:rsidRDefault="00276274" w:rsidP="001333AC">
            <w:pPr>
              <w:pStyle w:val="TableText1"/>
              <w:jc w:val="center"/>
            </w:pPr>
            <w:r w:rsidRPr="0016581E">
              <w:t>HR 0.621</w:t>
            </w:r>
            <w:r w:rsidR="0002122B" w:rsidRPr="0016581E">
              <w:rPr>
                <w:vertAlign w:val="superscript"/>
              </w:rPr>
              <w:t>d</w:t>
            </w:r>
            <w:r w:rsidRPr="0016581E">
              <w:t xml:space="preserve"> (0.378, 1.019)</w:t>
            </w:r>
          </w:p>
          <w:p w:rsidR="00276274" w:rsidRPr="0016581E" w:rsidRDefault="00276274" w:rsidP="001333AC">
            <w:pPr>
              <w:pStyle w:val="TableText1"/>
              <w:jc w:val="center"/>
            </w:pPr>
            <w:r w:rsidRPr="0016581E">
              <w:t>1-sided p-value</w:t>
            </w:r>
            <w:r w:rsidR="0002122B" w:rsidRPr="0016581E">
              <w:rPr>
                <w:vertAlign w:val="superscript"/>
              </w:rPr>
              <w:t>e</w:t>
            </w:r>
            <w:r w:rsidRPr="0016581E">
              <w:t xml:space="preserve"> 0.0286</w:t>
            </w:r>
          </w:p>
        </w:tc>
      </w:tr>
      <w:tr w:rsidR="00276274" w:rsidRPr="0016581E" w:rsidTr="005812A1">
        <w:tc>
          <w:tcPr>
            <w:tcW w:w="5000" w:type="pct"/>
            <w:gridSpan w:val="7"/>
            <w:shd w:val="clear" w:color="auto" w:fill="auto"/>
          </w:tcPr>
          <w:p w:rsidR="00276274" w:rsidRPr="0016581E" w:rsidRDefault="00276274" w:rsidP="00276274">
            <w:pPr>
              <w:pStyle w:val="TableText1"/>
            </w:pPr>
            <w:r w:rsidRPr="0016581E">
              <w:t>PALOMA-2 (</w:t>
            </w:r>
            <w:r w:rsidR="009056DC" w:rsidRPr="0016581E">
              <w:t xml:space="preserve">26 </w:t>
            </w:r>
            <w:r w:rsidRPr="0016581E">
              <w:t>February 2016)</w:t>
            </w:r>
            <w:r w:rsidR="00CD20BE" w:rsidRPr="0016581E">
              <w:rPr>
                <w:vertAlign w:val="superscript"/>
              </w:rPr>
              <w:t>b</w:t>
            </w:r>
          </w:p>
        </w:tc>
      </w:tr>
      <w:tr w:rsidR="00276274" w:rsidRPr="0016581E" w:rsidTr="005812A1">
        <w:tc>
          <w:tcPr>
            <w:tcW w:w="653" w:type="pct"/>
            <w:shd w:val="clear" w:color="auto" w:fill="auto"/>
            <w:vAlign w:val="center"/>
          </w:tcPr>
          <w:p w:rsidR="00276274" w:rsidRPr="0016581E" w:rsidRDefault="00276274" w:rsidP="00777B5C">
            <w:pPr>
              <w:pStyle w:val="TableText1"/>
            </w:pPr>
            <w:r w:rsidRPr="0016581E">
              <w:t>Investigator</w:t>
            </w:r>
          </w:p>
        </w:tc>
        <w:tc>
          <w:tcPr>
            <w:tcW w:w="815" w:type="pct"/>
            <w:shd w:val="clear" w:color="auto" w:fill="auto"/>
            <w:vAlign w:val="center"/>
          </w:tcPr>
          <w:p w:rsidR="00276274" w:rsidRPr="0016581E" w:rsidRDefault="00276274" w:rsidP="001333AC">
            <w:pPr>
              <w:pStyle w:val="TableText1"/>
              <w:jc w:val="center"/>
            </w:pPr>
            <w:r w:rsidRPr="0016581E">
              <w:t>194/444 (43.7)</w:t>
            </w:r>
          </w:p>
        </w:tc>
        <w:tc>
          <w:tcPr>
            <w:tcW w:w="815" w:type="pct"/>
            <w:shd w:val="clear" w:color="auto" w:fill="auto"/>
            <w:vAlign w:val="center"/>
          </w:tcPr>
          <w:p w:rsidR="00276274" w:rsidRPr="0016581E" w:rsidRDefault="00276274" w:rsidP="001333AC">
            <w:pPr>
              <w:pStyle w:val="TableText1"/>
              <w:jc w:val="center"/>
            </w:pPr>
            <w:r w:rsidRPr="0016581E">
              <w:t>137/222 (61.7)</w:t>
            </w:r>
          </w:p>
        </w:tc>
        <w:tc>
          <w:tcPr>
            <w:tcW w:w="699" w:type="pct"/>
            <w:vAlign w:val="center"/>
          </w:tcPr>
          <w:p w:rsidR="00276274" w:rsidRPr="0016581E" w:rsidRDefault="00276274" w:rsidP="001333AC">
            <w:pPr>
              <w:pStyle w:val="TableText1"/>
              <w:jc w:val="center"/>
            </w:pPr>
            <w:r w:rsidRPr="0016581E">
              <w:t>24.8 (22.1, NR)</w:t>
            </w:r>
          </w:p>
        </w:tc>
        <w:tc>
          <w:tcPr>
            <w:tcW w:w="699" w:type="pct"/>
            <w:vAlign w:val="center"/>
          </w:tcPr>
          <w:p w:rsidR="00276274" w:rsidRPr="0016581E" w:rsidRDefault="00276274" w:rsidP="001333AC">
            <w:pPr>
              <w:pStyle w:val="TableText1"/>
              <w:jc w:val="center"/>
            </w:pPr>
            <w:r w:rsidRPr="0016581E">
              <w:t>14.5 (12.9, 17.1)</w:t>
            </w:r>
          </w:p>
        </w:tc>
        <w:tc>
          <w:tcPr>
            <w:tcW w:w="209" w:type="pct"/>
            <w:shd w:val="clear" w:color="auto" w:fill="auto"/>
            <w:vAlign w:val="center"/>
          </w:tcPr>
          <w:p w:rsidR="00276274" w:rsidRPr="0016581E" w:rsidRDefault="00BA7668" w:rsidP="00BA7668">
            <w:pPr>
              <w:pStyle w:val="TableText1"/>
              <w:jc w:val="center"/>
            </w:pPr>
            <w:r w:rsidRPr="0016581E">
              <w:t>10.3</w:t>
            </w:r>
          </w:p>
        </w:tc>
        <w:tc>
          <w:tcPr>
            <w:tcW w:w="1110" w:type="pct"/>
            <w:shd w:val="clear" w:color="auto" w:fill="auto"/>
            <w:vAlign w:val="center"/>
          </w:tcPr>
          <w:p w:rsidR="00276274" w:rsidRPr="0016581E" w:rsidRDefault="00276274" w:rsidP="001333AC">
            <w:pPr>
              <w:pStyle w:val="TableText1"/>
              <w:jc w:val="center"/>
            </w:pPr>
            <w:r w:rsidRPr="0016581E">
              <w:t>HR 0.576</w:t>
            </w:r>
            <w:r w:rsidR="0002122B" w:rsidRPr="0016581E">
              <w:rPr>
                <w:vertAlign w:val="superscript"/>
              </w:rPr>
              <w:t>d</w:t>
            </w:r>
            <w:r w:rsidRPr="0016581E">
              <w:t xml:space="preserve"> (0.463, 0.718)</w:t>
            </w:r>
          </w:p>
          <w:p w:rsidR="00276274" w:rsidRPr="0016581E" w:rsidRDefault="0002122B" w:rsidP="0002122B">
            <w:pPr>
              <w:pStyle w:val="TableText1"/>
              <w:jc w:val="center"/>
            </w:pPr>
            <w:r w:rsidRPr="0016581E">
              <w:t>1</w:t>
            </w:r>
            <w:r w:rsidR="00276274" w:rsidRPr="0016581E">
              <w:t>-sided p-value &lt;0.000001</w:t>
            </w:r>
            <w:r w:rsidRPr="0016581E">
              <w:rPr>
                <w:vertAlign w:val="superscript"/>
              </w:rPr>
              <w:t>e</w:t>
            </w:r>
          </w:p>
        </w:tc>
      </w:tr>
      <w:tr w:rsidR="00276274" w:rsidRPr="0016581E" w:rsidTr="005812A1">
        <w:tc>
          <w:tcPr>
            <w:tcW w:w="653" w:type="pct"/>
            <w:shd w:val="clear" w:color="auto" w:fill="auto"/>
            <w:vAlign w:val="center"/>
          </w:tcPr>
          <w:p w:rsidR="00276274" w:rsidRPr="0016581E" w:rsidRDefault="00276274" w:rsidP="00777B5C">
            <w:pPr>
              <w:pStyle w:val="TableText1"/>
            </w:pPr>
            <w:r w:rsidRPr="0016581E">
              <w:t>BICR</w:t>
            </w:r>
          </w:p>
        </w:tc>
        <w:tc>
          <w:tcPr>
            <w:tcW w:w="815" w:type="pct"/>
            <w:shd w:val="clear" w:color="auto" w:fill="auto"/>
            <w:vAlign w:val="center"/>
          </w:tcPr>
          <w:p w:rsidR="00276274" w:rsidRPr="0016581E" w:rsidRDefault="00276274" w:rsidP="001333AC">
            <w:pPr>
              <w:pStyle w:val="TableText1"/>
              <w:jc w:val="center"/>
            </w:pPr>
            <w:r w:rsidRPr="0016581E">
              <w:t>152/444 (34.2)</w:t>
            </w:r>
          </w:p>
        </w:tc>
        <w:tc>
          <w:tcPr>
            <w:tcW w:w="815" w:type="pct"/>
            <w:shd w:val="clear" w:color="auto" w:fill="auto"/>
            <w:vAlign w:val="center"/>
          </w:tcPr>
          <w:p w:rsidR="00276274" w:rsidRPr="0016581E" w:rsidRDefault="00276274" w:rsidP="001333AC">
            <w:pPr>
              <w:pStyle w:val="TableText1"/>
              <w:jc w:val="center"/>
            </w:pPr>
            <w:r w:rsidRPr="0016581E">
              <w:t>96/222 (42.3)</w:t>
            </w:r>
          </w:p>
        </w:tc>
        <w:tc>
          <w:tcPr>
            <w:tcW w:w="699" w:type="pct"/>
            <w:vAlign w:val="center"/>
          </w:tcPr>
          <w:p w:rsidR="00276274" w:rsidRPr="0016581E" w:rsidRDefault="00276274" w:rsidP="001333AC">
            <w:pPr>
              <w:pStyle w:val="TableText1"/>
              <w:jc w:val="center"/>
            </w:pPr>
            <w:r w:rsidRPr="0016581E">
              <w:t>30.5 (27.4, NR)</w:t>
            </w:r>
          </w:p>
        </w:tc>
        <w:tc>
          <w:tcPr>
            <w:tcW w:w="699" w:type="pct"/>
            <w:vAlign w:val="center"/>
          </w:tcPr>
          <w:p w:rsidR="00276274" w:rsidRPr="0016581E" w:rsidRDefault="00276274" w:rsidP="001333AC">
            <w:pPr>
              <w:pStyle w:val="TableText1"/>
              <w:jc w:val="center"/>
            </w:pPr>
            <w:r w:rsidRPr="0016581E">
              <w:t>19.3 (16.4, 30.6)</w:t>
            </w:r>
          </w:p>
        </w:tc>
        <w:tc>
          <w:tcPr>
            <w:tcW w:w="209" w:type="pct"/>
            <w:shd w:val="clear" w:color="auto" w:fill="auto"/>
            <w:vAlign w:val="center"/>
          </w:tcPr>
          <w:p w:rsidR="00276274" w:rsidRPr="0016581E" w:rsidRDefault="00276274" w:rsidP="001333AC">
            <w:pPr>
              <w:pStyle w:val="TableText1"/>
              <w:jc w:val="center"/>
            </w:pPr>
            <w:r w:rsidRPr="0016581E">
              <w:t>11.2</w:t>
            </w:r>
          </w:p>
        </w:tc>
        <w:tc>
          <w:tcPr>
            <w:tcW w:w="1110" w:type="pct"/>
            <w:shd w:val="clear" w:color="auto" w:fill="auto"/>
            <w:vAlign w:val="center"/>
          </w:tcPr>
          <w:p w:rsidR="00276274" w:rsidRPr="0016581E" w:rsidRDefault="00276274" w:rsidP="001333AC">
            <w:pPr>
              <w:pStyle w:val="TableText1"/>
              <w:jc w:val="center"/>
            </w:pPr>
            <w:r w:rsidRPr="0016581E">
              <w:t>HR 0.653</w:t>
            </w:r>
            <w:r w:rsidR="0002122B" w:rsidRPr="0016581E">
              <w:rPr>
                <w:vertAlign w:val="superscript"/>
              </w:rPr>
              <w:t>d</w:t>
            </w:r>
            <w:r w:rsidRPr="0016581E">
              <w:t xml:space="preserve"> (0.505, 0.844)</w:t>
            </w:r>
          </w:p>
          <w:p w:rsidR="00276274" w:rsidRPr="0016581E" w:rsidRDefault="0002122B" w:rsidP="001333AC">
            <w:pPr>
              <w:pStyle w:val="TableText1"/>
              <w:jc w:val="center"/>
            </w:pPr>
            <w:r w:rsidRPr="0016581E">
              <w:t>1</w:t>
            </w:r>
            <w:r w:rsidR="00276274" w:rsidRPr="0016581E">
              <w:t>-sided p-value 0.000532</w:t>
            </w:r>
            <w:r w:rsidRPr="0016581E">
              <w:rPr>
                <w:vertAlign w:val="superscript"/>
              </w:rPr>
              <w:t>e</w:t>
            </w:r>
          </w:p>
        </w:tc>
      </w:tr>
      <w:tr w:rsidR="001333AC" w:rsidRPr="0016581E" w:rsidTr="005812A1">
        <w:tc>
          <w:tcPr>
            <w:tcW w:w="5000" w:type="pct"/>
            <w:gridSpan w:val="7"/>
            <w:shd w:val="clear" w:color="auto" w:fill="auto"/>
            <w:vAlign w:val="center"/>
          </w:tcPr>
          <w:p w:rsidR="001333AC" w:rsidRPr="0016581E" w:rsidRDefault="001333AC" w:rsidP="00353CDC">
            <w:pPr>
              <w:pStyle w:val="TableText1"/>
            </w:pPr>
            <w:r w:rsidRPr="0016581E">
              <w:rPr>
                <w:b/>
              </w:rPr>
              <w:t>Overall survival</w:t>
            </w:r>
          </w:p>
        </w:tc>
      </w:tr>
      <w:tr w:rsidR="00276274" w:rsidRPr="0016581E" w:rsidTr="005812A1">
        <w:tc>
          <w:tcPr>
            <w:tcW w:w="5000" w:type="pct"/>
            <w:gridSpan w:val="7"/>
            <w:shd w:val="clear" w:color="auto" w:fill="auto"/>
          </w:tcPr>
          <w:p w:rsidR="00276274" w:rsidRPr="0016581E" w:rsidRDefault="00276274" w:rsidP="00276274">
            <w:pPr>
              <w:pStyle w:val="TableText1"/>
            </w:pPr>
            <w:r w:rsidRPr="0016581E">
              <w:t>PALOMA-1</w:t>
            </w:r>
          </w:p>
        </w:tc>
      </w:tr>
      <w:tr w:rsidR="00276274" w:rsidRPr="0016581E" w:rsidTr="005812A1">
        <w:tc>
          <w:tcPr>
            <w:tcW w:w="653" w:type="pct"/>
            <w:shd w:val="clear" w:color="auto" w:fill="auto"/>
            <w:vAlign w:val="center"/>
          </w:tcPr>
          <w:p w:rsidR="00276274" w:rsidRPr="0016581E" w:rsidRDefault="00EA2CC2" w:rsidP="00777B5C">
            <w:pPr>
              <w:pStyle w:val="TableText1"/>
            </w:pPr>
            <w:r w:rsidRPr="0016581E">
              <w:t>29 November 2013</w:t>
            </w:r>
            <w:r w:rsidR="00CD20BE" w:rsidRPr="0016581E">
              <w:rPr>
                <w:vertAlign w:val="superscript"/>
              </w:rPr>
              <w:t xml:space="preserve"> a</w:t>
            </w:r>
          </w:p>
        </w:tc>
        <w:tc>
          <w:tcPr>
            <w:tcW w:w="815" w:type="pct"/>
            <w:shd w:val="clear" w:color="auto" w:fill="auto"/>
            <w:vAlign w:val="center"/>
          </w:tcPr>
          <w:p w:rsidR="00276274" w:rsidRPr="0016581E" w:rsidRDefault="00276274" w:rsidP="001333AC">
            <w:pPr>
              <w:pStyle w:val="TableText1"/>
              <w:jc w:val="center"/>
            </w:pPr>
            <w:r w:rsidRPr="0016581E">
              <w:t>30/84 (35.7)</w:t>
            </w:r>
          </w:p>
        </w:tc>
        <w:tc>
          <w:tcPr>
            <w:tcW w:w="815" w:type="pct"/>
            <w:shd w:val="clear" w:color="auto" w:fill="auto"/>
            <w:vAlign w:val="center"/>
          </w:tcPr>
          <w:p w:rsidR="00276274" w:rsidRPr="0016581E" w:rsidRDefault="00276274" w:rsidP="001333AC">
            <w:pPr>
              <w:pStyle w:val="TableText1"/>
              <w:jc w:val="center"/>
            </w:pPr>
            <w:r w:rsidRPr="0016581E">
              <w:t>31/81 (38.3)</w:t>
            </w:r>
          </w:p>
        </w:tc>
        <w:tc>
          <w:tcPr>
            <w:tcW w:w="699" w:type="pct"/>
            <w:vAlign w:val="center"/>
          </w:tcPr>
          <w:p w:rsidR="00276274" w:rsidRPr="0016581E" w:rsidRDefault="00276274" w:rsidP="001333AC">
            <w:pPr>
              <w:pStyle w:val="TableText1"/>
              <w:jc w:val="center"/>
            </w:pPr>
            <w:r w:rsidRPr="0016581E">
              <w:t>37.5 (28.4, NR)</w:t>
            </w:r>
          </w:p>
        </w:tc>
        <w:tc>
          <w:tcPr>
            <w:tcW w:w="699" w:type="pct"/>
            <w:vAlign w:val="center"/>
          </w:tcPr>
          <w:p w:rsidR="00276274" w:rsidRPr="0016581E" w:rsidRDefault="00276274" w:rsidP="001333AC">
            <w:pPr>
              <w:pStyle w:val="TableText1"/>
              <w:jc w:val="center"/>
            </w:pPr>
            <w:r w:rsidRPr="0016581E">
              <w:t>33.3 (26.4, NR)</w:t>
            </w:r>
          </w:p>
        </w:tc>
        <w:tc>
          <w:tcPr>
            <w:tcW w:w="209" w:type="pct"/>
            <w:shd w:val="clear" w:color="auto" w:fill="auto"/>
            <w:vAlign w:val="center"/>
          </w:tcPr>
          <w:p w:rsidR="00276274" w:rsidRPr="0016581E" w:rsidRDefault="00276274" w:rsidP="001333AC">
            <w:pPr>
              <w:pStyle w:val="TableText1"/>
              <w:jc w:val="center"/>
            </w:pPr>
            <w:r w:rsidRPr="0016581E">
              <w:t>4.2</w:t>
            </w:r>
          </w:p>
        </w:tc>
        <w:tc>
          <w:tcPr>
            <w:tcW w:w="1110" w:type="pct"/>
            <w:shd w:val="clear" w:color="auto" w:fill="auto"/>
            <w:vAlign w:val="center"/>
          </w:tcPr>
          <w:p w:rsidR="00276274" w:rsidRPr="0016581E" w:rsidRDefault="00276274" w:rsidP="001333AC">
            <w:pPr>
              <w:widowControl/>
              <w:jc w:val="center"/>
              <w:rPr>
                <w:rFonts w:ascii="Arial Narrow" w:eastAsiaTheme="minorHAnsi" w:hAnsi="Arial Narrow" w:cstheme="minorBidi"/>
                <w:snapToGrid/>
                <w:sz w:val="20"/>
                <w:szCs w:val="22"/>
              </w:rPr>
            </w:pPr>
            <w:r w:rsidRPr="0016581E">
              <w:rPr>
                <w:rFonts w:ascii="Arial Narrow" w:eastAsiaTheme="minorHAnsi" w:hAnsi="Arial Narrow" w:cstheme="minorBidi"/>
                <w:snapToGrid/>
                <w:sz w:val="20"/>
                <w:szCs w:val="22"/>
              </w:rPr>
              <w:t>HR 0.813</w:t>
            </w:r>
            <w:r w:rsidR="0002122B" w:rsidRPr="0016581E">
              <w:rPr>
                <w:rFonts w:ascii="Arial Narrow" w:eastAsiaTheme="minorHAnsi" w:hAnsi="Arial Narrow" w:cstheme="minorBidi"/>
                <w:snapToGrid/>
                <w:sz w:val="20"/>
                <w:szCs w:val="22"/>
                <w:vertAlign w:val="superscript"/>
              </w:rPr>
              <w:t>d</w:t>
            </w:r>
            <w:r w:rsidRPr="0016581E">
              <w:rPr>
                <w:rFonts w:ascii="Arial Narrow" w:eastAsiaTheme="minorHAnsi" w:hAnsi="Arial Narrow" w:cstheme="minorBidi"/>
                <w:snapToGrid/>
                <w:sz w:val="20"/>
                <w:szCs w:val="22"/>
              </w:rPr>
              <w:t xml:space="preserve"> (0.492, 1.345)</w:t>
            </w:r>
          </w:p>
          <w:p w:rsidR="00276274" w:rsidRPr="0016581E" w:rsidRDefault="00276274" w:rsidP="001333AC">
            <w:pPr>
              <w:widowControl/>
              <w:jc w:val="center"/>
              <w:rPr>
                <w:rFonts w:ascii="Arial Narrow" w:eastAsiaTheme="minorHAnsi" w:hAnsi="Arial Narrow" w:cstheme="minorBidi"/>
                <w:snapToGrid/>
                <w:sz w:val="20"/>
                <w:szCs w:val="22"/>
              </w:rPr>
            </w:pPr>
            <w:r w:rsidRPr="0016581E">
              <w:rPr>
                <w:rFonts w:ascii="Arial Narrow" w:eastAsiaTheme="minorHAnsi" w:hAnsi="Arial Narrow" w:cstheme="minorBidi"/>
                <w:snapToGrid/>
                <w:sz w:val="20"/>
                <w:szCs w:val="22"/>
              </w:rPr>
              <w:t>1-sided p-value 0.2105</w:t>
            </w:r>
            <w:r w:rsidR="0002122B" w:rsidRPr="0016581E">
              <w:rPr>
                <w:rFonts w:ascii="Arial Narrow" w:eastAsiaTheme="minorHAnsi" w:hAnsi="Arial Narrow" w:cstheme="minorBidi"/>
                <w:snapToGrid/>
                <w:sz w:val="20"/>
                <w:szCs w:val="22"/>
                <w:vertAlign w:val="superscript"/>
              </w:rPr>
              <w:t>e</w:t>
            </w:r>
          </w:p>
        </w:tc>
      </w:tr>
      <w:tr w:rsidR="00276274" w:rsidRPr="0016581E" w:rsidTr="005812A1">
        <w:tc>
          <w:tcPr>
            <w:tcW w:w="653" w:type="pct"/>
            <w:shd w:val="clear" w:color="auto" w:fill="auto"/>
            <w:vAlign w:val="center"/>
          </w:tcPr>
          <w:p w:rsidR="00276274" w:rsidRPr="0016581E" w:rsidRDefault="00EA2CC2" w:rsidP="00777B5C">
            <w:pPr>
              <w:pStyle w:val="TableText1"/>
            </w:pPr>
            <w:r w:rsidRPr="0016581E">
              <w:t>30 December 2016</w:t>
            </w:r>
            <w:r w:rsidR="00CD20BE" w:rsidRPr="0016581E">
              <w:rPr>
                <w:vertAlign w:val="superscript"/>
              </w:rPr>
              <w:t>c</w:t>
            </w:r>
          </w:p>
        </w:tc>
        <w:tc>
          <w:tcPr>
            <w:tcW w:w="815" w:type="pct"/>
            <w:shd w:val="clear" w:color="auto" w:fill="auto"/>
            <w:vAlign w:val="center"/>
          </w:tcPr>
          <w:p w:rsidR="00276274" w:rsidRPr="0016581E" w:rsidRDefault="00EA2CC2" w:rsidP="001333AC">
            <w:pPr>
              <w:pStyle w:val="TableText1"/>
              <w:jc w:val="center"/>
            </w:pPr>
            <w:r w:rsidRPr="0016581E">
              <w:t>60/84 (71.4)</w:t>
            </w:r>
          </w:p>
        </w:tc>
        <w:tc>
          <w:tcPr>
            <w:tcW w:w="815" w:type="pct"/>
            <w:shd w:val="clear" w:color="auto" w:fill="auto"/>
            <w:vAlign w:val="center"/>
          </w:tcPr>
          <w:p w:rsidR="00276274" w:rsidRPr="0016581E" w:rsidRDefault="00EA2CC2" w:rsidP="001333AC">
            <w:pPr>
              <w:pStyle w:val="TableText1"/>
              <w:jc w:val="center"/>
            </w:pPr>
            <w:r w:rsidRPr="0016581E">
              <w:t>56/81 (69.1)</w:t>
            </w:r>
          </w:p>
        </w:tc>
        <w:tc>
          <w:tcPr>
            <w:tcW w:w="699" w:type="pct"/>
            <w:vAlign w:val="center"/>
          </w:tcPr>
          <w:p w:rsidR="00276274" w:rsidRPr="0016581E" w:rsidRDefault="001333AC" w:rsidP="001333AC">
            <w:pPr>
              <w:pStyle w:val="TableText1"/>
              <w:jc w:val="center"/>
            </w:pPr>
            <w:r w:rsidRPr="0016581E">
              <w:t>37.5 (31.4, 47.8)</w:t>
            </w:r>
          </w:p>
        </w:tc>
        <w:tc>
          <w:tcPr>
            <w:tcW w:w="699" w:type="pct"/>
            <w:vAlign w:val="center"/>
          </w:tcPr>
          <w:p w:rsidR="00276274" w:rsidRPr="0016581E" w:rsidRDefault="001333AC" w:rsidP="001333AC">
            <w:pPr>
              <w:pStyle w:val="TableText1"/>
              <w:jc w:val="center"/>
            </w:pPr>
            <w:r w:rsidRPr="0016581E">
              <w:t>34.5 (27.4, 42.6)</w:t>
            </w:r>
          </w:p>
        </w:tc>
        <w:tc>
          <w:tcPr>
            <w:tcW w:w="209" w:type="pct"/>
            <w:shd w:val="clear" w:color="auto" w:fill="auto"/>
            <w:vAlign w:val="center"/>
          </w:tcPr>
          <w:p w:rsidR="00276274" w:rsidRPr="0016581E" w:rsidRDefault="001333AC" w:rsidP="001333AC">
            <w:pPr>
              <w:pStyle w:val="TableText1"/>
              <w:jc w:val="center"/>
            </w:pPr>
            <w:r w:rsidRPr="0016581E">
              <w:t>3.0</w:t>
            </w:r>
          </w:p>
        </w:tc>
        <w:tc>
          <w:tcPr>
            <w:tcW w:w="1110" w:type="pct"/>
            <w:shd w:val="clear" w:color="auto" w:fill="auto"/>
            <w:vAlign w:val="center"/>
          </w:tcPr>
          <w:p w:rsidR="001333AC" w:rsidRPr="0016581E" w:rsidRDefault="001333AC" w:rsidP="001333AC">
            <w:pPr>
              <w:pStyle w:val="TableText1"/>
              <w:jc w:val="center"/>
            </w:pPr>
            <w:r w:rsidRPr="0016581E">
              <w:t>HR 0.897</w:t>
            </w:r>
            <w:r w:rsidR="0002122B" w:rsidRPr="0016581E">
              <w:rPr>
                <w:vertAlign w:val="superscript"/>
              </w:rPr>
              <w:t>d</w:t>
            </w:r>
            <w:r w:rsidRPr="0016581E">
              <w:t xml:space="preserve"> (0.623, 1.294</w:t>
            </w:r>
            <w:r w:rsidR="00847B55" w:rsidRPr="0016581E">
              <w:t>)</w:t>
            </w:r>
          </w:p>
          <w:p w:rsidR="00276274" w:rsidRPr="0016581E" w:rsidRDefault="001333AC" w:rsidP="001333AC">
            <w:pPr>
              <w:pStyle w:val="TableText1"/>
              <w:jc w:val="center"/>
            </w:pPr>
            <w:r w:rsidRPr="0016581E">
              <w:t>1-sided p-value 0.281237</w:t>
            </w:r>
            <w:r w:rsidR="0002122B" w:rsidRPr="0016581E">
              <w:rPr>
                <w:vertAlign w:val="superscript"/>
              </w:rPr>
              <w:t>e</w:t>
            </w:r>
          </w:p>
        </w:tc>
      </w:tr>
      <w:tr w:rsidR="001333AC" w:rsidRPr="0016581E" w:rsidTr="005812A1">
        <w:tc>
          <w:tcPr>
            <w:tcW w:w="5000" w:type="pct"/>
            <w:gridSpan w:val="7"/>
            <w:shd w:val="clear" w:color="auto" w:fill="auto"/>
          </w:tcPr>
          <w:p w:rsidR="001333AC" w:rsidRPr="0016581E" w:rsidRDefault="001333AC" w:rsidP="00276274">
            <w:pPr>
              <w:pStyle w:val="TableText1"/>
            </w:pPr>
            <w:r w:rsidRPr="0016581E">
              <w:t>PALOMA-2</w:t>
            </w:r>
          </w:p>
        </w:tc>
      </w:tr>
      <w:tr w:rsidR="009056DC" w:rsidRPr="0016581E" w:rsidTr="005812A1">
        <w:tc>
          <w:tcPr>
            <w:tcW w:w="653" w:type="pct"/>
            <w:shd w:val="clear" w:color="auto" w:fill="auto"/>
            <w:vAlign w:val="center"/>
          </w:tcPr>
          <w:p w:rsidR="009056DC" w:rsidRPr="0016581E" w:rsidRDefault="009056DC" w:rsidP="009056DC">
            <w:pPr>
              <w:pStyle w:val="TableText1"/>
            </w:pPr>
            <w:r w:rsidRPr="0016581E">
              <w:t>26 February 2016</w:t>
            </w:r>
            <w:r w:rsidR="00CD20BE" w:rsidRPr="0016581E">
              <w:rPr>
                <w:vertAlign w:val="superscript"/>
              </w:rPr>
              <w:t>b</w:t>
            </w:r>
          </w:p>
        </w:tc>
        <w:tc>
          <w:tcPr>
            <w:tcW w:w="815" w:type="pct"/>
            <w:shd w:val="clear" w:color="auto" w:fill="auto"/>
            <w:vAlign w:val="center"/>
          </w:tcPr>
          <w:p w:rsidR="009056DC" w:rsidRPr="00F80CD0" w:rsidRDefault="00F80CD0" w:rsidP="007014EE">
            <w:pPr>
              <w:pStyle w:val="TableText1"/>
              <w:jc w:val="center"/>
              <w:rPr>
                <w:highlight w:val="black"/>
              </w:rPr>
            </w:pPr>
            <w:r>
              <w:rPr>
                <w:noProof/>
                <w:color w:val="000000"/>
                <w:highlight w:val="black"/>
              </w:rPr>
              <w:t>'''''''''''''''''' ''''''''''''''</w:t>
            </w:r>
          </w:p>
        </w:tc>
        <w:tc>
          <w:tcPr>
            <w:tcW w:w="815" w:type="pct"/>
            <w:shd w:val="clear" w:color="auto" w:fill="auto"/>
            <w:vAlign w:val="center"/>
          </w:tcPr>
          <w:p w:rsidR="009056DC" w:rsidRPr="00F80CD0" w:rsidRDefault="00F80CD0" w:rsidP="007014EE">
            <w:pPr>
              <w:pStyle w:val="TableText1"/>
              <w:jc w:val="center"/>
              <w:rPr>
                <w:highlight w:val="black"/>
              </w:rPr>
            </w:pPr>
            <w:r>
              <w:rPr>
                <w:noProof/>
                <w:color w:val="000000"/>
                <w:highlight w:val="black"/>
              </w:rPr>
              <w:t>''''''''''''''''' ''''''''''''''</w:t>
            </w:r>
          </w:p>
        </w:tc>
        <w:tc>
          <w:tcPr>
            <w:tcW w:w="699" w:type="pct"/>
            <w:vAlign w:val="center"/>
          </w:tcPr>
          <w:p w:rsidR="009056DC" w:rsidRPr="0016581E" w:rsidRDefault="009056DC" w:rsidP="007014EE">
            <w:pPr>
              <w:pStyle w:val="TableText1"/>
              <w:jc w:val="center"/>
            </w:pPr>
            <w:r w:rsidRPr="0016581E">
              <w:t>NR</w:t>
            </w:r>
          </w:p>
        </w:tc>
        <w:tc>
          <w:tcPr>
            <w:tcW w:w="699" w:type="pct"/>
            <w:vAlign w:val="center"/>
          </w:tcPr>
          <w:p w:rsidR="009056DC" w:rsidRPr="0016581E" w:rsidRDefault="009056DC" w:rsidP="007014EE">
            <w:pPr>
              <w:pStyle w:val="TableText1"/>
              <w:jc w:val="center"/>
            </w:pPr>
            <w:r w:rsidRPr="0016581E">
              <w:t>NR</w:t>
            </w:r>
          </w:p>
        </w:tc>
        <w:tc>
          <w:tcPr>
            <w:tcW w:w="209" w:type="pct"/>
            <w:shd w:val="clear" w:color="auto" w:fill="auto"/>
            <w:vAlign w:val="center"/>
          </w:tcPr>
          <w:p w:rsidR="009056DC" w:rsidRPr="0016581E" w:rsidRDefault="009056DC" w:rsidP="007014EE">
            <w:pPr>
              <w:pStyle w:val="TableText1"/>
              <w:jc w:val="center"/>
            </w:pPr>
            <w:r w:rsidRPr="0016581E">
              <w:t>NR</w:t>
            </w:r>
          </w:p>
        </w:tc>
        <w:tc>
          <w:tcPr>
            <w:tcW w:w="1110" w:type="pct"/>
            <w:shd w:val="clear" w:color="auto" w:fill="auto"/>
            <w:vAlign w:val="center"/>
          </w:tcPr>
          <w:p w:rsidR="009056DC" w:rsidRPr="0016581E" w:rsidRDefault="009056DC" w:rsidP="007014EE">
            <w:pPr>
              <w:pStyle w:val="TableText1"/>
              <w:jc w:val="center"/>
            </w:pPr>
            <w:r w:rsidRPr="0016581E">
              <w:t>NR</w:t>
            </w:r>
          </w:p>
        </w:tc>
      </w:tr>
      <w:tr w:rsidR="00337D8B" w:rsidRPr="00874A50" w:rsidTr="005812A1">
        <w:tc>
          <w:tcPr>
            <w:tcW w:w="653" w:type="pct"/>
            <w:shd w:val="clear" w:color="auto" w:fill="auto"/>
            <w:vAlign w:val="center"/>
          </w:tcPr>
          <w:p w:rsidR="00337D8B" w:rsidRPr="00874A50" w:rsidRDefault="00337D8B" w:rsidP="009056DC">
            <w:pPr>
              <w:pStyle w:val="TableText1"/>
            </w:pPr>
            <w:r w:rsidRPr="00874A50">
              <w:t>24 November 2016</w:t>
            </w:r>
            <w:r w:rsidRPr="00874A50">
              <w:rPr>
                <w:vertAlign w:val="superscript"/>
              </w:rPr>
              <w:t>f</w:t>
            </w:r>
          </w:p>
        </w:tc>
        <w:tc>
          <w:tcPr>
            <w:tcW w:w="815" w:type="pct"/>
            <w:shd w:val="clear" w:color="auto" w:fill="auto"/>
            <w:vAlign w:val="center"/>
          </w:tcPr>
          <w:p w:rsidR="00337D8B" w:rsidRPr="00874A50" w:rsidRDefault="00A10370" w:rsidP="007014EE">
            <w:pPr>
              <w:pStyle w:val="TableText1"/>
              <w:jc w:val="center"/>
            </w:pPr>
            <w:r w:rsidRPr="00874A50">
              <w:t>NR (27.0%)</w:t>
            </w:r>
          </w:p>
        </w:tc>
        <w:tc>
          <w:tcPr>
            <w:tcW w:w="815" w:type="pct"/>
            <w:shd w:val="clear" w:color="auto" w:fill="auto"/>
            <w:vAlign w:val="center"/>
          </w:tcPr>
          <w:p w:rsidR="00337D8B" w:rsidRPr="00874A50" w:rsidRDefault="00A10370" w:rsidP="007014EE">
            <w:pPr>
              <w:pStyle w:val="TableText1"/>
              <w:jc w:val="center"/>
            </w:pPr>
            <w:r w:rsidRPr="00874A50">
              <w:t>NR (28.8%)</w:t>
            </w:r>
          </w:p>
        </w:tc>
        <w:tc>
          <w:tcPr>
            <w:tcW w:w="699" w:type="pct"/>
            <w:vAlign w:val="center"/>
          </w:tcPr>
          <w:p w:rsidR="00337D8B" w:rsidRPr="00874A50" w:rsidRDefault="00A10370" w:rsidP="007014EE">
            <w:pPr>
              <w:pStyle w:val="TableText1"/>
              <w:jc w:val="center"/>
            </w:pPr>
            <w:r w:rsidRPr="00874A50">
              <w:t>NR</w:t>
            </w:r>
          </w:p>
        </w:tc>
        <w:tc>
          <w:tcPr>
            <w:tcW w:w="699" w:type="pct"/>
            <w:vAlign w:val="center"/>
          </w:tcPr>
          <w:p w:rsidR="00337D8B" w:rsidRPr="00874A50" w:rsidRDefault="00A10370" w:rsidP="007014EE">
            <w:pPr>
              <w:pStyle w:val="TableText1"/>
              <w:jc w:val="center"/>
            </w:pPr>
            <w:r w:rsidRPr="00874A50">
              <w:t>NR</w:t>
            </w:r>
          </w:p>
        </w:tc>
        <w:tc>
          <w:tcPr>
            <w:tcW w:w="209" w:type="pct"/>
            <w:shd w:val="clear" w:color="auto" w:fill="auto"/>
            <w:vAlign w:val="center"/>
          </w:tcPr>
          <w:p w:rsidR="00337D8B" w:rsidRPr="00874A50" w:rsidRDefault="00A10370" w:rsidP="007014EE">
            <w:pPr>
              <w:pStyle w:val="TableText1"/>
              <w:jc w:val="center"/>
            </w:pPr>
            <w:r w:rsidRPr="00874A50">
              <w:t>NR</w:t>
            </w:r>
          </w:p>
        </w:tc>
        <w:tc>
          <w:tcPr>
            <w:tcW w:w="1110" w:type="pct"/>
            <w:shd w:val="clear" w:color="auto" w:fill="auto"/>
            <w:vAlign w:val="center"/>
          </w:tcPr>
          <w:p w:rsidR="00337D8B" w:rsidRPr="00874A50" w:rsidRDefault="00A10370" w:rsidP="007014EE">
            <w:pPr>
              <w:pStyle w:val="TableText1"/>
              <w:jc w:val="center"/>
            </w:pPr>
            <w:r w:rsidRPr="00874A50">
              <w:t>NR</w:t>
            </w:r>
          </w:p>
        </w:tc>
      </w:tr>
    </w:tbl>
    <w:p w:rsidR="00CD20BE" w:rsidRPr="00874A50" w:rsidRDefault="00EA2CC2" w:rsidP="00EA2CC2">
      <w:pPr>
        <w:pStyle w:val="TableFooter"/>
      </w:pPr>
      <w:r w:rsidRPr="00874A50">
        <w:t xml:space="preserve">BICR= Blinded Independent Central Review; P = palbociclib, L = letrozole; NR=not reported. </w:t>
      </w:r>
      <w:r w:rsidR="00CD20BE" w:rsidRPr="00874A50">
        <w:t>HR = Hazard Ratio.</w:t>
      </w:r>
    </w:p>
    <w:p w:rsidR="00CD20BE" w:rsidRPr="00874A50" w:rsidRDefault="00CD20BE" w:rsidP="00EA2CC2">
      <w:pPr>
        <w:pStyle w:val="TableFooter"/>
      </w:pPr>
      <w:r w:rsidRPr="00874A50">
        <w:t xml:space="preserve">a. </w:t>
      </w:r>
      <w:r w:rsidR="00847B55" w:rsidRPr="00874A50">
        <w:t>M</w:t>
      </w:r>
      <w:r w:rsidRPr="00874A50">
        <w:t>edian duration of follow-up =</w:t>
      </w:r>
      <w:r w:rsidR="0002122B" w:rsidRPr="00874A50">
        <w:t xml:space="preserve"> 29.6 months in the palbociclib plus letrozole arm and 27.9 months in the letrozole arm.</w:t>
      </w:r>
    </w:p>
    <w:p w:rsidR="00CD20BE" w:rsidRPr="0016581E" w:rsidRDefault="00CD20BE" w:rsidP="00EA2CC2">
      <w:pPr>
        <w:pStyle w:val="TableFooter"/>
      </w:pPr>
      <w:r w:rsidRPr="00874A50">
        <w:t xml:space="preserve">b. </w:t>
      </w:r>
      <w:r w:rsidR="00847B55" w:rsidRPr="00874A50">
        <w:t>M</w:t>
      </w:r>
      <w:r w:rsidR="0002122B" w:rsidRPr="00874A50">
        <w:t>edian duration of follow-up = 23.0 months in the palbociclib plus letrozole arm and 22.3 months in the letrozole arm.</w:t>
      </w:r>
    </w:p>
    <w:p w:rsidR="0002122B" w:rsidRPr="0016581E" w:rsidRDefault="00CD20BE" w:rsidP="0002122B">
      <w:pPr>
        <w:pStyle w:val="TableFooter"/>
      </w:pPr>
      <w:r w:rsidRPr="0016581E">
        <w:t xml:space="preserve">c. </w:t>
      </w:r>
      <w:r w:rsidR="00847B55" w:rsidRPr="0016581E">
        <w:t>M</w:t>
      </w:r>
      <w:r w:rsidR="0002122B" w:rsidRPr="0016581E">
        <w:t>edian duration of follow-up = 64.7 months</w:t>
      </w:r>
    </w:p>
    <w:p w:rsidR="0002122B" w:rsidRPr="0016581E" w:rsidRDefault="0002122B" w:rsidP="00EA2CC2">
      <w:pPr>
        <w:pStyle w:val="TableFooter"/>
      </w:pPr>
      <w:r w:rsidRPr="0016581E">
        <w:t>d. Assuming proportional hazards</w:t>
      </w:r>
    </w:p>
    <w:p w:rsidR="00EA2CC2" w:rsidRPr="0016581E" w:rsidRDefault="0002122B" w:rsidP="00EA2CC2">
      <w:pPr>
        <w:pStyle w:val="TableFooter"/>
      </w:pPr>
      <w:proofErr w:type="gramStart"/>
      <w:r w:rsidRPr="0016581E">
        <w:t>e</w:t>
      </w:r>
      <w:proofErr w:type="gramEnd"/>
      <w:r w:rsidR="003A7CD9" w:rsidRPr="0016581E">
        <w:t>.</w:t>
      </w:r>
      <w:r w:rsidR="00EA2CC2" w:rsidRPr="0016581E">
        <w:t xml:space="preserve"> 1-sided p-value from the log-rank test stratified by Part.</w:t>
      </w:r>
    </w:p>
    <w:p w:rsidR="00337D8B" w:rsidRPr="0016581E" w:rsidRDefault="00337D8B" w:rsidP="00EA2CC2">
      <w:pPr>
        <w:pStyle w:val="TableFooter"/>
      </w:pPr>
      <w:r w:rsidRPr="0016581E">
        <w:t xml:space="preserve">f. Median duration of follow-up </w:t>
      </w:r>
      <w:r w:rsidR="008F1663" w:rsidRPr="0016581E">
        <w:t>unknown</w:t>
      </w:r>
      <w:r w:rsidRPr="0016581E">
        <w:t>.</w:t>
      </w:r>
    </w:p>
    <w:p w:rsidR="00EA2CC2" w:rsidRPr="0016581E" w:rsidRDefault="00EA2CC2" w:rsidP="00EA2CC2">
      <w:pPr>
        <w:pStyle w:val="TableFooter"/>
      </w:pPr>
      <w:r w:rsidRPr="0016581E">
        <w:t>Source: Table B.6.1 p72, B.6.2 p74, B.6.12 p</w:t>
      </w:r>
      <w:r w:rsidR="008B5D9E" w:rsidRPr="0016581E">
        <w:t>92, B.6.14 p97, Table B.6.4 p77</w:t>
      </w:r>
      <w:r w:rsidRPr="0016581E">
        <w:t xml:space="preserve"> and Table B.6.</w:t>
      </w:r>
      <w:r w:rsidR="008B5D9E" w:rsidRPr="0016581E">
        <w:t>5 p79</w:t>
      </w:r>
      <w:r w:rsidRPr="0016581E">
        <w:t xml:space="preserve"> of the re-submission</w:t>
      </w:r>
      <w:r w:rsidR="009056DC" w:rsidRPr="0016581E">
        <w:t xml:space="preserve"> and Table 49 of PALOMA-2 (A5481008) CSR Report Body.pdf</w:t>
      </w:r>
      <w:r w:rsidR="00A10370" w:rsidRPr="0016581E">
        <w:t xml:space="preserve"> and p28 of the TGA delegates overview</w:t>
      </w:r>
      <w:r w:rsidRPr="0016581E">
        <w:t xml:space="preserve"> and calculated during the evaluation.</w:t>
      </w:r>
    </w:p>
    <w:p w:rsidR="00380EED" w:rsidRPr="0016581E" w:rsidRDefault="002714BC"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Palbociclib resulted in a statistically significant improvement in PFS in both trials. </w:t>
      </w:r>
      <w:r w:rsidR="00380EED" w:rsidRPr="0016581E">
        <w:rPr>
          <w:rFonts w:asciiTheme="minorHAnsi" w:hAnsiTheme="minorHAnsi" w:cstheme="minorHAnsi"/>
          <w:sz w:val="24"/>
          <w:szCs w:val="24"/>
        </w:rPr>
        <w:t xml:space="preserve">The median difference </w:t>
      </w:r>
      <w:r w:rsidR="0093686E" w:rsidRPr="0016581E">
        <w:rPr>
          <w:rFonts w:asciiTheme="minorHAnsi" w:hAnsiTheme="minorHAnsi" w:cstheme="minorHAnsi"/>
          <w:sz w:val="24"/>
          <w:szCs w:val="24"/>
        </w:rPr>
        <w:t>in</w:t>
      </w:r>
      <w:r w:rsidR="00380EED" w:rsidRPr="0016581E">
        <w:rPr>
          <w:rFonts w:asciiTheme="minorHAnsi" w:hAnsiTheme="minorHAnsi" w:cstheme="minorHAnsi"/>
          <w:sz w:val="24"/>
          <w:szCs w:val="24"/>
        </w:rPr>
        <w:t xml:space="preserve"> PFS in PALOMA-1 was 10.9 months by BICR compared to 10.0 months when investigator assessed. The median difference </w:t>
      </w:r>
      <w:r w:rsidR="0093686E" w:rsidRPr="0016581E">
        <w:rPr>
          <w:rFonts w:asciiTheme="minorHAnsi" w:hAnsiTheme="minorHAnsi" w:cstheme="minorHAnsi"/>
          <w:sz w:val="24"/>
          <w:szCs w:val="24"/>
        </w:rPr>
        <w:t>in</w:t>
      </w:r>
      <w:r w:rsidR="00380EED" w:rsidRPr="0016581E">
        <w:rPr>
          <w:rFonts w:asciiTheme="minorHAnsi" w:hAnsiTheme="minorHAnsi" w:cstheme="minorHAnsi"/>
          <w:sz w:val="24"/>
          <w:szCs w:val="24"/>
        </w:rPr>
        <w:t xml:space="preserve"> PFS in PALOMA-2 was 11.2 months by BICR compared to 10.3 months when investigator assessed. </w:t>
      </w:r>
      <w:r w:rsidRPr="0016581E">
        <w:rPr>
          <w:rFonts w:asciiTheme="minorHAnsi" w:hAnsiTheme="minorHAnsi" w:cstheme="minorHAnsi"/>
          <w:sz w:val="24"/>
          <w:szCs w:val="24"/>
        </w:rPr>
        <w:t>T</w:t>
      </w:r>
      <w:r w:rsidR="00380EED" w:rsidRPr="0016581E">
        <w:rPr>
          <w:rFonts w:asciiTheme="minorHAnsi" w:hAnsiTheme="minorHAnsi" w:cstheme="minorHAnsi"/>
          <w:sz w:val="24"/>
          <w:szCs w:val="24"/>
        </w:rPr>
        <w:t>he</w:t>
      </w:r>
      <w:r w:rsidR="00A85646" w:rsidRPr="0016581E">
        <w:rPr>
          <w:rFonts w:asciiTheme="minorHAnsi" w:hAnsiTheme="minorHAnsi" w:cstheme="minorHAnsi"/>
          <w:sz w:val="24"/>
          <w:szCs w:val="24"/>
        </w:rPr>
        <w:t xml:space="preserve"> </w:t>
      </w:r>
      <w:r w:rsidR="00380EED" w:rsidRPr="0016581E">
        <w:rPr>
          <w:rFonts w:asciiTheme="minorHAnsi" w:hAnsiTheme="minorHAnsi" w:cstheme="minorHAnsi"/>
          <w:sz w:val="24"/>
          <w:szCs w:val="24"/>
        </w:rPr>
        <w:t xml:space="preserve">investigator assessed results </w:t>
      </w:r>
      <w:r w:rsidR="00A85646" w:rsidRPr="0016581E">
        <w:rPr>
          <w:rFonts w:asciiTheme="minorHAnsi" w:hAnsiTheme="minorHAnsi" w:cstheme="minorHAnsi"/>
          <w:sz w:val="24"/>
          <w:szCs w:val="24"/>
        </w:rPr>
        <w:t xml:space="preserve">appear </w:t>
      </w:r>
      <w:r w:rsidR="00380EED" w:rsidRPr="0016581E">
        <w:rPr>
          <w:rFonts w:asciiTheme="minorHAnsi" w:hAnsiTheme="minorHAnsi" w:cstheme="minorHAnsi"/>
          <w:sz w:val="24"/>
          <w:szCs w:val="24"/>
        </w:rPr>
        <w:t xml:space="preserve">over-estimated </w:t>
      </w:r>
      <w:r w:rsidR="00A85646" w:rsidRPr="0016581E">
        <w:rPr>
          <w:rFonts w:asciiTheme="minorHAnsi" w:hAnsiTheme="minorHAnsi" w:cstheme="minorHAnsi"/>
          <w:sz w:val="24"/>
          <w:szCs w:val="24"/>
        </w:rPr>
        <w:t xml:space="preserve">when </w:t>
      </w:r>
      <w:r w:rsidR="00380EED" w:rsidRPr="0016581E">
        <w:rPr>
          <w:rFonts w:asciiTheme="minorHAnsi" w:hAnsiTheme="minorHAnsi" w:cstheme="minorHAnsi"/>
          <w:sz w:val="24"/>
          <w:szCs w:val="24"/>
        </w:rPr>
        <w:t xml:space="preserve">compared to the BICR results. </w:t>
      </w:r>
      <w:r w:rsidR="00A85646" w:rsidRPr="0016581E">
        <w:rPr>
          <w:rFonts w:asciiTheme="minorHAnsi" w:hAnsiTheme="minorHAnsi" w:cstheme="minorHAnsi"/>
          <w:sz w:val="24"/>
          <w:szCs w:val="24"/>
        </w:rPr>
        <w:t>These results are</w:t>
      </w:r>
      <w:r w:rsidR="00380EED" w:rsidRPr="0016581E">
        <w:rPr>
          <w:rFonts w:asciiTheme="minorHAnsi" w:hAnsiTheme="minorHAnsi" w:cstheme="minorHAnsi"/>
          <w:sz w:val="24"/>
          <w:szCs w:val="24"/>
        </w:rPr>
        <w:t xml:space="preserve"> unchanged from the previous submission.</w:t>
      </w:r>
      <w:r w:rsidR="00C379A3" w:rsidRPr="0016581E">
        <w:rPr>
          <w:rFonts w:asciiTheme="minorHAnsi" w:hAnsiTheme="minorHAnsi" w:cstheme="minorHAnsi"/>
          <w:sz w:val="24"/>
          <w:szCs w:val="24"/>
        </w:rPr>
        <w:t xml:space="preserve"> </w:t>
      </w:r>
    </w:p>
    <w:p w:rsidR="008B5D9E" w:rsidRPr="0016581E" w:rsidRDefault="008B5D9E"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re-submission presented updated OS results</w:t>
      </w:r>
      <w:r w:rsidR="00A87740" w:rsidRPr="0016581E">
        <w:rPr>
          <w:rFonts w:asciiTheme="minorHAnsi" w:hAnsiTheme="minorHAnsi" w:cstheme="minorHAnsi"/>
          <w:sz w:val="24"/>
          <w:szCs w:val="24"/>
        </w:rPr>
        <w:t xml:space="preserve"> for PALOMA-1</w:t>
      </w:r>
      <w:r w:rsidRPr="0016581E">
        <w:rPr>
          <w:rFonts w:asciiTheme="minorHAnsi" w:hAnsiTheme="minorHAnsi" w:cstheme="minorHAnsi"/>
          <w:sz w:val="24"/>
          <w:szCs w:val="24"/>
        </w:rPr>
        <w:t xml:space="preserve">. At the 30 December 2016 </w:t>
      </w:r>
      <w:r w:rsidRPr="0016581E">
        <w:rPr>
          <w:rFonts w:asciiTheme="minorHAnsi" w:hAnsiTheme="minorHAnsi" w:cstheme="minorHAnsi"/>
          <w:sz w:val="24"/>
        </w:rPr>
        <w:t>cut</w:t>
      </w:r>
      <w:r w:rsidRPr="0016581E">
        <w:rPr>
          <w:rFonts w:asciiTheme="minorHAnsi" w:hAnsiTheme="minorHAnsi" w:cstheme="minorHAnsi"/>
          <w:sz w:val="24"/>
          <w:szCs w:val="24"/>
        </w:rPr>
        <w:t xml:space="preserve"> off, 71.4% of patients in the palbociclib + letrozole arm and 69.1% of patients in the letrozole alone arm had died. </w:t>
      </w:r>
      <w:r w:rsidR="00A85646" w:rsidRPr="0016581E">
        <w:rPr>
          <w:rFonts w:asciiTheme="minorHAnsi" w:hAnsiTheme="minorHAnsi" w:cstheme="minorHAnsi"/>
          <w:sz w:val="24"/>
          <w:szCs w:val="24"/>
        </w:rPr>
        <w:t>The difference in OS, although in favour of palbociclib (median increase of 3.0 months), was not statistically significant</w:t>
      </w:r>
      <w:r w:rsidR="0031656E" w:rsidRPr="0016581E">
        <w:rPr>
          <w:rFonts w:asciiTheme="minorHAnsi" w:hAnsiTheme="minorHAnsi" w:cstheme="minorHAnsi"/>
          <w:sz w:val="24"/>
          <w:szCs w:val="24"/>
        </w:rPr>
        <w:t xml:space="preserve"> </w:t>
      </w:r>
      <w:r w:rsidR="0031656E" w:rsidRPr="0016581E">
        <w:rPr>
          <w:rFonts w:asciiTheme="minorHAnsi" w:hAnsiTheme="minorHAnsi" w:cstheme="minorHAnsi"/>
          <w:sz w:val="24"/>
          <w:szCs w:val="24"/>
        </w:rPr>
        <w:lastRenderedPageBreak/>
        <w:t>(p=0.28)</w:t>
      </w:r>
      <w:r w:rsidR="00A85646" w:rsidRPr="0016581E">
        <w:rPr>
          <w:rFonts w:asciiTheme="minorHAnsi" w:hAnsiTheme="minorHAnsi" w:cstheme="minorHAnsi"/>
          <w:sz w:val="24"/>
          <w:szCs w:val="24"/>
        </w:rPr>
        <w:t>.</w:t>
      </w:r>
    </w:p>
    <w:p w:rsidR="00A87740" w:rsidRPr="0016581E" w:rsidRDefault="00C8271E"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re-submission did not </w:t>
      </w:r>
      <w:r w:rsidR="00A10370" w:rsidRPr="0016581E">
        <w:rPr>
          <w:rFonts w:asciiTheme="minorHAnsi" w:hAnsiTheme="minorHAnsi" w:cstheme="minorHAnsi"/>
          <w:sz w:val="24"/>
          <w:szCs w:val="24"/>
        </w:rPr>
        <w:t>provide</w:t>
      </w:r>
      <w:r w:rsidRPr="0016581E">
        <w:rPr>
          <w:rFonts w:asciiTheme="minorHAnsi" w:hAnsiTheme="minorHAnsi" w:cstheme="minorHAnsi"/>
          <w:sz w:val="24"/>
          <w:szCs w:val="24"/>
        </w:rPr>
        <w:t xml:space="preserve"> updated OS results </w:t>
      </w:r>
      <w:r w:rsidR="00A10370" w:rsidRPr="0016581E">
        <w:rPr>
          <w:rFonts w:asciiTheme="minorHAnsi" w:hAnsiTheme="minorHAnsi" w:cstheme="minorHAnsi"/>
          <w:sz w:val="24"/>
          <w:szCs w:val="24"/>
        </w:rPr>
        <w:t>from</w:t>
      </w:r>
      <w:r w:rsidRPr="0016581E">
        <w:rPr>
          <w:rFonts w:asciiTheme="minorHAnsi" w:hAnsiTheme="minorHAnsi" w:cstheme="minorHAnsi"/>
          <w:sz w:val="24"/>
          <w:szCs w:val="24"/>
        </w:rPr>
        <w:t xml:space="preserve"> PALOMA-2.</w:t>
      </w:r>
      <w:r w:rsidR="0078379B" w:rsidRPr="0016581E">
        <w:rPr>
          <w:rFonts w:asciiTheme="minorHAnsi" w:hAnsiTheme="minorHAnsi" w:cstheme="minorHAnsi"/>
          <w:sz w:val="24"/>
          <w:szCs w:val="24"/>
        </w:rPr>
        <w:t xml:space="preserve"> The latest data available in the PALOMA-2 clinical study report was from a February 2016 interim analysis. </w:t>
      </w:r>
      <w:r w:rsidR="00D121AC" w:rsidRPr="0016581E">
        <w:rPr>
          <w:rFonts w:asciiTheme="minorHAnsi" w:hAnsiTheme="minorHAnsi" w:cstheme="minorHAnsi"/>
          <w:sz w:val="24"/>
          <w:szCs w:val="24"/>
        </w:rPr>
        <w:t>Final OS results from PALOMA-2 are expected in 2020</w:t>
      </w:r>
      <w:r w:rsidR="0078379B" w:rsidRPr="0016581E">
        <w:rPr>
          <w:rFonts w:asciiTheme="minorHAnsi" w:hAnsiTheme="minorHAnsi" w:cstheme="minorHAnsi"/>
          <w:sz w:val="24"/>
          <w:szCs w:val="24"/>
        </w:rPr>
        <w:t xml:space="preserve">. </w:t>
      </w:r>
      <w:r w:rsidR="00086550" w:rsidRPr="0016581E">
        <w:rPr>
          <w:rFonts w:asciiTheme="minorHAnsi" w:hAnsiTheme="minorHAnsi" w:cstheme="minorHAnsi"/>
          <w:sz w:val="24"/>
          <w:szCs w:val="24"/>
        </w:rPr>
        <w:t>The PBAC previously expressed a preference that further outcome data from PALOMA</w:t>
      </w:r>
      <w:r w:rsidR="006D6AF1" w:rsidRPr="0016581E">
        <w:rPr>
          <w:rFonts w:asciiTheme="minorHAnsi" w:hAnsiTheme="minorHAnsi" w:cstheme="minorHAnsi"/>
          <w:sz w:val="24"/>
          <w:szCs w:val="24"/>
        </w:rPr>
        <w:noBreakHyphen/>
      </w:r>
      <w:r w:rsidR="00086550" w:rsidRPr="0016581E">
        <w:rPr>
          <w:rFonts w:asciiTheme="minorHAnsi" w:hAnsiTheme="minorHAnsi" w:cstheme="minorHAnsi"/>
          <w:sz w:val="24"/>
          <w:szCs w:val="24"/>
        </w:rPr>
        <w:t xml:space="preserve">2, particularly relating to </w:t>
      </w:r>
      <w:r w:rsidR="00985684" w:rsidRPr="0016581E">
        <w:rPr>
          <w:rFonts w:asciiTheme="minorHAnsi" w:hAnsiTheme="minorHAnsi" w:cstheme="minorHAnsi"/>
          <w:sz w:val="24"/>
          <w:szCs w:val="24"/>
        </w:rPr>
        <w:t>OS</w:t>
      </w:r>
      <w:r w:rsidR="00086550" w:rsidRPr="0016581E">
        <w:rPr>
          <w:rFonts w:asciiTheme="minorHAnsi" w:hAnsiTheme="minorHAnsi" w:cstheme="minorHAnsi"/>
          <w:sz w:val="24"/>
          <w:szCs w:val="24"/>
        </w:rPr>
        <w:t>, would be valuable (</w:t>
      </w:r>
      <w:r w:rsidR="00416EEF">
        <w:rPr>
          <w:rFonts w:asciiTheme="minorHAnsi" w:hAnsiTheme="minorHAnsi" w:cstheme="minorHAnsi"/>
          <w:sz w:val="24"/>
          <w:szCs w:val="24"/>
        </w:rPr>
        <w:t>PSD</w:t>
      </w:r>
      <w:r w:rsidR="00086550" w:rsidRPr="0016581E">
        <w:rPr>
          <w:rFonts w:asciiTheme="minorHAnsi" w:hAnsiTheme="minorHAnsi" w:cstheme="minorHAnsi"/>
          <w:sz w:val="24"/>
          <w:szCs w:val="24"/>
        </w:rPr>
        <w:t>, March 2017, item 7.17).</w:t>
      </w:r>
    </w:p>
    <w:p w:rsidR="004E23FC" w:rsidRPr="00BA4CBB" w:rsidRDefault="004E23FC" w:rsidP="004E23FC">
      <w:pPr>
        <w:pStyle w:val="Heading2"/>
      </w:pPr>
      <w:bookmarkStart w:id="26" w:name="_Toc413139279"/>
      <w:bookmarkStart w:id="27" w:name="_Toc493059786"/>
      <w:r w:rsidRPr="00BA4CBB">
        <w:t>Comparative harms</w:t>
      </w:r>
      <w:bookmarkEnd w:id="26"/>
      <w:bookmarkEnd w:id="27"/>
    </w:p>
    <w:p w:rsidR="006946EE" w:rsidRPr="0016581E" w:rsidRDefault="006946EE" w:rsidP="004B7EF3">
      <w:pPr>
        <w:pStyle w:val="ListParagraph"/>
        <w:numPr>
          <w:ilvl w:val="1"/>
          <w:numId w:val="5"/>
        </w:numPr>
        <w:spacing w:before="120" w:after="160"/>
        <w:ind w:left="709" w:hanging="709"/>
        <w:contextualSpacing w:val="0"/>
        <w:rPr>
          <w:rFonts w:asciiTheme="minorHAnsi" w:hAnsiTheme="minorHAnsi" w:cstheme="minorHAnsi"/>
          <w:sz w:val="24"/>
          <w:szCs w:val="24"/>
        </w:rPr>
      </w:pPr>
      <w:bookmarkStart w:id="28" w:name="_Toc413139281"/>
      <w:r w:rsidRPr="0016581E">
        <w:rPr>
          <w:rFonts w:asciiTheme="minorHAnsi" w:hAnsiTheme="minorHAnsi" w:cstheme="minorHAnsi"/>
          <w:sz w:val="24"/>
          <w:szCs w:val="24"/>
        </w:rPr>
        <w:t>In PALOMA-1 and PALOMA-2, more patients treated with palbociclib + letrozole were reported to have AEs compared with those treated with letrozole alone. The key differences between the treatment arms were:</w:t>
      </w:r>
    </w:p>
    <w:p w:rsidR="006946EE" w:rsidRPr="0016581E" w:rsidRDefault="006946EE" w:rsidP="0039363C">
      <w:pPr>
        <w:pStyle w:val="ListParagraph"/>
        <w:numPr>
          <w:ilvl w:val="0"/>
          <w:numId w:val="35"/>
        </w:numPr>
        <w:spacing w:before="120" w:after="160"/>
        <w:ind w:left="1134" w:hanging="425"/>
        <w:rPr>
          <w:rFonts w:asciiTheme="minorHAnsi" w:hAnsiTheme="minorHAnsi" w:cstheme="minorHAnsi"/>
          <w:sz w:val="24"/>
          <w:szCs w:val="24"/>
        </w:rPr>
      </w:pPr>
      <w:r w:rsidRPr="0016581E">
        <w:rPr>
          <w:rFonts w:asciiTheme="minorHAnsi" w:hAnsiTheme="minorHAnsi" w:cstheme="minorHAnsi"/>
          <w:sz w:val="24"/>
          <w:szCs w:val="24"/>
        </w:rPr>
        <w:t>More patients treated with palbociclib + letrozole had grade ≥ 3 AEs (PALOMA-1: 78.3% vs. 20.8%, PALOMA-2: 79.8% vs. 27.0%).</w:t>
      </w:r>
      <w:r w:rsidR="00BC3415" w:rsidRPr="0016581E">
        <w:rPr>
          <w:rFonts w:asciiTheme="minorHAnsi" w:hAnsiTheme="minorHAnsi" w:cstheme="minorHAnsi"/>
          <w:sz w:val="24"/>
          <w:szCs w:val="24"/>
        </w:rPr>
        <w:t xml:space="preserve"> </w:t>
      </w:r>
      <w:r w:rsidR="00B9482B" w:rsidRPr="0016581E">
        <w:rPr>
          <w:rFonts w:asciiTheme="minorHAnsi" w:hAnsiTheme="minorHAnsi" w:cstheme="minorHAnsi"/>
          <w:sz w:val="24"/>
          <w:szCs w:val="24"/>
        </w:rPr>
        <w:t xml:space="preserve">In PALOMA-1, </w:t>
      </w:r>
      <w:r w:rsidR="000C3DA2" w:rsidRPr="0016581E">
        <w:rPr>
          <w:rFonts w:asciiTheme="minorHAnsi" w:hAnsiTheme="minorHAnsi" w:cstheme="minorHAnsi"/>
          <w:sz w:val="24"/>
          <w:szCs w:val="24"/>
        </w:rPr>
        <w:t xml:space="preserve">3.6% of patients experienced </w:t>
      </w:r>
      <w:r w:rsidR="00B9482B" w:rsidRPr="0016581E">
        <w:rPr>
          <w:rFonts w:asciiTheme="minorHAnsi" w:hAnsiTheme="minorHAnsi" w:cstheme="minorHAnsi"/>
          <w:sz w:val="24"/>
          <w:szCs w:val="24"/>
        </w:rPr>
        <w:t>pulmonary embolism</w:t>
      </w:r>
      <w:r w:rsidR="00A7771E" w:rsidRPr="0016581E">
        <w:rPr>
          <w:rFonts w:asciiTheme="minorHAnsi" w:hAnsiTheme="minorHAnsi" w:cstheme="minorHAnsi"/>
          <w:sz w:val="24"/>
          <w:szCs w:val="24"/>
        </w:rPr>
        <w:t xml:space="preserve"> (PE)</w:t>
      </w:r>
      <w:r w:rsidR="00B9482B" w:rsidRPr="0016581E">
        <w:rPr>
          <w:rFonts w:asciiTheme="minorHAnsi" w:hAnsiTheme="minorHAnsi" w:cstheme="minorHAnsi"/>
          <w:sz w:val="24"/>
          <w:szCs w:val="24"/>
        </w:rPr>
        <w:t xml:space="preserve"> in the palbociclib + letrozole arm, compared to n</w:t>
      </w:r>
      <w:r w:rsidR="00405008" w:rsidRPr="0016581E">
        <w:rPr>
          <w:rFonts w:asciiTheme="minorHAnsi" w:hAnsiTheme="minorHAnsi" w:cstheme="minorHAnsi"/>
          <w:sz w:val="24"/>
          <w:szCs w:val="24"/>
        </w:rPr>
        <w:t>o</w:t>
      </w:r>
      <w:r w:rsidR="00B9482B" w:rsidRPr="0016581E">
        <w:rPr>
          <w:rFonts w:asciiTheme="minorHAnsi" w:hAnsiTheme="minorHAnsi" w:cstheme="minorHAnsi"/>
          <w:sz w:val="24"/>
          <w:szCs w:val="24"/>
        </w:rPr>
        <w:t xml:space="preserve"> cases in the letrozole arm.</w:t>
      </w:r>
      <w:r w:rsidR="000C3DA2" w:rsidRPr="0016581E">
        <w:rPr>
          <w:rFonts w:asciiTheme="minorHAnsi" w:hAnsiTheme="minorHAnsi" w:cstheme="minorHAnsi"/>
          <w:sz w:val="24"/>
          <w:szCs w:val="24"/>
        </w:rPr>
        <w:t xml:space="preserve"> In PALOMA-2, 1.6% (0.2% considered treatment related) of patients experienced </w:t>
      </w:r>
      <w:r w:rsidR="00A7771E" w:rsidRPr="0016581E">
        <w:rPr>
          <w:rFonts w:asciiTheme="minorHAnsi" w:hAnsiTheme="minorHAnsi" w:cstheme="minorHAnsi"/>
          <w:sz w:val="24"/>
          <w:szCs w:val="24"/>
        </w:rPr>
        <w:t>PE</w:t>
      </w:r>
      <w:r w:rsidR="000C3DA2" w:rsidRPr="0016581E">
        <w:rPr>
          <w:rFonts w:asciiTheme="minorHAnsi" w:hAnsiTheme="minorHAnsi" w:cstheme="minorHAnsi"/>
          <w:sz w:val="24"/>
          <w:szCs w:val="24"/>
        </w:rPr>
        <w:t xml:space="preserve"> and 0.9% (0.7% considered treated related) experienced deep vein thrombosis</w:t>
      </w:r>
      <w:r w:rsidR="00A7771E" w:rsidRPr="0016581E">
        <w:rPr>
          <w:rFonts w:asciiTheme="minorHAnsi" w:hAnsiTheme="minorHAnsi" w:cstheme="minorHAnsi"/>
          <w:sz w:val="24"/>
          <w:szCs w:val="24"/>
        </w:rPr>
        <w:t xml:space="preserve"> (DVT)</w:t>
      </w:r>
      <w:r w:rsidR="000C3DA2" w:rsidRPr="0016581E">
        <w:rPr>
          <w:rFonts w:asciiTheme="minorHAnsi" w:hAnsiTheme="minorHAnsi" w:cstheme="minorHAnsi"/>
          <w:sz w:val="24"/>
          <w:szCs w:val="24"/>
        </w:rPr>
        <w:t xml:space="preserve"> in the palbociclib + letrozole </w:t>
      </w:r>
      <w:r w:rsidR="0093686E" w:rsidRPr="0016581E">
        <w:rPr>
          <w:rFonts w:asciiTheme="minorHAnsi" w:hAnsiTheme="minorHAnsi" w:cstheme="minorHAnsi"/>
          <w:sz w:val="24"/>
          <w:szCs w:val="24"/>
        </w:rPr>
        <w:t>arm</w:t>
      </w:r>
      <w:r w:rsidR="000C3DA2" w:rsidRPr="0016581E">
        <w:rPr>
          <w:rFonts w:asciiTheme="minorHAnsi" w:hAnsiTheme="minorHAnsi" w:cstheme="minorHAnsi"/>
          <w:sz w:val="24"/>
          <w:szCs w:val="24"/>
        </w:rPr>
        <w:t>.</w:t>
      </w:r>
      <w:r w:rsidR="00B9482B" w:rsidRPr="0016581E">
        <w:rPr>
          <w:rFonts w:asciiTheme="minorHAnsi" w:hAnsiTheme="minorHAnsi" w:cstheme="minorHAnsi"/>
          <w:sz w:val="24"/>
          <w:szCs w:val="24"/>
        </w:rPr>
        <w:t xml:space="preserve"> </w:t>
      </w:r>
      <w:r w:rsidR="00405008" w:rsidRPr="0016581E">
        <w:rPr>
          <w:rFonts w:asciiTheme="minorHAnsi" w:hAnsiTheme="minorHAnsi" w:cstheme="minorHAnsi"/>
          <w:sz w:val="24"/>
          <w:szCs w:val="24"/>
        </w:rPr>
        <w:t>These results are</w:t>
      </w:r>
      <w:r w:rsidR="00BC3415" w:rsidRPr="0016581E">
        <w:rPr>
          <w:rFonts w:asciiTheme="minorHAnsi" w:hAnsiTheme="minorHAnsi" w:cstheme="minorHAnsi"/>
          <w:sz w:val="24"/>
          <w:szCs w:val="24"/>
        </w:rPr>
        <w:t xml:space="preserve"> unchanged from the previous submission.</w:t>
      </w:r>
      <w:r w:rsidR="00D81C90" w:rsidRPr="0016581E">
        <w:rPr>
          <w:rFonts w:asciiTheme="minorHAnsi" w:hAnsiTheme="minorHAnsi" w:cstheme="minorHAnsi"/>
          <w:sz w:val="24"/>
          <w:szCs w:val="24"/>
        </w:rPr>
        <w:t xml:space="preserve"> </w:t>
      </w:r>
    </w:p>
    <w:p w:rsidR="00BC3415" w:rsidRPr="0016581E" w:rsidRDefault="00BC3415" w:rsidP="0039363C">
      <w:pPr>
        <w:pStyle w:val="ListParagraph"/>
        <w:numPr>
          <w:ilvl w:val="0"/>
          <w:numId w:val="35"/>
        </w:numPr>
        <w:spacing w:before="120" w:after="160"/>
        <w:ind w:left="1134" w:hanging="425"/>
        <w:rPr>
          <w:rFonts w:asciiTheme="minorHAnsi" w:hAnsiTheme="minorHAnsi" w:cstheme="minorHAnsi"/>
          <w:sz w:val="24"/>
          <w:szCs w:val="24"/>
        </w:rPr>
      </w:pPr>
      <w:r w:rsidRPr="0016581E">
        <w:rPr>
          <w:rFonts w:asciiTheme="minorHAnsi" w:hAnsiTheme="minorHAnsi" w:cstheme="minorHAnsi"/>
          <w:sz w:val="24"/>
          <w:szCs w:val="24"/>
        </w:rPr>
        <w:t xml:space="preserve">More patients treated with palbociclib + letrozole had serious AEs (PALOMA-1: </w:t>
      </w:r>
      <w:r w:rsidR="0040689A" w:rsidRPr="0016581E">
        <w:rPr>
          <w:rFonts w:asciiTheme="minorHAnsi" w:hAnsiTheme="minorHAnsi" w:cstheme="minorHAnsi"/>
          <w:sz w:val="24"/>
          <w:szCs w:val="24"/>
        </w:rPr>
        <w:t>21.7</w:t>
      </w:r>
      <w:r w:rsidRPr="0016581E">
        <w:rPr>
          <w:rFonts w:asciiTheme="minorHAnsi" w:hAnsiTheme="minorHAnsi" w:cstheme="minorHAnsi"/>
          <w:sz w:val="24"/>
          <w:szCs w:val="24"/>
        </w:rPr>
        <w:t xml:space="preserve">% vs. </w:t>
      </w:r>
      <w:r w:rsidR="0040689A" w:rsidRPr="0016581E">
        <w:rPr>
          <w:rFonts w:asciiTheme="minorHAnsi" w:hAnsiTheme="minorHAnsi" w:cstheme="minorHAnsi"/>
          <w:sz w:val="24"/>
          <w:szCs w:val="24"/>
        </w:rPr>
        <w:t>6.5</w:t>
      </w:r>
      <w:r w:rsidRPr="0016581E">
        <w:rPr>
          <w:rFonts w:asciiTheme="minorHAnsi" w:hAnsiTheme="minorHAnsi" w:cstheme="minorHAnsi"/>
          <w:sz w:val="24"/>
          <w:szCs w:val="24"/>
        </w:rPr>
        <w:t xml:space="preserve">%, PALOMA-2: </w:t>
      </w:r>
      <w:r w:rsidR="0040689A" w:rsidRPr="0016581E">
        <w:rPr>
          <w:rFonts w:asciiTheme="minorHAnsi" w:hAnsiTheme="minorHAnsi" w:cstheme="minorHAnsi"/>
          <w:sz w:val="24"/>
          <w:szCs w:val="24"/>
        </w:rPr>
        <w:t>19.6</w:t>
      </w:r>
      <w:r w:rsidRPr="0016581E">
        <w:rPr>
          <w:rFonts w:asciiTheme="minorHAnsi" w:hAnsiTheme="minorHAnsi" w:cstheme="minorHAnsi"/>
          <w:sz w:val="24"/>
          <w:szCs w:val="24"/>
        </w:rPr>
        <w:t xml:space="preserve">% vs. </w:t>
      </w:r>
      <w:r w:rsidR="0040689A" w:rsidRPr="0016581E">
        <w:rPr>
          <w:rFonts w:asciiTheme="minorHAnsi" w:hAnsiTheme="minorHAnsi" w:cstheme="minorHAnsi"/>
          <w:sz w:val="24"/>
          <w:szCs w:val="24"/>
        </w:rPr>
        <w:t>12.6</w:t>
      </w:r>
      <w:r w:rsidRPr="0016581E">
        <w:rPr>
          <w:rFonts w:asciiTheme="minorHAnsi" w:hAnsiTheme="minorHAnsi" w:cstheme="minorHAnsi"/>
          <w:sz w:val="24"/>
          <w:szCs w:val="24"/>
        </w:rPr>
        <w:t xml:space="preserve">%). </w:t>
      </w:r>
      <w:r w:rsidR="00405008" w:rsidRPr="0016581E">
        <w:rPr>
          <w:rFonts w:asciiTheme="minorHAnsi" w:hAnsiTheme="minorHAnsi" w:cstheme="minorHAnsi"/>
          <w:sz w:val="24"/>
          <w:szCs w:val="24"/>
        </w:rPr>
        <w:t xml:space="preserve">These results are </w:t>
      </w:r>
      <w:r w:rsidRPr="0016581E">
        <w:rPr>
          <w:rFonts w:asciiTheme="minorHAnsi" w:hAnsiTheme="minorHAnsi" w:cstheme="minorHAnsi"/>
          <w:sz w:val="24"/>
          <w:szCs w:val="24"/>
        </w:rPr>
        <w:t>unchanged from the previous submission.</w:t>
      </w:r>
    </w:p>
    <w:p w:rsidR="006946EE" w:rsidRPr="0016581E" w:rsidRDefault="006946EE" w:rsidP="0039363C">
      <w:pPr>
        <w:pStyle w:val="ListParagraph"/>
        <w:numPr>
          <w:ilvl w:val="0"/>
          <w:numId w:val="35"/>
        </w:numPr>
        <w:spacing w:before="120" w:after="160"/>
        <w:ind w:left="1134" w:hanging="425"/>
        <w:rPr>
          <w:rFonts w:asciiTheme="minorHAnsi" w:hAnsiTheme="minorHAnsi" w:cstheme="minorHAnsi"/>
          <w:sz w:val="24"/>
          <w:szCs w:val="24"/>
        </w:rPr>
      </w:pPr>
      <w:r w:rsidRPr="0016581E">
        <w:rPr>
          <w:rFonts w:asciiTheme="minorHAnsi" w:hAnsiTheme="minorHAnsi" w:cstheme="minorHAnsi"/>
          <w:sz w:val="24"/>
          <w:szCs w:val="24"/>
        </w:rPr>
        <w:t>More patients treated with palbociclib + letrozole temporarily discontinued treatment due to AEs (PALOMA</w:t>
      </w:r>
      <w:r w:rsidR="00BC3415" w:rsidRPr="0016581E">
        <w:rPr>
          <w:rFonts w:asciiTheme="minorHAnsi" w:hAnsiTheme="minorHAnsi" w:cstheme="minorHAnsi"/>
          <w:sz w:val="24"/>
          <w:szCs w:val="24"/>
        </w:rPr>
        <w:t>-</w:t>
      </w:r>
      <w:r w:rsidRPr="0016581E">
        <w:rPr>
          <w:rFonts w:asciiTheme="minorHAnsi" w:hAnsiTheme="minorHAnsi" w:cstheme="minorHAnsi"/>
          <w:sz w:val="24"/>
          <w:szCs w:val="24"/>
        </w:rPr>
        <w:t xml:space="preserve">1: </w:t>
      </w:r>
      <w:r w:rsidRPr="0016581E">
        <w:rPr>
          <w:rFonts w:asciiTheme="minorHAnsi" w:hAnsiTheme="minorHAnsi" w:cstheme="minorHAnsi"/>
          <w:b/>
          <w:sz w:val="24"/>
          <w:szCs w:val="24"/>
        </w:rPr>
        <w:t>P+L:</w:t>
      </w:r>
      <w:r w:rsidRPr="0016581E">
        <w:rPr>
          <w:rFonts w:asciiTheme="minorHAnsi" w:hAnsiTheme="minorHAnsi" w:cstheme="minorHAnsi"/>
          <w:sz w:val="24"/>
          <w:szCs w:val="24"/>
        </w:rPr>
        <w:t xml:space="preserve"> P 62.7%, L 14.5% vs. </w:t>
      </w:r>
      <w:r w:rsidRPr="0016581E">
        <w:rPr>
          <w:rFonts w:asciiTheme="minorHAnsi" w:hAnsiTheme="minorHAnsi" w:cstheme="minorHAnsi"/>
          <w:b/>
          <w:sz w:val="24"/>
          <w:szCs w:val="24"/>
        </w:rPr>
        <w:t>L:</w:t>
      </w:r>
      <w:r w:rsidRPr="0016581E">
        <w:rPr>
          <w:rFonts w:asciiTheme="minorHAnsi" w:hAnsiTheme="minorHAnsi" w:cstheme="minorHAnsi"/>
          <w:sz w:val="24"/>
          <w:szCs w:val="24"/>
        </w:rPr>
        <w:t xml:space="preserve"> P 1.3%, L 3.9%, PALOMA-2: P+L: P 74.8%, L NR vs. L: P 9.9%, L NR).</w:t>
      </w:r>
      <w:r w:rsidR="0040689A" w:rsidRPr="0016581E">
        <w:rPr>
          <w:rFonts w:asciiTheme="minorHAnsi" w:hAnsiTheme="minorHAnsi" w:cstheme="minorHAnsi"/>
          <w:sz w:val="24"/>
          <w:szCs w:val="24"/>
        </w:rPr>
        <w:t xml:space="preserve"> </w:t>
      </w:r>
      <w:r w:rsidR="00405008" w:rsidRPr="0016581E">
        <w:rPr>
          <w:rFonts w:asciiTheme="minorHAnsi" w:hAnsiTheme="minorHAnsi" w:cstheme="minorHAnsi"/>
          <w:sz w:val="24"/>
          <w:szCs w:val="24"/>
        </w:rPr>
        <w:t xml:space="preserve">These results are </w:t>
      </w:r>
      <w:r w:rsidR="0040689A" w:rsidRPr="0016581E">
        <w:rPr>
          <w:rFonts w:asciiTheme="minorHAnsi" w:hAnsiTheme="minorHAnsi" w:cstheme="minorHAnsi"/>
          <w:sz w:val="24"/>
          <w:szCs w:val="24"/>
        </w:rPr>
        <w:t>unchanged from the previous submission.</w:t>
      </w:r>
    </w:p>
    <w:p w:rsidR="00076F5C" w:rsidRPr="0016581E" w:rsidRDefault="006946EE" w:rsidP="0039363C">
      <w:pPr>
        <w:pStyle w:val="ListParagraph"/>
        <w:numPr>
          <w:ilvl w:val="0"/>
          <w:numId w:val="35"/>
        </w:numPr>
        <w:spacing w:before="120" w:after="160"/>
        <w:ind w:left="1134" w:hanging="425"/>
        <w:rPr>
          <w:rFonts w:asciiTheme="minorHAnsi" w:hAnsiTheme="minorHAnsi" w:cstheme="minorHAnsi"/>
          <w:sz w:val="24"/>
          <w:szCs w:val="24"/>
        </w:rPr>
      </w:pPr>
      <w:r w:rsidRPr="0016581E">
        <w:rPr>
          <w:rFonts w:asciiTheme="minorHAnsi" w:hAnsiTheme="minorHAnsi" w:cstheme="minorHAnsi"/>
          <w:sz w:val="24"/>
          <w:szCs w:val="24"/>
        </w:rPr>
        <w:t xml:space="preserve">More patients treated with palbociclib + letrozole discontinued treatment (PALOMA-1: 14.5% vs. 2.6%, PALOMA-2: </w:t>
      </w:r>
      <w:r w:rsidRPr="0016581E">
        <w:rPr>
          <w:rFonts w:asciiTheme="minorHAnsi" w:hAnsiTheme="minorHAnsi" w:cstheme="minorHAnsi"/>
          <w:b/>
          <w:sz w:val="24"/>
          <w:szCs w:val="24"/>
        </w:rPr>
        <w:t>P+L:</w:t>
      </w:r>
      <w:r w:rsidRPr="0016581E">
        <w:rPr>
          <w:rFonts w:asciiTheme="minorHAnsi" w:hAnsiTheme="minorHAnsi" w:cstheme="minorHAnsi"/>
          <w:sz w:val="24"/>
          <w:szCs w:val="24"/>
        </w:rPr>
        <w:t xml:space="preserve"> P 9.2% L 6.1% vs. </w:t>
      </w:r>
      <w:r w:rsidRPr="0016581E">
        <w:rPr>
          <w:rFonts w:asciiTheme="minorHAnsi" w:hAnsiTheme="minorHAnsi" w:cstheme="minorHAnsi"/>
          <w:b/>
          <w:sz w:val="24"/>
          <w:szCs w:val="24"/>
        </w:rPr>
        <w:t>L:</w:t>
      </w:r>
      <w:r w:rsidRPr="0016581E">
        <w:rPr>
          <w:rFonts w:asciiTheme="minorHAnsi" w:hAnsiTheme="minorHAnsi" w:cstheme="minorHAnsi"/>
          <w:sz w:val="24"/>
          <w:szCs w:val="24"/>
        </w:rPr>
        <w:t xml:space="preserve"> P 5.4% L 5.0%) or had a dose reduction (PALOMA-1: 38.6% vs. NA, PALOMA-2: 36.0% vs. 1.4%).</w:t>
      </w:r>
      <w:r w:rsidR="0040689A" w:rsidRPr="0016581E">
        <w:rPr>
          <w:rFonts w:asciiTheme="minorHAnsi" w:hAnsiTheme="minorHAnsi" w:cstheme="minorHAnsi"/>
          <w:sz w:val="24"/>
          <w:szCs w:val="24"/>
        </w:rPr>
        <w:t xml:space="preserve"> </w:t>
      </w:r>
      <w:r w:rsidR="00405008" w:rsidRPr="0016581E">
        <w:rPr>
          <w:rFonts w:asciiTheme="minorHAnsi" w:hAnsiTheme="minorHAnsi" w:cstheme="minorHAnsi"/>
          <w:sz w:val="24"/>
          <w:szCs w:val="24"/>
        </w:rPr>
        <w:t xml:space="preserve">These results are </w:t>
      </w:r>
      <w:r w:rsidR="0040689A" w:rsidRPr="0016581E">
        <w:rPr>
          <w:rFonts w:asciiTheme="minorHAnsi" w:hAnsiTheme="minorHAnsi" w:cstheme="minorHAnsi"/>
          <w:sz w:val="24"/>
          <w:szCs w:val="24"/>
        </w:rPr>
        <w:t>unchanged from the previous submission.</w:t>
      </w:r>
    </w:p>
    <w:p w:rsidR="006946EE" w:rsidRPr="0016581E" w:rsidRDefault="006946EE" w:rsidP="0039363C">
      <w:pPr>
        <w:pStyle w:val="ListParagraph"/>
        <w:numPr>
          <w:ilvl w:val="0"/>
          <w:numId w:val="35"/>
        </w:numPr>
        <w:spacing w:before="120" w:after="160"/>
        <w:ind w:left="1134" w:hanging="425"/>
        <w:rPr>
          <w:rFonts w:asciiTheme="minorHAnsi" w:hAnsiTheme="minorHAnsi" w:cstheme="minorHAnsi"/>
          <w:sz w:val="24"/>
          <w:szCs w:val="24"/>
        </w:rPr>
      </w:pPr>
      <w:r w:rsidRPr="0016581E">
        <w:rPr>
          <w:rFonts w:asciiTheme="minorHAnsi" w:hAnsiTheme="minorHAnsi" w:cstheme="minorHAnsi"/>
          <w:sz w:val="24"/>
          <w:szCs w:val="24"/>
        </w:rPr>
        <w:t xml:space="preserve">In patients treated with palbociclib + letrozole the most common AEs included neutropenia (PALOMA-1: </w:t>
      </w:r>
      <w:r w:rsidR="00806BA0" w:rsidRPr="0016581E">
        <w:rPr>
          <w:rFonts w:asciiTheme="minorHAnsi" w:hAnsiTheme="minorHAnsi" w:cstheme="minorHAnsi"/>
          <w:sz w:val="24"/>
          <w:szCs w:val="24"/>
        </w:rPr>
        <w:t>75</w:t>
      </w:r>
      <w:r w:rsidRPr="0016581E">
        <w:rPr>
          <w:rFonts w:asciiTheme="minorHAnsi" w:hAnsiTheme="minorHAnsi" w:cstheme="minorHAnsi"/>
          <w:sz w:val="24"/>
          <w:szCs w:val="24"/>
        </w:rPr>
        <w:t>%</w:t>
      </w:r>
      <w:r w:rsidR="00382714" w:rsidRPr="0016581E">
        <w:rPr>
          <w:rFonts w:asciiTheme="minorHAnsi" w:hAnsiTheme="minorHAnsi" w:cstheme="minorHAnsi"/>
          <w:sz w:val="24"/>
          <w:szCs w:val="24"/>
        </w:rPr>
        <w:t xml:space="preserve"> </w:t>
      </w:r>
      <w:r w:rsidR="004F1A64" w:rsidRPr="0016581E">
        <w:rPr>
          <w:rFonts w:asciiTheme="minorHAnsi" w:hAnsiTheme="minorHAnsi" w:cstheme="minorHAnsi"/>
          <w:sz w:val="24"/>
          <w:szCs w:val="24"/>
        </w:rPr>
        <w:t>as of December 2016</w:t>
      </w:r>
      <w:r w:rsidRPr="0016581E">
        <w:rPr>
          <w:rFonts w:asciiTheme="minorHAnsi" w:hAnsiTheme="minorHAnsi" w:cstheme="minorHAnsi"/>
          <w:sz w:val="24"/>
          <w:szCs w:val="24"/>
        </w:rPr>
        <w:t xml:space="preserve">, PALOMA-2: 79.5%), leukopenia (PALOMA-1: </w:t>
      </w:r>
      <w:r w:rsidR="00806BA0" w:rsidRPr="0016581E">
        <w:rPr>
          <w:rFonts w:asciiTheme="minorHAnsi" w:hAnsiTheme="minorHAnsi" w:cstheme="minorHAnsi"/>
          <w:sz w:val="24"/>
          <w:szCs w:val="24"/>
        </w:rPr>
        <w:t>43</w:t>
      </w:r>
      <w:r w:rsidRPr="0016581E">
        <w:rPr>
          <w:rFonts w:asciiTheme="minorHAnsi" w:hAnsiTheme="minorHAnsi" w:cstheme="minorHAnsi"/>
          <w:sz w:val="24"/>
          <w:szCs w:val="24"/>
        </w:rPr>
        <w:t>%</w:t>
      </w:r>
      <w:r w:rsidR="004F1A64" w:rsidRPr="0016581E">
        <w:rPr>
          <w:rFonts w:asciiTheme="minorHAnsi" w:hAnsiTheme="minorHAnsi" w:cstheme="minorHAnsi"/>
          <w:sz w:val="24"/>
          <w:szCs w:val="24"/>
        </w:rPr>
        <w:t xml:space="preserve"> as of December 2016</w:t>
      </w:r>
      <w:r w:rsidRPr="0016581E">
        <w:rPr>
          <w:rFonts w:asciiTheme="minorHAnsi" w:hAnsiTheme="minorHAnsi" w:cstheme="minorHAnsi"/>
          <w:sz w:val="24"/>
          <w:szCs w:val="24"/>
        </w:rPr>
        <w:t>, PALOMA-2: 39.0%), fatigue (PALOMA</w:t>
      </w:r>
      <w:r w:rsidR="00C8271E" w:rsidRPr="0016581E">
        <w:rPr>
          <w:rFonts w:asciiTheme="minorHAnsi" w:hAnsiTheme="minorHAnsi" w:cstheme="minorHAnsi"/>
          <w:sz w:val="24"/>
          <w:szCs w:val="24"/>
        </w:rPr>
        <w:noBreakHyphen/>
      </w:r>
      <w:r w:rsidRPr="0016581E">
        <w:rPr>
          <w:rFonts w:asciiTheme="minorHAnsi" w:hAnsiTheme="minorHAnsi" w:cstheme="minorHAnsi"/>
          <w:sz w:val="24"/>
          <w:szCs w:val="24"/>
        </w:rPr>
        <w:t>1: 4</w:t>
      </w:r>
      <w:r w:rsidR="00806BA0" w:rsidRPr="0016581E">
        <w:rPr>
          <w:rFonts w:asciiTheme="minorHAnsi" w:hAnsiTheme="minorHAnsi" w:cstheme="minorHAnsi"/>
          <w:sz w:val="24"/>
          <w:szCs w:val="24"/>
        </w:rPr>
        <w:t>1</w:t>
      </w:r>
      <w:r w:rsidRPr="0016581E">
        <w:rPr>
          <w:rFonts w:asciiTheme="minorHAnsi" w:hAnsiTheme="minorHAnsi" w:cstheme="minorHAnsi"/>
          <w:sz w:val="24"/>
          <w:szCs w:val="24"/>
        </w:rPr>
        <w:t>%</w:t>
      </w:r>
      <w:r w:rsidR="004F1A64" w:rsidRPr="0016581E">
        <w:rPr>
          <w:rFonts w:asciiTheme="minorHAnsi" w:hAnsiTheme="minorHAnsi" w:cstheme="minorHAnsi"/>
          <w:sz w:val="24"/>
          <w:szCs w:val="24"/>
        </w:rPr>
        <w:t xml:space="preserve"> as of December 2016</w:t>
      </w:r>
      <w:r w:rsidRPr="0016581E">
        <w:rPr>
          <w:rFonts w:asciiTheme="minorHAnsi" w:hAnsiTheme="minorHAnsi" w:cstheme="minorHAnsi"/>
          <w:sz w:val="24"/>
          <w:szCs w:val="24"/>
        </w:rPr>
        <w:t xml:space="preserve">, PALOMA-2: 37.4%) and infections </w:t>
      </w:r>
      <w:r w:rsidR="001C41D3" w:rsidRPr="0016581E">
        <w:rPr>
          <w:rFonts w:asciiTheme="minorHAnsi" w:hAnsiTheme="minorHAnsi" w:cstheme="minorHAnsi"/>
          <w:sz w:val="24"/>
          <w:szCs w:val="24"/>
        </w:rPr>
        <w:t>(</w:t>
      </w:r>
      <w:r w:rsidRPr="0016581E">
        <w:rPr>
          <w:rFonts w:asciiTheme="minorHAnsi" w:hAnsiTheme="minorHAnsi" w:cstheme="minorHAnsi"/>
          <w:sz w:val="24"/>
          <w:szCs w:val="24"/>
        </w:rPr>
        <w:t>PALOMA-1: NR, PALOMA-2: 59.7%).</w:t>
      </w:r>
      <w:r w:rsidR="00166411" w:rsidRPr="0016581E">
        <w:rPr>
          <w:rFonts w:asciiTheme="minorHAnsi" w:hAnsiTheme="minorHAnsi" w:cstheme="minorHAnsi"/>
          <w:sz w:val="24"/>
          <w:szCs w:val="24"/>
        </w:rPr>
        <w:t xml:space="preserve"> </w:t>
      </w:r>
      <w:r w:rsidR="004F1A64" w:rsidRPr="0016581E">
        <w:rPr>
          <w:rFonts w:asciiTheme="minorHAnsi" w:hAnsiTheme="minorHAnsi" w:cstheme="minorHAnsi"/>
          <w:sz w:val="24"/>
          <w:szCs w:val="24"/>
        </w:rPr>
        <w:t>The estimates from PALOMA-1 have been updated compared to the previous submission.</w:t>
      </w:r>
    </w:p>
    <w:p w:rsidR="006946EE" w:rsidRPr="0016581E" w:rsidRDefault="006946EE" w:rsidP="0039363C">
      <w:pPr>
        <w:pStyle w:val="ListParagraph"/>
        <w:numPr>
          <w:ilvl w:val="0"/>
          <w:numId w:val="35"/>
        </w:numPr>
        <w:spacing w:before="120" w:after="160"/>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In patients treated with palbociclib + letrozole the most common grade 3 or 4 AEs included neutropenia (grade 4) (PALOMA-1: </w:t>
      </w:r>
      <w:r w:rsidR="00806BA0" w:rsidRPr="0016581E">
        <w:rPr>
          <w:rFonts w:asciiTheme="minorHAnsi" w:hAnsiTheme="minorHAnsi" w:cstheme="minorHAnsi"/>
          <w:sz w:val="24"/>
          <w:szCs w:val="24"/>
        </w:rPr>
        <w:t>6</w:t>
      </w:r>
      <w:r w:rsidRPr="0016581E">
        <w:rPr>
          <w:rFonts w:asciiTheme="minorHAnsi" w:hAnsiTheme="minorHAnsi" w:cstheme="minorHAnsi"/>
          <w:sz w:val="24"/>
          <w:szCs w:val="24"/>
        </w:rPr>
        <w:t>%</w:t>
      </w:r>
      <w:r w:rsidR="004F1A64" w:rsidRPr="0016581E">
        <w:rPr>
          <w:rFonts w:asciiTheme="minorHAnsi" w:hAnsiTheme="minorHAnsi" w:cstheme="minorHAnsi"/>
          <w:sz w:val="24"/>
          <w:szCs w:val="24"/>
        </w:rPr>
        <w:t xml:space="preserve"> as of December 2016</w:t>
      </w:r>
      <w:r w:rsidRPr="0016581E">
        <w:rPr>
          <w:rFonts w:asciiTheme="minorHAnsi" w:hAnsiTheme="minorHAnsi" w:cstheme="minorHAnsi"/>
          <w:sz w:val="24"/>
          <w:szCs w:val="24"/>
        </w:rPr>
        <w:t>, PALOMA</w:t>
      </w:r>
      <w:r w:rsidR="00CD4C54" w:rsidRPr="0016581E">
        <w:rPr>
          <w:rFonts w:asciiTheme="minorHAnsi" w:hAnsiTheme="minorHAnsi" w:cstheme="minorHAnsi"/>
          <w:sz w:val="24"/>
          <w:szCs w:val="24"/>
        </w:rPr>
        <w:noBreakHyphen/>
      </w:r>
      <w:r w:rsidRPr="0016581E">
        <w:rPr>
          <w:rFonts w:asciiTheme="minorHAnsi" w:hAnsiTheme="minorHAnsi" w:cstheme="minorHAnsi"/>
          <w:sz w:val="24"/>
          <w:szCs w:val="24"/>
        </w:rPr>
        <w:t xml:space="preserve">2: 10.4%), neutropenia (grade 3) (PALOMA-1: </w:t>
      </w:r>
      <w:r w:rsidR="00806BA0" w:rsidRPr="0016581E">
        <w:rPr>
          <w:rFonts w:asciiTheme="minorHAnsi" w:hAnsiTheme="minorHAnsi" w:cstheme="minorHAnsi"/>
          <w:sz w:val="24"/>
          <w:szCs w:val="24"/>
        </w:rPr>
        <w:t>53</w:t>
      </w:r>
      <w:r w:rsidRPr="0016581E">
        <w:rPr>
          <w:rFonts w:asciiTheme="minorHAnsi" w:hAnsiTheme="minorHAnsi" w:cstheme="minorHAnsi"/>
          <w:sz w:val="24"/>
          <w:szCs w:val="24"/>
        </w:rPr>
        <w:t>%</w:t>
      </w:r>
      <w:r w:rsidR="004F1A64" w:rsidRPr="0016581E">
        <w:rPr>
          <w:rFonts w:asciiTheme="minorHAnsi" w:hAnsiTheme="minorHAnsi" w:cstheme="minorHAnsi"/>
          <w:sz w:val="24"/>
          <w:szCs w:val="24"/>
        </w:rPr>
        <w:t xml:space="preserve"> as of December 2016</w:t>
      </w:r>
      <w:r w:rsidRPr="0016581E">
        <w:rPr>
          <w:rFonts w:asciiTheme="minorHAnsi" w:hAnsiTheme="minorHAnsi" w:cstheme="minorHAnsi"/>
          <w:sz w:val="24"/>
          <w:szCs w:val="24"/>
        </w:rPr>
        <w:t xml:space="preserve">, PALOMA-2: 56.1%) and leukopenia (grade 3) (PALOMA-1: </w:t>
      </w:r>
      <w:r w:rsidR="00806BA0" w:rsidRPr="0016581E">
        <w:rPr>
          <w:rFonts w:asciiTheme="minorHAnsi" w:hAnsiTheme="minorHAnsi" w:cstheme="minorHAnsi"/>
          <w:sz w:val="24"/>
          <w:szCs w:val="24"/>
        </w:rPr>
        <w:t>18</w:t>
      </w:r>
      <w:r w:rsidR="000D2C3E" w:rsidRPr="0016581E">
        <w:rPr>
          <w:rFonts w:asciiTheme="minorHAnsi" w:hAnsiTheme="minorHAnsi" w:cstheme="minorHAnsi"/>
          <w:sz w:val="24"/>
          <w:szCs w:val="24"/>
        </w:rPr>
        <w:t>% as</w:t>
      </w:r>
      <w:r w:rsidR="004F1A64" w:rsidRPr="0016581E">
        <w:rPr>
          <w:rFonts w:asciiTheme="minorHAnsi" w:hAnsiTheme="minorHAnsi" w:cstheme="minorHAnsi"/>
          <w:sz w:val="24"/>
          <w:szCs w:val="24"/>
        </w:rPr>
        <w:t xml:space="preserve"> of December 2016</w:t>
      </w:r>
      <w:r w:rsidRPr="0016581E">
        <w:rPr>
          <w:rFonts w:asciiTheme="minorHAnsi" w:hAnsiTheme="minorHAnsi" w:cstheme="minorHAnsi"/>
          <w:sz w:val="24"/>
          <w:szCs w:val="24"/>
        </w:rPr>
        <w:t>, PALOMA-2: 24.1%).</w:t>
      </w:r>
      <w:r w:rsidR="004F1A64" w:rsidRPr="0016581E">
        <w:rPr>
          <w:rFonts w:asciiTheme="minorHAnsi" w:hAnsiTheme="minorHAnsi" w:cstheme="minorHAnsi"/>
          <w:sz w:val="24"/>
          <w:szCs w:val="24"/>
        </w:rPr>
        <w:t xml:space="preserve"> The estimates from PALOMA-1 have been updated compared to the previous submission.</w:t>
      </w:r>
    </w:p>
    <w:p w:rsidR="00795B03" w:rsidRPr="0016581E" w:rsidRDefault="00E461D5" w:rsidP="004B7EF3">
      <w:pPr>
        <w:pStyle w:val="ListParagraph"/>
        <w:numPr>
          <w:ilvl w:val="1"/>
          <w:numId w:val="5"/>
        </w:numPr>
        <w:spacing w:before="120" w:after="160"/>
        <w:ind w:left="709" w:hanging="709"/>
        <w:contextualSpacing w:val="0"/>
        <w:rPr>
          <w:rFonts w:ascii="Arial Narrow" w:hAnsi="Arial Narrow"/>
          <w:b/>
          <w:i/>
          <w:sz w:val="20"/>
        </w:rPr>
      </w:pPr>
      <w:r w:rsidRPr="0016581E">
        <w:rPr>
          <w:rFonts w:asciiTheme="minorHAnsi" w:hAnsiTheme="minorHAnsi" w:cstheme="minorHAnsi"/>
          <w:sz w:val="24"/>
          <w:szCs w:val="24"/>
        </w:rPr>
        <w:t>The PSCR (p1) reviewed the clinical study reports (CSR) for PALOMA-1 and PALOMA-2 for reference to PE</w:t>
      </w:r>
      <w:r w:rsidR="00A7771E" w:rsidRPr="0016581E">
        <w:rPr>
          <w:rFonts w:asciiTheme="minorHAnsi" w:hAnsiTheme="minorHAnsi" w:cstheme="minorHAnsi"/>
          <w:sz w:val="24"/>
          <w:szCs w:val="24"/>
        </w:rPr>
        <w:t xml:space="preserve"> and </w:t>
      </w:r>
      <w:r w:rsidRPr="0016581E">
        <w:rPr>
          <w:rFonts w:asciiTheme="minorHAnsi" w:hAnsiTheme="minorHAnsi" w:cstheme="minorHAnsi"/>
          <w:sz w:val="24"/>
          <w:szCs w:val="24"/>
        </w:rPr>
        <w:t xml:space="preserve">DVT (Table </w:t>
      </w:r>
      <w:r w:rsidR="00D1135E" w:rsidRPr="0016581E">
        <w:rPr>
          <w:rFonts w:asciiTheme="minorHAnsi" w:hAnsiTheme="minorHAnsi" w:cstheme="minorHAnsi"/>
          <w:sz w:val="24"/>
          <w:szCs w:val="24"/>
        </w:rPr>
        <w:t>6</w:t>
      </w:r>
      <w:r w:rsidRPr="0016581E">
        <w:rPr>
          <w:rFonts w:asciiTheme="minorHAnsi" w:hAnsiTheme="minorHAnsi" w:cstheme="minorHAnsi"/>
          <w:sz w:val="24"/>
          <w:szCs w:val="24"/>
        </w:rPr>
        <w:t>)</w:t>
      </w:r>
      <w:r w:rsidR="00795D62" w:rsidRPr="0016581E">
        <w:rPr>
          <w:rFonts w:asciiTheme="minorHAnsi" w:hAnsiTheme="minorHAnsi" w:cstheme="minorHAnsi"/>
          <w:sz w:val="24"/>
          <w:szCs w:val="24"/>
        </w:rPr>
        <w:t>,</w:t>
      </w:r>
      <w:r w:rsidRPr="0016581E">
        <w:rPr>
          <w:rFonts w:asciiTheme="minorHAnsi" w:hAnsiTheme="minorHAnsi" w:cstheme="minorHAnsi"/>
          <w:sz w:val="24"/>
          <w:szCs w:val="24"/>
        </w:rPr>
        <w:t xml:space="preserve"> and </w:t>
      </w:r>
      <w:r w:rsidR="00795D62" w:rsidRPr="0016581E">
        <w:rPr>
          <w:rFonts w:asciiTheme="minorHAnsi" w:hAnsiTheme="minorHAnsi" w:cstheme="minorHAnsi"/>
          <w:sz w:val="24"/>
          <w:szCs w:val="24"/>
        </w:rPr>
        <w:t xml:space="preserve">also </w:t>
      </w:r>
      <w:r w:rsidRPr="0016581E">
        <w:rPr>
          <w:rFonts w:asciiTheme="minorHAnsi" w:hAnsiTheme="minorHAnsi" w:cstheme="minorHAnsi"/>
          <w:sz w:val="24"/>
          <w:szCs w:val="24"/>
        </w:rPr>
        <w:t>note</w:t>
      </w:r>
      <w:r w:rsidR="00795D62" w:rsidRPr="0016581E">
        <w:rPr>
          <w:rFonts w:asciiTheme="minorHAnsi" w:hAnsiTheme="minorHAnsi" w:cstheme="minorHAnsi"/>
          <w:sz w:val="24"/>
          <w:szCs w:val="24"/>
        </w:rPr>
        <w:t>d</w:t>
      </w:r>
      <w:r w:rsidRPr="0016581E">
        <w:rPr>
          <w:rFonts w:asciiTheme="minorHAnsi" w:hAnsiTheme="minorHAnsi" w:cstheme="minorHAnsi"/>
          <w:sz w:val="24"/>
          <w:szCs w:val="24"/>
        </w:rPr>
        <w:t xml:space="preserve"> that these AEs are not </w:t>
      </w:r>
      <w:r w:rsidRPr="0016581E">
        <w:rPr>
          <w:rFonts w:asciiTheme="minorHAnsi" w:hAnsiTheme="minorHAnsi" w:cstheme="minorHAnsi"/>
          <w:sz w:val="24"/>
          <w:szCs w:val="24"/>
        </w:rPr>
        <w:lastRenderedPageBreak/>
        <w:t>mentioned in the Australian product information.</w:t>
      </w:r>
      <w:r w:rsidR="00795B03" w:rsidRPr="0016581E">
        <w:rPr>
          <w:rFonts w:asciiTheme="minorHAnsi" w:hAnsiTheme="minorHAnsi" w:cstheme="minorHAnsi"/>
          <w:sz w:val="24"/>
          <w:szCs w:val="24"/>
        </w:rPr>
        <w:t xml:space="preserve"> The sponsor stated th</w:t>
      </w:r>
      <w:r w:rsidR="00795D62" w:rsidRPr="0016581E">
        <w:rPr>
          <w:rFonts w:asciiTheme="minorHAnsi" w:hAnsiTheme="minorHAnsi" w:cstheme="minorHAnsi"/>
          <w:sz w:val="24"/>
          <w:szCs w:val="24"/>
        </w:rPr>
        <w:t>e</w:t>
      </w:r>
      <w:r w:rsidR="00795B03" w:rsidRPr="0016581E">
        <w:rPr>
          <w:rFonts w:asciiTheme="minorHAnsi" w:hAnsiTheme="minorHAnsi" w:cstheme="minorHAnsi"/>
          <w:sz w:val="24"/>
          <w:szCs w:val="24"/>
        </w:rPr>
        <w:t xml:space="preserve"> data</w:t>
      </w:r>
      <w:r w:rsidR="00795D62" w:rsidRPr="0016581E">
        <w:rPr>
          <w:rFonts w:asciiTheme="minorHAnsi" w:hAnsiTheme="minorHAnsi" w:cstheme="minorHAnsi"/>
          <w:sz w:val="24"/>
          <w:szCs w:val="24"/>
        </w:rPr>
        <w:t xml:space="preserve"> from PALOMA-1 and PALOMA-2</w:t>
      </w:r>
      <w:r w:rsidR="00795B03" w:rsidRPr="0016581E">
        <w:rPr>
          <w:rFonts w:asciiTheme="minorHAnsi" w:hAnsiTheme="minorHAnsi" w:cstheme="minorHAnsi"/>
          <w:sz w:val="24"/>
          <w:szCs w:val="24"/>
        </w:rPr>
        <w:t xml:space="preserve"> </w:t>
      </w:r>
      <w:r w:rsidR="00D47D28" w:rsidRPr="0016581E">
        <w:rPr>
          <w:rFonts w:asciiTheme="minorHAnsi" w:hAnsiTheme="minorHAnsi" w:cstheme="minorHAnsi"/>
          <w:sz w:val="24"/>
          <w:szCs w:val="24"/>
        </w:rPr>
        <w:t>are</w:t>
      </w:r>
      <w:r w:rsidR="00795B03" w:rsidRPr="0016581E">
        <w:rPr>
          <w:rFonts w:asciiTheme="minorHAnsi" w:hAnsiTheme="minorHAnsi" w:cstheme="minorHAnsi"/>
          <w:sz w:val="24"/>
          <w:szCs w:val="24"/>
        </w:rPr>
        <w:t xml:space="preserve"> inconclusive in terms of risk of these AEs and the incidence of these AEs is low.</w:t>
      </w:r>
      <w:r w:rsidR="00D47D28" w:rsidRPr="0016581E">
        <w:rPr>
          <w:rFonts w:asciiTheme="minorHAnsi" w:hAnsiTheme="minorHAnsi" w:cstheme="minorHAnsi"/>
          <w:sz w:val="24"/>
          <w:szCs w:val="24"/>
        </w:rPr>
        <w:t xml:space="preserve"> The ESC noted that the incidence of these AEs were different between the two trials, but considered that there remained a risk of these AEs if this medicine is available in the broader PBS population compared to the controlled trial environment. As at its February 2017 meeting, the ESC noted patients with pulmonary embolism would require lifetime treatment with anti-coagulants. </w:t>
      </w:r>
      <w:r w:rsidR="00D23904" w:rsidRPr="0016581E">
        <w:rPr>
          <w:rFonts w:asciiTheme="minorHAnsi" w:hAnsiTheme="minorHAnsi" w:cstheme="minorHAnsi"/>
          <w:sz w:val="24"/>
          <w:szCs w:val="24"/>
        </w:rPr>
        <w:t>The pre-PBAC response presented the lifetime treatment costs for the oral anti-coagulant apixaban based on a median OS of 37.5 months</w:t>
      </w:r>
      <w:r w:rsidR="004C70AD" w:rsidRPr="0016581E">
        <w:rPr>
          <w:rFonts w:asciiTheme="minorHAnsi" w:hAnsiTheme="minorHAnsi" w:cstheme="minorHAnsi"/>
          <w:sz w:val="24"/>
          <w:szCs w:val="24"/>
        </w:rPr>
        <w:t>,</w:t>
      </w:r>
      <w:r w:rsidR="00D23904" w:rsidRPr="0016581E">
        <w:rPr>
          <w:rFonts w:asciiTheme="minorHAnsi" w:hAnsiTheme="minorHAnsi" w:cstheme="minorHAnsi"/>
          <w:sz w:val="24"/>
          <w:szCs w:val="24"/>
        </w:rPr>
        <w:t xml:space="preserve"> the incidence of PE and DVT as presented in Table 6 and </w:t>
      </w:r>
      <w:r w:rsidR="004C70AD" w:rsidRPr="0016581E">
        <w:rPr>
          <w:rFonts w:asciiTheme="minorHAnsi" w:hAnsiTheme="minorHAnsi" w:cstheme="minorHAnsi"/>
          <w:sz w:val="24"/>
          <w:szCs w:val="24"/>
        </w:rPr>
        <w:t>the</w:t>
      </w:r>
      <w:r w:rsidR="00D23904" w:rsidRPr="0016581E">
        <w:rPr>
          <w:rFonts w:asciiTheme="minorHAnsi" w:hAnsiTheme="minorHAnsi" w:cstheme="minorHAnsi"/>
          <w:sz w:val="24"/>
          <w:szCs w:val="24"/>
        </w:rPr>
        <w:t xml:space="preserve"> estimate</w:t>
      </w:r>
      <w:r w:rsidR="004C70AD" w:rsidRPr="0016581E">
        <w:rPr>
          <w:rFonts w:asciiTheme="minorHAnsi" w:hAnsiTheme="minorHAnsi" w:cstheme="minorHAnsi"/>
          <w:sz w:val="24"/>
          <w:szCs w:val="24"/>
        </w:rPr>
        <w:t xml:space="preserve">d number of patients treated with </w:t>
      </w:r>
      <w:r w:rsidR="0016581E" w:rsidRPr="0016581E">
        <w:rPr>
          <w:rFonts w:asciiTheme="minorHAnsi" w:hAnsiTheme="minorHAnsi" w:cstheme="minorHAnsi"/>
          <w:sz w:val="24"/>
          <w:szCs w:val="24"/>
        </w:rPr>
        <w:t>palbociclib</w:t>
      </w:r>
      <w:r w:rsidR="00D23904" w:rsidRPr="0016581E">
        <w:rPr>
          <w:rFonts w:asciiTheme="minorHAnsi" w:hAnsiTheme="minorHAnsi" w:cstheme="minorHAnsi"/>
          <w:sz w:val="24"/>
          <w:szCs w:val="24"/>
        </w:rPr>
        <w:t xml:space="preserve"> in Year 5 (Table 1</w:t>
      </w:r>
      <w:r w:rsidR="0017465B">
        <w:rPr>
          <w:rFonts w:asciiTheme="minorHAnsi" w:hAnsiTheme="minorHAnsi" w:cstheme="minorHAnsi"/>
          <w:sz w:val="24"/>
          <w:szCs w:val="24"/>
        </w:rPr>
        <w:t>3</w:t>
      </w:r>
      <w:r w:rsidR="00D23904" w:rsidRPr="0016581E">
        <w:rPr>
          <w:rFonts w:asciiTheme="minorHAnsi" w:hAnsiTheme="minorHAnsi" w:cstheme="minorHAnsi"/>
          <w:sz w:val="24"/>
          <w:szCs w:val="24"/>
        </w:rPr>
        <w:t>). For PALOMA-1, the total incremental cost of lifelong anticoagulant treatment was claimed to be $</w:t>
      </w:r>
      <w:r w:rsidR="00DE0B8F">
        <w:rPr>
          <w:rFonts w:asciiTheme="minorHAnsi" w:hAnsiTheme="minorHAnsi" w:cstheme="minorHAnsi"/>
          <w:noProof/>
          <w:color w:val="000000"/>
          <w:sz w:val="24"/>
          <w:szCs w:val="24"/>
          <w:highlight w:val="black"/>
        </w:rPr>
        <w:t>'''''''''''''''</w:t>
      </w:r>
      <w:r w:rsidR="00D23904" w:rsidRPr="0016581E">
        <w:rPr>
          <w:rFonts w:asciiTheme="minorHAnsi" w:hAnsiTheme="minorHAnsi" w:cstheme="minorHAnsi"/>
          <w:sz w:val="24"/>
          <w:szCs w:val="24"/>
        </w:rPr>
        <w:t>. For PALOMA-2 a saving of $</w:t>
      </w:r>
      <w:r w:rsidR="00DE0B8F">
        <w:rPr>
          <w:rFonts w:asciiTheme="minorHAnsi" w:hAnsiTheme="minorHAnsi" w:cstheme="minorHAnsi"/>
          <w:noProof/>
          <w:color w:val="000000"/>
          <w:sz w:val="24"/>
          <w:szCs w:val="24"/>
          <w:highlight w:val="black"/>
        </w:rPr>
        <w:t>'''''''''''''</w:t>
      </w:r>
      <w:r w:rsidR="00D23904" w:rsidRPr="0016581E">
        <w:rPr>
          <w:rFonts w:asciiTheme="minorHAnsi" w:hAnsiTheme="minorHAnsi" w:cstheme="minorHAnsi"/>
          <w:sz w:val="24"/>
          <w:szCs w:val="24"/>
        </w:rPr>
        <w:t xml:space="preserve"> was claimed due to the greater incidence of events observed in the letrozole arm.</w:t>
      </w:r>
    </w:p>
    <w:p w:rsidR="00E461D5" w:rsidRPr="0016581E" w:rsidRDefault="00E461D5" w:rsidP="00795B03">
      <w:pPr>
        <w:pStyle w:val="TableHeading0"/>
        <w:rPr>
          <w:rFonts w:cs="Arial"/>
          <w:b w:val="0"/>
          <w:szCs w:val="20"/>
        </w:rPr>
      </w:pPr>
      <w:r w:rsidRPr="0016581E">
        <w:rPr>
          <w:rFonts w:cs="Arial"/>
          <w:szCs w:val="20"/>
        </w:rPr>
        <w:t xml:space="preserve">Table </w:t>
      </w:r>
      <w:r w:rsidR="00D1135E" w:rsidRPr="0016581E">
        <w:t>6</w:t>
      </w:r>
      <w:r w:rsidR="004C70AD" w:rsidRPr="0016581E">
        <w:rPr>
          <w:rFonts w:cs="Arial"/>
          <w:szCs w:val="20"/>
        </w:rPr>
        <w:t>:</w:t>
      </w:r>
      <w:r w:rsidRPr="0016581E">
        <w:rPr>
          <w:rFonts w:cs="Arial"/>
          <w:szCs w:val="20"/>
        </w:rPr>
        <w:t xml:space="preserve"> Reports of deep vein thrombosis and pulmonary embolism in PALOMA-1 and PALOMA-2</w:t>
      </w:r>
    </w:p>
    <w:tbl>
      <w:tblPr>
        <w:tblStyle w:val="TableGrid"/>
        <w:tblW w:w="5000" w:type="pct"/>
        <w:tblLook w:val="04A0" w:firstRow="1" w:lastRow="0" w:firstColumn="1" w:lastColumn="0" w:noHBand="0" w:noVBand="1"/>
        <w:tblCaption w:val="Table 6: Reports of deep vein thrombosis and pulmonary embolism in PALOMA-1 and PALOMA-2"/>
      </w:tblPr>
      <w:tblGrid>
        <w:gridCol w:w="4417"/>
        <w:gridCol w:w="2357"/>
        <w:gridCol w:w="2468"/>
      </w:tblGrid>
      <w:tr w:rsidR="00E461D5" w:rsidRPr="0016581E" w:rsidTr="00B50A01">
        <w:trPr>
          <w:trHeight w:val="229"/>
          <w:tblHeader/>
        </w:trPr>
        <w:tc>
          <w:tcPr>
            <w:tcW w:w="2390" w:type="pct"/>
          </w:tcPr>
          <w:p w:rsidR="00E461D5" w:rsidRPr="0016581E" w:rsidRDefault="00E461D5" w:rsidP="00716343">
            <w:pPr>
              <w:spacing w:after="120"/>
              <w:contextualSpacing/>
              <w:rPr>
                <w:rFonts w:ascii="Arial Narrow" w:hAnsi="Arial Narrow"/>
                <w:b/>
              </w:rPr>
            </w:pPr>
          </w:p>
        </w:tc>
        <w:tc>
          <w:tcPr>
            <w:tcW w:w="1275" w:type="pct"/>
          </w:tcPr>
          <w:p w:rsidR="00E461D5" w:rsidRPr="0016581E" w:rsidRDefault="00E461D5" w:rsidP="00716343">
            <w:pPr>
              <w:spacing w:after="120"/>
              <w:contextualSpacing/>
              <w:jc w:val="center"/>
              <w:rPr>
                <w:rFonts w:ascii="Arial Narrow" w:hAnsi="Arial Narrow"/>
                <w:b/>
              </w:rPr>
            </w:pPr>
            <w:r w:rsidRPr="0016581E">
              <w:rPr>
                <w:rFonts w:ascii="Arial Narrow" w:hAnsi="Arial Narrow"/>
                <w:b/>
              </w:rPr>
              <w:t>Palbociclib + letrozole</w:t>
            </w:r>
          </w:p>
        </w:tc>
        <w:tc>
          <w:tcPr>
            <w:tcW w:w="1335" w:type="pct"/>
          </w:tcPr>
          <w:p w:rsidR="00E461D5" w:rsidRPr="0016581E" w:rsidRDefault="00E461D5" w:rsidP="00716343">
            <w:pPr>
              <w:spacing w:after="120"/>
              <w:contextualSpacing/>
              <w:jc w:val="center"/>
              <w:rPr>
                <w:rFonts w:ascii="Arial Narrow" w:hAnsi="Arial Narrow"/>
                <w:b/>
              </w:rPr>
            </w:pPr>
            <w:r w:rsidRPr="0016581E">
              <w:rPr>
                <w:rFonts w:ascii="Arial Narrow" w:hAnsi="Arial Narrow"/>
                <w:b/>
              </w:rPr>
              <w:t>Placebo + letrozole</w:t>
            </w:r>
          </w:p>
        </w:tc>
      </w:tr>
      <w:tr w:rsidR="00E461D5" w:rsidRPr="0016581E" w:rsidTr="005812A1">
        <w:trPr>
          <w:trHeight w:val="475"/>
        </w:trPr>
        <w:tc>
          <w:tcPr>
            <w:tcW w:w="2390" w:type="pct"/>
          </w:tcPr>
          <w:p w:rsidR="00E461D5" w:rsidRPr="0016581E" w:rsidRDefault="00E461D5" w:rsidP="00716343">
            <w:pPr>
              <w:spacing w:after="120"/>
              <w:contextualSpacing/>
              <w:rPr>
                <w:rFonts w:ascii="Arial Narrow" w:hAnsi="Arial Narrow"/>
                <w:b/>
              </w:rPr>
            </w:pPr>
            <w:r w:rsidRPr="0016581E">
              <w:rPr>
                <w:rFonts w:ascii="Arial Narrow" w:hAnsi="Arial Narrow"/>
                <w:b/>
              </w:rPr>
              <w:t>PALOMA-1 (N = 165)</w:t>
            </w:r>
          </w:p>
          <w:p w:rsidR="00E461D5" w:rsidRPr="0016581E" w:rsidRDefault="00E461D5" w:rsidP="00716343">
            <w:pPr>
              <w:spacing w:after="120"/>
              <w:contextualSpacing/>
              <w:rPr>
                <w:rFonts w:ascii="Arial Narrow" w:hAnsi="Arial Narrow"/>
              </w:rPr>
            </w:pPr>
            <w:r w:rsidRPr="0016581E">
              <w:rPr>
                <w:rFonts w:ascii="Arial Narrow" w:hAnsi="Arial Narrow"/>
              </w:rPr>
              <w:t>Pulmonary embolism (Serious AE)</w:t>
            </w:r>
          </w:p>
        </w:tc>
        <w:tc>
          <w:tcPr>
            <w:tcW w:w="1275" w:type="pct"/>
          </w:tcPr>
          <w:p w:rsidR="00E461D5" w:rsidRPr="0016581E" w:rsidRDefault="00E461D5" w:rsidP="00716343">
            <w:pPr>
              <w:spacing w:after="120"/>
              <w:contextualSpacing/>
              <w:jc w:val="center"/>
              <w:rPr>
                <w:rFonts w:ascii="Arial Narrow" w:hAnsi="Arial Narrow"/>
              </w:rPr>
            </w:pPr>
          </w:p>
          <w:p w:rsidR="00E461D5" w:rsidRPr="0016581E" w:rsidRDefault="00E461D5" w:rsidP="00716343">
            <w:pPr>
              <w:spacing w:after="120"/>
              <w:contextualSpacing/>
              <w:jc w:val="center"/>
              <w:rPr>
                <w:rFonts w:ascii="Arial Narrow" w:hAnsi="Arial Narrow"/>
              </w:rPr>
            </w:pPr>
            <w:r w:rsidRPr="0016581E">
              <w:rPr>
                <w:rFonts w:ascii="Arial Narrow" w:hAnsi="Arial Narrow"/>
              </w:rPr>
              <w:t>3.6%</w:t>
            </w:r>
          </w:p>
        </w:tc>
        <w:tc>
          <w:tcPr>
            <w:tcW w:w="1335" w:type="pct"/>
          </w:tcPr>
          <w:p w:rsidR="00E461D5" w:rsidRPr="0016581E" w:rsidRDefault="00E461D5" w:rsidP="00716343">
            <w:pPr>
              <w:spacing w:after="120"/>
              <w:contextualSpacing/>
              <w:jc w:val="center"/>
              <w:rPr>
                <w:rFonts w:ascii="Arial Narrow" w:hAnsi="Arial Narrow"/>
              </w:rPr>
            </w:pPr>
          </w:p>
          <w:p w:rsidR="00E461D5" w:rsidRPr="0016581E" w:rsidRDefault="00E461D5" w:rsidP="00716343">
            <w:pPr>
              <w:spacing w:after="120"/>
              <w:contextualSpacing/>
              <w:jc w:val="center"/>
              <w:rPr>
                <w:rFonts w:ascii="Arial Narrow" w:hAnsi="Arial Narrow"/>
              </w:rPr>
            </w:pPr>
            <w:r w:rsidRPr="0016581E">
              <w:rPr>
                <w:rFonts w:ascii="Arial Narrow" w:hAnsi="Arial Narrow"/>
              </w:rPr>
              <w:t>0%</w:t>
            </w:r>
          </w:p>
        </w:tc>
      </w:tr>
      <w:tr w:rsidR="00E461D5" w:rsidRPr="0016581E" w:rsidTr="005812A1">
        <w:trPr>
          <w:trHeight w:val="1460"/>
        </w:trPr>
        <w:tc>
          <w:tcPr>
            <w:tcW w:w="2390" w:type="pct"/>
          </w:tcPr>
          <w:p w:rsidR="00E461D5" w:rsidRPr="0016581E" w:rsidRDefault="00E461D5" w:rsidP="00716343">
            <w:pPr>
              <w:spacing w:after="120"/>
              <w:contextualSpacing/>
              <w:rPr>
                <w:rFonts w:ascii="Arial Narrow" w:hAnsi="Arial Narrow"/>
                <w:b/>
              </w:rPr>
            </w:pPr>
            <w:r w:rsidRPr="0016581E">
              <w:rPr>
                <w:rFonts w:ascii="Arial Narrow" w:hAnsi="Arial Narrow"/>
                <w:b/>
              </w:rPr>
              <w:t>PALOMA-2 (N = 666)</w:t>
            </w:r>
          </w:p>
          <w:p w:rsidR="00E461D5" w:rsidRPr="0016581E" w:rsidRDefault="00E461D5" w:rsidP="00716343">
            <w:pPr>
              <w:spacing w:after="120"/>
              <w:contextualSpacing/>
              <w:rPr>
                <w:rFonts w:ascii="Arial Narrow" w:hAnsi="Arial Narrow"/>
              </w:rPr>
            </w:pPr>
            <w:r w:rsidRPr="0016581E">
              <w:rPr>
                <w:rFonts w:ascii="Arial Narrow" w:hAnsi="Arial Narrow"/>
              </w:rPr>
              <w:t>Deep Vein Thrombosis (Treatment-related AE)</w:t>
            </w:r>
          </w:p>
          <w:p w:rsidR="00E461D5" w:rsidRPr="0016581E" w:rsidRDefault="00E461D5" w:rsidP="00716343">
            <w:pPr>
              <w:spacing w:after="120"/>
              <w:contextualSpacing/>
              <w:rPr>
                <w:rFonts w:ascii="Arial Narrow" w:hAnsi="Arial Narrow"/>
              </w:rPr>
            </w:pPr>
            <w:r w:rsidRPr="0016581E">
              <w:rPr>
                <w:rFonts w:ascii="Arial Narrow" w:hAnsi="Arial Narrow"/>
              </w:rPr>
              <w:t>Deep Vein Thrombosis (Serious AE)</w:t>
            </w:r>
          </w:p>
          <w:p w:rsidR="00E461D5" w:rsidRPr="0016581E" w:rsidRDefault="00E461D5" w:rsidP="00716343">
            <w:pPr>
              <w:spacing w:after="120"/>
              <w:contextualSpacing/>
              <w:rPr>
                <w:rFonts w:ascii="Arial Narrow" w:hAnsi="Arial Narrow"/>
              </w:rPr>
            </w:pPr>
          </w:p>
          <w:p w:rsidR="00E461D5" w:rsidRPr="0016581E" w:rsidRDefault="00E461D5" w:rsidP="00716343">
            <w:pPr>
              <w:spacing w:after="120"/>
              <w:contextualSpacing/>
              <w:rPr>
                <w:rFonts w:ascii="Arial Narrow" w:hAnsi="Arial Narrow"/>
              </w:rPr>
            </w:pPr>
            <w:r w:rsidRPr="0016581E">
              <w:rPr>
                <w:rFonts w:ascii="Arial Narrow" w:hAnsi="Arial Narrow"/>
              </w:rPr>
              <w:t>Pulmonary embolism (Treatment-related AE)</w:t>
            </w:r>
          </w:p>
          <w:p w:rsidR="00E461D5" w:rsidRPr="0016581E" w:rsidRDefault="00E461D5" w:rsidP="00716343">
            <w:pPr>
              <w:spacing w:after="120"/>
              <w:contextualSpacing/>
              <w:rPr>
                <w:rFonts w:ascii="Arial Narrow" w:hAnsi="Arial Narrow"/>
              </w:rPr>
            </w:pPr>
            <w:r w:rsidRPr="0016581E">
              <w:rPr>
                <w:rFonts w:ascii="Arial Narrow" w:hAnsi="Arial Narrow"/>
              </w:rPr>
              <w:t>Pulmonary embolism (Serious AE)</w:t>
            </w:r>
          </w:p>
        </w:tc>
        <w:tc>
          <w:tcPr>
            <w:tcW w:w="1275" w:type="pct"/>
          </w:tcPr>
          <w:p w:rsidR="00E461D5" w:rsidRPr="0016581E" w:rsidRDefault="00E461D5" w:rsidP="00716343">
            <w:pPr>
              <w:spacing w:after="120"/>
              <w:contextualSpacing/>
              <w:jc w:val="center"/>
              <w:rPr>
                <w:rFonts w:ascii="Arial Narrow" w:hAnsi="Arial Narrow"/>
              </w:rPr>
            </w:pPr>
          </w:p>
          <w:p w:rsidR="00E461D5" w:rsidRPr="0016581E" w:rsidRDefault="00E461D5" w:rsidP="00716343">
            <w:pPr>
              <w:spacing w:after="120"/>
              <w:contextualSpacing/>
              <w:jc w:val="center"/>
              <w:rPr>
                <w:rFonts w:ascii="Arial Narrow" w:hAnsi="Arial Narrow"/>
              </w:rPr>
            </w:pPr>
            <w:r w:rsidRPr="0016581E">
              <w:rPr>
                <w:rFonts w:ascii="Arial Narrow" w:hAnsi="Arial Narrow"/>
              </w:rPr>
              <w:t>0.5%</w:t>
            </w:r>
          </w:p>
          <w:p w:rsidR="00E461D5" w:rsidRPr="0016581E" w:rsidRDefault="00E461D5" w:rsidP="00716343">
            <w:pPr>
              <w:spacing w:after="120"/>
              <w:contextualSpacing/>
              <w:jc w:val="center"/>
              <w:rPr>
                <w:rFonts w:ascii="Arial Narrow" w:hAnsi="Arial Narrow"/>
              </w:rPr>
            </w:pPr>
            <w:r w:rsidRPr="0016581E">
              <w:rPr>
                <w:rFonts w:ascii="Arial Narrow" w:hAnsi="Arial Narrow"/>
              </w:rPr>
              <w:t>0.5%</w:t>
            </w:r>
          </w:p>
          <w:p w:rsidR="00E461D5" w:rsidRPr="0016581E" w:rsidRDefault="00E461D5" w:rsidP="00716343">
            <w:pPr>
              <w:spacing w:after="120"/>
              <w:contextualSpacing/>
              <w:jc w:val="center"/>
              <w:rPr>
                <w:rFonts w:ascii="Arial Narrow" w:hAnsi="Arial Narrow"/>
              </w:rPr>
            </w:pPr>
          </w:p>
          <w:p w:rsidR="00E461D5" w:rsidRPr="0016581E" w:rsidRDefault="00E461D5" w:rsidP="00716343">
            <w:pPr>
              <w:spacing w:after="120"/>
              <w:contextualSpacing/>
              <w:jc w:val="center"/>
              <w:rPr>
                <w:rFonts w:ascii="Arial Narrow" w:hAnsi="Arial Narrow"/>
              </w:rPr>
            </w:pPr>
            <w:r w:rsidRPr="0016581E">
              <w:rPr>
                <w:rFonts w:ascii="Arial Narrow" w:hAnsi="Arial Narrow"/>
              </w:rPr>
              <w:t>0.2%</w:t>
            </w:r>
          </w:p>
          <w:p w:rsidR="00E461D5" w:rsidRPr="0016581E" w:rsidRDefault="00E461D5" w:rsidP="00716343">
            <w:pPr>
              <w:spacing w:after="120"/>
              <w:contextualSpacing/>
              <w:jc w:val="center"/>
              <w:rPr>
                <w:rFonts w:ascii="Arial Narrow" w:hAnsi="Arial Narrow"/>
              </w:rPr>
            </w:pPr>
            <w:r w:rsidRPr="0016581E">
              <w:rPr>
                <w:rFonts w:ascii="Arial Narrow" w:hAnsi="Arial Narrow"/>
              </w:rPr>
              <w:t>0.9%</w:t>
            </w:r>
          </w:p>
        </w:tc>
        <w:tc>
          <w:tcPr>
            <w:tcW w:w="1335" w:type="pct"/>
          </w:tcPr>
          <w:p w:rsidR="00E461D5" w:rsidRPr="0016581E" w:rsidRDefault="00E461D5" w:rsidP="00716343">
            <w:pPr>
              <w:spacing w:after="120"/>
              <w:contextualSpacing/>
              <w:jc w:val="center"/>
              <w:rPr>
                <w:rFonts w:ascii="Arial Narrow" w:hAnsi="Arial Narrow"/>
              </w:rPr>
            </w:pPr>
          </w:p>
          <w:p w:rsidR="00E461D5" w:rsidRPr="0016581E" w:rsidRDefault="00E461D5" w:rsidP="00716343">
            <w:pPr>
              <w:spacing w:after="120"/>
              <w:contextualSpacing/>
              <w:jc w:val="center"/>
              <w:rPr>
                <w:rFonts w:ascii="Arial Narrow" w:hAnsi="Arial Narrow"/>
              </w:rPr>
            </w:pPr>
            <w:r w:rsidRPr="0016581E">
              <w:rPr>
                <w:rFonts w:ascii="Arial Narrow" w:hAnsi="Arial Narrow"/>
              </w:rPr>
              <w:t>0%</w:t>
            </w:r>
          </w:p>
          <w:p w:rsidR="00E461D5" w:rsidRPr="0016581E" w:rsidRDefault="00E461D5" w:rsidP="00716343">
            <w:pPr>
              <w:spacing w:after="120"/>
              <w:contextualSpacing/>
              <w:jc w:val="center"/>
              <w:rPr>
                <w:rFonts w:ascii="Arial Narrow" w:hAnsi="Arial Narrow"/>
              </w:rPr>
            </w:pPr>
            <w:r w:rsidRPr="0016581E">
              <w:rPr>
                <w:rFonts w:ascii="Arial Narrow" w:hAnsi="Arial Narrow"/>
              </w:rPr>
              <w:t>0.5%</w:t>
            </w:r>
          </w:p>
          <w:p w:rsidR="00E461D5" w:rsidRPr="0016581E" w:rsidRDefault="00E461D5" w:rsidP="00716343">
            <w:pPr>
              <w:spacing w:after="120"/>
              <w:contextualSpacing/>
              <w:jc w:val="center"/>
              <w:rPr>
                <w:rFonts w:ascii="Arial Narrow" w:hAnsi="Arial Narrow"/>
              </w:rPr>
            </w:pPr>
          </w:p>
          <w:p w:rsidR="00E461D5" w:rsidRPr="0016581E" w:rsidRDefault="00E461D5" w:rsidP="00716343">
            <w:pPr>
              <w:spacing w:after="120"/>
              <w:contextualSpacing/>
              <w:jc w:val="center"/>
              <w:rPr>
                <w:rFonts w:ascii="Arial Narrow" w:hAnsi="Arial Narrow"/>
              </w:rPr>
            </w:pPr>
            <w:r w:rsidRPr="0016581E">
              <w:rPr>
                <w:rFonts w:ascii="Arial Narrow" w:hAnsi="Arial Narrow"/>
              </w:rPr>
              <w:t>0.7%</w:t>
            </w:r>
          </w:p>
          <w:p w:rsidR="00E461D5" w:rsidRPr="0016581E" w:rsidRDefault="00E461D5" w:rsidP="00716343">
            <w:pPr>
              <w:spacing w:after="120"/>
              <w:contextualSpacing/>
              <w:jc w:val="center"/>
              <w:rPr>
                <w:rFonts w:ascii="Arial Narrow" w:hAnsi="Arial Narrow"/>
              </w:rPr>
            </w:pPr>
            <w:r w:rsidRPr="0016581E">
              <w:rPr>
                <w:rFonts w:ascii="Arial Narrow" w:hAnsi="Arial Narrow"/>
              </w:rPr>
              <w:t>1.4%</w:t>
            </w:r>
          </w:p>
        </w:tc>
      </w:tr>
    </w:tbl>
    <w:p w:rsidR="00E461D5" w:rsidRPr="0016581E" w:rsidRDefault="00E461D5" w:rsidP="00795B03">
      <w:pPr>
        <w:pStyle w:val="TableFooter"/>
      </w:pPr>
      <w:r w:rsidRPr="0016581E">
        <w:t xml:space="preserve">Reference: </w:t>
      </w:r>
      <w:r w:rsidR="00716343" w:rsidRPr="0016581E">
        <w:t xml:space="preserve">PSCR (p1): </w:t>
      </w:r>
      <w:r w:rsidRPr="0016581E">
        <w:t xml:space="preserve">PALOMA-1 CSR Table 72, PALOMA-2 CSR Section </w:t>
      </w:r>
      <w:r w:rsidRPr="0016581E">
        <w:rPr>
          <w:bCs/>
        </w:rPr>
        <w:t>12.2.4.4.5. Venous thromboembolic disorders</w:t>
      </w:r>
    </w:p>
    <w:p w:rsidR="006946EE" w:rsidRPr="0016581E" w:rsidRDefault="006946EE"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re-submission claimed that the addition of palbociclib to letrozole maintained health-related quality of life. The re-submission argued that there were no statistically significant differences betwe</w:t>
      </w:r>
      <w:r w:rsidR="00CD4C54" w:rsidRPr="0016581E">
        <w:rPr>
          <w:rFonts w:asciiTheme="minorHAnsi" w:hAnsiTheme="minorHAnsi" w:cstheme="minorHAnsi"/>
          <w:sz w:val="24"/>
          <w:szCs w:val="24"/>
        </w:rPr>
        <w:t>en the treatment arms in PALOMA-</w:t>
      </w:r>
      <w:r w:rsidRPr="0016581E">
        <w:rPr>
          <w:rFonts w:asciiTheme="minorHAnsi" w:hAnsiTheme="minorHAnsi" w:cstheme="minorHAnsi"/>
          <w:sz w:val="24"/>
          <w:szCs w:val="24"/>
        </w:rPr>
        <w:t>2</w:t>
      </w:r>
      <w:r w:rsidR="00326EA2" w:rsidRPr="0016581E">
        <w:rPr>
          <w:rFonts w:asciiTheme="minorHAnsi" w:hAnsiTheme="minorHAnsi" w:cstheme="minorHAnsi"/>
          <w:sz w:val="24"/>
          <w:szCs w:val="24"/>
        </w:rPr>
        <w:t xml:space="preserve"> measured using Functional </w:t>
      </w:r>
      <w:r w:rsidR="00326EA2" w:rsidRPr="0016581E">
        <w:rPr>
          <w:rFonts w:asciiTheme="minorHAnsi" w:hAnsiTheme="minorHAnsi" w:cstheme="minorHAnsi"/>
          <w:sz w:val="24"/>
        </w:rPr>
        <w:t>Assessment</w:t>
      </w:r>
      <w:r w:rsidR="00326EA2" w:rsidRPr="0016581E">
        <w:rPr>
          <w:rFonts w:asciiTheme="minorHAnsi" w:hAnsiTheme="minorHAnsi" w:cstheme="minorHAnsi"/>
          <w:sz w:val="24"/>
          <w:szCs w:val="24"/>
        </w:rPr>
        <w:t xml:space="preserve"> of Cancer Therapy-Breast (FACT-B), Functional Assessment of Cancer Therapy-General (FACT-G), and the EQ-5D visual analogue scale</w:t>
      </w:r>
      <w:r w:rsidRPr="0016581E">
        <w:rPr>
          <w:rFonts w:asciiTheme="minorHAnsi" w:hAnsiTheme="minorHAnsi" w:cstheme="minorHAnsi"/>
          <w:sz w:val="24"/>
          <w:szCs w:val="24"/>
        </w:rPr>
        <w:t>. This is unchanged from the previous submission. The trial was not powered to detect changes in</w:t>
      </w:r>
      <w:r w:rsidR="0052349D" w:rsidRPr="0016581E">
        <w:rPr>
          <w:rFonts w:asciiTheme="minorHAnsi" w:hAnsiTheme="minorHAnsi" w:cstheme="minorHAnsi"/>
          <w:sz w:val="24"/>
          <w:szCs w:val="24"/>
        </w:rPr>
        <w:t xml:space="preserve"> </w:t>
      </w:r>
      <w:r w:rsidR="000F1953" w:rsidRPr="0016581E">
        <w:rPr>
          <w:rFonts w:asciiTheme="minorHAnsi" w:hAnsiTheme="minorHAnsi" w:cstheme="minorHAnsi"/>
          <w:sz w:val="24"/>
          <w:szCs w:val="24"/>
        </w:rPr>
        <w:t>p</w:t>
      </w:r>
      <w:r w:rsidR="0052349D" w:rsidRPr="0016581E">
        <w:rPr>
          <w:rFonts w:asciiTheme="minorHAnsi" w:hAnsiTheme="minorHAnsi" w:cstheme="minorHAnsi"/>
          <w:sz w:val="24"/>
          <w:szCs w:val="24"/>
        </w:rPr>
        <w:t xml:space="preserve">atient </w:t>
      </w:r>
      <w:r w:rsidR="000F1953" w:rsidRPr="0016581E">
        <w:rPr>
          <w:rFonts w:asciiTheme="minorHAnsi" w:hAnsiTheme="minorHAnsi" w:cstheme="minorHAnsi"/>
          <w:sz w:val="24"/>
          <w:szCs w:val="24"/>
        </w:rPr>
        <w:t>r</w:t>
      </w:r>
      <w:r w:rsidR="0052349D" w:rsidRPr="0016581E">
        <w:rPr>
          <w:rFonts w:asciiTheme="minorHAnsi" w:hAnsiTheme="minorHAnsi" w:cstheme="minorHAnsi"/>
          <w:sz w:val="24"/>
          <w:szCs w:val="24"/>
        </w:rPr>
        <w:t xml:space="preserve">eported </w:t>
      </w:r>
      <w:r w:rsidR="000F1953" w:rsidRPr="0016581E">
        <w:rPr>
          <w:rFonts w:asciiTheme="minorHAnsi" w:hAnsiTheme="minorHAnsi" w:cstheme="minorHAnsi"/>
          <w:sz w:val="24"/>
          <w:szCs w:val="24"/>
        </w:rPr>
        <w:t>o</w:t>
      </w:r>
      <w:r w:rsidR="0052349D" w:rsidRPr="0016581E">
        <w:rPr>
          <w:rFonts w:asciiTheme="minorHAnsi" w:hAnsiTheme="minorHAnsi" w:cstheme="minorHAnsi"/>
          <w:sz w:val="24"/>
          <w:szCs w:val="24"/>
        </w:rPr>
        <w:t>utcomes</w:t>
      </w:r>
      <w:r w:rsidRPr="0016581E">
        <w:rPr>
          <w:rFonts w:asciiTheme="minorHAnsi" w:hAnsiTheme="minorHAnsi" w:cstheme="minorHAnsi"/>
          <w:sz w:val="24"/>
          <w:szCs w:val="24"/>
        </w:rPr>
        <w:t>.</w:t>
      </w:r>
    </w:p>
    <w:p w:rsidR="004E23FC" w:rsidRPr="00BA4CBB" w:rsidRDefault="004E23FC" w:rsidP="004E23FC">
      <w:pPr>
        <w:pStyle w:val="Heading2"/>
      </w:pPr>
      <w:bookmarkStart w:id="29" w:name="_Toc493059787"/>
      <w:r w:rsidRPr="00BA4CBB">
        <w:t>Benefits and harms</w:t>
      </w:r>
      <w:bookmarkEnd w:id="29"/>
    </w:p>
    <w:p w:rsidR="004E23FC" w:rsidRPr="0016581E" w:rsidRDefault="004E23FC"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 summary of </w:t>
      </w:r>
      <w:r w:rsidRPr="0016581E">
        <w:rPr>
          <w:rFonts w:asciiTheme="minorHAnsi" w:hAnsiTheme="minorHAnsi" w:cstheme="minorHAnsi"/>
          <w:sz w:val="24"/>
        </w:rPr>
        <w:t>the</w:t>
      </w:r>
      <w:r w:rsidRPr="0016581E">
        <w:rPr>
          <w:rFonts w:asciiTheme="minorHAnsi" w:hAnsiTheme="minorHAnsi" w:cstheme="minorHAnsi"/>
          <w:sz w:val="24"/>
          <w:szCs w:val="24"/>
        </w:rPr>
        <w:t xml:space="preserve"> comparative benefits and harms for </w:t>
      </w:r>
      <w:r w:rsidR="00086550" w:rsidRPr="0016581E">
        <w:rPr>
          <w:rFonts w:asciiTheme="minorHAnsi" w:hAnsiTheme="minorHAnsi" w:cstheme="minorHAnsi"/>
          <w:sz w:val="24"/>
          <w:szCs w:val="24"/>
        </w:rPr>
        <w:t>palbociclib plus letrozole versus letrozole alone</w:t>
      </w:r>
      <w:r w:rsidRPr="0016581E">
        <w:rPr>
          <w:rFonts w:asciiTheme="minorHAnsi" w:hAnsiTheme="minorHAnsi" w:cstheme="minorHAnsi"/>
          <w:sz w:val="24"/>
          <w:szCs w:val="24"/>
        </w:rPr>
        <w:t xml:space="preserve"> is presented in the table below. </w:t>
      </w:r>
    </w:p>
    <w:p w:rsidR="0094535A" w:rsidRDefault="0094535A">
      <w:pPr>
        <w:widowControl/>
        <w:spacing w:after="160" w:line="259" w:lineRule="auto"/>
        <w:jc w:val="left"/>
        <w:rPr>
          <w:rFonts w:ascii="Arial Narrow" w:eastAsiaTheme="minorHAnsi" w:hAnsi="Arial Narrow" w:cstheme="minorBidi"/>
          <w:b/>
          <w:snapToGrid/>
          <w:sz w:val="20"/>
          <w:szCs w:val="22"/>
        </w:rPr>
      </w:pPr>
      <w:r>
        <w:br w:type="page"/>
      </w:r>
    </w:p>
    <w:p w:rsidR="004E23FC" w:rsidRPr="0016581E" w:rsidRDefault="004E23FC" w:rsidP="004E23FC">
      <w:pPr>
        <w:pStyle w:val="TableHeading0"/>
      </w:pPr>
      <w:r w:rsidRPr="0016581E">
        <w:lastRenderedPageBreak/>
        <w:t xml:space="preserve">Table </w:t>
      </w:r>
      <w:r w:rsidR="00D1135E" w:rsidRPr="0016581E">
        <w:t>7</w:t>
      </w:r>
      <w:r w:rsidRPr="0016581E">
        <w:t xml:space="preserve">: Summary of comparative benefits and harms for </w:t>
      </w:r>
      <w:r w:rsidR="001B364A" w:rsidRPr="0016581E">
        <w:t>palbociclib + letrozole and letrozole alone</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7: Summary of comparative benefits and harms for palbociclib + letrozole and letrozole alone"/>
      </w:tblPr>
      <w:tblGrid>
        <w:gridCol w:w="1777"/>
        <w:gridCol w:w="11"/>
        <w:gridCol w:w="1100"/>
        <w:gridCol w:w="7"/>
        <w:gridCol w:w="644"/>
        <w:gridCol w:w="147"/>
        <w:gridCol w:w="1281"/>
        <w:gridCol w:w="136"/>
        <w:gridCol w:w="1134"/>
        <w:gridCol w:w="160"/>
        <w:gridCol w:w="691"/>
        <w:gridCol w:w="127"/>
        <w:gridCol w:w="1858"/>
      </w:tblGrid>
      <w:tr w:rsidR="004E23FC" w:rsidRPr="0016581E" w:rsidTr="00B50A01">
        <w:trPr>
          <w:trHeight w:val="150"/>
          <w:tblHeader/>
        </w:trPr>
        <w:tc>
          <w:tcPr>
            <w:tcW w:w="5000" w:type="pct"/>
            <w:gridSpan w:val="13"/>
            <w:shd w:val="clear" w:color="auto" w:fill="auto"/>
            <w:vAlign w:val="center"/>
          </w:tcPr>
          <w:p w:rsidR="004E23FC" w:rsidRPr="0016581E" w:rsidRDefault="004E23FC" w:rsidP="00353CDC">
            <w:pPr>
              <w:pStyle w:val="TableText1"/>
              <w:rPr>
                <w:szCs w:val="20"/>
                <w:u w:val="single"/>
              </w:rPr>
            </w:pPr>
            <w:r w:rsidRPr="0016581E">
              <w:rPr>
                <w:szCs w:val="20"/>
                <w:u w:val="single"/>
              </w:rPr>
              <w:t>Benefits</w:t>
            </w:r>
          </w:p>
        </w:tc>
      </w:tr>
      <w:tr w:rsidR="00847B55" w:rsidRPr="0016581E" w:rsidTr="00CA30B3">
        <w:tc>
          <w:tcPr>
            <w:tcW w:w="1950" w:type="pct"/>
            <w:gridSpan w:val="5"/>
            <w:shd w:val="clear" w:color="auto" w:fill="auto"/>
            <w:vAlign w:val="center"/>
          </w:tcPr>
          <w:p w:rsidR="00847B55" w:rsidRPr="0016581E" w:rsidRDefault="00847B55" w:rsidP="00087E89">
            <w:pPr>
              <w:pStyle w:val="TableText1"/>
              <w:keepNext w:val="0"/>
              <w:widowControl w:val="0"/>
              <w:rPr>
                <w:b/>
                <w:szCs w:val="20"/>
              </w:rPr>
            </w:pPr>
            <w:r w:rsidRPr="0016581E">
              <w:rPr>
                <w:b/>
                <w:szCs w:val="20"/>
              </w:rPr>
              <w:t>Event</w:t>
            </w:r>
          </w:p>
        </w:tc>
        <w:tc>
          <w:tcPr>
            <w:tcW w:w="787" w:type="pct"/>
            <w:gridSpan w:val="2"/>
            <w:shd w:val="clear" w:color="auto" w:fill="auto"/>
            <w:vAlign w:val="center"/>
          </w:tcPr>
          <w:p w:rsidR="00847B55" w:rsidRPr="0016581E" w:rsidRDefault="00847B55" w:rsidP="00087E89">
            <w:pPr>
              <w:pStyle w:val="TableText1"/>
              <w:keepNext w:val="0"/>
              <w:widowControl w:val="0"/>
              <w:rPr>
                <w:b/>
                <w:szCs w:val="20"/>
              </w:rPr>
            </w:pPr>
            <w:r w:rsidRPr="0016581E">
              <w:rPr>
                <w:b/>
                <w:szCs w:val="20"/>
              </w:rPr>
              <w:t>Palbociclib + letrozole</w:t>
            </w:r>
          </w:p>
        </w:tc>
        <w:tc>
          <w:tcPr>
            <w:tcW w:w="788" w:type="pct"/>
            <w:gridSpan w:val="3"/>
            <w:shd w:val="clear" w:color="auto" w:fill="auto"/>
            <w:vAlign w:val="center"/>
          </w:tcPr>
          <w:p w:rsidR="00847B55" w:rsidRPr="0016581E" w:rsidRDefault="00847B55" w:rsidP="00087E89">
            <w:pPr>
              <w:pStyle w:val="TableText1"/>
              <w:keepNext w:val="0"/>
              <w:widowControl w:val="0"/>
              <w:rPr>
                <w:b/>
                <w:szCs w:val="20"/>
              </w:rPr>
            </w:pPr>
            <w:r w:rsidRPr="0016581E">
              <w:rPr>
                <w:b/>
                <w:szCs w:val="20"/>
              </w:rPr>
              <w:t>Letrozole alone</w:t>
            </w:r>
          </w:p>
        </w:tc>
        <w:tc>
          <w:tcPr>
            <w:tcW w:w="451" w:type="pct"/>
            <w:gridSpan w:val="2"/>
            <w:shd w:val="clear" w:color="auto" w:fill="auto"/>
            <w:vAlign w:val="center"/>
          </w:tcPr>
          <w:p w:rsidR="00847B55" w:rsidRPr="0016581E" w:rsidRDefault="00E96CDF" w:rsidP="00087E89">
            <w:pPr>
              <w:pStyle w:val="TableText1"/>
              <w:keepNext w:val="0"/>
              <w:widowControl w:val="0"/>
              <w:jc w:val="both"/>
              <w:rPr>
                <w:b/>
                <w:szCs w:val="20"/>
              </w:rPr>
            </w:pPr>
            <w:r w:rsidRPr="0016581E">
              <w:rPr>
                <w:b/>
                <w:szCs w:val="20"/>
              </w:rPr>
              <w:t>RD</w:t>
            </w:r>
            <w:r w:rsidR="00A81D0E" w:rsidRPr="0016581E">
              <w:rPr>
                <w:b/>
                <w:szCs w:val="20"/>
              </w:rPr>
              <w:t xml:space="preserve"> (%)</w:t>
            </w:r>
          </w:p>
        </w:tc>
        <w:tc>
          <w:tcPr>
            <w:tcW w:w="1024" w:type="pct"/>
            <w:shd w:val="clear" w:color="auto" w:fill="auto"/>
            <w:vAlign w:val="center"/>
          </w:tcPr>
          <w:p w:rsidR="00847B55" w:rsidRPr="0016581E" w:rsidRDefault="00847B55" w:rsidP="00087E89">
            <w:pPr>
              <w:pStyle w:val="TableText1"/>
              <w:keepNext w:val="0"/>
              <w:widowControl w:val="0"/>
              <w:rPr>
                <w:b/>
                <w:szCs w:val="20"/>
              </w:rPr>
            </w:pPr>
            <w:r w:rsidRPr="0016581E">
              <w:rPr>
                <w:b/>
                <w:szCs w:val="20"/>
              </w:rPr>
              <w:t>HR (95% CI)</w:t>
            </w:r>
          </w:p>
        </w:tc>
      </w:tr>
      <w:tr w:rsidR="004E23FC" w:rsidRPr="0016581E" w:rsidTr="00353CDC">
        <w:tc>
          <w:tcPr>
            <w:tcW w:w="5000" w:type="pct"/>
            <w:gridSpan w:val="13"/>
            <w:shd w:val="clear" w:color="auto" w:fill="auto"/>
            <w:vAlign w:val="center"/>
          </w:tcPr>
          <w:p w:rsidR="004E23FC" w:rsidRPr="0016581E" w:rsidRDefault="00847B55" w:rsidP="00087E89">
            <w:pPr>
              <w:pStyle w:val="TableText1"/>
              <w:keepNext w:val="0"/>
              <w:widowControl w:val="0"/>
              <w:rPr>
                <w:b/>
                <w:szCs w:val="20"/>
              </w:rPr>
            </w:pPr>
            <w:r w:rsidRPr="0016581E">
              <w:rPr>
                <w:b/>
                <w:szCs w:val="20"/>
              </w:rPr>
              <w:t>PFS (investigator assessed): PALOMA-1</w:t>
            </w:r>
            <w:r w:rsidR="00CB417C" w:rsidRPr="0016581E">
              <w:rPr>
                <w:b/>
                <w:szCs w:val="20"/>
              </w:rPr>
              <w:t xml:space="preserve"> (29 November 2013)</w:t>
            </w:r>
            <w:r w:rsidRPr="0016581E">
              <w:rPr>
                <w:b/>
                <w:szCs w:val="20"/>
                <w:vertAlign w:val="superscript"/>
              </w:rPr>
              <w:t>a</w:t>
            </w:r>
          </w:p>
        </w:tc>
      </w:tr>
      <w:tr w:rsidR="00847B55" w:rsidRPr="0016581E" w:rsidTr="00CA30B3">
        <w:tc>
          <w:tcPr>
            <w:tcW w:w="1950" w:type="pct"/>
            <w:gridSpan w:val="5"/>
            <w:tcBorders>
              <w:bottom w:val="double" w:sz="4" w:space="0" w:color="auto"/>
            </w:tcBorders>
            <w:shd w:val="clear" w:color="auto" w:fill="auto"/>
            <w:vAlign w:val="center"/>
          </w:tcPr>
          <w:p w:rsidR="00847B55" w:rsidRPr="0016581E" w:rsidRDefault="001A3287" w:rsidP="00692398">
            <w:pPr>
              <w:pStyle w:val="TableText1"/>
              <w:keepNext w:val="0"/>
              <w:widowControl w:val="0"/>
              <w:rPr>
                <w:szCs w:val="20"/>
              </w:rPr>
            </w:pPr>
            <w:r w:rsidRPr="0016581E">
              <w:rPr>
                <w:szCs w:val="20"/>
              </w:rPr>
              <w:t>Event free</w:t>
            </w:r>
            <w:r w:rsidR="00847B55" w:rsidRPr="0016581E">
              <w:rPr>
                <w:szCs w:val="20"/>
              </w:rPr>
              <w:t xml:space="preserve"> at </w:t>
            </w:r>
            <w:r w:rsidR="00344358" w:rsidRPr="0016581E">
              <w:rPr>
                <w:szCs w:val="20"/>
              </w:rPr>
              <w:t>12</w:t>
            </w:r>
            <w:r w:rsidR="00847B55" w:rsidRPr="0016581E">
              <w:rPr>
                <w:szCs w:val="20"/>
              </w:rPr>
              <w:t xml:space="preserve"> months, %</w:t>
            </w:r>
            <w:r w:rsidR="00CF3C5D" w:rsidRPr="0016581E">
              <w:rPr>
                <w:szCs w:val="20"/>
              </w:rPr>
              <w:t xml:space="preserve"> </w:t>
            </w:r>
            <w:r w:rsidR="00692398" w:rsidRPr="0016581E">
              <w:rPr>
                <w:szCs w:val="20"/>
              </w:rPr>
              <w:t>(</w:t>
            </w:r>
            <w:r w:rsidR="00CF3C5D" w:rsidRPr="0016581E">
              <w:rPr>
                <w:szCs w:val="20"/>
              </w:rPr>
              <w:t>95% CI</w:t>
            </w:r>
            <w:r w:rsidR="00847B55" w:rsidRPr="0016581E">
              <w:rPr>
                <w:szCs w:val="20"/>
              </w:rPr>
              <w:t>)</w:t>
            </w:r>
          </w:p>
        </w:tc>
        <w:tc>
          <w:tcPr>
            <w:tcW w:w="787" w:type="pct"/>
            <w:gridSpan w:val="2"/>
            <w:tcBorders>
              <w:bottom w:val="double" w:sz="4" w:space="0" w:color="auto"/>
            </w:tcBorders>
            <w:shd w:val="clear" w:color="auto" w:fill="auto"/>
            <w:vAlign w:val="center"/>
          </w:tcPr>
          <w:p w:rsidR="00847B55" w:rsidRPr="0016581E" w:rsidRDefault="00344358" w:rsidP="00692398">
            <w:pPr>
              <w:pStyle w:val="TableText1"/>
              <w:keepNext w:val="0"/>
              <w:widowControl w:val="0"/>
              <w:rPr>
                <w:szCs w:val="20"/>
              </w:rPr>
            </w:pPr>
            <w:r w:rsidRPr="0016581E">
              <w:rPr>
                <w:szCs w:val="20"/>
              </w:rPr>
              <w:t>71.8</w:t>
            </w:r>
            <w:r w:rsidR="00CF3C5D" w:rsidRPr="0016581E">
              <w:rPr>
                <w:szCs w:val="20"/>
              </w:rPr>
              <w:t xml:space="preserve"> </w:t>
            </w:r>
            <w:r w:rsidR="00692398" w:rsidRPr="0016581E">
              <w:rPr>
                <w:szCs w:val="20"/>
              </w:rPr>
              <w:t>(</w:t>
            </w:r>
            <w:r w:rsidR="00CF3C5D" w:rsidRPr="0016581E">
              <w:rPr>
                <w:szCs w:val="20"/>
              </w:rPr>
              <w:t xml:space="preserve"> 59.7, 80.9</w:t>
            </w:r>
            <w:r w:rsidR="00847B55" w:rsidRPr="0016581E">
              <w:rPr>
                <w:szCs w:val="20"/>
              </w:rPr>
              <w:t>)</w:t>
            </w:r>
          </w:p>
        </w:tc>
        <w:tc>
          <w:tcPr>
            <w:tcW w:w="788" w:type="pct"/>
            <w:gridSpan w:val="3"/>
            <w:tcBorders>
              <w:bottom w:val="double" w:sz="4" w:space="0" w:color="auto"/>
            </w:tcBorders>
            <w:shd w:val="clear" w:color="auto" w:fill="auto"/>
            <w:vAlign w:val="center"/>
          </w:tcPr>
          <w:p w:rsidR="00847B55" w:rsidRPr="0016581E" w:rsidRDefault="007F2573" w:rsidP="0086115A">
            <w:pPr>
              <w:pStyle w:val="TableText1"/>
              <w:keepNext w:val="0"/>
              <w:widowControl w:val="0"/>
              <w:rPr>
                <w:szCs w:val="20"/>
              </w:rPr>
            </w:pPr>
            <w:r w:rsidRPr="0016581E">
              <w:rPr>
                <w:szCs w:val="20"/>
              </w:rPr>
              <w:t>41.7</w:t>
            </w:r>
            <w:r w:rsidR="00CF3C5D" w:rsidRPr="0016581E">
              <w:rPr>
                <w:szCs w:val="20"/>
              </w:rPr>
              <w:t xml:space="preserve"> </w:t>
            </w:r>
            <w:r w:rsidR="00692398" w:rsidRPr="0016581E">
              <w:rPr>
                <w:szCs w:val="20"/>
              </w:rPr>
              <w:t>(</w:t>
            </w:r>
            <w:r w:rsidR="00CF3C5D" w:rsidRPr="0016581E">
              <w:rPr>
                <w:szCs w:val="20"/>
              </w:rPr>
              <w:t>30.2, 52.9</w:t>
            </w:r>
            <w:r w:rsidR="00847B55" w:rsidRPr="0016581E">
              <w:rPr>
                <w:szCs w:val="20"/>
              </w:rPr>
              <w:t>)</w:t>
            </w:r>
          </w:p>
        </w:tc>
        <w:tc>
          <w:tcPr>
            <w:tcW w:w="451" w:type="pct"/>
            <w:gridSpan w:val="2"/>
            <w:tcBorders>
              <w:bottom w:val="double" w:sz="4" w:space="0" w:color="auto"/>
            </w:tcBorders>
            <w:shd w:val="clear" w:color="auto" w:fill="auto"/>
            <w:vAlign w:val="center"/>
          </w:tcPr>
          <w:p w:rsidR="00847B55" w:rsidRPr="0016581E" w:rsidRDefault="007F2573" w:rsidP="007F2573">
            <w:pPr>
              <w:pStyle w:val="TableText1"/>
              <w:keepNext w:val="0"/>
              <w:widowControl w:val="0"/>
              <w:rPr>
                <w:szCs w:val="20"/>
              </w:rPr>
            </w:pPr>
            <w:r w:rsidRPr="0016581E">
              <w:rPr>
                <w:szCs w:val="20"/>
              </w:rPr>
              <w:t>30.1</w:t>
            </w:r>
          </w:p>
        </w:tc>
        <w:tc>
          <w:tcPr>
            <w:tcW w:w="1024" w:type="pct"/>
            <w:tcBorders>
              <w:bottom w:val="double" w:sz="4" w:space="0" w:color="auto"/>
            </w:tcBorders>
            <w:shd w:val="clear" w:color="auto" w:fill="auto"/>
            <w:vAlign w:val="center"/>
          </w:tcPr>
          <w:p w:rsidR="00847B55" w:rsidRPr="0016581E" w:rsidRDefault="00847B55" w:rsidP="00087E89">
            <w:pPr>
              <w:pStyle w:val="TableText1"/>
              <w:keepNext w:val="0"/>
              <w:widowControl w:val="0"/>
              <w:rPr>
                <w:szCs w:val="20"/>
              </w:rPr>
            </w:pPr>
            <w:r w:rsidRPr="0016581E">
              <w:rPr>
                <w:szCs w:val="20"/>
              </w:rPr>
              <w:t>0.488 (0.319, 0.748)</w:t>
            </w:r>
          </w:p>
        </w:tc>
      </w:tr>
      <w:tr w:rsidR="00847B55" w:rsidRPr="0016581E" w:rsidTr="00847B55">
        <w:tc>
          <w:tcPr>
            <w:tcW w:w="5000" w:type="pct"/>
            <w:gridSpan w:val="13"/>
            <w:shd w:val="clear" w:color="auto" w:fill="auto"/>
            <w:vAlign w:val="center"/>
          </w:tcPr>
          <w:p w:rsidR="00847B55" w:rsidRPr="0016581E" w:rsidRDefault="00847B55" w:rsidP="00087E89">
            <w:pPr>
              <w:pStyle w:val="TableText1"/>
              <w:keepNext w:val="0"/>
              <w:widowControl w:val="0"/>
              <w:rPr>
                <w:b/>
                <w:szCs w:val="20"/>
              </w:rPr>
            </w:pPr>
            <w:r w:rsidRPr="0016581E">
              <w:rPr>
                <w:b/>
                <w:szCs w:val="20"/>
              </w:rPr>
              <w:t>PFS (BICR): PALOMA-1</w:t>
            </w:r>
            <w:r w:rsidR="00CB417C" w:rsidRPr="0016581E">
              <w:rPr>
                <w:b/>
                <w:szCs w:val="20"/>
              </w:rPr>
              <w:t xml:space="preserve"> (29 November 2013)</w:t>
            </w:r>
            <w:r w:rsidRPr="0016581E">
              <w:rPr>
                <w:b/>
                <w:szCs w:val="20"/>
                <w:vertAlign w:val="superscript"/>
              </w:rPr>
              <w:t>a</w:t>
            </w:r>
          </w:p>
        </w:tc>
      </w:tr>
      <w:tr w:rsidR="00847B55" w:rsidRPr="0016581E" w:rsidTr="00CA30B3">
        <w:tc>
          <w:tcPr>
            <w:tcW w:w="1950" w:type="pct"/>
            <w:gridSpan w:val="5"/>
            <w:tcBorders>
              <w:bottom w:val="double" w:sz="4" w:space="0" w:color="auto"/>
            </w:tcBorders>
            <w:shd w:val="clear" w:color="auto" w:fill="auto"/>
            <w:vAlign w:val="center"/>
          </w:tcPr>
          <w:p w:rsidR="00847B55" w:rsidRPr="0016581E" w:rsidRDefault="001A3287" w:rsidP="0086115A">
            <w:pPr>
              <w:pStyle w:val="TableText1"/>
              <w:keepNext w:val="0"/>
              <w:widowControl w:val="0"/>
              <w:rPr>
                <w:szCs w:val="20"/>
                <w:highlight w:val="yellow"/>
              </w:rPr>
            </w:pPr>
            <w:r w:rsidRPr="0016581E">
              <w:rPr>
                <w:szCs w:val="20"/>
              </w:rPr>
              <w:t xml:space="preserve">Event free </w:t>
            </w:r>
            <w:r w:rsidR="00847B55" w:rsidRPr="0016581E">
              <w:rPr>
                <w:szCs w:val="20"/>
              </w:rPr>
              <w:t xml:space="preserve">at </w:t>
            </w:r>
            <w:r w:rsidR="007F2573" w:rsidRPr="0016581E">
              <w:rPr>
                <w:szCs w:val="20"/>
              </w:rPr>
              <w:t>12</w:t>
            </w:r>
            <w:r w:rsidR="00847B55" w:rsidRPr="0016581E">
              <w:rPr>
                <w:szCs w:val="20"/>
              </w:rPr>
              <w:t xml:space="preserve"> months, %</w:t>
            </w:r>
            <w:r w:rsidR="0086115A" w:rsidRPr="0016581E">
              <w:rPr>
                <w:szCs w:val="20"/>
              </w:rPr>
              <w:t xml:space="preserve"> (95% CI)</w:t>
            </w:r>
          </w:p>
        </w:tc>
        <w:tc>
          <w:tcPr>
            <w:tcW w:w="787" w:type="pct"/>
            <w:gridSpan w:val="2"/>
            <w:tcBorders>
              <w:bottom w:val="double" w:sz="4" w:space="0" w:color="auto"/>
            </w:tcBorders>
            <w:shd w:val="clear" w:color="auto" w:fill="auto"/>
            <w:vAlign w:val="center"/>
          </w:tcPr>
          <w:p w:rsidR="00847B55" w:rsidRPr="0016581E" w:rsidRDefault="007F2573" w:rsidP="00C3720F">
            <w:pPr>
              <w:pStyle w:val="TableText1"/>
              <w:keepNext w:val="0"/>
              <w:widowControl w:val="0"/>
              <w:rPr>
                <w:szCs w:val="20"/>
                <w:highlight w:val="yellow"/>
              </w:rPr>
            </w:pPr>
            <w:r w:rsidRPr="0016581E">
              <w:rPr>
                <w:szCs w:val="20"/>
              </w:rPr>
              <w:t>68.1</w:t>
            </w:r>
            <w:r w:rsidR="00C3720F" w:rsidRPr="0016581E">
              <w:rPr>
                <w:szCs w:val="20"/>
              </w:rPr>
              <w:t xml:space="preserve"> (</w:t>
            </w:r>
            <w:r w:rsidR="00CF3C5D" w:rsidRPr="0016581E">
              <w:rPr>
                <w:szCs w:val="20"/>
              </w:rPr>
              <w:t xml:space="preserve"> 55.6, 77.7</w:t>
            </w:r>
            <w:r w:rsidR="00847B55" w:rsidRPr="0016581E">
              <w:rPr>
                <w:szCs w:val="20"/>
              </w:rPr>
              <w:t>)</w:t>
            </w:r>
          </w:p>
        </w:tc>
        <w:tc>
          <w:tcPr>
            <w:tcW w:w="788" w:type="pct"/>
            <w:gridSpan w:val="3"/>
            <w:tcBorders>
              <w:bottom w:val="double" w:sz="4" w:space="0" w:color="auto"/>
            </w:tcBorders>
            <w:shd w:val="clear" w:color="auto" w:fill="auto"/>
            <w:vAlign w:val="center"/>
          </w:tcPr>
          <w:p w:rsidR="00847B55" w:rsidRPr="0016581E" w:rsidRDefault="007F2573" w:rsidP="00C3720F">
            <w:pPr>
              <w:pStyle w:val="TableText1"/>
              <w:keepNext w:val="0"/>
              <w:widowControl w:val="0"/>
              <w:rPr>
                <w:szCs w:val="20"/>
                <w:highlight w:val="yellow"/>
              </w:rPr>
            </w:pPr>
            <w:r w:rsidRPr="0016581E">
              <w:rPr>
                <w:szCs w:val="20"/>
              </w:rPr>
              <w:t>60.1</w:t>
            </w:r>
            <w:r w:rsidR="00C3720F" w:rsidRPr="0016581E">
              <w:rPr>
                <w:szCs w:val="20"/>
              </w:rPr>
              <w:t xml:space="preserve"> (</w:t>
            </w:r>
            <w:r w:rsidR="00CF3C5D" w:rsidRPr="0016581E">
              <w:rPr>
                <w:szCs w:val="20"/>
              </w:rPr>
              <w:t>45.7, 71.8</w:t>
            </w:r>
            <w:r w:rsidR="00847B55" w:rsidRPr="0016581E">
              <w:rPr>
                <w:szCs w:val="20"/>
              </w:rPr>
              <w:t>)</w:t>
            </w:r>
          </w:p>
        </w:tc>
        <w:tc>
          <w:tcPr>
            <w:tcW w:w="451" w:type="pct"/>
            <w:gridSpan w:val="2"/>
            <w:tcBorders>
              <w:bottom w:val="double" w:sz="4" w:space="0" w:color="auto"/>
            </w:tcBorders>
            <w:shd w:val="clear" w:color="auto" w:fill="auto"/>
            <w:vAlign w:val="center"/>
          </w:tcPr>
          <w:p w:rsidR="00847B55" w:rsidRPr="0016581E" w:rsidRDefault="007F2573" w:rsidP="007F2573">
            <w:pPr>
              <w:pStyle w:val="TableText1"/>
              <w:keepNext w:val="0"/>
              <w:widowControl w:val="0"/>
              <w:rPr>
                <w:szCs w:val="20"/>
                <w:highlight w:val="yellow"/>
              </w:rPr>
            </w:pPr>
            <w:r w:rsidRPr="0016581E">
              <w:rPr>
                <w:szCs w:val="20"/>
              </w:rPr>
              <w:t>8.0</w:t>
            </w:r>
          </w:p>
        </w:tc>
        <w:tc>
          <w:tcPr>
            <w:tcW w:w="1024" w:type="pct"/>
            <w:tcBorders>
              <w:bottom w:val="double" w:sz="4" w:space="0" w:color="auto"/>
            </w:tcBorders>
            <w:shd w:val="clear" w:color="auto" w:fill="auto"/>
            <w:vAlign w:val="center"/>
          </w:tcPr>
          <w:p w:rsidR="00847B55" w:rsidRPr="0016581E" w:rsidRDefault="00847B55" w:rsidP="00087E89">
            <w:pPr>
              <w:pStyle w:val="TableText1"/>
              <w:keepNext w:val="0"/>
              <w:widowControl w:val="0"/>
              <w:rPr>
                <w:szCs w:val="20"/>
                <w:highlight w:val="yellow"/>
              </w:rPr>
            </w:pPr>
            <w:r w:rsidRPr="0016581E">
              <w:rPr>
                <w:szCs w:val="20"/>
              </w:rPr>
              <w:t>0.621</w:t>
            </w:r>
            <w:r w:rsidRPr="0016581E">
              <w:rPr>
                <w:szCs w:val="20"/>
                <w:vertAlign w:val="superscript"/>
              </w:rPr>
              <w:t>d</w:t>
            </w:r>
            <w:r w:rsidRPr="0016581E">
              <w:rPr>
                <w:szCs w:val="20"/>
              </w:rPr>
              <w:t xml:space="preserve"> (0.378, 1.019)</w:t>
            </w:r>
          </w:p>
        </w:tc>
      </w:tr>
      <w:tr w:rsidR="00847B55" w:rsidRPr="0016581E" w:rsidTr="00847B55">
        <w:tc>
          <w:tcPr>
            <w:tcW w:w="5000" w:type="pct"/>
            <w:gridSpan w:val="13"/>
            <w:shd w:val="clear" w:color="auto" w:fill="auto"/>
            <w:vAlign w:val="center"/>
          </w:tcPr>
          <w:p w:rsidR="00847B55" w:rsidRPr="0016581E" w:rsidRDefault="00847B55" w:rsidP="00087E89">
            <w:pPr>
              <w:pStyle w:val="TableText1"/>
              <w:keepNext w:val="0"/>
              <w:widowControl w:val="0"/>
              <w:rPr>
                <w:b/>
                <w:szCs w:val="20"/>
              </w:rPr>
            </w:pPr>
            <w:r w:rsidRPr="0016581E">
              <w:rPr>
                <w:b/>
                <w:szCs w:val="20"/>
              </w:rPr>
              <w:t>PFS (investigator assessed): PALOMA-2</w:t>
            </w:r>
            <w:r w:rsidR="00CB417C" w:rsidRPr="0016581E">
              <w:rPr>
                <w:b/>
                <w:szCs w:val="20"/>
              </w:rPr>
              <w:t xml:space="preserve"> (26 February 2016)</w:t>
            </w:r>
            <w:r w:rsidRPr="0016581E">
              <w:rPr>
                <w:b/>
                <w:szCs w:val="20"/>
                <w:vertAlign w:val="superscript"/>
              </w:rPr>
              <w:t>b</w:t>
            </w:r>
          </w:p>
        </w:tc>
      </w:tr>
      <w:tr w:rsidR="001A3287" w:rsidRPr="0016581E" w:rsidTr="00CD4C54">
        <w:tc>
          <w:tcPr>
            <w:tcW w:w="1950" w:type="pct"/>
            <w:gridSpan w:val="5"/>
            <w:tcBorders>
              <w:bottom w:val="single" w:sz="4" w:space="0" w:color="auto"/>
            </w:tcBorders>
            <w:shd w:val="clear" w:color="auto" w:fill="auto"/>
            <w:vAlign w:val="center"/>
          </w:tcPr>
          <w:p w:rsidR="001A3287" w:rsidRPr="0016581E" w:rsidRDefault="001A3287" w:rsidP="00CD4C54">
            <w:pPr>
              <w:pStyle w:val="TableText1"/>
              <w:keepNext w:val="0"/>
              <w:widowControl w:val="0"/>
              <w:rPr>
                <w:szCs w:val="20"/>
              </w:rPr>
            </w:pPr>
            <w:r w:rsidRPr="0016581E">
              <w:rPr>
                <w:szCs w:val="20"/>
              </w:rPr>
              <w:t xml:space="preserve">Event free at 12 months, </w:t>
            </w:r>
            <w:r w:rsidR="00C3720F" w:rsidRPr="0016581E">
              <w:rPr>
                <w:szCs w:val="20"/>
              </w:rPr>
              <w:t>% (95% CI)</w:t>
            </w:r>
          </w:p>
        </w:tc>
        <w:tc>
          <w:tcPr>
            <w:tcW w:w="787" w:type="pct"/>
            <w:gridSpan w:val="2"/>
            <w:tcBorders>
              <w:bottom w:val="single" w:sz="4" w:space="0" w:color="auto"/>
            </w:tcBorders>
            <w:shd w:val="clear" w:color="auto" w:fill="auto"/>
            <w:vAlign w:val="center"/>
          </w:tcPr>
          <w:p w:rsidR="001A3287" w:rsidRPr="0016581E" w:rsidRDefault="001A3287" w:rsidP="00C3720F">
            <w:pPr>
              <w:pStyle w:val="TableText1"/>
              <w:keepNext w:val="0"/>
              <w:widowControl w:val="0"/>
              <w:rPr>
                <w:szCs w:val="20"/>
                <w:highlight w:val="yellow"/>
              </w:rPr>
            </w:pPr>
            <w:r w:rsidRPr="0016581E">
              <w:rPr>
                <w:szCs w:val="20"/>
              </w:rPr>
              <w:t>72.6</w:t>
            </w:r>
            <w:r w:rsidR="00C3720F" w:rsidRPr="0016581E">
              <w:rPr>
                <w:szCs w:val="20"/>
              </w:rPr>
              <w:t xml:space="preserve"> (</w:t>
            </w:r>
            <w:r w:rsidR="0032359A" w:rsidRPr="0016581E">
              <w:rPr>
                <w:szCs w:val="20"/>
              </w:rPr>
              <w:t>68.0, 76.6</w:t>
            </w:r>
            <w:r w:rsidRPr="0016581E">
              <w:rPr>
                <w:szCs w:val="20"/>
              </w:rPr>
              <w:t>)</w:t>
            </w:r>
          </w:p>
        </w:tc>
        <w:tc>
          <w:tcPr>
            <w:tcW w:w="788" w:type="pct"/>
            <w:gridSpan w:val="3"/>
            <w:tcBorders>
              <w:bottom w:val="single" w:sz="4" w:space="0" w:color="auto"/>
            </w:tcBorders>
            <w:shd w:val="clear" w:color="auto" w:fill="auto"/>
            <w:vAlign w:val="center"/>
          </w:tcPr>
          <w:p w:rsidR="001A3287" w:rsidRPr="0016581E" w:rsidRDefault="001A3287" w:rsidP="00C3720F">
            <w:pPr>
              <w:pStyle w:val="TableText1"/>
              <w:keepNext w:val="0"/>
              <w:widowControl w:val="0"/>
              <w:rPr>
                <w:szCs w:val="20"/>
                <w:highlight w:val="yellow"/>
              </w:rPr>
            </w:pPr>
            <w:r w:rsidRPr="0016581E">
              <w:rPr>
                <w:szCs w:val="20"/>
              </w:rPr>
              <w:t>57.9</w:t>
            </w:r>
            <w:r w:rsidR="00C3720F" w:rsidRPr="0016581E">
              <w:rPr>
                <w:szCs w:val="20"/>
              </w:rPr>
              <w:t xml:space="preserve"> (</w:t>
            </w:r>
            <w:r w:rsidR="0032359A" w:rsidRPr="0016581E">
              <w:rPr>
                <w:szCs w:val="20"/>
              </w:rPr>
              <w:t>50.9, 64.4</w:t>
            </w:r>
            <w:r w:rsidRPr="0016581E">
              <w:rPr>
                <w:szCs w:val="20"/>
              </w:rPr>
              <w:t>)</w:t>
            </w:r>
          </w:p>
        </w:tc>
        <w:tc>
          <w:tcPr>
            <w:tcW w:w="451" w:type="pct"/>
            <w:gridSpan w:val="2"/>
            <w:tcBorders>
              <w:bottom w:val="single" w:sz="4" w:space="0" w:color="auto"/>
            </w:tcBorders>
            <w:shd w:val="clear" w:color="auto" w:fill="auto"/>
            <w:vAlign w:val="center"/>
          </w:tcPr>
          <w:p w:rsidR="001A3287" w:rsidRPr="0016581E" w:rsidRDefault="001A3287" w:rsidP="00087E89">
            <w:pPr>
              <w:pStyle w:val="TableText1"/>
              <w:keepNext w:val="0"/>
              <w:widowControl w:val="0"/>
              <w:rPr>
                <w:szCs w:val="20"/>
                <w:highlight w:val="yellow"/>
              </w:rPr>
            </w:pPr>
            <w:r w:rsidRPr="0016581E">
              <w:rPr>
                <w:szCs w:val="20"/>
              </w:rPr>
              <w:t>14.7</w:t>
            </w:r>
          </w:p>
        </w:tc>
        <w:tc>
          <w:tcPr>
            <w:tcW w:w="1024" w:type="pct"/>
            <w:vMerge w:val="restart"/>
            <w:tcBorders>
              <w:bottom w:val="double" w:sz="4" w:space="0" w:color="auto"/>
            </w:tcBorders>
            <w:shd w:val="clear" w:color="auto" w:fill="auto"/>
            <w:vAlign w:val="center"/>
          </w:tcPr>
          <w:p w:rsidR="001A3287" w:rsidRPr="0016581E" w:rsidRDefault="001A3287" w:rsidP="00087E89">
            <w:pPr>
              <w:pStyle w:val="TableText1"/>
              <w:keepNext w:val="0"/>
              <w:widowControl w:val="0"/>
              <w:rPr>
                <w:szCs w:val="20"/>
                <w:highlight w:val="yellow"/>
              </w:rPr>
            </w:pPr>
            <w:r w:rsidRPr="0016581E">
              <w:rPr>
                <w:szCs w:val="20"/>
              </w:rPr>
              <w:t>0.576 (0.463, 0.718)</w:t>
            </w:r>
          </w:p>
        </w:tc>
      </w:tr>
      <w:tr w:rsidR="00CD4C54" w:rsidRPr="0016581E" w:rsidTr="00CD4C54">
        <w:trPr>
          <w:trHeight w:val="58"/>
        </w:trPr>
        <w:tc>
          <w:tcPr>
            <w:tcW w:w="1950" w:type="pct"/>
            <w:gridSpan w:val="5"/>
            <w:tcBorders>
              <w:top w:val="single" w:sz="4" w:space="0" w:color="auto"/>
              <w:bottom w:val="double" w:sz="4" w:space="0" w:color="auto"/>
            </w:tcBorders>
            <w:shd w:val="clear" w:color="auto" w:fill="auto"/>
            <w:vAlign w:val="center"/>
          </w:tcPr>
          <w:p w:rsidR="00CD4C54" w:rsidRPr="0016581E" w:rsidRDefault="00CD4C54" w:rsidP="00CD4C54">
            <w:pPr>
              <w:pStyle w:val="TableText1"/>
              <w:keepNext w:val="0"/>
              <w:widowControl w:val="0"/>
              <w:rPr>
                <w:szCs w:val="20"/>
              </w:rPr>
            </w:pPr>
            <w:r w:rsidRPr="0016581E">
              <w:rPr>
                <w:szCs w:val="20"/>
              </w:rPr>
              <w:t xml:space="preserve">Event free at 24 months, </w:t>
            </w:r>
            <w:r w:rsidR="00C3720F" w:rsidRPr="0016581E">
              <w:rPr>
                <w:szCs w:val="20"/>
              </w:rPr>
              <w:t>% (95% CI)</w:t>
            </w:r>
          </w:p>
        </w:tc>
        <w:tc>
          <w:tcPr>
            <w:tcW w:w="787" w:type="pct"/>
            <w:gridSpan w:val="2"/>
            <w:tcBorders>
              <w:top w:val="single" w:sz="4" w:space="0" w:color="auto"/>
              <w:bottom w:val="double" w:sz="4" w:space="0" w:color="auto"/>
            </w:tcBorders>
            <w:shd w:val="clear" w:color="auto" w:fill="auto"/>
            <w:vAlign w:val="center"/>
          </w:tcPr>
          <w:p w:rsidR="00CD4C54" w:rsidRPr="0016581E" w:rsidRDefault="00CD4C54" w:rsidP="00C3720F">
            <w:pPr>
              <w:pStyle w:val="TableText1"/>
              <w:keepNext w:val="0"/>
              <w:widowControl w:val="0"/>
              <w:rPr>
                <w:szCs w:val="20"/>
              </w:rPr>
            </w:pPr>
            <w:r w:rsidRPr="0016581E">
              <w:rPr>
                <w:szCs w:val="20"/>
              </w:rPr>
              <w:t>51.4</w:t>
            </w:r>
            <w:r w:rsidR="00C3720F" w:rsidRPr="0016581E">
              <w:rPr>
                <w:szCs w:val="20"/>
              </w:rPr>
              <w:t xml:space="preserve"> (</w:t>
            </w:r>
            <w:r w:rsidR="0032359A" w:rsidRPr="0016581E">
              <w:rPr>
                <w:szCs w:val="20"/>
              </w:rPr>
              <w:t>45.8, 56.8</w:t>
            </w:r>
            <w:r w:rsidRPr="0016581E">
              <w:rPr>
                <w:szCs w:val="20"/>
              </w:rPr>
              <w:t>)</w:t>
            </w:r>
          </w:p>
        </w:tc>
        <w:tc>
          <w:tcPr>
            <w:tcW w:w="788" w:type="pct"/>
            <w:gridSpan w:val="3"/>
            <w:tcBorders>
              <w:top w:val="single" w:sz="4" w:space="0" w:color="auto"/>
              <w:bottom w:val="double" w:sz="4" w:space="0" w:color="auto"/>
            </w:tcBorders>
            <w:shd w:val="clear" w:color="auto" w:fill="auto"/>
            <w:vAlign w:val="center"/>
          </w:tcPr>
          <w:p w:rsidR="00CD4C54" w:rsidRPr="0016581E" w:rsidRDefault="00CD4C54" w:rsidP="00C3720F">
            <w:pPr>
              <w:pStyle w:val="TableText1"/>
              <w:keepNext w:val="0"/>
              <w:widowControl w:val="0"/>
              <w:rPr>
                <w:szCs w:val="20"/>
              </w:rPr>
            </w:pPr>
            <w:r w:rsidRPr="0016581E">
              <w:rPr>
                <w:szCs w:val="20"/>
              </w:rPr>
              <w:t>28.8</w:t>
            </w:r>
            <w:r w:rsidR="00C3720F" w:rsidRPr="0016581E">
              <w:rPr>
                <w:szCs w:val="20"/>
              </w:rPr>
              <w:t xml:space="preserve"> (</w:t>
            </w:r>
            <w:r w:rsidR="0032359A" w:rsidRPr="0016581E">
              <w:rPr>
                <w:szCs w:val="20"/>
              </w:rPr>
              <w:t>21.5, 36.6</w:t>
            </w:r>
            <w:r w:rsidRPr="0016581E">
              <w:rPr>
                <w:szCs w:val="20"/>
              </w:rPr>
              <w:t>)</w:t>
            </w:r>
          </w:p>
        </w:tc>
        <w:tc>
          <w:tcPr>
            <w:tcW w:w="451" w:type="pct"/>
            <w:gridSpan w:val="2"/>
            <w:tcBorders>
              <w:top w:val="single" w:sz="4" w:space="0" w:color="auto"/>
              <w:bottom w:val="double" w:sz="4" w:space="0" w:color="auto"/>
            </w:tcBorders>
            <w:shd w:val="clear" w:color="auto" w:fill="auto"/>
            <w:vAlign w:val="center"/>
          </w:tcPr>
          <w:p w:rsidR="00CD4C54" w:rsidRPr="0016581E" w:rsidRDefault="00CD4C54" w:rsidP="001A3287">
            <w:pPr>
              <w:pStyle w:val="TableText1"/>
              <w:keepNext w:val="0"/>
              <w:widowControl w:val="0"/>
              <w:rPr>
                <w:szCs w:val="20"/>
              </w:rPr>
            </w:pPr>
            <w:r w:rsidRPr="0016581E">
              <w:rPr>
                <w:szCs w:val="20"/>
              </w:rPr>
              <w:t>22.6</w:t>
            </w:r>
          </w:p>
        </w:tc>
        <w:tc>
          <w:tcPr>
            <w:tcW w:w="1024" w:type="pct"/>
            <w:vMerge/>
            <w:tcBorders>
              <w:bottom w:val="double" w:sz="4" w:space="0" w:color="auto"/>
            </w:tcBorders>
            <w:shd w:val="clear" w:color="auto" w:fill="auto"/>
            <w:vAlign w:val="center"/>
          </w:tcPr>
          <w:p w:rsidR="00CD4C54" w:rsidRPr="0016581E" w:rsidRDefault="00CD4C54" w:rsidP="001A3287">
            <w:pPr>
              <w:pStyle w:val="TableText1"/>
              <w:keepNext w:val="0"/>
              <w:widowControl w:val="0"/>
              <w:rPr>
                <w:szCs w:val="20"/>
              </w:rPr>
            </w:pPr>
          </w:p>
        </w:tc>
      </w:tr>
      <w:tr w:rsidR="001A3287" w:rsidRPr="0016581E" w:rsidTr="00847B55">
        <w:tc>
          <w:tcPr>
            <w:tcW w:w="5000" w:type="pct"/>
            <w:gridSpan w:val="13"/>
            <w:shd w:val="clear" w:color="auto" w:fill="auto"/>
            <w:vAlign w:val="center"/>
          </w:tcPr>
          <w:p w:rsidR="001A3287" w:rsidRPr="0016581E" w:rsidRDefault="001A3287" w:rsidP="001A3287">
            <w:pPr>
              <w:pStyle w:val="TableText1"/>
              <w:keepNext w:val="0"/>
              <w:widowControl w:val="0"/>
              <w:rPr>
                <w:b/>
                <w:szCs w:val="20"/>
              </w:rPr>
            </w:pPr>
            <w:r w:rsidRPr="0016581E">
              <w:rPr>
                <w:b/>
                <w:szCs w:val="20"/>
              </w:rPr>
              <w:t>PFS (BICR): PALOMA-2</w:t>
            </w:r>
            <w:r w:rsidR="00CB417C" w:rsidRPr="0016581E">
              <w:rPr>
                <w:b/>
                <w:szCs w:val="20"/>
              </w:rPr>
              <w:t xml:space="preserve"> (26 February 2016)</w:t>
            </w:r>
            <w:r w:rsidRPr="0016581E">
              <w:rPr>
                <w:b/>
                <w:szCs w:val="20"/>
                <w:vertAlign w:val="superscript"/>
              </w:rPr>
              <w:t>b</w:t>
            </w:r>
          </w:p>
        </w:tc>
      </w:tr>
      <w:tr w:rsidR="00905945" w:rsidRPr="0016581E" w:rsidTr="00CD4C54">
        <w:tc>
          <w:tcPr>
            <w:tcW w:w="1950" w:type="pct"/>
            <w:gridSpan w:val="5"/>
            <w:tcBorders>
              <w:bottom w:val="single" w:sz="4" w:space="0" w:color="auto"/>
            </w:tcBorders>
            <w:shd w:val="clear" w:color="auto" w:fill="auto"/>
            <w:vAlign w:val="center"/>
          </w:tcPr>
          <w:p w:rsidR="00905945" w:rsidRPr="0016581E" w:rsidRDefault="00905945" w:rsidP="00CD4C54">
            <w:pPr>
              <w:pStyle w:val="TableText1"/>
              <w:keepNext w:val="0"/>
              <w:widowControl w:val="0"/>
              <w:rPr>
                <w:szCs w:val="20"/>
              </w:rPr>
            </w:pPr>
            <w:r w:rsidRPr="0016581E">
              <w:rPr>
                <w:szCs w:val="20"/>
              </w:rPr>
              <w:t xml:space="preserve">Event free at 12 months, </w:t>
            </w:r>
            <w:r w:rsidR="00C3720F" w:rsidRPr="0016581E">
              <w:rPr>
                <w:szCs w:val="20"/>
              </w:rPr>
              <w:t>% (95% CI)</w:t>
            </w:r>
          </w:p>
        </w:tc>
        <w:tc>
          <w:tcPr>
            <w:tcW w:w="787" w:type="pct"/>
            <w:gridSpan w:val="2"/>
            <w:tcBorders>
              <w:bottom w:val="single" w:sz="4" w:space="0" w:color="auto"/>
            </w:tcBorders>
            <w:shd w:val="clear" w:color="auto" w:fill="auto"/>
            <w:vAlign w:val="center"/>
          </w:tcPr>
          <w:p w:rsidR="00905945" w:rsidRPr="0016581E" w:rsidRDefault="00905945" w:rsidP="00C3720F">
            <w:pPr>
              <w:pStyle w:val="TableText1"/>
              <w:keepNext w:val="0"/>
              <w:widowControl w:val="0"/>
              <w:rPr>
                <w:szCs w:val="20"/>
                <w:highlight w:val="yellow"/>
              </w:rPr>
            </w:pPr>
            <w:r w:rsidRPr="0016581E">
              <w:rPr>
                <w:szCs w:val="20"/>
              </w:rPr>
              <w:t>75.8</w:t>
            </w:r>
            <w:r w:rsidR="00C3720F" w:rsidRPr="0016581E">
              <w:rPr>
                <w:szCs w:val="20"/>
              </w:rPr>
              <w:t xml:space="preserve"> (</w:t>
            </w:r>
            <w:r w:rsidR="0032359A" w:rsidRPr="0016581E">
              <w:rPr>
                <w:szCs w:val="20"/>
              </w:rPr>
              <w:t>71.3, 79.7</w:t>
            </w:r>
            <w:r w:rsidRPr="0016581E">
              <w:rPr>
                <w:szCs w:val="20"/>
              </w:rPr>
              <w:t>)</w:t>
            </w:r>
          </w:p>
        </w:tc>
        <w:tc>
          <w:tcPr>
            <w:tcW w:w="788" w:type="pct"/>
            <w:gridSpan w:val="3"/>
            <w:tcBorders>
              <w:bottom w:val="single" w:sz="4" w:space="0" w:color="auto"/>
            </w:tcBorders>
            <w:shd w:val="clear" w:color="auto" w:fill="auto"/>
            <w:vAlign w:val="center"/>
          </w:tcPr>
          <w:p w:rsidR="00905945" w:rsidRPr="0016581E" w:rsidRDefault="00905945" w:rsidP="00C3720F">
            <w:pPr>
              <w:pStyle w:val="TableText1"/>
              <w:keepNext w:val="0"/>
              <w:widowControl w:val="0"/>
              <w:rPr>
                <w:szCs w:val="20"/>
                <w:highlight w:val="yellow"/>
              </w:rPr>
            </w:pPr>
            <w:r w:rsidRPr="0016581E">
              <w:rPr>
                <w:szCs w:val="20"/>
              </w:rPr>
              <w:t>66.1</w:t>
            </w:r>
            <w:r w:rsidR="00C3720F" w:rsidRPr="0016581E">
              <w:rPr>
                <w:szCs w:val="20"/>
              </w:rPr>
              <w:t xml:space="preserve"> (</w:t>
            </w:r>
            <w:r w:rsidR="0032359A" w:rsidRPr="0016581E">
              <w:rPr>
                <w:szCs w:val="20"/>
              </w:rPr>
              <w:t>58.8, 72.4</w:t>
            </w:r>
            <w:r w:rsidRPr="0016581E">
              <w:rPr>
                <w:szCs w:val="20"/>
              </w:rPr>
              <w:t>)</w:t>
            </w:r>
          </w:p>
        </w:tc>
        <w:tc>
          <w:tcPr>
            <w:tcW w:w="451" w:type="pct"/>
            <w:gridSpan w:val="2"/>
            <w:tcBorders>
              <w:bottom w:val="single" w:sz="4" w:space="0" w:color="auto"/>
            </w:tcBorders>
            <w:shd w:val="clear" w:color="auto" w:fill="auto"/>
            <w:vAlign w:val="center"/>
          </w:tcPr>
          <w:p w:rsidR="00905945" w:rsidRPr="0016581E" w:rsidRDefault="00905945" w:rsidP="00905945">
            <w:pPr>
              <w:pStyle w:val="TableText1"/>
              <w:keepNext w:val="0"/>
              <w:widowControl w:val="0"/>
              <w:rPr>
                <w:szCs w:val="20"/>
                <w:highlight w:val="yellow"/>
              </w:rPr>
            </w:pPr>
            <w:r w:rsidRPr="0016581E">
              <w:rPr>
                <w:szCs w:val="20"/>
              </w:rPr>
              <w:t>9.7</w:t>
            </w:r>
          </w:p>
        </w:tc>
        <w:tc>
          <w:tcPr>
            <w:tcW w:w="1024" w:type="pct"/>
            <w:vMerge w:val="restart"/>
            <w:tcBorders>
              <w:bottom w:val="double" w:sz="4" w:space="0" w:color="auto"/>
            </w:tcBorders>
            <w:shd w:val="clear" w:color="auto" w:fill="auto"/>
            <w:vAlign w:val="center"/>
          </w:tcPr>
          <w:p w:rsidR="00905945" w:rsidRPr="0016581E" w:rsidRDefault="00905945" w:rsidP="00905945">
            <w:pPr>
              <w:pStyle w:val="TableText1"/>
              <w:keepNext w:val="0"/>
              <w:widowControl w:val="0"/>
              <w:rPr>
                <w:szCs w:val="20"/>
                <w:highlight w:val="yellow"/>
              </w:rPr>
            </w:pPr>
            <w:r w:rsidRPr="0016581E">
              <w:rPr>
                <w:szCs w:val="20"/>
              </w:rPr>
              <w:t>0.653 (0.505, 0.844)</w:t>
            </w:r>
          </w:p>
        </w:tc>
      </w:tr>
      <w:tr w:rsidR="00CD4C54" w:rsidRPr="0016581E" w:rsidTr="00CD4C54">
        <w:trPr>
          <w:trHeight w:val="58"/>
        </w:trPr>
        <w:tc>
          <w:tcPr>
            <w:tcW w:w="1950" w:type="pct"/>
            <w:gridSpan w:val="5"/>
            <w:tcBorders>
              <w:top w:val="single" w:sz="4" w:space="0" w:color="auto"/>
              <w:left w:val="single" w:sz="4" w:space="0" w:color="auto"/>
              <w:bottom w:val="double" w:sz="4" w:space="0" w:color="auto"/>
              <w:right w:val="single" w:sz="4" w:space="0" w:color="auto"/>
            </w:tcBorders>
            <w:shd w:val="clear" w:color="auto" w:fill="auto"/>
            <w:vAlign w:val="center"/>
          </w:tcPr>
          <w:p w:rsidR="00CD4C54" w:rsidRPr="0016581E" w:rsidRDefault="00CD4C54" w:rsidP="00CD4C54">
            <w:pPr>
              <w:pStyle w:val="TableText1"/>
              <w:keepNext w:val="0"/>
              <w:widowControl w:val="0"/>
              <w:rPr>
                <w:szCs w:val="20"/>
              </w:rPr>
            </w:pPr>
            <w:r w:rsidRPr="0016581E">
              <w:rPr>
                <w:szCs w:val="20"/>
              </w:rPr>
              <w:t xml:space="preserve">Event free at 24 months, </w:t>
            </w:r>
            <w:r w:rsidR="00C3720F" w:rsidRPr="0016581E">
              <w:rPr>
                <w:szCs w:val="20"/>
              </w:rPr>
              <w:t>% (95% CI)</w:t>
            </w:r>
          </w:p>
        </w:tc>
        <w:tc>
          <w:tcPr>
            <w:tcW w:w="787"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CD4C54" w:rsidRPr="0016581E" w:rsidRDefault="00CD4C54" w:rsidP="00C3720F">
            <w:pPr>
              <w:pStyle w:val="TableText1"/>
              <w:keepNext w:val="0"/>
              <w:widowControl w:val="0"/>
              <w:rPr>
                <w:szCs w:val="20"/>
              </w:rPr>
            </w:pPr>
            <w:r w:rsidRPr="0016581E">
              <w:rPr>
                <w:szCs w:val="20"/>
              </w:rPr>
              <w:t>59.7</w:t>
            </w:r>
            <w:r w:rsidR="00C3720F" w:rsidRPr="0016581E">
              <w:rPr>
                <w:szCs w:val="20"/>
              </w:rPr>
              <w:t xml:space="preserve"> (</w:t>
            </w:r>
            <w:r w:rsidR="0032359A" w:rsidRPr="0016581E">
              <w:rPr>
                <w:szCs w:val="20"/>
              </w:rPr>
              <w:t>54.2, 64.9</w:t>
            </w:r>
            <w:r w:rsidRPr="0016581E">
              <w:rPr>
                <w:szCs w:val="20"/>
              </w:rPr>
              <w:t>)</w:t>
            </w:r>
          </w:p>
        </w:tc>
        <w:tc>
          <w:tcPr>
            <w:tcW w:w="788"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CD4C54" w:rsidRPr="0016581E" w:rsidRDefault="00CD4C54" w:rsidP="00C3720F">
            <w:pPr>
              <w:pStyle w:val="TableText1"/>
              <w:keepNext w:val="0"/>
              <w:widowControl w:val="0"/>
              <w:rPr>
                <w:szCs w:val="20"/>
              </w:rPr>
            </w:pPr>
            <w:r w:rsidRPr="0016581E">
              <w:rPr>
                <w:szCs w:val="20"/>
              </w:rPr>
              <w:t>46.1</w:t>
            </w:r>
            <w:r w:rsidR="00C3720F" w:rsidRPr="0016581E">
              <w:rPr>
                <w:szCs w:val="20"/>
              </w:rPr>
              <w:t>(</w:t>
            </w:r>
            <w:r w:rsidR="0032359A" w:rsidRPr="0016581E">
              <w:rPr>
                <w:szCs w:val="20"/>
              </w:rPr>
              <w:t>37.8, 53.9</w:t>
            </w:r>
            <w:r w:rsidRPr="0016581E">
              <w:rPr>
                <w:szCs w:val="20"/>
              </w:rPr>
              <w:t>)</w:t>
            </w:r>
          </w:p>
        </w:tc>
        <w:tc>
          <w:tcPr>
            <w:tcW w:w="451"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CD4C54" w:rsidRPr="0016581E" w:rsidRDefault="00CD4C54" w:rsidP="00905945">
            <w:pPr>
              <w:pStyle w:val="TableText1"/>
              <w:keepNext w:val="0"/>
              <w:widowControl w:val="0"/>
              <w:rPr>
                <w:szCs w:val="20"/>
              </w:rPr>
            </w:pPr>
            <w:r w:rsidRPr="0016581E">
              <w:rPr>
                <w:szCs w:val="20"/>
              </w:rPr>
              <w:t>13.6</w:t>
            </w:r>
          </w:p>
        </w:tc>
        <w:tc>
          <w:tcPr>
            <w:tcW w:w="1024" w:type="pct"/>
            <w:vMerge/>
            <w:tcBorders>
              <w:left w:val="single" w:sz="4" w:space="0" w:color="auto"/>
              <w:bottom w:val="double" w:sz="4" w:space="0" w:color="auto"/>
            </w:tcBorders>
            <w:shd w:val="clear" w:color="auto" w:fill="auto"/>
            <w:vAlign w:val="center"/>
          </w:tcPr>
          <w:p w:rsidR="00CD4C54" w:rsidRPr="0016581E" w:rsidRDefault="00CD4C54" w:rsidP="00905945">
            <w:pPr>
              <w:pStyle w:val="TableText1"/>
              <w:keepNext w:val="0"/>
              <w:widowControl w:val="0"/>
              <w:rPr>
                <w:szCs w:val="20"/>
              </w:rPr>
            </w:pPr>
          </w:p>
        </w:tc>
      </w:tr>
      <w:tr w:rsidR="001A3287" w:rsidRPr="0016581E" w:rsidTr="00847B55">
        <w:tc>
          <w:tcPr>
            <w:tcW w:w="5000" w:type="pct"/>
            <w:gridSpan w:val="13"/>
            <w:shd w:val="clear" w:color="auto" w:fill="auto"/>
            <w:vAlign w:val="center"/>
          </w:tcPr>
          <w:p w:rsidR="001A3287" w:rsidRPr="0016581E" w:rsidRDefault="001A3287" w:rsidP="001A3287">
            <w:pPr>
              <w:pStyle w:val="TableText1"/>
              <w:keepNext w:val="0"/>
              <w:widowControl w:val="0"/>
              <w:rPr>
                <w:b/>
                <w:szCs w:val="20"/>
              </w:rPr>
            </w:pPr>
            <w:r w:rsidRPr="0016581E">
              <w:rPr>
                <w:b/>
                <w:szCs w:val="20"/>
              </w:rPr>
              <w:t>OS: PALOMA-1</w:t>
            </w:r>
            <w:r w:rsidR="00CB417C" w:rsidRPr="0016581E">
              <w:rPr>
                <w:b/>
                <w:szCs w:val="20"/>
              </w:rPr>
              <w:t xml:space="preserve"> (30 December 2016)</w:t>
            </w:r>
            <w:r w:rsidRPr="0016581E">
              <w:rPr>
                <w:b/>
                <w:szCs w:val="20"/>
                <w:vertAlign w:val="superscript"/>
              </w:rPr>
              <w:t>c</w:t>
            </w:r>
          </w:p>
        </w:tc>
      </w:tr>
      <w:tr w:rsidR="001A3287" w:rsidRPr="0016581E" w:rsidTr="00A873CB">
        <w:tc>
          <w:tcPr>
            <w:tcW w:w="1950" w:type="pct"/>
            <w:gridSpan w:val="5"/>
            <w:tcBorders>
              <w:bottom w:val="single" w:sz="4" w:space="0" w:color="auto"/>
            </w:tcBorders>
            <w:shd w:val="clear" w:color="auto" w:fill="auto"/>
            <w:vAlign w:val="center"/>
          </w:tcPr>
          <w:p w:rsidR="001A3287" w:rsidRPr="0016581E" w:rsidRDefault="00E36298" w:rsidP="00CD4C54">
            <w:pPr>
              <w:pStyle w:val="TableText1"/>
              <w:keepNext w:val="0"/>
              <w:widowControl w:val="0"/>
              <w:rPr>
                <w:szCs w:val="20"/>
              </w:rPr>
            </w:pPr>
            <w:r w:rsidRPr="0016581E">
              <w:rPr>
                <w:szCs w:val="20"/>
              </w:rPr>
              <w:t>Survival</w:t>
            </w:r>
            <w:r w:rsidR="00905945" w:rsidRPr="0016581E">
              <w:rPr>
                <w:szCs w:val="20"/>
              </w:rPr>
              <w:t xml:space="preserve"> at </w:t>
            </w:r>
            <w:r w:rsidR="001A3287" w:rsidRPr="0016581E">
              <w:rPr>
                <w:szCs w:val="20"/>
              </w:rPr>
              <w:t xml:space="preserve">12 months, </w:t>
            </w:r>
            <w:r w:rsidR="00C3720F" w:rsidRPr="0016581E">
              <w:rPr>
                <w:szCs w:val="20"/>
              </w:rPr>
              <w:t>% (95% CI)</w:t>
            </w:r>
          </w:p>
        </w:tc>
        <w:tc>
          <w:tcPr>
            <w:tcW w:w="787" w:type="pct"/>
            <w:gridSpan w:val="2"/>
            <w:tcBorders>
              <w:bottom w:val="single" w:sz="4" w:space="0" w:color="auto"/>
            </w:tcBorders>
            <w:shd w:val="clear" w:color="auto" w:fill="auto"/>
            <w:vAlign w:val="center"/>
          </w:tcPr>
          <w:p w:rsidR="001A3287" w:rsidRPr="0016581E" w:rsidRDefault="001A3287" w:rsidP="00C3720F">
            <w:pPr>
              <w:pStyle w:val="TableText1"/>
              <w:keepNext w:val="0"/>
              <w:widowControl w:val="0"/>
              <w:rPr>
                <w:szCs w:val="20"/>
                <w:highlight w:val="yellow"/>
              </w:rPr>
            </w:pPr>
            <w:r w:rsidRPr="0016581E">
              <w:rPr>
                <w:szCs w:val="20"/>
              </w:rPr>
              <w:t>89.0</w:t>
            </w:r>
            <w:r w:rsidR="00C3720F" w:rsidRPr="0016581E">
              <w:rPr>
                <w:szCs w:val="20"/>
              </w:rPr>
              <w:t xml:space="preserve"> (</w:t>
            </w:r>
            <w:r w:rsidR="009019B2" w:rsidRPr="0016581E">
              <w:rPr>
                <w:szCs w:val="20"/>
              </w:rPr>
              <w:t>80.0, 94.1</w:t>
            </w:r>
            <w:r w:rsidRPr="0016581E">
              <w:rPr>
                <w:szCs w:val="20"/>
              </w:rPr>
              <w:t>)</w:t>
            </w:r>
          </w:p>
        </w:tc>
        <w:tc>
          <w:tcPr>
            <w:tcW w:w="788" w:type="pct"/>
            <w:gridSpan w:val="3"/>
            <w:tcBorders>
              <w:bottom w:val="single" w:sz="4" w:space="0" w:color="auto"/>
            </w:tcBorders>
            <w:shd w:val="clear" w:color="auto" w:fill="auto"/>
            <w:vAlign w:val="center"/>
          </w:tcPr>
          <w:p w:rsidR="001A3287" w:rsidRPr="0016581E" w:rsidRDefault="001A3287" w:rsidP="00C3720F">
            <w:pPr>
              <w:pStyle w:val="TableText1"/>
              <w:keepNext w:val="0"/>
              <w:widowControl w:val="0"/>
              <w:rPr>
                <w:szCs w:val="20"/>
                <w:highlight w:val="yellow"/>
              </w:rPr>
            </w:pPr>
            <w:r w:rsidRPr="0016581E">
              <w:rPr>
                <w:szCs w:val="20"/>
              </w:rPr>
              <w:t>87.0</w:t>
            </w:r>
            <w:r w:rsidR="00C3720F" w:rsidRPr="0016581E">
              <w:rPr>
                <w:szCs w:val="20"/>
              </w:rPr>
              <w:t xml:space="preserve"> (</w:t>
            </w:r>
            <w:r w:rsidR="009019B2" w:rsidRPr="0016581E">
              <w:rPr>
                <w:szCs w:val="20"/>
              </w:rPr>
              <w:t>77.2, 92.8</w:t>
            </w:r>
            <w:r w:rsidRPr="0016581E">
              <w:rPr>
                <w:szCs w:val="20"/>
              </w:rPr>
              <w:t>)</w:t>
            </w:r>
          </w:p>
        </w:tc>
        <w:tc>
          <w:tcPr>
            <w:tcW w:w="451" w:type="pct"/>
            <w:gridSpan w:val="2"/>
            <w:tcBorders>
              <w:bottom w:val="single" w:sz="4" w:space="0" w:color="auto"/>
            </w:tcBorders>
            <w:shd w:val="clear" w:color="auto" w:fill="auto"/>
            <w:vAlign w:val="center"/>
          </w:tcPr>
          <w:p w:rsidR="001A3287" w:rsidRPr="0016581E" w:rsidRDefault="001A3287" w:rsidP="001A3287">
            <w:pPr>
              <w:pStyle w:val="TableText1"/>
              <w:keepNext w:val="0"/>
              <w:widowControl w:val="0"/>
              <w:rPr>
                <w:szCs w:val="20"/>
                <w:highlight w:val="yellow"/>
              </w:rPr>
            </w:pPr>
            <w:r w:rsidRPr="0016581E">
              <w:rPr>
                <w:szCs w:val="20"/>
              </w:rPr>
              <w:t>2.0</w:t>
            </w:r>
          </w:p>
        </w:tc>
        <w:tc>
          <w:tcPr>
            <w:tcW w:w="1024" w:type="pct"/>
            <w:vMerge w:val="restart"/>
            <w:shd w:val="clear" w:color="auto" w:fill="auto"/>
            <w:vAlign w:val="center"/>
          </w:tcPr>
          <w:p w:rsidR="001A3287" w:rsidRPr="0016581E" w:rsidRDefault="001A3287" w:rsidP="001A3287">
            <w:pPr>
              <w:pStyle w:val="TableText1"/>
              <w:keepNext w:val="0"/>
              <w:widowControl w:val="0"/>
              <w:rPr>
                <w:szCs w:val="20"/>
              </w:rPr>
            </w:pPr>
            <w:r w:rsidRPr="0016581E">
              <w:rPr>
                <w:szCs w:val="20"/>
              </w:rPr>
              <w:t>0.897 (0.623, 1.294)</w:t>
            </w:r>
          </w:p>
        </w:tc>
      </w:tr>
      <w:tr w:rsidR="001A3287" w:rsidRPr="0016581E" w:rsidTr="00A873CB">
        <w:tc>
          <w:tcPr>
            <w:tcW w:w="1950" w:type="pct"/>
            <w:gridSpan w:val="5"/>
            <w:tcBorders>
              <w:bottom w:val="single" w:sz="4" w:space="0" w:color="auto"/>
            </w:tcBorders>
            <w:shd w:val="clear" w:color="auto" w:fill="auto"/>
            <w:vAlign w:val="center"/>
          </w:tcPr>
          <w:p w:rsidR="001A3287" w:rsidRPr="0016581E" w:rsidRDefault="00E36298" w:rsidP="00CD4C54">
            <w:pPr>
              <w:pStyle w:val="TableText1"/>
              <w:keepNext w:val="0"/>
              <w:widowControl w:val="0"/>
              <w:rPr>
                <w:szCs w:val="20"/>
              </w:rPr>
            </w:pPr>
            <w:r w:rsidRPr="0016581E">
              <w:rPr>
                <w:szCs w:val="20"/>
              </w:rPr>
              <w:t xml:space="preserve">Survival </w:t>
            </w:r>
            <w:r w:rsidR="00905945" w:rsidRPr="0016581E">
              <w:rPr>
                <w:szCs w:val="20"/>
              </w:rPr>
              <w:t xml:space="preserve">at </w:t>
            </w:r>
            <w:r w:rsidR="001A3287" w:rsidRPr="0016581E">
              <w:rPr>
                <w:szCs w:val="20"/>
              </w:rPr>
              <w:t xml:space="preserve">24 months, </w:t>
            </w:r>
            <w:r w:rsidR="00C3720F" w:rsidRPr="0016581E">
              <w:rPr>
                <w:szCs w:val="20"/>
              </w:rPr>
              <w:t>% (95% CI)</w:t>
            </w:r>
          </w:p>
        </w:tc>
        <w:tc>
          <w:tcPr>
            <w:tcW w:w="787" w:type="pct"/>
            <w:gridSpan w:val="2"/>
            <w:tcBorders>
              <w:bottom w:val="single" w:sz="4" w:space="0" w:color="auto"/>
            </w:tcBorders>
            <w:shd w:val="clear" w:color="auto" w:fill="auto"/>
            <w:vAlign w:val="center"/>
          </w:tcPr>
          <w:p w:rsidR="001A3287" w:rsidRPr="0016581E" w:rsidRDefault="001A3287" w:rsidP="00C3720F">
            <w:pPr>
              <w:pStyle w:val="TableText1"/>
              <w:keepNext w:val="0"/>
              <w:widowControl w:val="0"/>
              <w:rPr>
                <w:szCs w:val="20"/>
              </w:rPr>
            </w:pPr>
            <w:r w:rsidRPr="0016581E">
              <w:rPr>
                <w:szCs w:val="20"/>
              </w:rPr>
              <w:t>77.9</w:t>
            </w:r>
            <w:r w:rsidR="00C3720F" w:rsidRPr="0016581E">
              <w:rPr>
                <w:szCs w:val="20"/>
              </w:rPr>
              <w:t xml:space="preserve"> (</w:t>
            </w:r>
            <w:r w:rsidR="009019B2" w:rsidRPr="0016581E">
              <w:rPr>
                <w:szCs w:val="20"/>
              </w:rPr>
              <w:t>67.2, 85.5</w:t>
            </w:r>
            <w:r w:rsidRPr="0016581E">
              <w:rPr>
                <w:szCs w:val="20"/>
              </w:rPr>
              <w:t>)</w:t>
            </w:r>
          </w:p>
        </w:tc>
        <w:tc>
          <w:tcPr>
            <w:tcW w:w="788" w:type="pct"/>
            <w:gridSpan w:val="3"/>
            <w:tcBorders>
              <w:bottom w:val="single" w:sz="4" w:space="0" w:color="auto"/>
            </w:tcBorders>
            <w:shd w:val="clear" w:color="auto" w:fill="auto"/>
            <w:vAlign w:val="center"/>
          </w:tcPr>
          <w:p w:rsidR="001A3287" w:rsidRPr="0016581E" w:rsidRDefault="001A3287" w:rsidP="00C3720F">
            <w:pPr>
              <w:pStyle w:val="TableText1"/>
              <w:keepNext w:val="0"/>
              <w:widowControl w:val="0"/>
              <w:rPr>
                <w:szCs w:val="20"/>
              </w:rPr>
            </w:pPr>
            <w:r w:rsidRPr="0016581E">
              <w:rPr>
                <w:szCs w:val="20"/>
              </w:rPr>
              <w:t>71.1</w:t>
            </w:r>
            <w:r w:rsidR="00C3720F" w:rsidRPr="0016581E">
              <w:rPr>
                <w:szCs w:val="20"/>
              </w:rPr>
              <w:t xml:space="preserve"> (</w:t>
            </w:r>
            <w:r w:rsidR="009019B2" w:rsidRPr="0016581E">
              <w:rPr>
                <w:szCs w:val="20"/>
              </w:rPr>
              <w:t>59.4, 79.9</w:t>
            </w:r>
            <w:r w:rsidRPr="0016581E">
              <w:rPr>
                <w:szCs w:val="20"/>
              </w:rPr>
              <w:t>)</w:t>
            </w:r>
          </w:p>
        </w:tc>
        <w:tc>
          <w:tcPr>
            <w:tcW w:w="451" w:type="pct"/>
            <w:gridSpan w:val="2"/>
            <w:tcBorders>
              <w:bottom w:val="single" w:sz="4" w:space="0" w:color="auto"/>
            </w:tcBorders>
            <w:shd w:val="clear" w:color="auto" w:fill="auto"/>
            <w:vAlign w:val="center"/>
          </w:tcPr>
          <w:p w:rsidR="001A3287" w:rsidRPr="0016581E" w:rsidRDefault="001A3287" w:rsidP="001A3287">
            <w:pPr>
              <w:pStyle w:val="TableText1"/>
              <w:keepNext w:val="0"/>
              <w:widowControl w:val="0"/>
              <w:rPr>
                <w:szCs w:val="20"/>
              </w:rPr>
            </w:pPr>
            <w:r w:rsidRPr="0016581E">
              <w:rPr>
                <w:szCs w:val="20"/>
              </w:rPr>
              <w:t>6.8</w:t>
            </w:r>
          </w:p>
        </w:tc>
        <w:tc>
          <w:tcPr>
            <w:tcW w:w="1024" w:type="pct"/>
            <w:vMerge/>
            <w:shd w:val="clear" w:color="auto" w:fill="auto"/>
            <w:vAlign w:val="center"/>
          </w:tcPr>
          <w:p w:rsidR="001A3287" w:rsidRPr="0016581E" w:rsidRDefault="001A3287" w:rsidP="001A3287">
            <w:pPr>
              <w:pStyle w:val="TableText1"/>
              <w:keepNext w:val="0"/>
              <w:widowControl w:val="0"/>
              <w:rPr>
                <w:szCs w:val="20"/>
              </w:rPr>
            </w:pPr>
          </w:p>
        </w:tc>
      </w:tr>
      <w:tr w:rsidR="001A3287" w:rsidRPr="0016581E" w:rsidTr="00A873CB">
        <w:tc>
          <w:tcPr>
            <w:tcW w:w="1950" w:type="pct"/>
            <w:gridSpan w:val="5"/>
            <w:tcBorders>
              <w:top w:val="single" w:sz="4" w:space="0" w:color="auto"/>
              <w:bottom w:val="double" w:sz="4" w:space="0" w:color="auto"/>
            </w:tcBorders>
            <w:shd w:val="clear" w:color="auto" w:fill="auto"/>
            <w:vAlign w:val="center"/>
          </w:tcPr>
          <w:p w:rsidR="001A3287" w:rsidRPr="0016581E" w:rsidRDefault="00E36298" w:rsidP="00CD4C54">
            <w:pPr>
              <w:pStyle w:val="TableText1"/>
              <w:keepNext w:val="0"/>
              <w:widowControl w:val="0"/>
              <w:rPr>
                <w:szCs w:val="20"/>
              </w:rPr>
            </w:pPr>
            <w:r w:rsidRPr="0016581E">
              <w:rPr>
                <w:szCs w:val="20"/>
              </w:rPr>
              <w:t xml:space="preserve">Survival </w:t>
            </w:r>
            <w:r w:rsidR="00905945" w:rsidRPr="0016581E">
              <w:rPr>
                <w:szCs w:val="20"/>
              </w:rPr>
              <w:t xml:space="preserve">at </w:t>
            </w:r>
            <w:r w:rsidR="001A3287" w:rsidRPr="0016581E">
              <w:rPr>
                <w:szCs w:val="20"/>
              </w:rPr>
              <w:t xml:space="preserve">36 months, </w:t>
            </w:r>
            <w:r w:rsidR="00C3720F" w:rsidRPr="0016581E">
              <w:rPr>
                <w:szCs w:val="20"/>
              </w:rPr>
              <w:t>% (95% CI)</w:t>
            </w:r>
          </w:p>
        </w:tc>
        <w:tc>
          <w:tcPr>
            <w:tcW w:w="787" w:type="pct"/>
            <w:gridSpan w:val="2"/>
            <w:tcBorders>
              <w:top w:val="single" w:sz="4" w:space="0" w:color="auto"/>
              <w:bottom w:val="double" w:sz="4" w:space="0" w:color="auto"/>
            </w:tcBorders>
            <w:shd w:val="clear" w:color="auto" w:fill="auto"/>
            <w:vAlign w:val="center"/>
          </w:tcPr>
          <w:p w:rsidR="001A3287" w:rsidRPr="0016581E" w:rsidRDefault="001A3287" w:rsidP="00C3720F">
            <w:pPr>
              <w:pStyle w:val="TableText1"/>
              <w:keepNext w:val="0"/>
              <w:widowControl w:val="0"/>
              <w:rPr>
                <w:szCs w:val="20"/>
              </w:rPr>
            </w:pPr>
            <w:r w:rsidRPr="0016581E">
              <w:rPr>
                <w:szCs w:val="20"/>
              </w:rPr>
              <w:t>50.8</w:t>
            </w:r>
            <w:r w:rsidR="00C3720F" w:rsidRPr="0016581E">
              <w:rPr>
                <w:szCs w:val="20"/>
              </w:rPr>
              <w:t xml:space="preserve"> (</w:t>
            </w:r>
            <w:r w:rsidR="009019B2" w:rsidRPr="0016581E">
              <w:rPr>
                <w:szCs w:val="20"/>
              </w:rPr>
              <w:t>39.3, 61.2</w:t>
            </w:r>
            <w:r w:rsidRPr="0016581E">
              <w:rPr>
                <w:szCs w:val="20"/>
              </w:rPr>
              <w:t>)</w:t>
            </w:r>
          </w:p>
        </w:tc>
        <w:tc>
          <w:tcPr>
            <w:tcW w:w="788" w:type="pct"/>
            <w:gridSpan w:val="3"/>
            <w:tcBorders>
              <w:top w:val="single" w:sz="4" w:space="0" w:color="auto"/>
              <w:bottom w:val="double" w:sz="4" w:space="0" w:color="auto"/>
            </w:tcBorders>
            <w:shd w:val="clear" w:color="auto" w:fill="auto"/>
            <w:vAlign w:val="center"/>
          </w:tcPr>
          <w:p w:rsidR="001A3287" w:rsidRPr="0016581E" w:rsidRDefault="001A3287" w:rsidP="00C3720F">
            <w:pPr>
              <w:pStyle w:val="TableText1"/>
              <w:keepNext w:val="0"/>
              <w:widowControl w:val="0"/>
              <w:rPr>
                <w:szCs w:val="20"/>
              </w:rPr>
            </w:pPr>
            <w:r w:rsidRPr="0016581E">
              <w:rPr>
                <w:szCs w:val="20"/>
              </w:rPr>
              <w:t>47.4</w:t>
            </w:r>
            <w:r w:rsidR="00C3720F" w:rsidRPr="0016581E">
              <w:rPr>
                <w:szCs w:val="20"/>
              </w:rPr>
              <w:t xml:space="preserve"> (</w:t>
            </w:r>
            <w:r w:rsidR="00576E33" w:rsidRPr="0016581E">
              <w:rPr>
                <w:szCs w:val="20"/>
              </w:rPr>
              <w:t>35.6, 58.3</w:t>
            </w:r>
            <w:r w:rsidRPr="0016581E">
              <w:rPr>
                <w:szCs w:val="20"/>
              </w:rPr>
              <w:t>)</w:t>
            </w:r>
          </w:p>
        </w:tc>
        <w:tc>
          <w:tcPr>
            <w:tcW w:w="451" w:type="pct"/>
            <w:gridSpan w:val="2"/>
            <w:tcBorders>
              <w:top w:val="single" w:sz="4" w:space="0" w:color="auto"/>
              <w:bottom w:val="double" w:sz="4" w:space="0" w:color="auto"/>
            </w:tcBorders>
            <w:shd w:val="clear" w:color="auto" w:fill="auto"/>
            <w:vAlign w:val="center"/>
          </w:tcPr>
          <w:p w:rsidR="001A3287" w:rsidRPr="0016581E" w:rsidRDefault="001A3287" w:rsidP="001A3287">
            <w:pPr>
              <w:pStyle w:val="TableText1"/>
              <w:keepNext w:val="0"/>
              <w:widowControl w:val="0"/>
              <w:rPr>
                <w:szCs w:val="20"/>
              </w:rPr>
            </w:pPr>
            <w:r w:rsidRPr="0016581E">
              <w:rPr>
                <w:szCs w:val="20"/>
              </w:rPr>
              <w:t>3.4</w:t>
            </w:r>
          </w:p>
        </w:tc>
        <w:tc>
          <w:tcPr>
            <w:tcW w:w="1024" w:type="pct"/>
            <w:vMerge/>
            <w:tcBorders>
              <w:bottom w:val="double" w:sz="4" w:space="0" w:color="auto"/>
            </w:tcBorders>
            <w:shd w:val="clear" w:color="auto" w:fill="auto"/>
            <w:vAlign w:val="center"/>
          </w:tcPr>
          <w:p w:rsidR="001A3287" w:rsidRPr="0016581E" w:rsidRDefault="001A3287" w:rsidP="001A3287">
            <w:pPr>
              <w:pStyle w:val="TableText1"/>
              <w:keepNext w:val="0"/>
              <w:widowControl w:val="0"/>
              <w:rPr>
                <w:szCs w:val="20"/>
              </w:rPr>
            </w:pPr>
          </w:p>
        </w:tc>
      </w:tr>
      <w:tr w:rsidR="001A3287" w:rsidRPr="0016581E" w:rsidTr="00353CDC">
        <w:tc>
          <w:tcPr>
            <w:tcW w:w="5000" w:type="pct"/>
            <w:gridSpan w:val="13"/>
            <w:tcBorders>
              <w:top w:val="double" w:sz="4" w:space="0" w:color="auto"/>
            </w:tcBorders>
            <w:shd w:val="clear" w:color="auto" w:fill="auto"/>
            <w:vAlign w:val="center"/>
          </w:tcPr>
          <w:p w:rsidR="001A3287" w:rsidRPr="0016581E" w:rsidRDefault="001A3287" w:rsidP="001A3287">
            <w:pPr>
              <w:pStyle w:val="TableText1"/>
              <w:keepNext w:val="0"/>
              <w:widowControl w:val="0"/>
              <w:rPr>
                <w:b/>
                <w:szCs w:val="20"/>
                <w:u w:val="single"/>
              </w:rPr>
            </w:pPr>
            <w:r w:rsidRPr="0016581E">
              <w:rPr>
                <w:b/>
                <w:szCs w:val="20"/>
                <w:u w:val="single"/>
              </w:rPr>
              <w:t>Harms</w:t>
            </w:r>
          </w:p>
        </w:tc>
      </w:tr>
      <w:tr w:rsidR="001A3287" w:rsidRPr="0016581E" w:rsidTr="00245C2D">
        <w:trPr>
          <w:trHeight w:val="70"/>
        </w:trPr>
        <w:tc>
          <w:tcPr>
            <w:tcW w:w="979" w:type="pct"/>
            <w:vMerge w:val="restart"/>
            <w:shd w:val="clear" w:color="auto" w:fill="auto"/>
            <w:vAlign w:val="center"/>
          </w:tcPr>
          <w:p w:rsidR="001A3287" w:rsidRPr="0016581E" w:rsidRDefault="001A3287" w:rsidP="001A3287">
            <w:pPr>
              <w:pStyle w:val="TableText1"/>
              <w:keepNext w:val="0"/>
              <w:widowControl w:val="0"/>
              <w:rPr>
                <w:szCs w:val="20"/>
                <w:highlight w:val="yellow"/>
              </w:rPr>
            </w:pPr>
          </w:p>
        </w:tc>
        <w:tc>
          <w:tcPr>
            <w:tcW w:w="612" w:type="pct"/>
            <w:gridSpan w:val="2"/>
            <w:vMerge w:val="restart"/>
            <w:shd w:val="clear" w:color="auto" w:fill="auto"/>
            <w:vAlign w:val="center"/>
          </w:tcPr>
          <w:p w:rsidR="001A3287" w:rsidRPr="0016581E" w:rsidRDefault="001A3287" w:rsidP="001A3287">
            <w:pPr>
              <w:pStyle w:val="TableText1"/>
              <w:keepNext w:val="0"/>
              <w:widowControl w:val="0"/>
              <w:rPr>
                <w:b/>
                <w:szCs w:val="20"/>
              </w:rPr>
            </w:pPr>
            <w:r w:rsidRPr="0016581E">
              <w:rPr>
                <w:b/>
                <w:szCs w:val="20"/>
              </w:rPr>
              <w:t>Palbociclib + letrozole</w:t>
            </w:r>
          </w:p>
        </w:tc>
        <w:tc>
          <w:tcPr>
            <w:tcW w:w="440" w:type="pct"/>
            <w:gridSpan w:val="3"/>
            <w:vMerge w:val="restart"/>
            <w:shd w:val="clear" w:color="auto" w:fill="auto"/>
            <w:vAlign w:val="center"/>
          </w:tcPr>
          <w:p w:rsidR="001A3287" w:rsidRPr="0016581E" w:rsidRDefault="001A3287" w:rsidP="001A3287">
            <w:pPr>
              <w:pStyle w:val="TableText1"/>
              <w:keepNext w:val="0"/>
              <w:widowControl w:val="0"/>
              <w:rPr>
                <w:b/>
                <w:szCs w:val="20"/>
              </w:rPr>
            </w:pPr>
            <w:r w:rsidRPr="0016581E">
              <w:rPr>
                <w:b/>
                <w:szCs w:val="20"/>
              </w:rPr>
              <w:t>Letrozole alone</w:t>
            </w:r>
          </w:p>
        </w:tc>
        <w:tc>
          <w:tcPr>
            <w:tcW w:w="781" w:type="pct"/>
            <w:gridSpan w:val="2"/>
            <w:vMerge w:val="restart"/>
            <w:shd w:val="clear" w:color="auto" w:fill="auto"/>
            <w:vAlign w:val="center"/>
          </w:tcPr>
          <w:p w:rsidR="001A3287" w:rsidRPr="0016581E" w:rsidRDefault="001A3287" w:rsidP="001A3287">
            <w:pPr>
              <w:pStyle w:val="TableText1"/>
              <w:keepNext w:val="0"/>
              <w:widowControl w:val="0"/>
              <w:rPr>
                <w:b/>
                <w:szCs w:val="20"/>
              </w:rPr>
            </w:pPr>
            <w:r w:rsidRPr="0016581E">
              <w:rPr>
                <w:b/>
                <w:szCs w:val="20"/>
              </w:rPr>
              <w:t>RR</w:t>
            </w:r>
          </w:p>
          <w:p w:rsidR="001A3287" w:rsidRPr="0016581E" w:rsidRDefault="001A3287" w:rsidP="001A3287">
            <w:pPr>
              <w:pStyle w:val="TableText1"/>
              <w:keepNext w:val="0"/>
              <w:widowControl w:val="0"/>
              <w:rPr>
                <w:b/>
                <w:szCs w:val="20"/>
              </w:rPr>
            </w:pPr>
            <w:r w:rsidRPr="0016581E">
              <w:rPr>
                <w:b/>
                <w:szCs w:val="20"/>
              </w:rPr>
              <w:t>(95% CI)</w:t>
            </w:r>
          </w:p>
        </w:tc>
        <w:tc>
          <w:tcPr>
            <w:tcW w:w="1094" w:type="pct"/>
            <w:gridSpan w:val="3"/>
            <w:shd w:val="clear" w:color="auto" w:fill="auto"/>
            <w:vAlign w:val="center"/>
          </w:tcPr>
          <w:p w:rsidR="001A3287" w:rsidRPr="0016581E" w:rsidRDefault="001A3287" w:rsidP="004C70AD">
            <w:pPr>
              <w:pStyle w:val="TableText1"/>
              <w:keepNext w:val="0"/>
              <w:widowControl w:val="0"/>
              <w:rPr>
                <w:b/>
                <w:szCs w:val="20"/>
              </w:rPr>
            </w:pPr>
            <w:r w:rsidRPr="0016581E">
              <w:rPr>
                <w:b/>
                <w:szCs w:val="20"/>
              </w:rPr>
              <w:t xml:space="preserve">Events/100 patients </w:t>
            </w:r>
          </w:p>
        </w:tc>
        <w:tc>
          <w:tcPr>
            <w:tcW w:w="1094" w:type="pct"/>
            <w:gridSpan w:val="2"/>
            <w:vMerge w:val="restart"/>
            <w:shd w:val="clear" w:color="auto" w:fill="auto"/>
            <w:vAlign w:val="center"/>
          </w:tcPr>
          <w:p w:rsidR="001A3287" w:rsidRPr="0016581E" w:rsidRDefault="001A3287" w:rsidP="001A3287">
            <w:pPr>
              <w:pStyle w:val="TableText1"/>
              <w:keepNext w:val="0"/>
              <w:widowControl w:val="0"/>
              <w:rPr>
                <w:b/>
                <w:szCs w:val="20"/>
              </w:rPr>
            </w:pPr>
            <w:r w:rsidRPr="0016581E">
              <w:rPr>
                <w:b/>
                <w:szCs w:val="20"/>
              </w:rPr>
              <w:t>RD</w:t>
            </w:r>
          </w:p>
          <w:p w:rsidR="001A3287" w:rsidRPr="0016581E" w:rsidRDefault="001A3287" w:rsidP="001A3287">
            <w:pPr>
              <w:pStyle w:val="TableText1"/>
              <w:keepNext w:val="0"/>
              <w:widowControl w:val="0"/>
              <w:rPr>
                <w:b/>
                <w:szCs w:val="20"/>
              </w:rPr>
            </w:pPr>
            <w:r w:rsidRPr="0016581E">
              <w:rPr>
                <w:b/>
                <w:szCs w:val="20"/>
              </w:rPr>
              <w:t>(95% CI)</w:t>
            </w:r>
          </w:p>
        </w:tc>
      </w:tr>
      <w:tr w:rsidR="001A3287" w:rsidRPr="0016581E" w:rsidTr="00245C2D">
        <w:trPr>
          <w:trHeight w:val="390"/>
        </w:trPr>
        <w:tc>
          <w:tcPr>
            <w:tcW w:w="979" w:type="pct"/>
            <w:vMerge/>
            <w:shd w:val="clear" w:color="auto" w:fill="auto"/>
            <w:vAlign w:val="center"/>
          </w:tcPr>
          <w:p w:rsidR="001A3287" w:rsidRPr="0016581E" w:rsidRDefault="001A3287" w:rsidP="001A3287">
            <w:pPr>
              <w:pStyle w:val="TableText1"/>
              <w:keepNext w:val="0"/>
              <w:widowControl w:val="0"/>
              <w:rPr>
                <w:szCs w:val="20"/>
                <w:highlight w:val="yellow"/>
              </w:rPr>
            </w:pPr>
          </w:p>
        </w:tc>
        <w:tc>
          <w:tcPr>
            <w:tcW w:w="612" w:type="pct"/>
            <w:gridSpan w:val="2"/>
            <w:vMerge/>
            <w:shd w:val="clear" w:color="auto" w:fill="auto"/>
            <w:vAlign w:val="center"/>
          </w:tcPr>
          <w:p w:rsidR="001A3287" w:rsidRPr="0016581E" w:rsidRDefault="001A3287" w:rsidP="001A3287">
            <w:pPr>
              <w:pStyle w:val="TableText1"/>
              <w:keepNext w:val="0"/>
              <w:widowControl w:val="0"/>
              <w:rPr>
                <w:szCs w:val="20"/>
                <w:highlight w:val="yellow"/>
              </w:rPr>
            </w:pPr>
          </w:p>
        </w:tc>
        <w:tc>
          <w:tcPr>
            <w:tcW w:w="440" w:type="pct"/>
            <w:gridSpan w:val="3"/>
            <w:vMerge/>
            <w:shd w:val="clear" w:color="auto" w:fill="auto"/>
            <w:vAlign w:val="center"/>
          </w:tcPr>
          <w:p w:rsidR="001A3287" w:rsidRPr="0016581E" w:rsidRDefault="001A3287" w:rsidP="001A3287">
            <w:pPr>
              <w:pStyle w:val="TableText1"/>
              <w:keepNext w:val="0"/>
              <w:widowControl w:val="0"/>
              <w:rPr>
                <w:szCs w:val="20"/>
                <w:highlight w:val="yellow"/>
              </w:rPr>
            </w:pPr>
          </w:p>
        </w:tc>
        <w:tc>
          <w:tcPr>
            <w:tcW w:w="781" w:type="pct"/>
            <w:gridSpan w:val="2"/>
            <w:vMerge/>
            <w:shd w:val="clear" w:color="auto" w:fill="auto"/>
            <w:vAlign w:val="center"/>
          </w:tcPr>
          <w:p w:rsidR="001A3287" w:rsidRPr="0016581E" w:rsidRDefault="001A3287" w:rsidP="001A3287">
            <w:pPr>
              <w:pStyle w:val="TableText1"/>
              <w:keepNext w:val="0"/>
              <w:widowControl w:val="0"/>
              <w:rPr>
                <w:szCs w:val="20"/>
                <w:highlight w:val="yellow"/>
              </w:rPr>
            </w:pPr>
          </w:p>
        </w:tc>
        <w:tc>
          <w:tcPr>
            <w:tcW w:w="625" w:type="pct"/>
            <w:shd w:val="clear" w:color="auto" w:fill="auto"/>
            <w:vAlign w:val="center"/>
          </w:tcPr>
          <w:p w:rsidR="001A3287" w:rsidRPr="0016581E" w:rsidRDefault="001A3287" w:rsidP="001A3287">
            <w:pPr>
              <w:pStyle w:val="TableText1"/>
              <w:keepNext w:val="0"/>
              <w:widowControl w:val="0"/>
              <w:rPr>
                <w:b/>
                <w:szCs w:val="20"/>
                <w:highlight w:val="yellow"/>
              </w:rPr>
            </w:pPr>
            <w:r w:rsidRPr="0016581E">
              <w:rPr>
                <w:b/>
                <w:szCs w:val="20"/>
              </w:rPr>
              <w:t>Palbociclib + letrozole</w:t>
            </w:r>
          </w:p>
        </w:tc>
        <w:tc>
          <w:tcPr>
            <w:tcW w:w="469" w:type="pct"/>
            <w:gridSpan w:val="2"/>
            <w:shd w:val="clear" w:color="auto" w:fill="auto"/>
            <w:vAlign w:val="center"/>
          </w:tcPr>
          <w:p w:rsidR="001A3287" w:rsidRPr="0016581E" w:rsidRDefault="001A3287" w:rsidP="001A3287">
            <w:pPr>
              <w:pStyle w:val="TableText1"/>
              <w:keepNext w:val="0"/>
              <w:widowControl w:val="0"/>
              <w:rPr>
                <w:b/>
                <w:szCs w:val="20"/>
                <w:highlight w:val="yellow"/>
              </w:rPr>
            </w:pPr>
            <w:r w:rsidRPr="0016581E">
              <w:rPr>
                <w:b/>
                <w:szCs w:val="20"/>
              </w:rPr>
              <w:t>Letrozole alone</w:t>
            </w:r>
          </w:p>
        </w:tc>
        <w:tc>
          <w:tcPr>
            <w:tcW w:w="1094" w:type="pct"/>
            <w:gridSpan w:val="2"/>
            <w:vMerge/>
            <w:shd w:val="clear" w:color="auto" w:fill="auto"/>
            <w:vAlign w:val="center"/>
          </w:tcPr>
          <w:p w:rsidR="001A3287" w:rsidRPr="0016581E" w:rsidRDefault="001A3287" w:rsidP="001A3287">
            <w:pPr>
              <w:pStyle w:val="TableText1"/>
              <w:keepNext w:val="0"/>
              <w:widowControl w:val="0"/>
              <w:rPr>
                <w:szCs w:val="20"/>
                <w:highlight w:val="yellow"/>
              </w:rPr>
            </w:pPr>
          </w:p>
        </w:tc>
      </w:tr>
      <w:tr w:rsidR="001A3287" w:rsidRPr="0016581E" w:rsidTr="00353CDC">
        <w:tc>
          <w:tcPr>
            <w:tcW w:w="5000" w:type="pct"/>
            <w:gridSpan w:val="13"/>
            <w:shd w:val="clear" w:color="auto" w:fill="auto"/>
            <w:vAlign w:val="center"/>
          </w:tcPr>
          <w:p w:rsidR="001A3287" w:rsidRPr="0016581E" w:rsidRDefault="001A3287" w:rsidP="001A3287">
            <w:pPr>
              <w:pStyle w:val="TableText1"/>
              <w:keepNext w:val="0"/>
              <w:widowControl w:val="0"/>
              <w:rPr>
                <w:b/>
                <w:szCs w:val="20"/>
                <w:highlight w:val="yellow"/>
              </w:rPr>
            </w:pPr>
            <w:r w:rsidRPr="0016581E">
              <w:rPr>
                <w:b/>
                <w:color w:val="000000"/>
                <w:szCs w:val="20"/>
              </w:rPr>
              <w:t>Grade&gt;3 adverse events</w:t>
            </w:r>
          </w:p>
        </w:tc>
      </w:tr>
      <w:tr w:rsidR="001A3287" w:rsidRPr="0016581E" w:rsidTr="00245C2D">
        <w:tc>
          <w:tcPr>
            <w:tcW w:w="985" w:type="pct"/>
            <w:gridSpan w:val="2"/>
            <w:shd w:val="clear" w:color="auto" w:fill="auto"/>
          </w:tcPr>
          <w:p w:rsidR="001A3287" w:rsidRPr="0016581E" w:rsidRDefault="001A3287" w:rsidP="001A3287">
            <w:pPr>
              <w:pStyle w:val="TableText1"/>
              <w:keepNext w:val="0"/>
              <w:widowControl w:val="0"/>
              <w:rPr>
                <w:szCs w:val="20"/>
                <w:highlight w:val="yellow"/>
              </w:rPr>
            </w:pPr>
            <w:r w:rsidRPr="0016581E">
              <w:rPr>
                <w:color w:val="000000"/>
                <w:szCs w:val="20"/>
              </w:rPr>
              <w:t xml:space="preserve">PALOMA-1 </w:t>
            </w:r>
            <w:r w:rsidRPr="0016581E">
              <w:rPr>
                <w:szCs w:val="20"/>
                <w:vertAlign w:val="superscript"/>
              </w:rPr>
              <w:t>c</w:t>
            </w:r>
          </w:p>
        </w:tc>
        <w:tc>
          <w:tcPr>
            <w:tcW w:w="610"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65/83</w:t>
            </w:r>
          </w:p>
        </w:tc>
        <w:tc>
          <w:tcPr>
            <w:tcW w:w="436"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16/77</w:t>
            </w:r>
          </w:p>
        </w:tc>
        <w:tc>
          <w:tcPr>
            <w:tcW w:w="781" w:type="pct"/>
            <w:gridSpan w:val="2"/>
            <w:shd w:val="clear" w:color="auto" w:fill="auto"/>
            <w:vAlign w:val="center"/>
          </w:tcPr>
          <w:p w:rsidR="001A3287" w:rsidRPr="0016581E" w:rsidRDefault="001A3287" w:rsidP="001A3287">
            <w:pPr>
              <w:pStyle w:val="TableText1"/>
              <w:keepNext w:val="0"/>
              <w:widowControl w:val="0"/>
              <w:rPr>
                <w:color w:val="000000"/>
                <w:szCs w:val="20"/>
              </w:rPr>
            </w:pPr>
            <w:r w:rsidRPr="0016581E">
              <w:rPr>
                <w:color w:val="000000"/>
                <w:szCs w:val="20"/>
              </w:rPr>
              <w:t>3.8 (2.4, 5.9)</w:t>
            </w:r>
          </w:p>
        </w:tc>
        <w:tc>
          <w:tcPr>
            <w:tcW w:w="625" w:type="pct"/>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78.3</w:t>
            </w:r>
          </w:p>
        </w:tc>
        <w:tc>
          <w:tcPr>
            <w:tcW w:w="469"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20.8</w:t>
            </w:r>
          </w:p>
        </w:tc>
        <w:tc>
          <w:tcPr>
            <w:tcW w:w="1094"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57.5% (44.9%, 70.2%)</w:t>
            </w:r>
          </w:p>
        </w:tc>
      </w:tr>
      <w:tr w:rsidR="001A3287" w:rsidRPr="0016581E" w:rsidTr="00245C2D">
        <w:tc>
          <w:tcPr>
            <w:tcW w:w="985" w:type="pct"/>
            <w:gridSpan w:val="2"/>
            <w:shd w:val="clear" w:color="auto" w:fill="auto"/>
          </w:tcPr>
          <w:p w:rsidR="001A3287" w:rsidRPr="0016581E" w:rsidRDefault="001A3287" w:rsidP="001A3287">
            <w:pPr>
              <w:pStyle w:val="TableText1"/>
              <w:keepNext w:val="0"/>
              <w:widowControl w:val="0"/>
              <w:rPr>
                <w:szCs w:val="20"/>
                <w:highlight w:val="yellow"/>
              </w:rPr>
            </w:pPr>
            <w:r w:rsidRPr="0016581E">
              <w:rPr>
                <w:color w:val="000000"/>
                <w:szCs w:val="20"/>
              </w:rPr>
              <w:t xml:space="preserve">PALOMA-2 </w:t>
            </w:r>
            <w:r w:rsidRPr="0016581E">
              <w:rPr>
                <w:szCs w:val="20"/>
                <w:vertAlign w:val="superscript"/>
              </w:rPr>
              <w:t>b</w:t>
            </w:r>
          </w:p>
        </w:tc>
        <w:tc>
          <w:tcPr>
            <w:tcW w:w="610"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354/444</w:t>
            </w:r>
          </w:p>
        </w:tc>
        <w:tc>
          <w:tcPr>
            <w:tcW w:w="436"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60/222</w:t>
            </w:r>
          </w:p>
        </w:tc>
        <w:tc>
          <w:tcPr>
            <w:tcW w:w="781" w:type="pct"/>
            <w:gridSpan w:val="2"/>
            <w:shd w:val="clear" w:color="auto" w:fill="auto"/>
            <w:vAlign w:val="center"/>
          </w:tcPr>
          <w:p w:rsidR="001A3287" w:rsidRPr="0016581E" w:rsidRDefault="001A3287" w:rsidP="001A3287">
            <w:pPr>
              <w:pStyle w:val="TableText1"/>
              <w:keepNext w:val="0"/>
              <w:widowControl w:val="0"/>
              <w:rPr>
                <w:color w:val="000000"/>
                <w:szCs w:val="20"/>
              </w:rPr>
            </w:pPr>
            <w:r w:rsidRPr="0016581E">
              <w:rPr>
                <w:color w:val="000000"/>
                <w:szCs w:val="20"/>
              </w:rPr>
              <w:t>3.0 (2.4, 3.7)</w:t>
            </w:r>
          </w:p>
        </w:tc>
        <w:tc>
          <w:tcPr>
            <w:tcW w:w="625" w:type="pct"/>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79.8</w:t>
            </w:r>
          </w:p>
        </w:tc>
        <w:tc>
          <w:tcPr>
            <w:tcW w:w="469"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27.0</w:t>
            </w:r>
          </w:p>
        </w:tc>
        <w:tc>
          <w:tcPr>
            <w:tcW w:w="1094" w:type="pct"/>
            <w:gridSpan w:val="2"/>
            <w:shd w:val="clear" w:color="auto" w:fill="auto"/>
            <w:vAlign w:val="center"/>
          </w:tcPr>
          <w:p w:rsidR="001A3287" w:rsidRPr="0016581E" w:rsidRDefault="001A3287" w:rsidP="001A3287">
            <w:pPr>
              <w:pStyle w:val="TableText1"/>
              <w:keepNext w:val="0"/>
              <w:widowControl w:val="0"/>
              <w:rPr>
                <w:szCs w:val="20"/>
                <w:highlight w:val="yellow"/>
              </w:rPr>
            </w:pPr>
            <w:r w:rsidRPr="0016581E">
              <w:rPr>
                <w:color w:val="000000"/>
                <w:szCs w:val="20"/>
              </w:rPr>
              <w:t>52.7% (45.8%, 59.6%)</w:t>
            </w:r>
          </w:p>
        </w:tc>
      </w:tr>
      <w:tr w:rsidR="001A3287" w:rsidRPr="0016581E" w:rsidTr="00353CDC">
        <w:tc>
          <w:tcPr>
            <w:tcW w:w="5000" w:type="pct"/>
            <w:gridSpan w:val="13"/>
            <w:shd w:val="clear" w:color="auto" w:fill="auto"/>
            <w:vAlign w:val="center"/>
          </w:tcPr>
          <w:p w:rsidR="001A3287" w:rsidRPr="0016581E" w:rsidRDefault="001A3287" w:rsidP="001A3287">
            <w:pPr>
              <w:pStyle w:val="TableText1"/>
              <w:keepNext w:val="0"/>
              <w:widowControl w:val="0"/>
              <w:rPr>
                <w:b/>
                <w:szCs w:val="20"/>
                <w:highlight w:val="yellow"/>
              </w:rPr>
            </w:pPr>
            <w:r w:rsidRPr="0016581E">
              <w:rPr>
                <w:b/>
                <w:color w:val="000000"/>
                <w:szCs w:val="20"/>
              </w:rPr>
              <w:t>Neutropenia</w:t>
            </w:r>
          </w:p>
        </w:tc>
      </w:tr>
      <w:tr w:rsidR="009503D4" w:rsidRPr="0016581E" w:rsidTr="00245C2D">
        <w:tc>
          <w:tcPr>
            <w:tcW w:w="985" w:type="pct"/>
            <w:gridSpan w:val="2"/>
            <w:shd w:val="clear" w:color="auto" w:fill="auto"/>
          </w:tcPr>
          <w:p w:rsidR="009503D4" w:rsidRPr="0016581E" w:rsidRDefault="009503D4" w:rsidP="009503D4">
            <w:pPr>
              <w:pStyle w:val="TableText1"/>
              <w:keepNext w:val="0"/>
              <w:widowControl w:val="0"/>
              <w:rPr>
                <w:color w:val="000000"/>
                <w:szCs w:val="20"/>
              </w:rPr>
            </w:pPr>
            <w:r w:rsidRPr="0016581E">
              <w:rPr>
                <w:color w:val="000000"/>
                <w:szCs w:val="20"/>
              </w:rPr>
              <w:t>PALOMA-1 (grade 3)</w:t>
            </w:r>
            <w:r w:rsidRPr="0016581E">
              <w:rPr>
                <w:szCs w:val="20"/>
                <w:vertAlign w:val="superscript"/>
              </w:rPr>
              <w:t>c</w:t>
            </w:r>
          </w:p>
        </w:tc>
        <w:tc>
          <w:tcPr>
            <w:tcW w:w="610" w:type="pct"/>
            <w:gridSpan w:val="2"/>
            <w:shd w:val="clear" w:color="auto" w:fill="auto"/>
          </w:tcPr>
          <w:p w:rsidR="009503D4" w:rsidRPr="0016581E" w:rsidRDefault="00806BA0" w:rsidP="001A3287">
            <w:pPr>
              <w:pStyle w:val="TableText1"/>
              <w:keepNext w:val="0"/>
              <w:widowControl w:val="0"/>
              <w:rPr>
                <w:color w:val="000000"/>
                <w:szCs w:val="20"/>
              </w:rPr>
            </w:pPr>
            <w:r w:rsidRPr="0016581E">
              <w:rPr>
                <w:color w:val="000000"/>
                <w:szCs w:val="20"/>
              </w:rPr>
              <w:t>NR</w:t>
            </w:r>
          </w:p>
        </w:tc>
        <w:tc>
          <w:tcPr>
            <w:tcW w:w="436" w:type="pct"/>
            <w:gridSpan w:val="2"/>
            <w:shd w:val="clear" w:color="auto" w:fill="auto"/>
          </w:tcPr>
          <w:p w:rsidR="009503D4" w:rsidRPr="0016581E" w:rsidRDefault="00806BA0" w:rsidP="001A3287">
            <w:pPr>
              <w:pStyle w:val="TableText1"/>
              <w:keepNext w:val="0"/>
              <w:widowControl w:val="0"/>
              <w:rPr>
                <w:color w:val="000000"/>
                <w:szCs w:val="20"/>
              </w:rPr>
            </w:pPr>
            <w:r w:rsidRPr="0016581E">
              <w:rPr>
                <w:color w:val="000000"/>
                <w:szCs w:val="20"/>
              </w:rPr>
              <w:t>NR</w:t>
            </w:r>
          </w:p>
        </w:tc>
        <w:tc>
          <w:tcPr>
            <w:tcW w:w="781" w:type="pct"/>
            <w:gridSpan w:val="2"/>
            <w:shd w:val="clear" w:color="auto" w:fill="auto"/>
          </w:tcPr>
          <w:p w:rsidR="009503D4" w:rsidRPr="0016581E" w:rsidRDefault="002A32F7" w:rsidP="001A3287">
            <w:pPr>
              <w:pStyle w:val="TableText1"/>
              <w:keepNext w:val="0"/>
              <w:widowControl w:val="0"/>
              <w:rPr>
                <w:color w:val="000000"/>
                <w:szCs w:val="20"/>
              </w:rPr>
            </w:pPr>
            <w:r w:rsidRPr="0016581E">
              <w:rPr>
                <w:color w:val="000000"/>
                <w:szCs w:val="20"/>
              </w:rPr>
              <w:t>53.0 (5.7, 493.7)</w:t>
            </w:r>
          </w:p>
        </w:tc>
        <w:tc>
          <w:tcPr>
            <w:tcW w:w="625" w:type="pct"/>
            <w:shd w:val="clear" w:color="auto" w:fill="auto"/>
          </w:tcPr>
          <w:p w:rsidR="009503D4" w:rsidRPr="0016581E" w:rsidRDefault="00806BA0" w:rsidP="001A3287">
            <w:pPr>
              <w:pStyle w:val="TableText1"/>
              <w:keepNext w:val="0"/>
              <w:widowControl w:val="0"/>
              <w:rPr>
                <w:color w:val="000000"/>
                <w:szCs w:val="20"/>
              </w:rPr>
            </w:pPr>
            <w:r w:rsidRPr="0016581E">
              <w:rPr>
                <w:color w:val="000000"/>
                <w:szCs w:val="20"/>
              </w:rPr>
              <w:t>53</w:t>
            </w:r>
          </w:p>
        </w:tc>
        <w:tc>
          <w:tcPr>
            <w:tcW w:w="469" w:type="pct"/>
            <w:gridSpan w:val="2"/>
            <w:shd w:val="clear" w:color="auto" w:fill="auto"/>
          </w:tcPr>
          <w:p w:rsidR="009503D4" w:rsidRPr="0016581E" w:rsidRDefault="00806BA0" w:rsidP="001A3287">
            <w:pPr>
              <w:pStyle w:val="TableText1"/>
              <w:keepNext w:val="0"/>
              <w:widowControl w:val="0"/>
              <w:rPr>
                <w:color w:val="000000"/>
                <w:szCs w:val="20"/>
              </w:rPr>
            </w:pPr>
            <w:r w:rsidRPr="0016581E">
              <w:rPr>
                <w:color w:val="000000"/>
                <w:szCs w:val="20"/>
              </w:rPr>
              <w:t>1</w:t>
            </w:r>
          </w:p>
        </w:tc>
        <w:tc>
          <w:tcPr>
            <w:tcW w:w="1094" w:type="pct"/>
            <w:gridSpan w:val="2"/>
            <w:shd w:val="clear" w:color="auto" w:fill="auto"/>
          </w:tcPr>
          <w:p w:rsidR="009503D4" w:rsidRPr="0016581E" w:rsidRDefault="00806BA0" w:rsidP="001A3287">
            <w:pPr>
              <w:pStyle w:val="TableText1"/>
              <w:keepNext w:val="0"/>
              <w:widowControl w:val="0"/>
              <w:rPr>
                <w:color w:val="000000"/>
                <w:szCs w:val="20"/>
              </w:rPr>
            </w:pPr>
            <w:r w:rsidRPr="0016581E">
              <w:rPr>
                <w:color w:val="000000"/>
                <w:szCs w:val="20"/>
              </w:rPr>
              <w:t>52</w:t>
            </w:r>
            <w:r w:rsidR="002A32F7" w:rsidRPr="0016581E">
              <w:rPr>
                <w:color w:val="000000"/>
                <w:szCs w:val="20"/>
              </w:rPr>
              <w:t>.0% (41.0%, 63.0%)</w:t>
            </w:r>
          </w:p>
        </w:tc>
      </w:tr>
      <w:tr w:rsidR="00806BA0" w:rsidRPr="0016581E" w:rsidTr="00245C2D">
        <w:tc>
          <w:tcPr>
            <w:tcW w:w="985"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PALOMA-1 (grade 4)</w:t>
            </w:r>
            <w:r w:rsidRPr="0016581E">
              <w:rPr>
                <w:szCs w:val="20"/>
                <w:vertAlign w:val="superscript"/>
              </w:rPr>
              <w:t>c</w:t>
            </w:r>
          </w:p>
        </w:tc>
        <w:tc>
          <w:tcPr>
            <w:tcW w:w="610"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NR</w:t>
            </w:r>
          </w:p>
        </w:tc>
        <w:tc>
          <w:tcPr>
            <w:tcW w:w="436"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NR</w:t>
            </w:r>
          </w:p>
        </w:tc>
        <w:tc>
          <w:tcPr>
            <w:tcW w:w="781" w:type="pct"/>
            <w:gridSpan w:val="2"/>
            <w:shd w:val="clear" w:color="auto" w:fill="auto"/>
          </w:tcPr>
          <w:p w:rsidR="00806BA0" w:rsidRPr="0016581E" w:rsidRDefault="002A32F7" w:rsidP="00806BA0">
            <w:pPr>
              <w:pStyle w:val="TableText1"/>
              <w:keepNext w:val="0"/>
              <w:widowControl w:val="0"/>
              <w:rPr>
                <w:color w:val="000000"/>
                <w:szCs w:val="20"/>
              </w:rPr>
            </w:pPr>
            <w:r w:rsidRPr="0016581E">
              <w:rPr>
                <w:color w:val="000000"/>
                <w:szCs w:val="20"/>
              </w:rPr>
              <w:t>-</w:t>
            </w:r>
          </w:p>
        </w:tc>
        <w:tc>
          <w:tcPr>
            <w:tcW w:w="625" w:type="pct"/>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6</w:t>
            </w:r>
          </w:p>
        </w:tc>
        <w:tc>
          <w:tcPr>
            <w:tcW w:w="469"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0</w:t>
            </w:r>
          </w:p>
        </w:tc>
        <w:tc>
          <w:tcPr>
            <w:tcW w:w="1094"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6</w:t>
            </w:r>
            <w:r w:rsidR="002A32F7" w:rsidRPr="0016581E">
              <w:rPr>
                <w:color w:val="000000"/>
                <w:szCs w:val="20"/>
              </w:rPr>
              <w:t>% (-, -)</w:t>
            </w:r>
          </w:p>
        </w:tc>
      </w:tr>
      <w:tr w:rsidR="00806BA0" w:rsidRPr="0016581E" w:rsidTr="00245C2D">
        <w:tc>
          <w:tcPr>
            <w:tcW w:w="985"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PALOMA-2 (grade 3)</w:t>
            </w:r>
            <w:r w:rsidRPr="0016581E">
              <w:rPr>
                <w:szCs w:val="20"/>
                <w:vertAlign w:val="superscript"/>
              </w:rPr>
              <w:t>b</w:t>
            </w:r>
          </w:p>
        </w:tc>
        <w:tc>
          <w:tcPr>
            <w:tcW w:w="610" w:type="pct"/>
            <w:gridSpan w:val="2"/>
            <w:shd w:val="clear" w:color="auto" w:fill="auto"/>
          </w:tcPr>
          <w:p w:rsidR="00806BA0" w:rsidRPr="0016581E" w:rsidRDefault="002F78FA" w:rsidP="00806BA0">
            <w:pPr>
              <w:pStyle w:val="TableText1"/>
              <w:keepNext w:val="0"/>
              <w:widowControl w:val="0"/>
              <w:rPr>
                <w:color w:val="000000"/>
                <w:szCs w:val="20"/>
              </w:rPr>
            </w:pPr>
            <w:r w:rsidRPr="0016581E">
              <w:rPr>
                <w:color w:val="000000"/>
                <w:szCs w:val="20"/>
              </w:rPr>
              <w:t>249/444</w:t>
            </w:r>
          </w:p>
        </w:tc>
        <w:tc>
          <w:tcPr>
            <w:tcW w:w="436" w:type="pct"/>
            <w:gridSpan w:val="2"/>
            <w:shd w:val="clear" w:color="auto" w:fill="auto"/>
          </w:tcPr>
          <w:p w:rsidR="00806BA0" w:rsidRPr="0016581E" w:rsidRDefault="002F78FA" w:rsidP="00806BA0">
            <w:pPr>
              <w:pStyle w:val="TableText1"/>
              <w:keepNext w:val="0"/>
              <w:widowControl w:val="0"/>
              <w:rPr>
                <w:color w:val="000000"/>
                <w:szCs w:val="20"/>
              </w:rPr>
            </w:pPr>
            <w:r w:rsidRPr="0016581E">
              <w:rPr>
                <w:color w:val="000000"/>
                <w:szCs w:val="20"/>
              </w:rPr>
              <w:t>2/222</w:t>
            </w:r>
          </w:p>
        </w:tc>
        <w:tc>
          <w:tcPr>
            <w:tcW w:w="781" w:type="pct"/>
            <w:gridSpan w:val="2"/>
            <w:shd w:val="clear" w:color="auto" w:fill="auto"/>
          </w:tcPr>
          <w:p w:rsidR="00806BA0" w:rsidRPr="0016581E" w:rsidRDefault="00137C54" w:rsidP="00806BA0">
            <w:pPr>
              <w:pStyle w:val="TableText1"/>
              <w:keepNext w:val="0"/>
              <w:widowControl w:val="0"/>
              <w:rPr>
                <w:color w:val="000000"/>
                <w:szCs w:val="20"/>
              </w:rPr>
            </w:pPr>
            <w:r w:rsidRPr="0016581E">
              <w:rPr>
                <w:color w:val="000000"/>
                <w:szCs w:val="20"/>
              </w:rPr>
              <w:t>62.3 (15.6, 248.0)</w:t>
            </w:r>
          </w:p>
        </w:tc>
        <w:tc>
          <w:tcPr>
            <w:tcW w:w="625" w:type="pct"/>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56.1</w:t>
            </w:r>
          </w:p>
        </w:tc>
        <w:tc>
          <w:tcPr>
            <w:tcW w:w="469" w:type="pct"/>
            <w:gridSpan w:val="2"/>
            <w:shd w:val="clear" w:color="auto" w:fill="auto"/>
          </w:tcPr>
          <w:p w:rsidR="00806BA0" w:rsidRPr="0016581E" w:rsidRDefault="002F78FA" w:rsidP="00806BA0">
            <w:pPr>
              <w:pStyle w:val="TableText1"/>
              <w:keepNext w:val="0"/>
              <w:widowControl w:val="0"/>
              <w:rPr>
                <w:color w:val="000000"/>
                <w:szCs w:val="20"/>
              </w:rPr>
            </w:pPr>
            <w:r w:rsidRPr="0016581E">
              <w:rPr>
                <w:color w:val="000000"/>
                <w:szCs w:val="20"/>
              </w:rPr>
              <w:t>0.9</w:t>
            </w:r>
          </w:p>
        </w:tc>
        <w:tc>
          <w:tcPr>
            <w:tcW w:w="1094" w:type="pct"/>
            <w:gridSpan w:val="2"/>
            <w:shd w:val="clear" w:color="auto" w:fill="auto"/>
          </w:tcPr>
          <w:p w:rsidR="00806BA0" w:rsidRPr="0016581E" w:rsidRDefault="00137C54" w:rsidP="00806BA0">
            <w:pPr>
              <w:pStyle w:val="TableText1"/>
              <w:keepNext w:val="0"/>
              <w:widowControl w:val="0"/>
              <w:rPr>
                <w:color w:val="000000"/>
                <w:szCs w:val="20"/>
              </w:rPr>
            </w:pPr>
            <w:r w:rsidRPr="0016581E">
              <w:rPr>
                <w:color w:val="000000"/>
                <w:szCs w:val="20"/>
              </w:rPr>
              <w:t>55.2% (50.4%, 60.0%)</w:t>
            </w:r>
          </w:p>
        </w:tc>
      </w:tr>
      <w:tr w:rsidR="00806BA0" w:rsidRPr="0016581E" w:rsidTr="00245C2D">
        <w:tc>
          <w:tcPr>
            <w:tcW w:w="985"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PALOMA-2 (grade 4)</w:t>
            </w:r>
            <w:r w:rsidRPr="0016581E">
              <w:rPr>
                <w:szCs w:val="20"/>
                <w:vertAlign w:val="superscript"/>
              </w:rPr>
              <w:t>b</w:t>
            </w:r>
          </w:p>
        </w:tc>
        <w:tc>
          <w:tcPr>
            <w:tcW w:w="610" w:type="pct"/>
            <w:gridSpan w:val="2"/>
            <w:shd w:val="clear" w:color="auto" w:fill="auto"/>
          </w:tcPr>
          <w:p w:rsidR="00806BA0" w:rsidRPr="0016581E" w:rsidRDefault="002F78FA" w:rsidP="00806BA0">
            <w:pPr>
              <w:pStyle w:val="TableText1"/>
              <w:keepNext w:val="0"/>
              <w:widowControl w:val="0"/>
              <w:rPr>
                <w:color w:val="000000"/>
                <w:szCs w:val="20"/>
              </w:rPr>
            </w:pPr>
            <w:r w:rsidRPr="0016581E">
              <w:rPr>
                <w:color w:val="000000"/>
                <w:szCs w:val="20"/>
              </w:rPr>
              <w:t>46/444</w:t>
            </w:r>
          </w:p>
        </w:tc>
        <w:tc>
          <w:tcPr>
            <w:tcW w:w="436" w:type="pct"/>
            <w:gridSpan w:val="2"/>
            <w:shd w:val="clear" w:color="auto" w:fill="auto"/>
          </w:tcPr>
          <w:p w:rsidR="00806BA0" w:rsidRPr="0016581E" w:rsidRDefault="002F78FA" w:rsidP="00806BA0">
            <w:pPr>
              <w:pStyle w:val="TableText1"/>
              <w:keepNext w:val="0"/>
              <w:widowControl w:val="0"/>
              <w:rPr>
                <w:color w:val="000000"/>
                <w:szCs w:val="20"/>
              </w:rPr>
            </w:pPr>
            <w:r w:rsidRPr="0016581E">
              <w:rPr>
                <w:color w:val="000000"/>
                <w:szCs w:val="20"/>
              </w:rPr>
              <w:t>1/222</w:t>
            </w:r>
          </w:p>
        </w:tc>
        <w:tc>
          <w:tcPr>
            <w:tcW w:w="781" w:type="pct"/>
            <w:gridSpan w:val="2"/>
            <w:shd w:val="clear" w:color="auto" w:fill="auto"/>
          </w:tcPr>
          <w:p w:rsidR="00806BA0" w:rsidRPr="0016581E" w:rsidRDefault="00137C54" w:rsidP="00806BA0">
            <w:pPr>
              <w:pStyle w:val="TableText1"/>
              <w:keepNext w:val="0"/>
              <w:widowControl w:val="0"/>
              <w:rPr>
                <w:color w:val="000000"/>
                <w:szCs w:val="20"/>
              </w:rPr>
            </w:pPr>
            <w:r w:rsidRPr="0016581E">
              <w:rPr>
                <w:color w:val="000000"/>
                <w:szCs w:val="20"/>
              </w:rPr>
              <w:t>23.0 (3.2, 165.7)</w:t>
            </w:r>
          </w:p>
        </w:tc>
        <w:tc>
          <w:tcPr>
            <w:tcW w:w="625" w:type="pct"/>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10.4</w:t>
            </w:r>
          </w:p>
        </w:tc>
        <w:tc>
          <w:tcPr>
            <w:tcW w:w="469" w:type="pct"/>
            <w:gridSpan w:val="2"/>
            <w:shd w:val="clear" w:color="auto" w:fill="auto"/>
          </w:tcPr>
          <w:p w:rsidR="00806BA0" w:rsidRPr="0016581E" w:rsidRDefault="002F78FA" w:rsidP="00806BA0">
            <w:pPr>
              <w:pStyle w:val="TableText1"/>
              <w:keepNext w:val="0"/>
              <w:widowControl w:val="0"/>
              <w:rPr>
                <w:color w:val="000000"/>
                <w:szCs w:val="20"/>
              </w:rPr>
            </w:pPr>
            <w:r w:rsidRPr="0016581E">
              <w:rPr>
                <w:color w:val="000000"/>
                <w:szCs w:val="20"/>
              </w:rPr>
              <w:t>0.5</w:t>
            </w:r>
          </w:p>
        </w:tc>
        <w:tc>
          <w:tcPr>
            <w:tcW w:w="1094" w:type="pct"/>
            <w:gridSpan w:val="2"/>
            <w:shd w:val="clear" w:color="auto" w:fill="auto"/>
          </w:tcPr>
          <w:p w:rsidR="00806BA0" w:rsidRPr="0016581E" w:rsidRDefault="00137C54" w:rsidP="00806BA0">
            <w:pPr>
              <w:pStyle w:val="TableText1"/>
              <w:keepNext w:val="0"/>
              <w:widowControl w:val="0"/>
              <w:rPr>
                <w:color w:val="000000"/>
                <w:szCs w:val="20"/>
              </w:rPr>
            </w:pPr>
            <w:r w:rsidRPr="0016581E">
              <w:rPr>
                <w:color w:val="000000"/>
                <w:szCs w:val="20"/>
              </w:rPr>
              <w:t>9.9% (6.9%, 12.9%)</w:t>
            </w:r>
          </w:p>
        </w:tc>
      </w:tr>
      <w:tr w:rsidR="00806BA0" w:rsidRPr="0016581E" w:rsidTr="00353CDC">
        <w:tc>
          <w:tcPr>
            <w:tcW w:w="5000" w:type="pct"/>
            <w:gridSpan w:val="13"/>
            <w:shd w:val="clear" w:color="auto" w:fill="auto"/>
            <w:vAlign w:val="center"/>
          </w:tcPr>
          <w:p w:rsidR="00806BA0" w:rsidRPr="0016581E" w:rsidRDefault="00806BA0" w:rsidP="00806BA0">
            <w:pPr>
              <w:pStyle w:val="TableText1"/>
              <w:keepNext w:val="0"/>
              <w:widowControl w:val="0"/>
              <w:rPr>
                <w:b/>
                <w:szCs w:val="20"/>
                <w:highlight w:val="yellow"/>
              </w:rPr>
            </w:pPr>
            <w:r w:rsidRPr="0016581E">
              <w:rPr>
                <w:b/>
                <w:color w:val="000000"/>
                <w:szCs w:val="20"/>
              </w:rPr>
              <w:t>Febrile neutropenia</w:t>
            </w:r>
          </w:p>
        </w:tc>
      </w:tr>
      <w:tr w:rsidR="00806BA0" w:rsidRPr="0016581E" w:rsidTr="00245C2D">
        <w:tc>
          <w:tcPr>
            <w:tcW w:w="979" w:type="pct"/>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 xml:space="preserve">PALOMA-1 </w:t>
            </w:r>
            <w:r w:rsidRPr="0016581E">
              <w:rPr>
                <w:szCs w:val="20"/>
                <w:vertAlign w:val="superscript"/>
              </w:rPr>
              <w:t>c</w:t>
            </w:r>
          </w:p>
        </w:tc>
        <w:tc>
          <w:tcPr>
            <w:tcW w:w="616" w:type="pct"/>
            <w:gridSpan w:val="3"/>
            <w:shd w:val="clear" w:color="auto" w:fill="auto"/>
          </w:tcPr>
          <w:p w:rsidR="00806BA0" w:rsidRPr="0016581E" w:rsidRDefault="00806BA0" w:rsidP="00806BA0">
            <w:pPr>
              <w:pStyle w:val="TableText1"/>
              <w:keepNext w:val="0"/>
              <w:widowControl w:val="0"/>
              <w:rPr>
                <w:szCs w:val="20"/>
              </w:rPr>
            </w:pPr>
            <w:r w:rsidRPr="0016581E">
              <w:rPr>
                <w:color w:val="000000"/>
                <w:szCs w:val="20"/>
              </w:rPr>
              <w:t>NR</w:t>
            </w:r>
          </w:p>
        </w:tc>
        <w:tc>
          <w:tcPr>
            <w:tcW w:w="436"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NR</w:t>
            </w:r>
          </w:p>
        </w:tc>
        <w:tc>
          <w:tcPr>
            <w:tcW w:w="781"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NR</w:t>
            </w:r>
          </w:p>
        </w:tc>
        <w:tc>
          <w:tcPr>
            <w:tcW w:w="625" w:type="pct"/>
            <w:shd w:val="clear" w:color="auto" w:fill="auto"/>
          </w:tcPr>
          <w:p w:rsidR="00806BA0" w:rsidRPr="0016581E" w:rsidRDefault="00806BA0" w:rsidP="00806BA0">
            <w:pPr>
              <w:pStyle w:val="TableText1"/>
              <w:keepNext w:val="0"/>
              <w:widowControl w:val="0"/>
              <w:rPr>
                <w:szCs w:val="20"/>
              </w:rPr>
            </w:pPr>
            <w:r w:rsidRPr="0016581E">
              <w:rPr>
                <w:color w:val="000000"/>
                <w:szCs w:val="20"/>
              </w:rPr>
              <w:t>NR</w:t>
            </w:r>
          </w:p>
        </w:tc>
        <w:tc>
          <w:tcPr>
            <w:tcW w:w="469"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NR</w:t>
            </w:r>
          </w:p>
        </w:tc>
        <w:tc>
          <w:tcPr>
            <w:tcW w:w="1094"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NR</w:t>
            </w:r>
          </w:p>
        </w:tc>
      </w:tr>
      <w:tr w:rsidR="00806BA0" w:rsidRPr="0016581E" w:rsidTr="00245C2D">
        <w:tc>
          <w:tcPr>
            <w:tcW w:w="979" w:type="pct"/>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 xml:space="preserve">PALOMA-2 </w:t>
            </w:r>
            <w:r w:rsidRPr="0016581E">
              <w:rPr>
                <w:szCs w:val="20"/>
                <w:vertAlign w:val="superscript"/>
              </w:rPr>
              <w:t>b</w:t>
            </w:r>
          </w:p>
        </w:tc>
        <w:tc>
          <w:tcPr>
            <w:tcW w:w="616" w:type="pct"/>
            <w:gridSpan w:val="3"/>
            <w:shd w:val="clear" w:color="auto" w:fill="auto"/>
          </w:tcPr>
          <w:p w:rsidR="00806BA0" w:rsidRPr="0016581E" w:rsidRDefault="00806BA0" w:rsidP="00806BA0">
            <w:pPr>
              <w:pStyle w:val="TableText1"/>
              <w:keepNext w:val="0"/>
              <w:widowControl w:val="0"/>
              <w:rPr>
                <w:szCs w:val="20"/>
              </w:rPr>
            </w:pPr>
            <w:r w:rsidRPr="0016581E">
              <w:rPr>
                <w:color w:val="000000"/>
                <w:szCs w:val="20"/>
              </w:rPr>
              <w:t>11/444</w:t>
            </w:r>
          </w:p>
        </w:tc>
        <w:tc>
          <w:tcPr>
            <w:tcW w:w="436"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0/222</w:t>
            </w:r>
          </w:p>
        </w:tc>
        <w:tc>
          <w:tcPr>
            <w:tcW w:w="781" w:type="pct"/>
            <w:gridSpan w:val="2"/>
            <w:shd w:val="clear" w:color="auto" w:fill="auto"/>
          </w:tcPr>
          <w:p w:rsidR="00806BA0" w:rsidRPr="0016581E" w:rsidRDefault="00806BA0" w:rsidP="004C70AD">
            <w:pPr>
              <w:pStyle w:val="TableText1"/>
              <w:keepNext w:val="0"/>
              <w:widowControl w:val="0"/>
              <w:rPr>
                <w:szCs w:val="20"/>
              </w:rPr>
            </w:pPr>
            <w:r w:rsidRPr="0016581E">
              <w:rPr>
                <w:color w:val="000000"/>
                <w:szCs w:val="20"/>
              </w:rPr>
              <w:t>11.5 (0.7, 194.7)</w:t>
            </w:r>
            <w:r w:rsidR="004C70AD" w:rsidRPr="0016581E">
              <w:rPr>
                <w:color w:val="000000"/>
                <w:szCs w:val="20"/>
                <w:vertAlign w:val="superscript"/>
              </w:rPr>
              <w:t>d</w:t>
            </w:r>
          </w:p>
        </w:tc>
        <w:tc>
          <w:tcPr>
            <w:tcW w:w="625" w:type="pct"/>
            <w:shd w:val="clear" w:color="auto" w:fill="auto"/>
          </w:tcPr>
          <w:p w:rsidR="00806BA0" w:rsidRPr="0016581E" w:rsidRDefault="00806BA0" w:rsidP="00806BA0">
            <w:pPr>
              <w:pStyle w:val="TableText1"/>
              <w:keepNext w:val="0"/>
              <w:widowControl w:val="0"/>
              <w:rPr>
                <w:szCs w:val="20"/>
              </w:rPr>
            </w:pPr>
            <w:r w:rsidRPr="0016581E">
              <w:rPr>
                <w:color w:val="000000"/>
                <w:szCs w:val="20"/>
              </w:rPr>
              <w:t>2.5</w:t>
            </w:r>
          </w:p>
        </w:tc>
        <w:tc>
          <w:tcPr>
            <w:tcW w:w="469"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0</w:t>
            </w:r>
          </w:p>
        </w:tc>
        <w:tc>
          <w:tcPr>
            <w:tcW w:w="1094"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2.5% (1.0%, 3.9%)</w:t>
            </w:r>
          </w:p>
        </w:tc>
      </w:tr>
      <w:tr w:rsidR="00806BA0" w:rsidRPr="0016581E" w:rsidTr="00380EED">
        <w:tc>
          <w:tcPr>
            <w:tcW w:w="5000" w:type="pct"/>
            <w:gridSpan w:val="13"/>
            <w:shd w:val="clear" w:color="auto" w:fill="auto"/>
            <w:vAlign w:val="center"/>
          </w:tcPr>
          <w:p w:rsidR="00806BA0" w:rsidRPr="0016581E" w:rsidRDefault="00806BA0" w:rsidP="00806BA0">
            <w:pPr>
              <w:pStyle w:val="TableText1"/>
              <w:keepNext w:val="0"/>
              <w:widowControl w:val="0"/>
              <w:rPr>
                <w:b/>
                <w:szCs w:val="20"/>
                <w:highlight w:val="yellow"/>
              </w:rPr>
            </w:pPr>
            <w:r w:rsidRPr="0016581E">
              <w:rPr>
                <w:b/>
                <w:color w:val="000000"/>
                <w:szCs w:val="20"/>
              </w:rPr>
              <w:t>Leukopenia</w:t>
            </w:r>
          </w:p>
        </w:tc>
      </w:tr>
      <w:tr w:rsidR="00806BA0" w:rsidRPr="0016581E" w:rsidTr="00245C2D">
        <w:tc>
          <w:tcPr>
            <w:tcW w:w="979" w:type="pct"/>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 xml:space="preserve">PALOMA-1 </w:t>
            </w:r>
            <w:r w:rsidRPr="0016581E">
              <w:rPr>
                <w:szCs w:val="20"/>
                <w:vertAlign w:val="superscript"/>
              </w:rPr>
              <w:t>c</w:t>
            </w:r>
          </w:p>
        </w:tc>
        <w:tc>
          <w:tcPr>
            <w:tcW w:w="616" w:type="pct"/>
            <w:gridSpan w:val="3"/>
            <w:shd w:val="clear" w:color="auto" w:fill="auto"/>
          </w:tcPr>
          <w:p w:rsidR="00806BA0" w:rsidRPr="0016581E" w:rsidRDefault="00806BA0" w:rsidP="00806BA0">
            <w:pPr>
              <w:pStyle w:val="TableText1"/>
              <w:keepNext w:val="0"/>
              <w:widowControl w:val="0"/>
              <w:rPr>
                <w:szCs w:val="20"/>
              </w:rPr>
            </w:pPr>
            <w:r w:rsidRPr="0016581E">
              <w:rPr>
                <w:color w:val="000000"/>
                <w:szCs w:val="20"/>
              </w:rPr>
              <w:t>43/83</w:t>
            </w:r>
          </w:p>
        </w:tc>
        <w:tc>
          <w:tcPr>
            <w:tcW w:w="436"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4/77</w:t>
            </w:r>
          </w:p>
        </w:tc>
        <w:tc>
          <w:tcPr>
            <w:tcW w:w="781"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10.0 (3.8, 26.5)</w:t>
            </w:r>
          </w:p>
        </w:tc>
        <w:tc>
          <w:tcPr>
            <w:tcW w:w="625" w:type="pct"/>
            <w:shd w:val="clear" w:color="auto" w:fill="auto"/>
          </w:tcPr>
          <w:p w:rsidR="00806BA0" w:rsidRPr="0016581E" w:rsidRDefault="00806BA0" w:rsidP="00806BA0">
            <w:pPr>
              <w:pStyle w:val="TableText1"/>
              <w:keepNext w:val="0"/>
              <w:widowControl w:val="0"/>
              <w:rPr>
                <w:szCs w:val="20"/>
              </w:rPr>
            </w:pPr>
            <w:r w:rsidRPr="0016581E">
              <w:rPr>
                <w:color w:val="000000"/>
                <w:szCs w:val="20"/>
              </w:rPr>
              <w:t>51.8</w:t>
            </w:r>
          </w:p>
        </w:tc>
        <w:tc>
          <w:tcPr>
            <w:tcW w:w="469"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5.2</w:t>
            </w:r>
          </w:p>
        </w:tc>
        <w:tc>
          <w:tcPr>
            <w:tcW w:w="1094" w:type="pct"/>
            <w:gridSpan w:val="2"/>
            <w:shd w:val="clear" w:color="auto" w:fill="auto"/>
          </w:tcPr>
          <w:p w:rsidR="00806BA0" w:rsidRPr="0016581E" w:rsidRDefault="00806BA0" w:rsidP="00806BA0">
            <w:pPr>
              <w:pStyle w:val="TableText1"/>
              <w:keepNext w:val="0"/>
              <w:widowControl w:val="0"/>
              <w:rPr>
                <w:szCs w:val="20"/>
              </w:rPr>
            </w:pPr>
            <w:r w:rsidRPr="0016581E">
              <w:rPr>
                <w:color w:val="000000"/>
                <w:szCs w:val="20"/>
              </w:rPr>
              <w:t>46.6% (34.8%, 58.5%)</w:t>
            </w:r>
          </w:p>
        </w:tc>
      </w:tr>
      <w:tr w:rsidR="00806BA0" w:rsidRPr="0016581E" w:rsidTr="00245C2D">
        <w:tc>
          <w:tcPr>
            <w:tcW w:w="979" w:type="pct"/>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 xml:space="preserve">PALOMA-2 </w:t>
            </w:r>
            <w:r w:rsidRPr="0016581E">
              <w:rPr>
                <w:szCs w:val="20"/>
                <w:vertAlign w:val="superscript"/>
              </w:rPr>
              <w:t>b</w:t>
            </w:r>
          </w:p>
        </w:tc>
        <w:tc>
          <w:tcPr>
            <w:tcW w:w="616" w:type="pct"/>
            <w:gridSpan w:val="3"/>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173/444</w:t>
            </w:r>
          </w:p>
        </w:tc>
        <w:tc>
          <w:tcPr>
            <w:tcW w:w="436" w:type="pct"/>
            <w:gridSpan w:val="2"/>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5/222</w:t>
            </w:r>
          </w:p>
        </w:tc>
        <w:tc>
          <w:tcPr>
            <w:tcW w:w="781" w:type="pct"/>
            <w:gridSpan w:val="2"/>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17.3 (7.2, 41.5)</w:t>
            </w:r>
          </w:p>
        </w:tc>
        <w:tc>
          <w:tcPr>
            <w:tcW w:w="625" w:type="pct"/>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39.0</w:t>
            </w:r>
          </w:p>
        </w:tc>
        <w:tc>
          <w:tcPr>
            <w:tcW w:w="469" w:type="pct"/>
            <w:gridSpan w:val="2"/>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2.3</w:t>
            </w:r>
          </w:p>
        </w:tc>
        <w:tc>
          <w:tcPr>
            <w:tcW w:w="1094" w:type="pct"/>
            <w:gridSpan w:val="2"/>
            <w:shd w:val="clear" w:color="auto" w:fill="auto"/>
          </w:tcPr>
          <w:p w:rsidR="00806BA0" w:rsidRPr="0016581E" w:rsidRDefault="00806BA0" w:rsidP="00806BA0">
            <w:pPr>
              <w:pStyle w:val="TableText1"/>
              <w:keepNext w:val="0"/>
              <w:widowControl w:val="0"/>
              <w:rPr>
                <w:szCs w:val="20"/>
                <w:highlight w:val="yellow"/>
              </w:rPr>
            </w:pPr>
            <w:r w:rsidRPr="0016581E">
              <w:rPr>
                <w:color w:val="000000"/>
                <w:szCs w:val="20"/>
              </w:rPr>
              <w:t>36.7% (31.8%, 41.6%)</w:t>
            </w:r>
          </w:p>
        </w:tc>
      </w:tr>
      <w:tr w:rsidR="00806BA0" w:rsidRPr="0016581E" w:rsidTr="00245C2D">
        <w:tc>
          <w:tcPr>
            <w:tcW w:w="979" w:type="pct"/>
            <w:shd w:val="clear" w:color="auto" w:fill="auto"/>
          </w:tcPr>
          <w:p w:rsidR="00806BA0" w:rsidRPr="0016581E" w:rsidRDefault="00806BA0" w:rsidP="00806BA0">
            <w:pPr>
              <w:pStyle w:val="TableText1"/>
              <w:keepNext w:val="0"/>
              <w:widowControl w:val="0"/>
              <w:rPr>
                <w:b/>
                <w:color w:val="000000"/>
                <w:szCs w:val="20"/>
              </w:rPr>
            </w:pPr>
            <w:r w:rsidRPr="0016581E">
              <w:rPr>
                <w:b/>
                <w:color w:val="000000"/>
                <w:szCs w:val="20"/>
              </w:rPr>
              <w:t>Fatigue</w:t>
            </w:r>
          </w:p>
        </w:tc>
        <w:tc>
          <w:tcPr>
            <w:tcW w:w="616" w:type="pct"/>
            <w:gridSpan w:val="3"/>
            <w:shd w:val="clear" w:color="auto" w:fill="auto"/>
          </w:tcPr>
          <w:p w:rsidR="00806BA0" w:rsidRPr="0016581E" w:rsidRDefault="00806BA0" w:rsidP="00806BA0">
            <w:pPr>
              <w:pStyle w:val="TableText1"/>
              <w:keepNext w:val="0"/>
              <w:widowControl w:val="0"/>
              <w:rPr>
                <w:b/>
                <w:color w:val="000000"/>
                <w:szCs w:val="20"/>
              </w:rPr>
            </w:pPr>
          </w:p>
        </w:tc>
        <w:tc>
          <w:tcPr>
            <w:tcW w:w="436" w:type="pct"/>
            <w:gridSpan w:val="2"/>
            <w:shd w:val="clear" w:color="auto" w:fill="auto"/>
          </w:tcPr>
          <w:p w:rsidR="00806BA0" w:rsidRPr="0016581E" w:rsidRDefault="00806BA0" w:rsidP="00806BA0">
            <w:pPr>
              <w:pStyle w:val="TableText1"/>
              <w:keepNext w:val="0"/>
              <w:widowControl w:val="0"/>
              <w:rPr>
                <w:b/>
                <w:color w:val="000000"/>
                <w:szCs w:val="20"/>
              </w:rPr>
            </w:pPr>
          </w:p>
        </w:tc>
        <w:tc>
          <w:tcPr>
            <w:tcW w:w="781" w:type="pct"/>
            <w:gridSpan w:val="2"/>
            <w:shd w:val="clear" w:color="auto" w:fill="auto"/>
          </w:tcPr>
          <w:p w:rsidR="00806BA0" w:rsidRPr="0016581E" w:rsidRDefault="00806BA0" w:rsidP="00806BA0">
            <w:pPr>
              <w:pStyle w:val="TableText1"/>
              <w:keepNext w:val="0"/>
              <w:widowControl w:val="0"/>
              <w:rPr>
                <w:b/>
                <w:color w:val="000000"/>
                <w:szCs w:val="20"/>
              </w:rPr>
            </w:pPr>
          </w:p>
        </w:tc>
        <w:tc>
          <w:tcPr>
            <w:tcW w:w="625" w:type="pct"/>
            <w:shd w:val="clear" w:color="auto" w:fill="auto"/>
          </w:tcPr>
          <w:p w:rsidR="00806BA0" w:rsidRPr="0016581E" w:rsidRDefault="00806BA0" w:rsidP="00806BA0">
            <w:pPr>
              <w:pStyle w:val="TableText1"/>
              <w:keepNext w:val="0"/>
              <w:widowControl w:val="0"/>
              <w:rPr>
                <w:b/>
                <w:color w:val="000000"/>
                <w:szCs w:val="20"/>
              </w:rPr>
            </w:pPr>
          </w:p>
        </w:tc>
        <w:tc>
          <w:tcPr>
            <w:tcW w:w="469" w:type="pct"/>
            <w:gridSpan w:val="2"/>
            <w:shd w:val="clear" w:color="auto" w:fill="auto"/>
          </w:tcPr>
          <w:p w:rsidR="00806BA0" w:rsidRPr="0016581E" w:rsidRDefault="00806BA0" w:rsidP="00806BA0">
            <w:pPr>
              <w:pStyle w:val="TableText1"/>
              <w:keepNext w:val="0"/>
              <w:widowControl w:val="0"/>
              <w:rPr>
                <w:b/>
                <w:color w:val="000000"/>
                <w:szCs w:val="20"/>
              </w:rPr>
            </w:pPr>
          </w:p>
        </w:tc>
        <w:tc>
          <w:tcPr>
            <w:tcW w:w="1094" w:type="pct"/>
            <w:gridSpan w:val="2"/>
            <w:shd w:val="clear" w:color="auto" w:fill="auto"/>
          </w:tcPr>
          <w:p w:rsidR="00806BA0" w:rsidRPr="0016581E" w:rsidRDefault="00806BA0" w:rsidP="00806BA0">
            <w:pPr>
              <w:pStyle w:val="TableText1"/>
              <w:keepNext w:val="0"/>
              <w:widowControl w:val="0"/>
              <w:rPr>
                <w:b/>
                <w:color w:val="000000"/>
                <w:szCs w:val="20"/>
              </w:rPr>
            </w:pPr>
          </w:p>
        </w:tc>
      </w:tr>
      <w:tr w:rsidR="00806BA0" w:rsidRPr="0016581E" w:rsidTr="00245C2D">
        <w:tc>
          <w:tcPr>
            <w:tcW w:w="979" w:type="pct"/>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 xml:space="preserve">PALOMA-1 </w:t>
            </w:r>
            <w:r w:rsidRPr="0016581E">
              <w:rPr>
                <w:szCs w:val="20"/>
                <w:vertAlign w:val="superscript"/>
              </w:rPr>
              <w:t>c</w:t>
            </w:r>
          </w:p>
        </w:tc>
        <w:tc>
          <w:tcPr>
            <w:tcW w:w="616" w:type="pct"/>
            <w:gridSpan w:val="3"/>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41/83</w:t>
            </w:r>
          </w:p>
        </w:tc>
        <w:tc>
          <w:tcPr>
            <w:tcW w:w="436"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23/77</w:t>
            </w:r>
          </w:p>
        </w:tc>
        <w:tc>
          <w:tcPr>
            <w:tcW w:w="781"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1.7 (1.1, 2.5)</w:t>
            </w:r>
          </w:p>
        </w:tc>
        <w:tc>
          <w:tcPr>
            <w:tcW w:w="625" w:type="pct"/>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49.4</w:t>
            </w:r>
          </w:p>
        </w:tc>
        <w:tc>
          <w:tcPr>
            <w:tcW w:w="469"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29.9</w:t>
            </w:r>
          </w:p>
        </w:tc>
        <w:tc>
          <w:tcPr>
            <w:tcW w:w="1094" w:type="pct"/>
            <w:gridSpan w:val="2"/>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19.5% (4.7%, 34.4%)</w:t>
            </w:r>
          </w:p>
        </w:tc>
      </w:tr>
      <w:tr w:rsidR="00806BA0" w:rsidRPr="0016581E" w:rsidTr="00245C2D">
        <w:tc>
          <w:tcPr>
            <w:tcW w:w="979" w:type="pct"/>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 xml:space="preserve">PALOMA-2 </w:t>
            </w:r>
            <w:r w:rsidRPr="0016581E">
              <w:rPr>
                <w:szCs w:val="20"/>
                <w:vertAlign w:val="superscript"/>
              </w:rPr>
              <w:t>b</w:t>
            </w:r>
          </w:p>
        </w:tc>
        <w:tc>
          <w:tcPr>
            <w:tcW w:w="616" w:type="pct"/>
            <w:gridSpan w:val="3"/>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166/444</w:t>
            </w:r>
          </w:p>
        </w:tc>
        <w:tc>
          <w:tcPr>
            <w:tcW w:w="436" w:type="pct"/>
            <w:gridSpan w:val="2"/>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61/222</w:t>
            </w:r>
          </w:p>
        </w:tc>
        <w:tc>
          <w:tcPr>
            <w:tcW w:w="781" w:type="pct"/>
            <w:gridSpan w:val="2"/>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1.4 (1.1, 1.7)</w:t>
            </w:r>
          </w:p>
        </w:tc>
        <w:tc>
          <w:tcPr>
            <w:tcW w:w="625" w:type="pct"/>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37.4</w:t>
            </w:r>
          </w:p>
        </w:tc>
        <w:tc>
          <w:tcPr>
            <w:tcW w:w="469" w:type="pct"/>
            <w:gridSpan w:val="2"/>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27.5</w:t>
            </w:r>
          </w:p>
        </w:tc>
        <w:tc>
          <w:tcPr>
            <w:tcW w:w="1094" w:type="pct"/>
            <w:gridSpan w:val="2"/>
            <w:tcBorders>
              <w:bottom w:val="double" w:sz="4" w:space="0" w:color="auto"/>
            </w:tcBorders>
            <w:shd w:val="clear" w:color="auto" w:fill="auto"/>
          </w:tcPr>
          <w:p w:rsidR="00806BA0" w:rsidRPr="0016581E" w:rsidRDefault="00806BA0" w:rsidP="00806BA0">
            <w:pPr>
              <w:pStyle w:val="TableText1"/>
              <w:keepNext w:val="0"/>
              <w:widowControl w:val="0"/>
              <w:rPr>
                <w:color w:val="000000"/>
                <w:szCs w:val="20"/>
              </w:rPr>
            </w:pPr>
            <w:r w:rsidRPr="0016581E">
              <w:rPr>
                <w:color w:val="000000"/>
                <w:szCs w:val="20"/>
              </w:rPr>
              <w:t>9.9% (2.5%, 17.3%)</w:t>
            </w:r>
          </w:p>
        </w:tc>
      </w:tr>
    </w:tbl>
    <w:p w:rsidR="00847B55" w:rsidRPr="0016581E" w:rsidRDefault="00847B55" w:rsidP="00847B55">
      <w:pPr>
        <w:pStyle w:val="TableFooter"/>
      </w:pPr>
      <w:r w:rsidRPr="0016581E">
        <w:t>a. Median duration of follow-up = 29.6 months in the palbociclib plus letrozole arm and 27.9 months in the letrozole arm.</w:t>
      </w:r>
    </w:p>
    <w:p w:rsidR="00847B55" w:rsidRPr="0016581E" w:rsidRDefault="00847B55" w:rsidP="00847B55">
      <w:pPr>
        <w:pStyle w:val="TableFooter"/>
      </w:pPr>
      <w:r w:rsidRPr="0016581E">
        <w:t>b. Median duration of follow-up = 23.0 months in the palbociclib plus letrozole arm and 22.3 months in the letrozole arm.</w:t>
      </w:r>
    </w:p>
    <w:p w:rsidR="00847B55" w:rsidRPr="0016581E" w:rsidRDefault="00847B55" w:rsidP="00847B55">
      <w:pPr>
        <w:pStyle w:val="TableFooter"/>
      </w:pPr>
      <w:r w:rsidRPr="0016581E">
        <w:t>c. Median duration of follow-up = 64.7 months</w:t>
      </w:r>
    </w:p>
    <w:p w:rsidR="009C0DE8" w:rsidRPr="0016581E" w:rsidRDefault="004C70AD" w:rsidP="009C0DE8">
      <w:pPr>
        <w:pStyle w:val="TableFooter"/>
      </w:pPr>
      <w:proofErr w:type="gramStart"/>
      <w:r w:rsidRPr="0016581E">
        <w:t>d</w:t>
      </w:r>
      <w:proofErr w:type="gramEnd"/>
      <w:r w:rsidRPr="0016581E">
        <w:t>.</w:t>
      </w:r>
      <w:r w:rsidR="009C0DE8" w:rsidRPr="0016581E">
        <w:t xml:space="preserve"> adding 0.5 cases to each treatment arm.</w:t>
      </w:r>
    </w:p>
    <w:p w:rsidR="004E23FC" w:rsidRPr="0016581E" w:rsidRDefault="004E23FC" w:rsidP="004E23FC">
      <w:pPr>
        <w:pStyle w:val="TableFooter"/>
      </w:pPr>
      <w:r w:rsidRPr="0016581E">
        <w:lastRenderedPageBreak/>
        <w:t xml:space="preserve">Abbreviations: </w:t>
      </w:r>
      <w:r w:rsidR="00820BE0" w:rsidRPr="0016581E">
        <w:t xml:space="preserve">BICR= Blinded Independent Central Review; </w:t>
      </w:r>
      <w:r w:rsidR="00847B55" w:rsidRPr="0016581E">
        <w:t xml:space="preserve">HR = hazard ratio; </w:t>
      </w:r>
      <w:r w:rsidR="008D0CEB" w:rsidRPr="0016581E">
        <w:t xml:space="preserve">NR: not reported; PFS: Progression-free survival; OS: Overall survival; </w:t>
      </w:r>
      <w:r w:rsidRPr="0016581E">
        <w:t>RR = risk ratio</w:t>
      </w:r>
      <w:r w:rsidR="008D0CEB" w:rsidRPr="0016581E">
        <w:t>.</w:t>
      </w:r>
    </w:p>
    <w:p w:rsidR="004E23FC" w:rsidRPr="0016581E" w:rsidRDefault="004E23FC" w:rsidP="004E23FC">
      <w:pPr>
        <w:pStyle w:val="TableFooter"/>
      </w:pPr>
      <w:r w:rsidRPr="0016581E">
        <w:t xml:space="preserve">Source: </w:t>
      </w:r>
      <w:r w:rsidR="003F422E" w:rsidRPr="0016581E">
        <w:t xml:space="preserve">Table B.6.1 p72, B.6.2 p74, </w:t>
      </w:r>
      <w:r w:rsidR="00087E89" w:rsidRPr="0016581E">
        <w:t xml:space="preserve">Table B.6.4 p77, Table B.6.5 p79, </w:t>
      </w:r>
      <w:r w:rsidR="003F422E" w:rsidRPr="0016581E">
        <w:t xml:space="preserve">B.6.12 p92, B.6.14 p97, </w:t>
      </w:r>
      <w:r w:rsidR="00087E89" w:rsidRPr="0016581E">
        <w:t>Table B.6.29 p120</w:t>
      </w:r>
      <w:r w:rsidR="00CA30B3" w:rsidRPr="0016581E">
        <w:t xml:space="preserve">, </w:t>
      </w:r>
      <w:r w:rsidR="00087E89" w:rsidRPr="0016581E">
        <w:t>Table B.6.31 p123</w:t>
      </w:r>
      <w:r w:rsidR="00CA30B3" w:rsidRPr="0016581E">
        <w:t>, Table B.6.36 p131, Table B.6.37 p133</w:t>
      </w:r>
      <w:r w:rsidR="00E86A23" w:rsidRPr="0016581E">
        <w:t>, and Figure B.6.31 p123</w:t>
      </w:r>
      <w:r w:rsidR="00CA30B3" w:rsidRPr="0016581E">
        <w:t xml:space="preserve"> </w:t>
      </w:r>
      <w:r w:rsidR="003F422E" w:rsidRPr="0016581E">
        <w:t xml:space="preserve">of the re-submission and </w:t>
      </w:r>
      <w:r w:rsidR="007F2573" w:rsidRPr="0016581E">
        <w:t>Table 27, 28 of PALOMA-1 (A5481003) CSR Report Body.pdf</w:t>
      </w:r>
      <w:r w:rsidR="001A3287" w:rsidRPr="0016581E">
        <w:t>, p1 of A5481003 Updated OS Analysis.pdf</w:t>
      </w:r>
      <w:r w:rsidR="00796C93" w:rsidRPr="0016581E">
        <w:t xml:space="preserve">, </w:t>
      </w:r>
      <w:r w:rsidR="00905945" w:rsidRPr="0016581E">
        <w:t xml:space="preserve">Table 20, Table 23, </w:t>
      </w:r>
      <w:r w:rsidR="003F422E" w:rsidRPr="0016581E">
        <w:t>Table 49 of PALOMA-2 (A5481008) CSR Report Body.pdf and calculated during the evaluation.</w:t>
      </w:r>
    </w:p>
    <w:p w:rsidR="004E23FC" w:rsidRPr="0016581E" w:rsidRDefault="004E23FC" w:rsidP="004E23FC">
      <w:pPr>
        <w:pStyle w:val="TableFooter"/>
      </w:pPr>
    </w:p>
    <w:p w:rsidR="00820BE0" w:rsidRPr="0016581E" w:rsidRDefault="00820BE0"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On the basis of direct evidence presented by the </w:t>
      </w:r>
      <w:r w:rsidR="008C08EE" w:rsidRPr="0016581E">
        <w:rPr>
          <w:rFonts w:asciiTheme="minorHAnsi" w:hAnsiTheme="minorHAnsi" w:cstheme="minorHAnsi"/>
          <w:sz w:val="24"/>
          <w:szCs w:val="24"/>
        </w:rPr>
        <w:t>re-</w:t>
      </w:r>
      <w:r w:rsidRPr="0016581E">
        <w:rPr>
          <w:rFonts w:asciiTheme="minorHAnsi" w:hAnsiTheme="minorHAnsi" w:cstheme="minorHAnsi"/>
          <w:sz w:val="24"/>
          <w:szCs w:val="24"/>
        </w:rPr>
        <w:t xml:space="preserve">submission, for every 100 patients </w:t>
      </w:r>
      <w:r w:rsidRPr="0016581E">
        <w:rPr>
          <w:rFonts w:asciiTheme="minorHAnsi" w:hAnsiTheme="minorHAnsi" w:cstheme="minorHAnsi"/>
          <w:sz w:val="24"/>
        </w:rPr>
        <w:t>treated</w:t>
      </w:r>
      <w:r w:rsidRPr="0016581E">
        <w:rPr>
          <w:rFonts w:asciiTheme="minorHAnsi" w:hAnsiTheme="minorHAnsi" w:cstheme="minorHAnsi"/>
          <w:sz w:val="24"/>
          <w:szCs w:val="24"/>
        </w:rPr>
        <w:t xml:space="preserve"> with palbociclib plus letrozole in comparison with letrozole alone there would be:</w:t>
      </w:r>
    </w:p>
    <w:p w:rsidR="00CD4C54" w:rsidRPr="0016581E" w:rsidRDefault="00820BE0"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Approximately </w:t>
      </w:r>
      <w:r w:rsidR="00796C93" w:rsidRPr="0016581E">
        <w:rPr>
          <w:rFonts w:asciiTheme="minorHAnsi" w:hAnsiTheme="minorHAnsi" w:cstheme="minorHAnsi"/>
          <w:sz w:val="24"/>
          <w:szCs w:val="24"/>
        </w:rPr>
        <w:t>8</w:t>
      </w:r>
      <w:r w:rsidRPr="0016581E">
        <w:rPr>
          <w:rFonts w:asciiTheme="minorHAnsi" w:hAnsiTheme="minorHAnsi" w:cstheme="minorHAnsi"/>
          <w:sz w:val="24"/>
          <w:szCs w:val="24"/>
        </w:rPr>
        <w:t xml:space="preserve"> more patients progression-free </w:t>
      </w:r>
      <w:r w:rsidR="00796C93" w:rsidRPr="0016581E">
        <w:rPr>
          <w:rFonts w:asciiTheme="minorHAnsi" w:hAnsiTheme="minorHAnsi" w:cstheme="minorHAnsi"/>
          <w:sz w:val="24"/>
          <w:szCs w:val="24"/>
        </w:rPr>
        <w:t xml:space="preserve">at 12 months </w:t>
      </w:r>
      <w:r w:rsidRPr="0016581E">
        <w:rPr>
          <w:rFonts w:asciiTheme="minorHAnsi" w:hAnsiTheme="minorHAnsi" w:cstheme="minorHAnsi"/>
          <w:sz w:val="24"/>
          <w:szCs w:val="24"/>
        </w:rPr>
        <w:t>based on PALOMA</w:t>
      </w:r>
      <w:r w:rsidR="00811133" w:rsidRPr="0016581E">
        <w:rPr>
          <w:rFonts w:asciiTheme="minorHAnsi" w:hAnsiTheme="minorHAnsi" w:cstheme="minorHAnsi"/>
          <w:sz w:val="24"/>
          <w:szCs w:val="24"/>
        </w:rPr>
        <w:noBreakHyphen/>
      </w:r>
      <w:r w:rsidRPr="0016581E">
        <w:rPr>
          <w:rFonts w:asciiTheme="minorHAnsi" w:hAnsiTheme="minorHAnsi" w:cstheme="minorHAnsi"/>
          <w:sz w:val="24"/>
          <w:szCs w:val="24"/>
        </w:rPr>
        <w:t>1, Blinded Independent Central Review</w:t>
      </w:r>
      <w:r w:rsidR="00CD4C54" w:rsidRPr="0016581E">
        <w:rPr>
          <w:rFonts w:asciiTheme="minorHAnsi" w:hAnsiTheme="minorHAnsi" w:cstheme="minorHAnsi"/>
          <w:sz w:val="24"/>
          <w:szCs w:val="24"/>
        </w:rPr>
        <w:t>.</w:t>
      </w:r>
    </w:p>
    <w:p w:rsidR="00820BE0" w:rsidRPr="0016581E" w:rsidRDefault="00820BE0"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Approximately </w:t>
      </w:r>
      <w:r w:rsidR="00796C93" w:rsidRPr="0016581E">
        <w:rPr>
          <w:rFonts w:asciiTheme="minorHAnsi" w:hAnsiTheme="minorHAnsi" w:cstheme="minorHAnsi"/>
          <w:sz w:val="24"/>
          <w:szCs w:val="24"/>
        </w:rPr>
        <w:t>10</w:t>
      </w:r>
      <w:r w:rsidRPr="0016581E">
        <w:rPr>
          <w:rFonts w:asciiTheme="minorHAnsi" w:hAnsiTheme="minorHAnsi" w:cstheme="minorHAnsi"/>
          <w:sz w:val="24"/>
          <w:szCs w:val="24"/>
        </w:rPr>
        <w:t xml:space="preserve"> more patients </w:t>
      </w:r>
      <w:r w:rsidR="00796C93" w:rsidRPr="0016581E">
        <w:rPr>
          <w:rFonts w:asciiTheme="minorHAnsi" w:hAnsiTheme="minorHAnsi" w:cstheme="minorHAnsi"/>
          <w:sz w:val="24"/>
          <w:szCs w:val="24"/>
        </w:rPr>
        <w:t xml:space="preserve">at 12 months and 14 more patients at 24 months progression-free </w:t>
      </w:r>
      <w:r w:rsidRPr="0016581E">
        <w:rPr>
          <w:rFonts w:asciiTheme="minorHAnsi" w:hAnsiTheme="minorHAnsi" w:cstheme="minorHAnsi"/>
          <w:sz w:val="24"/>
          <w:szCs w:val="24"/>
        </w:rPr>
        <w:t>based on PALOMA-2, Blinded Independent Central Review</w:t>
      </w:r>
      <w:r w:rsidR="00CD4C54" w:rsidRPr="0016581E">
        <w:rPr>
          <w:rFonts w:asciiTheme="minorHAnsi" w:hAnsiTheme="minorHAnsi" w:cstheme="minorHAnsi"/>
          <w:sz w:val="24"/>
          <w:szCs w:val="24"/>
        </w:rPr>
        <w:t>.</w:t>
      </w:r>
      <w:r w:rsidRPr="0016581E">
        <w:rPr>
          <w:rFonts w:asciiTheme="minorHAnsi" w:hAnsiTheme="minorHAnsi" w:cstheme="minorHAnsi"/>
          <w:sz w:val="24"/>
          <w:szCs w:val="24"/>
        </w:rPr>
        <w:t xml:space="preserve"> </w:t>
      </w:r>
    </w:p>
    <w:p w:rsidR="00CD4C54" w:rsidRPr="0016581E" w:rsidRDefault="00CD4C54"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No improvement in OS, based on PALOMA-1.</w:t>
      </w:r>
    </w:p>
    <w:p w:rsidR="00820BE0" w:rsidRPr="0016581E" w:rsidRDefault="00820BE0"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Approximately 54 additional patients would exp</w:t>
      </w:r>
      <w:r w:rsidR="0093686E" w:rsidRPr="0016581E">
        <w:rPr>
          <w:rFonts w:asciiTheme="minorHAnsi" w:hAnsiTheme="minorHAnsi" w:cstheme="minorHAnsi"/>
          <w:sz w:val="24"/>
          <w:szCs w:val="24"/>
        </w:rPr>
        <w:t>erience a grade</w:t>
      </w:r>
      <w:r w:rsidR="006569D0" w:rsidRPr="0016581E">
        <w:rPr>
          <w:rFonts w:asciiTheme="minorHAnsi" w:hAnsiTheme="minorHAnsi" w:cstheme="minorHAnsi"/>
          <w:sz w:val="24"/>
          <w:szCs w:val="24"/>
        </w:rPr>
        <w:t xml:space="preserve"> </w:t>
      </w:r>
      <w:r w:rsidR="0093686E" w:rsidRPr="0016581E">
        <w:rPr>
          <w:rFonts w:asciiTheme="minorHAnsi" w:hAnsiTheme="minorHAnsi" w:cstheme="minorHAnsi"/>
          <w:sz w:val="24"/>
          <w:szCs w:val="24"/>
        </w:rPr>
        <w:t>≥3 adverse event.</w:t>
      </w:r>
    </w:p>
    <w:p w:rsidR="00820BE0" w:rsidRPr="0016581E" w:rsidRDefault="00820BE0"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Approximately </w:t>
      </w:r>
      <w:r w:rsidR="00137C54" w:rsidRPr="0016581E">
        <w:rPr>
          <w:rFonts w:asciiTheme="minorHAnsi" w:hAnsiTheme="minorHAnsi" w:cstheme="minorHAnsi"/>
          <w:sz w:val="24"/>
          <w:szCs w:val="24"/>
        </w:rPr>
        <w:t>54</w:t>
      </w:r>
      <w:r w:rsidRPr="0016581E">
        <w:rPr>
          <w:rFonts w:asciiTheme="minorHAnsi" w:hAnsiTheme="minorHAnsi" w:cstheme="minorHAnsi"/>
          <w:sz w:val="24"/>
          <w:szCs w:val="24"/>
        </w:rPr>
        <w:t xml:space="preserve"> additional patien</w:t>
      </w:r>
      <w:r w:rsidR="0093686E" w:rsidRPr="0016581E">
        <w:rPr>
          <w:rFonts w:asciiTheme="minorHAnsi" w:hAnsiTheme="minorHAnsi" w:cstheme="minorHAnsi"/>
          <w:sz w:val="24"/>
          <w:szCs w:val="24"/>
        </w:rPr>
        <w:t xml:space="preserve">ts would experience </w:t>
      </w:r>
      <w:r w:rsidR="00137C54" w:rsidRPr="0016581E">
        <w:rPr>
          <w:rFonts w:asciiTheme="minorHAnsi" w:hAnsiTheme="minorHAnsi" w:cstheme="minorHAnsi"/>
          <w:sz w:val="24"/>
          <w:szCs w:val="24"/>
        </w:rPr>
        <w:t xml:space="preserve">grade 3 </w:t>
      </w:r>
      <w:r w:rsidR="0093686E" w:rsidRPr="0016581E">
        <w:rPr>
          <w:rFonts w:asciiTheme="minorHAnsi" w:hAnsiTheme="minorHAnsi" w:cstheme="minorHAnsi"/>
          <w:sz w:val="24"/>
          <w:szCs w:val="24"/>
        </w:rPr>
        <w:t>neutropenia</w:t>
      </w:r>
      <w:r w:rsidR="00137C54" w:rsidRPr="0016581E">
        <w:rPr>
          <w:rFonts w:asciiTheme="minorHAnsi" w:hAnsiTheme="minorHAnsi" w:cstheme="minorHAnsi"/>
          <w:sz w:val="24"/>
          <w:szCs w:val="24"/>
        </w:rPr>
        <w:t xml:space="preserve"> </w:t>
      </w:r>
      <w:r w:rsidR="004A1CD2" w:rsidRPr="0016581E">
        <w:rPr>
          <w:rFonts w:asciiTheme="minorHAnsi" w:hAnsiTheme="minorHAnsi" w:cstheme="minorHAnsi"/>
          <w:sz w:val="24"/>
          <w:szCs w:val="24"/>
        </w:rPr>
        <w:t>(low count</w:t>
      </w:r>
      <w:r w:rsidR="00130F04" w:rsidRPr="0016581E">
        <w:rPr>
          <w:rFonts w:asciiTheme="minorHAnsi" w:hAnsiTheme="minorHAnsi" w:cstheme="minorHAnsi"/>
          <w:sz w:val="24"/>
          <w:szCs w:val="24"/>
        </w:rPr>
        <w:t xml:space="preserve"> of one type of white blood cell, neutrophils</w:t>
      </w:r>
      <w:r w:rsidR="004A1CD2" w:rsidRPr="0016581E">
        <w:rPr>
          <w:rFonts w:asciiTheme="minorHAnsi" w:hAnsiTheme="minorHAnsi" w:cstheme="minorHAnsi"/>
          <w:sz w:val="24"/>
          <w:szCs w:val="24"/>
        </w:rPr>
        <w:t xml:space="preserve">, which carries an increased risk of infection) </w:t>
      </w:r>
      <w:r w:rsidR="00137C54" w:rsidRPr="0016581E">
        <w:rPr>
          <w:rFonts w:asciiTheme="minorHAnsi" w:hAnsiTheme="minorHAnsi" w:cstheme="minorHAnsi"/>
          <w:sz w:val="24"/>
          <w:szCs w:val="24"/>
        </w:rPr>
        <w:t>and 8 additional patients would experience grade 4 neutropenia</w:t>
      </w:r>
      <w:r w:rsidR="0093686E" w:rsidRPr="0016581E">
        <w:rPr>
          <w:rFonts w:asciiTheme="minorHAnsi" w:hAnsiTheme="minorHAnsi" w:cstheme="minorHAnsi"/>
          <w:sz w:val="24"/>
          <w:szCs w:val="24"/>
        </w:rPr>
        <w:t>.</w:t>
      </w:r>
    </w:p>
    <w:p w:rsidR="00820BE0" w:rsidRPr="0016581E" w:rsidRDefault="00820BE0"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Approximately 2 additional patients would </w:t>
      </w:r>
      <w:r w:rsidR="0093686E" w:rsidRPr="0016581E">
        <w:rPr>
          <w:rFonts w:asciiTheme="minorHAnsi" w:hAnsiTheme="minorHAnsi" w:cstheme="minorHAnsi"/>
          <w:sz w:val="24"/>
          <w:szCs w:val="24"/>
        </w:rPr>
        <w:t>experience febrile neutropenia</w:t>
      </w:r>
      <w:r w:rsidR="00C9610E" w:rsidRPr="0016581E">
        <w:rPr>
          <w:rFonts w:asciiTheme="minorHAnsi" w:hAnsiTheme="minorHAnsi" w:cstheme="minorHAnsi"/>
          <w:sz w:val="24"/>
          <w:szCs w:val="24"/>
        </w:rPr>
        <w:t xml:space="preserve"> (development of fever in a patient with neutropenia)</w:t>
      </w:r>
      <w:r w:rsidR="0093686E" w:rsidRPr="0016581E">
        <w:rPr>
          <w:rFonts w:asciiTheme="minorHAnsi" w:hAnsiTheme="minorHAnsi" w:cstheme="minorHAnsi"/>
          <w:sz w:val="24"/>
          <w:szCs w:val="24"/>
        </w:rPr>
        <w:t>.</w:t>
      </w:r>
    </w:p>
    <w:p w:rsidR="00820BE0" w:rsidRPr="0016581E" w:rsidRDefault="00820BE0"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Approximately </w:t>
      </w:r>
      <w:r w:rsidR="00FC0BA9" w:rsidRPr="0016581E">
        <w:rPr>
          <w:rFonts w:asciiTheme="minorHAnsi" w:hAnsiTheme="minorHAnsi" w:cstheme="minorHAnsi"/>
          <w:sz w:val="24"/>
          <w:szCs w:val="24"/>
        </w:rPr>
        <w:t>42</w:t>
      </w:r>
      <w:r w:rsidRPr="0016581E">
        <w:rPr>
          <w:rFonts w:asciiTheme="minorHAnsi" w:hAnsiTheme="minorHAnsi" w:cstheme="minorHAnsi"/>
          <w:sz w:val="24"/>
          <w:szCs w:val="24"/>
        </w:rPr>
        <w:t xml:space="preserve"> additional patients would experience leukopenia</w:t>
      </w:r>
      <w:r w:rsidR="00130F04" w:rsidRPr="0016581E">
        <w:rPr>
          <w:rFonts w:asciiTheme="minorHAnsi" w:hAnsiTheme="minorHAnsi" w:cstheme="minorHAnsi"/>
          <w:sz w:val="24"/>
          <w:szCs w:val="24"/>
        </w:rPr>
        <w:t xml:space="preserve"> (low white blood cell count)</w:t>
      </w:r>
      <w:r w:rsidR="0093686E" w:rsidRPr="0016581E">
        <w:rPr>
          <w:rFonts w:asciiTheme="minorHAnsi" w:hAnsiTheme="minorHAnsi" w:cstheme="minorHAnsi"/>
          <w:sz w:val="24"/>
          <w:szCs w:val="24"/>
        </w:rPr>
        <w:t>.</w:t>
      </w:r>
    </w:p>
    <w:p w:rsidR="00FC0BA9" w:rsidRPr="0016581E" w:rsidRDefault="00FC0BA9"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Approximately 15 additional patients would experience </w:t>
      </w:r>
      <w:r w:rsidR="0093686E" w:rsidRPr="0016581E">
        <w:rPr>
          <w:rFonts w:asciiTheme="minorHAnsi" w:hAnsiTheme="minorHAnsi" w:cstheme="minorHAnsi"/>
          <w:sz w:val="24"/>
          <w:szCs w:val="24"/>
        </w:rPr>
        <w:t>fatigue.</w:t>
      </w:r>
    </w:p>
    <w:p w:rsidR="009C0DE8" w:rsidRPr="0016581E" w:rsidRDefault="009C0DE8" w:rsidP="0039363C">
      <w:pPr>
        <w:pStyle w:val="ListParagraph"/>
        <w:widowControl/>
        <w:numPr>
          <w:ilvl w:val="0"/>
          <w:numId w:val="3"/>
        </w:numPr>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t>The increased risk of pulmonary embolism</w:t>
      </w:r>
      <w:r w:rsidR="008B2CAD" w:rsidRPr="0016581E">
        <w:rPr>
          <w:rFonts w:asciiTheme="minorHAnsi" w:hAnsiTheme="minorHAnsi" w:cstheme="minorHAnsi"/>
          <w:sz w:val="24"/>
          <w:szCs w:val="24"/>
        </w:rPr>
        <w:t xml:space="preserve"> (where an artery in the lungs becomes blocked by a blood clot)</w:t>
      </w:r>
      <w:r w:rsidRPr="0016581E">
        <w:rPr>
          <w:rFonts w:asciiTheme="minorHAnsi" w:hAnsiTheme="minorHAnsi" w:cstheme="minorHAnsi"/>
          <w:sz w:val="24"/>
          <w:szCs w:val="24"/>
        </w:rPr>
        <w:t xml:space="preserve"> was small but observed in both clinical trials.</w:t>
      </w:r>
    </w:p>
    <w:p w:rsidR="004E23FC" w:rsidRPr="00BA4CBB" w:rsidRDefault="009602EF" w:rsidP="00FC0BA9">
      <w:pPr>
        <w:pStyle w:val="Heading2"/>
        <w:keepNext/>
      </w:pPr>
      <w:bookmarkStart w:id="30" w:name="_Toc493059788"/>
      <w:r w:rsidRPr="00BA4CBB">
        <w:t xml:space="preserve">Interpretation of </w:t>
      </w:r>
      <w:r w:rsidR="00FD0761">
        <w:t xml:space="preserve">the </w:t>
      </w:r>
      <w:r w:rsidRPr="00BA4CBB">
        <w:t>clinical evidence</w:t>
      </w:r>
      <w:bookmarkEnd w:id="28"/>
      <w:bookmarkEnd w:id="30"/>
    </w:p>
    <w:p w:rsidR="00D121AC" w:rsidRPr="0016581E" w:rsidRDefault="00D121AC"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re-submission described palbociclib plus letrozole as superior in terms of </w:t>
      </w:r>
      <w:r w:rsidRPr="0016581E">
        <w:rPr>
          <w:rFonts w:asciiTheme="minorHAnsi" w:hAnsiTheme="minorHAnsi" w:cstheme="minorHAnsi"/>
          <w:sz w:val="24"/>
        </w:rPr>
        <w:t>comparative</w:t>
      </w:r>
      <w:r w:rsidRPr="0016581E">
        <w:rPr>
          <w:rFonts w:asciiTheme="minorHAnsi" w:hAnsiTheme="minorHAnsi" w:cstheme="minorHAnsi"/>
          <w:sz w:val="24"/>
          <w:szCs w:val="24"/>
        </w:rPr>
        <w:t xml:space="preserve"> effectiveness and worse but manageable in terms of comparative safety over letrozole (or anastrozole) alone.</w:t>
      </w:r>
    </w:p>
    <w:p w:rsidR="00D121AC" w:rsidRPr="0016581E" w:rsidRDefault="00D121AC"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w:t>
      </w:r>
      <w:r w:rsidR="006F12D4" w:rsidRPr="0016581E">
        <w:rPr>
          <w:rFonts w:asciiTheme="minorHAnsi" w:hAnsiTheme="minorHAnsi" w:cstheme="minorHAnsi"/>
          <w:sz w:val="24"/>
          <w:szCs w:val="24"/>
        </w:rPr>
        <w:t>e safety claim</w:t>
      </w:r>
      <w:r w:rsidRPr="0016581E">
        <w:rPr>
          <w:rFonts w:asciiTheme="minorHAnsi" w:hAnsiTheme="minorHAnsi" w:cstheme="minorHAnsi"/>
          <w:sz w:val="24"/>
          <w:szCs w:val="24"/>
        </w:rPr>
        <w:t xml:space="preserve"> is changed from the previous submission which claimed palbociclib plus letrozole to be “slightly worse but manageable” in terms of comparative safety. </w:t>
      </w:r>
    </w:p>
    <w:p w:rsidR="00D121AC" w:rsidRPr="0016581E" w:rsidRDefault="00D121AC"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following issues</w:t>
      </w:r>
      <w:r w:rsidR="00A7771E" w:rsidRPr="0016581E">
        <w:rPr>
          <w:rFonts w:asciiTheme="minorHAnsi" w:hAnsiTheme="minorHAnsi" w:cstheme="minorHAnsi"/>
          <w:sz w:val="24"/>
          <w:szCs w:val="24"/>
        </w:rPr>
        <w:t xml:space="preserve"> </w:t>
      </w:r>
      <w:r w:rsidR="0040635B" w:rsidRPr="0016581E">
        <w:rPr>
          <w:rFonts w:asciiTheme="minorHAnsi" w:hAnsiTheme="minorHAnsi" w:cstheme="minorHAnsi"/>
          <w:sz w:val="24"/>
          <w:szCs w:val="24"/>
        </w:rPr>
        <w:t xml:space="preserve">regarding the efficacy claim </w:t>
      </w:r>
      <w:r w:rsidR="00FA23FE" w:rsidRPr="0016581E">
        <w:rPr>
          <w:rFonts w:asciiTheme="minorHAnsi" w:hAnsiTheme="minorHAnsi" w:cstheme="minorHAnsi"/>
          <w:sz w:val="24"/>
          <w:szCs w:val="24"/>
        </w:rPr>
        <w:t>were raised in the evaluation and by ESC</w:t>
      </w:r>
      <w:r w:rsidRPr="0016581E">
        <w:rPr>
          <w:rFonts w:asciiTheme="minorHAnsi" w:hAnsiTheme="minorHAnsi" w:cstheme="minorHAnsi"/>
          <w:sz w:val="24"/>
          <w:szCs w:val="24"/>
        </w:rPr>
        <w:t>:</w:t>
      </w:r>
    </w:p>
    <w:p w:rsidR="00D47D28" w:rsidRPr="0016581E" w:rsidRDefault="00C076DD" w:rsidP="0039363C">
      <w:pPr>
        <w:pStyle w:val="ListParagraph"/>
        <w:widowControl/>
        <w:numPr>
          <w:ilvl w:val="1"/>
          <w:numId w:val="23"/>
        </w:numPr>
        <w:spacing w:before="120" w:after="160"/>
        <w:ind w:left="1134" w:hanging="425"/>
        <w:rPr>
          <w:rFonts w:asciiTheme="minorHAnsi" w:hAnsiTheme="minorHAnsi" w:cstheme="minorHAnsi"/>
          <w:sz w:val="24"/>
          <w:szCs w:val="24"/>
        </w:rPr>
      </w:pPr>
      <w:r w:rsidRPr="0016581E">
        <w:rPr>
          <w:rFonts w:asciiTheme="minorHAnsi" w:hAnsiTheme="minorHAnsi" w:cstheme="minorHAnsi"/>
          <w:sz w:val="24"/>
          <w:szCs w:val="24"/>
        </w:rPr>
        <w:t>T</w:t>
      </w:r>
      <w:r w:rsidR="00D47D28" w:rsidRPr="0016581E">
        <w:rPr>
          <w:rFonts w:asciiTheme="minorHAnsi" w:hAnsiTheme="minorHAnsi" w:cstheme="minorHAnsi"/>
          <w:sz w:val="24"/>
          <w:szCs w:val="24"/>
        </w:rPr>
        <w:t xml:space="preserve">he benefit of palbociclib in delaying progression, and hence time to next therapy, remains uncertain given the context of other available therapies for advanced breast cancer including well-tolerated oral therapies. </w:t>
      </w:r>
      <w:r w:rsidR="00E720E3" w:rsidRPr="0016581E">
        <w:rPr>
          <w:rFonts w:asciiTheme="minorHAnsi" w:hAnsiTheme="minorHAnsi" w:cstheme="minorHAnsi"/>
          <w:sz w:val="24"/>
          <w:szCs w:val="24"/>
        </w:rPr>
        <w:t>The pre-PBAC response provided embargoed information on the Ibrance Real World Insights (IRIS, ClinicalTrials.gov Identifier: NCT03159195)</w:t>
      </w:r>
      <w:r w:rsidR="0040635B" w:rsidRPr="0016581E">
        <w:rPr>
          <w:rFonts w:asciiTheme="minorHAnsi" w:hAnsiTheme="minorHAnsi" w:cstheme="minorHAnsi"/>
          <w:sz w:val="24"/>
          <w:szCs w:val="24"/>
        </w:rPr>
        <w:t>, and claimed t</w:t>
      </w:r>
      <w:r w:rsidR="00E720E3" w:rsidRPr="0016581E">
        <w:rPr>
          <w:rFonts w:asciiTheme="minorHAnsi" w:hAnsiTheme="minorHAnsi" w:cstheme="minorHAnsi"/>
          <w:sz w:val="24"/>
          <w:szCs w:val="24"/>
        </w:rPr>
        <w:t xml:space="preserve">he </w:t>
      </w:r>
      <w:r w:rsidR="0040635B" w:rsidRPr="0016581E">
        <w:rPr>
          <w:rFonts w:asciiTheme="minorHAnsi" w:hAnsiTheme="minorHAnsi" w:cstheme="minorHAnsi"/>
          <w:sz w:val="24"/>
          <w:szCs w:val="24"/>
        </w:rPr>
        <w:t xml:space="preserve">PFS and OS </w:t>
      </w:r>
      <w:r w:rsidR="00E720E3" w:rsidRPr="0016581E">
        <w:rPr>
          <w:rFonts w:asciiTheme="minorHAnsi" w:hAnsiTheme="minorHAnsi" w:cstheme="minorHAnsi"/>
          <w:sz w:val="24"/>
          <w:szCs w:val="24"/>
        </w:rPr>
        <w:t>results</w:t>
      </w:r>
      <w:r w:rsidR="0040635B" w:rsidRPr="0016581E">
        <w:rPr>
          <w:rFonts w:asciiTheme="minorHAnsi" w:hAnsiTheme="minorHAnsi" w:cstheme="minorHAnsi"/>
          <w:sz w:val="24"/>
          <w:szCs w:val="24"/>
        </w:rPr>
        <w:t xml:space="preserve"> were similar to those for</w:t>
      </w:r>
      <w:r w:rsidR="00BE2600" w:rsidRPr="0016581E">
        <w:rPr>
          <w:rFonts w:asciiTheme="minorHAnsi" w:hAnsiTheme="minorHAnsi" w:cstheme="minorHAnsi"/>
          <w:sz w:val="24"/>
          <w:szCs w:val="24"/>
        </w:rPr>
        <w:t xml:space="preserve"> the PALOMA studies</w:t>
      </w:r>
      <w:r w:rsidR="00E720E3" w:rsidRPr="0016581E">
        <w:rPr>
          <w:rFonts w:asciiTheme="minorHAnsi" w:hAnsiTheme="minorHAnsi" w:cstheme="minorHAnsi"/>
          <w:sz w:val="24"/>
          <w:szCs w:val="24"/>
        </w:rPr>
        <w:t xml:space="preserve">. </w:t>
      </w:r>
    </w:p>
    <w:p w:rsidR="00C8271E" w:rsidRPr="0016581E" w:rsidRDefault="00C076DD" w:rsidP="0039363C">
      <w:pPr>
        <w:pStyle w:val="ListParagraph"/>
        <w:widowControl/>
        <w:numPr>
          <w:ilvl w:val="1"/>
          <w:numId w:val="23"/>
        </w:numPr>
        <w:spacing w:before="120" w:after="160"/>
        <w:ind w:left="1134" w:hanging="425"/>
        <w:contextualSpacing w:val="0"/>
        <w:rPr>
          <w:rFonts w:asciiTheme="minorHAnsi" w:hAnsiTheme="minorHAnsi" w:cstheme="minorHAnsi"/>
          <w:sz w:val="24"/>
          <w:szCs w:val="24"/>
        </w:rPr>
      </w:pPr>
      <w:r w:rsidRPr="0016581E">
        <w:rPr>
          <w:rFonts w:asciiTheme="minorHAnsi" w:hAnsiTheme="minorHAnsi" w:cstheme="minorHAnsi"/>
          <w:sz w:val="24"/>
          <w:szCs w:val="24"/>
        </w:rPr>
        <w:lastRenderedPageBreak/>
        <w:t>In PALOMA 1 t</w:t>
      </w:r>
      <w:r w:rsidR="00C8271E" w:rsidRPr="0016581E">
        <w:rPr>
          <w:rFonts w:asciiTheme="minorHAnsi" w:hAnsiTheme="minorHAnsi" w:cstheme="minorHAnsi"/>
          <w:sz w:val="24"/>
          <w:szCs w:val="24"/>
        </w:rPr>
        <w:t xml:space="preserve">he difference in OS, although in favour of palbociclib (median increase of 3.0 months, and 3.4/100 additional patients alive at 36 months), </w:t>
      </w:r>
      <w:r w:rsidR="004B7AFB" w:rsidRPr="0016581E">
        <w:rPr>
          <w:rFonts w:asciiTheme="minorHAnsi" w:hAnsiTheme="minorHAnsi" w:cstheme="minorHAnsi"/>
          <w:sz w:val="24"/>
          <w:szCs w:val="24"/>
        </w:rPr>
        <w:t>remained</w:t>
      </w:r>
      <w:r w:rsidR="00C8271E" w:rsidRPr="0016581E">
        <w:rPr>
          <w:rFonts w:asciiTheme="minorHAnsi" w:hAnsiTheme="minorHAnsi" w:cstheme="minorHAnsi"/>
          <w:sz w:val="24"/>
          <w:szCs w:val="24"/>
        </w:rPr>
        <w:t xml:space="preserve"> not statistically significant (p=0.28).</w:t>
      </w:r>
      <w:r w:rsidR="00D47D28" w:rsidRPr="0016581E">
        <w:rPr>
          <w:rFonts w:asciiTheme="minorHAnsi" w:hAnsiTheme="minorHAnsi" w:cstheme="minorHAnsi"/>
          <w:sz w:val="24"/>
          <w:szCs w:val="24"/>
        </w:rPr>
        <w:t xml:space="preserve"> The </w:t>
      </w:r>
      <w:r w:rsidR="00225FFC">
        <w:rPr>
          <w:rFonts w:asciiTheme="minorHAnsi" w:hAnsiTheme="minorHAnsi" w:cstheme="minorHAnsi"/>
          <w:sz w:val="24"/>
          <w:szCs w:val="24"/>
        </w:rPr>
        <w:t>PSCR</w:t>
      </w:r>
      <w:r w:rsidR="00D47D28" w:rsidRPr="0016581E">
        <w:rPr>
          <w:rFonts w:asciiTheme="minorHAnsi" w:hAnsiTheme="minorHAnsi" w:cstheme="minorHAnsi"/>
          <w:sz w:val="24"/>
          <w:szCs w:val="24"/>
        </w:rPr>
        <w:t xml:space="preserve"> </w:t>
      </w:r>
      <w:r w:rsidR="00225FFC">
        <w:rPr>
          <w:rFonts w:asciiTheme="minorHAnsi" w:hAnsiTheme="minorHAnsi" w:cstheme="minorHAnsi"/>
          <w:sz w:val="24"/>
          <w:szCs w:val="24"/>
        </w:rPr>
        <w:t>(</w:t>
      </w:r>
      <w:r w:rsidR="00D47D28" w:rsidRPr="0016581E">
        <w:rPr>
          <w:rFonts w:asciiTheme="minorHAnsi" w:hAnsiTheme="minorHAnsi" w:cstheme="minorHAnsi"/>
          <w:sz w:val="24"/>
          <w:szCs w:val="24"/>
        </w:rPr>
        <w:t xml:space="preserve">p1) stated that at the time of the updated analysis of OS, the median duration of follow-up was 64.7 months (95% CI, 58.8, </w:t>
      </w:r>
      <w:proofErr w:type="gramStart"/>
      <w:r w:rsidR="00D47D28" w:rsidRPr="0016581E">
        <w:rPr>
          <w:rFonts w:asciiTheme="minorHAnsi" w:hAnsiTheme="minorHAnsi" w:cstheme="minorHAnsi"/>
          <w:sz w:val="24"/>
          <w:szCs w:val="24"/>
        </w:rPr>
        <w:t>73.0</w:t>
      </w:r>
      <w:proofErr w:type="gramEnd"/>
      <w:r w:rsidR="00D47D28" w:rsidRPr="0016581E">
        <w:rPr>
          <w:rFonts w:asciiTheme="minorHAnsi" w:hAnsiTheme="minorHAnsi" w:cstheme="minorHAnsi"/>
          <w:sz w:val="24"/>
          <w:szCs w:val="24"/>
        </w:rPr>
        <w:t>) and the OS benefit may have been confounded by subsequent therapies. The ESC noted that PALOMA-1 was not designed or powered to detect differences in OS.</w:t>
      </w:r>
      <w:r w:rsidR="00F03A46" w:rsidRPr="0016581E">
        <w:rPr>
          <w:rFonts w:asciiTheme="minorHAnsi" w:hAnsiTheme="minorHAnsi" w:cstheme="minorHAnsi"/>
          <w:sz w:val="24"/>
          <w:szCs w:val="24"/>
        </w:rPr>
        <w:t xml:space="preserve"> </w:t>
      </w:r>
    </w:p>
    <w:p w:rsidR="00811133" w:rsidRPr="0016581E" w:rsidRDefault="00290B1B" w:rsidP="004B7EF3">
      <w:pPr>
        <w:pStyle w:val="ListParagraph"/>
        <w:numPr>
          <w:ilvl w:val="1"/>
          <w:numId w:val="5"/>
        </w:numPr>
        <w:spacing w:before="120" w:after="24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ESC considered that the re-submission</w:t>
      </w:r>
      <w:r w:rsidR="007D5607" w:rsidRPr="0016581E">
        <w:rPr>
          <w:rFonts w:asciiTheme="minorHAnsi" w:hAnsiTheme="minorHAnsi" w:cstheme="minorHAnsi"/>
          <w:sz w:val="24"/>
          <w:szCs w:val="24"/>
        </w:rPr>
        <w:t>’</w:t>
      </w:r>
      <w:r w:rsidRPr="0016581E">
        <w:rPr>
          <w:rFonts w:asciiTheme="minorHAnsi" w:hAnsiTheme="minorHAnsi" w:cstheme="minorHAnsi"/>
          <w:sz w:val="24"/>
          <w:szCs w:val="24"/>
        </w:rPr>
        <w:t>s clinical claim for the comparative safety was appropriate</w:t>
      </w:r>
      <w:r w:rsidR="00716343" w:rsidRPr="0016581E">
        <w:rPr>
          <w:rFonts w:asciiTheme="minorHAnsi" w:hAnsiTheme="minorHAnsi" w:cstheme="minorHAnsi"/>
          <w:sz w:val="24"/>
          <w:szCs w:val="24"/>
        </w:rPr>
        <w:t>.</w:t>
      </w:r>
      <w:r w:rsidRPr="0016581E">
        <w:rPr>
          <w:rFonts w:asciiTheme="minorHAnsi" w:hAnsiTheme="minorHAnsi" w:cstheme="minorHAnsi"/>
          <w:sz w:val="24"/>
          <w:szCs w:val="24"/>
        </w:rPr>
        <w:t xml:space="preserve"> </w:t>
      </w:r>
      <w:r w:rsidR="00811133" w:rsidRPr="0016581E">
        <w:rPr>
          <w:rFonts w:asciiTheme="minorHAnsi" w:hAnsiTheme="minorHAnsi" w:cstheme="minorHAnsi"/>
          <w:sz w:val="24"/>
          <w:szCs w:val="24"/>
        </w:rPr>
        <w:t>High</w:t>
      </w:r>
      <w:r w:rsidR="0055300D" w:rsidRPr="0016581E">
        <w:rPr>
          <w:rFonts w:asciiTheme="minorHAnsi" w:hAnsiTheme="minorHAnsi" w:cstheme="minorHAnsi"/>
          <w:sz w:val="24"/>
          <w:szCs w:val="24"/>
        </w:rPr>
        <w:t>er</w:t>
      </w:r>
      <w:r w:rsidR="00811133" w:rsidRPr="0016581E">
        <w:rPr>
          <w:rFonts w:asciiTheme="minorHAnsi" w:hAnsiTheme="minorHAnsi" w:cstheme="minorHAnsi"/>
          <w:sz w:val="24"/>
          <w:szCs w:val="24"/>
        </w:rPr>
        <w:t xml:space="preserve"> rates of adverse events were observed with palbociclib plus </w:t>
      </w:r>
      <w:r w:rsidR="00811133" w:rsidRPr="0016581E">
        <w:rPr>
          <w:rFonts w:asciiTheme="minorHAnsi" w:hAnsiTheme="minorHAnsi" w:cstheme="minorHAnsi"/>
          <w:sz w:val="24"/>
        </w:rPr>
        <w:t>letrozole</w:t>
      </w:r>
      <w:r w:rsidR="00811133" w:rsidRPr="0016581E">
        <w:rPr>
          <w:rFonts w:asciiTheme="minorHAnsi" w:hAnsiTheme="minorHAnsi" w:cstheme="minorHAnsi"/>
          <w:sz w:val="24"/>
          <w:szCs w:val="24"/>
        </w:rPr>
        <w:t xml:space="preserve"> compared to letrozole alone in PALOMA-1 and PALOMA-2</w:t>
      </w:r>
      <w:r w:rsidRPr="0016581E">
        <w:rPr>
          <w:rFonts w:asciiTheme="minorHAnsi" w:hAnsiTheme="minorHAnsi" w:cstheme="minorHAnsi"/>
          <w:sz w:val="24"/>
          <w:szCs w:val="24"/>
        </w:rPr>
        <w:t xml:space="preserve">, </w:t>
      </w:r>
      <w:r w:rsidR="007D5607" w:rsidRPr="0016581E">
        <w:rPr>
          <w:rFonts w:asciiTheme="minorHAnsi" w:hAnsiTheme="minorHAnsi" w:cstheme="minorHAnsi"/>
          <w:sz w:val="24"/>
          <w:szCs w:val="24"/>
        </w:rPr>
        <w:t xml:space="preserve">although in general these events </w:t>
      </w:r>
      <w:r w:rsidRPr="0016581E">
        <w:rPr>
          <w:rFonts w:asciiTheme="minorHAnsi" w:hAnsiTheme="minorHAnsi" w:cstheme="minorHAnsi"/>
          <w:sz w:val="24"/>
          <w:szCs w:val="24"/>
        </w:rPr>
        <w:t>could be managed by experience</w:t>
      </w:r>
      <w:r w:rsidR="003976EA" w:rsidRPr="0016581E">
        <w:rPr>
          <w:rFonts w:asciiTheme="minorHAnsi" w:hAnsiTheme="minorHAnsi" w:cstheme="minorHAnsi"/>
          <w:sz w:val="24"/>
          <w:szCs w:val="24"/>
        </w:rPr>
        <w:t>d</w:t>
      </w:r>
      <w:r w:rsidRPr="0016581E">
        <w:rPr>
          <w:rFonts w:asciiTheme="minorHAnsi" w:hAnsiTheme="minorHAnsi" w:cstheme="minorHAnsi"/>
          <w:sz w:val="24"/>
          <w:szCs w:val="24"/>
        </w:rPr>
        <w:t xml:space="preserve"> clinicians</w:t>
      </w:r>
      <w:r w:rsidR="00811133" w:rsidRPr="0016581E">
        <w:rPr>
          <w:rFonts w:asciiTheme="minorHAnsi" w:hAnsiTheme="minorHAnsi" w:cstheme="minorHAnsi"/>
          <w:sz w:val="24"/>
          <w:szCs w:val="24"/>
        </w:rPr>
        <w:t xml:space="preserve">. </w:t>
      </w:r>
      <w:r w:rsidR="00325396" w:rsidRPr="0016581E">
        <w:rPr>
          <w:rFonts w:asciiTheme="minorHAnsi" w:hAnsiTheme="minorHAnsi" w:cstheme="minorHAnsi"/>
          <w:sz w:val="24"/>
          <w:szCs w:val="24"/>
        </w:rPr>
        <w:t>The ESC further noted that adverse events with first line palbociclib plus letrozole w</w:t>
      </w:r>
      <w:r w:rsidR="00716343" w:rsidRPr="0016581E">
        <w:rPr>
          <w:rFonts w:asciiTheme="minorHAnsi" w:hAnsiTheme="minorHAnsi" w:cstheme="minorHAnsi"/>
          <w:sz w:val="24"/>
          <w:szCs w:val="24"/>
        </w:rPr>
        <w:t>ould like</w:t>
      </w:r>
      <w:r w:rsidR="00130F04" w:rsidRPr="0016581E">
        <w:rPr>
          <w:rFonts w:asciiTheme="minorHAnsi" w:hAnsiTheme="minorHAnsi" w:cstheme="minorHAnsi"/>
          <w:sz w:val="24"/>
          <w:szCs w:val="24"/>
        </w:rPr>
        <w:t>ly</w:t>
      </w:r>
      <w:r w:rsidR="00716343" w:rsidRPr="0016581E">
        <w:rPr>
          <w:rFonts w:asciiTheme="minorHAnsi" w:hAnsiTheme="minorHAnsi" w:cstheme="minorHAnsi"/>
          <w:sz w:val="24"/>
          <w:szCs w:val="24"/>
        </w:rPr>
        <w:t xml:space="preserve"> be worse </w:t>
      </w:r>
      <w:r w:rsidR="00325396" w:rsidRPr="0016581E">
        <w:rPr>
          <w:rFonts w:asciiTheme="minorHAnsi" w:hAnsiTheme="minorHAnsi" w:cstheme="minorHAnsi"/>
          <w:sz w:val="24"/>
          <w:szCs w:val="24"/>
        </w:rPr>
        <w:t xml:space="preserve">than </w:t>
      </w:r>
      <w:r w:rsidR="00130F04" w:rsidRPr="0016581E">
        <w:rPr>
          <w:rFonts w:asciiTheme="minorHAnsi" w:hAnsiTheme="minorHAnsi" w:cstheme="minorHAnsi"/>
          <w:sz w:val="24"/>
          <w:szCs w:val="24"/>
        </w:rPr>
        <w:t>adverse events</w:t>
      </w:r>
      <w:r w:rsidR="00325396" w:rsidRPr="0016581E">
        <w:rPr>
          <w:rFonts w:asciiTheme="minorHAnsi" w:hAnsiTheme="minorHAnsi" w:cstheme="minorHAnsi"/>
          <w:sz w:val="24"/>
          <w:szCs w:val="24"/>
        </w:rPr>
        <w:t xml:space="preserve"> with currently available treatments used </w:t>
      </w:r>
      <w:r w:rsidR="007D5607" w:rsidRPr="0016581E">
        <w:rPr>
          <w:rFonts w:asciiTheme="minorHAnsi" w:hAnsiTheme="minorHAnsi" w:cstheme="minorHAnsi"/>
          <w:sz w:val="24"/>
          <w:szCs w:val="24"/>
        </w:rPr>
        <w:t>as</w:t>
      </w:r>
      <w:r w:rsidR="00325396" w:rsidRPr="0016581E">
        <w:rPr>
          <w:rFonts w:asciiTheme="minorHAnsi" w:hAnsiTheme="minorHAnsi" w:cstheme="minorHAnsi"/>
          <w:sz w:val="24"/>
          <w:szCs w:val="24"/>
        </w:rPr>
        <w:t xml:space="preserve"> later line</w:t>
      </w:r>
      <w:r w:rsidR="007D5607" w:rsidRPr="0016581E">
        <w:rPr>
          <w:rFonts w:asciiTheme="minorHAnsi" w:hAnsiTheme="minorHAnsi" w:cstheme="minorHAnsi"/>
          <w:sz w:val="24"/>
          <w:szCs w:val="24"/>
        </w:rPr>
        <w:t xml:space="preserve"> treatment</w:t>
      </w:r>
      <w:r w:rsidR="00325396" w:rsidRPr="0016581E">
        <w:rPr>
          <w:rFonts w:asciiTheme="minorHAnsi" w:hAnsiTheme="minorHAnsi" w:cstheme="minorHAnsi"/>
          <w:sz w:val="24"/>
          <w:szCs w:val="24"/>
        </w:rPr>
        <w:t>.</w:t>
      </w:r>
      <w:r w:rsidR="00805504" w:rsidRPr="0016581E">
        <w:rPr>
          <w:rFonts w:asciiTheme="minorHAnsi" w:hAnsiTheme="minorHAnsi" w:cstheme="minorHAnsi"/>
          <w:sz w:val="24"/>
          <w:szCs w:val="24"/>
        </w:rPr>
        <w:t xml:space="preserve"> </w:t>
      </w:r>
    </w:p>
    <w:p w:rsidR="00D47D28" w:rsidRPr="0016581E" w:rsidRDefault="00D121AC" w:rsidP="004B7EF3">
      <w:pPr>
        <w:pStyle w:val="ListParagraph"/>
        <w:numPr>
          <w:ilvl w:val="1"/>
          <w:numId w:val="5"/>
        </w:numPr>
        <w:spacing w:before="120" w:after="24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claim that palbociclib plus letrozole vs. letrozole alone maintained quality of life in both </w:t>
      </w:r>
      <w:r w:rsidRPr="0016581E">
        <w:rPr>
          <w:rFonts w:asciiTheme="minorHAnsi" w:hAnsiTheme="minorHAnsi" w:cstheme="minorHAnsi"/>
          <w:sz w:val="24"/>
        </w:rPr>
        <w:t>studies</w:t>
      </w:r>
      <w:r w:rsidRPr="0016581E">
        <w:rPr>
          <w:rFonts w:asciiTheme="minorHAnsi" w:hAnsiTheme="minorHAnsi" w:cstheme="minorHAnsi"/>
          <w:sz w:val="24"/>
          <w:szCs w:val="24"/>
        </w:rPr>
        <w:t xml:space="preserve"> </w:t>
      </w:r>
      <w:r w:rsidR="004B7FAA" w:rsidRPr="0016581E">
        <w:rPr>
          <w:rFonts w:asciiTheme="minorHAnsi" w:hAnsiTheme="minorHAnsi" w:cstheme="minorHAnsi"/>
          <w:sz w:val="24"/>
          <w:szCs w:val="24"/>
        </w:rPr>
        <w:t>wa</w:t>
      </w:r>
      <w:r w:rsidRPr="0016581E">
        <w:rPr>
          <w:rFonts w:asciiTheme="minorHAnsi" w:hAnsiTheme="minorHAnsi" w:cstheme="minorHAnsi"/>
          <w:sz w:val="24"/>
          <w:szCs w:val="24"/>
        </w:rPr>
        <w:t>s not adequately supported.</w:t>
      </w:r>
      <w:r w:rsidR="008C08EE" w:rsidRPr="0016581E">
        <w:rPr>
          <w:rFonts w:asciiTheme="minorHAnsi" w:hAnsiTheme="minorHAnsi" w:cstheme="minorHAnsi"/>
          <w:sz w:val="24"/>
          <w:szCs w:val="24"/>
        </w:rPr>
        <w:t xml:space="preserve"> While the</w:t>
      </w:r>
      <w:r w:rsidR="000F1953" w:rsidRPr="0016581E">
        <w:rPr>
          <w:rFonts w:asciiTheme="minorHAnsi" w:hAnsiTheme="minorHAnsi" w:cstheme="minorHAnsi"/>
          <w:sz w:val="24"/>
          <w:szCs w:val="24"/>
        </w:rPr>
        <w:t xml:space="preserve">re were no statistically significant differences between the treatment arms in PALOMA-2 </w:t>
      </w:r>
      <w:r w:rsidR="004B7FAA" w:rsidRPr="0016581E">
        <w:rPr>
          <w:rFonts w:asciiTheme="minorHAnsi" w:hAnsiTheme="minorHAnsi" w:cstheme="minorHAnsi"/>
          <w:sz w:val="24"/>
          <w:szCs w:val="24"/>
        </w:rPr>
        <w:t>in the</w:t>
      </w:r>
      <w:r w:rsidR="000F1953" w:rsidRPr="0016581E">
        <w:rPr>
          <w:rFonts w:asciiTheme="minorHAnsi" w:hAnsiTheme="minorHAnsi" w:cstheme="minorHAnsi"/>
          <w:sz w:val="24"/>
          <w:szCs w:val="24"/>
        </w:rPr>
        <w:t xml:space="preserve"> FACT-B, FACT-G and EQ-5D</w:t>
      </w:r>
      <w:r w:rsidR="004B7FAA" w:rsidRPr="0016581E">
        <w:rPr>
          <w:rFonts w:asciiTheme="minorHAnsi" w:hAnsiTheme="minorHAnsi" w:cstheme="minorHAnsi"/>
          <w:sz w:val="24"/>
          <w:szCs w:val="24"/>
        </w:rPr>
        <w:t xml:space="preserve"> results</w:t>
      </w:r>
      <w:r w:rsidR="000F1953" w:rsidRPr="0016581E">
        <w:rPr>
          <w:rFonts w:asciiTheme="minorHAnsi" w:hAnsiTheme="minorHAnsi" w:cstheme="minorHAnsi"/>
          <w:sz w:val="24"/>
          <w:szCs w:val="24"/>
        </w:rPr>
        <w:t>,</w:t>
      </w:r>
      <w:r w:rsidRPr="0016581E">
        <w:rPr>
          <w:rFonts w:asciiTheme="minorHAnsi" w:hAnsiTheme="minorHAnsi" w:cstheme="minorHAnsi"/>
          <w:sz w:val="24"/>
          <w:szCs w:val="24"/>
        </w:rPr>
        <w:t xml:space="preserve"> PALOMA-</w:t>
      </w:r>
      <w:r w:rsidR="000F1953" w:rsidRPr="0016581E">
        <w:rPr>
          <w:rFonts w:asciiTheme="minorHAnsi" w:hAnsiTheme="minorHAnsi" w:cstheme="minorHAnsi"/>
          <w:sz w:val="24"/>
          <w:szCs w:val="24"/>
        </w:rPr>
        <w:t>2</w:t>
      </w:r>
      <w:r w:rsidRPr="0016581E">
        <w:rPr>
          <w:rFonts w:asciiTheme="minorHAnsi" w:hAnsiTheme="minorHAnsi" w:cstheme="minorHAnsi"/>
          <w:sz w:val="24"/>
          <w:szCs w:val="24"/>
        </w:rPr>
        <w:t xml:space="preserve"> was not powered to detect changes in </w:t>
      </w:r>
      <w:r w:rsidR="000F1953" w:rsidRPr="0016581E">
        <w:rPr>
          <w:rFonts w:asciiTheme="minorHAnsi" w:hAnsiTheme="minorHAnsi" w:cstheme="minorHAnsi"/>
          <w:sz w:val="24"/>
          <w:szCs w:val="24"/>
        </w:rPr>
        <w:t>patient reported outcomes</w:t>
      </w:r>
      <w:r w:rsidRPr="0016581E">
        <w:rPr>
          <w:rFonts w:asciiTheme="minorHAnsi" w:hAnsiTheme="minorHAnsi" w:cstheme="minorHAnsi"/>
          <w:sz w:val="24"/>
          <w:szCs w:val="24"/>
        </w:rPr>
        <w:t>.</w:t>
      </w:r>
      <w:r w:rsidR="007003D3" w:rsidRPr="0016581E">
        <w:rPr>
          <w:rFonts w:asciiTheme="minorHAnsi" w:hAnsiTheme="minorHAnsi" w:cstheme="minorHAnsi"/>
          <w:sz w:val="24"/>
          <w:szCs w:val="24"/>
        </w:rPr>
        <w:t xml:space="preserve"> </w:t>
      </w:r>
      <w:r w:rsidR="00D23904" w:rsidRPr="0016581E">
        <w:rPr>
          <w:rFonts w:asciiTheme="minorHAnsi" w:hAnsiTheme="minorHAnsi" w:cstheme="minorHAnsi"/>
          <w:sz w:val="24"/>
          <w:szCs w:val="24"/>
        </w:rPr>
        <w:t xml:space="preserve">The pre-PBAC response argued that it is important to consider the reduced quality of life with </w:t>
      </w:r>
      <w:proofErr w:type="gramStart"/>
      <w:r w:rsidR="00D23904" w:rsidRPr="0016581E">
        <w:rPr>
          <w:rFonts w:asciiTheme="minorHAnsi" w:hAnsiTheme="minorHAnsi" w:cstheme="minorHAnsi"/>
          <w:sz w:val="24"/>
          <w:szCs w:val="24"/>
        </w:rPr>
        <w:t>progression,</w:t>
      </w:r>
      <w:proofErr w:type="gramEnd"/>
      <w:r w:rsidR="00D23904" w:rsidRPr="0016581E">
        <w:rPr>
          <w:rFonts w:asciiTheme="minorHAnsi" w:hAnsiTheme="minorHAnsi" w:cstheme="minorHAnsi"/>
          <w:sz w:val="24"/>
          <w:szCs w:val="24"/>
        </w:rPr>
        <w:t xml:space="preserve"> and the 10 month (difference in median PFS) delay in progression when palbociclib is added to an NSAI. The pre-PBAC response further argued that the next treatment for patients who progress on a NSAI is likely everolimus plus exemestane, a combination that can be associated with stomatitis, rash, fatigue and diarrhoea.</w:t>
      </w:r>
    </w:p>
    <w:p w:rsidR="002F3790" w:rsidRPr="0016581E" w:rsidRDefault="002F3790" w:rsidP="004B7EF3">
      <w:pPr>
        <w:pStyle w:val="ListParagraph"/>
        <w:numPr>
          <w:ilvl w:val="1"/>
          <w:numId w:val="5"/>
        </w:numPr>
        <w:spacing w:before="120" w:after="24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For context, the PBAC recalled its previous considerations of treatment of HER2-positive breast cancer. As an example, the PBAC noted the incremental benefits in OS were statistically significant for pertuzumab + trastuzumab +</w:t>
      </w:r>
      <w:r w:rsidR="000D2C3E">
        <w:rPr>
          <w:rFonts w:asciiTheme="minorHAnsi" w:hAnsiTheme="minorHAnsi" w:cstheme="minorHAnsi"/>
          <w:sz w:val="24"/>
          <w:szCs w:val="24"/>
        </w:rPr>
        <w:t xml:space="preserve"> </w:t>
      </w:r>
      <w:r w:rsidRPr="0016581E">
        <w:rPr>
          <w:rFonts w:asciiTheme="minorHAnsi" w:hAnsiTheme="minorHAnsi" w:cstheme="minorHAnsi"/>
          <w:sz w:val="24"/>
          <w:szCs w:val="24"/>
        </w:rPr>
        <w:t>docetaxel vs</w:t>
      </w:r>
      <w:r w:rsidRPr="0016581E">
        <w:t xml:space="preserve"> </w:t>
      </w:r>
      <w:r w:rsidRPr="0016581E">
        <w:rPr>
          <w:rFonts w:asciiTheme="minorHAnsi" w:hAnsiTheme="minorHAnsi" w:cstheme="minorHAnsi"/>
          <w:sz w:val="24"/>
          <w:szCs w:val="24"/>
        </w:rPr>
        <w:t>trastuzumab + docetaxel, at two different data cut-offs (May 2012 and February 2014, considered at the March 2014 and November 2014 meetings). The magnitude of the difference was larger than observed with palbociclib in PALOMA 1 (Table</w:t>
      </w:r>
      <w:r w:rsidR="007C108B">
        <w:rPr>
          <w:rFonts w:asciiTheme="minorHAnsi" w:hAnsiTheme="minorHAnsi" w:cstheme="minorHAnsi"/>
          <w:sz w:val="24"/>
          <w:szCs w:val="24"/>
        </w:rPr>
        <w:t xml:space="preserve"> below)</w:t>
      </w:r>
      <w:r w:rsidR="0040635B" w:rsidRPr="0016581E">
        <w:rPr>
          <w:rFonts w:asciiTheme="minorHAnsi" w:hAnsiTheme="minorHAnsi" w:cstheme="minorHAnsi"/>
          <w:sz w:val="24"/>
          <w:szCs w:val="24"/>
        </w:rPr>
        <w:t>.</w:t>
      </w:r>
    </w:p>
    <w:p w:rsidR="003729A6" w:rsidRPr="0016581E" w:rsidRDefault="003729A6" w:rsidP="00E917DB">
      <w:pPr>
        <w:pStyle w:val="TableHeading0"/>
      </w:pPr>
      <w:r w:rsidRPr="00ED18C0">
        <w:t xml:space="preserve">Table </w:t>
      </w:r>
      <w:r w:rsidR="007C108B">
        <w:t>8</w:t>
      </w:r>
      <w:r w:rsidRPr="00ED18C0">
        <w:t>:</w:t>
      </w:r>
      <w:r w:rsidRPr="007C108B">
        <w:t xml:space="preserve"> Benefits</w:t>
      </w:r>
      <w:r w:rsidRPr="0016581E">
        <w:t xml:space="preserve"> summary of pertuzumab (CLEOPATRA) and trastuzumab (M77001)</w:t>
      </w:r>
    </w:p>
    <w:tbl>
      <w:tblPr>
        <w:tblStyle w:val="TableGrid"/>
        <w:tblW w:w="5000" w:type="pct"/>
        <w:jc w:val="right"/>
        <w:tblCellMar>
          <w:left w:w="28" w:type="dxa"/>
          <w:right w:w="28" w:type="dxa"/>
        </w:tblCellMar>
        <w:tblLook w:val="04A0" w:firstRow="1" w:lastRow="0" w:firstColumn="1" w:lastColumn="0" w:noHBand="0" w:noVBand="1"/>
        <w:tblCaption w:val="Table 8: Benefits summary of pertuzumab (CLEOPATRA) and trastuzumab (M77001)"/>
      </w:tblPr>
      <w:tblGrid>
        <w:gridCol w:w="2466"/>
        <w:gridCol w:w="648"/>
        <w:gridCol w:w="1677"/>
        <w:gridCol w:w="2103"/>
        <w:gridCol w:w="1253"/>
        <w:gridCol w:w="935"/>
      </w:tblGrid>
      <w:tr w:rsidR="002F3790" w:rsidRPr="0016581E" w:rsidTr="000D2C3E">
        <w:trPr>
          <w:trHeight w:val="238"/>
          <w:tblHeader/>
          <w:jc w:val="right"/>
        </w:trPr>
        <w:tc>
          <w:tcPr>
            <w:tcW w:w="1357" w:type="pct"/>
            <w:vMerge w:val="restar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left"/>
              <w:rPr>
                <w:rFonts w:ascii="Arial Narrow" w:hAnsi="Arial Narrow"/>
                <w:b/>
              </w:rPr>
            </w:pPr>
            <w:r w:rsidRPr="0016581E">
              <w:rPr>
                <w:rFonts w:ascii="Arial Narrow" w:hAnsi="Arial Narrow"/>
                <w:b/>
              </w:rPr>
              <w:t>Outcome</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b/>
              </w:rPr>
            </w:pPr>
            <w:r w:rsidRPr="0016581E">
              <w:rPr>
                <w:rFonts w:ascii="Arial Narrow" w:hAnsi="Arial Narrow"/>
                <w:b/>
              </w:rPr>
              <w:t>N</w:t>
            </w:r>
          </w:p>
        </w:tc>
        <w:tc>
          <w:tcPr>
            <w:tcW w:w="923" w:type="pct"/>
            <w:vMerge w:val="restar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b/>
              </w:rPr>
            </w:pPr>
            <w:r w:rsidRPr="0016581E">
              <w:rPr>
                <w:rFonts w:ascii="Arial Narrow" w:hAnsi="Arial Narrow"/>
                <w:b/>
              </w:rPr>
              <w:t>HRR or RR (95%CI)</w:t>
            </w:r>
          </w:p>
        </w:tc>
        <w:tc>
          <w:tcPr>
            <w:tcW w:w="1848" w:type="pct"/>
            <w:gridSpan w:val="2"/>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b/>
              </w:rPr>
            </w:pPr>
            <w:r w:rsidRPr="0016581E">
              <w:rPr>
                <w:rFonts w:ascii="Arial Narrow" w:hAnsi="Arial Narrow"/>
                <w:b/>
              </w:rPr>
              <w:t>Median months (95% CI)</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b/>
              </w:rPr>
            </w:pPr>
            <w:r w:rsidRPr="0016581E">
              <w:rPr>
                <w:rFonts w:ascii="Arial Narrow" w:hAnsi="Arial Narrow"/>
                <w:b/>
              </w:rPr>
              <w:t>Increment</w:t>
            </w:r>
          </w:p>
        </w:tc>
      </w:tr>
      <w:tr w:rsidR="002F3790" w:rsidRPr="0016581E" w:rsidTr="000D2C3E">
        <w:trPr>
          <w:trHeight w:val="63"/>
          <w:tblHeader/>
          <w:jc w:val="right"/>
        </w:trPr>
        <w:tc>
          <w:tcPr>
            <w:tcW w:w="1357" w:type="pct"/>
            <w:vMerge/>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b/>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b/>
              </w:rPr>
            </w:pPr>
          </w:p>
        </w:tc>
        <w:tc>
          <w:tcPr>
            <w:tcW w:w="923" w:type="pct"/>
            <w:vMerge/>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b/>
              </w:rPr>
            </w:pPr>
          </w:p>
        </w:tc>
        <w:tc>
          <w:tcPr>
            <w:tcW w:w="1158"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b/>
                <w:vertAlign w:val="superscript"/>
              </w:rPr>
            </w:pPr>
            <w:r w:rsidRPr="0016581E">
              <w:rPr>
                <w:rFonts w:ascii="Arial Narrow" w:hAnsi="Arial Narrow"/>
                <w:b/>
                <w:bCs/>
              </w:rPr>
              <w:t>Pertuzumab + trastuzumab +docetaxel</w:t>
            </w:r>
          </w:p>
        </w:tc>
        <w:tc>
          <w:tcPr>
            <w:tcW w:w="690"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b/>
                <w:vertAlign w:val="superscript"/>
              </w:rPr>
            </w:pPr>
            <w:r w:rsidRPr="0016581E">
              <w:rPr>
                <w:rFonts w:ascii="Arial Narrow" w:hAnsi="Arial Narrow"/>
                <w:b/>
                <w:bCs/>
              </w:rPr>
              <w:t>Trastuzumab + docetaxel</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b/>
              </w:rPr>
            </w:pPr>
          </w:p>
        </w:tc>
      </w:tr>
      <w:tr w:rsidR="002F3790" w:rsidRPr="0016581E" w:rsidTr="000D2C3E">
        <w:trPr>
          <w:trHeight w:val="238"/>
          <w:jc w:val="righ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b/>
              </w:rPr>
            </w:pPr>
            <w:r w:rsidRPr="0016581E">
              <w:rPr>
                <w:rFonts w:ascii="Arial Narrow" w:hAnsi="Arial Narrow"/>
                <w:b/>
              </w:rPr>
              <w:t>Benefits</w:t>
            </w:r>
          </w:p>
        </w:tc>
      </w:tr>
      <w:tr w:rsidR="002F3790" w:rsidRPr="0016581E" w:rsidTr="000D2C3E">
        <w:trPr>
          <w:trHeight w:val="82"/>
          <w:jc w:val="right"/>
        </w:trPr>
        <w:tc>
          <w:tcPr>
            <w:tcW w:w="1357"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rPr>
            </w:pPr>
            <w:r w:rsidRPr="0016581E">
              <w:rPr>
                <w:rFonts w:ascii="Arial Narrow" w:hAnsi="Arial Narrow"/>
              </w:rPr>
              <w:t>PFS(median months, 95% CI) (May 2012 cut-off)</w:t>
            </w:r>
          </w:p>
        </w:tc>
        <w:tc>
          <w:tcPr>
            <w:tcW w:w="357"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808</w:t>
            </w:r>
          </w:p>
        </w:tc>
        <w:tc>
          <w:tcPr>
            <w:tcW w:w="923"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bCs/>
              </w:rPr>
              <w:t>0.69 (0.58, 0.81)</w:t>
            </w:r>
          </w:p>
        </w:tc>
        <w:tc>
          <w:tcPr>
            <w:tcW w:w="1158"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18.7 (17, 22)</w:t>
            </w:r>
          </w:p>
        </w:tc>
        <w:tc>
          <w:tcPr>
            <w:tcW w:w="690"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12.4 (10, 14)</w:t>
            </w:r>
          </w:p>
        </w:tc>
        <w:tc>
          <w:tcPr>
            <w:tcW w:w="515"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6.3</w:t>
            </w:r>
          </w:p>
        </w:tc>
      </w:tr>
      <w:tr w:rsidR="002F3790" w:rsidRPr="0016581E" w:rsidTr="000D2C3E">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left"/>
              <w:rPr>
                <w:rFonts w:ascii="Arial Narrow" w:hAnsi="Arial Narrow"/>
              </w:rPr>
            </w:pPr>
            <w:r w:rsidRPr="0016581E">
              <w:rPr>
                <w:rFonts w:ascii="Arial Narrow" w:hAnsi="Arial Narrow"/>
              </w:rPr>
              <w:t>OS (median months, 95% CI) (May 2012 cut-off)</w:t>
            </w:r>
          </w:p>
        </w:tc>
        <w:tc>
          <w:tcPr>
            <w:tcW w:w="357"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808</w:t>
            </w:r>
          </w:p>
        </w:tc>
        <w:tc>
          <w:tcPr>
            <w:tcW w:w="923"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bCs/>
              </w:rPr>
              <w:t>0.66 (0.52, 0.84)</w:t>
            </w:r>
          </w:p>
        </w:tc>
        <w:tc>
          <w:tcPr>
            <w:tcW w:w="1158"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Not reached (42, - )</w:t>
            </w:r>
          </w:p>
        </w:tc>
        <w:tc>
          <w:tcPr>
            <w:tcW w:w="690"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37.6 (34, - )</w:t>
            </w:r>
          </w:p>
        </w:tc>
        <w:tc>
          <w:tcPr>
            <w:tcW w:w="515" w:type="pct"/>
            <w:tcBorders>
              <w:top w:val="single" w:sz="4" w:space="0" w:color="auto"/>
              <w:left w:val="single" w:sz="4" w:space="0" w:color="auto"/>
              <w:bottom w:val="single" w:sz="4" w:space="0" w:color="auto"/>
              <w:right w:val="single" w:sz="4" w:space="0" w:color="auto"/>
            </w:tcBorders>
            <w:vAlign w:val="center"/>
            <w:hideMark/>
          </w:tcPr>
          <w:p w:rsidR="002F3790" w:rsidRPr="0016581E" w:rsidRDefault="002F3790" w:rsidP="00BA6B66">
            <w:pPr>
              <w:jc w:val="center"/>
              <w:rPr>
                <w:rFonts w:ascii="Arial Narrow" w:hAnsi="Arial Narrow"/>
              </w:rPr>
            </w:pPr>
            <w:r w:rsidRPr="0016581E">
              <w:rPr>
                <w:rFonts w:ascii="Arial Narrow" w:hAnsi="Arial Narrow"/>
              </w:rPr>
              <w:t>N/A</w:t>
            </w:r>
          </w:p>
        </w:tc>
      </w:tr>
      <w:tr w:rsidR="002F3790" w:rsidRPr="0016581E" w:rsidTr="000D2C3E">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left"/>
              <w:rPr>
                <w:rFonts w:ascii="Arial Narrow" w:hAnsi="Arial Narrow"/>
              </w:rPr>
            </w:pPr>
            <w:r w:rsidRPr="0016581E">
              <w:rPr>
                <w:rFonts w:ascii="Arial Narrow" w:hAnsi="Arial Narrow"/>
              </w:rPr>
              <w:t>OS (median months, 95% CI) (Feb 2014 cut-off)</w:t>
            </w:r>
          </w:p>
        </w:tc>
        <w:tc>
          <w:tcPr>
            <w:tcW w:w="357" w:type="pc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rPr>
            </w:pPr>
            <w:r w:rsidRPr="0016581E">
              <w:rPr>
                <w:rFonts w:ascii="Arial Narrow" w:hAnsi="Arial Narrow"/>
              </w:rPr>
              <w:t>808</w:t>
            </w:r>
          </w:p>
        </w:tc>
        <w:tc>
          <w:tcPr>
            <w:tcW w:w="923" w:type="pc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bCs/>
              </w:rPr>
            </w:pPr>
            <w:r w:rsidRPr="0016581E">
              <w:rPr>
                <w:rFonts w:ascii="Arial Narrow" w:hAnsi="Arial Narrow"/>
                <w:bCs/>
              </w:rPr>
              <w:t>0.68 (0.56, 0.84)</w:t>
            </w:r>
          </w:p>
        </w:tc>
        <w:tc>
          <w:tcPr>
            <w:tcW w:w="1158" w:type="pc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rPr>
            </w:pPr>
            <w:r w:rsidRPr="0016581E">
              <w:rPr>
                <w:rFonts w:ascii="Arial Narrow" w:hAnsi="Arial Narrow"/>
              </w:rPr>
              <w:t>56.5</w:t>
            </w:r>
          </w:p>
        </w:tc>
        <w:tc>
          <w:tcPr>
            <w:tcW w:w="690" w:type="pc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rPr>
            </w:pPr>
            <w:r w:rsidRPr="0016581E">
              <w:rPr>
                <w:rFonts w:ascii="Arial Narrow" w:hAnsi="Arial Narrow"/>
              </w:rPr>
              <w:t>40.8</w:t>
            </w:r>
          </w:p>
        </w:tc>
        <w:tc>
          <w:tcPr>
            <w:tcW w:w="515" w:type="pct"/>
            <w:tcBorders>
              <w:top w:val="single" w:sz="4" w:space="0" w:color="auto"/>
              <w:left w:val="single" w:sz="4" w:space="0" w:color="auto"/>
              <w:bottom w:val="single" w:sz="4" w:space="0" w:color="auto"/>
              <w:right w:val="single" w:sz="4" w:space="0" w:color="auto"/>
            </w:tcBorders>
            <w:vAlign w:val="center"/>
          </w:tcPr>
          <w:p w:rsidR="002F3790" w:rsidRPr="0016581E" w:rsidRDefault="002F3790" w:rsidP="00BA6B66">
            <w:pPr>
              <w:jc w:val="center"/>
              <w:rPr>
                <w:rFonts w:ascii="Arial Narrow" w:hAnsi="Arial Narrow"/>
              </w:rPr>
            </w:pPr>
            <w:r w:rsidRPr="0016581E">
              <w:rPr>
                <w:rFonts w:ascii="Arial Narrow" w:hAnsi="Arial Narrow"/>
              </w:rPr>
              <w:t>15.7</w:t>
            </w:r>
          </w:p>
        </w:tc>
      </w:tr>
    </w:tbl>
    <w:p w:rsidR="003729A6" w:rsidRPr="0016581E" w:rsidRDefault="003729A6" w:rsidP="00E917DB">
      <w:pPr>
        <w:pStyle w:val="TableFooter"/>
        <w:rPr>
          <w:color w:val="000000"/>
          <w:szCs w:val="18"/>
        </w:rPr>
      </w:pPr>
      <w:r w:rsidRPr="0016581E">
        <w:t xml:space="preserve">Source: </w:t>
      </w:r>
      <w:r w:rsidRPr="0016581E">
        <w:rPr>
          <w:color w:val="000000"/>
          <w:szCs w:val="18"/>
        </w:rPr>
        <w:t>Adapted from November 2014 Public Summary Document for item 7.5.</w:t>
      </w:r>
    </w:p>
    <w:p w:rsidR="00D47D28" w:rsidRPr="0016581E" w:rsidRDefault="00D47D28"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sz w:val="24"/>
          <w:szCs w:val="24"/>
        </w:rPr>
        <w:t xml:space="preserve">Overall, in the absence of a demonstrated gained in OS or quality of life, the ESC </w:t>
      </w:r>
      <w:r w:rsidRPr="0016581E">
        <w:rPr>
          <w:rFonts w:asciiTheme="minorHAnsi" w:hAnsiTheme="minorHAnsi" w:cstheme="minorHAnsi"/>
          <w:sz w:val="24"/>
        </w:rPr>
        <w:lastRenderedPageBreak/>
        <w:t>considered</w:t>
      </w:r>
      <w:r w:rsidRPr="0016581E">
        <w:rPr>
          <w:rFonts w:asciiTheme="minorHAnsi" w:hAnsiTheme="minorHAnsi"/>
          <w:sz w:val="24"/>
          <w:szCs w:val="24"/>
        </w:rPr>
        <w:t xml:space="preserve"> the benefits of palbociclib to be uncertain, and in this context noted the UpToDate article by Hayes et al (last updated in August 2017), titled Systemic treatment for metastatic breast cancer: General principles, which states:</w:t>
      </w:r>
    </w:p>
    <w:p w:rsidR="00D47D28" w:rsidRPr="0016581E" w:rsidRDefault="00D47D28" w:rsidP="008B2795">
      <w:pPr>
        <w:pStyle w:val="ListParagraph"/>
        <w:widowControl/>
        <w:numPr>
          <w:ilvl w:val="1"/>
          <w:numId w:val="51"/>
        </w:numPr>
        <w:spacing w:before="120" w:after="160"/>
        <w:ind w:left="1418" w:hanging="284"/>
        <w:rPr>
          <w:rFonts w:asciiTheme="minorHAnsi" w:hAnsiTheme="minorHAnsi"/>
          <w:sz w:val="24"/>
          <w:szCs w:val="24"/>
        </w:rPr>
      </w:pPr>
      <w:r w:rsidRPr="0016581E">
        <w:rPr>
          <w:rFonts w:asciiTheme="minorHAnsi" w:hAnsiTheme="minorHAnsi"/>
          <w:sz w:val="24"/>
          <w:szCs w:val="24"/>
          <w:lang w:eastAsia="en-AU"/>
        </w:rPr>
        <w:t>The</w:t>
      </w:r>
      <w:r w:rsidRPr="0016581E">
        <w:rPr>
          <w:rFonts w:asciiTheme="minorHAnsi" w:hAnsiTheme="minorHAnsi"/>
          <w:sz w:val="24"/>
          <w:szCs w:val="24"/>
        </w:rPr>
        <w:t xml:space="preserve"> primary goals of systemic treatment for metastatic breast cancer are prolongation of survival, alleviation of symptoms, and maintenance or improvement in quality of life, despite toxicity associated with treatment.</w:t>
      </w:r>
    </w:p>
    <w:p w:rsidR="00D47D28" w:rsidRPr="0016581E" w:rsidRDefault="00D47D28" w:rsidP="008B2795">
      <w:pPr>
        <w:pStyle w:val="ListParagraph"/>
        <w:widowControl/>
        <w:numPr>
          <w:ilvl w:val="1"/>
          <w:numId w:val="51"/>
        </w:numPr>
        <w:spacing w:before="120" w:after="160"/>
        <w:ind w:left="1418" w:hanging="284"/>
        <w:contextualSpacing w:val="0"/>
        <w:rPr>
          <w:rFonts w:asciiTheme="minorHAnsi" w:hAnsiTheme="minorHAnsi" w:cstheme="minorHAnsi"/>
          <w:sz w:val="24"/>
          <w:szCs w:val="24"/>
        </w:rPr>
      </w:pPr>
      <w:r w:rsidRPr="0016581E">
        <w:rPr>
          <w:rFonts w:asciiTheme="minorHAnsi" w:hAnsiTheme="minorHAnsi"/>
          <w:sz w:val="24"/>
          <w:szCs w:val="24"/>
        </w:rPr>
        <w:t>The optimal measure of therapeutic efficacy is debated. OS is the gold standard for comparing therapies, but it requires prolonged follow-up and may be diluted by the effects of subsequent treatment. However, no other endpoint, including progression-free survival, time to tumour progression, or objective response rate, has been shown to be a good surrogate for OS.</w:t>
      </w:r>
    </w:p>
    <w:p w:rsidR="00513AD7" w:rsidRPr="004B7EF3" w:rsidRDefault="0084573B" w:rsidP="004B7EF3">
      <w:pPr>
        <w:pStyle w:val="ListParagraph"/>
        <w:numPr>
          <w:ilvl w:val="1"/>
          <w:numId w:val="5"/>
        </w:numPr>
        <w:spacing w:before="120" w:after="160"/>
        <w:ind w:left="709" w:hanging="709"/>
        <w:contextualSpacing w:val="0"/>
        <w:rPr>
          <w:rFonts w:asciiTheme="minorHAnsi" w:hAnsiTheme="minorHAnsi"/>
          <w:sz w:val="24"/>
          <w:szCs w:val="24"/>
        </w:rPr>
      </w:pPr>
      <w:r>
        <w:rPr>
          <w:rFonts w:asciiTheme="minorHAnsi" w:hAnsiTheme="minorHAnsi"/>
          <w:sz w:val="24"/>
          <w:szCs w:val="24"/>
        </w:rPr>
        <w:t>The pre-PBAC response</w:t>
      </w:r>
      <w:r w:rsidR="00513AD7" w:rsidRPr="004B7EF3">
        <w:rPr>
          <w:rFonts w:asciiTheme="minorHAnsi" w:hAnsiTheme="minorHAnsi"/>
          <w:sz w:val="24"/>
          <w:szCs w:val="24"/>
        </w:rPr>
        <w:t xml:space="preserve"> presented an article entitled </w:t>
      </w:r>
      <w:r w:rsidR="00A67EF0" w:rsidRPr="004B7EF3">
        <w:rPr>
          <w:rFonts w:asciiTheme="minorHAnsi" w:hAnsiTheme="minorHAnsi"/>
          <w:sz w:val="24"/>
          <w:szCs w:val="24"/>
        </w:rPr>
        <w:t>‘</w:t>
      </w:r>
      <w:r w:rsidR="00513AD7" w:rsidRPr="004B7EF3">
        <w:rPr>
          <w:rFonts w:asciiTheme="minorHAnsi" w:hAnsiTheme="minorHAnsi"/>
          <w:sz w:val="24"/>
          <w:szCs w:val="24"/>
        </w:rPr>
        <w:t>Treatment approach to metastatic hormone receptor positive, HER2-negative b</w:t>
      </w:r>
      <w:r w:rsidR="00A67EF0" w:rsidRPr="004B7EF3">
        <w:rPr>
          <w:rFonts w:asciiTheme="minorHAnsi" w:hAnsiTheme="minorHAnsi"/>
          <w:sz w:val="24"/>
          <w:szCs w:val="24"/>
        </w:rPr>
        <w:t>reast cancer: Endocrine therapy’</w:t>
      </w:r>
      <w:r w:rsidR="00513AD7" w:rsidRPr="004B7EF3">
        <w:rPr>
          <w:rFonts w:asciiTheme="minorHAnsi" w:hAnsiTheme="minorHAnsi"/>
          <w:sz w:val="24"/>
          <w:szCs w:val="24"/>
        </w:rPr>
        <w:t xml:space="preserve"> (UptoDate, Ma and Dickler, Oct</w:t>
      </w:r>
      <w:r w:rsidR="00CE6364" w:rsidRPr="004B7EF3">
        <w:rPr>
          <w:rFonts w:asciiTheme="minorHAnsi" w:hAnsiTheme="minorHAnsi"/>
          <w:sz w:val="24"/>
          <w:szCs w:val="24"/>
        </w:rPr>
        <w:t>ober</w:t>
      </w:r>
      <w:r w:rsidR="00513AD7" w:rsidRPr="004B7EF3">
        <w:rPr>
          <w:rFonts w:asciiTheme="minorHAnsi" w:hAnsiTheme="minorHAnsi"/>
          <w:sz w:val="24"/>
          <w:szCs w:val="24"/>
        </w:rPr>
        <w:t xml:space="preserve"> 2017), which states that the goal of therapy is to “choose the therapy that is most likely to stabilize or reduce the burden of disease with the fewest side effects and maintain that therapy until either unacceptable toxicities are evident or disease progression occurs”. Furthermore, UpToDate</w:t>
      </w:r>
      <w:r w:rsidR="004C179E" w:rsidRPr="004B7EF3">
        <w:rPr>
          <w:rFonts w:asciiTheme="minorHAnsi" w:hAnsiTheme="minorHAnsi"/>
          <w:sz w:val="24"/>
          <w:szCs w:val="24"/>
        </w:rPr>
        <w:t>, Ma and Dickler,</w:t>
      </w:r>
      <w:r w:rsidR="000450F2">
        <w:rPr>
          <w:rFonts w:asciiTheme="minorHAnsi" w:hAnsiTheme="minorHAnsi"/>
          <w:sz w:val="24"/>
          <w:szCs w:val="24"/>
        </w:rPr>
        <w:t xml:space="preserve"> states “</w:t>
      </w:r>
      <w:r w:rsidR="00513AD7" w:rsidRPr="004B7EF3">
        <w:rPr>
          <w:rFonts w:asciiTheme="minorHAnsi" w:hAnsiTheme="minorHAnsi"/>
          <w:sz w:val="24"/>
          <w:szCs w:val="24"/>
        </w:rPr>
        <w:t>Given the consistent benefits observed with CDK inhibitors and AI, we prefer those regimens in the front-line setting</w:t>
      </w:r>
      <w:r w:rsidR="000450F2">
        <w:rPr>
          <w:rFonts w:asciiTheme="minorHAnsi" w:hAnsiTheme="minorHAnsi"/>
          <w:sz w:val="24"/>
          <w:szCs w:val="24"/>
        </w:rPr>
        <w:t>”</w:t>
      </w:r>
      <w:r w:rsidR="00513AD7" w:rsidRPr="004B7EF3">
        <w:rPr>
          <w:rFonts w:asciiTheme="minorHAnsi" w:hAnsiTheme="minorHAnsi"/>
          <w:sz w:val="24"/>
          <w:szCs w:val="24"/>
        </w:rPr>
        <w:t>.</w:t>
      </w:r>
      <w:r w:rsidR="00845124" w:rsidRPr="004B7EF3">
        <w:rPr>
          <w:rFonts w:asciiTheme="minorHAnsi" w:hAnsiTheme="minorHAnsi"/>
          <w:sz w:val="24"/>
          <w:szCs w:val="24"/>
        </w:rPr>
        <w:t xml:space="preserve"> </w:t>
      </w:r>
      <w:r w:rsidR="00DC44FC" w:rsidRPr="004B7EF3">
        <w:rPr>
          <w:rFonts w:asciiTheme="minorHAnsi" w:hAnsiTheme="minorHAnsi"/>
          <w:sz w:val="24"/>
          <w:szCs w:val="24"/>
        </w:rPr>
        <w:t xml:space="preserve">The response also presented the opinion from three oncologists </w:t>
      </w:r>
      <w:r w:rsidR="004C179E" w:rsidRPr="004B7EF3">
        <w:rPr>
          <w:rFonts w:asciiTheme="minorHAnsi" w:hAnsiTheme="minorHAnsi"/>
          <w:sz w:val="24"/>
          <w:szCs w:val="24"/>
        </w:rPr>
        <w:t xml:space="preserve">including ‘While improvements in progression free survival are not always followed by improvements in overall </w:t>
      </w:r>
      <w:r w:rsidR="0016581E" w:rsidRPr="004B7EF3">
        <w:rPr>
          <w:rFonts w:asciiTheme="minorHAnsi" w:hAnsiTheme="minorHAnsi"/>
          <w:sz w:val="24"/>
          <w:szCs w:val="24"/>
        </w:rPr>
        <w:t>survival that</w:t>
      </w:r>
      <w:r w:rsidR="004C179E" w:rsidRPr="004B7EF3">
        <w:rPr>
          <w:rFonts w:asciiTheme="minorHAnsi" w:hAnsiTheme="minorHAnsi"/>
          <w:sz w:val="24"/>
          <w:szCs w:val="24"/>
        </w:rPr>
        <w:t xml:space="preserve"> generally applies to treatments that produce only modest improvements on existing standard care. Palbociclib has however had a profound effect on progression free survival not offset by significant toxicity, since a good quality of life is maintained and lasts a lot longer than the control arms.’</w:t>
      </w:r>
    </w:p>
    <w:p w:rsidR="004E23FC" w:rsidRPr="00BA4CBB" w:rsidRDefault="004E23FC" w:rsidP="004E23FC">
      <w:pPr>
        <w:pStyle w:val="Heading2"/>
      </w:pPr>
      <w:bookmarkStart w:id="31" w:name="_Toc413139282"/>
      <w:bookmarkStart w:id="32" w:name="_Toc493059789"/>
      <w:r w:rsidRPr="00BA4CBB">
        <w:t>Economic analysis</w:t>
      </w:r>
      <w:bookmarkEnd w:id="31"/>
      <w:bookmarkEnd w:id="32"/>
    </w:p>
    <w:p w:rsidR="004E23FC" w:rsidRPr="0016581E" w:rsidRDefault="003A313B"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re-submission presented a cost-effectiveness and cost-utility analysis. This is unchanged from the </w:t>
      </w:r>
      <w:r w:rsidRPr="0016581E">
        <w:rPr>
          <w:rFonts w:asciiTheme="minorHAnsi" w:hAnsiTheme="minorHAnsi" w:cstheme="minorHAnsi"/>
          <w:sz w:val="24"/>
        </w:rPr>
        <w:t>previous</w:t>
      </w:r>
      <w:r w:rsidRPr="0016581E">
        <w:rPr>
          <w:rFonts w:asciiTheme="minorHAnsi" w:hAnsiTheme="minorHAnsi" w:cstheme="minorHAnsi"/>
          <w:sz w:val="24"/>
          <w:szCs w:val="24"/>
        </w:rPr>
        <w:t xml:space="preserve"> submission.</w:t>
      </w:r>
    </w:p>
    <w:p w:rsidR="003A313B" w:rsidRPr="0016581E" w:rsidRDefault="008E0AF8"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A summary of the model structure is presented in the table below.</w:t>
      </w:r>
      <w:r w:rsidR="009150B2" w:rsidRPr="0016581E">
        <w:rPr>
          <w:rFonts w:asciiTheme="minorHAnsi" w:hAnsiTheme="minorHAnsi" w:cstheme="minorHAnsi"/>
          <w:sz w:val="24"/>
          <w:szCs w:val="24"/>
        </w:rPr>
        <w:t xml:space="preserve"> Key changes in the model from the previous </w:t>
      </w:r>
      <w:r w:rsidR="009150B2" w:rsidRPr="0016581E">
        <w:rPr>
          <w:rFonts w:asciiTheme="minorHAnsi" w:hAnsiTheme="minorHAnsi" w:cstheme="minorHAnsi"/>
          <w:sz w:val="24"/>
        </w:rPr>
        <w:t>submission</w:t>
      </w:r>
      <w:r w:rsidR="009150B2" w:rsidRPr="0016581E">
        <w:rPr>
          <w:rFonts w:asciiTheme="minorHAnsi" w:hAnsiTheme="minorHAnsi" w:cstheme="minorHAnsi"/>
          <w:sz w:val="24"/>
          <w:szCs w:val="24"/>
        </w:rPr>
        <w:t xml:space="preserve"> are described below.</w:t>
      </w:r>
    </w:p>
    <w:p w:rsidR="004E23FC" w:rsidRPr="0016581E" w:rsidRDefault="004E23FC" w:rsidP="004E23FC">
      <w:pPr>
        <w:pStyle w:val="TableHeading0"/>
      </w:pPr>
      <w:r w:rsidRPr="0016581E">
        <w:t xml:space="preserve">Table </w:t>
      </w:r>
      <w:r w:rsidR="007C108B">
        <w:t>9</w:t>
      </w:r>
      <w:r w:rsidRPr="0016581E">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2"/>
        <w:gridCol w:w="7740"/>
      </w:tblGrid>
      <w:tr w:rsidR="004E23FC" w:rsidRPr="0016581E" w:rsidTr="00F910B0">
        <w:trPr>
          <w:tblHeader/>
        </w:trPr>
        <w:tc>
          <w:tcPr>
            <w:tcW w:w="739" w:type="pct"/>
            <w:shd w:val="clear" w:color="auto" w:fill="auto"/>
            <w:vAlign w:val="center"/>
          </w:tcPr>
          <w:p w:rsidR="004E23FC" w:rsidRPr="0016581E" w:rsidRDefault="004E23FC" w:rsidP="00353CDC">
            <w:pPr>
              <w:pStyle w:val="TableText1"/>
              <w:rPr>
                <w:b/>
              </w:rPr>
            </w:pPr>
            <w:r w:rsidRPr="0016581E">
              <w:rPr>
                <w:b/>
              </w:rPr>
              <w:t>Component</w:t>
            </w:r>
          </w:p>
        </w:tc>
        <w:tc>
          <w:tcPr>
            <w:tcW w:w="4261" w:type="pct"/>
            <w:shd w:val="clear" w:color="auto" w:fill="auto"/>
            <w:vAlign w:val="center"/>
          </w:tcPr>
          <w:p w:rsidR="004E23FC" w:rsidRPr="0016581E" w:rsidRDefault="004E23FC" w:rsidP="00353CDC">
            <w:pPr>
              <w:pStyle w:val="TableText1"/>
              <w:rPr>
                <w:b/>
              </w:rPr>
            </w:pPr>
            <w:r w:rsidRPr="0016581E">
              <w:rPr>
                <w:b/>
              </w:rPr>
              <w:t>Summary</w:t>
            </w:r>
          </w:p>
        </w:tc>
      </w:tr>
      <w:tr w:rsidR="0075612B" w:rsidRPr="0016581E" w:rsidTr="00F910B0">
        <w:tc>
          <w:tcPr>
            <w:tcW w:w="739" w:type="pct"/>
            <w:shd w:val="clear" w:color="auto" w:fill="auto"/>
          </w:tcPr>
          <w:p w:rsidR="0075612B" w:rsidRPr="0016581E" w:rsidRDefault="0075612B" w:rsidP="0075612B">
            <w:pPr>
              <w:pStyle w:val="TableText1"/>
            </w:pPr>
            <w:r w:rsidRPr="0016581E">
              <w:t>Type of analysis</w:t>
            </w:r>
          </w:p>
        </w:tc>
        <w:tc>
          <w:tcPr>
            <w:tcW w:w="4261" w:type="pct"/>
            <w:shd w:val="clear" w:color="auto" w:fill="auto"/>
          </w:tcPr>
          <w:p w:rsidR="0075612B" w:rsidRPr="0016581E" w:rsidRDefault="0075612B" w:rsidP="0075612B">
            <w:pPr>
              <w:pStyle w:val="TableText1"/>
            </w:pPr>
            <w:r w:rsidRPr="0016581E">
              <w:t>Cost-effectiveness analysis and cost-utility analysis</w:t>
            </w:r>
          </w:p>
        </w:tc>
      </w:tr>
      <w:tr w:rsidR="0075612B" w:rsidRPr="0016581E" w:rsidTr="00F910B0">
        <w:tc>
          <w:tcPr>
            <w:tcW w:w="739"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Outcomes</w:t>
            </w:r>
          </w:p>
        </w:tc>
        <w:tc>
          <w:tcPr>
            <w:tcW w:w="4261" w:type="pct"/>
            <w:shd w:val="clear" w:color="auto" w:fill="auto"/>
          </w:tcPr>
          <w:p w:rsidR="0075612B" w:rsidRPr="0016581E" w:rsidRDefault="0075612B" w:rsidP="00F910B0">
            <w:pPr>
              <w:pStyle w:val="TableText1"/>
              <w:keepNext w:val="0"/>
              <w:widowControl w:val="0"/>
              <w:rPr>
                <w:rFonts w:ascii="Times" w:eastAsia="Times New Roman" w:hAnsi="Times" w:cs="Times New Roman"/>
              </w:rPr>
            </w:pPr>
            <w:r w:rsidRPr="0016581E">
              <w:t>Deaths, LYG and QALYs</w:t>
            </w:r>
          </w:p>
        </w:tc>
      </w:tr>
      <w:tr w:rsidR="00C331AB" w:rsidRPr="0016581E" w:rsidTr="00F910B0">
        <w:tc>
          <w:tcPr>
            <w:tcW w:w="739" w:type="pct"/>
            <w:shd w:val="clear" w:color="auto" w:fill="auto"/>
          </w:tcPr>
          <w:p w:rsidR="00C331AB" w:rsidRPr="0016581E" w:rsidRDefault="00C331AB" w:rsidP="00F910B0">
            <w:pPr>
              <w:pStyle w:val="TableText1"/>
              <w:keepNext w:val="0"/>
              <w:widowControl w:val="0"/>
            </w:pPr>
            <w:r w:rsidRPr="0016581E">
              <w:t>Time horizon</w:t>
            </w:r>
          </w:p>
        </w:tc>
        <w:tc>
          <w:tcPr>
            <w:tcW w:w="4261" w:type="pct"/>
            <w:shd w:val="clear" w:color="auto" w:fill="auto"/>
          </w:tcPr>
          <w:p w:rsidR="000F1953" w:rsidRPr="0016581E" w:rsidRDefault="00C331AB" w:rsidP="00D52736">
            <w:pPr>
              <w:pStyle w:val="TableText1"/>
              <w:keepNext w:val="0"/>
              <w:widowControl w:val="0"/>
            </w:pPr>
            <w:r w:rsidRPr="0016581E">
              <w:t>130 cycles (9.97 years) in the model base case versus a maximum of 82 months in the PALOMA-1 trial and 33 months in the PALOMA-2 trial. Th</w:t>
            </w:r>
            <w:r w:rsidR="00D52736" w:rsidRPr="0016581E">
              <w:t xml:space="preserve">e length of follow-up </w:t>
            </w:r>
            <w:r w:rsidRPr="0016581E">
              <w:t xml:space="preserve">changed from the previous submission (maximum of </w:t>
            </w:r>
            <w:r w:rsidR="00955691" w:rsidRPr="0016581E">
              <w:t>44</w:t>
            </w:r>
            <w:r w:rsidRPr="0016581E">
              <w:t xml:space="preserve"> months</w:t>
            </w:r>
            <w:r w:rsidR="00955691" w:rsidRPr="0016581E">
              <w:t xml:space="preserve"> in the PALOMA-1 trial</w:t>
            </w:r>
            <w:r w:rsidRPr="0016581E">
              <w:t>)</w:t>
            </w:r>
            <w:r w:rsidR="00955691" w:rsidRPr="0016581E">
              <w:t>.</w:t>
            </w:r>
          </w:p>
          <w:p w:rsidR="00C331AB" w:rsidRPr="0016581E" w:rsidRDefault="00D52736" w:rsidP="00D52736">
            <w:pPr>
              <w:pStyle w:val="TableText1"/>
              <w:keepNext w:val="0"/>
              <w:widowControl w:val="0"/>
              <w:rPr>
                <w:rFonts w:ascii="Times" w:eastAsia="Times New Roman" w:hAnsi="Times" w:cs="Times New Roman"/>
              </w:rPr>
            </w:pPr>
            <w:r w:rsidRPr="0016581E">
              <w:t xml:space="preserve">Previously, the PBAC considered that the time horizon of 10 years applied in the economic model was too long given the available clinical evidence. The PBAC noted that the pre-PBAC response reiterated the survival rate of approximately 10% at 10-years in HR+/HER2- advanced breast cancer, but the PBAC considered a shorter time horizon was appropriate given the immaturity of the existing OS data and that any increase in OS was uncertain at the moment. The PBAC recalled that in previous submissions for advanced breast cancer, although for later line treatment, the time horizon was 3 years (everolimus, 2013 </w:t>
            </w:r>
            <w:r w:rsidRPr="0016581E">
              <w:lastRenderedPageBreak/>
              <w:t>and paclitaxel, 2008). (</w:t>
            </w:r>
            <w:r w:rsidR="00416EEF">
              <w:t>PSD</w:t>
            </w:r>
            <w:r w:rsidRPr="0016581E">
              <w:t>, March 2017, item 7.13). The results are highly sensitive to the time horizon, with the current approach favouring palbociclib.</w:t>
            </w:r>
          </w:p>
        </w:tc>
      </w:tr>
      <w:tr w:rsidR="0075612B" w:rsidRPr="0016581E" w:rsidTr="00F910B0">
        <w:tc>
          <w:tcPr>
            <w:tcW w:w="739"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lastRenderedPageBreak/>
              <w:t>Methods used to generate results</w:t>
            </w:r>
          </w:p>
        </w:tc>
        <w:tc>
          <w:tcPr>
            <w:tcW w:w="4261"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A (partitioned-survival) Markov model</w:t>
            </w:r>
          </w:p>
        </w:tc>
      </w:tr>
      <w:tr w:rsidR="0075612B" w:rsidRPr="0016581E" w:rsidTr="00F910B0">
        <w:tc>
          <w:tcPr>
            <w:tcW w:w="739"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Health states</w:t>
            </w:r>
          </w:p>
        </w:tc>
        <w:tc>
          <w:tcPr>
            <w:tcW w:w="4261"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 xml:space="preserve">1) </w:t>
            </w:r>
            <w:proofErr w:type="gramStart"/>
            <w:r w:rsidRPr="0016581E">
              <w:t>alive</w:t>
            </w:r>
            <w:proofErr w:type="gramEnd"/>
            <w:r w:rsidRPr="0016581E">
              <w:t xml:space="preserve"> pre-progression, 2) alive post-progression. 3) death</w:t>
            </w:r>
          </w:p>
        </w:tc>
      </w:tr>
      <w:tr w:rsidR="0075612B" w:rsidRPr="0016581E" w:rsidTr="00F910B0">
        <w:tc>
          <w:tcPr>
            <w:tcW w:w="739"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Utilities</w:t>
            </w:r>
          </w:p>
        </w:tc>
        <w:tc>
          <w:tcPr>
            <w:tcW w:w="4261" w:type="pct"/>
            <w:shd w:val="clear" w:color="auto" w:fill="auto"/>
            <w:vAlign w:val="center"/>
          </w:tcPr>
          <w:p w:rsidR="000F1953" w:rsidRPr="0016581E" w:rsidRDefault="000F1953" w:rsidP="000F1953">
            <w:pPr>
              <w:pStyle w:val="ListParagraph"/>
              <w:ind w:left="0"/>
              <w:rPr>
                <w:rFonts w:ascii="Arial Narrow" w:hAnsi="Arial Narrow"/>
                <w:sz w:val="20"/>
              </w:rPr>
            </w:pPr>
            <w:r w:rsidRPr="0016581E">
              <w:rPr>
                <w:rFonts w:ascii="Arial Narrow" w:eastAsia="Calibri" w:hAnsi="Arial Narrow"/>
                <w:sz w:val="20"/>
              </w:rPr>
              <w:t>EQ-5D (UK tariff) from PALOMA-2 (</w:t>
            </w:r>
            <w:r w:rsidRPr="0016581E">
              <w:rPr>
                <w:rFonts w:ascii="Arial Narrow" w:hAnsi="Arial Narrow"/>
                <w:sz w:val="20"/>
              </w:rPr>
              <w:t>February 2016):</w:t>
            </w:r>
          </w:p>
          <w:p w:rsidR="000F1953" w:rsidRPr="0016581E" w:rsidRDefault="000F1953" w:rsidP="000F1953">
            <w:pPr>
              <w:pStyle w:val="ListParagraph"/>
              <w:ind w:left="0"/>
              <w:rPr>
                <w:rFonts w:ascii="Arial Narrow" w:eastAsia="Calibri" w:hAnsi="Arial Narrow"/>
                <w:sz w:val="20"/>
              </w:rPr>
            </w:pPr>
            <w:r w:rsidRPr="0016581E">
              <w:rPr>
                <w:rFonts w:ascii="Arial Narrow" w:eastAsia="Calibri" w:hAnsi="Arial Narrow"/>
                <w:sz w:val="20"/>
              </w:rPr>
              <w:t>Pre-progression, palbociclib + letrozole = 0.736</w:t>
            </w:r>
          </w:p>
          <w:p w:rsidR="000F1953" w:rsidRPr="0016581E" w:rsidRDefault="000F1953" w:rsidP="000F1953">
            <w:pPr>
              <w:pStyle w:val="ListParagraph"/>
              <w:ind w:left="0"/>
              <w:rPr>
                <w:rFonts w:ascii="Arial Narrow" w:eastAsia="Calibri" w:hAnsi="Arial Narrow"/>
                <w:sz w:val="20"/>
              </w:rPr>
            </w:pPr>
            <w:r w:rsidRPr="0016581E">
              <w:rPr>
                <w:rFonts w:ascii="Arial Narrow" w:eastAsia="Calibri" w:hAnsi="Arial Narrow"/>
                <w:sz w:val="20"/>
              </w:rPr>
              <w:t>Pre-progression, letrozole alone= 0.712</w:t>
            </w:r>
          </w:p>
          <w:p w:rsidR="000F1953" w:rsidRPr="0016581E" w:rsidRDefault="000F1953" w:rsidP="000F1953">
            <w:pPr>
              <w:rPr>
                <w:rFonts w:ascii="Arial Narrow" w:eastAsia="Calibri" w:hAnsi="Arial Narrow"/>
                <w:sz w:val="20"/>
              </w:rPr>
            </w:pPr>
            <w:r w:rsidRPr="0016581E">
              <w:rPr>
                <w:rFonts w:ascii="Arial Narrow" w:eastAsia="Calibri" w:hAnsi="Arial Narrow"/>
                <w:sz w:val="20"/>
              </w:rPr>
              <w:t>Note: Mixed effects model.</w:t>
            </w:r>
          </w:p>
          <w:p w:rsidR="000F1953" w:rsidRPr="0016581E" w:rsidRDefault="000F1953" w:rsidP="000F1953">
            <w:pPr>
              <w:pStyle w:val="ListParagraph"/>
              <w:ind w:left="0"/>
              <w:rPr>
                <w:rFonts w:ascii="Arial Narrow" w:eastAsia="Calibri" w:hAnsi="Arial Narrow"/>
                <w:sz w:val="20"/>
              </w:rPr>
            </w:pPr>
          </w:p>
          <w:p w:rsidR="000F1953" w:rsidRPr="0016581E" w:rsidRDefault="000F1953" w:rsidP="000F1953">
            <w:pPr>
              <w:pStyle w:val="ListParagraph"/>
              <w:ind w:left="0"/>
              <w:rPr>
                <w:rFonts w:ascii="Arial Narrow" w:eastAsia="Calibri" w:hAnsi="Arial Narrow"/>
                <w:sz w:val="20"/>
              </w:rPr>
            </w:pPr>
            <w:r w:rsidRPr="0016581E">
              <w:rPr>
                <w:rFonts w:ascii="Arial Narrow" w:eastAsia="Calibri" w:hAnsi="Arial Narrow"/>
                <w:sz w:val="20"/>
              </w:rPr>
              <w:t>Decrement for post-progression (-0.272) based on Lloyd (2006) (UK general population, hypothetical scenarios, standard gamble,  n=100):</w:t>
            </w:r>
          </w:p>
          <w:p w:rsidR="000F1953" w:rsidRPr="0016581E" w:rsidRDefault="000F1953" w:rsidP="000F1953">
            <w:pPr>
              <w:pStyle w:val="ListParagraph"/>
              <w:ind w:left="0"/>
              <w:rPr>
                <w:rFonts w:ascii="Arial Narrow" w:eastAsia="Calibri" w:hAnsi="Arial Narrow"/>
                <w:sz w:val="20"/>
              </w:rPr>
            </w:pPr>
            <w:r w:rsidRPr="0016581E">
              <w:rPr>
                <w:rFonts w:ascii="Arial Narrow" w:eastAsia="Calibri" w:hAnsi="Arial Narrow"/>
                <w:sz w:val="20"/>
              </w:rPr>
              <w:t>Post-progression, palbociclib + letrozole = 0.464</w:t>
            </w:r>
          </w:p>
          <w:p w:rsidR="0075612B" w:rsidRPr="0016581E" w:rsidRDefault="000F1953" w:rsidP="000F1953">
            <w:pPr>
              <w:pStyle w:val="TableText1"/>
              <w:keepNext w:val="0"/>
              <w:widowControl w:val="0"/>
              <w:rPr>
                <w:rFonts w:eastAsia="Calibri"/>
              </w:rPr>
            </w:pPr>
            <w:r w:rsidRPr="0016581E">
              <w:rPr>
                <w:rFonts w:eastAsia="Calibri"/>
              </w:rPr>
              <w:t>Post-progression, letrozole alone= 0.440</w:t>
            </w:r>
          </w:p>
          <w:p w:rsidR="003F0DD1" w:rsidRPr="0016581E" w:rsidRDefault="003F0DD1" w:rsidP="000F1953">
            <w:pPr>
              <w:pStyle w:val="TableText1"/>
              <w:keepNext w:val="0"/>
              <w:widowControl w:val="0"/>
              <w:rPr>
                <w:rFonts w:eastAsia="Calibri"/>
              </w:rPr>
            </w:pPr>
          </w:p>
          <w:p w:rsidR="003F0DD1" w:rsidRPr="0016581E" w:rsidRDefault="003F0DD1" w:rsidP="003F0DD1">
            <w:pPr>
              <w:pStyle w:val="ListParagraph"/>
              <w:ind w:left="0"/>
              <w:rPr>
                <w:rFonts w:ascii="Arial Narrow" w:eastAsia="Calibri" w:hAnsi="Arial Narrow"/>
                <w:sz w:val="20"/>
              </w:rPr>
            </w:pPr>
            <w:r w:rsidRPr="0016581E">
              <w:rPr>
                <w:rFonts w:ascii="Arial Narrow" w:eastAsia="Calibri" w:hAnsi="Arial Narrow"/>
                <w:sz w:val="20"/>
              </w:rPr>
              <w:t>The approach is changed from the previous submission, which applied utility estimates based on Lloyd (2006).</w:t>
            </w:r>
            <w:r w:rsidR="00E05F1E" w:rsidRPr="0016581E">
              <w:rPr>
                <w:rFonts w:ascii="Arial Narrow" w:eastAsia="Calibri" w:hAnsi="Arial Narrow"/>
                <w:sz w:val="20"/>
              </w:rPr>
              <w:t xml:space="preserve"> The difference in utility between the palbociclib+letrozole and letrozole arms (which applies both pre- and post-progression) is larger than was assumed in the previous submission.</w:t>
            </w:r>
          </w:p>
          <w:p w:rsidR="003F0DD1" w:rsidRPr="0016581E" w:rsidRDefault="003F0DD1" w:rsidP="003F0DD1">
            <w:pPr>
              <w:pStyle w:val="ListParagraph"/>
              <w:ind w:left="0"/>
              <w:rPr>
                <w:rFonts w:ascii="Arial Narrow" w:eastAsia="Calibri" w:hAnsi="Arial Narrow"/>
                <w:sz w:val="20"/>
              </w:rPr>
            </w:pPr>
          </w:p>
          <w:p w:rsidR="003F0DD1" w:rsidRPr="0016581E" w:rsidRDefault="003F0DD1" w:rsidP="003F0DD1">
            <w:pPr>
              <w:pStyle w:val="ListParagraph"/>
              <w:ind w:left="0"/>
              <w:rPr>
                <w:rFonts w:ascii="Times" w:hAnsi="Times" w:cs="Times New Roman"/>
              </w:rPr>
            </w:pPr>
            <w:r w:rsidRPr="0016581E">
              <w:rPr>
                <w:rFonts w:ascii="Arial Narrow" w:eastAsia="Calibri" w:hAnsi="Arial Narrow"/>
                <w:sz w:val="20"/>
              </w:rPr>
              <w:t>The re-submission does not justify why patients treated with palbociclib plus letrozole would continue to have a utility increment post-progression, after treatment has ceased.</w:t>
            </w:r>
          </w:p>
        </w:tc>
      </w:tr>
      <w:tr w:rsidR="0075612B" w:rsidRPr="0016581E" w:rsidTr="00F910B0">
        <w:tc>
          <w:tcPr>
            <w:tcW w:w="739"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Cycle length</w:t>
            </w:r>
          </w:p>
        </w:tc>
        <w:tc>
          <w:tcPr>
            <w:tcW w:w="4261"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28 days</w:t>
            </w:r>
          </w:p>
        </w:tc>
      </w:tr>
      <w:tr w:rsidR="0075612B" w:rsidRPr="0016581E" w:rsidTr="00F910B0">
        <w:tc>
          <w:tcPr>
            <w:tcW w:w="739" w:type="pct"/>
            <w:shd w:val="clear" w:color="auto" w:fill="auto"/>
            <w:vAlign w:val="center"/>
          </w:tcPr>
          <w:p w:rsidR="0075612B" w:rsidRPr="0016581E" w:rsidRDefault="0075612B" w:rsidP="00F910B0">
            <w:pPr>
              <w:pStyle w:val="TableText1"/>
              <w:keepNext w:val="0"/>
              <w:widowControl w:val="0"/>
              <w:rPr>
                <w:rFonts w:ascii="Times" w:eastAsia="Times New Roman" w:hAnsi="Times" w:cs="Times New Roman"/>
              </w:rPr>
            </w:pPr>
            <w:r w:rsidRPr="0016581E">
              <w:t>Transition probabilities</w:t>
            </w:r>
          </w:p>
        </w:tc>
        <w:tc>
          <w:tcPr>
            <w:tcW w:w="4261" w:type="pct"/>
            <w:shd w:val="clear" w:color="auto" w:fill="auto"/>
            <w:vAlign w:val="center"/>
          </w:tcPr>
          <w:p w:rsidR="0075612B" w:rsidRPr="0016581E" w:rsidRDefault="00C331AB" w:rsidP="009813FE">
            <w:pPr>
              <w:pStyle w:val="TableText1"/>
              <w:keepNext w:val="0"/>
              <w:widowControl w:val="0"/>
              <w:rPr>
                <w:rFonts w:ascii="Times" w:eastAsia="Times New Roman" w:hAnsi="Times" w:cs="Times New Roman"/>
              </w:rPr>
            </w:pPr>
            <w:r w:rsidRPr="0016581E">
              <w:t xml:space="preserve">PFS and OS were estimated using only </w:t>
            </w:r>
            <w:r w:rsidR="00797D54" w:rsidRPr="0016581E">
              <w:t xml:space="preserve">fitted parametric (log-logistic) functions for the entire </w:t>
            </w:r>
            <w:r w:rsidR="009813FE" w:rsidRPr="0016581E">
              <w:t>time horizon</w:t>
            </w:r>
            <w:r w:rsidRPr="0016581E">
              <w:t xml:space="preserve">. </w:t>
            </w:r>
            <w:r w:rsidR="009813FE" w:rsidRPr="0016581E">
              <w:t>The parametric functions</w:t>
            </w:r>
            <w:r w:rsidRPr="0016581E">
              <w:t xml:space="preserve"> were fitted to the Kaplan-Meier estimates for investigator-assessed PFS in PALOMA-2 and updated OS in PALOMA</w:t>
            </w:r>
            <w:r w:rsidRPr="0016581E">
              <w:noBreakHyphen/>
              <w:t>1.</w:t>
            </w:r>
            <w:r w:rsidR="0075612B" w:rsidRPr="0016581E">
              <w:t>This is changed from the previous submission, which</w:t>
            </w:r>
            <w:r w:rsidR="00955691" w:rsidRPr="0016581E">
              <w:t xml:space="preserve"> applied Kaplan-Meier estimates for PFS and OS in PALOMA-1 until cycle 39 and then extrapolated using a log-logistic function until cycle 130.</w:t>
            </w:r>
          </w:p>
        </w:tc>
      </w:tr>
      <w:tr w:rsidR="00A12AEB" w:rsidRPr="0016581E" w:rsidTr="00F910B0">
        <w:tc>
          <w:tcPr>
            <w:tcW w:w="739" w:type="pct"/>
            <w:shd w:val="clear" w:color="auto" w:fill="auto"/>
            <w:vAlign w:val="center"/>
          </w:tcPr>
          <w:p w:rsidR="00A12AEB" w:rsidRPr="0016581E" w:rsidRDefault="00A12AEB" w:rsidP="00F910B0">
            <w:pPr>
              <w:pStyle w:val="TableText1"/>
              <w:keepNext w:val="0"/>
              <w:widowControl w:val="0"/>
            </w:pPr>
            <w:r w:rsidRPr="0016581E">
              <w:t>Costs</w:t>
            </w:r>
          </w:p>
        </w:tc>
        <w:tc>
          <w:tcPr>
            <w:tcW w:w="4261" w:type="pct"/>
            <w:shd w:val="clear" w:color="auto" w:fill="auto"/>
            <w:vAlign w:val="center"/>
          </w:tcPr>
          <w:p w:rsidR="00A07D48" w:rsidRPr="0016581E" w:rsidRDefault="00A07D48" w:rsidP="00A07D48">
            <w:pPr>
              <w:widowControl/>
              <w:jc w:val="left"/>
              <w:rPr>
                <w:rFonts w:ascii="Arial Narrow" w:hAnsi="Arial Narrow" w:cs="Times New Roman"/>
                <w:sz w:val="20"/>
                <w:u w:val="single"/>
              </w:rPr>
            </w:pPr>
            <w:r w:rsidRPr="0016581E">
              <w:rPr>
                <w:rFonts w:ascii="Arial Narrow" w:hAnsi="Arial Narrow" w:cs="Times New Roman"/>
                <w:sz w:val="20"/>
                <w:u w:val="single"/>
              </w:rPr>
              <w:t>Drug costs</w:t>
            </w:r>
          </w:p>
          <w:p w:rsidR="00A07D48" w:rsidRPr="0016581E" w:rsidRDefault="00A07D48" w:rsidP="00A07D48">
            <w:pPr>
              <w:pStyle w:val="ListParagraph"/>
              <w:widowControl/>
              <w:numPr>
                <w:ilvl w:val="0"/>
                <w:numId w:val="15"/>
              </w:numPr>
              <w:ind w:left="397"/>
              <w:jc w:val="left"/>
              <w:rPr>
                <w:rFonts w:ascii="Arial Narrow" w:hAnsi="Arial Narrow" w:cs="Times New Roman"/>
                <w:sz w:val="20"/>
              </w:rPr>
            </w:pPr>
            <w:r w:rsidRPr="0016581E">
              <w:rPr>
                <w:rFonts w:ascii="Arial Narrow" w:hAnsi="Arial Narrow" w:cs="Times New Roman"/>
                <w:sz w:val="20"/>
              </w:rPr>
              <w:t>Dosage of palbociclib was based on median dose and mean relative dose intensity (RDI) of palbociclib in PALOMA</w:t>
            </w:r>
            <w:r w:rsidRPr="0016581E">
              <w:rPr>
                <w:rFonts w:ascii="Arial Narrow" w:hAnsi="Arial Narrow" w:cs="Times New Roman"/>
                <w:sz w:val="20"/>
              </w:rPr>
              <w:noBreakHyphen/>
              <w:t>2. The mean RDI decreased compared to the previous submission.</w:t>
            </w:r>
          </w:p>
          <w:p w:rsidR="00A07D48" w:rsidRPr="0016581E" w:rsidRDefault="00A07D48" w:rsidP="00A07D48">
            <w:pPr>
              <w:pStyle w:val="ListParagraph"/>
              <w:widowControl/>
              <w:numPr>
                <w:ilvl w:val="0"/>
                <w:numId w:val="15"/>
              </w:numPr>
              <w:ind w:left="397"/>
              <w:jc w:val="left"/>
              <w:rPr>
                <w:rFonts w:ascii="Arial Narrow" w:hAnsi="Arial Narrow" w:cs="Times New Roman"/>
                <w:sz w:val="20"/>
              </w:rPr>
            </w:pPr>
            <w:r w:rsidRPr="0016581E">
              <w:rPr>
                <w:rFonts w:ascii="Arial Narrow" w:hAnsi="Arial Narrow" w:cs="Times New Roman"/>
                <w:sz w:val="20"/>
              </w:rPr>
              <w:t>Dosage of letrozole was based on median dose in PALOMA</w:t>
            </w:r>
            <w:r w:rsidRPr="0016581E">
              <w:rPr>
                <w:rFonts w:ascii="Arial Narrow" w:hAnsi="Arial Narrow" w:cs="Times New Roman"/>
                <w:sz w:val="20"/>
              </w:rPr>
              <w:noBreakHyphen/>
              <w:t>2. 100% RDI assumed. The cost of letrozole was excluded in the previous submission.</w:t>
            </w:r>
          </w:p>
          <w:p w:rsidR="00A07D48" w:rsidRPr="0016581E" w:rsidRDefault="00A07D48" w:rsidP="00A07D48">
            <w:pPr>
              <w:pStyle w:val="ListParagraph"/>
              <w:widowControl/>
              <w:numPr>
                <w:ilvl w:val="0"/>
                <w:numId w:val="15"/>
              </w:numPr>
              <w:ind w:left="397"/>
              <w:jc w:val="left"/>
              <w:rPr>
                <w:rFonts w:ascii="Arial Narrow" w:hAnsi="Arial Narrow" w:cs="Times New Roman"/>
                <w:sz w:val="20"/>
              </w:rPr>
            </w:pPr>
            <w:r w:rsidRPr="0016581E">
              <w:rPr>
                <w:rFonts w:ascii="Arial Narrow" w:hAnsi="Arial Narrow" w:cs="Times New Roman"/>
                <w:sz w:val="20"/>
              </w:rPr>
              <w:t>Duration of treatment with palbociclib and letrozole was based on median investigator-assessed PFS in PALOMA-2. The model continues to apply drug costs to only those patients in the pre-progression state and then assumes no use of palbociclib + letrozole beyond 27 cycles.</w:t>
            </w:r>
          </w:p>
          <w:p w:rsidR="00A07D48" w:rsidRPr="0016581E" w:rsidRDefault="00A07D48" w:rsidP="00B40B0D">
            <w:pPr>
              <w:pStyle w:val="ListParagraph"/>
              <w:widowControl/>
              <w:numPr>
                <w:ilvl w:val="0"/>
                <w:numId w:val="15"/>
              </w:numPr>
              <w:ind w:left="397"/>
              <w:jc w:val="left"/>
              <w:rPr>
                <w:rFonts w:ascii="Arial Narrow" w:hAnsi="Arial Narrow" w:cs="Times New Roman"/>
                <w:sz w:val="20"/>
              </w:rPr>
            </w:pPr>
            <w:r w:rsidRPr="0016581E">
              <w:rPr>
                <w:rFonts w:ascii="Arial Narrow" w:hAnsi="Arial Narrow" w:cs="Times New Roman"/>
                <w:sz w:val="20"/>
              </w:rPr>
              <w:t>Use of granulocyte colony-stimulating factors (G-CSF) was based on usage in PALOMA-2.</w:t>
            </w:r>
            <w:r w:rsidR="00872913" w:rsidRPr="0016581E">
              <w:rPr>
                <w:rFonts w:ascii="Arial Narrow" w:hAnsi="Arial Narrow" w:cs="Times New Roman"/>
                <w:sz w:val="20"/>
              </w:rPr>
              <w:t xml:space="preserve"> Cost of G-CSF was based on the PBS cost of filgrastim, assuming 5 mcg/kg/day and 70 kg. </w:t>
            </w:r>
            <w:r w:rsidRPr="0016581E">
              <w:rPr>
                <w:rFonts w:ascii="Arial Narrow" w:hAnsi="Arial Narrow" w:cs="Times New Roman"/>
                <w:sz w:val="20"/>
              </w:rPr>
              <w:t xml:space="preserve">The </w:t>
            </w:r>
            <w:r w:rsidR="00872913" w:rsidRPr="0016581E">
              <w:rPr>
                <w:rFonts w:ascii="Arial Narrow" w:hAnsi="Arial Narrow" w:cs="Times New Roman"/>
                <w:sz w:val="20"/>
              </w:rPr>
              <w:t>use of G-CSF</w:t>
            </w:r>
            <w:r w:rsidRPr="0016581E">
              <w:rPr>
                <w:rFonts w:ascii="Arial Narrow" w:hAnsi="Arial Narrow" w:cs="Times New Roman"/>
                <w:sz w:val="20"/>
              </w:rPr>
              <w:t xml:space="preserve"> increased compared to the previous submission.</w:t>
            </w:r>
          </w:p>
          <w:p w:rsidR="00A07D48" w:rsidRPr="0016581E" w:rsidRDefault="00A07D48" w:rsidP="00A07D48">
            <w:pPr>
              <w:widowControl/>
              <w:jc w:val="left"/>
              <w:rPr>
                <w:rFonts w:ascii="Arial Narrow" w:hAnsi="Arial Narrow" w:cs="Times New Roman"/>
                <w:sz w:val="20"/>
                <w:highlight w:val="yellow"/>
              </w:rPr>
            </w:pPr>
          </w:p>
          <w:p w:rsidR="00872913" w:rsidRPr="0016581E" w:rsidRDefault="00872913" w:rsidP="00A07D48">
            <w:pPr>
              <w:widowControl/>
              <w:jc w:val="left"/>
              <w:rPr>
                <w:rFonts w:ascii="Arial Narrow" w:hAnsi="Arial Narrow" w:cs="Times New Roman"/>
                <w:sz w:val="20"/>
                <w:u w:val="single"/>
              </w:rPr>
            </w:pPr>
            <w:r w:rsidRPr="0016581E">
              <w:rPr>
                <w:rFonts w:ascii="Arial Narrow" w:hAnsi="Arial Narrow" w:cs="Times New Roman"/>
                <w:sz w:val="20"/>
                <w:u w:val="single"/>
              </w:rPr>
              <w:t>Other costs</w:t>
            </w:r>
          </w:p>
          <w:p w:rsidR="00872913" w:rsidRPr="0016581E" w:rsidRDefault="00872913" w:rsidP="00872913">
            <w:pPr>
              <w:widowControl/>
              <w:jc w:val="left"/>
              <w:rPr>
                <w:rFonts w:ascii="Arial Narrow" w:hAnsi="Arial Narrow" w:cs="Times New Roman"/>
                <w:sz w:val="20"/>
              </w:rPr>
            </w:pPr>
            <w:r w:rsidRPr="0016581E">
              <w:rPr>
                <w:rFonts w:ascii="Arial Narrow" w:hAnsi="Arial Narrow" w:cs="Times New Roman"/>
                <w:sz w:val="20"/>
              </w:rPr>
              <w:t>Disease costs – annual pre-progression costs: $</w:t>
            </w:r>
            <w:r w:rsidR="00DE0B8F">
              <w:rPr>
                <w:rFonts w:ascii="Arial Narrow" w:hAnsi="Arial Narrow" w:cs="Times New Roman"/>
                <w:noProof/>
                <w:color w:val="000000"/>
                <w:sz w:val="20"/>
                <w:highlight w:val="black"/>
              </w:rPr>
              <w:t>'''''''''''''''''''''</w:t>
            </w:r>
            <w:r w:rsidRPr="0016581E">
              <w:rPr>
                <w:rFonts w:ascii="Arial Narrow" w:hAnsi="Arial Narrow" w:cs="Times New Roman"/>
                <w:sz w:val="20"/>
              </w:rPr>
              <w:t xml:space="preserve"> pa.</w:t>
            </w:r>
          </w:p>
          <w:p w:rsidR="00872913" w:rsidRPr="0016581E" w:rsidRDefault="00872913" w:rsidP="00872913">
            <w:pPr>
              <w:widowControl/>
              <w:jc w:val="left"/>
              <w:rPr>
                <w:rFonts w:ascii="Arial Narrow" w:hAnsi="Arial Narrow" w:cs="Times New Roman"/>
                <w:sz w:val="20"/>
              </w:rPr>
            </w:pPr>
            <w:r w:rsidRPr="0016581E">
              <w:rPr>
                <w:rFonts w:ascii="Arial Narrow" w:hAnsi="Arial Narrow" w:cs="Times New Roman"/>
                <w:sz w:val="20"/>
              </w:rPr>
              <w:t>Disease costs – annual post-progression costs: $</w:t>
            </w:r>
            <w:r w:rsidR="00DE0B8F">
              <w:rPr>
                <w:rFonts w:ascii="Arial Narrow" w:hAnsi="Arial Narrow" w:cs="Times New Roman"/>
                <w:noProof/>
                <w:color w:val="000000"/>
                <w:sz w:val="20"/>
                <w:highlight w:val="black"/>
              </w:rPr>
              <w:t>''''''''''''''''''''''''</w:t>
            </w:r>
            <w:r w:rsidRPr="0016581E">
              <w:rPr>
                <w:rFonts w:ascii="Arial Narrow" w:hAnsi="Arial Narrow" w:cs="Times New Roman"/>
                <w:sz w:val="20"/>
              </w:rPr>
              <w:t xml:space="preserve"> pa.</w:t>
            </w:r>
          </w:p>
          <w:p w:rsidR="00872913" w:rsidRPr="0016581E" w:rsidRDefault="00872913" w:rsidP="00872913">
            <w:pPr>
              <w:widowControl/>
              <w:jc w:val="left"/>
              <w:rPr>
                <w:rFonts w:ascii="Arial Narrow" w:hAnsi="Arial Narrow" w:cs="Times New Roman"/>
                <w:sz w:val="20"/>
              </w:rPr>
            </w:pPr>
            <w:r w:rsidRPr="0016581E">
              <w:rPr>
                <w:rFonts w:ascii="Arial Narrow" w:hAnsi="Arial Narrow" w:cs="Times New Roman"/>
                <w:sz w:val="20"/>
              </w:rPr>
              <w:t>One-off event costs – non-fatal progression: $</w:t>
            </w:r>
            <w:r w:rsidR="00DE0B8F">
              <w:rPr>
                <w:rFonts w:ascii="Arial Narrow" w:hAnsi="Arial Narrow" w:cs="Times New Roman"/>
                <w:noProof/>
                <w:color w:val="000000"/>
                <w:sz w:val="20"/>
                <w:highlight w:val="black"/>
              </w:rPr>
              <w:t>'''''''''''''</w:t>
            </w:r>
          </w:p>
          <w:p w:rsidR="00872913" w:rsidRPr="0016581E" w:rsidRDefault="00872913" w:rsidP="00872913">
            <w:pPr>
              <w:widowControl/>
              <w:jc w:val="left"/>
              <w:rPr>
                <w:rFonts w:ascii="Arial Narrow" w:hAnsi="Arial Narrow" w:cs="Times New Roman"/>
                <w:sz w:val="20"/>
              </w:rPr>
            </w:pPr>
            <w:r w:rsidRPr="0016581E">
              <w:rPr>
                <w:rFonts w:ascii="Arial Narrow" w:hAnsi="Arial Narrow" w:cs="Times New Roman"/>
                <w:sz w:val="20"/>
              </w:rPr>
              <w:t>One-off event costs – death: $</w:t>
            </w:r>
            <w:r w:rsidR="00DE0B8F">
              <w:rPr>
                <w:rFonts w:ascii="Arial Narrow" w:hAnsi="Arial Narrow" w:cs="Times New Roman"/>
                <w:noProof/>
                <w:color w:val="000000"/>
                <w:sz w:val="20"/>
                <w:highlight w:val="black"/>
              </w:rPr>
              <w:t>''''''''''''''''''''''</w:t>
            </w:r>
          </w:p>
          <w:p w:rsidR="00A12AEB" w:rsidRPr="0016581E" w:rsidRDefault="00872913" w:rsidP="0071723E">
            <w:pPr>
              <w:pStyle w:val="TableText1"/>
              <w:keepNext w:val="0"/>
              <w:widowControl w:val="0"/>
            </w:pPr>
            <w:r w:rsidRPr="0016581E">
              <w:rPr>
                <w:rFonts w:cs="Times New Roman"/>
              </w:rPr>
              <w:t>These costs were changed compared to the previous submission. There were multiple issues with the methodology used to estimate disease costs and one-off event costs</w:t>
            </w:r>
            <w:r w:rsidR="00130F04" w:rsidRPr="0016581E">
              <w:rPr>
                <w:rFonts w:cs="Times New Roman"/>
              </w:rPr>
              <w:t>.</w:t>
            </w:r>
          </w:p>
        </w:tc>
      </w:tr>
    </w:tbl>
    <w:p w:rsidR="004E23FC" w:rsidRPr="0016581E" w:rsidRDefault="004E23FC" w:rsidP="003D5B7B">
      <w:pPr>
        <w:pStyle w:val="TableFooter"/>
        <w:spacing w:after="120"/>
      </w:pPr>
      <w:r w:rsidRPr="0016581E">
        <w:t xml:space="preserve">Source: </w:t>
      </w:r>
      <w:r w:rsidR="00872913" w:rsidRPr="0016581E">
        <w:t>Compiled during the evaluation</w:t>
      </w:r>
    </w:p>
    <w:p w:rsidR="004E23FC" w:rsidRPr="0016581E" w:rsidRDefault="008E0AF8"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A summary of the key drivers of the model is presented in the table below.</w:t>
      </w:r>
      <w:r w:rsidR="001931AB" w:rsidRPr="0016581E">
        <w:rPr>
          <w:rFonts w:asciiTheme="minorHAnsi" w:hAnsiTheme="minorHAnsi" w:cstheme="minorHAnsi"/>
          <w:sz w:val="24"/>
          <w:szCs w:val="24"/>
        </w:rPr>
        <w:t xml:space="preserve"> The method of </w:t>
      </w:r>
      <w:r w:rsidR="001931AB" w:rsidRPr="0016581E">
        <w:rPr>
          <w:rFonts w:asciiTheme="minorHAnsi" w:hAnsiTheme="minorHAnsi" w:cstheme="minorHAnsi"/>
          <w:sz w:val="24"/>
        </w:rPr>
        <w:t>applying</w:t>
      </w:r>
      <w:r w:rsidR="001931AB" w:rsidRPr="0016581E">
        <w:rPr>
          <w:rFonts w:asciiTheme="minorHAnsi" w:hAnsiTheme="minorHAnsi" w:cstheme="minorHAnsi"/>
          <w:sz w:val="24"/>
          <w:szCs w:val="24"/>
        </w:rPr>
        <w:t xml:space="preserve"> trial data in the model and source of utilities are new key drivers of the model.</w:t>
      </w:r>
    </w:p>
    <w:p w:rsidR="004E23FC" w:rsidRPr="0016581E" w:rsidRDefault="004E23FC" w:rsidP="004E23FC">
      <w:pPr>
        <w:pStyle w:val="TableHeading0"/>
      </w:pPr>
      <w:r w:rsidRPr="0016581E">
        <w:lastRenderedPageBreak/>
        <w:t xml:space="preserve">Table </w:t>
      </w:r>
      <w:r w:rsidR="007C108B">
        <w:t>10</w:t>
      </w:r>
      <w:r w:rsidRPr="0016581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5"/>
        <w:gridCol w:w="5382"/>
        <w:gridCol w:w="2025"/>
      </w:tblGrid>
      <w:tr w:rsidR="004E23FC" w:rsidRPr="0016581E" w:rsidTr="00955691">
        <w:trPr>
          <w:tblHeader/>
        </w:trPr>
        <w:tc>
          <w:tcPr>
            <w:tcW w:w="922" w:type="pct"/>
            <w:shd w:val="clear" w:color="auto" w:fill="auto"/>
            <w:vAlign w:val="center"/>
          </w:tcPr>
          <w:p w:rsidR="004E23FC" w:rsidRPr="0016581E" w:rsidRDefault="004E23FC" w:rsidP="00353CDC">
            <w:pPr>
              <w:pStyle w:val="TableText1"/>
              <w:rPr>
                <w:b/>
              </w:rPr>
            </w:pPr>
            <w:r w:rsidRPr="0016581E">
              <w:rPr>
                <w:b/>
              </w:rPr>
              <w:t>Description</w:t>
            </w:r>
          </w:p>
        </w:tc>
        <w:tc>
          <w:tcPr>
            <w:tcW w:w="2963" w:type="pct"/>
            <w:shd w:val="clear" w:color="auto" w:fill="auto"/>
            <w:vAlign w:val="center"/>
          </w:tcPr>
          <w:p w:rsidR="004E23FC" w:rsidRPr="0016581E" w:rsidRDefault="004E23FC" w:rsidP="00353CDC">
            <w:pPr>
              <w:pStyle w:val="TableText1"/>
              <w:rPr>
                <w:b/>
              </w:rPr>
            </w:pPr>
            <w:r w:rsidRPr="0016581E">
              <w:rPr>
                <w:b/>
              </w:rPr>
              <w:t>Method/Value</w:t>
            </w:r>
          </w:p>
        </w:tc>
        <w:tc>
          <w:tcPr>
            <w:tcW w:w="1115" w:type="pct"/>
            <w:shd w:val="clear" w:color="auto" w:fill="auto"/>
            <w:vAlign w:val="center"/>
          </w:tcPr>
          <w:p w:rsidR="004E23FC" w:rsidRPr="0016581E" w:rsidRDefault="004E23FC" w:rsidP="00353CDC">
            <w:pPr>
              <w:pStyle w:val="TableText1"/>
              <w:rPr>
                <w:b/>
              </w:rPr>
            </w:pPr>
            <w:r w:rsidRPr="0016581E">
              <w:rPr>
                <w:b/>
              </w:rPr>
              <w:t>Impact</w:t>
            </w:r>
          </w:p>
        </w:tc>
      </w:tr>
      <w:tr w:rsidR="008E0AF8" w:rsidRPr="0016581E" w:rsidTr="00955691">
        <w:tc>
          <w:tcPr>
            <w:tcW w:w="922" w:type="pct"/>
            <w:shd w:val="clear" w:color="auto" w:fill="auto"/>
            <w:vAlign w:val="center"/>
          </w:tcPr>
          <w:p w:rsidR="008E0AF8" w:rsidRPr="0016581E" w:rsidRDefault="008E0AF8" w:rsidP="008E0AF8">
            <w:pPr>
              <w:pStyle w:val="TableText1"/>
            </w:pPr>
            <w:r w:rsidRPr="0016581E">
              <w:t>Truncation of drug costs</w:t>
            </w:r>
          </w:p>
        </w:tc>
        <w:tc>
          <w:tcPr>
            <w:tcW w:w="2963" w:type="pct"/>
            <w:shd w:val="clear" w:color="auto" w:fill="auto"/>
            <w:vAlign w:val="center"/>
          </w:tcPr>
          <w:p w:rsidR="008E0AF8" w:rsidRPr="0016581E" w:rsidRDefault="008E0AF8" w:rsidP="008E0AF8">
            <w:pPr>
              <w:pStyle w:val="TableText1"/>
            </w:pPr>
            <w:r w:rsidRPr="0016581E">
              <w:t>Drug costs truncated at 27 cycles.</w:t>
            </w:r>
          </w:p>
        </w:tc>
        <w:tc>
          <w:tcPr>
            <w:tcW w:w="1115" w:type="pct"/>
            <w:shd w:val="clear" w:color="auto" w:fill="auto"/>
            <w:vAlign w:val="center"/>
          </w:tcPr>
          <w:p w:rsidR="008E0AF8" w:rsidRPr="0016581E" w:rsidRDefault="008E0AF8" w:rsidP="008E0AF8">
            <w:pPr>
              <w:pStyle w:val="TableText1"/>
            </w:pPr>
            <w:r w:rsidRPr="0016581E">
              <w:t>High, favours palbociclib</w:t>
            </w:r>
          </w:p>
        </w:tc>
      </w:tr>
      <w:tr w:rsidR="008E0AF8" w:rsidRPr="0016581E" w:rsidTr="00955691">
        <w:tc>
          <w:tcPr>
            <w:tcW w:w="922" w:type="pct"/>
            <w:shd w:val="clear" w:color="auto" w:fill="auto"/>
            <w:vAlign w:val="center"/>
          </w:tcPr>
          <w:p w:rsidR="008E0AF8" w:rsidRPr="0016581E" w:rsidRDefault="008E0AF8" w:rsidP="008E0AF8">
            <w:pPr>
              <w:pStyle w:val="TableText1"/>
            </w:pPr>
            <w:r w:rsidRPr="0016581E">
              <w:t>Time horizon</w:t>
            </w:r>
          </w:p>
        </w:tc>
        <w:tc>
          <w:tcPr>
            <w:tcW w:w="2963" w:type="pct"/>
            <w:shd w:val="clear" w:color="auto" w:fill="auto"/>
            <w:vAlign w:val="center"/>
          </w:tcPr>
          <w:p w:rsidR="008E0AF8" w:rsidRPr="0016581E" w:rsidRDefault="008E0AF8" w:rsidP="00955691">
            <w:pPr>
              <w:pStyle w:val="TableText1"/>
            </w:pPr>
            <w:r w:rsidRPr="0016581E">
              <w:t>10 years</w:t>
            </w:r>
          </w:p>
        </w:tc>
        <w:tc>
          <w:tcPr>
            <w:tcW w:w="1115" w:type="pct"/>
            <w:shd w:val="clear" w:color="auto" w:fill="auto"/>
            <w:vAlign w:val="center"/>
          </w:tcPr>
          <w:p w:rsidR="008E0AF8" w:rsidRPr="0016581E" w:rsidRDefault="00BD3A02" w:rsidP="008E0AF8">
            <w:pPr>
              <w:pStyle w:val="TableText1"/>
            </w:pPr>
            <w:r w:rsidRPr="0016581E">
              <w:t>Moderate</w:t>
            </w:r>
            <w:r w:rsidR="008E0AF8" w:rsidRPr="0016581E">
              <w:t>, favours palbociclib</w:t>
            </w:r>
          </w:p>
        </w:tc>
      </w:tr>
      <w:tr w:rsidR="008E0AF8" w:rsidRPr="0016581E" w:rsidTr="00955691">
        <w:tc>
          <w:tcPr>
            <w:tcW w:w="922" w:type="pct"/>
            <w:shd w:val="clear" w:color="auto" w:fill="auto"/>
            <w:vAlign w:val="center"/>
          </w:tcPr>
          <w:p w:rsidR="008E0AF8" w:rsidRPr="0016581E" w:rsidRDefault="001931AB" w:rsidP="001931AB">
            <w:pPr>
              <w:pStyle w:val="TableText1"/>
            </w:pPr>
            <w:r w:rsidRPr="0016581E">
              <w:t>Method of applying t</w:t>
            </w:r>
            <w:r w:rsidR="008E0AF8" w:rsidRPr="0016581E">
              <w:t>rial data applied in model</w:t>
            </w:r>
          </w:p>
        </w:tc>
        <w:tc>
          <w:tcPr>
            <w:tcW w:w="2963" w:type="pct"/>
            <w:shd w:val="clear" w:color="auto" w:fill="auto"/>
            <w:vAlign w:val="center"/>
          </w:tcPr>
          <w:p w:rsidR="008E0AF8" w:rsidRPr="0016581E" w:rsidRDefault="00797D54" w:rsidP="009813FE">
            <w:pPr>
              <w:pStyle w:val="TableText1"/>
            </w:pPr>
            <w:r w:rsidRPr="0016581E">
              <w:t xml:space="preserve">Estimated PFS and OS using only fitted parametric (log-logistic) functions for the entire </w:t>
            </w:r>
            <w:r w:rsidR="009813FE" w:rsidRPr="0016581E">
              <w:t>time horizon</w:t>
            </w:r>
            <w:r w:rsidR="00955691" w:rsidRPr="0016581E">
              <w:t xml:space="preserve"> (</w:t>
            </w:r>
            <w:r w:rsidR="008E0AF8" w:rsidRPr="0016581E">
              <w:t xml:space="preserve">rather than </w:t>
            </w:r>
            <w:r w:rsidR="00955691" w:rsidRPr="0016581E">
              <w:t>applying</w:t>
            </w:r>
            <w:r w:rsidR="008E0AF8" w:rsidRPr="0016581E">
              <w:t xml:space="preserve"> Kaplan-Meier trial data</w:t>
            </w:r>
            <w:r w:rsidR="00955691" w:rsidRPr="0016581E">
              <w:t xml:space="preserve"> until median follow-up)</w:t>
            </w:r>
          </w:p>
        </w:tc>
        <w:tc>
          <w:tcPr>
            <w:tcW w:w="1115" w:type="pct"/>
            <w:shd w:val="clear" w:color="auto" w:fill="auto"/>
            <w:vAlign w:val="center"/>
          </w:tcPr>
          <w:p w:rsidR="008E0AF8" w:rsidRPr="0016581E" w:rsidRDefault="00BD3A02" w:rsidP="008E0AF8">
            <w:pPr>
              <w:pStyle w:val="TableText1"/>
            </w:pPr>
            <w:r w:rsidRPr="0016581E">
              <w:t>Moderate</w:t>
            </w:r>
            <w:r w:rsidR="008E0AF8" w:rsidRPr="0016581E">
              <w:t>, favours palbociclib</w:t>
            </w:r>
          </w:p>
        </w:tc>
      </w:tr>
      <w:tr w:rsidR="008E0AF8" w:rsidRPr="0016581E" w:rsidTr="00955691">
        <w:tc>
          <w:tcPr>
            <w:tcW w:w="922" w:type="pct"/>
            <w:shd w:val="clear" w:color="auto" w:fill="auto"/>
            <w:vAlign w:val="center"/>
          </w:tcPr>
          <w:p w:rsidR="008E0AF8" w:rsidRPr="0016581E" w:rsidRDefault="008E0AF8" w:rsidP="00847B55">
            <w:pPr>
              <w:pStyle w:val="TableText1"/>
            </w:pPr>
            <w:r w:rsidRPr="0016581E">
              <w:t>Extrapolation of OS</w:t>
            </w:r>
          </w:p>
        </w:tc>
        <w:tc>
          <w:tcPr>
            <w:tcW w:w="2963" w:type="pct"/>
            <w:shd w:val="clear" w:color="auto" w:fill="auto"/>
            <w:vAlign w:val="center"/>
          </w:tcPr>
          <w:p w:rsidR="008E0AF8" w:rsidRPr="0016581E" w:rsidRDefault="008E0AF8" w:rsidP="00847B55">
            <w:pPr>
              <w:pStyle w:val="TableText1"/>
            </w:pPr>
            <w:r w:rsidRPr="0016581E">
              <w:t>Applied log-logistic function (rather than Weibull)</w:t>
            </w:r>
          </w:p>
        </w:tc>
        <w:tc>
          <w:tcPr>
            <w:tcW w:w="1115" w:type="pct"/>
            <w:shd w:val="clear" w:color="auto" w:fill="auto"/>
            <w:vAlign w:val="center"/>
          </w:tcPr>
          <w:p w:rsidR="008E0AF8" w:rsidRPr="0016581E" w:rsidRDefault="00BD3A02" w:rsidP="00847B55">
            <w:pPr>
              <w:pStyle w:val="TableText1"/>
            </w:pPr>
            <w:r w:rsidRPr="0016581E">
              <w:t>Moderate</w:t>
            </w:r>
            <w:r w:rsidR="008E0AF8" w:rsidRPr="0016581E">
              <w:t>, favours palbociclib</w:t>
            </w:r>
          </w:p>
        </w:tc>
      </w:tr>
      <w:tr w:rsidR="008E0AF8" w:rsidRPr="0016581E" w:rsidTr="00955691">
        <w:tc>
          <w:tcPr>
            <w:tcW w:w="922" w:type="pct"/>
            <w:shd w:val="clear" w:color="auto" w:fill="auto"/>
            <w:vAlign w:val="center"/>
          </w:tcPr>
          <w:p w:rsidR="008E0AF8" w:rsidRPr="0016581E" w:rsidRDefault="008E0AF8" w:rsidP="008E0AF8">
            <w:pPr>
              <w:pStyle w:val="TableText1"/>
            </w:pPr>
            <w:r w:rsidRPr="0016581E">
              <w:t>OS gain</w:t>
            </w:r>
          </w:p>
        </w:tc>
        <w:tc>
          <w:tcPr>
            <w:tcW w:w="2963" w:type="pct"/>
            <w:shd w:val="clear" w:color="auto" w:fill="auto"/>
            <w:vAlign w:val="center"/>
          </w:tcPr>
          <w:p w:rsidR="008E0AF8" w:rsidRPr="0016581E" w:rsidRDefault="008E0AF8" w:rsidP="008E0AF8">
            <w:pPr>
              <w:pStyle w:val="TableText1"/>
            </w:pPr>
            <w:r w:rsidRPr="0016581E">
              <w:t>OS from PALOMA-1 (not statistically significant).</w:t>
            </w:r>
          </w:p>
        </w:tc>
        <w:tc>
          <w:tcPr>
            <w:tcW w:w="1115" w:type="pct"/>
            <w:shd w:val="clear" w:color="auto" w:fill="auto"/>
            <w:vAlign w:val="center"/>
          </w:tcPr>
          <w:p w:rsidR="008E0AF8" w:rsidRPr="0016581E" w:rsidRDefault="00BD3A02" w:rsidP="008E0AF8">
            <w:pPr>
              <w:pStyle w:val="TableText1"/>
            </w:pPr>
            <w:r w:rsidRPr="0016581E">
              <w:t>Moderate</w:t>
            </w:r>
            <w:r w:rsidR="008E0AF8" w:rsidRPr="0016581E">
              <w:t>, favours palbociclib</w:t>
            </w:r>
          </w:p>
        </w:tc>
      </w:tr>
      <w:tr w:rsidR="008E0AF8" w:rsidRPr="0016581E" w:rsidTr="00955691">
        <w:tc>
          <w:tcPr>
            <w:tcW w:w="922" w:type="pct"/>
            <w:shd w:val="clear" w:color="auto" w:fill="auto"/>
            <w:vAlign w:val="center"/>
          </w:tcPr>
          <w:p w:rsidR="008E0AF8" w:rsidRPr="0016581E" w:rsidRDefault="008E0AF8" w:rsidP="00847B55">
            <w:pPr>
              <w:pStyle w:val="TableText1"/>
            </w:pPr>
            <w:r w:rsidRPr="0016581E">
              <w:t>Source of PFS</w:t>
            </w:r>
          </w:p>
        </w:tc>
        <w:tc>
          <w:tcPr>
            <w:tcW w:w="2963" w:type="pct"/>
            <w:shd w:val="clear" w:color="auto" w:fill="auto"/>
            <w:vAlign w:val="center"/>
          </w:tcPr>
          <w:p w:rsidR="008E0AF8" w:rsidRPr="0016581E" w:rsidRDefault="008E0AF8" w:rsidP="00847B55">
            <w:pPr>
              <w:pStyle w:val="TableText1"/>
            </w:pPr>
            <w:r w:rsidRPr="0016581E">
              <w:t>Investigator assessed PFS (rather than BICR assessed PFS).</w:t>
            </w:r>
          </w:p>
        </w:tc>
        <w:tc>
          <w:tcPr>
            <w:tcW w:w="1115" w:type="pct"/>
            <w:shd w:val="clear" w:color="auto" w:fill="auto"/>
            <w:vAlign w:val="center"/>
          </w:tcPr>
          <w:p w:rsidR="008E0AF8" w:rsidRPr="0016581E" w:rsidRDefault="008E0AF8" w:rsidP="00847B55">
            <w:pPr>
              <w:pStyle w:val="TableText1"/>
            </w:pPr>
            <w:r w:rsidRPr="0016581E">
              <w:t>Unknown, likely favours palbociclib</w:t>
            </w:r>
          </w:p>
        </w:tc>
      </w:tr>
      <w:tr w:rsidR="00833DBD" w:rsidRPr="0016581E" w:rsidTr="00955691">
        <w:tc>
          <w:tcPr>
            <w:tcW w:w="922" w:type="pct"/>
            <w:shd w:val="clear" w:color="auto" w:fill="auto"/>
            <w:vAlign w:val="center"/>
          </w:tcPr>
          <w:p w:rsidR="00833DBD" w:rsidRPr="0016581E" w:rsidRDefault="00BA781C" w:rsidP="00847B55">
            <w:pPr>
              <w:pStyle w:val="TableText1"/>
            </w:pPr>
            <w:r w:rsidRPr="0016581E">
              <w:t>Utility advantage for palbociclib both pre- and post-progression</w:t>
            </w:r>
          </w:p>
        </w:tc>
        <w:tc>
          <w:tcPr>
            <w:tcW w:w="2963" w:type="pct"/>
            <w:shd w:val="clear" w:color="auto" w:fill="auto"/>
            <w:vAlign w:val="center"/>
          </w:tcPr>
          <w:p w:rsidR="00833DBD" w:rsidRPr="0016581E" w:rsidRDefault="00BA781C" w:rsidP="00BA781C">
            <w:pPr>
              <w:pStyle w:val="TableText1"/>
            </w:pPr>
            <w:r w:rsidRPr="0016581E">
              <w:t xml:space="preserve">Utility advantage maintained throughout the model </w:t>
            </w:r>
          </w:p>
        </w:tc>
        <w:tc>
          <w:tcPr>
            <w:tcW w:w="1115" w:type="pct"/>
            <w:shd w:val="clear" w:color="auto" w:fill="auto"/>
            <w:vAlign w:val="center"/>
          </w:tcPr>
          <w:p w:rsidR="00833DBD" w:rsidRPr="0016581E" w:rsidRDefault="00BD3A02" w:rsidP="00847B55">
            <w:pPr>
              <w:pStyle w:val="TableText1"/>
            </w:pPr>
            <w:r w:rsidRPr="0016581E">
              <w:t>Moderate</w:t>
            </w:r>
            <w:r w:rsidR="00833DBD" w:rsidRPr="0016581E">
              <w:t>, favours palbociclib</w:t>
            </w:r>
          </w:p>
        </w:tc>
      </w:tr>
    </w:tbl>
    <w:p w:rsidR="004E23FC" w:rsidRPr="0016581E" w:rsidRDefault="004E23FC" w:rsidP="00112A9E">
      <w:pPr>
        <w:pStyle w:val="TableFooter"/>
        <w:spacing w:after="120"/>
      </w:pPr>
      <w:r w:rsidRPr="0016581E">
        <w:t xml:space="preserve">Source: </w:t>
      </w:r>
      <w:r w:rsidR="00725558" w:rsidRPr="0016581E">
        <w:t>C</w:t>
      </w:r>
      <w:r w:rsidRPr="0016581E">
        <w:t>ompiled during the evaluation</w:t>
      </w:r>
      <w:r w:rsidR="008E0AF8" w:rsidRPr="0016581E">
        <w:t>.</w:t>
      </w:r>
    </w:p>
    <w:p w:rsidR="004E23FC" w:rsidRPr="0016581E" w:rsidRDefault="008E0AF8" w:rsidP="00270E23">
      <w:pPr>
        <w:pStyle w:val="ListParagraph"/>
        <w:keepNext/>
        <w:widowControl/>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results of the economic evaluation </w:t>
      </w:r>
      <w:r w:rsidR="004A3F34" w:rsidRPr="0016581E">
        <w:rPr>
          <w:rFonts w:asciiTheme="minorHAnsi" w:hAnsiTheme="minorHAnsi" w:cstheme="minorHAnsi"/>
          <w:sz w:val="24"/>
          <w:szCs w:val="24"/>
        </w:rPr>
        <w:t xml:space="preserve">for this re-submission and from the March 2017 submission </w:t>
      </w:r>
      <w:r w:rsidRPr="0016581E">
        <w:rPr>
          <w:rFonts w:asciiTheme="minorHAnsi" w:hAnsiTheme="minorHAnsi" w:cstheme="minorHAnsi"/>
          <w:sz w:val="24"/>
          <w:szCs w:val="24"/>
        </w:rPr>
        <w:t>are presented in the table below.</w:t>
      </w:r>
    </w:p>
    <w:p w:rsidR="004E23FC" w:rsidRPr="0016581E" w:rsidRDefault="004E23FC" w:rsidP="004E23FC">
      <w:pPr>
        <w:pStyle w:val="TableHeading0"/>
      </w:pPr>
      <w:r w:rsidRPr="0016581E">
        <w:t xml:space="preserve">Table </w:t>
      </w:r>
      <w:r w:rsidR="00D1135E" w:rsidRPr="0016581E">
        <w:t>1</w:t>
      </w:r>
      <w:r w:rsidR="007C108B">
        <w:t>1</w:t>
      </w:r>
      <w:r w:rsidRPr="0016581E">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8E0AF8" w:rsidRPr="0016581E" w:rsidTr="008E0AF8">
        <w:trPr>
          <w:tblHeader/>
        </w:trPr>
        <w:tc>
          <w:tcPr>
            <w:tcW w:w="1529" w:type="pct"/>
            <w:vAlign w:val="center"/>
          </w:tcPr>
          <w:p w:rsidR="008E0AF8" w:rsidRPr="0016581E" w:rsidRDefault="008E0AF8" w:rsidP="008E0AF8">
            <w:pPr>
              <w:pStyle w:val="TableText1"/>
              <w:rPr>
                <w:b/>
              </w:rPr>
            </w:pPr>
            <w:r w:rsidRPr="0016581E">
              <w:rPr>
                <w:b/>
              </w:rPr>
              <w:t>Step and component</w:t>
            </w:r>
          </w:p>
        </w:tc>
        <w:tc>
          <w:tcPr>
            <w:tcW w:w="1359" w:type="pct"/>
            <w:vAlign w:val="center"/>
          </w:tcPr>
          <w:p w:rsidR="008E0AF8" w:rsidRPr="0016581E" w:rsidRDefault="008E0AF8" w:rsidP="008E0AF8">
            <w:pPr>
              <w:pStyle w:val="TableText1"/>
              <w:jc w:val="center"/>
              <w:rPr>
                <w:b/>
              </w:rPr>
            </w:pPr>
            <w:r w:rsidRPr="0016581E">
              <w:rPr>
                <w:b/>
              </w:rPr>
              <w:t>Palbociclib group (palbociclib + letrozole)</w:t>
            </w:r>
          </w:p>
        </w:tc>
        <w:tc>
          <w:tcPr>
            <w:tcW w:w="1274" w:type="pct"/>
            <w:vAlign w:val="center"/>
          </w:tcPr>
          <w:p w:rsidR="008E0AF8" w:rsidRPr="0016581E" w:rsidRDefault="008E0AF8" w:rsidP="008E0AF8">
            <w:pPr>
              <w:pStyle w:val="TableText1"/>
              <w:jc w:val="center"/>
              <w:rPr>
                <w:b/>
              </w:rPr>
            </w:pPr>
            <w:r w:rsidRPr="0016581E">
              <w:rPr>
                <w:b/>
              </w:rPr>
              <w:t>Usual care group (letrozole alone)</w:t>
            </w:r>
          </w:p>
        </w:tc>
        <w:tc>
          <w:tcPr>
            <w:tcW w:w="838" w:type="pct"/>
            <w:vAlign w:val="center"/>
          </w:tcPr>
          <w:p w:rsidR="008E0AF8" w:rsidRPr="0016581E" w:rsidRDefault="008E0AF8" w:rsidP="008E0AF8">
            <w:pPr>
              <w:pStyle w:val="TableText1"/>
              <w:rPr>
                <w:b/>
              </w:rPr>
            </w:pPr>
            <w:r w:rsidRPr="0016581E">
              <w:rPr>
                <w:b/>
              </w:rPr>
              <w:t>Increment</w:t>
            </w:r>
          </w:p>
        </w:tc>
      </w:tr>
      <w:tr w:rsidR="004E23FC" w:rsidRPr="0016581E" w:rsidTr="00353CDC">
        <w:tc>
          <w:tcPr>
            <w:tcW w:w="5000" w:type="pct"/>
            <w:gridSpan w:val="4"/>
            <w:vAlign w:val="center"/>
          </w:tcPr>
          <w:p w:rsidR="004E23FC" w:rsidRPr="0016581E" w:rsidRDefault="008E5ED8" w:rsidP="00D449E3">
            <w:pPr>
              <w:pStyle w:val="TableText1"/>
              <w:rPr>
                <w:b/>
                <w:snapToGrid w:val="0"/>
              </w:rPr>
            </w:pPr>
            <w:r w:rsidRPr="0016581E">
              <w:rPr>
                <w:b/>
                <w:snapToGrid w:val="0"/>
              </w:rPr>
              <w:t>Step 0</w:t>
            </w:r>
            <w:r w:rsidR="004E23FC" w:rsidRPr="0016581E">
              <w:rPr>
                <w:b/>
                <w:snapToGrid w:val="0"/>
              </w:rPr>
              <w:t>: trial-based costs and outcomes</w:t>
            </w:r>
            <w:r w:rsidRPr="0016581E">
              <w:rPr>
                <w:b/>
                <w:snapToGrid w:val="0"/>
              </w:rPr>
              <w:t xml:space="preserve"> </w:t>
            </w:r>
            <w:r w:rsidRPr="0016581E">
              <w:rPr>
                <w:rFonts w:cs="Arial Narrow"/>
                <w:b/>
                <w:bCs/>
              </w:rPr>
              <w:t xml:space="preserve">(time horizon = </w:t>
            </w:r>
            <w:r w:rsidR="008E0AF8" w:rsidRPr="0016581E">
              <w:rPr>
                <w:rFonts w:cs="Arial Narrow"/>
                <w:b/>
                <w:bCs/>
              </w:rPr>
              <w:t>70</w:t>
            </w:r>
            <w:r w:rsidRPr="0016581E">
              <w:rPr>
                <w:rFonts w:cs="Arial Narrow"/>
                <w:b/>
                <w:bCs/>
              </w:rPr>
              <w:t xml:space="preserve"> cycles</w:t>
            </w:r>
            <w:r w:rsidR="00D449E3" w:rsidRPr="0016581E">
              <w:rPr>
                <w:rFonts w:cs="Arial Narrow"/>
                <w:b/>
                <w:bCs/>
              </w:rPr>
              <w:t xml:space="preserve">, or median duration of follow-up in PALOMA-1 (December 2016) = 64.7 months </w:t>
            </w:r>
            <w:r w:rsidRPr="0016581E">
              <w:rPr>
                <w:rFonts w:cs="Arial Narrow"/>
                <w:b/>
                <w:bCs/>
              </w:rPr>
              <w:t>)</w:t>
            </w:r>
          </w:p>
        </w:tc>
      </w:tr>
      <w:tr w:rsidR="008E0AF8" w:rsidRPr="0016581E" w:rsidTr="00847B55">
        <w:tc>
          <w:tcPr>
            <w:tcW w:w="1529" w:type="pct"/>
            <w:vAlign w:val="center"/>
          </w:tcPr>
          <w:p w:rsidR="008E0AF8" w:rsidRPr="0016581E" w:rsidRDefault="008E0AF8" w:rsidP="008E0AF8">
            <w:pPr>
              <w:pStyle w:val="TableText1"/>
              <w:rPr>
                <w:rFonts w:ascii="Times" w:eastAsia="Times New Roman" w:hAnsi="Times" w:cs="Times New Roman"/>
              </w:rPr>
            </w:pPr>
            <w:r w:rsidRPr="0016581E">
              <w:rPr>
                <w:rFonts w:cs="Times New Roman"/>
              </w:rPr>
              <w:t>Costs</w:t>
            </w:r>
          </w:p>
        </w:tc>
        <w:tc>
          <w:tcPr>
            <w:tcW w:w="1359" w:type="pct"/>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c>
          <w:tcPr>
            <w:tcW w:w="1274" w:type="pct"/>
            <w:vAlign w:val="center"/>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c>
          <w:tcPr>
            <w:tcW w:w="838" w:type="pct"/>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r>
      <w:tr w:rsidR="008E0AF8" w:rsidRPr="0016581E" w:rsidTr="00847B55">
        <w:tc>
          <w:tcPr>
            <w:tcW w:w="1529" w:type="pct"/>
            <w:vAlign w:val="center"/>
          </w:tcPr>
          <w:p w:rsidR="008E0AF8" w:rsidRPr="0016581E" w:rsidRDefault="008E0AF8" w:rsidP="008E0AF8">
            <w:pPr>
              <w:pStyle w:val="TableText1"/>
              <w:rPr>
                <w:rFonts w:ascii="Times" w:eastAsia="Times New Roman" w:hAnsi="Times" w:cs="Times New Roman"/>
              </w:rPr>
            </w:pPr>
            <w:r w:rsidRPr="0016581E">
              <w:rPr>
                <w:rFonts w:cs="Times New Roman"/>
              </w:rPr>
              <w:t>Years of life lived</w:t>
            </w:r>
          </w:p>
        </w:tc>
        <w:tc>
          <w:tcPr>
            <w:tcW w:w="1359" w:type="pct"/>
          </w:tcPr>
          <w:p w:rsidR="008E0AF8" w:rsidRPr="0016581E" w:rsidRDefault="008E0AF8" w:rsidP="008E0AF8">
            <w:pPr>
              <w:pStyle w:val="TableText1"/>
              <w:jc w:val="center"/>
              <w:rPr>
                <w:rFonts w:ascii="Times" w:eastAsia="Times New Roman" w:hAnsi="Times" w:cs="Times New Roman"/>
                <w:highlight w:val="yellow"/>
              </w:rPr>
            </w:pPr>
            <w:r w:rsidRPr="0016581E">
              <w:rPr>
                <w:rFonts w:cs="Times New Roman"/>
              </w:rPr>
              <w:t>3.033</w:t>
            </w:r>
          </w:p>
        </w:tc>
        <w:tc>
          <w:tcPr>
            <w:tcW w:w="1274" w:type="pct"/>
            <w:vAlign w:val="center"/>
          </w:tcPr>
          <w:p w:rsidR="008E0AF8" w:rsidRPr="0016581E" w:rsidRDefault="008E0AF8" w:rsidP="008E0AF8">
            <w:pPr>
              <w:pStyle w:val="TableText1"/>
              <w:jc w:val="center"/>
              <w:rPr>
                <w:rFonts w:ascii="Times" w:eastAsia="Times New Roman" w:hAnsi="Times" w:cs="Times New Roman"/>
                <w:highlight w:val="yellow"/>
              </w:rPr>
            </w:pPr>
            <w:r w:rsidRPr="0016581E">
              <w:rPr>
                <w:rFonts w:cs="Times New Roman"/>
              </w:rPr>
              <w:t>2.854</w:t>
            </w:r>
          </w:p>
        </w:tc>
        <w:tc>
          <w:tcPr>
            <w:tcW w:w="838" w:type="pct"/>
          </w:tcPr>
          <w:p w:rsidR="008E0AF8" w:rsidRPr="0016581E" w:rsidRDefault="008E0AF8" w:rsidP="008E0AF8">
            <w:pPr>
              <w:pStyle w:val="TableText1"/>
              <w:jc w:val="center"/>
              <w:rPr>
                <w:highlight w:val="yellow"/>
              </w:rPr>
            </w:pPr>
            <w:r w:rsidRPr="0016581E">
              <w:rPr>
                <w:rFonts w:cs="Times New Roman"/>
              </w:rPr>
              <w:t>0.179</w:t>
            </w:r>
          </w:p>
        </w:tc>
      </w:tr>
      <w:tr w:rsidR="008E0AF8" w:rsidRPr="0016581E" w:rsidTr="00847B55">
        <w:tc>
          <w:tcPr>
            <w:tcW w:w="4162" w:type="pct"/>
            <w:gridSpan w:val="3"/>
            <w:vAlign w:val="center"/>
          </w:tcPr>
          <w:p w:rsidR="008E0AF8" w:rsidRPr="0016581E" w:rsidRDefault="008E0AF8" w:rsidP="008E0AF8">
            <w:pPr>
              <w:pStyle w:val="TableText1"/>
              <w:rPr>
                <w:rFonts w:ascii="Times" w:eastAsia="Times New Roman" w:hAnsi="Times" w:cs="Times New Roman"/>
                <w:snapToGrid w:val="0"/>
              </w:rPr>
            </w:pPr>
            <w:r w:rsidRPr="0016581E">
              <w:t>Incremental cost/extra years of life gained</w:t>
            </w:r>
          </w:p>
        </w:tc>
        <w:tc>
          <w:tcPr>
            <w:tcW w:w="838" w:type="pct"/>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r>
      <w:tr w:rsidR="008E0AF8" w:rsidRPr="0016581E" w:rsidTr="00353CDC">
        <w:tc>
          <w:tcPr>
            <w:tcW w:w="5000" w:type="pct"/>
            <w:gridSpan w:val="4"/>
            <w:vAlign w:val="center"/>
          </w:tcPr>
          <w:p w:rsidR="008E0AF8" w:rsidRPr="0016581E" w:rsidRDefault="008E0AF8" w:rsidP="008E0AF8">
            <w:pPr>
              <w:pStyle w:val="TableText1"/>
              <w:rPr>
                <w:b/>
                <w:snapToGrid w:val="0"/>
              </w:rPr>
            </w:pPr>
            <w:r w:rsidRPr="0016581E">
              <w:rPr>
                <w:b/>
                <w:snapToGrid w:val="0"/>
              </w:rPr>
              <w:t xml:space="preserve">Step 1: </w:t>
            </w:r>
            <w:r w:rsidRPr="0016581E">
              <w:rPr>
                <w:rFonts w:cs="Arial Narrow"/>
                <w:b/>
                <w:bCs/>
              </w:rPr>
              <w:t>modelled evaluation (time horizon = 10 years or 130 cycles)</w:t>
            </w:r>
          </w:p>
        </w:tc>
      </w:tr>
      <w:tr w:rsidR="008E0AF8" w:rsidRPr="0016581E" w:rsidTr="003D6C45">
        <w:tc>
          <w:tcPr>
            <w:tcW w:w="1529" w:type="pct"/>
            <w:vAlign w:val="center"/>
          </w:tcPr>
          <w:p w:rsidR="008E0AF8" w:rsidRPr="0016581E" w:rsidRDefault="008E0AF8" w:rsidP="008E0AF8">
            <w:pPr>
              <w:pStyle w:val="TableText1"/>
              <w:rPr>
                <w:rFonts w:ascii="Times" w:eastAsia="Times New Roman" w:hAnsi="Times" w:cs="Times New Roman"/>
              </w:rPr>
            </w:pPr>
            <w:r w:rsidRPr="0016581E">
              <w:t>Costs</w:t>
            </w:r>
          </w:p>
        </w:tc>
        <w:tc>
          <w:tcPr>
            <w:tcW w:w="1359" w:type="pct"/>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c>
          <w:tcPr>
            <w:tcW w:w="1274" w:type="pct"/>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c>
          <w:tcPr>
            <w:tcW w:w="838" w:type="pct"/>
          </w:tcPr>
          <w:p w:rsidR="008E0AF8" w:rsidRPr="00DE0B8F" w:rsidRDefault="00DE0B8F" w:rsidP="008E0AF8">
            <w:pPr>
              <w:pStyle w:val="TableText1"/>
              <w:jc w:val="center"/>
              <w:rPr>
                <w:rFonts w:ascii="Times" w:eastAsia="Times New Roman" w:hAnsi="Times" w:cs="Times New Roman"/>
                <w:highlight w:val="black"/>
              </w:rPr>
            </w:pPr>
            <w:r>
              <w:rPr>
                <w:rFonts w:cs="Times New Roman"/>
                <w:noProof/>
                <w:color w:val="000000"/>
                <w:highlight w:val="black"/>
              </w:rPr>
              <w:t>'''''''''''''''''''</w:t>
            </w:r>
          </w:p>
        </w:tc>
      </w:tr>
      <w:tr w:rsidR="008E0AF8" w:rsidRPr="0016581E" w:rsidTr="003D6C45">
        <w:tc>
          <w:tcPr>
            <w:tcW w:w="1529" w:type="pct"/>
            <w:vAlign w:val="center"/>
          </w:tcPr>
          <w:p w:rsidR="008E0AF8" w:rsidRPr="0016581E" w:rsidRDefault="008E0AF8" w:rsidP="008E0AF8">
            <w:pPr>
              <w:pStyle w:val="TableText1"/>
              <w:rPr>
                <w:rFonts w:ascii="Times" w:eastAsia="Times New Roman" w:hAnsi="Times" w:cs="Times New Roman"/>
              </w:rPr>
            </w:pPr>
            <w:r w:rsidRPr="0016581E">
              <w:t>Years of life lived</w:t>
            </w:r>
          </w:p>
        </w:tc>
        <w:tc>
          <w:tcPr>
            <w:tcW w:w="1359" w:type="pct"/>
          </w:tcPr>
          <w:p w:rsidR="008E0AF8" w:rsidRPr="0016581E" w:rsidRDefault="008E0AF8" w:rsidP="008E0AF8">
            <w:pPr>
              <w:pStyle w:val="TableText1"/>
              <w:jc w:val="center"/>
              <w:rPr>
                <w:rFonts w:ascii="Times" w:eastAsia="Times New Roman" w:hAnsi="Times" w:cs="Times New Roman"/>
              </w:rPr>
            </w:pPr>
            <w:r w:rsidRPr="0016581E">
              <w:rPr>
                <w:rFonts w:cs="Times New Roman"/>
              </w:rPr>
              <w:t>3.535</w:t>
            </w:r>
          </w:p>
        </w:tc>
        <w:tc>
          <w:tcPr>
            <w:tcW w:w="1274" w:type="pct"/>
            <w:vAlign w:val="center"/>
          </w:tcPr>
          <w:p w:rsidR="008E0AF8" w:rsidRPr="0016581E" w:rsidRDefault="008E0AF8" w:rsidP="008E0AF8">
            <w:pPr>
              <w:pStyle w:val="TableText1"/>
              <w:jc w:val="center"/>
              <w:rPr>
                <w:rFonts w:ascii="Times" w:eastAsia="Times New Roman" w:hAnsi="Times" w:cs="Times New Roman"/>
              </w:rPr>
            </w:pPr>
            <w:r w:rsidRPr="0016581E">
              <w:rPr>
                <w:rFonts w:cs="Times New Roman"/>
              </w:rPr>
              <w:t>3.271</w:t>
            </w:r>
          </w:p>
        </w:tc>
        <w:tc>
          <w:tcPr>
            <w:tcW w:w="838" w:type="pct"/>
          </w:tcPr>
          <w:p w:rsidR="008E0AF8" w:rsidRPr="0016581E" w:rsidRDefault="008E0AF8" w:rsidP="008E0AF8">
            <w:pPr>
              <w:pStyle w:val="TableText1"/>
              <w:jc w:val="center"/>
            </w:pPr>
            <w:r w:rsidRPr="0016581E">
              <w:rPr>
                <w:rFonts w:cs="Times New Roman"/>
              </w:rPr>
              <w:t>0.265</w:t>
            </w:r>
          </w:p>
        </w:tc>
      </w:tr>
      <w:tr w:rsidR="008E0AF8" w:rsidRPr="0016581E" w:rsidTr="00353CDC">
        <w:tc>
          <w:tcPr>
            <w:tcW w:w="4162" w:type="pct"/>
            <w:gridSpan w:val="3"/>
            <w:vAlign w:val="center"/>
          </w:tcPr>
          <w:p w:rsidR="008E0AF8" w:rsidRPr="0016581E" w:rsidRDefault="008E0AF8" w:rsidP="008E0AF8">
            <w:pPr>
              <w:pStyle w:val="TableText1"/>
              <w:rPr>
                <w:rFonts w:ascii="Times" w:eastAsia="Times New Roman" w:hAnsi="Times" w:cs="Times New Roman"/>
                <w:snapToGrid w:val="0"/>
              </w:rPr>
            </w:pPr>
            <w:r w:rsidRPr="0016581E">
              <w:t>Incremental cost/extra year of life gained</w:t>
            </w:r>
          </w:p>
        </w:tc>
        <w:tc>
          <w:tcPr>
            <w:tcW w:w="838" w:type="pct"/>
            <w:vAlign w:val="center"/>
          </w:tcPr>
          <w:p w:rsidR="008E0AF8" w:rsidRPr="00DE0B8F" w:rsidRDefault="00DE0B8F" w:rsidP="008E0AF8">
            <w:pPr>
              <w:pStyle w:val="TableText1"/>
              <w:jc w:val="center"/>
              <w:rPr>
                <w:rFonts w:ascii="Times" w:eastAsia="Times New Roman" w:hAnsi="Times" w:cs="Times New Roman"/>
                <w:highlight w:val="black"/>
              </w:rPr>
            </w:pPr>
            <w:r>
              <w:rPr>
                <w:noProof/>
                <w:color w:val="000000"/>
                <w:highlight w:val="black"/>
              </w:rPr>
              <w:t>''''''''''''''''''</w:t>
            </w:r>
          </w:p>
        </w:tc>
      </w:tr>
      <w:tr w:rsidR="008E0AF8" w:rsidRPr="0016581E" w:rsidTr="00353CDC">
        <w:tc>
          <w:tcPr>
            <w:tcW w:w="5000" w:type="pct"/>
            <w:gridSpan w:val="4"/>
            <w:vAlign w:val="center"/>
          </w:tcPr>
          <w:p w:rsidR="008E0AF8" w:rsidRPr="0016581E" w:rsidRDefault="008E0AF8" w:rsidP="008E0AF8">
            <w:pPr>
              <w:pStyle w:val="TableText1"/>
              <w:rPr>
                <w:b/>
                <w:snapToGrid w:val="0"/>
              </w:rPr>
            </w:pPr>
            <w:r w:rsidRPr="0016581E">
              <w:rPr>
                <w:b/>
                <w:snapToGrid w:val="0"/>
              </w:rPr>
              <w:t xml:space="preserve">Step 2: </w:t>
            </w:r>
            <w:r w:rsidRPr="0016581E">
              <w:rPr>
                <w:rFonts w:cs="Arial Narrow"/>
                <w:b/>
                <w:bCs/>
              </w:rPr>
              <w:t>modelled evaluation (time horizon = 10 years, incorporating utilities)</w:t>
            </w:r>
          </w:p>
        </w:tc>
      </w:tr>
      <w:tr w:rsidR="008E0AF8" w:rsidRPr="0016581E" w:rsidTr="003D6C45">
        <w:tc>
          <w:tcPr>
            <w:tcW w:w="1529" w:type="pct"/>
            <w:vAlign w:val="center"/>
          </w:tcPr>
          <w:p w:rsidR="008E0AF8" w:rsidRPr="0016581E" w:rsidRDefault="008E0AF8" w:rsidP="008E0AF8">
            <w:pPr>
              <w:pStyle w:val="TableText1"/>
              <w:rPr>
                <w:rFonts w:ascii="Times" w:eastAsia="Times New Roman" w:hAnsi="Times" w:cs="Times New Roman"/>
              </w:rPr>
            </w:pPr>
            <w:r w:rsidRPr="0016581E">
              <w:t>Costs</w:t>
            </w:r>
          </w:p>
        </w:tc>
        <w:tc>
          <w:tcPr>
            <w:tcW w:w="1359" w:type="pct"/>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274" w:type="pct"/>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838" w:type="pct"/>
          </w:tcPr>
          <w:p w:rsidR="008E0AF8" w:rsidRPr="00DE0B8F" w:rsidRDefault="00DE0B8F" w:rsidP="008E0AF8">
            <w:pPr>
              <w:pStyle w:val="TableText1"/>
              <w:jc w:val="center"/>
              <w:rPr>
                <w:highlight w:val="black"/>
              </w:rPr>
            </w:pPr>
            <w:r>
              <w:rPr>
                <w:noProof/>
                <w:color w:val="000000"/>
                <w:highlight w:val="black"/>
              </w:rPr>
              <w:t>'''''''''''''''''''</w:t>
            </w:r>
          </w:p>
        </w:tc>
      </w:tr>
      <w:tr w:rsidR="008E0AF8" w:rsidRPr="0016581E" w:rsidTr="003D6C45">
        <w:tc>
          <w:tcPr>
            <w:tcW w:w="1529" w:type="pct"/>
            <w:vAlign w:val="center"/>
          </w:tcPr>
          <w:p w:rsidR="008E0AF8" w:rsidRPr="0016581E" w:rsidRDefault="008E0AF8" w:rsidP="008E0AF8">
            <w:pPr>
              <w:pStyle w:val="TableText1"/>
              <w:rPr>
                <w:rFonts w:ascii="Times" w:eastAsia="Times New Roman" w:hAnsi="Times" w:cs="Times New Roman"/>
              </w:rPr>
            </w:pPr>
            <w:r w:rsidRPr="0016581E">
              <w:t>QALYs</w:t>
            </w:r>
          </w:p>
        </w:tc>
        <w:tc>
          <w:tcPr>
            <w:tcW w:w="1359" w:type="pct"/>
          </w:tcPr>
          <w:p w:rsidR="008E0AF8" w:rsidRPr="0016581E" w:rsidRDefault="008E0AF8" w:rsidP="008E0AF8">
            <w:pPr>
              <w:pStyle w:val="TableText1"/>
              <w:jc w:val="center"/>
              <w:rPr>
                <w:rFonts w:cs="Times New Roman"/>
              </w:rPr>
            </w:pPr>
            <w:r w:rsidRPr="0016581E">
              <w:rPr>
                <w:rFonts w:cs="Times New Roman"/>
              </w:rPr>
              <w:t>2.349</w:t>
            </w:r>
          </w:p>
        </w:tc>
        <w:tc>
          <w:tcPr>
            <w:tcW w:w="1274" w:type="pct"/>
            <w:vAlign w:val="center"/>
          </w:tcPr>
          <w:p w:rsidR="008E0AF8" w:rsidRPr="0016581E" w:rsidRDefault="008E0AF8" w:rsidP="008E0AF8">
            <w:pPr>
              <w:pStyle w:val="TableText1"/>
              <w:jc w:val="center"/>
              <w:rPr>
                <w:rFonts w:cs="Times New Roman"/>
              </w:rPr>
            </w:pPr>
            <w:r w:rsidRPr="0016581E">
              <w:rPr>
                <w:rFonts w:cs="Times New Roman"/>
              </w:rPr>
              <w:t>1.938</w:t>
            </w:r>
          </w:p>
        </w:tc>
        <w:tc>
          <w:tcPr>
            <w:tcW w:w="838" w:type="pct"/>
          </w:tcPr>
          <w:p w:rsidR="008E0AF8" w:rsidRPr="0016581E" w:rsidRDefault="008E0AF8" w:rsidP="008E0AF8">
            <w:pPr>
              <w:pStyle w:val="TableText1"/>
              <w:jc w:val="center"/>
            </w:pPr>
            <w:r w:rsidRPr="0016581E">
              <w:t>0.411</w:t>
            </w:r>
          </w:p>
        </w:tc>
      </w:tr>
      <w:tr w:rsidR="008E0AF8" w:rsidRPr="0016581E" w:rsidTr="00353CDC">
        <w:tc>
          <w:tcPr>
            <w:tcW w:w="4162" w:type="pct"/>
            <w:gridSpan w:val="3"/>
            <w:vAlign w:val="center"/>
          </w:tcPr>
          <w:p w:rsidR="008E0AF8" w:rsidRPr="0016581E" w:rsidRDefault="008E0AF8" w:rsidP="008E0AF8">
            <w:pPr>
              <w:pStyle w:val="TableText1"/>
              <w:rPr>
                <w:rFonts w:ascii="Times" w:eastAsia="Times New Roman" w:hAnsi="Times" w:cs="Times New Roman"/>
              </w:rPr>
            </w:pPr>
            <w:r w:rsidRPr="0016581E">
              <w:t>Incremental cost/extra QALYs gained</w:t>
            </w:r>
          </w:p>
        </w:tc>
        <w:tc>
          <w:tcPr>
            <w:tcW w:w="838" w:type="pct"/>
            <w:vAlign w:val="center"/>
          </w:tcPr>
          <w:p w:rsidR="008E0AF8" w:rsidRPr="00DE0B8F" w:rsidRDefault="00DE0B8F" w:rsidP="008E0AF8">
            <w:pPr>
              <w:pStyle w:val="TableText1"/>
              <w:jc w:val="center"/>
              <w:rPr>
                <w:b/>
                <w:highlight w:val="black"/>
              </w:rPr>
            </w:pPr>
            <w:r>
              <w:rPr>
                <w:b/>
                <w:noProof/>
                <w:color w:val="000000"/>
                <w:highlight w:val="black"/>
              </w:rPr>
              <w:t>'''''''''''''''</w:t>
            </w:r>
          </w:p>
        </w:tc>
      </w:tr>
      <w:tr w:rsidR="008E0AF8" w:rsidRPr="0016581E" w:rsidTr="00353CDC">
        <w:tc>
          <w:tcPr>
            <w:tcW w:w="5000" w:type="pct"/>
            <w:gridSpan w:val="4"/>
            <w:vAlign w:val="center"/>
          </w:tcPr>
          <w:p w:rsidR="008E0AF8" w:rsidRPr="0016581E" w:rsidRDefault="004A3F34" w:rsidP="00891B6F">
            <w:pPr>
              <w:pStyle w:val="TableText1"/>
              <w:rPr>
                <w:snapToGrid w:val="0"/>
              </w:rPr>
            </w:pPr>
            <w:r w:rsidRPr="0016581E">
              <w:rPr>
                <w:b/>
                <w:snapToGrid w:val="0"/>
              </w:rPr>
              <w:t>March 2017 submission</w:t>
            </w:r>
            <w:r w:rsidRPr="0016581E">
              <w:rPr>
                <w:snapToGrid w:val="0"/>
              </w:rPr>
              <w:br/>
            </w:r>
            <w:r w:rsidR="008E0AF8" w:rsidRPr="0016581E">
              <w:rPr>
                <w:snapToGrid w:val="0"/>
              </w:rPr>
              <w:t xml:space="preserve">Step 2: trial evidence translated to clinical outcomes, the Australian population/setting, extrapolated, with additional modelling and transformed into an economic outcome </w:t>
            </w:r>
          </w:p>
        </w:tc>
      </w:tr>
      <w:tr w:rsidR="008E0AF8" w:rsidRPr="0016581E" w:rsidTr="003D6C45">
        <w:tc>
          <w:tcPr>
            <w:tcW w:w="1529" w:type="pct"/>
            <w:vAlign w:val="center"/>
          </w:tcPr>
          <w:p w:rsidR="008E0AF8" w:rsidRPr="0016581E" w:rsidRDefault="008E0AF8" w:rsidP="008E0AF8">
            <w:pPr>
              <w:pStyle w:val="TableText1"/>
              <w:rPr>
                <w:rFonts w:ascii="Times" w:eastAsia="Times New Roman" w:hAnsi="Times" w:cs="Times New Roman"/>
              </w:rPr>
            </w:pPr>
            <w:r w:rsidRPr="0016581E">
              <w:t>Costs</w:t>
            </w:r>
          </w:p>
        </w:tc>
        <w:tc>
          <w:tcPr>
            <w:tcW w:w="1359" w:type="pct"/>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274" w:type="pct"/>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838" w:type="pct"/>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8E0AF8" w:rsidRPr="0016581E" w:rsidTr="003D6C45">
        <w:tc>
          <w:tcPr>
            <w:tcW w:w="1529" w:type="pct"/>
            <w:vAlign w:val="center"/>
          </w:tcPr>
          <w:p w:rsidR="008E0AF8" w:rsidRPr="0016581E" w:rsidRDefault="008E0AF8" w:rsidP="008E0AF8">
            <w:pPr>
              <w:pStyle w:val="TableText1"/>
              <w:rPr>
                <w:rFonts w:ascii="Times" w:eastAsia="Times New Roman" w:hAnsi="Times" w:cs="Times New Roman"/>
              </w:rPr>
            </w:pPr>
            <w:r w:rsidRPr="0016581E">
              <w:t>QALYs</w:t>
            </w:r>
          </w:p>
        </w:tc>
        <w:tc>
          <w:tcPr>
            <w:tcW w:w="1359" w:type="pct"/>
          </w:tcPr>
          <w:p w:rsidR="008E0AF8" w:rsidRPr="0016581E" w:rsidRDefault="008E0AF8" w:rsidP="008E0AF8">
            <w:pPr>
              <w:pStyle w:val="TableText1"/>
              <w:jc w:val="center"/>
              <w:rPr>
                <w:rFonts w:cs="Times New Roman"/>
              </w:rPr>
            </w:pPr>
            <w:r w:rsidRPr="0016581E">
              <w:rPr>
                <w:rFonts w:cs="Times New Roman"/>
              </w:rPr>
              <w:t>2.420</w:t>
            </w:r>
          </w:p>
        </w:tc>
        <w:tc>
          <w:tcPr>
            <w:tcW w:w="1274" w:type="pct"/>
            <w:vAlign w:val="center"/>
          </w:tcPr>
          <w:p w:rsidR="008E0AF8" w:rsidRPr="0016581E" w:rsidRDefault="008E0AF8" w:rsidP="008E0AF8">
            <w:pPr>
              <w:pStyle w:val="TableText1"/>
              <w:jc w:val="center"/>
              <w:rPr>
                <w:rFonts w:cs="Times New Roman"/>
              </w:rPr>
            </w:pPr>
            <w:r w:rsidRPr="0016581E">
              <w:rPr>
                <w:rFonts w:cs="Times New Roman"/>
              </w:rPr>
              <w:t>1.897</w:t>
            </w:r>
          </w:p>
        </w:tc>
        <w:tc>
          <w:tcPr>
            <w:tcW w:w="838" w:type="pct"/>
          </w:tcPr>
          <w:p w:rsidR="008E0AF8" w:rsidRPr="0016581E" w:rsidRDefault="008E0AF8" w:rsidP="008E0AF8">
            <w:pPr>
              <w:pStyle w:val="TableText1"/>
              <w:jc w:val="center"/>
              <w:rPr>
                <w:rFonts w:cs="Times New Roman"/>
              </w:rPr>
            </w:pPr>
            <w:r w:rsidRPr="0016581E">
              <w:rPr>
                <w:rFonts w:cs="Times New Roman"/>
              </w:rPr>
              <w:t>0.523</w:t>
            </w:r>
          </w:p>
        </w:tc>
      </w:tr>
      <w:tr w:rsidR="008E0AF8" w:rsidRPr="0016581E" w:rsidTr="00353CDC">
        <w:tc>
          <w:tcPr>
            <w:tcW w:w="4162" w:type="pct"/>
            <w:gridSpan w:val="3"/>
            <w:vAlign w:val="center"/>
          </w:tcPr>
          <w:p w:rsidR="008E0AF8" w:rsidRPr="0016581E" w:rsidRDefault="008E0AF8" w:rsidP="008E0AF8">
            <w:pPr>
              <w:pStyle w:val="TableText1"/>
              <w:rPr>
                <w:rFonts w:ascii="Times" w:eastAsia="Times New Roman" w:hAnsi="Times" w:cs="Times New Roman"/>
              </w:rPr>
            </w:pPr>
            <w:r w:rsidRPr="0016581E">
              <w:t>Incremental cost/extra QALYs gained – March 2017 submission</w:t>
            </w:r>
          </w:p>
        </w:tc>
        <w:tc>
          <w:tcPr>
            <w:tcW w:w="838" w:type="pct"/>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r>
    </w:tbl>
    <w:p w:rsidR="002C1AAE" w:rsidRPr="0016581E" w:rsidRDefault="002C1AAE" w:rsidP="002C1AAE">
      <w:pPr>
        <w:pStyle w:val="TableFooter"/>
      </w:pPr>
      <w:proofErr w:type="gramStart"/>
      <w:r w:rsidRPr="0016581E">
        <w:rPr>
          <w:vertAlign w:val="superscript"/>
        </w:rPr>
        <w:t>a</w:t>
      </w:r>
      <w:proofErr w:type="gramEnd"/>
      <w:r w:rsidRPr="0016581E">
        <w:t xml:space="preserve"> Added during the evaluation</w:t>
      </w:r>
    </w:p>
    <w:p w:rsidR="004E23FC" w:rsidRPr="0016581E" w:rsidRDefault="004E23FC" w:rsidP="00B27932">
      <w:pPr>
        <w:pStyle w:val="TableFooter"/>
        <w:spacing w:after="120"/>
      </w:pPr>
      <w:r w:rsidRPr="0016581E">
        <w:t xml:space="preserve">Source: </w:t>
      </w:r>
      <w:r w:rsidR="002C1AAE" w:rsidRPr="0016581E">
        <w:t>D.5.2 and D.5.3, p233 of the re-submission and D.5.2 and D.5.3, p205 of the previous submission.</w:t>
      </w:r>
    </w:p>
    <w:p w:rsidR="00955691" w:rsidRPr="0016581E" w:rsidRDefault="00955691" w:rsidP="00270E23">
      <w:pPr>
        <w:pStyle w:val="ListParagraph"/>
        <w:numPr>
          <w:ilvl w:val="1"/>
          <w:numId w:val="5"/>
        </w:numPr>
        <w:spacing w:before="120" w:after="160"/>
        <w:ind w:left="709" w:hanging="709"/>
        <w:contextualSpacing w:val="0"/>
      </w:pPr>
      <w:r w:rsidRPr="0016581E">
        <w:rPr>
          <w:rFonts w:asciiTheme="minorHAnsi" w:hAnsiTheme="minorHAnsi" w:cstheme="minorHAnsi"/>
          <w:sz w:val="24"/>
          <w:szCs w:val="24"/>
        </w:rPr>
        <w:lastRenderedPageBreak/>
        <w:t xml:space="preserve">Figure 6 and Figure 7 compare the estimates of PFS and OS </w:t>
      </w:r>
      <w:r w:rsidR="009D2AD1" w:rsidRPr="0016581E">
        <w:rPr>
          <w:rFonts w:asciiTheme="minorHAnsi" w:hAnsiTheme="minorHAnsi" w:cstheme="minorHAnsi"/>
          <w:sz w:val="24"/>
          <w:szCs w:val="24"/>
        </w:rPr>
        <w:t>generated by</w:t>
      </w:r>
      <w:r w:rsidRPr="0016581E">
        <w:rPr>
          <w:rFonts w:asciiTheme="minorHAnsi" w:hAnsiTheme="minorHAnsi" w:cstheme="minorHAnsi"/>
          <w:sz w:val="24"/>
          <w:szCs w:val="24"/>
        </w:rPr>
        <w:t xml:space="preserve"> the model to the PFS and OS Kaplan-Meier curves</w:t>
      </w:r>
      <w:r w:rsidR="00A127C3" w:rsidRPr="0016581E">
        <w:rPr>
          <w:rFonts w:asciiTheme="minorHAnsi" w:hAnsiTheme="minorHAnsi" w:cstheme="minorHAnsi"/>
          <w:sz w:val="24"/>
          <w:szCs w:val="24"/>
        </w:rPr>
        <w:t xml:space="preserve"> from the trials</w:t>
      </w:r>
      <w:r w:rsidRPr="0016581E">
        <w:rPr>
          <w:rFonts w:asciiTheme="minorHAnsi" w:hAnsiTheme="minorHAnsi" w:cstheme="minorHAnsi"/>
          <w:sz w:val="24"/>
          <w:szCs w:val="24"/>
        </w:rPr>
        <w:t>.</w:t>
      </w:r>
      <w:r w:rsidR="004A3F34" w:rsidRPr="0016581E">
        <w:rPr>
          <w:rFonts w:asciiTheme="minorHAnsi" w:hAnsiTheme="minorHAnsi" w:cstheme="minorHAnsi"/>
          <w:sz w:val="24"/>
          <w:szCs w:val="24"/>
        </w:rPr>
        <w:t xml:space="preserve"> The re-submission estimated PFS and OS using the fitted parametric functions for the entire time horizon. At the March 2017 meeting, </w:t>
      </w:r>
      <w:r w:rsidR="004A3F34" w:rsidRPr="0016581E">
        <w:rPr>
          <w:rFonts w:asciiTheme="minorHAnsi" w:hAnsiTheme="minorHAnsi" w:cstheme="minorHAnsi"/>
          <w:sz w:val="24"/>
        </w:rPr>
        <w:t>the</w:t>
      </w:r>
      <w:r w:rsidR="004A3F34" w:rsidRPr="0016581E">
        <w:rPr>
          <w:rFonts w:asciiTheme="minorHAnsi" w:hAnsiTheme="minorHAnsi" w:cstheme="minorHAnsi"/>
          <w:sz w:val="24"/>
          <w:szCs w:val="24"/>
        </w:rPr>
        <w:t xml:space="preserve"> PBAC considered </w:t>
      </w:r>
      <w:r w:rsidR="009D2AD1" w:rsidRPr="0016581E">
        <w:rPr>
          <w:rFonts w:asciiTheme="minorHAnsi" w:hAnsiTheme="minorHAnsi" w:cstheme="minorHAnsi"/>
          <w:sz w:val="24"/>
          <w:szCs w:val="24"/>
        </w:rPr>
        <w:t xml:space="preserve">that </w:t>
      </w:r>
      <w:r w:rsidR="004A3F34" w:rsidRPr="0016581E">
        <w:rPr>
          <w:rFonts w:asciiTheme="minorHAnsi" w:hAnsiTheme="minorHAnsi" w:cstheme="minorHAnsi"/>
          <w:sz w:val="24"/>
          <w:szCs w:val="24"/>
        </w:rPr>
        <w:t>extrapolating from the point of median follow-up would be appropriate</w:t>
      </w:r>
      <w:r w:rsidR="00D449E3" w:rsidRPr="0016581E">
        <w:rPr>
          <w:rFonts w:asciiTheme="minorHAnsi" w:hAnsiTheme="minorHAnsi" w:cstheme="minorHAnsi"/>
          <w:sz w:val="24"/>
          <w:szCs w:val="24"/>
        </w:rPr>
        <w:t xml:space="preserve"> (</w:t>
      </w:r>
      <w:r w:rsidR="00416EEF">
        <w:rPr>
          <w:rFonts w:asciiTheme="minorHAnsi" w:hAnsiTheme="minorHAnsi" w:cstheme="minorHAnsi"/>
          <w:sz w:val="24"/>
          <w:szCs w:val="24"/>
        </w:rPr>
        <w:t>PSD</w:t>
      </w:r>
      <w:r w:rsidR="00D449E3" w:rsidRPr="0016581E">
        <w:rPr>
          <w:rFonts w:asciiTheme="minorHAnsi" w:hAnsiTheme="minorHAnsi" w:cstheme="minorHAnsi"/>
          <w:sz w:val="24"/>
          <w:szCs w:val="24"/>
        </w:rPr>
        <w:t xml:space="preserve">, March 2016, item 7.13). Sensitivity analysis indicates the results </w:t>
      </w:r>
      <w:r w:rsidR="009D2AD1" w:rsidRPr="0016581E">
        <w:rPr>
          <w:rFonts w:asciiTheme="minorHAnsi" w:hAnsiTheme="minorHAnsi" w:cstheme="minorHAnsi"/>
          <w:sz w:val="24"/>
          <w:szCs w:val="24"/>
        </w:rPr>
        <w:t xml:space="preserve">for the current model </w:t>
      </w:r>
      <w:r w:rsidR="00D449E3" w:rsidRPr="0016581E">
        <w:rPr>
          <w:rFonts w:asciiTheme="minorHAnsi" w:hAnsiTheme="minorHAnsi" w:cstheme="minorHAnsi"/>
          <w:sz w:val="24"/>
          <w:szCs w:val="24"/>
        </w:rPr>
        <w:t>are sensitive to the approach used to model PFS and OS.</w:t>
      </w:r>
      <w:r w:rsidR="00281789" w:rsidRPr="0016581E">
        <w:rPr>
          <w:rFonts w:asciiTheme="minorHAnsi" w:hAnsiTheme="minorHAnsi" w:cstheme="minorHAnsi"/>
          <w:sz w:val="24"/>
          <w:szCs w:val="24"/>
        </w:rPr>
        <w:t xml:space="preserve"> </w:t>
      </w:r>
    </w:p>
    <w:p w:rsidR="00955691" w:rsidRPr="0016581E" w:rsidRDefault="00955691" w:rsidP="00955691">
      <w:pPr>
        <w:pStyle w:val="TableHeading0"/>
      </w:pPr>
      <w:r w:rsidRPr="0016581E">
        <w:t xml:space="preserve">Figure 6: PFS estimated in the </w:t>
      </w:r>
      <w:r w:rsidR="00EF5D21" w:rsidRPr="0016581E">
        <w:t xml:space="preserve">re-submission’s </w:t>
      </w:r>
      <w:r w:rsidRPr="0016581E">
        <w:t xml:space="preserve">economic model versus PFS </w:t>
      </w:r>
      <w:r w:rsidR="00EF5D21" w:rsidRPr="0016581E">
        <w:t xml:space="preserve">when </w:t>
      </w:r>
      <w:r w:rsidRPr="0016581E">
        <w:t>based on Kaplan-Meier data from PALOMA-2 and extrapolated from median follow-up (25 cycles)</w:t>
      </w:r>
    </w:p>
    <w:p w:rsidR="00955691" w:rsidRPr="0016581E" w:rsidRDefault="00DE0B8F" w:rsidP="00955691">
      <w:r>
        <w:rPr>
          <w:noProof/>
          <w:snapToGrid/>
          <w:lang w:eastAsia="en-AU"/>
        </w:rPr>
        <w:drawing>
          <wp:inline distT="0" distB="0" distL="0" distR="0" wp14:anchorId="23591C0B" wp14:editId="2C95865F">
            <wp:extent cx="4579620" cy="307086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9620" cy="3070860"/>
                    </a:xfrm>
                    <a:prstGeom prst="rect">
                      <a:avLst/>
                    </a:prstGeom>
                  </pic:spPr>
                </pic:pic>
              </a:graphicData>
            </a:graphic>
          </wp:inline>
        </w:drawing>
      </w:r>
    </w:p>
    <w:p w:rsidR="00955691" w:rsidRPr="0016581E" w:rsidRDefault="00955691" w:rsidP="00955691">
      <w:pPr>
        <w:rPr>
          <w:rFonts w:ascii="Arial Narrow" w:hAnsi="Arial Narrow"/>
          <w:sz w:val="18"/>
        </w:rPr>
      </w:pPr>
      <w:r w:rsidRPr="0016581E">
        <w:rPr>
          <w:rFonts w:ascii="Arial Narrow" w:hAnsi="Arial Narrow"/>
          <w:sz w:val="18"/>
        </w:rPr>
        <w:t>Source: Extracted from Palbociclib Section D – 28Jun2017.xls of the re-submission.</w:t>
      </w:r>
    </w:p>
    <w:p w:rsidR="00955691" w:rsidRPr="0016581E" w:rsidRDefault="00955691" w:rsidP="00955691"/>
    <w:p w:rsidR="00955691" w:rsidRPr="0016581E" w:rsidRDefault="00955691" w:rsidP="00955691">
      <w:pPr>
        <w:pStyle w:val="TableHeading0"/>
      </w:pPr>
      <w:r w:rsidRPr="0016581E">
        <w:t xml:space="preserve">Figure </w:t>
      </w:r>
      <w:r w:rsidR="006116D9" w:rsidRPr="0016581E">
        <w:t>7</w:t>
      </w:r>
      <w:r w:rsidRPr="0016581E">
        <w:t xml:space="preserve">: </w:t>
      </w:r>
      <w:r w:rsidR="00EF5D21" w:rsidRPr="0016581E">
        <w:t>OS estimated in the re-submission’s economic model versus OS when based on Kaplan-Meier data from PALOMA-1 and extrapolated from median follow-up (70 cycles)</w:t>
      </w:r>
    </w:p>
    <w:p w:rsidR="00955691" w:rsidRPr="0016581E" w:rsidRDefault="00DE0B8F" w:rsidP="00955691">
      <w:r>
        <w:rPr>
          <w:noProof/>
          <w:snapToGrid/>
          <w:lang w:eastAsia="en-AU"/>
        </w:rPr>
        <w:drawing>
          <wp:inline distT="0" distB="0" distL="0" distR="0" wp14:anchorId="7F50C313" wp14:editId="5858A491">
            <wp:extent cx="4579620" cy="30708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9620" cy="3070860"/>
                    </a:xfrm>
                    <a:prstGeom prst="rect">
                      <a:avLst/>
                    </a:prstGeom>
                  </pic:spPr>
                </pic:pic>
              </a:graphicData>
            </a:graphic>
          </wp:inline>
        </w:drawing>
      </w:r>
    </w:p>
    <w:p w:rsidR="00955691" w:rsidRPr="0016581E" w:rsidRDefault="00955691" w:rsidP="00955691">
      <w:pPr>
        <w:rPr>
          <w:rFonts w:ascii="Arial Narrow" w:hAnsi="Arial Narrow"/>
          <w:sz w:val="18"/>
        </w:rPr>
      </w:pPr>
      <w:r w:rsidRPr="0016581E">
        <w:rPr>
          <w:rFonts w:ascii="Arial Narrow" w:hAnsi="Arial Narrow"/>
          <w:sz w:val="18"/>
        </w:rPr>
        <w:lastRenderedPageBreak/>
        <w:t>Source: Extracted from Palbociclib Section D – 28Jun2017.xls of the re-submission.</w:t>
      </w:r>
    </w:p>
    <w:p w:rsidR="00130F04" w:rsidRPr="0016581E" w:rsidRDefault="00A26DE8"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PSCR (p2) stated the resubmission used the PFS results from PALOMA-2 to inform the economic model based on the PBAC’s advice when review</w:t>
      </w:r>
      <w:r w:rsidR="0024134D" w:rsidRPr="0016581E">
        <w:rPr>
          <w:rFonts w:asciiTheme="minorHAnsi" w:hAnsiTheme="minorHAnsi" w:cstheme="minorHAnsi"/>
          <w:sz w:val="24"/>
          <w:szCs w:val="24"/>
        </w:rPr>
        <w:t xml:space="preserve">ing the March 2017 submission. </w:t>
      </w:r>
      <w:r w:rsidRPr="0016581E">
        <w:rPr>
          <w:rFonts w:asciiTheme="minorHAnsi" w:hAnsiTheme="minorHAnsi" w:cstheme="minorHAnsi"/>
          <w:sz w:val="24"/>
          <w:szCs w:val="24"/>
        </w:rPr>
        <w:t xml:space="preserve">The </w:t>
      </w:r>
      <w:r w:rsidRPr="0016581E">
        <w:rPr>
          <w:rFonts w:asciiTheme="minorHAnsi" w:hAnsiTheme="minorHAnsi" w:cstheme="minorHAnsi"/>
          <w:sz w:val="24"/>
        </w:rPr>
        <w:t>PSCR</w:t>
      </w:r>
      <w:r w:rsidRPr="0016581E">
        <w:rPr>
          <w:rFonts w:asciiTheme="minorHAnsi" w:hAnsiTheme="minorHAnsi" w:cstheme="minorHAnsi"/>
          <w:sz w:val="24"/>
          <w:szCs w:val="24"/>
        </w:rPr>
        <w:t xml:space="preserve"> argued that extrapolating the KM curves from two data sources (PALOMA-1 and PALOMA-2) required use of the fitted parametric functions that do not rely on empirical step changes in survival curves to inform the transition probabilities </w:t>
      </w:r>
      <w:r w:rsidR="00973A74" w:rsidRPr="0016581E">
        <w:rPr>
          <w:rFonts w:asciiTheme="minorHAnsi" w:hAnsiTheme="minorHAnsi" w:cstheme="minorHAnsi"/>
          <w:sz w:val="24"/>
          <w:szCs w:val="24"/>
        </w:rPr>
        <w:t xml:space="preserve">to avoid, </w:t>
      </w:r>
      <w:r w:rsidRPr="0016581E">
        <w:rPr>
          <w:rFonts w:asciiTheme="minorHAnsi" w:hAnsiTheme="minorHAnsi" w:cstheme="minorHAnsi"/>
          <w:sz w:val="24"/>
          <w:szCs w:val="24"/>
        </w:rPr>
        <w:t xml:space="preserve">for example, cycles in the model where the probability of death is greater than the probability of progression. The ESC did not consider this argument was strong enough to justify use of the parametric functions from day 1. </w:t>
      </w:r>
      <w:r w:rsidR="00C53ED9" w:rsidRPr="0016581E">
        <w:rPr>
          <w:rFonts w:asciiTheme="minorHAnsi" w:hAnsiTheme="minorHAnsi" w:cstheme="minorHAnsi"/>
          <w:sz w:val="24"/>
          <w:szCs w:val="24"/>
        </w:rPr>
        <w:t xml:space="preserve">Figure </w:t>
      </w:r>
      <w:r w:rsidR="00F46FE5" w:rsidRPr="0016581E">
        <w:rPr>
          <w:rFonts w:asciiTheme="minorHAnsi" w:hAnsiTheme="minorHAnsi" w:cstheme="minorHAnsi"/>
          <w:sz w:val="24"/>
          <w:szCs w:val="24"/>
        </w:rPr>
        <w:t>8</w:t>
      </w:r>
      <w:r w:rsidR="00716343" w:rsidRPr="0016581E">
        <w:rPr>
          <w:rFonts w:asciiTheme="minorHAnsi" w:hAnsiTheme="minorHAnsi" w:cstheme="minorHAnsi"/>
          <w:sz w:val="24"/>
          <w:szCs w:val="24"/>
        </w:rPr>
        <w:t xml:space="preserve"> shows the</w:t>
      </w:r>
      <w:r w:rsidRPr="0016581E">
        <w:rPr>
          <w:rFonts w:asciiTheme="minorHAnsi" w:hAnsiTheme="minorHAnsi" w:cstheme="minorHAnsi"/>
          <w:sz w:val="24"/>
          <w:szCs w:val="24"/>
        </w:rPr>
        <w:t xml:space="preserve"> </w:t>
      </w:r>
      <w:r w:rsidR="00F46FE5" w:rsidRPr="0016581E">
        <w:rPr>
          <w:rFonts w:asciiTheme="minorHAnsi" w:hAnsiTheme="minorHAnsi" w:cstheme="minorHAnsi"/>
          <w:sz w:val="24"/>
          <w:szCs w:val="24"/>
        </w:rPr>
        <w:t xml:space="preserve">effect on the </w:t>
      </w:r>
      <w:r w:rsidRPr="0016581E">
        <w:rPr>
          <w:rFonts w:asciiTheme="minorHAnsi" w:hAnsiTheme="minorHAnsi" w:cstheme="minorHAnsi"/>
          <w:sz w:val="24"/>
          <w:szCs w:val="24"/>
        </w:rPr>
        <w:t>cost</w:t>
      </w:r>
      <w:r w:rsidR="00716343" w:rsidRPr="0016581E">
        <w:rPr>
          <w:rFonts w:asciiTheme="minorHAnsi" w:hAnsiTheme="minorHAnsi" w:cstheme="minorHAnsi"/>
          <w:sz w:val="24"/>
          <w:szCs w:val="24"/>
        </w:rPr>
        <w:t xml:space="preserve"> /QALY </w:t>
      </w:r>
      <w:r w:rsidR="00C53ED9" w:rsidRPr="0016581E">
        <w:rPr>
          <w:rFonts w:asciiTheme="minorHAnsi" w:hAnsiTheme="minorHAnsi" w:cstheme="minorHAnsi"/>
          <w:sz w:val="24"/>
          <w:szCs w:val="24"/>
        </w:rPr>
        <w:t>when</w:t>
      </w:r>
      <w:r w:rsidRPr="0016581E">
        <w:rPr>
          <w:rFonts w:asciiTheme="minorHAnsi" w:hAnsiTheme="minorHAnsi" w:cstheme="minorHAnsi"/>
          <w:sz w:val="24"/>
          <w:szCs w:val="24"/>
        </w:rPr>
        <w:t xml:space="preserve"> </w:t>
      </w:r>
      <w:r w:rsidR="00F46FE5" w:rsidRPr="0016581E">
        <w:rPr>
          <w:rFonts w:asciiTheme="minorHAnsi" w:hAnsiTheme="minorHAnsi" w:cstheme="minorHAnsi"/>
          <w:sz w:val="24"/>
          <w:szCs w:val="24"/>
        </w:rPr>
        <w:t xml:space="preserve">changing </w:t>
      </w:r>
      <w:r w:rsidRPr="0016581E">
        <w:rPr>
          <w:rFonts w:asciiTheme="minorHAnsi" w:hAnsiTheme="minorHAnsi" w:cstheme="minorHAnsi"/>
          <w:sz w:val="24"/>
          <w:szCs w:val="24"/>
        </w:rPr>
        <w:t>the</w:t>
      </w:r>
      <w:r w:rsidR="00794114" w:rsidRPr="0016581E">
        <w:rPr>
          <w:rFonts w:asciiTheme="minorHAnsi" w:hAnsiTheme="minorHAnsi" w:cstheme="minorHAnsi"/>
          <w:sz w:val="24"/>
          <w:szCs w:val="24"/>
        </w:rPr>
        <w:t xml:space="preserve"> </w:t>
      </w:r>
      <w:r w:rsidR="00F46FE5" w:rsidRPr="0016581E">
        <w:rPr>
          <w:rFonts w:asciiTheme="minorHAnsi" w:hAnsiTheme="minorHAnsi" w:cstheme="minorHAnsi"/>
          <w:sz w:val="24"/>
          <w:szCs w:val="24"/>
        </w:rPr>
        <w:t xml:space="preserve">year in the model </w:t>
      </w:r>
      <w:r w:rsidR="00C53ED9" w:rsidRPr="0016581E">
        <w:rPr>
          <w:rFonts w:asciiTheme="minorHAnsi" w:hAnsiTheme="minorHAnsi" w:cstheme="minorHAnsi"/>
          <w:sz w:val="24"/>
          <w:szCs w:val="24"/>
        </w:rPr>
        <w:t>at which the extrapolation replaces the KM curves for both OS and PFS. The re-submission uses point</w:t>
      </w:r>
      <w:r w:rsidR="00F46FE5" w:rsidRPr="0016581E">
        <w:rPr>
          <w:rFonts w:asciiTheme="minorHAnsi" w:hAnsiTheme="minorHAnsi" w:cstheme="minorHAnsi"/>
          <w:sz w:val="24"/>
          <w:szCs w:val="24"/>
        </w:rPr>
        <w:t xml:space="preserve"> </w:t>
      </w:r>
      <w:r w:rsidR="00C53ED9" w:rsidRPr="0016581E">
        <w:rPr>
          <w:rFonts w:asciiTheme="minorHAnsi" w:hAnsiTheme="minorHAnsi" w:cstheme="minorHAnsi"/>
          <w:sz w:val="24"/>
          <w:szCs w:val="24"/>
        </w:rPr>
        <w:t>0</w:t>
      </w:r>
      <w:r w:rsidR="00245491" w:rsidRPr="0016581E">
        <w:rPr>
          <w:rFonts w:asciiTheme="minorHAnsi" w:hAnsiTheme="minorHAnsi" w:cstheme="minorHAnsi"/>
          <w:sz w:val="24"/>
          <w:szCs w:val="24"/>
        </w:rPr>
        <w:t xml:space="preserve"> (Day 1)</w:t>
      </w:r>
      <w:r w:rsidR="00C53ED9" w:rsidRPr="0016581E">
        <w:rPr>
          <w:rFonts w:asciiTheme="minorHAnsi" w:hAnsiTheme="minorHAnsi" w:cstheme="minorHAnsi"/>
          <w:sz w:val="24"/>
          <w:szCs w:val="24"/>
        </w:rPr>
        <w:t xml:space="preserve">. </w:t>
      </w:r>
      <w:r w:rsidR="00716343" w:rsidRPr="0016581E">
        <w:rPr>
          <w:rFonts w:asciiTheme="minorHAnsi" w:hAnsiTheme="minorHAnsi" w:cstheme="minorHAnsi"/>
          <w:sz w:val="24"/>
          <w:szCs w:val="24"/>
        </w:rPr>
        <w:t>The ESC noted that the approach in the re-submission favoured palb</w:t>
      </w:r>
      <w:r w:rsidR="003F22C4" w:rsidRPr="0016581E">
        <w:rPr>
          <w:rFonts w:asciiTheme="minorHAnsi" w:hAnsiTheme="minorHAnsi" w:cstheme="minorHAnsi"/>
          <w:sz w:val="24"/>
          <w:szCs w:val="24"/>
        </w:rPr>
        <w:t>o</w:t>
      </w:r>
      <w:r w:rsidR="00716343" w:rsidRPr="0016581E">
        <w:rPr>
          <w:rFonts w:asciiTheme="minorHAnsi" w:hAnsiTheme="minorHAnsi" w:cstheme="minorHAnsi"/>
          <w:sz w:val="24"/>
          <w:szCs w:val="24"/>
        </w:rPr>
        <w:t xml:space="preserve">ciclib because the overall trend </w:t>
      </w:r>
      <w:r w:rsidR="00C53ED9" w:rsidRPr="0016581E">
        <w:rPr>
          <w:rFonts w:asciiTheme="minorHAnsi" w:hAnsiTheme="minorHAnsi" w:cstheme="minorHAnsi"/>
          <w:sz w:val="24"/>
          <w:szCs w:val="24"/>
        </w:rPr>
        <w:t xml:space="preserve">demonstrated in the figure </w:t>
      </w:r>
      <w:r w:rsidR="00716343" w:rsidRPr="0016581E">
        <w:rPr>
          <w:rFonts w:asciiTheme="minorHAnsi" w:hAnsiTheme="minorHAnsi" w:cstheme="minorHAnsi"/>
          <w:sz w:val="24"/>
          <w:szCs w:val="24"/>
        </w:rPr>
        <w:t xml:space="preserve">was that the </w:t>
      </w:r>
      <w:r w:rsidR="00600927" w:rsidRPr="0016581E">
        <w:rPr>
          <w:rFonts w:asciiTheme="minorHAnsi" w:hAnsiTheme="minorHAnsi" w:cstheme="minorHAnsi"/>
          <w:sz w:val="24"/>
          <w:szCs w:val="24"/>
        </w:rPr>
        <w:t>cost</w:t>
      </w:r>
      <w:r w:rsidR="00716343" w:rsidRPr="0016581E">
        <w:rPr>
          <w:rFonts w:asciiTheme="minorHAnsi" w:hAnsiTheme="minorHAnsi" w:cstheme="minorHAnsi"/>
          <w:sz w:val="24"/>
          <w:szCs w:val="24"/>
        </w:rPr>
        <w:t>/QALY increased the later the time point at which the extrap</w:t>
      </w:r>
      <w:r w:rsidR="007C2FE4" w:rsidRPr="0016581E">
        <w:rPr>
          <w:rFonts w:asciiTheme="minorHAnsi" w:hAnsiTheme="minorHAnsi" w:cstheme="minorHAnsi"/>
          <w:sz w:val="24"/>
          <w:szCs w:val="24"/>
        </w:rPr>
        <w:t>olation replaces the Kaplan-Meier</w:t>
      </w:r>
      <w:r w:rsidR="008B2795" w:rsidRPr="0016581E">
        <w:rPr>
          <w:rFonts w:asciiTheme="minorHAnsi" w:hAnsiTheme="minorHAnsi" w:cstheme="minorHAnsi"/>
          <w:sz w:val="24"/>
          <w:szCs w:val="24"/>
        </w:rPr>
        <w:t xml:space="preserve"> curve.</w:t>
      </w:r>
      <w:r w:rsidR="00A65D73" w:rsidRPr="0016581E">
        <w:t xml:space="preserve"> </w:t>
      </w:r>
      <w:r w:rsidR="00A65D73" w:rsidRPr="0016581E">
        <w:rPr>
          <w:rFonts w:asciiTheme="minorHAnsi" w:hAnsiTheme="minorHAnsi" w:cstheme="minorHAnsi"/>
          <w:sz w:val="24"/>
          <w:szCs w:val="24"/>
        </w:rPr>
        <w:t>The pre-PBAC response</w:t>
      </w:r>
      <w:r w:rsidR="004C179E" w:rsidRPr="0016581E">
        <w:rPr>
          <w:rFonts w:asciiTheme="minorHAnsi" w:hAnsiTheme="minorHAnsi" w:cstheme="minorHAnsi"/>
          <w:sz w:val="24"/>
          <w:szCs w:val="24"/>
        </w:rPr>
        <w:t xml:space="preserve"> </w:t>
      </w:r>
      <w:r w:rsidR="00A65D73" w:rsidRPr="0016581E">
        <w:rPr>
          <w:rFonts w:asciiTheme="minorHAnsi" w:hAnsiTheme="minorHAnsi" w:cstheme="minorHAnsi"/>
          <w:sz w:val="24"/>
          <w:szCs w:val="24"/>
        </w:rPr>
        <w:t xml:space="preserve">argued that the use of the fitted parametric functions from </w:t>
      </w:r>
      <w:r w:rsidR="00C07B9C" w:rsidRPr="0016581E">
        <w:rPr>
          <w:rFonts w:asciiTheme="minorHAnsi" w:hAnsiTheme="minorHAnsi" w:cstheme="minorHAnsi"/>
          <w:sz w:val="24"/>
          <w:szCs w:val="24"/>
        </w:rPr>
        <w:t>d</w:t>
      </w:r>
      <w:r w:rsidR="00A65D73" w:rsidRPr="0016581E">
        <w:rPr>
          <w:rFonts w:asciiTheme="minorHAnsi" w:hAnsiTheme="minorHAnsi" w:cstheme="minorHAnsi"/>
          <w:sz w:val="24"/>
          <w:szCs w:val="24"/>
        </w:rPr>
        <w:t>ay 1 is both appropriate and necessary, so that empirical step changes in survival curves based on the observed sample size are not used to erroneously inform transition probabilities.</w:t>
      </w:r>
      <w:r w:rsidR="008803C0" w:rsidRPr="0016581E">
        <w:rPr>
          <w:rFonts w:asciiTheme="minorHAnsi" w:hAnsiTheme="minorHAnsi" w:cstheme="minorHAnsi"/>
          <w:sz w:val="24"/>
          <w:szCs w:val="24"/>
        </w:rPr>
        <w:t xml:space="preserve"> </w:t>
      </w:r>
    </w:p>
    <w:p w:rsidR="00A34A82" w:rsidRPr="00DE0B8F" w:rsidRDefault="00C53ED9" w:rsidP="007034F6">
      <w:pPr>
        <w:widowControl/>
        <w:spacing w:before="120"/>
        <w:rPr>
          <w:rFonts w:ascii="Arial Narrow" w:hAnsi="Arial Narrow"/>
          <w:b/>
          <w:sz w:val="20"/>
        </w:rPr>
      </w:pPr>
      <w:r w:rsidRPr="0016581E">
        <w:rPr>
          <w:rFonts w:ascii="Arial Narrow" w:hAnsi="Arial Narrow"/>
          <w:b/>
          <w:sz w:val="20"/>
        </w:rPr>
        <w:t xml:space="preserve">Figure </w:t>
      </w:r>
      <w:r w:rsidR="00F46FE5" w:rsidRPr="0016581E">
        <w:rPr>
          <w:rFonts w:ascii="Arial Narrow" w:hAnsi="Arial Narrow"/>
          <w:b/>
          <w:sz w:val="20"/>
        </w:rPr>
        <w:t>8</w:t>
      </w:r>
      <w:r w:rsidRPr="0016581E">
        <w:rPr>
          <w:rFonts w:ascii="Arial Narrow" w:hAnsi="Arial Narrow"/>
          <w:b/>
          <w:sz w:val="20"/>
        </w:rPr>
        <w:t xml:space="preserve">: </w:t>
      </w:r>
      <w:r w:rsidR="00A34A82" w:rsidRPr="0016581E">
        <w:rPr>
          <w:rFonts w:ascii="Arial Narrow" w:hAnsi="Arial Narrow"/>
          <w:b/>
          <w:sz w:val="20"/>
        </w:rPr>
        <w:t>T</w:t>
      </w:r>
      <w:r w:rsidR="00F46FE5" w:rsidRPr="0016581E">
        <w:rPr>
          <w:rFonts w:ascii="Arial Narrow" w:hAnsi="Arial Narrow"/>
          <w:b/>
          <w:sz w:val="20"/>
        </w:rPr>
        <w:t xml:space="preserve">he </w:t>
      </w:r>
      <w:r w:rsidRPr="0016581E">
        <w:rPr>
          <w:rFonts w:ascii="Arial Narrow" w:hAnsi="Arial Narrow"/>
          <w:b/>
          <w:sz w:val="20"/>
        </w:rPr>
        <w:t>point</w:t>
      </w:r>
      <w:r w:rsidR="00F46FE5" w:rsidRPr="0016581E">
        <w:rPr>
          <w:rFonts w:ascii="Arial Narrow" w:hAnsi="Arial Narrow"/>
          <w:b/>
          <w:sz w:val="20"/>
        </w:rPr>
        <w:t xml:space="preserve"> (the year in the model)</w:t>
      </w:r>
      <w:r w:rsidRPr="0016581E">
        <w:rPr>
          <w:rFonts w:ascii="Arial Narrow" w:hAnsi="Arial Narrow"/>
          <w:b/>
          <w:sz w:val="20"/>
        </w:rPr>
        <w:t xml:space="preserve"> at which the extrapolation replaces the KM curves</w:t>
      </w:r>
      <w:r w:rsidR="004F4FC5" w:rsidRPr="0016581E">
        <w:rPr>
          <w:rFonts w:ascii="Arial Narrow" w:hAnsi="Arial Narrow"/>
          <w:b/>
          <w:sz w:val="20"/>
        </w:rPr>
        <w:t xml:space="preserve"> in the economic model</w:t>
      </w:r>
    </w:p>
    <w:p w:rsidR="007034F6" w:rsidRPr="00DE0B8F" w:rsidRDefault="00DE0B8F" w:rsidP="007034F6">
      <w:pPr>
        <w:widowControl/>
        <w:spacing w:before="120"/>
        <w:rPr>
          <w:rFonts w:asciiTheme="minorHAnsi" w:hAnsiTheme="minorHAnsi" w:cstheme="minorHAnsi"/>
          <w:sz w:val="24"/>
          <w:szCs w:val="24"/>
          <w:lang w:eastAsia="en-AU"/>
        </w:rPr>
      </w:pPr>
      <w:r>
        <w:rPr>
          <w:rFonts w:asciiTheme="minorHAnsi" w:hAnsiTheme="minorHAnsi" w:cstheme="minorHAnsi"/>
          <w:noProof/>
          <w:snapToGrid/>
          <w:sz w:val="24"/>
          <w:szCs w:val="24"/>
          <w:lang w:eastAsia="en-AU"/>
        </w:rPr>
        <w:drawing>
          <wp:inline distT="0" distB="0" distL="0" distR="0" wp14:anchorId="5BAE2178" wp14:editId="4246EDC8">
            <wp:extent cx="4555490" cy="30518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55490" cy="3051810"/>
                    </a:xfrm>
                    <a:prstGeom prst="rect">
                      <a:avLst/>
                    </a:prstGeom>
                  </pic:spPr>
                </pic:pic>
              </a:graphicData>
            </a:graphic>
          </wp:inline>
        </w:drawing>
      </w:r>
    </w:p>
    <w:p w:rsidR="007034F6" w:rsidRPr="00DE0B8F" w:rsidRDefault="00DE0B8F" w:rsidP="00955691">
      <w:pPr>
        <w:rPr>
          <w:rFonts w:ascii="Arial Narrow" w:hAnsi="Arial Narrow"/>
          <w:sz w:val="18"/>
          <w:highlight w:val="black"/>
        </w:rPr>
      </w:pPr>
      <w:r>
        <w:rPr>
          <w:rFonts w:ascii="Arial Narrow" w:hAnsi="Arial Narrow"/>
          <w:noProof/>
          <w:color w:val="000000"/>
          <w:sz w:val="18"/>
          <w:highlight w:val="black"/>
        </w:rPr>
        <w:t xml:space="preserve">''''''''''''''''' ''''''''''''''''''''''''''' ''''''''''''''' ''''''''' ''''''''''''''''''''''''' </w:t>
      </w:r>
    </w:p>
    <w:p w:rsidR="00993230" w:rsidRDefault="00993230" w:rsidP="00416EEF">
      <w:pPr>
        <w:ind w:left="360"/>
        <w:rPr>
          <w:rFonts w:asciiTheme="minorHAnsi" w:hAnsiTheme="minorHAnsi"/>
          <w:sz w:val="24"/>
          <w:szCs w:val="24"/>
        </w:rPr>
      </w:pPr>
    </w:p>
    <w:p w:rsidR="00416EEF" w:rsidRPr="00416EEF" w:rsidRDefault="00416EEF" w:rsidP="00993230">
      <w:pPr>
        <w:ind w:left="360" w:firstLine="349"/>
        <w:rPr>
          <w:rFonts w:asciiTheme="minorHAnsi" w:hAnsiTheme="minorHAnsi"/>
          <w:sz w:val="24"/>
          <w:szCs w:val="24"/>
        </w:rPr>
      </w:pPr>
      <w:bookmarkStart w:id="33" w:name="_GoBack"/>
      <w:bookmarkEnd w:id="33"/>
      <w:r w:rsidRPr="00416EEF">
        <w:rPr>
          <w:rFonts w:asciiTheme="minorHAnsi" w:hAnsiTheme="minorHAnsi"/>
          <w:sz w:val="24"/>
          <w:szCs w:val="24"/>
        </w:rPr>
        <w:t xml:space="preserve">The redacted </w:t>
      </w:r>
      <w:r>
        <w:rPr>
          <w:rFonts w:asciiTheme="minorHAnsi" w:hAnsiTheme="minorHAnsi"/>
          <w:sz w:val="24"/>
          <w:szCs w:val="24"/>
        </w:rPr>
        <w:t>figure</w:t>
      </w:r>
      <w:r w:rsidRPr="00416EEF">
        <w:rPr>
          <w:rFonts w:asciiTheme="minorHAnsi" w:hAnsiTheme="minorHAnsi"/>
          <w:sz w:val="24"/>
          <w:szCs w:val="24"/>
        </w:rPr>
        <w:t xml:space="preserve"> shows ICERs in the range of </w:t>
      </w:r>
      <w:r>
        <w:rPr>
          <w:rFonts w:asciiTheme="minorHAnsi" w:hAnsiTheme="minorHAnsi"/>
          <w:sz w:val="24"/>
          <w:szCs w:val="24"/>
        </w:rPr>
        <w:t>$45,000/QALY - $105,000/QALY</w:t>
      </w:r>
    </w:p>
    <w:p w:rsidR="00416EEF" w:rsidRDefault="00416EEF" w:rsidP="00416EEF">
      <w:pPr>
        <w:ind w:left="360"/>
        <w:rPr>
          <w:rFonts w:asciiTheme="minorHAnsi" w:hAnsiTheme="minorHAnsi"/>
          <w:sz w:val="24"/>
          <w:szCs w:val="24"/>
        </w:rPr>
      </w:pPr>
    </w:p>
    <w:p w:rsidR="00270E23" w:rsidRDefault="0007337D" w:rsidP="0094535A">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treatment</w:t>
      </w:r>
      <w:r w:rsidR="0040635B" w:rsidRPr="0016581E">
        <w:rPr>
          <w:rFonts w:asciiTheme="minorHAnsi" w:hAnsiTheme="minorHAnsi" w:cstheme="minorHAnsi"/>
          <w:sz w:val="24"/>
          <w:szCs w:val="24"/>
        </w:rPr>
        <w:t xml:space="preserve"> effect was assumed to persist for the model duration. This evaluation stated that this is not appropriate, especially as the median duration in PALOMA-2 (used to estimate PFS) was 22.3 – 23.0 months, compared to a model time horizon of 10 years, and OS in PALOMA-1 was not statistically significant. Previously, the PBAC </w:t>
      </w:r>
      <w:r w:rsidR="0040635B" w:rsidRPr="0016581E">
        <w:rPr>
          <w:rFonts w:asciiTheme="minorHAnsi" w:hAnsiTheme="minorHAnsi" w:cstheme="minorHAnsi"/>
          <w:sz w:val="24"/>
          <w:szCs w:val="24"/>
        </w:rPr>
        <w:lastRenderedPageBreak/>
        <w:t>considered that this assumption is inappropriate (</w:t>
      </w:r>
      <w:r w:rsidR="00416EEF">
        <w:rPr>
          <w:rFonts w:asciiTheme="minorHAnsi" w:hAnsiTheme="minorHAnsi" w:cstheme="minorHAnsi"/>
          <w:sz w:val="24"/>
          <w:szCs w:val="24"/>
        </w:rPr>
        <w:t>PSD</w:t>
      </w:r>
      <w:r w:rsidR="0040635B" w:rsidRPr="0016581E">
        <w:rPr>
          <w:rFonts w:asciiTheme="minorHAnsi" w:hAnsiTheme="minorHAnsi" w:cstheme="minorHAnsi"/>
          <w:sz w:val="24"/>
          <w:szCs w:val="24"/>
        </w:rPr>
        <w:t xml:space="preserve">, March 2017, item 7.13). The PSCR (p2) stated there is no evidence to suggest that the treatment effect will not persist for the model duration. The ESC acknowledged there is no evidence, but questioned the biological plausibility of this assumption. </w:t>
      </w:r>
    </w:p>
    <w:p w:rsidR="004E23FC" w:rsidRPr="0016581E" w:rsidRDefault="008E0AF8" w:rsidP="0094535A">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re-submission presented univariate sensitivity analysis. The key results are presented in the table below.</w:t>
      </w:r>
    </w:p>
    <w:p w:rsidR="008E0AF8" w:rsidRPr="0016581E" w:rsidRDefault="008E0AF8" w:rsidP="00223C27">
      <w:pPr>
        <w:pStyle w:val="TableHeading0"/>
      </w:pPr>
      <w:r w:rsidRPr="0016581E">
        <w:t xml:space="preserve">Table </w:t>
      </w:r>
      <w:r w:rsidR="001B364A" w:rsidRPr="0016581E">
        <w:t>1</w:t>
      </w:r>
      <w:r w:rsidR="007C108B">
        <w:t>2</w:t>
      </w:r>
      <w:r w:rsidRPr="0016581E">
        <w:t>: Results of univariate sensitivity analyses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415"/>
        <w:gridCol w:w="992"/>
        <w:gridCol w:w="1134"/>
        <w:gridCol w:w="1541"/>
      </w:tblGrid>
      <w:tr w:rsidR="008E0AF8" w:rsidRPr="0016581E" w:rsidTr="00847B55">
        <w:trPr>
          <w:tblHeader/>
        </w:trPr>
        <w:tc>
          <w:tcPr>
            <w:tcW w:w="5415"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rPr>
                <w:rFonts w:cs="Times New Roman"/>
                <w:b/>
              </w:rPr>
            </w:pPr>
            <w:r w:rsidRPr="0016581E">
              <w:rPr>
                <w:rFonts w:cs="Times New Roman"/>
                <w:b/>
              </w:rPr>
              <w:t>Univariate analyses</w:t>
            </w:r>
          </w:p>
        </w:tc>
        <w:tc>
          <w:tcPr>
            <w:tcW w:w="992"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jc w:val="center"/>
              <w:rPr>
                <w:rFonts w:cs="Times New Roman"/>
                <w:b/>
              </w:rPr>
            </w:pPr>
            <w:r w:rsidRPr="0016581E">
              <w:rPr>
                <w:rFonts w:cs="Times New Roman"/>
                <w:b/>
              </w:rPr>
              <w:t>Incremental costs</w:t>
            </w:r>
          </w:p>
        </w:tc>
        <w:tc>
          <w:tcPr>
            <w:tcW w:w="1134"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jc w:val="center"/>
              <w:rPr>
                <w:rFonts w:cs="Times New Roman"/>
                <w:b/>
              </w:rPr>
            </w:pPr>
            <w:r w:rsidRPr="0016581E">
              <w:rPr>
                <w:rFonts w:cs="Times New Roman"/>
                <w:b/>
              </w:rPr>
              <w:t>Incremental effectiveness (QALYs)</w:t>
            </w:r>
          </w:p>
        </w:tc>
        <w:tc>
          <w:tcPr>
            <w:tcW w:w="1541"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jc w:val="center"/>
              <w:rPr>
                <w:rFonts w:cs="Times New Roman"/>
                <w:b/>
              </w:rPr>
            </w:pPr>
            <w:r w:rsidRPr="0016581E">
              <w:rPr>
                <w:rFonts w:cs="Times New Roman"/>
                <w:b/>
              </w:rPr>
              <w:t>Incremental cost-effectiveness ($/QALY)</w:t>
            </w:r>
          </w:p>
        </w:tc>
      </w:tr>
      <w:tr w:rsidR="008E0AF8" w:rsidRPr="0016581E" w:rsidTr="00847B55">
        <w:tc>
          <w:tcPr>
            <w:tcW w:w="5415"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rPr>
                <w:rFonts w:cs="Times New Roman"/>
              </w:rPr>
            </w:pPr>
            <w:r w:rsidRPr="0016581E">
              <w:rPr>
                <w:rFonts w:cs="Times New Roman"/>
              </w:rPr>
              <w:t>Base case</w:t>
            </w:r>
          </w:p>
        </w:tc>
        <w:tc>
          <w:tcPr>
            <w:tcW w:w="992" w:type="dxa"/>
            <w:tcBorders>
              <w:top w:val="single" w:sz="4" w:space="0" w:color="auto"/>
              <w:left w:val="single" w:sz="4" w:space="0" w:color="auto"/>
              <w:bottom w:val="single" w:sz="4" w:space="0" w:color="auto"/>
              <w:right w:val="single" w:sz="4" w:space="0" w:color="auto"/>
            </w:tcBorders>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jc w:val="center"/>
              <w:rPr>
                <w:rFonts w:cs="Times New Roman"/>
              </w:rPr>
            </w:pPr>
            <w:r w:rsidRPr="0016581E">
              <w:rPr>
                <w:rFonts w:cs="Times New Roman"/>
              </w:rPr>
              <w:t>0.411</w:t>
            </w:r>
          </w:p>
        </w:tc>
        <w:tc>
          <w:tcPr>
            <w:tcW w:w="1541" w:type="dxa"/>
            <w:tcBorders>
              <w:top w:val="single" w:sz="4" w:space="0" w:color="auto"/>
              <w:left w:val="single" w:sz="4" w:space="0" w:color="auto"/>
              <w:bottom w:val="single" w:sz="4" w:space="0" w:color="auto"/>
              <w:right w:val="single" w:sz="4" w:space="0" w:color="auto"/>
            </w:tcBorders>
            <w:vAlign w:val="bottom"/>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8E0AF8" w:rsidRPr="0016581E" w:rsidTr="00847B55">
        <w:tc>
          <w:tcPr>
            <w:tcW w:w="5415" w:type="dxa"/>
            <w:tcBorders>
              <w:top w:val="single" w:sz="4" w:space="0" w:color="auto"/>
              <w:left w:val="single" w:sz="4" w:space="0" w:color="auto"/>
              <w:bottom w:val="single" w:sz="4" w:space="0" w:color="auto"/>
              <w:right w:val="single" w:sz="4" w:space="0" w:color="auto"/>
            </w:tcBorders>
            <w:vAlign w:val="bottom"/>
          </w:tcPr>
          <w:p w:rsidR="008E0AF8" w:rsidRPr="0016581E" w:rsidRDefault="008E0AF8" w:rsidP="00B40B0D">
            <w:pPr>
              <w:pStyle w:val="TableText1"/>
              <w:rPr>
                <w:rFonts w:cs="Times New Roman"/>
              </w:rPr>
            </w:pPr>
            <w:r w:rsidRPr="0016581E">
              <w:rPr>
                <w:rFonts w:cs="Times New Roman"/>
              </w:rPr>
              <w:t xml:space="preserve">Use of K-M data from PALOMA </w:t>
            </w:r>
            <w:r w:rsidR="00B40B0D" w:rsidRPr="0016581E">
              <w:rPr>
                <w:rFonts w:cs="Times New Roman"/>
              </w:rPr>
              <w:t>trials up to maximum follow-up in the trials</w:t>
            </w:r>
          </w:p>
        </w:tc>
        <w:tc>
          <w:tcPr>
            <w:tcW w:w="992" w:type="dxa"/>
            <w:tcBorders>
              <w:top w:val="single" w:sz="4" w:space="0" w:color="auto"/>
              <w:left w:val="single" w:sz="4" w:space="0" w:color="auto"/>
              <w:bottom w:val="single" w:sz="4" w:space="0" w:color="auto"/>
              <w:right w:val="single" w:sz="4" w:space="0" w:color="auto"/>
            </w:tcBorders>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jc w:val="center"/>
              <w:rPr>
                <w:rFonts w:cs="Times New Roman"/>
              </w:rPr>
            </w:pPr>
            <w:r w:rsidRPr="0016581E">
              <w:rPr>
                <w:rFonts w:cs="Times New Roman"/>
              </w:rPr>
              <w:t>0.338</w:t>
            </w:r>
          </w:p>
        </w:tc>
        <w:tc>
          <w:tcPr>
            <w:tcW w:w="1541" w:type="dxa"/>
            <w:tcBorders>
              <w:top w:val="single" w:sz="4" w:space="0" w:color="auto"/>
              <w:left w:val="single" w:sz="4" w:space="0" w:color="auto"/>
              <w:bottom w:val="single" w:sz="4" w:space="0" w:color="auto"/>
              <w:right w:val="single" w:sz="4" w:space="0" w:color="auto"/>
            </w:tcBorders>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8E0AF8" w:rsidRPr="0016581E" w:rsidTr="00833DBD">
        <w:tc>
          <w:tcPr>
            <w:tcW w:w="5415" w:type="dxa"/>
            <w:tcBorders>
              <w:top w:val="single" w:sz="4" w:space="0" w:color="auto"/>
              <w:left w:val="single" w:sz="4" w:space="0" w:color="auto"/>
              <w:bottom w:val="single" w:sz="4" w:space="0" w:color="auto"/>
              <w:right w:val="single" w:sz="4" w:space="0" w:color="auto"/>
            </w:tcBorders>
            <w:vAlign w:val="center"/>
          </w:tcPr>
          <w:p w:rsidR="008E0AF8" w:rsidRPr="0016581E" w:rsidRDefault="008E0AF8" w:rsidP="008E0AF8">
            <w:pPr>
              <w:pStyle w:val="TableText1"/>
              <w:rPr>
                <w:rFonts w:cs="Times New Roman"/>
              </w:rPr>
            </w:pPr>
            <w:r w:rsidRPr="0016581E">
              <w:rPr>
                <w:rFonts w:cs="Times New Roman"/>
              </w:rPr>
              <w:t>Utilities: as per Peasgood et al.</w:t>
            </w:r>
            <w:r w:rsidR="00833DBD" w:rsidRPr="0016581E">
              <w:rPr>
                <w:rFonts w:cs="Times New Roman"/>
              </w:rPr>
              <w:t xml:space="preserve"> (2010)</w:t>
            </w:r>
          </w:p>
        </w:tc>
        <w:tc>
          <w:tcPr>
            <w:tcW w:w="992" w:type="dxa"/>
            <w:tcBorders>
              <w:top w:val="single" w:sz="4" w:space="0" w:color="auto"/>
              <w:left w:val="single" w:sz="4" w:space="0" w:color="auto"/>
              <w:bottom w:val="single" w:sz="4" w:space="0" w:color="auto"/>
              <w:right w:val="single" w:sz="4" w:space="0" w:color="auto"/>
            </w:tcBorders>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0AF8" w:rsidRPr="0016581E" w:rsidRDefault="008E0AF8" w:rsidP="008E0AF8">
            <w:pPr>
              <w:pStyle w:val="TableText1"/>
              <w:jc w:val="center"/>
              <w:rPr>
                <w:rFonts w:cs="Times New Roman"/>
              </w:rPr>
            </w:pPr>
            <w:r w:rsidRPr="0016581E">
              <w:rPr>
                <w:rFonts w:cs="Times New Roman"/>
              </w:rPr>
              <w:t>0.287</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E0AF8" w:rsidRPr="00DE0B8F" w:rsidRDefault="00DE0B8F" w:rsidP="008E0AF8">
            <w:pPr>
              <w:pStyle w:val="TableText1"/>
              <w:jc w:val="center"/>
              <w:rPr>
                <w:rFonts w:cs="Times New Roman"/>
                <w:highlight w:val="black"/>
              </w:rPr>
            </w:pPr>
            <w:r>
              <w:rPr>
                <w:rFonts w:cs="Times New Roman"/>
                <w:noProof/>
                <w:color w:val="000000"/>
                <w:highlight w:val="black"/>
              </w:rPr>
              <w:t>''''''''''''''''''''''</w:t>
            </w:r>
          </w:p>
          <w:p w:rsidR="008E0AF8" w:rsidRPr="0016581E" w:rsidRDefault="008E0AF8" w:rsidP="008E0AF8">
            <w:pPr>
              <w:pStyle w:val="TableText1"/>
              <w:jc w:val="center"/>
              <w:rPr>
                <w:rFonts w:cs="Times New Roman"/>
              </w:rPr>
            </w:pPr>
            <w:r w:rsidRPr="0016581E">
              <w:rPr>
                <w:rFonts w:cs="Times New Roman"/>
              </w:rPr>
              <w:t xml:space="preserve">Should be </w:t>
            </w:r>
            <w:r w:rsidR="00DE0B8F">
              <w:rPr>
                <w:rFonts w:cs="Times New Roman"/>
                <w:noProof/>
                <w:color w:val="000000"/>
                <w:highlight w:val="black"/>
              </w:rPr>
              <w:t>'''''''''''''''''</w:t>
            </w:r>
            <w:r w:rsidR="00BD3A02" w:rsidRPr="0016581E">
              <w:rPr>
                <w:rFonts w:cs="Times New Roman"/>
                <w:vertAlign w:val="superscript"/>
              </w:rPr>
              <w:t>a</w:t>
            </w:r>
          </w:p>
        </w:tc>
      </w:tr>
      <w:tr w:rsidR="00583559" w:rsidRPr="0016581E" w:rsidTr="00847B55">
        <w:tc>
          <w:tcPr>
            <w:tcW w:w="5415" w:type="dxa"/>
            <w:tcBorders>
              <w:top w:val="single" w:sz="4" w:space="0" w:color="auto"/>
              <w:left w:val="single" w:sz="4" w:space="0" w:color="auto"/>
              <w:bottom w:val="single" w:sz="4" w:space="0" w:color="auto"/>
              <w:right w:val="single" w:sz="4" w:space="0" w:color="auto"/>
            </w:tcBorders>
            <w:vAlign w:val="bottom"/>
          </w:tcPr>
          <w:p w:rsidR="00583559" w:rsidRPr="0016581E" w:rsidRDefault="00583559" w:rsidP="008E0AF8">
            <w:pPr>
              <w:pStyle w:val="TableText1"/>
              <w:rPr>
                <w:rFonts w:cs="Times New Roman"/>
              </w:rPr>
            </w:pPr>
            <w:r w:rsidRPr="0016581E">
              <w:rPr>
                <w:rFonts w:cs="Times New Roman"/>
              </w:rPr>
              <w:t>Utilities: Same utility post-progression (average across treatment arms)</w:t>
            </w:r>
          </w:p>
        </w:tc>
        <w:tc>
          <w:tcPr>
            <w:tcW w:w="992"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jc w:val="center"/>
              <w:rPr>
                <w:rFonts w:cs="Times New Roman"/>
              </w:rPr>
            </w:pPr>
            <w:r w:rsidRPr="0016581E">
              <w:rPr>
                <w:rFonts w:cs="Times New Roman"/>
              </w:rPr>
              <w:t>0.383</w:t>
            </w:r>
          </w:p>
        </w:tc>
        <w:tc>
          <w:tcPr>
            <w:tcW w:w="1541"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583559" w:rsidRPr="0016581E" w:rsidTr="00847B55">
        <w:tc>
          <w:tcPr>
            <w:tcW w:w="5415" w:type="dxa"/>
            <w:tcBorders>
              <w:top w:val="single" w:sz="4" w:space="0" w:color="auto"/>
              <w:left w:val="single" w:sz="4" w:space="0" w:color="auto"/>
              <w:bottom w:val="single" w:sz="4" w:space="0" w:color="auto"/>
              <w:right w:val="single" w:sz="4" w:space="0" w:color="auto"/>
            </w:tcBorders>
            <w:vAlign w:val="bottom"/>
          </w:tcPr>
          <w:p w:rsidR="00583559" w:rsidRPr="0016581E" w:rsidRDefault="00583559" w:rsidP="008E0AF8">
            <w:pPr>
              <w:pStyle w:val="TableText1"/>
              <w:rPr>
                <w:rFonts w:cs="Times New Roman"/>
              </w:rPr>
            </w:pPr>
            <w:r w:rsidRPr="0016581E">
              <w:rPr>
                <w:rFonts w:cs="Times New Roman"/>
              </w:rPr>
              <w:t>Time horizon = 5 years (65 cycles)</w:t>
            </w:r>
          </w:p>
        </w:tc>
        <w:tc>
          <w:tcPr>
            <w:tcW w:w="992"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jc w:val="center"/>
              <w:rPr>
                <w:rFonts w:cs="Times New Roman"/>
              </w:rPr>
            </w:pPr>
            <w:r w:rsidRPr="0016581E">
              <w:rPr>
                <w:rFonts w:cs="Times New Roman"/>
              </w:rPr>
              <w:t>0.306</w:t>
            </w:r>
          </w:p>
        </w:tc>
        <w:tc>
          <w:tcPr>
            <w:tcW w:w="1541"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583559" w:rsidRPr="0016581E" w:rsidTr="00847B55">
        <w:tc>
          <w:tcPr>
            <w:tcW w:w="5415" w:type="dxa"/>
            <w:tcBorders>
              <w:top w:val="single" w:sz="4" w:space="0" w:color="auto"/>
              <w:left w:val="single" w:sz="4" w:space="0" w:color="auto"/>
              <w:bottom w:val="single" w:sz="4" w:space="0" w:color="auto"/>
              <w:right w:val="single" w:sz="4" w:space="0" w:color="auto"/>
            </w:tcBorders>
            <w:vAlign w:val="bottom"/>
          </w:tcPr>
          <w:p w:rsidR="00583559" w:rsidRPr="0016581E" w:rsidRDefault="00583559" w:rsidP="008E0AF8">
            <w:pPr>
              <w:pStyle w:val="TableText1"/>
              <w:rPr>
                <w:rFonts w:cs="Times New Roman"/>
              </w:rPr>
            </w:pPr>
            <w:r w:rsidRPr="0016581E">
              <w:rPr>
                <w:rFonts w:cs="Times New Roman"/>
              </w:rPr>
              <w:t>Time horizon = 7.5 years (98 cycles)</w:t>
            </w:r>
          </w:p>
        </w:tc>
        <w:tc>
          <w:tcPr>
            <w:tcW w:w="992"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jc w:val="center"/>
              <w:rPr>
                <w:rFonts w:cs="Times New Roman"/>
              </w:rPr>
            </w:pPr>
            <w:r w:rsidRPr="0016581E">
              <w:rPr>
                <w:rFonts w:cs="Times New Roman"/>
              </w:rPr>
              <w:t>0.376</w:t>
            </w:r>
          </w:p>
        </w:tc>
        <w:tc>
          <w:tcPr>
            <w:tcW w:w="1541"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583559" w:rsidRPr="0016581E" w:rsidTr="00847B55">
        <w:tc>
          <w:tcPr>
            <w:tcW w:w="5415" w:type="dxa"/>
            <w:tcBorders>
              <w:top w:val="single" w:sz="4" w:space="0" w:color="auto"/>
              <w:left w:val="single" w:sz="4" w:space="0" w:color="auto"/>
              <w:bottom w:val="single" w:sz="4" w:space="0" w:color="auto"/>
              <w:right w:val="single" w:sz="4" w:space="0" w:color="auto"/>
            </w:tcBorders>
            <w:vAlign w:val="bottom"/>
          </w:tcPr>
          <w:p w:rsidR="00583559" w:rsidRPr="0016581E" w:rsidRDefault="00583559" w:rsidP="00103FB2">
            <w:pPr>
              <w:pStyle w:val="TableText1"/>
              <w:rPr>
                <w:rFonts w:cs="Times New Roman"/>
              </w:rPr>
            </w:pPr>
            <w:r w:rsidRPr="0016581E">
              <w:rPr>
                <w:rFonts w:cs="Times New Roman"/>
              </w:rPr>
              <w:t>Weibull extrapolation OS only – from cycle 1</w:t>
            </w:r>
          </w:p>
        </w:tc>
        <w:tc>
          <w:tcPr>
            <w:tcW w:w="992"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103FB2">
            <w:pPr>
              <w:pStyle w:val="TableText1"/>
              <w:jc w:val="center"/>
              <w:rPr>
                <w:rFonts w:cs="Times New Roman"/>
                <w:highlight w:val="black"/>
              </w:rPr>
            </w:pPr>
            <w:r>
              <w:rPr>
                <w:rFonts w:cs="Times New Roman"/>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103FB2">
            <w:pPr>
              <w:pStyle w:val="TableText1"/>
              <w:jc w:val="center"/>
              <w:rPr>
                <w:rFonts w:cs="Times New Roman"/>
              </w:rPr>
            </w:pPr>
            <w:r w:rsidRPr="0016581E">
              <w:rPr>
                <w:rFonts w:cs="Times New Roman"/>
                <w:szCs w:val="20"/>
              </w:rPr>
              <w:t>0.358</w:t>
            </w:r>
          </w:p>
        </w:tc>
        <w:tc>
          <w:tcPr>
            <w:tcW w:w="1541"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103FB2">
            <w:pPr>
              <w:pStyle w:val="TableText1"/>
              <w:jc w:val="center"/>
              <w:rPr>
                <w:rFonts w:cs="Times New Roman"/>
                <w:highlight w:val="black"/>
              </w:rPr>
            </w:pPr>
            <w:r>
              <w:rPr>
                <w:rFonts w:cs="Times New Roman"/>
                <w:noProof/>
                <w:color w:val="000000"/>
                <w:szCs w:val="20"/>
                <w:highlight w:val="black"/>
              </w:rPr>
              <w:t>'''''''''''''''''''''</w:t>
            </w:r>
          </w:p>
        </w:tc>
      </w:tr>
      <w:tr w:rsidR="00583559" w:rsidRPr="0016581E" w:rsidTr="00847B55">
        <w:tc>
          <w:tcPr>
            <w:tcW w:w="5415"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rPr>
                <w:rFonts w:cs="Times New Roman"/>
              </w:rPr>
            </w:pPr>
            <w:r w:rsidRPr="0016581E">
              <w:rPr>
                <w:rFonts w:cs="Times New Roman"/>
              </w:rPr>
              <w:t>Weibull extrapolation OS only – from cycle 71</w:t>
            </w:r>
          </w:p>
        </w:tc>
        <w:tc>
          <w:tcPr>
            <w:tcW w:w="992"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jc w:val="center"/>
              <w:rPr>
                <w:rFonts w:cs="Times New Roman"/>
              </w:rPr>
            </w:pPr>
            <w:r w:rsidRPr="0016581E">
              <w:rPr>
                <w:rFonts w:cs="Times New Roman"/>
              </w:rPr>
              <w:t>0.337</w:t>
            </w:r>
          </w:p>
        </w:tc>
        <w:tc>
          <w:tcPr>
            <w:tcW w:w="1541"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r>
      <w:tr w:rsidR="00583559" w:rsidRPr="0016581E" w:rsidTr="00847B55">
        <w:tc>
          <w:tcPr>
            <w:tcW w:w="5415"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rPr>
                <w:rFonts w:cs="Times New Roman"/>
              </w:rPr>
            </w:pPr>
            <w:r w:rsidRPr="0016581E">
              <w:rPr>
                <w:rFonts w:cs="Times New Roman"/>
              </w:rPr>
              <w:t>Removing truncation of drug costs beyond 27 cycles</w:t>
            </w:r>
          </w:p>
        </w:tc>
        <w:tc>
          <w:tcPr>
            <w:tcW w:w="992"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583559" w:rsidRPr="0016581E" w:rsidRDefault="00583559" w:rsidP="008E0AF8">
            <w:pPr>
              <w:pStyle w:val="TableText1"/>
              <w:jc w:val="center"/>
              <w:rPr>
                <w:rFonts w:cs="Times New Roman"/>
              </w:rPr>
            </w:pPr>
            <w:r w:rsidRPr="0016581E">
              <w:rPr>
                <w:rFonts w:cs="Times New Roman"/>
              </w:rPr>
              <w:t>0.411</w:t>
            </w:r>
          </w:p>
        </w:tc>
        <w:tc>
          <w:tcPr>
            <w:tcW w:w="1541" w:type="dxa"/>
            <w:tcBorders>
              <w:top w:val="single" w:sz="4" w:space="0" w:color="auto"/>
              <w:left w:val="single" w:sz="4" w:space="0" w:color="auto"/>
              <w:bottom w:val="single" w:sz="4" w:space="0" w:color="auto"/>
              <w:right w:val="single" w:sz="4" w:space="0" w:color="auto"/>
            </w:tcBorders>
            <w:vAlign w:val="center"/>
          </w:tcPr>
          <w:p w:rsidR="00583559" w:rsidRPr="00DE0B8F" w:rsidRDefault="00DE0B8F" w:rsidP="008E0AF8">
            <w:pPr>
              <w:pStyle w:val="TableText1"/>
              <w:jc w:val="center"/>
              <w:rPr>
                <w:rFonts w:cs="Times New Roman"/>
                <w:highlight w:val="black"/>
              </w:rPr>
            </w:pPr>
            <w:r>
              <w:rPr>
                <w:rFonts w:cs="Times New Roman"/>
                <w:noProof/>
                <w:color w:val="000000"/>
                <w:highlight w:val="black"/>
              </w:rPr>
              <w:t>''''''''''''''''''''''</w:t>
            </w:r>
          </w:p>
        </w:tc>
      </w:tr>
    </w:tbl>
    <w:p w:rsidR="00223C27" w:rsidRPr="0016581E" w:rsidRDefault="00BD3A02" w:rsidP="00BD3A02">
      <w:pPr>
        <w:pStyle w:val="ListParagraph"/>
        <w:widowControl/>
        <w:spacing w:after="120"/>
        <w:ind w:left="0"/>
        <w:rPr>
          <w:rFonts w:ascii="Arial Narrow" w:hAnsi="Arial Narrow" w:cstheme="minorHAnsi"/>
          <w:sz w:val="18"/>
          <w:szCs w:val="18"/>
        </w:rPr>
      </w:pPr>
      <w:proofErr w:type="gramStart"/>
      <w:r w:rsidRPr="0016581E">
        <w:rPr>
          <w:rFonts w:ascii="Arial Narrow" w:hAnsi="Arial Narrow" w:cstheme="minorHAnsi"/>
          <w:sz w:val="18"/>
          <w:szCs w:val="18"/>
          <w:vertAlign w:val="superscript"/>
        </w:rPr>
        <w:t>a</w:t>
      </w:r>
      <w:proofErr w:type="gramEnd"/>
      <w:r w:rsidRPr="0016581E">
        <w:rPr>
          <w:rFonts w:ascii="Arial Narrow" w:hAnsi="Arial Narrow" w:cstheme="minorHAnsi"/>
          <w:sz w:val="18"/>
          <w:szCs w:val="18"/>
        </w:rPr>
        <w:t xml:space="preserve"> Based on Palbociclib – Section D 28Jun2017.xlsx</w:t>
      </w:r>
    </w:p>
    <w:p w:rsidR="00BD3A02" w:rsidRDefault="00BD3A02" w:rsidP="00BD3A02">
      <w:pPr>
        <w:pStyle w:val="ListParagraph"/>
        <w:widowControl/>
        <w:spacing w:after="120"/>
        <w:ind w:left="0"/>
        <w:rPr>
          <w:rFonts w:ascii="Arial Narrow" w:hAnsi="Arial Narrow" w:cstheme="minorHAnsi"/>
          <w:sz w:val="18"/>
          <w:szCs w:val="18"/>
        </w:rPr>
      </w:pPr>
      <w:r w:rsidRPr="0016581E">
        <w:rPr>
          <w:rFonts w:ascii="Arial Narrow" w:hAnsi="Arial Narrow" w:cstheme="minorHAnsi"/>
          <w:sz w:val="18"/>
          <w:szCs w:val="18"/>
        </w:rPr>
        <w:t>Source: D.6.1, p206 of the re-submission and compiled during the evaluation using Palbociclib Section D – Nov 2016.xlsx</w:t>
      </w:r>
    </w:p>
    <w:p w:rsidR="00416EEF" w:rsidRPr="00416EEF" w:rsidRDefault="00416EEF" w:rsidP="00416EEF">
      <w:pPr>
        <w:ind w:left="360"/>
        <w:rPr>
          <w:rFonts w:asciiTheme="minorHAnsi" w:hAnsiTheme="minorHAnsi"/>
          <w:sz w:val="24"/>
          <w:szCs w:val="24"/>
        </w:rPr>
      </w:pPr>
      <w:r w:rsidRPr="00416EEF">
        <w:rPr>
          <w:rFonts w:asciiTheme="minorHAnsi" w:hAnsiTheme="minorHAnsi"/>
          <w:sz w:val="24"/>
          <w:szCs w:val="24"/>
        </w:rPr>
        <w:t xml:space="preserve">The redacted </w:t>
      </w:r>
      <w:r>
        <w:rPr>
          <w:rFonts w:asciiTheme="minorHAnsi" w:hAnsiTheme="minorHAnsi"/>
          <w:sz w:val="24"/>
          <w:szCs w:val="24"/>
        </w:rPr>
        <w:t>table</w:t>
      </w:r>
      <w:r w:rsidRPr="00416EEF">
        <w:rPr>
          <w:rFonts w:asciiTheme="minorHAnsi" w:hAnsiTheme="minorHAnsi"/>
          <w:sz w:val="24"/>
          <w:szCs w:val="24"/>
        </w:rPr>
        <w:t xml:space="preserve"> shows ICERs in the range of </w:t>
      </w:r>
      <w:r>
        <w:rPr>
          <w:rFonts w:asciiTheme="minorHAnsi" w:hAnsiTheme="minorHAnsi"/>
          <w:sz w:val="24"/>
          <w:szCs w:val="24"/>
        </w:rPr>
        <w:t>$45,000/QALY - $200,000/QALY</w:t>
      </w:r>
    </w:p>
    <w:p w:rsidR="00416EEF" w:rsidRDefault="00416EEF" w:rsidP="00BD3A02">
      <w:pPr>
        <w:pStyle w:val="ListParagraph"/>
        <w:widowControl/>
        <w:spacing w:after="120"/>
        <w:ind w:left="0"/>
        <w:rPr>
          <w:rFonts w:ascii="Arial Narrow" w:hAnsi="Arial Narrow" w:cstheme="minorHAnsi"/>
          <w:sz w:val="18"/>
          <w:szCs w:val="18"/>
        </w:rPr>
      </w:pPr>
    </w:p>
    <w:p w:rsidR="00270E23" w:rsidRDefault="00941BD9" w:rsidP="002D5829">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re-submission increased the </w:t>
      </w:r>
      <w:r w:rsidR="00871B18" w:rsidRPr="0016581E">
        <w:rPr>
          <w:rFonts w:asciiTheme="minorHAnsi" w:hAnsiTheme="minorHAnsi" w:cstheme="minorHAnsi"/>
          <w:sz w:val="24"/>
          <w:szCs w:val="24"/>
        </w:rPr>
        <w:t xml:space="preserve">maximum </w:t>
      </w:r>
      <w:r w:rsidRPr="0016581E">
        <w:rPr>
          <w:rFonts w:asciiTheme="minorHAnsi" w:hAnsiTheme="minorHAnsi" w:cstheme="minorHAnsi"/>
          <w:sz w:val="24"/>
          <w:szCs w:val="24"/>
        </w:rPr>
        <w:t>duration of treatment with palbociclib + letrozole (20.2 months (22 cycles) to 24.8 months (27 cycles), while reducing dose intensity (94.1% to 86.8%) to reflect the PALOMA-2 data</w:t>
      </w:r>
      <w:r w:rsidR="00BA781C" w:rsidRPr="0016581E">
        <w:rPr>
          <w:rFonts w:asciiTheme="minorHAnsi" w:hAnsiTheme="minorHAnsi" w:cstheme="minorHAnsi"/>
          <w:sz w:val="24"/>
          <w:szCs w:val="24"/>
        </w:rPr>
        <w:t>.</w:t>
      </w:r>
      <w:r w:rsidR="0027371B" w:rsidRPr="0016581E">
        <w:rPr>
          <w:rFonts w:asciiTheme="minorHAnsi" w:hAnsiTheme="minorHAnsi" w:cstheme="minorHAnsi"/>
          <w:sz w:val="24"/>
          <w:szCs w:val="24"/>
        </w:rPr>
        <w:t xml:space="preserve"> </w:t>
      </w:r>
    </w:p>
    <w:p w:rsidR="00223C27" w:rsidRPr="0094535A" w:rsidRDefault="009C10DD" w:rsidP="004B7EF3">
      <w:pPr>
        <w:pStyle w:val="ListParagraph"/>
        <w:numPr>
          <w:ilvl w:val="1"/>
          <w:numId w:val="5"/>
        </w:numPr>
        <w:spacing w:before="120" w:after="160"/>
        <w:ind w:left="709" w:hanging="709"/>
        <w:contextualSpacing w:val="0"/>
        <w:rPr>
          <w:rFonts w:asciiTheme="minorHAnsi" w:hAnsiTheme="minorHAnsi" w:cstheme="minorHAnsi"/>
          <w:sz w:val="24"/>
          <w:szCs w:val="24"/>
        </w:rPr>
      </w:pPr>
      <w:r w:rsidRPr="0094535A">
        <w:rPr>
          <w:rFonts w:asciiTheme="minorHAnsi" w:hAnsiTheme="minorHAnsi" w:cstheme="minorHAnsi"/>
          <w:sz w:val="24"/>
          <w:szCs w:val="24"/>
        </w:rPr>
        <w:t xml:space="preserve">The model applied drug costs in the pre-progression state only and assumed no use of palbociclib + letrozole beyond 27 cycles, despite a large proportion of patients being progression free beyond cycle 27. </w:t>
      </w:r>
      <w:r w:rsidR="0027371B" w:rsidRPr="0094535A">
        <w:rPr>
          <w:rFonts w:asciiTheme="minorHAnsi" w:hAnsiTheme="minorHAnsi" w:cstheme="minorHAnsi"/>
          <w:sz w:val="24"/>
          <w:szCs w:val="24"/>
        </w:rPr>
        <w:t>Th</w:t>
      </w:r>
      <w:r w:rsidR="00BA781C" w:rsidRPr="0094535A">
        <w:rPr>
          <w:rFonts w:asciiTheme="minorHAnsi" w:hAnsiTheme="minorHAnsi" w:cstheme="minorHAnsi"/>
          <w:sz w:val="24"/>
          <w:szCs w:val="24"/>
        </w:rPr>
        <w:t xml:space="preserve">e </w:t>
      </w:r>
      <w:r w:rsidR="00BA781C" w:rsidRPr="0094535A">
        <w:rPr>
          <w:rFonts w:asciiTheme="minorHAnsi" w:hAnsiTheme="minorHAnsi" w:cstheme="minorHAnsi"/>
          <w:sz w:val="24"/>
        </w:rPr>
        <w:t>assumption</w:t>
      </w:r>
      <w:r w:rsidR="00BA781C" w:rsidRPr="0094535A">
        <w:rPr>
          <w:rFonts w:asciiTheme="minorHAnsi" w:hAnsiTheme="minorHAnsi" w:cstheme="minorHAnsi"/>
          <w:sz w:val="24"/>
          <w:szCs w:val="24"/>
        </w:rPr>
        <w:t xml:space="preserve"> of no drug use beyond 27 cycles</w:t>
      </w:r>
      <w:r w:rsidR="0027371B" w:rsidRPr="0094535A">
        <w:rPr>
          <w:rFonts w:asciiTheme="minorHAnsi" w:hAnsiTheme="minorHAnsi" w:cstheme="minorHAnsi"/>
          <w:sz w:val="24"/>
          <w:szCs w:val="24"/>
        </w:rPr>
        <w:t xml:space="preserve"> underestimate</w:t>
      </w:r>
      <w:r w:rsidRPr="0094535A">
        <w:rPr>
          <w:rFonts w:asciiTheme="minorHAnsi" w:hAnsiTheme="minorHAnsi" w:cstheme="minorHAnsi"/>
          <w:sz w:val="24"/>
          <w:szCs w:val="24"/>
        </w:rPr>
        <w:t>d</w:t>
      </w:r>
      <w:r w:rsidR="0027371B" w:rsidRPr="0094535A">
        <w:rPr>
          <w:rFonts w:asciiTheme="minorHAnsi" w:hAnsiTheme="minorHAnsi" w:cstheme="minorHAnsi"/>
          <w:sz w:val="24"/>
          <w:szCs w:val="24"/>
        </w:rPr>
        <w:t xml:space="preserve"> the </w:t>
      </w:r>
      <w:r w:rsidRPr="0094535A">
        <w:rPr>
          <w:rFonts w:asciiTheme="minorHAnsi" w:hAnsiTheme="minorHAnsi" w:cstheme="minorHAnsi"/>
          <w:sz w:val="24"/>
          <w:szCs w:val="24"/>
        </w:rPr>
        <w:t xml:space="preserve">average </w:t>
      </w:r>
      <w:r w:rsidR="0027371B" w:rsidRPr="0094535A">
        <w:rPr>
          <w:rFonts w:asciiTheme="minorHAnsi" w:hAnsiTheme="minorHAnsi" w:cstheme="minorHAnsi"/>
          <w:sz w:val="24"/>
          <w:szCs w:val="24"/>
        </w:rPr>
        <w:t>drug cost</w:t>
      </w:r>
      <w:r w:rsidRPr="0094535A">
        <w:rPr>
          <w:rFonts w:asciiTheme="minorHAnsi" w:hAnsiTheme="minorHAnsi" w:cstheme="minorHAnsi"/>
          <w:sz w:val="24"/>
          <w:szCs w:val="24"/>
        </w:rPr>
        <w:t xml:space="preserve"> per patient</w:t>
      </w:r>
      <w:r w:rsidR="0027371B" w:rsidRPr="0094535A">
        <w:rPr>
          <w:rFonts w:asciiTheme="minorHAnsi" w:hAnsiTheme="minorHAnsi" w:cstheme="minorHAnsi"/>
          <w:sz w:val="24"/>
          <w:szCs w:val="24"/>
        </w:rPr>
        <w:t xml:space="preserve">. </w:t>
      </w:r>
      <w:r w:rsidRPr="0094535A">
        <w:rPr>
          <w:rFonts w:asciiTheme="minorHAnsi" w:hAnsiTheme="minorHAnsi" w:cstheme="minorHAnsi"/>
          <w:sz w:val="24"/>
          <w:szCs w:val="24"/>
        </w:rPr>
        <w:t xml:space="preserve">Without this assumption </w:t>
      </w:r>
      <w:r w:rsidR="00643315" w:rsidRPr="0094535A">
        <w:rPr>
          <w:rFonts w:asciiTheme="minorHAnsi" w:hAnsiTheme="minorHAnsi" w:cstheme="minorHAnsi"/>
          <w:sz w:val="24"/>
          <w:szCs w:val="24"/>
        </w:rPr>
        <w:t xml:space="preserve">the incremental costs </w:t>
      </w:r>
      <w:r w:rsidRPr="0094535A">
        <w:rPr>
          <w:rFonts w:asciiTheme="minorHAnsi" w:hAnsiTheme="minorHAnsi" w:cstheme="minorHAnsi"/>
          <w:sz w:val="24"/>
          <w:szCs w:val="24"/>
        </w:rPr>
        <w:t xml:space="preserve">increased </w:t>
      </w:r>
      <w:r w:rsidR="00643315" w:rsidRPr="0094535A">
        <w:rPr>
          <w:rFonts w:asciiTheme="minorHAnsi" w:hAnsiTheme="minorHAnsi" w:cstheme="minorHAnsi"/>
          <w:sz w:val="24"/>
          <w:szCs w:val="24"/>
        </w:rPr>
        <w:t>from $</w:t>
      </w:r>
      <w:r w:rsidR="00DE0B8F">
        <w:rPr>
          <w:rFonts w:asciiTheme="minorHAnsi" w:hAnsiTheme="minorHAnsi" w:cstheme="minorHAnsi"/>
          <w:noProof/>
          <w:color w:val="000000"/>
          <w:sz w:val="24"/>
          <w:szCs w:val="24"/>
          <w:highlight w:val="black"/>
        </w:rPr>
        <w:t>''''''''''''</w:t>
      </w:r>
      <w:r w:rsidR="00643315" w:rsidRPr="0094535A">
        <w:rPr>
          <w:rFonts w:asciiTheme="minorHAnsi" w:hAnsiTheme="minorHAnsi" w:cstheme="minorHAnsi"/>
          <w:sz w:val="24"/>
          <w:szCs w:val="24"/>
        </w:rPr>
        <w:t xml:space="preserve"> to $</w:t>
      </w:r>
      <w:r w:rsidR="00DE0B8F">
        <w:rPr>
          <w:rFonts w:asciiTheme="minorHAnsi" w:hAnsiTheme="minorHAnsi" w:cstheme="minorHAnsi"/>
          <w:noProof/>
          <w:color w:val="000000"/>
          <w:sz w:val="24"/>
          <w:szCs w:val="24"/>
          <w:highlight w:val="black"/>
        </w:rPr>
        <w:t>''''''''''''''</w:t>
      </w:r>
      <w:r w:rsidR="00643315" w:rsidRPr="0094535A">
        <w:rPr>
          <w:rFonts w:asciiTheme="minorHAnsi" w:hAnsiTheme="minorHAnsi" w:cstheme="minorHAnsi"/>
          <w:sz w:val="24"/>
          <w:szCs w:val="24"/>
        </w:rPr>
        <w:t xml:space="preserve"> per patient, and thus the ICER </w:t>
      </w:r>
      <w:r w:rsidRPr="0094535A">
        <w:rPr>
          <w:rFonts w:asciiTheme="minorHAnsi" w:hAnsiTheme="minorHAnsi" w:cstheme="minorHAnsi"/>
          <w:sz w:val="24"/>
          <w:szCs w:val="24"/>
        </w:rPr>
        <w:t xml:space="preserve">increased </w:t>
      </w:r>
      <w:r w:rsidR="00643315" w:rsidRPr="0094535A">
        <w:rPr>
          <w:rFonts w:asciiTheme="minorHAnsi" w:hAnsiTheme="minorHAnsi" w:cstheme="minorHAnsi"/>
          <w:sz w:val="24"/>
          <w:szCs w:val="24"/>
        </w:rPr>
        <w:t xml:space="preserve">to </w:t>
      </w:r>
      <w:r w:rsidR="00906F74">
        <w:rPr>
          <w:rFonts w:asciiTheme="minorHAnsi" w:hAnsiTheme="minorHAnsi" w:cstheme="minorHAnsi"/>
          <w:sz w:val="24"/>
          <w:szCs w:val="24"/>
        </w:rPr>
        <w:t>$105,000/QALY - $200,000/QALY</w:t>
      </w:r>
      <w:r w:rsidR="00643315" w:rsidRPr="0094535A">
        <w:rPr>
          <w:rFonts w:asciiTheme="minorHAnsi" w:hAnsiTheme="minorHAnsi" w:cstheme="minorHAnsi"/>
          <w:sz w:val="24"/>
          <w:szCs w:val="24"/>
        </w:rPr>
        <w:t xml:space="preserve"> gained</w:t>
      </w:r>
      <w:r w:rsidR="00223C27" w:rsidRPr="0094535A">
        <w:rPr>
          <w:rFonts w:asciiTheme="minorHAnsi" w:hAnsiTheme="minorHAnsi" w:cstheme="minorHAnsi"/>
          <w:sz w:val="24"/>
          <w:szCs w:val="24"/>
        </w:rPr>
        <w:t>.</w:t>
      </w:r>
      <w:r w:rsidR="00941BD9" w:rsidRPr="0094535A">
        <w:rPr>
          <w:rFonts w:asciiTheme="minorHAnsi" w:hAnsiTheme="minorHAnsi" w:cstheme="minorHAnsi"/>
          <w:sz w:val="24"/>
          <w:szCs w:val="24"/>
        </w:rPr>
        <w:t xml:space="preserve"> The PSCR (p1) stated that the assumed duration of palbociclib use was based on time from randomisation to progression rather than the time from randomisation to treatment cessation</w:t>
      </w:r>
      <w:r w:rsidR="0016581E" w:rsidRPr="0094535A">
        <w:rPr>
          <w:rFonts w:asciiTheme="minorHAnsi" w:hAnsiTheme="minorHAnsi" w:cstheme="minorHAnsi"/>
          <w:sz w:val="24"/>
          <w:szCs w:val="24"/>
        </w:rPr>
        <w:t xml:space="preserve">. The PSCR argued </w:t>
      </w:r>
      <w:r w:rsidR="00941BD9" w:rsidRPr="0094535A">
        <w:rPr>
          <w:rFonts w:asciiTheme="minorHAnsi" w:hAnsiTheme="minorHAnsi" w:cstheme="minorHAnsi"/>
          <w:sz w:val="24"/>
          <w:szCs w:val="24"/>
        </w:rPr>
        <w:t>the discrepancy in median PFS and time to treatment cessation reflects the fact that some cease treatment for reasons other than disease progression and that this would be expected to occur in practice, as it did in the trials.</w:t>
      </w:r>
      <w:r w:rsidR="00941BD9" w:rsidRPr="0016581E">
        <w:t xml:space="preserve"> </w:t>
      </w:r>
      <w:r w:rsidR="007852BF" w:rsidRPr="0094535A">
        <w:rPr>
          <w:rFonts w:asciiTheme="minorHAnsi" w:hAnsiTheme="minorHAnsi" w:cstheme="minorHAnsi"/>
          <w:sz w:val="24"/>
          <w:szCs w:val="24"/>
        </w:rPr>
        <w:t xml:space="preserve">The ESC noted the point, but considered that the effect of truncation at 27 cycles on underestimating duration of treatment was likely to be larger than the effect of using PFS as a proxy for time to discontinuation in overestimating treatment duration. </w:t>
      </w:r>
      <w:r w:rsidR="007B4141" w:rsidRPr="0094535A">
        <w:rPr>
          <w:rFonts w:asciiTheme="minorHAnsi" w:hAnsiTheme="minorHAnsi" w:cstheme="minorHAnsi"/>
          <w:sz w:val="24"/>
          <w:szCs w:val="24"/>
        </w:rPr>
        <w:t>The ESC further noted</w:t>
      </w:r>
      <w:r w:rsidR="007852BF" w:rsidRPr="0094535A">
        <w:rPr>
          <w:rFonts w:asciiTheme="minorHAnsi" w:hAnsiTheme="minorHAnsi" w:cstheme="minorHAnsi"/>
          <w:sz w:val="24"/>
          <w:szCs w:val="24"/>
        </w:rPr>
        <w:t xml:space="preserve"> the impact on the ICER of truncating treatment costs is large</w:t>
      </w:r>
      <w:r w:rsidR="0016581E" w:rsidRPr="0094535A">
        <w:rPr>
          <w:rFonts w:asciiTheme="minorHAnsi" w:hAnsiTheme="minorHAnsi" w:cstheme="minorHAnsi"/>
          <w:sz w:val="24"/>
          <w:szCs w:val="24"/>
        </w:rPr>
        <w:t xml:space="preserve"> </w:t>
      </w:r>
      <w:r w:rsidR="007B4141" w:rsidRPr="0094535A">
        <w:rPr>
          <w:rFonts w:asciiTheme="minorHAnsi" w:hAnsiTheme="minorHAnsi" w:cstheme="minorHAnsi"/>
          <w:sz w:val="24"/>
          <w:szCs w:val="24"/>
        </w:rPr>
        <w:t>and</w:t>
      </w:r>
      <w:r w:rsidR="007852BF" w:rsidRPr="0094535A">
        <w:rPr>
          <w:rFonts w:asciiTheme="minorHAnsi" w:hAnsiTheme="minorHAnsi" w:cstheme="minorHAnsi"/>
          <w:sz w:val="24"/>
          <w:szCs w:val="24"/>
        </w:rPr>
        <w:t xml:space="preserve"> the corrected ICER is likely to be closer to </w:t>
      </w:r>
      <w:r w:rsidR="00906F74">
        <w:rPr>
          <w:rFonts w:asciiTheme="minorHAnsi" w:hAnsiTheme="minorHAnsi" w:cstheme="minorHAnsi"/>
          <w:sz w:val="24"/>
          <w:szCs w:val="24"/>
        </w:rPr>
        <w:t>$105,000/QALY - $200,000/QALY</w:t>
      </w:r>
      <w:r w:rsidR="00906F74" w:rsidRPr="0094535A">
        <w:rPr>
          <w:rFonts w:asciiTheme="minorHAnsi" w:hAnsiTheme="minorHAnsi" w:cstheme="minorHAnsi"/>
          <w:sz w:val="24"/>
          <w:szCs w:val="24"/>
        </w:rPr>
        <w:t xml:space="preserve"> </w:t>
      </w:r>
      <w:r w:rsidR="007852BF" w:rsidRPr="0094535A">
        <w:rPr>
          <w:rFonts w:asciiTheme="minorHAnsi" w:hAnsiTheme="minorHAnsi" w:cstheme="minorHAnsi"/>
          <w:sz w:val="24"/>
          <w:szCs w:val="24"/>
        </w:rPr>
        <w:t xml:space="preserve">gained </w:t>
      </w:r>
      <w:r w:rsidR="007852BF" w:rsidRPr="0094535A">
        <w:rPr>
          <w:rFonts w:asciiTheme="minorHAnsi" w:hAnsiTheme="minorHAnsi" w:cstheme="minorHAnsi"/>
          <w:sz w:val="24"/>
          <w:szCs w:val="24"/>
        </w:rPr>
        <w:lastRenderedPageBreak/>
        <w:t xml:space="preserve">than </w:t>
      </w:r>
      <w:r w:rsidR="00906F74">
        <w:rPr>
          <w:rFonts w:asciiTheme="minorHAnsi" w:hAnsiTheme="minorHAnsi" w:cstheme="minorHAnsi"/>
          <w:sz w:val="24"/>
          <w:szCs w:val="24"/>
        </w:rPr>
        <w:t>$45,000/QALY - $75,000/QALY</w:t>
      </w:r>
      <w:r w:rsidR="007852BF" w:rsidRPr="0094535A">
        <w:rPr>
          <w:rFonts w:asciiTheme="minorHAnsi" w:hAnsiTheme="minorHAnsi" w:cstheme="minorHAnsi"/>
          <w:sz w:val="24"/>
          <w:szCs w:val="24"/>
        </w:rPr>
        <w:t>.</w:t>
      </w:r>
      <w:r w:rsidR="00941BD9" w:rsidRPr="0094535A">
        <w:rPr>
          <w:rFonts w:asciiTheme="minorHAnsi" w:hAnsiTheme="minorHAnsi" w:cstheme="minorHAnsi"/>
          <w:sz w:val="24"/>
          <w:szCs w:val="24"/>
        </w:rPr>
        <w:t xml:space="preserve"> Data on the time to discontinuation</w:t>
      </w:r>
      <w:r w:rsidR="00DE0B8F">
        <w:rPr>
          <w:rFonts w:asciiTheme="minorHAnsi" w:hAnsiTheme="minorHAnsi" w:cstheme="minorHAnsi"/>
          <w:noProof/>
          <w:color w:val="000000"/>
          <w:sz w:val="24"/>
          <w:szCs w:val="24"/>
          <w:highlight w:val="black"/>
        </w:rPr>
        <w:t>'' ''''''''''' ''''''' '''''' '''''''''''''''''' ''' ''''''' ''''''''''''''''''''''''''''</w:t>
      </w:r>
      <w:r w:rsidR="00941BD9" w:rsidRPr="0094535A">
        <w:rPr>
          <w:rFonts w:asciiTheme="minorHAnsi" w:hAnsiTheme="minorHAnsi" w:cstheme="minorHAnsi"/>
          <w:sz w:val="24"/>
          <w:szCs w:val="24"/>
        </w:rPr>
        <w:t xml:space="preserve">, would likely provide some clarity </w:t>
      </w:r>
      <w:r w:rsidR="007B4141" w:rsidRPr="0094535A">
        <w:rPr>
          <w:rFonts w:asciiTheme="minorHAnsi" w:hAnsiTheme="minorHAnsi" w:cstheme="minorHAnsi"/>
          <w:sz w:val="24"/>
          <w:szCs w:val="24"/>
        </w:rPr>
        <w:t>regarding the actual drug use in the trial</w:t>
      </w:r>
      <w:r w:rsidR="00941BD9" w:rsidRPr="0094535A">
        <w:rPr>
          <w:rFonts w:asciiTheme="minorHAnsi" w:hAnsiTheme="minorHAnsi" w:cstheme="minorHAnsi"/>
          <w:sz w:val="24"/>
          <w:szCs w:val="24"/>
        </w:rPr>
        <w:t xml:space="preserve">. </w:t>
      </w:r>
      <w:r w:rsidR="00B13458" w:rsidRPr="0094535A">
        <w:rPr>
          <w:rFonts w:asciiTheme="minorHAnsi" w:hAnsiTheme="minorHAnsi" w:cstheme="minorHAnsi"/>
          <w:sz w:val="24"/>
          <w:szCs w:val="24"/>
        </w:rPr>
        <w:t>The pre-PBAC response maintain</w:t>
      </w:r>
      <w:r w:rsidRPr="0094535A">
        <w:rPr>
          <w:rFonts w:asciiTheme="minorHAnsi" w:hAnsiTheme="minorHAnsi" w:cstheme="minorHAnsi"/>
          <w:sz w:val="24"/>
          <w:szCs w:val="24"/>
        </w:rPr>
        <w:t>ed</w:t>
      </w:r>
      <w:r w:rsidR="00B13458" w:rsidRPr="0094535A">
        <w:rPr>
          <w:rFonts w:asciiTheme="minorHAnsi" w:hAnsiTheme="minorHAnsi" w:cstheme="minorHAnsi"/>
          <w:sz w:val="24"/>
          <w:szCs w:val="24"/>
        </w:rPr>
        <w:t xml:space="preserve"> that use of median PFS (24.8 months) is conservative, because it over-estimates duration of treatment and that assuming all subjects stay on treatment until progression is unrealistic, and the contention that it over-estimates duration of treatment to a lesser extent than median PFS underestimates duration of treatment is speculative.</w:t>
      </w:r>
      <w:r w:rsidR="007B4141" w:rsidRPr="0094535A">
        <w:rPr>
          <w:rFonts w:asciiTheme="minorHAnsi" w:hAnsiTheme="minorHAnsi" w:cstheme="minorHAnsi"/>
          <w:sz w:val="24"/>
          <w:szCs w:val="24"/>
        </w:rPr>
        <w:t xml:space="preserve"> The PBAC noted the sponsor had not addressed the key issue regarding the calculation of drug costs in the model and that no costs were included beyond cycle 27.</w:t>
      </w:r>
    </w:p>
    <w:p w:rsidR="00F64E79" w:rsidRPr="0016581E" w:rsidRDefault="00223C27"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model </w:t>
      </w:r>
      <w:r w:rsidR="007B4141" w:rsidRPr="0016581E">
        <w:rPr>
          <w:rFonts w:asciiTheme="minorHAnsi" w:hAnsiTheme="minorHAnsi" w:cstheme="minorHAnsi"/>
          <w:sz w:val="24"/>
          <w:szCs w:val="24"/>
        </w:rPr>
        <w:t>was</w:t>
      </w:r>
      <w:r w:rsidRPr="0016581E">
        <w:rPr>
          <w:rFonts w:asciiTheme="minorHAnsi" w:hAnsiTheme="minorHAnsi" w:cstheme="minorHAnsi"/>
          <w:sz w:val="24"/>
          <w:szCs w:val="24"/>
        </w:rPr>
        <w:t xml:space="preserve"> </w:t>
      </w:r>
      <w:r w:rsidRPr="0016581E">
        <w:rPr>
          <w:rFonts w:asciiTheme="minorHAnsi" w:hAnsiTheme="minorHAnsi" w:cstheme="minorHAnsi"/>
          <w:sz w:val="24"/>
        </w:rPr>
        <w:t>sensitive</w:t>
      </w:r>
      <w:r w:rsidRPr="0016581E">
        <w:rPr>
          <w:rFonts w:asciiTheme="minorHAnsi" w:hAnsiTheme="minorHAnsi" w:cstheme="minorHAnsi"/>
          <w:sz w:val="24"/>
          <w:szCs w:val="24"/>
        </w:rPr>
        <w:t xml:space="preserve"> to the approach used to </w:t>
      </w:r>
      <w:r w:rsidR="00F951F9" w:rsidRPr="0016581E">
        <w:rPr>
          <w:rFonts w:asciiTheme="minorHAnsi" w:hAnsiTheme="minorHAnsi" w:cstheme="minorHAnsi"/>
          <w:sz w:val="24"/>
          <w:szCs w:val="24"/>
        </w:rPr>
        <w:t xml:space="preserve">estimate </w:t>
      </w:r>
      <w:r w:rsidR="005861E6" w:rsidRPr="0016581E">
        <w:rPr>
          <w:rFonts w:asciiTheme="minorHAnsi" w:hAnsiTheme="minorHAnsi" w:cstheme="minorHAnsi"/>
          <w:sz w:val="24"/>
          <w:szCs w:val="24"/>
        </w:rPr>
        <w:t>the gain in OS</w:t>
      </w:r>
      <w:r w:rsidRPr="0016581E">
        <w:rPr>
          <w:rFonts w:asciiTheme="minorHAnsi" w:hAnsiTheme="minorHAnsi" w:cstheme="minorHAnsi"/>
          <w:sz w:val="24"/>
          <w:szCs w:val="24"/>
        </w:rPr>
        <w:t xml:space="preserve">. </w:t>
      </w:r>
      <w:r w:rsidR="005861E6" w:rsidRPr="0016581E">
        <w:rPr>
          <w:rFonts w:asciiTheme="minorHAnsi" w:hAnsiTheme="minorHAnsi" w:cstheme="minorHAnsi"/>
          <w:sz w:val="24"/>
          <w:szCs w:val="24"/>
        </w:rPr>
        <w:t xml:space="preserve">Some of this </w:t>
      </w:r>
      <w:r w:rsidR="009C10DD" w:rsidRPr="0016581E">
        <w:rPr>
          <w:rFonts w:asciiTheme="minorHAnsi" w:hAnsiTheme="minorHAnsi" w:cstheme="minorHAnsi"/>
          <w:sz w:val="24"/>
          <w:szCs w:val="24"/>
        </w:rPr>
        <w:t>wa</w:t>
      </w:r>
      <w:r w:rsidR="005861E6" w:rsidRPr="0016581E">
        <w:rPr>
          <w:rFonts w:asciiTheme="minorHAnsi" w:hAnsiTheme="minorHAnsi" w:cstheme="minorHAnsi"/>
          <w:sz w:val="24"/>
          <w:szCs w:val="24"/>
        </w:rPr>
        <w:t xml:space="preserve">s due to the </w:t>
      </w:r>
      <w:r w:rsidRPr="0016581E">
        <w:rPr>
          <w:rFonts w:asciiTheme="minorHAnsi" w:hAnsiTheme="minorHAnsi" w:cstheme="minorHAnsi"/>
          <w:sz w:val="24"/>
          <w:szCs w:val="24"/>
        </w:rPr>
        <w:t>high level of uncertainty in the clinical trial results</w:t>
      </w:r>
      <w:r w:rsidR="008F1663" w:rsidRPr="0016581E">
        <w:rPr>
          <w:rFonts w:asciiTheme="minorHAnsi" w:hAnsiTheme="minorHAnsi" w:cstheme="minorHAnsi"/>
          <w:sz w:val="24"/>
          <w:szCs w:val="24"/>
        </w:rPr>
        <w:t xml:space="preserve"> – the OS gain in PALOMA-1 was </w:t>
      </w:r>
      <w:r w:rsidR="00A15277" w:rsidRPr="0016581E">
        <w:rPr>
          <w:rFonts w:asciiTheme="minorHAnsi" w:hAnsiTheme="minorHAnsi" w:cstheme="minorHAnsi"/>
          <w:sz w:val="24"/>
          <w:szCs w:val="24"/>
        </w:rPr>
        <w:t>small (</w:t>
      </w:r>
      <w:r w:rsidR="008F1663" w:rsidRPr="0016581E">
        <w:rPr>
          <w:rFonts w:asciiTheme="minorHAnsi" w:hAnsiTheme="minorHAnsi" w:cstheme="minorHAnsi"/>
          <w:sz w:val="24"/>
          <w:szCs w:val="24"/>
        </w:rPr>
        <w:t>3.0 months</w:t>
      </w:r>
      <w:r w:rsidR="00A15277" w:rsidRPr="0016581E">
        <w:rPr>
          <w:rFonts w:asciiTheme="minorHAnsi" w:hAnsiTheme="minorHAnsi" w:cstheme="minorHAnsi"/>
          <w:sz w:val="24"/>
          <w:szCs w:val="24"/>
        </w:rPr>
        <w:t xml:space="preserve">), </w:t>
      </w:r>
      <w:r w:rsidR="008F1663" w:rsidRPr="0016581E">
        <w:rPr>
          <w:rFonts w:asciiTheme="minorHAnsi" w:hAnsiTheme="minorHAnsi" w:cstheme="minorHAnsi"/>
          <w:sz w:val="24"/>
          <w:szCs w:val="24"/>
        </w:rPr>
        <w:t>the difference was not statistically significant (P=0.28)</w:t>
      </w:r>
      <w:r w:rsidR="00A15277" w:rsidRPr="0016581E">
        <w:rPr>
          <w:rFonts w:asciiTheme="minorHAnsi" w:hAnsiTheme="minorHAnsi" w:cstheme="minorHAnsi"/>
          <w:sz w:val="24"/>
          <w:szCs w:val="24"/>
        </w:rPr>
        <w:t>, and the confidence intervals</w:t>
      </w:r>
      <w:r w:rsidR="009C10DD" w:rsidRPr="0016581E">
        <w:rPr>
          <w:rFonts w:asciiTheme="minorHAnsi" w:hAnsiTheme="minorHAnsi" w:cstheme="minorHAnsi"/>
          <w:sz w:val="24"/>
          <w:szCs w:val="24"/>
        </w:rPr>
        <w:t xml:space="preserve"> for the hazard ratio</w:t>
      </w:r>
      <w:r w:rsidR="00A15277" w:rsidRPr="0016581E">
        <w:rPr>
          <w:rFonts w:asciiTheme="minorHAnsi" w:hAnsiTheme="minorHAnsi" w:cstheme="minorHAnsi"/>
          <w:sz w:val="24"/>
          <w:szCs w:val="24"/>
        </w:rPr>
        <w:t xml:space="preserve"> were wide</w:t>
      </w:r>
      <w:r w:rsidRPr="0016581E">
        <w:rPr>
          <w:rFonts w:asciiTheme="minorHAnsi" w:hAnsiTheme="minorHAnsi" w:cstheme="minorHAnsi"/>
          <w:sz w:val="24"/>
          <w:szCs w:val="24"/>
        </w:rPr>
        <w:t xml:space="preserve">. </w:t>
      </w:r>
    </w:p>
    <w:p w:rsidR="007B4141" w:rsidRPr="0016581E" w:rsidRDefault="007B4141"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cost/QALY is sensitive to the choice of the log-logistic function over the Weibull function to extrapolate survival. The log-logistic and Weibull functions had </w:t>
      </w:r>
      <w:r w:rsidRPr="0016581E">
        <w:rPr>
          <w:rFonts w:asciiTheme="minorHAnsi" w:hAnsiTheme="minorHAnsi" w:cstheme="minorHAnsi"/>
          <w:sz w:val="24"/>
        </w:rPr>
        <w:t>similar</w:t>
      </w:r>
      <w:r w:rsidRPr="0016581E">
        <w:rPr>
          <w:rFonts w:asciiTheme="minorHAnsi" w:hAnsiTheme="minorHAnsi" w:cstheme="minorHAnsi"/>
          <w:sz w:val="24"/>
          <w:szCs w:val="24"/>
        </w:rPr>
        <w:t xml:space="preserve"> AICs and BICs, with the log-logistic having a slightly lower AIC and BIC. Extrapolation of OS using a Weibull function from cycle 1 increased the ICER from a base case of </w:t>
      </w:r>
      <w:r w:rsidR="00906F74">
        <w:rPr>
          <w:rFonts w:asciiTheme="minorHAnsi" w:hAnsiTheme="minorHAnsi" w:cstheme="minorHAnsi"/>
          <w:sz w:val="24"/>
          <w:szCs w:val="24"/>
        </w:rPr>
        <w:t>$45,000 - $75,000</w:t>
      </w:r>
      <w:r w:rsidR="00906F74" w:rsidRPr="0016581E" w:rsidDel="00906F74">
        <w:rPr>
          <w:rFonts w:asciiTheme="minorHAnsi" w:hAnsiTheme="minorHAnsi" w:cstheme="minorHAnsi"/>
          <w:sz w:val="24"/>
          <w:szCs w:val="24"/>
        </w:rPr>
        <w:t xml:space="preserve"> </w:t>
      </w:r>
      <w:r w:rsidRPr="0016581E">
        <w:rPr>
          <w:rFonts w:asciiTheme="minorHAnsi" w:hAnsiTheme="minorHAnsi" w:cstheme="minorHAnsi"/>
          <w:sz w:val="24"/>
          <w:szCs w:val="24"/>
        </w:rPr>
        <w:t xml:space="preserve">to </w:t>
      </w:r>
      <w:r w:rsidR="00852A12">
        <w:rPr>
          <w:rFonts w:asciiTheme="minorHAnsi" w:hAnsiTheme="minorHAnsi" w:cstheme="minorHAnsi"/>
          <w:sz w:val="24"/>
          <w:szCs w:val="24"/>
        </w:rPr>
        <w:t>$45,000 - $75,000</w:t>
      </w:r>
      <w:r w:rsidR="00852A12" w:rsidRPr="0016581E" w:rsidDel="00906F74">
        <w:rPr>
          <w:rFonts w:asciiTheme="minorHAnsi" w:hAnsiTheme="minorHAnsi" w:cstheme="minorHAnsi"/>
          <w:sz w:val="24"/>
          <w:szCs w:val="24"/>
        </w:rPr>
        <w:t xml:space="preserve"> </w:t>
      </w:r>
      <w:r w:rsidRPr="0016581E">
        <w:rPr>
          <w:rFonts w:asciiTheme="minorHAnsi" w:hAnsiTheme="minorHAnsi" w:cstheme="minorHAnsi"/>
          <w:sz w:val="24"/>
          <w:szCs w:val="24"/>
        </w:rPr>
        <w:t xml:space="preserve">per QALY gained. Extrapolation of OS and PFS using a Weibull function from cycle 1, as noted in the PSCR (p2) decreased the ICER from a base case of </w:t>
      </w:r>
      <w:r w:rsidR="00C726AD">
        <w:rPr>
          <w:rFonts w:asciiTheme="minorHAnsi" w:hAnsiTheme="minorHAnsi" w:cstheme="minorHAnsi"/>
          <w:sz w:val="24"/>
          <w:szCs w:val="24"/>
        </w:rPr>
        <w:t>$45,000 - $75,000</w:t>
      </w:r>
      <w:r w:rsidR="00C726AD" w:rsidRPr="0016581E" w:rsidDel="00906F74">
        <w:rPr>
          <w:rFonts w:asciiTheme="minorHAnsi" w:hAnsiTheme="minorHAnsi" w:cstheme="minorHAnsi"/>
          <w:sz w:val="24"/>
          <w:szCs w:val="24"/>
        </w:rPr>
        <w:t xml:space="preserve"> </w:t>
      </w:r>
      <w:r w:rsidRPr="0016581E">
        <w:rPr>
          <w:rFonts w:asciiTheme="minorHAnsi" w:hAnsiTheme="minorHAnsi" w:cstheme="minorHAnsi"/>
          <w:sz w:val="24"/>
          <w:szCs w:val="24"/>
        </w:rPr>
        <w:t xml:space="preserve">to </w:t>
      </w:r>
      <w:r w:rsidR="00852A12">
        <w:rPr>
          <w:rFonts w:asciiTheme="minorHAnsi" w:hAnsiTheme="minorHAnsi" w:cstheme="minorHAnsi"/>
          <w:sz w:val="24"/>
          <w:szCs w:val="24"/>
        </w:rPr>
        <w:t>$45,000 - $75,000</w:t>
      </w:r>
      <w:r w:rsidR="00852A12" w:rsidRPr="0016581E" w:rsidDel="00906F74">
        <w:rPr>
          <w:rFonts w:asciiTheme="minorHAnsi" w:hAnsiTheme="minorHAnsi" w:cstheme="minorHAnsi"/>
          <w:sz w:val="24"/>
          <w:szCs w:val="24"/>
        </w:rPr>
        <w:t xml:space="preserve"> </w:t>
      </w:r>
      <w:r w:rsidRPr="0016581E">
        <w:rPr>
          <w:rFonts w:asciiTheme="minorHAnsi" w:hAnsiTheme="minorHAnsi" w:cstheme="minorHAnsi"/>
          <w:sz w:val="24"/>
          <w:szCs w:val="24"/>
        </w:rPr>
        <w:t xml:space="preserve">per QALY gained. </w:t>
      </w:r>
    </w:p>
    <w:p w:rsidR="00E47C90" w:rsidRPr="0016581E" w:rsidRDefault="007B4141"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Sensitivity analyses on the shape and scale parameters describing the parametric functions were not conducted by the re-submission. These sensitivity analyses were unable to be conducted during the evaluation as the re-submission did not report the upper and lower 95% confidence intervals and no output logs were provided.</w:t>
      </w:r>
    </w:p>
    <w:p w:rsidR="00597F74" w:rsidRPr="0016581E" w:rsidRDefault="007B4141"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model was sensitive to the 10 year </w:t>
      </w:r>
      <w:r w:rsidR="00597F74" w:rsidRPr="0016581E">
        <w:rPr>
          <w:rFonts w:asciiTheme="minorHAnsi" w:hAnsiTheme="minorHAnsi" w:cstheme="minorHAnsi"/>
          <w:sz w:val="24"/>
          <w:szCs w:val="24"/>
        </w:rPr>
        <w:t>time horizon</w:t>
      </w:r>
      <w:r w:rsidRPr="0016581E">
        <w:rPr>
          <w:rFonts w:asciiTheme="minorHAnsi" w:hAnsiTheme="minorHAnsi" w:cstheme="minorHAnsi"/>
          <w:sz w:val="24"/>
          <w:szCs w:val="24"/>
        </w:rPr>
        <w:t>.</w:t>
      </w:r>
      <w:r w:rsidR="00597F74" w:rsidRPr="0016581E">
        <w:rPr>
          <w:rFonts w:asciiTheme="minorHAnsi" w:hAnsiTheme="minorHAnsi" w:cstheme="minorHAnsi"/>
          <w:sz w:val="24"/>
          <w:szCs w:val="24"/>
        </w:rPr>
        <w:t xml:space="preserve"> At the March 2017 consideration, the PBAC noted the </w:t>
      </w:r>
      <w:r w:rsidR="004D406E" w:rsidRPr="0016581E">
        <w:rPr>
          <w:rFonts w:asciiTheme="minorHAnsi" w:hAnsiTheme="minorHAnsi" w:cstheme="minorHAnsi"/>
          <w:sz w:val="24"/>
          <w:szCs w:val="24"/>
        </w:rPr>
        <w:t>claimed</w:t>
      </w:r>
      <w:r w:rsidR="00597F74" w:rsidRPr="0016581E">
        <w:rPr>
          <w:rFonts w:asciiTheme="minorHAnsi" w:hAnsiTheme="minorHAnsi" w:cstheme="minorHAnsi"/>
          <w:sz w:val="24"/>
          <w:szCs w:val="24"/>
        </w:rPr>
        <w:t xml:space="preserve"> survival rate of approximately 10% at 10-years in hormone receptor positive (HR+), HER2-negative (HER2-) advanced breast cancer, but considered a shorter time horizon was appropriate given the immaturity of the existing OS data and that any increase in OS was uncertain. The PBAC recalled that in previous </w:t>
      </w:r>
      <w:r w:rsidR="00597F74" w:rsidRPr="0016581E">
        <w:rPr>
          <w:rFonts w:asciiTheme="minorHAnsi" w:hAnsiTheme="minorHAnsi" w:cstheme="minorHAnsi"/>
          <w:sz w:val="24"/>
        </w:rPr>
        <w:t>submissions</w:t>
      </w:r>
      <w:r w:rsidR="00597F74" w:rsidRPr="0016581E">
        <w:rPr>
          <w:rFonts w:asciiTheme="minorHAnsi" w:hAnsiTheme="minorHAnsi" w:cstheme="minorHAnsi"/>
          <w:sz w:val="24"/>
          <w:szCs w:val="24"/>
        </w:rPr>
        <w:t xml:space="preserve"> for advanced breast cancer, although for later line treatment, the time horizon was 3 years (everolimus, 2013 and paclitaxel, 2008). The PSCR (p2) noted the OS results from PALOMA-1, with a maximum observed follow-up of 6.9 years, showed that 15.8% of palbociclib patients remained alive and hence considered reference to a three-year time horizon not relevant. The PSCR presented a sensitivity analysis based on a shorter time horizon of 7.5 years (a time point noted to have minimal extrapolation) and this resulted in a $/QALY of </w:t>
      </w:r>
      <w:r w:rsidR="00C726AD">
        <w:rPr>
          <w:rFonts w:asciiTheme="minorHAnsi" w:hAnsiTheme="minorHAnsi" w:cstheme="minorHAnsi"/>
          <w:sz w:val="24"/>
          <w:szCs w:val="24"/>
        </w:rPr>
        <w:t>$45,000 - $75,000</w:t>
      </w:r>
      <w:r w:rsidR="00597F74" w:rsidRPr="0016581E">
        <w:rPr>
          <w:rFonts w:asciiTheme="minorHAnsi" w:hAnsiTheme="minorHAnsi" w:cstheme="minorHAnsi"/>
          <w:sz w:val="24"/>
          <w:szCs w:val="24"/>
        </w:rPr>
        <w:t xml:space="preserve">. The ESC noted that the ICER is sensitive to the time horizon, although agreed with the PSCR that a 3 </w:t>
      </w:r>
      <w:r w:rsidR="000C20B6" w:rsidRPr="0016581E">
        <w:rPr>
          <w:rFonts w:asciiTheme="minorHAnsi" w:hAnsiTheme="minorHAnsi" w:cstheme="minorHAnsi"/>
          <w:sz w:val="24"/>
          <w:szCs w:val="24"/>
        </w:rPr>
        <w:t>year time</w:t>
      </w:r>
      <w:r w:rsidR="00597F74" w:rsidRPr="0016581E">
        <w:rPr>
          <w:rFonts w:asciiTheme="minorHAnsi" w:hAnsiTheme="minorHAnsi" w:cstheme="minorHAnsi"/>
          <w:sz w:val="24"/>
          <w:szCs w:val="24"/>
        </w:rPr>
        <w:t xml:space="preserve"> horizon was too short to adequately capture the benefits and costs of treatment. The ESC considered that a shorter time horizon was appropriate given the immaturity of the existing OS data and that any increase in OS was uncertain based on the available data.</w:t>
      </w:r>
    </w:p>
    <w:p w:rsidR="00833DBD" w:rsidRPr="0016581E" w:rsidRDefault="002912DA"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w:t>
      </w:r>
      <w:r w:rsidR="00833DBD" w:rsidRPr="0016581E">
        <w:rPr>
          <w:rFonts w:asciiTheme="minorHAnsi" w:hAnsiTheme="minorHAnsi" w:cstheme="minorHAnsi"/>
          <w:sz w:val="24"/>
          <w:szCs w:val="24"/>
        </w:rPr>
        <w:t xml:space="preserve"> model </w:t>
      </w:r>
      <w:r w:rsidR="0092193E" w:rsidRPr="0016581E">
        <w:rPr>
          <w:rFonts w:asciiTheme="minorHAnsi" w:hAnsiTheme="minorHAnsi" w:cstheme="minorHAnsi"/>
          <w:sz w:val="24"/>
          <w:szCs w:val="24"/>
        </w:rPr>
        <w:t>wa</w:t>
      </w:r>
      <w:r w:rsidR="00833DBD" w:rsidRPr="0016581E">
        <w:rPr>
          <w:rFonts w:asciiTheme="minorHAnsi" w:hAnsiTheme="minorHAnsi" w:cstheme="minorHAnsi"/>
          <w:sz w:val="24"/>
          <w:szCs w:val="24"/>
        </w:rPr>
        <w:t xml:space="preserve">s sensitive to the source of utility estimates. </w:t>
      </w:r>
      <w:r w:rsidR="00EA3EF1" w:rsidRPr="0016581E">
        <w:rPr>
          <w:rFonts w:asciiTheme="minorHAnsi" w:hAnsiTheme="minorHAnsi" w:cstheme="minorHAnsi"/>
          <w:sz w:val="24"/>
          <w:szCs w:val="24"/>
        </w:rPr>
        <w:t>The previous submission applied utility estimates based on Lloyd (2006) whereas the re</w:t>
      </w:r>
      <w:r w:rsidR="0092193E" w:rsidRPr="0016581E">
        <w:rPr>
          <w:rFonts w:asciiTheme="minorHAnsi" w:hAnsiTheme="minorHAnsi" w:cstheme="minorHAnsi"/>
          <w:sz w:val="24"/>
          <w:szCs w:val="24"/>
        </w:rPr>
        <w:t>-</w:t>
      </w:r>
      <w:r w:rsidR="00EA3EF1" w:rsidRPr="0016581E">
        <w:rPr>
          <w:rFonts w:asciiTheme="minorHAnsi" w:hAnsiTheme="minorHAnsi" w:cstheme="minorHAnsi"/>
          <w:sz w:val="24"/>
          <w:szCs w:val="24"/>
        </w:rPr>
        <w:t>submission used pre-</w:t>
      </w:r>
      <w:r w:rsidR="00EA3EF1" w:rsidRPr="0016581E">
        <w:rPr>
          <w:rFonts w:asciiTheme="minorHAnsi" w:hAnsiTheme="minorHAnsi" w:cstheme="minorHAnsi"/>
          <w:sz w:val="24"/>
          <w:szCs w:val="24"/>
        </w:rPr>
        <w:lastRenderedPageBreak/>
        <w:t>progression values derived from the EQ-5D (UK tariff) from PALOMA-2. Although use of the trial data was c</w:t>
      </w:r>
      <w:r w:rsidR="00EA3EF1" w:rsidRPr="0016581E">
        <w:rPr>
          <w:rFonts w:asciiTheme="minorHAnsi" w:hAnsiTheme="minorHAnsi" w:cstheme="minorHAnsi"/>
          <w:sz w:val="24"/>
        </w:rPr>
        <w:t>o</w:t>
      </w:r>
      <w:r w:rsidR="00EA3EF1" w:rsidRPr="0016581E">
        <w:rPr>
          <w:rFonts w:asciiTheme="minorHAnsi" w:hAnsiTheme="minorHAnsi" w:cstheme="minorHAnsi"/>
          <w:sz w:val="24"/>
          <w:szCs w:val="24"/>
        </w:rPr>
        <w:t xml:space="preserve">nsidered appropriate, the ESC noted that the difference in utility values between the palbociclib+letrozole and letrozole arms (both pre- and post-progression) was larger (0.024) than was assumed in the previous submission (0.005). The ESC considered that the difference in the utilities pre-progression may not be plausible given there were no statistically significant differences in the patient report outcomes between the treatment arms in PALOMA-2. </w:t>
      </w:r>
      <w:r w:rsidR="007B4141" w:rsidRPr="0016581E">
        <w:rPr>
          <w:rFonts w:asciiTheme="minorHAnsi" w:hAnsiTheme="minorHAnsi" w:cstheme="minorHAnsi"/>
          <w:sz w:val="24"/>
          <w:szCs w:val="24"/>
        </w:rPr>
        <w:t>T</w:t>
      </w:r>
      <w:r w:rsidR="00EA3EF1" w:rsidRPr="0016581E">
        <w:rPr>
          <w:rFonts w:asciiTheme="minorHAnsi" w:hAnsiTheme="minorHAnsi" w:cstheme="minorHAnsi"/>
          <w:sz w:val="24"/>
          <w:szCs w:val="24"/>
        </w:rPr>
        <w:t>he ESC considered the difference in utilities by treatment post-progression was not justified as treatment had ceased</w:t>
      </w:r>
      <w:r w:rsidR="00415B30" w:rsidRPr="0016581E">
        <w:rPr>
          <w:rFonts w:asciiTheme="minorHAnsi" w:hAnsiTheme="minorHAnsi" w:cstheme="minorHAnsi"/>
          <w:sz w:val="24"/>
          <w:szCs w:val="24"/>
        </w:rPr>
        <w:t>, and continued effect on quality of life beyond discontinuation was unlikely</w:t>
      </w:r>
      <w:r w:rsidR="00EA3EF1" w:rsidRPr="0016581E">
        <w:rPr>
          <w:rFonts w:asciiTheme="minorHAnsi" w:hAnsiTheme="minorHAnsi" w:cstheme="minorHAnsi"/>
          <w:sz w:val="24"/>
          <w:szCs w:val="24"/>
        </w:rPr>
        <w:t xml:space="preserve">. When the same utility value was applied post-progression (the average across treatment arms), the ICER increased from a base case of </w:t>
      </w:r>
      <w:r w:rsidR="00C726AD">
        <w:rPr>
          <w:rFonts w:asciiTheme="minorHAnsi" w:hAnsiTheme="minorHAnsi" w:cstheme="minorHAnsi"/>
          <w:sz w:val="24"/>
          <w:szCs w:val="24"/>
        </w:rPr>
        <w:t>$45,000 - $75,000</w:t>
      </w:r>
      <w:r w:rsidR="00C726AD" w:rsidRPr="0016581E" w:rsidDel="00906F74">
        <w:rPr>
          <w:rFonts w:asciiTheme="minorHAnsi" w:hAnsiTheme="minorHAnsi" w:cstheme="minorHAnsi"/>
          <w:sz w:val="24"/>
          <w:szCs w:val="24"/>
        </w:rPr>
        <w:t xml:space="preserve"> </w:t>
      </w:r>
      <w:r w:rsidR="00EA3EF1" w:rsidRPr="0016581E">
        <w:rPr>
          <w:rFonts w:asciiTheme="minorHAnsi" w:hAnsiTheme="minorHAnsi" w:cstheme="minorHAnsi"/>
          <w:sz w:val="24"/>
          <w:szCs w:val="24"/>
        </w:rPr>
        <w:t xml:space="preserve">to </w:t>
      </w:r>
      <w:r w:rsidR="00DB45DC">
        <w:rPr>
          <w:rFonts w:asciiTheme="minorHAnsi" w:hAnsiTheme="minorHAnsi" w:cstheme="minorHAnsi"/>
          <w:sz w:val="24"/>
          <w:szCs w:val="24"/>
        </w:rPr>
        <w:t>$45,000 - $75,000</w:t>
      </w:r>
      <w:r w:rsidR="00DB45DC" w:rsidRPr="0016581E" w:rsidDel="00906F74">
        <w:rPr>
          <w:rFonts w:asciiTheme="minorHAnsi" w:hAnsiTheme="minorHAnsi" w:cstheme="minorHAnsi"/>
          <w:sz w:val="24"/>
          <w:szCs w:val="24"/>
        </w:rPr>
        <w:t xml:space="preserve"> </w:t>
      </w:r>
      <w:r w:rsidR="00EA3EF1" w:rsidRPr="0016581E">
        <w:rPr>
          <w:rFonts w:asciiTheme="minorHAnsi" w:hAnsiTheme="minorHAnsi" w:cstheme="minorHAnsi"/>
          <w:sz w:val="24"/>
          <w:szCs w:val="24"/>
        </w:rPr>
        <w:t xml:space="preserve">per QALY gained. </w:t>
      </w:r>
      <w:r w:rsidR="00427AA8" w:rsidRPr="0016581E">
        <w:rPr>
          <w:rFonts w:asciiTheme="minorHAnsi" w:hAnsiTheme="minorHAnsi" w:cstheme="minorHAnsi"/>
          <w:sz w:val="24"/>
          <w:szCs w:val="24"/>
        </w:rPr>
        <w:t>The pre-PBAC response argued that the sensitivity analysis undertaken by the ESC resulted in an ICER that increased by only a small amount (approximately 7%), which is generally within cost-effective thresholds for innovative oncology products</w:t>
      </w:r>
      <w:r w:rsidR="003371BB" w:rsidRPr="0016581E">
        <w:rPr>
          <w:rFonts w:asciiTheme="minorHAnsi" w:hAnsiTheme="minorHAnsi" w:cstheme="minorHAnsi"/>
          <w:sz w:val="24"/>
          <w:szCs w:val="24"/>
        </w:rPr>
        <w:t>.</w:t>
      </w:r>
    </w:p>
    <w:p w:rsidR="00C842B4" w:rsidRPr="0016581E" w:rsidRDefault="00C842B4"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impact of using the investigator-assessed PFS, rather than the BICR PFS, is unknown due to the lack of a formal sensitivity analysis conducted by the re-submission using </w:t>
      </w:r>
      <w:r w:rsidR="00891B6F" w:rsidRPr="0016581E">
        <w:rPr>
          <w:rFonts w:asciiTheme="minorHAnsi" w:hAnsiTheme="minorHAnsi" w:cstheme="minorHAnsi"/>
          <w:sz w:val="24"/>
          <w:szCs w:val="24"/>
        </w:rPr>
        <w:t xml:space="preserve">the </w:t>
      </w:r>
      <w:r w:rsidR="000E7404" w:rsidRPr="0016581E">
        <w:rPr>
          <w:rFonts w:asciiTheme="minorHAnsi" w:hAnsiTheme="minorHAnsi" w:cstheme="minorHAnsi"/>
          <w:sz w:val="24"/>
          <w:szCs w:val="24"/>
        </w:rPr>
        <w:t>BICR PFS</w:t>
      </w:r>
      <w:r w:rsidRPr="0016581E">
        <w:rPr>
          <w:rFonts w:asciiTheme="minorHAnsi" w:hAnsiTheme="minorHAnsi" w:cstheme="minorHAnsi"/>
          <w:sz w:val="24"/>
          <w:szCs w:val="24"/>
        </w:rPr>
        <w:t>.</w:t>
      </w:r>
      <w:r w:rsidR="004B481B" w:rsidRPr="0016581E">
        <w:rPr>
          <w:rFonts w:asciiTheme="minorHAnsi" w:hAnsiTheme="minorHAnsi" w:cstheme="minorHAnsi"/>
          <w:sz w:val="24"/>
          <w:szCs w:val="24"/>
        </w:rPr>
        <w:t xml:space="preserve"> </w:t>
      </w:r>
    </w:p>
    <w:p w:rsidR="004E23FC" w:rsidRPr="0016581E" w:rsidRDefault="00646EAE" w:rsidP="00270E23">
      <w:pPr>
        <w:pStyle w:val="ListParagraph"/>
        <w:numPr>
          <w:ilvl w:val="1"/>
          <w:numId w:val="5"/>
        </w:numPr>
        <w:spacing w:before="120" w:after="160"/>
        <w:ind w:left="709" w:hanging="709"/>
        <w:contextualSpacing w:val="0"/>
        <w:rPr>
          <w:rFonts w:asciiTheme="minorHAnsi" w:hAnsiTheme="minorHAnsi"/>
          <w:sz w:val="24"/>
          <w:szCs w:val="24"/>
        </w:rPr>
      </w:pPr>
      <w:r w:rsidRPr="0016581E">
        <w:rPr>
          <w:rFonts w:asciiTheme="minorHAnsi" w:hAnsiTheme="minorHAnsi" w:cstheme="minorHAnsi"/>
          <w:sz w:val="24"/>
          <w:szCs w:val="24"/>
        </w:rPr>
        <w:t xml:space="preserve">Overall, the ESC considered that the base case cost/QALY in the re-submission was underestimated. In addition to the issue of </w:t>
      </w:r>
      <w:r w:rsidR="002912DA" w:rsidRPr="0016581E">
        <w:rPr>
          <w:rFonts w:asciiTheme="minorHAnsi" w:hAnsiTheme="minorHAnsi" w:cstheme="minorHAnsi"/>
          <w:sz w:val="24"/>
          <w:szCs w:val="24"/>
        </w:rPr>
        <w:t>truncating</w:t>
      </w:r>
      <w:r w:rsidRPr="0016581E">
        <w:rPr>
          <w:rFonts w:asciiTheme="minorHAnsi" w:hAnsiTheme="minorHAnsi" w:cstheme="minorHAnsi"/>
          <w:sz w:val="24"/>
          <w:szCs w:val="24"/>
        </w:rPr>
        <w:t xml:space="preserve"> treatment costs, the ESC noted that a number of other issues raised in this advice each had a small impact on the ICER/QALY, however the collective impact was unknown.</w:t>
      </w:r>
    </w:p>
    <w:p w:rsidR="00B57DB0" w:rsidRPr="00BA4CBB" w:rsidRDefault="00B57DB0" w:rsidP="00B57DB0">
      <w:pPr>
        <w:pStyle w:val="Heading2"/>
      </w:pPr>
      <w:r w:rsidRPr="00BA4CBB">
        <w:t>Drug cost/patient/course: $</w:t>
      </w:r>
      <w:r w:rsidR="00DE0B8F">
        <w:rPr>
          <w:noProof/>
          <w:color w:val="000000"/>
          <w:highlight w:val="black"/>
        </w:rPr>
        <w:t>''''''''''''</w:t>
      </w:r>
    </w:p>
    <w:p w:rsidR="003C65AA" w:rsidRPr="0016581E" w:rsidRDefault="003C65AA"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Assuming a cost of $</w:t>
      </w:r>
      <w:r w:rsidR="00DE0B8F">
        <w:rPr>
          <w:rFonts w:asciiTheme="minorHAnsi" w:hAnsiTheme="minorHAnsi" w:cstheme="minorHAnsi"/>
          <w:noProof/>
          <w:color w:val="000000"/>
          <w:sz w:val="24"/>
          <w:szCs w:val="24"/>
          <w:highlight w:val="black"/>
        </w:rPr>
        <w:t>'''''''''''''''</w:t>
      </w:r>
      <w:r w:rsidRPr="0016581E">
        <w:rPr>
          <w:rFonts w:asciiTheme="minorHAnsi" w:hAnsiTheme="minorHAnsi" w:cstheme="minorHAnsi"/>
          <w:color w:val="000000" w:themeColor="text1"/>
          <w:sz w:val="24"/>
          <w:szCs w:val="24"/>
        </w:rPr>
        <w:t xml:space="preserve"> per pack, one pack is used per 28 days, no dose reduction, and the patient is treated for 24.8 months (and thus receive</w:t>
      </w:r>
      <w:r w:rsidR="0002707E" w:rsidRPr="0016581E">
        <w:rPr>
          <w:rFonts w:asciiTheme="minorHAnsi" w:hAnsiTheme="minorHAnsi" w:cstheme="minorHAnsi"/>
          <w:color w:val="000000" w:themeColor="text1"/>
          <w:sz w:val="24"/>
          <w:szCs w:val="24"/>
        </w:rPr>
        <w:t>s</w:t>
      </w:r>
      <w:r w:rsidRPr="0016581E">
        <w:rPr>
          <w:rFonts w:asciiTheme="minorHAnsi" w:hAnsiTheme="minorHAnsi" w:cstheme="minorHAnsi"/>
          <w:color w:val="000000" w:themeColor="text1"/>
          <w:sz w:val="24"/>
          <w:szCs w:val="24"/>
        </w:rPr>
        <w:t xml:space="preserve"> 2</w:t>
      </w:r>
      <w:r w:rsidR="00893005" w:rsidRPr="0016581E">
        <w:rPr>
          <w:rFonts w:asciiTheme="minorHAnsi" w:hAnsiTheme="minorHAnsi" w:cstheme="minorHAnsi"/>
          <w:color w:val="000000" w:themeColor="text1"/>
          <w:sz w:val="24"/>
          <w:szCs w:val="24"/>
        </w:rPr>
        <w:t>6</w:t>
      </w:r>
      <w:r w:rsidRPr="0016581E">
        <w:rPr>
          <w:rFonts w:asciiTheme="minorHAnsi" w:hAnsiTheme="minorHAnsi" w:cstheme="minorHAnsi"/>
          <w:color w:val="000000" w:themeColor="text1"/>
          <w:sz w:val="24"/>
          <w:szCs w:val="24"/>
        </w:rPr>
        <w:t xml:space="preserve"> packs) (</w:t>
      </w:r>
      <w:r w:rsidR="00461D9B" w:rsidRPr="0016581E">
        <w:rPr>
          <w:rFonts w:asciiTheme="minorHAnsi" w:hAnsiTheme="minorHAnsi" w:cstheme="minorHAnsi"/>
          <w:color w:val="000000" w:themeColor="text1"/>
          <w:sz w:val="24"/>
          <w:szCs w:val="24"/>
        </w:rPr>
        <w:t>based on median PFS in PALOMA-2</w:t>
      </w:r>
      <w:r w:rsidRPr="0016581E">
        <w:rPr>
          <w:rFonts w:asciiTheme="minorHAnsi" w:hAnsiTheme="minorHAnsi" w:cstheme="minorHAnsi"/>
          <w:color w:val="000000" w:themeColor="text1"/>
          <w:sz w:val="24"/>
          <w:szCs w:val="24"/>
        </w:rPr>
        <w:t>).</w:t>
      </w:r>
    </w:p>
    <w:p w:rsidR="004E23FC" w:rsidRPr="0016581E" w:rsidRDefault="00461D9B"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This differs from the drug costs for palbociclib </w:t>
      </w:r>
      <w:r w:rsidR="00643315" w:rsidRPr="0016581E">
        <w:rPr>
          <w:rFonts w:asciiTheme="minorHAnsi" w:hAnsiTheme="minorHAnsi" w:cstheme="minorHAnsi"/>
          <w:color w:val="000000" w:themeColor="text1"/>
          <w:sz w:val="24"/>
          <w:szCs w:val="24"/>
        </w:rPr>
        <w:t xml:space="preserve">(undiscounted) </w:t>
      </w:r>
      <w:r w:rsidRPr="0016581E">
        <w:rPr>
          <w:rFonts w:asciiTheme="minorHAnsi" w:hAnsiTheme="minorHAnsi" w:cstheme="minorHAnsi"/>
          <w:color w:val="000000" w:themeColor="text1"/>
          <w:sz w:val="24"/>
          <w:szCs w:val="24"/>
        </w:rPr>
        <w:t>in the</w:t>
      </w:r>
      <w:r w:rsidR="00643315" w:rsidRPr="0016581E">
        <w:rPr>
          <w:rFonts w:asciiTheme="minorHAnsi" w:hAnsiTheme="minorHAnsi" w:cstheme="minorHAnsi"/>
          <w:color w:val="000000" w:themeColor="text1"/>
          <w:sz w:val="24"/>
          <w:szCs w:val="24"/>
        </w:rPr>
        <w:t xml:space="preserve"> base case</w:t>
      </w:r>
      <w:r w:rsidRPr="0016581E">
        <w:rPr>
          <w:rFonts w:asciiTheme="minorHAnsi" w:hAnsiTheme="minorHAnsi" w:cstheme="minorHAnsi"/>
          <w:color w:val="000000" w:themeColor="text1"/>
          <w:sz w:val="24"/>
          <w:szCs w:val="24"/>
        </w:rPr>
        <w:t xml:space="preserve"> economic model of $</w:t>
      </w:r>
      <w:r w:rsidR="00DE0B8F">
        <w:rPr>
          <w:rFonts w:asciiTheme="minorHAnsi" w:hAnsiTheme="minorHAnsi" w:cstheme="minorHAnsi"/>
          <w:noProof/>
          <w:color w:val="000000"/>
          <w:sz w:val="24"/>
          <w:szCs w:val="24"/>
          <w:highlight w:val="black"/>
        </w:rPr>
        <w:t>''''''''''''</w:t>
      </w:r>
      <w:r w:rsidRPr="0016581E">
        <w:rPr>
          <w:rFonts w:asciiTheme="minorHAnsi" w:hAnsiTheme="minorHAnsi" w:cstheme="minorHAnsi"/>
          <w:color w:val="000000" w:themeColor="text1"/>
          <w:sz w:val="24"/>
          <w:szCs w:val="24"/>
        </w:rPr>
        <w:t xml:space="preserve"> per patient. The difference is largely due to the truncation of drug costs at 27 cycles in the economic model.</w:t>
      </w:r>
    </w:p>
    <w:p w:rsidR="004E23FC" w:rsidRPr="00BA4CBB" w:rsidRDefault="004E23FC" w:rsidP="004E23FC">
      <w:pPr>
        <w:pStyle w:val="Heading2"/>
      </w:pPr>
      <w:bookmarkStart w:id="34" w:name="_Toc413139284"/>
      <w:bookmarkStart w:id="35" w:name="_Toc493059791"/>
      <w:r w:rsidRPr="00BA4CBB">
        <w:t>Estimated PBS usage &amp; financial implications</w:t>
      </w:r>
      <w:bookmarkEnd w:id="34"/>
      <w:bookmarkEnd w:id="35"/>
    </w:p>
    <w:p w:rsidR="0047718F" w:rsidRPr="0016581E" w:rsidRDefault="004E23FC"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This submission </w:t>
      </w:r>
      <w:r w:rsidR="00E75980" w:rsidRPr="0016581E">
        <w:rPr>
          <w:rFonts w:asciiTheme="minorHAnsi" w:hAnsiTheme="minorHAnsi" w:cstheme="minorHAnsi"/>
          <w:sz w:val="24"/>
        </w:rPr>
        <w:t>was</w:t>
      </w:r>
      <w:r w:rsidR="00E75980" w:rsidRPr="0016581E">
        <w:rPr>
          <w:rFonts w:asciiTheme="minorHAnsi" w:hAnsiTheme="minorHAnsi" w:cstheme="minorHAnsi"/>
          <w:color w:val="000000" w:themeColor="text1"/>
          <w:sz w:val="24"/>
          <w:szCs w:val="24"/>
        </w:rPr>
        <w:t xml:space="preserve"> </w:t>
      </w:r>
      <w:r w:rsidR="0047718F" w:rsidRPr="0016581E">
        <w:rPr>
          <w:rFonts w:asciiTheme="minorHAnsi" w:hAnsiTheme="minorHAnsi" w:cstheme="minorHAnsi"/>
          <w:color w:val="000000" w:themeColor="text1"/>
          <w:sz w:val="24"/>
          <w:szCs w:val="24"/>
        </w:rPr>
        <w:t>not</w:t>
      </w:r>
      <w:r w:rsidRPr="0016581E">
        <w:rPr>
          <w:rFonts w:asciiTheme="minorHAnsi" w:hAnsiTheme="minorHAnsi" w:cstheme="minorHAnsi"/>
          <w:color w:val="000000" w:themeColor="text1"/>
          <w:sz w:val="24"/>
          <w:szCs w:val="24"/>
        </w:rPr>
        <w:t xml:space="preserve"> considered by</w:t>
      </w:r>
      <w:r w:rsidR="00EF5D21" w:rsidRPr="0016581E">
        <w:rPr>
          <w:rFonts w:asciiTheme="minorHAnsi" w:hAnsiTheme="minorHAnsi" w:cstheme="minorHAnsi"/>
          <w:color w:val="000000" w:themeColor="text1"/>
          <w:sz w:val="24"/>
          <w:szCs w:val="24"/>
        </w:rPr>
        <w:t xml:space="preserve"> the Drug Utilisation Sub-Committee (</w:t>
      </w:r>
      <w:r w:rsidRPr="0016581E">
        <w:rPr>
          <w:rFonts w:asciiTheme="minorHAnsi" w:hAnsiTheme="minorHAnsi" w:cstheme="minorHAnsi"/>
          <w:color w:val="000000" w:themeColor="text1"/>
          <w:sz w:val="24"/>
          <w:szCs w:val="24"/>
        </w:rPr>
        <w:t>DUSC</w:t>
      </w:r>
      <w:r w:rsidR="00EF5D21" w:rsidRPr="0016581E">
        <w:rPr>
          <w:rFonts w:asciiTheme="minorHAnsi" w:hAnsiTheme="minorHAnsi" w:cstheme="minorHAnsi"/>
          <w:color w:val="000000" w:themeColor="text1"/>
          <w:sz w:val="24"/>
          <w:szCs w:val="24"/>
        </w:rPr>
        <w:t>)</w:t>
      </w:r>
      <w:r w:rsidRPr="0016581E">
        <w:rPr>
          <w:rFonts w:asciiTheme="minorHAnsi" w:hAnsiTheme="minorHAnsi" w:cstheme="minorHAnsi"/>
          <w:color w:val="000000" w:themeColor="text1"/>
          <w:sz w:val="24"/>
          <w:szCs w:val="24"/>
        </w:rPr>
        <w:t>.</w:t>
      </w:r>
    </w:p>
    <w:p w:rsidR="00F0597F" w:rsidRPr="0094535A" w:rsidRDefault="00F0597F" w:rsidP="0094535A">
      <w:pPr>
        <w:pStyle w:val="ListParagraph"/>
        <w:numPr>
          <w:ilvl w:val="1"/>
          <w:numId w:val="5"/>
        </w:numPr>
        <w:spacing w:before="120" w:after="160"/>
        <w:ind w:left="709" w:hanging="709"/>
        <w:contextualSpacing w:val="0"/>
        <w:rPr>
          <w:rFonts w:asciiTheme="minorHAnsi" w:hAnsiTheme="minorHAnsi" w:cstheme="minorHAnsi"/>
          <w:sz w:val="24"/>
          <w:szCs w:val="24"/>
        </w:rPr>
      </w:pPr>
      <w:r w:rsidRPr="00F0597F">
        <w:rPr>
          <w:rFonts w:asciiTheme="minorHAnsi" w:hAnsiTheme="minorHAnsi" w:cstheme="minorHAnsi"/>
          <w:color w:val="000000" w:themeColor="text1"/>
          <w:sz w:val="24"/>
          <w:szCs w:val="24"/>
        </w:rPr>
        <w:t>The re-submission used an epidemiological</w:t>
      </w:r>
      <w:r>
        <w:rPr>
          <w:rFonts w:asciiTheme="minorHAnsi" w:hAnsiTheme="minorHAnsi" w:cstheme="minorHAnsi"/>
          <w:color w:val="000000" w:themeColor="text1"/>
          <w:sz w:val="24"/>
          <w:szCs w:val="24"/>
        </w:rPr>
        <w:t xml:space="preserve"> (</w:t>
      </w:r>
      <w:r w:rsidRPr="00F0597F">
        <w:rPr>
          <w:rFonts w:asciiTheme="minorHAnsi" w:hAnsiTheme="minorHAnsi" w:cstheme="minorHAnsi"/>
          <w:color w:val="000000" w:themeColor="text1"/>
          <w:sz w:val="24"/>
          <w:szCs w:val="24"/>
        </w:rPr>
        <w:t>incidence based) approach to estimate the utilisation and financial implications associated with the requested PBS listing of palbociclib in combination with a NSAI (letrozole or anastrozole) as initial endocrine-based therapy in postmenopausal</w:t>
      </w:r>
      <w:r w:rsidR="002D5829">
        <w:rPr>
          <w:rFonts w:asciiTheme="minorHAnsi" w:hAnsiTheme="minorHAnsi" w:cstheme="minorHAnsi"/>
          <w:color w:val="000000" w:themeColor="text1"/>
          <w:sz w:val="24"/>
          <w:szCs w:val="24"/>
        </w:rPr>
        <w:t xml:space="preserve"> women with HR+, HER2- ABC</w:t>
      </w:r>
      <w:r w:rsidRPr="00F0597F">
        <w:rPr>
          <w:rFonts w:asciiTheme="minorHAnsi" w:hAnsiTheme="minorHAnsi" w:cstheme="minorHAnsi"/>
          <w:color w:val="000000" w:themeColor="text1"/>
          <w:sz w:val="24"/>
          <w:szCs w:val="24"/>
        </w:rPr>
        <w:t>. This is unchanged from the previous submission</w:t>
      </w:r>
      <w:r>
        <w:rPr>
          <w:rFonts w:asciiTheme="minorHAnsi" w:hAnsiTheme="minorHAnsi" w:cstheme="minorHAnsi"/>
          <w:color w:val="000000" w:themeColor="text1"/>
          <w:sz w:val="24"/>
          <w:szCs w:val="24"/>
        </w:rPr>
        <w:t xml:space="preserve">, </w:t>
      </w:r>
      <w:r w:rsidRPr="00F0597F">
        <w:rPr>
          <w:rFonts w:asciiTheme="minorHAnsi" w:hAnsiTheme="minorHAnsi" w:cstheme="minorHAnsi"/>
          <w:color w:val="000000" w:themeColor="text1"/>
          <w:sz w:val="24"/>
          <w:szCs w:val="24"/>
        </w:rPr>
        <w:t xml:space="preserve">except for the inclusion of males and grandfathered patients, and the incidence of recurrence and </w:t>
      </w:r>
      <w:r w:rsidR="00306789" w:rsidRPr="0016581E">
        <w:rPr>
          <w:rFonts w:asciiTheme="minorHAnsi" w:hAnsiTheme="minorHAnsi" w:cstheme="minorHAnsi"/>
          <w:sz w:val="24"/>
          <w:szCs w:val="24"/>
        </w:rPr>
        <w:t>HR+/HER2-</w:t>
      </w:r>
      <w:r w:rsidRPr="00F0597F">
        <w:rPr>
          <w:rFonts w:asciiTheme="minorHAnsi" w:hAnsiTheme="minorHAnsi" w:cstheme="minorHAnsi"/>
          <w:color w:val="000000" w:themeColor="text1"/>
          <w:sz w:val="24"/>
          <w:szCs w:val="24"/>
        </w:rPr>
        <w:t xml:space="preserve"> breast </w:t>
      </w:r>
      <w:r>
        <w:rPr>
          <w:rFonts w:asciiTheme="minorHAnsi" w:hAnsiTheme="minorHAnsi" w:cstheme="minorHAnsi"/>
          <w:color w:val="000000" w:themeColor="text1"/>
          <w:sz w:val="24"/>
          <w:szCs w:val="24"/>
        </w:rPr>
        <w:t>cancer was based on DUSC advice on the March 2017 submission</w:t>
      </w:r>
      <w:r w:rsidRPr="00F0597F">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Pr="00F0597F">
        <w:rPr>
          <w:rFonts w:asciiTheme="minorHAnsi" w:hAnsiTheme="minorHAnsi" w:cstheme="minorHAnsi"/>
          <w:color w:val="000000" w:themeColor="text1"/>
          <w:sz w:val="24"/>
          <w:szCs w:val="24"/>
        </w:rPr>
        <w:t xml:space="preserve">A sensitivity analysis of the financial implications of the proposed PBS-listing using the patient estimates derived through a market share approach was also presented. The DUSC has previously noted that </w:t>
      </w:r>
      <w:r w:rsidRPr="00F0597F">
        <w:rPr>
          <w:rFonts w:asciiTheme="minorHAnsi" w:hAnsiTheme="minorHAnsi" w:cstheme="minorHAnsi"/>
          <w:color w:val="000000" w:themeColor="text1"/>
          <w:sz w:val="24"/>
          <w:szCs w:val="24"/>
        </w:rPr>
        <w:lastRenderedPageBreak/>
        <w:t xml:space="preserve">the market share approach was limited by a lack of accurate cancer stage data and that use of </w:t>
      </w:r>
      <w:r w:rsidRPr="0094535A">
        <w:rPr>
          <w:rFonts w:asciiTheme="minorHAnsi" w:hAnsiTheme="minorHAnsi" w:cstheme="minorHAnsi"/>
          <w:sz w:val="24"/>
          <w:szCs w:val="24"/>
        </w:rPr>
        <w:t xml:space="preserve">the epidemiological approach for the base case was appropriate. </w:t>
      </w:r>
    </w:p>
    <w:p w:rsidR="00E12072" w:rsidRPr="0016581E" w:rsidRDefault="00E12072" w:rsidP="0094535A">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94535A">
        <w:rPr>
          <w:rFonts w:asciiTheme="minorHAnsi" w:hAnsiTheme="minorHAnsi" w:cstheme="minorHAnsi"/>
          <w:sz w:val="24"/>
          <w:szCs w:val="24"/>
        </w:rPr>
        <w:t>In order</w:t>
      </w:r>
      <w:r w:rsidRPr="0016581E">
        <w:rPr>
          <w:rFonts w:asciiTheme="minorHAnsi" w:hAnsiTheme="minorHAnsi" w:cstheme="minorHAnsi"/>
          <w:color w:val="000000" w:themeColor="text1"/>
          <w:sz w:val="24"/>
          <w:szCs w:val="24"/>
        </w:rPr>
        <w:t xml:space="preserve"> to </w:t>
      </w:r>
      <w:r w:rsidRPr="0016581E">
        <w:rPr>
          <w:rFonts w:asciiTheme="minorHAnsi" w:hAnsiTheme="minorHAnsi" w:cstheme="minorHAnsi"/>
          <w:sz w:val="24"/>
        </w:rPr>
        <w:t>address</w:t>
      </w:r>
      <w:r w:rsidRPr="0016581E">
        <w:rPr>
          <w:rFonts w:asciiTheme="minorHAnsi" w:hAnsiTheme="minorHAnsi" w:cstheme="minorHAnsi"/>
          <w:color w:val="000000" w:themeColor="text1"/>
          <w:sz w:val="24"/>
          <w:szCs w:val="24"/>
        </w:rPr>
        <w:t xml:space="preserve"> the DUSC’s concerns</w:t>
      </w:r>
      <w:r w:rsidR="00BF6954" w:rsidRPr="0016581E">
        <w:rPr>
          <w:rFonts w:asciiTheme="minorHAnsi" w:hAnsiTheme="minorHAnsi" w:cstheme="minorHAnsi"/>
          <w:color w:val="000000" w:themeColor="text1"/>
          <w:sz w:val="24"/>
          <w:szCs w:val="24"/>
        </w:rPr>
        <w:t xml:space="preserve"> regarding the previous submission</w:t>
      </w:r>
      <w:r w:rsidRPr="0016581E">
        <w:rPr>
          <w:rFonts w:asciiTheme="minorHAnsi" w:hAnsiTheme="minorHAnsi" w:cstheme="minorHAnsi"/>
          <w:color w:val="000000" w:themeColor="text1"/>
          <w:sz w:val="24"/>
          <w:szCs w:val="24"/>
        </w:rPr>
        <w:t>, the re-submission:</w:t>
      </w:r>
    </w:p>
    <w:p w:rsidR="00E12072" w:rsidRPr="0016581E" w:rsidRDefault="00E12072" w:rsidP="00951E3F">
      <w:pPr>
        <w:pStyle w:val="ListParagraph"/>
        <w:numPr>
          <w:ilvl w:val="0"/>
          <w:numId w:val="44"/>
        </w:numPr>
        <w:spacing w:before="120" w:after="160"/>
        <w:ind w:left="993"/>
        <w:rPr>
          <w:rFonts w:asciiTheme="minorHAnsi" w:hAnsiTheme="minorHAnsi" w:cstheme="minorHAnsi"/>
          <w:sz w:val="24"/>
          <w:szCs w:val="24"/>
        </w:rPr>
      </w:pPr>
      <w:r w:rsidRPr="0016581E">
        <w:rPr>
          <w:rFonts w:asciiTheme="minorHAnsi" w:hAnsiTheme="minorHAnsi" w:cstheme="minorHAnsi"/>
          <w:sz w:val="24"/>
          <w:szCs w:val="24"/>
        </w:rPr>
        <w:t>Included a note in the PBS restriction that patients whose disease progressed on palbociclib would no longer be eligible for PBS-subsidised palbociclib.</w:t>
      </w:r>
    </w:p>
    <w:p w:rsidR="004C179E" w:rsidRPr="0016581E" w:rsidRDefault="006C4C5F" w:rsidP="00951E3F">
      <w:pPr>
        <w:pStyle w:val="ListParagraph"/>
        <w:numPr>
          <w:ilvl w:val="0"/>
          <w:numId w:val="44"/>
        </w:numPr>
        <w:spacing w:before="120" w:after="160"/>
        <w:ind w:left="992" w:hanging="357"/>
        <w:contextualSpacing w:val="0"/>
        <w:rPr>
          <w:rFonts w:asciiTheme="minorHAnsi" w:hAnsiTheme="minorHAnsi" w:cstheme="minorHAnsi"/>
          <w:sz w:val="24"/>
          <w:szCs w:val="24"/>
        </w:rPr>
      </w:pPr>
      <w:r w:rsidRPr="0016581E">
        <w:rPr>
          <w:rFonts w:asciiTheme="minorHAnsi" w:hAnsiTheme="minorHAnsi" w:cstheme="minorHAnsi"/>
          <w:sz w:val="24"/>
          <w:szCs w:val="24"/>
        </w:rPr>
        <w:t>A</w:t>
      </w:r>
      <w:r w:rsidR="00E12072" w:rsidRPr="0016581E">
        <w:rPr>
          <w:rFonts w:asciiTheme="minorHAnsi" w:hAnsiTheme="minorHAnsi" w:cstheme="minorHAnsi"/>
          <w:sz w:val="24"/>
          <w:szCs w:val="24"/>
        </w:rPr>
        <w:t>dded grandfathered patients in the financial estimates.</w:t>
      </w:r>
      <w:r w:rsidR="002831C3" w:rsidRPr="0016581E">
        <w:rPr>
          <w:rFonts w:asciiTheme="minorHAnsi" w:hAnsiTheme="minorHAnsi" w:cstheme="minorHAnsi"/>
          <w:sz w:val="24"/>
          <w:szCs w:val="24"/>
        </w:rPr>
        <w:t xml:space="preserve"> </w:t>
      </w:r>
    </w:p>
    <w:p w:rsidR="00E12072" w:rsidRPr="0016581E" w:rsidRDefault="002831C3" w:rsidP="00951E3F">
      <w:pPr>
        <w:pStyle w:val="ListParagraph"/>
        <w:numPr>
          <w:ilvl w:val="0"/>
          <w:numId w:val="44"/>
        </w:numPr>
        <w:spacing w:before="120" w:after="160"/>
        <w:ind w:left="992" w:hanging="357"/>
        <w:contextualSpacing w:val="0"/>
        <w:rPr>
          <w:rFonts w:asciiTheme="minorHAnsi" w:hAnsiTheme="minorHAnsi" w:cstheme="minorHAnsi"/>
          <w:sz w:val="24"/>
          <w:szCs w:val="24"/>
        </w:rPr>
      </w:pPr>
      <w:r w:rsidRPr="0016581E">
        <w:rPr>
          <w:rFonts w:asciiTheme="minorHAnsi" w:hAnsiTheme="minorHAnsi" w:cstheme="minorHAnsi"/>
          <w:sz w:val="24"/>
          <w:szCs w:val="24"/>
        </w:rPr>
        <w:t>The ESC noted that estimate of patient numbers</w:t>
      </w:r>
      <w:r w:rsidR="00E75980" w:rsidRPr="0016581E">
        <w:rPr>
          <w:rFonts w:asciiTheme="minorHAnsi" w:hAnsiTheme="minorHAnsi" w:cstheme="minorHAnsi"/>
          <w:sz w:val="24"/>
          <w:szCs w:val="24"/>
        </w:rPr>
        <w:t xml:space="preserve"> appropriately</w:t>
      </w:r>
      <w:r w:rsidRPr="0016581E">
        <w:rPr>
          <w:rFonts w:asciiTheme="minorHAnsi" w:hAnsiTheme="minorHAnsi" w:cstheme="minorHAnsi"/>
          <w:sz w:val="24"/>
          <w:szCs w:val="24"/>
        </w:rPr>
        <w:t xml:space="preserve"> included males with breast cancer. </w:t>
      </w:r>
    </w:p>
    <w:p w:rsidR="006C4C5F" w:rsidRPr="0016581E" w:rsidRDefault="00E12072"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The PBAC </w:t>
      </w:r>
      <w:r w:rsidR="00BF6954" w:rsidRPr="0016581E">
        <w:rPr>
          <w:rFonts w:asciiTheme="minorHAnsi" w:hAnsiTheme="minorHAnsi" w:cstheme="minorHAnsi"/>
          <w:color w:val="000000" w:themeColor="text1"/>
          <w:sz w:val="24"/>
          <w:szCs w:val="24"/>
        </w:rPr>
        <w:t xml:space="preserve">previously </w:t>
      </w:r>
      <w:r w:rsidRPr="0016581E">
        <w:rPr>
          <w:rFonts w:asciiTheme="minorHAnsi" w:hAnsiTheme="minorHAnsi" w:cstheme="minorHAnsi"/>
          <w:color w:val="000000" w:themeColor="text1"/>
          <w:sz w:val="24"/>
          <w:szCs w:val="24"/>
        </w:rPr>
        <w:t xml:space="preserve">considered that </w:t>
      </w:r>
      <w:r w:rsidR="006C4C5F" w:rsidRPr="0016581E">
        <w:rPr>
          <w:rFonts w:asciiTheme="minorHAnsi" w:hAnsiTheme="minorHAnsi" w:cstheme="minorHAnsi"/>
          <w:color w:val="000000" w:themeColor="text1"/>
          <w:sz w:val="24"/>
          <w:szCs w:val="24"/>
        </w:rPr>
        <w:t xml:space="preserve">there was a likelihood that average treatment duration with palbociclib will </w:t>
      </w:r>
      <w:r w:rsidR="006C4C5F" w:rsidRPr="0016581E">
        <w:rPr>
          <w:rFonts w:asciiTheme="minorHAnsi" w:hAnsiTheme="minorHAnsi" w:cstheme="minorHAnsi"/>
          <w:sz w:val="24"/>
        </w:rPr>
        <w:t>be</w:t>
      </w:r>
      <w:r w:rsidR="006C4C5F" w:rsidRPr="0016581E">
        <w:rPr>
          <w:rFonts w:asciiTheme="minorHAnsi" w:hAnsiTheme="minorHAnsi" w:cstheme="minorHAnsi"/>
          <w:color w:val="000000" w:themeColor="text1"/>
          <w:sz w:val="24"/>
          <w:szCs w:val="24"/>
        </w:rPr>
        <w:t xml:space="preserve"> longer than the estimate from PALOMA-2 (median PFS of 24.8 months), and that </w:t>
      </w:r>
      <w:r w:rsidRPr="0016581E">
        <w:rPr>
          <w:rFonts w:asciiTheme="minorHAnsi" w:hAnsiTheme="minorHAnsi" w:cstheme="minorHAnsi"/>
          <w:color w:val="000000" w:themeColor="text1"/>
          <w:sz w:val="24"/>
          <w:szCs w:val="24"/>
        </w:rPr>
        <w:t>there is a risk of treatment with palbociclib continuing post-progression even with a restriction specifying conditions relating to ceasing treatment</w:t>
      </w:r>
      <w:r w:rsidR="006C4C5F" w:rsidRPr="0016581E">
        <w:rPr>
          <w:rFonts w:asciiTheme="minorHAnsi" w:hAnsiTheme="minorHAnsi" w:cstheme="minorHAnsi"/>
          <w:color w:val="000000" w:themeColor="text1"/>
          <w:sz w:val="24"/>
          <w:szCs w:val="24"/>
        </w:rPr>
        <w:t xml:space="preserve"> (</w:t>
      </w:r>
      <w:r w:rsidR="00416EEF">
        <w:rPr>
          <w:rFonts w:asciiTheme="minorHAnsi" w:hAnsiTheme="minorHAnsi" w:cstheme="minorHAnsi"/>
          <w:color w:val="000000" w:themeColor="text1"/>
          <w:sz w:val="24"/>
          <w:szCs w:val="24"/>
        </w:rPr>
        <w:t>PSD</w:t>
      </w:r>
      <w:r w:rsidR="006C4C5F" w:rsidRPr="0016581E">
        <w:rPr>
          <w:rFonts w:asciiTheme="minorHAnsi" w:hAnsiTheme="minorHAnsi" w:cstheme="minorHAnsi"/>
          <w:color w:val="000000" w:themeColor="text1"/>
          <w:sz w:val="24"/>
          <w:szCs w:val="24"/>
        </w:rPr>
        <w:t xml:space="preserve">, March 2017, item 7.14). </w:t>
      </w:r>
      <w:r w:rsidR="008F37F7" w:rsidRPr="0016581E">
        <w:rPr>
          <w:rFonts w:asciiTheme="minorHAnsi" w:hAnsiTheme="minorHAnsi" w:cstheme="minorHAnsi"/>
          <w:color w:val="000000" w:themeColor="text1"/>
          <w:sz w:val="24"/>
          <w:szCs w:val="24"/>
        </w:rPr>
        <w:t>In regards to the</w:t>
      </w:r>
      <w:r w:rsidR="008F37F7" w:rsidRPr="0016581E">
        <w:t xml:space="preserve"> </w:t>
      </w:r>
      <w:r w:rsidR="008F37F7" w:rsidRPr="0016581E">
        <w:rPr>
          <w:rFonts w:asciiTheme="minorHAnsi" w:hAnsiTheme="minorHAnsi" w:cstheme="minorHAnsi"/>
          <w:color w:val="000000" w:themeColor="text1"/>
          <w:sz w:val="24"/>
          <w:szCs w:val="24"/>
        </w:rPr>
        <w:t xml:space="preserve">risk of treatment with palbociclib continuing post-progression, the PSCR (p3) presented </w:t>
      </w:r>
      <w:r w:rsidR="00736811" w:rsidRPr="0016581E">
        <w:rPr>
          <w:rFonts w:asciiTheme="minorHAnsi" w:hAnsiTheme="minorHAnsi" w:cstheme="minorHAnsi"/>
          <w:color w:val="000000" w:themeColor="text1"/>
          <w:sz w:val="24"/>
          <w:szCs w:val="24"/>
        </w:rPr>
        <w:t>responses from three oncologists</w:t>
      </w:r>
      <w:r w:rsidR="008F37F7" w:rsidRPr="0016581E">
        <w:rPr>
          <w:rFonts w:asciiTheme="minorHAnsi" w:hAnsiTheme="minorHAnsi" w:cstheme="minorHAnsi"/>
          <w:color w:val="000000" w:themeColor="text1"/>
          <w:sz w:val="24"/>
          <w:szCs w:val="24"/>
        </w:rPr>
        <w:t xml:space="preserve"> </w:t>
      </w:r>
      <w:r w:rsidR="00736811" w:rsidRPr="0016581E">
        <w:rPr>
          <w:rFonts w:asciiTheme="minorHAnsi" w:hAnsiTheme="minorHAnsi" w:cstheme="minorHAnsi"/>
          <w:color w:val="000000" w:themeColor="text1"/>
          <w:sz w:val="24"/>
          <w:szCs w:val="24"/>
        </w:rPr>
        <w:t xml:space="preserve">to argue that </w:t>
      </w:r>
      <w:r w:rsidR="00736811" w:rsidRPr="0016581E">
        <w:rPr>
          <w:rFonts w:asciiTheme="minorHAnsi" w:hAnsiTheme="minorHAnsi" w:cstheme="minorHAnsi"/>
          <w:sz w:val="24"/>
          <w:szCs w:val="24"/>
        </w:rPr>
        <w:t>it is not likely that patients would be treated beyond progression</w:t>
      </w:r>
      <w:r w:rsidR="006C4C5F" w:rsidRPr="0016581E">
        <w:rPr>
          <w:rFonts w:asciiTheme="minorHAnsi" w:hAnsiTheme="minorHAnsi" w:cstheme="minorHAnsi"/>
          <w:color w:val="000000" w:themeColor="text1"/>
          <w:sz w:val="24"/>
          <w:szCs w:val="24"/>
        </w:rPr>
        <w:t>.</w:t>
      </w:r>
      <w:r w:rsidR="00736811" w:rsidRPr="0016581E">
        <w:rPr>
          <w:rFonts w:asciiTheme="minorHAnsi" w:hAnsiTheme="minorHAnsi" w:cstheme="minorHAnsi"/>
          <w:color w:val="000000" w:themeColor="text1"/>
          <w:sz w:val="24"/>
          <w:szCs w:val="24"/>
        </w:rPr>
        <w:t xml:space="preserve"> </w:t>
      </w:r>
      <w:r w:rsidR="00736811" w:rsidRPr="0016581E">
        <w:rPr>
          <w:rFonts w:asciiTheme="minorHAnsi" w:hAnsiTheme="minorHAnsi" w:cstheme="minorHAnsi"/>
          <w:sz w:val="24"/>
          <w:szCs w:val="24"/>
        </w:rPr>
        <w:t>The ESC</w:t>
      </w:r>
      <w:r w:rsidR="00247EB0" w:rsidRPr="0016581E">
        <w:rPr>
          <w:rFonts w:asciiTheme="minorHAnsi" w:hAnsiTheme="minorHAnsi" w:cstheme="minorHAnsi"/>
          <w:sz w:val="24"/>
          <w:szCs w:val="24"/>
        </w:rPr>
        <w:t xml:space="preserve"> considered </w:t>
      </w:r>
      <w:r w:rsidR="00736811" w:rsidRPr="0016581E">
        <w:rPr>
          <w:rFonts w:asciiTheme="minorHAnsi" w:hAnsiTheme="minorHAnsi" w:cstheme="minorHAnsi"/>
          <w:sz w:val="24"/>
          <w:szCs w:val="24"/>
        </w:rPr>
        <w:t xml:space="preserve">that there is </w:t>
      </w:r>
      <w:r w:rsidR="00F454ED" w:rsidRPr="0016581E">
        <w:rPr>
          <w:rFonts w:asciiTheme="minorHAnsi" w:hAnsiTheme="minorHAnsi" w:cstheme="minorHAnsi"/>
          <w:sz w:val="24"/>
          <w:szCs w:val="24"/>
        </w:rPr>
        <w:t xml:space="preserve">now </w:t>
      </w:r>
      <w:r w:rsidR="00736811" w:rsidRPr="0016581E">
        <w:rPr>
          <w:rFonts w:asciiTheme="minorHAnsi" w:hAnsiTheme="minorHAnsi" w:cstheme="minorHAnsi"/>
          <w:sz w:val="24"/>
          <w:szCs w:val="24"/>
        </w:rPr>
        <w:t>more clinic experience using CDK4/6 inhibitors</w:t>
      </w:r>
      <w:r w:rsidR="006B4290" w:rsidRPr="0016581E">
        <w:rPr>
          <w:rFonts w:asciiTheme="minorHAnsi" w:hAnsiTheme="minorHAnsi" w:cstheme="minorHAnsi"/>
          <w:sz w:val="24"/>
          <w:szCs w:val="24"/>
        </w:rPr>
        <w:t xml:space="preserve"> and</w:t>
      </w:r>
      <w:r w:rsidR="00736811" w:rsidRPr="0016581E">
        <w:rPr>
          <w:rFonts w:asciiTheme="minorHAnsi" w:hAnsiTheme="minorHAnsi" w:cstheme="minorHAnsi"/>
          <w:sz w:val="24"/>
          <w:szCs w:val="24"/>
        </w:rPr>
        <w:t xml:space="preserve"> agreed with the PSCR</w:t>
      </w:r>
      <w:r w:rsidR="00794114" w:rsidRPr="0016581E">
        <w:rPr>
          <w:rFonts w:asciiTheme="minorHAnsi" w:hAnsiTheme="minorHAnsi" w:cstheme="minorHAnsi"/>
          <w:sz w:val="24"/>
          <w:szCs w:val="24"/>
        </w:rPr>
        <w:t>.</w:t>
      </w:r>
      <w:r w:rsidR="006B4290" w:rsidRPr="0016581E">
        <w:rPr>
          <w:rFonts w:asciiTheme="minorHAnsi" w:hAnsiTheme="minorHAnsi" w:cstheme="minorHAnsi"/>
          <w:sz w:val="24"/>
          <w:szCs w:val="24"/>
        </w:rPr>
        <w:t xml:space="preserve"> </w:t>
      </w:r>
    </w:p>
    <w:p w:rsidR="002831C3" w:rsidRPr="0016581E" w:rsidRDefault="002831C3"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The ESC reiterated </w:t>
      </w:r>
      <w:r w:rsidR="00BA781C" w:rsidRPr="0016581E">
        <w:rPr>
          <w:rFonts w:asciiTheme="minorHAnsi" w:hAnsiTheme="minorHAnsi" w:cstheme="minorHAnsi"/>
          <w:color w:val="000000" w:themeColor="text1"/>
          <w:sz w:val="24"/>
          <w:szCs w:val="24"/>
        </w:rPr>
        <w:t xml:space="preserve">the previous </w:t>
      </w:r>
      <w:r w:rsidRPr="0016581E">
        <w:rPr>
          <w:rFonts w:asciiTheme="minorHAnsi" w:hAnsiTheme="minorHAnsi" w:cstheme="minorHAnsi"/>
          <w:color w:val="000000" w:themeColor="text1"/>
          <w:sz w:val="24"/>
          <w:szCs w:val="24"/>
        </w:rPr>
        <w:t xml:space="preserve">view of </w:t>
      </w:r>
      <w:r w:rsidR="00E75980" w:rsidRPr="0016581E">
        <w:rPr>
          <w:rFonts w:asciiTheme="minorHAnsi" w:hAnsiTheme="minorHAnsi" w:cstheme="minorHAnsi"/>
          <w:color w:val="000000" w:themeColor="text1"/>
          <w:sz w:val="24"/>
          <w:szCs w:val="24"/>
        </w:rPr>
        <w:t xml:space="preserve">the </w:t>
      </w:r>
      <w:r w:rsidR="006C4C5F" w:rsidRPr="0016581E">
        <w:rPr>
          <w:rFonts w:asciiTheme="minorHAnsi" w:hAnsiTheme="minorHAnsi" w:cstheme="minorHAnsi"/>
          <w:color w:val="000000" w:themeColor="text1"/>
          <w:sz w:val="24"/>
          <w:szCs w:val="24"/>
        </w:rPr>
        <w:t>PBAC</w:t>
      </w:r>
      <w:r w:rsidR="00794114" w:rsidRPr="0016581E">
        <w:rPr>
          <w:rFonts w:asciiTheme="minorHAnsi" w:hAnsiTheme="minorHAnsi" w:cstheme="minorHAnsi"/>
          <w:color w:val="000000" w:themeColor="text1"/>
          <w:sz w:val="24"/>
          <w:szCs w:val="24"/>
        </w:rPr>
        <w:t xml:space="preserve"> </w:t>
      </w:r>
      <w:r w:rsidR="006C4C5F" w:rsidRPr="0016581E">
        <w:rPr>
          <w:rFonts w:asciiTheme="minorHAnsi" w:hAnsiTheme="minorHAnsi" w:cstheme="minorHAnsi"/>
          <w:color w:val="000000" w:themeColor="text1"/>
          <w:sz w:val="24"/>
          <w:szCs w:val="24"/>
        </w:rPr>
        <w:t>that there was the potential for use</w:t>
      </w:r>
      <w:r w:rsidRPr="0016581E">
        <w:rPr>
          <w:rFonts w:asciiTheme="minorHAnsi" w:hAnsiTheme="minorHAnsi" w:cstheme="minorHAnsi"/>
          <w:color w:val="000000" w:themeColor="text1"/>
          <w:sz w:val="24"/>
          <w:szCs w:val="24"/>
        </w:rPr>
        <w:t xml:space="preserve"> outside the proposed restriction</w:t>
      </w:r>
      <w:r w:rsidR="006C4C5F" w:rsidRPr="0016581E">
        <w:rPr>
          <w:rFonts w:asciiTheme="minorHAnsi" w:hAnsiTheme="minorHAnsi" w:cstheme="minorHAnsi"/>
          <w:color w:val="000000" w:themeColor="text1"/>
          <w:sz w:val="24"/>
          <w:szCs w:val="24"/>
        </w:rPr>
        <w:t xml:space="preserve"> in patients being treated with letrozole or anastrozole at the time of palbociclib's listing (i.e. the prevalent pool of patients). </w:t>
      </w:r>
    </w:p>
    <w:p w:rsidR="006C4C5F" w:rsidRPr="0016581E" w:rsidRDefault="00BA2B0D"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The ESC noted </w:t>
      </w:r>
      <w:r w:rsidR="006C4C5F" w:rsidRPr="0016581E">
        <w:rPr>
          <w:rFonts w:asciiTheme="minorHAnsi" w:hAnsiTheme="minorHAnsi" w:cstheme="minorHAnsi"/>
          <w:color w:val="000000" w:themeColor="text1"/>
          <w:sz w:val="24"/>
          <w:szCs w:val="24"/>
        </w:rPr>
        <w:t>that the proposed PBS restriction is narrower than the TGA indication</w:t>
      </w:r>
      <w:r w:rsidRPr="0016581E">
        <w:rPr>
          <w:rFonts w:asciiTheme="minorHAnsi" w:hAnsiTheme="minorHAnsi" w:cstheme="minorHAnsi"/>
          <w:color w:val="000000" w:themeColor="text1"/>
          <w:sz w:val="24"/>
          <w:szCs w:val="24"/>
        </w:rPr>
        <w:t>, which does not mention a patient’s menopause status and does include in combination with fulvestrant in patients who have received prior therapy</w:t>
      </w:r>
      <w:r w:rsidR="006C4C5F" w:rsidRPr="0016581E">
        <w:rPr>
          <w:rFonts w:asciiTheme="minorHAnsi" w:hAnsiTheme="minorHAnsi" w:cstheme="minorHAnsi"/>
          <w:color w:val="000000" w:themeColor="text1"/>
          <w:sz w:val="24"/>
          <w:szCs w:val="24"/>
        </w:rPr>
        <w:t>.</w:t>
      </w:r>
      <w:r w:rsidRPr="0016581E">
        <w:rPr>
          <w:rFonts w:asciiTheme="minorHAnsi" w:hAnsiTheme="minorHAnsi" w:cstheme="minorHAnsi"/>
          <w:color w:val="000000" w:themeColor="text1"/>
          <w:sz w:val="24"/>
          <w:szCs w:val="24"/>
        </w:rPr>
        <w:t xml:space="preserve"> The ESC considered </w:t>
      </w:r>
      <w:r w:rsidR="00794114" w:rsidRPr="0016581E">
        <w:rPr>
          <w:rFonts w:asciiTheme="minorHAnsi" w:hAnsiTheme="minorHAnsi" w:cstheme="minorHAnsi"/>
          <w:color w:val="000000" w:themeColor="text1"/>
          <w:sz w:val="24"/>
          <w:szCs w:val="24"/>
        </w:rPr>
        <w:t>given</w:t>
      </w:r>
      <w:r w:rsidRPr="0016581E">
        <w:rPr>
          <w:rFonts w:asciiTheme="minorHAnsi" w:hAnsiTheme="minorHAnsi" w:cstheme="minorHAnsi"/>
          <w:color w:val="000000" w:themeColor="text1"/>
          <w:sz w:val="24"/>
          <w:szCs w:val="24"/>
        </w:rPr>
        <w:t xml:space="preserve"> current clinical practice that these differences would not result in significant use outside the restriction. </w:t>
      </w:r>
    </w:p>
    <w:p w:rsidR="001074AD" w:rsidRPr="0016581E" w:rsidRDefault="0047718F"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The </w:t>
      </w:r>
      <w:r w:rsidR="008C08EE" w:rsidRPr="0016581E">
        <w:rPr>
          <w:rFonts w:asciiTheme="minorHAnsi" w:hAnsiTheme="minorHAnsi" w:cstheme="minorHAnsi"/>
          <w:color w:val="000000" w:themeColor="text1"/>
          <w:sz w:val="24"/>
          <w:szCs w:val="24"/>
        </w:rPr>
        <w:t>re-</w:t>
      </w:r>
      <w:r w:rsidRPr="0016581E">
        <w:rPr>
          <w:rFonts w:asciiTheme="minorHAnsi" w:hAnsiTheme="minorHAnsi" w:cstheme="minorHAnsi"/>
          <w:color w:val="000000" w:themeColor="text1"/>
          <w:sz w:val="24"/>
          <w:szCs w:val="24"/>
        </w:rPr>
        <w:t xml:space="preserve">submission estimated that if the combination of palbociclib and a NSAI is listed on the PBS, the expected uptake would be 42.5% in the first year and 85% for the four subsequent years. </w:t>
      </w:r>
      <w:r w:rsidR="001074AD" w:rsidRPr="0016581E">
        <w:rPr>
          <w:rFonts w:asciiTheme="minorHAnsi" w:hAnsiTheme="minorHAnsi" w:cstheme="minorHAnsi"/>
          <w:color w:val="000000" w:themeColor="text1"/>
          <w:sz w:val="24"/>
          <w:szCs w:val="24"/>
        </w:rPr>
        <w:t xml:space="preserve">The ESC </w:t>
      </w:r>
      <w:r w:rsidR="001074AD" w:rsidRPr="0016581E">
        <w:rPr>
          <w:rFonts w:asciiTheme="minorHAnsi" w:hAnsiTheme="minorHAnsi" w:cstheme="minorHAnsi"/>
          <w:sz w:val="24"/>
        </w:rPr>
        <w:t>considered</w:t>
      </w:r>
      <w:r w:rsidR="001074AD" w:rsidRPr="0016581E">
        <w:rPr>
          <w:rFonts w:asciiTheme="minorHAnsi" w:hAnsiTheme="minorHAnsi" w:cstheme="minorHAnsi"/>
          <w:color w:val="000000" w:themeColor="text1"/>
          <w:sz w:val="24"/>
          <w:szCs w:val="24"/>
        </w:rPr>
        <w:t xml:space="preserve"> that given the community’s interest in this oral treatment that the estimate of uptake, particularly in year 1 was underestimated. </w:t>
      </w:r>
    </w:p>
    <w:p w:rsidR="004E30FC" w:rsidRPr="0016581E" w:rsidRDefault="0047718F"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Increase in usage of filgrastim, a granulocyte colony stimulating factor (G-CSF), for the treatment of neutropenia associated with the usage of palbociclib was also included in the financial estimates</w:t>
      </w:r>
      <w:r w:rsidR="00A82291" w:rsidRPr="0016581E">
        <w:rPr>
          <w:rFonts w:asciiTheme="minorHAnsi" w:hAnsiTheme="minorHAnsi" w:cstheme="minorHAnsi"/>
          <w:color w:val="000000" w:themeColor="text1"/>
          <w:sz w:val="24"/>
          <w:szCs w:val="24"/>
        </w:rPr>
        <w:t xml:space="preserve"> of the re-submission</w:t>
      </w:r>
      <w:r w:rsidRPr="0016581E">
        <w:rPr>
          <w:rFonts w:asciiTheme="minorHAnsi" w:hAnsiTheme="minorHAnsi" w:cstheme="minorHAnsi"/>
          <w:color w:val="000000" w:themeColor="text1"/>
          <w:sz w:val="24"/>
          <w:szCs w:val="24"/>
        </w:rPr>
        <w:t>.</w:t>
      </w:r>
      <w:r w:rsidR="001074AD" w:rsidRPr="0016581E">
        <w:rPr>
          <w:rFonts w:asciiTheme="minorHAnsi" w:hAnsiTheme="minorHAnsi" w:cstheme="minorHAnsi"/>
          <w:color w:val="000000" w:themeColor="text1"/>
          <w:sz w:val="24"/>
          <w:szCs w:val="24"/>
        </w:rPr>
        <w:t xml:space="preserve"> </w:t>
      </w:r>
      <w:r w:rsidR="00D27A30" w:rsidRPr="0016581E">
        <w:rPr>
          <w:rFonts w:asciiTheme="minorHAnsi" w:hAnsiTheme="minorHAnsi" w:cstheme="minorHAnsi"/>
          <w:color w:val="000000" w:themeColor="text1"/>
          <w:sz w:val="24"/>
          <w:szCs w:val="24"/>
        </w:rPr>
        <w:t>The</w:t>
      </w:r>
      <w:r w:rsidR="00BF6954" w:rsidRPr="0016581E">
        <w:rPr>
          <w:rFonts w:asciiTheme="minorHAnsi" w:hAnsiTheme="minorHAnsi" w:cstheme="minorHAnsi"/>
          <w:color w:val="000000" w:themeColor="text1"/>
          <w:sz w:val="24"/>
          <w:szCs w:val="24"/>
        </w:rPr>
        <w:t xml:space="preserve"> financial estimates below exclude the</w:t>
      </w:r>
      <w:r w:rsidR="00D27A30" w:rsidRPr="0016581E">
        <w:rPr>
          <w:rFonts w:asciiTheme="minorHAnsi" w:hAnsiTheme="minorHAnsi" w:cstheme="minorHAnsi"/>
          <w:color w:val="000000" w:themeColor="text1"/>
          <w:sz w:val="24"/>
          <w:szCs w:val="24"/>
        </w:rPr>
        <w:t xml:space="preserve"> costs of G-CSF as they are not PBS listed for this indication. However, </w:t>
      </w:r>
      <w:r w:rsidR="00D27A30" w:rsidRPr="0016581E">
        <w:rPr>
          <w:rFonts w:asciiTheme="minorHAnsi" w:hAnsiTheme="minorHAnsi" w:cstheme="minorHAnsi"/>
          <w:sz w:val="24"/>
        </w:rPr>
        <w:t>the</w:t>
      </w:r>
      <w:r w:rsidR="00D27A30" w:rsidRPr="0016581E">
        <w:rPr>
          <w:rFonts w:asciiTheme="minorHAnsi" w:hAnsiTheme="minorHAnsi" w:cstheme="minorHAnsi"/>
          <w:color w:val="000000" w:themeColor="text1"/>
          <w:sz w:val="24"/>
          <w:szCs w:val="24"/>
        </w:rPr>
        <w:t xml:space="preserve"> cost of G-CSFs would </w:t>
      </w:r>
      <w:r w:rsidR="00A83681" w:rsidRPr="0016581E">
        <w:rPr>
          <w:rFonts w:asciiTheme="minorHAnsi" w:hAnsiTheme="minorHAnsi" w:cstheme="minorHAnsi"/>
          <w:color w:val="000000" w:themeColor="text1"/>
          <w:sz w:val="24"/>
          <w:szCs w:val="24"/>
        </w:rPr>
        <w:t xml:space="preserve">potentially </w:t>
      </w:r>
      <w:r w:rsidR="00D27A30" w:rsidRPr="0016581E">
        <w:rPr>
          <w:rFonts w:asciiTheme="minorHAnsi" w:hAnsiTheme="minorHAnsi" w:cstheme="minorHAnsi"/>
          <w:color w:val="000000" w:themeColor="text1"/>
          <w:sz w:val="24"/>
          <w:szCs w:val="24"/>
        </w:rPr>
        <w:t>be incurred by hospital budgets.</w:t>
      </w:r>
      <w:r w:rsidR="00FB407D" w:rsidRPr="0016581E">
        <w:rPr>
          <w:rFonts w:asciiTheme="minorHAnsi" w:hAnsiTheme="minorHAnsi" w:cstheme="minorHAnsi"/>
          <w:color w:val="000000" w:themeColor="text1"/>
          <w:sz w:val="24"/>
          <w:szCs w:val="24"/>
        </w:rPr>
        <w:t xml:space="preserve"> The PSCR (p3) </w:t>
      </w:r>
      <w:r w:rsidR="00300A6B" w:rsidRPr="0016581E">
        <w:rPr>
          <w:rFonts w:asciiTheme="minorHAnsi" w:hAnsiTheme="minorHAnsi" w:cstheme="minorHAnsi"/>
          <w:color w:val="000000" w:themeColor="text1"/>
          <w:sz w:val="24"/>
          <w:szCs w:val="24"/>
        </w:rPr>
        <w:t xml:space="preserve">discussed </w:t>
      </w:r>
      <w:r w:rsidR="00FB407D" w:rsidRPr="0016581E">
        <w:rPr>
          <w:rFonts w:asciiTheme="minorHAnsi" w:hAnsiTheme="minorHAnsi" w:cstheme="minorHAnsi"/>
          <w:color w:val="000000" w:themeColor="text1"/>
          <w:sz w:val="24"/>
          <w:szCs w:val="24"/>
        </w:rPr>
        <w:t>that prophylactic G-CSF support is not required and G-CSF is rarely required for resolution [of neutropenia]; there is no recommendation to prescribe G-CSF in the product information, which states alternate way</w:t>
      </w:r>
      <w:r w:rsidR="00E75980" w:rsidRPr="0016581E">
        <w:rPr>
          <w:rFonts w:asciiTheme="minorHAnsi" w:hAnsiTheme="minorHAnsi" w:cstheme="minorHAnsi"/>
          <w:color w:val="000000" w:themeColor="text1"/>
          <w:sz w:val="24"/>
          <w:szCs w:val="24"/>
        </w:rPr>
        <w:t>s</w:t>
      </w:r>
      <w:r w:rsidR="00FB407D" w:rsidRPr="0016581E">
        <w:rPr>
          <w:rFonts w:asciiTheme="minorHAnsi" w:hAnsiTheme="minorHAnsi" w:cstheme="minorHAnsi"/>
          <w:color w:val="000000" w:themeColor="text1"/>
          <w:sz w:val="24"/>
          <w:szCs w:val="24"/>
        </w:rPr>
        <w:t xml:space="preserve"> to deal with neutropenia, such as dose reduction. </w:t>
      </w:r>
      <w:r w:rsidR="00300A6B" w:rsidRPr="0016581E">
        <w:rPr>
          <w:rFonts w:asciiTheme="minorHAnsi" w:hAnsiTheme="minorHAnsi" w:cstheme="minorHAnsi"/>
          <w:color w:val="000000" w:themeColor="text1"/>
          <w:sz w:val="24"/>
          <w:szCs w:val="24"/>
        </w:rPr>
        <w:t xml:space="preserve">The sponsor stated that PBAC may wish to consider whether the current PBS streamlined authority restrictions for filgrastim </w:t>
      </w:r>
      <w:r w:rsidR="00300A6B" w:rsidRPr="0016581E">
        <w:rPr>
          <w:rFonts w:asciiTheme="minorHAnsi" w:hAnsiTheme="minorHAnsi" w:cstheme="minorHAnsi"/>
          <w:color w:val="000000" w:themeColor="text1"/>
          <w:sz w:val="24"/>
          <w:szCs w:val="24"/>
        </w:rPr>
        <w:lastRenderedPageBreak/>
        <w:t>should be expanded to capture rare, unresolved occurrences of CDK4/6 inhibitor-induced high grade neutropenia.</w:t>
      </w:r>
    </w:p>
    <w:p w:rsidR="00C24185" w:rsidRPr="0016581E" w:rsidRDefault="00C24185" w:rsidP="00C24185">
      <w:pPr>
        <w:pStyle w:val="TableHeading0"/>
      </w:pPr>
      <w:r w:rsidRPr="0016581E">
        <w:t>Table 1</w:t>
      </w:r>
      <w:r w:rsidR="007C108B">
        <w:t>3</w:t>
      </w:r>
      <w:r w:rsidRPr="0016581E">
        <w:t>:</w:t>
      </w:r>
      <w:r w:rsidR="00893005" w:rsidRPr="0016581E">
        <w:t xml:space="preserve"> </w:t>
      </w:r>
      <w:r w:rsidRPr="0016581E">
        <w:t>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89"/>
        <w:gridCol w:w="937"/>
        <w:gridCol w:w="1031"/>
        <w:gridCol w:w="968"/>
        <w:gridCol w:w="1063"/>
        <w:gridCol w:w="1094"/>
      </w:tblGrid>
      <w:tr w:rsidR="00D27A30" w:rsidRPr="0016581E" w:rsidTr="00D27A30">
        <w:trPr>
          <w:tblHeader/>
        </w:trPr>
        <w:tc>
          <w:tcPr>
            <w:tcW w:w="0" w:type="auto"/>
            <w:shd w:val="clear" w:color="auto" w:fill="auto"/>
            <w:vAlign w:val="center"/>
          </w:tcPr>
          <w:p w:rsidR="00D27A30" w:rsidRPr="0016581E" w:rsidRDefault="00D27A30" w:rsidP="00D27A30">
            <w:pPr>
              <w:pStyle w:val="TableText1"/>
              <w:rPr>
                <w:szCs w:val="20"/>
              </w:rPr>
            </w:pPr>
          </w:p>
        </w:tc>
        <w:tc>
          <w:tcPr>
            <w:tcW w:w="0" w:type="auto"/>
            <w:shd w:val="clear" w:color="auto" w:fill="auto"/>
            <w:vAlign w:val="center"/>
          </w:tcPr>
          <w:p w:rsidR="00D27A30" w:rsidRPr="0016581E" w:rsidRDefault="00D27A30" w:rsidP="00D27A30">
            <w:pPr>
              <w:pStyle w:val="TableText1"/>
              <w:jc w:val="center"/>
              <w:rPr>
                <w:b/>
                <w:szCs w:val="20"/>
              </w:rPr>
            </w:pPr>
            <w:r w:rsidRPr="0016581E">
              <w:rPr>
                <w:b/>
                <w:szCs w:val="20"/>
              </w:rPr>
              <w:t>Year 1</w:t>
            </w:r>
          </w:p>
        </w:tc>
        <w:tc>
          <w:tcPr>
            <w:tcW w:w="0" w:type="auto"/>
            <w:shd w:val="clear" w:color="auto" w:fill="auto"/>
            <w:vAlign w:val="center"/>
          </w:tcPr>
          <w:p w:rsidR="00D27A30" w:rsidRPr="0016581E" w:rsidRDefault="00D27A30" w:rsidP="00D27A30">
            <w:pPr>
              <w:pStyle w:val="TableText1"/>
              <w:jc w:val="center"/>
              <w:rPr>
                <w:b/>
                <w:szCs w:val="20"/>
              </w:rPr>
            </w:pPr>
            <w:r w:rsidRPr="0016581E">
              <w:rPr>
                <w:b/>
                <w:szCs w:val="20"/>
              </w:rPr>
              <w:t>Year 2</w:t>
            </w:r>
          </w:p>
        </w:tc>
        <w:tc>
          <w:tcPr>
            <w:tcW w:w="0" w:type="auto"/>
            <w:shd w:val="clear" w:color="auto" w:fill="auto"/>
            <w:vAlign w:val="center"/>
          </w:tcPr>
          <w:p w:rsidR="00D27A30" w:rsidRPr="0016581E" w:rsidRDefault="00D27A30" w:rsidP="00D27A30">
            <w:pPr>
              <w:pStyle w:val="TableText1"/>
              <w:jc w:val="center"/>
              <w:rPr>
                <w:b/>
                <w:szCs w:val="20"/>
              </w:rPr>
            </w:pPr>
            <w:r w:rsidRPr="0016581E">
              <w:rPr>
                <w:b/>
                <w:szCs w:val="20"/>
              </w:rPr>
              <w:t>Year 3</w:t>
            </w:r>
          </w:p>
        </w:tc>
        <w:tc>
          <w:tcPr>
            <w:tcW w:w="0" w:type="auto"/>
            <w:shd w:val="clear" w:color="auto" w:fill="auto"/>
            <w:vAlign w:val="center"/>
          </w:tcPr>
          <w:p w:rsidR="00D27A30" w:rsidRPr="0016581E" w:rsidRDefault="00D27A30" w:rsidP="00D27A30">
            <w:pPr>
              <w:pStyle w:val="TableText1"/>
              <w:jc w:val="center"/>
              <w:rPr>
                <w:b/>
                <w:szCs w:val="20"/>
              </w:rPr>
            </w:pPr>
            <w:r w:rsidRPr="0016581E">
              <w:rPr>
                <w:b/>
                <w:szCs w:val="20"/>
              </w:rPr>
              <w:t>Year 4</w:t>
            </w:r>
          </w:p>
        </w:tc>
        <w:tc>
          <w:tcPr>
            <w:tcW w:w="0" w:type="auto"/>
            <w:shd w:val="clear" w:color="auto" w:fill="auto"/>
            <w:vAlign w:val="center"/>
          </w:tcPr>
          <w:p w:rsidR="00D27A30" w:rsidRPr="0016581E" w:rsidRDefault="00D27A30" w:rsidP="00D27A30">
            <w:pPr>
              <w:pStyle w:val="TableText1"/>
              <w:jc w:val="center"/>
              <w:rPr>
                <w:b/>
                <w:szCs w:val="20"/>
              </w:rPr>
            </w:pPr>
            <w:r w:rsidRPr="0016581E">
              <w:rPr>
                <w:b/>
                <w:szCs w:val="20"/>
              </w:rPr>
              <w:t>Year 5</w:t>
            </w:r>
          </w:p>
        </w:tc>
      </w:tr>
      <w:tr w:rsidR="00C24185" w:rsidRPr="0016581E" w:rsidTr="00D27A30">
        <w:tc>
          <w:tcPr>
            <w:tcW w:w="0" w:type="auto"/>
            <w:gridSpan w:val="6"/>
            <w:shd w:val="clear" w:color="auto" w:fill="auto"/>
            <w:vAlign w:val="center"/>
          </w:tcPr>
          <w:p w:rsidR="00C24185" w:rsidRPr="0016581E" w:rsidRDefault="00C24185" w:rsidP="00D27A30">
            <w:pPr>
              <w:pStyle w:val="TableText1"/>
              <w:widowControl w:val="0"/>
              <w:rPr>
                <w:b/>
                <w:bCs/>
                <w:color w:val="000000"/>
                <w:szCs w:val="20"/>
              </w:rPr>
            </w:pPr>
            <w:r w:rsidRPr="0016581E">
              <w:rPr>
                <w:b/>
                <w:bCs/>
                <w:color w:val="000000"/>
                <w:szCs w:val="20"/>
              </w:rPr>
              <w:t>Estimated extent of use</w:t>
            </w:r>
          </w:p>
        </w:tc>
      </w:tr>
      <w:tr w:rsidR="00D27A30" w:rsidRPr="0016581E" w:rsidTr="00D27A30">
        <w:tc>
          <w:tcPr>
            <w:tcW w:w="0" w:type="auto"/>
            <w:shd w:val="clear" w:color="auto" w:fill="auto"/>
            <w:vAlign w:val="center"/>
          </w:tcPr>
          <w:p w:rsidR="00D27A30" w:rsidRPr="0016581E" w:rsidRDefault="00D27A30" w:rsidP="00893005">
            <w:pPr>
              <w:pStyle w:val="TableText1"/>
              <w:keepNext w:val="0"/>
              <w:widowControl w:val="0"/>
              <w:rPr>
                <w:rFonts w:eastAsia="Times New Roman" w:cs="Times New Roman"/>
                <w:szCs w:val="20"/>
              </w:rPr>
            </w:pPr>
            <w:r w:rsidRPr="0016581E">
              <w:rPr>
                <w:szCs w:val="20"/>
              </w:rPr>
              <w:t>Number of patients treated with palbociclib</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893005">
            <w:pPr>
              <w:pStyle w:val="TableText1"/>
              <w:keepNext w:val="0"/>
              <w:widowControl w:val="0"/>
              <w:rPr>
                <w:rFonts w:eastAsia="Times New Roman" w:cs="Times New Roman"/>
                <w:szCs w:val="20"/>
              </w:rPr>
            </w:pPr>
            <w:r w:rsidRPr="0016581E">
              <w:rPr>
                <w:szCs w:val="20"/>
              </w:rPr>
              <w:t>Number of scripts dispensed of palbociclib</w:t>
            </w:r>
            <w:r w:rsidRPr="0016581E">
              <w:rPr>
                <w:szCs w:val="20"/>
                <w:vertAlign w:val="superscript"/>
              </w:rPr>
              <w:t>a</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893005">
            <w:pPr>
              <w:pStyle w:val="TableText1"/>
              <w:keepNext w:val="0"/>
              <w:widowControl w:val="0"/>
              <w:rPr>
                <w:szCs w:val="20"/>
                <w:highlight w:val="black"/>
              </w:rPr>
            </w:pPr>
            <w:r>
              <w:rPr>
                <w:noProof/>
                <w:color w:val="000000"/>
                <w:szCs w:val="20"/>
                <w:highlight w:val="black"/>
              </w:rPr>
              <w:t>'''''''''''''''''</w:t>
            </w:r>
          </w:p>
        </w:tc>
      </w:tr>
      <w:tr w:rsidR="00C24185" w:rsidRPr="0016581E" w:rsidTr="00D27A30">
        <w:tc>
          <w:tcPr>
            <w:tcW w:w="0" w:type="auto"/>
            <w:gridSpan w:val="6"/>
            <w:shd w:val="clear" w:color="auto" w:fill="auto"/>
            <w:vAlign w:val="center"/>
          </w:tcPr>
          <w:p w:rsidR="00C24185" w:rsidRPr="0016581E" w:rsidRDefault="00C24185" w:rsidP="00893005">
            <w:pPr>
              <w:pStyle w:val="TableText1"/>
              <w:keepNext w:val="0"/>
              <w:widowControl w:val="0"/>
              <w:rPr>
                <w:b/>
                <w:bCs/>
                <w:color w:val="000000"/>
                <w:szCs w:val="20"/>
              </w:rPr>
            </w:pPr>
            <w:r w:rsidRPr="0016581E">
              <w:rPr>
                <w:b/>
                <w:bCs/>
                <w:color w:val="000000"/>
                <w:szCs w:val="20"/>
              </w:rPr>
              <w:t xml:space="preserve">Estimated financial implications of </w:t>
            </w:r>
            <w:r w:rsidR="00893005" w:rsidRPr="0016581E">
              <w:rPr>
                <w:b/>
                <w:bCs/>
                <w:color w:val="000000"/>
                <w:szCs w:val="20"/>
              </w:rPr>
              <w:t>palbociclib</w:t>
            </w:r>
            <w:r w:rsidR="00485F75" w:rsidRPr="0016581E">
              <w:rPr>
                <w:b/>
                <w:bCs/>
                <w:color w:val="000000"/>
                <w:szCs w:val="20"/>
              </w:rPr>
              <w:t xml:space="preserve"> + NSAI</w:t>
            </w:r>
            <w:r w:rsidR="002B2672" w:rsidRPr="0016581E">
              <w:rPr>
                <w:b/>
                <w:bCs/>
                <w:color w:val="000000"/>
                <w:szCs w:val="20"/>
              </w:rPr>
              <w:t xml:space="preserve"> </w:t>
            </w:r>
            <w:r w:rsidR="002B2672" w:rsidRPr="0016581E">
              <w:rPr>
                <w:b/>
                <w:szCs w:val="20"/>
              </w:rPr>
              <w:t>($)</w:t>
            </w:r>
          </w:p>
        </w:tc>
      </w:tr>
      <w:tr w:rsidR="00D27A30" w:rsidRPr="0016581E" w:rsidTr="00D27A30">
        <w:tc>
          <w:tcPr>
            <w:tcW w:w="0" w:type="auto"/>
            <w:shd w:val="clear" w:color="auto" w:fill="auto"/>
            <w:vAlign w:val="center"/>
          </w:tcPr>
          <w:p w:rsidR="00D27A30" w:rsidRPr="0016581E" w:rsidRDefault="00D27A30" w:rsidP="00D17609">
            <w:pPr>
              <w:pStyle w:val="TableText1"/>
              <w:keepNext w:val="0"/>
              <w:widowControl w:val="0"/>
              <w:rPr>
                <w:rFonts w:eastAsia="Times New Roman" w:cs="Times New Roman"/>
                <w:szCs w:val="20"/>
              </w:rPr>
            </w:pPr>
            <w:r w:rsidRPr="0016581E">
              <w:rPr>
                <w:szCs w:val="20"/>
              </w:rPr>
              <w:t>Cost to PBS/RPBS</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485F75">
            <w:pPr>
              <w:pStyle w:val="TableText1"/>
              <w:keepNext w:val="0"/>
              <w:widowControl w:val="0"/>
              <w:rPr>
                <w:szCs w:val="20"/>
              </w:rPr>
            </w:pPr>
            <w:r w:rsidRPr="0016581E">
              <w:rPr>
                <w:szCs w:val="20"/>
              </w:rPr>
              <w:t>Copayments</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485F75">
            <w:pPr>
              <w:pStyle w:val="TableText1"/>
              <w:keepNext w:val="0"/>
              <w:widowControl w:val="0"/>
              <w:rPr>
                <w:szCs w:val="20"/>
              </w:rPr>
            </w:pPr>
            <w:r w:rsidRPr="0016581E">
              <w:rPr>
                <w:szCs w:val="20"/>
              </w:rPr>
              <w:t>Cost to PBS/RPBS less copayments</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C24185" w:rsidRPr="0016581E" w:rsidTr="00D27A30">
        <w:tc>
          <w:tcPr>
            <w:tcW w:w="0" w:type="auto"/>
            <w:gridSpan w:val="6"/>
            <w:shd w:val="clear" w:color="auto" w:fill="auto"/>
            <w:vAlign w:val="center"/>
          </w:tcPr>
          <w:p w:rsidR="00C24185" w:rsidRPr="0016581E" w:rsidRDefault="00C24185" w:rsidP="00D27A30">
            <w:pPr>
              <w:pStyle w:val="TableText1"/>
              <w:keepNext w:val="0"/>
              <w:widowControl w:val="0"/>
              <w:rPr>
                <w:bCs/>
                <w:color w:val="000000"/>
                <w:szCs w:val="20"/>
              </w:rPr>
            </w:pPr>
            <w:r w:rsidRPr="0016581E">
              <w:rPr>
                <w:b/>
                <w:bCs/>
                <w:color w:val="000000"/>
                <w:szCs w:val="20"/>
              </w:rPr>
              <w:t xml:space="preserve">Estimated financial implications for </w:t>
            </w:r>
            <w:r w:rsidR="00D27A30" w:rsidRPr="0016581E">
              <w:rPr>
                <w:b/>
                <w:bCs/>
                <w:color w:val="000000"/>
                <w:szCs w:val="20"/>
              </w:rPr>
              <w:t>endocrine therapies</w:t>
            </w:r>
            <w:r w:rsidR="002B2672" w:rsidRPr="0016581E">
              <w:rPr>
                <w:b/>
                <w:bCs/>
                <w:color w:val="000000"/>
                <w:szCs w:val="20"/>
              </w:rPr>
              <w:t xml:space="preserve"> </w:t>
            </w:r>
            <w:r w:rsidR="002B2672" w:rsidRPr="0016581E">
              <w:rPr>
                <w:b/>
                <w:szCs w:val="20"/>
              </w:rPr>
              <w:t>($)</w:t>
            </w:r>
          </w:p>
        </w:tc>
      </w:tr>
      <w:tr w:rsidR="00D27A30" w:rsidRPr="0016581E" w:rsidTr="00D27A30">
        <w:tc>
          <w:tcPr>
            <w:tcW w:w="0" w:type="auto"/>
            <w:shd w:val="clear" w:color="auto" w:fill="auto"/>
            <w:vAlign w:val="center"/>
          </w:tcPr>
          <w:p w:rsidR="00D27A30" w:rsidRPr="0016581E" w:rsidRDefault="00D27A30" w:rsidP="00485F75">
            <w:pPr>
              <w:pStyle w:val="TableText1"/>
              <w:keepNext w:val="0"/>
              <w:widowControl w:val="0"/>
              <w:rPr>
                <w:szCs w:val="20"/>
              </w:rPr>
            </w:pPr>
            <w:r w:rsidRPr="0016581E">
              <w:rPr>
                <w:szCs w:val="20"/>
              </w:rPr>
              <w:t>Cost to PBS/RPBS</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485F75">
            <w:pPr>
              <w:pStyle w:val="TableText1"/>
              <w:keepNext w:val="0"/>
              <w:widowControl w:val="0"/>
              <w:rPr>
                <w:szCs w:val="20"/>
              </w:rPr>
            </w:pPr>
            <w:r w:rsidRPr="0016581E">
              <w:rPr>
                <w:szCs w:val="20"/>
              </w:rPr>
              <w:t>Copayments</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485F75">
            <w:pPr>
              <w:pStyle w:val="TableText1"/>
              <w:keepNext w:val="0"/>
              <w:widowControl w:val="0"/>
              <w:rPr>
                <w:szCs w:val="20"/>
              </w:rPr>
            </w:pPr>
            <w:r w:rsidRPr="0016581E">
              <w:rPr>
                <w:szCs w:val="20"/>
              </w:rPr>
              <w:t>Cost to PBS/RPBS less copayments</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C24185" w:rsidRPr="0016581E" w:rsidTr="00D27A30">
        <w:tc>
          <w:tcPr>
            <w:tcW w:w="0" w:type="auto"/>
            <w:gridSpan w:val="6"/>
            <w:shd w:val="clear" w:color="auto" w:fill="auto"/>
            <w:vAlign w:val="center"/>
          </w:tcPr>
          <w:p w:rsidR="00C24185" w:rsidRPr="0016581E" w:rsidRDefault="00C24185" w:rsidP="00C24185">
            <w:pPr>
              <w:pStyle w:val="TableText1"/>
              <w:keepNext w:val="0"/>
              <w:widowControl w:val="0"/>
              <w:rPr>
                <w:b/>
                <w:bCs/>
                <w:color w:val="000000"/>
                <w:szCs w:val="20"/>
              </w:rPr>
            </w:pPr>
            <w:r w:rsidRPr="0016581E">
              <w:rPr>
                <w:b/>
                <w:bCs/>
                <w:color w:val="000000"/>
                <w:szCs w:val="20"/>
              </w:rPr>
              <w:t>Net financial implications</w:t>
            </w:r>
            <w:r w:rsidR="002B2672" w:rsidRPr="0016581E">
              <w:rPr>
                <w:b/>
                <w:bCs/>
                <w:color w:val="000000"/>
                <w:szCs w:val="20"/>
              </w:rPr>
              <w:t xml:space="preserve"> </w:t>
            </w:r>
            <w:r w:rsidR="002B2672" w:rsidRPr="0016581E">
              <w:rPr>
                <w:b/>
                <w:szCs w:val="20"/>
              </w:rPr>
              <w:t>($)</w:t>
            </w:r>
          </w:p>
        </w:tc>
      </w:tr>
      <w:tr w:rsidR="00D27A30" w:rsidRPr="0016581E" w:rsidTr="00D27A30">
        <w:tc>
          <w:tcPr>
            <w:tcW w:w="0" w:type="auto"/>
            <w:shd w:val="clear" w:color="auto" w:fill="auto"/>
            <w:vAlign w:val="center"/>
          </w:tcPr>
          <w:p w:rsidR="00D27A30" w:rsidRPr="0016581E" w:rsidRDefault="00D27A30" w:rsidP="00485F75">
            <w:pPr>
              <w:pStyle w:val="TableText1"/>
              <w:keepNext w:val="0"/>
              <w:widowControl w:val="0"/>
              <w:rPr>
                <w:szCs w:val="20"/>
              </w:rPr>
            </w:pPr>
            <w:r w:rsidRPr="0016581E">
              <w:rPr>
                <w:szCs w:val="20"/>
              </w:rPr>
              <w:t>Net cost to PBS/RPBS (including filgrastim)</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D27A30">
            <w:pPr>
              <w:pStyle w:val="TableText1"/>
              <w:keepNext w:val="0"/>
              <w:widowControl w:val="0"/>
              <w:rPr>
                <w:szCs w:val="20"/>
              </w:rPr>
            </w:pPr>
            <w:r w:rsidRPr="0016581E">
              <w:rPr>
                <w:szCs w:val="20"/>
              </w:rPr>
              <w:t>Net cost to PBS/RPBS (excluding G-CSF)</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c>
          <w:tcPr>
            <w:tcW w:w="0" w:type="auto"/>
            <w:shd w:val="clear" w:color="auto" w:fill="auto"/>
            <w:vAlign w:val="bottom"/>
          </w:tcPr>
          <w:p w:rsidR="00D27A30" w:rsidRPr="00DE0B8F" w:rsidRDefault="00DE0B8F" w:rsidP="00485F75">
            <w:pPr>
              <w:pStyle w:val="TableText1"/>
              <w:keepNext w:val="0"/>
              <w:widowControl w:val="0"/>
              <w:rPr>
                <w:szCs w:val="20"/>
                <w:highlight w:val="black"/>
              </w:rPr>
            </w:pPr>
            <w:r>
              <w:rPr>
                <w:noProof/>
                <w:color w:val="000000"/>
                <w:szCs w:val="20"/>
                <w:highlight w:val="black"/>
              </w:rPr>
              <w:t>''''''''''''''''''''''''''''''''</w:t>
            </w:r>
          </w:p>
        </w:tc>
      </w:tr>
      <w:tr w:rsidR="00D27A30" w:rsidRPr="0016581E" w:rsidTr="00D27A30">
        <w:tc>
          <w:tcPr>
            <w:tcW w:w="0" w:type="auto"/>
            <w:shd w:val="clear" w:color="auto" w:fill="auto"/>
            <w:vAlign w:val="center"/>
          </w:tcPr>
          <w:p w:rsidR="00D27A30" w:rsidRPr="0016581E" w:rsidRDefault="00D27A30" w:rsidP="0025423A">
            <w:pPr>
              <w:pStyle w:val="TableText1"/>
              <w:keepNext w:val="0"/>
              <w:widowControl w:val="0"/>
              <w:rPr>
                <w:rFonts w:eastAsia="Times New Roman" w:cs="Times New Roman"/>
                <w:szCs w:val="20"/>
              </w:rPr>
            </w:pPr>
            <w:r w:rsidRPr="0016581E">
              <w:rPr>
                <w:szCs w:val="20"/>
              </w:rPr>
              <w:t>Net cost to MBS</w:t>
            </w:r>
          </w:p>
        </w:tc>
        <w:tc>
          <w:tcPr>
            <w:tcW w:w="0" w:type="auto"/>
            <w:shd w:val="clear" w:color="auto" w:fill="auto"/>
            <w:vAlign w:val="center"/>
          </w:tcPr>
          <w:p w:rsidR="00D27A30" w:rsidRPr="00DE0B8F" w:rsidRDefault="00DE0B8F" w:rsidP="0025423A">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25423A">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25423A">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25423A">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25423A">
            <w:pPr>
              <w:pStyle w:val="TableText1"/>
              <w:keepNext w:val="0"/>
              <w:widowControl w:val="0"/>
              <w:rPr>
                <w:bCs/>
                <w:color w:val="000000"/>
                <w:szCs w:val="20"/>
                <w:highlight w:val="black"/>
              </w:rPr>
            </w:pPr>
            <w:r>
              <w:rPr>
                <w:bCs/>
                <w:noProof/>
                <w:color w:val="000000"/>
                <w:szCs w:val="20"/>
                <w:highlight w:val="black"/>
              </w:rPr>
              <w:t>''''</w:t>
            </w:r>
          </w:p>
        </w:tc>
      </w:tr>
      <w:tr w:rsidR="00D27A30" w:rsidRPr="0016581E" w:rsidTr="00D27A30">
        <w:tc>
          <w:tcPr>
            <w:tcW w:w="0" w:type="auto"/>
            <w:gridSpan w:val="6"/>
            <w:shd w:val="clear" w:color="auto" w:fill="auto"/>
            <w:vAlign w:val="center"/>
          </w:tcPr>
          <w:p w:rsidR="00D27A30" w:rsidRPr="0016581E" w:rsidRDefault="00D27A30" w:rsidP="0025423A">
            <w:pPr>
              <w:pStyle w:val="TableText1"/>
              <w:keepNext w:val="0"/>
              <w:widowControl w:val="0"/>
              <w:rPr>
                <w:bCs/>
                <w:color w:val="000000"/>
                <w:szCs w:val="20"/>
              </w:rPr>
            </w:pPr>
            <w:r w:rsidRPr="0016581E">
              <w:rPr>
                <w:b/>
                <w:szCs w:val="20"/>
              </w:rPr>
              <w:t>March 2017 submission</w:t>
            </w:r>
          </w:p>
        </w:tc>
      </w:tr>
      <w:tr w:rsidR="00D27A30" w:rsidRPr="0016581E" w:rsidTr="00D27A30">
        <w:tc>
          <w:tcPr>
            <w:tcW w:w="0" w:type="auto"/>
            <w:shd w:val="clear" w:color="auto" w:fill="auto"/>
            <w:vAlign w:val="center"/>
          </w:tcPr>
          <w:p w:rsidR="00D27A30" w:rsidRPr="0016581E" w:rsidRDefault="00D27A30" w:rsidP="00D27A30">
            <w:pPr>
              <w:pStyle w:val="TableText1"/>
              <w:keepNext w:val="0"/>
              <w:widowControl w:val="0"/>
              <w:rPr>
                <w:szCs w:val="20"/>
              </w:rPr>
            </w:pPr>
            <w:r w:rsidRPr="0016581E">
              <w:rPr>
                <w:szCs w:val="20"/>
              </w:rPr>
              <w:t>Number of patients treated</w:t>
            </w:r>
          </w:p>
        </w:tc>
        <w:tc>
          <w:tcPr>
            <w:tcW w:w="0" w:type="auto"/>
            <w:shd w:val="clear" w:color="auto" w:fill="auto"/>
            <w:vAlign w:val="center"/>
          </w:tcPr>
          <w:p w:rsidR="00D27A30" w:rsidRPr="00DE0B8F" w:rsidRDefault="00DE0B8F" w:rsidP="00D27A30">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D27A30">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D27A30">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D27A30">
            <w:pPr>
              <w:pStyle w:val="TableText1"/>
              <w:keepNext w:val="0"/>
              <w:widowControl w:val="0"/>
              <w:rPr>
                <w:bCs/>
                <w:color w:val="000000"/>
                <w:szCs w:val="20"/>
                <w:highlight w:val="black"/>
              </w:rPr>
            </w:pPr>
            <w:r>
              <w:rPr>
                <w:bCs/>
                <w:noProof/>
                <w:color w:val="000000"/>
                <w:szCs w:val="20"/>
                <w:highlight w:val="black"/>
              </w:rPr>
              <w:t>''''''''''''''</w:t>
            </w:r>
          </w:p>
        </w:tc>
        <w:tc>
          <w:tcPr>
            <w:tcW w:w="0" w:type="auto"/>
            <w:shd w:val="clear" w:color="auto" w:fill="auto"/>
            <w:vAlign w:val="center"/>
          </w:tcPr>
          <w:p w:rsidR="00D27A30" w:rsidRPr="00DE0B8F" w:rsidRDefault="00DE0B8F" w:rsidP="00D27A30">
            <w:pPr>
              <w:pStyle w:val="TableText1"/>
              <w:keepNext w:val="0"/>
              <w:widowControl w:val="0"/>
              <w:rPr>
                <w:bCs/>
                <w:color w:val="000000"/>
                <w:szCs w:val="20"/>
                <w:highlight w:val="black"/>
              </w:rPr>
            </w:pPr>
            <w:r>
              <w:rPr>
                <w:bCs/>
                <w:noProof/>
                <w:color w:val="000000"/>
                <w:szCs w:val="20"/>
                <w:highlight w:val="black"/>
              </w:rPr>
              <w:t>'''''''''''''''</w:t>
            </w:r>
          </w:p>
        </w:tc>
      </w:tr>
      <w:tr w:rsidR="00801D38" w:rsidRPr="0016581E" w:rsidTr="00D27A30">
        <w:tc>
          <w:tcPr>
            <w:tcW w:w="0" w:type="auto"/>
            <w:shd w:val="clear" w:color="auto" w:fill="auto"/>
            <w:vAlign w:val="center"/>
          </w:tcPr>
          <w:p w:rsidR="00801D38" w:rsidRPr="0016581E" w:rsidRDefault="00801D38" w:rsidP="00801D38">
            <w:pPr>
              <w:pStyle w:val="TableText1"/>
              <w:keepNext w:val="0"/>
              <w:widowControl w:val="0"/>
              <w:rPr>
                <w:szCs w:val="20"/>
              </w:rPr>
            </w:pPr>
            <w:r w:rsidRPr="0016581E">
              <w:rPr>
                <w:bCs/>
                <w:color w:val="000000"/>
                <w:szCs w:val="20"/>
              </w:rPr>
              <w:t>Estimated financial implications of palbociclib + NSAI, cost to PBS/RPBS less copayments ($)</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r>
      <w:tr w:rsidR="00801D38" w:rsidRPr="0016581E" w:rsidTr="00D27A30">
        <w:tc>
          <w:tcPr>
            <w:tcW w:w="0" w:type="auto"/>
            <w:shd w:val="clear" w:color="auto" w:fill="auto"/>
            <w:vAlign w:val="center"/>
          </w:tcPr>
          <w:p w:rsidR="00801D38" w:rsidRPr="0016581E" w:rsidRDefault="00801D38" w:rsidP="00801D38">
            <w:pPr>
              <w:pStyle w:val="TableText1"/>
              <w:keepNext w:val="0"/>
              <w:widowControl w:val="0"/>
              <w:rPr>
                <w:szCs w:val="20"/>
              </w:rPr>
            </w:pPr>
            <w:r w:rsidRPr="0016581E">
              <w:rPr>
                <w:szCs w:val="20"/>
              </w:rPr>
              <w:t>Net cost to PBS/RPBS ($)</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noProof/>
                <w:color w:val="000000"/>
                <w:szCs w:val="20"/>
                <w:highlight w:val="black"/>
              </w:rPr>
              <w:t>'''''''''''''''''''''''''''''''''</w:t>
            </w:r>
          </w:p>
        </w:tc>
      </w:tr>
      <w:tr w:rsidR="00801D38" w:rsidRPr="0016581E" w:rsidTr="00D27A30">
        <w:tc>
          <w:tcPr>
            <w:tcW w:w="0" w:type="auto"/>
            <w:shd w:val="clear" w:color="auto" w:fill="auto"/>
            <w:vAlign w:val="center"/>
          </w:tcPr>
          <w:p w:rsidR="00801D38" w:rsidRPr="0016581E" w:rsidRDefault="00801D38" w:rsidP="00801D38">
            <w:pPr>
              <w:pStyle w:val="TableText1"/>
              <w:keepNext w:val="0"/>
              <w:widowControl w:val="0"/>
              <w:rPr>
                <w:szCs w:val="20"/>
              </w:rPr>
            </w:pPr>
            <w:r w:rsidRPr="0016581E">
              <w:rPr>
                <w:szCs w:val="20"/>
              </w:rPr>
              <w:t>Net cost to MBS ($)</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rFonts w:eastAsia="Arial"/>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rFonts w:eastAsia="Arial"/>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rFonts w:eastAsia="Arial"/>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rFonts w:eastAsia="Arial"/>
                <w:noProof/>
                <w:color w:val="000000"/>
                <w:szCs w:val="20"/>
                <w:highlight w:val="black"/>
              </w:rPr>
              <w:t>''''</w:t>
            </w:r>
          </w:p>
        </w:tc>
        <w:tc>
          <w:tcPr>
            <w:tcW w:w="0" w:type="auto"/>
            <w:shd w:val="clear" w:color="auto" w:fill="auto"/>
            <w:vAlign w:val="center"/>
          </w:tcPr>
          <w:p w:rsidR="00801D38" w:rsidRPr="00DE0B8F" w:rsidRDefault="00DE0B8F" w:rsidP="00801D38">
            <w:pPr>
              <w:pStyle w:val="TableText1"/>
              <w:keepNext w:val="0"/>
              <w:widowControl w:val="0"/>
              <w:rPr>
                <w:bCs/>
                <w:color w:val="000000"/>
                <w:szCs w:val="20"/>
                <w:highlight w:val="black"/>
              </w:rPr>
            </w:pPr>
            <w:r>
              <w:rPr>
                <w:rFonts w:eastAsia="Arial"/>
                <w:noProof/>
                <w:color w:val="000000"/>
                <w:szCs w:val="20"/>
                <w:highlight w:val="black"/>
              </w:rPr>
              <w:t>''''</w:t>
            </w:r>
          </w:p>
        </w:tc>
      </w:tr>
    </w:tbl>
    <w:p w:rsidR="00C24185" w:rsidRPr="0016581E" w:rsidRDefault="00C24185" w:rsidP="00C24185">
      <w:pPr>
        <w:rPr>
          <w:rFonts w:ascii="Arial Narrow" w:hAnsi="Arial Narrow"/>
          <w:sz w:val="18"/>
        </w:rPr>
      </w:pPr>
      <w:r w:rsidRPr="0016581E">
        <w:rPr>
          <w:rFonts w:ascii="Arial Narrow" w:hAnsi="Arial Narrow"/>
          <w:sz w:val="18"/>
        </w:rPr>
        <w:t>a</w:t>
      </w:r>
      <w:r w:rsidR="00792D4F" w:rsidRPr="0016581E">
        <w:rPr>
          <w:rFonts w:ascii="Arial Narrow" w:hAnsi="Arial Narrow"/>
          <w:sz w:val="18"/>
        </w:rPr>
        <w:t xml:space="preserve">. </w:t>
      </w:r>
      <w:r w:rsidRPr="0016581E">
        <w:rPr>
          <w:rFonts w:ascii="Arial Narrow" w:hAnsi="Arial Narrow"/>
          <w:sz w:val="18"/>
        </w:rPr>
        <w:t xml:space="preserve">Assuming </w:t>
      </w:r>
      <w:r w:rsidR="00893005" w:rsidRPr="0016581E">
        <w:rPr>
          <w:rFonts w:ascii="Arial Narrow" w:hAnsi="Arial Narrow"/>
          <w:sz w:val="18"/>
        </w:rPr>
        <w:t>26 per course</w:t>
      </w:r>
      <w:r w:rsidRPr="0016581E">
        <w:rPr>
          <w:rFonts w:ascii="Arial Narrow" w:hAnsi="Arial Narrow"/>
          <w:sz w:val="18"/>
        </w:rPr>
        <w:t xml:space="preserve"> as estimated by the</w:t>
      </w:r>
      <w:r w:rsidR="00893005" w:rsidRPr="0016581E">
        <w:rPr>
          <w:rFonts w:ascii="Arial Narrow" w:hAnsi="Arial Narrow"/>
          <w:sz w:val="18"/>
        </w:rPr>
        <w:t xml:space="preserve"> re-</w:t>
      </w:r>
      <w:r w:rsidRPr="0016581E">
        <w:rPr>
          <w:rFonts w:ascii="Arial Narrow" w:hAnsi="Arial Narrow"/>
          <w:sz w:val="18"/>
        </w:rPr>
        <w:t>submission.</w:t>
      </w:r>
    </w:p>
    <w:p w:rsidR="00801D38" w:rsidRDefault="00C24185" w:rsidP="00542941">
      <w:pPr>
        <w:rPr>
          <w:rFonts w:ascii="Arial Narrow" w:hAnsi="Arial Narrow"/>
          <w:sz w:val="18"/>
        </w:rPr>
      </w:pPr>
      <w:r w:rsidRPr="0016581E">
        <w:rPr>
          <w:rFonts w:ascii="Arial Narrow" w:hAnsi="Arial Narrow"/>
          <w:sz w:val="18"/>
        </w:rPr>
        <w:t xml:space="preserve">Source: </w:t>
      </w:r>
      <w:r w:rsidR="00801D38" w:rsidRPr="0016581E">
        <w:rPr>
          <w:rFonts w:ascii="Arial Narrow" w:hAnsi="Arial Narrow"/>
          <w:sz w:val="18"/>
        </w:rPr>
        <w:t>Table E.2.6, p281, Table E.2.4 p280, Table E.2.10-11 p284-5, Table E.3.4, p288 and Table E.4.1, p289 of the re-submission, and Table E.2.5, Table E.2.6 p252 and Table E.2.10 p255 and Table E.2.11, p256 of the</w:t>
      </w:r>
      <w:r w:rsidR="00542941" w:rsidRPr="0016581E">
        <w:rPr>
          <w:rFonts w:ascii="Arial Narrow" w:hAnsi="Arial Narrow"/>
          <w:sz w:val="18"/>
        </w:rPr>
        <w:t xml:space="preserve"> previous</w:t>
      </w:r>
      <w:r w:rsidR="00801D38" w:rsidRPr="0016581E">
        <w:rPr>
          <w:rFonts w:ascii="Arial Narrow" w:hAnsi="Arial Narrow"/>
          <w:sz w:val="18"/>
        </w:rPr>
        <w:t xml:space="preserve"> submission</w:t>
      </w:r>
    </w:p>
    <w:p w:rsidR="001E5C8E" w:rsidRDefault="001E5C8E" w:rsidP="00542941">
      <w:pPr>
        <w:rPr>
          <w:rFonts w:ascii="Arial Narrow" w:hAnsi="Arial Narrow"/>
          <w:sz w:val="18"/>
        </w:rPr>
      </w:pPr>
    </w:p>
    <w:p w:rsidR="001E5C8E" w:rsidRPr="00E01024" w:rsidRDefault="001E5C8E" w:rsidP="00542941">
      <w:pPr>
        <w:rPr>
          <w:rFonts w:asciiTheme="minorHAnsi" w:hAnsiTheme="minorHAnsi"/>
          <w:sz w:val="20"/>
        </w:rPr>
      </w:pPr>
      <w:r w:rsidRPr="00E01024">
        <w:rPr>
          <w:rFonts w:asciiTheme="minorHAnsi" w:hAnsiTheme="minorHAnsi"/>
          <w:color w:val="000000" w:themeColor="text1"/>
          <w:sz w:val="24"/>
        </w:rPr>
        <w:t>The redacted table shows that at year 5, the estimated number of patien</w:t>
      </w:r>
      <w:r w:rsidR="00E01024" w:rsidRPr="00E01024">
        <w:rPr>
          <w:rFonts w:asciiTheme="minorHAnsi" w:hAnsiTheme="minorHAnsi"/>
          <w:color w:val="000000" w:themeColor="text1"/>
          <w:sz w:val="24"/>
        </w:rPr>
        <w:t>ts was less than 10,000 per year</w:t>
      </w:r>
      <w:r w:rsidR="00C762C3">
        <w:rPr>
          <w:rFonts w:asciiTheme="minorHAnsi" w:hAnsiTheme="minorHAnsi"/>
          <w:color w:val="000000" w:themeColor="text1"/>
          <w:sz w:val="24"/>
        </w:rPr>
        <w:t xml:space="preserve"> </w:t>
      </w:r>
      <w:r w:rsidR="00C762C3" w:rsidRPr="00C762C3">
        <w:rPr>
          <w:rFonts w:asciiTheme="minorHAnsi" w:hAnsiTheme="minorHAnsi"/>
          <w:color w:val="000000" w:themeColor="text1"/>
          <w:sz w:val="24"/>
        </w:rPr>
        <w:t>the net cost to the PBS would be</w:t>
      </w:r>
      <w:r w:rsidR="00C762C3">
        <w:rPr>
          <w:rFonts w:asciiTheme="minorHAnsi" w:hAnsiTheme="minorHAnsi"/>
          <w:color w:val="000000" w:themeColor="text1"/>
          <w:sz w:val="24"/>
        </w:rPr>
        <w:t xml:space="preserve"> more than $100 million per year</w:t>
      </w:r>
      <w:r w:rsidRPr="00E01024">
        <w:rPr>
          <w:rFonts w:asciiTheme="minorHAnsi" w:hAnsiTheme="minorHAnsi"/>
          <w:color w:val="000000" w:themeColor="text1"/>
          <w:sz w:val="24"/>
        </w:rPr>
        <w:t>.</w:t>
      </w:r>
    </w:p>
    <w:p w:rsidR="0047718F" w:rsidRPr="0016581E" w:rsidRDefault="0047718F"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The total net financial cost for the PBS/RPBS was estimated to be </w:t>
      </w:r>
      <w:r w:rsidR="00E01024" w:rsidRPr="00E01024">
        <w:rPr>
          <w:rFonts w:asciiTheme="minorHAnsi" w:hAnsiTheme="minorHAnsi" w:cstheme="minorHAnsi"/>
          <w:color w:val="000000" w:themeColor="text1"/>
          <w:sz w:val="24"/>
          <w:szCs w:val="24"/>
        </w:rPr>
        <w:t xml:space="preserve">more than $100 million </w:t>
      </w:r>
      <w:r w:rsidRPr="0016581E">
        <w:rPr>
          <w:rFonts w:asciiTheme="minorHAnsi" w:hAnsiTheme="minorHAnsi" w:cstheme="minorHAnsi"/>
          <w:color w:val="000000" w:themeColor="text1"/>
          <w:sz w:val="24"/>
          <w:szCs w:val="24"/>
        </w:rPr>
        <w:t xml:space="preserve">over </w:t>
      </w:r>
      <w:r w:rsidR="00801D38" w:rsidRPr="0016581E">
        <w:rPr>
          <w:rFonts w:asciiTheme="minorHAnsi" w:hAnsiTheme="minorHAnsi" w:cstheme="minorHAnsi"/>
          <w:color w:val="000000" w:themeColor="text1"/>
          <w:sz w:val="24"/>
          <w:szCs w:val="24"/>
        </w:rPr>
        <w:t>5</w:t>
      </w:r>
      <w:r w:rsidRPr="0016581E">
        <w:rPr>
          <w:rFonts w:asciiTheme="minorHAnsi" w:hAnsiTheme="minorHAnsi" w:cstheme="minorHAnsi"/>
          <w:color w:val="000000" w:themeColor="text1"/>
          <w:sz w:val="24"/>
          <w:szCs w:val="24"/>
        </w:rPr>
        <w:t xml:space="preserve"> years.</w:t>
      </w:r>
      <w:r w:rsidR="00801D38" w:rsidRPr="0016581E">
        <w:rPr>
          <w:rFonts w:asciiTheme="minorHAnsi" w:hAnsiTheme="minorHAnsi" w:cstheme="minorHAnsi"/>
          <w:color w:val="000000" w:themeColor="text1"/>
          <w:sz w:val="24"/>
          <w:szCs w:val="24"/>
        </w:rPr>
        <w:t xml:space="preserve"> This is changed </w:t>
      </w:r>
      <w:r w:rsidR="00801D38" w:rsidRPr="00E01024">
        <w:rPr>
          <w:rFonts w:asciiTheme="minorHAnsi" w:hAnsiTheme="minorHAnsi" w:cstheme="minorHAnsi"/>
          <w:color w:val="000000" w:themeColor="text1"/>
          <w:sz w:val="24"/>
          <w:szCs w:val="24"/>
        </w:rPr>
        <w:t>from</w:t>
      </w:r>
      <w:r w:rsidR="00801D38" w:rsidRPr="0016581E">
        <w:rPr>
          <w:rFonts w:asciiTheme="minorHAnsi" w:hAnsiTheme="minorHAnsi" w:cstheme="minorHAnsi"/>
          <w:color w:val="000000" w:themeColor="text1"/>
          <w:sz w:val="24"/>
          <w:szCs w:val="24"/>
        </w:rPr>
        <w:t xml:space="preserve"> the previous submission, which estimated the total net financial cost for the PBS/RPBS to be </w:t>
      </w:r>
      <w:r w:rsidR="00E01024" w:rsidRPr="00E01024">
        <w:rPr>
          <w:rFonts w:asciiTheme="minorHAnsi" w:hAnsiTheme="minorHAnsi" w:cstheme="minorHAnsi"/>
          <w:color w:val="000000" w:themeColor="text1"/>
          <w:sz w:val="24"/>
          <w:szCs w:val="24"/>
        </w:rPr>
        <w:t xml:space="preserve">more than $100 </w:t>
      </w:r>
      <w:proofErr w:type="gramStart"/>
      <w:r w:rsidR="00E01024" w:rsidRPr="00E01024">
        <w:rPr>
          <w:rFonts w:asciiTheme="minorHAnsi" w:hAnsiTheme="minorHAnsi" w:cstheme="minorHAnsi"/>
          <w:color w:val="000000" w:themeColor="text1"/>
          <w:sz w:val="24"/>
          <w:szCs w:val="24"/>
        </w:rPr>
        <w:t xml:space="preserve">million </w:t>
      </w:r>
      <w:r w:rsidR="00801D38" w:rsidRPr="0016581E">
        <w:rPr>
          <w:rFonts w:asciiTheme="minorHAnsi" w:hAnsiTheme="minorHAnsi" w:cstheme="minorHAnsi"/>
          <w:color w:val="000000" w:themeColor="text1"/>
          <w:sz w:val="24"/>
          <w:szCs w:val="24"/>
        </w:rPr>
        <w:t xml:space="preserve"> over</w:t>
      </w:r>
      <w:proofErr w:type="gramEnd"/>
      <w:r w:rsidR="00801D38" w:rsidRPr="0016581E">
        <w:rPr>
          <w:rFonts w:asciiTheme="minorHAnsi" w:hAnsiTheme="minorHAnsi" w:cstheme="minorHAnsi"/>
          <w:color w:val="000000" w:themeColor="text1"/>
          <w:sz w:val="24"/>
          <w:szCs w:val="24"/>
        </w:rPr>
        <w:t xml:space="preserve"> 5 years, largely due to the reduced proposed effective DPMQ for palbociclib.</w:t>
      </w:r>
    </w:p>
    <w:p w:rsidR="00C24185" w:rsidRPr="0016581E" w:rsidRDefault="00C24185" w:rsidP="00270E23">
      <w:pPr>
        <w:pStyle w:val="ListParagraph"/>
        <w:numPr>
          <w:ilvl w:val="1"/>
          <w:numId w:val="5"/>
        </w:numPr>
        <w:spacing w:before="120" w:after="160"/>
        <w:ind w:left="709" w:hanging="709"/>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There is potential for the net cost to the PBS to be greater than the estimate </w:t>
      </w:r>
      <w:r w:rsidR="00F00946" w:rsidRPr="0016581E">
        <w:rPr>
          <w:rFonts w:asciiTheme="minorHAnsi" w:hAnsiTheme="minorHAnsi" w:cstheme="minorHAnsi"/>
          <w:color w:val="000000" w:themeColor="text1"/>
          <w:sz w:val="24"/>
          <w:szCs w:val="24"/>
        </w:rPr>
        <w:t>in</w:t>
      </w:r>
      <w:r w:rsidR="006127E4" w:rsidRPr="0016581E">
        <w:rPr>
          <w:rFonts w:asciiTheme="minorHAnsi" w:hAnsiTheme="minorHAnsi" w:cstheme="minorHAnsi"/>
          <w:color w:val="000000" w:themeColor="text1"/>
          <w:sz w:val="24"/>
          <w:szCs w:val="24"/>
        </w:rPr>
        <w:t xml:space="preserve"> </w:t>
      </w:r>
      <w:r w:rsidRPr="0016581E">
        <w:rPr>
          <w:rFonts w:asciiTheme="minorHAnsi" w:hAnsiTheme="minorHAnsi" w:cstheme="minorHAnsi"/>
          <w:color w:val="000000" w:themeColor="text1"/>
          <w:sz w:val="24"/>
          <w:szCs w:val="24"/>
        </w:rPr>
        <w:t xml:space="preserve">the </w:t>
      </w:r>
      <w:r w:rsidR="008C08EE" w:rsidRPr="0016581E">
        <w:rPr>
          <w:rFonts w:asciiTheme="minorHAnsi" w:hAnsiTheme="minorHAnsi" w:cstheme="minorHAnsi"/>
          <w:color w:val="000000" w:themeColor="text1"/>
          <w:sz w:val="24"/>
          <w:szCs w:val="24"/>
        </w:rPr>
        <w:t>re-</w:t>
      </w:r>
      <w:r w:rsidRPr="0016581E">
        <w:rPr>
          <w:rFonts w:asciiTheme="minorHAnsi" w:hAnsiTheme="minorHAnsi" w:cstheme="minorHAnsi"/>
          <w:color w:val="000000" w:themeColor="text1"/>
          <w:sz w:val="24"/>
          <w:szCs w:val="24"/>
        </w:rPr>
        <w:t>submission due to</w:t>
      </w:r>
      <w:r w:rsidR="00130F04" w:rsidRPr="0016581E">
        <w:rPr>
          <w:rFonts w:asciiTheme="minorHAnsi" w:hAnsiTheme="minorHAnsi" w:cstheme="minorHAnsi"/>
          <w:color w:val="000000" w:themeColor="text1"/>
          <w:sz w:val="24"/>
          <w:szCs w:val="24"/>
        </w:rPr>
        <w:t xml:space="preserve"> higher than expected uptake a</w:t>
      </w:r>
      <w:r w:rsidR="00D145C0" w:rsidRPr="0016581E">
        <w:rPr>
          <w:rFonts w:asciiTheme="minorHAnsi" w:hAnsiTheme="minorHAnsi" w:cstheme="minorHAnsi"/>
          <w:color w:val="000000" w:themeColor="text1"/>
          <w:sz w:val="24"/>
          <w:szCs w:val="24"/>
        </w:rPr>
        <w:t xml:space="preserve">nd </w:t>
      </w:r>
      <w:r w:rsidR="00D145C0" w:rsidRPr="0016581E">
        <w:rPr>
          <w:rFonts w:asciiTheme="minorHAnsi" w:hAnsiTheme="minorHAnsi" w:cstheme="minorHAnsi"/>
          <w:sz w:val="24"/>
          <w:szCs w:val="24"/>
        </w:rPr>
        <w:t xml:space="preserve">the potential for use in </w:t>
      </w:r>
      <w:r w:rsidR="00D145C0" w:rsidRPr="0016581E">
        <w:rPr>
          <w:rFonts w:asciiTheme="minorHAnsi" w:hAnsiTheme="minorHAnsi" w:cstheme="minorHAnsi"/>
          <w:sz w:val="24"/>
        </w:rPr>
        <w:t>patients</w:t>
      </w:r>
      <w:r w:rsidR="00D145C0" w:rsidRPr="0016581E">
        <w:rPr>
          <w:rFonts w:asciiTheme="minorHAnsi" w:hAnsiTheme="minorHAnsi" w:cstheme="minorHAnsi"/>
          <w:sz w:val="24"/>
          <w:szCs w:val="24"/>
        </w:rPr>
        <w:t xml:space="preserve"> being treated with letrozole or anastrozole (i.e. the prevalent pool of patients)</w:t>
      </w:r>
      <w:r w:rsidR="00475197" w:rsidRPr="0016581E">
        <w:rPr>
          <w:rFonts w:asciiTheme="minorHAnsi" w:hAnsiTheme="minorHAnsi" w:cstheme="minorHAnsi"/>
          <w:sz w:val="24"/>
          <w:szCs w:val="24"/>
        </w:rPr>
        <w:t xml:space="preserve"> </w:t>
      </w:r>
      <w:r w:rsidR="00D145C0" w:rsidRPr="0016581E">
        <w:rPr>
          <w:rFonts w:asciiTheme="minorHAnsi" w:hAnsiTheme="minorHAnsi" w:cstheme="minorHAnsi"/>
          <w:sz w:val="24"/>
          <w:szCs w:val="24"/>
        </w:rPr>
        <w:t>at the time of palbociclib's listing</w:t>
      </w:r>
      <w:r w:rsidR="00134459" w:rsidRPr="0016581E">
        <w:rPr>
          <w:rFonts w:asciiTheme="minorHAnsi" w:hAnsiTheme="minorHAnsi" w:cstheme="minorHAnsi"/>
          <w:color w:val="000000" w:themeColor="text1"/>
          <w:sz w:val="24"/>
          <w:szCs w:val="24"/>
        </w:rPr>
        <w:t xml:space="preserve">. </w:t>
      </w:r>
      <w:r w:rsidRPr="0016581E">
        <w:rPr>
          <w:rFonts w:asciiTheme="minorHAnsi" w:hAnsiTheme="minorHAnsi" w:cstheme="minorHAnsi"/>
          <w:color w:val="000000" w:themeColor="text1"/>
          <w:sz w:val="24"/>
          <w:szCs w:val="24"/>
        </w:rPr>
        <w:t xml:space="preserve">On the other hand, there is potential for the net cost to the PBS to be less than the estimate in the </w:t>
      </w:r>
      <w:r w:rsidR="008C08EE" w:rsidRPr="0016581E">
        <w:rPr>
          <w:rFonts w:asciiTheme="minorHAnsi" w:hAnsiTheme="minorHAnsi" w:cstheme="minorHAnsi"/>
          <w:color w:val="000000" w:themeColor="text1"/>
          <w:sz w:val="24"/>
          <w:szCs w:val="24"/>
        </w:rPr>
        <w:t>re-</w:t>
      </w:r>
      <w:r w:rsidRPr="0016581E">
        <w:rPr>
          <w:rFonts w:asciiTheme="minorHAnsi" w:hAnsiTheme="minorHAnsi" w:cstheme="minorHAnsi"/>
          <w:color w:val="000000" w:themeColor="text1"/>
          <w:sz w:val="24"/>
          <w:szCs w:val="24"/>
        </w:rPr>
        <w:t>submission as</w:t>
      </w:r>
      <w:r w:rsidR="00D17609" w:rsidRPr="0016581E">
        <w:rPr>
          <w:rFonts w:asciiTheme="minorHAnsi" w:hAnsiTheme="minorHAnsi" w:cstheme="minorHAnsi"/>
          <w:color w:val="000000" w:themeColor="text1"/>
          <w:sz w:val="24"/>
          <w:szCs w:val="24"/>
        </w:rPr>
        <w:t>:</w:t>
      </w:r>
    </w:p>
    <w:p w:rsidR="00C24185" w:rsidRPr="0016581E" w:rsidRDefault="00C24185" w:rsidP="00951E3F">
      <w:pPr>
        <w:pStyle w:val="ListParagraph"/>
        <w:numPr>
          <w:ilvl w:val="0"/>
          <w:numId w:val="36"/>
        </w:numPr>
        <w:spacing w:before="120" w:after="160"/>
        <w:ind w:left="1134"/>
        <w:rPr>
          <w:rFonts w:asciiTheme="minorHAnsi" w:hAnsiTheme="minorHAnsi" w:cstheme="minorHAnsi"/>
          <w:sz w:val="24"/>
        </w:rPr>
      </w:pPr>
      <w:r w:rsidRPr="0016581E">
        <w:rPr>
          <w:rFonts w:asciiTheme="minorHAnsi" w:hAnsiTheme="minorHAnsi" w:cstheme="minorHAnsi"/>
          <w:sz w:val="24"/>
        </w:rPr>
        <w:t xml:space="preserve">G-CSFs are not PBS listed for the treatment of selective CDK4/6 inhibitor induced </w:t>
      </w:r>
      <w:r w:rsidR="00BA1642" w:rsidRPr="0016581E">
        <w:rPr>
          <w:rFonts w:asciiTheme="minorHAnsi" w:hAnsiTheme="minorHAnsi" w:cstheme="minorHAnsi"/>
          <w:sz w:val="24"/>
        </w:rPr>
        <w:t>neutropenia</w:t>
      </w:r>
      <w:r w:rsidR="00E75980" w:rsidRPr="0016581E">
        <w:rPr>
          <w:rFonts w:asciiTheme="minorHAnsi" w:hAnsiTheme="minorHAnsi" w:cstheme="minorHAnsi"/>
          <w:sz w:val="24"/>
        </w:rPr>
        <w:t xml:space="preserve"> (though the sponsor has raised </w:t>
      </w:r>
      <w:r w:rsidR="00A83681" w:rsidRPr="0016581E">
        <w:rPr>
          <w:rFonts w:asciiTheme="minorHAnsi" w:hAnsiTheme="minorHAnsi" w:cstheme="minorHAnsi"/>
          <w:sz w:val="24"/>
        </w:rPr>
        <w:t xml:space="preserve">the possibility of </w:t>
      </w:r>
      <w:r w:rsidR="00E75980" w:rsidRPr="0016581E">
        <w:rPr>
          <w:rFonts w:asciiTheme="minorHAnsi" w:hAnsiTheme="minorHAnsi" w:cstheme="minorHAnsi"/>
          <w:sz w:val="24"/>
        </w:rPr>
        <w:t>a PBS listing)</w:t>
      </w:r>
      <w:r w:rsidRPr="0016581E">
        <w:rPr>
          <w:rFonts w:asciiTheme="minorHAnsi" w:hAnsiTheme="minorHAnsi" w:cstheme="minorHAnsi"/>
          <w:sz w:val="24"/>
        </w:rPr>
        <w:t>, and</w:t>
      </w:r>
    </w:p>
    <w:p w:rsidR="001E5C8E" w:rsidRPr="001E5C8E" w:rsidRDefault="004B7AFB" w:rsidP="001E5C8E">
      <w:pPr>
        <w:pStyle w:val="ListParagraph"/>
        <w:numPr>
          <w:ilvl w:val="0"/>
          <w:numId w:val="36"/>
        </w:numPr>
        <w:spacing w:before="120" w:after="160"/>
        <w:ind w:left="1134"/>
        <w:rPr>
          <w:rFonts w:asciiTheme="minorHAnsi" w:hAnsiTheme="minorHAnsi" w:cstheme="minorHAnsi"/>
          <w:sz w:val="24"/>
        </w:rPr>
      </w:pPr>
      <w:r w:rsidRPr="0016581E">
        <w:rPr>
          <w:rFonts w:asciiTheme="minorHAnsi" w:hAnsiTheme="minorHAnsi" w:cstheme="minorHAnsi"/>
          <w:sz w:val="24"/>
        </w:rPr>
        <w:t xml:space="preserve">Uptake may be shared between palbociclib and ribociclib if </w:t>
      </w:r>
      <w:r w:rsidR="00C24185" w:rsidRPr="0016581E">
        <w:rPr>
          <w:rFonts w:asciiTheme="minorHAnsi" w:hAnsiTheme="minorHAnsi" w:cstheme="minorHAnsi"/>
          <w:sz w:val="24"/>
        </w:rPr>
        <w:t>ribociclib, a near-</w:t>
      </w:r>
      <w:r w:rsidR="00C24185" w:rsidRPr="0016581E">
        <w:rPr>
          <w:rFonts w:asciiTheme="minorHAnsi" w:hAnsiTheme="minorHAnsi" w:cstheme="minorHAnsi"/>
          <w:sz w:val="24"/>
        </w:rPr>
        <w:lastRenderedPageBreak/>
        <w:t xml:space="preserve">market comparator, is </w:t>
      </w:r>
      <w:r w:rsidRPr="0016581E">
        <w:rPr>
          <w:rFonts w:asciiTheme="minorHAnsi" w:hAnsiTheme="minorHAnsi" w:cstheme="minorHAnsi"/>
          <w:sz w:val="24"/>
        </w:rPr>
        <w:t xml:space="preserve">also </w:t>
      </w:r>
      <w:r w:rsidR="00C24185" w:rsidRPr="0016581E">
        <w:rPr>
          <w:rFonts w:asciiTheme="minorHAnsi" w:hAnsiTheme="minorHAnsi" w:cstheme="minorHAnsi"/>
          <w:sz w:val="24"/>
        </w:rPr>
        <w:t>concurrently PBS-listed.</w:t>
      </w:r>
      <w:r w:rsidR="005A4AD2" w:rsidRPr="0016581E">
        <w:rPr>
          <w:rFonts w:asciiTheme="minorHAnsi" w:hAnsiTheme="minorHAnsi" w:cstheme="minorHAnsi"/>
          <w:sz w:val="24"/>
        </w:rPr>
        <w:t xml:space="preserve"> The ESC noted that if one or both agents were list</w:t>
      </w:r>
      <w:r w:rsidR="00E75980" w:rsidRPr="0016581E">
        <w:rPr>
          <w:rFonts w:asciiTheme="minorHAnsi" w:hAnsiTheme="minorHAnsi" w:cstheme="minorHAnsi"/>
          <w:sz w:val="24"/>
        </w:rPr>
        <w:t>ed</w:t>
      </w:r>
      <w:r w:rsidR="00D145C0" w:rsidRPr="0016581E">
        <w:rPr>
          <w:rFonts w:asciiTheme="minorHAnsi" w:hAnsiTheme="minorHAnsi" w:cstheme="minorHAnsi"/>
          <w:sz w:val="24"/>
        </w:rPr>
        <w:t xml:space="preserve"> for the same patient population</w:t>
      </w:r>
      <w:r w:rsidR="005A4AD2" w:rsidRPr="0016581E">
        <w:rPr>
          <w:rFonts w:asciiTheme="minorHAnsi" w:hAnsiTheme="minorHAnsi" w:cstheme="minorHAnsi"/>
          <w:sz w:val="24"/>
        </w:rPr>
        <w:t>, the total financial cost would be similar</w:t>
      </w:r>
      <w:r w:rsidR="00D145C0" w:rsidRPr="0016581E">
        <w:rPr>
          <w:rFonts w:asciiTheme="minorHAnsi" w:hAnsiTheme="minorHAnsi" w:cstheme="minorHAnsi"/>
          <w:sz w:val="24"/>
        </w:rPr>
        <w:t xml:space="preserve">, as long as </w:t>
      </w:r>
      <w:r w:rsidR="005A4AD2" w:rsidRPr="0016581E">
        <w:rPr>
          <w:rFonts w:asciiTheme="minorHAnsi" w:hAnsiTheme="minorHAnsi" w:cstheme="minorHAnsi"/>
          <w:sz w:val="24"/>
        </w:rPr>
        <w:t xml:space="preserve">patients only accessed one </w:t>
      </w:r>
      <w:r w:rsidR="00D145C0" w:rsidRPr="0016581E">
        <w:rPr>
          <w:rFonts w:asciiTheme="minorHAnsi" w:hAnsiTheme="minorHAnsi" w:cstheme="minorHAnsi"/>
          <w:sz w:val="24"/>
        </w:rPr>
        <w:t>agent until progression</w:t>
      </w:r>
      <w:r w:rsidR="005A4AD2" w:rsidRPr="0016581E">
        <w:rPr>
          <w:rFonts w:asciiTheme="minorHAnsi" w:hAnsiTheme="minorHAnsi" w:cstheme="minorHAnsi"/>
          <w:sz w:val="24"/>
        </w:rPr>
        <w:t>.</w:t>
      </w:r>
    </w:p>
    <w:p w:rsidR="0094535A" w:rsidRPr="001E5C8E" w:rsidRDefault="001074AD" w:rsidP="001E5C8E">
      <w:pPr>
        <w:pStyle w:val="ListParagraph"/>
        <w:keepNext/>
        <w:numPr>
          <w:ilvl w:val="1"/>
          <w:numId w:val="5"/>
        </w:numPr>
        <w:spacing w:before="120" w:after="160"/>
        <w:ind w:left="709" w:hanging="709"/>
        <w:contextualSpacing w:val="0"/>
      </w:pPr>
      <w:r w:rsidRPr="0016581E">
        <w:rPr>
          <w:rFonts w:asciiTheme="minorHAnsi" w:hAnsiTheme="minorHAnsi" w:cstheme="minorHAnsi"/>
          <w:sz w:val="24"/>
        </w:rPr>
        <w:t xml:space="preserve">Overall, </w:t>
      </w:r>
      <w:r w:rsidRPr="0016581E">
        <w:rPr>
          <w:rFonts w:asciiTheme="minorHAnsi" w:hAnsiTheme="minorHAnsi" w:cstheme="minorHAnsi"/>
          <w:sz w:val="24"/>
          <w:szCs w:val="24"/>
        </w:rPr>
        <w:t xml:space="preserve">the ESC </w:t>
      </w:r>
      <w:r w:rsidRPr="0016581E">
        <w:rPr>
          <w:rFonts w:asciiTheme="minorHAnsi" w:hAnsiTheme="minorHAnsi" w:cstheme="minorHAnsi"/>
          <w:sz w:val="24"/>
        </w:rPr>
        <w:t>considered</w:t>
      </w:r>
      <w:r w:rsidRPr="0016581E">
        <w:rPr>
          <w:rFonts w:asciiTheme="minorHAnsi" w:hAnsiTheme="minorHAnsi" w:cstheme="minorHAnsi"/>
          <w:sz w:val="24"/>
          <w:szCs w:val="24"/>
        </w:rPr>
        <w:t xml:space="preserve"> that there is potential for the net cost to the PBS to be greater than the estimate in the re-submission</w:t>
      </w:r>
      <w:r w:rsidR="005A4AD2" w:rsidRPr="0016581E">
        <w:rPr>
          <w:rFonts w:asciiTheme="minorHAnsi" w:hAnsiTheme="minorHAnsi" w:cstheme="minorHAnsi"/>
          <w:sz w:val="24"/>
          <w:szCs w:val="24"/>
        </w:rPr>
        <w:t xml:space="preserve">. </w:t>
      </w:r>
      <w:bookmarkStart w:id="36" w:name="_Toc413139285"/>
      <w:bookmarkStart w:id="37" w:name="_Toc493059792"/>
    </w:p>
    <w:p w:rsidR="004E23FC" w:rsidRPr="00BA4CBB" w:rsidRDefault="004E23FC" w:rsidP="005567DB">
      <w:pPr>
        <w:pStyle w:val="Heading2"/>
      </w:pPr>
      <w:r w:rsidRPr="00BA4CBB">
        <w:t xml:space="preserve">Quality </w:t>
      </w:r>
      <w:r w:rsidR="00CC66A8" w:rsidRPr="00BA4CBB">
        <w:t>u</w:t>
      </w:r>
      <w:r w:rsidRPr="00BA4CBB">
        <w:t xml:space="preserve">se of </w:t>
      </w:r>
      <w:r w:rsidR="00CC66A8" w:rsidRPr="00BA4CBB">
        <w:t>m</w:t>
      </w:r>
      <w:r w:rsidRPr="00BA4CBB">
        <w:t>edicines</w:t>
      </w:r>
      <w:bookmarkEnd w:id="36"/>
      <w:bookmarkEnd w:id="37"/>
    </w:p>
    <w:p w:rsidR="004E23FC" w:rsidRPr="0016581E" w:rsidRDefault="005861E6"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The </w:t>
      </w:r>
      <w:r w:rsidR="008C08EE" w:rsidRPr="0016581E">
        <w:rPr>
          <w:rFonts w:asciiTheme="minorHAnsi" w:hAnsiTheme="minorHAnsi" w:cstheme="minorHAnsi"/>
          <w:sz w:val="24"/>
          <w:szCs w:val="24"/>
        </w:rPr>
        <w:t>re-</w:t>
      </w:r>
      <w:r w:rsidRPr="0016581E">
        <w:rPr>
          <w:rFonts w:asciiTheme="minorHAnsi" w:hAnsiTheme="minorHAnsi" w:cstheme="minorHAnsi"/>
          <w:sz w:val="24"/>
          <w:szCs w:val="24"/>
        </w:rPr>
        <w:t xml:space="preserve">submission proposed to provide education to healthcare professionals (especially </w:t>
      </w:r>
      <w:r w:rsidRPr="0016581E">
        <w:rPr>
          <w:rFonts w:asciiTheme="minorHAnsi" w:hAnsiTheme="minorHAnsi" w:cstheme="minorHAnsi"/>
          <w:sz w:val="24"/>
        </w:rPr>
        <w:t>oncologists</w:t>
      </w:r>
      <w:r w:rsidRPr="0016581E">
        <w:rPr>
          <w:rFonts w:asciiTheme="minorHAnsi" w:hAnsiTheme="minorHAnsi" w:cstheme="minorHAnsi"/>
          <w:sz w:val="24"/>
          <w:szCs w:val="24"/>
        </w:rPr>
        <w:t xml:space="preserve"> and nurses) and conduct post-marketing surveillance. This is unchanged from the previous submission.</w:t>
      </w:r>
    </w:p>
    <w:p w:rsidR="004E23FC" w:rsidRPr="00BA4CBB" w:rsidRDefault="00CC66A8" w:rsidP="004E23FC">
      <w:pPr>
        <w:pStyle w:val="Heading2"/>
      </w:pPr>
      <w:bookmarkStart w:id="38" w:name="_Toc413139286"/>
      <w:bookmarkStart w:id="39" w:name="_Toc493059793"/>
      <w:r w:rsidRPr="00BA4CBB">
        <w:t>Financial management – risk sharing arrangements</w:t>
      </w:r>
      <w:bookmarkEnd w:id="38"/>
      <w:bookmarkEnd w:id="39"/>
    </w:p>
    <w:p w:rsidR="00951E3F" w:rsidRPr="0016581E" w:rsidRDefault="005861E6" w:rsidP="00270E23">
      <w:pPr>
        <w:pStyle w:val="ListParagraph"/>
        <w:numPr>
          <w:ilvl w:val="1"/>
          <w:numId w:val="5"/>
        </w:numPr>
        <w:spacing w:before="120" w:after="160"/>
        <w:ind w:left="709" w:hanging="709"/>
        <w:contextualSpacing w:val="0"/>
        <w:rPr>
          <w:rFonts w:asciiTheme="minorHAnsi" w:hAnsiTheme="minorHAnsi" w:cstheme="minorHAnsi"/>
          <w:sz w:val="24"/>
          <w:szCs w:val="24"/>
        </w:rPr>
      </w:pPr>
      <w:r w:rsidRPr="0016581E">
        <w:rPr>
          <w:rFonts w:asciiTheme="minorHAnsi" w:hAnsiTheme="minorHAnsi" w:cstheme="minorHAnsi"/>
          <w:sz w:val="24"/>
          <w:szCs w:val="24"/>
        </w:rPr>
        <w:t>The re-submission acknowledged that a volume-based risk sharing arrangement may be required</w:t>
      </w:r>
      <w:r w:rsidR="007B4141" w:rsidRPr="0016581E">
        <w:rPr>
          <w:rFonts w:asciiTheme="minorHAnsi" w:hAnsiTheme="minorHAnsi" w:cstheme="minorHAnsi"/>
          <w:sz w:val="24"/>
          <w:szCs w:val="24"/>
        </w:rPr>
        <w:t xml:space="preserve"> and may reduce the financial uncertainty</w:t>
      </w:r>
      <w:r w:rsidRPr="0016581E">
        <w:rPr>
          <w:rFonts w:asciiTheme="minorHAnsi" w:hAnsiTheme="minorHAnsi" w:cstheme="minorHAnsi"/>
          <w:sz w:val="24"/>
          <w:szCs w:val="24"/>
        </w:rPr>
        <w:t xml:space="preserve">. No further details </w:t>
      </w:r>
      <w:r w:rsidR="00C169A7" w:rsidRPr="0016581E">
        <w:rPr>
          <w:rFonts w:asciiTheme="minorHAnsi" w:hAnsiTheme="minorHAnsi" w:cstheme="minorHAnsi"/>
          <w:sz w:val="24"/>
          <w:szCs w:val="24"/>
        </w:rPr>
        <w:t xml:space="preserve">were </w:t>
      </w:r>
      <w:r w:rsidRPr="0016581E">
        <w:rPr>
          <w:rFonts w:asciiTheme="minorHAnsi" w:hAnsiTheme="minorHAnsi" w:cstheme="minorHAnsi"/>
          <w:sz w:val="24"/>
          <w:szCs w:val="24"/>
        </w:rPr>
        <w:t>provided.</w:t>
      </w:r>
      <w:bookmarkEnd w:id="0"/>
      <w:bookmarkEnd w:id="1"/>
      <w:bookmarkEnd w:id="2"/>
      <w:bookmarkEnd w:id="3"/>
      <w:bookmarkEnd w:id="4"/>
      <w:bookmarkEnd w:id="5"/>
      <w:bookmarkEnd w:id="6"/>
      <w:bookmarkEnd w:id="7"/>
      <w:r w:rsidR="00B57DB0" w:rsidRPr="0016581E">
        <w:rPr>
          <w:rFonts w:asciiTheme="minorHAnsi" w:hAnsiTheme="minorHAnsi" w:cstheme="minorHAnsi"/>
          <w:sz w:val="24"/>
          <w:szCs w:val="24"/>
        </w:rPr>
        <w:t xml:space="preserve"> </w:t>
      </w:r>
    </w:p>
    <w:p w:rsidR="00BE5754" w:rsidRPr="0016581E" w:rsidRDefault="00DC1B4E" w:rsidP="00951E3F">
      <w:pPr>
        <w:spacing w:before="120" w:after="160"/>
        <w:ind w:firstLine="709"/>
        <w:rPr>
          <w:rFonts w:asciiTheme="minorHAnsi" w:hAnsiTheme="minorHAnsi" w:cstheme="minorHAnsi"/>
          <w:sz w:val="24"/>
          <w:szCs w:val="24"/>
        </w:rPr>
      </w:pPr>
      <w:r w:rsidRPr="0016581E">
        <w:rPr>
          <w:rFonts w:asciiTheme="minorHAnsi" w:hAnsiTheme="minorHAnsi"/>
          <w:i/>
          <w:sz w:val="24"/>
          <w:szCs w:val="24"/>
        </w:rPr>
        <w:t>For more detail on PBAC’s view, see section 7 PBAC outcome.</w:t>
      </w:r>
    </w:p>
    <w:p w:rsidR="00BE5754" w:rsidRPr="0016581E" w:rsidRDefault="000A760F" w:rsidP="00397776">
      <w:pPr>
        <w:pStyle w:val="Heading1"/>
        <w:keepNext/>
        <w:keepLines/>
        <w:widowControl/>
        <w:numPr>
          <w:ilvl w:val="0"/>
          <w:numId w:val="5"/>
        </w:numPr>
        <w:spacing w:before="240" w:after="120"/>
        <w:ind w:left="709" w:hanging="709"/>
        <w:jc w:val="left"/>
        <w:rPr>
          <w:b w:val="0"/>
          <w:bCs/>
        </w:rPr>
      </w:pPr>
      <w:r w:rsidRPr="0016581E">
        <w:rPr>
          <w:bCs/>
        </w:rPr>
        <w:t xml:space="preserve">PBAC </w:t>
      </w:r>
      <w:r w:rsidRPr="0016581E">
        <w:rPr>
          <w:bCs/>
          <w:caps w:val="0"/>
        </w:rPr>
        <w:t>Outcome</w:t>
      </w:r>
    </w:p>
    <w:p w:rsidR="000A6783" w:rsidRPr="0016581E" w:rsidRDefault="00BE5754"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w:t>
      </w:r>
      <w:r w:rsidR="00C36C9A" w:rsidRPr="0016581E">
        <w:rPr>
          <w:rFonts w:asciiTheme="minorHAnsi" w:hAnsiTheme="minorHAnsi"/>
          <w:bCs/>
          <w:sz w:val="24"/>
          <w:szCs w:val="24"/>
        </w:rPr>
        <w:t>did not recommend</w:t>
      </w:r>
      <w:r w:rsidRPr="0016581E">
        <w:rPr>
          <w:rFonts w:asciiTheme="minorHAnsi" w:hAnsiTheme="minorHAnsi"/>
          <w:bCs/>
          <w:sz w:val="24"/>
          <w:szCs w:val="24"/>
        </w:rPr>
        <w:t xml:space="preserve"> the listing of </w:t>
      </w:r>
      <w:r w:rsidR="00C36C9A" w:rsidRPr="0016581E">
        <w:rPr>
          <w:rFonts w:asciiTheme="minorHAnsi" w:hAnsiTheme="minorHAnsi"/>
          <w:bCs/>
          <w:sz w:val="24"/>
          <w:szCs w:val="24"/>
        </w:rPr>
        <w:t>palbociclib</w:t>
      </w:r>
      <w:r w:rsidR="00E87A9B" w:rsidRPr="0016581E">
        <w:rPr>
          <w:rFonts w:asciiTheme="minorHAnsi" w:hAnsiTheme="minorHAnsi"/>
          <w:bCs/>
          <w:sz w:val="24"/>
          <w:szCs w:val="24"/>
        </w:rPr>
        <w:t xml:space="preserve"> on the PBS as initial endocrine-based therapy for</w:t>
      </w:r>
      <w:r w:rsidR="008C4D6C" w:rsidRPr="0016581E">
        <w:rPr>
          <w:rFonts w:asciiTheme="minorHAnsi" w:hAnsiTheme="minorHAnsi"/>
          <w:bCs/>
          <w:sz w:val="24"/>
          <w:szCs w:val="24"/>
        </w:rPr>
        <w:t xml:space="preserve"> </w:t>
      </w:r>
      <w:r w:rsidR="008C4D6C" w:rsidRPr="0016581E">
        <w:rPr>
          <w:rFonts w:asciiTheme="minorHAnsi" w:hAnsiTheme="minorHAnsi" w:cstheme="minorHAnsi"/>
          <w:sz w:val="24"/>
          <w:szCs w:val="24"/>
        </w:rPr>
        <w:t>non pre-menopausal patients with</w:t>
      </w:r>
      <w:r w:rsidR="00E87A9B" w:rsidRPr="0016581E">
        <w:rPr>
          <w:rFonts w:asciiTheme="minorHAnsi" w:hAnsiTheme="minorHAnsi"/>
          <w:bCs/>
          <w:sz w:val="24"/>
          <w:szCs w:val="24"/>
        </w:rPr>
        <w:t xml:space="preserve"> hormone receptor positive (HR+), HER2-negative (HER2–) </w:t>
      </w:r>
      <w:r w:rsidR="008C4D6C" w:rsidRPr="0016581E">
        <w:rPr>
          <w:rFonts w:asciiTheme="minorHAnsi" w:hAnsiTheme="minorHAnsi" w:cstheme="minorHAnsi"/>
          <w:sz w:val="24"/>
          <w:szCs w:val="24"/>
        </w:rPr>
        <w:t>locally advanced inoperable breast cancer and metastatic breast cancer</w:t>
      </w:r>
      <w:r w:rsidR="00E87A9B" w:rsidRPr="0016581E">
        <w:rPr>
          <w:rFonts w:asciiTheme="minorHAnsi" w:hAnsiTheme="minorHAnsi"/>
          <w:bCs/>
          <w:sz w:val="24"/>
          <w:szCs w:val="24"/>
        </w:rPr>
        <w:t xml:space="preserve"> </w:t>
      </w:r>
      <w:r w:rsidR="008C4D6C" w:rsidRPr="0016581E">
        <w:rPr>
          <w:rFonts w:asciiTheme="minorHAnsi" w:hAnsiTheme="minorHAnsi"/>
          <w:bCs/>
          <w:sz w:val="24"/>
          <w:szCs w:val="24"/>
        </w:rPr>
        <w:t xml:space="preserve">on the basis of </w:t>
      </w:r>
      <w:r w:rsidR="00DA44E1" w:rsidRPr="0016581E">
        <w:rPr>
          <w:rFonts w:asciiTheme="minorHAnsi" w:hAnsiTheme="minorHAnsi"/>
          <w:bCs/>
          <w:sz w:val="24"/>
          <w:szCs w:val="24"/>
        </w:rPr>
        <w:t xml:space="preserve">high </w:t>
      </w:r>
      <w:r w:rsidR="008C4D6C" w:rsidRPr="0016581E">
        <w:rPr>
          <w:rFonts w:asciiTheme="minorHAnsi" w:hAnsiTheme="minorHAnsi"/>
          <w:bCs/>
          <w:sz w:val="24"/>
          <w:szCs w:val="24"/>
        </w:rPr>
        <w:t xml:space="preserve">and uncertain cost-effectiveness, and uncertainties regarding the magnitude of incremental benefit of palbociclib. </w:t>
      </w:r>
      <w:r w:rsidR="000A6783" w:rsidRPr="0016581E">
        <w:rPr>
          <w:rFonts w:asciiTheme="minorHAnsi" w:hAnsiTheme="minorHAnsi"/>
          <w:bCs/>
          <w:sz w:val="24"/>
          <w:szCs w:val="24"/>
        </w:rPr>
        <w:t xml:space="preserve">Additionally, the PBAC was of the view that the likely net cost </w:t>
      </w:r>
      <w:r w:rsidR="006A5F23" w:rsidRPr="0016581E">
        <w:rPr>
          <w:rFonts w:asciiTheme="minorHAnsi" w:hAnsiTheme="minorHAnsi"/>
          <w:bCs/>
          <w:sz w:val="24"/>
          <w:szCs w:val="24"/>
        </w:rPr>
        <w:t xml:space="preserve">to the PBS </w:t>
      </w:r>
      <w:r w:rsidR="000A6783" w:rsidRPr="0016581E">
        <w:rPr>
          <w:rFonts w:asciiTheme="minorHAnsi" w:hAnsiTheme="minorHAnsi"/>
          <w:bCs/>
          <w:sz w:val="24"/>
          <w:szCs w:val="24"/>
        </w:rPr>
        <w:t xml:space="preserve">of listing palbociclib would be more than </w:t>
      </w:r>
      <w:r w:rsidR="00E01024">
        <w:rPr>
          <w:rFonts w:asciiTheme="minorHAnsi" w:hAnsiTheme="minorHAnsi"/>
          <w:bCs/>
          <w:sz w:val="24"/>
          <w:szCs w:val="24"/>
        </w:rPr>
        <w:t xml:space="preserve">$100 million </w:t>
      </w:r>
      <w:r w:rsidR="000A6783" w:rsidRPr="0016581E">
        <w:rPr>
          <w:rFonts w:asciiTheme="minorHAnsi" w:hAnsiTheme="minorHAnsi"/>
          <w:bCs/>
          <w:sz w:val="24"/>
          <w:szCs w:val="24"/>
        </w:rPr>
        <w:t xml:space="preserve">over the first five years, and as such, there would be a significant opportunity cost to the Commonwealth, despite the reduced </w:t>
      </w:r>
      <w:r w:rsidR="006A5F23" w:rsidRPr="0016581E">
        <w:rPr>
          <w:rFonts w:asciiTheme="minorHAnsi" w:hAnsiTheme="minorHAnsi"/>
          <w:bCs/>
          <w:sz w:val="24"/>
          <w:szCs w:val="24"/>
        </w:rPr>
        <w:t xml:space="preserve">price </w:t>
      </w:r>
      <w:r w:rsidR="000A6783" w:rsidRPr="0016581E">
        <w:rPr>
          <w:rFonts w:asciiTheme="minorHAnsi" w:hAnsiTheme="minorHAnsi"/>
          <w:bCs/>
          <w:sz w:val="24"/>
          <w:szCs w:val="24"/>
        </w:rPr>
        <w:t>proposed</w:t>
      </w:r>
      <w:r w:rsidR="006A5F23" w:rsidRPr="0016581E">
        <w:rPr>
          <w:rFonts w:asciiTheme="minorHAnsi" w:hAnsiTheme="minorHAnsi"/>
          <w:bCs/>
          <w:sz w:val="24"/>
          <w:szCs w:val="24"/>
        </w:rPr>
        <w:t xml:space="preserve"> for palbociclib</w:t>
      </w:r>
      <w:r w:rsidR="000A6783" w:rsidRPr="0016581E">
        <w:rPr>
          <w:rFonts w:asciiTheme="minorHAnsi" w:hAnsiTheme="minorHAnsi"/>
          <w:bCs/>
          <w:sz w:val="24"/>
          <w:szCs w:val="24"/>
        </w:rPr>
        <w:t xml:space="preserve"> in the re-submission.</w:t>
      </w:r>
    </w:p>
    <w:p w:rsidR="004F2F1C" w:rsidRPr="0016581E" w:rsidRDefault="00C551FA"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The PBAC noted the consumer comments and acknowledged there is significant public interest in the listing of palbociclib. The PBAC noted the common</w:t>
      </w:r>
      <w:r w:rsidR="004F2F1C" w:rsidRPr="0016581E">
        <w:rPr>
          <w:rFonts w:asciiTheme="minorHAnsi" w:hAnsiTheme="minorHAnsi"/>
          <w:bCs/>
          <w:sz w:val="24"/>
          <w:szCs w:val="24"/>
        </w:rPr>
        <w:t>ly reported</w:t>
      </w:r>
      <w:r w:rsidRPr="0016581E">
        <w:rPr>
          <w:rFonts w:asciiTheme="minorHAnsi" w:hAnsiTheme="minorHAnsi"/>
          <w:bCs/>
          <w:sz w:val="24"/>
          <w:szCs w:val="24"/>
        </w:rPr>
        <w:t xml:space="preserve"> benefits </w:t>
      </w:r>
      <w:r w:rsidR="004F2F1C" w:rsidRPr="0016581E">
        <w:rPr>
          <w:rFonts w:asciiTheme="minorHAnsi" w:hAnsiTheme="minorHAnsi"/>
          <w:bCs/>
          <w:sz w:val="24"/>
          <w:szCs w:val="24"/>
        </w:rPr>
        <w:t>of</w:t>
      </w:r>
      <w:r w:rsidRPr="0016581E">
        <w:rPr>
          <w:rFonts w:asciiTheme="minorHAnsi" w:hAnsiTheme="minorHAnsi"/>
          <w:bCs/>
          <w:sz w:val="24"/>
          <w:szCs w:val="24"/>
        </w:rPr>
        <w:t xml:space="preserve"> palbociclib </w:t>
      </w:r>
      <w:r w:rsidR="004F2F1C" w:rsidRPr="0016581E">
        <w:rPr>
          <w:rFonts w:asciiTheme="minorHAnsi" w:hAnsiTheme="minorHAnsi"/>
          <w:bCs/>
          <w:sz w:val="24"/>
          <w:szCs w:val="24"/>
        </w:rPr>
        <w:t xml:space="preserve">included </w:t>
      </w:r>
      <w:r w:rsidRPr="0016581E">
        <w:rPr>
          <w:rFonts w:asciiTheme="minorHAnsi" w:hAnsiTheme="minorHAnsi"/>
          <w:bCs/>
          <w:sz w:val="24"/>
          <w:szCs w:val="24"/>
        </w:rPr>
        <w:t xml:space="preserve">improved quality of life, </w:t>
      </w:r>
      <w:r w:rsidR="004F2F1C" w:rsidRPr="0016581E">
        <w:rPr>
          <w:rFonts w:asciiTheme="minorHAnsi" w:hAnsiTheme="minorHAnsi"/>
          <w:bCs/>
          <w:sz w:val="24"/>
          <w:szCs w:val="24"/>
        </w:rPr>
        <w:t xml:space="preserve">and </w:t>
      </w:r>
      <w:r w:rsidRPr="0016581E">
        <w:rPr>
          <w:rFonts w:asciiTheme="minorHAnsi" w:hAnsiTheme="minorHAnsi"/>
          <w:bCs/>
          <w:sz w:val="24"/>
          <w:szCs w:val="24"/>
        </w:rPr>
        <w:t>dela</w:t>
      </w:r>
      <w:r w:rsidR="004F2F1C" w:rsidRPr="0016581E">
        <w:rPr>
          <w:rFonts w:asciiTheme="minorHAnsi" w:hAnsiTheme="minorHAnsi"/>
          <w:bCs/>
          <w:sz w:val="24"/>
          <w:szCs w:val="24"/>
        </w:rPr>
        <w:t>y</w:t>
      </w:r>
      <w:r w:rsidRPr="0016581E">
        <w:rPr>
          <w:rFonts w:asciiTheme="minorHAnsi" w:hAnsiTheme="minorHAnsi"/>
          <w:bCs/>
          <w:sz w:val="24"/>
          <w:szCs w:val="24"/>
        </w:rPr>
        <w:t>ed disease progression and time to chemotherapy</w:t>
      </w:r>
      <w:r w:rsidR="004F2F1C" w:rsidRPr="0016581E">
        <w:rPr>
          <w:rFonts w:asciiTheme="minorHAnsi" w:hAnsiTheme="minorHAnsi"/>
          <w:bCs/>
          <w:sz w:val="24"/>
          <w:szCs w:val="24"/>
        </w:rPr>
        <w:t>,</w:t>
      </w:r>
      <w:r w:rsidRPr="0016581E">
        <w:rPr>
          <w:rFonts w:asciiTheme="minorHAnsi" w:hAnsiTheme="minorHAnsi"/>
          <w:bCs/>
          <w:sz w:val="24"/>
          <w:szCs w:val="24"/>
        </w:rPr>
        <w:t xml:space="preserve"> but </w:t>
      </w:r>
      <w:r w:rsidR="004F2F1C" w:rsidRPr="0016581E">
        <w:rPr>
          <w:rFonts w:asciiTheme="minorHAnsi" w:hAnsiTheme="minorHAnsi"/>
          <w:bCs/>
          <w:sz w:val="24"/>
          <w:szCs w:val="24"/>
        </w:rPr>
        <w:t xml:space="preserve">it </w:t>
      </w:r>
      <w:r w:rsidRPr="0016581E">
        <w:rPr>
          <w:rFonts w:asciiTheme="minorHAnsi" w:hAnsiTheme="minorHAnsi"/>
          <w:bCs/>
          <w:sz w:val="24"/>
          <w:szCs w:val="24"/>
        </w:rPr>
        <w:t>had a very high financial cost to patients</w:t>
      </w:r>
      <w:r w:rsidR="006A5F23" w:rsidRPr="0016581E">
        <w:rPr>
          <w:rFonts w:asciiTheme="minorHAnsi" w:hAnsiTheme="minorHAnsi"/>
          <w:bCs/>
          <w:sz w:val="24"/>
          <w:szCs w:val="24"/>
        </w:rPr>
        <w:t xml:space="preserve"> without PBS subsidy</w:t>
      </w:r>
      <w:r w:rsidRPr="0016581E">
        <w:rPr>
          <w:rFonts w:asciiTheme="minorHAnsi" w:hAnsiTheme="minorHAnsi"/>
          <w:bCs/>
          <w:sz w:val="24"/>
          <w:szCs w:val="24"/>
        </w:rPr>
        <w:t xml:space="preserve">. </w:t>
      </w:r>
    </w:p>
    <w:p w:rsidR="00E87A9B" w:rsidRPr="0016581E" w:rsidRDefault="005F6D9E"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w:t>
      </w:r>
      <w:r w:rsidR="00261729" w:rsidRPr="0016581E">
        <w:rPr>
          <w:rFonts w:asciiTheme="minorHAnsi" w:hAnsiTheme="minorHAnsi"/>
          <w:bCs/>
          <w:sz w:val="24"/>
          <w:szCs w:val="24"/>
        </w:rPr>
        <w:t>maintained its position that single agent endocrine therapy as first-line therapy is associated with significant clinical benefits in most patients and the addition of palbociclib increases the toxicity of treatment with an uncertain</w:t>
      </w:r>
      <w:r w:rsidRPr="0016581E">
        <w:rPr>
          <w:rFonts w:asciiTheme="minorHAnsi" w:hAnsiTheme="minorHAnsi"/>
          <w:bCs/>
          <w:sz w:val="24"/>
          <w:szCs w:val="24"/>
        </w:rPr>
        <w:t xml:space="preserve"> effect on overall survival. </w:t>
      </w:r>
    </w:p>
    <w:p w:rsidR="00000651" w:rsidRPr="0016581E" w:rsidRDefault="009C2C59"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noted since consideration of the original submission, palbociclib has been TGA registered for </w:t>
      </w:r>
      <w:r w:rsidR="00000651" w:rsidRPr="0016581E">
        <w:rPr>
          <w:rFonts w:asciiTheme="minorHAnsi" w:hAnsiTheme="minorHAnsi"/>
          <w:bCs/>
          <w:sz w:val="24"/>
          <w:szCs w:val="24"/>
        </w:rPr>
        <w:t xml:space="preserve">the treatment of hormone receptor (HR)-positive, human epidermal growth factor receptor 2 (HER2)-negative advanced or metastatic breast cancer in combination with an aromatase inhibitor as initial endocrine-based therapy; or </w:t>
      </w:r>
      <w:r w:rsidR="006A5F23" w:rsidRPr="0016581E">
        <w:rPr>
          <w:rFonts w:asciiTheme="minorHAnsi" w:hAnsiTheme="minorHAnsi"/>
          <w:bCs/>
          <w:sz w:val="24"/>
          <w:szCs w:val="24"/>
        </w:rPr>
        <w:t xml:space="preserve">in combination with </w:t>
      </w:r>
      <w:r w:rsidR="00000651" w:rsidRPr="0016581E">
        <w:rPr>
          <w:rFonts w:asciiTheme="minorHAnsi" w:hAnsiTheme="minorHAnsi"/>
          <w:bCs/>
          <w:sz w:val="24"/>
          <w:szCs w:val="24"/>
        </w:rPr>
        <w:t xml:space="preserve">fulvestrant in patients who have received prior therapy. </w:t>
      </w:r>
    </w:p>
    <w:p w:rsidR="003339B6" w:rsidRPr="0016581E" w:rsidRDefault="003339B6"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lastRenderedPageBreak/>
        <w:t xml:space="preserve">The PBAC </w:t>
      </w:r>
      <w:r w:rsidR="00F3536B" w:rsidRPr="0016581E">
        <w:rPr>
          <w:rFonts w:asciiTheme="minorHAnsi" w:hAnsiTheme="minorHAnsi"/>
          <w:bCs/>
          <w:sz w:val="24"/>
          <w:szCs w:val="24"/>
        </w:rPr>
        <w:t>noted</w:t>
      </w:r>
      <w:r w:rsidR="0005294F" w:rsidRPr="0016581E">
        <w:rPr>
          <w:rFonts w:asciiTheme="minorHAnsi" w:hAnsiTheme="minorHAnsi"/>
          <w:bCs/>
          <w:sz w:val="24"/>
          <w:szCs w:val="24"/>
        </w:rPr>
        <w:t xml:space="preserve"> that</w:t>
      </w:r>
      <w:r w:rsidR="00F3536B" w:rsidRPr="0016581E">
        <w:rPr>
          <w:rFonts w:asciiTheme="minorHAnsi" w:hAnsiTheme="minorHAnsi"/>
          <w:bCs/>
          <w:sz w:val="24"/>
          <w:szCs w:val="24"/>
        </w:rPr>
        <w:t xml:space="preserve"> </w:t>
      </w:r>
      <w:r w:rsidR="0005294F" w:rsidRPr="0016581E">
        <w:rPr>
          <w:rFonts w:asciiTheme="minorHAnsi" w:hAnsiTheme="minorHAnsi"/>
          <w:bCs/>
          <w:sz w:val="24"/>
          <w:szCs w:val="24"/>
        </w:rPr>
        <w:t xml:space="preserve">most of the concerns raised with </w:t>
      </w:r>
      <w:r w:rsidR="006238E0" w:rsidRPr="0016581E">
        <w:rPr>
          <w:rFonts w:asciiTheme="minorHAnsi" w:hAnsiTheme="minorHAnsi"/>
          <w:bCs/>
          <w:sz w:val="24"/>
          <w:szCs w:val="24"/>
        </w:rPr>
        <w:t>the proposed</w:t>
      </w:r>
      <w:r w:rsidR="00F3536B" w:rsidRPr="0016581E">
        <w:rPr>
          <w:rFonts w:asciiTheme="minorHAnsi" w:hAnsiTheme="minorHAnsi"/>
          <w:bCs/>
          <w:sz w:val="24"/>
          <w:szCs w:val="24"/>
        </w:rPr>
        <w:t xml:space="preserve"> restriction </w:t>
      </w:r>
      <w:r w:rsidR="0005294F" w:rsidRPr="0016581E">
        <w:rPr>
          <w:rFonts w:asciiTheme="minorHAnsi" w:hAnsiTheme="minorHAnsi"/>
          <w:bCs/>
          <w:sz w:val="24"/>
          <w:szCs w:val="24"/>
        </w:rPr>
        <w:t>in</w:t>
      </w:r>
      <w:r w:rsidR="00F3536B" w:rsidRPr="0016581E">
        <w:rPr>
          <w:rFonts w:asciiTheme="minorHAnsi" w:hAnsiTheme="minorHAnsi"/>
          <w:bCs/>
          <w:sz w:val="24"/>
          <w:szCs w:val="24"/>
        </w:rPr>
        <w:t xml:space="preserve"> March 2017 </w:t>
      </w:r>
      <w:r w:rsidR="0005294F" w:rsidRPr="0016581E">
        <w:rPr>
          <w:rFonts w:asciiTheme="minorHAnsi" w:hAnsiTheme="minorHAnsi"/>
          <w:bCs/>
          <w:sz w:val="24"/>
          <w:szCs w:val="24"/>
        </w:rPr>
        <w:t>were addressed with the current proposed restriction</w:t>
      </w:r>
      <w:r w:rsidR="00F3536B" w:rsidRPr="0016581E">
        <w:rPr>
          <w:rFonts w:asciiTheme="minorHAnsi" w:hAnsiTheme="minorHAnsi"/>
          <w:bCs/>
          <w:sz w:val="24"/>
          <w:szCs w:val="24"/>
        </w:rPr>
        <w:t xml:space="preserve">. </w:t>
      </w:r>
      <w:r w:rsidR="008042C5" w:rsidRPr="0016581E">
        <w:rPr>
          <w:rFonts w:asciiTheme="minorHAnsi" w:hAnsiTheme="minorHAnsi"/>
          <w:bCs/>
          <w:sz w:val="24"/>
          <w:szCs w:val="24"/>
        </w:rPr>
        <w:t>The PBAC recalled</w:t>
      </w:r>
      <w:r w:rsidR="0005294F" w:rsidRPr="0016581E">
        <w:rPr>
          <w:rFonts w:asciiTheme="minorHAnsi" w:hAnsiTheme="minorHAnsi"/>
          <w:bCs/>
          <w:sz w:val="24"/>
          <w:szCs w:val="24"/>
        </w:rPr>
        <w:t xml:space="preserve"> its previous advice that it may be appropriate to</w:t>
      </w:r>
      <w:r w:rsidR="008042C5" w:rsidRPr="0016581E">
        <w:rPr>
          <w:rFonts w:asciiTheme="minorHAnsi" w:hAnsiTheme="minorHAnsi"/>
          <w:bCs/>
          <w:sz w:val="24"/>
          <w:szCs w:val="24"/>
        </w:rPr>
        <w:t xml:space="preserve"> identif</w:t>
      </w:r>
      <w:r w:rsidR="0005294F" w:rsidRPr="0016581E">
        <w:rPr>
          <w:rFonts w:asciiTheme="minorHAnsi" w:hAnsiTheme="minorHAnsi"/>
          <w:bCs/>
          <w:sz w:val="24"/>
          <w:szCs w:val="24"/>
        </w:rPr>
        <w:t>y</w:t>
      </w:r>
      <w:r w:rsidR="008042C5" w:rsidRPr="0016581E">
        <w:rPr>
          <w:rFonts w:asciiTheme="minorHAnsi" w:hAnsiTheme="minorHAnsi"/>
          <w:bCs/>
          <w:sz w:val="24"/>
          <w:szCs w:val="24"/>
        </w:rPr>
        <w:t xml:space="preserve"> </w:t>
      </w:r>
      <w:r w:rsidR="0005294F" w:rsidRPr="0016581E">
        <w:rPr>
          <w:rFonts w:asciiTheme="minorHAnsi" w:hAnsiTheme="minorHAnsi"/>
          <w:bCs/>
          <w:sz w:val="24"/>
          <w:szCs w:val="24"/>
        </w:rPr>
        <w:t xml:space="preserve">a subgroup of </w:t>
      </w:r>
      <w:r w:rsidR="008042C5" w:rsidRPr="0016581E">
        <w:rPr>
          <w:rFonts w:asciiTheme="minorHAnsi" w:hAnsiTheme="minorHAnsi"/>
          <w:bCs/>
          <w:sz w:val="24"/>
          <w:szCs w:val="24"/>
        </w:rPr>
        <w:t xml:space="preserve">the patient population who would gain most benefit </w:t>
      </w:r>
      <w:r w:rsidR="0005294F" w:rsidRPr="0016581E">
        <w:rPr>
          <w:rFonts w:asciiTheme="minorHAnsi" w:hAnsiTheme="minorHAnsi"/>
          <w:bCs/>
          <w:sz w:val="24"/>
          <w:szCs w:val="24"/>
        </w:rPr>
        <w:t>in order to</w:t>
      </w:r>
      <w:r w:rsidR="008042C5" w:rsidRPr="0016581E">
        <w:rPr>
          <w:rFonts w:asciiTheme="minorHAnsi" w:hAnsiTheme="minorHAnsi"/>
          <w:bCs/>
          <w:sz w:val="24"/>
          <w:szCs w:val="24"/>
        </w:rPr>
        <w:t xml:space="preserve"> justif</w:t>
      </w:r>
      <w:r w:rsidR="0005294F" w:rsidRPr="0016581E">
        <w:rPr>
          <w:rFonts w:asciiTheme="minorHAnsi" w:hAnsiTheme="minorHAnsi"/>
          <w:bCs/>
          <w:sz w:val="24"/>
          <w:szCs w:val="24"/>
        </w:rPr>
        <w:t>y</w:t>
      </w:r>
      <w:r w:rsidR="008042C5" w:rsidRPr="0016581E">
        <w:rPr>
          <w:rFonts w:asciiTheme="minorHAnsi" w:hAnsiTheme="minorHAnsi"/>
          <w:bCs/>
          <w:sz w:val="24"/>
          <w:szCs w:val="24"/>
        </w:rPr>
        <w:t xml:space="preserve"> the approach </w:t>
      </w:r>
      <w:r w:rsidR="0005294F" w:rsidRPr="0016581E">
        <w:rPr>
          <w:rFonts w:asciiTheme="minorHAnsi" w:hAnsiTheme="minorHAnsi"/>
          <w:bCs/>
          <w:sz w:val="24"/>
          <w:szCs w:val="24"/>
        </w:rPr>
        <w:t xml:space="preserve">used </w:t>
      </w:r>
      <w:r w:rsidR="008042C5" w:rsidRPr="0016581E">
        <w:rPr>
          <w:rFonts w:asciiTheme="minorHAnsi" w:hAnsiTheme="minorHAnsi"/>
          <w:bCs/>
          <w:sz w:val="24"/>
          <w:szCs w:val="24"/>
        </w:rPr>
        <w:t>to estimat</w:t>
      </w:r>
      <w:r w:rsidR="0005294F" w:rsidRPr="0016581E">
        <w:rPr>
          <w:rFonts w:asciiTheme="minorHAnsi" w:hAnsiTheme="minorHAnsi"/>
          <w:bCs/>
          <w:sz w:val="24"/>
          <w:szCs w:val="24"/>
        </w:rPr>
        <w:t>e</w:t>
      </w:r>
      <w:r w:rsidR="008042C5" w:rsidRPr="0016581E">
        <w:rPr>
          <w:rFonts w:asciiTheme="minorHAnsi" w:hAnsiTheme="minorHAnsi"/>
          <w:bCs/>
          <w:sz w:val="24"/>
          <w:szCs w:val="24"/>
        </w:rPr>
        <w:t xml:space="preserve"> the cost-effectiveness, at the </w:t>
      </w:r>
      <w:r w:rsidR="00104BE4">
        <w:rPr>
          <w:rFonts w:asciiTheme="minorHAnsi" w:hAnsiTheme="minorHAnsi"/>
          <w:bCs/>
          <w:sz w:val="24"/>
          <w:szCs w:val="24"/>
        </w:rPr>
        <w:t xml:space="preserve">price proposed by the sponsor. </w:t>
      </w:r>
      <w:r w:rsidR="008042C5" w:rsidRPr="0016581E">
        <w:rPr>
          <w:rFonts w:asciiTheme="minorHAnsi" w:hAnsiTheme="minorHAnsi"/>
          <w:bCs/>
          <w:sz w:val="24"/>
          <w:szCs w:val="24"/>
        </w:rPr>
        <w:t xml:space="preserve">The sponsor argued in the re-submission that </w:t>
      </w:r>
      <w:r w:rsidR="004F2F1C" w:rsidRPr="0016581E">
        <w:rPr>
          <w:rFonts w:asciiTheme="minorHAnsi" w:hAnsiTheme="minorHAnsi"/>
          <w:bCs/>
          <w:sz w:val="24"/>
          <w:szCs w:val="24"/>
        </w:rPr>
        <w:t xml:space="preserve">it was not possible to identify such a subgroup and </w:t>
      </w:r>
      <w:r w:rsidR="008042C5" w:rsidRPr="0016581E">
        <w:rPr>
          <w:rFonts w:asciiTheme="minorHAnsi" w:hAnsiTheme="minorHAnsi"/>
          <w:bCs/>
          <w:sz w:val="24"/>
          <w:szCs w:val="24"/>
        </w:rPr>
        <w:t xml:space="preserve">access to </w:t>
      </w:r>
      <w:r w:rsidR="008042C5" w:rsidRPr="003B1ECF">
        <w:rPr>
          <w:rFonts w:asciiTheme="minorHAnsi" w:hAnsiTheme="minorHAnsi"/>
          <w:bCs/>
          <w:sz w:val="24"/>
          <w:szCs w:val="24"/>
        </w:rPr>
        <w:t xml:space="preserve">palbociclib for the </w:t>
      </w:r>
      <w:r w:rsidR="00BD7E98" w:rsidRPr="003B1ECF">
        <w:rPr>
          <w:rFonts w:asciiTheme="minorHAnsi" w:hAnsiTheme="minorHAnsi"/>
          <w:bCs/>
          <w:sz w:val="24"/>
          <w:szCs w:val="24"/>
        </w:rPr>
        <w:t>intent-to-treat (</w:t>
      </w:r>
      <w:r w:rsidR="006A5F23" w:rsidRPr="003B1ECF">
        <w:rPr>
          <w:rFonts w:asciiTheme="minorHAnsi" w:hAnsiTheme="minorHAnsi"/>
          <w:bCs/>
          <w:sz w:val="24"/>
          <w:szCs w:val="24"/>
        </w:rPr>
        <w:t>ITT</w:t>
      </w:r>
      <w:r w:rsidR="00BD7E98" w:rsidRPr="003B1ECF">
        <w:rPr>
          <w:rFonts w:asciiTheme="minorHAnsi" w:hAnsiTheme="minorHAnsi"/>
          <w:bCs/>
          <w:sz w:val="24"/>
          <w:szCs w:val="24"/>
        </w:rPr>
        <w:t>)</w:t>
      </w:r>
      <w:r w:rsidR="006A5F23" w:rsidRPr="003B1ECF">
        <w:rPr>
          <w:rFonts w:asciiTheme="minorHAnsi" w:hAnsiTheme="minorHAnsi"/>
          <w:bCs/>
          <w:sz w:val="24"/>
          <w:szCs w:val="24"/>
        </w:rPr>
        <w:t xml:space="preserve"> </w:t>
      </w:r>
      <w:r w:rsidR="008042C5" w:rsidRPr="003B1ECF">
        <w:rPr>
          <w:rFonts w:asciiTheme="minorHAnsi" w:hAnsiTheme="minorHAnsi"/>
          <w:bCs/>
          <w:sz w:val="24"/>
          <w:szCs w:val="24"/>
        </w:rPr>
        <w:t>patient</w:t>
      </w:r>
      <w:r w:rsidR="008042C5" w:rsidRPr="0016581E">
        <w:rPr>
          <w:rFonts w:asciiTheme="minorHAnsi" w:hAnsiTheme="minorHAnsi"/>
          <w:bCs/>
          <w:sz w:val="24"/>
          <w:szCs w:val="24"/>
        </w:rPr>
        <w:t xml:space="preserve"> population</w:t>
      </w:r>
      <w:r w:rsidR="004F2F1C" w:rsidRPr="0016581E">
        <w:rPr>
          <w:rFonts w:asciiTheme="minorHAnsi" w:hAnsiTheme="minorHAnsi"/>
          <w:bCs/>
          <w:sz w:val="24"/>
          <w:szCs w:val="24"/>
        </w:rPr>
        <w:t xml:space="preserve"> as defined in the trials</w:t>
      </w:r>
      <w:r w:rsidR="008042C5" w:rsidRPr="0016581E">
        <w:rPr>
          <w:rFonts w:asciiTheme="minorHAnsi" w:hAnsiTheme="minorHAnsi"/>
          <w:bCs/>
          <w:sz w:val="24"/>
          <w:szCs w:val="24"/>
        </w:rPr>
        <w:t xml:space="preserve"> was clinically warranted.</w:t>
      </w:r>
    </w:p>
    <w:p w:rsidR="00874D5D" w:rsidRPr="0016581E" w:rsidRDefault="00981A0B"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cstheme="minorHAnsi"/>
          <w:sz w:val="24"/>
          <w:szCs w:val="24"/>
        </w:rPr>
        <w:t>In regards to subsidy of</w:t>
      </w:r>
      <w:r w:rsidR="00C551FA" w:rsidRPr="0016581E">
        <w:rPr>
          <w:rFonts w:asciiTheme="minorHAnsi" w:hAnsiTheme="minorHAnsi" w:cstheme="minorHAnsi"/>
          <w:sz w:val="24"/>
          <w:szCs w:val="24"/>
        </w:rPr>
        <w:t xml:space="preserve"> palbociclib for</w:t>
      </w:r>
      <w:r w:rsidRPr="0016581E">
        <w:rPr>
          <w:rFonts w:asciiTheme="minorHAnsi" w:hAnsiTheme="minorHAnsi" w:cstheme="minorHAnsi"/>
          <w:sz w:val="24"/>
          <w:szCs w:val="24"/>
        </w:rPr>
        <w:t xml:space="preserve"> patients who are </w:t>
      </w:r>
      <w:r w:rsidR="00C551FA" w:rsidRPr="0016581E">
        <w:rPr>
          <w:rFonts w:asciiTheme="minorHAnsi" w:hAnsiTheme="minorHAnsi" w:cstheme="minorHAnsi"/>
          <w:sz w:val="24"/>
          <w:szCs w:val="24"/>
        </w:rPr>
        <w:t xml:space="preserve">treated </w:t>
      </w:r>
      <w:r w:rsidRPr="0016581E">
        <w:rPr>
          <w:rFonts w:asciiTheme="minorHAnsi" w:hAnsiTheme="minorHAnsi" w:cstheme="minorHAnsi"/>
          <w:sz w:val="24"/>
          <w:szCs w:val="24"/>
        </w:rPr>
        <w:t>with a NSAI at the time of PBS-listing (a prevalent pool of patients), the PBAC reiterated that, while it may be reasonable to expect that the addition of palbociclib may provide a clinical benefit, it was not appropriate to include this population in a listing at this time, as there is no evidence of the size of the benefit.</w:t>
      </w:r>
      <w:r w:rsidR="009A19BE">
        <w:rPr>
          <w:rFonts w:asciiTheme="minorHAnsi" w:hAnsiTheme="minorHAnsi" w:cstheme="minorHAnsi"/>
          <w:sz w:val="24"/>
          <w:szCs w:val="24"/>
        </w:rPr>
        <w:t xml:space="preserve"> </w:t>
      </w:r>
      <w:r w:rsidR="00C10E16">
        <w:rPr>
          <w:rFonts w:asciiTheme="minorHAnsi" w:hAnsiTheme="minorHAnsi" w:cstheme="minorHAnsi"/>
          <w:sz w:val="24"/>
          <w:szCs w:val="24"/>
        </w:rPr>
        <w:t>However</w:t>
      </w:r>
      <w:r w:rsidR="009A19BE">
        <w:rPr>
          <w:rFonts w:asciiTheme="minorHAnsi" w:hAnsiTheme="minorHAnsi" w:cstheme="minorHAnsi"/>
          <w:sz w:val="24"/>
          <w:szCs w:val="24"/>
        </w:rPr>
        <w:t xml:space="preserve">, the PBAC noted that </w:t>
      </w:r>
      <w:r w:rsidR="009A19BE" w:rsidRPr="006F4A5C">
        <w:rPr>
          <w:rFonts w:asciiTheme="minorHAnsi" w:hAnsiTheme="minorHAnsi" w:cstheme="minorHAnsi"/>
          <w:sz w:val="24"/>
          <w:szCs w:val="24"/>
        </w:rPr>
        <w:t>palbociclib use may extend to this group of patients and consequently increase the total cost to government.</w:t>
      </w:r>
    </w:p>
    <w:p w:rsidR="00445297" w:rsidRPr="0016581E" w:rsidRDefault="00874D5D" w:rsidP="00270E23">
      <w:pPr>
        <w:numPr>
          <w:ilvl w:val="1"/>
          <w:numId w:val="5"/>
        </w:numPr>
        <w:spacing w:before="120" w:after="160"/>
        <w:ind w:left="709" w:hanging="709"/>
        <w:rPr>
          <w:rFonts w:asciiTheme="minorHAnsi" w:hAnsiTheme="minorHAnsi" w:cstheme="minorHAnsi"/>
          <w:sz w:val="24"/>
          <w:szCs w:val="24"/>
        </w:rPr>
      </w:pPr>
      <w:r w:rsidRPr="0016581E">
        <w:rPr>
          <w:rFonts w:asciiTheme="minorHAnsi" w:hAnsiTheme="minorHAnsi" w:cstheme="minorHAnsi"/>
          <w:sz w:val="24"/>
          <w:szCs w:val="24"/>
        </w:rPr>
        <w:t xml:space="preserve">The PBAC considered, if both listed on the PBS, that ribociclib and palbociclib should have similar restriction criteria given they belong to the same class of drug and are registered for similar indications. The PBAC recommended that any points of difference, such as clinical criteria for access, would need to be clearly justified and defined. </w:t>
      </w:r>
    </w:p>
    <w:p w:rsidR="0062640F" w:rsidRPr="0016581E" w:rsidRDefault="00C8113B"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cstheme="minorHAnsi"/>
          <w:sz w:val="24"/>
          <w:szCs w:val="24"/>
        </w:rPr>
        <w:t xml:space="preserve">The PBAC </w:t>
      </w:r>
      <w:r w:rsidR="008C212A" w:rsidRPr="0016581E">
        <w:rPr>
          <w:rFonts w:asciiTheme="minorHAnsi" w:hAnsiTheme="minorHAnsi" w:cstheme="minorHAnsi"/>
          <w:sz w:val="24"/>
          <w:szCs w:val="24"/>
        </w:rPr>
        <w:t xml:space="preserve">considered that the </w:t>
      </w:r>
      <w:r w:rsidR="0058071E" w:rsidRPr="0016581E">
        <w:rPr>
          <w:rFonts w:asciiTheme="minorHAnsi" w:hAnsiTheme="minorHAnsi" w:cstheme="minorHAnsi"/>
          <w:sz w:val="24"/>
          <w:szCs w:val="24"/>
        </w:rPr>
        <w:t xml:space="preserve">nominated </w:t>
      </w:r>
      <w:r w:rsidR="008C212A" w:rsidRPr="0016581E">
        <w:rPr>
          <w:rFonts w:asciiTheme="minorHAnsi" w:hAnsiTheme="minorHAnsi" w:cstheme="minorHAnsi"/>
          <w:sz w:val="24"/>
          <w:szCs w:val="24"/>
        </w:rPr>
        <w:t>main comparator</w:t>
      </w:r>
      <w:r w:rsidR="00DC136F" w:rsidRPr="0016581E">
        <w:rPr>
          <w:rFonts w:asciiTheme="minorHAnsi" w:hAnsiTheme="minorHAnsi" w:cstheme="minorHAnsi"/>
          <w:sz w:val="24"/>
          <w:szCs w:val="24"/>
        </w:rPr>
        <w:t>,</w:t>
      </w:r>
      <w:r w:rsidR="0058071E" w:rsidRPr="0016581E">
        <w:rPr>
          <w:rFonts w:asciiTheme="minorHAnsi" w:hAnsiTheme="minorHAnsi" w:cstheme="minorHAnsi"/>
          <w:sz w:val="24"/>
          <w:szCs w:val="24"/>
        </w:rPr>
        <w:t xml:space="preserve"> a</w:t>
      </w:r>
      <w:r w:rsidR="00DC136F" w:rsidRPr="0016581E">
        <w:rPr>
          <w:rFonts w:asciiTheme="minorHAnsi" w:hAnsiTheme="minorHAnsi" w:cstheme="minorHAnsi"/>
          <w:sz w:val="24"/>
          <w:szCs w:val="24"/>
        </w:rPr>
        <w:t xml:space="preserve"> </w:t>
      </w:r>
      <w:r w:rsidR="008C212A" w:rsidRPr="0016581E">
        <w:rPr>
          <w:rFonts w:asciiTheme="minorHAnsi" w:hAnsiTheme="minorHAnsi" w:cstheme="minorHAnsi"/>
          <w:sz w:val="24"/>
          <w:szCs w:val="24"/>
        </w:rPr>
        <w:t>NSAI (letrozole or anastrozole) alone</w:t>
      </w:r>
      <w:r w:rsidR="00C551FA" w:rsidRPr="0016581E">
        <w:rPr>
          <w:rFonts w:asciiTheme="minorHAnsi" w:hAnsiTheme="minorHAnsi" w:cstheme="minorHAnsi"/>
          <w:sz w:val="24"/>
          <w:szCs w:val="24"/>
        </w:rPr>
        <w:t>, remained</w:t>
      </w:r>
      <w:r w:rsidR="008C212A" w:rsidRPr="0016581E">
        <w:rPr>
          <w:rFonts w:asciiTheme="minorHAnsi" w:hAnsiTheme="minorHAnsi" w:cstheme="minorHAnsi"/>
          <w:sz w:val="24"/>
          <w:szCs w:val="24"/>
        </w:rPr>
        <w:t xml:space="preserve"> appropriate. </w:t>
      </w:r>
      <w:r w:rsidR="00722393" w:rsidRPr="0016581E">
        <w:rPr>
          <w:rFonts w:asciiTheme="minorHAnsi" w:hAnsiTheme="minorHAnsi" w:cstheme="minorHAnsi"/>
          <w:sz w:val="24"/>
          <w:szCs w:val="24"/>
        </w:rPr>
        <w:t xml:space="preserve">The PBAC </w:t>
      </w:r>
      <w:r w:rsidR="00BC73E9" w:rsidRPr="0016581E">
        <w:rPr>
          <w:rFonts w:asciiTheme="minorHAnsi" w:hAnsiTheme="minorHAnsi" w:cstheme="minorHAnsi"/>
          <w:sz w:val="24"/>
          <w:szCs w:val="24"/>
        </w:rPr>
        <w:t xml:space="preserve">agreed with ESC </w:t>
      </w:r>
      <w:r w:rsidR="00722393" w:rsidRPr="0016581E">
        <w:rPr>
          <w:rFonts w:asciiTheme="minorHAnsi" w:hAnsiTheme="minorHAnsi" w:cstheme="minorHAnsi"/>
          <w:sz w:val="24"/>
          <w:szCs w:val="24"/>
        </w:rPr>
        <w:t xml:space="preserve">that ribociclib, which was </w:t>
      </w:r>
      <w:r w:rsidR="00C551FA" w:rsidRPr="0016581E">
        <w:rPr>
          <w:rFonts w:asciiTheme="minorHAnsi" w:hAnsiTheme="minorHAnsi" w:cstheme="minorHAnsi"/>
          <w:sz w:val="24"/>
          <w:szCs w:val="24"/>
        </w:rPr>
        <w:t xml:space="preserve">also </w:t>
      </w:r>
      <w:r w:rsidR="00722393" w:rsidRPr="0016581E">
        <w:rPr>
          <w:rFonts w:asciiTheme="minorHAnsi" w:hAnsiTheme="minorHAnsi" w:cstheme="minorHAnsi"/>
          <w:sz w:val="24"/>
          <w:szCs w:val="24"/>
        </w:rPr>
        <w:t>considered by the Committee for a similar indication at its November 2017 meeting</w:t>
      </w:r>
      <w:r w:rsidR="00C551FA" w:rsidRPr="0016581E">
        <w:rPr>
          <w:rFonts w:asciiTheme="minorHAnsi" w:hAnsiTheme="minorHAnsi" w:cstheme="minorHAnsi"/>
          <w:sz w:val="24"/>
          <w:szCs w:val="24"/>
        </w:rPr>
        <w:t>, should have been considered as a near market comparator</w:t>
      </w:r>
      <w:r w:rsidR="00722393" w:rsidRPr="0016581E">
        <w:rPr>
          <w:rFonts w:asciiTheme="minorHAnsi" w:hAnsiTheme="minorHAnsi" w:cstheme="minorHAnsi"/>
          <w:sz w:val="24"/>
          <w:szCs w:val="24"/>
        </w:rPr>
        <w:t>.</w:t>
      </w:r>
    </w:p>
    <w:p w:rsidR="006F2913" w:rsidRPr="0016581E" w:rsidRDefault="001269A5"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noted the re-submission was </w:t>
      </w:r>
      <w:r w:rsidR="006527E4" w:rsidRPr="0016581E">
        <w:rPr>
          <w:rFonts w:asciiTheme="minorHAnsi" w:hAnsiTheme="minorHAnsi"/>
          <w:bCs/>
          <w:sz w:val="24"/>
          <w:szCs w:val="24"/>
        </w:rPr>
        <w:t>based on the same two head-to-head RCTs comparing palbociclib + letrozole to letrozole alone (PALOMA-1, n= 165 and PALOMA-2, n= 666)</w:t>
      </w:r>
      <w:r w:rsidR="000E1881" w:rsidRPr="0016581E">
        <w:rPr>
          <w:rFonts w:asciiTheme="minorHAnsi" w:hAnsiTheme="minorHAnsi"/>
          <w:bCs/>
          <w:sz w:val="24"/>
          <w:szCs w:val="24"/>
        </w:rPr>
        <w:t xml:space="preserve"> </w:t>
      </w:r>
      <w:r w:rsidR="00FE7B5B" w:rsidRPr="0016581E">
        <w:rPr>
          <w:rFonts w:asciiTheme="minorHAnsi" w:hAnsiTheme="minorHAnsi"/>
          <w:bCs/>
          <w:sz w:val="24"/>
          <w:szCs w:val="24"/>
        </w:rPr>
        <w:t xml:space="preserve">as </w:t>
      </w:r>
      <w:r w:rsidR="000E1881" w:rsidRPr="0016581E">
        <w:rPr>
          <w:rFonts w:asciiTheme="minorHAnsi" w:hAnsiTheme="minorHAnsi"/>
          <w:bCs/>
          <w:sz w:val="24"/>
          <w:szCs w:val="24"/>
        </w:rPr>
        <w:t>presented in the original submission</w:t>
      </w:r>
      <w:r w:rsidR="006527E4" w:rsidRPr="0016581E">
        <w:rPr>
          <w:rFonts w:asciiTheme="minorHAnsi" w:hAnsiTheme="minorHAnsi"/>
          <w:bCs/>
          <w:sz w:val="24"/>
          <w:szCs w:val="24"/>
        </w:rPr>
        <w:t>. The PBAC noted</w:t>
      </w:r>
      <w:r w:rsidR="00403EE8" w:rsidRPr="0016581E">
        <w:rPr>
          <w:rFonts w:asciiTheme="minorHAnsi" w:hAnsiTheme="minorHAnsi"/>
          <w:bCs/>
          <w:sz w:val="24"/>
          <w:szCs w:val="24"/>
        </w:rPr>
        <w:t xml:space="preserve"> additional</w:t>
      </w:r>
      <w:r w:rsidR="00FE7B5B" w:rsidRPr="0016581E">
        <w:rPr>
          <w:rFonts w:asciiTheme="minorHAnsi" w:hAnsiTheme="minorHAnsi"/>
          <w:bCs/>
          <w:sz w:val="24"/>
          <w:szCs w:val="24"/>
        </w:rPr>
        <w:t xml:space="preserve"> </w:t>
      </w:r>
      <w:r w:rsidR="00B143BD" w:rsidRPr="0016581E">
        <w:rPr>
          <w:rFonts w:asciiTheme="minorHAnsi" w:hAnsiTheme="minorHAnsi"/>
          <w:bCs/>
          <w:sz w:val="24"/>
          <w:szCs w:val="24"/>
        </w:rPr>
        <w:t>follow-up</w:t>
      </w:r>
      <w:r w:rsidR="00403EE8" w:rsidRPr="0016581E">
        <w:rPr>
          <w:rFonts w:asciiTheme="minorHAnsi" w:hAnsiTheme="minorHAnsi"/>
          <w:bCs/>
          <w:sz w:val="24"/>
          <w:szCs w:val="24"/>
        </w:rPr>
        <w:t xml:space="preserve"> data were available for</w:t>
      </w:r>
      <w:r w:rsidR="00B143BD" w:rsidRPr="0016581E">
        <w:rPr>
          <w:rFonts w:asciiTheme="minorHAnsi" w:hAnsiTheme="minorHAnsi"/>
          <w:bCs/>
          <w:sz w:val="24"/>
          <w:szCs w:val="24"/>
        </w:rPr>
        <w:t xml:space="preserve"> PALOMA-1 </w:t>
      </w:r>
      <w:r w:rsidR="00403EE8" w:rsidRPr="0016581E">
        <w:rPr>
          <w:rFonts w:asciiTheme="minorHAnsi" w:hAnsiTheme="minorHAnsi"/>
          <w:bCs/>
          <w:sz w:val="24"/>
          <w:szCs w:val="24"/>
        </w:rPr>
        <w:t>but not PALOMA-2</w:t>
      </w:r>
      <w:r w:rsidR="00701E83" w:rsidRPr="0016581E">
        <w:rPr>
          <w:rFonts w:asciiTheme="minorHAnsi" w:hAnsiTheme="minorHAnsi"/>
          <w:bCs/>
          <w:sz w:val="24"/>
          <w:szCs w:val="24"/>
        </w:rPr>
        <w:t xml:space="preserve">. </w:t>
      </w:r>
      <w:r w:rsidR="005404BD" w:rsidRPr="0016581E">
        <w:rPr>
          <w:rFonts w:asciiTheme="minorHAnsi" w:hAnsiTheme="minorHAnsi"/>
          <w:bCs/>
          <w:sz w:val="24"/>
          <w:szCs w:val="24"/>
        </w:rPr>
        <w:t xml:space="preserve">The PBAC </w:t>
      </w:r>
      <w:r w:rsidR="00263628" w:rsidRPr="0016581E">
        <w:rPr>
          <w:rFonts w:asciiTheme="minorHAnsi" w:hAnsiTheme="minorHAnsi"/>
          <w:bCs/>
          <w:sz w:val="24"/>
          <w:szCs w:val="24"/>
        </w:rPr>
        <w:t xml:space="preserve">recalled </w:t>
      </w:r>
      <w:r w:rsidR="00A971EB">
        <w:rPr>
          <w:rFonts w:asciiTheme="minorHAnsi" w:hAnsiTheme="minorHAnsi"/>
          <w:bCs/>
          <w:sz w:val="24"/>
          <w:szCs w:val="24"/>
        </w:rPr>
        <w:t xml:space="preserve">the </w:t>
      </w:r>
      <w:r w:rsidR="00263628" w:rsidRPr="0016581E">
        <w:rPr>
          <w:rFonts w:asciiTheme="minorHAnsi" w:hAnsiTheme="minorHAnsi"/>
          <w:bCs/>
          <w:sz w:val="24"/>
          <w:szCs w:val="24"/>
        </w:rPr>
        <w:t>ESC’s</w:t>
      </w:r>
      <w:r w:rsidR="005404BD" w:rsidRPr="0016581E">
        <w:rPr>
          <w:rFonts w:asciiTheme="minorHAnsi" w:hAnsiTheme="minorHAnsi"/>
          <w:bCs/>
          <w:sz w:val="24"/>
          <w:szCs w:val="24"/>
        </w:rPr>
        <w:t xml:space="preserve"> concerns </w:t>
      </w:r>
      <w:r w:rsidR="00403EE8" w:rsidRPr="0016581E">
        <w:rPr>
          <w:rFonts w:asciiTheme="minorHAnsi" w:hAnsiTheme="minorHAnsi"/>
          <w:bCs/>
          <w:sz w:val="24"/>
          <w:szCs w:val="24"/>
        </w:rPr>
        <w:t xml:space="preserve">regarding </w:t>
      </w:r>
      <w:r w:rsidR="005404BD" w:rsidRPr="0016581E">
        <w:rPr>
          <w:rFonts w:asciiTheme="minorHAnsi" w:hAnsiTheme="minorHAnsi"/>
          <w:bCs/>
          <w:sz w:val="24"/>
          <w:szCs w:val="24"/>
        </w:rPr>
        <w:t>the</w:t>
      </w:r>
      <w:r w:rsidR="00403EE8" w:rsidRPr="0016581E">
        <w:rPr>
          <w:rFonts w:asciiTheme="minorHAnsi" w:hAnsiTheme="minorHAnsi"/>
          <w:bCs/>
          <w:sz w:val="24"/>
          <w:szCs w:val="24"/>
        </w:rPr>
        <w:t xml:space="preserve"> PALOMA-1</w:t>
      </w:r>
      <w:r w:rsidR="005404BD" w:rsidRPr="0016581E">
        <w:rPr>
          <w:rFonts w:asciiTheme="minorHAnsi" w:hAnsiTheme="minorHAnsi"/>
          <w:bCs/>
          <w:sz w:val="24"/>
          <w:szCs w:val="24"/>
        </w:rPr>
        <w:t xml:space="preserve"> trial design and </w:t>
      </w:r>
      <w:r w:rsidR="00403EE8" w:rsidRPr="0016581E">
        <w:rPr>
          <w:rFonts w:asciiTheme="minorHAnsi" w:hAnsiTheme="minorHAnsi"/>
          <w:bCs/>
          <w:sz w:val="24"/>
          <w:szCs w:val="24"/>
        </w:rPr>
        <w:t xml:space="preserve">the associated </w:t>
      </w:r>
      <w:r w:rsidR="005404BD" w:rsidRPr="0016581E">
        <w:rPr>
          <w:rFonts w:asciiTheme="minorHAnsi" w:hAnsiTheme="minorHAnsi"/>
          <w:bCs/>
          <w:sz w:val="24"/>
          <w:szCs w:val="24"/>
        </w:rPr>
        <w:t>signi</w:t>
      </w:r>
      <w:r w:rsidR="00263628" w:rsidRPr="0016581E">
        <w:rPr>
          <w:rFonts w:asciiTheme="minorHAnsi" w:hAnsiTheme="minorHAnsi"/>
          <w:bCs/>
          <w:sz w:val="24"/>
          <w:szCs w:val="24"/>
        </w:rPr>
        <w:t>ficant risk of bias</w:t>
      </w:r>
      <w:r w:rsidR="005404BD" w:rsidRPr="0016581E">
        <w:rPr>
          <w:rFonts w:asciiTheme="minorHAnsi" w:hAnsiTheme="minorHAnsi"/>
          <w:bCs/>
          <w:sz w:val="24"/>
          <w:szCs w:val="24"/>
        </w:rPr>
        <w:t xml:space="preserve">. Though the predictable adverse event profile of palbociclib may also bias assessment of clinical response and patient reported outcomes in a blinded trial, the PBAC </w:t>
      </w:r>
      <w:r w:rsidR="00A32F28" w:rsidRPr="0016581E">
        <w:rPr>
          <w:rFonts w:asciiTheme="minorHAnsi" w:hAnsiTheme="minorHAnsi"/>
          <w:bCs/>
          <w:sz w:val="24"/>
          <w:szCs w:val="24"/>
        </w:rPr>
        <w:t>reiterated</w:t>
      </w:r>
      <w:r w:rsidR="005404BD" w:rsidRPr="0016581E">
        <w:rPr>
          <w:rFonts w:asciiTheme="minorHAnsi" w:hAnsiTheme="minorHAnsi"/>
          <w:bCs/>
          <w:sz w:val="24"/>
          <w:szCs w:val="24"/>
        </w:rPr>
        <w:t xml:space="preserve"> that data from PALOMA-2 would be more informative in evaluating the comparative efficacy and safety of palbociclib.</w:t>
      </w:r>
      <w:r w:rsidR="000E218B" w:rsidRPr="0016581E">
        <w:rPr>
          <w:rFonts w:asciiTheme="minorHAnsi" w:hAnsiTheme="minorHAnsi"/>
          <w:bCs/>
          <w:sz w:val="24"/>
          <w:szCs w:val="24"/>
        </w:rPr>
        <w:t xml:space="preserve"> </w:t>
      </w:r>
    </w:p>
    <w:p w:rsidR="00C379A3" w:rsidRPr="0016581E" w:rsidRDefault="00D709BE"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noted that both trials showed statistically significant improvements in PFS. </w:t>
      </w:r>
      <w:r w:rsidR="00C379A3" w:rsidRPr="0016581E">
        <w:rPr>
          <w:rFonts w:asciiTheme="minorHAnsi" w:hAnsiTheme="minorHAnsi"/>
          <w:bCs/>
          <w:sz w:val="24"/>
          <w:szCs w:val="24"/>
        </w:rPr>
        <w:t xml:space="preserve">These results are unchanged from the previous submission. The PBAC recalled that in both trials the rate of progression was faster, and the extent of the improvement was greater, for the analyses based on the investigator assessment compared with the blinded independent central review (BICR) assessment. </w:t>
      </w:r>
    </w:p>
    <w:p w:rsidR="008473EA" w:rsidRPr="0016581E" w:rsidRDefault="008473EA"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noted that </w:t>
      </w:r>
      <w:r w:rsidR="00403EE8" w:rsidRPr="0016581E">
        <w:rPr>
          <w:rFonts w:asciiTheme="minorHAnsi" w:hAnsiTheme="minorHAnsi"/>
          <w:bCs/>
          <w:sz w:val="24"/>
          <w:szCs w:val="24"/>
        </w:rPr>
        <w:t xml:space="preserve">with the additional follow-up for PALOMA-1, </w:t>
      </w:r>
      <w:r w:rsidRPr="0016581E">
        <w:rPr>
          <w:rFonts w:asciiTheme="minorHAnsi" w:hAnsiTheme="minorHAnsi"/>
          <w:bCs/>
          <w:sz w:val="24"/>
          <w:szCs w:val="24"/>
        </w:rPr>
        <w:t xml:space="preserve">OS </w:t>
      </w:r>
      <w:r w:rsidR="00403EE8" w:rsidRPr="0016581E">
        <w:rPr>
          <w:rFonts w:asciiTheme="minorHAnsi" w:hAnsiTheme="minorHAnsi"/>
          <w:bCs/>
          <w:sz w:val="24"/>
          <w:szCs w:val="24"/>
        </w:rPr>
        <w:t xml:space="preserve">remained </w:t>
      </w:r>
      <w:r w:rsidR="00DD7C68" w:rsidRPr="0016581E">
        <w:rPr>
          <w:rFonts w:asciiTheme="minorHAnsi" w:hAnsiTheme="minorHAnsi"/>
          <w:bCs/>
          <w:sz w:val="24"/>
          <w:szCs w:val="24"/>
        </w:rPr>
        <w:t xml:space="preserve">not </w:t>
      </w:r>
      <w:r w:rsidR="00403EE8" w:rsidRPr="0016581E">
        <w:rPr>
          <w:rFonts w:asciiTheme="minorHAnsi" w:hAnsiTheme="minorHAnsi"/>
          <w:bCs/>
          <w:sz w:val="24"/>
          <w:szCs w:val="24"/>
        </w:rPr>
        <w:t xml:space="preserve">statistically </w:t>
      </w:r>
      <w:r w:rsidR="00DD7C68" w:rsidRPr="0016581E">
        <w:rPr>
          <w:rFonts w:asciiTheme="minorHAnsi" w:hAnsiTheme="minorHAnsi"/>
          <w:bCs/>
          <w:sz w:val="24"/>
          <w:szCs w:val="24"/>
        </w:rPr>
        <w:t xml:space="preserve">significantly different, though </w:t>
      </w:r>
      <w:r w:rsidR="00FE7B5B" w:rsidRPr="0016581E">
        <w:rPr>
          <w:rFonts w:asciiTheme="minorHAnsi" w:hAnsiTheme="minorHAnsi"/>
          <w:bCs/>
          <w:sz w:val="24"/>
          <w:szCs w:val="24"/>
        </w:rPr>
        <w:t xml:space="preserve">was </w:t>
      </w:r>
      <w:r w:rsidR="00DD7C68" w:rsidRPr="0016581E">
        <w:rPr>
          <w:rFonts w:asciiTheme="minorHAnsi" w:hAnsiTheme="minorHAnsi"/>
          <w:bCs/>
          <w:sz w:val="24"/>
          <w:szCs w:val="24"/>
        </w:rPr>
        <w:t xml:space="preserve">numerically different in favour of palbociclib. </w:t>
      </w:r>
      <w:r w:rsidRPr="0016581E">
        <w:rPr>
          <w:rFonts w:asciiTheme="minorHAnsi" w:hAnsiTheme="minorHAnsi"/>
          <w:bCs/>
          <w:sz w:val="24"/>
          <w:szCs w:val="24"/>
        </w:rPr>
        <w:t xml:space="preserve">Further, the PBAC noted that the </w:t>
      </w:r>
      <w:r w:rsidR="00FE7B5B" w:rsidRPr="0016581E">
        <w:rPr>
          <w:rFonts w:asciiTheme="minorHAnsi" w:hAnsiTheme="minorHAnsi"/>
          <w:bCs/>
          <w:sz w:val="24"/>
          <w:szCs w:val="24"/>
        </w:rPr>
        <w:t xml:space="preserve">magnitude of the </w:t>
      </w:r>
      <w:r w:rsidRPr="0016581E">
        <w:rPr>
          <w:rFonts w:asciiTheme="minorHAnsi" w:hAnsiTheme="minorHAnsi"/>
          <w:bCs/>
          <w:sz w:val="24"/>
          <w:szCs w:val="24"/>
        </w:rPr>
        <w:t>difference</w:t>
      </w:r>
      <w:r w:rsidR="00FE7B5B" w:rsidRPr="0016581E">
        <w:rPr>
          <w:rFonts w:asciiTheme="minorHAnsi" w:hAnsiTheme="minorHAnsi"/>
          <w:bCs/>
          <w:sz w:val="24"/>
          <w:szCs w:val="24"/>
        </w:rPr>
        <w:t xml:space="preserve"> was reduced with the additional data</w:t>
      </w:r>
      <w:r w:rsidRPr="0016581E">
        <w:rPr>
          <w:rFonts w:asciiTheme="minorHAnsi" w:hAnsiTheme="minorHAnsi"/>
          <w:bCs/>
          <w:sz w:val="24"/>
          <w:szCs w:val="24"/>
        </w:rPr>
        <w:t xml:space="preserve"> </w:t>
      </w:r>
      <w:r w:rsidR="00FE7B5B" w:rsidRPr="0016581E">
        <w:rPr>
          <w:rFonts w:asciiTheme="minorHAnsi" w:hAnsiTheme="minorHAnsi"/>
          <w:bCs/>
          <w:sz w:val="24"/>
          <w:szCs w:val="24"/>
        </w:rPr>
        <w:t>(</w:t>
      </w:r>
      <w:r w:rsidR="00403EE8" w:rsidRPr="0016581E">
        <w:rPr>
          <w:rFonts w:asciiTheme="minorHAnsi" w:hAnsiTheme="minorHAnsi"/>
          <w:bCs/>
          <w:sz w:val="24"/>
          <w:szCs w:val="24"/>
        </w:rPr>
        <w:t xml:space="preserve">median </w:t>
      </w:r>
      <w:r w:rsidR="00FE7B5B" w:rsidRPr="0016581E">
        <w:rPr>
          <w:rFonts w:asciiTheme="minorHAnsi" w:hAnsiTheme="minorHAnsi"/>
          <w:bCs/>
          <w:sz w:val="24"/>
          <w:szCs w:val="24"/>
        </w:rPr>
        <w:t xml:space="preserve">increase in </w:t>
      </w:r>
      <w:r w:rsidR="00403EE8" w:rsidRPr="0016581E">
        <w:rPr>
          <w:rFonts w:asciiTheme="minorHAnsi" w:hAnsiTheme="minorHAnsi"/>
          <w:bCs/>
          <w:sz w:val="24"/>
          <w:szCs w:val="24"/>
        </w:rPr>
        <w:t xml:space="preserve">OS </w:t>
      </w:r>
      <w:r w:rsidRPr="0016581E">
        <w:rPr>
          <w:rFonts w:asciiTheme="minorHAnsi" w:hAnsiTheme="minorHAnsi"/>
          <w:bCs/>
          <w:sz w:val="24"/>
          <w:szCs w:val="24"/>
        </w:rPr>
        <w:t xml:space="preserve">of 3.0 </w:t>
      </w:r>
      <w:r w:rsidR="00FE7B5B" w:rsidRPr="0016581E">
        <w:rPr>
          <w:rFonts w:asciiTheme="minorHAnsi" w:hAnsiTheme="minorHAnsi"/>
          <w:bCs/>
          <w:sz w:val="24"/>
          <w:szCs w:val="24"/>
        </w:rPr>
        <w:t xml:space="preserve">vs 4.2 </w:t>
      </w:r>
      <w:r w:rsidRPr="0016581E">
        <w:rPr>
          <w:rFonts w:asciiTheme="minorHAnsi" w:hAnsiTheme="minorHAnsi"/>
          <w:bCs/>
          <w:sz w:val="24"/>
          <w:szCs w:val="24"/>
        </w:rPr>
        <w:t>months</w:t>
      </w:r>
      <w:r w:rsidR="00FE7B5B" w:rsidRPr="0016581E">
        <w:rPr>
          <w:rFonts w:asciiTheme="minorHAnsi" w:hAnsiTheme="minorHAnsi"/>
          <w:bCs/>
          <w:sz w:val="24"/>
          <w:szCs w:val="24"/>
        </w:rPr>
        <w:t>;</w:t>
      </w:r>
      <w:r w:rsidRPr="0016581E">
        <w:rPr>
          <w:rFonts w:asciiTheme="minorHAnsi" w:hAnsiTheme="minorHAnsi"/>
          <w:bCs/>
          <w:sz w:val="24"/>
          <w:szCs w:val="24"/>
        </w:rPr>
        <w:t xml:space="preserve"> HR </w:t>
      </w:r>
      <w:r w:rsidRPr="0016581E">
        <w:rPr>
          <w:rFonts w:asciiTheme="minorHAnsi" w:hAnsiTheme="minorHAnsi"/>
          <w:bCs/>
          <w:sz w:val="24"/>
          <w:szCs w:val="24"/>
        </w:rPr>
        <w:lastRenderedPageBreak/>
        <w:t>0.8970 (</w:t>
      </w:r>
      <w:r w:rsidR="00403EE8" w:rsidRPr="0016581E">
        <w:rPr>
          <w:rFonts w:asciiTheme="minorHAnsi" w:hAnsiTheme="minorHAnsi"/>
          <w:bCs/>
          <w:sz w:val="24"/>
          <w:szCs w:val="24"/>
        </w:rPr>
        <w:t xml:space="preserve">95% CI </w:t>
      </w:r>
      <w:r w:rsidRPr="0016581E">
        <w:rPr>
          <w:rFonts w:asciiTheme="minorHAnsi" w:hAnsiTheme="minorHAnsi"/>
          <w:bCs/>
          <w:sz w:val="24"/>
          <w:szCs w:val="24"/>
        </w:rPr>
        <w:t>0.623, 1.294)</w:t>
      </w:r>
      <w:r w:rsidR="009A19BE">
        <w:rPr>
          <w:rFonts w:asciiTheme="minorHAnsi" w:hAnsiTheme="minorHAnsi"/>
          <w:bCs/>
          <w:sz w:val="24"/>
          <w:szCs w:val="24"/>
        </w:rPr>
        <w:t xml:space="preserve"> </w:t>
      </w:r>
      <w:r w:rsidR="00FE7B5B" w:rsidRPr="0016581E">
        <w:rPr>
          <w:rFonts w:asciiTheme="minorHAnsi" w:hAnsiTheme="minorHAnsi"/>
          <w:bCs/>
          <w:sz w:val="24"/>
          <w:szCs w:val="24"/>
        </w:rPr>
        <w:t>vs</w:t>
      </w:r>
      <w:r w:rsidRPr="0016581E">
        <w:rPr>
          <w:rFonts w:asciiTheme="minorHAnsi" w:hAnsiTheme="minorHAnsi"/>
          <w:bCs/>
          <w:sz w:val="24"/>
          <w:szCs w:val="24"/>
        </w:rPr>
        <w:t xml:space="preserve"> 0.813 (</w:t>
      </w:r>
      <w:r w:rsidR="00403EE8" w:rsidRPr="0016581E">
        <w:rPr>
          <w:rFonts w:asciiTheme="minorHAnsi" w:hAnsiTheme="minorHAnsi"/>
          <w:bCs/>
          <w:sz w:val="24"/>
          <w:szCs w:val="24"/>
        </w:rPr>
        <w:t xml:space="preserve">95% CI </w:t>
      </w:r>
      <w:r w:rsidRPr="0016581E">
        <w:rPr>
          <w:rFonts w:asciiTheme="minorHAnsi" w:hAnsiTheme="minorHAnsi"/>
          <w:bCs/>
          <w:sz w:val="24"/>
          <w:szCs w:val="24"/>
        </w:rPr>
        <w:t xml:space="preserve">0.492, 1.345)). </w:t>
      </w:r>
      <w:r w:rsidR="00FE52DA" w:rsidRPr="0016581E">
        <w:rPr>
          <w:rFonts w:asciiTheme="minorHAnsi" w:hAnsiTheme="minorHAnsi"/>
          <w:bCs/>
          <w:sz w:val="24"/>
          <w:szCs w:val="24"/>
        </w:rPr>
        <w:t xml:space="preserve">The re-submission did not provide updated OS results from </w:t>
      </w:r>
      <w:r w:rsidR="00DD7C68" w:rsidRPr="0016581E">
        <w:rPr>
          <w:rFonts w:asciiTheme="minorHAnsi" w:hAnsiTheme="minorHAnsi"/>
          <w:bCs/>
          <w:sz w:val="24"/>
          <w:szCs w:val="24"/>
        </w:rPr>
        <w:t>PALOMA-2</w:t>
      </w:r>
      <w:r w:rsidRPr="0016581E">
        <w:rPr>
          <w:rFonts w:asciiTheme="minorHAnsi" w:hAnsiTheme="minorHAnsi"/>
          <w:bCs/>
          <w:sz w:val="24"/>
          <w:szCs w:val="24"/>
        </w:rPr>
        <w:t xml:space="preserve">. </w:t>
      </w:r>
      <w:r w:rsidR="00FE7B5B" w:rsidRPr="0016581E">
        <w:rPr>
          <w:rFonts w:asciiTheme="minorHAnsi" w:hAnsiTheme="minorHAnsi"/>
          <w:bCs/>
          <w:sz w:val="24"/>
          <w:szCs w:val="24"/>
        </w:rPr>
        <w:t>T</w:t>
      </w:r>
      <w:r w:rsidR="00DD7C68" w:rsidRPr="0016581E">
        <w:rPr>
          <w:rFonts w:asciiTheme="minorHAnsi" w:hAnsiTheme="minorHAnsi"/>
          <w:bCs/>
          <w:sz w:val="24"/>
          <w:szCs w:val="24"/>
        </w:rPr>
        <w:t xml:space="preserve">he PBAC </w:t>
      </w:r>
      <w:r w:rsidR="00F861BF" w:rsidRPr="0016581E">
        <w:rPr>
          <w:rFonts w:asciiTheme="minorHAnsi" w:hAnsiTheme="minorHAnsi"/>
          <w:bCs/>
          <w:sz w:val="24"/>
          <w:szCs w:val="24"/>
        </w:rPr>
        <w:t>recalled from its previous consideration</w:t>
      </w:r>
      <w:r w:rsidRPr="0016581E">
        <w:rPr>
          <w:rFonts w:asciiTheme="minorHAnsi" w:hAnsiTheme="minorHAnsi"/>
          <w:bCs/>
          <w:sz w:val="24"/>
          <w:szCs w:val="24"/>
        </w:rPr>
        <w:t xml:space="preserve"> that results</w:t>
      </w:r>
      <w:r w:rsidR="00F861BF" w:rsidRPr="0016581E">
        <w:rPr>
          <w:rFonts w:asciiTheme="minorHAnsi" w:hAnsiTheme="minorHAnsi"/>
          <w:bCs/>
          <w:sz w:val="24"/>
          <w:szCs w:val="24"/>
        </w:rPr>
        <w:t xml:space="preserve"> </w:t>
      </w:r>
      <w:r w:rsidRPr="0016581E">
        <w:rPr>
          <w:rFonts w:asciiTheme="minorHAnsi" w:hAnsiTheme="minorHAnsi"/>
          <w:bCs/>
          <w:sz w:val="24"/>
          <w:szCs w:val="24"/>
        </w:rPr>
        <w:t xml:space="preserve">will be available in 2020 and retained the view that </w:t>
      </w:r>
      <w:r w:rsidR="00DC63A4" w:rsidRPr="0016581E">
        <w:rPr>
          <w:rFonts w:asciiTheme="minorHAnsi" w:hAnsiTheme="minorHAnsi" w:cstheme="minorHAnsi"/>
          <w:sz w:val="24"/>
          <w:szCs w:val="24"/>
        </w:rPr>
        <w:t xml:space="preserve">further outcome data from PALOMA-2, particularly relating to OS, would be </w:t>
      </w:r>
      <w:r w:rsidR="00FE7B5B" w:rsidRPr="0016581E">
        <w:rPr>
          <w:rFonts w:asciiTheme="minorHAnsi" w:hAnsiTheme="minorHAnsi" w:cstheme="minorHAnsi"/>
          <w:sz w:val="24"/>
          <w:szCs w:val="24"/>
        </w:rPr>
        <w:t>informative</w:t>
      </w:r>
      <w:r w:rsidR="00DC63A4" w:rsidRPr="0016581E">
        <w:rPr>
          <w:rFonts w:asciiTheme="minorHAnsi" w:hAnsiTheme="minorHAnsi" w:cstheme="minorHAnsi"/>
          <w:sz w:val="24"/>
          <w:szCs w:val="24"/>
        </w:rPr>
        <w:t>.</w:t>
      </w:r>
      <w:r w:rsidR="0068416F" w:rsidRPr="0016581E">
        <w:rPr>
          <w:rFonts w:asciiTheme="minorHAnsi" w:hAnsiTheme="minorHAnsi" w:cstheme="minorHAnsi"/>
          <w:sz w:val="24"/>
          <w:szCs w:val="24"/>
        </w:rPr>
        <w:t xml:space="preserve"> </w:t>
      </w:r>
    </w:p>
    <w:p w:rsidR="004F09D5" w:rsidRPr="0016581E" w:rsidRDefault="0003380E"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The re-submission claimed that palbociclib plus letrozole had superior comparative effectiveness to letrozole (or anastrozole) and a worse but manageable safety profile.</w:t>
      </w:r>
      <w:r w:rsidR="007A7246" w:rsidRPr="0016581E">
        <w:rPr>
          <w:rFonts w:asciiTheme="minorHAnsi" w:hAnsiTheme="minorHAnsi"/>
          <w:bCs/>
          <w:sz w:val="24"/>
          <w:szCs w:val="24"/>
        </w:rPr>
        <w:t xml:space="preserve"> </w:t>
      </w:r>
      <w:r w:rsidR="00721B78" w:rsidRPr="0016581E">
        <w:rPr>
          <w:rFonts w:asciiTheme="minorHAnsi" w:hAnsiTheme="minorHAnsi"/>
          <w:bCs/>
          <w:sz w:val="24"/>
          <w:szCs w:val="24"/>
        </w:rPr>
        <w:t xml:space="preserve">The PBAC noted the increased PFS reported in the trials, but </w:t>
      </w:r>
      <w:r w:rsidR="006E6C5A" w:rsidRPr="0016581E">
        <w:rPr>
          <w:rFonts w:asciiTheme="minorHAnsi" w:hAnsiTheme="minorHAnsi"/>
          <w:bCs/>
          <w:sz w:val="24"/>
          <w:szCs w:val="24"/>
        </w:rPr>
        <w:t>maintained</w:t>
      </w:r>
      <w:r w:rsidR="009E2BD1" w:rsidRPr="0016581E">
        <w:rPr>
          <w:rFonts w:asciiTheme="minorHAnsi" w:hAnsiTheme="minorHAnsi"/>
          <w:bCs/>
          <w:sz w:val="24"/>
          <w:szCs w:val="24"/>
        </w:rPr>
        <w:t xml:space="preserve"> its previous </w:t>
      </w:r>
      <w:r w:rsidR="00756545" w:rsidRPr="0016581E">
        <w:rPr>
          <w:rFonts w:asciiTheme="minorHAnsi" w:hAnsiTheme="minorHAnsi"/>
          <w:bCs/>
          <w:sz w:val="24"/>
          <w:szCs w:val="24"/>
        </w:rPr>
        <w:t xml:space="preserve">position </w:t>
      </w:r>
      <w:r w:rsidR="009E2BD1" w:rsidRPr="0016581E">
        <w:rPr>
          <w:rFonts w:asciiTheme="minorHAnsi" w:hAnsiTheme="minorHAnsi"/>
          <w:bCs/>
          <w:sz w:val="24"/>
          <w:szCs w:val="24"/>
        </w:rPr>
        <w:t xml:space="preserve">that </w:t>
      </w:r>
      <w:r w:rsidR="00721B78" w:rsidRPr="0016581E">
        <w:rPr>
          <w:rFonts w:asciiTheme="minorHAnsi" w:hAnsiTheme="minorHAnsi"/>
          <w:bCs/>
          <w:sz w:val="24"/>
          <w:szCs w:val="24"/>
        </w:rPr>
        <w:t xml:space="preserve">the overall comparative clinical benefit of palbociclib remained unclear in the absence of evidence of a survival benefit </w:t>
      </w:r>
      <w:r w:rsidR="00F86090" w:rsidRPr="0016581E">
        <w:rPr>
          <w:rFonts w:asciiTheme="minorHAnsi" w:hAnsiTheme="minorHAnsi"/>
          <w:bCs/>
          <w:sz w:val="24"/>
          <w:szCs w:val="24"/>
        </w:rPr>
        <w:t>and limited clinical trial evidence of</w:t>
      </w:r>
      <w:r w:rsidR="00721B78" w:rsidRPr="0016581E">
        <w:rPr>
          <w:rFonts w:asciiTheme="minorHAnsi" w:hAnsiTheme="minorHAnsi"/>
          <w:bCs/>
          <w:sz w:val="24"/>
          <w:szCs w:val="24"/>
        </w:rPr>
        <w:t xml:space="preserve"> patient-reported improvements in their quality of life, and given the data indicating </w:t>
      </w:r>
      <w:r w:rsidR="00FE7B5B" w:rsidRPr="0016581E">
        <w:rPr>
          <w:rFonts w:asciiTheme="minorHAnsi" w:hAnsiTheme="minorHAnsi"/>
          <w:bCs/>
          <w:sz w:val="24"/>
          <w:szCs w:val="24"/>
        </w:rPr>
        <w:t xml:space="preserve">increased </w:t>
      </w:r>
      <w:r w:rsidR="00721B78" w:rsidRPr="0016581E">
        <w:rPr>
          <w:rFonts w:asciiTheme="minorHAnsi" w:hAnsiTheme="minorHAnsi"/>
          <w:bCs/>
          <w:sz w:val="24"/>
          <w:szCs w:val="24"/>
        </w:rPr>
        <w:t xml:space="preserve">adverse events. </w:t>
      </w:r>
    </w:p>
    <w:p w:rsidR="004B5F25" w:rsidRPr="0016581E" w:rsidRDefault="005846A7" w:rsidP="00270E23">
      <w:pPr>
        <w:pStyle w:val="ListParagraph"/>
        <w:numPr>
          <w:ilvl w:val="1"/>
          <w:numId w:val="5"/>
        </w:numPr>
        <w:spacing w:before="120" w:after="160"/>
        <w:ind w:left="709" w:hanging="709"/>
        <w:contextualSpacing w:val="0"/>
        <w:rPr>
          <w:rFonts w:asciiTheme="minorHAnsi" w:hAnsiTheme="minorHAnsi"/>
          <w:sz w:val="24"/>
          <w:szCs w:val="24"/>
        </w:rPr>
      </w:pPr>
      <w:r w:rsidRPr="0016581E">
        <w:rPr>
          <w:rFonts w:asciiTheme="minorHAnsi" w:hAnsiTheme="minorHAnsi"/>
          <w:bCs/>
          <w:sz w:val="24"/>
          <w:szCs w:val="24"/>
        </w:rPr>
        <w:t xml:space="preserve">The PBAC recalled </w:t>
      </w:r>
      <w:r w:rsidR="002D079E" w:rsidRPr="0016581E">
        <w:rPr>
          <w:rFonts w:asciiTheme="minorHAnsi" w:hAnsiTheme="minorHAnsi"/>
          <w:bCs/>
          <w:sz w:val="24"/>
          <w:szCs w:val="24"/>
        </w:rPr>
        <w:t>its</w:t>
      </w:r>
      <w:r w:rsidRPr="0016581E">
        <w:rPr>
          <w:rFonts w:asciiTheme="minorHAnsi" w:hAnsiTheme="minorHAnsi"/>
          <w:bCs/>
          <w:sz w:val="24"/>
          <w:szCs w:val="24"/>
        </w:rPr>
        <w:t xml:space="preserve"> </w:t>
      </w:r>
      <w:r w:rsidR="00E5082F" w:rsidRPr="0016581E">
        <w:rPr>
          <w:rFonts w:asciiTheme="minorHAnsi" w:hAnsiTheme="minorHAnsi"/>
          <w:bCs/>
          <w:sz w:val="24"/>
          <w:szCs w:val="24"/>
        </w:rPr>
        <w:t xml:space="preserve">previous </w:t>
      </w:r>
      <w:r w:rsidRPr="0016581E">
        <w:rPr>
          <w:rFonts w:asciiTheme="minorHAnsi" w:hAnsiTheme="minorHAnsi"/>
          <w:bCs/>
          <w:sz w:val="24"/>
          <w:szCs w:val="24"/>
        </w:rPr>
        <w:t>concern that across the two trials, high rates of patients experience</w:t>
      </w:r>
      <w:r w:rsidR="00E5082F" w:rsidRPr="0016581E">
        <w:rPr>
          <w:rFonts w:asciiTheme="minorHAnsi" w:hAnsiTheme="minorHAnsi"/>
          <w:bCs/>
          <w:sz w:val="24"/>
          <w:szCs w:val="24"/>
        </w:rPr>
        <w:t>d</w:t>
      </w:r>
      <w:r w:rsidRPr="0016581E">
        <w:rPr>
          <w:rFonts w:asciiTheme="minorHAnsi" w:hAnsiTheme="minorHAnsi"/>
          <w:bCs/>
          <w:sz w:val="24"/>
          <w:szCs w:val="24"/>
        </w:rPr>
        <w:t xml:space="preserve"> neutropenia, and a higher number of patients experience</w:t>
      </w:r>
      <w:r w:rsidR="00E5082F" w:rsidRPr="0016581E">
        <w:rPr>
          <w:rFonts w:asciiTheme="minorHAnsi" w:hAnsiTheme="minorHAnsi"/>
          <w:bCs/>
          <w:sz w:val="24"/>
          <w:szCs w:val="24"/>
        </w:rPr>
        <w:t>d</w:t>
      </w:r>
      <w:r w:rsidRPr="0016581E">
        <w:rPr>
          <w:rFonts w:asciiTheme="minorHAnsi" w:hAnsiTheme="minorHAnsi"/>
          <w:bCs/>
          <w:sz w:val="24"/>
          <w:szCs w:val="24"/>
        </w:rPr>
        <w:t xml:space="preserve"> troublesome symptoms such as fatigue</w:t>
      </w:r>
      <w:r w:rsidR="00F51C1A" w:rsidRPr="0016581E">
        <w:rPr>
          <w:rFonts w:asciiTheme="minorHAnsi" w:hAnsiTheme="minorHAnsi"/>
          <w:bCs/>
          <w:sz w:val="24"/>
          <w:szCs w:val="24"/>
        </w:rPr>
        <w:t>.</w:t>
      </w:r>
      <w:r w:rsidRPr="0016581E">
        <w:rPr>
          <w:rFonts w:asciiTheme="minorHAnsi" w:hAnsiTheme="minorHAnsi"/>
          <w:bCs/>
          <w:sz w:val="24"/>
          <w:szCs w:val="24"/>
        </w:rPr>
        <w:t xml:space="preserve"> The PBAC noted </w:t>
      </w:r>
      <w:r w:rsidR="00F51C1A" w:rsidRPr="0016581E">
        <w:rPr>
          <w:rFonts w:asciiTheme="minorHAnsi" w:hAnsiTheme="minorHAnsi"/>
          <w:bCs/>
          <w:sz w:val="24"/>
          <w:szCs w:val="24"/>
        </w:rPr>
        <w:t xml:space="preserve">the updated safety results from </w:t>
      </w:r>
      <w:r w:rsidRPr="0016581E">
        <w:rPr>
          <w:rFonts w:asciiTheme="minorHAnsi" w:hAnsiTheme="minorHAnsi"/>
          <w:bCs/>
          <w:sz w:val="24"/>
          <w:szCs w:val="24"/>
        </w:rPr>
        <w:t>PALOMA-1</w:t>
      </w:r>
      <w:r w:rsidR="00F51C1A" w:rsidRPr="0016581E">
        <w:rPr>
          <w:rFonts w:asciiTheme="minorHAnsi" w:hAnsiTheme="minorHAnsi"/>
          <w:bCs/>
          <w:sz w:val="24"/>
          <w:szCs w:val="24"/>
        </w:rPr>
        <w:t xml:space="preserve"> were consistent with</w:t>
      </w:r>
      <w:r w:rsidR="002F2588" w:rsidRPr="0016581E">
        <w:rPr>
          <w:rFonts w:asciiTheme="minorHAnsi" w:hAnsiTheme="minorHAnsi"/>
          <w:bCs/>
          <w:sz w:val="24"/>
          <w:szCs w:val="24"/>
        </w:rPr>
        <w:t xml:space="preserve"> those</w:t>
      </w:r>
      <w:r w:rsidR="00F51C1A" w:rsidRPr="0016581E">
        <w:rPr>
          <w:rFonts w:asciiTheme="minorHAnsi" w:hAnsiTheme="minorHAnsi"/>
          <w:bCs/>
          <w:sz w:val="24"/>
          <w:szCs w:val="24"/>
        </w:rPr>
        <w:t xml:space="preserve"> presented</w:t>
      </w:r>
      <w:r w:rsidR="002F2588" w:rsidRPr="0016581E">
        <w:rPr>
          <w:rFonts w:asciiTheme="minorHAnsi" w:hAnsiTheme="minorHAnsi"/>
          <w:bCs/>
          <w:sz w:val="24"/>
          <w:szCs w:val="24"/>
        </w:rPr>
        <w:t xml:space="preserve"> in the March 2017 submission</w:t>
      </w:r>
      <w:r w:rsidRPr="0016581E">
        <w:rPr>
          <w:rFonts w:asciiTheme="minorHAnsi" w:hAnsiTheme="minorHAnsi"/>
          <w:bCs/>
          <w:sz w:val="24"/>
          <w:szCs w:val="24"/>
        </w:rPr>
        <w:t xml:space="preserve">. </w:t>
      </w:r>
      <w:r w:rsidR="004B5F25" w:rsidRPr="0016581E">
        <w:rPr>
          <w:rFonts w:asciiTheme="minorHAnsi" w:hAnsiTheme="minorHAnsi"/>
          <w:sz w:val="24"/>
          <w:szCs w:val="24"/>
        </w:rPr>
        <w:t xml:space="preserve">The PBAC considered that the claim of inferior comparative safety was </w:t>
      </w:r>
      <w:r w:rsidR="00E5082F" w:rsidRPr="0016581E">
        <w:rPr>
          <w:rFonts w:asciiTheme="minorHAnsi" w:hAnsiTheme="minorHAnsi"/>
          <w:sz w:val="24"/>
          <w:szCs w:val="24"/>
        </w:rPr>
        <w:t>consistent with</w:t>
      </w:r>
      <w:r w:rsidR="004B5F25" w:rsidRPr="0016581E">
        <w:rPr>
          <w:rFonts w:asciiTheme="minorHAnsi" w:hAnsiTheme="minorHAnsi"/>
          <w:sz w:val="24"/>
          <w:szCs w:val="24"/>
        </w:rPr>
        <w:t xml:space="preserve"> the data and that some of the impact of adverse events had appropriately been applied </w:t>
      </w:r>
      <w:r w:rsidR="00060CB7" w:rsidRPr="0016581E">
        <w:rPr>
          <w:rFonts w:asciiTheme="minorHAnsi" w:hAnsiTheme="minorHAnsi"/>
          <w:sz w:val="24"/>
          <w:szCs w:val="24"/>
        </w:rPr>
        <w:t xml:space="preserve">in </w:t>
      </w:r>
      <w:r w:rsidR="004B5F25" w:rsidRPr="0016581E">
        <w:rPr>
          <w:rFonts w:asciiTheme="minorHAnsi" w:hAnsiTheme="minorHAnsi"/>
          <w:sz w:val="24"/>
          <w:szCs w:val="24"/>
        </w:rPr>
        <w:t xml:space="preserve">the economic modelling. </w:t>
      </w:r>
    </w:p>
    <w:p w:rsidR="0001234E" w:rsidRPr="0016581E" w:rsidRDefault="00B146E4"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The PBAC</w:t>
      </w:r>
      <w:r w:rsidR="00B72AF5" w:rsidRPr="0016581E">
        <w:rPr>
          <w:rFonts w:asciiTheme="minorHAnsi" w:hAnsiTheme="minorHAnsi"/>
          <w:bCs/>
          <w:sz w:val="24"/>
          <w:szCs w:val="24"/>
        </w:rPr>
        <w:t xml:space="preserve"> noted that the re-submission’s economic model had directly addressed some of th</w:t>
      </w:r>
      <w:r w:rsidR="00445297" w:rsidRPr="0016581E">
        <w:rPr>
          <w:rFonts w:asciiTheme="minorHAnsi" w:hAnsiTheme="minorHAnsi"/>
          <w:bCs/>
          <w:sz w:val="24"/>
          <w:szCs w:val="24"/>
        </w:rPr>
        <w:t xml:space="preserve">e Committee’s previous concerns. </w:t>
      </w:r>
      <w:r w:rsidR="00445297" w:rsidRPr="0016581E">
        <w:rPr>
          <w:rFonts w:asciiTheme="minorHAnsi" w:hAnsiTheme="minorHAnsi" w:cstheme="minorHAnsi"/>
          <w:sz w:val="24"/>
          <w:szCs w:val="24"/>
        </w:rPr>
        <w:t xml:space="preserve">The PBAC noted </w:t>
      </w:r>
      <w:r w:rsidR="00B023E8" w:rsidRPr="0016581E">
        <w:rPr>
          <w:rFonts w:asciiTheme="minorHAnsi" w:hAnsiTheme="minorHAnsi" w:cstheme="minorHAnsi"/>
          <w:sz w:val="24"/>
          <w:szCs w:val="24"/>
        </w:rPr>
        <w:t xml:space="preserve">compared with the March 2017 submission </w:t>
      </w:r>
      <w:r w:rsidR="00445297" w:rsidRPr="0016581E">
        <w:rPr>
          <w:rFonts w:asciiTheme="minorHAnsi" w:hAnsiTheme="minorHAnsi" w:cstheme="minorHAnsi"/>
          <w:sz w:val="24"/>
          <w:szCs w:val="24"/>
        </w:rPr>
        <w:t xml:space="preserve">that </w:t>
      </w:r>
      <w:r w:rsidR="00B023E8" w:rsidRPr="0016581E">
        <w:rPr>
          <w:rFonts w:asciiTheme="minorHAnsi" w:hAnsiTheme="minorHAnsi" w:cstheme="minorHAnsi"/>
          <w:sz w:val="24"/>
          <w:szCs w:val="24"/>
        </w:rPr>
        <w:t xml:space="preserve">both </w:t>
      </w:r>
      <w:r w:rsidR="00445297" w:rsidRPr="0016581E">
        <w:rPr>
          <w:rFonts w:asciiTheme="minorHAnsi" w:hAnsiTheme="minorHAnsi" w:cstheme="minorHAnsi"/>
          <w:sz w:val="24"/>
          <w:szCs w:val="24"/>
        </w:rPr>
        <w:t>the cost and benefits were reduced</w:t>
      </w:r>
      <w:r w:rsidR="00060CB7" w:rsidRPr="0016581E">
        <w:rPr>
          <w:rFonts w:asciiTheme="minorHAnsi" w:hAnsiTheme="minorHAnsi" w:cstheme="minorHAnsi"/>
          <w:sz w:val="24"/>
          <w:szCs w:val="24"/>
        </w:rPr>
        <w:t xml:space="preserve"> and</w:t>
      </w:r>
      <w:r w:rsidR="00445297" w:rsidRPr="0016581E">
        <w:rPr>
          <w:rFonts w:asciiTheme="minorHAnsi" w:hAnsiTheme="minorHAnsi" w:cstheme="minorHAnsi"/>
          <w:sz w:val="24"/>
          <w:szCs w:val="24"/>
        </w:rPr>
        <w:t xml:space="preserve"> the</w:t>
      </w:r>
      <w:r w:rsidR="00B023E8" w:rsidRPr="0016581E">
        <w:rPr>
          <w:rFonts w:asciiTheme="minorHAnsi" w:hAnsiTheme="minorHAnsi" w:cstheme="minorHAnsi"/>
          <w:sz w:val="24"/>
          <w:szCs w:val="24"/>
        </w:rPr>
        <w:t xml:space="preserve"> resulting ICER was similar </w:t>
      </w:r>
      <w:r w:rsidR="001E5C8E">
        <w:rPr>
          <w:rFonts w:asciiTheme="minorHAnsi" w:hAnsiTheme="minorHAnsi" w:cstheme="minorHAnsi"/>
          <w:sz w:val="24"/>
          <w:szCs w:val="24"/>
        </w:rPr>
        <w:t>$45,000/QALY - $75,000/QALY</w:t>
      </w:r>
      <w:r w:rsidR="00060CB7" w:rsidRPr="0016581E">
        <w:rPr>
          <w:rFonts w:asciiTheme="minorHAnsi" w:hAnsiTheme="minorHAnsi" w:cstheme="minorHAnsi"/>
          <w:sz w:val="24"/>
          <w:szCs w:val="24"/>
        </w:rPr>
        <w:t xml:space="preserve"> </w:t>
      </w:r>
      <w:r w:rsidR="00B023E8" w:rsidRPr="0016581E">
        <w:rPr>
          <w:rFonts w:asciiTheme="minorHAnsi" w:hAnsiTheme="minorHAnsi" w:cstheme="minorHAnsi"/>
          <w:sz w:val="24"/>
          <w:szCs w:val="24"/>
        </w:rPr>
        <w:t xml:space="preserve">vs </w:t>
      </w:r>
      <w:r w:rsidR="00445297" w:rsidRPr="0016581E">
        <w:rPr>
          <w:rFonts w:asciiTheme="minorHAnsi" w:hAnsiTheme="minorHAnsi" w:cstheme="minorHAnsi"/>
          <w:sz w:val="24"/>
          <w:szCs w:val="24"/>
        </w:rPr>
        <w:t>$</w:t>
      </w:r>
      <w:r w:rsidR="001E5C8E">
        <w:rPr>
          <w:rFonts w:asciiTheme="minorHAnsi" w:hAnsiTheme="minorHAnsi" w:cstheme="minorHAnsi"/>
          <w:sz w:val="24"/>
          <w:szCs w:val="24"/>
        </w:rPr>
        <w:t xml:space="preserve"> - </w:t>
      </w:r>
      <w:r w:rsidR="00C762C3">
        <w:rPr>
          <w:rFonts w:asciiTheme="minorHAnsi" w:hAnsiTheme="minorHAnsi" w:cstheme="minorHAnsi"/>
          <w:sz w:val="24"/>
          <w:szCs w:val="24"/>
        </w:rPr>
        <w:t>$45,000/QALY - $75,000/QALY</w:t>
      </w:r>
      <w:r w:rsidR="00C762C3" w:rsidRPr="0016581E">
        <w:rPr>
          <w:rFonts w:asciiTheme="minorHAnsi" w:hAnsiTheme="minorHAnsi" w:cstheme="minorHAnsi"/>
          <w:sz w:val="24"/>
          <w:szCs w:val="24"/>
        </w:rPr>
        <w:t xml:space="preserve"> </w:t>
      </w:r>
      <w:r w:rsidR="00445297" w:rsidRPr="0016581E">
        <w:rPr>
          <w:rFonts w:asciiTheme="minorHAnsi" w:hAnsiTheme="minorHAnsi" w:cstheme="minorHAnsi"/>
          <w:sz w:val="24"/>
          <w:szCs w:val="24"/>
        </w:rPr>
        <w:t>/QALY</w:t>
      </w:r>
      <w:r w:rsidR="00060CB7" w:rsidRPr="0016581E">
        <w:rPr>
          <w:rFonts w:asciiTheme="minorHAnsi" w:hAnsiTheme="minorHAnsi" w:cstheme="minorHAnsi"/>
          <w:sz w:val="24"/>
          <w:szCs w:val="24"/>
        </w:rPr>
        <w:t>)</w:t>
      </w:r>
      <w:r w:rsidR="00445297" w:rsidRPr="0016581E">
        <w:rPr>
          <w:rFonts w:asciiTheme="minorHAnsi" w:hAnsiTheme="minorHAnsi" w:cstheme="minorHAnsi"/>
          <w:sz w:val="24"/>
          <w:szCs w:val="24"/>
        </w:rPr>
        <w:t xml:space="preserve">. </w:t>
      </w:r>
      <w:r w:rsidR="00F43924" w:rsidRPr="0016581E">
        <w:rPr>
          <w:rFonts w:asciiTheme="minorHAnsi" w:hAnsiTheme="minorHAnsi"/>
          <w:bCs/>
          <w:sz w:val="24"/>
          <w:szCs w:val="24"/>
        </w:rPr>
        <w:t>However,</w:t>
      </w:r>
      <w:r w:rsidR="00B72AF5" w:rsidRPr="0016581E">
        <w:rPr>
          <w:rFonts w:asciiTheme="minorHAnsi" w:hAnsiTheme="minorHAnsi"/>
          <w:bCs/>
          <w:sz w:val="24"/>
          <w:szCs w:val="24"/>
        </w:rPr>
        <w:t xml:space="preserve"> the PBAC considered a number of concerns regarding the economic model </w:t>
      </w:r>
      <w:r w:rsidR="00060CB7" w:rsidRPr="0016581E">
        <w:rPr>
          <w:rFonts w:asciiTheme="minorHAnsi" w:hAnsiTheme="minorHAnsi"/>
          <w:bCs/>
          <w:sz w:val="24"/>
          <w:szCs w:val="24"/>
        </w:rPr>
        <w:t xml:space="preserve">remained </w:t>
      </w:r>
      <w:r w:rsidR="00B72AF5" w:rsidRPr="0016581E">
        <w:rPr>
          <w:rFonts w:asciiTheme="minorHAnsi" w:hAnsiTheme="minorHAnsi"/>
          <w:bCs/>
          <w:sz w:val="24"/>
          <w:szCs w:val="24"/>
        </w:rPr>
        <w:t xml:space="preserve">and as such, </w:t>
      </w:r>
      <w:r w:rsidR="00B72AF5" w:rsidRPr="0016581E">
        <w:rPr>
          <w:rFonts w:asciiTheme="minorHAnsi" w:hAnsiTheme="minorHAnsi" w:cstheme="minorHAnsi"/>
          <w:sz w:val="24"/>
          <w:szCs w:val="24"/>
        </w:rPr>
        <w:t xml:space="preserve">the revised base case cost/QALY in the re-submission was </w:t>
      </w:r>
      <w:r w:rsidR="00B023E8" w:rsidRPr="0016581E">
        <w:rPr>
          <w:rFonts w:asciiTheme="minorHAnsi" w:hAnsiTheme="minorHAnsi" w:cstheme="minorHAnsi"/>
          <w:sz w:val="24"/>
          <w:szCs w:val="24"/>
        </w:rPr>
        <w:t xml:space="preserve">substantially </w:t>
      </w:r>
      <w:r w:rsidR="00B72AF5" w:rsidRPr="0016581E">
        <w:rPr>
          <w:rFonts w:asciiTheme="minorHAnsi" w:hAnsiTheme="minorHAnsi" w:cstheme="minorHAnsi"/>
          <w:sz w:val="24"/>
          <w:szCs w:val="24"/>
        </w:rPr>
        <w:t>underestimated</w:t>
      </w:r>
      <w:r w:rsidR="00662043" w:rsidRPr="0016581E">
        <w:rPr>
          <w:rFonts w:asciiTheme="minorHAnsi" w:hAnsiTheme="minorHAnsi" w:cstheme="minorHAnsi"/>
          <w:sz w:val="24"/>
          <w:szCs w:val="24"/>
        </w:rPr>
        <w:t>.</w:t>
      </w:r>
      <w:r w:rsidR="008C21D8" w:rsidRPr="0016581E">
        <w:rPr>
          <w:rFonts w:asciiTheme="minorHAnsi" w:hAnsiTheme="minorHAnsi"/>
          <w:bCs/>
          <w:sz w:val="24"/>
          <w:szCs w:val="24"/>
        </w:rPr>
        <w:t xml:space="preserve"> The concerns included:</w:t>
      </w:r>
    </w:p>
    <w:p w:rsidR="00B023E8" w:rsidRPr="0016581E" w:rsidRDefault="00B023E8" w:rsidP="0089062C">
      <w:pPr>
        <w:pStyle w:val="ListParagraph"/>
        <w:numPr>
          <w:ilvl w:val="0"/>
          <w:numId w:val="63"/>
        </w:numPr>
        <w:ind w:left="1134" w:hanging="425"/>
        <w:rPr>
          <w:rFonts w:asciiTheme="minorHAnsi" w:hAnsiTheme="minorHAnsi" w:cstheme="minorHAnsi"/>
          <w:sz w:val="24"/>
          <w:szCs w:val="24"/>
        </w:rPr>
      </w:pPr>
      <w:r w:rsidRPr="0016581E">
        <w:rPr>
          <w:rFonts w:asciiTheme="minorHAnsi" w:hAnsiTheme="minorHAnsi"/>
          <w:bCs/>
          <w:sz w:val="24"/>
          <w:szCs w:val="24"/>
        </w:rPr>
        <w:t>Drug costs being excluded beyond cycle 27 in the model. The model applied drug costs to patients in the pre-progression state only and assumed no use of palbociclib + letrozole beyond 27 cycles, despite a large proportion of patients being progression free.</w:t>
      </w:r>
      <w:r w:rsidRPr="0016581E">
        <w:rPr>
          <w:rFonts w:asciiTheme="minorHAnsi" w:hAnsiTheme="minorHAnsi"/>
          <w:sz w:val="24"/>
          <w:szCs w:val="24"/>
        </w:rPr>
        <w:t xml:space="preserve"> This resulted in the drug costs being substantially underestimated. The PBAC noted if drug costs are applied in the model based on PFS the ICER increased to </w:t>
      </w:r>
      <w:r w:rsidR="001E5C8E">
        <w:rPr>
          <w:rFonts w:asciiTheme="minorHAnsi" w:hAnsiTheme="minorHAnsi"/>
          <w:sz w:val="24"/>
          <w:szCs w:val="24"/>
        </w:rPr>
        <w:t>$105,000/QALY - $200,000/QALY</w:t>
      </w:r>
      <w:r w:rsidRPr="0016581E">
        <w:rPr>
          <w:rFonts w:asciiTheme="minorHAnsi" w:hAnsiTheme="minorHAnsi"/>
          <w:sz w:val="24"/>
          <w:szCs w:val="24"/>
        </w:rPr>
        <w:t>.</w:t>
      </w:r>
    </w:p>
    <w:p w:rsidR="00B023E8" w:rsidRPr="0016581E" w:rsidRDefault="00B023E8" w:rsidP="0089062C">
      <w:pPr>
        <w:pStyle w:val="ListParagraph"/>
        <w:numPr>
          <w:ilvl w:val="0"/>
          <w:numId w:val="63"/>
        </w:numPr>
        <w:spacing w:beforeLines="160" w:before="384"/>
        <w:ind w:left="1134" w:hanging="425"/>
        <w:rPr>
          <w:rFonts w:asciiTheme="minorHAnsi" w:hAnsiTheme="minorHAnsi" w:cstheme="minorHAnsi"/>
          <w:sz w:val="24"/>
          <w:szCs w:val="24"/>
        </w:rPr>
      </w:pPr>
      <w:r w:rsidRPr="0016581E">
        <w:rPr>
          <w:rFonts w:asciiTheme="minorHAnsi" w:hAnsiTheme="minorHAnsi"/>
          <w:bCs/>
          <w:sz w:val="24"/>
          <w:szCs w:val="24"/>
        </w:rPr>
        <w:t xml:space="preserve">The model time horizon. The time horizon of 10 years was unchanged from the previous submission, where the PBAC considered this assumption to be too long given the available clinical evidence. The PBAC noted that </w:t>
      </w:r>
      <w:r w:rsidRPr="0016581E">
        <w:rPr>
          <w:rFonts w:asciiTheme="minorHAnsi" w:hAnsiTheme="minorHAnsi" w:cstheme="minorHAnsi"/>
          <w:sz w:val="24"/>
          <w:szCs w:val="24"/>
        </w:rPr>
        <w:t>the OS results from PALOMA-1 had a maximum observed follow-up of 6.9 years and showed that 15.8% of palbociclib patients remained alive</w:t>
      </w:r>
      <w:r w:rsidRPr="0016581E">
        <w:rPr>
          <w:rFonts w:asciiTheme="minorHAnsi" w:hAnsiTheme="minorHAnsi"/>
          <w:bCs/>
          <w:sz w:val="24"/>
          <w:szCs w:val="24"/>
        </w:rPr>
        <w:t>, however the PBAC reiterated its view that a shorter time horizon was appropriate given the immaturity of the existing OS data and that any increase in OS was uncertain at the moment.</w:t>
      </w:r>
    </w:p>
    <w:p w:rsidR="00060CB7" w:rsidRPr="0016581E" w:rsidRDefault="00060CB7" w:rsidP="0089062C">
      <w:pPr>
        <w:pStyle w:val="ListParagraph"/>
        <w:numPr>
          <w:ilvl w:val="0"/>
          <w:numId w:val="63"/>
        </w:numPr>
        <w:spacing w:beforeLines="160" w:before="384"/>
        <w:ind w:left="1134" w:hanging="425"/>
        <w:rPr>
          <w:rFonts w:asciiTheme="minorHAnsi" w:hAnsiTheme="minorHAnsi" w:cstheme="minorHAnsi"/>
          <w:sz w:val="24"/>
          <w:szCs w:val="24"/>
        </w:rPr>
      </w:pPr>
      <w:r w:rsidRPr="0016581E">
        <w:rPr>
          <w:rFonts w:asciiTheme="minorHAnsi" w:hAnsiTheme="minorHAnsi" w:cstheme="minorHAnsi"/>
          <w:sz w:val="24"/>
          <w:szCs w:val="24"/>
        </w:rPr>
        <w:t xml:space="preserve">Use of </w:t>
      </w:r>
      <w:r w:rsidR="002D079E" w:rsidRPr="0016581E">
        <w:rPr>
          <w:rFonts w:asciiTheme="minorHAnsi" w:hAnsiTheme="minorHAnsi" w:cstheme="minorHAnsi"/>
          <w:sz w:val="24"/>
          <w:szCs w:val="24"/>
        </w:rPr>
        <w:t xml:space="preserve">investigator-assessed </w:t>
      </w:r>
      <w:r w:rsidRPr="0016581E">
        <w:rPr>
          <w:rFonts w:asciiTheme="minorHAnsi" w:hAnsiTheme="minorHAnsi" w:cstheme="minorHAnsi"/>
          <w:sz w:val="24"/>
          <w:szCs w:val="24"/>
        </w:rPr>
        <w:t xml:space="preserve">rather than centrally </w:t>
      </w:r>
      <w:r w:rsidR="002D079E" w:rsidRPr="0016581E">
        <w:rPr>
          <w:rFonts w:asciiTheme="minorHAnsi" w:hAnsiTheme="minorHAnsi" w:cstheme="minorHAnsi"/>
          <w:sz w:val="24"/>
          <w:szCs w:val="24"/>
        </w:rPr>
        <w:t xml:space="preserve">PFS. The PBAC reiterated its view </w:t>
      </w:r>
      <w:r w:rsidR="00DF2091" w:rsidRPr="0016581E">
        <w:rPr>
          <w:rFonts w:asciiTheme="minorHAnsi" w:hAnsiTheme="minorHAnsi" w:cstheme="minorHAnsi"/>
          <w:sz w:val="24"/>
          <w:szCs w:val="24"/>
        </w:rPr>
        <w:t>that that</w:t>
      </w:r>
      <w:r w:rsidR="002D079E" w:rsidRPr="0016581E">
        <w:rPr>
          <w:rFonts w:asciiTheme="minorHAnsi" w:hAnsiTheme="minorHAnsi" w:cstheme="minorHAnsi"/>
          <w:sz w:val="24"/>
          <w:szCs w:val="24"/>
        </w:rPr>
        <w:t xml:space="preserve"> the BICR assessed PFS of PALOMA-2 was more appropriate data to inform the base case model. </w:t>
      </w:r>
    </w:p>
    <w:p w:rsidR="0095504D" w:rsidRPr="0016581E" w:rsidRDefault="00060CB7" w:rsidP="0089062C">
      <w:pPr>
        <w:pStyle w:val="ListParagraph"/>
        <w:numPr>
          <w:ilvl w:val="0"/>
          <w:numId w:val="63"/>
        </w:numPr>
        <w:spacing w:beforeLines="160" w:before="384"/>
        <w:ind w:left="1134" w:hanging="425"/>
        <w:rPr>
          <w:rFonts w:asciiTheme="minorHAnsi" w:hAnsiTheme="minorHAnsi" w:cstheme="minorHAnsi"/>
          <w:sz w:val="24"/>
          <w:szCs w:val="24"/>
        </w:rPr>
      </w:pPr>
      <w:proofErr w:type="gramStart"/>
      <w:r w:rsidRPr="0016581E">
        <w:rPr>
          <w:rFonts w:asciiTheme="minorHAnsi" w:hAnsiTheme="minorHAnsi" w:cstheme="minorHAnsi"/>
          <w:sz w:val="24"/>
          <w:szCs w:val="24"/>
        </w:rPr>
        <w:t>Inclusion of an OS gain</w:t>
      </w:r>
      <w:proofErr w:type="gramEnd"/>
      <w:r w:rsidRPr="0016581E">
        <w:rPr>
          <w:rFonts w:asciiTheme="minorHAnsi" w:hAnsiTheme="minorHAnsi" w:cstheme="minorHAnsi"/>
          <w:sz w:val="24"/>
          <w:szCs w:val="24"/>
        </w:rPr>
        <w:t xml:space="preserve"> while the available clinical evidence does not </w:t>
      </w:r>
      <w:r w:rsidRPr="0016581E">
        <w:rPr>
          <w:rFonts w:asciiTheme="minorHAnsi" w:hAnsiTheme="minorHAnsi" w:cstheme="minorHAnsi"/>
          <w:sz w:val="24"/>
          <w:szCs w:val="24"/>
        </w:rPr>
        <w:lastRenderedPageBreak/>
        <w:t xml:space="preserve">demonstrate </w:t>
      </w:r>
      <w:r w:rsidRPr="0016581E">
        <w:rPr>
          <w:rFonts w:asciiTheme="minorHAnsi" w:hAnsiTheme="minorHAnsi"/>
          <w:bCs/>
          <w:sz w:val="24"/>
          <w:szCs w:val="24"/>
        </w:rPr>
        <w:t xml:space="preserve">statistically significant difference in OS. </w:t>
      </w:r>
      <w:r w:rsidRPr="0016581E">
        <w:rPr>
          <w:rFonts w:asciiTheme="minorHAnsi" w:hAnsiTheme="minorHAnsi" w:cstheme="minorHAnsi"/>
          <w:sz w:val="24"/>
          <w:szCs w:val="24"/>
        </w:rPr>
        <w:t>However</w:t>
      </w:r>
      <w:r w:rsidR="00F808FE" w:rsidRPr="0016581E">
        <w:rPr>
          <w:rFonts w:asciiTheme="minorHAnsi" w:hAnsiTheme="minorHAnsi" w:cstheme="minorHAnsi"/>
          <w:sz w:val="24"/>
          <w:szCs w:val="24"/>
        </w:rPr>
        <w:t>,</w:t>
      </w:r>
      <w:r w:rsidRPr="0016581E">
        <w:rPr>
          <w:rFonts w:asciiTheme="minorHAnsi" w:hAnsiTheme="minorHAnsi" w:cstheme="minorHAnsi"/>
          <w:sz w:val="24"/>
          <w:szCs w:val="24"/>
        </w:rPr>
        <w:t xml:space="preserve"> </w:t>
      </w:r>
      <w:r w:rsidR="000E1ACA" w:rsidRPr="0016581E">
        <w:rPr>
          <w:rFonts w:asciiTheme="minorHAnsi" w:hAnsiTheme="minorHAnsi" w:cstheme="minorHAnsi"/>
          <w:sz w:val="24"/>
          <w:szCs w:val="24"/>
        </w:rPr>
        <w:t>t</w:t>
      </w:r>
      <w:r w:rsidRPr="0016581E">
        <w:rPr>
          <w:rFonts w:asciiTheme="minorHAnsi" w:hAnsiTheme="minorHAnsi" w:cstheme="minorHAnsi"/>
          <w:sz w:val="24"/>
          <w:szCs w:val="24"/>
        </w:rPr>
        <w:t>he PBAC noted the</w:t>
      </w:r>
      <w:r w:rsidR="007413B5" w:rsidRPr="0016581E">
        <w:rPr>
          <w:rFonts w:asciiTheme="minorHAnsi" w:hAnsiTheme="minorHAnsi" w:cstheme="minorHAnsi"/>
          <w:sz w:val="24"/>
          <w:szCs w:val="24"/>
        </w:rPr>
        <w:t xml:space="preserve"> economic model resulted in a health benefit of 0.332 life years (LY, undiscounted) and 0.265 LY (with 5% discou</w:t>
      </w:r>
      <w:r w:rsidR="00A1224F">
        <w:rPr>
          <w:rFonts w:asciiTheme="minorHAnsi" w:hAnsiTheme="minorHAnsi" w:cstheme="minorHAnsi"/>
          <w:sz w:val="24"/>
          <w:szCs w:val="24"/>
        </w:rPr>
        <w:t xml:space="preserve">nting) which is similar to the </w:t>
      </w:r>
      <w:r w:rsidR="007413B5" w:rsidRPr="0016581E">
        <w:rPr>
          <w:rFonts w:asciiTheme="minorHAnsi" w:hAnsiTheme="minorHAnsi" w:cstheme="minorHAnsi"/>
          <w:sz w:val="24"/>
          <w:szCs w:val="24"/>
        </w:rPr>
        <w:t xml:space="preserve">difference of 3.0 months in median OS from the updated PALOMA-1 data. </w:t>
      </w:r>
    </w:p>
    <w:p w:rsidR="004E4B7B" w:rsidRPr="0016581E" w:rsidRDefault="000E1ACA" w:rsidP="0089062C">
      <w:pPr>
        <w:pStyle w:val="ListParagraph"/>
        <w:numPr>
          <w:ilvl w:val="0"/>
          <w:numId w:val="63"/>
        </w:numPr>
        <w:spacing w:beforeLines="160" w:before="384"/>
        <w:ind w:left="1134" w:hanging="425"/>
        <w:rPr>
          <w:rFonts w:asciiTheme="minorHAnsi" w:hAnsiTheme="minorHAnsi"/>
          <w:bCs/>
          <w:sz w:val="24"/>
          <w:szCs w:val="24"/>
        </w:rPr>
      </w:pPr>
      <w:r w:rsidRPr="0016581E">
        <w:rPr>
          <w:rFonts w:asciiTheme="minorHAnsi" w:hAnsiTheme="minorHAnsi"/>
          <w:bCs/>
          <w:sz w:val="24"/>
          <w:szCs w:val="24"/>
        </w:rPr>
        <w:t xml:space="preserve">Use of the </w:t>
      </w:r>
      <w:r w:rsidR="004E4B7B" w:rsidRPr="0016581E">
        <w:rPr>
          <w:rFonts w:asciiTheme="minorHAnsi" w:hAnsiTheme="minorHAnsi"/>
          <w:bCs/>
          <w:sz w:val="24"/>
          <w:szCs w:val="24"/>
        </w:rPr>
        <w:t>fitted parametric functions for</w:t>
      </w:r>
      <w:r w:rsidRPr="0016581E">
        <w:rPr>
          <w:rFonts w:asciiTheme="minorHAnsi" w:hAnsiTheme="minorHAnsi"/>
          <w:bCs/>
          <w:sz w:val="24"/>
          <w:szCs w:val="24"/>
        </w:rPr>
        <w:t xml:space="preserve"> PFS and OS for</w:t>
      </w:r>
      <w:r w:rsidR="004E4B7B" w:rsidRPr="0016581E">
        <w:rPr>
          <w:rFonts w:asciiTheme="minorHAnsi" w:hAnsiTheme="minorHAnsi"/>
          <w:bCs/>
          <w:sz w:val="24"/>
          <w:szCs w:val="24"/>
        </w:rPr>
        <w:t xml:space="preserve"> the entire </w:t>
      </w:r>
      <w:r w:rsidRPr="0016581E">
        <w:rPr>
          <w:rFonts w:asciiTheme="minorHAnsi" w:hAnsiTheme="minorHAnsi"/>
          <w:bCs/>
          <w:sz w:val="24"/>
          <w:szCs w:val="24"/>
        </w:rPr>
        <w:t xml:space="preserve">model </w:t>
      </w:r>
      <w:r w:rsidR="004E4B7B" w:rsidRPr="0016581E">
        <w:rPr>
          <w:rFonts w:asciiTheme="minorHAnsi" w:hAnsiTheme="minorHAnsi"/>
          <w:bCs/>
          <w:sz w:val="24"/>
          <w:szCs w:val="24"/>
        </w:rPr>
        <w:t>time horizon</w:t>
      </w:r>
      <w:r w:rsidR="00BC3997" w:rsidRPr="0016581E">
        <w:rPr>
          <w:rFonts w:asciiTheme="minorHAnsi" w:hAnsiTheme="minorHAnsi"/>
          <w:bCs/>
          <w:sz w:val="24"/>
          <w:szCs w:val="24"/>
        </w:rPr>
        <w:t xml:space="preserve">. </w:t>
      </w:r>
      <w:r w:rsidR="00F808FE" w:rsidRPr="0016581E">
        <w:rPr>
          <w:rFonts w:asciiTheme="minorHAnsi" w:hAnsiTheme="minorHAnsi"/>
          <w:bCs/>
          <w:sz w:val="24"/>
          <w:szCs w:val="24"/>
        </w:rPr>
        <w:t xml:space="preserve">Acknowledging that the data for PFS and OS </w:t>
      </w:r>
      <w:r w:rsidRPr="0016581E">
        <w:rPr>
          <w:rFonts w:asciiTheme="minorHAnsi" w:hAnsiTheme="minorHAnsi"/>
          <w:bCs/>
          <w:sz w:val="24"/>
          <w:szCs w:val="24"/>
        </w:rPr>
        <w:t>are</w:t>
      </w:r>
      <w:r w:rsidR="00F808FE" w:rsidRPr="0016581E">
        <w:rPr>
          <w:rFonts w:asciiTheme="minorHAnsi" w:hAnsiTheme="minorHAnsi"/>
          <w:bCs/>
          <w:sz w:val="24"/>
          <w:szCs w:val="24"/>
        </w:rPr>
        <w:t xml:space="preserve"> derived from </w:t>
      </w:r>
      <w:r w:rsidRPr="0016581E">
        <w:rPr>
          <w:rFonts w:asciiTheme="minorHAnsi" w:hAnsiTheme="minorHAnsi"/>
          <w:bCs/>
          <w:sz w:val="24"/>
          <w:szCs w:val="24"/>
        </w:rPr>
        <w:t>different</w:t>
      </w:r>
      <w:r w:rsidR="00F808FE" w:rsidRPr="0016581E">
        <w:rPr>
          <w:rFonts w:asciiTheme="minorHAnsi" w:hAnsiTheme="minorHAnsi"/>
          <w:bCs/>
          <w:sz w:val="24"/>
          <w:szCs w:val="24"/>
        </w:rPr>
        <w:t xml:space="preserve"> trials, the PBAC reiterated </w:t>
      </w:r>
      <w:r w:rsidR="0096726A" w:rsidRPr="0016581E">
        <w:rPr>
          <w:rFonts w:asciiTheme="minorHAnsi" w:hAnsiTheme="minorHAnsi"/>
          <w:bCs/>
          <w:sz w:val="24"/>
          <w:szCs w:val="24"/>
        </w:rPr>
        <w:t xml:space="preserve">its </w:t>
      </w:r>
      <w:r w:rsidR="00F808FE" w:rsidRPr="0016581E">
        <w:rPr>
          <w:rFonts w:asciiTheme="minorHAnsi" w:hAnsiTheme="minorHAnsi"/>
          <w:bCs/>
          <w:sz w:val="24"/>
          <w:szCs w:val="24"/>
        </w:rPr>
        <w:t xml:space="preserve">preference for extrapolating from the point of median follow-up. </w:t>
      </w:r>
    </w:p>
    <w:p w:rsidR="00896643" w:rsidRPr="0016581E" w:rsidRDefault="0096726A" w:rsidP="0089062C">
      <w:pPr>
        <w:pStyle w:val="ListParagraph"/>
        <w:numPr>
          <w:ilvl w:val="0"/>
          <w:numId w:val="63"/>
        </w:numPr>
        <w:spacing w:beforeLines="160" w:before="384"/>
        <w:ind w:left="1134" w:hanging="425"/>
        <w:rPr>
          <w:rFonts w:asciiTheme="minorHAnsi" w:hAnsiTheme="minorHAnsi"/>
          <w:bCs/>
          <w:sz w:val="24"/>
          <w:szCs w:val="24"/>
        </w:rPr>
      </w:pPr>
      <w:r w:rsidRPr="0016581E">
        <w:rPr>
          <w:rFonts w:asciiTheme="minorHAnsi" w:hAnsiTheme="minorHAnsi" w:cstheme="minorHAnsi"/>
          <w:sz w:val="24"/>
          <w:szCs w:val="24"/>
        </w:rPr>
        <w:t>U</w:t>
      </w:r>
      <w:r w:rsidR="00BC3997" w:rsidRPr="0016581E">
        <w:rPr>
          <w:rFonts w:asciiTheme="minorHAnsi" w:hAnsiTheme="minorHAnsi" w:cstheme="minorHAnsi"/>
          <w:sz w:val="24"/>
          <w:szCs w:val="24"/>
        </w:rPr>
        <w:t xml:space="preserve">se of </w:t>
      </w:r>
      <w:r w:rsidR="00B023E8" w:rsidRPr="0016581E">
        <w:rPr>
          <w:rFonts w:asciiTheme="minorHAnsi" w:hAnsiTheme="minorHAnsi" w:cstheme="minorHAnsi"/>
          <w:sz w:val="24"/>
          <w:szCs w:val="24"/>
        </w:rPr>
        <w:t xml:space="preserve">a </w:t>
      </w:r>
      <w:r w:rsidR="00BC3997" w:rsidRPr="0016581E">
        <w:rPr>
          <w:rFonts w:asciiTheme="minorHAnsi" w:hAnsiTheme="minorHAnsi" w:cstheme="minorHAnsi"/>
          <w:sz w:val="24"/>
          <w:szCs w:val="24"/>
        </w:rPr>
        <w:t>log-logistic extrapolation function</w:t>
      </w:r>
      <w:r w:rsidRPr="0016581E">
        <w:rPr>
          <w:rFonts w:asciiTheme="minorHAnsi" w:hAnsiTheme="minorHAnsi" w:cstheme="minorHAnsi"/>
          <w:sz w:val="24"/>
          <w:szCs w:val="24"/>
        </w:rPr>
        <w:t xml:space="preserve"> and</w:t>
      </w:r>
      <w:r w:rsidR="00BC3997" w:rsidRPr="0016581E">
        <w:rPr>
          <w:rFonts w:asciiTheme="minorHAnsi" w:hAnsiTheme="minorHAnsi" w:cstheme="minorHAnsi"/>
          <w:sz w:val="24"/>
          <w:szCs w:val="24"/>
        </w:rPr>
        <w:t xml:space="preserve"> assum</w:t>
      </w:r>
      <w:r w:rsidRPr="0016581E">
        <w:rPr>
          <w:rFonts w:asciiTheme="minorHAnsi" w:hAnsiTheme="minorHAnsi" w:cstheme="minorHAnsi"/>
          <w:sz w:val="24"/>
          <w:szCs w:val="24"/>
        </w:rPr>
        <w:t>ing</w:t>
      </w:r>
      <w:r w:rsidR="00BC3997" w:rsidRPr="0016581E">
        <w:rPr>
          <w:rFonts w:asciiTheme="minorHAnsi" w:hAnsiTheme="minorHAnsi" w:cstheme="minorHAnsi"/>
          <w:sz w:val="24"/>
          <w:szCs w:val="24"/>
        </w:rPr>
        <w:t xml:space="preserve"> that the treatment effect persists for the model duration. The PBAC </w:t>
      </w:r>
      <w:r w:rsidRPr="0016581E">
        <w:rPr>
          <w:rFonts w:asciiTheme="minorHAnsi" w:hAnsiTheme="minorHAnsi" w:cstheme="minorHAnsi"/>
          <w:sz w:val="24"/>
          <w:szCs w:val="24"/>
        </w:rPr>
        <w:t xml:space="preserve">noted the model was moderately sensitive to the parametric function selected for the extrapolation of OS. The PBAC maintained that assuming a treatment benefit </w:t>
      </w:r>
      <w:r w:rsidR="00B023E8" w:rsidRPr="0016581E">
        <w:rPr>
          <w:rFonts w:asciiTheme="minorHAnsi" w:hAnsiTheme="minorHAnsi" w:cstheme="minorHAnsi"/>
          <w:sz w:val="24"/>
          <w:szCs w:val="24"/>
        </w:rPr>
        <w:t xml:space="preserve">for </w:t>
      </w:r>
      <w:r w:rsidRPr="0016581E">
        <w:rPr>
          <w:rFonts w:asciiTheme="minorHAnsi" w:hAnsiTheme="minorHAnsi" w:cstheme="minorHAnsi"/>
          <w:sz w:val="24"/>
          <w:szCs w:val="24"/>
        </w:rPr>
        <w:t>the model duration is inappropriate based on the available evidence</w:t>
      </w:r>
      <w:r w:rsidR="00BC3997" w:rsidRPr="0016581E">
        <w:rPr>
          <w:rFonts w:asciiTheme="minorHAnsi" w:hAnsiTheme="minorHAnsi" w:cstheme="minorHAnsi"/>
          <w:sz w:val="24"/>
          <w:szCs w:val="24"/>
        </w:rPr>
        <w:t xml:space="preserve">. </w:t>
      </w:r>
    </w:p>
    <w:p w:rsidR="008F10E9" w:rsidRPr="0016581E" w:rsidRDefault="00896643" w:rsidP="0089062C">
      <w:pPr>
        <w:pStyle w:val="ListParagraph"/>
        <w:numPr>
          <w:ilvl w:val="0"/>
          <w:numId w:val="63"/>
        </w:numPr>
        <w:spacing w:beforeLines="160" w:before="384"/>
        <w:ind w:left="1134" w:hanging="425"/>
        <w:rPr>
          <w:rFonts w:asciiTheme="minorHAnsi" w:hAnsiTheme="minorHAnsi"/>
          <w:bCs/>
          <w:sz w:val="24"/>
          <w:szCs w:val="24"/>
        </w:rPr>
      </w:pPr>
      <w:r w:rsidRPr="0016581E">
        <w:rPr>
          <w:rFonts w:asciiTheme="minorHAnsi" w:hAnsiTheme="minorHAnsi" w:cstheme="minorHAnsi"/>
          <w:sz w:val="24"/>
          <w:szCs w:val="24"/>
        </w:rPr>
        <w:t xml:space="preserve">The difference in </w:t>
      </w:r>
      <w:r w:rsidR="0096726A" w:rsidRPr="0016581E">
        <w:rPr>
          <w:rFonts w:asciiTheme="minorHAnsi" w:hAnsiTheme="minorHAnsi" w:cstheme="minorHAnsi"/>
          <w:sz w:val="24"/>
          <w:szCs w:val="24"/>
        </w:rPr>
        <w:t xml:space="preserve">the </w:t>
      </w:r>
      <w:r w:rsidRPr="0016581E">
        <w:rPr>
          <w:rFonts w:asciiTheme="minorHAnsi" w:hAnsiTheme="minorHAnsi" w:cstheme="minorHAnsi"/>
          <w:sz w:val="24"/>
          <w:szCs w:val="24"/>
        </w:rPr>
        <w:t xml:space="preserve">post-progression utility values </w:t>
      </w:r>
      <w:r w:rsidR="0096726A" w:rsidRPr="0016581E">
        <w:rPr>
          <w:rFonts w:asciiTheme="minorHAnsi" w:hAnsiTheme="minorHAnsi" w:cstheme="minorHAnsi"/>
          <w:sz w:val="24"/>
          <w:szCs w:val="24"/>
        </w:rPr>
        <w:t>for</w:t>
      </w:r>
      <w:r w:rsidRPr="0016581E">
        <w:rPr>
          <w:rFonts w:asciiTheme="minorHAnsi" w:hAnsiTheme="minorHAnsi" w:cstheme="minorHAnsi"/>
          <w:sz w:val="24"/>
          <w:szCs w:val="24"/>
        </w:rPr>
        <w:t xml:space="preserve"> the palbociclib+letrozole and letrozole arms. The PBAC agreed with ESC that </w:t>
      </w:r>
      <w:r w:rsidR="008F10E9" w:rsidRPr="0016581E">
        <w:rPr>
          <w:rFonts w:asciiTheme="minorHAnsi" w:hAnsiTheme="minorHAnsi" w:cstheme="minorHAnsi"/>
          <w:sz w:val="24"/>
          <w:szCs w:val="24"/>
        </w:rPr>
        <w:t>the difference in utilities by treatment post-progression was not justified as treatment had ceased, and continued effect on quality of life beyond discontinuation was unlikely.</w:t>
      </w:r>
      <w:r w:rsidR="008F10E9" w:rsidRPr="0016581E" w:rsidDel="00BC3997">
        <w:rPr>
          <w:rFonts w:asciiTheme="minorHAnsi" w:hAnsiTheme="minorHAnsi" w:cstheme="minorHAnsi"/>
          <w:sz w:val="24"/>
          <w:szCs w:val="24"/>
        </w:rPr>
        <w:t xml:space="preserve"> </w:t>
      </w:r>
    </w:p>
    <w:p w:rsidR="00496DEA" w:rsidRPr="00496DEA" w:rsidRDefault="00D75926" w:rsidP="00496DEA">
      <w:pPr>
        <w:numPr>
          <w:ilvl w:val="1"/>
          <w:numId w:val="5"/>
        </w:numPr>
        <w:ind w:left="709" w:hanging="709"/>
        <w:rPr>
          <w:rFonts w:asciiTheme="minorHAnsi" w:hAnsiTheme="minorHAnsi"/>
          <w:bCs/>
          <w:color w:val="2E74B5" w:themeColor="accent1" w:themeShade="BF"/>
          <w:sz w:val="24"/>
          <w:szCs w:val="24"/>
        </w:rPr>
      </w:pPr>
      <w:r w:rsidRPr="0016581E">
        <w:rPr>
          <w:rFonts w:asciiTheme="minorHAnsi" w:hAnsiTheme="minorHAnsi"/>
          <w:bCs/>
          <w:sz w:val="24"/>
          <w:szCs w:val="24"/>
        </w:rPr>
        <w:t xml:space="preserve">The PBAC noted that </w:t>
      </w:r>
      <w:r w:rsidR="007124CB" w:rsidRPr="0016581E">
        <w:rPr>
          <w:rFonts w:asciiTheme="minorHAnsi" w:hAnsiTheme="minorHAnsi"/>
          <w:bCs/>
          <w:sz w:val="24"/>
          <w:szCs w:val="24"/>
        </w:rPr>
        <w:t>t</w:t>
      </w:r>
      <w:r w:rsidR="007124CB" w:rsidRPr="0016581E">
        <w:rPr>
          <w:rFonts w:asciiTheme="minorHAnsi" w:hAnsiTheme="minorHAnsi" w:cstheme="minorHAnsi"/>
          <w:color w:val="000000" w:themeColor="text1"/>
          <w:sz w:val="24"/>
          <w:szCs w:val="24"/>
        </w:rPr>
        <w:t xml:space="preserve">he total net financial cost for the PBS/RPBS was estimated to be </w:t>
      </w:r>
      <w:r w:rsidR="00E01024">
        <w:rPr>
          <w:rFonts w:asciiTheme="minorHAnsi" w:hAnsiTheme="minorHAnsi" w:cstheme="minorHAnsi"/>
          <w:color w:val="000000" w:themeColor="text1"/>
          <w:sz w:val="24"/>
          <w:szCs w:val="24"/>
        </w:rPr>
        <w:t xml:space="preserve">more than </w:t>
      </w:r>
      <w:r w:rsidR="00E01024">
        <w:rPr>
          <w:rFonts w:asciiTheme="minorHAnsi" w:hAnsiTheme="minorHAnsi"/>
          <w:bCs/>
          <w:sz w:val="24"/>
          <w:szCs w:val="24"/>
        </w:rPr>
        <w:t xml:space="preserve">$100 million </w:t>
      </w:r>
      <w:r w:rsidR="007124CB" w:rsidRPr="0016581E">
        <w:rPr>
          <w:rFonts w:asciiTheme="minorHAnsi" w:hAnsiTheme="minorHAnsi" w:cstheme="minorHAnsi"/>
          <w:color w:val="000000" w:themeColor="text1"/>
          <w:sz w:val="24"/>
          <w:szCs w:val="24"/>
        </w:rPr>
        <w:t xml:space="preserve">over 5 years. Noting the arguments raised in the re-submission, the PBAC </w:t>
      </w:r>
      <w:r w:rsidR="0016195F" w:rsidRPr="0016581E">
        <w:rPr>
          <w:rFonts w:asciiTheme="minorHAnsi" w:hAnsiTheme="minorHAnsi" w:cstheme="minorHAnsi"/>
          <w:color w:val="000000" w:themeColor="text1"/>
          <w:sz w:val="24"/>
          <w:szCs w:val="24"/>
        </w:rPr>
        <w:t>reiterated its concern</w:t>
      </w:r>
      <w:r w:rsidR="007124CB" w:rsidRPr="0016581E">
        <w:rPr>
          <w:rFonts w:asciiTheme="minorHAnsi" w:hAnsiTheme="minorHAnsi" w:cstheme="minorHAnsi"/>
          <w:color w:val="000000" w:themeColor="text1"/>
          <w:sz w:val="24"/>
          <w:szCs w:val="24"/>
        </w:rPr>
        <w:t xml:space="preserve"> </w:t>
      </w:r>
      <w:r w:rsidR="007124CB" w:rsidRPr="0016581E">
        <w:rPr>
          <w:rFonts w:asciiTheme="minorHAnsi" w:hAnsiTheme="minorHAnsi"/>
          <w:bCs/>
          <w:sz w:val="24"/>
          <w:szCs w:val="24"/>
        </w:rPr>
        <w:t>that usage and financial impact remained likely to be underestimated, due to:</w:t>
      </w:r>
    </w:p>
    <w:p w:rsidR="007124CB" w:rsidRPr="0016581E" w:rsidRDefault="007124CB"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The likelihood that</w:t>
      </w:r>
      <w:r w:rsidR="00B11734" w:rsidRPr="0016581E">
        <w:rPr>
          <w:rFonts w:asciiTheme="minorHAnsi" w:hAnsiTheme="minorHAnsi"/>
          <w:bCs/>
          <w:sz w:val="24"/>
          <w:szCs w:val="24"/>
        </w:rPr>
        <w:t xml:space="preserve"> the</w:t>
      </w:r>
      <w:r w:rsidRPr="0016581E">
        <w:rPr>
          <w:rFonts w:asciiTheme="minorHAnsi" w:hAnsiTheme="minorHAnsi"/>
          <w:bCs/>
          <w:sz w:val="24"/>
          <w:szCs w:val="24"/>
        </w:rPr>
        <w:t xml:space="preserve"> average treatment duration with palbociclib will be longer than the estimate from PALOMA-2.</w:t>
      </w:r>
    </w:p>
    <w:p w:rsidR="007124CB" w:rsidRPr="0016581E" w:rsidRDefault="007124CB"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 xml:space="preserve">Some risk of treatment with palbociclib continuing post-progression even with a restriction specifying conditions relating to ceasing treatment and noting the view of clinical experts in re-submission. </w:t>
      </w:r>
    </w:p>
    <w:p w:rsidR="007124CB" w:rsidRPr="0016581E" w:rsidRDefault="007124CB"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The potential for use in patients being treated with letrozole or anastrozole at the time of palbociclib’s listing (i.e. the prev</w:t>
      </w:r>
      <w:r w:rsidR="00695699" w:rsidRPr="0016581E">
        <w:rPr>
          <w:rFonts w:asciiTheme="minorHAnsi" w:hAnsiTheme="minorHAnsi"/>
          <w:bCs/>
          <w:sz w:val="24"/>
          <w:szCs w:val="24"/>
        </w:rPr>
        <w:t xml:space="preserve">alent pool of patients), which would be outside the propose listing. </w:t>
      </w:r>
    </w:p>
    <w:p w:rsidR="007124CB" w:rsidRPr="0016581E" w:rsidRDefault="007124CB"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Due to the differen</w:t>
      </w:r>
      <w:r w:rsidR="00574142">
        <w:rPr>
          <w:rFonts w:asciiTheme="minorHAnsi" w:hAnsiTheme="minorHAnsi"/>
          <w:bCs/>
          <w:sz w:val="24"/>
          <w:szCs w:val="24"/>
        </w:rPr>
        <w:t>t avenues through which patient</w:t>
      </w:r>
      <w:r w:rsidRPr="0016581E">
        <w:rPr>
          <w:rFonts w:asciiTheme="minorHAnsi" w:hAnsiTheme="minorHAnsi"/>
          <w:bCs/>
          <w:sz w:val="24"/>
          <w:szCs w:val="24"/>
        </w:rPr>
        <w:t xml:space="preserve">s may currently access palbociclib, the size of patient population who would likely be eligible for grandfathering may be greater than </w:t>
      </w:r>
      <w:r w:rsidR="00B11734" w:rsidRPr="0016581E">
        <w:rPr>
          <w:rFonts w:asciiTheme="minorHAnsi" w:hAnsiTheme="minorHAnsi"/>
          <w:bCs/>
          <w:sz w:val="24"/>
          <w:szCs w:val="24"/>
        </w:rPr>
        <w:t xml:space="preserve">the estimated </w:t>
      </w:r>
      <w:r w:rsidRPr="0016581E">
        <w:rPr>
          <w:rFonts w:asciiTheme="minorHAnsi" w:hAnsiTheme="minorHAnsi"/>
          <w:bCs/>
          <w:sz w:val="24"/>
          <w:szCs w:val="24"/>
        </w:rPr>
        <w:t>500</w:t>
      </w:r>
      <w:r w:rsidR="00B11734" w:rsidRPr="0016581E">
        <w:rPr>
          <w:rFonts w:asciiTheme="minorHAnsi" w:hAnsiTheme="minorHAnsi"/>
          <w:bCs/>
          <w:sz w:val="24"/>
          <w:szCs w:val="24"/>
        </w:rPr>
        <w:t xml:space="preserve"> patients</w:t>
      </w:r>
      <w:r w:rsidRPr="0016581E">
        <w:rPr>
          <w:rFonts w:asciiTheme="minorHAnsi" w:hAnsiTheme="minorHAnsi"/>
          <w:bCs/>
          <w:sz w:val="24"/>
          <w:szCs w:val="24"/>
        </w:rPr>
        <w:t xml:space="preserve">. </w:t>
      </w:r>
      <w:r w:rsidR="00D23904" w:rsidRPr="0016581E">
        <w:rPr>
          <w:rFonts w:asciiTheme="minorHAnsi" w:hAnsiTheme="minorHAnsi"/>
          <w:bCs/>
          <w:sz w:val="24"/>
          <w:szCs w:val="24"/>
        </w:rPr>
        <w:t>The pre-PBAC response indicated that the sponsor had included more than 250 advanced breast cancer patients in clinical trials of palbociclib and is currently recruiting up to 300 patients in clinical trials of palbociclib for other forms of breast cancer. The PBAC were uncertain which of these patients would be eligible for treatment with the proposed restriction.</w:t>
      </w:r>
    </w:p>
    <w:p w:rsidR="0016195F" w:rsidRPr="0016581E" w:rsidRDefault="0016195F" w:rsidP="0089062C">
      <w:pPr>
        <w:pStyle w:val="ListParagraph"/>
        <w:numPr>
          <w:ilvl w:val="1"/>
          <w:numId w:val="66"/>
        </w:numPr>
        <w:ind w:left="1134" w:hanging="425"/>
        <w:rPr>
          <w:rFonts w:asciiTheme="minorHAnsi" w:hAnsiTheme="minorHAnsi" w:cstheme="minorHAnsi"/>
          <w:color w:val="000000" w:themeColor="text1"/>
          <w:sz w:val="24"/>
          <w:szCs w:val="24"/>
        </w:rPr>
      </w:pPr>
      <w:r w:rsidRPr="0016581E">
        <w:rPr>
          <w:rFonts w:asciiTheme="minorHAnsi" w:hAnsiTheme="minorHAnsi"/>
          <w:bCs/>
          <w:sz w:val="24"/>
          <w:szCs w:val="24"/>
        </w:rPr>
        <w:t xml:space="preserve">Underestimated </w:t>
      </w:r>
      <w:r w:rsidRPr="0016581E">
        <w:rPr>
          <w:rFonts w:asciiTheme="minorHAnsi" w:hAnsiTheme="minorHAnsi" w:cstheme="minorHAnsi"/>
          <w:color w:val="000000" w:themeColor="text1"/>
          <w:sz w:val="24"/>
          <w:szCs w:val="24"/>
        </w:rPr>
        <w:t xml:space="preserve">uptake of palbociclib in the eligible population in the first year of listing. The PBAC agreed with ESC that given the community’s interest in this oral treatment that the estimate of uptake was underestimated. </w:t>
      </w:r>
    </w:p>
    <w:p w:rsidR="007124CB" w:rsidRPr="0016581E" w:rsidRDefault="00695699"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noted that there was significant opportunity cost of listing palbociclib, particularly in the context of the uncertain cost-effectiveness. </w:t>
      </w:r>
      <w:r w:rsidR="0016195F" w:rsidRPr="0016581E">
        <w:rPr>
          <w:rFonts w:asciiTheme="minorHAnsi" w:hAnsiTheme="minorHAnsi"/>
          <w:bCs/>
          <w:sz w:val="24"/>
          <w:szCs w:val="24"/>
        </w:rPr>
        <w:t>The PBAC reiterated, as acknowledged by the sponsor, that s</w:t>
      </w:r>
      <w:r w:rsidR="007124CB" w:rsidRPr="0016581E">
        <w:rPr>
          <w:rFonts w:asciiTheme="minorHAnsi" w:hAnsiTheme="minorHAnsi"/>
          <w:bCs/>
          <w:sz w:val="24"/>
          <w:szCs w:val="24"/>
        </w:rPr>
        <w:t xml:space="preserve">ome of these uncertainties could be managed in a risk-share agreement between the Commonwealth and the sponsor. </w:t>
      </w:r>
    </w:p>
    <w:p w:rsidR="00D94056" w:rsidRPr="0016581E" w:rsidRDefault="00D94056"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lastRenderedPageBreak/>
        <w:t>The PBAC considered a re</w:t>
      </w:r>
      <w:r w:rsidR="00574142">
        <w:rPr>
          <w:rFonts w:asciiTheme="minorHAnsi" w:hAnsiTheme="minorHAnsi"/>
          <w:bCs/>
          <w:sz w:val="24"/>
          <w:szCs w:val="24"/>
        </w:rPr>
        <w:t>-</w:t>
      </w:r>
      <w:r w:rsidRPr="0016581E">
        <w:rPr>
          <w:rFonts w:asciiTheme="minorHAnsi" w:hAnsiTheme="minorHAnsi"/>
          <w:bCs/>
          <w:sz w:val="24"/>
          <w:szCs w:val="24"/>
        </w:rPr>
        <w:t>submission should include:</w:t>
      </w:r>
    </w:p>
    <w:p w:rsidR="00D94056" w:rsidRPr="0016581E" w:rsidRDefault="00D94056"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A revised restriction excluding patients treated with a NSAI at the time of listing palbociclib.</w:t>
      </w:r>
    </w:p>
    <w:p w:rsidR="00D94056" w:rsidRPr="0016581E" w:rsidRDefault="00D94056"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Revisions to the economic model to address the concerns noted in paragraph 7.1</w:t>
      </w:r>
      <w:r w:rsidR="00CF086C">
        <w:rPr>
          <w:rFonts w:asciiTheme="minorHAnsi" w:hAnsiTheme="minorHAnsi"/>
          <w:bCs/>
          <w:sz w:val="24"/>
          <w:szCs w:val="24"/>
        </w:rPr>
        <w:t>4</w:t>
      </w:r>
      <w:r w:rsidRPr="0016581E">
        <w:rPr>
          <w:rFonts w:asciiTheme="minorHAnsi" w:hAnsiTheme="minorHAnsi"/>
          <w:bCs/>
          <w:sz w:val="24"/>
          <w:szCs w:val="24"/>
        </w:rPr>
        <w:t>.</w:t>
      </w:r>
    </w:p>
    <w:p w:rsidR="00D94056" w:rsidRPr="0016581E" w:rsidRDefault="00D94056"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 xml:space="preserve">A reduced price for palbociclib to achieve </w:t>
      </w:r>
      <w:r w:rsidR="009C2C59" w:rsidRPr="0016581E">
        <w:rPr>
          <w:rFonts w:asciiTheme="minorHAnsi" w:hAnsiTheme="minorHAnsi"/>
          <w:bCs/>
          <w:sz w:val="24"/>
          <w:szCs w:val="24"/>
        </w:rPr>
        <w:t xml:space="preserve">a base case ICER of </w:t>
      </w:r>
      <w:r w:rsidR="001E5C8E">
        <w:rPr>
          <w:rFonts w:asciiTheme="minorHAnsi" w:hAnsiTheme="minorHAnsi"/>
          <w:bCs/>
          <w:sz w:val="24"/>
          <w:szCs w:val="24"/>
        </w:rPr>
        <w:t>$45,000/QALY - $75,000/QALY.</w:t>
      </w:r>
      <w:r w:rsidR="009C2C59" w:rsidRPr="0016581E">
        <w:rPr>
          <w:rFonts w:asciiTheme="minorHAnsi" w:hAnsiTheme="minorHAnsi"/>
          <w:bCs/>
          <w:sz w:val="24"/>
          <w:szCs w:val="24"/>
        </w:rPr>
        <w:t xml:space="preserve"> </w:t>
      </w:r>
    </w:p>
    <w:p w:rsidR="00695699" w:rsidRPr="0016581E" w:rsidRDefault="00D94056" w:rsidP="0089062C">
      <w:pPr>
        <w:numPr>
          <w:ilvl w:val="1"/>
          <w:numId w:val="66"/>
        </w:numPr>
        <w:ind w:left="1134" w:hanging="425"/>
        <w:rPr>
          <w:rFonts w:asciiTheme="minorHAnsi" w:hAnsiTheme="minorHAnsi"/>
          <w:bCs/>
          <w:sz w:val="24"/>
          <w:szCs w:val="24"/>
        </w:rPr>
      </w:pPr>
      <w:r w:rsidRPr="0016581E">
        <w:rPr>
          <w:rFonts w:asciiTheme="minorHAnsi" w:hAnsiTheme="minorHAnsi"/>
          <w:bCs/>
          <w:sz w:val="24"/>
          <w:szCs w:val="24"/>
        </w:rPr>
        <w:t xml:space="preserve">Revised financial </w:t>
      </w:r>
      <w:r w:rsidR="00F43924" w:rsidRPr="0016581E">
        <w:rPr>
          <w:rFonts w:asciiTheme="minorHAnsi" w:hAnsiTheme="minorHAnsi"/>
          <w:bCs/>
          <w:sz w:val="24"/>
          <w:szCs w:val="24"/>
        </w:rPr>
        <w:t>forecasts that include a risk</w:t>
      </w:r>
      <w:r w:rsidRPr="0016581E">
        <w:rPr>
          <w:rFonts w:asciiTheme="minorHAnsi" w:hAnsiTheme="minorHAnsi"/>
          <w:bCs/>
          <w:sz w:val="24"/>
          <w:szCs w:val="24"/>
        </w:rPr>
        <w:t xml:space="preserve"> share </w:t>
      </w:r>
      <w:r w:rsidR="00F43924" w:rsidRPr="0016581E">
        <w:rPr>
          <w:rFonts w:asciiTheme="minorHAnsi" w:hAnsiTheme="minorHAnsi"/>
          <w:bCs/>
          <w:sz w:val="24"/>
          <w:szCs w:val="24"/>
        </w:rPr>
        <w:t>agreement that</w:t>
      </w:r>
      <w:r w:rsidR="00C1447A" w:rsidRPr="0016581E">
        <w:rPr>
          <w:rFonts w:asciiTheme="minorHAnsi" w:hAnsiTheme="minorHAnsi"/>
          <w:bCs/>
          <w:sz w:val="24"/>
          <w:szCs w:val="24"/>
        </w:rPr>
        <w:t xml:space="preserve"> appropriately limits the financial risk to the Commonwealth.</w:t>
      </w:r>
    </w:p>
    <w:p w:rsidR="002F650D" w:rsidRPr="0016581E" w:rsidRDefault="00981A0B"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The PBAC recalled that it previously noted that many women with advanced breast cancer are managed effectively on hormone therapy only and the next line chemotherapies include well-tolerated oral therapies, and therefore the benefit of palbociclib in delaying time to chemotherapy is uncertain, particularly given that palbociclib itself is associated with significant toxicities</w:t>
      </w:r>
      <w:r w:rsidR="00FB570F" w:rsidRPr="0016581E">
        <w:rPr>
          <w:rFonts w:asciiTheme="minorHAnsi" w:hAnsiTheme="minorHAnsi"/>
          <w:bCs/>
          <w:sz w:val="24"/>
          <w:szCs w:val="24"/>
        </w:rPr>
        <w:t xml:space="preserve">. The PBAC noted that palbociclib is </w:t>
      </w:r>
      <w:r w:rsidR="00FB570F" w:rsidRPr="0016581E">
        <w:rPr>
          <w:rFonts w:asciiTheme="minorHAnsi" w:hAnsiTheme="minorHAnsi"/>
          <w:sz w:val="24"/>
          <w:szCs w:val="24"/>
        </w:rPr>
        <w:t xml:space="preserve">registered for the treatment of hormone receptor (HR)-positive, human epidermal growth factor receptor 2 (HER2)-negative advanced or metastatic breast cancer in combination with </w:t>
      </w:r>
      <w:r w:rsidR="00FB570F" w:rsidRPr="0016581E">
        <w:rPr>
          <w:rFonts w:asciiTheme="minorHAnsi" w:hAnsiTheme="minorHAnsi" w:cstheme="minorHAnsi"/>
          <w:sz w:val="24"/>
          <w:szCs w:val="24"/>
        </w:rPr>
        <w:t xml:space="preserve">fulvestrant in patients who have received prior therapy. The PBAC considered that there may be a clinical place for a listing of </w:t>
      </w:r>
      <w:r w:rsidR="00FB570F" w:rsidRPr="0016581E">
        <w:rPr>
          <w:rFonts w:asciiTheme="minorHAnsi" w:hAnsiTheme="minorHAnsi" w:cstheme="minorHAnsi"/>
          <w:sz w:val="24"/>
        </w:rPr>
        <w:t xml:space="preserve">palbociclib and </w:t>
      </w:r>
      <w:r w:rsidR="00FB570F" w:rsidRPr="0016581E">
        <w:rPr>
          <w:rFonts w:asciiTheme="minorHAnsi" w:hAnsiTheme="minorHAnsi"/>
          <w:bCs/>
          <w:sz w:val="24"/>
          <w:szCs w:val="24"/>
        </w:rPr>
        <w:t xml:space="preserve">fulvestrant for the second line treatment of patients. The PBAC noted that cost-effectiveness of </w:t>
      </w:r>
      <w:r w:rsidR="004752A8" w:rsidRPr="0016581E">
        <w:rPr>
          <w:rFonts w:asciiTheme="minorHAnsi" w:hAnsiTheme="minorHAnsi"/>
          <w:bCs/>
          <w:sz w:val="24"/>
          <w:szCs w:val="24"/>
        </w:rPr>
        <w:t>fulvestrant has</w:t>
      </w:r>
      <w:r w:rsidR="00FB570F" w:rsidRPr="0016581E">
        <w:rPr>
          <w:rFonts w:asciiTheme="minorHAnsi" w:hAnsiTheme="minorHAnsi"/>
          <w:bCs/>
          <w:sz w:val="24"/>
          <w:szCs w:val="24"/>
        </w:rPr>
        <w:t xml:space="preserve"> not been considered by the PBAC. </w:t>
      </w:r>
    </w:p>
    <w:p w:rsidR="00234AFA" w:rsidRPr="0016581E" w:rsidRDefault="00BE5754" w:rsidP="00270E23">
      <w:pPr>
        <w:numPr>
          <w:ilvl w:val="1"/>
          <w:numId w:val="5"/>
        </w:numPr>
        <w:spacing w:before="120" w:after="160"/>
        <w:ind w:left="709" w:hanging="709"/>
        <w:rPr>
          <w:rFonts w:asciiTheme="minorHAnsi" w:hAnsiTheme="minorHAnsi"/>
          <w:bCs/>
          <w:sz w:val="24"/>
          <w:szCs w:val="24"/>
        </w:rPr>
      </w:pPr>
      <w:r w:rsidRPr="0016581E">
        <w:rPr>
          <w:rFonts w:asciiTheme="minorHAnsi" w:hAnsiTheme="minorHAnsi"/>
          <w:bCs/>
          <w:sz w:val="24"/>
          <w:szCs w:val="24"/>
        </w:rPr>
        <w:t xml:space="preserve">The PBAC noted that this submission is eligible for an Independent Review. </w:t>
      </w:r>
    </w:p>
    <w:p w:rsidR="00BE5754" w:rsidRPr="0042082A" w:rsidRDefault="00BE5754" w:rsidP="0042082A">
      <w:pPr>
        <w:widowControl/>
        <w:tabs>
          <w:tab w:val="left" w:pos="5565"/>
        </w:tabs>
        <w:spacing w:before="240" w:after="160"/>
        <w:rPr>
          <w:rFonts w:asciiTheme="minorHAnsi" w:eastAsiaTheme="minorHAnsi" w:hAnsiTheme="minorHAnsi"/>
          <w:b/>
          <w:bCs/>
          <w:sz w:val="24"/>
          <w:szCs w:val="22"/>
        </w:rPr>
      </w:pPr>
      <w:r w:rsidRPr="0042082A">
        <w:rPr>
          <w:rFonts w:asciiTheme="minorHAnsi" w:eastAsiaTheme="minorHAnsi" w:hAnsiTheme="minorHAnsi"/>
          <w:b/>
          <w:bCs/>
          <w:sz w:val="24"/>
          <w:szCs w:val="22"/>
        </w:rPr>
        <w:t>Outcome:</w:t>
      </w:r>
    </w:p>
    <w:p w:rsidR="00BE5754" w:rsidRDefault="00E77D54" w:rsidP="00353F4E">
      <w:pPr>
        <w:ind w:left="709" w:hanging="709"/>
        <w:rPr>
          <w:rFonts w:asciiTheme="minorHAnsi" w:hAnsiTheme="minorHAnsi"/>
          <w:bCs/>
          <w:sz w:val="24"/>
          <w:szCs w:val="24"/>
        </w:rPr>
      </w:pPr>
      <w:r w:rsidRPr="0016581E">
        <w:rPr>
          <w:rFonts w:asciiTheme="minorHAnsi" w:hAnsiTheme="minorHAnsi"/>
          <w:bCs/>
          <w:sz w:val="24"/>
          <w:szCs w:val="24"/>
        </w:rPr>
        <w:t>Rejected</w:t>
      </w:r>
    </w:p>
    <w:p w:rsidR="0042082A" w:rsidRDefault="0042082A" w:rsidP="00353F4E">
      <w:pPr>
        <w:ind w:left="709" w:hanging="709"/>
        <w:rPr>
          <w:rFonts w:asciiTheme="minorHAnsi" w:hAnsiTheme="minorHAnsi"/>
          <w:bCs/>
          <w:sz w:val="24"/>
          <w:szCs w:val="24"/>
        </w:rPr>
      </w:pPr>
    </w:p>
    <w:p w:rsidR="0042082A" w:rsidRPr="0042082A" w:rsidRDefault="00FD62B5" w:rsidP="0042082A">
      <w:pPr>
        <w:pStyle w:val="Heading1"/>
        <w:keepNext/>
        <w:keepLines/>
        <w:widowControl/>
        <w:numPr>
          <w:ilvl w:val="0"/>
          <w:numId w:val="5"/>
        </w:numPr>
        <w:spacing w:before="240" w:after="120"/>
        <w:ind w:left="709" w:hanging="709"/>
        <w:jc w:val="left"/>
        <w:rPr>
          <w:bCs/>
        </w:rPr>
      </w:pPr>
      <w:r w:rsidRPr="0042082A">
        <w:rPr>
          <w:bCs/>
          <w:caps w:val="0"/>
        </w:rPr>
        <w:t xml:space="preserve">Context </w:t>
      </w:r>
      <w:r>
        <w:rPr>
          <w:bCs/>
          <w:caps w:val="0"/>
        </w:rPr>
        <w:t>f</w:t>
      </w:r>
      <w:r w:rsidRPr="0042082A">
        <w:rPr>
          <w:bCs/>
          <w:caps w:val="0"/>
        </w:rPr>
        <w:t>or Decision</w:t>
      </w:r>
    </w:p>
    <w:p w:rsidR="0042082A" w:rsidRPr="0042082A" w:rsidRDefault="0042082A" w:rsidP="0042082A">
      <w:pPr>
        <w:pStyle w:val="BodyText"/>
        <w:rPr>
          <w:rFonts w:asciiTheme="minorHAnsi" w:hAnsiTheme="minorHAnsi"/>
          <w:bCs/>
          <w:sz w:val="24"/>
          <w:szCs w:val="24"/>
        </w:rPr>
      </w:pPr>
      <w:r w:rsidRPr="0042082A">
        <w:rPr>
          <w:rFonts w:asciiTheme="minorHAnsi" w:hAnsiTheme="minorHAnsi"/>
          <w:bCs/>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2082A" w:rsidRPr="0042082A" w:rsidRDefault="00FD62B5" w:rsidP="0042082A">
      <w:pPr>
        <w:pStyle w:val="Heading1"/>
        <w:keepNext/>
        <w:keepLines/>
        <w:widowControl/>
        <w:numPr>
          <w:ilvl w:val="0"/>
          <w:numId w:val="5"/>
        </w:numPr>
        <w:spacing w:before="240" w:after="120"/>
        <w:ind w:left="709" w:hanging="709"/>
        <w:jc w:val="left"/>
        <w:rPr>
          <w:bCs/>
        </w:rPr>
      </w:pPr>
      <w:r w:rsidRPr="0042082A">
        <w:rPr>
          <w:bCs/>
          <w:caps w:val="0"/>
        </w:rPr>
        <w:t>Sponsor’s Comment</w:t>
      </w:r>
    </w:p>
    <w:p w:rsidR="00324B90" w:rsidRPr="00353F4E" w:rsidRDefault="00324B90" w:rsidP="00324B90">
      <w:pPr>
        <w:rPr>
          <w:rFonts w:asciiTheme="minorHAnsi" w:hAnsiTheme="minorHAnsi"/>
          <w:bCs/>
          <w:sz w:val="24"/>
          <w:szCs w:val="24"/>
        </w:rPr>
      </w:pPr>
      <w:r w:rsidRPr="00324B90">
        <w:rPr>
          <w:rFonts w:asciiTheme="minorHAnsi" w:hAnsiTheme="minorHAnsi"/>
          <w:bCs/>
          <w:sz w:val="24"/>
          <w:szCs w:val="24"/>
        </w:rPr>
        <w:t>The Sponsor is committed to working with the PBAC and the Department of Health to make palbociclib available for the treatment of locally advanced and metastatic HR-positive, HER2-negative breast cancer.</w:t>
      </w:r>
    </w:p>
    <w:p w:rsidR="0042082A" w:rsidRPr="0042082A" w:rsidRDefault="0042082A" w:rsidP="0042082A">
      <w:pPr>
        <w:widowControl/>
        <w:spacing w:before="120" w:after="160"/>
        <w:rPr>
          <w:rFonts w:ascii="Calibri" w:eastAsia="Calibri" w:hAnsi="Calibri"/>
          <w:sz w:val="24"/>
        </w:rPr>
      </w:pPr>
    </w:p>
    <w:p w:rsidR="0042082A" w:rsidRPr="00353F4E" w:rsidRDefault="0042082A" w:rsidP="00353F4E">
      <w:pPr>
        <w:ind w:left="709" w:hanging="709"/>
        <w:rPr>
          <w:rFonts w:asciiTheme="minorHAnsi" w:hAnsiTheme="minorHAnsi"/>
          <w:bCs/>
          <w:sz w:val="24"/>
          <w:szCs w:val="24"/>
        </w:rPr>
      </w:pPr>
    </w:p>
    <w:sectPr w:rsidR="0042082A" w:rsidRPr="00353F4E" w:rsidSect="00874A5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40"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45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4508D" w16cid:durableId="1DCD46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D0" w:rsidRDefault="00F80CD0" w:rsidP="0066082D">
      <w:r>
        <w:separator/>
      </w:r>
    </w:p>
  </w:endnote>
  <w:endnote w:type="continuationSeparator" w:id="0">
    <w:p w:rsidR="00F80CD0" w:rsidRDefault="00F80CD0" w:rsidP="0066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D0" w:rsidRDefault="00F80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38" w:rsidRPr="009E203B" w:rsidRDefault="00D84238" w:rsidP="009E203B">
    <w:pPr>
      <w:pStyle w:val="Footer"/>
      <w:jc w:val="center"/>
    </w:pPr>
    <w:r w:rsidRPr="00F90A91">
      <w:rPr>
        <w:rFonts w:ascii="Calibri" w:hAnsi="Calibri"/>
        <w:b/>
        <w:sz w:val="20"/>
      </w:rPr>
      <w:fldChar w:fldCharType="begin"/>
    </w:r>
    <w:r w:rsidRPr="00F90A91">
      <w:rPr>
        <w:rFonts w:ascii="Calibri" w:hAnsi="Calibri"/>
        <w:b/>
        <w:sz w:val="20"/>
      </w:rPr>
      <w:instrText xml:space="preserve"> PAGE   \* MERGEFORMAT </w:instrText>
    </w:r>
    <w:r w:rsidRPr="00F90A91">
      <w:rPr>
        <w:rFonts w:ascii="Calibri" w:hAnsi="Calibri"/>
        <w:b/>
        <w:sz w:val="20"/>
      </w:rPr>
      <w:fldChar w:fldCharType="separate"/>
    </w:r>
    <w:r w:rsidR="00993230">
      <w:rPr>
        <w:rFonts w:ascii="Calibri" w:hAnsi="Calibri"/>
        <w:b/>
        <w:noProof/>
        <w:sz w:val="20"/>
      </w:rPr>
      <w:t>34</w:t>
    </w:r>
    <w:r w:rsidRPr="00F90A91">
      <w:rPr>
        <w:rFonts w:ascii="Calibri" w:hAnsi="Calibri"/>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D0" w:rsidRDefault="00F8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D0" w:rsidRDefault="00F80CD0" w:rsidP="0066082D">
      <w:r>
        <w:separator/>
      </w:r>
    </w:p>
  </w:footnote>
  <w:footnote w:type="continuationSeparator" w:id="0">
    <w:p w:rsidR="00F80CD0" w:rsidRDefault="00F80CD0" w:rsidP="0066082D">
      <w:r>
        <w:continuationSeparator/>
      </w:r>
    </w:p>
  </w:footnote>
  <w:footnote w:id="1">
    <w:p w:rsidR="00D84238" w:rsidRPr="00C32E3F" w:rsidRDefault="00D84238" w:rsidP="00BA6B66">
      <w:pPr>
        <w:pStyle w:val="FootnoteText"/>
        <w:rPr>
          <w:szCs w:val="22"/>
        </w:rPr>
      </w:pPr>
      <w:r w:rsidRPr="00C32E3F">
        <w:rPr>
          <w:rStyle w:val="FootnoteReference"/>
          <w:szCs w:val="22"/>
        </w:rPr>
        <w:t>[1]</w:t>
      </w:r>
      <w:r w:rsidRPr="00C32E3F">
        <w:rPr>
          <w:szCs w:val="22"/>
        </w:rPr>
        <w:t xml:space="preserve"> </w:t>
      </w:r>
      <w:r w:rsidRPr="00364ABE">
        <w:rPr>
          <w:szCs w:val="22"/>
        </w:rPr>
        <w:t>[1] 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D0" w:rsidRDefault="00F80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38" w:rsidRPr="00F90A91" w:rsidRDefault="00D84238" w:rsidP="009E203B">
    <w:pPr>
      <w:pStyle w:val="Header"/>
      <w:ind w:left="360"/>
      <w:jc w:val="center"/>
      <w:rPr>
        <w:rFonts w:asciiTheme="minorHAnsi" w:hAnsiTheme="minorHAnsi"/>
        <w:i/>
        <w:color w:val="808080"/>
      </w:rPr>
    </w:pPr>
    <w:r>
      <w:rPr>
        <w:rFonts w:asciiTheme="minorHAnsi" w:hAnsiTheme="minorHAnsi"/>
        <w:i/>
        <w:color w:val="808080"/>
      </w:rPr>
      <w:t>Public Summary Document</w:t>
    </w:r>
    <w:r w:rsidRPr="00F90A91">
      <w:rPr>
        <w:rFonts w:asciiTheme="minorHAnsi" w:hAnsiTheme="minorHAnsi"/>
        <w:i/>
        <w:color w:val="808080"/>
      </w:rPr>
      <w:t xml:space="preserve"> – </w:t>
    </w:r>
    <w:r>
      <w:rPr>
        <w:rFonts w:asciiTheme="minorHAnsi" w:hAnsiTheme="minorHAnsi"/>
        <w:i/>
        <w:color w:val="808080"/>
      </w:rPr>
      <w:t xml:space="preserve">November 2017 </w:t>
    </w:r>
    <w:r w:rsidRPr="00F90A91">
      <w:rPr>
        <w:rFonts w:asciiTheme="minorHAnsi" w:hAnsiTheme="minorHAnsi"/>
        <w:i/>
        <w:color w:val="808080"/>
      </w:rPr>
      <w:t>PBAC Meeting</w:t>
    </w:r>
  </w:p>
  <w:p w:rsidR="00D84238" w:rsidRPr="009E203B" w:rsidRDefault="00D84238" w:rsidP="009E203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D0" w:rsidRDefault="00F80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1D64A9"/>
    <w:multiLevelType w:val="hybridMultilevel"/>
    <w:tmpl w:val="EDBE3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1EE3326"/>
    <w:multiLevelType w:val="hybridMultilevel"/>
    <w:tmpl w:val="71DA2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696038"/>
    <w:multiLevelType w:val="hybridMultilevel"/>
    <w:tmpl w:val="1F905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794563"/>
    <w:multiLevelType w:val="hybridMultilevel"/>
    <w:tmpl w:val="3FC0FE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A1624F"/>
    <w:multiLevelType w:val="hybridMultilevel"/>
    <w:tmpl w:val="2A568AF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0EB8658E"/>
    <w:multiLevelType w:val="hybridMultilevel"/>
    <w:tmpl w:val="9574E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0E133E"/>
    <w:multiLevelType w:val="multilevel"/>
    <w:tmpl w:val="C21423D6"/>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5313FCD"/>
    <w:multiLevelType w:val="hybridMultilevel"/>
    <w:tmpl w:val="F0A80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7FD0976"/>
    <w:multiLevelType w:val="hybridMultilevel"/>
    <w:tmpl w:val="3904C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8773E1C"/>
    <w:multiLevelType w:val="hybridMultilevel"/>
    <w:tmpl w:val="1720A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9B33088"/>
    <w:multiLevelType w:val="hybridMultilevel"/>
    <w:tmpl w:val="044C3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444607"/>
    <w:multiLevelType w:val="hybridMultilevel"/>
    <w:tmpl w:val="39B2C6D8"/>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1B984DF2"/>
    <w:multiLevelType w:val="hybridMultilevel"/>
    <w:tmpl w:val="E45E8BC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C6B5C22"/>
    <w:multiLevelType w:val="hybridMultilevel"/>
    <w:tmpl w:val="7D6E5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E7F1607"/>
    <w:multiLevelType w:val="hybridMultilevel"/>
    <w:tmpl w:val="358A7F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F926B52"/>
    <w:multiLevelType w:val="hybridMultilevel"/>
    <w:tmpl w:val="0062F53E"/>
    <w:lvl w:ilvl="0" w:tplc="CF26838E">
      <w:start w:val="1"/>
      <w:numFmt w:val="bullet"/>
      <w:lvlText w:val="•"/>
      <w:lvlJc w:val="left"/>
      <w:pPr>
        <w:tabs>
          <w:tab w:val="num" w:pos="720"/>
        </w:tabs>
        <w:ind w:left="720" w:hanging="360"/>
      </w:pPr>
      <w:rPr>
        <w:rFonts w:ascii="Arial" w:hAnsi="Arial" w:hint="default"/>
      </w:rPr>
    </w:lvl>
    <w:lvl w:ilvl="1" w:tplc="7F32118A" w:tentative="1">
      <w:start w:val="1"/>
      <w:numFmt w:val="bullet"/>
      <w:lvlText w:val="•"/>
      <w:lvlJc w:val="left"/>
      <w:pPr>
        <w:tabs>
          <w:tab w:val="num" w:pos="1440"/>
        </w:tabs>
        <w:ind w:left="1440" w:hanging="360"/>
      </w:pPr>
      <w:rPr>
        <w:rFonts w:ascii="Arial" w:hAnsi="Arial" w:hint="default"/>
      </w:rPr>
    </w:lvl>
    <w:lvl w:ilvl="2" w:tplc="459C0690" w:tentative="1">
      <w:start w:val="1"/>
      <w:numFmt w:val="bullet"/>
      <w:lvlText w:val="•"/>
      <w:lvlJc w:val="left"/>
      <w:pPr>
        <w:tabs>
          <w:tab w:val="num" w:pos="2160"/>
        </w:tabs>
        <w:ind w:left="2160" w:hanging="360"/>
      </w:pPr>
      <w:rPr>
        <w:rFonts w:ascii="Arial" w:hAnsi="Arial" w:hint="default"/>
      </w:rPr>
    </w:lvl>
    <w:lvl w:ilvl="3" w:tplc="FAEE3D08" w:tentative="1">
      <w:start w:val="1"/>
      <w:numFmt w:val="bullet"/>
      <w:lvlText w:val="•"/>
      <w:lvlJc w:val="left"/>
      <w:pPr>
        <w:tabs>
          <w:tab w:val="num" w:pos="2880"/>
        </w:tabs>
        <w:ind w:left="2880" w:hanging="360"/>
      </w:pPr>
      <w:rPr>
        <w:rFonts w:ascii="Arial" w:hAnsi="Arial" w:hint="default"/>
      </w:rPr>
    </w:lvl>
    <w:lvl w:ilvl="4" w:tplc="E6922C1C" w:tentative="1">
      <w:start w:val="1"/>
      <w:numFmt w:val="bullet"/>
      <w:lvlText w:val="•"/>
      <w:lvlJc w:val="left"/>
      <w:pPr>
        <w:tabs>
          <w:tab w:val="num" w:pos="3600"/>
        </w:tabs>
        <w:ind w:left="3600" w:hanging="360"/>
      </w:pPr>
      <w:rPr>
        <w:rFonts w:ascii="Arial" w:hAnsi="Arial" w:hint="default"/>
      </w:rPr>
    </w:lvl>
    <w:lvl w:ilvl="5" w:tplc="BCBE7DBC" w:tentative="1">
      <w:start w:val="1"/>
      <w:numFmt w:val="bullet"/>
      <w:lvlText w:val="•"/>
      <w:lvlJc w:val="left"/>
      <w:pPr>
        <w:tabs>
          <w:tab w:val="num" w:pos="4320"/>
        </w:tabs>
        <w:ind w:left="4320" w:hanging="360"/>
      </w:pPr>
      <w:rPr>
        <w:rFonts w:ascii="Arial" w:hAnsi="Arial" w:hint="default"/>
      </w:rPr>
    </w:lvl>
    <w:lvl w:ilvl="6" w:tplc="186675C0" w:tentative="1">
      <w:start w:val="1"/>
      <w:numFmt w:val="bullet"/>
      <w:lvlText w:val="•"/>
      <w:lvlJc w:val="left"/>
      <w:pPr>
        <w:tabs>
          <w:tab w:val="num" w:pos="5040"/>
        </w:tabs>
        <w:ind w:left="5040" w:hanging="360"/>
      </w:pPr>
      <w:rPr>
        <w:rFonts w:ascii="Arial" w:hAnsi="Arial" w:hint="default"/>
      </w:rPr>
    </w:lvl>
    <w:lvl w:ilvl="7" w:tplc="CD024952" w:tentative="1">
      <w:start w:val="1"/>
      <w:numFmt w:val="bullet"/>
      <w:lvlText w:val="•"/>
      <w:lvlJc w:val="left"/>
      <w:pPr>
        <w:tabs>
          <w:tab w:val="num" w:pos="5760"/>
        </w:tabs>
        <w:ind w:left="5760" w:hanging="360"/>
      </w:pPr>
      <w:rPr>
        <w:rFonts w:ascii="Arial" w:hAnsi="Arial" w:hint="default"/>
      </w:rPr>
    </w:lvl>
    <w:lvl w:ilvl="8" w:tplc="5DB2FF94" w:tentative="1">
      <w:start w:val="1"/>
      <w:numFmt w:val="bullet"/>
      <w:lvlText w:val="•"/>
      <w:lvlJc w:val="left"/>
      <w:pPr>
        <w:tabs>
          <w:tab w:val="num" w:pos="6480"/>
        </w:tabs>
        <w:ind w:left="6480" w:hanging="360"/>
      </w:pPr>
      <w:rPr>
        <w:rFonts w:ascii="Arial" w:hAnsi="Arial" w:hint="default"/>
      </w:rPr>
    </w:lvl>
  </w:abstractNum>
  <w:abstractNum w:abstractNumId="21">
    <w:nsid w:val="23CC139E"/>
    <w:multiLevelType w:val="hybridMultilevel"/>
    <w:tmpl w:val="EB2A546C"/>
    <w:lvl w:ilvl="0" w:tplc="0C090001">
      <w:start w:val="1"/>
      <w:numFmt w:val="bullet"/>
      <w:lvlText w:val=""/>
      <w:lvlJc w:val="left"/>
      <w:pPr>
        <w:ind w:left="720" w:hanging="360"/>
      </w:pPr>
      <w:rPr>
        <w:rFonts w:ascii="Symbol" w:hAnsi="Symbol" w:hint="default"/>
      </w:rPr>
    </w:lvl>
    <w:lvl w:ilvl="1" w:tplc="2D100480">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739024E"/>
    <w:multiLevelType w:val="hybridMultilevel"/>
    <w:tmpl w:val="532AF1FC"/>
    <w:lvl w:ilvl="0" w:tplc="D40C744A">
      <w:start w:val="1"/>
      <w:numFmt w:val="bullet"/>
      <w:lvlText w:val="•"/>
      <w:lvlJc w:val="left"/>
      <w:pPr>
        <w:tabs>
          <w:tab w:val="num" w:pos="720"/>
        </w:tabs>
        <w:ind w:left="720" w:hanging="360"/>
      </w:pPr>
      <w:rPr>
        <w:rFonts w:ascii="Arial" w:hAnsi="Arial" w:hint="default"/>
      </w:rPr>
    </w:lvl>
    <w:lvl w:ilvl="1" w:tplc="CD90B590" w:tentative="1">
      <w:start w:val="1"/>
      <w:numFmt w:val="bullet"/>
      <w:lvlText w:val="•"/>
      <w:lvlJc w:val="left"/>
      <w:pPr>
        <w:tabs>
          <w:tab w:val="num" w:pos="1440"/>
        </w:tabs>
        <w:ind w:left="1440" w:hanging="360"/>
      </w:pPr>
      <w:rPr>
        <w:rFonts w:ascii="Arial" w:hAnsi="Arial" w:hint="default"/>
      </w:rPr>
    </w:lvl>
    <w:lvl w:ilvl="2" w:tplc="081EA010" w:tentative="1">
      <w:start w:val="1"/>
      <w:numFmt w:val="bullet"/>
      <w:lvlText w:val="•"/>
      <w:lvlJc w:val="left"/>
      <w:pPr>
        <w:tabs>
          <w:tab w:val="num" w:pos="2160"/>
        </w:tabs>
        <w:ind w:left="2160" w:hanging="360"/>
      </w:pPr>
      <w:rPr>
        <w:rFonts w:ascii="Arial" w:hAnsi="Arial" w:hint="default"/>
      </w:rPr>
    </w:lvl>
    <w:lvl w:ilvl="3" w:tplc="35404B32" w:tentative="1">
      <w:start w:val="1"/>
      <w:numFmt w:val="bullet"/>
      <w:lvlText w:val="•"/>
      <w:lvlJc w:val="left"/>
      <w:pPr>
        <w:tabs>
          <w:tab w:val="num" w:pos="2880"/>
        </w:tabs>
        <w:ind w:left="2880" w:hanging="360"/>
      </w:pPr>
      <w:rPr>
        <w:rFonts w:ascii="Arial" w:hAnsi="Arial" w:hint="default"/>
      </w:rPr>
    </w:lvl>
    <w:lvl w:ilvl="4" w:tplc="3B0E19F8" w:tentative="1">
      <w:start w:val="1"/>
      <w:numFmt w:val="bullet"/>
      <w:lvlText w:val="•"/>
      <w:lvlJc w:val="left"/>
      <w:pPr>
        <w:tabs>
          <w:tab w:val="num" w:pos="3600"/>
        </w:tabs>
        <w:ind w:left="3600" w:hanging="360"/>
      </w:pPr>
      <w:rPr>
        <w:rFonts w:ascii="Arial" w:hAnsi="Arial" w:hint="default"/>
      </w:rPr>
    </w:lvl>
    <w:lvl w:ilvl="5" w:tplc="888AA71C" w:tentative="1">
      <w:start w:val="1"/>
      <w:numFmt w:val="bullet"/>
      <w:lvlText w:val="•"/>
      <w:lvlJc w:val="left"/>
      <w:pPr>
        <w:tabs>
          <w:tab w:val="num" w:pos="4320"/>
        </w:tabs>
        <w:ind w:left="4320" w:hanging="360"/>
      </w:pPr>
      <w:rPr>
        <w:rFonts w:ascii="Arial" w:hAnsi="Arial" w:hint="default"/>
      </w:rPr>
    </w:lvl>
    <w:lvl w:ilvl="6" w:tplc="904058B8" w:tentative="1">
      <w:start w:val="1"/>
      <w:numFmt w:val="bullet"/>
      <w:lvlText w:val="•"/>
      <w:lvlJc w:val="left"/>
      <w:pPr>
        <w:tabs>
          <w:tab w:val="num" w:pos="5040"/>
        </w:tabs>
        <w:ind w:left="5040" w:hanging="360"/>
      </w:pPr>
      <w:rPr>
        <w:rFonts w:ascii="Arial" w:hAnsi="Arial" w:hint="default"/>
      </w:rPr>
    </w:lvl>
    <w:lvl w:ilvl="7" w:tplc="06649710" w:tentative="1">
      <w:start w:val="1"/>
      <w:numFmt w:val="bullet"/>
      <w:lvlText w:val="•"/>
      <w:lvlJc w:val="left"/>
      <w:pPr>
        <w:tabs>
          <w:tab w:val="num" w:pos="5760"/>
        </w:tabs>
        <w:ind w:left="5760" w:hanging="360"/>
      </w:pPr>
      <w:rPr>
        <w:rFonts w:ascii="Arial" w:hAnsi="Arial" w:hint="default"/>
      </w:rPr>
    </w:lvl>
    <w:lvl w:ilvl="8" w:tplc="CE18F2CA" w:tentative="1">
      <w:start w:val="1"/>
      <w:numFmt w:val="bullet"/>
      <w:lvlText w:val="•"/>
      <w:lvlJc w:val="left"/>
      <w:pPr>
        <w:tabs>
          <w:tab w:val="num" w:pos="6480"/>
        </w:tabs>
        <w:ind w:left="6480" w:hanging="360"/>
      </w:pPr>
      <w:rPr>
        <w:rFonts w:ascii="Arial" w:hAnsi="Arial" w:hint="default"/>
      </w:rPr>
    </w:lvl>
  </w:abstractNum>
  <w:abstractNum w:abstractNumId="24">
    <w:nsid w:val="284E6825"/>
    <w:multiLevelType w:val="multilevel"/>
    <w:tmpl w:val="49F23BCC"/>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285041AE"/>
    <w:multiLevelType w:val="hybridMultilevel"/>
    <w:tmpl w:val="1A824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6">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2A04276B"/>
    <w:multiLevelType w:val="hybridMultilevel"/>
    <w:tmpl w:val="B8006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C1901C9"/>
    <w:multiLevelType w:val="hybridMultilevel"/>
    <w:tmpl w:val="8BD4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F342AC1"/>
    <w:multiLevelType w:val="hybridMultilevel"/>
    <w:tmpl w:val="DD8C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0376B41"/>
    <w:multiLevelType w:val="hybridMultilevel"/>
    <w:tmpl w:val="CB8C6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68E3460"/>
    <w:multiLevelType w:val="hybridMultilevel"/>
    <w:tmpl w:val="29947A1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2">
    <w:nsid w:val="38362570"/>
    <w:multiLevelType w:val="hybridMultilevel"/>
    <w:tmpl w:val="6060D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8502020"/>
    <w:multiLevelType w:val="hybridMultilevel"/>
    <w:tmpl w:val="44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0747371"/>
    <w:multiLevelType w:val="hybridMultilevel"/>
    <w:tmpl w:val="F54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2FB55A5"/>
    <w:multiLevelType w:val="multilevel"/>
    <w:tmpl w:val="A044E9B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56A2FED"/>
    <w:multiLevelType w:val="hybridMultilevel"/>
    <w:tmpl w:val="708C2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61854D5"/>
    <w:multiLevelType w:val="hybridMultilevel"/>
    <w:tmpl w:val="A1D2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AA30EF2"/>
    <w:multiLevelType w:val="hybridMultilevel"/>
    <w:tmpl w:val="EEB2B80E"/>
    <w:lvl w:ilvl="0" w:tplc="110425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F5F37DF"/>
    <w:multiLevelType w:val="hybridMultilevel"/>
    <w:tmpl w:val="6DE08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F79137E"/>
    <w:multiLevelType w:val="hybridMultilevel"/>
    <w:tmpl w:val="E782F8BC"/>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2">
    <w:nsid w:val="50271D88"/>
    <w:multiLevelType w:val="hybridMultilevel"/>
    <w:tmpl w:val="0840F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136506E"/>
    <w:multiLevelType w:val="hybridMultilevel"/>
    <w:tmpl w:val="98849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43379C8"/>
    <w:multiLevelType w:val="hybridMultilevel"/>
    <w:tmpl w:val="68A8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D90268"/>
    <w:multiLevelType w:val="hybridMultilevel"/>
    <w:tmpl w:val="E0327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7AF26ED"/>
    <w:multiLevelType w:val="multilevel"/>
    <w:tmpl w:val="36721966"/>
    <w:lvl w:ilvl="0">
      <w:start w:val="1"/>
      <w:numFmt w:val="decimal"/>
      <w:lvlText w:val="%1"/>
      <w:lvlJc w:val="left"/>
      <w:pPr>
        <w:ind w:left="432" w:hanging="432"/>
      </w:pPr>
      <w:rPr>
        <w:rFonts w:hint="default"/>
      </w:rPr>
    </w:lvl>
    <w:lvl w:ilvl="1">
      <w:start w:val="1"/>
      <w:numFmt w:val="bullet"/>
      <w:lvlText w:val="o"/>
      <w:lvlJc w:val="left"/>
      <w:pPr>
        <w:ind w:left="576" w:hanging="576"/>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57D415E1"/>
    <w:multiLevelType w:val="multilevel"/>
    <w:tmpl w:val="3C121008"/>
    <w:styleLink w:val="Style4"/>
    <w:lvl w:ilvl="0">
      <w:start w:val="1"/>
      <w:numFmt w:val="upperLetter"/>
      <w:lvlText w:val="3.%1"/>
      <w:lvlJc w:val="left"/>
      <w:pPr>
        <w:ind w:left="1440" w:hanging="1440"/>
      </w:pPr>
      <w:rPr>
        <w:rFonts w:ascii="Verdana" w:hAnsi="Verdana" w:hint="default"/>
        <w:b/>
        <w:bCs w:val="0"/>
        <w:i w:val="0"/>
        <w:iCs w:val="0"/>
        <w:caps w:val="0"/>
        <w:smallCaps w:val="0"/>
        <w:strike w:val="0"/>
        <w:dstrike w:val="0"/>
        <w:vanish w:val="0"/>
        <w:color w:val="000000"/>
        <w:kern w:val="0"/>
        <w:position w:val="0"/>
        <w:sz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3.%1.%2"/>
      <w:lvlJc w:val="left"/>
      <w:pPr>
        <w:ind w:left="1440" w:hanging="1440"/>
      </w:pPr>
      <w:rPr>
        <w:rFonts w:ascii="Verdana" w:hAnsi="Verdana" w:hint="default"/>
        <w:b/>
        <w:sz w:val="28"/>
      </w:rPr>
    </w:lvl>
    <w:lvl w:ilvl="2">
      <w:start w:val="1"/>
      <w:numFmt w:val="decimal"/>
      <w:lvlText w:val="3.%1.%2.%3"/>
      <w:lvlJc w:val="left"/>
      <w:pPr>
        <w:ind w:left="1440" w:hanging="1440"/>
      </w:pPr>
      <w:rPr>
        <w:rFonts w:hint="default"/>
      </w:rPr>
    </w:lvl>
    <w:lvl w:ilvl="3">
      <w:start w:val="1"/>
      <w:numFmt w:val="none"/>
      <w:lvlText w:val=""/>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righ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right"/>
      <w:pPr>
        <w:ind w:left="1440" w:hanging="1440"/>
      </w:pPr>
      <w:rPr>
        <w:rFonts w:hint="default"/>
      </w:rPr>
    </w:lvl>
  </w:abstractNum>
  <w:abstractNum w:abstractNumId="4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2470D44"/>
    <w:multiLevelType w:val="hybridMultilevel"/>
    <w:tmpl w:val="453C9E0C"/>
    <w:lvl w:ilvl="0" w:tplc="A1DAD08A">
      <w:start w:val="1"/>
      <w:numFmt w:val="bullet"/>
      <w:lvlText w:val="•"/>
      <w:lvlJc w:val="left"/>
      <w:pPr>
        <w:tabs>
          <w:tab w:val="num" w:pos="720"/>
        </w:tabs>
        <w:ind w:left="720" w:hanging="360"/>
      </w:pPr>
      <w:rPr>
        <w:rFonts w:ascii="Arial" w:hAnsi="Arial" w:hint="default"/>
      </w:rPr>
    </w:lvl>
    <w:lvl w:ilvl="1" w:tplc="C16E13DC" w:tentative="1">
      <w:start w:val="1"/>
      <w:numFmt w:val="bullet"/>
      <w:lvlText w:val="•"/>
      <w:lvlJc w:val="left"/>
      <w:pPr>
        <w:tabs>
          <w:tab w:val="num" w:pos="1440"/>
        </w:tabs>
        <w:ind w:left="1440" w:hanging="360"/>
      </w:pPr>
      <w:rPr>
        <w:rFonts w:ascii="Arial" w:hAnsi="Arial" w:hint="default"/>
      </w:rPr>
    </w:lvl>
    <w:lvl w:ilvl="2" w:tplc="3236B844" w:tentative="1">
      <w:start w:val="1"/>
      <w:numFmt w:val="bullet"/>
      <w:lvlText w:val="•"/>
      <w:lvlJc w:val="left"/>
      <w:pPr>
        <w:tabs>
          <w:tab w:val="num" w:pos="2160"/>
        </w:tabs>
        <w:ind w:left="2160" w:hanging="360"/>
      </w:pPr>
      <w:rPr>
        <w:rFonts w:ascii="Arial" w:hAnsi="Arial" w:hint="default"/>
      </w:rPr>
    </w:lvl>
    <w:lvl w:ilvl="3" w:tplc="AF5C11AE" w:tentative="1">
      <w:start w:val="1"/>
      <w:numFmt w:val="bullet"/>
      <w:lvlText w:val="•"/>
      <w:lvlJc w:val="left"/>
      <w:pPr>
        <w:tabs>
          <w:tab w:val="num" w:pos="2880"/>
        </w:tabs>
        <w:ind w:left="2880" w:hanging="360"/>
      </w:pPr>
      <w:rPr>
        <w:rFonts w:ascii="Arial" w:hAnsi="Arial" w:hint="default"/>
      </w:rPr>
    </w:lvl>
    <w:lvl w:ilvl="4" w:tplc="ACFE3BD0" w:tentative="1">
      <w:start w:val="1"/>
      <w:numFmt w:val="bullet"/>
      <w:lvlText w:val="•"/>
      <w:lvlJc w:val="left"/>
      <w:pPr>
        <w:tabs>
          <w:tab w:val="num" w:pos="3600"/>
        </w:tabs>
        <w:ind w:left="3600" w:hanging="360"/>
      </w:pPr>
      <w:rPr>
        <w:rFonts w:ascii="Arial" w:hAnsi="Arial" w:hint="default"/>
      </w:rPr>
    </w:lvl>
    <w:lvl w:ilvl="5" w:tplc="0B564BE0" w:tentative="1">
      <w:start w:val="1"/>
      <w:numFmt w:val="bullet"/>
      <w:lvlText w:val="•"/>
      <w:lvlJc w:val="left"/>
      <w:pPr>
        <w:tabs>
          <w:tab w:val="num" w:pos="4320"/>
        </w:tabs>
        <w:ind w:left="4320" w:hanging="360"/>
      </w:pPr>
      <w:rPr>
        <w:rFonts w:ascii="Arial" w:hAnsi="Arial" w:hint="default"/>
      </w:rPr>
    </w:lvl>
    <w:lvl w:ilvl="6" w:tplc="5B2646EA" w:tentative="1">
      <w:start w:val="1"/>
      <w:numFmt w:val="bullet"/>
      <w:lvlText w:val="•"/>
      <w:lvlJc w:val="left"/>
      <w:pPr>
        <w:tabs>
          <w:tab w:val="num" w:pos="5040"/>
        </w:tabs>
        <w:ind w:left="5040" w:hanging="360"/>
      </w:pPr>
      <w:rPr>
        <w:rFonts w:ascii="Arial" w:hAnsi="Arial" w:hint="default"/>
      </w:rPr>
    </w:lvl>
    <w:lvl w:ilvl="7" w:tplc="098EEC80" w:tentative="1">
      <w:start w:val="1"/>
      <w:numFmt w:val="bullet"/>
      <w:lvlText w:val="•"/>
      <w:lvlJc w:val="left"/>
      <w:pPr>
        <w:tabs>
          <w:tab w:val="num" w:pos="5760"/>
        </w:tabs>
        <w:ind w:left="5760" w:hanging="360"/>
      </w:pPr>
      <w:rPr>
        <w:rFonts w:ascii="Arial" w:hAnsi="Arial" w:hint="default"/>
      </w:rPr>
    </w:lvl>
    <w:lvl w:ilvl="8" w:tplc="A7E81BB0" w:tentative="1">
      <w:start w:val="1"/>
      <w:numFmt w:val="bullet"/>
      <w:lvlText w:val="•"/>
      <w:lvlJc w:val="left"/>
      <w:pPr>
        <w:tabs>
          <w:tab w:val="num" w:pos="6480"/>
        </w:tabs>
        <w:ind w:left="6480" w:hanging="360"/>
      </w:pPr>
      <w:rPr>
        <w:rFonts w:ascii="Arial" w:hAnsi="Arial" w:hint="default"/>
      </w:rPr>
    </w:lvl>
  </w:abstractNum>
  <w:abstractNum w:abstractNumId="52">
    <w:nsid w:val="68391AEA"/>
    <w:multiLevelType w:val="multilevel"/>
    <w:tmpl w:val="7E982B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8455FAD"/>
    <w:multiLevelType w:val="hybridMultilevel"/>
    <w:tmpl w:val="58B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A4E0F24"/>
    <w:multiLevelType w:val="hybridMultilevel"/>
    <w:tmpl w:val="18D88786"/>
    <w:lvl w:ilvl="0" w:tplc="0C090001">
      <w:start w:val="1"/>
      <w:numFmt w:val="bullet"/>
      <w:lvlText w:val=""/>
      <w:lvlJc w:val="left"/>
      <w:pPr>
        <w:ind w:left="720" w:hanging="360"/>
      </w:pPr>
      <w:rPr>
        <w:rFonts w:ascii="Symbol" w:hAnsi="Symbol" w:hint="default"/>
      </w:rPr>
    </w:lvl>
    <w:lvl w:ilvl="1" w:tplc="B2423128">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BBD0F3A"/>
    <w:multiLevelType w:val="hybridMultilevel"/>
    <w:tmpl w:val="DE54E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nsid w:val="6CE25A06"/>
    <w:multiLevelType w:val="hybridMultilevel"/>
    <w:tmpl w:val="BE149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D582B01"/>
    <w:multiLevelType w:val="hybridMultilevel"/>
    <w:tmpl w:val="23F017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6FB13952"/>
    <w:multiLevelType w:val="hybridMultilevel"/>
    <w:tmpl w:val="4D2E3B9C"/>
    <w:lvl w:ilvl="0" w:tplc="3BBE5BC6">
      <w:start w:val="1"/>
      <w:numFmt w:val="bullet"/>
      <w:pStyle w:val="TableList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nsid w:val="73512AC1"/>
    <w:multiLevelType w:val="hybridMultilevel"/>
    <w:tmpl w:val="B95C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5F50F7C"/>
    <w:multiLevelType w:val="hybridMultilevel"/>
    <w:tmpl w:val="915CE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6474186"/>
    <w:multiLevelType w:val="hybridMultilevel"/>
    <w:tmpl w:val="93AA44CE"/>
    <w:lvl w:ilvl="0" w:tplc="14C07BFA">
      <w:start w:val="1"/>
      <w:numFmt w:val="lowerRoman"/>
      <w:lvlText w:val="%1)"/>
      <w:lvlJc w:val="left"/>
      <w:pPr>
        <w:ind w:left="788" w:hanging="72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62">
    <w:nsid w:val="76A026D0"/>
    <w:multiLevelType w:val="hybridMultilevel"/>
    <w:tmpl w:val="CF581F36"/>
    <w:lvl w:ilvl="0" w:tplc="D7823A18">
      <w:start w:val="1"/>
      <w:numFmt w:val="bullet"/>
      <w:pStyle w:val="BulletedText"/>
      <w:lvlText w:val=""/>
      <w:lvlJc w:val="left"/>
      <w:pPr>
        <w:ind w:left="717" w:hanging="360"/>
      </w:pPr>
      <w:rPr>
        <w:rFonts w:ascii="Symbol" w:hAnsi="Symbol" w:hint="default"/>
        <w:color w:val="808080" w:themeColor="background1" w:themeShade="8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nsid w:val="76B975C1"/>
    <w:multiLevelType w:val="hybridMultilevel"/>
    <w:tmpl w:val="AB10F194"/>
    <w:lvl w:ilvl="0" w:tplc="E1AC0296">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84D033C"/>
    <w:multiLevelType w:val="multilevel"/>
    <w:tmpl w:val="4DC0493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79615F51"/>
    <w:multiLevelType w:val="hybridMultilevel"/>
    <w:tmpl w:val="EAAE9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D812194"/>
    <w:multiLevelType w:val="hybridMultilevel"/>
    <w:tmpl w:val="DE26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ED2095B"/>
    <w:multiLevelType w:val="multilevel"/>
    <w:tmpl w:val="351CC7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25"/>
  </w:num>
  <w:num w:numId="3">
    <w:abstractNumId w:val="6"/>
  </w:num>
  <w:num w:numId="4">
    <w:abstractNumId w:val="64"/>
  </w:num>
  <w:num w:numId="5">
    <w:abstractNumId w:val="24"/>
  </w:num>
  <w:num w:numId="6">
    <w:abstractNumId w:val="39"/>
  </w:num>
  <w:num w:numId="7">
    <w:abstractNumId w:val="26"/>
  </w:num>
  <w:num w:numId="8">
    <w:abstractNumId w:val="50"/>
  </w:num>
  <w:num w:numId="9">
    <w:abstractNumId w:val="62"/>
  </w:num>
  <w:num w:numId="10">
    <w:abstractNumId w:val="8"/>
  </w:num>
  <w:num w:numId="11">
    <w:abstractNumId w:val="52"/>
  </w:num>
  <w:num w:numId="12">
    <w:abstractNumId w:val="46"/>
  </w:num>
  <w:num w:numId="13">
    <w:abstractNumId w:val="63"/>
  </w:num>
  <w:num w:numId="14">
    <w:abstractNumId w:val="32"/>
  </w:num>
  <w:num w:numId="15">
    <w:abstractNumId w:val="28"/>
  </w:num>
  <w:num w:numId="16">
    <w:abstractNumId w:val="36"/>
  </w:num>
  <w:num w:numId="17">
    <w:abstractNumId w:val="21"/>
  </w:num>
  <w:num w:numId="18">
    <w:abstractNumId w:val="30"/>
  </w:num>
  <w:num w:numId="19">
    <w:abstractNumId w:val="56"/>
  </w:num>
  <w:num w:numId="20">
    <w:abstractNumId w:val="61"/>
  </w:num>
  <w:num w:numId="21">
    <w:abstractNumId w:val="42"/>
  </w:num>
  <w:num w:numId="22">
    <w:abstractNumId w:val="2"/>
  </w:num>
  <w:num w:numId="23">
    <w:abstractNumId w:val="35"/>
  </w:num>
  <w:num w:numId="24">
    <w:abstractNumId w:val="48"/>
  </w:num>
  <w:num w:numId="25">
    <w:abstractNumId w:val="37"/>
  </w:num>
  <w:num w:numId="26">
    <w:abstractNumId w:val="59"/>
  </w:num>
  <w:num w:numId="27">
    <w:abstractNumId w:val="33"/>
  </w:num>
  <w:num w:numId="28">
    <w:abstractNumId w:val="18"/>
  </w:num>
  <w:num w:numId="29">
    <w:abstractNumId w:val="1"/>
  </w:num>
  <w:num w:numId="30">
    <w:abstractNumId w:val="66"/>
  </w:num>
  <w:num w:numId="31">
    <w:abstractNumId w:val="14"/>
  </w:num>
  <w:num w:numId="32">
    <w:abstractNumId w:val="12"/>
  </w:num>
  <w:num w:numId="33">
    <w:abstractNumId w:val="60"/>
  </w:num>
  <w:num w:numId="34">
    <w:abstractNumId w:val="27"/>
  </w:num>
  <w:num w:numId="35">
    <w:abstractNumId w:val="10"/>
  </w:num>
  <w:num w:numId="36">
    <w:abstractNumId w:val="34"/>
  </w:num>
  <w:num w:numId="37">
    <w:abstractNumId w:val="54"/>
  </w:num>
  <w:num w:numId="38">
    <w:abstractNumId w:val="58"/>
  </w:num>
  <w:num w:numId="39">
    <w:abstractNumId w:val="3"/>
  </w:num>
  <w:num w:numId="40">
    <w:abstractNumId w:val="53"/>
  </w:num>
  <w:num w:numId="41">
    <w:abstractNumId w:val="13"/>
  </w:num>
  <w:num w:numId="42">
    <w:abstractNumId w:val="16"/>
  </w:num>
  <w:num w:numId="43">
    <w:abstractNumId w:val="15"/>
  </w:num>
  <w:num w:numId="44">
    <w:abstractNumId w:val="44"/>
  </w:num>
  <w:num w:numId="45">
    <w:abstractNumId w:val="17"/>
  </w:num>
  <w:num w:numId="46">
    <w:abstractNumId w:val="43"/>
  </w:num>
  <w:num w:numId="47">
    <w:abstractNumId w:val="38"/>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num>
  <w:num w:numId="50">
    <w:abstractNumId w:val="65"/>
  </w:num>
  <w:num w:numId="51">
    <w:abstractNumId w:val="47"/>
  </w:num>
  <w:num w:numId="52">
    <w:abstractNumId w:val="19"/>
  </w:num>
  <w:num w:numId="53">
    <w:abstractNumId w:val="45"/>
  </w:num>
  <w:num w:numId="54">
    <w:abstractNumId w:val="7"/>
  </w:num>
  <w:num w:numId="55">
    <w:abstractNumId w:val="0"/>
  </w:num>
  <w:num w:numId="56">
    <w:abstractNumId w:val="22"/>
  </w:num>
  <w:num w:numId="57">
    <w:abstractNumId w:val="51"/>
  </w:num>
  <w:num w:numId="58">
    <w:abstractNumId w:val="23"/>
  </w:num>
  <w:num w:numId="59">
    <w:abstractNumId w:val="9"/>
  </w:num>
  <w:num w:numId="60">
    <w:abstractNumId w:val="67"/>
  </w:num>
  <w:num w:numId="61">
    <w:abstractNumId w:val="55"/>
  </w:num>
  <w:num w:numId="62">
    <w:abstractNumId w:val="31"/>
  </w:num>
  <w:num w:numId="63">
    <w:abstractNumId w:val="41"/>
  </w:num>
  <w:num w:numId="64">
    <w:abstractNumId w:val="29"/>
  </w:num>
  <w:num w:numId="65">
    <w:abstractNumId w:val="5"/>
  </w:num>
  <w:num w:numId="66">
    <w:abstractNumId w:val="11"/>
  </w:num>
  <w:num w:numId="67">
    <w:abstractNumId w:val="57"/>
  </w:num>
  <w:num w:numId="68">
    <w:abstractNumId w:val="4"/>
  </w:num>
  <w:num w:numId="69">
    <w:abstractNumId w:val="40"/>
  </w:num>
  <w:num w:numId="70">
    <w:abstractNumId w:val="2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FC"/>
    <w:rsid w:val="00000651"/>
    <w:rsid w:val="00003C04"/>
    <w:rsid w:val="00004CA7"/>
    <w:rsid w:val="00004EAA"/>
    <w:rsid w:val="00005EA7"/>
    <w:rsid w:val="00005FF6"/>
    <w:rsid w:val="000067A2"/>
    <w:rsid w:val="00011A73"/>
    <w:rsid w:val="0001234E"/>
    <w:rsid w:val="0001320E"/>
    <w:rsid w:val="00016851"/>
    <w:rsid w:val="00020CFD"/>
    <w:rsid w:val="0002122B"/>
    <w:rsid w:val="0002421F"/>
    <w:rsid w:val="00025995"/>
    <w:rsid w:val="00026862"/>
    <w:rsid w:val="0002707E"/>
    <w:rsid w:val="00030EEB"/>
    <w:rsid w:val="0003380E"/>
    <w:rsid w:val="00033E7B"/>
    <w:rsid w:val="000341A6"/>
    <w:rsid w:val="0003656E"/>
    <w:rsid w:val="00041AB0"/>
    <w:rsid w:val="0004243F"/>
    <w:rsid w:val="000436E8"/>
    <w:rsid w:val="00043976"/>
    <w:rsid w:val="00044FBE"/>
    <w:rsid w:val="000450F2"/>
    <w:rsid w:val="00046A2C"/>
    <w:rsid w:val="00047E33"/>
    <w:rsid w:val="0005294F"/>
    <w:rsid w:val="000530C4"/>
    <w:rsid w:val="0005355D"/>
    <w:rsid w:val="0005485F"/>
    <w:rsid w:val="0005541D"/>
    <w:rsid w:val="000567EA"/>
    <w:rsid w:val="00057C86"/>
    <w:rsid w:val="0006098C"/>
    <w:rsid w:val="00060CB7"/>
    <w:rsid w:val="00061167"/>
    <w:rsid w:val="000621CF"/>
    <w:rsid w:val="000625E5"/>
    <w:rsid w:val="00065DE2"/>
    <w:rsid w:val="00066354"/>
    <w:rsid w:val="00067F1E"/>
    <w:rsid w:val="00070F1C"/>
    <w:rsid w:val="00071469"/>
    <w:rsid w:val="00072D6E"/>
    <w:rsid w:val="0007337D"/>
    <w:rsid w:val="000736CD"/>
    <w:rsid w:val="000755DA"/>
    <w:rsid w:val="00076979"/>
    <w:rsid w:val="00076F5C"/>
    <w:rsid w:val="000817A2"/>
    <w:rsid w:val="00084A2F"/>
    <w:rsid w:val="00085EFA"/>
    <w:rsid w:val="00086550"/>
    <w:rsid w:val="00087E89"/>
    <w:rsid w:val="0009096F"/>
    <w:rsid w:val="00093A8E"/>
    <w:rsid w:val="000958A4"/>
    <w:rsid w:val="00095D33"/>
    <w:rsid w:val="000962DE"/>
    <w:rsid w:val="0009698C"/>
    <w:rsid w:val="000A044C"/>
    <w:rsid w:val="000A218A"/>
    <w:rsid w:val="000A2DD3"/>
    <w:rsid w:val="000A4EC5"/>
    <w:rsid w:val="000A4EF5"/>
    <w:rsid w:val="000A5D6E"/>
    <w:rsid w:val="000A6783"/>
    <w:rsid w:val="000A760F"/>
    <w:rsid w:val="000B1264"/>
    <w:rsid w:val="000B1337"/>
    <w:rsid w:val="000B37C4"/>
    <w:rsid w:val="000B45F5"/>
    <w:rsid w:val="000B55AD"/>
    <w:rsid w:val="000B583B"/>
    <w:rsid w:val="000B61E8"/>
    <w:rsid w:val="000B71B2"/>
    <w:rsid w:val="000C20B6"/>
    <w:rsid w:val="000C3DA2"/>
    <w:rsid w:val="000C5692"/>
    <w:rsid w:val="000D0834"/>
    <w:rsid w:val="000D2C3E"/>
    <w:rsid w:val="000D62BC"/>
    <w:rsid w:val="000D642F"/>
    <w:rsid w:val="000E08D3"/>
    <w:rsid w:val="000E16CE"/>
    <w:rsid w:val="000E1881"/>
    <w:rsid w:val="000E1ACA"/>
    <w:rsid w:val="000E218B"/>
    <w:rsid w:val="000E2D9B"/>
    <w:rsid w:val="000E7404"/>
    <w:rsid w:val="000F057E"/>
    <w:rsid w:val="000F1953"/>
    <w:rsid w:val="000F219B"/>
    <w:rsid w:val="000F2DC8"/>
    <w:rsid w:val="000F3219"/>
    <w:rsid w:val="000F4F08"/>
    <w:rsid w:val="000F70BA"/>
    <w:rsid w:val="00100F63"/>
    <w:rsid w:val="00101494"/>
    <w:rsid w:val="00102532"/>
    <w:rsid w:val="00103FB2"/>
    <w:rsid w:val="00104BE4"/>
    <w:rsid w:val="00107388"/>
    <w:rsid w:val="001074AD"/>
    <w:rsid w:val="00112A9E"/>
    <w:rsid w:val="001165F8"/>
    <w:rsid w:val="00123AFF"/>
    <w:rsid w:val="001242A7"/>
    <w:rsid w:val="00124D06"/>
    <w:rsid w:val="001269A5"/>
    <w:rsid w:val="00126AB9"/>
    <w:rsid w:val="00130C18"/>
    <w:rsid w:val="00130F04"/>
    <w:rsid w:val="001324EA"/>
    <w:rsid w:val="00132525"/>
    <w:rsid w:val="001333AC"/>
    <w:rsid w:val="00134459"/>
    <w:rsid w:val="001362A8"/>
    <w:rsid w:val="00137C54"/>
    <w:rsid w:val="00141854"/>
    <w:rsid w:val="0015045C"/>
    <w:rsid w:val="00151FCA"/>
    <w:rsid w:val="00152FF9"/>
    <w:rsid w:val="00154058"/>
    <w:rsid w:val="00155522"/>
    <w:rsid w:val="00155930"/>
    <w:rsid w:val="0015716C"/>
    <w:rsid w:val="00157A58"/>
    <w:rsid w:val="0016195F"/>
    <w:rsid w:val="001627D8"/>
    <w:rsid w:val="0016581E"/>
    <w:rsid w:val="00166411"/>
    <w:rsid w:val="001673F6"/>
    <w:rsid w:val="0017064F"/>
    <w:rsid w:val="00170709"/>
    <w:rsid w:val="00171202"/>
    <w:rsid w:val="001721C1"/>
    <w:rsid w:val="00173177"/>
    <w:rsid w:val="0017328A"/>
    <w:rsid w:val="001743D7"/>
    <w:rsid w:val="0017465B"/>
    <w:rsid w:val="001749AA"/>
    <w:rsid w:val="0017513D"/>
    <w:rsid w:val="001760F2"/>
    <w:rsid w:val="001779A5"/>
    <w:rsid w:val="0018130C"/>
    <w:rsid w:val="00181E87"/>
    <w:rsid w:val="001850F7"/>
    <w:rsid w:val="001861EA"/>
    <w:rsid w:val="0018774A"/>
    <w:rsid w:val="00187F42"/>
    <w:rsid w:val="00190E45"/>
    <w:rsid w:val="001931AB"/>
    <w:rsid w:val="0019514F"/>
    <w:rsid w:val="00195177"/>
    <w:rsid w:val="00195A82"/>
    <w:rsid w:val="001A0D53"/>
    <w:rsid w:val="001A1B50"/>
    <w:rsid w:val="001A2768"/>
    <w:rsid w:val="001A3287"/>
    <w:rsid w:val="001B040B"/>
    <w:rsid w:val="001B0AC0"/>
    <w:rsid w:val="001B364A"/>
    <w:rsid w:val="001B3AEA"/>
    <w:rsid w:val="001B3BE2"/>
    <w:rsid w:val="001B40CF"/>
    <w:rsid w:val="001B676C"/>
    <w:rsid w:val="001B67C5"/>
    <w:rsid w:val="001B6808"/>
    <w:rsid w:val="001C1287"/>
    <w:rsid w:val="001C13E4"/>
    <w:rsid w:val="001C1D0B"/>
    <w:rsid w:val="001C2459"/>
    <w:rsid w:val="001C41D3"/>
    <w:rsid w:val="001C51F9"/>
    <w:rsid w:val="001C529F"/>
    <w:rsid w:val="001C57BC"/>
    <w:rsid w:val="001C57D5"/>
    <w:rsid w:val="001D0E65"/>
    <w:rsid w:val="001D3CDC"/>
    <w:rsid w:val="001D5023"/>
    <w:rsid w:val="001D7955"/>
    <w:rsid w:val="001D7D1E"/>
    <w:rsid w:val="001E0151"/>
    <w:rsid w:val="001E0635"/>
    <w:rsid w:val="001E2341"/>
    <w:rsid w:val="001E5C8E"/>
    <w:rsid w:val="001E6CF6"/>
    <w:rsid w:val="001F3652"/>
    <w:rsid w:val="001F38C5"/>
    <w:rsid w:val="001F3ECE"/>
    <w:rsid w:val="001F5A70"/>
    <w:rsid w:val="001F66B5"/>
    <w:rsid w:val="00201F9D"/>
    <w:rsid w:val="00202BF4"/>
    <w:rsid w:val="00205429"/>
    <w:rsid w:val="00210107"/>
    <w:rsid w:val="0021248D"/>
    <w:rsid w:val="00213B7D"/>
    <w:rsid w:val="002141E2"/>
    <w:rsid w:val="002166F1"/>
    <w:rsid w:val="00222026"/>
    <w:rsid w:val="002226C1"/>
    <w:rsid w:val="00223C27"/>
    <w:rsid w:val="0022525F"/>
    <w:rsid w:val="00225FFC"/>
    <w:rsid w:val="00226005"/>
    <w:rsid w:val="00226575"/>
    <w:rsid w:val="002265C0"/>
    <w:rsid w:val="0023470C"/>
    <w:rsid w:val="00234AFA"/>
    <w:rsid w:val="00235669"/>
    <w:rsid w:val="002357AC"/>
    <w:rsid w:val="0023789F"/>
    <w:rsid w:val="0024134D"/>
    <w:rsid w:val="00242274"/>
    <w:rsid w:val="00243141"/>
    <w:rsid w:val="00243457"/>
    <w:rsid w:val="002440FF"/>
    <w:rsid w:val="00245491"/>
    <w:rsid w:val="00245C2D"/>
    <w:rsid w:val="00246A45"/>
    <w:rsid w:val="002476D3"/>
    <w:rsid w:val="00247EB0"/>
    <w:rsid w:val="00250976"/>
    <w:rsid w:val="00253245"/>
    <w:rsid w:val="00253685"/>
    <w:rsid w:val="0025423A"/>
    <w:rsid w:val="0025506D"/>
    <w:rsid w:val="0025543F"/>
    <w:rsid w:val="00257158"/>
    <w:rsid w:val="00261729"/>
    <w:rsid w:val="00261943"/>
    <w:rsid w:val="00261BE4"/>
    <w:rsid w:val="002621C3"/>
    <w:rsid w:val="00263628"/>
    <w:rsid w:val="00263B9F"/>
    <w:rsid w:val="00265E76"/>
    <w:rsid w:val="00270E23"/>
    <w:rsid w:val="002714BC"/>
    <w:rsid w:val="002726F9"/>
    <w:rsid w:val="002729A6"/>
    <w:rsid w:val="0027371B"/>
    <w:rsid w:val="0027484B"/>
    <w:rsid w:val="002755E9"/>
    <w:rsid w:val="00275846"/>
    <w:rsid w:val="00276274"/>
    <w:rsid w:val="002768D4"/>
    <w:rsid w:val="002771FA"/>
    <w:rsid w:val="0028115F"/>
    <w:rsid w:val="00281789"/>
    <w:rsid w:val="00283104"/>
    <w:rsid w:val="002831C3"/>
    <w:rsid w:val="00284998"/>
    <w:rsid w:val="00284BD5"/>
    <w:rsid w:val="00290B1B"/>
    <w:rsid w:val="002912DA"/>
    <w:rsid w:val="0029178E"/>
    <w:rsid w:val="00292629"/>
    <w:rsid w:val="00292E68"/>
    <w:rsid w:val="00292F95"/>
    <w:rsid w:val="00293073"/>
    <w:rsid w:val="00293948"/>
    <w:rsid w:val="00293BB9"/>
    <w:rsid w:val="00294098"/>
    <w:rsid w:val="002940FF"/>
    <w:rsid w:val="00295A92"/>
    <w:rsid w:val="002966B8"/>
    <w:rsid w:val="002A03B3"/>
    <w:rsid w:val="002A0F0E"/>
    <w:rsid w:val="002A32F7"/>
    <w:rsid w:val="002A3E2D"/>
    <w:rsid w:val="002A53E0"/>
    <w:rsid w:val="002A6250"/>
    <w:rsid w:val="002A773C"/>
    <w:rsid w:val="002B1392"/>
    <w:rsid w:val="002B2672"/>
    <w:rsid w:val="002B3985"/>
    <w:rsid w:val="002B456B"/>
    <w:rsid w:val="002B583D"/>
    <w:rsid w:val="002B6790"/>
    <w:rsid w:val="002B6DF9"/>
    <w:rsid w:val="002B7F87"/>
    <w:rsid w:val="002C1AAE"/>
    <w:rsid w:val="002C2497"/>
    <w:rsid w:val="002C2AC6"/>
    <w:rsid w:val="002C2AEB"/>
    <w:rsid w:val="002C33B7"/>
    <w:rsid w:val="002C3A77"/>
    <w:rsid w:val="002C57A0"/>
    <w:rsid w:val="002C5EA3"/>
    <w:rsid w:val="002C7E57"/>
    <w:rsid w:val="002D01F3"/>
    <w:rsid w:val="002D079E"/>
    <w:rsid w:val="002D0866"/>
    <w:rsid w:val="002D1903"/>
    <w:rsid w:val="002D212A"/>
    <w:rsid w:val="002D2536"/>
    <w:rsid w:val="002D371A"/>
    <w:rsid w:val="002D526D"/>
    <w:rsid w:val="002D5829"/>
    <w:rsid w:val="002D6B82"/>
    <w:rsid w:val="002E00FB"/>
    <w:rsid w:val="002E04CC"/>
    <w:rsid w:val="002E4099"/>
    <w:rsid w:val="002E5125"/>
    <w:rsid w:val="002E6615"/>
    <w:rsid w:val="002E7C67"/>
    <w:rsid w:val="002F07F0"/>
    <w:rsid w:val="002F22CD"/>
    <w:rsid w:val="002F2588"/>
    <w:rsid w:val="002F3790"/>
    <w:rsid w:val="002F4579"/>
    <w:rsid w:val="002F4D23"/>
    <w:rsid w:val="002F5F07"/>
    <w:rsid w:val="002F650D"/>
    <w:rsid w:val="002F78FA"/>
    <w:rsid w:val="003007AC"/>
    <w:rsid w:val="00300A6B"/>
    <w:rsid w:val="0030167E"/>
    <w:rsid w:val="00306789"/>
    <w:rsid w:val="00311578"/>
    <w:rsid w:val="0031280F"/>
    <w:rsid w:val="00312D13"/>
    <w:rsid w:val="0031358B"/>
    <w:rsid w:val="0031513F"/>
    <w:rsid w:val="0031587A"/>
    <w:rsid w:val="0031656E"/>
    <w:rsid w:val="0032077E"/>
    <w:rsid w:val="003217C7"/>
    <w:rsid w:val="0032359A"/>
    <w:rsid w:val="00324B90"/>
    <w:rsid w:val="00325375"/>
    <w:rsid w:val="00325396"/>
    <w:rsid w:val="00326329"/>
    <w:rsid w:val="00326EA2"/>
    <w:rsid w:val="0033089A"/>
    <w:rsid w:val="00332014"/>
    <w:rsid w:val="0033361D"/>
    <w:rsid w:val="003339B6"/>
    <w:rsid w:val="00334F15"/>
    <w:rsid w:val="003359A1"/>
    <w:rsid w:val="003371BB"/>
    <w:rsid w:val="00337D8B"/>
    <w:rsid w:val="00342153"/>
    <w:rsid w:val="00342311"/>
    <w:rsid w:val="0034257C"/>
    <w:rsid w:val="00342935"/>
    <w:rsid w:val="00344358"/>
    <w:rsid w:val="00346E42"/>
    <w:rsid w:val="00346FDF"/>
    <w:rsid w:val="00350950"/>
    <w:rsid w:val="00353CDC"/>
    <w:rsid w:val="00353F4E"/>
    <w:rsid w:val="00354BD6"/>
    <w:rsid w:val="00355523"/>
    <w:rsid w:val="00356F88"/>
    <w:rsid w:val="00357654"/>
    <w:rsid w:val="003579C5"/>
    <w:rsid w:val="0036024B"/>
    <w:rsid w:val="003614A9"/>
    <w:rsid w:val="00364A57"/>
    <w:rsid w:val="00364ABE"/>
    <w:rsid w:val="00365F52"/>
    <w:rsid w:val="00366D27"/>
    <w:rsid w:val="00371A53"/>
    <w:rsid w:val="0037258B"/>
    <w:rsid w:val="003729A6"/>
    <w:rsid w:val="00372BC5"/>
    <w:rsid w:val="00375CA0"/>
    <w:rsid w:val="0037694F"/>
    <w:rsid w:val="00377951"/>
    <w:rsid w:val="00380EED"/>
    <w:rsid w:val="00381098"/>
    <w:rsid w:val="00381A89"/>
    <w:rsid w:val="00382714"/>
    <w:rsid w:val="00384B73"/>
    <w:rsid w:val="00390731"/>
    <w:rsid w:val="003908FD"/>
    <w:rsid w:val="00392EA4"/>
    <w:rsid w:val="00393251"/>
    <w:rsid w:val="00393397"/>
    <w:rsid w:val="0039363C"/>
    <w:rsid w:val="0039390A"/>
    <w:rsid w:val="0039579E"/>
    <w:rsid w:val="003960D0"/>
    <w:rsid w:val="00396A4B"/>
    <w:rsid w:val="00396D24"/>
    <w:rsid w:val="003976EA"/>
    <w:rsid w:val="00397776"/>
    <w:rsid w:val="00397F16"/>
    <w:rsid w:val="003A0E12"/>
    <w:rsid w:val="003A10A0"/>
    <w:rsid w:val="003A313B"/>
    <w:rsid w:val="003A3AAA"/>
    <w:rsid w:val="003A6B4F"/>
    <w:rsid w:val="003A6CDE"/>
    <w:rsid w:val="003A7CD9"/>
    <w:rsid w:val="003B094D"/>
    <w:rsid w:val="003B14C1"/>
    <w:rsid w:val="003B1ECF"/>
    <w:rsid w:val="003B4C83"/>
    <w:rsid w:val="003B62D5"/>
    <w:rsid w:val="003B6A25"/>
    <w:rsid w:val="003B79BF"/>
    <w:rsid w:val="003C080F"/>
    <w:rsid w:val="003C1C0A"/>
    <w:rsid w:val="003C3DA0"/>
    <w:rsid w:val="003C4494"/>
    <w:rsid w:val="003C65AA"/>
    <w:rsid w:val="003C7310"/>
    <w:rsid w:val="003D0773"/>
    <w:rsid w:val="003D0FC4"/>
    <w:rsid w:val="003D42FA"/>
    <w:rsid w:val="003D5B7B"/>
    <w:rsid w:val="003D69CD"/>
    <w:rsid w:val="003D6C45"/>
    <w:rsid w:val="003D77C6"/>
    <w:rsid w:val="003E2FFC"/>
    <w:rsid w:val="003E617F"/>
    <w:rsid w:val="003F0DD1"/>
    <w:rsid w:val="003F1C24"/>
    <w:rsid w:val="003F22C4"/>
    <w:rsid w:val="003F33B4"/>
    <w:rsid w:val="003F422E"/>
    <w:rsid w:val="003F4738"/>
    <w:rsid w:val="003F52B1"/>
    <w:rsid w:val="003F5D93"/>
    <w:rsid w:val="003F7BE4"/>
    <w:rsid w:val="004036EE"/>
    <w:rsid w:val="00403EE8"/>
    <w:rsid w:val="00405008"/>
    <w:rsid w:val="004051DB"/>
    <w:rsid w:val="0040635B"/>
    <w:rsid w:val="0040689A"/>
    <w:rsid w:val="00411A82"/>
    <w:rsid w:val="00411F3E"/>
    <w:rsid w:val="00412237"/>
    <w:rsid w:val="00415B30"/>
    <w:rsid w:val="00416EEF"/>
    <w:rsid w:val="00417ABD"/>
    <w:rsid w:val="00417D6E"/>
    <w:rsid w:val="004207EA"/>
    <w:rsid w:val="0042082A"/>
    <w:rsid w:val="004234FF"/>
    <w:rsid w:val="0042376B"/>
    <w:rsid w:val="0042389B"/>
    <w:rsid w:val="00427AA8"/>
    <w:rsid w:val="0043075D"/>
    <w:rsid w:val="004328AB"/>
    <w:rsid w:val="00433B90"/>
    <w:rsid w:val="004364E9"/>
    <w:rsid w:val="00437286"/>
    <w:rsid w:val="00440B1B"/>
    <w:rsid w:val="004411A9"/>
    <w:rsid w:val="0044261C"/>
    <w:rsid w:val="00443B63"/>
    <w:rsid w:val="004446BE"/>
    <w:rsid w:val="00444E25"/>
    <w:rsid w:val="00445297"/>
    <w:rsid w:val="00446353"/>
    <w:rsid w:val="00447D7B"/>
    <w:rsid w:val="00450F41"/>
    <w:rsid w:val="004570E5"/>
    <w:rsid w:val="00457301"/>
    <w:rsid w:val="00457610"/>
    <w:rsid w:val="0046025D"/>
    <w:rsid w:val="00461260"/>
    <w:rsid w:val="00461D9B"/>
    <w:rsid w:val="00462B43"/>
    <w:rsid w:val="004656C4"/>
    <w:rsid w:val="00466E92"/>
    <w:rsid w:val="00471FAE"/>
    <w:rsid w:val="00473502"/>
    <w:rsid w:val="00473E8F"/>
    <w:rsid w:val="00475197"/>
    <w:rsid w:val="004752A8"/>
    <w:rsid w:val="004767DB"/>
    <w:rsid w:val="0047718F"/>
    <w:rsid w:val="00480328"/>
    <w:rsid w:val="004810A1"/>
    <w:rsid w:val="00482718"/>
    <w:rsid w:val="00484411"/>
    <w:rsid w:val="00484E2E"/>
    <w:rsid w:val="00485F75"/>
    <w:rsid w:val="004875A5"/>
    <w:rsid w:val="00487D6E"/>
    <w:rsid w:val="00487FEB"/>
    <w:rsid w:val="00490903"/>
    <w:rsid w:val="0049266C"/>
    <w:rsid w:val="0049284F"/>
    <w:rsid w:val="004953B3"/>
    <w:rsid w:val="00495DDF"/>
    <w:rsid w:val="00496DEA"/>
    <w:rsid w:val="004A04AE"/>
    <w:rsid w:val="004A0E5C"/>
    <w:rsid w:val="004A1CD2"/>
    <w:rsid w:val="004A355F"/>
    <w:rsid w:val="004A3ACC"/>
    <w:rsid w:val="004A3F34"/>
    <w:rsid w:val="004A64BD"/>
    <w:rsid w:val="004A65C7"/>
    <w:rsid w:val="004A71A6"/>
    <w:rsid w:val="004A7BD9"/>
    <w:rsid w:val="004B01BD"/>
    <w:rsid w:val="004B1A6B"/>
    <w:rsid w:val="004B3D34"/>
    <w:rsid w:val="004B481B"/>
    <w:rsid w:val="004B5F25"/>
    <w:rsid w:val="004B6033"/>
    <w:rsid w:val="004B66C9"/>
    <w:rsid w:val="004B6793"/>
    <w:rsid w:val="004B7674"/>
    <w:rsid w:val="004B7AFB"/>
    <w:rsid w:val="004B7EF3"/>
    <w:rsid w:val="004B7FAA"/>
    <w:rsid w:val="004C0770"/>
    <w:rsid w:val="004C179E"/>
    <w:rsid w:val="004C4A83"/>
    <w:rsid w:val="004C505D"/>
    <w:rsid w:val="004C69E6"/>
    <w:rsid w:val="004C6AB2"/>
    <w:rsid w:val="004C70AD"/>
    <w:rsid w:val="004C7520"/>
    <w:rsid w:val="004C79B9"/>
    <w:rsid w:val="004D0C56"/>
    <w:rsid w:val="004D2D14"/>
    <w:rsid w:val="004D406E"/>
    <w:rsid w:val="004D7D52"/>
    <w:rsid w:val="004E0BA5"/>
    <w:rsid w:val="004E23FC"/>
    <w:rsid w:val="004E30FC"/>
    <w:rsid w:val="004E316C"/>
    <w:rsid w:val="004E3200"/>
    <w:rsid w:val="004E3C4C"/>
    <w:rsid w:val="004E4B7B"/>
    <w:rsid w:val="004E501B"/>
    <w:rsid w:val="004E781B"/>
    <w:rsid w:val="004F09D5"/>
    <w:rsid w:val="004F1A64"/>
    <w:rsid w:val="004F2CED"/>
    <w:rsid w:val="004F2F1C"/>
    <w:rsid w:val="004F4FC5"/>
    <w:rsid w:val="005019AD"/>
    <w:rsid w:val="0050478F"/>
    <w:rsid w:val="00505065"/>
    <w:rsid w:val="00505E0C"/>
    <w:rsid w:val="00511408"/>
    <w:rsid w:val="0051229E"/>
    <w:rsid w:val="00513AD7"/>
    <w:rsid w:val="00515D23"/>
    <w:rsid w:val="005177DE"/>
    <w:rsid w:val="005203C4"/>
    <w:rsid w:val="0052060A"/>
    <w:rsid w:val="00522F8C"/>
    <w:rsid w:val="0052349D"/>
    <w:rsid w:val="00523784"/>
    <w:rsid w:val="00524955"/>
    <w:rsid w:val="00524B3F"/>
    <w:rsid w:val="00525FE2"/>
    <w:rsid w:val="00527EB9"/>
    <w:rsid w:val="005306D7"/>
    <w:rsid w:val="00533332"/>
    <w:rsid w:val="00533F1A"/>
    <w:rsid w:val="005341A0"/>
    <w:rsid w:val="00535E6A"/>
    <w:rsid w:val="005404BD"/>
    <w:rsid w:val="00542415"/>
    <w:rsid w:val="00542941"/>
    <w:rsid w:val="0054644D"/>
    <w:rsid w:val="00547E3A"/>
    <w:rsid w:val="0055300D"/>
    <w:rsid w:val="005535EE"/>
    <w:rsid w:val="00553E92"/>
    <w:rsid w:val="00553F56"/>
    <w:rsid w:val="005567DB"/>
    <w:rsid w:val="00556C72"/>
    <w:rsid w:val="0056257D"/>
    <w:rsid w:val="0056324C"/>
    <w:rsid w:val="00564837"/>
    <w:rsid w:val="0056486A"/>
    <w:rsid w:val="00567BE9"/>
    <w:rsid w:val="005700C8"/>
    <w:rsid w:val="00570239"/>
    <w:rsid w:val="00570B42"/>
    <w:rsid w:val="00570DB3"/>
    <w:rsid w:val="005714AD"/>
    <w:rsid w:val="00573519"/>
    <w:rsid w:val="00574142"/>
    <w:rsid w:val="00574288"/>
    <w:rsid w:val="00575F18"/>
    <w:rsid w:val="00576879"/>
    <w:rsid w:val="00576E33"/>
    <w:rsid w:val="0058071E"/>
    <w:rsid w:val="005812A1"/>
    <w:rsid w:val="005814BF"/>
    <w:rsid w:val="00583559"/>
    <w:rsid w:val="005846A7"/>
    <w:rsid w:val="005855F8"/>
    <w:rsid w:val="005861E6"/>
    <w:rsid w:val="005876F6"/>
    <w:rsid w:val="0058792B"/>
    <w:rsid w:val="00590175"/>
    <w:rsid w:val="005936F5"/>
    <w:rsid w:val="00593D86"/>
    <w:rsid w:val="00594176"/>
    <w:rsid w:val="00596118"/>
    <w:rsid w:val="00597F74"/>
    <w:rsid w:val="005A04F3"/>
    <w:rsid w:val="005A1A3A"/>
    <w:rsid w:val="005A360A"/>
    <w:rsid w:val="005A368A"/>
    <w:rsid w:val="005A4AD2"/>
    <w:rsid w:val="005A5F65"/>
    <w:rsid w:val="005B162A"/>
    <w:rsid w:val="005B1FB6"/>
    <w:rsid w:val="005B2E16"/>
    <w:rsid w:val="005B4687"/>
    <w:rsid w:val="005B4C0D"/>
    <w:rsid w:val="005B681A"/>
    <w:rsid w:val="005B69E4"/>
    <w:rsid w:val="005C31FB"/>
    <w:rsid w:val="005C3748"/>
    <w:rsid w:val="005C3F3F"/>
    <w:rsid w:val="005C4782"/>
    <w:rsid w:val="005C7383"/>
    <w:rsid w:val="005C74B6"/>
    <w:rsid w:val="005D389F"/>
    <w:rsid w:val="005D3B11"/>
    <w:rsid w:val="005D6E33"/>
    <w:rsid w:val="005D6F45"/>
    <w:rsid w:val="005E2E38"/>
    <w:rsid w:val="005E34C9"/>
    <w:rsid w:val="005E3E1C"/>
    <w:rsid w:val="005E723B"/>
    <w:rsid w:val="005E77B3"/>
    <w:rsid w:val="005F1EE7"/>
    <w:rsid w:val="005F39EF"/>
    <w:rsid w:val="005F484F"/>
    <w:rsid w:val="005F6D9E"/>
    <w:rsid w:val="00600927"/>
    <w:rsid w:val="0060413B"/>
    <w:rsid w:val="00604EAB"/>
    <w:rsid w:val="00606562"/>
    <w:rsid w:val="00610226"/>
    <w:rsid w:val="006116D9"/>
    <w:rsid w:val="0061221B"/>
    <w:rsid w:val="006127E4"/>
    <w:rsid w:val="006135C9"/>
    <w:rsid w:val="00613792"/>
    <w:rsid w:val="0061396E"/>
    <w:rsid w:val="00614A3E"/>
    <w:rsid w:val="00614E46"/>
    <w:rsid w:val="00617398"/>
    <w:rsid w:val="00622A4C"/>
    <w:rsid w:val="006238E0"/>
    <w:rsid w:val="00624539"/>
    <w:rsid w:val="00624FDF"/>
    <w:rsid w:val="006251EC"/>
    <w:rsid w:val="006252A9"/>
    <w:rsid w:val="006257EB"/>
    <w:rsid w:val="006261D4"/>
    <w:rsid w:val="00626287"/>
    <w:rsid w:val="0062640F"/>
    <w:rsid w:val="0062674E"/>
    <w:rsid w:val="0062706B"/>
    <w:rsid w:val="0063076C"/>
    <w:rsid w:val="00631C14"/>
    <w:rsid w:val="0063315B"/>
    <w:rsid w:val="0063563E"/>
    <w:rsid w:val="00636747"/>
    <w:rsid w:val="006412D1"/>
    <w:rsid w:val="00643315"/>
    <w:rsid w:val="006442C0"/>
    <w:rsid w:val="00644944"/>
    <w:rsid w:val="00645CF6"/>
    <w:rsid w:val="0064699A"/>
    <w:rsid w:val="00646EAE"/>
    <w:rsid w:val="00647F11"/>
    <w:rsid w:val="0065003A"/>
    <w:rsid w:val="00651F66"/>
    <w:rsid w:val="006527E4"/>
    <w:rsid w:val="0065362D"/>
    <w:rsid w:val="006553E4"/>
    <w:rsid w:val="006569D0"/>
    <w:rsid w:val="00657991"/>
    <w:rsid w:val="0066023A"/>
    <w:rsid w:val="0066082D"/>
    <w:rsid w:val="00662043"/>
    <w:rsid w:val="0066321D"/>
    <w:rsid w:val="0066363F"/>
    <w:rsid w:val="00663D9E"/>
    <w:rsid w:val="00664374"/>
    <w:rsid w:val="006646BC"/>
    <w:rsid w:val="006650C9"/>
    <w:rsid w:val="006660A5"/>
    <w:rsid w:val="006662DA"/>
    <w:rsid w:val="00666536"/>
    <w:rsid w:val="0067220B"/>
    <w:rsid w:val="00677AF4"/>
    <w:rsid w:val="00680310"/>
    <w:rsid w:val="00681FAC"/>
    <w:rsid w:val="00683A0E"/>
    <w:rsid w:val="0068416F"/>
    <w:rsid w:val="006843BC"/>
    <w:rsid w:val="00685E52"/>
    <w:rsid w:val="00691B53"/>
    <w:rsid w:val="00691BE3"/>
    <w:rsid w:val="00691E68"/>
    <w:rsid w:val="00692398"/>
    <w:rsid w:val="00693377"/>
    <w:rsid w:val="006944CE"/>
    <w:rsid w:val="006946EE"/>
    <w:rsid w:val="00694DF9"/>
    <w:rsid w:val="0069568E"/>
    <w:rsid w:val="00695699"/>
    <w:rsid w:val="00696234"/>
    <w:rsid w:val="0069645C"/>
    <w:rsid w:val="00696797"/>
    <w:rsid w:val="006974FE"/>
    <w:rsid w:val="006A0749"/>
    <w:rsid w:val="006A11E2"/>
    <w:rsid w:val="006A1200"/>
    <w:rsid w:val="006A12BE"/>
    <w:rsid w:val="006A2CCE"/>
    <w:rsid w:val="006A31C7"/>
    <w:rsid w:val="006A4B56"/>
    <w:rsid w:val="006A5063"/>
    <w:rsid w:val="006A5F23"/>
    <w:rsid w:val="006B2592"/>
    <w:rsid w:val="006B4290"/>
    <w:rsid w:val="006B5B94"/>
    <w:rsid w:val="006B5CA7"/>
    <w:rsid w:val="006B788D"/>
    <w:rsid w:val="006C0512"/>
    <w:rsid w:val="006C0BB5"/>
    <w:rsid w:val="006C131E"/>
    <w:rsid w:val="006C1541"/>
    <w:rsid w:val="006C2745"/>
    <w:rsid w:val="006C386C"/>
    <w:rsid w:val="006C4105"/>
    <w:rsid w:val="006C4C5F"/>
    <w:rsid w:val="006C4FDD"/>
    <w:rsid w:val="006D0533"/>
    <w:rsid w:val="006D0862"/>
    <w:rsid w:val="006D2C77"/>
    <w:rsid w:val="006D2C9C"/>
    <w:rsid w:val="006D41E8"/>
    <w:rsid w:val="006D45EC"/>
    <w:rsid w:val="006D6AF1"/>
    <w:rsid w:val="006D6B2A"/>
    <w:rsid w:val="006D7D0C"/>
    <w:rsid w:val="006D7DB0"/>
    <w:rsid w:val="006E1CD4"/>
    <w:rsid w:val="006E2280"/>
    <w:rsid w:val="006E2861"/>
    <w:rsid w:val="006E4311"/>
    <w:rsid w:val="006E5688"/>
    <w:rsid w:val="006E57EF"/>
    <w:rsid w:val="006E6C5A"/>
    <w:rsid w:val="006F12D4"/>
    <w:rsid w:val="006F2913"/>
    <w:rsid w:val="006F29BA"/>
    <w:rsid w:val="006F4A5C"/>
    <w:rsid w:val="006F6C43"/>
    <w:rsid w:val="007003D3"/>
    <w:rsid w:val="007014EE"/>
    <w:rsid w:val="00701E83"/>
    <w:rsid w:val="00701FD1"/>
    <w:rsid w:val="0070249F"/>
    <w:rsid w:val="007032CF"/>
    <w:rsid w:val="007034F6"/>
    <w:rsid w:val="00703E17"/>
    <w:rsid w:val="00705873"/>
    <w:rsid w:val="00706C21"/>
    <w:rsid w:val="007077D0"/>
    <w:rsid w:val="00710063"/>
    <w:rsid w:val="00710957"/>
    <w:rsid w:val="00710D35"/>
    <w:rsid w:val="00710E01"/>
    <w:rsid w:val="0071184D"/>
    <w:rsid w:val="00711C1E"/>
    <w:rsid w:val="0071222D"/>
    <w:rsid w:val="00712341"/>
    <w:rsid w:val="007124CB"/>
    <w:rsid w:val="00712A20"/>
    <w:rsid w:val="00712FD0"/>
    <w:rsid w:val="007143E3"/>
    <w:rsid w:val="00716343"/>
    <w:rsid w:val="0071723E"/>
    <w:rsid w:val="00717EFD"/>
    <w:rsid w:val="00721ACC"/>
    <w:rsid w:val="00721B78"/>
    <w:rsid w:val="00722393"/>
    <w:rsid w:val="00723EEF"/>
    <w:rsid w:val="00724291"/>
    <w:rsid w:val="00724A1F"/>
    <w:rsid w:val="00724D8A"/>
    <w:rsid w:val="00725558"/>
    <w:rsid w:val="007267AA"/>
    <w:rsid w:val="007342C8"/>
    <w:rsid w:val="00734D32"/>
    <w:rsid w:val="00736811"/>
    <w:rsid w:val="00736E01"/>
    <w:rsid w:val="00740100"/>
    <w:rsid w:val="007413B5"/>
    <w:rsid w:val="007422EA"/>
    <w:rsid w:val="0074376B"/>
    <w:rsid w:val="0074465F"/>
    <w:rsid w:val="007458CA"/>
    <w:rsid w:val="00746230"/>
    <w:rsid w:val="00746783"/>
    <w:rsid w:val="00750B3D"/>
    <w:rsid w:val="00754A10"/>
    <w:rsid w:val="0075536A"/>
    <w:rsid w:val="00755BB9"/>
    <w:rsid w:val="0075612B"/>
    <w:rsid w:val="00756545"/>
    <w:rsid w:val="00756CAE"/>
    <w:rsid w:val="00756CD3"/>
    <w:rsid w:val="007577F1"/>
    <w:rsid w:val="0076101C"/>
    <w:rsid w:val="00761138"/>
    <w:rsid w:val="007626CC"/>
    <w:rsid w:val="007642AE"/>
    <w:rsid w:val="00764A92"/>
    <w:rsid w:val="00771E48"/>
    <w:rsid w:val="00774805"/>
    <w:rsid w:val="0077725F"/>
    <w:rsid w:val="00777B5C"/>
    <w:rsid w:val="00782948"/>
    <w:rsid w:val="0078379B"/>
    <w:rsid w:val="00785119"/>
    <w:rsid w:val="007852BF"/>
    <w:rsid w:val="00785CE0"/>
    <w:rsid w:val="007868CB"/>
    <w:rsid w:val="00786E0A"/>
    <w:rsid w:val="0078778B"/>
    <w:rsid w:val="00787FAA"/>
    <w:rsid w:val="00790CE8"/>
    <w:rsid w:val="00792D4F"/>
    <w:rsid w:val="00794114"/>
    <w:rsid w:val="00795B03"/>
    <w:rsid w:val="00795D62"/>
    <w:rsid w:val="00796C93"/>
    <w:rsid w:val="00797D54"/>
    <w:rsid w:val="007A0681"/>
    <w:rsid w:val="007A31F1"/>
    <w:rsid w:val="007A3D6D"/>
    <w:rsid w:val="007A6EB6"/>
    <w:rsid w:val="007A7246"/>
    <w:rsid w:val="007B0011"/>
    <w:rsid w:val="007B00EA"/>
    <w:rsid w:val="007B0321"/>
    <w:rsid w:val="007B10D0"/>
    <w:rsid w:val="007B2718"/>
    <w:rsid w:val="007B2D2C"/>
    <w:rsid w:val="007B2FAA"/>
    <w:rsid w:val="007B4141"/>
    <w:rsid w:val="007B5D3A"/>
    <w:rsid w:val="007C01A6"/>
    <w:rsid w:val="007C108B"/>
    <w:rsid w:val="007C1A4F"/>
    <w:rsid w:val="007C21F1"/>
    <w:rsid w:val="007C2FE4"/>
    <w:rsid w:val="007C52AC"/>
    <w:rsid w:val="007C6852"/>
    <w:rsid w:val="007D04A7"/>
    <w:rsid w:val="007D0EC9"/>
    <w:rsid w:val="007D2325"/>
    <w:rsid w:val="007D3066"/>
    <w:rsid w:val="007D3558"/>
    <w:rsid w:val="007D4DF4"/>
    <w:rsid w:val="007D5085"/>
    <w:rsid w:val="007D5607"/>
    <w:rsid w:val="007D57AB"/>
    <w:rsid w:val="007D5A0C"/>
    <w:rsid w:val="007E2EC9"/>
    <w:rsid w:val="007E328C"/>
    <w:rsid w:val="007E4B78"/>
    <w:rsid w:val="007E512F"/>
    <w:rsid w:val="007E5C1B"/>
    <w:rsid w:val="007E7F85"/>
    <w:rsid w:val="007F03A2"/>
    <w:rsid w:val="007F11E6"/>
    <w:rsid w:val="007F2573"/>
    <w:rsid w:val="007F26EA"/>
    <w:rsid w:val="007F2708"/>
    <w:rsid w:val="007F2A23"/>
    <w:rsid w:val="007F4712"/>
    <w:rsid w:val="007F4816"/>
    <w:rsid w:val="007F510E"/>
    <w:rsid w:val="007F62E1"/>
    <w:rsid w:val="00801D38"/>
    <w:rsid w:val="00802D35"/>
    <w:rsid w:val="00803219"/>
    <w:rsid w:val="008042C5"/>
    <w:rsid w:val="00805504"/>
    <w:rsid w:val="00805D86"/>
    <w:rsid w:val="00805E1A"/>
    <w:rsid w:val="00806BA0"/>
    <w:rsid w:val="00807A89"/>
    <w:rsid w:val="00811133"/>
    <w:rsid w:val="00811AE7"/>
    <w:rsid w:val="00812CAC"/>
    <w:rsid w:val="00814066"/>
    <w:rsid w:val="00820AF8"/>
    <w:rsid w:val="00820BE0"/>
    <w:rsid w:val="008213B8"/>
    <w:rsid w:val="008232CC"/>
    <w:rsid w:val="00825972"/>
    <w:rsid w:val="008260B5"/>
    <w:rsid w:val="008279BA"/>
    <w:rsid w:val="00827D98"/>
    <w:rsid w:val="008300F0"/>
    <w:rsid w:val="008316A2"/>
    <w:rsid w:val="00831E45"/>
    <w:rsid w:val="00831FCB"/>
    <w:rsid w:val="008320A1"/>
    <w:rsid w:val="00832428"/>
    <w:rsid w:val="00832C4D"/>
    <w:rsid w:val="00833DBD"/>
    <w:rsid w:val="00834494"/>
    <w:rsid w:val="0083492B"/>
    <w:rsid w:val="00836B56"/>
    <w:rsid w:val="00840407"/>
    <w:rsid w:val="00841183"/>
    <w:rsid w:val="00841537"/>
    <w:rsid w:val="00845124"/>
    <w:rsid w:val="0084573B"/>
    <w:rsid w:val="00845927"/>
    <w:rsid w:val="008461EF"/>
    <w:rsid w:val="00846D00"/>
    <w:rsid w:val="008473EA"/>
    <w:rsid w:val="00847403"/>
    <w:rsid w:val="00847B35"/>
    <w:rsid w:val="00847B55"/>
    <w:rsid w:val="00852A12"/>
    <w:rsid w:val="00852BEF"/>
    <w:rsid w:val="008534DF"/>
    <w:rsid w:val="00854B00"/>
    <w:rsid w:val="00856D12"/>
    <w:rsid w:val="008602B4"/>
    <w:rsid w:val="0086115A"/>
    <w:rsid w:val="0086451E"/>
    <w:rsid w:val="008710F9"/>
    <w:rsid w:val="00871B18"/>
    <w:rsid w:val="00872913"/>
    <w:rsid w:val="008738FC"/>
    <w:rsid w:val="00874A50"/>
    <w:rsid w:val="00874B25"/>
    <w:rsid w:val="00874D5D"/>
    <w:rsid w:val="008768DA"/>
    <w:rsid w:val="00876AF4"/>
    <w:rsid w:val="008777EF"/>
    <w:rsid w:val="008803C0"/>
    <w:rsid w:val="008836E5"/>
    <w:rsid w:val="008875C3"/>
    <w:rsid w:val="0089062C"/>
    <w:rsid w:val="00891B6F"/>
    <w:rsid w:val="00891C01"/>
    <w:rsid w:val="00892932"/>
    <w:rsid w:val="00892B18"/>
    <w:rsid w:val="00892CEE"/>
    <w:rsid w:val="00893005"/>
    <w:rsid w:val="00895060"/>
    <w:rsid w:val="00896643"/>
    <w:rsid w:val="0089685A"/>
    <w:rsid w:val="008A0EBB"/>
    <w:rsid w:val="008A73E1"/>
    <w:rsid w:val="008A7F59"/>
    <w:rsid w:val="008B0289"/>
    <w:rsid w:val="008B2795"/>
    <w:rsid w:val="008B2CAD"/>
    <w:rsid w:val="008B2E3E"/>
    <w:rsid w:val="008B4417"/>
    <w:rsid w:val="008B5D9E"/>
    <w:rsid w:val="008B6869"/>
    <w:rsid w:val="008B69AB"/>
    <w:rsid w:val="008C05A1"/>
    <w:rsid w:val="008C08EE"/>
    <w:rsid w:val="008C212A"/>
    <w:rsid w:val="008C21D8"/>
    <w:rsid w:val="008C3127"/>
    <w:rsid w:val="008C31A1"/>
    <w:rsid w:val="008C4D6C"/>
    <w:rsid w:val="008C72AE"/>
    <w:rsid w:val="008C7FDB"/>
    <w:rsid w:val="008D0CEB"/>
    <w:rsid w:val="008D0D0E"/>
    <w:rsid w:val="008D0FF8"/>
    <w:rsid w:val="008D3FB4"/>
    <w:rsid w:val="008D5357"/>
    <w:rsid w:val="008D56A5"/>
    <w:rsid w:val="008E0AF8"/>
    <w:rsid w:val="008E1D76"/>
    <w:rsid w:val="008E2B15"/>
    <w:rsid w:val="008E41D8"/>
    <w:rsid w:val="008E5CA2"/>
    <w:rsid w:val="008E5ED8"/>
    <w:rsid w:val="008E62D5"/>
    <w:rsid w:val="008E7144"/>
    <w:rsid w:val="008E7C1C"/>
    <w:rsid w:val="008F10E9"/>
    <w:rsid w:val="008F1364"/>
    <w:rsid w:val="008F1663"/>
    <w:rsid w:val="008F1C87"/>
    <w:rsid w:val="008F272F"/>
    <w:rsid w:val="008F37F7"/>
    <w:rsid w:val="008F3F72"/>
    <w:rsid w:val="008F4AF9"/>
    <w:rsid w:val="008F5EC7"/>
    <w:rsid w:val="008F5FBC"/>
    <w:rsid w:val="008F60D8"/>
    <w:rsid w:val="009019B2"/>
    <w:rsid w:val="00902952"/>
    <w:rsid w:val="009056DC"/>
    <w:rsid w:val="00905945"/>
    <w:rsid w:val="00906F74"/>
    <w:rsid w:val="00911AE3"/>
    <w:rsid w:val="009150B2"/>
    <w:rsid w:val="00916C67"/>
    <w:rsid w:val="00917CCF"/>
    <w:rsid w:val="0092193E"/>
    <w:rsid w:val="00921ADC"/>
    <w:rsid w:val="0092427B"/>
    <w:rsid w:val="009307B7"/>
    <w:rsid w:val="00931046"/>
    <w:rsid w:val="009314A5"/>
    <w:rsid w:val="009342D1"/>
    <w:rsid w:val="00934A0C"/>
    <w:rsid w:val="0093686E"/>
    <w:rsid w:val="00937030"/>
    <w:rsid w:val="009412E3"/>
    <w:rsid w:val="0094170D"/>
    <w:rsid w:val="00941BD9"/>
    <w:rsid w:val="009424EC"/>
    <w:rsid w:val="00943417"/>
    <w:rsid w:val="00944F63"/>
    <w:rsid w:val="0094535A"/>
    <w:rsid w:val="00946891"/>
    <w:rsid w:val="009503D4"/>
    <w:rsid w:val="00950472"/>
    <w:rsid w:val="00951E3F"/>
    <w:rsid w:val="00953655"/>
    <w:rsid w:val="0095504D"/>
    <w:rsid w:val="00955691"/>
    <w:rsid w:val="00956235"/>
    <w:rsid w:val="0095743B"/>
    <w:rsid w:val="009602EF"/>
    <w:rsid w:val="00961906"/>
    <w:rsid w:val="009629BC"/>
    <w:rsid w:val="00965FF1"/>
    <w:rsid w:val="0096672E"/>
    <w:rsid w:val="0096726A"/>
    <w:rsid w:val="0096772A"/>
    <w:rsid w:val="00967918"/>
    <w:rsid w:val="00970C7C"/>
    <w:rsid w:val="00970FC5"/>
    <w:rsid w:val="00972A3E"/>
    <w:rsid w:val="00973A74"/>
    <w:rsid w:val="00975E67"/>
    <w:rsid w:val="009803B0"/>
    <w:rsid w:val="0098083B"/>
    <w:rsid w:val="009813FE"/>
    <w:rsid w:val="00981A0B"/>
    <w:rsid w:val="00982E3A"/>
    <w:rsid w:val="00983506"/>
    <w:rsid w:val="00983949"/>
    <w:rsid w:val="00985684"/>
    <w:rsid w:val="0099214D"/>
    <w:rsid w:val="00993230"/>
    <w:rsid w:val="00993A97"/>
    <w:rsid w:val="00994C04"/>
    <w:rsid w:val="0099579B"/>
    <w:rsid w:val="00995EAA"/>
    <w:rsid w:val="009973B7"/>
    <w:rsid w:val="009A173C"/>
    <w:rsid w:val="009A19BE"/>
    <w:rsid w:val="009A25CA"/>
    <w:rsid w:val="009A2FFA"/>
    <w:rsid w:val="009A3109"/>
    <w:rsid w:val="009A4C06"/>
    <w:rsid w:val="009A589D"/>
    <w:rsid w:val="009A69D5"/>
    <w:rsid w:val="009A78C7"/>
    <w:rsid w:val="009B046F"/>
    <w:rsid w:val="009B2F0E"/>
    <w:rsid w:val="009B4442"/>
    <w:rsid w:val="009B6E2E"/>
    <w:rsid w:val="009B7084"/>
    <w:rsid w:val="009B7C52"/>
    <w:rsid w:val="009C0DE8"/>
    <w:rsid w:val="009C10DD"/>
    <w:rsid w:val="009C113E"/>
    <w:rsid w:val="009C2956"/>
    <w:rsid w:val="009C2C59"/>
    <w:rsid w:val="009C2C9C"/>
    <w:rsid w:val="009C363A"/>
    <w:rsid w:val="009C459F"/>
    <w:rsid w:val="009C5CC1"/>
    <w:rsid w:val="009D06DE"/>
    <w:rsid w:val="009D0AC6"/>
    <w:rsid w:val="009D10B9"/>
    <w:rsid w:val="009D1282"/>
    <w:rsid w:val="009D2AD1"/>
    <w:rsid w:val="009D3EE0"/>
    <w:rsid w:val="009D542A"/>
    <w:rsid w:val="009D6D98"/>
    <w:rsid w:val="009D7442"/>
    <w:rsid w:val="009E19ED"/>
    <w:rsid w:val="009E203B"/>
    <w:rsid w:val="009E2BD1"/>
    <w:rsid w:val="009E7AC9"/>
    <w:rsid w:val="009E7F45"/>
    <w:rsid w:val="009F0183"/>
    <w:rsid w:val="009F1098"/>
    <w:rsid w:val="009F25DB"/>
    <w:rsid w:val="009F7114"/>
    <w:rsid w:val="00A01176"/>
    <w:rsid w:val="00A035A6"/>
    <w:rsid w:val="00A04816"/>
    <w:rsid w:val="00A0555C"/>
    <w:rsid w:val="00A05AAC"/>
    <w:rsid w:val="00A07D48"/>
    <w:rsid w:val="00A1013C"/>
    <w:rsid w:val="00A10370"/>
    <w:rsid w:val="00A1224F"/>
    <w:rsid w:val="00A127C3"/>
    <w:rsid w:val="00A12AEB"/>
    <w:rsid w:val="00A12BA2"/>
    <w:rsid w:val="00A13F0D"/>
    <w:rsid w:val="00A14F4B"/>
    <w:rsid w:val="00A15277"/>
    <w:rsid w:val="00A16FEF"/>
    <w:rsid w:val="00A170FC"/>
    <w:rsid w:val="00A1791F"/>
    <w:rsid w:val="00A26DE8"/>
    <w:rsid w:val="00A304A7"/>
    <w:rsid w:val="00A304B0"/>
    <w:rsid w:val="00A3069F"/>
    <w:rsid w:val="00A31D28"/>
    <w:rsid w:val="00A32B69"/>
    <w:rsid w:val="00A32F28"/>
    <w:rsid w:val="00A33A88"/>
    <w:rsid w:val="00A34A82"/>
    <w:rsid w:val="00A34C5E"/>
    <w:rsid w:val="00A35068"/>
    <w:rsid w:val="00A37238"/>
    <w:rsid w:val="00A40435"/>
    <w:rsid w:val="00A40587"/>
    <w:rsid w:val="00A4280B"/>
    <w:rsid w:val="00A42853"/>
    <w:rsid w:val="00A4382C"/>
    <w:rsid w:val="00A43C8F"/>
    <w:rsid w:val="00A514C8"/>
    <w:rsid w:val="00A536B4"/>
    <w:rsid w:val="00A5471C"/>
    <w:rsid w:val="00A54D71"/>
    <w:rsid w:val="00A55791"/>
    <w:rsid w:val="00A5586D"/>
    <w:rsid w:val="00A5588B"/>
    <w:rsid w:val="00A6282D"/>
    <w:rsid w:val="00A62A22"/>
    <w:rsid w:val="00A648BE"/>
    <w:rsid w:val="00A65D73"/>
    <w:rsid w:val="00A67B31"/>
    <w:rsid w:val="00A67EF0"/>
    <w:rsid w:val="00A701E1"/>
    <w:rsid w:val="00A70CC8"/>
    <w:rsid w:val="00A7183F"/>
    <w:rsid w:val="00A71A5F"/>
    <w:rsid w:val="00A71C68"/>
    <w:rsid w:val="00A71E38"/>
    <w:rsid w:val="00A7360F"/>
    <w:rsid w:val="00A73AF0"/>
    <w:rsid w:val="00A76E9D"/>
    <w:rsid w:val="00A7771E"/>
    <w:rsid w:val="00A81D0E"/>
    <w:rsid w:val="00A82291"/>
    <w:rsid w:val="00A823E1"/>
    <w:rsid w:val="00A83681"/>
    <w:rsid w:val="00A84688"/>
    <w:rsid w:val="00A8478F"/>
    <w:rsid w:val="00A85646"/>
    <w:rsid w:val="00A869C4"/>
    <w:rsid w:val="00A86A4A"/>
    <w:rsid w:val="00A873CB"/>
    <w:rsid w:val="00A87420"/>
    <w:rsid w:val="00A875AA"/>
    <w:rsid w:val="00A87740"/>
    <w:rsid w:val="00A90B05"/>
    <w:rsid w:val="00A91E83"/>
    <w:rsid w:val="00A92016"/>
    <w:rsid w:val="00A952D1"/>
    <w:rsid w:val="00A96D69"/>
    <w:rsid w:val="00A971EB"/>
    <w:rsid w:val="00A97E28"/>
    <w:rsid w:val="00AA0BB5"/>
    <w:rsid w:val="00AA17A3"/>
    <w:rsid w:val="00AA428B"/>
    <w:rsid w:val="00AB0A88"/>
    <w:rsid w:val="00AB1B55"/>
    <w:rsid w:val="00AB779C"/>
    <w:rsid w:val="00AC17FD"/>
    <w:rsid w:val="00AC229A"/>
    <w:rsid w:val="00AC2741"/>
    <w:rsid w:val="00AC57DA"/>
    <w:rsid w:val="00AD1717"/>
    <w:rsid w:val="00AD24E2"/>
    <w:rsid w:val="00AD3E61"/>
    <w:rsid w:val="00AD4ADD"/>
    <w:rsid w:val="00AD5A73"/>
    <w:rsid w:val="00AD6E87"/>
    <w:rsid w:val="00AE0945"/>
    <w:rsid w:val="00AE2F69"/>
    <w:rsid w:val="00AE4C7B"/>
    <w:rsid w:val="00AE71AB"/>
    <w:rsid w:val="00AE7AC2"/>
    <w:rsid w:val="00AF3421"/>
    <w:rsid w:val="00B023E8"/>
    <w:rsid w:val="00B02DFC"/>
    <w:rsid w:val="00B03C3D"/>
    <w:rsid w:val="00B0419B"/>
    <w:rsid w:val="00B0530D"/>
    <w:rsid w:val="00B05338"/>
    <w:rsid w:val="00B11734"/>
    <w:rsid w:val="00B12D48"/>
    <w:rsid w:val="00B13458"/>
    <w:rsid w:val="00B13787"/>
    <w:rsid w:val="00B138D4"/>
    <w:rsid w:val="00B143BD"/>
    <w:rsid w:val="00B146E4"/>
    <w:rsid w:val="00B14740"/>
    <w:rsid w:val="00B14B95"/>
    <w:rsid w:val="00B14E8E"/>
    <w:rsid w:val="00B14F18"/>
    <w:rsid w:val="00B1517F"/>
    <w:rsid w:val="00B15BEE"/>
    <w:rsid w:val="00B1668C"/>
    <w:rsid w:val="00B169F7"/>
    <w:rsid w:val="00B2084C"/>
    <w:rsid w:val="00B212FF"/>
    <w:rsid w:val="00B21B83"/>
    <w:rsid w:val="00B226B2"/>
    <w:rsid w:val="00B241F1"/>
    <w:rsid w:val="00B251B6"/>
    <w:rsid w:val="00B27932"/>
    <w:rsid w:val="00B31BE6"/>
    <w:rsid w:val="00B32BC2"/>
    <w:rsid w:val="00B33A88"/>
    <w:rsid w:val="00B366D4"/>
    <w:rsid w:val="00B40061"/>
    <w:rsid w:val="00B40B0D"/>
    <w:rsid w:val="00B43F2E"/>
    <w:rsid w:val="00B46C72"/>
    <w:rsid w:val="00B46D01"/>
    <w:rsid w:val="00B47CF7"/>
    <w:rsid w:val="00B50A01"/>
    <w:rsid w:val="00B50C94"/>
    <w:rsid w:val="00B5519D"/>
    <w:rsid w:val="00B553AB"/>
    <w:rsid w:val="00B56F3D"/>
    <w:rsid w:val="00B5727E"/>
    <w:rsid w:val="00B57DB0"/>
    <w:rsid w:val="00B62850"/>
    <w:rsid w:val="00B638CF"/>
    <w:rsid w:val="00B6488B"/>
    <w:rsid w:val="00B651DD"/>
    <w:rsid w:val="00B65433"/>
    <w:rsid w:val="00B70BA4"/>
    <w:rsid w:val="00B72AF5"/>
    <w:rsid w:val="00B746D9"/>
    <w:rsid w:val="00B76A47"/>
    <w:rsid w:val="00B77399"/>
    <w:rsid w:val="00B81BC7"/>
    <w:rsid w:val="00B83C4C"/>
    <w:rsid w:val="00B84716"/>
    <w:rsid w:val="00B85EB0"/>
    <w:rsid w:val="00B86921"/>
    <w:rsid w:val="00B87D1A"/>
    <w:rsid w:val="00B9445E"/>
    <w:rsid w:val="00B9482B"/>
    <w:rsid w:val="00B958D9"/>
    <w:rsid w:val="00B95E50"/>
    <w:rsid w:val="00B97444"/>
    <w:rsid w:val="00B97E36"/>
    <w:rsid w:val="00BA0EF2"/>
    <w:rsid w:val="00BA1642"/>
    <w:rsid w:val="00BA1A53"/>
    <w:rsid w:val="00BA2B0D"/>
    <w:rsid w:val="00BA37C5"/>
    <w:rsid w:val="00BA46AB"/>
    <w:rsid w:val="00BA4CBB"/>
    <w:rsid w:val="00BA6684"/>
    <w:rsid w:val="00BA6B66"/>
    <w:rsid w:val="00BA7668"/>
    <w:rsid w:val="00BA781C"/>
    <w:rsid w:val="00BB2600"/>
    <w:rsid w:val="00BB46AC"/>
    <w:rsid w:val="00BB54EA"/>
    <w:rsid w:val="00BC0536"/>
    <w:rsid w:val="00BC1983"/>
    <w:rsid w:val="00BC2734"/>
    <w:rsid w:val="00BC27A6"/>
    <w:rsid w:val="00BC3415"/>
    <w:rsid w:val="00BC3997"/>
    <w:rsid w:val="00BC5F83"/>
    <w:rsid w:val="00BC6887"/>
    <w:rsid w:val="00BC6B9F"/>
    <w:rsid w:val="00BC73E9"/>
    <w:rsid w:val="00BC7C8A"/>
    <w:rsid w:val="00BD3A02"/>
    <w:rsid w:val="00BD42FE"/>
    <w:rsid w:val="00BD4B79"/>
    <w:rsid w:val="00BD54EF"/>
    <w:rsid w:val="00BD5C73"/>
    <w:rsid w:val="00BD79FB"/>
    <w:rsid w:val="00BD7E98"/>
    <w:rsid w:val="00BE2600"/>
    <w:rsid w:val="00BE3C13"/>
    <w:rsid w:val="00BE5754"/>
    <w:rsid w:val="00BE74EA"/>
    <w:rsid w:val="00BF07B2"/>
    <w:rsid w:val="00BF288E"/>
    <w:rsid w:val="00BF4272"/>
    <w:rsid w:val="00BF4BE6"/>
    <w:rsid w:val="00BF6954"/>
    <w:rsid w:val="00C006A1"/>
    <w:rsid w:val="00C02365"/>
    <w:rsid w:val="00C04381"/>
    <w:rsid w:val="00C04764"/>
    <w:rsid w:val="00C05830"/>
    <w:rsid w:val="00C06E82"/>
    <w:rsid w:val="00C076DD"/>
    <w:rsid w:val="00C07B9C"/>
    <w:rsid w:val="00C10617"/>
    <w:rsid w:val="00C10E16"/>
    <w:rsid w:val="00C1447A"/>
    <w:rsid w:val="00C14C3A"/>
    <w:rsid w:val="00C169A7"/>
    <w:rsid w:val="00C177C2"/>
    <w:rsid w:val="00C20C64"/>
    <w:rsid w:val="00C22862"/>
    <w:rsid w:val="00C24185"/>
    <w:rsid w:val="00C303CB"/>
    <w:rsid w:val="00C31002"/>
    <w:rsid w:val="00C31D12"/>
    <w:rsid w:val="00C32105"/>
    <w:rsid w:val="00C32A84"/>
    <w:rsid w:val="00C331AB"/>
    <w:rsid w:val="00C3334D"/>
    <w:rsid w:val="00C3561D"/>
    <w:rsid w:val="00C36C9A"/>
    <w:rsid w:val="00C36FC8"/>
    <w:rsid w:val="00C3720F"/>
    <w:rsid w:val="00C379A3"/>
    <w:rsid w:val="00C41729"/>
    <w:rsid w:val="00C41A79"/>
    <w:rsid w:val="00C4393E"/>
    <w:rsid w:val="00C452A0"/>
    <w:rsid w:val="00C45EB2"/>
    <w:rsid w:val="00C50916"/>
    <w:rsid w:val="00C51E4F"/>
    <w:rsid w:val="00C53116"/>
    <w:rsid w:val="00C53ED9"/>
    <w:rsid w:val="00C54900"/>
    <w:rsid w:val="00C55023"/>
    <w:rsid w:val="00C551FA"/>
    <w:rsid w:val="00C64974"/>
    <w:rsid w:val="00C703C2"/>
    <w:rsid w:val="00C71B63"/>
    <w:rsid w:val="00C726AD"/>
    <w:rsid w:val="00C740BB"/>
    <w:rsid w:val="00C762C3"/>
    <w:rsid w:val="00C772D3"/>
    <w:rsid w:val="00C77B72"/>
    <w:rsid w:val="00C77FEB"/>
    <w:rsid w:val="00C8113B"/>
    <w:rsid w:val="00C826E3"/>
    <w:rsid w:val="00C8271E"/>
    <w:rsid w:val="00C82E3F"/>
    <w:rsid w:val="00C8323F"/>
    <w:rsid w:val="00C8351C"/>
    <w:rsid w:val="00C842B4"/>
    <w:rsid w:val="00C84BB9"/>
    <w:rsid w:val="00C8617B"/>
    <w:rsid w:val="00C90436"/>
    <w:rsid w:val="00C93118"/>
    <w:rsid w:val="00C9610E"/>
    <w:rsid w:val="00C9615E"/>
    <w:rsid w:val="00C96591"/>
    <w:rsid w:val="00C9660B"/>
    <w:rsid w:val="00C97EC1"/>
    <w:rsid w:val="00CA01A3"/>
    <w:rsid w:val="00CA18ED"/>
    <w:rsid w:val="00CA30B3"/>
    <w:rsid w:val="00CA381F"/>
    <w:rsid w:val="00CB3B09"/>
    <w:rsid w:val="00CB417C"/>
    <w:rsid w:val="00CB60D8"/>
    <w:rsid w:val="00CB78B5"/>
    <w:rsid w:val="00CC06E7"/>
    <w:rsid w:val="00CC1037"/>
    <w:rsid w:val="00CC2765"/>
    <w:rsid w:val="00CC66A8"/>
    <w:rsid w:val="00CC7E2C"/>
    <w:rsid w:val="00CD005E"/>
    <w:rsid w:val="00CD0DDF"/>
    <w:rsid w:val="00CD20BE"/>
    <w:rsid w:val="00CD4C54"/>
    <w:rsid w:val="00CD6356"/>
    <w:rsid w:val="00CD6613"/>
    <w:rsid w:val="00CE0679"/>
    <w:rsid w:val="00CE0767"/>
    <w:rsid w:val="00CE399D"/>
    <w:rsid w:val="00CE3E9E"/>
    <w:rsid w:val="00CE6364"/>
    <w:rsid w:val="00CE6B66"/>
    <w:rsid w:val="00CE7039"/>
    <w:rsid w:val="00CF086C"/>
    <w:rsid w:val="00CF1832"/>
    <w:rsid w:val="00CF1C35"/>
    <w:rsid w:val="00CF2AC0"/>
    <w:rsid w:val="00CF312C"/>
    <w:rsid w:val="00CF3C5D"/>
    <w:rsid w:val="00CF4985"/>
    <w:rsid w:val="00CF51D0"/>
    <w:rsid w:val="00D0101F"/>
    <w:rsid w:val="00D05C36"/>
    <w:rsid w:val="00D07F10"/>
    <w:rsid w:val="00D11224"/>
    <w:rsid w:val="00D1135E"/>
    <w:rsid w:val="00D11615"/>
    <w:rsid w:val="00D121AC"/>
    <w:rsid w:val="00D145C0"/>
    <w:rsid w:val="00D17609"/>
    <w:rsid w:val="00D237BB"/>
    <w:rsid w:val="00D23904"/>
    <w:rsid w:val="00D244CC"/>
    <w:rsid w:val="00D25009"/>
    <w:rsid w:val="00D25FAF"/>
    <w:rsid w:val="00D2642D"/>
    <w:rsid w:val="00D267ED"/>
    <w:rsid w:val="00D26D33"/>
    <w:rsid w:val="00D27A30"/>
    <w:rsid w:val="00D3171A"/>
    <w:rsid w:val="00D3242F"/>
    <w:rsid w:val="00D3298A"/>
    <w:rsid w:val="00D354CC"/>
    <w:rsid w:val="00D35BB2"/>
    <w:rsid w:val="00D36C57"/>
    <w:rsid w:val="00D40473"/>
    <w:rsid w:val="00D41DB9"/>
    <w:rsid w:val="00D424CA"/>
    <w:rsid w:val="00D449E3"/>
    <w:rsid w:val="00D45813"/>
    <w:rsid w:val="00D46C38"/>
    <w:rsid w:val="00D46E2C"/>
    <w:rsid w:val="00D471C4"/>
    <w:rsid w:val="00D47314"/>
    <w:rsid w:val="00D47D28"/>
    <w:rsid w:val="00D50B4D"/>
    <w:rsid w:val="00D50D8E"/>
    <w:rsid w:val="00D52736"/>
    <w:rsid w:val="00D53D70"/>
    <w:rsid w:val="00D5432D"/>
    <w:rsid w:val="00D55BAE"/>
    <w:rsid w:val="00D574C6"/>
    <w:rsid w:val="00D576EE"/>
    <w:rsid w:val="00D5775E"/>
    <w:rsid w:val="00D6025D"/>
    <w:rsid w:val="00D60F4B"/>
    <w:rsid w:val="00D63798"/>
    <w:rsid w:val="00D64F57"/>
    <w:rsid w:val="00D66003"/>
    <w:rsid w:val="00D709BE"/>
    <w:rsid w:val="00D712A7"/>
    <w:rsid w:val="00D729EF"/>
    <w:rsid w:val="00D72ADB"/>
    <w:rsid w:val="00D75926"/>
    <w:rsid w:val="00D7694E"/>
    <w:rsid w:val="00D773A5"/>
    <w:rsid w:val="00D77D9C"/>
    <w:rsid w:val="00D80508"/>
    <w:rsid w:val="00D80AFF"/>
    <w:rsid w:val="00D81C90"/>
    <w:rsid w:val="00D84238"/>
    <w:rsid w:val="00D84B92"/>
    <w:rsid w:val="00D85CD9"/>
    <w:rsid w:val="00D862DE"/>
    <w:rsid w:val="00D86332"/>
    <w:rsid w:val="00D90651"/>
    <w:rsid w:val="00D94056"/>
    <w:rsid w:val="00D94305"/>
    <w:rsid w:val="00D960E2"/>
    <w:rsid w:val="00DA041E"/>
    <w:rsid w:val="00DA054F"/>
    <w:rsid w:val="00DA44E1"/>
    <w:rsid w:val="00DA7220"/>
    <w:rsid w:val="00DB2548"/>
    <w:rsid w:val="00DB311F"/>
    <w:rsid w:val="00DB3A33"/>
    <w:rsid w:val="00DB45DC"/>
    <w:rsid w:val="00DB5453"/>
    <w:rsid w:val="00DB68AE"/>
    <w:rsid w:val="00DC136F"/>
    <w:rsid w:val="00DC1B4E"/>
    <w:rsid w:val="00DC1C59"/>
    <w:rsid w:val="00DC1D12"/>
    <w:rsid w:val="00DC33C0"/>
    <w:rsid w:val="00DC44FC"/>
    <w:rsid w:val="00DC4DDE"/>
    <w:rsid w:val="00DC63A4"/>
    <w:rsid w:val="00DC7CD5"/>
    <w:rsid w:val="00DD0355"/>
    <w:rsid w:val="00DD110D"/>
    <w:rsid w:val="00DD2794"/>
    <w:rsid w:val="00DD7C68"/>
    <w:rsid w:val="00DE0B8F"/>
    <w:rsid w:val="00DE1C90"/>
    <w:rsid w:val="00DE2325"/>
    <w:rsid w:val="00DE267B"/>
    <w:rsid w:val="00DE3D6D"/>
    <w:rsid w:val="00DE3DFC"/>
    <w:rsid w:val="00DE5760"/>
    <w:rsid w:val="00DE7965"/>
    <w:rsid w:val="00DF1682"/>
    <w:rsid w:val="00DF2091"/>
    <w:rsid w:val="00DF2593"/>
    <w:rsid w:val="00DF48CE"/>
    <w:rsid w:val="00DF5368"/>
    <w:rsid w:val="00DF720A"/>
    <w:rsid w:val="00E00730"/>
    <w:rsid w:val="00E009DF"/>
    <w:rsid w:val="00E01024"/>
    <w:rsid w:val="00E02E22"/>
    <w:rsid w:val="00E0342B"/>
    <w:rsid w:val="00E04409"/>
    <w:rsid w:val="00E05D22"/>
    <w:rsid w:val="00E05F1E"/>
    <w:rsid w:val="00E071B4"/>
    <w:rsid w:val="00E07B83"/>
    <w:rsid w:val="00E11441"/>
    <w:rsid w:val="00E12072"/>
    <w:rsid w:val="00E13760"/>
    <w:rsid w:val="00E137B4"/>
    <w:rsid w:val="00E16CAA"/>
    <w:rsid w:val="00E2192F"/>
    <w:rsid w:val="00E23A8D"/>
    <w:rsid w:val="00E23A9B"/>
    <w:rsid w:val="00E320B5"/>
    <w:rsid w:val="00E35F05"/>
    <w:rsid w:val="00E36298"/>
    <w:rsid w:val="00E365B8"/>
    <w:rsid w:val="00E37CC6"/>
    <w:rsid w:val="00E40E69"/>
    <w:rsid w:val="00E42FA7"/>
    <w:rsid w:val="00E435AB"/>
    <w:rsid w:val="00E44AC3"/>
    <w:rsid w:val="00E45E3D"/>
    <w:rsid w:val="00E461D5"/>
    <w:rsid w:val="00E4751C"/>
    <w:rsid w:val="00E47C90"/>
    <w:rsid w:val="00E5082F"/>
    <w:rsid w:val="00E50EF3"/>
    <w:rsid w:val="00E50F40"/>
    <w:rsid w:val="00E52E3E"/>
    <w:rsid w:val="00E55C89"/>
    <w:rsid w:val="00E55FD6"/>
    <w:rsid w:val="00E67C4F"/>
    <w:rsid w:val="00E71443"/>
    <w:rsid w:val="00E720E3"/>
    <w:rsid w:val="00E72203"/>
    <w:rsid w:val="00E74533"/>
    <w:rsid w:val="00E75980"/>
    <w:rsid w:val="00E77D54"/>
    <w:rsid w:val="00E80DA5"/>
    <w:rsid w:val="00E810F3"/>
    <w:rsid w:val="00E82FE0"/>
    <w:rsid w:val="00E83467"/>
    <w:rsid w:val="00E847AA"/>
    <w:rsid w:val="00E86A23"/>
    <w:rsid w:val="00E86C69"/>
    <w:rsid w:val="00E87A9B"/>
    <w:rsid w:val="00E87DED"/>
    <w:rsid w:val="00E917DB"/>
    <w:rsid w:val="00E91DD4"/>
    <w:rsid w:val="00E95B94"/>
    <w:rsid w:val="00E95FC2"/>
    <w:rsid w:val="00E96CDF"/>
    <w:rsid w:val="00EA1B82"/>
    <w:rsid w:val="00EA27EB"/>
    <w:rsid w:val="00EA2CC2"/>
    <w:rsid w:val="00EA34C5"/>
    <w:rsid w:val="00EA3EF1"/>
    <w:rsid w:val="00EA6E7D"/>
    <w:rsid w:val="00EA7E46"/>
    <w:rsid w:val="00EB0102"/>
    <w:rsid w:val="00EB0D0F"/>
    <w:rsid w:val="00EB44C5"/>
    <w:rsid w:val="00EB5455"/>
    <w:rsid w:val="00EB5A62"/>
    <w:rsid w:val="00EB6558"/>
    <w:rsid w:val="00EC3492"/>
    <w:rsid w:val="00EC3775"/>
    <w:rsid w:val="00EC4C6F"/>
    <w:rsid w:val="00EC505A"/>
    <w:rsid w:val="00EC5248"/>
    <w:rsid w:val="00EC638B"/>
    <w:rsid w:val="00EC744C"/>
    <w:rsid w:val="00ED18C0"/>
    <w:rsid w:val="00ED3726"/>
    <w:rsid w:val="00ED3F4E"/>
    <w:rsid w:val="00ED48EC"/>
    <w:rsid w:val="00EE020B"/>
    <w:rsid w:val="00EE51CA"/>
    <w:rsid w:val="00EE5815"/>
    <w:rsid w:val="00EE5BD5"/>
    <w:rsid w:val="00EF1E46"/>
    <w:rsid w:val="00EF2CB4"/>
    <w:rsid w:val="00EF47CF"/>
    <w:rsid w:val="00EF5D21"/>
    <w:rsid w:val="00EF6E05"/>
    <w:rsid w:val="00F00946"/>
    <w:rsid w:val="00F01051"/>
    <w:rsid w:val="00F01D0E"/>
    <w:rsid w:val="00F03A46"/>
    <w:rsid w:val="00F054B2"/>
    <w:rsid w:val="00F0597F"/>
    <w:rsid w:val="00F069D8"/>
    <w:rsid w:val="00F06A20"/>
    <w:rsid w:val="00F06A68"/>
    <w:rsid w:val="00F07F85"/>
    <w:rsid w:val="00F14722"/>
    <w:rsid w:val="00F15379"/>
    <w:rsid w:val="00F20138"/>
    <w:rsid w:val="00F2149C"/>
    <w:rsid w:val="00F22DBA"/>
    <w:rsid w:val="00F23FF4"/>
    <w:rsid w:val="00F24E67"/>
    <w:rsid w:val="00F24EA8"/>
    <w:rsid w:val="00F25FCA"/>
    <w:rsid w:val="00F27643"/>
    <w:rsid w:val="00F31131"/>
    <w:rsid w:val="00F329C3"/>
    <w:rsid w:val="00F3350A"/>
    <w:rsid w:val="00F341B5"/>
    <w:rsid w:val="00F3536B"/>
    <w:rsid w:val="00F35BDB"/>
    <w:rsid w:val="00F3677B"/>
    <w:rsid w:val="00F36BB2"/>
    <w:rsid w:val="00F37B1E"/>
    <w:rsid w:val="00F41DDC"/>
    <w:rsid w:val="00F42F88"/>
    <w:rsid w:val="00F43924"/>
    <w:rsid w:val="00F454ED"/>
    <w:rsid w:val="00F45546"/>
    <w:rsid w:val="00F45D30"/>
    <w:rsid w:val="00F46FE5"/>
    <w:rsid w:val="00F47189"/>
    <w:rsid w:val="00F471B5"/>
    <w:rsid w:val="00F476B8"/>
    <w:rsid w:val="00F47C7A"/>
    <w:rsid w:val="00F51C1A"/>
    <w:rsid w:val="00F528FB"/>
    <w:rsid w:val="00F56CB4"/>
    <w:rsid w:val="00F6051A"/>
    <w:rsid w:val="00F60F23"/>
    <w:rsid w:val="00F61CBD"/>
    <w:rsid w:val="00F6212D"/>
    <w:rsid w:val="00F62D2C"/>
    <w:rsid w:val="00F6302A"/>
    <w:rsid w:val="00F648AA"/>
    <w:rsid w:val="00F64E79"/>
    <w:rsid w:val="00F65445"/>
    <w:rsid w:val="00F65EF8"/>
    <w:rsid w:val="00F66A9C"/>
    <w:rsid w:val="00F67696"/>
    <w:rsid w:val="00F74266"/>
    <w:rsid w:val="00F7485D"/>
    <w:rsid w:val="00F7640E"/>
    <w:rsid w:val="00F7785E"/>
    <w:rsid w:val="00F77D89"/>
    <w:rsid w:val="00F808FE"/>
    <w:rsid w:val="00F80CD0"/>
    <w:rsid w:val="00F81F0B"/>
    <w:rsid w:val="00F8531A"/>
    <w:rsid w:val="00F85594"/>
    <w:rsid w:val="00F86090"/>
    <w:rsid w:val="00F861BF"/>
    <w:rsid w:val="00F8787E"/>
    <w:rsid w:val="00F87ADC"/>
    <w:rsid w:val="00F910B0"/>
    <w:rsid w:val="00F912B6"/>
    <w:rsid w:val="00F91CD5"/>
    <w:rsid w:val="00F9231C"/>
    <w:rsid w:val="00F9515F"/>
    <w:rsid w:val="00F951F9"/>
    <w:rsid w:val="00F959DD"/>
    <w:rsid w:val="00F97CD6"/>
    <w:rsid w:val="00FA08A6"/>
    <w:rsid w:val="00FA0E49"/>
    <w:rsid w:val="00FA0EF3"/>
    <w:rsid w:val="00FA23FE"/>
    <w:rsid w:val="00FA3A1A"/>
    <w:rsid w:val="00FA3C44"/>
    <w:rsid w:val="00FA454B"/>
    <w:rsid w:val="00FA49C9"/>
    <w:rsid w:val="00FA4E83"/>
    <w:rsid w:val="00FB17D5"/>
    <w:rsid w:val="00FB407D"/>
    <w:rsid w:val="00FB4697"/>
    <w:rsid w:val="00FB570F"/>
    <w:rsid w:val="00FB5EF3"/>
    <w:rsid w:val="00FB6455"/>
    <w:rsid w:val="00FC05D2"/>
    <w:rsid w:val="00FC0BA9"/>
    <w:rsid w:val="00FC1394"/>
    <w:rsid w:val="00FC1E33"/>
    <w:rsid w:val="00FC2E0F"/>
    <w:rsid w:val="00FC5507"/>
    <w:rsid w:val="00FC57C9"/>
    <w:rsid w:val="00FC5F27"/>
    <w:rsid w:val="00FC5FD1"/>
    <w:rsid w:val="00FD0761"/>
    <w:rsid w:val="00FD14D6"/>
    <w:rsid w:val="00FD28A5"/>
    <w:rsid w:val="00FD2D43"/>
    <w:rsid w:val="00FD409A"/>
    <w:rsid w:val="00FD5290"/>
    <w:rsid w:val="00FD5593"/>
    <w:rsid w:val="00FD62B5"/>
    <w:rsid w:val="00FD65B6"/>
    <w:rsid w:val="00FE0D85"/>
    <w:rsid w:val="00FE3DE8"/>
    <w:rsid w:val="00FE4497"/>
    <w:rsid w:val="00FE47F0"/>
    <w:rsid w:val="00FE491F"/>
    <w:rsid w:val="00FE52DA"/>
    <w:rsid w:val="00FE5FC0"/>
    <w:rsid w:val="00FE7B5B"/>
    <w:rsid w:val="00FF016E"/>
    <w:rsid w:val="00FF09EF"/>
    <w:rsid w:val="00FF10F5"/>
    <w:rsid w:val="00FF1698"/>
    <w:rsid w:val="00FF19BE"/>
    <w:rsid w:val="00FF22C6"/>
    <w:rsid w:val="00FF3709"/>
    <w:rsid w:val="00FF3D12"/>
    <w:rsid w:val="00FF7A94"/>
    <w:rsid w:val="00FF7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qFormat="1"/>
    <w:lsdException w:name="annotation reference" w:qFormat="1"/>
    <w:lsdException w:name="List Bullet"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FC"/>
    <w:pPr>
      <w:widowControl w:val="0"/>
      <w:spacing w:after="0" w:line="240" w:lineRule="auto"/>
      <w:jc w:val="both"/>
    </w:pPr>
    <w:rPr>
      <w:rFonts w:ascii="Arial" w:eastAsia="Times New Roman" w:hAnsi="Arial" w:cs="Arial"/>
      <w:snapToGrid w:val="0"/>
      <w:szCs w:val="20"/>
    </w:rPr>
  </w:style>
  <w:style w:type="paragraph" w:styleId="Heading1">
    <w:name w:val="heading 1"/>
    <w:basedOn w:val="Normal"/>
    <w:next w:val="Normal"/>
    <w:link w:val="Heading1Char"/>
    <w:uiPriority w:val="1"/>
    <w:qFormat/>
    <w:rsid w:val="007A6EB6"/>
    <w:pPr>
      <w:ind w:left="720" w:hanging="720"/>
      <w:outlineLvl w:val="0"/>
    </w:pPr>
    <w:rPr>
      <w:rFonts w:asciiTheme="minorHAnsi" w:hAnsiTheme="minorHAnsi"/>
      <w:b/>
      <w:caps/>
      <w:sz w:val="32"/>
    </w:rPr>
  </w:style>
  <w:style w:type="paragraph" w:styleId="Heading2">
    <w:name w:val="heading 2"/>
    <w:basedOn w:val="Normal"/>
    <w:next w:val="Normal"/>
    <w:link w:val="Heading2Char"/>
    <w:uiPriority w:val="1"/>
    <w:qFormat/>
    <w:rsid w:val="000B45F5"/>
    <w:pPr>
      <w:spacing w:before="240" w:after="120"/>
      <w:outlineLvl w:val="1"/>
    </w:pPr>
    <w:rPr>
      <w:rFonts w:asciiTheme="minorHAnsi" w:hAnsiTheme="minorHAnsi"/>
      <w:b/>
      <w:i/>
      <w:sz w:val="28"/>
    </w:rPr>
  </w:style>
  <w:style w:type="paragraph" w:styleId="Heading3">
    <w:name w:val="heading 3"/>
    <w:basedOn w:val="Normal"/>
    <w:next w:val="Normal"/>
    <w:link w:val="Heading3Char"/>
    <w:uiPriority w:val="1"/>
    <w:qFormat/>
    <w:rsid w:val="004E23FC"/>
    <w:pPr>
      <w:outlineLvl w:val="2"/>
    </w:pPr>
    <w:rPr>
      <w:u w:val="single"/>
    </w:rPr>
  </w:style>
  <w:style w:type="paragraph" w:styleId="Heading4">
    <w:name w:val="heading 4"/>
    <w:aliases w:val="Heading 1 - Body"/>
    <w:basedOn w:val="Normal"/>
    <w:next w:val="Normal"/>
    <w:link w:val="Heading4Char"/>
    <w:uiPriority w:val="5"/>
    <w:qFormat/>
    <w:rsid w:val="004E23FC"/>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4E23FC"/>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4E23FC"/>
    <w:pPr>
      <w:spacing w:before="240" w:after="60"/>
      <w:outlineLvl w:val="5"/>
    </w:pPr>
    <w:rPr>
      <w:b/>
      <w:bCs/>
      <w:i/>
      <w:szCs w:val="22"/>
    </w:rPr>
  </w:style>
  <w:style w:type="paragraph" w:styleId="Heading7">
    <w:name w:val="heading 7"/>
    <w:basedOn w:val="Normal"/>
    <w:next w:val="Normal"/>
    <w:link w:val="Heading7Char"/>
    <w:uiPriority w:val="7"/>
    <w:qFormat/>
    <w:rsid w:val="004E23FC"/>
    <w:pPr>
      <w:keepNext/>
      <w:jc w:val="center"/>
      <w:outlineLvl w:val="6"/>
    </w:pPr>
    <w:rPr>
      <w:b/>
      <w:sz w:val="20"/>
    </w:rPr>
  </w:style>
  <w:style w:type="paragraph" w:styleId="Heading8">
    <w:name w:val="heading 8"/>
    <w:basedOn w:val="Normal"/>
    <w:next w:val="Normal"/>
    <w:link w:val="Heading8Char"/>
    <w:uiPriority w:val="7"/>
    <w:qFormat/>
    <w:rsid w:val="004E23FC"/>
    <w:pPr>
      <w:keepNext/>
      <w:jc w:val="right"/>
      <w:outlineLvl w:val="7"/>
    </w:pPr>
    <w:rPr>
      <w:b/>
    </w:rPr>
  </w:style>
  <w:style w:type="paragraph" w:styleId="Heading9">
    <w:name w:val="heading 9"/>
    <w:aliases w:val="Section heading - Body"/>
    <w:basedOn w:val="Normal"/>
    <w:next w:val="Normal"/>
    <w:link w:val="Heading9Char"/>
    <w:uiPriority w:val="7"/>
    <w:qFormat/>
    <w:rsid w:val="004E23FC"/>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6EB6"/>
    <w:rPr>
      <w:rFonts w:eastAsia="Times New Roman" w:cs="Arial"/>
      <w:b/>
      <w:caps/>
      <w:snapToGrid w:val="0"/>
      <w:sz w:val="32"/>
      <w:szCs w:val="20"/>
    </w:rPr>
  </w:style>
  <w:style w:type="character" w:customStyle="1" w:styleId="Heading2Char">
    <w:name w:val="Heading 2 Char"/>
    <w:basedOn w:val="DefaultParagraphFont"/>
    <w:link w:val="Heading2"/>
    <w:uiPriority w:val="1"/>
    <w:rsid w:val="000B45F5"/>
    <w:rPr>
      <w:rFonts w:eastAsia="Times New Roman" w:cs="Arial"/>
      <w:b/>
      <w:i/>
      <w:snapToGrid w:val="0"/>
      <w:sz w:val="28"/>
      <w:szCs w:val="20"/>
    </w:rPr>
  </w:style>
  <w:style w:type="character" w:customStyle="1" w:styleId="Heading3Char">
    <w:name w:val="Heading 3 Char"/>
    <w:basedOn w:val="DefaultParagraphFont"/>
    <w:link w:val="Heading3"/>
    <w:uiPriority w:val="9"/>
    <w:rsid w:val="004E23FC"/>
    <w:rPr>
      <w:rFonts w:ascii="Arial" w:eastAsia="Times New Roman" w:hAnsi="Arial" w:cs="Arial"/>
      <w:snapToGrid w:val="0"/>
      <w:szCs w:val="20"/>
      <w:u w:val="single"/>
    </w:rPr>
  </w:style>
  <w:style w:type="character" w:customStyle="1" w:styleId="Heading4Char">
    <w:name w:val="Heading 4 Char"/>
    <w:aliases w:val="Heading 1 - Body Char"/>
    <w:basedOn w:val="DefaultParagraphFont"/>
    <w:link w:val="Heading4"/>
    <w:uiPriority w:val="5"/>
    <w:rsid w:val="004E23FC"/>
    <w:rPr>
      <w:rFonts w:ascii="Arial" w:eastAsia="Times New Roman" w:hAnsi="Arial" w:cs="Arial"/>
      <w:b/>
      <w:bCs/>
      <w:i/>
      <w:snapToGrid w:val="0"/>
      <w:sz w:val="26"/>
      <w:szCs w:val="28"/>
    </w:rPr>
  </w:style>
  <w:style w:type="character" w:customStyle="1" w:styleId="Heading5Char">
    <w:name w:val="Heading 5 Char"/>
    <w:aliases w:val="Heading 2 - Body Char"/>
    <w:basedOn w:val="DefaultParagraphFont"/>
    <w:link w:val="Heading5"/>
    <w:uiPriority w:val="7"/>
    <w:rsid w:val="004E23FC"/>
    <w:rPr>
      <w:rFonts w:ascii="Arial" w:eastAsia="Times New Roman" w:hAnsi="Arial" w:cs="Arial"/>
      <w:b/>
      <w:bCs/>
      <w:iCs/>
      <w:snapToGrid w:val="0"/>
      <w:sz w:val="26"/>
      <w:szCs w:val="26"/>
    </w:rPr>
  </w:style>
  <w:style w:type="character" w:customStyle="1" w:styleId="Heading6Char">
    <w:name w:val="Heading 6 Char"/>
    <w:aliases w:val="Heading 3 - Body Char"/>
    <w:basedOn w:val="DefaultParagraphFont"/>
    <w:link w:val="Heading6"/>
    <w:uiPriority w:val="9"/>
    <w:rsid w:val="004E23FC"/>
    <w:rPr>
      <w:rFonts w:ascii="Arial" w:eastAsia="Times New Roman" w:hAnsi="Arial" w:cs="Arial"/>
      <w:b/>
      <w:bCs/>
      <w:i/>
      <w:snapToGrid w:val="0"/>
    </w:rPr>
  </w:style>
  <w:style w:type="character" w:customStyle="1" w:styleId="Heading7Char">
    <w:name w:val="Heading 7 Char"/>
    <w:basedOn w:val="DefaultParagraphFont"/>
    <w:link w:val="Heading7"/>
    <w:uiPriority w:val="7"/>
    <w:rsid w:val="004E23FC"/>
    <w:rPr>
      <w:rFonts w:ascii="Arial" w:eastAsia="Times New Roman" w:hAnsi="Arial" w:cs="Arial"/>
      <w:b/>
      <w:snapToGrid w:val="0"/>
      <w:sz w:val="20"/>
      <w:szCs w:val="20"/>
    </w:rPr>
  </w:style>
  <w:style w:type="character" w:customStyle="1" w:styleId="Heading8Char">
    <w:name w:val="Heading 8 Char"/>
    <w:basedOn w:val="DefaultParagraphFont"/>
    <w:link w:val="Heading8"/>
    <w:uiPriority w:val="7"/>
    <w:rsid w:val="004E23FC"/>
    <w:rPr>
      <w:rFonts w:ascii="Arial" w:eastAsia="Times New Roman" w:hAnsi="Arial" w:cs="Arial"/>
      <w:b/>
      <w:snapToGrid w:val="0"/>
      <w:szCs w:val="20"/>
    </w:rPr>
  </w:style>
  <w:style w:type="character" w:customStyle="1" w:styleId="Heading9Char">
    <w:name w:val="Heading 9 Char"/>
    <w:aliases w:val="Section heading - Body Char"/>
    <w:basedOn w:val="DefaultParagraphFont"/>
    <w:link w:val="Heading9"/>
    <w:uiPriority w:val="7"/>
    <w:rsid w:val="004E23FC"/>
    <w:rPr>
      <w:rFonts w:ascii="Arial" w:eastAsia="Times New Roman" w:hAnsi="Arial" w:cs="Arial"/>
      <w:b/>
      <w:snapToGrid w:val="0"/>
      <w:color w:val="000000"/>
      <w:sz w:val="20"/>
      <w:szCs w:val="20"/>
    </w:rPr>
  </w:style>
  <w:style w:type="paragraph" w:customStyle="1" w:styleId="TableFooter">
    <w:name w:val="Table Footer"/>
    <w:basedOn w:val="Normal"/>
    <w:link w:val="TableFooterChar"/>
    <w:qFormat/>
    <w:rsid w:val="004E23FC"/>
    <w:rPr>
      <w:rFonts w:ascii="Arial Narrow" w:hAnsi="Arial Narrow"/>
      <w:sz w:val="18"/>
    </w:rPr>
  </w:style>
  <w:style w:type="paragraph" w:customStyle="1" w:styleId="TableHeader">
    <w:name w:val="Table Header"/>
    <w:basedOn w:val="Normal"/>
    <w:uiPriority w:val="3"/>
    <w:qFormat/>
    <w:rsid w:val="004E23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4E23FC"/>
    <w:pPr>
      <w:spacing w:after="200"/>
    </w:pPr>
    <w:rPr>
      <w:b/>
      <w:bCs/>
      <w:color w:val="5B9BD5"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4E23FC"/>
    <w:rPr>
      <w:rFonts w:ascii="Arial" w:eastAsia="Times New Roman" w:hAnsi="Arial" w:cs="Arial"/>
      <w:b/>
      <w:bCs/>
      <w:snapToGrid w:val="0"/>
      <w:color w:val="5B9BD5" w:themeColor="accent1"/>
      <w:sz w:val="18"/>
      <w:szCs w:val="18"/>
    </w:rPr>
  </w:style>
  <w:style w:type="paragraph" w:styleId="Title">
    <w:name w:val="Title"/>
    <w:basedOn w:val="Normal"/>
    <w:next w:val="Normal"/>
    <w:link w:val="TitleChar"/>
    <w:uiPriority w:val="7"/>
    <w:rsid w:val="004E23F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4E23FC"/>
    <w:rPr>
      <w:rFonts w:ascii="Cambria" w:eastAsia="Times New Roman" w:hAnsi="Cambria" w:cs="Arial"/>
      <w:b/>
      <w:bCs/>
      <w:snapToGrid w:val="0"/>
      <w:kern w:val="28"/>
      <w:sz w:val="32"/>
      <w:szCs w:val="32"/>
    </w:rPr>
  </w:style>
  <w:style w:type="paragraph" w:styleId="BodyText">
    <w:name w:val="Body Text"/>
    <w:basedOn w:val="Normal"/>
    <w:link w:val="BodyTextChar"/>
    <w:qFormat/>
    <w:rsid w:val="004E23FC"/>
    <w:pPr>
      <w:jc w:val="left"/>
    </w:pPr>
  </w:style>
  <w:style w:type="character" w:customStyle="1" w:styleId="BodyTextChar">
    <w:name w:val="Body Text Char"/>
    <w:basedOn w:val="DefaultParagraphFont"/>
    <w:link w:val="BodyText"/>
    <w:rsid w:val="004E23FC"/>
    <w:rPr>
      <w:rFonts w:ascii="Arial" w:eastAsia="Times New Roman" w:hAnsi="Arial" w:cs="Arial"/>
      <w:snapToGrid w:val="0"/>
      <w:szCs w:val="20"/>
    </w:rPr>
  </w:style>
  <w:style w:type="paragraph" w:styleId="ListParagraph">
    <w:name w:val="List Paragraph"/>
    <w:aliases w:val="BulletPoints,Footnote,Bullet point,List Paragraph1,List Paragraph11,Recommendation"/>
    <w:basedOn w:val="Normal"/>
    <w:link w:val="ListParagraphChar"/>
    <w:uiPriority w:val="34"/>
    <w:qFormat/>
    <w:rsid w:val="004E23FC"/>
    <w:pPr>
      <w:ind w:left="720"/>
      <w:contextualSpacing/>
    </w:pPr>
  </w:style>
  <w:style w:type="paragraph" w:customStyle="1" w:styleId="RegularText">
    <w:name w:val="Regular Text"/>
    <w:basedOn w:val="BodyText"/>
    <w:link w:val="RegularTextChar"/>
    <w:uiPriority w:val="9"/>
    <w:rsid w:val="004E23FC"/>
    <w:rPr>
      <w:b/>
    </w:rPr>
  </w:style>
  <w:style w:type="paragraph" w:styleId="NoSpacing">
    <w:name w:val="No Spacing"/>
    <w:uiPriority w:val="1"/>
    <w:qFormat/>
    <w:rsid w:val="004E23FC"/>
    <w:pPr>
      <w:widowControl w:val="0"/>
      <w:spacing w:after="0" w:line="240" w:lineRule="auto"/>
      <w:jc w:val="both"/>
    </w:pPr>
    <w:rPr>
      <w:rFonts w:ascii="Arial" w:eastAsia="Times New Roman" w:hAnsi="Arial" w:cs="Arial"/>
      <w:snapToGrid w:val="0"/>
      <w:szCs w:val="20"/>
    </w:rPr>
  </w:style>
  <w:style w:type="character" w:customStyle="1" w:styleId="RegularTextChar">
    <w:name w:val="Regular Text Char"/>
    <w:basedOn w:val="BodyTextChar"/>
    <w:link w:val="RegularText"/>
    <w:uiPriority w:val="9"/>
    <w:rsid w:val="004E23FC"/>
    <w:rPr>
      <w:rFonts w:ascii="Arial" w:eastAsia="Times New Roman" w:hAnsi="Arial" w:cs="Arial"/>
      <w:b/>
      <w:snapToGrid w:val="0"/>
      <w:szCs w:val="20"/>
    </w:rPr>
  </w:style>
  <w:style w:type="paragraph" w:styleId="Header">
    <w:name w:val="header"/>
    <w:aliases w:val="Page Header,Header title,he=header,cntr/bld"/>
    <w:basedOn w:val="Normal"/>
    <w:link w:val="HeaderChar"/>
    <w:uiPriority w:val="99"/>
    <w:rsid w:val="004E23F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4E23FC"/>
    <w:rPr>
      <w:rFonts w:ascii="Arial" w:eastAsia="Times New Roman" w:hAnsi="Arial" w:cs="Arial"/>
      <w:snapToGrid w:val="0"/>
      <w:szCs w:val="20"/>
    </w:rPr>
  </w:style>
  <w:style w:type="paragraph" w:styleId="Footer">
    <w:name w:val="footer"/>
    <w:basedOn w:val="Normal"/>
    <w:link w:val="FooterChar"/>
    <w:uiPriority w:val="99"/>
    <w:rsid w:val="004E23FC"/>
    <w:pPr>
      <w:tabs>
        <w:tab w:val="center" w:pos="4513"/>
        <w:tab w:val="right" w:pos="9026"/>
      </w:tabs>
    </w:pPr>
  </w:style>
  <w:style w:type="character" w:customStyle="1" w:styleId="FooterChar">
    <w:name w:val="Footer Char"/>
    <w:basedOn w:val="DefaultParagraphFont"/>
    <w:link w:val="Footer"/>
    <w:uiPriority w:val="99"/>
    <w:rsid w:val="004E23FC"/>
    <w:rPr>
      <w:rFonts w:ascii="Arial" w:eastAsia="Times New Roman" w:hAnsi="Arial" w:cs="Arial"/>
      <w:snapToGrid w:val="0"/>
      <w:szCs w:val="20"/>
    </w:rPr>
  </w:style>
  <w:style w:type="table" w:styleId="TableGrid">
    <w:name w:val="Table Grid"/>
    <w:aliases w:val="Summary box,Table Gridbeth"/>
    <w:basedOn w:val="TableNormal"/>
    <w:rsid w:val="004E23F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4E23FC"/>
    <w:rPr>
      <w:rFonts w:ascii="Arial Narrow" w:hAnsi="Arial Narrow"/>
      <w:b/>
      <w:sz w:val="20"/>
      <w:szCs w:val="16"/>
    </w:rPr>
  </w:style>
  <w:style w:type="paragraph" w:customStyle="1" w:styleId="Tabletext">
    <w:name w:val="Table text"/>
    <w:basedOn w:val="Normal"/>
    <w:link w:val="TabletextChar"/>
    <w:qFormat/>
    <w:rsid w:val="004E23FC"/>
    <w:pPr>
      <w:widowControl/>
      <w:spacing w:after="120"/>
      <w:jc w:val="left"/>
    </w:pPr>
    <w:rPr>
      <w:rFonts w:cs="Times New Roman"/>
      <w:snapToGrid/>
      <w:sz w:val="20"/>
    </w:rPr>
  </w:style>
  <w:style w:type="paragraph" w:customStyle="1" w:styleId="TableHeading">
    <w:name w:val="TableHeading"/>
    <w:basedOn w:val="Normal"/>
    <w:qFormat/>
    <w:rsid w:val="004E23FC"/>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4E23FC"/>
    <w:rPr>
      <w:rFonts w:ascii="Arial" w:eastAsia="Times New Roman" w:hAnsi="Arial" w:cs="Times New Roman"/>
      <w:sz w:val="20"/>
      <w:szCs w:val="20"/>
    </w:rPr>
  </w:style>
  <w:style w:type="paragraph" w:customStyle="1" w:styleId="Corpsdetextemarge">
    <w:name w:val="Corps de texte marge"/>
    <w:basedOn w:val="BodyText"/>
    <w:uiPriority w:val="99"/>
    <w:rsid w:val="004E23FC"/>
    <w:pPr>
      <w:widowControl/>
      <w:jc w:val="both"/>
    </w:pPr>
    <w:rPr>
      <w:rFonts w:ascii="Times" w:hAnsi="Times" w:cs="Times New Roman"/>
      <w:snapToGrid/>
      <w:sz w:val="24"/>
      <w:lang w:val="en-US"/>
    </w:rPr>
  </w:style>
  <w:style w:type="paragraph" w:styleId="NormalWeb">
    <w:name w:val="Normal (Web)"/>
    <w:basedOn w:val="Normal"/>
    <w:uiPriority w:val="99"/>
    <w:rsid w:val="004E23FC"/>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4E23FC"/>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4E23FC"/>
    <w:pPr>
      <w:spacing w:before="240" w:after="120"/>
      <w:jc w:val="left"/>
    </w:pPr>
    <w:rPr>
      <w:bCs/>
      <w:sz w:val="20"/>
    </w:rPr>
  </w:style>
  <w:style w:type="character" w:styleId="Hyperlink">
    <w:name w:val="Hyperlink"/>
    <w:basedOn w:val="DefaultParagraphFont"/>
    <w:uiPriority w:val="99"/>
    <w:unhideWhenUsed/>
    <w:rsid w:val="004E23FC"/>
    <w:rPr>
      <w:color w:val="0563C1" w:themeColor="hyperlink"/>
      <w:u w:val="single"/>
    </w:rPr>
  </w:style>
  <w:style w:type="paragraph" w:styleId="TOCHeading">
    <w:name w:val="TOC Heading"/>
    <w:basedOn w:val="Heading1"/>
    <w:next w:val="Normal"/>
    <w:uiPriority w:val="39"/>
    <w:unhideWhenUsed/>
    <w:qFormat/>
    <w:rsid w:val="004E23FC"/>
    <w:pPr>
      <w:keepNext/>
      <w:keepLines/>
      <w:widowControl/>
      <w:spacing w:before="480" w:line="276" w:lineRule="auto"/>
      <w:ind w:left="0" w:firstLine="0"/>
      <w:jc w:val="left"/>
      <w:outlineLvl w:val="9"/>
    </w:pPr>
    <w:rPr>
      <w:rFonts w:asciiTheme="majorHAnsi" w:eastAsiaTheme="majorEastAsia" w:hAnsiTheme="majorHAnsi" w:cstheme="majorBidi"/>
      <w:bCs/>
      <w:snapToGrid/>
      <w:color w:val="2E74B5" w:themeColor="accent1" w:themeShade="BF"/>
      <w:sz w:val="28"/>
      <w:szCs w:val="28"/>
      <w:lang w:val="en-US" w:eastAsia="ja-JP"/>
    </w:rPr>
  </w:style>
  <w:style w:type="paragraph" w:styleId="TOC3">
    <w:name w:val="toc 3"/>
    <w:basedOn w:val="Normal"/>
    <w:next w:val="Normal"/>
    <w:autoRedefine/>
    <w:uiPriority w:val="39"/>
    <w:unhideWhenUsed/>
    <w:qFormat/>
    <w:rsid w:val="004E23FC"/>
    <w:pPr>
      <w:ind w:left="440"/>
      <w:jc w:val="left"/>
    </w:pPr>
    <w:rPr>
      <w:rFonts w:asciiTheme="minorHAnsi" w:hAnsiTheme="minorHAnsi"/>
      <w:sz w:val="20"/>
    </w:rPr>
  </w:style>
  <w:style w:type="paragraph" w:styleId="BalloonText">
    <w:name w:val="Balloon Text"/>
    <w:basedOn w:val="Normal"/>
    <w:link w:val="BalloonTextChar"/>
    <w:uiPriority w:val="9"/>
    <w:rsid w:val="004E23FC"/>
    <w:rPr>
      <w:rFonts w:ascii="Tahoma" w:hAnsi="Tahoma" w:cs="Tahoma"/>
      <w:sz w:val="16"/>
      <w:szCs w:val="16"/>
    </w:rPr>
  </w:style>
  <w:style w:type="character" w:customStyle="1" w:styleId="BalloonTextChar">
    <w:name w:val="Balloon Text Char"/>
    <w:basedOn w:val="DefaultParagraphFont"/>
    <w:link w:val="BalloonText"/>
    <w:uiPriority w:val="9"/>
    <w:rsid w:val="004E23FC"/>
    <w:rPr>
      <w:rFonts w:ascii="Tahoma" w:eastAsia="Times New Roman" w:hAnsi="Tahoma" w:cs="Tahoma"/>
      <w:snapToGrid w:val="0"/>
      <w:sz w:val="16"/>
      <w:szCs w:val="16"/>
    </w:rPr>
  </w:style>
  <w:style w:type="paragraph" w:styleId="BodyText3">
    <w:name w:val="Body Text 3"/>
    <w:basedOn w:val="Normal"/>
    <w:link w:val="BodyText3Char"/>
    <w:uiPriority w:val="9"/>
    <w:rsid w:val="004E23FC"/>
    <w:pPr>
      <w:spacing w:after="120"/>
    </w:pPr>
    <w:rPr>
      <w:sz w:val="16"/>
      <w:szCs w:val="16"/>
    </w:rPr>
  </w:style>
  <w:style w:type="character" w:customStyle="1" w:styleId="BodyText3Char">
    <w:name w:val="Body Text 3 Char"/>
    <w:basedOn w:val="DefaultParagraphFont"/>
    <w:link w:val="BodyText3"/>
    <w:uiPriority w:val="9"/>
    <w:rsid w:val="004E23FC"/>
    <w:rPr>
      <w:rFonts w:ascii="Arial" w:eastAsia="Times New Roman" w:hAnsi="Arial" w:cs="Arial"/>
      <w:snapToGrid w:val="0"/>
      <w:sz w:val="16"/>
      <w:szCs w:val="16"/>
    </w:rPr>
  </w:style>
  <w:style w:type="paragraph" w:styleId="TOC4">
    <w:name w:val="toc 4"/>
    <w:basedOn w:val="Normal"/>
    <w:next w:val="Normal"/>
    <w:autoRedefine/>
    <w:uiPriority w:val="9"/>
    <w:rsid w:val="004E23FC"/>
    <w:pPr>
      <w:ind w:left="660"/>
      <w:jc w:val="left"/>
    </w:pPr>
    <w:rPr>
      <w:rFonts w:asciiTheme="minorHAnsi" w:hAnsiTheme="minorHAnsi"/>
      <w:sz w:val="20"/>
    </w:rPr>
  </w:style>
  <w:style w:type="paragraph" w:styleId="TOC5">
    <w:name w:val="toc 5"/>
    <w:basedOn w:val="Normal"/>
    <w:next w:val="Normal"/>
    <w:autoRedefine/>
    <w:uiPriority w:val="9"/>
    <w:rsid w:val="004E23FC"/>
    <w:pPr>
      <w:ind w:left="880"/>
      <w:jc w:val="left"/>
    </w:pPr>
    <w:rPr>
      <w:rFonts w:asciiTheme="minorHAnsi" w:hAnsiTheme="minorHAnsi"/>
      <w:sz w:val="20"/>
    </w:rPr>
  </w:style>
  <w:style w:type="paragraph" w:styleId="TOC6">
    <w:name w:val="toc 6"/>
    <w:basedOn w:val="Normal"/>
    <w:next w:val="Normal"/>
    <w:autoRedefine/>
    <w:uiPriority w:val="9"/>
    <w:rsid w:val="004E23FC"/>
    <w:pPr>
      <w:ind w:left="1100"/>
      <w:jc w:val="left"/>
    </w:pPr>
    <w:rPr>
      <w:rFonts w:asciiTheme="minorHAnsi" w:hAnsiTheme="minorHAnsi"/>
      <w:sz w:val="20"/>
    </w:rPr>
  </w:style>
  <w:style w:type="paragraph" w:styleId="TOC7">
    <w:name w:val="toc 7"/>
    <w:basedOn w:val="Normal"/>
    <w:next w:val="Normal"/>
    <w:autoRedefine/>
    <w:uiPriority w:val="9"/>
    <w:rsid w:val="004E23FC"/>
    <w:pPr>
      <w:ind w:left="1320"/>
      <w:jc w:val="left"/>
    </w:pPr>
    <w:rPr>
      <w:rFonts w:asciiTheme="minorHAnsi" w:hAnsiTheme="minorHAnsi"/>
      <w:sz w:val="20"/>
    </w:rPr>
  </w:style>
  <w:style w:type="paragraph" w:styleId="TOC8">
    <w:name w:val="toc 8"/>
    <w:basedOn w:val="Normal"/>
    <w:next w:val="Normal"/>
    <w:autoRedefine/>
    <w:uiPriority w:val="9"/>
    <w:rsid w:val="004E23FC"/>
    <w:pPr>
      <w:ind w:left="1540"/>
      <w:jc w:val="left"/>
    </w:pPr>
    <w:rPr>
      <w:rFonts w:asciiTheme="minorHAnsi" w:hAnsiTheme="minorHAnsi"/>
      <w:sz w:val="20"/>
    </w:rPr>
  </w:style>
  <w:style w:type="paragraph" w:styleId="TOC9">
    <w:name w:val="toc 9"/>
    <w:basedOn w:val="Normal"/>
    <w:next w:val="Normal"/>
    <w:autoRedefine/>
    <w:uiPriority w:val="9"/>
    <w:rsid w:val="004E23FC"/>
    <w:pPr>
      <w:ind w:left="1760"/>
      <w:jc w:val="left"/>
    </w:pPr>
    <w:rPr>
      <w:rFonts w:asciiTheme="minorHAnsi" w:hAnsiTheme="minorHAnsi"/>
      <w:sz w:val="20"/>
    </w:rPr>
  </w:style>
  <w:style w:type="paragraph" w:styleId="BodyText2">
    <w:name w:val="Body Text 2"/>
    <w:basedOn w:val="Normal"/>
    <w:link w:val="BodyText2Char"/>
    <w:uiPriority w:val="9"/>
    <w:rsid w:val="004E23FC"/>
    <w:pPr>
      <w:spacing w:after="120" w:line="480" w:lineRule="auto"/>
    </w:pPr>
  </w:style>
  <w:style w:type="character" w:customStyle="1" w:styleId="BodyText2Char">
    <w:name w:val="Body Text 2 Char"/>
    <w:basedOn w:val="DefaultParagraphFont"/>
    <w:link w:val="BodyText2"/>
    <w:uiPriority w:val="9"/>
    <w:rsid w:val="004E23FC"/>
    <w:rPr>
      <w:rFonts w:ascii="Arial" w:eastAsia="Times New Roman" w:hAnsi="Arial" w:cs="Arial"/>
      <w:snapToGrid w:val="0"/>
      <w:szCs w:val="20"/>
    </w:rPr>
  </w:style>
  <w:style w:type="paragraph" w:styleId="CommentText">
    <w:name w:val="annotation text"/>
    <w:basedOn w:val="Normal"/>
    <w:link w:val="CommentTextChar"/>
    <w:uiPriority w:val="99"/>
    <w:rsid w:val="004E23FC"/>
    <w:rPr>
      <w:rFonts w:ascii="Times New Roman" w:hAnsi="Times New Roman" w:cs="Times New Roman"/>
      <w:sz w:val="20"/>
    </w:rPr>
  </w:style>
  <w:style w:type="character" w:customStyle="1" w:styleId="CommentTextChar">
    <w:name w:val="Comment Text Char"/>
    <w:basedOn w:val="DefaultParagraphFont"/>
    <w:link w:val="CommentText"/>
    <w:uiPriority w:val="99"/>
    <w:rsid w:val="004E23FC"/>
    <w:rPr>
      <w:rFonts w:ascii="Times New Roman" w:eastAsia="Times New Roman" w:hAnsi="Times New Roman" w:cs="Times New Roman"/>
      <w:snapToGrid w:val="0"/>
      <w:sz w:val="20"/>
      <w:szCs w:val="20"/>
    </w:rPr>
  </w:style>
  <w:style w:type="paragraph" w:customStyle="1" w:styleId="TableText0">
    <w:name w:val="TableText"/>
    <w:basedOn w:val="Normal"/>
    <w:uiPriority w:val="9"/>
    <w:rsid w:val="004E23FC"/>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4E23FC"/>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4E23FC"/>
    <w:pPr>
      <w:keepNext w:val="0"/>
      <w:keepLines/>
      <w:spacing w:before="0" w:after="360"/>
      <w:ind w:left="720"/>
    </w:pPr>
    <w:rPr>
      <w:sz w:val="18"/>
      <w:szCs w:val="18"/>
    </w:rPr>
  </w:style>
  <w:style w:type="paragraph" w:customStyle="1" w:styleId="TableNotes0">
    <w:name w:val="TableNotes+0"/>
    <w:basedOn w:val="TableNotes18"/>
    <w:rsid w:val="004E23FC"/>
    <w:pPr>
      <w:keepNext/>
      <w:spacing w:after="0"/>
    </w:pPr>
  </w:style>
  <w:style w:type="paragraph" w:styleId="CommentSubject">
    <w:name w:val="annotation subject"/>
    <w:basedOn w:val="CommentText"/>
    <w:next w:val="CommentText"/>
    <w:link w:val="CommentSubjectChar"/>
    <w:uiPriority w:val="9"/>
    <w:rsid w:val="004E23FC"/>
    <w:rPr>
      <w:rFonts w:ascii="Arial" w:hAnsi="Arial" w:cs="Arial"/>
      <w:b/>
      <w:bCs/>
    </w:rPr>
  </w:style>
  <w:style w:type="character" w:customStyle="1" w:styleId="CommentSubjectChar">
    <w:name w:val="Comment Subject Char"/>
    <w:basedOn w:val="CommentTextChar"/>
    <w:link w:val="CommentSubject"/>
    <w:uiPriority w:val="9"/>
    <w:rsid w:val="004E23FC"/>
    <w:rPr>
      <w:rFonts w:ascii="Arial" w:eastAsia="Times New Roman" w:hAnsi="Arial" w:cs="Arial"/>
      <w:b/>
      <w:bCs/>
      <w:snapToGrid w:val="0"/>
      <w:sz w:val="20"/>
      <w:szCs w:val="20"/>
    </w:rPr>
  </w:style>
  <w:style w:type="paragraph" w:styleId="Revision">
    <w:name w:val="Revision"/>
    <w:hidden/>
    <w:uiPriority w:val="99"/>
    <w:semiHidden/>
    <w:rsid w:val="004E23FC"/>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4E23FC"/>
    <w:pPr>
      <w:spacing w:after="120"/>
      <w:ind w:left="283"/>
    </w:pPr>
  </w:style>
  <w:style w:type="character" w:customStyle="1" w:styleId="BodyTextIndentChar">
    <w:name w:val="Body Text Indent Char"/>
    <w:basedOn w:val="DefaultParagraphFont"/>
    <w:link w:val="BodyTextIndent"/>
    <w:uiPriority w:val="9"/>
    <w:rsid w:val="004E23FC"/>
    <w:rPr>
      <w:rFonts w:ascii="Arial" w:eastAsia="Times New Roman" w:hAnsi="Arial" w:cs="Arial"/>
      <w:snapToGrid w:val="0"/>
      <w:szCs w:val="20"/>
    </w:rPr>
  </w:style>
  <w:style w:type="paragraph" w:customStyle="1" w:styleId="Char1CharCharChar">
    <w:name w:val="Char1 Char Char Char"/>
    <w:basedOn w:val="Normal"/>
    <w:uiPriority w:val="9"/>
    <w:rsid w:val="004E23FC"/>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4E23FC"/>
    <w:pPr>
      <w:numPr>
        <w:numId w:val="49"/>
      </w:numPr>
      <w:spacing w:after="0" w:line="240" w:lineRule="auto"/>
    </w:pPr>
    <w:rPr>
      <w:rFonts w:ascii="Arial" w:eastAsia="Times New Roman" w:hAnsi="Arial" w:cs="Arial"/>
      <w:snapToGrid w:val="0"/>
    </w:rPr>
  </w:style>
  <w:style w:type="paragraph" w:customStyle="1" w:styleId="V50Heading2nonumbers">
    <w:name w:val="V5.0 Heading 2 no numbers"/>
    <w:basedOn w:val="Heading2"/>
    <w:qFormat/>
    <w:rsid w:val="004E23FC"/>
    <w:pPr>
      <w:keepNext/>
      <w:keepLines/>
      <w:widowControl/>
      <w:ind w:left="578" w:hanging="578"/>
      <w:jc w:val="left"/>
    </w:pPr>
    <w:rPr>
      <w:rFonts w:eastAsiaTheme="majorEastAsia" w:cstheme="majorBidi"/>
      <w:i w:val="0"/>
      <w:snapToGrid/>
      <w:szCs w:val="28"/>
    </w:rPr>
  </w:style>
  <w:style w:type="paragraph" w:customStyle="1" w:styleId="V50Instructions">
    <w:name w:val="V5.0 Instructions"/>
    <w:basedOn w:val="Normal"/>
    <w:link w:val="V50InstructionsChar"/>
    <w:qFormat/>
    <w:rsid w:val="004E23FC"/>
    <w:pPr>
      <w:widowControl/>
      <w:spacing w:before="120" w:after="160"/>
      <w:jc w:val="left"/>
    </w:pPr>
    <w:rPr>
      <w:rFonts w:asciiTheme="minorHAnsi" w:eastAsiaTheme="minorHAnsi" w:hAnsiTheme="minorHAnsi" w:cstheme="minorBidi"/>
      <w:snapToGrid/>
      <w:color w:val="4472C4" w:themeColor="accent5"/>
      <w:sz w:val="24"/>
      <w:szCs w:val="22"/>
    </w:rPr>
  </w:style>
  <w:style w:type="paragraph" w:customStyle="1" w:styleId="V50Heading1nonumbers">
    <w:name w:val="V5.0 Heading 1 no numbers"/>
    <w:basedOn w:val="Heading1"/>
    <w:qFormat/>
    <w:rsid w:val="004E23FC"/>
    <w:pPr>
      <w:keepNext/>
      <w:keepLines/>
      <w:widowControl/>
      <w:spacing w:before="400" w:after="120"/>
      <w:ind w:left="0" w:firstLine="0"/>
      <w:jc w:val="left"/>
    </w:pPr>
    <w:rPr>
      <w:rFonts w:eastAsiaTheme="majorEastAsia" w:cstheme="majorBidi"/>
      <w:caps w:val="0"/>
      <w:snapToGrid/>
      <w:szCs w:val="28"/>
    </w:rPr>
  </w:style>
  <w:style w:type="paragraph" w:customStyle="1" w:styleId="V50TableText">
    <w:name w:val="V5.0 TableText"/>
    <w:link w:val="V50TableTextChar"/>
    <w:qFormat/>
    <w:rsid w:val="004E23FC"/>
    <w:pPr>
      <w:spacing w:after="0" w:line="240" w:lineRule="auto"/>
    </w:pPr>
    <w:rPr>
      <w:sz w:val="20"/>
      <w:szCs w:val="24"/>
      <w:lang w:val="en-US"/>
    </w:rPr>
  </w:style>
  <w:style w:type="paragraph" w:customStyle="1" w:styleId="V50TableTextInstruction">
    <w:name w:val="V5.0 TableText Instruction"/>
    <w:basedOn w:val="V50TableText"/>
    <w:qFormat/>
    <w:rsid w:val="004E23FC"/>
    <w:rPr>
      <w:b/>
      <w:color w:val="4472C4" w:themeColor="accent5"/>
    </w:rPr>
  </w:style>
  <w:style w:type="paragraph" w:customStyle="1" w:styleId="V50InstructionsBullets">
    <w:name w:val="V5.0 Instructions Bullets"/>
    <w:basedOn w:val="V50Instructions"/>
    <w:qFormat/>
    <w:rsid w:val="004E23FC"/>
    <w:pPr>
      <w:numPr>
        <w:numId w:val="6"/>
      </w:numPr>
      <w:spacing w:before="0" w:after="0"/>
      <w:ind w:left="714" w:hanging="357"/>
    </w:pPr>
  </w:style>
  <w:style w:type="table" w:customStyle="1" w:styleId="TableGridLight1">
    <w:name w:val="Table Grid Light1"/>
    <w:basedOn w:val="TableNormal"/>
    <w:uiPriority w:val="40"/>
    <w:rsid w:val="004E23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4E23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4E23FC"/>
    <w:pPr>
      <w:keepNext/>
      <w:widowControl/>
      <w:spacing w:before="40" w:after="40"/>
      <w:jc w:val="left"/>
    </w:pPr>
    <w:rPr>
      <w:rFonts w:ascii="Arial Narrow" w:eastAsiaTheme="minorHAnsi" w:hAnsi="Arial Narrow" w:cstheme="minorBidi"/>
      <w:snapToGrid/>
      <w:sz w:val="20"/>
      <w:szCs w:val="22"/>
    </w:rPr>
  </w:style>
  <w:style w:type="paragraph" w:styleId="FootnoteText">
    <w:name w:val="footnote text"/>
    <w:aliases w:val="Char,wcp_Footnote,Footnote_Bas Page,Footnote Text Char Char,Footnote Text Char2,Footnote Text Char Char1"/>
    <w:basedOn w:val="Normal"/>
    <w:link w:val="FootnoteTextChar"/>
    <w:unhideWhenUsed/>
    <w:rsid w:val="004E23FC"/>
    <w:pPr>
      <w:widowControl/>
      <w:jc w:val="left"/>
    </w:pPr>
    <w:rPr>
      <w:rFonts w:asciiTheme="minorHAnsi" w:eastAsiaTheme="minorHAnsi" w:hAnsiTheme="minorHAnsi" w:cstheme="minorBidi"/>
      <w:snapToGrid/>
      <w:sz w:val="18"/>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4E23FC"/>
    <w:rPr>
      <w:sz w:val="18"/>
      <w:szCs w:val="20"/>
    </w:rPr>
  </w:style>
  <w:style w:type="character" w:styleId="FootnoteReference">
    <w:name w:val="footnote reference"/>
    <w:basedOn w:val="DefaultParagraphFont"/>
    <w:uiPriority w:val="99"/>
    <w:unhideWhenUsed/>
    <w:rsid w:val="004E23FC"/>
    <w:rPr>
      <w:vertAlign w:val="superscript"/>
    </w:rPr>
  </w:style>
  <w:style w:type="paragraph" w:customStyle="1" w:styleId="TableFigNoteLast">
    <w:name w:val="TableFigNote Last"/>
    <w:basedOn w:val="Normal"/>
    <w:qFormat/>
    <w:rsid w:val="004E23FC"/>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4E23FC"/>
    <w:rPr>
      <w:b w:val="0"/>
      <w:i/>
      <w:iCs/>
    </w:rPr>
  </w:style>
  <w:style w:type="paragraph" w:customStyle="1" w:styleId="TableHeading0">
    <w:name w:val="Table Heading"/>
    <w:basedOn w:val="Normal"/>
    <w:qFormat/>
    <w:rsid w:val="004E23FC"/>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4E23FC"/>
    <w:rPr>
      <w:color w:val="4472C4" w:themeColor="accent5"/>
      <w:sz w:val="24"/>
    </w:rPr>
  </w:style>
  <w:style w:type="character" w:customStyle="1" w:styleId="V50TableTextChar">
    <w:name w:val="V5.0 TableText Char"/>
    <w:basedOn w:val="DefaultParagraphFont"/>
    <w:link w:val="V50TableText"/>
    <w:rsid w:val="004E23FC"/>
    <w:rPr>
      <w:sz w:val="20"/>
      <w:szCs w:val="24"/>
      <w:lang w:val="en-US"/>
    </w:rPr>
  </w:style>
  <w:style w:type="paragraph" w:customStyle="1" w:styleId="V50Tablename">
    <w:name w:val="V5.0 Table name"/>
    <w:basedOn w:val="V50TableText"/>
    <w:link w:val="V50TablenameChar"/>
    <w:qFormat/>
    <w:rsid w:val="004E23FC"/>
    <w:pPr>
      <w:keepNext/>
    </w:pPr>
    <w:rPr>
      <w:b/>
    </w:rPr>
  </w:style>
  <w:style w:type="character" w:customStyle="1" w:styleId="V50TablenameChar">
    <w:name w:val="V5.0 Table name Char"/>
    <w:basedOn w:val="DefaultParagraphFont"/>
    <w:link w:val="V50Tablename"/>
    <w:rsid w:val="004E23FC"/>
    <w:rPr>
      <w:b/>
      <w:sz w:val="20"/>
      <w:szCs w:val="24"/>
      <w:lang w:val="en-US"/>
    </w:rPr>
  </w:style>
  <w:style w:type="paragraph" w:customStyle="1" w:styleId="V50Tablenote">
    <w:name w:val="V5.0 Tablenote"/>
    <w:basedOn w:val="V50TableText"/>
    <w:link w:val="V50TablenoteChar"/>
    <w:qFormat/>
    <w:rsid w:val="004E23FC"/>
    <w:pPr>
      <w:spacing w:after="120"/>
      <w:contextualSpacing/>
      <w:jc w:val="both"/>
    </w:pPr>
    <w:rPr>
      <w:sz w:val="18"/>
      <w:szCs w:val="18"/>
    </w:rPr>
  </w:style>
  <w:style w:type="character" w:customStyle="1" w:styleId="V50TablenoteChar">
    <w:name w:val="V5.0 Tablenote Char"/>
    <w:basedOn w:val="DefaultParagraphFont"/>
    <w:link w:val="V50Tablenote"/>
    <w:rsid w:val="004E23FC"/>
    <w:rPr>
      <w:sz w:val="18"/>
      <w:szCs w:val="18"/>
      <w:lang w:val="en-US"/>
    </w:rPr>
  </w:style>
  <w:style w:type="character" w:customStyle="1" w:styleId="TableFooterChar">
    <w:name w:val="Table Footer Char"/>
    <w:link w:val="TableFooter"/>
    <w:rsid w:val="004E23FC"/>
    <w:rPr>
      <w:rFonts w:ascii="Arial Narrow" w:eastAsia="Times New Roman" w:hAnsi="Arial Narrow" w:cs="Arial"/>
      <w:snapToGrid w:val="0"/>
      <w:sz w:val="18"/>
      <w:szCs w:val="20"/>
    </w:rPr>
  </w:style>
  <w:style w:type="paragraph" w:customStyle="1" w:styleId="TableNotes">
    <w:name w:val="TableNotes"/>
    <w:basedOn w:val="Normal"/>
    <w:qFormat/>
    <w:rsid w:val="004E23FC"/>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4E23FC"/>
    <w:pPr>
      <w:widowControl/>
    </w:pPr>
    <w:rPr>
      <w:rFonts w:asciiTheme="minorHAnsi" w:eastAsiaTheme="minorHAnsi" w:hAnsiTheme="minorHAnsi"/>
      <w:snapToGrid/>
      <w:sz w:val="18"/>
      <w:szCs w:val="18"/>
      <w:lang w:val="en-US" w:eastAsia="en-AU"/>
    </w:rPr>
  </w:style>
  <w:style w:type="character" w:customStyle="1" w:styleId="oldTablefooterChar">
    <w:name w:val="old Table footer Char"/>
    <w:basedOn w:val="V50TableTextChar"/>
    <w:link w:val="oldTablefooter"/>
    <w:rsid w:val="004E23FC"/>
    <w:rPr>
      <w:rFonts w:cs="Arial"/>
      <w:sz w:val="18"/>
      <w:szCs w:val="18"/>
      <w:lang w:val="en-US" w:eastAsia="en-AU"/>
    </w:rPr>
  </w:style>
  <w:style w:type="character" w:customStyle="1" w:styleId="SubtitleChar">
    <w:name w:val="Subtitle Char"/>
    <w:link w:val="Subtitle"/>
    <w:uiPriority w:val="9"/>
    <w:rsid w:val="004E23FC"/>
  </w:style>
  <w:style w:type="paragraph" w:styleId="Subtitle">
    <w:name w:val="Subtitle"/>
    <w:basedOn w:val="Normal"/>
    <w:link w:val="SubtitleChar"/>
    <w:qFormat/>
    <w:rsid w:val="004E23FC"/>
    <w:pPr>
      <w:widowControl/>
    </w:pPr>
    <w:rPr>
      <w:rFonts w:asciiTheme="minorHAnsi" w:eastAsiaTheme="minorHAnsi" w:hAnsiTheme="minorHAnsi" w:cstheme="minorBidi"/>
      <w:snapToGrid/>
      <w:szCs w:val="22"/>
    </w:rPr>
  </w:style>
  <w:style w:type="character" w:customStyle="1" w:styleId="SubtitleChar1">
    <w:name w:val="Subtitle Char1"/>
    <w:basedOn w:val="DefaultParagraphFont"/>
    <w:uiPriority w:val="9"/>
    <w:rsid w:val="004E23FC"/>
    <w:rPr>
      <w:rFonts w:eastAsiaTheme="minorEastAsia"/>
      <w:snapToGrid w:val="0"/>
      <w:color w:val="5A5A5A" w:themeColor="text1" w:themeTint="A5"/>
      <w:spacing w:val="15"/>
    </w:rPr>
  </w:style>
  <w:style w:type="paragraph" w:customStyle="1" w:styleId="PBACHeading10">
    <w:name w:val="PBAC Heading 1"/>
    <w:qFormat/>
    <w:rsid w:val="004E23FC"/>
    <w:pPr>
      <w:spacing w:before="200" w:after="120" w:line="240" w:lineRule="auto"/>
      <w:ind w:left="720" w:hanging="720"/>
    </w:pPr>
    <w:rPr>
      <w:rFonts w:ascii="Arial" w:eastAsia="Times New Roman" w:hAnsi="Arial" w:cs="Arial"/>
      <w:b/>
      <w:snapToGrid w:val="0"/>
    </w:rPr>
  </w:style>
  <w:style w:type="paragraph" w:customStyle="1" w:styleId="Style1">
    <w:name w:val="Style1"/>
    <w:basedOn w:val="Normal"/>
    <w:rsid w:val="004E23FC"/>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4E23FC"/>
    <w:rPr>
      <w:rFonts w:ascii="Arial" w:eastAsia="Times New Roman" w:hAnsi="Arial" w:cs="Arial"/>
      <w:snapToGrid w:val="0"/>
      <w:szCs w:val="20"/>
    </w:rPr>
  </w:style>
  <w:style w:type="numbering" w:customStyle="1" w:styleId="Headings">
    <w:name w:val="Headings"/>
    <w:uiPriority w:val="99"/>
    <w:rsid w:val="004E23FC"/>
    <w:pPr>
      <w:numPr>
        <w:numId w:val="7"/>
      </w:numPr>
    </w:pPr>
  </w:style>
  <w:style w:type="character" w:styleId="FollowedHyperlink">
    <w:name w:val="FollowedHyperlink"/>
    <w:basedOn w:val="DefaultParagraphFont"/>
    <w:uiPriority w:val="99"/>
    <w:semiHidden/>
    <w:unhideWhenUsed/>
    <w:rsid w:val="004E23FC"/>
    <w:rPr>
      <w:color w:val="954F72" w:themeColor="followedHyperlink"/>
      <w:u w:val="single"/>
    </w:rPr>
  </w:style>
  <w:style w:type="paragraph" w:customStyle="1" w:styleId="BulletLast">
    <w:name w:val="Bullet Last"/>
    <w:basedOn w:val="Normal"/>
    <w:qFormat/>
    <w:rsid w:val="004E23FC"/>
    <w:pPr>
      <w:widowControl/>
      <w:numPr>
        <w:numId w:val="8"/>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4E23FC"/>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4E23FC"/>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E23FC"/>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4E23FC"/>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BulletedText">
    <w:name w:val="Bulleted Text"/>
    <w:basedOn w:val="Normal"/>
    <w:uiPriority w:val="99"/>
    <w:rsid w:val="004E23FC"/>
    <w:pPr>
      <w:widowControl/>
      <w:numPr>
        <w:numId w:val="9"/>
      </w:numPr>
      <w:spacing w:after="120" w:line="276" w:lineRule="auto"/>
    </w:pPr>
    <w:rPr>
      <w:rFonts w:cs="Times New Roman"/>
      <w:snapToGrid/>
      <w:szCs w:val="22"/>
      <w:lang w:eastAsia="en-AU"/>
    </w:rPr>
  </w:style>
  <w:style w:type="paragraph" w:customStyle="1" w:styleId="TableLeft">
    <w:name w:val="Table Left"/>
    <w:basedOn w:val="Normal"/>
    <w:link w:val="TableLeftChar"/>
    <w:uiPriority w:val="99"/>
    <w:qFormat/>
    <w:rsid w:val="004E23FC"/>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99"/>
    <w:locked/>
    <w:rsid w:val="004E23FC"/>
    <w:rPr>
      <w:rFonts w:ascii="Arial Narrow" w:eastAsiaTheme="majorEastAsia" w:hAnsi="Arial Narrow" w:cstheme="majorBidi"/>
      <w:sz w:val="20"/>
      <w:lang w:bidi="en-US"/>
    </w:rPr>
  </w:style>
  <w:style w:type="paragraph" w:customStyle="1" w:styleId="TableBullets">
    <w:name w:val="Table Bullets"/>
    <w:basedOn w:val="TableLeft"/>
    <w:uiPriority w:val="5"/>
    <w:qFormat/>
    <w:rsid w:val="004E23FC"/>
    <w:pPr>
      <w:numPr>
        <w:numId w:val="10"/>
      </w:numPr>
    </w:pPr>
  </w:style>
  <w:style w:type="paragraph" w:customStyle="1" w:styleId="Default">
    <w:name w:val="Default"/>
    <w:link w:val="DefaultChar"/>
    <w:rsid w:val="004E23FC"/>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DefaultChar">
    <w:name w:val="Default Char"/>
    <w:basedOn w:val="DefaultParagraphFont"/>
    <w:link w:val="Default"/>
    <w:locked/>
    <w:rsid w:val="004E23FC"/>
    <w:rPr>
      <w:rFonts w:ascii="Arial" w:eastAsia="Times New Roman" w:hAnsi="Arial" w:cs="Arial"/>
      <w:color w:val="000000"/>
      <w:sz w:val="24"/>
      <w:szCs w:val="24"/>
      <w:lang w:eastAsia="en-AU"/>
    </w:rPr>
  </w:style>
  <w:style w:type="paragraph" w:customStyle="1" w:styleId="TableTextHeading">
    <w:name w:val="Table Text Heading"/>
    <w:basedOn w:val="Normal"/>
    <w:rsid w:val="004E23FC"/>
    <w:pPr>
      <w:widowControl/>
      <w:spacing w:before="60" w:after="60"/>
      <w:jc w:val="center"/>
    </w:pPr>
    <w:rPr>
      <w:rFonts w:ascii="Arial Bold" w:hAnsi="Arial Bold" w:cs="Times New Roman"/>
      <w:b/>
      <w:snapToGrid/>
      <w:sz w:val="18"/>
      <w:lang w:eastAsia="en-AU"/>
    </w:rPr>
  </w:style>
  <w:style w:type="character" w:customStyle="1" w:styleId="MainBodyTextChar">
    <w:name w:val="Main Body Text Char"/>
    <w:link w:val="MainBodyText"/>
    <w:rsid w:val="005B162A"/>
    <w:rPr>
      <w:rFonts w:ascii="Arial" w:hAnsi="Arial"/>
    </w:rPr>
  </w:style>
  <w:style w:type="paragraph" w:customStyle="1" w:styleId="MainBodyText">
    <w:name w:val="Main Body Text"/>
    <w:basedOn w:val="Normal"/>
    <w:link w:val="MainBodyTextChar"/>
    <w:rsid w:val="005B162A"/>
    <w:pPr>
      <w:widowControl/>
      <w:spacing w:after="240" w:line="276" w:lineRule="auto"/>
    </w:pPr>
    <w:rPr>
      <w:rFonts w:eastAsiaTheme="minorHAnsi" w:cstheme="minorBidi"/>
      <w:snapToGrid/>
      <w:szCs w:val="22"/>
    </w:rPr>
  </w:style>
  <w:style w:type="table" w:styleId="LightShading">
    <w:name w:val="Light Shading"/>
    <w:basedOn w:val="TableNormal"/>
    <w:uiPriority w:val="60"/>
    <w:rsid w:val="00437286"/>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aptionCharChar1">
    <w:name w:val="Caption Char Char1"/>
    <w:aliases w:val="IB Caption Char Char,Medical Caption Char Char,Caption Char1 Char Char Char,Caption Char Char Char Char Char1,Caption Char1 Char Char1,Caption Char Char Char Char Char Char,Caption Char Char Char1"/>
    <w:basedOn w:val="DefaultParagraphFont"/>
    <w:rsid w:val="00876AF4"/>
    <w:rPr>
      <w:rFonts w:ascii="Arial" w:eastAsia="Times New Roman" w:hAnsi="Arial" w:cs="Times New Roman"/>
      <w:b/>
      <w:lang w:val="en-AU" w:eastAsia="en-AU"/>
    </w:rPr>
  </w:style>
  <w:style w:type="character" w:customStyle="1" w:styleId="TableBold">
    <w:name w:val="Table Bold"/>
    <w:basedOn w:val="DefaultParagraphFont"/>
    <w:uiPriority w:val="4"/>
    <w:qFormat/>
    <w:rsid w:val="00802D35"/>
    <w:rPr>
      <w:rFonts w:ascii="Arial Narrow" w:hAnsi="Arial Narrow"/>
      <w:b/>
      <w:sz w:val="20"/>
      <w:lang w:val="en-AU"/>
    </w:rPr>
  </w:style>
  <w:style w:type="numbering" w:customStyle="1" w:styleId="Style4">
    <w:name w:val="Style4"/>
    <w:uiPriority w:val="99"/>
    <w:rsid w:val="00802D35"/>
    <w:pPr>
      <w:numPr>
        <w:numId w:val="24"/>
      </w:numPr>
    </w:pPr>
  </w:style>
  <w:style w:type="paragraph" w:customStyle="1" w:styleId="TextUnderTable">
    <w:name w:val="Text Under Table"/>
    <w:basedOn w:val="Normal"/>
    <w:link w:val="TextUnderTableChar"/>
    <w:rsid w:val="00911AE3"/>
    <w:pPr>
      <w:widowControl/>
      <w:spacing w:before="120" w:after="120"/>
      <w:contextualSpacing/>
      <w:jc w:val="left"/>
    </w:pPr>
    <w:rPr>
      <w:rFonts w:cs="Times New Roman"/>
      <w:i/>
      <w:snapToGrid/>
      <w:sz w:val="16"/>
      <w:szCs w:val="22"/>
      <w:lang w:eastAsia="en-AU"/>
    </w:rPr>
  </w:style>
  <w:style w:type="character" w:customStyle="1" w:styleId="TextUnderTableChar">
    <w:name w:val="Text Under Table Char"/>
    <w:link w:val="TextUnderTable"/>
    <w:rsid w:val="00911AE3"/>
    <w:rPr>
      <w:rFonts w:ascii="Arial" w:eastAsia="Times New Roman" w:hAnsi="Arial" w:cs="Times New Roman"/>
      <w:i/>
      <w:sz w:val="16"/>
      <w:lang w:eastAsia="en-AU"/>
    </w:rPr>
  </w:style>
  <w:style w:type="paragraph" w:customStyle="1" w:styleId="TableH1">
    <w:name w:val="Table H1"/>
    <w:basedOn w:val="BodyText"/>
    <w:uiPriority w:val="4"/>
    <w:qFormat/>
    <w:rsid w:val="00C55023"/>
    <w:pPr>
      <w:keepNext/>
      <w:widowControl/>
      <w:tabs>
        <w:tab w:val="left" w:pos="416"/>
        <w:tab w:val="left" w:pos="582"/>
        <w:tab w:val="left" w:pos="1134"/>
      </w:tabs>
      <w:spacing w:after="240"/>
    </w:pPr>
    <w:rPr>
      <w:rFonts w:ascii="Calibri" w:hAnsi="Calibri" w:cs="Times New Roman"/>
      <w:b/>
      <w:snapToGrid/>
      <w:sz w:val="20"/>
      <w:lang w:val="en-US"/>
    </w:rPr>
  </w:style>
  <w:style w:type="table" w:customStyle="1" w:styleId="TableStyle">
    <w:name w:val="Table Style"/>
    <w:basedOn w:val="TableNormal"/>
    <w:uiPriority w:val="99"/>
    <w:rsid w:val="00243457"/>
    <w:pPr>
      <w:spacing w:before="120" w:after="0" w:line="240" w:lineRule="auto"/>
    </w:pPr>
    <w:rPr>
      <w:rFonts w:ascii="Arial" w:eastAsia="Times New Roman" w:hAnsi="Arial" w:cs="Times New Roman"/>
      <w:sz w:val="18"/>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ableListBullet">
    <w:name w:val="Table List Bullet"/>
    <w:basedOn w:val="TableText1"/>
    <w:uiPriority w:val="99"/>
    <w:rsid w:val="00243457"/>
    <w:pPr>
      <w:keepNext w:val="0"/>
      <w:numPr>
        <w:numId w:val="38"/>
      </w:numPr>
      <w:tabs>
        <w:tab w:val="clear" w:pos="720"/>
        <w:tab w:val="left" w:pos="280"/>
        <w:tab w:val="center" w:pos="4153"/>
        <w:tab w:val="right" w:pos="9015"/>
      </w:tabs>
      <w:spacing w:before="0" w:after="0"/>
      <w:ind w:left="280" w:hanging="280"/>
    </w:pPr>
    <w:rPr>
      <w:rFonts w:ascii="Arial" w:eastAsia="Times New Roman" w:hAnsi="Arial" w:cs="Times New Roman"/>
      <w:sz w:val="16"/>
      <w:szCs w:val="16"/>
      <w:lang w:eastAsia="en-AU"/>
    </w:rPr>
  </w:style>
  <w:style w:type="paragraph" w:customStyle="1" w:styleId="NEWNORM">
    <w:name w:val="NEW NORM"/>
    <w:basedOn w:val="Normal"/>
    <w:link w:val="NEWNORMChar"/>
    <w:qFormat/>
    <w:rsid w:val="009E203B"/>
    <w:pPr>
      <w:widowControl/>
      <w:spacing w:after="120"/>
      <w:jc w:val="left"/>
    </w:pPr>
    <w:rPr>
      <w:snapToGrid/>
      <w:szCs w:val="24"/>
    </w:rPr>
  </w:style>
  <w:style w:type="character" w:customStyle="1" w:styleId="NEWNORMChar">
    <w:name w:val="NEW NORM Char"/>
    <w:basedOn w:val="DefaultParagraphFont"/>
    <w:link w:val="NEWNORM"/>
    <w:rsid w:val="009E203B"/>
    <w:rPr>
      <w:rFonts w:ascii="Arial" w:eastAsia="Times New Roman" w:hAnsi="Arial" w:cs="Arial"/>
      <w:szCs w:val="24"/>
    </w:rPr>
  </w:style>
  <w:style w:type="paragraph" w:styleId="ListBullet">
    <w:name w:val="List Bullet"/>
    <w:basedOn w:val="Normal"/>
    <w:autoRedefine/>
    <w:rsid w:val="0065003A"/>
    <w:pPr>
      <w:widowControl/>
      <w:jc w:val="left"/>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qFormat="1"/>
    <w:lsdException w:name="annotation reference" w:qFormat="1"/>
    <w:lsdException w:name="List Bullet"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FC"/>
    <w:pPr>
      <w:widowControl w:val="0"/>
      <w:spacing w:after="0" w:line="240" w:lineRule="auto"/>
      <w:jc w:val="both"/>
    </w:pPr>
    <w:rPr>
      <w:rFonts w:ascii="Arial" w:eastAsia="Times New Roman" w:hAnsi="Arial" w:cs="Arial"/>
      <w:snapToGrid w:val="0"/>
      <w:szCs w:val="20"/>
    </w:rPr>
  </w:style>
  <w:style w:type="paragraph" w:styleId="Heading1">
    <w:name w:val="heading 1"/>
    <w:basedOn w:val="Normal"/>
    <w:next w:val="Normal"/>
    <w:link w:val="Heading1Char"/>
    <w:uiPriority w:val="1"/>
    <w:qFormat/>
    <w:rsid w:val="007A6EB6"/>
    <w:pPr>
      <w:ind w:left="720" w:hanging="720"/>
      <w:outlineLvl w:val="0"/>
    </w:pPr>
    <w:rPr>
      <w:rFonts w:asciiTheme="minorHAnsi" w:hAnsiTheme="minorHAnsi"/>
      <w:b/>
      <w:caps/>
      <w:sz w:val="32"/>
    </w:rPr>
  </w:style>
  <w:style w:type="paragraph" w:styleId="Heading2">
    <w:name w:val="heading 2"/>
    <w:basedOn w:val="Normal"/>
    <w:next w:val="Normal"/>
    <w:link w:val="Heading2Char"/>
    <w:uiPriority w:val="1"/>
    <w:qFormat/>
    <w:rsid w:val="000B45F5"/>
    <w:pPr>
      <w:spacing w:before="240" w:after="120"/>
      <w:outlineLvl w:val="1"/>
    </w:pPr>
    <w:rPr>
      <w:rFonts w:asciiTheme="minorHAnsi" w:hAnsiTheme="minorHAnsi"/>
      <w:b/>
      <w:i/>
      <w:sz w:val="28"/>
    </w:rPr>
  </w:style>
  <w:style w:type="paragraph" w:styleId="Heading3">
    <w:name w:val="heading 3"/>
    <w:basedOn w:val="Normal"/>
    <w:next w:val="Normal"/>
    <w:link w:val="Heading3Char"/>
    <w:uiPriority w:val="1"/>
    <w:qFormat/>
    <w:rsid w:val="004E23FC"/>
    <w:pPr>
      <w:outlineLvl w:val="2"/>
    </w:pPr>
    <w:rPr>
      <w:u w:val="single"/>
    </w:rPr>
  </w:style>
  <w:style w:type="paragraph" w:styleId="Heading4">
    <w:name w:val="heading 4"/>
    <w:aliases w:val="Heading 1 - Body"/>
    <w:basedOn w:val="Normal"/>
    <w:next w:val="Normal"/>
    <w:link w:val="Heading4Char"/>
    <w:uiPriority w:val="5"/>
    <w:qFormat/>
    <w:rsid w:val="004E23FC"/>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4E23FC"/>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4E23FC"/>
    <w:pPr>
      <w:spacing w:before="240" w:after="60"/>
      <w:outlineLvl w:val="5"/>
    </w:pPr>
    <w:rPr>
      <w:b/>
      <w:bCs/>
      <w:i/>
      <w:szCs w:val="22"/>
    </w:rPr>
  </w:style>
  <w:style w:type="paragraph" w:styleId="Heading7">
    <w:name w:val="heading 7"/>
    <w:basedOn w:val="Normal"/>
    <w:next w:val="Normal"/>
    <w:link w:val="Heading7Char"/>
    <w:uiPriority w:val="7"/>
    <w:qFormat/>
    <w:rsid w:val="004E23FC"/>
    <w:pPr>
      <w:keepNext/>
      <w:jc w:val="center"/>
      <w:outlineLvl w:val="6"/>
    </w:pPr>
    <w:rPr>
      <w:b/>
      <w:sz w:val="20"/>
    </w:rPr>
  </w:style>
  <w:style w:type="paragraph" w:styleId="Heading8">
    <w:name w:val="heading 8"/>
    <w:basedOn w:val="Normal"/>
    <w:next w:val="Normal"/>
    <w:link w:val="Heading8Char"/>
    <w:uiPriority w:val="7"/>
    <w:qFormat/>
    <w:rsid w:val="004E23FC"/>
    <w:pPr>
      <w:keepNext/>
      <w:jc w:val="right"/>
      <w:outlineLvl w:val="7"/>
    </w:pPr>
    <w:rPr>
      <w:b/>
    </w:rPr>
  </w:style>
  <w:style w:type="paragraph" w:styleId="Heading9">
    <w:name w:val="heading 9"/>
    <w:aliases w:val="Section heading - Body"/>
    <w:basedOn w:val="Normal"/>
    <w:next w:val="Normal"/>
    <w:link w:val="Heading9Char"/>
    <w:uiPriority w:val="7"/>
    <w:qFormat/>
    <w:rsid w:val="004E23FC"/>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6EB6"/>
    <w:rPr>
      <w:rFonts w:eastAsia="Times New Roman" w:cs="Arial"/>
      <w:b/>
      <w:caps/>
      <w:snapToGrid w:val="0"/>
      <w:sz w:val="32"/>
      <w:szCs w:val="20"/>
    </w:rPr>
  </w:style>
  <w:style w:type="character" w:customStyle="1" w:styleId="Heading2Char">
    <w:name w:val="Heading 2 Char"/>
    <w:basedOn w:val="DefaultParagraphFont"/>
    <w:link w:val="Heading2"/>
    <w:uiPriority w:val="1"/>
    <w:rsid w:val="000B45F5"/>
    <w:rPr>
      <w:rFonts w:eastAsia="Times New Roman" w:cs="Arial"/>
      <w:b/>
      <w:i/>
      <w:snapToGrid w:val="0"/>
      <w:sz w:val="28"/>
      <w:szCs w:val="20"/>
    </w:rPr>
  </w:style>
  <w:style w:type="character" w:customStyle="1" w:styleId="Heading3Char">
    <w:name w:val="Heading 3 Char"/>
    <w:basedOn w:val="DefaultParagraphFont"/>
    <w:link w:val="Heading3"/>
    <w:uiPriority w:val="9"/>
    <w:rsid w:val="004E23FC"/>
    <w:rPr>
      <w:rFonts w:ascii="Arial" w:eastAsia="Times New Roman" w:hAnsi="Arial" w:cs="Arial"/>
      <w:snapToGrid w:val="0"/>
      <w:szCs w:val="20"/>
      <w:u w:val="single"/>
    </w:rPr>
  </w:style>
  <w:style w:type="character" w:customStyle="1" w:styleId="Heading4Char">
    <w:name w:val="Heading 4 Char"/>
    <w:aliases w:val="Heading 1 - Body Char"/>
    <w:basedOn w:val="DefaultParagraphFont"/>
    <w:link w:val="Heading4"/>
    <w:uiPriority w:val="5"/>
    <w:rsid w:val="004E23FC"/>
    <w:rPr>
      <w:rFonts w:ascii="Arial" w:eastAsia="Times New Roman" w:hAnsi="Arial" w:cs="Arial"/>
      <w:b/>
      <w:bCs/>
      <w:i/>
      <w:snapToGrid w:val="0"/>
      <w:sz w:val="26"/>
      <w:szCs w:val="28"/>
    </w:rPr>
  </w:style>
  <w:style w:type="character" w:customStyle="1" w:styleId="Heading5Char">
    <w:name w:val="Heading 5 Char"/>
    <w:aliases w:val="Heading 2 - Body Char"/>
    <w:basedOn w:val="DefaultParagraphFont"/>
    <w:link w:val="Heading5"/>
    <w:uiPriority w:val="7"/>
    <w:rsid w:val="004E23FC"/>
    <w:rPr>
      <w:rFonts w:ascii="Arial" w:eastAsia="Times New Roman" w:hAnsi="Arial" w:cs="Arial"/>
      <w:b/>
      <w:bCs/>
      <w:iCs/>
      <w:snapToGrid w:val="0"/>
      <w:sz w:val="26"/>
      <w:szCs w:val="26"/>
    </w:rPr>
  </w:style>
  <w:style w:type="character" w:customStyle="1" w:styleId="Heading6Char">
    <w:name w:val="Heading 6 Char"/>
    <w:aliases w:val="Heading 3 - Body Char"/>
    <w:basedOn w:val="DefaultParagraphFont"/>
    <w:link w:val="Heading6"/>
    <w:uiPriority w:val="9"/>
    <w:rsid w:val="004E23FC"/>
    <w:rPr>
      <w:rFonts w:ascii="Arial" w:eastAsia="Times New Roman" w:hAnsi="Arial" w:cs="Arial"/>
      <w:b/>
      <w:bCs/>
      <w:i/>
      <w:snapToGrid w:val="0"/>
    </w:rPr>
  </w:style>
  <w:style w:type="character" w:customStyle="1" w:styleId="Heading7Char">
    <w:name w:val="Heading 7 Char"/>
    <w:basedOn w:val="DefaultParagraphFont"/>
    <w:link w:val="Heading7"/>
    <w:uiPriority w:val="7"/>
    <w:rsid w:val="004E23FC"/>
    <w:rPr>
      <w:rFonts w:ascii="Arial" w:eastAsia="Times New Roman" w:hAnsi="Arial" w:cs="Arial"/>
      <w:b/>
      <w:snapToGrid w:val="0"/>
      <w:sz w:val="20"/>
      <w:szCs w:val="20"/>
    </w:rPr>
  </w:style>
  <w:style w:type="character" w:customStyle="1" w:styleId="Heading8Char">
    <w:name w:val="Heading 8 Char"/>
    <w:basedOn w:val="DefaultParagraphFont"/>
    <w:link w:val="Heading8"/>
    <w:uiPriority w:val="7"/>
    <w:rsid w:val="004E23FC"/>
    <w:rPr>
      <w:rFonts w:ascii="Arial" w:eastAsia="Times New Roman" w:hAnsi="Arial" w:cs="Arial"/>
      <w:b/>
      <w:snapToGrid w:val="0"/>
      <w:szCs w:val="20"/>
    </w:rPr>
  </w:style>
  <w:style w:type="character" w:customStyle="1" w:styleId="Heading9Char">
    <w:name w:val="Heading 9 Char"/>
    <w:aliases w:val="Section heading - Body Char"/>
    <w:basedOn w:val="DefaultParagraphFont"/>
    <w:link w:val="Heading9"/>
    <w:uiPriority w:val="7"/>
    <w:rsid w:val="004E23FC"/>
    <w:rPr>
      <w:rFonts w:ascii="Arial" w:eastAsia="Times New Roman" w:hAnsi="Arial" w:cs="Arial"/>
      <w:b/>
      <w:snapToGrid w:val="0"/>
      <w:color w:val="000000"/>
      <w:sz w:val="20"/>
      <w:szCs w:val="20"/>
    </w:rPr>
  </w:style>
  <w:style w:type="paragraph" w:customStyle="1" w:styleId="TableFooter">
    <w:name w:val="Table Footer"/>
    <w:basedOn w:val="Normal"/>
    <w:link w:val="TableFooterChar"/>
    <w:qFormat/>
    <w:rsid w:val="004E23FC"/>
    <w:rPr>
      <w:rFonts w:ascii="Arial Narrow" w:hAnsi="Arial Narrow"/>
      <w:sz w:val="18"/>
    </w:rPr>
  </w:style>
  <w:style w:type="paragraph" w:customStyle="1" w:styleId="TableHeader">
    <w:name w:val="Table Header"/>
    <w:basedOn w:val="Normal"/>
    <w:uiPriority w:val="3"/>
    <w:qFormat/>
    <w:rsid w:val="004E23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4E23FC"/>
    <w:pPr>
      <w:spacing w:after="200"/>
    </w:pPr>
    <w:rPr>
      <w:b/>
      <w:bCs/>
      <w:color w:val="5B9BD5"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4E23FC"/>
    <w:rPr>
      <w:rFonts w:ascii="Arial" w:eastAsia="Times New Roman" w:hAnsi="Arial" w:cs="Arial"/>
      <w:b/>
      <w:bCs/>
      <w:snapToGrid w:val="0"/>
      <w:color w:val="5B9BD5" w:themeColor="accent1"/>
      <w:sz w:val="18"/>
      <w:szCs w:val="18"/>
    </w:rPr>
  </w:style>
  <w:style w:type="paragraph" w:styleId="Title">
    <w:name w:val="Title"/>
    <w:basedOn w:val="Normal"/>
    <w:next w:val="Normal"/>
    <w:link w:val="TitleChar"/>
    <w:uiPriority w:val="7"/>
    <w:rsid w:val="004E23F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4E23FC"/>
    <w:rPr>
      <w:rFonts w:ascii="Cambria" w:eastAsia="Times New Roman" w:hAnsi="Cambria" w:cs="Arial"/>
      <w:b/>
      <w:bCs/>
      <w:snapToGrid w:val="0"/>
      <w:kern w:val="28"/>
      <w:sz w:val="32"/>
      <w:szCs w:val="32"/>
    </w:rPr>
  </w:style>
  <w:style w:type="paragraph" w:styleId="BodyText">
    <w:name w:val="Body Text"/>
    <w:basedOn w:val="Normal"/>
    <w:link w:val="BodyTextChar"/>
    <w:qFormat/>
    <w:rsid w:val="004E23FC"/>
    <w:pPr>
      <w:jc w:val="left"/>
    </w:pPr>
  </w:style>
  <w:style w:type="character" w:customStyle="1" w:styleId="BodyTextChar">
    <w:name w:val="Body Text Char"/>
    <w:basedOn w:val="DefaultParagraphFont"/>
    <w:link w:val="BodyText"/>
    <w:rsid w:val="004E23FC"/>
    <w:rPr>
      <w:rFonts w:ascii="Arial" w:eastAsia="Times New Roman" w:hAnsi="Arial" w:cs="Arial"/>
      <w:snapToGrid w:val="0"/>
      <w:szCs w:val="20"/>
    </w:rPr>
  </w:style>
  <w:style w:type="paragraph" w:styleId="ListParagraph">
    <w:name w:val="List Paragraph"/>
    <w:aliases w:val="BulletPoints,Footnote,Bullet point,List Paragraph1,List Paragraph11,Recommendation"/>
    <w:basedOn w:val="Normal"/>
    <w:link w:val="ListParagraphChar"/>
    <w:uiPriority w:val="34"/>
    <w:qFormat/>
    <w:rsid w:val="004E23FC"/>
    <w:pPr>
      <w:ind w:left="720"/>
      <w:contextualSpacing/>
    </w:pPr>
  </w:style>
  <w:style w:type="paragraph" w:customStyle="1" w:styleId="RegularText">
    <w:name w:val="Regular Text"/>
    <w:basedOn w:val="BodyText"/>
    <w:link w:val="RegularTextChar"/>
    <w:uiPriority w:val="9"/>
    <w:rsid w:val="004E23FC"/>
    <w:rPr>
      <w:b/>
    </w:rPr>
  </w:style>
  <w:style w:type="paragraph" w:styleId="NoSpacing">
    <w:name w:val="No Spacing"/>
    <w:uiPriority w:val="1"/>
    <w:qFormat/>
    <w:rsid w:val="004E23FC"/>
    <w:pPr>
      <w:widowControl w:val="0"/>
      <w:spacing w:after="0" w:line="240" w:lineRule="auto"/>
      <w:jc w:val="both"/>
    </w:pPr>
    <w:rPr>
      <w:rFonts w:ascii="Arial" w:eastAsia="Times New Roman" w:hAnsi="Arial" w:cs="Arial"/>
      <w:snapToGrid w:val="0"/>
      <w:szCs w:val="20"/>
    </w:rPr>
  </w:style>
  <w:style w:type="character" w:customStyle="1" w:styleId="RegularTextChar">
    <w:name w:val="Regular Text Char"/>
    <w:basedOn w:val="BodyTextChar"/>
    <w:link w:val="RegularText"/>
    <w:uiPriority w:val="9"/>
    <w:rsid w:val="004E23FC"/>
    <w:rPr>
      <w:rFonts w:ascii="Arial" w:eastAsia="Times New Roman" w:hAnsi="Arial" w:cs="Arial"/>
      <w:b/>
      <w:snapToGrid w:val="0"/>
      <w:szCs w:val="20"/>
    </w:rPr>
  </w:style>
  <w:style w:type="paragraph" w:styleId="Header">
    <w:name w:val="header"/>
    <w:aliases w:val="Page Header,Header title,he=header,cntr/bld"/>
    <w:basedOn w:val="Normal"/>
    <w:link w:val="HeaderChar"/>
    <w:uiPriority w:val="99"/>
    <w:rsid w:val="004E23F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4E23FC"/>
    <w:rPr>
      <w:rFonts w:ascii="Arial" w:eastAsia="Times New Roman" w:hAnsi="Arial" w:cs="Arial"/>
      <w:snapToGrid w:val="0"/>
      <w:szCs w:val="20"/>
    </w:rPr>
  </w:style>
  <w:style w:type="paragraph" w:styleId="Footer">
    <w:name w:val="footer"/>
    <w:basedOn w:val="Normal"/>
    <w:link w:val="FooterChar"/>
    <w:uiPriority w:val="99"/>
    <w:rsid w:val="004E23FC"/>
    <w:pPr>
      <w:tabs>
        <w:tab w:val="center" w:pos="4513"/>
        <w:tab w:val="right" w:pos="9026"/>
      </w:tabs>
    </w:pPr>
  </w:style>
  <w:style w:type="character" w:customStyle="1" w:styleId="FooterChar">
    <w:name w:val="Footer Char"/>
    <w:basedOn w:val="DefaultParagraphFont"/>
    <w:link w:val="Footer"/>
    <w:uiPriority w:val="99"/>
    <w:rsid w:val="004E23FC"/>
    <w:rPr>
      <w:rFonts w:ascii="Arial" w:eastAsia="Times New Roman" w:hAnsi="Arial" w:cs="Arial"/>
      <w:snapToGrid w:val="0"/>
      <w:szCs w:val="20"/>
    </w:rPr>
  </w:style>
  <w:style w:type="table" w:styleId="TableGrid">
    <w:name w:val="Table Grid"/>
    <w:aliases w:val="Summary box,Table Gridbeth"/>
    <w:basedOn w:val="TableNormal"/>
    <w:rsid w:val="004E23F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4E23FC"/>
    <w:rPr>
      <w:rFonts w:ascii="Arial Narrow" w:hAnsi="Arial Narrow"/>
      <w:b/>
      <w:sz w:val="20"/>
      <w:szCs w:val="16"/>
    </w:rPr>
  </w:style>
  <w:style w:type="paragraph" w:customStyle="1" w:styleId="Tabletext">
    <w:name w:val="Table text"/>
    <w:basedOn w:val="Normal"/>
    <w:link w:val="TabletextChar"/>
    <w:qFormat/>
    <w:rsid w:val="004E23FC"/>
    <w:pPr>
      <w:widowControl/>
      <w:spacing w:after="120"/>
      <w:jc w:val="left"/>
    </w:pPr>
    <w:rPr>
      <w:rFonts w:cs="Times New Roman"/>
      <w:snapToGrid/>
      <w:sz w:val="20"/>
    </w:rPr>
  </w:style>
  <w:style w:type="paragraph" w:customStyle="1" w:styleId="TableHeading">
    <w:name w:val="TableHeading"/>
    <w:basedOn w:val="Normal"/>
    <w:qFormat/>
    <w:rsid w:val="004E23FC"/>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4E23FC"/>
    <w:rPr>
      <w:rFonts w:ascii="Arial" w:eastAsia="Times New Roman" w:hAnsi="Arial" w:cs="Times New Roman"/>
      <w:sz w:val="20"/>
      <w:szCs w:val="20"/>
    </w:rPr>
  </w:style>
  <w:style w:type="paragraph" w:customStyle="1" w:styleId="Corpsdetextemarge">
    <w:name w:val="Corps de texte marge"/>
    <w:basedOn w:val="BodyText"/>
    <w:uiPriority w:val="99"/>
    <w:rsid w:val="004E23FC"/>
    <w:pPr>
      <w:widowControl/>
      <w:jc w:val="both"/>
    </w:pPr>
    <w:rPr>
      <w:rFonts w:ascii="Times" w:hAnsi="Times" w:cs="Times New Roman"/>
      <w:snapToGrid/>
      <w:sz w:val="24"/>
      <w:lang w:val="en-US"/>
    </w:rPr>
  </w:style>
  <w:style w:type="paragraph" w:styleId="NormalWeb">
    <w:name w:val="Normal (Web)"/>
    <w:basedOn w:val="Normal"/>
    <w:uiPriority w:val="99"/>
    <w:rsid w:val="004E23FC"/>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4E23FC"/>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4E23FC"/>
    <w:pPr>
      <w:spacing w:before="240" w:after="120"/>
      <w:jc w:val="left"/>
    </w:pPr>
    <w:rPr>
      <w:bCs/>
      <w:sz w:val="20"/>
    </w:rPr>
  </w:style>
  <w:style w:type="character" w:styleId="Hyperlink">
    <w:name w:val="Hyperlink"/>
    <w:basedOn w:val="DefaultParagraphFont"/>
    <w:uiPriority w:val="99"/>
    <w:unhideWhenUsed/>
    <w:rsid w:val="004E23FC"/>
    <w:rPr>
      <w:color w:val="0563C1" w:themeColor="hyperlink"/>
      <w:u w:val="single"/>
    </w:rPr>
  </w:style>
  <w:style w:type="paragraph" w:styleId="TOCHeading">
    <w:name w:val="TOC Heading"/>
    <w:basedOn w:val="Heading1"/>
    <w:next w:val="Normal"/>
    <w:uiPriority w:val="39"/>
    <w:unhideWhenUsed/>
    <w:qFormat/>
    <w:rsid w:val="004E23FC"/>
    <w:pPr>
      <w:keepNext/>
      <w:keepLines/>
      <w:widowControl/>
      <w:spacing w:before="480" w:line="276" w:lineRule="auto"/>
      <w:ind w:left="0" w:firstLine="0"/>
      <w:jc w:val="left"/>
      <w:outlineLvl w:val="9"/>
    </w:pPr>
    <w:rPr>
      <w:rFonts w:asciiTheme="majorHAnsi" w:eastAsiaTheme="majorEastAsia" w:hAnsiTheme="majorHAnsi" w:cstheme="majorBidi"/>
      <w:bCs/>
      <w:snapToGrid/>
      <w:color w:val="2E74B5" w:themeColor="accent1" w:themeShade="BF"/>
      <w:sz w:val="28"/>
      <w:szCs w:val="28"/>
      <w:lang w:val="en-US" w:eastAsia="ja-JP"/>
    </w:rPr>
  </w:style>
  <w:style w:type="paragraph" w:styleId="TOC3">
    <w:name w:val="toc 3"/>
    <w:basedOn w:val="Normal"/>
    <w:next w:val="Normal"/>
    <w:autoRedefine/>
    <w:uiPriority w:val="39"/>
    <w:unhideWhenUsed/>
    <w:qFormat/>
    <w:rsid w:val="004E23FC"/>
    <w:pPr>
      <w:ind w:left="440"/>
      <w:jc w:val="left"/>
    </w:pPr>
    <w:rPr>
      <w:rFonts w:asciiTheme="minorHAnsi" w:hAnsiTheme="minorHAnsi"/>
      <w:sz w:val="20"/>
    </w:rPr>
  </w:style>
  <w:style w:type="paragraph" w:styleId="BalloonText">
    <w:name w:val="Balloon Text"/>
    <w:basedOn w:val="Normal"/>
    <w:link w:val="BalloonTextChar"/>
    <w:uiPriority w:val="9"/>
    <w:rsid w:val="004E23FC"/>
    <w:rPr>
      <w:rFonts w:ascii="Tahoma" w:hAnsi="Tahoma" w:cs="Tahoma"/>
      <w:sz w:val="16"/>
      <w:szCs w:val="16"/>
    </w:rPr>
  </w:style>
  <w:style w:type="character" w:customStyle="1" w:styleId="BalloonTextChar">
    <w:name w:val="Balloon Text Char"/>
    <w:basedOn w:val="DefaultParagraphFont"/>
    <w:link w:val="BalloonText"/>
    <w:uiPriority w:val="9"/>
    <w:rsid w:val="004E23FC"/>
    <w:rPr>
      <w:rFonts w:ascii="Tahoma" w:eastAsia="Times New Roman" w:hAnsi="Tahoma" w:cs="Tahoma"/>
      <w:snapToGrid w:val="0"/>
      <w:sz w:val="16"/>
      <w:szCs w:val="16"/>
    </w:rPr>
  </w:style>
  <w:style w:type="paragraph" w:styleId="BodyText3">
    <w:name w:val="Body Text 3"/>
    <w:basedOn w:val="Normal"/>
    <w:link w:val="BodyText3Char"/>
    <w:uiPriority w:val="9"/>
    <w:rsid w:val="004E23FC"/>
    <w:pPr>
      <w:spacing w:after="120"/>
    </w:pPr>
    <w:rPr>
      <w:sz w:val="16"/>
      <w:szCs w:val="16"/>
    </w:rPr>
  </w:style>
  <w:style w:type="character" w:customStyle="1" w:styleId="BodyText3Char">
    <w:name w:val="Body Text 3 Char"/>
    <w:basedOn w:val="DefaultParagraphFont"/>
    <w:link w:val="BodyText3"/>
    <w:uiPriority w:val="9"/>
    <w:rsid w:val="004E23FC"/>
    <w:rPr>
      <w:rFonts w:ascii="Arial" w:eastAsia="Times New Roman" w:hAnsi="Arial" w:cs="Arial"/>
      <w:snapToGrid w:val="0"/>
      <w:sz w:val="16"/>
      <w:szCs w:val="16"/>
    </w:rPr>
  </w:style>
  <w:style w:type="paragraph" w:styleId="TOC4">
    <w:name w:val="toc 4"/>
    <w:basedOn w:val="Normal"/>
    <w:next w:val="Normal"/>
    <w:autoRedefine/>
    <w:uiPriority w:val="9"/>
    <w:rsid w:val="004E23FC"/>
    <w:pPr>
      <w:ind w:left="660"/>
      <w:jc w:val="left"/>
    </w:pPr>
    <w:rPr>
      <w:rFonts w:asciiTheme="minorHAnsi" w:hAnsiTheme="minorHAnsi"/>
      <w:sz w:val="20"/>
    </w:rPr>
  </w:style>
  <w:style w:type="paragraph" w:styleId="TOC5">
    <w:name w:val="toc 5"/>
    <w:basedOn w:val="Normal"/>
    <w:next w:val="Normal"/>
    <w:autoRedefine/>
    <w:uiPriority w:val="9"/>
    <w:rsid w:val="004E23FC"/>
    <w:pPr>
      <w:ind w:left="880"/>
      <w:jc w:val="left"/>
    </w:pPr>
    <w:rPr>
      <w:rFonts w:asciiTheme="minorHAnsi" w:hAnsiTheme="minorHAnsi"/>
      <w:sz w:val="20"/>
    </w:rPr>
  </w:style>
  <w:style w:type="paragraph" w:styleId="TOC6">
    <w:name w:val="toc 6"/>
    <w:basedOn w:val="Normal"/>
    <w:next w:val="Normal"/>
    <w:autoRedefine/>
    <w:uiPriority w:val="9"/>
    <w:rsid w:val="004E23FC"/>
    <w:pPr>
      <w:ind w:left="1100"/>
      <w:jc w:val="left"/>
    </w:pPr>
    <w:rPr>
      <w:rFonts w:asciiTheme="minorHAnsi" w:hAnsiTheme="minorHAnsi"/>
      <w:sz w:val="20"/>
    </w:rPr>
  </w:style>
  <w:style w:type="paragraph" w:styleId="TOC7">
    <w:name w:val="toc 7"/>
    <w:basedOn w:val="Normal"/>
    <w:next w:val="Normal"/>
    <w:autoRedefine/>
    <w:uiPriority w:val="9"/>
    <w:rsid w:val="004E23FC"/>
    <w:pPr>
      <w:ind w:left="1320"/>
      <w:jc w:val="left"/>
    </w:pPr>
    <w:rPr>
      <w:rFonts w:asciiTheme="minorHAnsi" w:hAnsiTheme="minorHAnsi"/>
      <w:sz w:val="20"/>
    </w:rPr>
  </w:style>
  <w:style w:type="paragraph" w:styleId="TOC8">
    <w:name w:val="toc 8"/>
    <w:basedOn w:val="Normal"/>
    <w:next w:val="Normal"/>
    <w:autoRedefine/>
    <w:uiPriority w:val="9"/>
    <w:rsid w:val="004E23FC"/>
    <w:pPr>
      <w:ind w:left="1540"/>
      <w:jc w:val="left"/>
    </w:pPr>
    <w:rPr>
      <w:rFonts w:asciiTheme="minorHAnsi" w:hAnsiTheme="minorHAnsi"/>
      <w:sz w:val="20"/>
    </w:rPr>
  </w:style>
  <w:style w:type="paragraph" w:styleId="TOC9">
    <w:name w:val="toc 9"/>
    <w:basedOn w:val="Normal"/>
    <w:next w:val="Normal"/>
    <w:autoRedefine/>
    <w:uiPriority w:val="9"/>
    <w:rsid w:val="004E23FC"/>
    <w:pPr>
      <w:ind w:left="1760"/>
      <w:jc w:val="left"/>
    </w:pPr>
    <w:rPr>
      <w:rFonts w:asciiTheme="minorHAnsi" w:hAnsiTheme="minorHAnsi"/>
      <w:sz w:val="20"/>
    </w:rPr>
  </w:style>
  <w:style w:type="paragraph" w:styleId="BodyText2">
    <w:name w:val="Body Text 2"/>
    <w:basedOn w:val="Normal"/>
    <w:link w:val="BodyText2Char"/>
    <w:uiPriority w:val="9"/>
    <w:rsid w:val="004E23FC"/>
    <w:pPr>
      <w:spacing w:after="120" w:line="480" w:lineRule="auto"/>
    </w:pPr>
  </w:style>
  <w:style w:type="character" w:customStyle="1" w:styleId="BodyText2Char">
    <w:name w:val="Body Text 2 Char"/>
    <w:basedOn w:val="DefaultParagraphFont"/>
    <w:link w:val="BodyText2"/>
    <w:uiPriority w:val="9"/>
    <w:rsid w:val="004E23FC"/>
    <w:rPr>
      <w:rFonts w:ascii="Arial" w:eastAsia="Times New Roman" w:hAnsi="Arial" w:cs="Arial"/>
      <w:snapToGrid w:val="0"/>
      <w:szCs w:val="20"/>
    </w:rPr>
  </w:style>
  <w:style w:type="paragraph" w:styleId="CommentText">
    <w:name w:val="annotation text"/>
    <w:basedOn w:val="Normal"/>
    <w:link w:val="CommentTextChar"/>
    <w:uiPriority w:val="99"/>
    <w:rsid w:val="004E23FC"/>
    <w:rPr>
      <w:rFonts w:ascii="Times New Roman" w:hAnsi="Times New Roman" w:cs="Times New Roman"/>
      <w:sz w:val="20"/>
    </w:rPr>
  </w:style>
  <w:style w:type="character" w:customStyle="1" w:styleId="CommentTextChar">
    <w:name w:val="Comment Text Char"/>
    <w:basedOn w:val="DefaultParagraphFont"/>
    <w:link w:val="CommentText"/>
    <w:uiPriority w:val="99"/>
    <w:rsid w:val="004E23FC"/>
    <w:rPr>
      <w:rFonts w:ascii="Times New Roman" w:eastAsia="Times New Roman" w:hAnsi="Times New Roman" w:cs="Times New Roman"/>
      <w:snapToGrid w:val="0"/>
      <w:sz w:val="20"/>
      <w:szCs w:val="20"/>
    </w:rPr>
  </w:style>
  <w:style w:type="paragraph" w:customStyle="1" w:styleId="TableText0">
    <w:name w:val="TableText"/>
    <w:basedOn w:val="Normal"/>
    <w:uiPriority w:val="9"/>
    <w:rsid w:val="004E23FC"/>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4E23FC"/>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4E23FC"/>
    <w:pPr>
      <w:keepNext w:val="0"/>
      <w:keepLines/>
      <w:spacing w:before="0" w:after="360"/>
      <w:ind w:left="720"/>
    </w:pPr>
    <w:rPr>
      <w:sz w:val="18"/>
      <w:szCs w:val="18"/>
    </w:rPr>
  </w:style>
  <w:style w:type="paragraph" w:customStyle="1" w:styleId="TableNotes0">
    <w:name w:val="TableNotes+0"/>
    <w:basedOn w:val="TableNotes18"/>
    <w:rsid w:val="004E23FC"/>
    <w:pPr>
      <w:keepNext/>
      <w:spacing w:after="0"/>
    </w:pPr>
  </w:style>
  <w:style w:type="paragraph" w:styleId="CommentSubject">
    <w:name w:val="annotation subject"/>
    <w:basedOn w:val="CommentText"/>
    <w:next w:val="CommentText"/>
    <w:link w:val="CommentSubjectChar"/>
    <w:uiPriority w:val="9"/>
    <w:rsid w:val="004E23FC"/>
    <w:rPr>
      <w:rFonts w:ascii="Arial" w:hAnsi="Arial" w:cs="Arial"/>
      <w:b/>
      <w:bCs/>
    </w:rPr>
  </w:style>
  <w:style w:type="character" w:customStyle="1" w:styleId="CommentSubjectChar">
    <w:name w:val="Comment Subject Char"/>
    <w:basedOn w:val="CommentTextChar"/>
    <w:link w:val="CommentSubject"/>
    <w:uiPriority w:val="9"/>
    <w:rsid w:val="004E23FC"/>
    <w:rPr>
      <w:rFonts w:ascii="Arial" w:eastAsia="Times New Roman" w:hAnsi="Arial" w:cs="Arial"/>
      <w:b/>
      <w:bCs/>
      <w:snapToGrid w:val="0"/>
      <w:sz w:val="20"/>
      <w:szCs w:val="20"/>
    </w:rPr>
  </w:style>
  <w:style w:type="paragraph" w:styleId="Revision">
    <w:name w:val="Revision"/>
    <w:hidden/>
    <w:uiPriority w:val="99"/>
    <w:semiHidden/>
    <w:rsid w:val="004E23FC"/>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4E23FC"/>
    <w:pPr>
      <w:spacing w:after="120"/>
      <w:ind w:left="283"/>
    </w:pPr>
  </w:style>
  <w:style w:type="character" w:customStyle="1" w:styleId="BodyTextIndentChar">
    <w:name w:val="Body Text Indent Char"/>
    <w:basedOn w:val="DefaultParagraphFont"/>
    <w:link w:val="BodyTextIndent"/>
    <w:uiPriority w:val="9"/>
    <w:rsid w:val="004E23FC"/>
    <w:rPr>
      <w:rFonts w:ascii="Arial" w:eastAsia="Times New Roman" w:hAnsi="Arial" w:cs="Arial"/>
      <w:snapToGrid w:val="0"/>
      <w:szCs w:val="20"/>
    </w:rPr>
  </w:style>
  <w:style w:type="paragraph" w:customStyle="1" w:styleId="Char1CharCharChar">
    <w:name w:val="Char1 Char Char Char"/>
    <w:basedOn w:val="Normal"/>
    <w:uiPriority w:val="9"/>
    <w:rsid w:val="004E23FC"/>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4E23FC"/>
    <w:pPr>
      <w:numPr>
        <w:numId w:val="49"/>
      </w:numPr>
      <w:spacing w:after="0" w:line="240" w:lineRule="auto"/>
    </w:pPr>
    <w:rPr>
      <w:rFonts w:ascii="Arial" w:eastAsia="Times New Roman" w:hAnsi="Arial" w:cs="Arial"/>
      <w:snapToGrid w:val="0"/>
    </w:rPr>
  </w:style>
  <w:style w:type="paragraph" w:customStyle="1" w:styleId="V50Heading2nonumbers">
    <w:name w:val="V5.0 Heading 2 no numbers"/>
    <w:basedOn w:val="Heading2"/>
    <w:qFormat/>
    <w:rsid w:val="004E23FC"/>
    <w:pPr>
      <w:keepNext/>
      <w:keepLines/>
      <w:widowControl/>
      <w:ind w:left="578" w:hanging="578"/>
      <w:jc w:val="left"/>
    </w:pPr>
    <w:rPr>
      <w:rFonts w:eastAsiaTheme="majorEastAsia" w:cstheme="majorBidi"/>
      <w:i w:val="0"/>
      <w:snapToGrid/>
      <w:szCs w:val="28"/>
    </w:rPr>
  </w:style>
  <w:style w:type="paragraph" w:customStyle="1" w:styleId="V50Instructions">
    <w:name w:val="V5.0 Instructions"/>
    <w:basedOn w:val="Normal"/>
    <w:link w:val="V50InstructionsChar"/>
    <w:qFormat/>
    <w:rsid w:val="004E23FC"/>
    <w:pPr>
      <w:widowControl/>
      <w:spacing w:before="120" w:after="160"/>
      <w:jc w:val="left"/>
    </w:pPr>
    <w:rPr>
      <w:rFonts w:asciiTheme="minorHAnsi" w:eastAsiaTheme="minorHAnsi" w:hAnsiTheme="minorHAnsi" w:cstheme="minorBidi"/>
      <w:snapToGrid/>
      <w:color w:val="4472C4" w:themeColor="accent5"/>
      <w:sz w:val="24"/>
      <w:szCs w:val="22"/>
    </w:rPr>
  </w:style>
  <w:style w:type="paragraph" w:customStyle="1" w:styleId="V50Heading1nonumbers">
    <w:name w:val="V5.0 Heading 1 no numbers"/>
    <w:basedOn w:val="Heading1"/>
    <w:qFormat/>
    <w:rsid w:val="004E23FC"/>
    <w:pPr>
      <w:keepNext/>
      <w:keepLines/>
      <w:widowControl/>
      <w:spacing w:before="400" w:after="120"/>
      <w:ind w:left="0" w:firstLine="0"/>
      <w:jc w:val="left"/>
    </w:pPr>
    <w:rPr>
      <w:rFonts w:eastAsiaTheme="majorEastAsia" w:cstheme="majorBidi"/>
      <w:caps w:val="0"/>
      <w:snapToGrid/>
      <w:szCs w:val="28"/>
    </w:rPr>
  </w:style>
  <w:style w:type="paragraph" w:customStyle="1" w:styleId="V50TableText">
    <w:name w:val="V5.0 TableText"/>
    <w:link w:val="V50TableTextChar"/>
    <w:qFormat/>
    <w:rsid w:val="004E23FC"/>
    <w:pPr>
      <w:spacing w:after="0" w:line="240" w:lineRule="auto"/>
    </w:pPr>
    <w:rPr>
      <w:sz w:val="20"/>
      <w:szCs w:val="24"/>
      <w:lang w:val="en-US"/>
    </w:rPr>
  </w:style>
  <w:style w:type="paragraph" w:customStyle="1" w:styleId="V50TableTextInstruction">
    <w:name w:val="V5.0 TableText Instruction"/>
    <w:basedOn w:val="V50TableText"/>
    <w:qFormat/>
    <w:rsid w:val="004E23FC"/>
    <w:rPr>
      <w:b/>
      <w:color w:val="4472C4" w:themeColor="accent5"/>
    </w:rPr>
  </w:style>
  <w:style w:type="paragraph" w:customStyle="1" w:styleId="V50InstructionsBullets">
    <w:name w:val="V5.0 Instructions Bullets"/>
    <w:basedOn w:val="V50Instructions"/>
    <w:qFormat/>
    <w:rsid w:val="004E23FC"/>
    <w:pPr>
      <w:numPr>
        <w:numId w:val="6"/>
      </w:numPr>
      <w:spacing w:before="0" w:after="0"/>
      <w:ind w:left="714" w:hanging="357"/>
    </w:pPr>
  </w:style>
  <w:style w:type="table" w:customStyle="1" w:styleId="TableGridLight1">
    <w:name w:val="Table Grid Light1"/>
    <w:basedOn w:val="TableNormal"/>
    <w:uiPriority w:val="40"/>
    <w:rsid w:val="004E23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4E23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4E23FC"/>
    <w:pPr>
      <w:keepNext/>
      <w:widowControl/>
      <w:spacing w:before="40" w:after="40"/>
      <w:jc w:val="left"/>
    </w:pPr>
    <w:rPr>
      <w:rFonts w:ascii="Arial Narrow" w:eastAsiaTheme="minorHAnsi" w:hAnsi="Arial Narrow" w:cstheme="minorBidi"/>
      <w:snapToGrid/>
      <w:sz w:val="20"/>
      <w:szCs w:val="22"/>
    </w:rPr>
  </w:style>
  <w:style w:type="paragraph" w:styleId="FootnoteText">
    <w:name w:val="footnote text"/>
    <w:aliases w:val="Char,wcp_Footnote,Footnote_Bas Page,Footnote Text Char Char,Footnote Text Char2,Footnote Text Char Char1"/>
    <w:basedOn w:val="Normal"/>
    <w:link w:val="FootnoteTextChar"/>
    <w:unhideWhenUsed/>
    <w:rsid w:val="004E23FC"/>
    <w:pPr>
      <w:widowControl/>
      <w:jc w:val="left"/>
    </w:pPr>
    <w:rPr>
      <w:rFonts w:asciiTheme="minorHAnsi" w:eastAsiaTheme="minorHAnsi" w:hAnsiTheme="minorHAnsi" w:cstheme="minorBidi"/>
      <w:snapToGrid/>
      <w:sz w:val="18"/>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4E23FC"/>
    <w:rPr>
      <w:sz w:val="18"/>
      <w:szCs w:val="20"/>
    </w:rPr>
  </w:style>
  <w:style w:type="character" w:styleId="FootnoteReference">
    <w:name w:val="footnote reference"/>
    <w:basedOn w:val="DefaultParagraphFont"/>
    <w:uiPriority w:val="99"/>
    <w:unhideWhenUsed/>
    <w:rsid w:val="004E23FC"/>
    <w:rPr>
      <w:vertAlign w:val="superscript"/>
    </w:rPr>
  </w:style>
  <w:style w:type="paragraph" w:customStyle="1" w:styleId="TableFigNoteLast">
    <w:name w:val="TableFigNote Last"/>
    <w:basedOn w:val="Normal"/>
    <w:qFormat/>
    <w:rsid w:val="004E23FC"/>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4E23FC"/>
    <w:rPr>
      <w:b w:val="0"/>
      <w:i/>
      <w:iCs/>
    </w:rPr>
  </w:style>
  <w:style w:type="paragraph" w:customStyle="1" w:styleId="TableHeading0">
    <w:name w:val="Table Heading"/>
    <w:basedOn w:val="Normal"/>
    <w:qFormat/>
    <w:rsid w:val="004E23FC"/>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4E23FC"/>
    <w:rPr>
      <w:color w:val="4472C4" w:themeColor="accent5"/>
      <w:sz w:val="24"/>
    </w:rPr>
  </w:style>
  <w:style w:type="character" w:customStyle="1" w:styleId="V50TableTextChar">
    <w:name w:val="V5.0 TableText Char"/>
    <w:basedOn w:val="DefaultParagraphFont"/>
    <w:link w:val="V50TableText"/>
    <w:rsid w:val="004E23FC"/>
    <w:rPr>
      <w:sz w:val="20"/>
      <w:szCs w:val="24"/>
      <w:lang w:val="en-US"/>
    </w:rPr>
  </w:style>
  <w:style w:type="paragraph" w:customStyle="1" w:styleId="V50Tablename">
    <w:name w:val="V5.0 Table name"/>
    <w:basedOn w:val="V50TableText"/>
    <w:link w:val="V50TablenameChar"/>
    <w:qFormat/>
    <w:rsid w:val="004E23FC"/>
    <w:pPr>
      <w:keepNext/>
    </w:pPr>
    <w:rPr>
      <w:b/>
    </w:rPr>
  </w:style>
  <w:style w:type="character" w:customStyle="1" w:styleId="V50TablenameChar">
    <w:name w:val="V5.0 Table name Char"/>
    <w:basedOn w:val="DefaultParagraphFont"/>
    <w:link w:val="V50Tablename"/>
    <w:rsid w:val="004E23FC"/>
    <w:rPr>
      <w:b/>
      <w:sz w:val="20"/>
      <w:szCs w:val="24"/>
      <w:lang w:val="en-US"/>
    </w:rPr>
  </w:style>
  <w:style w:type="paragraph" w:customStyle="1" w:styleId="V50Tablenote">
    <w:name w:val="V5.0 Tablenote"/>
    <w:basedOn w:val="V50TableText"/>
    <w:link w:val="V50TablenoteChar"/>
    <w:qFormat/>
    <w:rsid w:val="004E23FC"/>
    <w:pPr>
      <w:spacing w:after="120"/>
      <w:contextualSpacing/>
      <w:jc w:val="both"/>
    </w:pPr>
    <w:rPr>
      <w:sz w:val="18"/>
      <w:szCs w:val="18"/>
    </w:rPr>
  </w:style>
  <w:style w:type="character" w:customStyle="1" w:styleId="V50TablenoteChar">
    <w:name w:val="V5.0 Tablenote Char"/>
    <w:basedOn w:val="DefaultParagraphFont"/>
    <w:link w:val="V50Tablenote"/>
    <w:rsid w:val="004E23FC"/>
    <w:rPr>
      <w:sz w:val="18"/>
      <w:szCs w:val="18"/>
      <w:lang w:val="en-US"/>
    </w:rPr>
  </w:style>
  <w:style w:type="character" w:customStyle="1" w:styleId="TableFooterChar">
    <w:name w:val="Table Footer Char"/>
    <w:link w:val="TableFooter"/>
    <w:rsid w:val="004E23FC"/>
    <w:rPr>
      <w:rFonts w:ascii="Arial Narrow" w:eastAsia="Times New Roman" w:hAnsi="Arial Narrow" w:cs="Arial"/>
      <w:snapToGrid w:val="0"/>
      <w:sz w:val="18"/>
      <w:szCs w:val="20"/>
    </w:rPr>
  </w:style>
  <w:style w:type="paragraph" w:customStyle="1" w:styleId="TableNotes">
    <w:name w:val="TableNotes"/>
    <w:basedOn w:val="Normal"/>
    <w:qFormat/>
    <w:rsid w:val="004E23FC"/>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4E23FC"/>
    <w:pPr>
      <w:widowControl/>
    </w:pPr>
    <w:rPr>
      <w:rFonts w:asciiTheme="minorHAnsi" w:eastAsiaTheme="minorHAnsi" w:hAnsiTheme="minorHAnsi"/>
      <w:snapToGrid/>
      <w:sz w:val="18"/>
      <w:szCs w:val="18"/>
      <w:lang w:val="en-US" w:eastAsia="en-AU"/>
    </w:rPr>
  </w:style>
  <w:style w:type="character" w:customStyle="1" w:styleId="oldTablefooterChar">
    <w:name w:val="old Table footer Char"/>
    <w:basedOn w:val="V50TableTextChar"/>
    <w:link w:val="oldTablefooter"/>
    <w:rsid w:val="004E23FC"/>
    <w:rPr>
      <w:rFonts w:cs="Arial"/>
      <w:sz w:val="18"/>
      <w:szCs w:val="18"/>
      <w:lang w:val="en-US" w:eastAsia="en-AU"/>
    </w:rPr>
  </w:style>
  <w:style w:type="character" w:customStyle="1" w:styleId="SubtitleChar">
    <w:name w:val="Subtitle Char"/>
    <w:link w:val="Subtitle"/>
    <w:uiPriority w:val="9"/>
    <w:rsid w:val="004E23FC"/>
  </w:style>
  <w:style w:type="paragraph" w:styleId="Subtitle">
    <w:name w:val="Subtitle"/>
    <w:basedOn w:val="Normal"/>
    <w:link w:val="SubtitleChar"/>
    <w:qFormat/>
    <w:rsid w:val="004E23FC"/>
    <w:pPr>
      <w:widowControl/>
    </w:pPr>
    <w:rPr>
      <w:rFonts w:asciiTheme="minorHAnsi" w:eastAsiaTheme="minorHAnsi" w:hAnsiTheme="minorHAnsi" w:cstheme="minorBidi"/>
      <w:snapToGrid/>
      <w:szCs w:val="22"/>
    </w:rPr>
  </w:style>
  <w:style w:type="character" w:customStyle="1" w:styleId="SubtitleChar1">
    <w:name w:val="Subtitle Char1"/>
    <w:basedOn w:val="DefaultParagraphFont"/>
    <w:uiPriority w:val="9"/>
    <w:rsid w:val="004E23FC"/>
    <w:rPr>
      <w:rFonts w:eastAsiaTheme="minorEastAsia"/>
      <w:snapToGrid w:val="0"/>
      <w:color w:val="5A5A5A" w:themeColor="text1" w:themeTint="A5"/>
      <w:spacing w:val="15"/>
    </w:rPr>
  </w:style>
  <w:style w:type="paragraph" w:customStyle="1" w:styleId="PBACHeading10">
    <w:name w:val="PBAC Heading 1"/>
    <w:qFormat/>
    <w:rsid w:val="004E23FC"/>
    <w:pPr>
      <w:spacing w:before="200" w:after="120" w:line="240" w:lineRule="auto"/>
      <w:ind w:left="720" w:hanging="720"/>
    </w:pPr>
    <w:rPr>
      <w:rFonts w:ascii="Arial" w:eastAsia="Times New Roman" w:hAnsi="Arial" w:cs="Arial"/>
      <w:b/>
      <w:snapToGrid w:val="0"/>
    </w:rPr>
  </w:style>
  <w:style w:type="paragraph" w:customStyle="1" w:styleId="Style1">
    <w:name w:val="Style1"/>
    <w:basedOn w:val="Normal"/>
    <w:rsid w:val="004E23FC"/>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4E23FC"/>
    <w:rPr>
      <w:rFonts w:ascii="Arial" w:eastAsia="Times New Roman" w:hAnsi="Arial" w:cs="Arial"/>
      <w:snapToGrid w:val="0"/>
      <w:szCs w:val="20"/>
    </w:rPr>
  </w:style>
  <w:style w:type="numbering" w:customStyle="1" w:styleId="Headings">
    <w:name w:val="Headings"/>
    <w:uiPriority w:val="99"/>
    <w:rsid w:val="004E23FC"/>
    <w:pPr>
      <w:numPr>
        <w:numId w:val="7"/>
      </w:numPr>
    </w:pPr>
  </w:style>
  <w:style w:type="character" w:styleId="FollowedHyperlink">
    <w:name w:val="FollowedHyperlink"/>
    <w:basedOn w:val="DefaultParagraphFont"/>
    <w:uiPriority w:val="99"/>
    <w:semiHidden/>
    <w:unhideWhenUsed/>
    <w:rsid w:val="004E23FC"/>
    <w:rPr>
      <w:color w:val="954F72" w:themeColor="followedHyperlink"/>
      <w:u w:val="single"/>
    </w:rPr>
  </w:style>
  <w:style w:type="paragraph" w:customStyle="1" w:styleId="BulletLast">
    <w:name w:val="Bullet Last"/>
    <w:basedOn w:val="Normal"/>
    <w:qFormat/>
    <w:rsid w:val="004E23FC"/>
    <w:pPr>
      <w:widowControl/>
      <w:numPr>
        <w:numId w:val="8"/>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4E23FC"/>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4E23FC"/>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E23FC"/>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4E23FC"/>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BulletedText">
    <w:name w:val="Bulleted Text"/>
    <w:basedOn w:val="Normal"/>
    <w:uiPriority w:val="99"/>
    <w:rsid w:val="004E23FC"/>
    <w:pPr>
      <w:widowControl/>
      <w:numPr>
        <w:numId w:val="9"/>
      </w:numPr>
      <w:spacing w:after="120" w:line="276" w:lineRule="auto"/>
    </w:pPr>
    <w:rPr>
      <w:rFonts w:cs="Times New Roman"/>
      <w:snapToGrid/>
      <w:szCs w:val="22"/>
      <w:lang w:eastAsia="en-AU"/>
    </w:rPr>
  </w:style>
  <w:style w:type="paragraph" w:customStyle="1" w:styleId="TableLeft">
    <w:name w:val="Table Left"/>
    <w:basedOn w:val="Normal"/>
    <w:link w:val="TableLeftChar"/>
    <w:uiPriority w:val="99"/>
    <w:qFormat/>
    <w:rsid w:val="004E23FC"/>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99"/>
    <w:locked/>
    <w:rsid w:val="004E23FC"/>
    <w:rPr>
      <w:rFonts w:ascii="Arial Narrow" w:eastAsiaTheme="majorEastAsia" w:hAnsi="Arial Narrow" w:cstheme="majorBidi"/>
      <w:sz w:val="20"/>
      <w:lang w:bidi="en-US"/>
    </w:rPr>
  </w:style>
  <w:style w:type="paragraph" w:customStyle="1" w:styleId="TableBullets">
    <w:name w:val="Table Bullets"/>
    <w:basedOn w:val="TableLeft"/>
    <w:uiPriority w:val="5"/>
    <w:qFormat/>
    <w:rsid w:val="004E23FC"/>
    <w:pPr>
      <w:numPr>
        <w:numId w:val="10"/>
      </w:numPr>
    </w:pPr>
  </w:style>
  <w:style w:type="paragraph" w:customStyle="1" w:styleId="Default">
    <w:name w:val="Default"/>
    <w:link w:val="DefaultChar"/>
    <w:rsid w:val="004E23FC"/>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DefaultChar">
    <w:name w:val="Default Char"/>
    <w:basedOn w:val="DefaultParagraphFont"/>
    <w:link w:val="Default"/>
    <w:locked/>
    <w:rsid w:val="004E23FC"/>
    <w:rPr>
      <w:rFonts w:ascii="Arial" w:eastAsia="Times New Roman" w:hAnsi="Arial" w:cs="Arial"/>
      <w:color w:val="000000"/>
      <w:sz w:val="24"/>
      <w:szCs w:val="24"/>
      <w:lang w:eastAsia="en-AU"/>
    </w:rPr>
  </w:style>
  <w:style w:type="paragraph" w:customStyle="1" w:styleId="TableTextHeading">
    <w:name w:val="Table Text Heading"/>
    <w:basedOn w:val="Normal"/>
    <w:rsid w:val="004E23FC"/>
    <w:pPr>
      <w:widowControl/>
      <w:spacing w:before="60" w:after="60"/>
      <w:jc w:val="center"/>
    </w:pPr>
    <w:rPr>
      <w:rFonts w:ascii="Arial Bold" w:hAnsi="Arial Bold" w:cs="Times New Roman"/>
      <w:b/>
      <w:snapToGrid/>
      <w:sz w:val="18"/>
      <w:lang w:eastAsia="en-AU"/>
    </w:rPr>
  </w:style>
  <w:style w:type="character" w:customStyle="1" w:styleId="MainBodyTextChar">
    <w:name w:val="Main Body Text Char"/>
    <w:link w:val="MainBodyText"/>
    <w:rsid w:val="005B162A"/>
    <w:rPr>
      <w:rFonts w:ascii="Arial" w:hAnsi="Arial"/>
    </w:rPr>
  </w:style>
  <w:style w:type="paragraph" w:customStyle="1" w:styleId="MainBodyText">
    <w:name w:val="Main Body Text"/>
    <w:basedOn w:val="Normal"/>
    <w:link w:val="MainBodyTextChar"/>
    <w:rsid w:val="005B162A"/>
    <w:pPr>
      <w:widowControl/>
      <w:spacing w:after="240" w:line="276" w:lineRule="auto"/>
    </w:pPr>
    <w:rPr>
      <w:rFonts w:eastAsiaTheme="minorHAnsi" w:cstheme="minorBidi"/>
      <w:snapToGrid/>
      <w:szCs w:val="22"/>
    </w:rPr>
  </w:style>
  <w:style w:type="table" w:styleId="LightShading">
    <w:name w:val="Light Shading"/>
    <w:basedOn w:val="TableNormal"/>
    <w:uiPriority w:val="60"/>
    <w:rsid w:val="00437286"/>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aptionCharChar1">
    <w:name w:val="Caption Char Char1"/>
    <w:aliases w:val="IB Caption Char Char,Medical Caption Char Char,Caption Char1 Char Char Char,Caption Char Char Char Char Char1,Caption Char1 Char Char1,Caption Char Char Char Char Char Char,Caption Char Char Char1"/>
    <w:basedOn w:val="DefaultParagraphFont"/>
    <w:rsid w:val="00876AF4"/>
    <w:rPr>
      <w:rFonts w:ascii="Arial" w:eastAsia="Times New Roman" w:hAnsi="Arial" w:cs="Times New Roman"/>
      <w:b/>
      <w:lang w:val="en-AU" w:eastAsia="en-AU"/>
    </w:rPr>
  </w:style>
  <w:style w:type="character" w:customStyle="1" w:styleId="TableBold">
    <w:name w:val="Table Bold"/>
    <w:basedOn w:val="DefaultParagraphFont"/>
    <w:uiPriority w:val="4"/>
    <w:qFormat/>
    <w:rsid w:val="00802D35"/>
    <w:rPr>
      <w:rFonts w:ascii="Arial Narrow" w:hAnsi="Arial Narrow"/>
      <w:b/>
      <w:sz w:val="20"/>
      <w:lang w:val="en-AU"/>
    </w:rPr>
  </w:style>
  <w:style w:type="numbering" w:customStyle="1" w:styleId="Style4">
    <w:name w:val="Style4"/>
    <w:uiPriority w:val="99"/>
    <w:rsid w:val="00802D35"/>
    <w:pPr>
      <w:numPr>
        <w:numId w:val="24"/>
      </w:numPr>
    </w:pPr>
  </w:style>
  <w:style w:type="paragraph" w:customStyle="1" w:styleId="TextUnderTable">
    <w:name w:val="Text Under Table"/>
    <w:basedOn w:val="Normal"/>
    <w:link w:val="TextUnderTableChar"/>
    <w:rsid w:val="00911AE3"/>
    <w:pPr>
      <w:widowControl/>
      <w:spacing w:before="120" w:after="120"/>
      <w:contextualSpacing/>
      <w:jc w:val="left"/>
    </w:pPr>
    <w:rPr>
      <w:rFonts w:cs="Times New Roman"/>
      <w:i/>
      <w:snapToGrid/>
      <w:sz w:val="16"/>
      <w:szCs w:val="22"/>
      <w:lang w:eastAsia="en-AU"/>
    </w:rPr>
  </w:style>
  <w:style w:type="character" w:customStyle="1" w:styleId="TextUnderTableChar">
    <w:name w:val="Text Under Table Char"/>
    <w:link w:val="TextUnderTable"/>
    <w:rsid w:val="00911AE3"/>
    <w:rPr>
      <w:rFonts w:ascii="Arial" w:eastAsia="Times New Roman" w:hAnsi="Arial" w:cs="Times New Roman"/>
      <w:i/>
      <w:sz w:val="16"/>
      <w:lang w:eastAsia="en-AU"/>
    </w:rPr>
  </w:style>
  <w:style w:type="paragraph" w:customStyle="1" w:styleId="TableH1">
    <w:name w:val="Table H1"/>
    <w:basedOn w:val="BodyText"/>
    <w:uiPriority w:val="4"/>
    <w:qFormat/>
    <w:rsid w:val="00C55023"/>
    <w:pPr>
      <w:keepNext/>
      <w:widowControl/>
      <w:tabs>
        <w:tab w:val="left" w:pos="416"/>
        <w:tab w:val="left" w:pos="582"/>
        <w:tab w:val="left" w:pos="1134"/>
      </w:tabs>
      <w:spacing w:after="240"/>
    </w:pPr>
    <w:rPr>
      <w:rFonts w:ascii="Calibri" w:hAnsi="Calibri" w:cs="Times New Roman"/>
      <w:b/>
      <w:snapToGrid/>
      <w:sz w:val="20"/>
      <w:lang w:val="en-US"/>
    </w:rPr>
  </w:style>
  <w:style w:type="table" w:customStyle="1" w:styleId="TableStyle">
    <w:name w:val="Table Style"/>
    <w:basedOn w:val="TableNormal"/>
    <w:uiPriority w:val="99"/>
    <w:rsid w:val="00243457"/>
    <w:pPr>
      <w:spacing w:before="120" w:after="0" w:line="240" w:lineRule="auto"/>
    </w:pPr>
    <w:rPr>
      <w:rFonts w:ascii="Arial" w:eastAsia="Times New Roman" w:hAnsi="Arial" w:cs="Times New Roman"/>
      <w:sz w:val="18"/>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ableListBullet">
    <w:name w:val="Table List Bullet"/>
    <w:basedOn w:val="TableText1"/>
    <w:uiPriority w:val="99"/>
    <w:rsid w:val="00243457"/>
    <w:pPr>
      <w:keepNext w:val="0"/>
      <w:numPr>
        <w:numId w:val="38"/>
      </w:numPr>
      <w:tabs>
        <w:tab w:val="clear" w:pos="720"/>
        <w:tab w:val="left" w:pos="280"/>
        <w:tab w:val="center" w:pos="4153"/>
        <w:tab w:val="right" w:pos="9015"/>
      </w:tabs>
      <w:spacing w:before="0" w:after="0"/>
      <w:ind w:left="280" w:hanging="280"/>
    </w:pPr>
    <w:rPr>
      <w:rFonts w:ascii="Arial" w:eastAsia="Times New Roman" w:hAnsi="Arial" w:cs="Times New Roman"/>
      <w:sz w:val="16"/>
      <w:szCs w:val="16"/>
      <w:lang w:eastAsia="en-AU"/>
    </w:rPr>
  </w:style>
  <w:style w:type="paragraph" w:customStyle="1" w:styleId="NEWNORM">
    <w:name w:val="NEW NORM"/>
    <w:basedOn w:val="Normal"/>
    <w:link w:val="NEWNORMChar"/>
    <w:qFormat/>
    <w:rsid w:val="009E203B"/>
    <w:pPr>
      <w:widowControl/>
      <w:spacing w:after="120"/>
      <w:jc w:val="left"/>
    </w:pPr>
    <w:rPr>
      <w:snapToGrid/>
      <w:szCs w:val="24"/>
    </w:rPr>
  </w:style>
  <w:style w:type="character" w:customStyle="1" w:styleId="NEWNORMChar">
    <w:name w:val="NEW NORM Char"/>
    <w:basedOn w:val="DefaultParagraphFont"/>
    <w:link w:val="NEWNORM"/>
    <w:rsid w:val="009E203B"/>
    <w:rPr>
      <w:rFonts w:ascii="Arial" w:eastAsia="Times New Roman" w:hAnsi="Arial" w:cs="Arial"/>
      <w:szCs w:val="24"/>
    </w:rPr>
  </w:style>
  <w:style w:type="paragraph" w:styleId="ListBullet">
    <w:name w:val="List Bullet"/>
    <w:basedOn w:val="Normal"/>
    <w:autoRedefine/>
    <w:rsid w:val="0065003A"/>
    <w:pPr>
      <w:widowControl/>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745">
      <w:bodyDiv w:val="1"/>
      <w:marLeft w:val="0"/>
      <w:marRight w:val="0"/>
      <w:marTop w:val="0"/>
      <w:marBottom w:val="0"/>
      <w:divBdr>
        <w:top w:val="none" w:sz="0" w:space="0" w:color="auto"/>
        <w:left w:val="none" w:sz="0" w:space="0" w:color="auto"/>
        <w:bottom w:val="none" w:sz="0" w:space="0" w:color="auto"/>
        <w:right w:val="none" w:sz="0" w:space="0" w:color="auto"/>
      </w:divBdr>
      <w:divsChild>
        <w:div w:id="342241799">
          <w:marLeft w:val="446"/>
          <w:marRight w:val="0"/>
          <w:marTop w:val="0"/>
          <w:marBottom w:val="0"/>
          <w:divBdr>
            <w:top w:val="none" w:sz="0" w:space="0" w:color="auto"/>
            <w:left w:val="none" w:sz="0" w:space="0" w:color="auto"/>
            <w:bottom w:val="none" w:sz="0" w:space="0" w:color="auto"/>
            <w:right w:val="none" w:sz="0" w:space="0" w:color="auto"/>
          </w:divBdr>
        </w:div>
        <w:div w:id="840967312">
          <w:marLeft w:val="446"/>
          <w:marRight w:val="0"/>
          <w:marTop w:val="0"/>
          <w:marBottom w:val="0"/>
          <w:divBdr>
            <w:top w:val="none" w:sz="0" w:space="0" w:color="auto"/>
            <w:left w:val="none" w:sz="0" w:space="0" w:color="auto"/>
            <w:bottom w:val="none" w:sz="0" w:space="0" w:color="auto"/>
            <w:right w:val="none" w:sz="0" w:space="0" w:color="auto"/>
          </w:divBdr>
        </w:div>
        <w:div w:id="1169058179">
          <w:marLeft w:val="446"/>
          <w:marRight w:val="0"/>
          <w:marTop w:val="0"/>
          <w:marBottom w:val="0"/>
          <w:divBdr>
            <w:top w:val="none" w:sz="0" w:space="0" w:color="auto"/>
            <w:left w:val="none" w:sz="0" w:space="0" w:color="auto"/>
            <w:bottom w:val="none" w:sz="0" w:space="0" w:color="auto"/>
            <w:right w:val="none" w:sz="0" w:space="0" w:color="auto"/>
          </w:divBdr>
        </w:div>
        <w:div w:id="1317950556">
          <w:marLeft w:val="446"/>
          <w:marRight w:val="0"/>
          <w:marTop w:val="0"/>
          <w:marBottom w:val="0"/>
          <w:divBdr>
            <w:top w:val="none" w:sz="0" w:space="0" w:color="auto"/>
            <w:left w:val="none" w:sz="0" w:space="0" w:color="auto"/>
            <w:bottom w:val="none" w:sz="0" w:space="0" w:color="auto"/>
            <w:right w:val="none" w:sz="0" w:space="0" w:color="auto"/>
          </w:divBdr>
        </w:div>
        <w:div w:id="2031566406">
          <w:marLeft w:val="446"/>
          <w:marRight w:val="0"/>
          <w:marTop w:val="0"/>
          <w:marBottom w:val="0"/>
          <w:divBdr>
            <w:top w:val="none" w:sz="0" w:space="0" w:color="auto"/>
            <w:left w:val="none" w:sz="0" w:space="0" w:color="auto"/>
            <w:bottom w:val="none" w:sz="0" w:space="0" w:color="auto"/>
            <w:right w:val="none" w:sz="0" w:space="0" w:color="auto"/>
          </w:divBdr>
        </w:div>
      </w:divsChild>
    </w:div>
    <w:div w:id="27994134">
      <w:bodyDiv w:val="1"/>
      <w:marLeft w:val="0"/>
      <w:marRight w:val="0"/>
      <w:marTop w:val="0"/>
      <w:marBottom w:val="0"/>
      <w:divBdr>
        <w:top w:val="none" w:sz="0" w:space="0" w:color="auto"/>
        <w:left w:val="none" w:sz="0" w:space="0" w:color="auto"/>
        <w:bottom w:val="none" w:sz="0" w:space="0" w:color="auto"/>
        <w:right w:val="none" w:sz="0" w:space="0" w:color="auto"/>
      </w:divBdr>
    </w:div>
    <w:div w:id="50857275">
      <w:bodyDiv w:val="1"/>
      <w:marLeft w:val="0"/>
      <w:marRight w:val="0"/>
      <w:marTop w:val="0"/>
      <w:marBottom w:val="0"/>
      <w:divBdr>
        <w:top w:val="none" w:sz="0" w:space="0" w:color="auto"/>
        <w:left w:val="none" w:sz="0" w:space="0" w:color="auto"/>
        <w:bottom w:val="none" w:sz="0" w:space="0" w:color="auto"/>
        <w:right w:val="none" w:sz="0" w:space="0" w:color="auto"/>
      </w:divBdr>
    </w:div>
    <w:div w:id="58945987">
      <w:bodyDiv w:val="1"/>
      <w:marLeft w:val="0"/>
      <w:marRight w:val="0"/>
      <w:marTop w:val="0"/>
      <w:marBottom w:val="0"/>
      <w:divBdr>
        <w:top w:val="none" w:sz="0" w:space="0" w:color="auto"/>
        <w:left w:val="none" w:sz="0" w:space="0" w:color="auto"/>
        <w:bottom w:val="none" w:sz="0" w:space="0" w:color="auto"/>
        <w:right w:val="none" w:sz="0" w:space="0" w:color="auto"/>
      </w:divBdr>
    </w:div>
    <w:div w:id="70127240">
      <w:bodyDiv w:val="1"/>
      <w:marLeft w:val="0"/>
      <w:marRight w:val="0"/>
      <w:marTop w:val="0"/>
      <w:marBottom w:val="0"/>
      <w:divBdr>
        <w:top w:val="none" w:sz="0" w:space="0" w:color="auto"/>
        <w:left w:val="none" w:sz="0" w:space="0" w:color="auto"/>
        <w:bottom w:val="none" w:sz="0" w:space="0" w:color="auto"/>
        <w:right w:val="none" w:sz="0" w:space="0" w:color="auto"/>
      </w:divBdr>
    </w:div>
    <w:div w:id="71315152">
      <w:bodyDiv w:val="1"/>
      <w:marLeft w:val="0"/>
      <w:marRight w:val="0"/>
      <w:marTop w:val="0"/>
      <w:marBottom w:val="0"/>
      <w:divBdr>
        <w:top w:val="none" w:sz="0" w:space="0" w:color="auto"/>
        <w:left w:val="none" w:sz="0" w:space="0" w:color="auto"/>
        <w:bottom w:val="none" w:sz="0" w:space="0" w:color="auto"/>
        <w:right w:val="none" w:sz="0" w:space="0" w:color="auto"/>
      </w:divBdr>
    </w:div>
    <w:div w:id="112094665">
      <w:bodyDiv w:val="1"/>
      <w:marLeft w:val="0"/>
      <w:marRight w:val="0"/>
      <w:marTop w:val="0"/>
      <w:marBottom w:val="0"/>
      <w:divBdr>
        <w:top w:val="none" w:sz="0" w:space="0" w:color="auto"/>
        <w:left w:val="none" w:sz="0" w:space="0" w:color="auto"/>
        <w:bottom w:val="none" w:sz="0" w:space="0" w:color="auto"/>
        <w:right w:val="none" w:sz="0" w:space="0" w:color="auto"/>
      </w:divBdr>
    </w:div>
    <w:div w:id="124395570">
      <w:bodyDiv w:val="1"/>
      <w:marLeft w:val="0"/>
      <w:marRight w:val="0"/>
      <w:marTop w:val="0"/>
      <w:marBottom w:val="0"/>
      <w:divBdr>
        <w:top w:val="none" w:sz="0" w:space="0" w:color="auto"/>
        <w:left w:val="none" w:sz="0" w:space="0" w:color="auto"/>
        <w:bottom w:val="none" w:sz="0" w:space="0" w:color="auto"/>
        <w:right w:val="none" w:sz="0" w:space="0" w:color="auto"/>
      </w:divBdr>
    </w:div>
    <w:div w:id="129127765">
      <w:bodyDiv w:val="1"/>
      <w:marLeft w:val="0"/>
      <w:marRight w:val="0"/>
      <w:marTop w:val="0"/>
      <w:marBottom w:val="0"/>
      <w:divBdr>
        <w:top w:val="none" w:sz="0" w:space="0" w:color="auto"/>
        <w:left w:val="none" w:sz="0" w:space="0" w:color="auto"/>
        <w:bottom w:val="none" w:sz="0" w:space="0" w:color="auto"/>
        <w:right w:val="none" w:sz="0" w:space="0" w:color="auto"/>
      </w:divBdr>
    </w:div>
    <w:div w:id="179390853">
      <w:bodyDiv w:val="1"/>
      <w:marLeft w:val="0"/>
      <w:marRight w:val="0"/>
      <w:marTop w:val="0"/>
      <w:marBottom w:val="0"/>
      <w:divBdr>
        <w:top w:val="none" w:sz="0" w:space="0" w:color="auto"/>
        <w:left w:val="none" w:sz="0" w:space="0" w:color="auto"/>
        <w:bottom w:val="none" w:sz="0" w:space="0" w:color="auto"/>
        <w:right w:val="none" w:sz="0" w:space="0" w:color="auto"/>
      </w:divBdr>
    </w:div>
    <w:div w:id="198468711">
      <w:bodyDiv w:val="1"/>
      <w:marLeft w:val="0"/>
      <w:marRight w:val="0"/>
      <w:marTop w:val="0"/>
      <w:marBottom w:val="0"/>
      <w:divBdr>
        <w:top w:val="none" w:sz="0" w:space="0" w:color="auto"/>
        <w:left w:val="none" w:sz="0" w:space="0" w:color="auto"/>
        <w:bottom w:val="none" w:sz="0" w:space="0" w:color="auto"/>
        <w:right w:val="none" w:sz="0" w:space="0" w:color="auto"/>
      </w:divBdr>
    </w:div>
    <w:div w:id="213591387">
      <w:bodyDiv w:val="1"/>
      <w:marLeft w:val="0"/>
      <w:marRight w:val="0"/>
      <w:marTop w:val="0"/>
      <w:marBottom w:val="0"/>
      <w:divBdr>
        <w:top w:val="none" w:sz="0" w:space="0" w:color="auto"/>
        <w:left w:val="none" w:sz="0" w:space="0" w:color="auto"/>
        <w:bottom w:val="none" w:sz="0" w:space="0" w:color="auto"/>
        <w:right w:val="none" w:sz="0" w:space="0" w:color="auto"/>
      </w:divBdr>
    </w:div>
    <w:div w:id="227149805">
      <w:bodyDiv w:val="1"/>
      <w:marLeft w:val="0"/>
      <w:marRight w:val="0"/>
      <w:marTop w:val="0"/>
      <w:marBottom w:val="0"/>
      <w:divBdr>
        <w:top w:val="none" w:sz="0" w:space="0" w:color="auto"/>
        <w:left w:val="none" w:sz="0" w:space="0" w:color="auto"/>
        <w:bottom w:val="none" w:sz="0" w:space="0" w:color="auto"/>
        <w:right w:val="none" w:sz="0" w:space="0" w:color="auto"/>
      </w:divBdr>
    </w:div>
    <w:div w:id="268506790">
      <w:bodyDiv w:val="1"/>
      <w:marLeft w:val="0"/>
      <w:marRight w:val="0"/>
      <w:marTop w:val="0"/>
      <w:marBottom w:val="0"/>
      <w:divBdr>
        <w:top w:val="none" w:sz="0" w:space="0" w:color="auto"/>
        <w:left w:val="none" w:sz="0" w:space="0" w:color="auto"/>
        <w:bottom w:val="none" w:sz="0" w:space="0" w:color="auto"/>
        <w:right w:val="none" w:sz="0" w:space="0" w:color="auto"/>
      </w:divBdr>
    </w:div>
    <w:div w:id="277564817">
      <w:bodyDiv w:val="1"/>
      <w:marLeft w:val="0"/>
      <w:marRight w:val="0"/>
      <w:marTop w:val="0"/>
      <w:marBottom w:val="0"/>
      <w:divBdr>
        <w:top w:val="none" w:sz="0" w:space="0" w:color="auto"/>
        <w:left w:val="none" w:sz="0" w:space="0" w:color="auto"/>
        <w:bottom w:val="none" w:sz="0" w:space="0" w:color="auto"/>
        <w:right w:val="none" w:sz="0" w:space="0" w:color="auto"/>
      </w:divBdr>
    </w:div>
    <w:div w:id="291373975">
      <w:bodyDiv w:val="1"/>
      <w:marLeft w:val="0"/>
      <w:marRight w:val="0"/>
      <w:marTop w:val="0"/>
      <w:marBottom w:val="0"/>
      <w:divBdr>
        <w:top w:val="none" w:sz="0" w:space="0" w:color="auto"/>
        <w:left w:val="none" w:sz="0" w:space="0" w:color="auto"/>
        <w:bottom w:val="none" w:sz="0" w:space="0" w:color="auto"/>
        <w:right w:val="none" w:sz="0" w:space="0" w:color="auto"/>
      </w:divBdr>
    </w:div>
    <w:div w:id="303434185">
      <w:bodyDiv w:val="1"/>
      <w:marLeft w:val="0"/>
      <w:marRight w:val="0"/>
      <w:marTop w:val="0"/>
      <w:marBottom w:val="0"/>
      <w:divBdr>
        <w:top w:val="none" w:sz="0" w:space="0" w:color="auto"/>
        <w:left w:val="none" w:sz="0" w:space="0" w:color="auto"/>
        <w:bottom w:val="none" w:sz="0" w:space="0" w:color="auto"/>
        <w:right w:val="none" w:sz="0" w:space="0" w:color="auto"/>
      </w:divBdr>
    </w:div>
    <w:div w:id="310329342">
      <w:bodyDiv w:val="1"/>
      <w:marLeft w:val="0"/>
      <w:marRight w:val="0"/>
      <w:marTop w:val="0"/>
      <w:marBottom w:val="0"/>
      <w:divBdr>
        <w:top w:val="none" w:sz="0" w:space="0" w:color="auto"/>
        <w:left w:val="none" w:sz="0" w:space="0" w:color="auto"/>
        <w:bottom w:val="none" w:sz="0" w:space="0" w:color="auto"/>
        <w:right w:val="none" w:sz="0" w:space="0" w:color="auto"/>
      </w:divBdr>
    </w:div>
    <w:div w:id="344212375">
      <w:bodyDiv w:val="1"/>
      <w:marLeft w:val="0"/>
      <w:marRight w:val="0"/>
      <w:marTop w:val="0"/>
      <w:marBottom w:val="0"/>
      <w:divBdr>
        <w:top w:val="none" w:sz="0" w:space="0" w:color="auto"/>
        <w:left w:val="none" w:sz="0" w:space="0" w:color="auto"/>
        <w:bottom w:val="none" w:sz="0" w:space="0" w:color="auto"/>
        <w:right w:val="none" w:sz="0" w:space="0" w:color="auto"/>
      </w:divBdr>
    </w:div>
    <w:div w:id="371882481">
      <w:bodyDiv w:val="1"/>
      <w:marLeft w:val="0"/>
      <w:marRight w:val="0"/>
      <w:marTop w:val="0"/>
      <w:marBottom w:val="0"/>
      <w:divBdr>
        <w:top w:val="none" w:sz="0" w:space="0" w:color="auto"/>
        <w:left w:val="none" w:sz="0" w:space="0" w:color="auto"/>
        <w:bottom w:val="none" w:sz="0" w:space="0" w:color="auto"/>
        <w:right w:val="none" w:sz="0" w:space="0" w:color="auto"/>
      </w:divBdr>
    </w:div>
    <w:div w:id="382486600">
      <w:bodyDiv w:val="1"/>
      <w:marLeft w:val="0"/>
      <w:marRight w:val="0"/>
      <w:marTop w:val="0"/>
      <w:marBottom w:val="0"/>
      <w:divBdr>
        <w:top w:val="none" w:sz="0" w:space="0" w:color="auto"/>
        <w:left w:val="none" w:sz="0" w:space="0" w:color="auto"/>
        <w:bottom w:val="none" w:sz="0" w:space="0" w:color="auto"/>
        <w:right w:val="none" w:sz="0" w:space="0" w:color="auto"/>
      </w:divBdr>
    </w:div>
    <w:div w:id="387000846">
      <w:bodyDiv w:val="1"/>
      <w:marLeft w:val="0"/>
      <w:marRight w:val="0"/>
      <w:marTop w:val="0"/>
      <w:marBottom w:val="0"/>
      <w:divBdr>
        <w:top w:val="none" w:sz="0" w:space="0" w:color="auto"/>
        <w:left w:val="none" w:sz="0" w:space="0" w:color="auto"/>
        <w:bottom w:val="none" w:sz="0" w:space="0" w:color="auto"/>
        <w:right w:val="none" w:sz="0" w:space="0" w:color="auto"/>
      </w:divBdr>
    </w:div>
    <w:div w:id="388001239">
      <w:bodyDiv w:val="1"/>
      <w:marLeft w:val="0"/>
      <w:marRight w:val="0"/>
      <w:marTop w:val="0"/>
      <w:marBottom w:val="0"/>
      <w:divBdr>
        <w:top w:val="none" w:sz="0" w:space="0" w:color="auto"/>
        <w:left w:val="none" w:sz="0" w:space="0" w:color="auto"/>
        <w:bottom w:val="none" w:sz="0" w:space="0" w:color="auto"/>
        <w:right w:val="none" w:sz="0" w:space="0" w:color="auto"/>
      </w:divBdr>
    </w:div>
    <w:div w:id="403795279">
      <w:bodyDiv w:val="1"/>
      <w:marLeft w:val="0"/>
      <w:marRight w:val="0"/>
      <w:marTop w:val="0"/>
      <w:marBottom w:val="0"/>
      <w:divBdr>
        <w:top w:val="none" w:sz="0" w:space="0" w:color="auto"/>
        <w:left w:val="none" w:sz="0" w:space="0" w:color="auto"/>
        <w:bottom w:val="none" w:sz="0" w:space="0" w:color="auto"/>
        <w:right w:val="none" w:sz="0" w:space="0" w:color="auto"/>
      </w:divBdr>
    </w:div>
    <w:div w:id="420300863">
      <w:bodyDiv w:val="1"/>
      <w:marLeft w:val="0"/>
      <w:marRight w:val="0"/>
      <w:marTop w:val="0"/>
      <w:marBottom w:val="0"/>
      <w:divBdr>
        <w:top w:val="none" w:sz="0" w:space="0" w:color="auto"/>
        <w:left w:val="none" w:sz="0" w:space="0" w:color="auto"/>
        <w:bottom w:val="none" w:sz="0" w:space="0" w:color="auto"/>
        <w:right w:val="none" w:sz="0" w:space="0" w:color="auto"/>
      </w:divBdr>
    </w:div>
    <w:div w:id="441652356">
      <w:bodyDiv w:val="1"/>
      <w:marLeft w:val="0"/>
      <w:marRight w:val="0"/>
      <w:marTop w:val="0"/>
      <w:marBottom w:val="0"/>
      <w:divBdr>
        <w:top w:val="none" w:sz="0" w:space="0" w:color="auto"/>
        <w:left w:val="none" w:sz="0" w:space="0" w:color="auto"/>
        <w:bottom w:val="none" w:sz="0" w:space="0" w:color="auto"/>
        <w:right w:val="none" w:sz="0" w:space="0" w:color="auto"/>
      </w:divBdr>
    </w:div>
    <w:div w:id="466165529">
      <w:bodyDiv w:val="1"/>
      <w:marLeft w:val="0"/>
      <w:marRight w:val="0"/>
      <w:marTop w:val="0"/>
      <w:marBottom w:val="0"/>
      <w:divBdr>
        <w:top w:val="none" w:sz="0" w:space="0" w:color="auto"/>
        <w:left w:val="none" w:sz="0" w:space="0" w:color="auto"/>
        <w:bottom w:val="none" w:sz="0" w:space="0" w:color="auto"/>
        <w:right w:val="none" w:sz="0" w:space="0" w:color="auto"/>
      </w:divBdr>
    </w:div>
    <w:div w:id="466632843">
      <w:bodyDiv w:val="1"/>
      <w:marLeft w:val="0"/>
      <w:marRight w:val="0"/>
      <w:marTop w:val="0"/>
      <w:marBottom w:val="0"/>
      <w:divBdr>
        <w:top w:val="none" w:sz="0" w:space="0" w:color="auto"/>
        <w:left w:val="none" w:sz="0" w:space="0" w:color="auto"/>
        <w:bottom w:val="none" w:sz="0" w:space="0" w:color="auto"/>
        <w:right w:val="none" w:sz="0" w:space="0" w:color="auto"/>
      </w:divBdr>
    </w:div>
    <w:div w:id="476993730">
      <w:bodyDiv w:val="1"/>
      <w:marLeft w:val="0"/>
      <w:marRight w:val="0"/>
      <w:marTop w:val="0"/>
      <w:marBottom w:val="0"/>
      <w:divBdr>
        <w:top w:val="none" w:sz="0" w:space="0" w:color="auto"/>
        <w:left w:val="none" w:sz="0" w:space="0" w:color="auto"/>
        <w:bottom w:val="none" w:sz="0" w:space="0" w:color="auto"/>
        <w:right w:val="none" w:sz="0" w:space="0" w:color="auto"/>
      </w:divBdr>
      <w:divsChild>
        <w:div w:id="941498311">
          <w:marLeft w:val="360"/>
          <w:marRight w:val="0"/>
          <w:marTop w:val="200"/>
          <w:marBottom w:val="0"/>
          <w:divBdr>
            <w:top w:val="none" w:sz="0" w:space="0" w:color="auto"/>
            <w:left w:val="none" w:sz="0" w:space="0" w:color="auto"/>
            <w:bottom w:val="none" w:sz="0" w:space="0" w:color="auto"/>
            <w:right w:val="none" w:sz="0" w:space="0" w:color="auto"/>
          </w:divBdr>
        </w:div>
        <w:div w:id="1590848794">
          <w:marLeft w:val="360"/>
          <w:marRight w:val="0"/>
          <w:marTop w:val="200"/>
          <w:marBottom w:val="0"/>
          <w:divBdr>
            <w:top w:val="none" w:sz="0" w:space="0" w:color="auto"/>
            <w:left w:val="none" w:sz="0" w:space="0" w:color="auto"/>
            <w:bottom w:val="none" w:sz="0" w:space="0" w:color="auto"/>
            <w:right w:val="none" w:sz="0" w:space="0" w:color="auto"/>
          </w:divBdr>
        </w:div>
      </w:divsChild>
    </w:div>
    <w:div w:id="480855936">
      <w:bodyDiv w:val="1"/>
      <w:marLeft w:val="0"/>
      <w:marRight w:val="0"/>
      <w:marTop w:val="0"/>
      <w:marBottom w:val="0"/>
      <w:divBdr>
        <w:top w:val="none" w:sz="0" w:space="0" w:color="auto"/>
        <w:left w:val="none" w:sz="0" w:space="0" w:color="auto"/>
        <w:bottom w:val="none" w:sz="0" w:space="0" w:color="auto"/>
        <w:right w:val="none" w:sz="0" w:space="0" w:color="auto"/>
      </w:divBdr>
    </w:div>
    <w:div w:id="485365365">
      <w:bodyDiv w:val="1"/>
      <w:marLeft w:val="0"/>
      <w:marRight w:val="0"/>
      <w:marTop w:val="0"/>
      <w:marBottom w:val="0"/>
      <w:divBdr>
        <w:top w:val="none" w:sz="0" w:space="0" w:color="auto"/>
        <w:left w:val="none" w:sz="0" w:space="0" w:color="auto"/>
        <w:bottom w:val="none" w:sz="0" w:space="0" w:color="auto"/>
        <w:right w:val="none" w:sz="0" w:space="0" w:color="auto"/>
      </w:divBdr>
    </w:div>
    <w:div w:id="486827904">
      <w:bodyDiv w:val="1"/>
      <w:marLeft w:val="0"/>
      <w:marRight w:val="0"/>
      <w:marTop w:val="0"/>
      <w:marBottom w:val="0"/>
      <w:divBdr>
        <w:top w:val="none" w:sz="0" w:space="0" w:color="auto"/>
        <w:left w:val="none" w:sz="0" w:space="0" w:color="auto"/>
        <w:bottom w:val="none" w:sz="0" w:space="0" w:color="auto"/>
        <w:right w:val="none" w:sz="0" w:space="0" w:color="auto"/>
      </w:divBdr>
    </w:div>
    <w:div w:id="493229742">
      <w:bodyDiv w:val="1"/>
      <w:marLeft w:val="0"/>
      <w:marRight w:val="0"/>
      <w:marTop w:val="0"/>
      <w:marBottom w:val="0"/>
      <w:divBdr>
        <w:top w:val="none" w:sz="0" w:space="0" w:color="auto"/>
        <w:left w:val="none" w:sz="0" w:space="0" w:color="auto"/>
        <w:bottom w:val="none" w:sz="0" w:space="0" w:color="auto"/>
        <w:right w:val="none" w:sz="0" w:space="0" w:color="auto"/>
      </w:divBdr>
    </w:div>
    <w:div w:id="494106484">
      <w:bodyDiv w:val="1"/>
      <w:marLeft w:val="0"/>
      <w:marRight w:val="0"/>
      <w:marTop w:val="0"/>
      <w:marBottom w:val="0"/>
      <w:divBdr>
        <w:top w:val="none" w:sz="0" w:space="0" w:color="auto"/>
        <w:left w:val="none" w:sz="0" w:space="0" w:color="auto"/>
        <w:bottom w:val="none" w:sz="0" w:space="0" w:color="auto"/>
        <w:right w:val="none" w:sz="0" w:space="0" w:color="auto"/>
      </w:divBdr>
    </w:div>
    <w:div w:id="550114736">
      <w:bodyDiv w:val="1"/>
      <w:marLeft w:val="0"/>
      <w:marRight w:val="0"/>
      <w:marTop w:val="0"/>
      <w:marBottom w:val="0"/>
      <w:divBdr>
        <w:top w:val="none" w:sz="0" w:space="0" w:color="auto"/>
        <w:left w:val="none" w:sz="0" w:space="0" w:color="auto"/>
        <w:bottom w:val="none" w:sz="0" w:space="0" w:color="auto"/>
        <w:right w:val="none" w:sz="0" w:space="0" w:color="auto"/>
      </w:divBdr>
    </w:div>
    <w:div w:id="561209981">
      <w:bodyDiv w:val="1"/>
      <w:marLeft w:val="0"/>
      <w:marRight w:val="0"/>
      <w:marTop w:val="0"/>
      <w:marBottom w:val="0"/>
      <w:divBdr>
        <w:top w:val="none" w:sz="0" w:space="0" w:color="auto"/>
        <w:left w:val="none" w:sz="0" w:space="0" w:color="auto"/>
        <w:bottom w:val="none" w:sz="0" w:space="0" w:color="auto"/>
        <w:right w:val="none" w:sz="0" w:space="0" w:color="auto"/>
      </w:divBdr>
    </w:div>
    <w:div w:id="576138427">
      <w:bodyDiv w:val="1"/>
      <w:marLeft w:val="0"/>
      <w:marRight w:val="0"/>
      <w:marTop w:val="0"/>
      <w:marBottom w:val="0"/>
      <w:divBdr>
        <w:top w:val="none" w:sz="0" w:space="0" w:color="auto"/>
        <w:left w:val="none" w:sz="0" w:space="0" w:color="auto"/>
        <w:bottom w:val="none" w:sz="0" w:space="0" w:color="auto"/>
        <w:right w:val="none" w:sz="0" w:space="0" w:color="auto"/>
      </w:divBdr>
    </w:div>
    <w:div w:id="579605105">
      <w:bodyDiv w:val="1"/>
      <w:marLeft w:val="0"/>
      <w:marRight w:val="0"/>
      <w:marTop w:val="0"/>
      <w:marBottom w:val="0"/>
      <w:divBdr>
        <w:top w:val="none" w:sz="0" w:space="0" w:color="auto"/>
        <w:left w:val="none" w:sz="0" w:space="0" w:color="auto"/>
        <w:bottom w:val="none" w:sz="0" w:space="0" w:color="auto"/>
        <w:right w:val="none" w:sz="0" w:space="0" w:color="auto"/>
      </w:divBdr>
    </w:div>
    <w:div w:id="595330335">
      <w:bodyDiv w:val="1"/>
      <w:marLeft w:val="0"/>
      <w:marRight w:val="0"/>
      <w:marTop w:val="0"/>
      <w:marBottom w:val="0"/>
      <w:divBdr>
        <w:top w:val="none" w:sz="0" w:space="0" w:color="auto"/>
        <w:left w:val="none" w:sz="0" w:space="0" w:color="auto"/>
        <w:bottom w:val="none" w:sz="0" w:space="0" w:color="auto"/>
        <w:right w:val="none" w:sz="0" w:space="0" w:color="auto"/>
      </w:divBdr>
    </w:div>
    <w:div w:id="597057932">
      <w:bodyDiv w:val="1"/>
      <w:marLeft w:val="0"/>
      <w:marRight w:val="0"/>
      <w:marTop w:val="0"/>
      <w:marBottom w:val="0"/>
      <w:divBdr>
        <w:top w:val="none" w:sz="0" w:space="0" w:color="auto"/>
        <w:left w:val="none" w:sz="0" w:space="0" w:color="auto"/>
        <w:bottom w:val="none" w:sz="0" w:space="0" w:color="auto"/>
        <w:right w:val="none" w:sz="0" w:space="0" w:color="auto"/>
      </w:divBdr>
    </w:div>
    <w:div w:id="606694629">
      <w:bodyDiv w:val="1"/>
      <w:marLeft w:val="0"/>
      <w:marRight w:val="0"/>
      <w:marTop w:val="0"/>
      <w:marBottom w:val="0"/>
      <w:divBdr>
        <w:top w:val="none" w:sz="0" w:space="0" w:color="auto"/>
        <w:left w:val="none" w:sz="0" w:space="0" w:color="auto"/>
        <w:bottom w:val="none" w:sz="0" w:space="0" w:color="auto"/>
        <w:right w:val="none" w:sz="0" w:space="0" w:color="auto"/>
      </w:divBdr>
    </w:div>
    <w:div w:id="615212314">
      <w:bodyDiv w:val="1"/>
      <w:marLeft w:val="0"/>
      <w:marRight w:val="0"/>
      <w:marTop w:val="0"/>
      <w:marBottom w:val="0"/>
      <w:divBdr>
        <w:top w:val="none" w:sz="0" w:space="0" w:color="auto"/>
        <w:left w:val="none" w:sz="0" w:space="0" w:color="auto"/>
        <w:bottom w:val="none" w:sz="0" w:space="0" w:color="auto"/>
        <w:right w:val="none" w:sz="0" w:space="0" w:color="auto"/>
      </w:divBdr>
    </w:div>
    <w:div w:id="621574034">
      <w:bodyDiv w:val="1"/>
      <w:marLeft w:val="0"/>
      <w:marRight w:val="0"/>
      <w:marTop w:val="0"/>
      <w:marBottom w:val="0"/>
      <w:divBdr>
        <w:top w:val="none" w:sz="0" w:space="0" w:color="auto"/>
        <w:left w:val="none" w:sz="0" w:space="0" w:color="auto"/>
        <w:bottom w:val="none" w:sz="0" w:space="0" w:color="auto"/>
        <w:right w:val="none" w:sz="0" w:space="0" w:color="auto"/>
      </w:divBdr>
    </w:div>
    <w:div w:id="700595587">
      <w:bodyDiv w:val="1"/>
      <w:marLeft w:val="0"/>
      <w:marRight w:val="0"/>
      <w:marTop w:val="0"/>
      <w:marBottom w:val="0"/>
      <w:divBdr>
        <w:top w:val="none" w:sz="0" w:space="0" w:color="auto"/>
        <w:left w:val="none" w:sz="0" w:space="0" w:color="auto"/>
        <w:bottom w:val="none" w:sz="0" w:space="0" w:color="auto"/>
        <w:right w:val="none" w:sz="0" w:space="0" w:color="auto"/>
      </w:divBdr>
    </w:div>
    <w:div w:id="714044614">
      <w:bodyDiv w:val="1"/>
      <w:marLeft w:val="0"/>
      <w:marRight w:val="0"/>
      <w:marTop w:val="0"/>
      <w:marBottom w:val="0"/>
      <w:divBdr>
        <w:top w:val="none" w:sz="0" w:space="0" w:color="auto"/>
        <w:left w:val="none" w:sz="0" w:space="0" w:color="auto"/>
        <w:bottom w:val="none" w:sz="0" w:space="0" w:color="auto"/>
        <w:right w:val="none" w:sz="0" w:space="0" w:color="auto"/>
      </w:divBdr>
    </w:div>
    <w:div w:id="723602549">
      <w:bodyDiv w:val="1"/>
      <w:marLeft w:val="0"/>
      <w:marRight w:val="0"/>
      <w:marTop w:val="0"/>
      <w:marBottom w:val="0"/>
      <w:divBdr>
        <w:top w:val="none" w:sz="0" w:space="0" w:color="auto"/>
        <w:left w:val="none" w:sz="0" w:space="0" w:color="auto"/>
        <w:bottom w:val="none" w:sz="0" w:space="0" w:color="auto"/>
        <w:right w:val="none" w:sz="0" w:space="0" w:color="auto"/>
      </w:divBdr>
    </w:div>
    <w:div w:id="727919052">
      <w:bodyDiv w:val="1"/>
      <w:marLeft w:val="0"/>
      <w:marRight w:val="0"/>
      <w:marTop w:val="0"/>
      <w:marBottom w:val="0"/>
      <w:divBdr>
        <w:top w:val="none" w:sz="0" w:space="0" w:color="auto"/>
        <w:left w:val="none" w:sz="0" w:space="0" w:color="auto"/>
        <w:bottom w:val="none" w:sz="0" w:space="0" w:color="auto"/>
        <w:right w:val="none" w:sz="0" w:space="0" w:color="auto"/>
      </w:divBdr>
    </w:div>
    <w:div w:id="730156779">
      <w:bodyDiv w:val="1"/>
      <w:marLeft w:val="0"/>
      <w:marRight w:val="0"/>
      <w:marTop w:val="0"/>
      <w:marBottom w:val="0"/>
      <w:divBdr>
        <w:top w:val="none" w:sz="0" w:space="0" w:color="auto"/>
        <w:left w:val="none" w:sz="0" w:space="0" w:color="auto"/>
        <w:bottom w:val="none" w:sz="0" w:space="0" w:color="auto"/>
        <w:right w:val="none" w:sz="0" w:space="0" w:color="auto"/>
      </w:divBdr>
    </w:div>
    <w:div w:id="735904689">
      <w:bodyDiv w:val="1"/>
      <w:marLeft w:val="0"/>
      <w:marRight w:val="0"/>
      <w:marTop w:val="0"/>
      <w:marBottom w:val="0"/>
      <w:divBdr>
        <w:top w:val="none" w:sz="0" w:space="0" w:color="auto"/>
        <w:left w:val="none" w:sz="0" w:space="0" w:color="auto"/>
        <w:bottom w:val="none" w:sz="0" w:space="0" w:color="auto"/>
        <w:right w:val="none" w:sz="0" w:space="0" w:color="auto"/>
      </w:divBdr>
    </w:div>
    <w:div w:id="741833461">
      <w:bodyDiv w:val="1"/>
      <w:marLeft w:val="0"/>
      <w:marRight w:val="0"/>
      <w:marTop w:val="0"/>
      <w:marBottom w:val="0"/>
      <w:divBdr>
        <w:top w:val="none" w:sz="0" w:space="0" w:color="auto"/>
        <w:left w:val="none" w:sz="0" w:space="0" w:color="auto"/>
        <w:bottom w:val="none" w:sz="0" w:space="0" w:color="auto"/>
        <w:right w:val="none" w:sz="0" w:space="0" w:color="auto"/>
      </w:divBdr>
    </w:div>
    <w:div w:id="744108057">
      <w:bodyDiv w:val="1"/>
      <w:marLeft w:val="0"/>
      <w:marRight w:val="0"/>
      <w:marTop w:val="0"/>
      <w:marBottom w:val="0"/>
      <w:divBdr>
        <w:top w:val="none" w:sz="0" w:space="0" w:color="auto"/>
        <w:left w:val="none" w:sz="0" w:space="0" w:color="auto"/>
        <w:bottom w:val="none" w:sz="0" w:space="0" w:color="auto"/>
        <w:right w:val="none" w:sz="0" w:space="0" w:color="auto"/>
      </w:divBdr>
    </w:div>
    <w:div w:id="757405956">
      <w:bodyDiv w:val="1"/>
      <w:marLeft w:val="0"/>
      <w:marRight w:val="0"/>
      <w:marTop w:val="0"/>
      <w:marBottom w:val="0"/>
      <w:divBdr>
        <w:top w:val="none" w:sz="0" w:space="0" w:color="auto"/>
        <w:left w:val="none" w:sz="0" w:space="0" w:color="auto"/>
        <w:bottom w:val="none" w:sz="0" w:space="0" w:color="auto"/>
        <w:right w:val="none" w:sz="0" w:space="0" w:color="auto"/>
      </w:divBdr>
    </w:div>
    <w:div w:id="762840304">
      <w:bodyDiv w:val="1"/>
      <w:marLeft w:val="0"/>
      <w:marRight w:val="0"/>
      <w:marTop w:val="0"/>
      <w:marBottom w:val="0"/>
      <w:divBdr>
        <w:top w:val="none" w:sz="0" w:space="0" w:color="auto"/>
        <w:left w:val="none" w:sz="0" w:space="0" w:color="auto"/>
        <w:bottom w:val="none" w:sz="0" w:space="0" w:color="auto"/>
        <w:right w:val="none" w:sz="0" w:space="0" w:color="auto"/>
      </w:divBdr>
    </w:div>
    <w:div w:id="773482245">
      <w:bodyDiv w:val="1"/>
      <w:marLeft w:val="0"/>
      <w:marRight w:val="0"/>
      <w:marTop w:val="0"/>
      <w:marBottom w:val="0"/>
      <w:divBdr>
        <w:top w:val="none" w:sz="0" w:space="0" w:color="auto"/>
        <w:left w:val="none" w:sz="0" w:space="0" w:color="auto"/>
        <w:bottom w:val="none" w:sz="0" w:space="0" w:color="auto"/>
        <w:right w:val="none" w:sz="0" w:space="0" w:color="auto"/>
      </w:divBdr>
    </w:div>
    <w:div w:id="779566116">
      <w:bodyDiv w:val="1"/>
      <w:marLeft w:val="0"/>
      <w:marRight w:val="0"/>
      <w:marTop w:val="0"/>
      <w:marBottom w:val="0"/>
      <w:divBdr>
        <w:top w:val="none" w:sz="0" w:space="0" w:color="auto"/>
        <w:left w:val="none" w:sz="0" w:space="0" w:color="auto"/>
        <w:bottom w:val="none" w:sz="0" w:space="0" w:color="auto"/>
        <w:right w:val="none" w:sz="0" w:space="0" w:color="auto"/>
      </w:divBdr>
    </w:div>
    <w:div w:id="801117269">
      <w:bodyDiv w:val="1"/>
      <w:marLeft w:val="0"/>
      <w:marRight w:val="0"/>
      <w:marTop w:val="0"/>
      <w:marBottom w:val="0"/>
      <w:divBdr>
        <w:top w:val="none" w:sz="0" w:space="0" w:color="auto"/>
        <w:left w:val="none" w:sz="0" w:space="0" w:color="auto"/>
        <w:bottom w:val="none" w:sz="0" w:space="0" w:color="auto"/>
        <w:right w:val="none" w:sz="0" w:space="0" w:color="auto"/>
      </w:divBdr>
    </w:div>
    <w:div w:id="882593296">
      <w:bodyDiv w:val="1"/>
      <w:marLeft w:val="0"/>
      <w:marRight w:val="0"/>
      <w:marTop w:val="0"/>
      <w:marBottom w:val="0"/>
      <w:divBdr>
        <w:top w:val="none" w:sz="0" w:space="0" w:color="auto"/>
        <w:left w:val="none" w:sz="0" w:space="0" w:color="auto"/>
        <w:bottom w:val="none" w:sz="0" w:space="0" w:color="auto"/>
        <w:right w:val="none" w:sz="0" w:space="0" w:color="auto"/>
      </w:divBdr>
    </w:div>
    <w:div w:id="887423144">
      <w:bodyDiv w:val="1"/>
      <w:marLeft w:val="0"/>
      <w:marRight w:val="0"/>
      <w:marTop w:val="0"/>
      <w:marBottom w:val="0"/>
      <w:divBdr>
        <w:top w:val="none" w:sz="0" w:space="0" w:color="auto"/>
        <w:left w:val="none" w:sz="0" w:space="0" w:color="auto"/>
        <w:bottom w:val="none" w:sz="0" w:space="0" w:color="auto"/>
        <w:right w:val="none" w:sz="0" w:space="0" w:color="auto"/>
      </w:divBdr>
    </w:div>
    <w:div w:id="888303102">
      <w:bodyDiv w:val="1"/>
      <w:marLeft w:val="0"/>
      <w:marRight w:val="0"/>
      <w:marTop w:val="0"/>
      <w:marBottom w:val="0"/>
      <w:divBdr>
        <w:top w:val="none" w:sz="0" w:space="0" w:color="auto"/>
        <w:left w:val="none" w:sz="0" w:space="0" w:color="auto"/>
        <w:bottom w:val="none" w:sz="0" w:space="0" w:color="auto"/>
        <w:right w:val="none" w:sz="0" w:space="0" w:color="auto"/>
      </w:divBdr>
    </w:div>
    <w:div w:id="909926784">
      <w:bodyDiv w:val="1"/>
      <w:marLeft w:val="0"/>
      <w:marRight w:val="0"/>
      <w:marTop w:val="0"/>
      <w:marBottom w:val="0"/>
      <w:divBdr>
        <w:top w:val="none" w:sz="0" w:space="0" w:color="auto"/>
        <w:left w:val="none" w:sz="0" w:space="0" w:color="auto"/>
        <w:bottom w:val="none" w:sz="0" w:space="0" w:color="auto"/>
        <w:right w:val="none" w:sz="0" w:space="0" w:color="auto"/>
      </w:divBdr>
      <w:divsChild>
        <w:div w:id="1570922331">
          <w:marLeft w:val="360"/>
          <w:marRight w:val="0"/>
          <w:marTop w:val="200"/>
          <w:marBottom w:val="0"/>
          <w:divBdr>
            <w:top w:val="none" w:sz="0" w:space="0" w:color="auto"/>
            <w:left w:val="none" w:sz="0" w:space="0" w:color="auto"/>
            <w:bottom w:val="none" w:sz="0" w:space="0" w:color="auto"/>
            <w:right w:val="none" w:sz="0" w:space="0" w:color="auto"/>
          </w:divBdr>
        </w:div>
        <w:div w:id="1253473870">
          <w:marLeft w:val="360"/>
          <w:marRight w:val="0"/>
          <w:marTop w:val="200"/>
          <w:marBottom w:val="0"/>
          <w:divBdr>
            <w:top w:val="none" w:sz="0" w:space="0" w:color="auto"/>
            <w:left w:val="none" w:sz="0" w:space="0" w:color="auto"/>
            <w:bottom w:val="none" w:sz="0" w:space="0" w:color="auto"/>
            <w:right w:val="none" w:sz="0" w:space="0" w:color="auto"/>
          </w:divBdr>
        </w:div>
      </w:divsChild>
    </w:div>
    <w:div w:id="929433595">
      <w:bodyDiv w:val="1"/>
      <w:marLeft w:val="0"/>
      <w:marRight w:val="0"/>
      <w:marTop w:val="0"/>
      <w:marBottom w:val="0"/>
      <w:divBdr>
        <w:top w:val="none" w:sz="0" w:space="0" w:color="auto"/>
        <w:left w:val="none" w:sz="0" w:space="0" w:color="auto"/>
        <w:bottom w:val="none" w:sz="0" w:space="0" w:color="auto"/>
        <w:right w:val="none" w:sz="0" w:space="0" w:color="auto"/>
      </w:divBdr>
    </w:div>
    <w:div w:id="956064844">
      <w:bodyDiv w:val="1"/>
      <w:marLeft w:val="0"/>
      <w:marRight w:val="0"/>
      <w:marTop w:val="0"/>
      <w:marBottom w:val="0"/>
      <w:divBdr>
        <w:top w:val="none" w:sz="0" w:space="0" w:color="auto"/>
        <w:left w:val="none" w:sz="0" w:space="0" w:color="auto"/>
        <w:bottom w:val="none" w:sz="0" w:space="0" w:color="auto"/>
        <w:right w:val="none" w:sz="0" w:space="0" w:color="auto"/>
      </w:divBdr>
    </w:div>
    <w:div w:id="973026272">
      <w:bodyDiv w:val="1"/>
      <w:marLeft w:val="0"/>
      <w:marRight w:val="0"/>
      <w:marTop w:val="0"/>
      <w:marBottom w:val="0"/>
      <w:divBdr>
        <w:top w:val="none" w:sz="0" w:space="0" w:color="auto"/>
        <w:left w:val="none" w:sz="0" w:space="0" w:color="auto"/>
        <w:bottom w:val="none" w:sz="0" w:space="0" w:color="auto"/>
        <w:right w:val="none" w:sz="0" w:space="0" w:color="auto"/>
      </w:divBdr>
      <w:divsChild>
        <w:div w:id="130292519">
          <w:marLeft w:val="0"/>
          <w:marRight w:val="0"/>
          <w:marTop w:val="120"/>
          <w:marBottom w:val="120"/>
          <w:divBdr>
            <w:top w:val="none" w:sz="0" w:space="0" w:color="auto"/>
            <w:left w:val="none" w:sz="0" w:space="0" w:color="auto"/>
            <w:bottom w:val="none" w:sz="0" w:space="0" w:color="auto"/>
            <w:right w:val="none" w:sz="0" w:space="0" w:color="auto"/>
          </w:divBdr>
          <w:divsChild>
            <w:div w:id="426925857">
              <w:marLeft w:val="0"/>
              <w:marRight w:val="0"/>
              <w:marTop w:val="0"/>
              <w:marBottom w:val="0"/>
              <w:divBdr>
                <w:top w:val="none" w:sz="0" w:space="0" w:color="auto"/>
                <w:left w:val="none" w:sz="0" w:space="0" w:color="auto"/>
                <w:bottom w:val="none" w:sz="0" w:space="0" w:color="auto"/>
                <w:right w:val="none" w:sz="0" w:space="0" w:color="auto"/>
              </w:divBdr>
              <w:divsChild>
                <w:div w:id="1378117987">
                  <w:marLeft w:val="0"/>
                  <w:marRight w:val="0"/>
                  <w:marTop w:val="100"/>
                  <w:marBottom w:val="100"/>
                  <w:divBdr>
                    <w:top w:val="none" w:sz="0" w:space="0" w:color="auto"/>
                    <w:left w:val="none" w:sz="0" w:space="0" w:color="auto"/>
                    <w:bottom w:val="none" w:sz="0" w:space="0" w:color="auto"/>
                    <w:right w:val="none" w:sz="0" w:space="0" w:color="auto"/>
                  </w:divBdr>
                  <w:divsChild>
                    <w:div w:id="765224259">
                      <w:marLeft w:val="0"/>
                      <w:marRight w:val="0"/>
                      <w:marTop w:val="0"/>
                      <w:marBottom w:val="240"/>
                      <w:divBdr>
                        <w:top w:val="none" w:sz="0" w:space="0" w:color="auto"/>
                        <w:left w:val="none" w:sz="0" w:space="0" w:color="auto"/>
                        <w:bottom w:val="none" w:sz="0" w:space="0" w:color="auto"/>
                        <w:right w:val="none" w:sz="0" w:space="0" w:color="auto"/>
                      </w:divBdr>
                      <w:divsChild>
                        <w:div w:id="740373944">
                          <w:marLeft w:val="0"/>
                          <w:marRight w:val="0"/>
                          <w:marTop w:val="0"/>
                          <w:marBottom w:val="0"/>
                          <w:divBdr>
                            <w:top w:val="none" w:sz="0" w:space="0" w:color="auto"/>
                            <w:left w:val="none" w:sz="0" w:space="0" w:color="auto"/>
                            <w:bottom w:val="none" w:sz="0" w:space="0" w:color="auto"/>
                            <w:right w:val="none" w:sz="0" w:space="0" w:color="auto"/>
                          </w:divBdr>
                        </w:div>
                        <w:div w:id="178449537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92609415">
      <w:bodyDiv w:val="1"/>
      <w:marLeft w:val="0"/>
      <w:marRight w:val="0"/>
      <w:marTop w:val="0"/>
      <w:marBottom w:val="0"/>
      <w:divBdr>
        <w:top w:val="none" w:sz="0" w:space="0" w:color="auto"/>
        <w:left w:val="none" w:sz="0" w:space="0" w:color="auto"/>
        <w:bottom w:val="none" w:sz="0" w:space="0" w:color="auto"/>
        <w:right w:val="none" w:sz="0" w:space="0" w:color="auto"/>
      </w:divBdr>
    </w:div>
    <w:div w:id="1008410658">
      <w:bodyDiv w:val="1"/>
      <w:marLeft w:val="0"/>
      <w:marRight w:val="0"/>
      <w:marTop w:val="0"/>
      <w:marBottom w:val="0"/>
      <w:divBdr>
        <w:top w:val="none" w:sz="0" w:space="0" w:color="auto"/>
        <w:left w:val="none" w:sz="0" w:space="0" w:color="auto"/>
        <w:bottom w:val="none" w:sz="0" w:space="0" w:color="auto"/>
        <w:right w:val="none" w:sz="0" w:space="0" w:color="auto"/>
      </w:divBdr>
    </w:div>
    <w:div w:id="1017076188">
      <w:bodyDiv w:val="1"/>
      <w:marLeft w:val="0"/>
      <w:marRight w:val="0"/>
      <w:marTop w:val="0"/>
      <w:marBottom w:val="0"/>
      <w:divBdr>
        <w:top w:val="none" w:sz="0" w:space="0" w:color="auto"/>
        <w:left w:val="none" w:sz="0" w:space="0" w:color="auto"/>
        <w:bottom w:val="none" w:sz="0" w:space="0" w:color="auto"/>
        <w:right w:val="none" w:sz="0" w:space="0" w:color="auto"/>
      </w:divBdr>
    </w:div>
    <w:div w:id="1033770420">
      <w:bodyDiv w:val="1"/>
      <w:marLeft w:val="0"/>
      <w:marRight w:val="0"/>
      <w:marTop w:val="0"/>
      <w:marBottom w:val="0"/>
      <w:divBdr>
        <w:top w:val="none" w:sz="0" w:space="0" w:color="auto"/>
        <w:left w:val="none" w:sz="0" w:space="0" w:color="auto"/>
        <w:bottom w:val="none" w:sz="0" w:space="0" w:color="auto"/>
        <w:right w:val="none" w:sz="0" w:space="0" w:color="auto"/>
      </w:divBdr>
    </w:div>
    <w:div w:id="1038235900">
      <w:bodyDiv w:val="1"/>
      <w:marLeft w:val="0"/>
      <w:marRight w:val="0"/>
      <w:marTop w:val="0"/>
      <w:marBottom w:val="0"/>
      <w:divBdr>
        <w:top w:val="none" w:sz="0" w:space="0" w:color="auto"/>
        <w:left w:val="none" w:sz="0" w:space="0" w:color="auto"/>
        <w:bottom w:val="none" w:sz="0" w:space="0" w:color="auto"/>
        <w:right w:val="none" w:sz="0" w:space="0" w:color="auto"/>
      </w:divBdr>
    </w:div>
    <w:div w:id="1066730443">
      <w:bodyDiv w:val="1"/>
      <w:marLeft w:val="0"/>
      <w:marRight w:val="0"/>
      <w:marTop w:val="0"/>
      <w:marBottom w:val="0"/>
      <w:divBdr>
        <w:top w:val="none" w:sz="0" w:space="0" w:color="auto"/>
        <w:left w:val="none" w:sz="0" w:space="0" w:color="auto"/>
        <w:bottom w:val="none" w:sz="0" w:space="0" w:color="auto"/>
        <w:right w:val="none" w:sz="0" w:space="0" w:color="auto"/>
      </w:divBdr>
    </w:div>
    <w:div w:id="1083065831">
      <w:bodyDiv w:val="1"/>
      <w:marLeft w:val="0"/>
      <w:marRight w:val="0"/>
      <w:marTop w:val="0"/>
      <w:marBottom w:val="0"/>
      <w:divBdr>
        <w:top w:val="none" w:sz="0" w:space="0" w:color="auto"/>
        <w:left w:val="none" w:sz="0" w:space="0" w:color="auto"/>
        <w:bottom w:val="none" w:sz="0" w:space="0" w:color="auto"/>
        <w:right w:val="none" w:sz="0" w:space="0" w:color="auto"/>
      </w:divBdr>
      <w:divsChild>
        <w:div w:id="718630108">
          <w:marLeft w:val="446"/>
          <w:marRight w:val="0"/>
          <w:marTop w:val="0"/>
          <w:marBottom w:val="0"/>
          <w:divBdr>
            <w:top w:val="none" w:sz="0" w:space="0" w:color="auto"/>
            <w:left w:val="none" w:sz="0" w:space="0" w:color="auto"/>
            <w:bottom w:val="none" w:sz="0" w:space="0" w:color="auto"/>
            <w:right w:val="none" w:sz="0" w:space="0" w:color="auto"/>
          </w:divBdr>
        </w:div>
        <w:div w:id="1340742188">
          <w:marLeft w:val="446"/>
          <w:marRight w:val="0"/>
          <w:marTop w:val="0"/>
          <w:marBottom w:val="0"/>
          <w:divBdr>
            <w:top w:val="none" w:sz="0" w:space="0" w:color="auto"/>
            <w:left w:val="none" w:sz="0" w:space="0" w:color="auto"/>
            <w:bottom w:val="none" w:sz="0" w:space="0" w:color="auto"/>
            <w:right w:val="none" w:sz="0" w:space="0" w:color="auto"/>
          </w:divBdr>
        </w:div>
        <w:div w:id="1420365881">
          <w:marLeft w:val="446"/>
          <w:marRight w:val="0"/>
          <w:marTop w:val="0"/>
          <w:marBottom w:val="0"/>
          <w:divBdr>
            <w:top w:val="none" w:sz="0" w:space="0" w:color="auto"/>
            <w:left w:val="none" w:sz="0" w:space="0" w:color="auto"/>
            <w:bottom w:val="none" w:sz="0" w:space="0" w:color="auto"/>
            <w:right w:val="none" w:sz="0" w:space="0" w:color="auto"/>
          </w:divBdr>
        </w:div>
        <w:div w:id="2101291566">
          <w:marLeft w:val="446"/>
          <w:marRight w:val="0"/>
          <w:marTop w:val="0"/>
          <w:marBottom w:val="0"/>
          <w:divBdr>
            <w:top w:val="none" w:sz="0" w:space="0" w:color="auto"/>
            <w:left w:val="none" w:sz="0" w:space="0" w:color="auto"/>
            <w:bottom w:val="none" w:sz="0" w:space="0" w:color="auto"/>
            <w:right w:val="none" w:sz="0" w:space="0" w:color="auto"/>
          </w:divBdr>
        </w:div>
      </w:divsChild>
    </w:div>
    <w:div w:id="1096555294">
      <w:bodyDiv w:val="1"/>
      <w:marLeft w:val="0"/>
      <w:marRight w:val="0"/>
      <w:marTop w:val="0"/>
      <w:marBottom w:val="0"/>
      <w:divBdr>
        <w:top w:val="none" w:sz="0" w:space="0" w:color="auto"/>
        <w:left w:val="none" w:sz="0" w:space="0" w:color="auto"/>
        <w:bottom w:val="none" w:sz="0" w:space="0" w:color="auto"/>
        <w:right w:val="none" w:sz="0" w:space="0" w:color="auto"/>
      </w:divBdr>
    </w:div>
    <w:div w:id="1098595743">
      <w:bodyDiv w:val="1"/>
      <w:marLeft w:val="0"/>
      <w:marRight w:val="0"/>
      <w:marTop w:val="0"/>
      <w:marBottom w:val="0"/>
      <w:divBdr>
        <w:top w:val="none" w:sz="0" w:space="0" w:color="auto"/>
        <w:left w:val="none" w:sz="0" w:space="0" w:color="auto"/>
        <w:bottom w:val="none" w:sz="0" w:space="0" w:color="auto"/>
        <w:right w:val="none" w:sz="0" w:space="0" w:color="auto"/>
      </w:divBdr>
    </w:div>
    <w:div w:id="1115252915">
      <w:bodyDiv w:val="1"/>
      <w:marLeft w:val="0"/>
      <w:marRight w:val="0"/>
      <w:marTop w:val="0"/>
      <w:marBottom w:val="0"/>
      <w:divBdr>
        <w:top w:val="none" w:sz="0" w:space="0" w:color="auto"/>
        <w:left w:val="none" w:sz="0" w:space="0" w:color="auto"/>
        <w:bottom w:val="none" w:sz="0" w:space="0" w:color="auto"/>
        <w:right w:val="none" w:sz="0" w:space="0" w:color="auto"/>
      </w:divBdr>
    </w:div>
    <w:div w:id="1140995066">
      <w:bodyDiv w:val="1"/>
      <w:marLeft w:val="0"/>
      <w:marRight w:val="0"/>
      <w:marTop w:val="0"/>
      <w:marBottom w:val="0"/>
      <w:divBdr>
        <w:top w:val="none" w:sz="0" w:space="0" w:color="auto"/>
        <w:left w:val="none" w:sz="0" w:space="0" w:color="auto"/>
        <w:bottom w:val="none" w:sz="0" w:space="0" w:color="auto"/>
        <w:right w:val="none" w:sz="0" w:space="0" w:color="auto"/>
      </w:divBdr>
    </w:div>
    <w:div w:id="1152065618">
      <w:bodyDiv w:val="1"/>
      <w:marLeft w:val="0"/>
      <w:marRight w:val="0"/>
      <w:marTop w:val="0"/>
      <w:marBottom w:val="0"/>
      <w:divBdr>
        <w:top w:val="none" w:sz="0" w:space="0" w:color="auto"/>
        <w:left w:val="none" w:sz="0" w:space="0" w:color="auto"/>
        <w:bottom w:val="none" w:sz="0" w:space="0" w:color="auto"/>
        <w:right w:val="none" w:sz="0" w:space="0" w:color="auto"/>
      </w:divBdr>
    </w:div>
    <w:div w:id="1156144704">
      <w:bodyDiv w:val="1"/>
      <w:marLeft w:val="0"/>
      <w:marRight w:val="0"/>
      <w:marTop w:val="0"/>
      <w:marBottom w:val="0"/>
      <w:divBdr>
        <w:top w:val="none" w:sz="0" w:space="0" w:color="auto"/>
        <w:left w:val="none" w:sz="0" w:space="0" w:color="auto"/>
        <w:bottom w:val="none" w:sz="0" w:space="0" w:color="auto"/>
        <w:right w:val="none" w:sz="0" w:space="0" w:color="auto"/>
      </w:divBdr>
    </w:div>
    <w:div w:id="1171919077">
      <w:bodyDiv w:val="1"/>
      <w:marLeft w:val="0"/>
      <w:marRight w:val="0"/>
      <w:marTop w:val="0"/>
      <w:marBottom w:val="0"/>
      <w:divBdr>
        <w:top w:val="none" w:sz="0" w:space="0" w:color="auto"/>
        <w:left w:val="none" w:sz="0" w:space="0" w:color="auto"/>
        <w:bottom w:val="none" w:sz="0" w:space="0" w:color="auto"/>
        <w:right w:val="none" w:sz="0" w:space="0" w:color="auto"/>
      </w:divBdr>
    </w:div>
    <w:div w:id="1174414454">
      <w:bodyDiv w:val="1"/>
      <w:marLeft w:val="0"/>
      <w:marRight w:val="0"/>
      <w:marTop w:val="0"/>
      <w:marBottom w:val="0"/>
      <w:divBdr>
        <w:top w:val="none" w:sz="0" w:space="0" w:color="auto"/>
        <w:left w:val="none" w:sz="0" w:space="0" w:color="auto"/>
        <w:bottom w:val="none" w:sz="0" w:space="0" w:color="auto"/>
        <w:right w:val="none" w:sz="0" w:space="0" w:color="auto"/>
      </w:divBdr>
    </w:div>
    <w:div w:id="1190295414">
      <w:bodyDiv w:val="1"/>
      <w:marLeft w:val="0"/>
      <w:marRight w:val="0"/>
      <w:marTop w:val="0"/>
      <w:marBottom w:val="0"/>
      <w:divBdr>
        <w:top w:val="none" w:sz="0" w:space="0" w:color="auto"/>
        <w:left w:val="none" w:sz="0" w:space="0" w:color="auto"/>
        <w:bottom w:val="none" w:sz="0" w:space="0" w:color="auto"/>
        <w:right w:val="none" w:sz="0" w:space="0" w:color="auto"/>
      </w:divBdr>
    </w:div>
    <w:div w:id="1194155168">
      <w:bodyDiv w:val="1"/>
      <w:marLeft w:val="0"/>
      <w:marRight w:val="0"/>
      <w:marTop w:val="0"/>
      <w:marBottom w:val="0"/>
      <w:divBdr>
        <w:top w:val="none" w:sz="0" w:space="0" w:color="auto"/>
        <w:left w:val="none" w:sz="0" w:space="0" w:color="auto"/>
        <w:bottom w:val="none" w:sz="0" w:space="0" w:color="auto"/>
        <w:right w:val="none" w:sz="0" w:space="0" w:color="auto"/>
      </w:divBdr>
    </w:div>
    <w:div w:id="1202789347">
      <w:bodyDiv w:val="1"/>
      <w:marLeft w:val="0"/>
      <w:marRight w:val="0"/>
      <w:marTop w:val="0"/>
      <w:marBottom w:val="0"/>
      <w:divBdr>
        <w:top w:val="none" w:sz="0" w:space="0" w:color="auto"/>
        <w:left w:val="none" w:sz="0" w:space="0" w:color="auto"/>
        <w:bottom w:val="none" w:sz="0" w:space="0" w:color="auto"/>
        <w:right w:val="none" w:sz="0" w:space="0" w:color="auto"/>
      </w:divBdr>
    </w:div>
    <w:div w:id="1203519502">
      <w:bodyDiv w:val="1"/>
      <w:marLeft w:val="0"/>
      <w:marRight w:val="0"/>
      <w:marTop w:val="0"/>
      <w:marBottom w:val="0"/>
      <w:divBdr>
        <w:top w:val="none" w:sz="0" w:space="0" w:color="auto"/>
        <w:left w:val="none" w:sz="0" w:space="0" w:color="auto"/>
        <w:bottom w:val="none" w:sz="0" w:space="0" w:color="auto"/>
        <w:right w:val="none" w:sz="0" w:space="0" w:color="auto"/>
      </w:divBdr>
    </w:div>
    <w:div w:id="1244534102">
      <w:bodyDiv w:val="1"/>
      <w:marLeft w:val="0"/>
      <w:marRight w:val="0"/>
      <w:marTop w:val="0"/>
      <w:marBottom w:val="0"/>
      <w:divBdr>
        <w:top w:val="none" w:sz="0" w:space="0" w:color="auto"/>
        <w:left w:val="none" w:sz="0" w:space="0" w:color="auto"/>
        <w:bottom w:val="none" w:sz="0" w:space="0" w:color="auto"/>
        <w:right w:val="none" w:sz="0" w:space="0" w:color="auto"/>
      </w:divBdr>
    </w:div>
    <w:div w:id="1250965704">
      <w:bodyDiv w:val="1"/>
      <w:marLeft w:val="0"/>
      <w:marRight w:val="0"/>
      <w:marTop w:val="0"/>
      <w:marBottom w:val="0"/>
      <w:divBdr>
        <w:top w:val="none" w:sz="0" w:space="0" w:color="auto"/>
        <w:left w:val="none" w:sz="0" w:space="0" w:color="auto"/>
        <w:bottom w:val="none" w:sz="0" w:space="0" w:color="auto"/>
        <w:right w:val="none" w:sz="0" w:space="0" w:color="auto"/>
      </w:divBdr>
    </w:div>
    <w:div w:id="1260409461">
      <w:bodyDiv w:val="1"/>
      <w:marLeft w:val="0"/>
      <w:marRight w:val="0"/>
      <w:marTop w:val="0"/>
      <w:marBottom w:val="0"/>
      <w:divBdr>
        <w:top w:val="none" w:sz="0" w:space="0" w:color="auto"/>
        <w:left w:val="none" w:sz="0" w:space="0" w:color="auto"/>
        <w:bottom w:val="none" w:sz="0" w:space="0" w:color="auto"/>
        <w:right w:val="none" w:sz="0" w:space="0" w:color="auto"/>
      </w:divBdr>
    </w:div>
    <w:div w:id="1263680614">
      <w:bodyDiv w:val="1"/>
      <w:marLeft w:val="0"/>
      <w:marRight w:val="0"/>
      <w:marTop w:val="0"/>
      <w:marBottom w:val="0"/>
      <w:divBdr>
        <w:top w:val="none" w:sz="0" w:space="0" w:color="auto"/>
        <w:left w:val="none" w:sz="0" w:space="0" w:color="auto"/>
        <w:bottom w:val="none" w:sz="0" w:space="0" w:color="auto"/>
        <w:right w:val="none" w:sz="0" w:space="0" w:color="auto"/>
      </w:divBdr>
    </w:div>
    <w:div w:id="1269504611">
      <w:bodyDiv w:val="1"/>
      <w:marLeft w:val="0"/>
      <w:marRight w:val="0"/>
      <w:marTop w:val="0"/>
      <w:marBottom w:val="0"/>
      <w:divBdr>
        <w:top w:val="none" w:sz="0" w:space="0" w:color="auto"/>
        <w:left w:val="none" w:sz="0" w:space="0" w:color="auto"/>
        <w:bottom w:val="none" w:sz="0" w:space="0" w:color="auto"/>
        <w:right w:val="none" w:sz="0" w:space="0" w:color="auto"/>
      </w:divBdr>
    </w:div>
    <w:div w:id="1271739067">
      <w:bodyDiv w:val="1"/>
      <w:marLeft w:val="0"/>
      <w:marRight w:val="0"/>
      <w:marTop w:val="0"/>
      <w:marBottom w:val="0"/>
      <w:divBdr>
        <w:top w:val="none" w:sz="0" w:space="0" w:color="auto"/>
        <w:left w:val="none" w:sz="0" w:space="0" w:color="auto"/>
        <w:bottom w:val="none" w:sz="0" w:space="0" w:color="auto"/>
        <w:right w:val="none" w:sz="0" w:space="0" w:color="auto"/>
      </w:divBdr>
    </w:div>
    <w:div w:id="1301687790">
      <w:bodyDiv w:val="1"/>
      <w:marLeft w:val="0"/>
      <w:marRight w:val="0"/>
      <w:marTop w:val="0"/>
      <w:marBottom w:val="0"/>
      <w:divBdr>
        <w:top w:val="none" w:sz="0" w:space="0" w:color="auto"/>
        <w:left w:val="none" w:sz="0" w:space="0" w:color="auto"/>
        <w:bottom w:val="none" w:sz="0" w:space="0" w:color="auto"/>
        <w:right w:val="none" w:sz="0" w:space="0" w:color="auto"/>
      </w:divBdr>
    </w:div>
    <w:div w:id="1327826473">
      <w:bodyDiv w:val="1"/>
      <w:marLeft w:val="0"/>
      <w:marRight w:val="0"/>
      <w:marTop w:val="0"/>
      <w:marBottom w:val="0"/>
      <w:divBdr>
        <w:top w:val="none" w:sz="0" w:space="0" w:color="auto"/>
        <w:left w:val="none" w:sz="0" w:space="0" w:color="auto"/>
        <w:bottom w:val="none" w:sz="0" w:space="0" w:color="auto"/>
        <w:right w:val="none" w:sz="0" w:space="0" w:color="auto"/>
      </w:divBdr>
    </w:div>
    <w:div w:id="1340112569">
      <w:bodyDiv w:val="1"/>
      <w:marLeft w:val="0"/>
      <w:marRight w:val="0"/>
      <w:marTop w:val="0"/>
      <w:marBottom w:val="0"/>
      <w:divBdr>
        <w:top w:val="none" w:sz="0" w:space="0" w:color="auto"/>
        <w:left w:val="none" w:sz="0" w:space="0" w:color="auto"/>
        <w:bottom w:val="none" w:sz="0" w:space="0" w:color="auto"/>
        <w:right w:val="none" w:sz="0" w:space="0" w:color="auto"/>
      </w:divBdr>
    </w:div>
    <w:div w:id="1353652246">
      <w:bodyDiv w:val="1"/>
      <w:marLeft w:val="0"/>
      <w:marRight w:val="0"/>
      <w:marTop w:val="0"/>
      <w:marBottom w:val="0"/>
      <w:divBdr>
        <w:top w:val="none" w:sz="0" w:space="0" w:color="auto"/>
        <w:left w:val="none" w:sz="0" w:space="0" w:color="auto"/>
        <w:bottom w:val="none" w:sz="0" w:space="0" w:color="auto"/>
        <w:right w:val="none" w:sz="0" w:space="0" w:color="auto"/>
      </w:divBdr>
    </w:div>
    <w:div w:id="1372656305">
      <w:bodyDiv w:val="1"/>
      <w:marLeft w:val="0"/>
      <w:marRight w:val="0"/>
      <w:marTop w:val="0"/>
      <w:marBottom w:val="0"/>
      <w:divBdr>
        <w:top w:val="none" w:sz="0" w:space="0" w:color="auto"/>
        <w:left w:val="none" w:sz="0" w:space="0" w:color="auto"/>
        <w:bottom w:val="none" w:sz="0" w:space="0" w:color="auto"/>
        <w:right w:val="none" w:sz="0" w:space="0" w:color="auto"/>
      </w:divBdr>
    </w:div>
    <w:div w:id="1386371357">
      <w:bodyDiv w:val="1"/>
      <w:marLeft w:val="0"/>
      <w:marRight w:val="0"/>
      <w:marTop w:val="0"/>
      <w:marBottom w:val="0"/>
      <w:divBdr>
        <w:top w:val="none" w:sz="0" w:space="0" w:color="auto"/>
        <w:left w:val="none" w:sz="0" w:space="0" w:color="auto"/>
        <w:bottom w:val="none" w:sz="0" w:space="0" w:color="auto"/>
        <w:right w:val="none" w:sz="0" w:space="0" w:color="auto"/>
      </w:divBdr>
    </w:div>
    <w:div w:id="1389453770">
      <w:bodyDiv w:val="1"/>
      <w:marLeft w:val="0"/>
      <w:marRight w:val="0"/>
      <w:marTop w:val="0"/>
      <w:marBottom w:val="0"/>
      <w:divBdr>
        <w:top w:val="none" w:sz="0" w:space="0" w:color="auto"/>
        <w:left w:val="none" w:sz="0" w:space="0" w:color="auto"/>
        <w:bottom w:val="none" w:sz="0" w:space="0" w:color="auto"/>
        <w:right w:val="none" w:sz="0" w:space="0" w:color="auto"/>
      </w:divBdr>
    </w:div>
    <w:div w:id="1395082328">
      <w:bodyDiv w:val="1"/>
      <w:marLeft w:val="0"/>
      <w:marRight w:val="0"/>
      <w:marTop w:val="0"/>
      <w:marBottom w:val="0"/>
      <w:divBdr>
        <w:top w:val="none" w:sz="0" w:space="0" w:color="auto"/>
        <w:left w:val="none" w:sz="0" w:space="0" w:color="auto"/>
        <w:bottom w:val="none" w:sz="0" w:space="0" w:color="auto"/>
        <w:right w:val="none" w:sz="0" w:space="0" w:color="auto"/>
      </w:divBdr>
      <w:divsChild>
        <w:div w:id="1426464978">
          <w:marLeft w:val="547"/>
          <w:marRight w:val="0"/>
          <w:marTop w:val="67"/>
          <w:marBottom w:val="0"/>
          <w:divBdr>
            <w:top w:val="none" w:sz="0" w:space="0" w:color="auto"/>
            <w:left w:val="none" w:sz="0" w:space="0" w:color="auto"/>
            <w:bottom w:val="none" w:sz="0" w:space="0" w:color="auto"/>
            <w:right w:val="none" w:sz="0" w:space="0" w:color="auto"/>
          </w:divBdr>
        </w:div>
        <w:div w:id="1836920787">
          <w:marLeft w:val="547"/>
          <w:marRight w:val="0"/>
          <w:marTop w:val="67"/>
          <w:marBottom w:val="0"/>
          <w:divBdr>
            <w:top w:val="none" w:sz="0" w:space="0" w:color="auto"/>
            <w:left w:val="none" w:sz="0" w:space="0" w:color="auto"/>
            <w:bottom w:val="none" w:sz="0" w:space="0" w:color="auto"/>
            <w:right w:val="none" w:sz="0" w:space="0" w:color="auto"/>
          </w:divBdr>
        </w:div>
      </w:divsChild>
    </w:div>
    <w:div w:id="1416971572">
      <w:bodyDiv w:val="1"/>
      <w:marLeft w:val="0"/>
      <w:marRight w:val="0"/>
      <w:marTop w:val="0"/>
      <w:marBottom w:val="0"/>
      <w:divBdr>
        <w:top w:val="none" w:sz="0" w:space="0" w:color="auto"/>
        <w:left w:val="none" w:sz="0" w:space="0" w:color="auto"/>
        <w:bottom w:val="none" w:sz="0" w:space="0" w:color="auto"/>
        <w:right w:val="none" w:sz="0" w:space="0" w:color="auto"/>
      </w:divBdr>
    </w:div>
    <w:div w:id="1430344860">
      <w:bodyDiv w:val="1"/>
      <w:marLeft w:val="0"/>
      <w:marRight w:val="0"/>
      <w:marTop w:val="0"/>
      <w:marBottom w:val="0"/>
      <w:divBdr>
        <w:top w:val="none" w:sz="0" w:space="0" w:color="auto"/>
        <w:left w:val="none" w:sz="0" w:space="0" w:color="auto"/>
        <w:bottom w:val="none" w:sz="0" w:space="0" w:color="auto"/>
        <w:right w:val="none" w:sz="0" w:space="0" w:color="auto"/>
      </w:divBdr>
    </w:div>
    <w:div w:id="1459833180">
      <w:bodyDiv w:val="1"/>
      <w:marLeft w:val="0"/>
      <w:marRight w:val="0"/>
      <w:marTop w:val="0"/>
      <w:marBottom w:val="0"/>
      <w:divBdr>
        <w:top w:val="none" w:sz="0" w:space="0" w:color="auto"/>
        <w:left w:val="none" w:sz="0" w:space="0" w:color="auto"/>
        <w:bottom w:val="none" w:sz="0" w:space="0" w:color="auto"/>
        <w:right w:val="none" w:sz="0" w:space="0" w:color="auto"/>
      </w:divBdr>
    </w:div>
    <w:div w:id="1460494784">
      <w:bodyDiv w:val="1"/>
      <w:marLeft w:val="0"/>
      <w:marRight w:val="0"/>
      <w:marTop w:val="0"/>
      <w:marBottom w:val="0"/>
      <w:divBdr>
        <w:top w:val="none" w:sz="0" w:space="0" w:color="auto"/>
        <w:left w:val="none" w:sz="0" w:space="0" w:color="auto"/>
        <w:bottom w:val="none" w:sz="0" w:space="0" w:color="auto"/>
        <w:right w:val="none" w:sz="0" w:space="0" w:color="auto"/>
      </w:divBdr>
    </w:div>
    <w:div w:id="1487629542">
      <w:bodyDiv w:val="1"/>
      <w:marLeft w:val="0"/>
      <w:marRight w:val="0"/>
      <w:marTop w:val="0"/>
      <w:marBottom w:val="0"/>
      <w:divBdr>
        <w:top w:val="none" w:sz="0" w:space="0" w:color="auto"/>
        <w:left w:val="none" w:sz="0" w:space="0" w:color="auto"/>
        <w:bottom w:val="none" w:sz="0" w:space="0" w:color="auto"/>
        <w:right w:val="none" w:sz="0" w:space="0" w:color="auto"/>
      </w:divBdr>
    </w:div>
    <w:div w:id="1499079162">
      <w:bodyDiv w:val="1"/>
      <w:marLeft w:val="0"/>
      <w:marRight w:val="0"/>
      <w:marTop w:val="0"/>
      <w:marBottom w:val="0"/>
      <w:divBdr>
        <w:top w:val="none" w:sz="0" w:space="0" w:color="auto"/>
        <w:left w:val="none" w:sz="0" w:space="0" w:color="auto"/>
        <w:bottom w:val="none" w:sz="0" w:space="0" w:color="auto"/>
        <w:right w:val="none" w:sz="0" w:space="0" w:color="auto"/>
      </w:divBdr>
    </w:div>
    <w:div w:id="1504854548">
      <w:bodyDiv w:val="1"/>
      <w:marLeft w:val="0"/>
      <w:marRight w:val="0"/>
      <w:marTop w:val="0"/>
      <w:marBottom w:val="0"/>
      <w:divBdr>
        <w:top w:val="none" w:sz="0" w:space="0" w:color="auto"/>
        <w:left w:val="none" w:sz="0" w:space="0" w:color="auto"/>
        <w:bottom w:val="none" w:sz="0" w:space="0" w:color="auto"/>
        <w:right w:val="none" w:sz="0" w:space="0" w:color="auto"/>
      </w:divBdr>
    </w:div>
    <w:div w:id="1506237928">
      <w:bodyDiv w:val="1"/>
      <w:marLeft w:val="0"/>
      <w:marRight w:val="0"/>
      <w:marTop w:val="0"/>
      <w:marBottom w:val="0"/>
      <w:divBdr>
        <w:top w:val="none" w:sz="0" w:space="0" w:color="auto"/>
        <w:left w:val="none" w:sz="0" w:space="0" w:color="auto"/>
        <w:bottom w:val="none" w:sz="0" w:space="0" w:color="auto"/>
        <w:right w:val="none" w:sz="0" w:space="0" w:color="auto"/>
      </w:divBdr>
    </w:div>
    <w:div w:id="1516187120">
      <w:bodyDiv w:val="1"/>
      <w:marLeft w:val="0"/>
      <w:marRight w:val="0"/>
      <w:marTop w:val="0"/>
      <w:marBottom w:val="0"/>
      <w:divBdr>
        <w:top w:val="none" w:sz="0" w:space="0" w:color="auto"/>
        <w:left w:val="none" w:sz="0" w:space="0" w:color="auto"/>
        <w:bottom w:val="none" w:sz="0" w:space="0" w:color="auto"/>
        <w:right w:val="none" w:sz="0" w:space="0" w:color="auto"/>
      </w:divBdr>
    </w:div>
    <w:div w:id="1516724454">
      <w:bodyDiv w:val="1"/>
      <w:marLeft w:val="0"/>
      <w:marRight w:val="0"/>
      <w:marTop w:val="0"/>
      <w:marBottom w:val="0"/>
      <w:divBdr>
        <w:top w:val="none" w:sz="0" w:space="0" w:color="auto"/>
        <w:left w:val="none" w:sz="0" w:space="0" w:color="auto"/>
        <w:bottom w:val="none" w:sz="0" w:space="0" w:color="auto"/>
        <w:right w:val="none" w:sz="0" w:space="0" w:color="auto"/>
      </w:divBdr>
    </w:div>
    <w:div w:id="1527870309">
      <w:bodyDiv w:val="1"/>
      <w:marLeft w:val="0"/>
      <w:marRight w:val="0"/>
      <w:marTop w:val="0"/>
      <w:marBottom w:val="0"/>
      <w:divBdr>
        <w:top w:val="none" w:sz="0" w:space="0" w:color="auto"/>
        <w:left w:val="none" w:sz="0" w:space="0" w:color="auto"/>
        <w:bottom w:val="none" w:sz="0" w:space="0" w:color="auto"/>
        <w:right w:val="none" w:sz="0" w:space="0" w:color="auto"/>
      </w:divBdr>
    </w:div>
    <w:div w:id="1528177918">
      <w:bodyDiv w:val="1"/>
      <w:marLeft w:val="0"/>
      <w:marRight w:val="0"/>
      <w:marTop w:val="0"/>
      <w:marBottom w:val="0"/>
      <w:divBdr>
        <w:top w:val="none" w:sz="0" w:space="0" w:color="auto"/>
        <w:left w:val="none" w:sz="0" w:space="0" w:color="auto"/>
        <w:bottom w:val="none" w:sz="0" w:space="0" w:color="auto"/>
        <w:right w:val="none" w:sz="0" w:space="0" w:color="auto"/>
      </w:divBdr>
    </w:div>
    <w:div w:id="1548223395">
      <w:bodyDiv w:val="1"/>
      <w:marLeft w:val="0"/>
      <w:marRight w:val="0"/>
      <w:marTop w:val="0"/>
      <w:marBottom w:val="0"/>
      <w:divBdr>
        <w:top w:val="none" w:sz="0" w:space="0" w:color="auto"/>
        <w:left w:val="none" w:sz="0" w:space="0" w:color="auto"/>
        <w:bottom w:val="none" w:sz="0" w:space="0" w:color="auto"/>
        <w:right w:val="none" w:sz="0" w:space="0" w:color="auto"/>
      </w:divBdr>
    </w:div>
    <w:div w:id="1551652982">
      <w:bodyDiv w:val="1"/>
      <w:marLeft w:val="0"/>
      <w:marRight w:val="0"/>
      <w:marTop w:val="0"/>
      <w:marBottom w:val="0"/>
      <w:divBdr>
        <w:top w:val="none" w:sz="0" w:space="0" w:color="auto"/>
        <w:left w:val="none" w:sz="0" w:space="0" w:color="auto"/>
        <w:bottom w:val="none" w:sz="0" w:space="0" w:color="auto"/>
        <w:right w:val="none" w:sz="0" w:space="0" w:color="auto"/>
      </w:divBdr>
    </w:div>
    <w:div w:id="1551764830">
      <w:bodyDiv w:val="1"/>
      <w:marLeft w:val="0"/>
      <w:marRight w:val="0"/>
      <w:marTop w:val="0"/>
      <w:marBottom w:val="0"/>
      <w:divBdr>
        <w:top w:val="none" w:sz="0" w:space="0" w:color="auto"/>
        <w:left w:val="none" w:sz="0" w:space="0" w:color="auto"/>
        <w:bottom w:val="none" w:sz="0" w:space="0" w:color="auto"/>
        <w:right w:val="none" w:sz="0" w:space="0" w:color="auto"/>
      </w:divBdr>
      <w:divsChild>
        <w:div w:id="930967034">
          <w:marLeft w:val="446"/>
          <w:marRight w:val="0"/>
          <w:marTop w:val="0"/>
          <w:marBottom w:val="0"/>
          <w:divBdr>
            <w:top w:val="none" w:sz="0" w:space="0" w:color="auto"/>
            <w:left w:val="none" w:sz="0" w:space="0" w:color="auto"/>
            <w:bottom w:val="none" w:sz="0" w:space="0" w:color="auto"/>
            <w:right w:val="none" w:sz="0" w:space="0" w:color="auto"/>
          </w:divBdr>
        </w:div>
        <w:div w:id="1812744710">
          <w:marLeft w:val="446"/>
          <w:marRight w:val="0"/>
          <w:marTop w:val="0"/>
          <w:marBottom w:val="0"/>
          <w:divBdr>
            <w:top w:val="none" w:sz="0" w:space="0" w:color="auto"/>
            <w:left w:val="none" w:sz="0" w:space="0" w:color="auto"/>
            <w:bottom w:val="none" w:sz="0" w:space="0" w:color="auto"/>
            <w:right w:val="none" w:sz="0" w:space="0" w:color="auto"/>
          </w:divBdr>
        </w:div>
        <w:div w:id="2021155329">
          <w:marLeft w:val="446"/>
          <w:marRight w:val="0"/>
          <w:marTop w:val="0"/>
          <w:marBottom w:val="0"/>
          <w:divBdr>
            <w:top w:val="none" w:sz="0" w:space="0" w:color="auto"/>
            <w:left w:val="none" w:sz="0" w:space="0" w:color="auto"/>
            <w:bottom w:val="none" w:sz="0" w:space="0" w:color="auto"/>
            <w:right w:val="none" w:sz="0" w:space="0" w:color="auto"/>
          </w:divBdr>
        </w:div>
        <w:div w:id="2128305830">
          <w:marLeft w:val="446"/>
          <w:marRight w:val="0"/>
          <w:marTop w:val="0"/>
          <w:marBottom w:val="0"/>
          <w:divBdr>
            <w:top w:val="none" w:sz="0" w:space="0" w:color="auto"/>
            <w:left w:val="none" w:sz="0" w:space="0" w:color="auto"/>
            <w:bottom w:val="none" w:sz="0" w:space="0" w:color="auto"/>
            <w:right w:val="none" w:sz="0" w:space="0" w:color="auto"/>
          </w:divBdr>
        </w:div>
      </w:divsChild>
    </w:div>
    <w:div w:id="1556699877">
      <w:bodyDiv w:val="1"/>
      <w:marLeft w:val="0"/>
      <w:marRight w:val="0"/>
      <w:marTop w:val="0"/>
      <w:marBottom w:val="0"/>
      <w:divBdr>
        <w:top w:val="none" w:sz="0" w:space="0" w:color="auto"/>
        <w:left w:val="none" w:sz="0" w:space="0" w:color="auto"/>
        <w:bottom w:val="none" w:sz="0" w:space="0" w:color="auto"/>
        <w:right w:val="none" w:sz="0" w:space="0" w:color="auto"/>
      </w:divBdr>
    </w:div>
    <w:div w:id="1558669054">
      <w:bodyDiv w:val="1"/>
      <w:marLeft w:val="0"/>
      <w:marRight w:val="0"/>
      <w:marTop w:val="0"/>
      <w:marBottom w:val="0"/>
      <w:divBdr>
        <w:top w:val="none" w:sz="0" w:space="0" w:color="auto"/>
        <w:left w:val="none" w:sz="0" w:space="0" w:color="auto"/>
        <w:bottom w:val="none" w:sz="0" w:space="0" w:color="auto"/>
        <w:right w:val="none" w:sz="0" w:space="0" w:color="auto"/>
      </w:divBdr>
    </w:div>
    <w:div w:id="1596355092">
      <w:bodyDiv w:val="1"/>
      <w:marLeft w:val="0"/>
      <w:marRight w:val="0"/>
      <w:marTop w:val="0"/>
      <w:marBottom w:val="0"/>
      <w:divBdr>
        <w:top w:val="none" w:sz="0" w:space="0" w:color="auto"/>
        <w:left w:val="none" w:sz="0" w:space="0" w:color="auto"/>
        <w:bottom w:val="none" w:sz="0" w:space="0" w:color="auto"/>
        <w:right w:val="none" w:sz="0" w:space="0" w:color="auto"/>
      </w:divBdr>
    </w:div>
    <w:div w:id="1597253352">
      <w:bodyDiv w:val="1"/>
      <w:marLeft w:val="0"/>
      <w:marRight w:val="0"/>
      <w:marTop w:val="0"/>
      <w:marBottom w:val="0"/>
      <w:divBdr>
        <w:top w:val="none" w:sz="0" w:space="0" w:color="auto"/>
        <w:left w:val="none" w:sz="0" w:space="0" w:color="auto"/>
        <w:bottom w:val="none" w:sz="0" w:space="0" w:color="auto"/>
        <w:right w:val="none" w:sz="0" w:space="0" w:color="auto"/>
      </w:divBdr>
    </w:div>
    <w:div w:id="1653605874">
      <w:bodyDiv w:val="1"/>
      <w:marLeft w:val="0"/>
      <w:marRight w:val="0"/>
      <w:marTop w:val="0"/>
      <w:marBottom w:val="0"/>
      <w:divBdr>
        <w:top w:val="none" w:sz="0" w:space="0" w:color="auto"/>
        <w:left w:val="none" w:sz="0" w:space="0" w:color="auto"/>
        <w:bottom w:val="none" w:sz="0" w:space="0" w:color="auto"/>
        <w:right w:val="none" w:sz="0" w:space="0" w:color="auto"/>
      </w:divBdr>
    </w:div>
    <w:div w:id="1682852069">
      <w:bodyDiv w:val="1"/>
      <w:marLeft w:val="0"/>
      <w:marRight w:val="0"/>
      <w:marTop w:val="0"/>
      <w:marBottom w:val="0"/>
      <w:divBdr>
        <w:top w:val="none" w:sz="0" w:space="0" w:color="auto"/>
        <w:left w:val="none" w:sz="0" w:space="0" w:color="auto"/>
        <w:bottom w:val="none" w:sz="0" w:space="0" w:color="auto"/>
        <w:right w:val="none" w:sz="0" w:space="0" w:color="auto"/>
      </w:divBdr>
    </w:div>
    <w:div w:id="1682970422">
      <w:bodyDiv w:val="1"/>
      <w:marLeft w:val="0"/>
      <w:marRight w:val="0"/>
      <w:marTop w:val="0"/>
      <w:marBottom w:val="0"/>
      <w:divBdr>
        <w:top w:val="none" w:sz="0" w:space="0" w:color="auto"/>
        <w:left w:val="none" w:sz="0" w:space="0" w:color="auto"/>
        <w:bottom w:val="none" w:sz="0" w:space="0" w:color="auto"/>
        <w:right w:val="none" w:sz="0" w:space="0" w:color="auto"/>
      </w:divBdr>
    </w:div>
    <w:div w:id="1690443781">
      <w:bodyDiv w:val="1"/>
      <w:marLeft w:val="0"/>
      <w:marRight w:val="0"/>
      <w:marTop w:val="0"/>
      <w:marBottom w:val="0"/>
      <w:divBdr>
        <w:top w:val="none" w:sz="0" w:space="0" w:color="auto"/>
        <w:left w:val="none" w:sz="0" w:space="0" w:color="auto"/>
        <w:bottom w:val="none" w:sz="0" w:space="0" w:color="auto"/>
        <w:right w:val="none" w:sz="0" w:space="0" w:color="auto"/>
      </w:divBdr>
    </w:div>
    <w:div w:id="1696493477">
      <w:bodyDiv w:val="1"/>
      <w:marLeft w:val="0"/>
      <w:marRight w:val="0"/>
      <w:marTop w:val="0"/>
      <w:marBottom w:val="0"/>
      <w:divBdr>
        <w:top w:val="none" w:sz="0" w:space="0" w:color="auto"/>
        <w:left w:val="none" w:sz="0" w:space="0" w:color="auto"/>
        <w:bottom w:val="none" w:sz="0" w:space="0" w:color="auto"/>
        <w:right w:val="none" w:sz="0" w:space="0" w:color="auto"/>
      </w:divBdr>
      <w:divsChild>
        <w:div w:id="37168413">
          <w:marLeft w:val="0"/>
          <w:marRight w:val="0"/>
          <w:marTop w:val="120"/>
          <w:marBottom w:val="120"/>
          <w:divBdr>
            <w:top w:val="none" w:sz="0" w:space="0" w:color="auto"/>
            <w:left w:val="none" w:sz="0" w:space="0" w:color="auto"/>
            <w:bottom w:val="none" w:sz="0" w:space="0" w:color="auto"/>
            <w:right w:val="none" w:sz="0" w:space="0" w:color="auto"/>
          </w:divBdr>
          <w:divsChild>
            <w:div w:id="1700426913">
              <w:marLeft w:val="0"/>
              <w:marRight w:val="0"/>
              <w:marTop w:val="0"/>
              <w:marBottom w:val="0"/>
              <w:divBdr>
                <w:top w:val="none" w:sz="0" w:space="0" w:color="auto"/>
                <w:left w:val="none" w:sz="0" w:space="0" w:color="auto"/>
                <w:bottom w:val="none" w:sz="0" w:space="0" w:color="auto"/>
                <w:right w:val="none" w:sz="0" w:space="0" w:color="auto"/>
              </w:divBdr>
              <w:divsChild>
                <w:div w:id="455491724">
                  <w:marLeft w:val="0"/>
                  <w:marRight w:val="0"/>
                  <w:marTop w:val="100"/>
                  <w:marBottom w:val="100"/>
                  <w:divBdr>
                    <w:top w:val="none" w:sz="0" w:space="0" w:color="auto"/>
                    <w:left w:val="none" w:sz="0" w:space="0" w:color="auto"/>
                    <w:bottom w:val="none" w:sz="0" w:space="0" w:color="auto"/>
                    <w:right w:val="none" w:sz="0" w:space="0" w:color="auto"/>
                  </w:divBdr>
                  <w:divsChild>
                    <w:div w:id="1198853492">
                      <w:marLeft w:val="0"/>
                      <w:marRight w:val="0"/>
                      <w:marTop w:val="0"/>
                      <w:marBottom w:val="240"/>
                      <w:divBdr>
                        <w:top w:val="none" w:sz="0" w:space="0" w:color="auto"/>
                        <w:left w:val="none" w:sz="0" w:space="0" w:color="auto"/>
                        <w:bottom w:val="none" w:sz="0" w:space="0" w:color="auto"/>
                        <w:right w:val="none" w:sz="0" w:space="0" w:color="auto"/>
                      </w:divBdr>
                      <w:divsChild>
                        <w:div w:id="450445345">
                          <w:marLeft w:val="0"/>
                          <w:marRight w:val="0"/>
                          <w:marTop w:val="0"/>
                          <w:marBottom w:val="135"/>
                          <w:divBdr>
                            <w:top w:val="none" w:sz="0" w:space="0" w:color="auto"/>
                            <w:left w:val="none" w:sz="0" w:space="0" w:color="auto"/>
                            <w:bottom w:val="none" w:sz="0" w:space="0" w:color="auto"/>
                            <w:right w:val="none" w:sz="0" w:space="0" w:color="auto"/>
                          </w:divBdr>
                        </w:div>
                        <w:div w:id="6731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2426">
      <w:bodyDiv w:val="1"/>
      <w:marLeft w:val="0"/>
      <w:marRight w:val="0"/>
      <w:marTop w:val="0"/>
      <w:marBottom w:val="0"/>
      <w:divBdr>
        <w:top w:val="none" w:sz="0" w:space="0" w:color="auto"/>
        <w:left w:val="none" w:sz="0" w:space="0" w:color="auto"/>
        <w:bottom w:val="none" w:sz="0" w:space="0" w:color="auto"/>
        <w:right w:val="none" w:sz="0" w:space="0" w:color="auto"/>
      </w:divBdr>
    </w:div>
    <w:div w:id="1711373904">
      <w:bodyDiv w:val="1"/>
      <w:marLeft w:val="0"/>
      <w:marRight w:val="0"/>
      <w:marTop w:val="0"/>
      <w:marBottom w:val="0"/>
      <w:divBdr>
        <w:top w:val="none" w:sz="0" w:space="0" w:color="auto"/>
        <w:left w:val="none" w:sz="0" w:space="0" w:color="auto"/>
        <w:bottom w:val="none" w:sz="0" w:space="0" w:color="auto"/>
        <w:right w:val="none" w:sz="0" w:space="0" w:color="auto"/>
      </w:divBdr>
    </w:div>
    <w:div w:id="1714890542">
      <w:bodyDiv w:val="1"/>
      <w:marLeft w:val="0"/>
      <w:marRight w:val="0"/>
      <w:marTop w:val="0"/>
      <w:marBottom w:val="0"/>
      <w:divBdr>
        <w:top w:val="none" w:sz="0" w:space="0" w:color="auto"/>
        <w:left w:val="none" w:sz="0" w:space="0" w:color="auto"/>
        <w:bottom w:val="none" w:sz="0" w:space="0" w:color="auto"/>
        <w:right w:val="none" w:sz="0" w:space="0" w:color="auto"/>
      </w:divBdr>
    </w:div>
    <w:div w:id="1726223681">
      <w:bodyDiv w:val="1"/>
      <w:marLeft w:val="0"/>
      <w:marRight w:val="0"/>
      <w:marTop w:val="0"/>
      <w:marBottom w:val="0"/>
      <w:divBdr>
        <w:top w:val="none" w:sz="0" w:space="0" w:color="auto"/>
        <w:left w:val="none" w:sz="0" w:space="0" w:color="auto"/>
        <w:bottom w:val="none" w:sz="0" w:space="0" w:color="auto"/>
        <w:right w:val="none" w:sz="0" w:space="0" w:color="auto"/>
      </w:divBdr>
    </w:div>
    <w:div w:id="1735472587">
      <w:bodyDiv w:val="1"/>
      <w:marLeft w:val="0"/>
      <w:marRight w:val="0"/>
      <w:marTop w:val="0"/>
      <w:marBottom w:val="0"/>
      <w:divBdr>
        <w:top w:val="none" w:sz="0" w:space="0" w:color="auto"/>
        <w:left w:val="none" w:sz="0" w:space="0" w:color="auto"/>
        <w:bottom w:val="none" w:sz="0" w:space="0" w:color="auto"/>
        <w:right w:val="none" w:sz="0" w:space="0" w:color="auto"/>
      </w:divBdr>
    </w:div>
    <w:div w:id="1743867860">
      <w:bodyDiv w:val="1"/>
      <w:marLeft w:val="0"/>
      <w:marRight w:val="0"/>
      <w:marTop w:val="0"/>
      <w:marBottom w:val="0"/>
      <w:divBdr>
        <w:top w:val="none" w:sz="0" w:space="0" w:color="auto"/>
        <w:left w:val="none" w:sz="0" w:space="0" w:color="auto"/>
        <w:bottom w:val="none" w:sz="0" w:space="0" w:color="auto"/>
        <w:right w:val="none" w:sz="0" w:space="0" w:color="auto"/>
      </w:divBdr>
    </w:div>
    <w:div w:id="1763605035">
      <w:bodyDiv w:val="1"/>
      <w:marLeft w:val="0"/>
      <w:marRight w:val="0"/>
      <w:marTop w:val="0"/>
      <w:marBottom w:val="0"/>
      <w:divBdr>
        <w:top w:val="none" w:sz="0" w:space="0" w:color="auto"/>
        <w:left w:val="none" w:sz="0" w:space="0" w:color="auto"/>
        <w:bottom w:val="none" w:sz="0" w:space="0" w:color="auto"/>
        <w:right w:val="none" w:sz="0" w:space="0" w:color="auto"/>
      </w:divBdr>
    </w:div>
    <w:div w:id="1771777506">
      <w:bodyDiv w:val="1"/>
      <w:marLeft w:val="0"/>
      <w:marRight w:val="0"/>
      <w:marTop w:val="0"/>
      <w:marBottom w:val="0"/>
      <w:divBdr>
        <w:top w:val="none" w:sz="0" w:space="0" w:color="auto"/>
        <w:left w:val="none" w:sz="0" w:space="0" w:color="auto"/>
        <w:bottom w:val="none" w:sz="0" w:space="0" w:color="auto"/>
        <w:right w:val="none" w:sz="0" w:space="0" w:color="auto"/>
      </w:divBdr>
    </w:div>
    <w:div w:id="1780173405">
      <w:bodyDiv w:val="1"/>
      <w:marLeft w:val="0"/>
      <w:marRight w:val="0"/>
      <w:marTop w:val="0"/>
      <w:marBottom w:val="0"/>
      <w:divBdr>
        <w:top w:val="none" w:sz="0" w:space="0" w:color="auto"/>
        <w:left w:val="none" w:sz="0" w:space="0" w:color="auto"/>
        <w:bottom w:val="none" w:sz="0" w:space="0" w:color="auto"/>
        <w:right w:val="none" w:sz="0" w:space="0" w:color="auto"/>
      </w:divBdr>
    </w:div>
    <w:div w:id="1781530877">
      <w:bodyDiv w:val="1"/>
      <w:marLeft w:val="0"/>
      <w:marRight w:val="0"/>
      <w:marTop w:val="0"/>
      <w:marBottom w:val="0"/>
      <w:divBdr>
        <w:top w:val="none" w:sz="0" w:space="0" w:color="auto"/>
        <w:left w:val="none" w:sz="0" w:space="0" w:color="auto"/>
        <w:bottom w:val="none" w:sz="0" w:space="0" w:color="auto"/>
        <w:right w:val="none" w:sz="0" w:space="0" w:color="auto"/>
      </w:divBdr>
    </w:div>
    <w:div w:id="1784154232">
      <w:bodyDiv w:val="1"/>
      <w:marLeft w:val="0"/>
      <w:marRight w:val="0"/>
      <w:marTop w:val="0"/>
      <w:marBottom w:val="0"/>
      <w:divBdr>
        <w:top w:val="none" w:sz="0" w:space="0" w:color="auto"/>
        <w:left w:val="none" w:sz="0" w:space="0" w:color="auto"/>
        <w:bottom w:val="none" w:sz="0" w:space="0" w:color="auto"/>
        <w:right w:val="none" w:sz="0" w:space="0" w:color="auto"/>
      </w:divBdr>
    </w:div>
    <w:div w:id="1787457160">
      <w:bodyDiv w:val="1"/>
      <w:marLeft w:val="0"/>
      <w:marRight w:val="0"/>
      <w:marTop w:val="0"/>
      <w:marBottom w:val="0"/>
      <w:divBdr>
        <w:top w:val="none" w:sz="0" w:space="0" w:color="auto"/>
        <w:left w:val="none" w:sz="0" w:space="0" w:color="auto"/>
        <w:bottom w:val="none" w:sz="0" w:space="0" w:color="auto"/>
        <w:right w:val="none" w:sz="0" w:space="0" w:color="auto"/>
      </w:divBdr>
    </w:div>
    <w:div w:id="1799759059">
      <w:bodyDiv w:val="1"/>
      <w:marLeft w:val="0"/>
      <w:marRight w:val="0"/>
      <w:marTop w:val="0"/>
      <w:marBottom w:val="0"/>
      <w:divBdr>
        <w:top w:val="none" w:sz="0" w:space="0" w:color="auto"/>
        <w:left w:val="none" w:sz="0" w:space="0" w:color="auto"/>
        <w:bottom w:val="none" w:sz="0" w:space="0" w:color="auto"/>
        <w:right w:val="none" w:sz="0" w:space="0" w:color="auto"/>
      </w:divBdr>
    </w:div>
    <w:div w:id="1805728515">
      <w:bodyDiv w:val="1"/>
      <w:marLeft w:val="0"/>
      <w:marRight w:val="0"/>
      <w:marTop w:val="0"/>
      <w:marBottom w:val="0"/>
      <w:divBdr>
        <w:top w:val="none" w:sz="0" w:space="0" w:color="auto"/>
        <w:left w:val="none" w:sz="0" w:space="0" w:color="auto"/>
        <w:bottom w:val="none" w:sz="0" w:space="0" w:color="auto"/>
        <w:right w:val="none" w:sz="0" w:space="0" w:color="auto"/>
      </w:divBdr>
    </w:div>
    <w:div w:id="1833251898">
      <w:bodyDiv w:val="1"/>
      <w:marLeft w:val="0"/>
      <w:marRight w:val="0"/>
      <w:marTop w:val="0"/>
      <w:marBottom w:val="0"/>
      <w:divBdr>
        <w:top w:val="none" w:sz="0" w:space="0" w:color="auto"/>
        <w:left w:val="none" w:sz="0" w:space="0" w:color="auto"/>
        <w:bottom w:val="none" w:sz="0" w:space="0" w:color="auto"/>
        <w:right w:val="none" w:sz="0" w:space="0" w:color="auto"/>
      </w:divBdr>
    </w:div>
    <w:div w:id="1845049933">
      <w:bodyDiv w:val="1"/>
      <w:marLeft w:val="0"/>
      <w:marRight w:val="0"/>
      <w:marTop w:val="0"/>
      <w:marBottom w:val="0"/>
      <w:divBdr>
        <w:top w:val="none" w:sz="0" w:space="0" w:color="auto"/>
        <w:left w:val="none" w:sz="0" w:space="0" w:color="auto"/>
        <w:bottom w:val="none" w:sz="0" w:space="0" w:color="auto"/>
        <w:right w:val="none" w:sz="0" w:space="0" w:color="auto"/>
      </w:divBdr>
    </w:div>
    <w:div w:id="1855683985">
      <w:bodyDiv w:val="1"/>
      <w:marLeft w:val="0"/>
      <w:marRight w:val="0"/>
      <w:marTop w:val="0"/>
      <w:marBottom w:val="0"/>
      <w:divBdr>
        <w:top w:val="none" w:sz="0" w:space="0" w:color="auto"/>
        <w:left w:val="none" w:sz="0" w:space="0" w:color="auto"/>
        <w:bottom w:val="none" w:sz="0" w:space="0" w:color="auto"/>
        <w:right w:val="none" w:sz="0" w:space="0" w:color="auto"/>
      </w:divBdr>
    </w:div>
    <w:div w:id="1899824898">
      <w:bodyDiv w:val="1"/>
      <w:marLeft w:val="0"/>
      <w:marRight w:val="0"/>
      <w:marTop w:val="0"/>
      <w:marBottom w:val="0"/>
      <w:divBdr>
        <w:top w:val="none" w:sz="0" w:space="0" w:color="auto"/>
        <w:left w:val="none" w:sz="0" w:space="0" w:color="auto"/>
        <w:bottom w:val="none" w:sz="0" w:space="0" w:color="auto"/>
        <w:right w:val="none" w:sz="0" w:space="0" w:color="auto"/>
      </w:divBdr>
      <w:divsChild>
        <w:div w:id="1059943103">
          <w:marLeft w:val="446"/>
          <w:marRight w:val="0"/>
          <w:marTop w:val="0"/>
          <w:marBottom w:val="0"/>
          <w:divBdr>
            <w:top w:val="none" w:sz="0" w:space="0" w:color="auto"/>
            <w:left w:val="none" w:sz="0" w:space="0" w:color="auto"/>
            <w:bottom w:val="none" w:sz="0" w:space="0" w:color="auto"/>
            <w:right w:val="none" w:sz="0" w:space="0" w:color="auto"/>
          </w:divBdr>
        </w:div>
        <w:div w:id="1322848340">
          <w:marLeft w:val="446"/>
          <w:marRight w:val="0"/>
          <w:marTop w:val="0"/>
          <w:marBottom w:val="0"/>
          <w:divBdr>
            <w:top w:val="none" w:sz="0" w:space="0" w:color="auto"/>
            <w:left w:val="none" w:sz="0" w:space="0" w:color="auto"/>
            <w:bottom w:val="none" w:sz="0" w:space="0" w:color="auto"/>
            <w:right w:val="none" w:sz="0" w:space="0" w:color="auto"/>
          </w:divBdr>
        </w:div>
        <w:div w:id="1497572751">
          <w:marLeft w:val="446"/>
          <w:marRight w:val="0"/>
          <w:marTop w:val="0"/>
          <w:marBottom w:val="0"/>
          <w:divBdr>
            <w:top w:val="none" w:sz="0" w:space="0" w:color="auto"/>
            <w:left w:val="none" w:sz="0" w:space="0" w:color="auto"/>
            <w:bottom w:val="none" w:sz="0" w:space="0" w:color="auto"/>
            <w:right w:val="none" w:sz="0" w:space="0" w:color="auto"/>
          </w:divBdr>
        </w:div>
        <w:div w:id="1836603832">
          <w:marLeft w:val="446"/>
          <w:marRight w:val="0"/>
          <w:marTop w:val="0"/>
          <w:marBottom w:val="0"/>
          <w:divBdr>
            <w:top w:val="none" w:sz="0" w:space="0" w:color="auto"/>
            <w:left w:val="none" w:sz="0" w:space="0" w:color="auto"/>
            <w:bottom w:val="none" w:sz="0" w:space="0" w:color="auto"/>
            <w:right w:val="none" w:sz="0" w:space="0" w:color="auto"/>
          </w:divBdr>
        </w:div>
      </w:divsChild>
    </w:div>
    <w:div w:id="1913659800">
      <w:bodyDiv w:val="1"/>
      <w:marLeft w:val="0"/>
      <w:marRight w:val="0"/>
      <w:marTop w:val="0"/>
      <w:marBottom w:val="0"/>
      <w:divBdr>
        <w:top w:val="none" w:sz="0" w:space="0" w:color="auto"/>
        <w:left w:val="none" w:sz="0" w:space="0" w:color="auto"/>
        <w:bottom w:val="none" w:sz="0" w:space="0" w:color="auto"/>
        <w:right w:val="none" w:sz="0" w:space="0" w:color="auto"/>
      </w:divBdr>
    </w:div>
    <w:div w:id="1929921148">
      <w:bodyDiv w:val="1"/>
      <w:marLeft w:val="0"/>
      <w:marRight w:val="0"/>
      <w:marTop w:val="0"/>
      <w:marBottom w:val="0"/>
      <w:divBdr>
        <w:top w:val="none" w:sz="0" w:space="0" w:color="auto"/>
        <w:left w:val="none" w:sz="0" w:space="0" w:color="auto"/>
        <w:bottom w:val="none" w:sz="0" w:space="0" w:color="auto"/>
        <w:right w:val="none" w:sz="0" w:space="0" w:color="auto"/>
      </w:divBdr>
    </w:div>
    <w:div w:id="1933313458">
      <w:bodyDiv w:val="1"/>
      <w:marLeft w:val="0"/>
      <w:marRight w:val="0"/>
      <w:marTop w:val="0"/>
      <w:marBottom w:val="0"/>
      <w:divBdr>
        <w:top w:val="none" w:sz="0" w:space="0" w:color="auto"/>
        <w:left w:val="none" w:sz="0" w:space="0" w:color="auto"/>
        <w:bottom w:val="none" w:sz="0" w:space="0" w:color="auto"/>
        <w:right w:val="none" w:sz="0" w:space="0" w:color="auto"/>
      </w:divBdr>
    </w:div>
    <w:div w:id="1938319865">
      <w:bodyDiv w:val="1"/>
      <w:marLeft w:val="0"/>
      <w:marRight w:val="0"/>
      <w:marTop w:val="0"/>
      <w:marBottom w:val="0"/>
      <w:divBdr>
        <w:top w:val="none" w:sz="0" w:space="0" w:color="auto"/>
        <w:left w:val="none" w:sz="0" w:space="0" w:color="auto"/>
        <w:bottom w:val="none" w:sz="0" w:space="0" w:color="auto"/>
        <w:right w:val="none" w:sz="0" w:space="0" w:color="auto"/>
      </w:divBdr>
    </w:div>
    <w:div w:id="1948926538">
      <w:bodyDiv w:val="1"/>
      <w:marLeft w:val="0"/>
      <w:marRight w:val="0"/>
      <w:marTop w:val="0"/>
      <w:marBottom w:val="0"/>
      <w:divBdr>
        <w:top w:val="none" w:sz="0" w:space="0" w:color="auto"/>
        <w:left w:val="none" w:sz="0" w:space="0" w:color="auto"/>
        <w:bottom w:val="none" w:sz="0" w:space="0" w:color="auto"/>
        <w:right w:val="none" w:sz="0" w:space="0" w:color="auto"/>
      </w:divBdr>
    </w:div>
    <w:div w:id="1959412697">
      <w:bodyDiv w:val="1"/>
      <w:marLeft w:val="0"/>
      <w:marRight w:val="0"/>
      <w:marTop w:val="0"/>
      <w:marBottom w:val="0"/>
      <w:divBdr>
        <w:top w:val="none" w:sz="0" w:space="0" w:color="auto"/>
        <w:left w:val="none" w:sz="0" w:space="0" w:color="auto"/>
        <w:bottom w:val="none" w:sz="0" w:space="0" w:color="auto"/>
        <w:right w:val="none" w:sz="0" w:space="0" w:color="auto"/>
      </w:divBdr>
    </w:div>
    <w:div w:id="1989432755">
      <w:bodyDiv w:val="1"/>
      <w:marLeft w:val="0"/>
      <w:marRight w:val="0"/>
      <w:marTop w:val="0"/>
      <w:marBottom w:val="0"/>
      <w:divBdr>
        <w:top w:val="none" w:sz="0" w:space="0" w:color="auto"/>
        <w:left w:val="none" w:sz="0" w:space="0" w:color="auto"/>
        <w:bottom w:val="none" w:sz="0" w:space="0" w:color="auto"/>
        <w:right w:val="none" w:sz="0" w:space="0" w:color="auto"/>
      </w:divBdr>
    </w:div>
    <w:div w:id="2016112223">
      <w:bodyDiv w:val="1"/>
      <w:marLeft w:val="0"/>
      <w:marRight w:val="0"/>
      <w:marTop w:val="0"/>
      <w:marBottom w:val="0"/>
      <w:divBdr>
        <w:top w:val="none" w:sz="0" w:space="0" w:color="auto"/>
        <w:left w:val="none" w:sz="0" w:space="0" w:color="auto"/>
        <w:bottom w:val="none" w:sz="0" w:space="0" w:color="auto"/>
        <w:right w:val="none" w:sz="0" w:space="0" w:color="auto"/>
      </w:divBdr>
    </w:div>
    <w:div w:id="2017684017">
      <w:bodyDiv w:val="1"/>
      <w:marLeft w:val="0"/>
      <w:marRight w:val="0"/>
      <w:marTop w:val="0"/>
      <w:marBottom w:val="0"/>
      <w:divBdr>
        <w:top w:val="none" w:sz="0" w:space="0" w:color="auto"/>
        <w:left w:val="none" w:sz="0" w:space="0" w:color="auto"/>
        <w:bottom w:val="none" w:sz="0" w:space="0" w:color="auto"/>
        <w:right w:val="none" w:sz="0" w:space="0" w:color="auto"/>
      </w:divBdr>
    </w:div>
    <w:div w:id="2030374681">
      <w:bodyDiv w:val="1"/>
      <w:marLeft w:val="0"/>
      <w:marRight w:val="0"/>
      <w:marTop w:val="0"/>
      <w:marBottom w:val="0"/>
      <w:divBdr>
        <w:top w:val="none" w:sz="0" w:space="0" w:color="auto"/>
        <w:left w:val="none" w:sz="0" w:space="0" w:color="auto"/>
        <w:bottom w:val="none" w:sz="0" w:space="0" w:color="auto"/>
        <w:right w:val="none" w:sz="0" w:space="0" w:color="auto"/>
      </w:divBdr>
    </w:div>
    <w:div w:id="2038700813">
      <w:bodyDiv w:val="1"/>
      <w:marLeft w:val="0"/>
      <w:marRight w:val="0"/>
      <w:marTop w:val="0"/>
      <w:marBottom w:val="0"/>
      <w:divBdr>
        <w:top w:val="none" w:sz="0" w:space="0" w:color="auto"/>
        <w:left w:val="none" w:sz="0" w:space="0" w:color="auto"/>
        <w:bottom w:val="none" w:sz="0" w:space="0" w:color="auto"/>
        <w:right w:val="none" w:sz="0" w:space="0" w:color="auto"/>
      </w:divBdr>
    </w:div>
    <w:div w:id="2042587455">
      <w:bodyDiv w:val="1"/>
      <w:marLeft w:val="0"/>
      <w:marRight w:val="0"/>
      <w:marTop w:val="0"/>
      <w:marBottom w:val="0"/>
      <w:divBdr>
        <w:top w:val="none" w:sz="0" w:space="0" w:color="auto"/>
        <w:left w:val="none" w:sz="0" w:space="0" w:color="auto"/>
        <w:bottom w:val="none" w:sz="0" w:space="0" w:color="auto"/>
        <w:right w:val="none" w:sz="0" w:space="0" w:color="auto"/>
      </w:divBdr>
    </w:div>
    <w:div w:id="2055277076">
      <w:bodyDiv w:val="1"/>
      <w:marLeft w:val="0"/>
      <w:marRight w:val="0"/>
      <w:marTop w:val="0"/>
      <w:marBottom w:val="0"/>
      <w:divBdr>
        <w:top w:val="none" w:sz="0" w:space="0" w:color="auto"/>
        <w:left w:val="none" w:sz="0" w:space="0" w:color="auto"/>
        <w:bottom w:val="none" w:sz="0" w:space="0" w:color="auto"/>
        <w:right w:val="none" w:sz="0" w:space="0" w:color="auto"/>
      </w:divBdr>
    </w:div>
    <w:div w:id="2131582467">
      <w:bodyDiv w:val="1"/>
      <w:marLeft w:val="0"/>
      <w:marRight w:val="0"/>
      <w:marTop w:val="0"/>
      <w:marBottom w:val="0"/>
      <w:divBdr>
        <w:top w:val="none" w:sz="0" w:space="0" w:color="auto"/>
        <w:left w:val="none" w:sz="0" w:space="0" w:color="auto"/>
        <w:bottom w:val="none" w:sz="0" w:space="0" w:color="auto"/>
        <w:right w:val="none" w:sz="0" w:space="0" w:color="auto"/>
      </w:divBdr>
    </w:div>
    <w:div w:id="2141066220">
      <w:bodyDiv w:val="1"/>
      <w:marLeft w:val="0"/>
      <w:marRight w:val="0"/>
      <w:marTop w:val="0"/>
      <w:marBottom w:val="0"/>
      <w:divBdr>
        <w:top w:val="none" w:sz="0" w:space="0" w:color="auto"/>
        <w:left w:val="none" w:sz="0" w:space="0" w:color="auto"/>
        <w:bottom w:val="none" w:sz="0" w:space="0" w:color="auto"/>
        <w:right w:val="none" w:sz="0" w:space="0" w:color="auto"/>
      </w:divBdr>
    </w:div>
    <w:div w:id="21463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tm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A42F-EC91-4088-B627-7909D48E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13759</Words>
  <Characters>78428</Characters>
  <Application>Microsoft Office Word</Application>
  <DocSecurity>0</DocSecurity>
  <Lines>653</Lines>
  <Paragraphs>184</Paragraphs>
  <ScaleCrop>false</ScaleCrop>
  <LinksUpToDate>false</LinksUpToDate>
  <CharactersWithSpaces>92003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2018-06-20T05:53:00Z</dcterms:created>
  <dcterms:modified xsi:type="dcterms:W3CDTF">2018-06-22T01:23:00Z</dcterms:modified>
</cp:coreProperties>
</file>