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47F" w:rsidRPr="00900D28" w:rsidRDefault="00900D28" w:rsidP="00DE242F">
      <w:pPr>
        <w:ind w:left="1418" w:hanging="1418"/>
        <w:jc w:val="left"/>
        <w:outlineLvl w:val="0"/>
        <w:rPr>
          <w:b/>
          <w:sz w:val="36"/>
          <w:szCs w:val="36"/>
        </w:rPr>
      </w:pPr>
      <w:bookmarkStart w:id="0" w:name="_Toc490140967"/>
      <w:bookmarkStart w:id="1" w:name="_Toc492390261"/>
      <w:bookmarkStart w:id="2" w:name="_GoBack"/>
      <w:bookmarkEnd w:id="2"/>
      <w:r>
        <w:rPr>
          <w:b/>
          <w:sz w:val="36"/>
          <w:szCs w:val="36"/>
        </w:rPr>
        <w:t>5.12</w:t>
      </w:r>
      <w:r w:rsidR="0011547F" w:rsidRPr="003051E3">
        <w:rPr>
          <w:b/>
          <w:sz w:val="36"/>
          <w:szCs w:val="36"/>
        </w:rPr>
        <w:tab/>
      </w:r>
      <w:r>
        <w:rPr>
          <w:b/>
          <w:sz w:val="36"/>
          <w:szCs w:val="36"/>
        </w:rPr>
        <w:t>OSIMERTINIB</w:t>
      </w:r>
      <w:r w:rsidR="0011547F" w:rsidRPr="003051E3">
        <w:rPr>
          <w:b/>
          <w:sz w:val="36"/>
          <w:szCs w:val="36"/>
        </w:rPr>
        <w:t xml:space="preserve">, </w:t>
      </w:r>
      <w:r w:rsidR="0011547F" w:rsidRPr="003051E3">
        <w:rPr>
          <w:b/>
          <w:sz w:val="36"/>
          <w:szCs w:val="36"/>
        </w:rPr>
        <w:br/>
      </w:r>
      <w:r>
        <w:rPr>
          <w:b/>
          <w:sz w:val="36"/>
          <w:szCs w:val="36"/>
        </w:rPr>
        <w:t xml:space="preserve">Tablet 40 mg, </w:t>
      </w:r>
      <w:r w:rsidR="00FC422B">
        <w:rPr>
          <w:b/>
          <w:sz w:val="36"/>
          <w:szCs w:val="36"/>
        </w:rPr>
        <w:t>t</w:t>
      </w:r>
      <w:r>
        <w:rPr>
          <w:b/>
          <w:sz w:val="36"/>
          <w:szCs w:val="36"/>
        </w:rPr>
        <w:t>ablet 80 mg</w:t>
      </w:r>
      <w:r>
        <w:rPr>
          <w:b/>
          <w:sz w:val="36"/>
          <w:szCs w:val="36"/>
        </w:rPr>
        <w:br/>
        <w:t xml:space="preserve">Tagrisso®, </w:t>
      </w:r>
      <w:r w:rsidRPr="00900D28">
        <w:rPr>
          <w:b/>
          <w:sz w:val="36"/>
          <w:szCs w:val="36"/>
        </w:rPr>
        <w:t>AstraZeneca Pty Ltd</w:t>
      </w:r>
    </w:p>
    <w:p w:rsidR="003657A4" w:rsidRPr="00536F4D" w:rsidRDefault="003657A4" w:rsidP="005336F7">
      <w:pPr>
        <w:pStyle w:val="ESHeading1"/>
        <w:numPr>
          <w:ilvl w:val="0"/>
          <w:numId w:val="13"/>
        </w:numPr>
      </w:pPr>
      <w:r w:rsidRPr="00536F4D">
        <w:t>Purpose of submission</w:t>
      </w:r>
      <w:bookmarkEnd w:id="0"/>
      <w:bookmarkEnd w:id="1"/>
    </w:p>
    <w:p w:rsidR="00651569" w:rsidRDefault="00AA3DD4" w:rsidP="00891893">
      <w:pPr>
        <w:pStyle w:val="ListParagraph"/>
        <w:ind w:left="709" w:hanging="709"/>
        <w:rPr>
          <w:color w:val="auto"/>
        </w:rPr>
      </w:pPr>
      <w:r>
        <w:rPr>
          <w:color w:val="auto"/>
        </w:rPr>
        <w:t xml:space="preserve">The submission requested </w:t>
      </w:r>
      <w:r w:rsidR="00651569">
        <w:rPr>
          <w:color w:val="auto"/>
        </w:rPr>
        <w:t>a</w:t>
      </w:r>
      <w:r>
        <w:rPr>
          <w:color w:val="auto"/>
        </w:rPr>
        <w:t xml:space="preserve"> Pharmaceutical Benefits Schedule (</w:t>
      </w:r>
      <w:r w:rsidR="00EE3172" w:rsidRPr="00536F4D">
        <w:rPr>
          <w:color w:val="auto"/>
        </w:rPr>
        <w:t>PBS</w:t>
      </w:r>
      <w:r>
        <w:rPr>
          <w:color w:val="auto"/>
        </w:rPr>
        <w:t>)</w:t>
      </w:r>
      <w:r w:rsidR="00EE3172" w:rsidRPr="00536F4D">
        <w:rPr>
          <w:color w:val="auto"/>
        </w:rPr>
        <w:t xml:space="preserve"> listing of osimertinib for the targeted treatment of patients with locally advanced (Stage IIIB) or metastatic (Stage IV) non-small cell lung cancer (NSCLC)</w:t>
      </w:r>
      <w:r w:rsidR="00912B48" w:rsidRPr="00536F4D">
        <w:rPr>
          <w:color w:val="auto"/>
        </w:rPr>
        <w:t>,</w:t>
      </w:r>
      <w:r w:rsidR="00EE3172" w:rsidRPr="00536F4D">
        <w:rPr>
          <w:color w:val="auto"/>
        </w:rPr>
        <w:t xml:space="preserve"> who have evidence of a </w:t>
      </w:r>
      <w:r w:rsidR="00B901D2" w:rsidRPr="00B901D2">
        <w:rPr>
          <w:i/>
          <w:color w:val="auto"/>
        </w:rPr>
        <w:t>T790M</w:t>
      </w:r>
      <w:r w:rsidR="00EE3172" w:rsidRPr="00536F4D">
        <w:rPr>
          <w:color w:val="auto"/>
        </w:rPr>
        <w:t xml:space="preserve"> mutation of the</w:t>
      </w:r>
      <w:r w:rsidR="00985938" w:rsidRPr="00985938">
        <w:rPr>
          <w:color w:val="auto"/>
        </w:rPr>
        <w:t xml:space="preserve"> </w:t>
      </w:r>
      <w:r w:rsidR="00985938" w:rsidRPr="00536F4D">
        <w:rPr>
          <w:color w:val="auto"/>
        </w:rPr>
        <w:t>epidermal growth factor receptor (</w:t>
      </w:r>
      <w:r w:rsidR="00B901D2" w:rsidRPr="00B901D2">
        <w:rPr>
          <w:i/>
          <w:color w:val="auto"/>
        </w:rPr>
        <w:t>EGFR</w:t>
      </w:r>
      <w:r w:rsidR="00985938">
        <w:rPr>
          <w:color w:val="auto"/>
        </w:rPr>
        <w:t xml:space="preserve">) </w:t>
      </w:r>
      <w:r w:rsidR="00EE3172" w:rsidRPr="00536F4D">
        <w:rPr>
          <w:color w:val="auto"/>
        </w:rPr>
        <w:t xml:space="preserve">gene following progression on or after </w:t>
      </w:r>
      <w:r w:rsidR="00B901D2" w:rsidRPr="00651569">
        <w:rPr>
          <w:color w:val="auto"/>
        </w:rPr>
        <w:t>EGFR</w:t>
      </w:r>
      <w:r w:rsidR="00EE3172" w:rsidRPr="00536F4D">
        <w:rPr>
          <w:color w:val="auto"/>
        </w:rPr>
        <w:t xml:space="preserve"> tyrosine kinase inhibitor (TKI) therapy.</w:t>
      </w:r>
    </w:p>
    <w:p w:rsidR="003657A4" w:rsidRPr="00536F4D" w:rsidRDefault="00651569" w:rsidP="00891893">
      <w:pPr>
        <w:pStyle w:val="ListParagraph"/>
        <w:ind w:left="709" w:hanging="709"/>
        <w:rPr>
          <w:color w:val="auto"/>
        </w:rPr>
      </w:pPr>
      <w:r>
        <w:rPr>
          <w:color w:val="auto"/>
        </w:rPr>
        <w:t>The integrated codependent submission also requested that the Medical Services Advisory Committee consider a Medical Benefits Schedule (</w:t>
      </w:r>
      <w:r w:rsidRPr="00536F4D">
        <w:rPr>
          <w:color w:val="auto"/>
        </w:rPr>
        <w:t>MBS</w:t>
      </w:r>
      <w:r>
        <w:rPr>
          <w:color w:val="auto"/>
        </w:rPr>
        <w:t>)</w:t>
      </w:r>
      <w:r w:rsidRPr="00536F4D">
        <w:rPr>
          <w:color w:val="auto"/>
        </w:rPr>
        <w:t xml:space="preserve"> listing of </w:t>
      </w:r>
      <w:r w:rsidRPr="00B901D2">
        <w:rPr>
          <w:i/>
          <w:color w:val="auto"/>
        </w:rPr>
        <w:t>EGFR</w:t>
      </w:r>
      <w:r w:rsidRPr="00536F4D">
        <w:rPr>
          <w:color w:val="auto"/>
        </w:rPr>
        <w:t xml:space="preserve"> </w:t>
      </w:r>
      <w:r w:rsidRPr="00B901D2">
        <w:rPr>
          <w:i/>
          <w:color w:val="auto"/>
        </w:rPr>
        <w:t>T790M</w:t>
      </w:r>
      <w:r w:rsidRPr="00536F4D">
        <w:rPr>
          <w:color w:val="auto"/>
        </w:rPr>
        <w:t xml:space="preserve"> mutation testing</w:t>
      </w:r>
      <w:r>
        <w:rPr>
          <w:color w:val="auto"/>
        </w:rPr>
        <w:t>.</w:t>
      </w:r>
    </w:p>
    <w:p w:rsidR="003657A4" w:rsidRPr="00536F4D" w:rsidRDefault="003657A4" w:rsidP="00EE3172">
      <w:pPr>
        <w:pStyle w:val="Caption"/>
      </w:pPr>
      <w:r w:rsidRPr="00536F4D">
        <w:t>Table</w:t>
      </w:r>
      <w:r w:rsidR="00AB747A" w:rsidRPr="00536F4D">
        <w:rPr>
          <w:noProof/>
        </w:rPr>
        <w:t>1</w:t>
      </w:r>
      <w:r w:rsidR="00BC6818" w:rsidRPr="00536F4D">
        <w:t>:</w:t>
      </w:r>
      <w:r w:rsidR="003D5C91">
        <w:t xml:space="preserve"> </w:t>
      </w:r>
      <w:r w:rsidRPr="00536F4D">
        <w:t>Key components of the clinical issue addressed by the submission</w:t>
      </w:r>
    </w:p>
    <w:tbl>
      <w:tblPr>
        <w:tblStyle w:val="PBACTableStyle"/>
        <w:tblW w:w="0" w:type="auto"/>
        <w:tblInd w:w="108" w:type="dxa"/>
        <w:tblLook w:val="04A0" w:firstRow="1" w:lastRow="0" w:firstColumn="1" w:lastColumn="0" w:noHBand="0" w:noVBand="1"/>
        <w:tblCaption w:val="Table1: Key components of the clinical issue addressed by the submission"/>
      </w:tblPr>
      <w:tblGrid>
        <w:gridCol w:w="1184"/>
        <w:gridCol w:w="7774"/>
      </w:tblGrid>
      <w:tr w:rsidR="003657A4" w:rsidRPr="00536F4D" w:rsidTr="005D46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tcPr>
          <w:p w:rsidR="003657A4" w:rsidRPr="00536F4D" w:rsidRDefault="003657A4" w:rsidP="008C10E1">
            <w:pPr>
              <w:pStyle w:val="TableText"/>
            </w:pPr>
            <w:r w:rsidRPr="00536F4D">
              <w:t>Component</w:t>
            </w:r>
          </w:p>
        </w:tc>
        <w:tc>
          <w:tcPr>
            <w:tcW w:w="7774" w:type="dxa"/>
          </w:tcPr>
          <w:p w:rsidR="003657A4" w:rsidRPr="00536F4D" w:rsidRDefault="003657A4" w:rsidP="008C10E1">
            <w:pPr>
              <w:pStyle w:val="TableText"/>
              <w:cnfStyle w:val="100000000000" w:firstRow="1" w:lastRow="0" w:firstColumn="0" w:lastColumn="0" w:oddVBand="0" w:evenVBand="0" w:oddHBand="0" w:evenHBand="0" w:firstRowFirstColumn="0" w:firstRowLastColumn="0" w:lastRowFirstColumn="0" w:lastRowLastColumn="0"/>
            </w:pPr>
            <w:r w:rsidRPr="00536F4D">
              <w:t>Description</w:t>
            </w:r>
          </w:p>
        </w:tc>
      </w:tr>
      <w:tr w:rsidR="00EE3172" w:rsidRPr="00536F4D" w:rsidTr="00E3046E">
        <w:tc>
          <w:tcPr>
            <w:cnfStyle w:val="001000000000" w:firstRow="0" w:lastRow="0" w:firstColumn="1" w:lastColumn="0" w:oddVBand="0" w:evenVBand="0" w:oddHBand="0" w:evenHBand="0" w:firstRowFirstColumn="0" w:firstRowLastColumn="0" w:lastRowFirstColumn="0" w:lastRowLastColumn="0"/>
            <w:tcW w:w="1134" w:type="dxa"/>
          </w:tcPr>
          <w:p w:rsidR="00EE3172" w:rsidRPr="00536F4D" w:rsidRDefault="00EE3172" w:rsidP="00EE3172">
            <w:pPr>
              <w:pStyle w:val="TableText"/>
            </w:pPr>
            <w:r w:rsidRPr="00536F4D">
              <w:t>Population</w:t>
            </w:r>
          </w:p>
        </w:tc>
        <w:tc>
          <w:tcPr>
            <w:tcW w:w="7774" w:type="dxa"/>
            <w:vAlign w:val="top"/>
          </w:tcPr>
          <w:p w:rsidR="00EE3172" w:rsidRPr="00536F4D" w:rsidRDefault="00EE3172" w:rsidP="00EE3172">
            <w:pPr>
              <w:pStyle w:val="TableText"/>
              <w:cnfStyle w:val="000000000000" w:firstRow="0" w:lastRow="0" w:firstColumn="0" w:lastColumn="0" w:oddVBand="0" w:evenVBand="0" w:oddHBand="0" w:evenHBand="0" w:firstRowFirstColumn="0" w:firstRowLastColumn="0" w:lastRowFirstColumn="0" w:lastRowLastColumn="0"/>
            </w:pPr>
            <w:r w:rsidRPr="00536F4D">
              <w:t xml:space="preserve">Test: </w:t>
            </w:r>
            <w:r w:rsidRPr="00536F4D">
              <w:rPr>
                <w:lang w:bidi="en-US"/>
              </w:rPr>
              <w:t xml:space="preserve">Locally advanced or metastatic NSCLC patients, who have </w:t>
            </w:r>
            <w:r w:rsidR="00912B48" w:rsidRPr="00536F4D">
              <w:rPr>
                <w:lang w:bidi="en-US"/>
              </w:rPr>
              <w:t xml:space="preserve">disease </w:t>
            </w:r>
            <w:r w:rsidRPr="00536F4D">
              <w:rPr>
                <w:lang w:bidi="en-US"/>
              </w:rPr>
              <w:t>progress</w:t>
            </w:r>
            <w:r w:rsidR="00912B48" w:rsidRPr="00536F4D">
              <w:rPr>
                <w:lang w:bidi="en-US"/>
              </w:rPr>
              <w:t>ion</w:t>
            </w:r>
            <w:r w:rsidRPr="00536F4D">
              <w:rPr>
                <w:lang w:bidi="en-US"/>
              </w:rPr>
              <w:t xml:space="preserve"> on or after treatment with an </w:t>
            </w:r>
            <w:r w:rsidR="00B901D2" w:rsidRPr="00651569">
              <w:rPr>
                <w:lang w:bidi="en-US"/>
              </w:rPr>
              <w:t>EGFR</w:t>
            </w:r>
            <w:r w:rsidRPr="00651569">
              <w:rPr>
                <w:lang w:bidi="en-US"/>
              </w:rPr>
              <w:t xml:space="preserve"> </w:t>
            </w:r>
            <w:r w:rsidRPr="00536F4D">
              <w:rPr>
                <w:lang w:bidi="en-US"/>
              </w:rPr>
              <w:t>TKI</w:t>
            </w:r>
          </w:p>
          <w:p w:rsidR="00EE3172" w:rsidRPr="00536F4D" w:rsidRDefault="00EE3172" w:rsidP="00912B48">
            <w:pPr>
              <w:pStyle w:val="TableText"/>
              <w:cnfStyle w:val="000000000000" w:firstRow="0" w:lastRow="0" w:firstColumn="0" w:lastColumn="0" w:oddVBand="0" w:evenVBand="0" w:oddHBand="0" w:evenHBand="0" w:firstRowFirstColumn="0" w:firstRowLastColumn="0" w:lastRowFirstColumn="0" w:lastRowLastColumn="0"/>
            </w:pPr>
            <w:r w:rsidRPr="00536F4D">
              <w:t xml:space="preserve">Medicine: </w:t>
            </w:r>
            <w:r w:rsidRPr="00536F4D">
              <w:rPr>
                <w:lang w:bidi="en-US"/>
              </w:rPr>
              <w:t>Locally advanced or metastatic NSCLC patients</w:t>
            </w:r>
            <w:r w:rsidRPr="00536F4D">
              <w:t xml:space="preserve"> who are </w:t>
            </w:r>
            <w:r w:rsidR="00B901D2" w:rsidRPr="00B901D2">
              <w:rPr>
                <w:i/>
              </w:rPr>
              <w:t>T790M</w:t>
            </w:r>
            <w:r w:rsidRPr="00536F4D">
              <w:t xml:space="preserve"> mutation positive and</w:t>
            </w:r>
            <w:r w:rsidRPr="00536F4D">
              <w:rPr>
                <w:lang w:bidi="en-US"/>
              </w:rPr>
              <w:t xml:space="preserve"> who have </w:t>
            </w:r>
            <w:r w:rsidR="00912B48" w:rsidRPr="00536F4D">
              <w:rPr>
                <w:lang w:bidi="en-US"/>
              </w:rPr>
              <w:t xml:space="preserve">disease </w:t>
            </w:r>
            <w:r w:rsidRPr="00536F4D">
              <w:rPr>
                <w:lang w:bidi="en-US"/>
              </w:rPr>
              <w:t>progress</w:t>
            </w:r>
            <w:r w:rsidR="00912B48" w:rsidRPr="00536F4D">
              <w:rPr>
                <w:lang w:bidi="en-US"/>
              </w:rPr>
              <w:t>ion</w:t>
            </w:r>
            <w:r w:rsidRPr="00536F4D">
              <w:rPr>
                <w:lang w:bidi="en-US"/>
              </w:rPr>
              <w:t xml:space="preserve"> on or after treatment with an </w:t>
            </w:r>
            <w:r w:rsidR="00B901D2" w:rsidRPr="00651569">
              <w:rPr>
                <w:lang w:bidi="en-US"/>
              </w:rPr>
              <w:t>EGFR</w:t>
            </w:r>
            <w:r w:rsidRPr="00536F4D">
              <w:rPr>
                <w:lang w:bidi="en-US"/>
              </w:rPr>
              <w:t xml:space="preserve"> TKI</w:t>
            </w:r>
          </w:p>
        </w:tc>
      </w:tr>
      <w:tr w:rsidR="00EE3172" w:rsidRPr="00536F4D" w:rsidTr="00E3046E">
        <w:tc>
          <w:tcPr>
            <w:cnfStyle w:val="001000000000" w:firstRow="0" w:lastRow="0" w:firstColumn="1" w:lastColumn="0" w:oddVBand="0" w:evenVBand="0" w:oddHBand="0" w:evenHBand="0" w:firstRowFirstColumn="0" w:firstRowLastColumn="0" w:lastRowFirstColumn="0" w:lastRowLastColumn="0"/>
            <w:tcW w:w="1134" w:type="dxa"/>
          </w:tcPr>
          <w:p w:rsidR="00EE3172" w:rsidRPr="00536F4D" w:rsidRDefault="00EE3172" w:rsidP="00EE3172">
            <w:pPr>
              <w:pStyle w:val="TableText"/>
            </w:pPr>
            <w:r w:rsidRPr="00536F4D">
              <w:t>Intervention</w:t>
            </w:r>
          </w:p>
        </w:tc>
        <w:tc>
          <w:tcPr>
            <w:tcW w:w="7774" w:type="dxa"/>
            <w:vAlign w:val="top"/>
          </w:tcPr>
          <w:p w:rsidR="00EE3172" w:rsidRPr="00536F4D" w:rsidRDefault="00EE3172" w:rsidP="00EE3172">
            <w:pPr>
              <w:pStyle w:val="TableText"/>
              <w:cnfStyle w:val="000000000000" w:firstRow="0" w:lastRow="0" w:firstColumn="0" w:lastColumn="0" w:oddVBand="0" w:evenVBand="0" w:oddHBand="0" w:evenHBand="0" w:firstRowFirstColumn="0" w:firstRowLastColumn="0" w:lastRowFirstColumn="0" w:lastRowLastColumn="0"/>
              <w:rPr>
                <w:lang w:bidi="en-US"/>
              </w:rPr>
            </w:pPr>
            <w:r w:rsidRPr="00536F4D">
              <w:rPr>
                <w:lang w:bidi="en-US"/>
              </w:rPr>
              <w:t xml:space="preserve">Test: </w:t>
            </w:r>
            <w:r w:rsidR="00B901D2" w:rsidRPr="00B901D2">
              <w:rPr>
                <w:i/>
                <w:lang w:bidi="en-US"/>
              </w:rPr>
              <w:t>EGFR</w:t>
            </w:r>
            <w:r w:rsidRPr="00536F4D">
              <w:rPr>
                <w:lang w:bidi="en-US"/>
              </w:rPr>
              <w:t xml:space="preserve"> mutation test to determine </w:t>
            </w:r>
            <w:r w:rsidR="00B901D2" w:rsidRPr="00B901D2">
              <w:rPr>
                <w:i/>
                <w:lang w:bidi="en-US"/>
              </w:rPr>
              <w:t>T790M</w:t>
            </w:r>
            <w:r w:rsidRPr="00536F4D">
              <w:rPr>
                <w:lang w:bidi="en-US"/>
              </w:rPr>
              <w:t xml:space="preserve"> status</w:t>
            </w:r>
          </w:p>
          <w:p w:rsidR="00EE3172" w:rsidRPr="00536F4D" w:rsidRDefault="00EE3172" w:rsidP="00EE3172">
            <w:pPr>
              <w:pStyle w:val="TableText"/>
              <w:cnfStyle w:val="000000000000" w:firstRow="0" w:lastRow="0" w:firstColumn="0" w:lastColumn="0" w:oddVBand="0" w:evenVBand="0" w:oddHBand="0" w:evenHBand="0" w:firstRowFirstColumn="0" w:firstRowLastColumn="0" w:lastRowFirstColumn="0" w:lastRowLastColumn="0"/>
              <w:rPr>
                <w:lang w:bidi="en-US"/>
              </w:rPr>
            </w:pPr>
            <w:r w:rsidRPr="00536F4D">
              <w:rPr>
                <w:lang w:bidi="en-US"/>
              </w:rPr>
              <w:t xml:space="preserve">Medicine: If </w:t>
            </w:r>
            <w:r w:rsidR="00B901D2" w:rsidRPr="00B901D2">
              <w:rPr>
                <w:i/>
                <w:lang w:bidi="en-US"/>
              </w:rPr>
              <w:t>T790M</w:t>
            </w:r>
            <w:r w:rsidRPr="00536F4D">
              <w:rPr>
                <w:lang w:bidi="en-US"/>
              </w:rPr>
              <w:t xml:space="preserve"> mutation positive, receive osimertinib </w:t>
            </w:r>
          </w:p>
          <w:p w:rsidR="00EE3172" w:rsidRPr="00536F4D" w:rsidRDefault="00EE3172" w:rsidP="00EE3172">
            <w:pPr>
              <w:pStyle w:val="TableText"/>
              <w:cnfStyle w:val="000000000000" w:firstRow="0" w:lastRow="0" w:firstColumn="0" w:lastColumn="0" w:oddVBand="0" w:evenVBand="0" w:oddHBand="0" w:evenHBand="0" w:firstRowFirstColumn="0" w:firstRowLastColumn="0" w:lastRowFirstColumn="0" w:lastRowLastColumn="0"/>
            </w:pPr>
            <w:r w:rsidRPr="00536F4D">
              <w:rPr>
                <w:lang w:bidi="en-US"/>
              </w:rPr>
              <w:t xml:space="preserve">If </w:t>
            </w:r>
            <w:r w:rsidR="00B901D2" w:rsidRPr="00B901D2">
              <w:rPr>
                <w:i/>
                <w:lang w:bidi="en-US"/>
              </w:rPr>
              <w:t>T790M</w:t>
            </w:r>
            <w:r w:rsidRPr="00536F4D">
              <w:rPr>
                <w:lang w:bidi="en-US"/>
              </w:rPr>
              <w:t xml:space="preserve"> mutation negative or status unknown, receive platinum-based doublet chemotherapy</w:t>
            </w:r>
          </w:p>
        </w:tc>
      </w:tr>
      <w:tr w:rsidR="00EE3172" w:rsidRPr="00536F4D" w:rsidTr="00E3046E">
        <w:tc>
          <w:tcPr>
            <w:cnfStyle w:val="001000000000" w:firstRow="0" w:lastRow="0" w:firstColumn="1" w:lastColumn="0" w:oddVBand="0" w:evenVBand="0" w:oddHBand="0" w:evenHBand="0" w:firstRowFirstColumn="0" w:firstRowLastColumn="0" w:lastRowFirstColumn="0" w:lastRowLastColumn="0"/>
            <w:tcW w:w="1134" w:type="dxa"/>
          </w:tcPr>
          <w:p w:rsidR="00EE3172" w:rsidRPr="00536F4D" w:rsidRDefault="00EE3172" w:rsidP="00EE3172">
            <w:pPr>
              <w:pStyle w:val="TableText"/>
            </w:pPr>
            <w:r w:rsidRPr="00536F4D">
              <w:t>Comparator</w:t>
            </w:r>
          </w:p>
        </w:tc>
        <w:tc>
          <w:tcPr>
            <w:tcW w:w="7774" w:type="dxa"/>
            <w:vAlign w:val="top"/>
          </w:tcPr>
          <w:p w:rsidR="00EE3172" w:rsidRPr="00536F4D" w:rsidRDefault="00EE3172" w:rsidP="00EE3172">
            <w:pPr>
              <w:pStyle w:val="TableText"/>
              <w:cnfStyle w:val="000000000000" w:firstRow="0" w:lastRow="0" w:firstColumn="0" w:lastColumn="0" w:oddVBand="0" w:evenVBand="0" w:oddHBand="0" w:evenHBand="0" w:firstRowFirstColumn="0" w:firstRowLastColumn="0" w:lastRowFirstColumn="0" w:lastRowLastColumn="0"/>
            </w:pPr>
            <w:r w:rsidRPr="00536F4D">
              <w:t xml:space="preserve">Test: </w:t>
            </w:r>
            <w:r w:rsidRPr="00536F4D">
              <w:rPr>
                <w:lang w:bidi="en-US"/>
              </w:rPr>
              <w:t xml:space="preserve">No </w:t>
            </w:r>
            <w:r w:rsidR="00B901D2" w:rsidRPr="00B901D2">
              <w:rPr>
                <w:i/>
                <w:lang w:bidi="en-US"/>
              </w:rPr>
              <w:t>EGFR</w:t>
            </w:r>
            <w:r w:rsidRPr="00536F4D">
              <w:rPr>
                <w:lang w:bidi="en-US"/>
              </w:rPr>
              <w:t xml:space="preserve"> mutation test to determine </w:t>
            </w:r>
            <w:r w:rsidR="00B901D2" w:rsidRPr="00B901D2">
              <w:rPr>
                <w:i/>
                <w:lang w:bidi="en-US"/>
              </w:rPr>
              <w:t>T790M</w:t>
            </w:r>
            <w:r w:rsidRPr="00536F4D">
              <w:rPr>
                <w:lang w:bidi="en-US"/>
              </w:rPr>
              <w:t xml:space="preserve"> status</w:t>
            </w:r>
          </w:p>
          <w:p w:rsidR="00EE3172" w:rsidRPr="00536F4D" w:rsidRDefault="00EE3172" w:rsidP="00EE3172">
            <w:pPr>
              <w:pStyle w:val="TableText"/>
              <w:cnfStyle w:val="000000000000" w:firstRow="0" w:lastRow="0" w:firstColumn="0" w:lastColumn="0" w:oddVBand="0" w:evenVBand="0" w:oddHBand="0" w:evenHBand="0" w:firstRowFirstColumn="0" w:firstRowLastColumn="0" w:lastRowFirstColumn="0" w:lastRowLastColumn="0"/>
            </w:pPr>
            <w:r w:rsidRPr="00536F4D">
              <w:t xml:space="preserve">Medicine: </w:t>
            </w:r>
            <w:r w:rsidRPr="00536F4D">
              <w:rPr>
                <w:lang w:bidi="en-US"/>
              </w:rPr>
              <w:t>All patients receive platinum-based doublet chemotherapy</w:t>
            </w:r>
          </w:p>
        </w:tc>
      </w:tr>
      <w:tr w:rsidR="00EE3172" w:rsidRPr="00536F4D" w:rsidTr="00E3046E">
        <w:tc>
          <w:tcPr>
            <w:cnfStyle w:val="001000000000" w:firstRow="0" w:lastRow="0" w:firstColumn="1" w:lastColumn="0" w:oddVBand="0" w:evenVBand="0" w:oddHBand="0" w:evenHBand="0" w:firstRowFirstColumn="0" w:firstRowLastColumn="0" w:lastRowFirstColumn="0" w:lastRowLastColumn="0"/>
            <w:tcW w:w="1134" w:type="dxa"/>
          </w:tcPr>
          <w:p w:rsidR="00EE3172" w:rsidRPr="00536F4D" w:rsidRDefault="00EE3172" w:rsidP="00EE3172">
            <w:pPr>
              <w:pStyle w:val="TableText"/>
            </w:pPr>
            <w:r w:rsidRPr="00536F4D">
              <w:t>Outcomes</w:t>
            </w:r>
          </w:p>
        </w:tc>
        <w:tc>
          <w:tcPr>
            <w:tcW w:w="7774" w:type="dxa"/>
            <w:vAlign w:val="top"/>
          </w:tcPr>
          <w:p w:rsidR="00EE3172" w:rsidRPr="00536F4D" w:rsidRDefault="00EE3172" w:rsidP="00EE3172">
            <w:pPr>
              <w:pStyle w:val="TableText"/>
              <w:cnfStyle w:val="000000000000" w:firstRow="0" w:lastRow="0" w:firstColumn="0" w:lastColumn="0" w:oddVBand="0" w:evenVBand="0" w:oddHBand="0" w:evenHBand="0" w:firstRowFirstColumn="0" w:firstRowLastColumn="0" w:lastRowFirstColumn="0" w:lastRowLastColumn="0"/>
            </w:pPr>
            <w:r w:rsidRPr="00536F4D">
              <w:t xml:space="preserve">Test: Diagnostic accuracy of </w:t>
            </w:r>
            <w:r w:rsidR="00B901D2" w:rsidRPr="00B901D2">
              <w:rPr>
                <w:i/>
              </w:rPr>
              <w:t>EGFR</w:t>
            </w:r>
            <w:r w:rsidRPr="00536F4D">
              <w:t xml:space="preserve"> </w:t>
            </w:r>
            <w:r w:rsidR="00B901D2" w:rsidRPr="00B901D2">
              <w:rPr>
                <w:i/>
              </w:rPr>
              <w:t>T790M</w:t>
            </w:r>
            <w:r w:rsidR="001A45D5" w:rsidRPr="00536F4D">
              <w:t xml:space="preserve"> mutation</w:t>
            </w:r>
          </w:p>
          <w:p w:rsidR="00EE3172" w:rsidRPr="00536F4D" w:rsidRDefault="00EE3172" w:rsidP="00EE3172">
            <w:pPr>
              <w:pStyle w:val="TableText"/>
              <w:cnfStyle w:val="000000000000" w:firstRow="0" w:lastRow="0" w:firstColumn="0" w:lastColumn="0" w:oddVBand="0" w:evenVBand="0" w:oddHBand="0" w:evenHBand="0" w:firstRowFirstColumn="0" w:firstRowLastColumn="0" w:lastRowFirstColumn="0" w:lastRowLastColumn="0"/>
            </w:pPr>
            <w:r w:rsidRPr="00536F4D">
              <w:t>Medicine: PFS, OS, ORR, DCR, tumour shrinkage, quality of life, safety and tolerability for osimertinib versus plat</w:t>
            </w:r>
            <w:r w:rsidR="001A45D5" w:rsidRPr="00536F4D">
              <w:t>inum-based doublet chemotherapy</w:t>
            </w:r>
          </w:p>
        </w:tc>
      </w:tr>
      <w:tr w:rsidR="00EE3172" w:rsidRPr="00536F4D" w:rsidTr="00E3046E">
        <w:tc>
          <w:tcPr>
            <w:cnfStyle w:val="001000000000" w:firstRow="0" w:lastRow="0" w:firstColumn="1" w:lastColumn="0" w:oddVBand="0" w:evenVBand="0" w:oddHBand="0" w:evenHBand="0" w:firstRowFirstColumn="0" w:firstRowLastColumn="0" w:lastRowFirstColumn="0" w:lastRowLastColumn="0"/>
            <w:tcW w:w="1134" w:type="dxa"/>
          </w:tcPr>
          <w:p w:rsidR="00EE3172" w:rsidRPr="00536F4D" w:rsidRDefault="00EE3172" w:rsidP="00EE3172">
            <w:pPr>
              <w:pStyle w:val="TableText"/>
            </w:pPr>
            <w:r w:rsidRPr="00536F4D">
              <w:t>Clinical claim</w:t>
            </w:r>
          </w:p>
        </w:tc>
        <w:tc>
          <w:tcPr>
            <w:tcW w:w="7774" w:type="dxa"/>
            <w:vAlign w:val="top"/>
          </w:tcPr>
          <w:p w:rsidR="00EE3172" w:rsidRPr="00536F4D" w:rsidRDefault="00EE3172" w:rsidP="00EE3172">
            <w:pPr>
              <w:pStyle w:val="TableText"/>
              <w:cnfStyle w:val="000000000000" w:firstRow="0" w:lastRow="0" w:firstColumn="0" w:lastColumn="0" w:oddVBand="0" w:evenVBand="0" w:oddHBand="0" w:evenHBand="0" w:firstRowFirstColumn="0" w:firstRowLastColumn="0" w:lastRowFirstColumn="0" w:lastRowLastColumn="0"/>
            </w:pPr>
            <w:r w:rsidRPr="00536F4D">
              <w:rPr>
                <w:lang w:bidi="en-US"/>
              </w:rPr>
              <w:t xml:space="preserve">In patients with locally advanced or metastatic </w:t>
            </w:r>
            <w:r w:rsidR="00B901D2" w:rsidRPr="00B901D2">
              <w:rPr>
                <w:i/>
                <w:lang w:bidi="en-US"/>
              </w:rPr>
              <w:t>EGFR</w:t>
            </w:r>
            <w:r w:rsidRPr="00536F4D">
              <w:rPr>
                <w:lang w:bidi="en-US"/>
              </w:rPr>
              <w:t xml:space="preserve"> </w:t>
            </w:r>
            <w:r w:rsidR="00B901D2" w:rsidRPr="00B901D2">
              <w:rPr>
                <w:i/>
                <w:lang w:bidi="en-US"/>
              </w:rPr>
              <w:t>T790M</w:t>
            </w:r>
            <w:r w:rsidRPr="00536F4D">
              <w:rPr>
                <w:lang w:bidi="en-US"/>
              </w:rPr>
              <w:t xml:space="preserve"> mutation positive NSCLC, osimertinib is superior to platinum-based doublet chemotherapy in terms of effica</w:t>
            </w:r>
            <w:r w:rsidR="001A45D5" w:rsidRPr="00536F4D">
              <w:rPr>
                <w:lang w:bidi="en-US"/>
              </w:rPr>
              <w:t>cy, safety and quality of life</w:t>
            </w:r>
          </w:p>
        </w:tc>
      </w:tr>
    </w:tbl>
    <w:p w:rsidR="00EE3172" w:rsidRPr="00536F4D" w:rsidRDefault="00EE3172" w:rsidP="00EE3172">
      <w:pPr>
        <w:pStyle w:val="TableFooter"/>
      </w:pPr>
      <w:r w:rsidRPr="00536F4D">
        <w:t xml:space="preserve">DCR = disease control rate; </w:t>
      </w:r>
      <w:r w:rsidR="00B901D2" w:rsidRPr="00B901D2">
        <w:rPr>
          <w:i/>
        </w:rPr>
        <w:t>EGFR</w:t>
      </w:r>
      <w:r w:rsidRPr="00536F4D">
        <w:t xml:space="preserve"> = epidermal growth factor receptor; TKI = tyrosine kinase inhibitor; NSCLC = non-small cell lung cancer; ORR = objective response rate; OS = overall survival; PFS = progression-free survival.</w:t>
      </w:r>
    </w:p>
    <w:p w:rsidR="00EE3172" w:rsidRPr="00536F4D" w:rsidRDefault="00EE3172" w:rsidP="00EE3172">
      <w:pPr>
        <w:pStyle w:val="TableFooter"/>
      </w:pPr>
      <w:r w:rsidRPr="00536F4D">
        <w:t>Source: Table 1.1, p18 of the main submission.</w:t>
      </w:r>
    </w:p>
    <w:p w:rsidR="00EE3172" w:rsidRPr="00536F4D" w:rsidRDefault="00EE3172" w:rsidP="00891893">
      <w:pPr>
        <w:pStyle w:val="ListParagraph"/>
        <w:ind w:left="709" w:hanging="709"/>
        <w:rPr>
          <w:color w:val="auto"/>
        </w:rPr>
      </w:pPr>
      <w:bookmarkStart w:id="3" w:name="_Toc490140968"/>
      <w:r w:rsidRPr="00536F4D">
        <w:rPr>
          <w:color w:val="auto"/>
        </w:rPr>
        <w:t xml:space="preserve">The proposal is for patients to undergo a rebiopsy to retrieve a tumour tissue sample at the point of progression on or after TKI treatment. This sample </w:t>
      </w:r>
      <w:r w:rsidR="008E7128">
        <w:rPr>
          <w:color w:val="auto"/>
        </w:rPr>
        <w:t xml:space="preserve">would </w:t>
      </w:r>
      <w:r w:rsidRPr="00536F4D">
        <w:rPr>
          <w:color w:val="auto"/>
        </w:rPr>
        <w:t xml:space="preserve">then </w:t>
      </w:r>
      <w:r w:rsidR="008E7128">
        <w:rPr>
          <w:color w:val="auto"/>
        </w:rPr>
        <w:t xml:space="preserve">be </w:t>
      </w:r>
      <w:r w:rsidRPr="00536F4D">
        <w:rPr>
          <w:color w:val="auto"/>
        </w:rPr>
        <w:t xml:space="preserve">used for </w:t>
      </w:r>
      <w:r w:rsidR="00B901D2" w:rsidRPr="00B901D2">
        <w:rPr>
          <w:i/>
          <w:color w:val="auto"/>
        </w:rPr>
        <w:t>EGFR</w:t>
      </w:r>
      <w:r w:rsidRPr="00536F4D">
        <w:rPr>
          <w:color w:val="auto"/>
        </w:rPr>
        <w:t xml:space="preserve"> </w:t>
      </w:r>
      <w:r w:rsidR="00B901D2" w:rsidRPr="00B901D2">
        <w:rPr>
          <w:i/>
          <w:color w:val="auto"/>
        </w:rPr>
        <w:t>T790M</w:t>
      </w:r>
      <w:r w:rsidRPr="00536F4D">
        <w:rPr>
          <w:color w:val="auto"/>
        </w:rPr>
        <w:t xml:space="preserve"> mutation testing, </w:t>
      </w:r>
      <w:r w:rsidR="00912B48" w:rsidRPr="00536F4D">
        <w:rPr>
          <w:color w:val="auto"/>
        </w:rPr>
        <w:t xml:space="preserve">to </w:t>
      </w:r>
      <w:r w:rsidRPr="00536F4D">
        <w:rPr>
          <w:color w:val="auto"/>
        </w:rPr>
        <w:t>determin</w:t>
      </w:r>
      <w:r w:rsidR="00912B48" w:rsidRPr="00536F4D">
        <w:rPr>
          <w:color w:val="auto"/>
        </w:rPr>
        <w:t>e</w:t>
      </w:r>
      <w:r w:rsidRPr="00536F4D">
        <w:rPr>
          <w:color w:val="auto"/>
        </w:rPr>
        <w:t xml:space="preserve"> eligibility for osimertinib. Those unable to undergo a rebiopsy, or who are </w:t>
      </w:r>
      <w:r w:rsidR="00B901D2" w:rsidRPr="00B901D2">
        <w:rPr>
          <w:i/>
          <w:color w:val="auto"/>
        </w:rPr>
        <w:t>T790M</w:t>
      </w:r>
      <w:r w:rsidRPr="00536F4D">
        <w:rPr>
          <w:color w:val="auto"/>
        </w:rPr>
        <w:t xml:space="preserve"> mutation negative, would receive plati</w:t>
      </w:r>
      <w:r w:rsidR="00C346A4" w:rsidRPr="00536F4D">
        <w:rPr>
          <w:color w:val="auto"/>
        </w:rPr>
        <w:t>num-based doublet chemotherapy.</w:t>
      </w:r>
    </w:p>
    <w:p w:rsidR="00456192" w:rsidRPr="00536F4D" w:rsidRDefault="00EE3172" w:rsidP="00891893">
      <w:pPr>
        <w:pStyle w:val="ListParagraph"/>
        <w:ind w:left="709" w:hanging="709"/>
        <w:rPr>
          <w:color w:val="auto"/>
        </w:rPr>
      </w:pPr>
      <w:r w:rsidRPr="00536F4D">
        <w:rPr>
          <w:color w:val="auto"/>
        </w:rPr>
        <w:t>The listing of osimertinib will displace platinum-based chemotherapy to a further line setting.</w:t>
      </w:r>
    </w:p>
    <w:p w:rsidR="003657A4" w:rsidRPr="00536F4D" w:rsidRDefault="003657A4" w:rsidP="003657A4">
      <w:pPr>
        <w:pStyle w:val="ESHeading1"/>
      </w:pPr>
      <w:bookmarkStart w:id="4" w:name="_Toc492390262"/>
      <w:r w:rsidRPr="00536F4D">
        <w:t>Requested listing</w:t>
      </w:r>
      <w:bookmarkEnd w:id="3"/>
      <w:bookmarkEnd w:id="4"/>
    </w:p>
    <w:p w:rsidR="002063E1" w:rsidRPr="00D7141B" w:rsidRDefault="002063E1" w:rsidP="002063E1">
      <w:pPr>
        <w:pStyle w:val="ListParagraph"/>
        <w:ind w:left="709" w:hanging="709"/>
      </w:pPr>
      <w:bookmarkStart w:id="5" w:name="_Toc490140969"/>
      <w:r w:rsidRPr="00D7141B">
        <w:t>Suggestions and additions proposed by the Secretariat to the requested listing are added in italics and suggested deletions are crossed out with strikethrough.</w:t>
      </w:r>
    </w:p>
    <w:tbl>
      <w:tblPr>
        <w:tblW w:w="9214" w:type="dxa"/>
        <w:tblInd w:w="108" w:type="dxa"/>
        <w:tblLayout w:type="fixed"/>
        <w:tblLook w:val="0000" w:firstRow="0" w:lastRow="0" w:firstColumn="0" w:lastColumn="0" w:noHBand="0" w:noVBand="0"/>
      </w:tblPr>
      <w:tblGrid>
        <w:gridCol w:w="2552"/>
        <w:gridCol w:w="709"/>
        <w:gridCol w:w="567"/>
        <w:gridCol w:w="850"/>
        <w:gridCol w:w="1701"/>
        <w:gridCol w:w="1559"/>
        <w:gridCol w:w="1276"/>
      </w:tblGrid>
      <w:tr w:rsidR="002063E1" w:rsidRPr="00260CE3" w:rsidTr="00A34CAD">
        <w:trPr>
          <w:cantSplit/>
          <w:trHeight w:val="20"/>
        </w:trPr>
        <w:tc>
          <w:tcPr>
            <w:tcW w:w="3261" w:type="dxa"/>
            <w:gridSpan w:val="2"/>
            <w:tcBorders>
              <w:bottom w:val="single" w:sz="4" w:space="0" w:color="auto"/>
            </w:tcBorders>
          </w:tcPr>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lastRenderedPageBreak/>
              <w:t>Name, Restriction,</w:t>
            </w:r>
          </w:p>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Max.</w:t>
            </w:r>
          </w:p>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№.of</w:t>
            </w:r>
          </w:p>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2063E1" w:rsidRPr="00260CE3" w:rsidRDefault="002063E1" w:rsidP="00A34CAD">
            <w:pPr>
              <w:keepNext/>
              <w:spacing w:before="0" w:after="0"/>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2063E1" w:rsidRPr="00260CE3" w:rsidTr="00A34CAD">
        <w:trPr>
          <w:cantSplit/>
          <w:trHeight w:val="20"/>
        </w:trPr>
        <w:tc>
          <w:tcPr>
            <w:tcW w:w="3261" w:type="dxa"/>
            <w:gridSpan w:val="2"/>
          </w:tcPr>
          <w:p w:rsidR="002063E1" w:rsidRPr="00260CE3" w:rsidRDefault="002063E1" w:rsidP="00A34CAD">
            <w:pPr>
              <w:keepNext/>
              <w:spacing w:before="0" w:after="0"/>
              <w:ind w:left="-108"/>
              <w:rPr>
                <w:rFonts w:ascii="Arial Narrow" w:hAnsi="Arial Narrow" w:cs="Arial"/>
                <w:sz w:val="20"/>
                <w:szCs w:val="20"/>
              </w:rPr>
            </w:pPr>
            <w:r>
              <w:rPr>
                <w:rFonts w:ascii="Arial Narrow" w:hAnsi="Arial Narrow" w:cs="Arial"/>
                <w:smallCaps/>
                <w:sz w:val="20"/>
                <w:szCs w:val="20"/>
              </w:rPr>
              <w:t>Osimertinib</w:t>
            </w:r>
          </w:p>
          <w:p w:rsidR="002063E1" w:rsidRDefault="002063E1" w:rsidP="00A34CAD">
            <w:pPr>
              <w:keepNext/>
              <w:spacing w:before="0" w:after="0"/>
              <w:ind w:left="-108"/>
              <w:rPr>
                <w:rFonts w:ascii="Arial Narrow" w:hAnsi="Arial Narrow" w:cs="Arial"/>
                <w:sz w:val="20"/>
                <w:szCs w:val="20"/>
              </w:rPr>
            </w:pPr>
            <w:r>
              <w:rPr>
                <w:rFonts w:ascii="Arial Narrow" w:hAnsi="Arial Narrow" w:cs="Arial"/>
                <w:sz w:val="20"/>
                <w:szCs w:val="20"/>
              </w:rPr>
              <w:t>80 </w:t>
            </w:r>
            <w:r w:rsidRPr="008C6A41">
              <w:rPr>
                <w:rFonts w:ascii="Arial Narrow" w:hAnsi="Arial Narrow" w:cs="Arial"/>
                <w:sz w:val="20"/>
                <w:szCs w:val="20"/>
              </w:rPr>
              <w:t>mg tablet, 30</w:t>
            </w:r>
          </w:p>
          <w:p w:rsidR="002063E1" w:rsidRPr="00260CE3" w:rsidRDefault="002063E1" w:rsidP="00A34CAD">
            <w:pPr>
              <w:keepNext/>
              <w:spacing w:before="0" w:after="0"/>
              <w:ind w:left="-108"/>
              <w:rPr>
                <w:rFonts w:ascii="Arial Narrow" w:hAnsi="Arial Narrow" w:cs="Arial"/>
                <w:sz w:val="20"/>
                <w:szCs w:val="20"/>
              </w:rPr>
            </w:pPr>
          </w:p>
        </w:tc>
        <w:tc>
          <w:tcPr>
            <w:tcW w:w="567" w:type="dxa"/>
          </w:tcPr>
          <w:p w:rsidR="002063E1" w:rsidRPr="00260CE3" w:rsidRDefault="002063E1" w:rsidP="00A34CAD">
            <w:pPr>
              <w:keepNext/>
              <w:spacing w:before="0" w:after="0"/>
              <w:ind w:left="-108"/>
              <w:rPr>
                <w:rFonts w:ascii="Arial Narrow" w:hAnsi="Arial Narrow" w:cs="Arial"/>
                <w:sz w:val="20"/>
                <w:szCs w:val="20"/>
              </w:rPr>
            </w:pPr>
          </w:p>
          <w:p w:rsidR="002063E1" w:rsidRPr="00260CE3" w:rsidRDefault="002063E1" w:rsidP="00A34CAD">
            <w:pPr>
              <w:keepNext/>
              <w:spacing w:before="0" w:after="0"/>
              <w:ind w:left="-108"/>
              <w:rPr>
                <w:rFonts w:ascii="Arial Narrow" w:hAnsi="Arial Narrow" w:cs="Arial"/>
                <w:sz w:val="20"/>
                <w:szCs w:val="20"/>
              </w:rPr>
            </w:pPr>
            <w:r>
              <w:rPr>
                <w:rFonts w:ascii="Arial Narrow" w:hAnsi="Arial Narrow" w:cs="Arial"/>
                <w:sz w:val="20"/>
                <w:szCs w:val="20"/>
              </w:rPr>
              <w:t>1</w:t>
            </w:r>
          </w:p>
        </w:tc>
        <w:tc>
          <w:tcPr>
            <w:tcW w:w="850" w:type="dxa"/>
          </w:tcPr>
          <w:p w:rsidR="002063E1" w:rsidRDefault="002063E1" w:rsidP="00A34CAD">
            <w:pPr>
              <w:keepNext/>
              <w:spacing w:before="0" w:after="0"/>
              <w:rPr>
                <w:rFonts w:ascii="Arial Narrow" w:hAnsi="Arial Narrow" w:cs="Arial"/>
                <w:sz w:val="20"/>
                <w:szCs w:val="20"/>
              </w:rPr>
            </w:pPr>
          </w:p>
          <w:p w:rsidR="002063E1" w:rsidRPr="00260CE3" w:rsidRDefault="002063E1" w:rsidP="00A34CAD">
            <w:pPr>
              <w:keepNext/>
              <w:spacing w:before="0" w:after="0"/>
              <w:rPr>
                <w:rFonts w:ascii="Arial Narrow" w:hAnsi="Arial Narrow" w:cs="Arial"/>
                <w:sz w:val="20"/>
                <w:szCs w:val="20"/>
              </w:rPr>
            </w:pPr>
            <w:r>
              <w:rPr>
                <w:rFonts w:ascii="Arial Narrow" w:hAnsi="Arial Narrow" w:cs="Arial"/>
                <w:sz w:val="20"/>
                <w:szCs w:val="20"/>
              </w:rPr>
              <w:t>5</w:t>
            </w:r>
          </w:p>
        </w:tc>
        <w:tc>
          <w:tcPr>
            <w:tcW w:w="1701" w:type="dxa"/>
          </w:tcPr>
          <w:p w:rsidR="002063E1" w:rsidRPr="00260CE3" w:rsidRDefault="002063E1" w:rsidP="00A34CAD">
            <w:pPr>
              <w:keepNext/>
              <w:spacing w:before="0" w:after="0"/>
              <w:ind w:left="-108"/>
              <w:rPr>
                <w:rFonts w:ascii="Arial Narrow" w:hAnsi="Arial Narrow" w:cs="Arial"/>
                <w:sz w:val="20"/>
                <w:szCs w:val="20"/>
              </w:rPr>
            </w:pPr>
          </w:p>
          <w:p w:rsidR="002063E1"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w:t>
            </w:r>
            <w:r w:rsidR="000B2D46">
              <w:rPr>
                <w:rFonts w:ascii="Arial Narrow" w:hAnsi="Arial Narrow" w:cs="Arial"/>
                <w:noProof/>
                <w:color w:val="000000"/>
                <w:sz w:val="20"/>
                <w:szCs w:val="20"/>
                <w:highlight w:val="black"/>
              </w:rPr>
              <w:t>'''''''''''''''''''''</w:t>
            </w:r>
            <w:r>
              <w:rPr>
                <w:rFonts w:ascii="Arial Narrow" w:hAnsi="Arial Narrow" w:cs="Arial"/>
                <w:sz w:val="20"/>
                <w:szCs w:val="20"/>
              </w:rPr>
              <w:t xml:space="preserve"> (published)</w:t>
            </w:r>
          </w:p>
          <w:p w:rsidR="002063E1" w:rsidRPr="00260CE3" w:rsidRDefault="002063E1" w:rsidP="00A34CAD">
            <w:pPr>
              <w:keepNext/>
              <w:spacing w:before="0" w:after="0"/>
              <w:ind w:left="-108"/>
              <w:rPr>
                <w:rFonts w:ascii="Arial Narrow" w:hAnsi="Arial Narrow" w:cs="Arial"/>
                <w:sz w:val="20"/>
                <w:szCs w:val="20"/>
              </w:rPr>
            </w:pPr>
            <w:r>
              <w:rPr>
                <w:rFonts w:ascii="Arial Narrow" w:hAnsi="Arial Narrow" w:cs="Arial"/>
                <w:sz w:val="20"/>
                <w:szCs w:val="20"/>
              </w:rPr>
              <w:t>$</w:t>
            </w:r>
            <w:r w:rsidR="000B2D46">
              <w:rPr>
                <w:rFonts w:ascii="Arial Narrow" w:hAnsi="Arial Narrow" w:cs="Arial"/>
                <w:noProof/>
                <w:color w:val="000000"/>
                <w:sz w:val="20"/>
                <w:szCs w:val="20"/>
                <w:highlight w:val="black"/>
              </w:rPr>
              <w:t>''''''''''''''''''''''</w:t>
            </w:r>
            <w:r>
              <w:rPr>
                <w:rFonts w:ascii="Arial Narrow" w:hAnsi="Arial Narrow" w:cs="Arial"/>
                <w:sz w:val="20"/>
                <w:szCs w:val="20"/>
              </w:rPr>
              <w:t xml:space="preserve"> (effective)</w:t>
            </w:r>
          </w:p>
        </w:tc>
        <w:tc>
          <w:tcPr>
            <w:tcW w:w="1559" w:type="dxa"/>
          </w:tcPr>
          <w:p w:rsidR="002063E1" w:rsidRPr="00260CE3" w:rsidRDefault="002063E1" w:rsidP="00A34CAD">
            <w:pPr>
              <w:keepNext/>
              <w:spacing w:before="0" w:after="0"/>
              <w:rPr>
                <w:rFonts w:ascii="Arial Narrow" w:hAnsi="Arial Narrow" w:cs="Arial"/>
                <w:sz w:val="20"/>
                <w:szCs w:val="20"/>
              </w:rPr>
            </w:pPr>
            <w:r>
              <w:rPr>
                <w:rFonts w:ascii="Arial Narrow" w:hAnsi="Arial Narrow" w:cs="Arial"/>
                <w:sz w:val="20"/>
                <w:szCs w:val="20"/>
              </w:rPr>
              <w:t>Tagrisso®</w:t>
            </w:r>
          </w:p>
        </w:tc>
        <w:tc>
          <w:tcPr>
            <w:tcW w:w="1276" w:type="dxa"/>
          </w:tcPr>
          <w:p w:rsidR="002063E1" w:rsidRPr="00260CE3" w:rsidRDefault="002063E1" w:rsidP="00A34CAD">
            <w:pPr>
              <w:keepNext/>
              <w:spacing w:before="0" w:after="0"/>
              <w:rPr>
                <w:rFonts w:ascii="Arial Narrow" w:hAnsi="Arial Narrow" w:cs="Arial"/>
                <w:sz w:val="20"/>
                <w:szCs w:val="20"/>
              </w:rPr>
            </w:pPr>
            <w:r w:rsidRPr="008C6A41">
              <w:rPr>
                <w:rFonts w:ascii="Arial Narrow" w:hAnsi="Arial Narrow" w:cs="Arial"/>
                <w:sz w:val="20"/>
                <w:szCs w:val="20"/>
              </w:rPr>
              <w:t>AstraZeneca Pty Ltd</w:t>
            </w:r>
          </w:p>
        </w:tc>
      </w:tr>
      <w:tr w:rsidR="002063E1" w:rsidRPr="00260CE3" w:rsidTr="00A34CAD">
        <w:trPr>
          <w:cantSplit/>
          <w:trHeight w:val="20"/>
        </w:trPr>
        <w:tc>
          <w:tcPr>
            <w:tcW w:w="9214" w:type="dxa"/>
            <w:gridSpan w:val="7"/>
            <w:tcBorders>
              <w:bottom w:val="single" w:sz="4" w:space="0" w:color="auto"/>
            </w:tcBorders>
          </w:tcPr>
          <w:p w:rsidR="002063E1" w:rsidRPr="00260CE3" w:rsidRDefault="002063E1" w:rsidP="00A34CAD">
            <w:pPr>
              <w:spacing w:before="0" w:after="0"/>
              <w:rPr>
                <w:rFonts w:ascii="Arial Narrow" w:hAnsi="Arial Narrow" w:cs="Arial"/>
                <w:sz w:val="20"/>
                <w:szCs w:val="20"/>
              </w:rPr>
            </w:pP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Category / Program</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sz w:val="20"/>
                <w:szCs w:val="20"/>
              </w:rPr>
            </w:pPr>
            <w:r w:rsidRPr="00260CE3">
              <w:rPr>
                <w:rFonts w:ascii="Arial Narrow" w:hAnsi="Arial Narrow" w:cs="Arial"/>
                <w:sz w:val="20"/>
                <w:szCs w:val="20"/>
              </w:rPr>
              <w:t>GENERAL – General Schedule (Code GE)</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2D0AA2">
            <w:pPr>
              <w:spacing w:before="0" w:after="0"/>
              <w:rPr>
                <w:rFonts w:ascii="Arial Narrow" w:hAnsi="Arial Narrow" w:cs="Arial"/>
                <w:b/>
                <w:sz w:val="20"/>
                <w:szCs w:val="20"/>
              </w:rPr>
            </w:pPr>
            <w:r w:rsidRPr="00260CE3">
              <w:rPr>
                <w:rFonts w:ascii="Arial Narrow" w:hAnsi="Arial Narrow" w:cs="Arial"/>
                <w:b/>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260CE3" w:rsidRDefault="002063E1" w:rsidP="002D0AA2">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2D0AA2">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Severity:</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8C6A41" w:rsidRDefault="002063E1" w:rsidP="00A34CAD">
            <w:pPr>
              <w:spacing w:before="0" w:after="0"/>
              <w:rPr>
                <w:rFonts w:ascii="Arial Narrow" w:hAnsi="Arial Narrow"/>
                <w:sz w:val="20"/>
              </w:rPr>
            </w:pPr>
            <w:r w:rsidRPr="008C6A41">
              <w:rPr>
                <w:rFonts w:ascii="Arial Narrow" w:hAnsi="Arial Narrow"/>
                <w:sz w:val="20"/>
              </w:rPr>
              <w:t>Locally advanced (Stage IIIB) or metastatic (Stage IV)</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8C6A41" w:rsidRDefault="002063E1" w:rsidP="00A34CAD">
            <w:pPr>
              <w:spacing w:before="0" w:after="0"/>
              <w:rPr>
                <w:rFonts w:ascii="Arial Narrow" w:hAnsi="Arial Narrow"/>
                <w:sz w:val="20"/>
              </w:rPr>
            </w:pPr>
            <w:r w:rsidRPr="008C6A41">
              <w:rPr>
                <w:rFonts w:ascii="Arial Narrow" w:hAnsi="Arial Narrow"/>
                <w:sz w:val="20"/>
              </w:rPr>
              <w:t>Non-small cell lung cancer (NSCLC)</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AE058A" w:rsidRDefault="002063E1" w:rsidP="00A34CAD">
            <w:pPr>
              <w:spacing w:before="0" w:after="0"/>
              <w:rPr>
                <w:rFonts w:ascii="Arial Narrow" w:hAnsi="Arial Narrow" w:cs="Arial"/>
                <w:i/>
                <w:sz w:val="20"/>
                <w:szCs w:val="20"/>
              </w:rPr>
            </w:pPr>
            <w:r w:rsidRPr="00260CE3">
              <w:rPr>
                <w:rFonts w:ascii="Arial Narrow" w:hAnsi="Arial Narrow" w:cs="Arial"/>
                <w:b/>
                <w:sz w:val="20"/>
                <w:szCs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8C6A41" w:rsidRDefault="002063E1" w:rsidP="00A34CAD">
            <w:pPr>
              <w:spacing w:before="0" w:after="0"/>
              <w:rPr>
                <w:rFonts w:ascii="Arial Narrow" w:hAnsi="Arial Narrow" w:cs="Arial"/>
                <w:sz w:val="20"/>
                <w:szCs w:val="20"/>
              </w:rPr>
            </w:pPr>
            <w:r w:rsidRPr="008C6A41">
              <w:rPr>
                <w:rFonts w:ascii="Arial Narrow" w:hAnsi="Arial Narrow" w:cs="Arial"/>
                <w:sz w:val="20"/>
                <w:szCs w:val="20"/>
              </w:rPr>
              <w:t>Locally advanced (Stage III</w:t>
            </w:r>
            <w:r>
              <w:rPr>
                <w:rFonts w:ascii="Arial Narrow" w:hAnsi="Arial Narrow" w:cs="Arial"/>
                <w:sz w:val="20"/>
                <w:szCs w:val="20"/>
              </w:rPr>
              <w:t>B</w:t>
            </w:r>
            <w:r w:rsidRPr="008C6A41">
              <w:rPr>
                <w:rFonts w:ascii="Arial Narrow" w:hAnsi="Arial Narrow" w:cs="Arial"/>
                <w:sz w:val="20"/>
                <w:szCs w:val="20"/>
              </w:rPr>
              <w:t>) or metastatic (Stage IV) non-small cell lung cancer</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i/>
                <w:sz w:val="20"/>
                <w:szCs w:val="20"/>
              </w:rPr>
            </w:pPr>
            <w:r w:rsidRPr="00260CE3">
              <w:rPr>
                <w:rFonts w:ascii="Arial Narrow" w:hAnsi="Arial Narrow" w:cs="Arial"/>
                <w:b/>
                <w:sz w:val="20"/>
                <w:szCs w:val="20"/>
              </w:rPr>
              <w:t>Treatment phase:</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sz w:val="20"/>
                <w:szCs w:val="20"/>
              </w:rPr>
            </w:pPr>
            <w:r>
              <w:rPr>
                <w:rFonts w:ascii="Arial Narrow" w:hAnsi="Arial Narrow" w:cs="Arial"/>
                <w:sz w:val="20"/>
                <w:szCs w:val="20"/>
              </w:rPr>
              <w:t>Initial</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9E42F5" w:rsidRDefault="002063E1" w:rsidP="00A34CAD">
            <w:pPr>
              <w:spacing w:before="0" w:after="0"/>
              <w:rPr>
                <w:rFonts w:ascii="Arial Narrow" w:hAnsi="Arial Narrow" w:cs="Arial"/>
                <w:i/>
                <w:sz w:val="20"/>
                <w:szCs w:val="20"/>
              </w:rPr>
            </w:pPr>
            <w:r w:rsidRPr="009E42F5">
              <w:rPr>
                <w:rFonts w:ascii="Arial Narrow" w:hAnsi="Arial Narrow" w:cs="Arial"/>
                <w:b/>
                <w:sz w:val="20"/>
                <w:szCs w:val="20"/>
              </w:rPr>
              <w:t>Restriction Level / Method:</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9E42F5" w:rsidRDefault="002063E1" w:rsidP="00A34CAD">
            <w:pPr>
              <w:spacing w:before="0" w:after="0"/>
              <w:rPr>
                <w:rFonts w:ascii="Arial Narrow" w:hAnsi="Arial Narrow" w:cs="Arial"/>
                <w:sz w:val="20"/>
                <w:szCs w:val="20"/>
              </w:rPr>
            </w:pPr>
            <w:r w:rsidRPr="009E42F5">
              <w:rPr>
                <w:rFonts w:ascii="Arial Narrow" w:hAnsi="Arial Narrow" w:cs="Arial"/>
                <w:sz w:val="20"/>
                <w:szCs w:val="20"/>
              </w:rPr>
              <w:fldChar w:fldCharType="begin">
                <w:ffData>
                  <w:name w:val="Check1"/>
                  <w:enabled/>
                  <w:calcOnExit w:val="0"/>
                  <w:checkBox>
                    <w:sizeAuto/>
                    <w:default w:val="0"/>
                  </w:checkBox>
                </w:ffData>
              </w:fldChar>
            </w:r>
            <w:r w:rsidRPr="009E42F5">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9E42F5">
              <w:rPr>
                <w:rFonts w:ascii="Arial Narrow" w:hAnsi="Arial Narrow" w:cs="Arial"/>
                <w:sz w:val="20"/>
                <w:szCs w:val="20"/>
              </w:rPr>
              <w:fldChar w:fldCharType="end"/>
            </w:r>
            <w:r w:rsidRPr="009E42F5">
              <w:rPr>
                <w:rFonts w:ascii="Arial Narrow" w:hAnsi="Arial Narrow" w:cs="Arial"/>
                <w:sz w:val="20"/>
                <w:szCs w:val="20"/>
              </w:rPr>
              <w:t>Restricted benefit</w:t>
            </w:r>
          </w:p>
          <w:p w:rsidR="002063E1" w:rsidRPr="009E42F5" w:rsidRDefault="002063E1" w:rsidP="00A34CAD">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Pr>
                <w:rFonts w:ascii="Arial Narrow" w:hAnsi="Arial Narrow" w:cs="Arial"/>
                <w:sz w:val="20"/>
                <w:szCs w:val="20"/>
              </w:rPr>
              <w:fldChar w:fldCharType="end"/>
            </w:r>
            <w:r w:rsidRPr="004D56BD">
              <w:rPr>
                <w:rFonts w:ascii="Arial Narrow" w:hAnsi="Arial Narrow" w:cs="Arial"/>
                <w:i/>
                <w:sz w:val="20"/>
                <w:szCs w:val="20"/>
              </w:rPr>
              <w:t>Authority Required - In Writing</w:t>
            </w:r>
          </w:p>
          <w:p w:rsidR="002063E1" w:rsidRPr="009E42F5" w:rsidRDefault="002063E1" w:rsidP="00A34CAD">
            <w:pPr>
              <w:spacing w:before="0" w:after="0"/>
              <w:rPr>
                <w:rFonts w:ascii="Arial Narrow" w:hAnsi="Arial Narrow" w:cs="Arial"/>
                <w:sz w:val="20"/>
                <w:szCs w:val="20"/>
              </w:rPr>
            </w:pPr>
            <w:r w:rsidRPr="009E42F5">
              <w:rPr>
                <w:rFonts w:ascii="Arial Narrow" w:hAnsi="Arial Narrow" w:cs="Arial"/>
                <w:sz w:val="20"/>
                <w:szCs w:val="20"/>
              </w:rPr>
              <w:fldChar w:fldCharType="begin">
                <w:ffData>
                  <w:name w:val="Check3"/>
                  <w:enabled/>
                  <w:calcOnExit w:val="0"/>
                  <w:checkBox>
                    <w:sizeAuto/>
                    <w:default w:val="1"/>
                  </w:checkBox>
                </w:ffData>
              </w:fldChar>
            </w:r>
            <w:bookmarkStart w:id="6" w:name="Check3"/>
            <w:r w:rsidRPr="009E42F5">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9E42F5">
              <w:rPr>
                <w:rFonts w:ascii="Arial Narrow" w:hAnsi="Arial Narrow" w:cs="Arial"/>
                <w:sz w:val="20"/>
                <w:szCs w:val="20"/>
              </w:rPr>
              <w:fldChar w:fldCharType="end"/>
            </w:r>
            <w:bookmarkEnd w:id="6"/>
            <w:r w:rsidRPr="009E42F5">
              <w:rPr>
                <w:rFonts w:ascii="Arial Narrow" w:hAnsi="Arial Narrow" w:cs="Arial"/>
                <w:sz w:val="20"/>
                <w:szCs w:val="20"/>
              </w:rPr>
              <w:t>Authority Required - Telephone</w:t>
            </w:r>
          </w:p>
          <w:p w:rsidR="002063E1" w:rsidRPr="009E42F5" w:rsidRDefault="002063E1" w:rsidP="00A34CAD">
            <w:pPr>
              <w:spacing w:before="0" w:after="0"/>
              <w:rPr>
                <w:rFonts w:ascii="Arial Narrow" w:hAnsi="Arial Narrow" w:cs="Arial"/>
                <w:sz w:val="20"/>
                <w:szCs w:val="20"/>
              </w:rPr>
            </w:pPr>
            <w:r w:rsidRPr="009E42F5">
              <w:rPr>
                <w:rFonts w:ascii="Arial Narrow" w:hAnsi="Arial Narrow" w:cs="Arial"/>
                <w:sz w:val="20"/>
                <w:szCs w:val="20"/>
              </w:rPr>
              <w:fldChar w:fldCharType="begin">
                <w:ffData>
                  <w:name w:val=""/>
                  <w:enabled/>
                  <w:calcOnExit w:val="0"/>
                  <w:checkBox>
                    <w:sizeAuto/>
                    <w:default w:val="0"/>
                  </w:checkBox>
                </w:ffData>
              </w:fldChar>
            </w:r>
            <w:r w:rsidRPr="009E42F5">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9E42F5">
              <w:rPr>
                <w:rFonts w:ascii="Arial Narrow" w:hAnsi="Arial Narrow" w:cs="Arial"/>
                <w:sz w:val="20"/>
                <w:szCs w:val="20"/>
              </w:rPr>
              <w:fldChar w:fldCharType="end"/>
            </w:r>
            <w:r w:rsidRPr="009E42F5">
              <w:rPr>
                <w:rFonts w:ascii="Arial Narrow" w:hAnsi="Arial Narrow" w:cs="Arial"/>
                <w:sz w:val="20"/>
                <w:szCs w:val="20"/>
              </w:rPr>
              <w:t>Authority Required - Emergency</w:t>
            </w:r>
          </w:p>
          <w:p w:rsidR="002063E1" w:rsidRPr="009E42F5" w:rsidRDefault="002063E1" w:rsidP="00A34CAD">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Pr>
                <w:rFonts w:ascii="Arial Narrow" w:hAnsi="Arial Narrow" w:cs="Arial"/>
                <w:sz w:val="20"/>
                <w:szCs w:val="20"/>
              </w:rPr>
              <w:fldChar w:fldCharType="end"/>
            </w:r>
            <w:r w:rsidRPr="004D56BD">
              <w:rPr>
                <w:rFonts w:ascii="Arial Narrow" w:hAnsi="Arial Narrow" w:cs="Arial"/>
                <w:i/>
                <w:sz w:val="20"/>
                <w:szCs w:val="20"/>
              </w:rPr>
              <w:t>Authority Required - Electronic</w:t>
            </w:r>
          </w:p>
          <w:p w:rsidR="002063E1" w:rsidRPr="009E42F5" w:rsidRDefault="002063E1" w:rsidP="00A34CAD">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Pr>
                <w:rFonts w:ascii="Arial Narrow" w:hAnsi="Arial Narrow" w:cs="Arial"/>
                <w:sz w:val="20"/>
                <w:szCs w:val="20"/>
              </w:rPr>
              <w:fldChar w:fldCharType="end"/>
            </w:r>
            <w:r w:rsidRPr="009E42F5">
              <w:rPr>
                <w:rFonts w:ascii="Arial Narrow" w:hAnsi="Arial Narrow" w:cs="Arial"/>
                <w:sz w:val="20"/>
                <w:szCs w:val="20"/>
              </w:rPr>
              <w:t>Streamlined</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sz w:val="20"/>
                <w:szCs w:val="20"/>
              </w:rPr>
            </w:pPr>
            <w:r w:rsidRPr="00260CE3">
              <w:rPr>
                <w:rFonts w:ascii="Arial Narrow" w:hAnsi="Arial Narrow" w:cs="Arial"/>
                <w:b/>
                <w:sz w:val="20"/>
                <w:szCs w:val="20"/>
              </w:rPr>
              <w:t>Treatment criteria:</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C45E58" w:rsidRDefault="002063E1" w:rsidP="00A34CAD">
            <w:pPr>
              <w:spacing w:before="0" w:after="0"/>
              <w:rPr>
                <w:rFonts w:ascii="Arial Narrow" w:hAnsi="Arial Narrow" w:cs="Arial"/>
                <w:strike/>
                <w:sz w:val="20"/>
                <w:szCs w:val="20"/>
              </w:rPr>
            </w:pPr>
            <w:r w:rsidRPr="00C45E58">
              <w:rPr>
                <w:rFonts w:ascii="Arial Narrow" w:hAnsi="Arial Narrow" w:cs="Arial"/>
                <w:strike/>
                <w:sz w:val="20"/>
                <w:szCs w:val="20"/>
              </w:rPr>
              <w:t>The treatment must be as monotherapy</w:t>
            </w:r>
          </w:p>
          <w:p w:rsidR="002063E1" w:rsidRPr="00C45E58" w:rsidRDefault="002063E1" w:rsidP="00A34CAD">
            <w:pPr>
              <w:spacing w:before="0" w:after="0"/>
              <w:rPr>
                <w:rFonts w:ascii="Arial Narrow" w:hAnsi="Arial Narrow" w:cs="Arial"/>
                <w:strike/>
                <w:sz w:val="20"/>
                <w:szCs w:val="20"/>
              </w:rPr>
            </w:pPr>
            <w:r w:rsidRPr="00C45E58">
              <w:rPr>
                <w:rFonts w:ascii="Arial Narrow" w:hAnsi="Arial Narrow" w:cs="Arial"/>
                <w:strike/>
                <w:sz w:val="20"/>
                <w:szCs w:val="20"/>
              </w:rPr>
              <w:t>AND</w:t>
            </w:r>
          </w:p>
          <w:p w:rsidR="002063E1" w:rsidRPr="00260CE3" w:rsidRDefault="002063E1" w:rsidP="00A34CAD">
            <w:pPr>
              <w:spacing w:before="0" w:after="0"/>
              <w:rPr>
                <w:rFonts w:ascii="Arial Narrow" w:hAnsi="Arial Narrow" w:cs="Arial"/>
                <w:sz w:val="20"/>
                <w:szCs w:val="20"/>
              </w:rPr>
            </w:pPr>
            <w:r w:rsidRPr="00C45E58">
              <w:rPr>
                <w:rFonts w:ascii="Arial Narrow" w:hAnsi="Arial Narrow" w:cs="Arial"/>
                <w:strike/>
                <w:sz w:val="20"/>
                <w:szCs w:val="20"/>
              </w:rPr>
              <w:t>Patient must have received previous treatment with an epidermal growth factor receptor (EGFR) tyrosine kinase inhibitor (TKI)</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sz w:val="20"/>
                <w:szCs w:val="20"/>
              </w:rPr>
            </w:pPr>
            <w:r w:rsidRPr="00260CE3">
              <w:rPr>
                <w:rFonts w:ascii="Arial Narrow" w:hAnsi="Arial Narrow" w:cs="Arial"/>
                <w:b/>
                <w:sz w:val="20"/>
                <w:szCs w:val="20"/>
              </w:rPr>
              <w:t>Clinical criteria:</w:t>
            </w:r>
          </w:p>
        </w:tc>
        <w:tc>
          <w:tcPr>
            <w:tcW w:w="6662" w:type="dxa"/>
            <w:gridSpan w:val="6"/>
            <w:tcBorders>
              <w:top w:val="single" w:sz="4" w:space="0" w:color="auto"/>
              <w:left w:val="single" w:sz="4" w:space="0" w:color="auto"/>
              <w:bottom w:val="single" w:sz="4" w:space="0" w:color="auto"/>
              <w:right w:val="single" w:sz="4" w:space="0" w:color="auto"/>
            </w:tcBorders>
          </w:tcPr>
          <w:p w:rsidR="002063E1" w:rsidRDefault="002063E1" w:rsidP="00A34CAD">
            <w:pPr>
              <w:spacing w:before="0" w:after="0"/>
              <w:rPr>
                <w:rFonts w:ascii="Arial Narrow" w:hAnsi="Arial Narrow" w:cs="Arial"/>
                <w:i/>
                <w:sz w:val="20"/>
                <w:szCs w:val="20"/>
              </w:rPr>
            </w:pPr>
            <w:r w:rsidRPr="00C45E58">
              <w:rPr>
                <w:rFonts w:ascii="Arial Narrow" w:hAnsi="Arial Narrow" w:cs="Arial"/>
                <w:i/>
                <w:sz w:val="20"/>
                <w:szCs w:val="20"/>
              </w:rPr>
              <w:t>The treatment must be as monotherapy</w:t>
            </w:r>
            <w:r>
              <w:rPr>
                <w:rFonts w:ascii="Arial Narrow" w:hAnsi="Arial Narrow" w:cs="Arial"/>
                <w:i/>
                <w:sz w:val="20"/>
                <w:szCs w:val="20"/>
              </w:rPr>
              <w:t>,</w:t>
            </w:r>
          </w:p>
          <w:p w:rsidR="002063E1" w:rsidRDefault="002063E1" w:rsidP="00A34CAD">
            <w:pPr>
              <w:spacing w:before="0" w:after="0"/>
              <w:rPr>
                <w:rFonts w:ascii="Arial Narrow" w:hAnsi="Arial Narrow" w:cs="Arial"/>
                <w:i/>
                <w:sz w:val="20"/>
                <w:szCs w:val="20"/>
              </w:rPr>
            </w:pPr>
            <w:r>
              <w:rPr>
                <w:rFonts w:ascii="Arial Narrow" w:hAnsi="Arial Narrow" w:cs="Arial"/>
                <w:i/>
                <w:sz w:val="20"/>
                <w:szCs w:val="20"/>
              </w:rPr>
              <w:t>AND</w:t>
            </w:r>
          </w:p>
          <w:p w:rsidR="002063E1" w:rsidRPr="00260CE3" w:rsidRDefault="002063E1" w:rsidP="00A34CAD">
            <w:pPr>
              <w:spacing w:before="0" w:after="0"/>
              <w:rPr>
                <w:rFonts w:ascii="Arial Narrow" w:hAnsi="Arial Narrow" w:cs="Arial"/>
                <w:sz w:val="20"/>
                <w:szCs w:val="20"/>
              </w:rPr>
            </w:pPr>
            <w:r>
              <w:rPr>
                <w:rFonts w:ascii="Arial Narrow" w:hAnsi="Arial Narrow" w:cs="Arial"/>
                <w:i/>
                <w:sz w:val="20"/>
                <w:szCs w:val="20"/>
              </w:rPr>
              <w:t>Patient must have progressive disease following treatment with an</w:t>
            </w:r>
            <w:r w:rsidRPr="00C45E58">
              <w:rPr>
                <w:rFonts w:ascii="Arial Narrow" w:hAnsi="Arial Narrow" w:cs="Arial"/>
                <w:i/>
                <w:sz w:val="20"/>
                <w:szCs w:val="20"/>
              </w:rPr>
              <w:t xml:space="preserve"> epidermal growth factor receptor (</w:t>
            </w:r>
            <w:r w:rsidR="00B901D2" w:rsidRPr="00B901D2">
              <w:rPr>
                <w:rFonts w:ascii="Arial Narrow" w:hAnsi="Arial Narrow" w:cs="Arial"/>
                <w:i/>
                <w:sz w:val="20"/>
                <w:szCs w:val="20"/>
              </w:rPr>
              <w:t>EGFR</w:t>
            </w:r>
            <w:r w:rsidRPr="00C45E58">
              <w:rPr>
                <w:rFonts w:ascii="Arial Narrow" w:hAnsi="Arial Narrow" w:cs="Arial"/>
                <w:i/>
                <w:sz w:val="20"/>
                <w:szCs w:val="20"/>
              </w:rPr>
              <w:t>) tyrosine kinase inhibitor (TKI)</w:t>
            </w:r>
            <w:r>
              <w:rPr>
                <w:rFonts w:ascii="Arial Narrow" w:hAnsi="Arial Narrow" w:cs="Arial"/>
                <w:i/>
                <w:sz w:val="20"/>
                <w:szCs w:val="20"/>
              </w:rPr>
              <w:t>.</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sz w:val="20"/>
                <w:szCs w:val="20"/>
              </w:rPr>
            </w:pPr>
            <w:r w:rsidRPr="00260CE3">
              <w:rPr>
                <w:rFonts w:ascii="Arial Narrow" w:hAnsi="Arial Narrow" w:cs="Arial"/>
                <w:b/>
                <w:sz w:val="20"/>
                <w:szCs w:val="20"/>
              </w:rPr>
              <w:t>Population criteria:</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1C5260" w:rsidRDefault="002063E1" w:rsidP="00A34CAD">
            <w:pPr>
              <w:spacing w:before="0" w:after="0"/>
              <w:rPr>
                <w:rFonts w:ascii="Arial Narrow" w:hAnsi="Arial Narrow" w:cs="Arial"/>
                <w:i/>
                <w:sz w:val="20"/>
                <w:szCs w:val="20"/>
              </w:rPr>
            </w:pPr>
            <w:r w:rsidRPr="008C6A41">
              <w:rPr>
                <w:rFonts w:ascii="Arial Narrow" w:hAnsi="Arial Narrow" w:cs="Arial"/>
                <w:sz w:val="20"/>
                <w:szCs w:val="20"/>
              </w:rPr>
              <w:t xml:space="preserve">Patient must have evidence of a </w:t>
            </w:r>
            <w:r w:rsidR="00B901D2" w:rsidRPr="00B901D2">
              <w:rPr>
                <w:rFonts w:ascii="Arial Narrow" w:hAnsi="Arial Narrow" w:cs="Arial"/>
                <w:i/>
                <w:sz w:val="20"/>
                <w:szCs w:val="20"/>
              </w:rPr>
              <w:t>T790M</w:t>
            </w:r>
            <w:r w:rsidRPr="008C6A41">
              <w:rPr>
                <w:rFonts w:ascii="Arial Narrow" w:hAnsi="Arial Narrow" w:cs="Arial"/>
                <w:sz w:val="20"/>
                <w:szCs w:val="20"/>
              </w:rPr>
              <w:t xml:space="preserve"> mutation of the </w:t>
            </w:r>
            <w:r w:rsidR="00B901D2" w:rsidRPr="00B901D2">
              <w:rPr>
                <w:rFonts w:ascii="Arial Narrow" w:hAnsi="Arial Narrow" w:cs="Arial"/>
                <w:i/>
                <w:sz w:val="20"/>
                <w:szCs w:val="20"/>
              </w:rPr>
              <w:t>EGFR</w:t>
            </w:r>
            <w:r w:rsidRPr="008C6A41">
              <w:rPr>
                <w:rFonts w:ascii="Arial Narrow" w:hAnsi="Arial Narrow" w:cs="Arial"/>
                <w:sz w:val="20"/>
                <w:szCs w:val="20"/>
              </w:rPr>
              <w:t xml:space="preserve"> gene</w:t>
            </w:r>
            <w:r>
              <w:rPr>
                <w:rFonts w:ascii="Arial Narrow" w:hAnsi="Arial Narrow" w:cs="Arial"/>
                <w:sz w:val="20"/>
                <w:szCs w:val="20"/>
              </w:rPr>
              <w:t xml:space="preserve"> </w:t>
            </w:r>
            <w:r>
              <w:rPr>
                <w:rFonts w:ascii="Arial Narrow" w:hAnsi="Arial Narrow" w:cs="Arial"/>
                <w:i/>
                <w:sz w:val="20"/>
                <w:szCs w:val="20"/>
              </w:rPr>
              <w:t>in tumour tissue material</w:t>
            </w:r>
            <w:r w:rsidRPr="00B71F55">
              <w:rPr>
                <w:rFonts w:ascii="Arial Narrow" w:hAnsi="Arial Narrow" w:cs="Arial"/>
                <w:sz w:val="20"/>
                <w:szCs w:val="20"/>
              </w:rPr>
              <w:t xml:space="preserve"> following progression on or after an </w:t>
            </w:r>
            <w:r w:rsidR="00B901D2" w:rsidRPr="00651569">
              <w:rPr>
                <w:rFonts w:ascii="Arial Narrow" w:hAnsi="Arial Narrow" w:cs="Arial"/>
                <w:sz w:val="20"/>
                <w:szCs w:val="20"/>
              </w:rPr>
              <w:t>EGFR</w:t>
            </w:r>
            <w:r w:rsidRPr="00B71F55">
              <w:rPr>
                <w:rFonts w:ascii="Arial Narrow" w:hAnsi="Arial Narrow" w:cs="Arial"/>
                <w:sz w:val="20"/>
                <w:szCs w:val="20"/>
              </w:rPr>
              <w:t xml:space="preserve"> TKI</w:t>
            </w:r>
            <w:r>
              <w:rPr>
                <w:rFonts w:ascii="Arial Narrow" w:hAnsi="Arial Narrow" w:cs="Arial"/>
                <w:sz w:val="20"/>
                <w:szCs w:val="20"/>
              </w:rPr>
              <w:t>.</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F639C7"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Administrative Advice</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C052DD" w:rsidRDefault="002063E1" w:rsidP="00A34CAD">
            <w:pPr>
              <w:spacing w:before="0" w:after="0"/>
              <w:rPr>
                <w:rFonts w:ascii="Arial Narrow" w:hAnsi="Arial Narrow"/>
                <w:i/>
                <w:sz w:val="20"/>
              </w:rPr>
            </w:pPr>
            <w:r w:rsidRPr="00C052DD">
              <w:rPr>
                <w:rFonts w:ascii="Arial Narrow" w:hAnsi="Arial Narrow"/>
                <w:i/>
                <w:sz w:val="20"/>
              </w:rPr>
              <w:t xml:space="preserve">No increase in the maximum quantity or number of units may be authorised. </w:t>
            </w:r>
          </w:p>
          <w:p w:rsidR="002063E1" w:rsidRDefault="002063E1" w:rsidP="00A34CAD">
            <w:pPr>
              <w:spacing w:before="0" w:after="0"/>
              <w:rPr>
                <w:rFonts w:ascii="Arial Narrow" w:hAnsi="Arial Narrow"/>
                <w:i/>
                <w:sz w:val="20"/>
              </w:rPr>
            </w:pPr>
            <w:r w:rsidRPr="00C052DD">
              <w:rPr>
                <w:rFonts w:ascii="Arial Narrow" w:hAnsi="Arial Narrow"/>
                <w:i/>
                <w:sz w:val="20"/>
              </w:rPr>
              <w:t xml:space="preserve">No increase in the maximum number of repeats may be authorised. </w:t>
            </w:r>
          </w:p>
          <w:p w:rsidR="002063E1" w:rsidRPr="00275D41" w:rsidRDefault="002063E1" w:rsidP="00A34CAD">
            <w:pPr>
              <w:spacing w:before="0" w:after="0"/>
              <w:rPr>
                <w:rFonts w:ascii="Arial Narrow" w:hAnsi="Arial Narrow"/>
                <w:i/>
                <w:sz w:val="20"/>
              </w:rPr>
            </w:pPr>
            <w:r>
              <w:rPr>
                <w:rFonts w:ascii="Arial Narrow" w:hAnsi="Arial Narrow" w:cs="Arial"/>
                <w:i/>
                <w:sz w:val="20"/>
                <w:szCs w:val="20"/>
              </w:rPr>
              <w:t>Special Pricing Arrangements apply.</w:t>
            </w:r>
          </w:p>
        </w:tc>
      </w:tr>
    </w:tbl>
    <w:p w:rsidR="009A5F31" w:rsidRDefault="009A5F31" w:rsidP="002063E1">
      <w:pPr>
        <w:rPr>
          <w:rFonts w:ascii="Arial" w:hAnsi="Arial" w:cs="Arial"/>
          <w:sz w:val="22"/>
        </w:rPr>
      </w:pPr>
    </w:p>
    <w:p w:rsidR="009A5F31" w:rsidRDefault="009A5F31">
      <w:pPr>
        <w:spacing w:before="0" w:line="259" w:lineRule="auto"/>
        <w:jc w:val="left"/>
        <w:rPr>
          <w:rFonts w:ascii="Arial" w:hAnsi="Arial" w:cs="Arial"/>
          <w:sz w:val="22"/>
        </w:rPr>
      </w:pPr>
      <w:r>
        <w:rPr>
          <w:rFonts w:ascii="Arial" w:hAnsi="Arial" w:cs="Arial"/>
          <w:sz w:val="22"/>
        </w:rPr>
        <w:br w:type="page"/>
      </w:r>
    </w:p>
    <w:p w:rsidR="002063E1" w:rsidRPr="00552722" w:rsidRDefault="002063E1" w:rsidP="002063E1">
      <w:pPr>
        <w:rPr>
          <w:rFonts w:ascii="Arial" w:hAnsi="Arial" w:cs="Arial"/>
          <w:sz w:val="22"/>
        </w:rPr>
      </w:pPr>
    </w:p>
    <w:tbl>
      <w:tblPr>
        <w:tblW w:w="9214" w:type="dxa"/>
        <w:tblInd w:w="108" w:type="dxa"/>
        <w:tblLayout w:type="fixed"/>
        <w:tblLook w:val="0000" w:firstRow="0" w:lastRow="0" w:firstColumn="0" w:lastColumn="0" w:noHBand="0" w:noVBand="0"/>
      </w:tblPr>
      <w:tblGrid>
        <w:gridCol w:w="2552"/>
        <w:gridCol w:w="709"/>
        <w:gridCol w:w="567"/>
        <w:gridCol w:w="850"/>
        <w:gridCol w:w="1701"/>
        <w:gridCol w:w="1559"/>
        <w:gridCol w:w="1276"/>
      </w:tblGrid>
      <w:tr w:rsidR="002063E1" w:rsidRPr="00260CE3" w:rsidTr="00A34CAD">
        <w:trPr>
          <w:cantSplit/>
          <w:trHeight w:val="20"/>
        </w:trPr>
        <w:tc>
          <w:tcPr>
            <w:tcW w:w="3261" w:type="dxa"/>
            <w:gridSpan w:val="2"/>
            <w:tcBorders>
              <w:bottom w:val="single" w:sz="4" w:space="0" w:color="auto"/>
            </w:tcBorders>
          </w:tcPr>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Name, Restriction,</w:t>
            </w:r>
          </w:p>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Max.</w:t>
            </w:r>
          </w:p>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№.of</w:t>
            </w:r>
          </w:p>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2063E1" w:rsidRPr="00260CE3"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2063E1" w:rsidRPr="00260CE3" w:rsidRDefault="002063E1" w:rsidP="00A34CAD">
            <w:pPr>
              <w:keepNext/>
              <w:spacing w:before="0" w:after="0"/>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2063E1" w:rsidRPr="00260CE3" w:rsidTr="00A34CAD">
        <w:trPr>
          <w:cantSplit/>
          <w:trHeight w:val="819"/>
        </w:trPr>
        <w:tc>
          <w:tcPr>
            <w:tcW w:w="3261" w:type="dxa"/>
            <w:gridSpan w:val="2"/>
          </w:tcPr>
          <w:p w:rsidR="002063E1" w:rsidRPr="00260CE3" w:rsidRDefault="002063E1" w:rsidP="00A34CAD">
            <w:pPr>
              <w:keepNext/>
              <w:spacing w:before="0" w:after="0"/>
              <w:ind w:left="-108"/>
              <w:rPr>
                <w:rFonts w:ascii="Arial Narrow" w:hAnsi="Arial Narrow" w:cs="Arial"/>
                <w:sz w:val="20"/>
                <w:szCs w:val="20"/>
              </w:rPr>
            </w:pPr>
            <w:r>
              <w:rPr>
                <w:rFonts w:ascii="Arial Narrow" w:hAnsi="Arial Narrow" w:cs="Arial"/>
                <w:smallCaps/>
                <w:sz w:val="20"/>
                <w:szCs w:val="20"/>
              </w:rPr>
              <w:t>Osimertinib</w:t>
            </w:r>
          </w:p>
          <w:p w:rsidR="002063E1" w:rsidRPr="00260CE3" w:rsidRDefault="002063E1" w:rsidP="00A34CAD">
            <w:pPr>
              <w:keepNext/>
              <w:spacing w:before="0" w:after="0"/>
              <w:ind w:left="-108"/>
              <w:rPr>
                <w:rFonts w:ascii="Arial Narrow" w:hAnsi="Arial Narrow" w:cs="Arial"/>
                <w:sz w:val="20"/>
                <w:szCs w:val="20"/>
              </w:rPr>
            </w:pPr>
            <w:r w:rsidRPr="008C6A41">
              <w:rPr>
                <w:rFonts w:ascii="Arial Narrow" w:hAnsi="Arial Narrow" w:cs="Arial"/>
                <w:sz w:val="20"/>
                <w:szCs w:val="20"/>
              </w:rPr>
              <w:t>40</w:t>
            </w:r>
            <w:r>
              <w:rPr>
                <w:rFonts w:ascii="Arial Narrow" w:hAnsi="Arial Narrow" w:cs="Arial"/>
                <w:sz w:val="20"/>
                <w:szCs w:val="20"/>
              </w:rPr>
              <w:t> </w:t>
            </w:r>
            <w:r w:rsidRPr="008C6A41">
              <w:rPr>
                <w:rFonts w:ascii="Arial Narrow" w:hAnsi="Arial Narrow" w:cs="Arial"/>
                <w:sz w:val="20"/>
                <w:szCs w:val="20"/>
              </w:rPr>
              <w:t>mg tablet, 30</w:t>
            </w:r>
          </w:p>
        </w:tc>
        <w:tc>
          <w:tcPr>
            <w:tcW w:w="567" w:type="dxa"/>
          </w:tcPr>
          <w:p w:rsidR="002063E1" w:rsidRPr="00260CE3" w:rsidRDefault="002063E1" w:rsidP="00A34CAD">
            <w:pPr>
              <w:keepNext/>
              <w:spacing w:before="0" w:after="0"/>
              <w:ind w:left="-108"/>
              <w:rPr>
                <w:rFonts w:ascii="Arial Narrow" w:hAnsi="Arial Narrow" w:cs="Arial"/>
                <w:sz w:val="20"/>
                <w:szCs w:val="20"/>
              </w:rPr>
            </w:pPr>
          </w:p>
          <w:p w:rsidR="002063E1" w:rsidRPr="00260CE3" w:rsidRDefault="002063E1" w:rsidP="00A34CAD">
            <w:pPr>
              <w:keepNext/>
              <w:spacing w:before="0" w:after="0"/>
              <w:ind w:left="-108"/>
              <w:rPr>
                <w:rFonts w:ascii="Arial Narrow" w:hAnsi="Arial Narrow" w:cs="Arial"/>
                <w:sz w:val="20"/>
                <w:szCs w:val="20"/>
              </w:rPr>
            </w:pPr>
            <w:r>
              <w:rPr>
                <w:rFonts w:ascii="Arial Narrow" w:hAnsi="Arial Narrow" w:cs="Arial"/>
                <w:sz w:val="20"/>
                <w:szCs w:val="20"/>
              </w:rPr>
              <w:t>1</w:t>
            </w:r>
          </w:p>
        </w:tc>
        <w:tc>
          <w:tcPr>
            <w:tcW w:w="850" w:type="dxa"/>
          </w:tcPr>
          <w:p w:rsidR="002063E1" w:rsidRDefault="002063E1" w:rsidP="00A34CAD">
            <w:pPr>
              <w:keepNext/>
              <w:spacing w:before="0" w:after="0"/>
              <w:rPr>
                <w:rFonts w:ascii="Arial Narrow" w:hAnsi="Arial Narrow" w:cs="Arial"/>
                <w:sz w:val="20"/>
                <w:szCs w:val="20"/>
              </w:rPr>
            </w:pPr>
          </w:p>
          <w:p w:rsidR="002063E1" w:rsidRPr="00260CE3" w:rsidRDefault="002063E1" w:rsidP="00A34CAD">
            <w:pPr>
              <w:keepNext/>
              <w:spacing w:before="0" w:after="0"/>
              <w:rPr>
                <w:rFonts w:ascii="Arial Narrow" w:hAnsi="Arial Narrow" w:cs="Arial"/>
                <w:sz w:val="20"/>
                <w:szCs w:val="20"/>
              </w:rPr>
            </w:pPr>
            <w:r>
              <w:rPr>
                <w:rFonts w:ascii="Arial Narrow" w:hAnsi="Arial Narrow" w:cs="Arial"/>
                <w:sz w:val="20"/>
                <w:szCs w:val="20"/>
              </w:rPr>
              <w:t>5</w:t>
            </w:r>
          </w:p>
        </w:tc>
        <w:tc>
          <w:tcPr>
            <w:tcW w:w="1701" w:type="dxa"/>
          </w:tcPr>
          <w:p w:rsidR="002063E1" w:rsidRPr="00260CE3" w:rsidRDefault="002063E1" w:rsidP="00A34CAD">
            <w:pPr>
              <w:keepNext/>
              <w:spacing w:before="0" w:after="0"/>
              <w:ind w:left="-108"/>
              <w:rPr>
                <w:rFonts w:ascii="Arial Narrow" w:hAnsi="Arial Narrow" w:cs="Arial"/>
                <w:sz w:val="20"/>
                <w:szCs w:val="20"/>
              </w:rPr>
            </w:pPr>
          </w:p>
          <w:p w:rsidR="002063E1"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w:t>
            </w:r>
            <w:r w:rsidR="000B2D46">
              <w:rPr>
                <w:rFonts w:ascii="Arial Narrow" w:hAnsi="Arial Narrow" w:cs="Arial"/>
                <w:noProof/>
                <w:color w:val="000000"/>
                <w:sz w:val="20"/>
                <w:szCs w:val="20"/>
                <w:highlight w:val="black"/>
              </w:rPr>
              <w:t>''''''''''''''''''''</w:t>
            </w:r>
            <w:r>
              <w:rPr>
                <w:rFonts w:ascii="Arial Narrow" w:hAnsi="Arial Narrow" w:cs="Arial"/>
                <w:sz w:val="20"/>
                <w:szCs w:val="20"/>
              </w:rPr>
              <w:t xml:space="preserve"> (published)</w:t>
            </w:r>
          </w:p>
          <w:p w:rsidR="002063E1" w:rsidRPr="00260CE3" w:rsidRDefault="002063E1" w:rsidP="00A34CAD">
            <w:pPr>
              <w:keepNext/>
              <w:spacing w:before="0" w:after="0"/>
              <w:ind w:left="-108"/>
              <w:rPr>
                <w:rFonts w:ascii="Arial Narrow" w:hAnsi="Arial Narrow" w:cs="Arial"/>
                <w:sz w:val="20"/>
                <w:szCs w:val="20"/>
              </w:rPr>
            </w:pPr>
            <w:r>
              <w:rPr>
                <w:rFonts w:ascii="Arial Narrow" w:hAnsi="Arial Narrow" w:cs="Arial"/>
                <w:sz w:val="20"/>
                <w:szCs w:val="20"/>
              </w:rPr>
              <w:t>$</w:t>
            </w:r>
            <w:r w:rsidR="000B2D46">
              <w:rPr>
                <w:rFonts w:ascii="Arial Narrow" w:hAnsi="Arial Narrow" w:cs="Arial"/>
                <w:noProof/>
                <w:color w:val="000000"/>
                <w:sz w:val="20"/>
                <w:szCs w:val="20"/>
                <w:highlight w:val="black"/>
              </w:rPr>
              <w:t>'''''''''''''''''''</w:t>
            </w:r>
            <w:r>
              <w:rPr>
                <w:rFonts w:ascii="Arial Narrow" w:hAnsi="Arial Narrow" w:cs="Arial"/>
                <w:sz w:val="20"/>
                <w:szCs w:val="20"/>
              </w:rPr>
              <w:t xml:space="preserve"> (effective)</w:t>
            </w:r>
          </w:p>
        </w:tc>
        <w:tc>
          <w:tcPr>
            <w:tcW w:w="1559" w:type="dxa"/>
            <w:vAlign w:val="center"/>
          </w:tcPr>
          <w:p w:rsidR="002063E1" w:rsidRPr="00260CE3" w:rsidRDefault="002063E1" w:rsidP="00A34CAD">
            <w:pPr>
              <w:keepNext/>
              <w:spacing w:before="0" w:after="0"/>
              <w:jc w:val="center"/>
              <w:rPr>
                <w:rFonts w:ascii="Arial Narrow" w:hAnsi="Arial Narrow" w:cs="Arial"/>
                <w:sz w:val="20"/>
                <w:szCs w:val="20"/>
              </w:rPr>
            </w:pPr>
            <w:r>
              <w:rPr>
                <w:rFonts w:ascii="Arial Narrow" w:hAnsi="Arial Narrow" w:cs="Arial"/>
                <w:sz w:val="20"/>
                <w:szCs w:val="20"/>
              </w:rPr>
              <w:t>Tagrisso®</w:t>
            </w:r>
          </w:p>
        </w:tc>
        <w:tc>
          <w:tcPr>
            <w:tcW w:w="1276" w:type="dxa"/>
            <w:vAlign w:val="center"/>
          </w:tcPr>
          <w:p w:rsidR="002063E1" w:rsidRPr="00260CE3" w:rsidRDefault="002063E1" w:rsidP="00A34CAD">
            <w:pPr>
              <w:keepNext/>
              <w:spacing w:before="0" w:after="0"/>
              <w:jc w:val="center"/>
              <w:rPr>
                <w:rFonts w:ascii="Arial Narrow" w:hAnsi="Arial Narrow" w:cs="Arial"/>
                <w:sz w:val="20"/>
                <w:szCs w:val="20"/>
              </w:rPr>
            </w:pPr>
            <w:r w:rsidRPr="008C6A41">
              <w:rPr>
                <w:rFonts w:ascii="Arial Narrow" w:hAnsi="Arial Narrow" w:cs="Arial"/>
                <w:sz w:val="20"/>
                <w:szCs w:val="20"/>
              </w:rPr>
              <w:t>AstraZeneca Pty Ltd</w:t>
            </w:r>
          </w:p>
        </w:tc>
      </w:tr>
      <w:tr w:rsidR="002063E1" w:rsidRPr="00260CE3" w:rsidTr="00A34CAD">
        <w:trPr>
          <w:cantSplit/>
          <w:trHeight w:val="567"/>
        </w:trPr>
        <w:tc>
          <w:tcPr>
            <w:tcW w:w="3261" w:type="dxa"/>
            <w:gridSpan w:val="2"/>
            <w:vAlign w:val="center"/>
          </w:tcPr>
          <w:p w:rsidR="002063E1" w:rsidRDefault="002063E1" w:rsidP="00A34CAD">
            <w:pPr>
              <w:keepNext/>
              <w:spacing w:before="0" w:after="0"/>
              <w:ind w:left="-108"/>
              <w:rPr>
                <w:rFonts w:ascii="Arial Narrow" w:hAnsi="Arial Narrow" w:cs="Arial"/>
                <w:smallCaps/>
                <w:sz w:val="20"/>
                <w:szCs w:val="20"/>
              </w:rPr>
            </w:pPr>
            <w:r>
              <w:rPr>
                <w:rFonts w:ascii="Arial Narrow" w:hAnsi="Arial Narrow" w:cs="Arial"/>
                <w:sz w:val="20"/>
                <w:szCs w:val="20"/>
              </w:rPr>
              <w:t>80 </w:t>
            </w:r>
            <w:r w:rsidRPr="008C6A41">
              <w:rPr>
                <w:rFonts w:ascii="Arial Narrow" w:hAnsi="Arial Narrow" w:cs="Arial"/>
                <w:sz w:val="20"/>
                <w:szCs w:val="20"/>
              </w:rPr>
              <w:t>mg tablet, 30</w:t>
            </w:r>
          </w:p>
        </w:tc>
        <w:tc>
          <w:tcPr>
            <w:tcW w:w="567" w:type="dxa"/>
            <w:vAlign w:val="center"/>
          </w:tcPr>
          <w:p w:rsidR="002063E1" w:rsidRPr="00260CE3" w:rsidRDefault="002063E1" w:rsidP="00A34CAD">
            <w:pPr>
              <w:keepNext/>
              <w:spacing w:before="0" w:after="0"/>
              <w:ind w:left="-108"/>
              <w:rPr>
                <w:rFonts w:ascii="Arial Narrow" w:hAnsi="Arial Narrow" w:cs="Arial"/>
                <w:sz w:val="20"/>
                <w:szCs w:val="20"/>
              </w:rPr>
            </w:pPr>
            <w:r>
              <w:rPr>
                <w:rFonts w:ascii="Arial Narrow" w:hAnsi="Arial Narrow" w:cs="Arial"/>
                <w:sz w:val="20"/>
                <w:szCs w:val="20"/>
              </w:rPr>
              <w:t>1</w:t>
            </w:r>
          </w:p>
        </w:tc>
        <w:tc>
          <w:tcPr>
            <w:tcW w:w="850" w:type="dxa"/>
            <w:vAlign w:val="center"/>
          </w:tcPr>
          <w:p w:rsidR="002063E1" w:rsidRDefault="002063E1" w:rsidP="00A34CAD">
            <w:pPr>
              <w:keepNext/>
              <w:spacing w:before="0" w:after="0"/>
              <w:rPr>
                <w:rFonts w:ascii="Arial Narrow" w:hAnsi="Arial Narrow" w:cs="Arial"/>
                <w:sz w:val="20"/>
                <w:szCs w:val="20"/>
              </w:rPr>
            </w:pPr>
            <w:r>
              <w:rPr>
                <w:rFonts w:ascii="Arial Narrow" w:hAnsi="Arial Narrow" w:cs="Arial"/>
                <w:sz w:val="20"/>
                <w:szCs w:val="20"/>
              </w:rPr>
              <w:t>5</w:t>
            </w:r>
          </w:p>
        </w:tc>
        <w:tc>
          <w:tcPr>
            <w:tcW w:w="1701" w:type="dxa"/>
            <w:vAlign w:val="center"/>
          </w:tcPr>
          <w:p w:rsidR="002063E1" w:rsidRDefault="002063E1" w:rsidP="00A34CAD">
            <w:pPr>
              <w:keepNext/>
              <w:spacing w:before="0" w:after="0"/>
              <w:ind w:left="-108"/>
              <w:rPr>
                <w:rFonts w:ascii="Arial Narrow" w:hAnsi="Arial Narrow" w:cs="Arial"/>
                <w:sz w:val="20"/>
                <w:szCs w:val="20"/>
              </w:rPr>
            </w:pPr>
            <w:r w:rsidRPr="00260CE3">
              <w:rPr>
                <w:rFonts w:ascii="Arial Narrow" w:hAnsi="Arial Narrow" w:cs="Arial"/>
                <w:sz w:val="20"/>
                <w:szCs w:val="20"/>
              </w:rPr>
              <w:t>$</w:t>
            </w:r>
            <w:r w:rsidR="000B2D46">
              <w:rPr>
                <w:rFonts w:ascii="Arial Narrow" w:hAnsi="Arial Narrow" w:cs="Arial"/>
                <w:noProof/>
                <w:color w:val="000000"/>
                <w:sz w:val="20"/>
                <w:szCs w:val="20"/>
                <w:highlight w:val="black"/>
              </w:rPr>
              <w:t>''''''''''''''''''''''</w:t>
            </w:r>
            <w:r>
              <w:rPr>
                <w:rFonts w:ascii="Arial Narrow" w:hAnsi="Arial Narrow" w:cs="Arial"/>
                <w:sz w:val="20"/>
                <w:szCs w:val="20"/>
              </w:rPr>
              <w:t xml:space="preserve"> (published)</w:t>
            </w:r>
          </w:p>
          <w:p w:rsidR="002063E1" w:rsidRPr="00260CE3" w:rsidRDefault="002063E1" w:rsidP="00A34CAD">
            <w:pPr>
              <w:keepNext/>
              <w:spacing w:before="0" w:after="0"/>
              <w:ind w:left="-108"/>
              <w:rPr>
                <w:rFonts w:ascii="Arial Narrow" w:hAnsi="Arial Narrow" w:cs="Arial"/>
                <w:sz w:val="20"/>
                <w:szCs w:val="20"/>
              </w:rPr>
            </w:pPr>
            <w:r>
              <w:rPr>
                <w:rFonts w:ascii="Arial Narrow" w:hAnsi="Arial Narrow" w:cs="Arial"/>
                <w:sz w:val="20"/>
                <w:szCs w:val="20"/>
              </w:rPr>
              <w:t>$</w:t>
            </w:r>
            <w:r w:rsidR="000B2D46">
              <w:rPr>
                <w:rFonts w:ascii="Arial Narrow" w:hAnsi="Arial Narrow" w:cs="Arial"/>
                <w:noProof/>
                <w:color w:val="000000"/>
                <w:sz w:val="20"/>
                <w:szCs w:val="20"/>
                <w:highlight w:val="black"/>
              </w:rPr>
              <w:t>'''''''''''''''''''</w:t>
            </w:r>
            <w:r>
              <w:rPr>
                <w:rFonts w:ascii="Arial Narrow" w:hAnsi="Arial Narrow" w:cs="Arial"/>
                <w:sz w:val="20"/>
                <w:szCs w:val="20"/>
              </w:rPr>
              <w:t xml:space="preserve"> (effective)</w:t>
            </w:r>
          </w:p>
        </w:tc>
        <w:tc>
          <w:tcPr>
            <w:tcW w:w="1559" w:type="dxa"/>
            <w:vAlign w:val="center"/>
          </w:tcPr>
          <w:p w:rsidR="002063E1" w:rsidRDefault="002063E1" w:rsidP="00A34CAD">
            <w:pPr>
              <w:keepNext/>
              <w:spacing w:before="0" w:after="0"/>
              <w:rPr>
                <w:rFonts w:ascii="Arial Narrow" w:hAnsi="Arial Narrow" w:cs="Arial"/>
                <w:sz w:val="20"/>
                <w:szCs w:val="20"/>
              </w:rPr>
            </w:pPr>
          </w:p>
        </w:tc>
        <w:tc>
          <w:tcPr>
            <w:tcW w:w="1276" w:type="dxa"/>
            <w:vAlign w:val="center"/>
          </w:tcPr>
          <w:p w:rsidR="002063E1" w:rsidRPr="008C6A41" w:rsidRDefault="002063E1" w:rsidP="00A34CAD">
            <w:pPr>
              <w:keepNext/>
              <w:spacing w:before="0" w:after="0"/>
              <w:rPr>
                <w:rFonts w:ascii="Arial Narrow" w:hAnsi="Arial Narrow" w:cs="Arial"/>
                <w:sz w:val="20"/>
                <w:szCs w:val="20"/>
              </w:rPr>
            </w:pPr>
          </w:p>
        </w:tc>
      </w:tr>
      <w:tr w:rsidR="002063E1" w:rsidRPr="00260CE3" w:rsidTr="00A34CAD">
        <w:trPr>
          <w:cantSplit/>
          <w:trHeight w:val="20"/>
        </w:trPr>
        <w:tc>
          <w:tcPr>
            <w:tcW w:w="9214" w:type="dxa"/>
            <w:gridSpan w:val="7"/>
            <w:tcBorders>
              <w:bottom w:val="single" w:sz="4" w:space="0" w:color="auto"/>
            </w:tcBorders>
          </w:tcPr>
          <w:p w:rsidR="002063E1" w:rsidRPr="00260CE3" w:rsidRDefault="002063E1" w:rsidP="00A34CAD">
            <w:pPr>
              <w:spacing w:before="0" w:after="0"/>
              <w:rPr>
                <w:rFonts w:ascii="Arial Narrow" w:hAnsi="Arial Narrow" w:cs="Arial"/>
                <w:sz w:val="20"/>
                <w:szCs w:val="20"/>
              </w:rPr>
            </w:pP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Category / Program</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sz w:val="20"/>
                <w:szCs w:val="20"/>
              </w:rPr>
            </w:pPr>
            <w:r w:rsidRPr="00260CE3">
              <w:rPr>
                <w:rFonts w:ascii="Arial Narrow" w:hAnsi="Arial Narrow" w:cs="Arial"/>
                <w:sz w:val="20"/>
                <w:szCs w:val="20"/>
              </w:rPr>
              <w:t>GENERAL – General Schedule (Code GE</w:t>
            </w:r>
            <w:r>
              <w:rPr>
                <w:rFonts w:ascii="Arial Narrow" w:hAnsi="Arial Narrow" w:cs="Arial"/>
                <w:sz w:val="20"/>
                <w:szCs w:val="20"/>
              </w:rPr>
              <w:t>)</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260CE3" w:rsidRDefault="002063E1" w:rsidP="002D0AA2">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2D0AA2">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Severity:</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8C6A41" w:rsidRDefault="002063E1" w:rsidP="00A34CAD">
            <w:pPr>
              <w:spacing w:before="0" w:after="0"/>
              <w:rPr>
                <w:rFonts w:ascii="Arial Narrow" w:hAnsi="Arial Narrow"/>
                <w:sz w:val="20"/>
              </w:rPr>
            </w:pPr>
            <w:r w:rsidRPr="008C6A41">
              <w:rPr>
                <w:rFonts w:ascii="Arial Narrow" w:hAnsi="Arial Narrow"/>
                <w:sz w:val="20"/>
              </w:rPr>
              <w:t>Locally advanced (Stage IIIB) or metastatic (Stage IV)</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8C6A41" w:rsidRDefault="002063E1" w:rsidP="00A34CAD">
            <w:pPr>
              <w:spacing w:before="0" w:after="0"/>
              <w:rPr>
                <w:rFonts w:ascii="Arial Narrow" w:hAnsi="Arial Narrow"/>
                <w:sz w:val="20"/>
              </w:rPr>
            </w:pPr>
            <w:r w:rsidRPr="008C6A41">
              <w:rPr>
                <w:rFonts w:ascii="Arial Narrow" w:hAnsi="Arial Narrow"/>
                <w:sz w:val="20"/>
              </w:rPr>
              <w:t>Non-small cell lung cancer (NSCLC)</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8C6A41"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8C6A41" w:rsidRDefault="002063E1" w:rsidP="00A34CAD">
            <w:pPr>
              <w:spacing w:before="0" w:after="0"/>
              <w:rPr>
                <w:rFonts w:ascii="Arial Narrow" w:hAnsi="Arial Narrow" w:cs="Arial"/>
                <w:sz w:val="20"/>
                <w:szCs w:val="20"/>
              </w:rPr>
            </w:pPr>
            <w:r w:rsidRPr="008C6A41">
              <w:rPr>
                <w:rFonts w:ascii="Arial Narrow" w:hAnsi="Arial Narrow" w:cs="Arial"/>
                <w:sz w:val="20"/>
                <w:szCs w:val="20"/>
              </w:rPr>
              <w:t>Locally advanced (Stage III</w:t>
            </w:r>
            <w:r>
              <w:rPr>
                <w:rFonts w:ascii="Arial Narrow" w:hAnsi="Arial Narrow" w:cs="Arial"/>
                <w:sz w:val="20"/>
                <w:szCs w:val="20"/>
              </w:rPr>
              <w:t>B</w:t>
            </w:r>
            <w:r w:rsidRPr="008C6A41">
              <w:rPr>
                <w:rFonts w:ascii="Arial Narrow" w:hAnsi="Arial Narrow" w:cs="Arial"/>
                <w:sz w:val="20"/>
                <w:szCs w:val="20"/>
              </w:rPr>
              <w:t>) or metastatic (Stage IV) non-small cell lung cancer</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8C6A41"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Treatment phase:</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sz w:val="20"/>
                <w:szCs w:val="20"/>
              </w:rPr>
            </w:pPr>
            <w:r>
              <w:rPr>
                <w:rFonts w:ascii="Arial Narrow" w:hAnsi="Arial Narrow" w:cs="Arial"/>
                <w:sz w:val="20"/>
                <w:szCs w:val="20"/>
              </w:rPr>
              <w:t>Continuing</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CD28F3" w:rsidRDefault="002063E1" w:rsidP="002D0AA2">
            <w:pPr>
              <w:spacing w:before="0" w:after="0"/>
              <w:rPr>
                <w:rFonts w:ascii="Arial Narrow" w:hAnsi="Arial Narrow" w:cs="Arial"/>
                <w:i/>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106BCF" w:rsidRDefault="002063E1" w:rsidP="00A34CAD">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2063E1" w:rsidRPr="004D56BD" w:rsidRDefault="002063E1" w:rsidP="00A34CAD">
            <w:pPr>
              <w:spacing w:before="0" w:after="0"/>
              <w:rPr>
                <w:rFonts w:ascii="Arial Narrow" w:hAnsi="Arial Narrow" w:cs="Arial"/>
                <w:i/>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Pr>
                <w:rFonts w:ascii="Arial Narrow" w:hAnsi="Arial Narrow" w:cs="Arial"/>
                <w:sz w:val="20"/>
                <w:szCs w:val="20"/>
              </w:rPr>
              <w:fldChar w:fldCharType="end"/>
            </w:r>
            <w:r w:rsidRPr="004D56BD">
              <w:rPr>
                <w:rFonts w:ascii="Arial Narrow" w:hAnsi="Arial Narrow" w:cs="Arial"/>
                <w:i/>
                <w:sz w:val="20"/>
                <w:szCs w:val="20"/>
              </w:rPr>
              <w:t>Authority Required - In Writing</w:t>
            </w:r>
          </w:p>
          <w:p w:rsidR="002063E1" w:rsidRPr="004D56BD" w:rsidRDefault="002063E1" w:rsidP="00A34CAD">
            <w:pPr>
              <w:spacing w:before="0" w:after="0"/>
              <w:rPr>
                <w:rFonts w:ascii="Arial Narrow" w:hAnsi="Arial Narrow" w:cs="Arial"/>
                <w:i/>
                <w:sz w:val="20"/>
                <w:szCs w:val="20"/>
              </w:rPr>
            </w:pPr>
            <w:r w:rsidRPr="004D56BD">
              <w:rPr>
                <w:rFonts w:ascii="Arial Narrow" w:hAnsi="Arial Narrow" w:cs="Arial"/>
                <w:i/>
                <w:sz w:val="20"/>
                <w:szCs w:val="20"/>
              </w:rPr>
              <w:fldChar w:fldCharType="begin">
                <w:ffData>
                  <w:name w:val=""/>
                  <w:enabled/>
                  <w:calcOnExit w:val="0"/>
                  <w:checkBox>
                    <w:sizeAuto/>
                    <w:default w:val="1"/>
                  </w:checkBox>
                </w:ffData>
              </w:fldChar>
            </w:r>
            <w:r w:rsidRPr="004D56B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4D56BD">
              <w:rPr>
                <w:rFonts w:ascii="Arial Narrow" w:hAnsi="Arial Narrow" w:cs="Arial"/>
                <w:i/>
                <w:sz w:val="20"/>
                <w:szCs w:val="20"/>
              </w:rPr>
              <w:fldChar w:fldCharType="end"/>
            </w:r>
            <w:r w:rsidRPr="004D56BD">
              <w:rPr>
                <w:rFonts w:ascii="Arial Narrow" w:hAnsi="Arial Narrow" w:cs="Arial"/>
                <w:i/>
                <w:sz w:val="20"/>
                <w:szCs w:val="20"/>
              </w:rPr>
              <w:t>Authority Required - Telephone</w:t>
            </w:r>
          </w:p>
          <w:p w:rsidR="002063E1" w:rsidRPr="00106BCF" w:rsidRDefault="002063E1" w:rsidP="00A34CAD">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2063E1" w:rsidRPr="00106BCF" w:rsidRDefault="002063E1" w:rsidP="00A34CAD">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B2D46">
              <w:rPr>
                <w:rFonts w:ascii="Arial Narrow" w:hAnsi="Arial Narrow" w:cs="Arial"/>
                <w:sz w:val="20"/>
                <w:szCs w:val="20"/>
              </w:rPr>
            </w:r>
            <w:r w:rsidR="000B2D46">
              <w:rPr>
                <w:rFonts w:ascii="Arial Narrow" w:hAnsi="Arial Narrow" w:cs="Arial"/>
                <w:sz w:val="20"/>
                <w:szCs w:val="20"/>
              </w:rPr>
              <w:fldChar w:fldCharType="separate"/>
            </w:r>
            <w:r>
              <w:rPr>
                <w:rFonts w:ascii="Arial Narrow" w:hAnsi="Arial Narrow" w:cs="Arial"/>
                <w:sz w:val="20"/>
                <w:szCs w:val="20"/>
              </w:rPr>
              <w:fldChar w:fldCharType="end"/>
            </w:r>
            <w:r w:rsidRPr="004D56BD">
              <w:rPr>
                <w:rFonts w:ascii="Arial Narrow" w:hAnsi="Arial Narrow" w:cs="Arial"/>
                <w:i/>
                <w:sz w:val="20"/>
                <w:szCs w:val="20"/>
              </w:rPr>
              <w:t>Authority Required - Electronic</w:t>
            </w:r>
          </w:p>
          <w:p w:rsidR="002063E1" w:rsidRPr="004D56BD" w:rsidRDefault="002063E1" w:rsidP="00A34CAD">
            <w:pPr>
              <w:spacing w:before="0" w:after="0"/>
              <w:rPr>
                <w:rFonts w:ascii="Arial Narrow" w:hAnsi="Arial Narrow" w:cs="Arial"/>
                <w:strike/>
                <w:sz w:val="20"/>
                <w:szCs w:val="20"/>
              </w:rPr>
            </w:pPr>
            <w:r w:rsidRPr="004D56BD">
              <w:rPr>
                <w:rFonts w:ascii="Arial Narrow" w:hAnsi="Arial Narrow" w:cs="Arial"/>
                <w:strike/>
                <w:sz w:val="20"/>
                <w:szCs w:val="20"/>
              </w:rPr>
              <w:fldChar w:fldCharType="begin">
                <w:ffData>
                  <w:name w:val="Check5"/>
                  <w:enabled/>
                  <w:calcOnExit w:val="0"/>
                  <w:checkBox>
                    <w:sizeAuto/>
                    <w:default w:val="1"/>
                  </w:checkBox>
                </w:ffData>
              </w:fldChar>
            </w:r>
            <w:bookmarkStart w:id="7" w:name="Check5"/>
            <w:r w:rsidRPr="004D56BD">
              <w:rPr>
                <w:rFonts w:ascii="Arial Narrow" w:hAnsi="Arial Narrow" w:cs="Arial"/>
                <w:strike/>
                <w:sz w:val="20"/>
                <w:szCs w:val="20"/>
              </w:rPr>
              <w:instrText xml:space="preserve"> FORMCHECKBOX </w:instrText>
            </w:r>
            <w:r w:rsidR="000B2D46">
              <w:rPr>
                <w:rFonts w:ascii="Arial Narrow" w:hAnsi="Arial Narrow" w:cs="Arial"/>
                <w:strike/>
                <w:sz w:val="20"/>
                <w:szCs w:val="20"/>
              </w:rPr>
            </w:r>
            <w:r w:rsidR="000B2D46">
              <w:rPr>
                <w:rFonts w:ascii="Arial Narrow" w:hAnsi="Arial Narrow" w:cs="Arial"/>
                <w:strike/>
                <w:sz w:val="20"/>
                <w:szCs w:val="20"/>
              </w:rPr>
              <w:fldChar w:fldCharType="separate"/>
            </w:r>
            <w:r w:rsidRPr="004D56BD">
              <w:rPr>
                <w:rFonts w:ascii="Arial Narrow" w:hAnsi="Arial Narrow" w:cs="Arial"/>
                <w:strike/>
                <w:sz w:val="20"/>
                <w:szCs w:val="20"/>
              </w:rPr>
              <w:fldChar w:fldCharType="end"/>
            </w:r>
            <w:bookmarkEnd w:id="7"/>
            <w:r w:rsidRPr="004D56BD">
              <w:rPr>
                <w:rFonts w:ascii="Arial Narrow" w:hAnsi="Arial Narrow" w:cs="Arial"/>
                <w:strike/>
                <w:sz w:val="20"/>
                <w:szCs w:val="20"/>
              </w:rPr>
              <w:t>Streamlined</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sz w:val="20"/>
                <w:szCs w:val="20"/>
              </w:rPr>
            </w:pPr>
            <w:r w:rsidRPr="00260CE3">
              <w:rPr>
                <w:rFonts w:ascii="Arial Narrow" w:hAnsi="Arial Narrow" w:cs="Arial"/>
                <w:b/>
                <w:sz w:val="20"/>
                <w:szCs w:val="20"/>
              </w:rPr>
              <w:t>Treatment criteria:</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DB5CDA" w:rsidRDefault="002063E1" w:rsidP="00A34CAD">
            <w:pPr>
              <w:spacing w:before="0" w:after="0"/>
              <w:rPr>
                <w:rFonts w:ascii="Arial Narrow" w:hAnsi="Arial Narrow" w:cs="Arial"/>
                <w:strike/>
                <w:sz w:val="20"/>
                <w:szCs w:val="20"/>
              </w:rPr>
            </w:pPr>
            <w:r w:rsidRPr="00DB5CDA">
              <w:rPr>
                <w:rFonts w:ascii="Arial Narrow" w:hAnsi="Arial Narrow" w:cs="Arial"/>
                <w:strike/>
                <w:sz w:val="20"/>
                <w:szCs w:val="20"/>
              </w:rPr>
              <w:t>The treatment must be as monotherapy</w:t>
            </w:r>
          </w:p>
          <w:p w:rsidR="002063E1" w:rsidRPr="00DB5CDA" w:rsidRDefault="002063E1" w:rsidP="00A34CAD">
            <w:pPr>
              <w:spacing w:before="0" w:after="0"/>
              <w:rPr>
                <w:rFonts w:ascii="Arial Narrow" w:hAnsi="Arial Narrow" w:cs="Arial"/>
                <w:strike/>
                <w:sz w:val="20"/>
                <w:szCs w:val="20"/>
              </w:rPr>
            </w:pPr>
            <w:r w:rsidRPr="00DB5CDA">
              <w:rPr>
                <w:rFonts w:ascii="Arial Narrow" w:hAnsi="Arial Narrow" w:cs="Arial"/>
                <w:strike/>
                <w:sz w:val="20"/>
                <w:szCs w:val="20"/>
              </w:rPr>
              <w:t>AND</w:t>
            </w:r>
          </w:p>
          <w:p w:rsidR="002063E1" w:rsidRPr="00DB5CDA" w:rsidRDefault="002063E1" w:rsidP="00A34CAD">
            <w:pPr>
              <w:spacing w:before="0" w:after="0"/>
              <w:rPr>
                <w:rFonts w:ascii="Arial Narrow" w:hAnsi="Arial Narrow" w:cs="Arial"/>
                <w:strike/>
                <w:sz w:val="20"/>
                <w:szCs w:val="20"/>
              </w:rPr>
            </w:pPr>
            <w:r w:rsidRPr="00DB5CDA">
              <w:rPr>
                <w:rFonts w:ascii="Arial Narrow" w:hAnsi="Arial Narrow" w:cs="Arial"/>
                <w:strike/>
                <w:sz w:val="20"/>
                <w:szCs w:val="20"/>
              </w:rPr>
              <w:t>Patient must have previously been issued with an authority prescription for this drug</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260CE3"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Clinical criteria:</w:t>
            </w:r>
          </w:p>
          <w:p w:rsidR="002063E1" w:rsidRPr="00260CE3" w:rsidRDefault="002063E1" w:rsidP="00A34CAD">
            <w:pPr>
              <w:spacing w:before="0" w:after="0"/>
              <w:rPr>
                <w:rFonts w:ascii="Arial Narrow" w:hAnsi="Arial Narrow" w:cs="Arial"/>
                <w:i/>
                <w:sz w:val="20"/>
                <w:szCs w:val="20"/>
              </w:rPr>
            </w:pPr>
          </w:p>
          <w:p w:rsidR="002063E1" w:rsidRPr="00260CE3" w:rsidRDefault="002063E1" w:rsidP="00A34CAD">
            <w:pPr>
              <w:spacing w:before="0" w:after="0"/>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063E1" w:rsidRPr="00DB5CDA" w:rsidRDefault="002063E1" w:rsidP="00A34CAD">
            <w:pPr>
              <w:spacing w:before="0" w:after="0"/>
              <w:rPr>
                <w:rFonts w:ascii="Arial Narrow" w:hAnsi="Arial Narrow" w:cs="Arial"/>
                <w:i/>
                <w:sz w:val="20"/>
                <w:szCs w:val="20"/>
              </w:rPr>
            </w:pPr>
            <w:r w:rsidRPr="00DB5CDA">
              <w:rPr>
                <w:rFonts w:ascii="Arial Narrow" w:hAnsi="Arial Narrow" w:cs="Arial"/>
                <w:i/>
                <w:sz w:val="20"/>
                <w:szCs w:val="20"/>
              </w:rPr>
              <w:t>The treatment must be as monotherapy</w:t>
            </w:r>
            <w:r>
              <w:rPr>
                <w:rFonts w:ascii="Arial Narrow" w:hAnsi="Arial Narrow" w:cs="Arial"/>
                <w:i/>
                <w:sz w:val="20"/>
                <w:szCs w:val="20"/>
              </w:rPr>
              <w:t>,</w:t>
            </w:r>
          </w:p>
          <w:p w:rsidR="002063E1" w:rsidRDefault="002063E1" w:rsidP="00A34CAD">
            <w:pPr>
              <w:spacing w:before="0" w:after="0"/>
              <w:rPr>
                <w:rFonts w:ascii="Arial Narrow" w:hAnsi="Arial Narrow" w:cs="Arial"/>
                <w:i/>
                <w:sz w:val="20"/>
                <w:szCs w:val="20"/>
              </w:rPr>
            </w:pPr>
            <w:r w:rsidRPr="00DB5CDA">
              <w:rPr>
                <w:rFonts w:ascii="Arial Narrow" w:hAnsi="Arial Narrow" w:cs="Arial"/>
                <w:i/>
                <w:sz w:val="20"/>
                <w:szCs w:val="20"/>
              </w:rPr>
              <w:t>AND</w:t>
            </w:r>
          </w:p>
          <w:p w:rsidR="002063E1" w:rsidRDefault="002063E1" w:rsidP="00A34CAD">
            <w:pPr>
              <w:spacing w:before="0" w:after="0"/>
              <w:rPr>
                <w:rFonts w:ascii="Arial Narrow" w:hAnsi="Arial Narrow" w:cs="Arial"/>
                <w:i/>
                <w:sz w:val="20"/>
                <w:szCs w:val="20"/>
              </w:rPr>
            </w:pPr>
            <w:r w:rsidRPr="00C603AB">
              <w:rPr>
                <w:rFonts w:ascii="Arial Narrow" w:hAnsi="Arial Narrow" w:cs="Arial"/>
                <w:i/>
                <w:sz w:val="20"/>
                <w:szCs w:val="20"/>
              </w:rPr>
              <w:t>Patient must have previously</w:t>
            </w:r>
            <w:r w:rsidRPr="00C603AB">
              <w:rPr>
                <w:rFonts w:ascii="Arial Narrow" w:hAnsi="Arial Narrow" w:cs="Arial"/>
                <w:sz w:val="20"/>
                <w:szCs w:val="20"/>
              </w:rPr>
              <w:t xml:space="preserve"> </w:t>
            </w:r>
            <w:r w:rsidRPr="00C603AB">
              <w:rPr>
                <w:rFonts w:ascii="Arial Narrow" w:hAnsi="Arial Narrow" w:cs="Arial"/>
                <w:i/>
                <w:sz w:val="20"/>
                <w:szCs w:val="20"/>
              </w:rPr>
              <w:t>received PBS-subsidised treatment with this drug for this condition</w:t>
            </w:r>
            <w:r>
              <w:rPr>
                <w:rFonts w:ascii="Arial Narrow" w:hAnsi="Arial Narrow" w:cs="Arial"/>
                <w:i/>
                <w:sz w:val="20"/>
                <w:szCs w:val="20"/>
              </w:rPr>
              <w:t xml:space="preserve">, </w:t>
            </w:r>
          </w:p>
          <w:p w:rsidR="002063E1" w:rsidRPr="00DB5CDA" w:rsidRDefault="002063E1" w:rsidP="00A34CAD">
            <w:pPr>
              <w:spacing w:before="0" w:after="0"/>
              <w:rPr>
                <w:rFonts w:ascii="Arial Narrow" w:hAnsi="Arial Narrow" w:cs="Arial"/>
                <w:i/>
                <w:sz w:val="20"/>
                <w:szCs w:val="20"/>
              </w:rPr>
            </w:pPr>
            <w:r>
              <w:rPr>
                <w:rFonts w:ascii="Arial Narrow" w:hAnsi="Arial Narrow" w:cs="Arial"/>
                <w:i/>
                <w:sz w:val="20"/>
                <w:szCs w:val="20"/>
              </w:rPr>
              <w:t>AND</w:t>
            </w:r>
          </w:p>
          <w:p w:rsidR="002063E1" w:rsidRPr="00C603AB" w:rsidRDefault="002063E1" w:rsidP="00A34CAD">
            <w:pPr>
              <w:spacing w:before="0" w:after="0"/>
              <w:rPr>
                <w:rFonts w:ascii="Arial Narrow" w:hAnsi="Arial Narrow" w:cs="Arial"/>
                <w:i/>
                <w:sz w:val="20"/>
                <w:szCs w:val="20"/>
              </w:rPr>
            </w:pPr>
            <w:r w:rsidRPr="008C6A41">
              <w:rPr>
                <w:rFonts w:ascii="Arial Narrow" w:hAnsi="Arial Narrow" w:cs="Arial"/>
                <w:sz w:val="20"/>
                <w:szCs w:val="20"/>
              </w:rPr>
              <w:t>Patient must not have progressive disease</w:t>
            </w:r>
            <w:r>
              <w:rPr>
                <w:rFonts w:ascii="Arial Narrow" w:hAnsi="Arial Narrow" w:cs="Arial"/>
                <w:sz w:val="20"/>
                <w:szCs w:val="20"/>
              </w:rPr>
              <w:t xml:space="preserve"> </w:t>
            </w:r>
            <w:r>
              <w:rPr>
                <w:rFonts w:ascii="Arial Narrow" w:hAnsi="Arial Narrow" w:cs="Arial"/>
                <w:i/>
                <w:sz w:val="20"/>
                <w:szCs w:val="20"/>
              </w:rPr>
              <w:t>following PBS-subsidised treatment with this drug for this condition.</w:t>
            </w:r>
          </w:p>
        </w:tc>
      </w:tr>
      <w:tr w:rsidR="002063E1" w:rsidRPr="00260CE3"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8858ED" w:rsidRDefault="002063E1" w:rsidP="00A34CAD">
            <w:pPr>
              <w:spacing w:before="0" w:after="0"/>
              <w:rPr>
                <w:rFonts w:ascii="Arial Narrow" w:hAnsi="Arial Narrow" w:cs="Arial"/>
                <w:b/>
                <w:sz w:val="20"/>
                <w:szCs w:val="20"/>
              </w:rPr>
            </w:pPr>
            <w:r w:rsidRPr="00260CE3">
              <w:rPr>
                <w:rFonts w:ascii="Arial Narrow" w:hAnsi="Arial Narrow" w:cs="Arial"/>
                <w:b/>
                <w:sz w:val="20"/>
                <w:szCs w:val="20"/>
              </w:rPr>
              <w:t>Administrative Advice</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C052DD" w:rsidRDefault="002063E1" w:rsidP="00A34CAD">
            <w:pPr>
              <w:spacing w:before="0" w:after="0"/>
              <w:rPr>
                <w:rFonts w:ascii="Arial Narrow" w:hAnsi="Arial Narrow"/>
                <w:i/>
                <w:sz w:val="20"/>
              </w:rPr>
            </w:pPr>
            <w:r w:rsidRPr="00C052DD">
              <w:rPr>
                <w:rFonts w:ascii="Arial Narrow" w:hAnsi="Arial Narrow"/>
                <w:i/>
                <w:sz w:val="20"/>
              </w:rPr>
              <w:t xml:space="preserve">No increase in the maximum quantity or number of units may be authorised. </w:t>
            </w:r>
          </w:p>
          <w:p w:rsidR="002063E1" w:rsidRDefault="002063E1" w:rsidP="00A34CAD">
            <w:pPr>
              <w:spacing w:before="0" w:after="0"/>
              <w:rPr>
                <w:rFonts w:ascii="Arial Narrow" w:hAnsi="Arial Narrow"/>
                <w:i/>
                <w:sz w:val="20"/>
              </w:rPr>
            </w:pPr>
            <w:r w:rsidRPr="00C052DD">
              <w:rPr>
                <w:rFonts w:ascii="Arial Narrow" w:hAnsi="Arial Narrow"/>
                <w:i/>
                <w:sz w:val="20"/>
              </w:rPr>
              <w:t xml:space="preserve">No increase in the maximum number of repeats may be authorised. </w:t>
            </w:r>
          </w:p>
          <w:p w:rsidR="002063E1" w:rsidRPr="00260CE3" w:rsidRDefault="002063E1" w:rsidP="00A34CAD">
            <w:pPr>
              <w:spacing w:before="0" w:after="0"/>
              <w:rPr>
                <w:rFonts w:ascii="Arial Narrow" w:hAnsi="Arial Narrow" w:cs="Arial"/>
                <w:sz w:val="20"/>
                <w:szCs w:val="20"/>
              </w:rPr>
            </w:pPr>
            <w:r>
              <w:rPr>
                <w:rFonts w:ascii="Arial Narrow" w:hAnsi="Arial Narrow" w:cs="Arial"/>
                <w:i/>
                <w:sz w:val="20"/>
                <w:szCs w:val="20"/>
              </w:rPr>
              <w:t>Special Pricing Arrangements apply.</w:t>
            </w:r>
          </w:p>
        </w:tc>
      </w:tr>
    </w:tbl>
    <w:p w:rsidR="002063E1" w:rsidRPr="00552722" w:rsidRDefault="002063E1" w:rsidP="002063E1">
      <w:pPr>
        <w:rPr>
          <w:rFonts w:ascii="Arial" w:hAnsi="Arial" w:cs="Arial"/>
          <w:sz w:val="22"/>
        </w:rPr>
      </w:pPr>
    </w:p>
    <w:p w:rsidR="009A5F31" w:rsidRDefault="009A5F31">
      <w:r>
        <w:br w:type="page"/>
      </w:r>
    </w:p>
    <w:tbl>
      <w:tblPr>
        <w:tblW w:w="9214" w:type="dxa"/>
        <w:tblInd w:w="108" w:type="dxa"/>
        <w:tblLayout w:type="fixed"/>
        <w:tblLook w:val="0000" w:firstRow="0" w:lastRow="0" w:firstColumn="0" w:lastColumn="0" w:noHBand="0" w:noVBand="0"/>
      </w:tblPr>
      <w:tblGrid>
        <w:gridCol w:w="2552"/>
        <w:gridCol w:w="709"/>
        <w:gridCol w:w="567"/>
        <w:gridCol w:w="850"/>
        <w:gridCol w:w="1701"/>
        <w:gridCol w:w="1559"/>
        <w:gridCol w:w="1276"/>
      </w:tblGrid>
      <w:tr w:rsidR="002063E1" w:rsidRPr="00051E7D" w:rsidTr="00A34CAD">
        <w:trPr>
          <w:cantSplit/>
          <w:trHeight w:val="20"/>
        </w:trPr>
        <w:tc>
          <w:tcPr>
            <w:tcW w:w="3261" w:type="dxa"/>
            <w:gridSpan w:val="2"/>
            <w:tcBorders>
              <w:bottom w:val="single" w:sz="4" w:space="0" w:color="auto"/>
            </w:tcBorders>
          </w:tcPr>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lastRenderedPageBreak/>
              <w:t>Name, Restriction,</w:t>
            </w:r>
          </w:p>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Manner of administration and form</w:t>
            </w:r>
          </w:p>
        </w:tc>
        <w:tc>
          <w:tcPr>
            <w:tcW w:w="567" w:type="dxa"/>
            <w:tcBorders>
              <w:bottom w:val="single" w:sz="4" w:space="0" w:color="auto"/>
            </w:tcBorders>
          </w:tcPr>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Max.</w:t>
            </w:r>
          </w:p>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Qty</w:t>
            </w:r>
          </w:p>
        </w:tc>
        <w:tc>
          <w:tcPr>
            <w:tcW w:w="850" w:type="dxa"/>
            <w:tcBorders>
              <w:bottom w:val="single" w:sz="4" w:space="0" w:color="auto"/>
            </w:tcBorders>
          </w:tcPr>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№.of</w:t>
            </w:r>
          </w:p>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Rpts</w:t>
            </w:r>
          </w:p>
        </w:tc>
        <w:tc>
          <w:tcPr>
            <w:tcW w:w="1701" w:type="dxa"/>
            <w:tcBorders>
              <w:bottom w:val="single" w:sz="4" w:space="0" w:color="auto"/>
            </w:tcBorders>
          </w:tcPr>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Dispensed Price for Max. Qty</w:t>
            </w:r>
          </w:p>
        </w:tc>
        <w:tc>
          <w:tcPr>
            <w:tcW w:w="2835" w:type="dxa"/>
            <w:gridSpan w:val="2"/>
            <w:tcBorders>
              <w:bottom w:val="single" w:sz="4" w:space="0" w:color="auto"/>
            </w:tcBorders>
          </w:tcPr>
          <w:p w:rsidR="002063E1" w:rsidRPr="00051E7D" w:rsidRDefault="002063E1" w:rsidP="00A34CAD">
            <w:pPr>
              <w:keepNext/>
              <w:spacing w:before="0" w:after="0"/>
              <w:rPr>
                <w:rFonts w:ascii="Arial Narrow" w:hAnsi="Arial Narrow" w:cs="Arial"/>
                <w:i/>
                <w:sz w:val="20"/>
                <w:szCs w:val="20"/>
                <w:lang w:val="fr-FR"/>
              </w:rPr>
            </w:pPr>
            <w:r w:rsidRPr="00051E7D">
              <w:rPr>
                <w:rFonts w:ascii="Arial Narrow" w:hAnsi="Arial Narrow" w:cs="Arial"/>
                <w:i/>
                <w:sz w:val="20"/>
                <w:szCs w:val="20"/>
              </w:rPr>
              <w:t>Proprietary Name and Manufacturer</w:t>
            </w:r>
          </w:p>
        </w:tc>
      </w:tr>
      <w:tr w:rsidR="002063E1" w:rsidRPr="00051E7D" w:rsidTr="00A34CAD">
        <w:trPr>
          <w:cantSplit/>
          <w:trHeight w:val="819"/>
        </w:trPr>
        <w:tc>
          <w:tcPr>
            <w:tcW w:w="3261" w:type="dxa"/>
            <w:gridSpan w:val="2"/>
          </w:tcPr>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mallCaps/>
                <w:sz w:val="20"/>
                <w:szCs w:val="20"/>
              </w:rPr>
              <w:t>Osimertinib</w:t>
            </w:r>
          </w:p>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40 mg tablet, 30</w:t>
            </w:r>
          </w:p>
        </w:tc>
        <w:tc>
          <w:tcPr>
            <w:tcW w:w="567" w:type="dxa"/>
          </w:tcPr>
          <w:p w:rsidR="002063E1" w:rsidRPr="00051E7D" w:rsidRDefault="002063E1" w:rsidP="00A34CAD">
            <w:pPr>
              <w:keepNext/>
              <w:spacing w:before="0" w:after="0"/>
              <w:ind w:left="-108"/>
              <w:rPr>
                <w:rFonts w:ascii="Arial Narrow" w:hAnsi="Arial Narrow" w:cs="Arial"/>
                <w:i/>
                <w:sz w:val="20"/>
                <w:szCs w:val="20"/>
              </w:rPr>
            </w:pPr>
          </w:p>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1</w:t>
            </w:r>
          </w:p>
        </w:tc>
        <w:tc>
          <w:tcPr>
            <w:tcW w:w="850" w:type="dxa"/>
          </w:tcPr>
          <w:p w:rsidR="002063E1" w:rsidRPr="00051E7D" w:rsidRDefault="002063E1" w:rsidP="00A34CAD">
            <w:pPr>
              <w:keepNext/>
              <w:spacing w:before="0" w:after="0"/>
              <w:rPr>
                <w:rFonts w:ascii="Arial Narrow" w:hAnsi="Arial Narrow" w:cs="Arial"/>
                <w:i/>
                <w:sz w:val="20"/>
                <w:szCs w:val="20"/>
              </w:rPr>
            </w:pPr>
          </w:p>
          <w:p w:rsidR="002063E1" w:rsidRPr="00051E7D" w:rsidRDefault="002063E1" w:rsidP="00A34CAD">
            <w:pPr>
              <w:keepNext/>
              <w:spacing w:before="0" w:after="0"/>
              <w:rPr>
                <w:rFonts w:ascii="Arial Narrow" w:hAnsi="Arial Narrow" w:cs="Arial"/>
                <w:i/>
                <w:sz w:val="20"/>
                <w:szCs w:val="20"/>
              </w:rPr>
            </w:pPr>
            <w:r w:rsidRPr="00051E7D">
              <w:rPr>
                <w:rFonts w:ascii="Arial Narrow" w:hAnsi="Arial Narrow" w:cs="Arial"/>
                <w:i/>
                <w:sz w:val="20"/>
                <w:szCs w:val="20"/>
              </w:rPr>
              <w:t>5</w:t>
            </w:r>
          </w:p>
        </w:tc>
        <w:tc>
          <w:tcPr>
            <w:tcW w:w="1701" w:type="dxa"/>
          </w:tcPr>
          <w:p w:rsidR="002063E1" w:rsidRPr="00051E7D" w:rsidRDefault="002063E1" w:rsidP="00A34CAD">
            <w:pPr>
              <w:keepNext/>
              <w:spacing w:before="0" w:after="0"/>
              <w:ind w:left="-108"/>
              <w:rPr>
                <w:rFonts w:ascii="Arial Narrow" w:hAnsi="Arial Narrow" w:cs="Arial"/>
                <w:i/>
                <w:sz w:val="20"/>
                <w:szCs w:val="20"/>
              </w:rPr>
            </w:pPr>
          </w:p>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w:t>
            </w:r>
            <w:r w:rsidR="000B2D46">
              <w:rPr>
                <w:rFonts w:ascii="Arial Narrow" w:hAnsi="Arial Narrow" w:cs="Arial"/>
                <w:i/>
                <w:noProof/>
                <w:color w:val="000000"/>
                <w:sz w:val="20"/>
                <w:szCs w:val="20"/>
                <w:highlight w:val="black"/>
              </w:rPr>
              <w:t>'''''''''''''''''''''''</w:t>
            </w:r>
            <w:r w:rsidRPr="00051E7D">
              <w:rPr>
                <w:rFonts w:ascii="Arial Narrow" w:hAnsi="Arial Narrow" w:cs="Arial"/>
                <w:i/>
                <w:sz w:val="20"/>
                <w:szCs w:val="20"/>
              </w:rPr>
              <w:t xml:space="preserve"> (published)</w:t>
            </w:r>
          </w:p>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w:t>
            </w:r>
            <w:r w:rsidR="000B2D46">
              <w:rPr>
                <w:rFonts w:ascii="Arial Narrow" w:hAnsi="Arial Narrow" w:cs="Arial"/>
                <w:i/>
                <w:noProof/>
                <w:color w:val="000000"/>
                <w:sz w:val="20"/>
                <w:szCs w:val="20"/>
                <w:highlight w:val="black"/>
              </w:rPr>
              <w:t>''''''''''''''''''''''</w:t>
            </w:r>
            <w:r w:rsidRPr="00051E7D">
              <w:rPr>
                <w:rFonts w:ascii="Arial Narrow" w:hAnsi="Arial Narrow" w:cs="Arial"/>
                <w:i/>
                <w:sz w:val="20"/>
                <w:szCs w:val="20"/>
              </w:rPr>
              <w:t xml:space="preserve"> (effective)</w:t>
            </w:r>
          </w:p>
        </w:tc>
        <w:tc>
          <w:tcPr>
            <w:tcW w:w="1559" w:type="dxa"/>
            <w:vAlign w:val="center"/>
          </w:tcPr>
          <w:p w:rsidR="002063E1" w:rsidRPr="00051E7D" w:rsidRDefault="002063E1" w:rsidP="00A34CAD">
            <w:pPr>
              <w:keepNext/>
              <w:spacing w:before="0" w:after="0"/>
              <w:jc w:val="center"/>
              <w:rPr>
                <w:rFonts w:ascii="Arial Narrow" w:hAnsi="Arial Narrow" w:cs="Arial"/>
                <w:i/>
                <w:sz w:val="20"/>
                <w:szCs w:val="20"/>
              </w:rPr>
            </w:pPr>
            <w:r w:rsidRPr="00051E7D">
              <w:rPr>
                <w:rFonts w:ascii="Arial Narrow" w:hAnsi="Arial Narrow" w:cs="Arial"/>
                <w:i/>
                <w:sz w:val="20"/>
                <w:szCs w:val="20"/>
              </w:rPr>
              <w:t>Tagrisso®</w:t>
            </w:r>
          </w:p>
        </w:tc>
        <w:tc>
          <w:tcPr>
            <w:tcW w:w="1276" w:type="dxa"/>
            <w:vAlign w:val="center"/>
          </w:tcPr>
          <w:p w:rsidR="002063E1" w:rsidRPr="00051E7D" w:rsidRDefault="002063E1" w:rsidP="00A34CAD">
            <w:pPr>
              <w:keepNext/>
              <w:spacing w:before="0" w:after="0"/>
              <w:jc w:val="center"/>
              <w:rPr>
                <w:rFonts w:ascii="Arial Narrow" w:hAnsi="Arial Narrow" w:cs="Arial"/>
                <w:i/>
                <w:sz w:val="20"/>
                <w:szCs w:val="20"/>
              </w:rPr>
            </w:pPr>
            <w:r w:rsidRPr="00051E7D">
              <w:rPr>
                <w:rFonts w:ascii="Arial Narrow" w:hAnsi="Arial Narrow" w:cs="Arial"/>
                <w:i/>
                <w:sz w:val="20"/>
                <w:szCs w:val="20"/>
              </w:rPr>
              <w:t>AstraZeneca Pty Ltd</w:t>
            </w:r>
          </w:p>
        </w:tc>
      </w:tr>
      <w:tr w:rsidR="002063E1" w:rsidRPr="00051E7D" w:rsidTr="00A34CAD">
        <w:trPr>
          <w:cantSplit/>
          <w:trHeight w:val="567"/>
        </w:trPr>
        <w:tc>
          <w:tcPr>
            <w:tcW w:w="3261" w:type="dxa"/>
            <w:gridSpan w:val="2"/>
            <w:vAlign w:val="center"/>
          </w:tcPr>
          <w:p w:rsidR="002063E1" w:rsidRPr="00051E7D" w:rsidRDefault="002063E1" w:rsidP="00A34CAD">
            <w:pPr>
              <w:keepNext/>
              <w:spacing w:before="0" w:after="0"/>
              <w:ind w:left="-108"/>
              <w:rPr>
                <w:rFonts w:ascii="Arial Narrow" w:hAnsi="Arial Narrow" w:cs="Arial"/>
                <w:i/>
                <w:smallCaps/>
                <w:sz w:val="20"/>
                <w:szCs w:val="20"/>
              </w:rPr>
            </w:pPr>
            <w:r w:rsidRPr="00051E7D">
              <w:rPr>
                <w:rFonts w:ascii="Arial Narrow" w:hAnsi="Arial Narrow" w:cs="Arial"/>
                <w:i/>
                <w:sz w:val="20"/>
                <w:szCs w:val="20"/>
              </w:rPr>
              <w:t>80 mg tablet, 30</w:t>
            </w:r>
          </w:p>
        </w:tc>
        <w:tc>
          <w:tcPr>
            <w:tcW w:w="567" w:type="dxa"/>
            <w:vAlign w:val="center"/>
          </w:tcPr>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1</w:t>
            </w:r>
          </w:p>
        </w:tc>
        <w:tc>
          <w:tcPr>
            <w:tcW w:w="850" w:type="dxa"/>
            <w:vAlign w:val="center"/>
          </w:tcPr>
          <w:p w:rsidR="002063E1" w:rsidRPr="00051E7D" w:rsidRDefault="002063E1" w:rsidP="00A34CAD">
            <w:pPr>
              <w:keepNext/>
              <w:spacing w:before="0" w:after="0"/>
              <w:rPr>
                <w:rFonts w:ascii="Arial Narrow" w:hAnsi="Arial Narrow" w:cs="Arial"/>
                <w:i/>
                <w:sz w:val="20"/>
                <w:szCs w:val="20"/>
              </w:rPr>
            </w:pPr>
            <w:r w:rsidRPr="00051E7D">
              <w:rPr>
                <w:rFonts w:ascii="Arial Narrow" w:hAnsi="Arial Narrow" w:cs="Arial"/>
                <w:i/>
                <w:sz w:val="20"/>
                <w:szCs w:val="20"/>
              </w:rPr>
              <w:t>5</w:t>
            </w:r>
          </w:p>
        </w:tc>
        <w:tc>
          <w:tcPr>
            <w:tcW w:w="1701" w:type="dxa"/>
            <w:vAlign w:val="center"/>
          </w:tcPr>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w:t>
            </w:r>
            <w:r w:rsidR="000B2D46">
              <w:rPr>
                <w:rFonts w:ascii="Arial Narrow" w:hAnsi="Arial Narrow" w:cs="Arial"/>
                <w:i/>
                <w:noProof/>
                <w:color w:val="000000"/>
                <w:sz w:val="20"/>
                <w:szCs w:val="20"/>
                <w:highlight w:val="black"/>
              </w:rPr>
              <w:t>''''''''''''''''''''</w:t>
            </w:r>
            <w:r w:rsidRPr="00051E7D">
              <w:rPr>
                <w:rFonts w:ascii="Arial Narrow" w:hAnsi="Arial Narrow" w:cs="Arial"/>
                <w:i/>
                <w:sz w:val="20"/>
                <w:szCs w:val="20"/>
              </w:rPr>
              <w:t xml:space="preserve"> (published)</w:t>
            </w:r>
          </w:p>
          <w:p w:rsidR="002063E1" w:rsidRPr="00051E7D" w:rsidRDefault="002063E1" w:rsidP="00A34CAD">
            <w:pPr>
              <w:keepNext/>
              <w:spacing w:before="0" w:after="0"/>
              <w:ind w:left="-108"/>
              <w:rPr>
                <w:rFonts w:ascii="Arial Narrow" w:hAnsi="Arial Narrow" w:cs="Arial"/>
                <w:i/>
                <w:sz w:val="20"/>
                <w:szCs w:val="20"/>
              </w:rPr>
            </w:pPr>
            <w:r w:rsidRPr="00051E7D">
              <w:rPr>
                <w:rFonts w:ascii="Arial Narrow" w:hAnsi="Arial Narrow" w:cs="Arial"/>
                <w:i/>
                <w:sz w:val="20"/>
                <w:szCs w:val="20"/>
              </w:rPr>
              <w:t>$</w:t>
            </w:r>
            <w:r w:rsidR="000B2D46">
              <w:rPr>
                <w:rFonts w:ascii="Arial Narrow" w:hAnsi="Arial Narrow" w:cs="Arial"/>
                <w:i/>
                <w:noProof/>
                <w:color w:val="000000"/>
                <w:sz w:val="20"/>
                <w:szCs w:val="20"/>
                <w:highlight w:val="black"/>
              </w:rPr>
              <w:t>'''''''''''''''''''</w:t>
            </w:r>
            <w:r w:rsidRPr="00051E7D">
              <w:rPr>
                <w:rFonts w:ascii="Arial Narrow" w:hAnsi="Arial Narrow" w:cs="Arial"/>
                <w:i/>
                <w:sz w:val="20"/>
                <w:szCs w:val="20"/>
              </w:rPr>
              <w:t xml:space="preserve"> (effective)</w:t>
            </w:r>
          </w:p>
        </w:tc>
        <w:tc>
          <w:tcPr>
            <w:tcW w:w="1559" w:type="dxa"/>
            <w:vAlign w:val="center"/>
          </w:tcPr>
          <w:p w:rsidR="002063E1" w:rsidRPr="00051E7D" w:rsidRDefault="002063E1" w:rsidP="00A34CAD">
            <w:pPr>
              <w:keepNext/>
              <w:spacing w:before="0" w:after="0"/>
              <w:rPr>
                <w:rFonts w:ascii="Arial Narrow" w:hAnsi="Arial Narrow" w:cs="Arial"/>
                <w:i/>
                <w:sz w:val="20"/>
                <w:szCs w:val="20"/>
              </w:rPr>
            </w:pPr>
          </w:p>
        </w:tc>
        <w:tc>
          <w:tcPr>
            <w:tcW w:w="1276" w:type="dxa"/>
            <w:vAlign w:val="center"/>
          </w:tcPr>
          <w:p w:rsidR="002063E1" w:rsidRPr="00051E7D" w:rsidRDefault="002063E1" w:rsidP="00A34CAD">
            <w:pPr>
              <w:keepNext/>
              <w:spacing w:before="0" w:after="0"/>
              <w:rPr>
                <w:rFonts w:ascii="Arial Narrow" w:hAnsi="Arial Narrow" w:cs="Arial"/>
                <w:i/>
                <w:sz w:val="20"/>
                <w:szCs w:val="20"/>
              </w:rPr>
            </w:pPr>
          </w:p>
        </w:tc>
      </w:tr>
      <w:tr w:rsidR="002063E1" w:rsidRPr="00051E7D" w:rsidTr="00A34CAD">
        <w:trPr>
          <w:cantSplit/>
          <w:trHeight w:val="20"/>
        </w:trPr>
        <w:tc>
          <w:tcPr>
            <w:tcW w:w="9214" w:type="dxa"/>
            <w:gridSpan w:val="7"/>
            <w:tcBorders>
              <w:bottom w:val="single" w:sz="4" w:space="0" w:color="auto"/>
            </w:tcBorders>
          </w:tcPr>
          <w:p w:rsidR="002063E1" w:rsidRPr="00051E7D" w:rsidRDefault="002063E1" w:rsidP="00A34CAD">
            <w:pPr>
              <w:spacing w:before="0" w:after="0"/>
              <w:rPr>
                <w:rFonts w:ascii="Arial Narrow" w:hAnsi="Arial Narrow" w:cs="Arial"/>
                <w:i/>
                <w:sz w:val="20"/>
                <w:szCs w:val="20"/>
              </w:rPr>
            </w:pP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b/>
                <w:i/>
                <w:sz w:val="20"/>
                <w:szCs w:val="20"/>
              </w:rPr>
            </w:pPr>
            <w:r w:rsidRPr="00051E7D">
              <w:rPr>
                <w:rFonts w:ascii="Arial Narrow" w:hAnsi="Arial Narrow" w:cs="Arial"/>
                <w:b/>
                <w:i/>
                <w:sz w:val="20"/>
                <w:szCs w:val="20"/>
              </w:rPr>
              <w:t>Category / Program</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GENERAL – General Schedule (Code GE)</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b/>
                <w:i/>
                <w:sz w:val="20"/>
                <w:szCs w:val="20"/>
              </w:rPr>
            </w:pPr>
            <w:r w:rsidRPr="00051E7D">
              <w:rPr>
                <w:rFonts w:ascii="Arial Narrow" w:hAnsi="Arial Narrow" w:cs="Arial"/>
                <w:b/>
                <w:i/>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2D0AA2">
            <w:pPr>
              <w:spacing w:before="0" w:after="0"/>
              <w:rPr>
                <w:rFonts w:ascii="Arial Narrow" w:hAnsi="Arial Narrow" w:cs="Arial"/>
                <w:i/>
                <w:sz w:val="20"/>
                <w:szCs w:val="20"/>
              </w:rPr>
            </w:pPr>
            <w:r w:rsidRPr="00051E7D">
              <w:rPr>
                <w:rFonts w:ascii="Arial Narrow" w:hAnsi="Arial Narrow" w:cs="Arial"/>
                <w:i/>
                <w:sz w:val="20"/>
                <w:szCs w:val="20"/>
              </w:rPr>
              <w:fldChar w:fldCharType="begin">
                <w:ffData>
                  <w:name w:val="Check1"/>
                  <w:enabled/>
                  <w:calcOnExit w:val="0"/>
                  <w:checkBox>
                    <w:sizeAuto/>
                    <w:default w:val="0"/>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 xml:space="preserve">Dental </w:t>
            </w:r>
            <w:r w:rsidRPr="00051E7D">
              <w:rPr>
                <w:rFonts w:ascii="Arial Narrow" w:hAnsi="Arial Narrow" w:cs="Arial"/>
                <w:i/>
                <w:sz w:val="20"/>
                <w:szCs w:val="20"/>
              </w:rPr>
              <w:fldChar w:fldCharType="begin">
                <w:ffData>
                  <w:name w:val=""/>
                  <w:enabled/>
                  <w:calcOnExit w:val="0"/>
                  <w:checkBox>
                    <w:sizeAuto/>
                    <w:default w:val="1"/>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 xml:space="preserve">Medical Practitioners </w:t>
            </w:r>
            <w:r w:rsidRPr="00051E7D">
              <w:rPr>
                <w:rFonts w:ascii="Arial Narrow" w:hAnsi="Arial Narrow" w:cs="Arial"/>
                <w:i/>
                <w:sz w:val="20"/>
                <w:szCs w:val="20"/>
              </w:rPr>
              <w:fldChar w:fldCharType="begin">
                <w:ffData>
                  <w:name w:val="Check3"/>
                  <w:enabled/>
                  <w:calcOnExit w:val="0"/>
                  <w:checkBox>
                    <w:sizeAuto/>
                    <w:default w:val="0"/>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 xml:space="preserve">Nurse practitioners </w:t>
            </w:r>
            <w:r w:rsidRPr="00051E7D">
              <w:rPr>
                <w:rFonts w:ascii="Arial Narrow" w:hAnsi="Arial Narrow" w:cs="Arial"/>
                <w:i/>
                <w:sz w:val="20"/>
                <w:szCs w:val="20"/>
              </w:rPr>
              <w:fldChar w:fldCharType="begin">
                <w:ffData>
                  <w:name w:val=""/>
                  <w:enabled/>
                  <w:calcOnExit w:val="0"/>
                  <w:checkBox>
                    <w:sizeAuto/>
                    <w:default w:val="0"/>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Optometrists</w:t>
            </w:r>
            <w:r w:rsidR="002D0AA2">
              <w:rPr>
                <w:rFonts w:ascii="Arial Narrow" w:hAnsi="Arial Narrow" w:cs="Arial"/>
                <w:i/>
                <w:sz w:val="20"/>
                <w:szCs w:val="20"/>
              </w:rPr>
              <w:t xml:space="preserve"> </w:t>
            </w:r>
            <w:r w:rsidRPr="00051E7D">
              <w:rPr>
                <w:rFonts w:ascii="Arial Narrow" w:hAnsi="Arial Narrow" w:cs="Arial"/>
                <w:i/>
                <w:sz w:val="20"/>
                <w:szCs w:val="20"/>
              </w:rPr>
              <w:fldChar w:fldCharType="begin">
                <w:ffData>
                  <w:name w:val="Check5"/>
                  <w:enabled/>
                  <w:calcOnExit w:val="0"/>
                  <w:checkBox>
                    <w:sizeAuto/>
                    <w:default w:val="0"/>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Midwives</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b/>
                <w:i/>
                <w:sz w:val="20"/>
                <w:szCs w:val="20"/>
              </w:rPr>
            </w:pPr>
            <w:r w:rsidRPr="00051E7D">
              <w:rPr>
                <w:rFonts w:ascii="Arial Narrow" w:hAnsi="Arial Narrow" w:cs="Arial"/>
                <w:b/>
                <w:i/>
                <w:sz w:val="20"/>
                <w:szCs w:val="20"/>
              </w:rPr>
              <w:t>Severity:</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i/>
                <w:sz w:val="20"/>
              </w:rPr>
            </w:pPr>
            <w:r w:rsidRPr="00051E7D">
              <w:rPr>
                <w:rFonts w:ascii="Arial Narrow" w:hAnsi="Arial Narrow"/>
                <w:i/>
                <w:sz w:val="20"/>
              </w:rPr>
              <w:t>Locally advanced (Stage IIIB) or metastatic (Stage IV)</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b/>
                <w:i/>
                <w:sz w:val="20"/>
                <w:szCs w:val="20"/>
              </w:rPr>
            </w:pPr>
            <w:r w:rsidRPr="00051E7D">
              <w:rPr>
                <w:rFonts w:ascii="Arial Narrow" w:hAnsi="Arial Narrow" w:cs="Arial"/>
                <w:b/>
                <w:i/>
                <w:sz w:val="20"/>
                <w:szCs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i/>
                <w:sz w:val="20"/>
              </w:rPr>
            </w:pPr>
            <w:r w:rsidRPr="00051E7D">
              <w:rPr>
                <w:rFonts w:ascii="Arial Narrow" w:hAnsi="Arial Narrow"/>
                <w:i/>
                <w:sz w:val="20"/>
              </w:rPr>
              <w:t>Non-small cell lung cancer (NSCLC)</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b/>
                <w:i/>
                <w:sz w:val="20"/>
                <w:szCs w:val="20"/>
              </w:rPr>
            </w:pPr>
            <w:r w:rsidRPr="00051E7D">
              <w:rPr>
                <w:rFonts w:ascii="Arial Narrow" w:hAnsi="Arial Narrow" w:cs="Arial"/>
                <w:b/>
                <w:i/>
                <w:sz w:val="20"/>
                <w:szCs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Locally advanced (Stage IIIB) or metastatic (Stage IV) non-small cell lung cancer</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b/>
                <w:i/>
                <w:sz w:val="20"/>
                <w:szCs w:val="20"/>
              </w:rPr>
            </w:pPr>
            <w:r w:rsidRPr="00051E7D">
              <w:rPr>
                <w:rFonts w:ascii="Arial Narrow" w:hAnsi="Arial Narrow" w:cs="Arial"/>
                <w:b/>
                <w:i/>
                <w:sz w:val="20"/>
                <w:szCs w:val="20"/>
              </w:rPr>
              <w:t>Treatment phase:</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Grandfathering</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2D0AA2">
            <w:pPr>
              <w:spacing w:before="0" w:after="0"/>
              <w:rPr>
                <w:rFonts w:ascii="Arial Narrow" w:hAnsi="Arial Narrow" w:cs="Arial"/>
                <w:i/>
                <w:sz w:val="20"/>
                <w:szCs w:val="20"/>
              </w:rPr>
            </w:pPr>
            <w:r w:rsidRPr="00051E7D">
              <w:rPr>
                <w:rFonts w:ascii="Arial Narrow" w:hAnsi="Arial Narrow" w:cs="Arial"/>
                <w:b/>
                <w:i/>
                <w:sz w:val="20"/>
                <w:szCs w:val="20"/>
              </w:rPr>
              <w:t>Restriction Level / Method:</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fldChar w:fldCharType="begin">
                <w:ffData>
                  <w:name w:val="Check1"/>
                  <w:enabled/>
                  <w:calcOnExit w:val="0"/>
                  <w:checkBox>
                    <w:sizeAuto/>
                    <w:default w:val="0"/>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Restricted benefit</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fldChar w:fldCharType="begin">
                <w:ffData>
                  <w:name w:val=""/>
                  <w:enabled/>
                  <w:calcOnExit w:val="0"/>
                  <w:checkBox>
                    <w:sizeAuto/>
                    <w:default w:val="1"/>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Authority Required - In Writing</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fldChar w:fldCharType="begin">
                <w:ffData>
                  <w:name w:val=""/>
                  <w:enabled/>
                  <w:calcOnExit w:val="0"/>
                  <w:checkBox>
                    <w:sizeAuto/>
                    <w:default w:val="1"/>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Authority Required - Telephone</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fldChar w:fldCharType="begin">
                <w:ffData>
                  <w:name w:val=""/>
                  <w:enabled/>
                  <w:calcOnExit w:val="0"/>
                  <w:checkBox>
                    <w:sizeAuto/>
                    <w:default w:val="0"/>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Authority Required - Emergency</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fldChar w:fldCharType="begin">
                <w:ffData>
                  <w:name w:val=""/>
                  <w:enabled/>
                  <w:calcOnExit w:val="0"/>
                  <w:checkBox>
                    <w:sizeAuto/>
                    <w:default w:val="1"/>
                  </w:checkBox>
                </w:ffData>
              </w:fldChar>
            </w:r>
            <w:r w:rsidRPr="00051E7D">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sidRPr="00051E7D">
              <w:rPr>
                <w:rFonts w:ascii="Arial Narrow" w:hAnsi="Arial Narrow" w:cs="Arial"/>
                <w:i/>
                <w:sz w:val="20"/>
                <w:szCs w:val="20"/>
              </w:rPr>
              <w:fldChar w:fldCharType="end"/>
            </w:r>
            <w:r w:rsidRPr="00051E7D">
              <w:rPr>
                <w:rFonts w:ascii="Arial Narrow" w:hAnsi="Arial Narrow" w:cs="Arial"/>
                <w:i/>
                <w:sz w:val="20"/>
                <w:szCs w:val="20"/>
              </w:rPr>
              <w:t>Authority Required - Electronic</w:t>
            </w:r>
          </w:p>
          <w:p w:rsidR="002063E1" w:rsidRPr="00051E7D" w:rsidRDefault="002063E1" w:rsidP="00A34CAD">
            <w:pPr>
              <w:spacing w:before="0" w:after="0"/>
              <w:rPr>
                <w:rFonts w:ascii="Arial Narrow" w:hAnsi="Arial Narrow" w:cs="Arial"/>
                <w:i/>
                <w:sz w:val="20"/>
                <w:szCs w:val="20"/>
              </w:rPr>
            </w:pPr>
            <w:r>
              <w:rPr>
                <w:rFonts w:ascii="Arial Narrow" w:hAnsi="Arial Narrow" w:cs="Arial"/>
                <w:i/>
                <w:sz w:val="20"/>
                <w:szCs w:val="20"/>
              </w:rPr>
              <w:fldChar w:fldCharType="begin">
                <w:ffData>
                  <w:name w:val=""/>
                  <w:enabled/>
                  <w:calcOnExit w:val="0"/>
                  <w:checkBox>
                    <w:sizeAuto/>
                    <w:default w:val="0"/>
                  </w:checkBox>
                </w:ffData>
              </w:fldChar>
            </w:r>
            <w:r>
              <w:rPr>
                <w:rFonts w:ascii="Arial Narrow" w:hAnsi="Arial Narrow" w:cs="Arial"/>
                <w:i/>
                <w:sz w:val="20"/>
                <w:szCs w:val="20"/>
              </w:rPr>
              <w:instrText xml:space="preserve"> FORMCHECKBOX </w:instrText>
            </w:r>
            <w:r w:rsidR="000B2D46">
              <w:rPr>
                <w:rFonts w:ascii="Arial Narrow" w:hAnsi="Arial Narrow" w:cs="Arial"/>
                <w:i/>
                <w:sz w:val="20"/>
                <w:szCs w:val="20"/>
              </w:rPr>
            </w:r>
            <w:r w:rsidR="000B2D46">
              <w:rPr>
                <w:rFonts w:ascii="Arial Narrow" w:hAnsi="Arial Narrow" w:cs="Arial"/>
                <w:i/>
                <w:sz w:val="20"/>
                <w:szCs w:val="20"/>
              </w:rPr>
              <w:fldChar w:fldCharType="separate"/>
            </w:r>
            <w:r>
              <w:rPr>
                <w:rFonts w:ascii="Arial Narrow" w:hAnsi="Arial Narrow" w:cs="Arial"/>
                <w:i/>
                <w:sz w:val="20"/>
                <w:szCs w:val="20"/>
              </w:rPr>
              <w:fldChar w:fldCharType="end"/>
            </w:r>
            <w:r w:rsidRPr="00051E7D">
              <w:rPr>
                <w:rFonts w:ascii="Arial Narrow" w:hAnsi="Arial Narrow" w:cs="Arial"/>
                <w:i/>
                <w:sz w:val="20"/>
                <w:szCs w:val="20"/>
              </w:rPr>
              <w:t>Streamlined</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2D0AA2">
            <w:pPr>
              <w:spacing w:before="0" w:after="0"/>
              <w:rPr>
                <w:rFonts w:ascii="Arial Narrow" w:hAnsi="Arial Narrow" w:cs="Arial"/>
                <w:i/>
                <w:sz w:val="20"/>
                <w:szCs w:val="20"/>
              </w:rPr>
            </w:pPr>
            <w:r w:rsidRPr="00051E7D">
              <w:rPr>
                <w:rFonts w:ascii="Arial Narrow" w:hAnsi="Arial Narrow" w:cs="Arial"/>
                <w:b/>
                <w:i/>
                <w:sz w:val="20"/>
                <w:szCs w:val="20"/>
              </w:rPr>
              <w:t>Clinical criteria:</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 xml:space="preserve">Patient must have previously received </w:t>
            </w:r>
            <w:r>
              <w:rPr>
                <w:rFonts w:ascii="Arial Narrow" w:hAnsi="Arial Narrow" w:cs="Arial"/>
                <w:i/>
                <w:sz w:val="20"/>
                <w:szCs w:val="20"/>
              </w:rPr>
              <w:t xml:space="preserve">non-PBS subsidised </w:t>
            </w:r>
            <w:r w:rsidRPr="00051E7D">
              <w:rPr>
                <w:rFonts w:ascii="Arial Narrow" w:hAnsi="Arial Narrow" w:cs="Arial"/>
                <w:i/>
                <w:sz w:val="20"/>
                <w:szCs w:val="20"/>
              </w:rPr>
              <w:t>treatment with this drug for this condition prior to [</w:t>
            </w:r>
            <w:r>
              <w:rPr>
                <w:rFonts w:ascii="Arial Narrow" w:hAnsi="Arial Narrow" w:cs="Arial"/>
                <w:i/>
                <w:sz w:val="20"/>
                <w:szCs w:val="20"/>
              </w:rPr>
              <w:t>listing date</w:t>
            </w:r>
            <w:r w:rsidRPr="00051E7D">
              <w:rPr>
                <w:rFonts w:ascii="Arial Narrow" w:hAnsi="Arial Narrow" w:cs="Arial"/>
                <w:i/>
                <w:sz w:val="20"/>
                <w:szCs w:val="20"/>
              </w:rPr>
              <w:t xml:space="preserve">], </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AND</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The treatment must be as monotherapy,</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AND</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Patient must have progressive disease following treatment with an epidermal growth factor receptor (</w:t>
            </w:r>
            <w:r w:rsidR="00B901D2" w:rsidRPr="00B901D2">
              <w:rPr>
                <w:rFonts w:ascii="Arial Narrow" w:hAnsi="Arial Narrow" w:cs="Arial"/>
                <w:i/>
                <w:sz w:val="20"/>
                <w:szCs w:val="20"/>
              </w:rPr>
              <w:t>EGFR</w:t>
            </w:r>
            <w:r w:rsidRPr="00051E7D">
              <w:rPr>
                <w:rFonts w:ascii="Arial Narrow" w:hAnsi="Arial Narrow" w:cs="Arial"/>
                <w:i/>
                <w:sz w:val="20"/>
                <w:szCs w:val="20"/>
              </w:rPr>
              <w:t>) tyrosine kinase inhibitor (TKI).</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AND</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Patient must not have progressive disease following treatment with this drug for this condition.</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b/>
                <w:i/>
                <w:sz w:val="20"/>
                <w:szCs w:val="20"/>
              </w:rPr>
              <w:t>Population criteria:</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 xml:space="preserve">Patient must have evidence of a </w:t>
            </w:r>
            <w:r w:rsidR="00B901D2" w:rsidRPr="00B901D2">
              <w:rPr>
                <w:rFonts w:ascii="Arial Narrow" w:hAnsi="Arial Narrow" w:cs="Arial"/>
                <w:i/>
                <w:sz w:val="20"/>
                <w:szCs w:val="20"/>
              </w:rPr>
              <w:t>T790M</w:t>
            </w:r>
            <w:r w:rsidRPr="00051E7D">
              <w:rPr>
                <w:rFonts w:ascii="Arial Narrow" w:hAnsi="Arial Narrow" w:cs="Arial"/>
                <w:i/>
                <w:sz w:val="20"/>
                <w:szCs w:val="20"/>
              </w:rPr>
              <w:t xml:space="preserve"> mutation of the </w:t>
            </w:r>
            <w:r w:rsidR="00B901D2" w:rsidRPr="00B901D2">
              <w:rPr>
                <w:rFonts w:ascii="Arial Narrow" w:hAnsi="Arial Narrow" w:cs="Arial"/>
                <w:i/>
                <w:sz w:val="20"/>
                <w:szCs w:val="20"/>
              </w:rPr>
              <w:t>EGFR</w:t>
            </w:r>
            <w:r w:rsidRPr="00051E7D">
              <w:rPr>
                <w:rFonts w:ascii="Arial Narrow" w:hAnsi="Arial Narrow" w:cs="Arial"/>
                <w:i/>
                <w:sz w:val="20"/>
                <w:szCs w:val="20"/>
              </w:rPr>
              <w:t xml:space="preserve"> gene </w:t>
            </w:r>
            <w:r>
              <w:rPr>
                <w:rFonts w:ascii="Arial Narrow" w:hAnsi="Arial Narrow" w:cs="Arial"/>
                <w:i/>
                <w:sz w:val="20"/>
                <w:szCs w:val="20"/>
              </w:rPr>
              <w:t xml:space="preserve">in tumour tissue </w:t>
            </w:r>
            <w:r w:rsidRPr="00051E7D">
              <w:rPr>
                <w:rFonts w:ascii="Arial Narrow" w:hAnsi="Arial Narrow" w:cs="Arial"/>
                <w:i/>
                <w:sz w:val="20"/>
                <w:szCs w:val="20"/>
              </w:rPr>
              <w:t xml:space="preserve">following progression on or after an </w:t>
            </w:r>
            <w:r w:rsidR="00B901D2" w:rsidRPr="00B901D2">
              <w:rPr>
                <w:rFonts w:ascii="Arial Narrow" w:hAnsi="Arial Narrow" w:cs="Arial"/>
                <w:i/>
                <w:sz w:val="20"/>
                <w:szCs w:val="20"/>
              </w:rPr>
              <w:t>EGFR</w:t>
            </w:r>
            <w:r w:rsidRPr="00051E7D">
              <w:rPr>
                <w:rFonts w:ascii="Arial Narrow" w:hAnsi="Arial Narrow" w:cs="Arial"/>
                <w:i/>
                <w:sz w:val="20"/>
                <w:szCs w:val="20"/>
              </w:rPr>
              <w:t xml:space="preserve"> TKI.</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b/>
                <w:i/>
                <w:sz w:val="20"/>
                <w:szCs w:val="20"/>
              </w:rPr>
            </w:pPr>
            <w:r w:rsidRPr="00DC25FC">
              <w:rPr>
                <w:rFonts w:ascii="Arial Narrow" w:hAnsi="Arial Narrow" w:cs="Arial"/>
                <w:b/>
                <w:i/>
                <w:sz w:val="20"/>
                <w:szCs w:val="20"/>
              </w:rPr>
              <w:t>Prescribing Instructions</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i/>
                <w:sz w:val="20"/>
              </w:rPr>
            </w:pPr>
            <w:r w:rsidRPr="00DC25FC">
              <w:rPr>
                <w:rFonts w:ascii="Arial Narrow" w:hAnsi="Arial Narrow"/>
                <w:i/>
                <w:sz w:val="20"/>
              </w:rPr>
              <w:t>A patient may qualify for PBS-subsidised treatment under this restriction once only.</w:t>
            </w:r>
          </w:p>
        </w:tc>
      </w:tr>
      <w:tr w:rsidR="002063E1" w:rsidRPr="00051E7D" w:rsidTr="002D0AA2">
        <w:trPr>
          <w:cantSplit/>
          <w:trHeight w:val="20"/>
        </w:trPr>
        <w:tc>
          <w:tcPr>
            <w:tcW w:w="2552" w:type="dxa"/>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cs="Arial"/>
                <w:b/>
                <w:i/>
                <w:sz w:val="20"/>
                <w:szCs w:val="20"/>
              </w:rPr>
            </w:pPr>
            <w:r w:rsidRPr="00051E7D">
              <w:rPr>
                <w:rFonts w:ascii="Arial Narrow" w:hAnsi="Arial Narrow" w:cs="Arial"/>
                <w:b/>
                <w:i/>
                <w:sz w:val="20"/>
                <w:szCs w:val="20"/>
              </w:rPr>
              <w:t>Administrative Advice</w:t>
            </w:r>
          </w:p>
        </w:tc>
        <w:tc>
          <w:tcPr>
            <w:tcW w:w="6662" w:type="dxa"/>
            <w:gridSpan w:val="6"/>
            <w:tcBorders>
              <w:top w:val="single" w:sz="4" w:space="0" w:color="auto"/>
              <w:left w:val="single" w:sz="4" w:space="0" w:color="auto"/>
              <w:bottom w:val="single" w:sz="4" w:space="0" w:color="auto"/>
              <w:right w:val="single" w:sz="4" w:space="0" w:color="auto"/>
            </w:tcBorders>
          </w:tcPr>
          <w:p w:rsidR="002063E1" w:rsidRPr="00051E7D" w:rsidRDefault="002063E1" w:rsidP="00A34CAD">
            <w:pPr>
              <w:spacing w:before="0" w:after="0"/>
              <w:rPr>
                <w:rFonts w:ascii="Arial Narrow" w:hAnsi="Arial Narrow"/>
                <w:i/>
                <w:sz w:val="20"/>
              </w:rPr>
            </w:pPr>
            <w:r w:rsidRPr="00051E7D">
              <w:rPr>
                <w:rFonts w:ascii="Arial Narrow" w:hAnsi="Arial Narrow"/>
                <w:i/>
                <w:sz w:val="20"/>
              </w:rPr>
              <w:t xml:space="preserve">No increase in the maximum quantity or number of units may be authorised. </w:t>
            </w:r>
          </w:p>
          <w:p w:rsidR="002063E1" w:rsidRPr="00051E7D" w:rsidRDefault="002063E1" w:rsidP="00A34CAD">
            <w:pPr>
              <w:spacing w:before="0" w:after="0"/>
              <w:rPr>
                <w:rFonts w:ascii="Arial Narrow" w:hAnsi="Arial Narrow"/>
                <w:i/>
                <w:sz w:val="20"/>
              </w:rPr>
            </w:pPr>
            <w:r w:rsidRPr="00051E7D">
              <w:rPr>
                <w:rFonts w:ascii="Arial Narrow" w:hAnsi="Arial Narrow"/>
                <w:i/>
                <w:sz w:val="20"/>
              </w:rPr>
              <w:t xml:space="preserve">No increase in the maximum number of repeats may be authorised. </w:t>
            </w:r>
          </w:p>
          <w:p w:rsidR="002063E1" w:rsidRPr="00051E7D" w:rsidRDefault="002063E1" w:rsidP="00A34CAD">
            <w:pPr>
              <w:spacing w:before="0" w:after="0"/>
              <w:rPr>
                <w:rFonts w:ascii="Arial Narrow" w:hAnsi="Arial Narrow" w:cs="Arial"/>
                <w:i/>
                <w:sz w:val="20"/>
                <w:szCs w:val="20"/>
              </w:rPr>
            </w:pPr>
            <w:r w:rsidRPr="00051E7D">
              <w:rPr>
                <w:rFonts w:ascii="Arial Narrow" w:hAnsi="Arial Narrow" w:cs="Arial"/>
                <w:i/>
                <w:sz w:val="20"/>
                <w:szCs w:val="20"/>
              </w:rPr>
              <w:t>Special Pricing Arrangements apply.</w:t>
            </w:r>
          </w:p>
        </w:tc>
      </w:tr>
    </w:tbl>
    <w:p w:rsidR="00EE3172" w:rsidRPr="00536F4D" w:rsidRDefault="00EE3172" w:rsidP="00891893">
      <w:pPr>
        <w:pStyle w:val="ListParagraph"/>
        <w:ind w:left="709" w:hanging="709"/>
      </w:pPr>
      <w:r w:rsidRPr="00536F4D">
        <w:t xml:space="preserve">Osimertinib is an orally administered TKI that is a selective and irreversible inhibitor of </w:t>
      </w:r>
      <w:r w:rsidR="00B901D2" w:rsidRPr="00B901D2">
        <w:rPr>
          <w:i/>
        </w:rPr>
        <w:t>EGFR</w:t>
      </w:r>
      <w:r w:rsidRPr="00536F4D">
        <w:t>s harbouring single (</w:t>
      </w:r>
      <w:r w:rsidRPr="00B901D2">
        <w:rPr>
          <w:i/>
        </w:rPr>
        <w:t>L858R</w:t>
      </w:r>
      <w:r w:rsidRPr="00536F4D">
        <w:t xml:space="preserve"> or </w:t>
      </w:r>
      <w:r w:rsidRPr="00B901D2">
        <w:rPr>
          <w:i/>
        </w:rPr>
        <w:t>del746-750</w:t>
      </w:r>
      <w:r w:rsidRPr="00536F4D">
        <w:t>) or double (</w:t>
      </w:r>
      <w:r w:rsidRPr="00B901D2">
        <w:rPr>
          <w:i/>
        </w:rPr>
        <w:t>L858R/</w:t>
      </w:r>
      <w:r w:rsidR="00B901D2" w:rsidRPr="00B901D2">
        <w:rPr>
          <w:i/>
        </w:rPr>
        <w:t>T790M</w:t>
      </w:r>
      <w:r w:rsidRPr="00536F4D">
        <w:t xml:space="preserve"> or </w:t>
      </w:r>
      <w:r w:rsidRPr="00B901D2">
        <w:rPr>
          <w:i/>
        </w:rPr>
        <w:t>del746-750/</w:t>
      </w:r>
      <w:r w:rsidR="00B901D2" w:rsidRPr="00B901D2">
        <w:rPr>
          <w:i/>
        </w:rPr>
        <w:t>T790M</w:t>
      </w:r>
      <w:r w:rsidRPr="00536F4D">
        <w:t>) mutations.</w:t>
      </w:r>
    </w:p>
    <w:p w:rsidR="002063E1" w:rsidRDefault="00EE3172" w:rsidP="002063E1">
      <w:pPr>
        <w:pStyle w:val="ListParagraph"/>
        <w:ind w:left="709" w:hanging="709"/>
      </w:pPr>
      <w:r w:rsidRPr="00536F4D">
        <w:t xml:space="preserve">Establishing positive </w:t>
      </w:r>
      <w:r w:rsidR="00B901D2" w:rsidRPr="00B901D2">
        <w:rPr>
          <w:i/>
        </w:rPr>
        <w:t>EGFR</w:t>
      </w:r>
      <w:r w:rsidRPr="00536F4D">
        <w:t xml:space="preserve"> </w:t>
      </w:r>
      <w:r w:rsidR="00B901D2" w:rsidRPr="00B901D2">
        <w:rPr>
          <w:i/>
        </w:rPr>
        <w:t>T790M</w:t>
      </w:r>
      <w:r w:rsidRPr="00536F4D">
        <w:t xml:space="preserve"> mutation status after failure to prior first-line TKI therapy is necessary to be eligible </w:t>
      </w:r>
      <w:r w:rsidR="00FE45FA">
        <w:t>for treatment with osimertinib.</w:t>
      </w:r>
    </w:p>
    <w:p w:rsidR="002063E1" w:rsidRPr="00D7141B" w:rsidRDefault="007253C0" w:rsidP="008A376B">
      <w:pPr>
        <w:pStyle w:val="MSACESBulletpoint"/>
        <w:ind w:left="1134" w:hanging="425"/>
        <w:jc w:val="both"/>
        <w:rPr>
          <w:rFonts w:asciiTheme="minorHAnsi" w:hAnsiTheme="minorHAnsi"/>
        </w:rPr>
      </w:pPr>
      <w:r w:rsidRPr="008A376B">
        <w:rPr>
          <w:rFonts w:asciiTheme="minorHAnsi" w:hAnsiTheme="minorHAnsi"/>
        </w:rPr>
        <w:t>In the MBS item descriptor, t</w:t>
      </w:r>
      <w:r w:rsidR="00EE3172" w:rsidRPr="008A376B">
        <w:rPr>
          <w:rFonts w:asciiTheme="minorHAnsi" w:hAnsiTheme="minorHAnsi"/>
        </w:rPr>
        <w:t>he submission proposed use of a tumour</w:t>
      </w:r>
      <w:r w:rsidR="008969B1" w:rsidRPr="008A376B">
        <w:rPr>
          <w:rFonts w:asciiTheme="minorHAnsi" w:hAnsiTheme="minorHAnsi"/>
        </w:rPr>
        <w:t xml:space="preserve"> tissue</w:t>
      </w:r>
      <w:r w:rsidR="00EE3172" w:rsidRPr="008A376B">
        <w:rPr>
          <w:rFonts w:asciiTheme="minorHAnsi" w:hAnsiTheme="minorHAnsi"/>
        </w:rPr>
        <w:t xml:space="preserve"> </w:t>
      </w:r>
      <w:r w:rsidR="008E7128">
        <w:rPr>
          <w:rFonts w:asciiTheme="minorHAnsi" w:hAnsiTheme="minorHAnsi"/>
        </w:rPr>
        <w:t>re</w:t>
      </w:r>
      <w:r w:rsidR="00EE3172" w:rsidRPr="00D7141B">
        <w:rPr>
          <w:rFonts w:asciiTheme="minorHAnsi" w:hAnsiTheme="minorHAnsi"/>
        </w:rPr>
        <w:t xml:space="preserve">biopsy to determine </w:t>
      </w:r>
      <w:r w:rsidR="00B901D2" w:rsidRPr="00D7141B">
        <w:rPr>
          <w:rFonts w:asciiTheme="minorHAnsi" w:hAnsiTheme="minorHAnsi"/>
        </w:rPr>
        <w:t>T790M</w:t>
      </w:r>
      <w:r w:rsidR="00EE3172" w:rsidRPr="00D7141B">
        <w:rPr>
          <w:rFonts w:asciiTheme="minorHAnsi" w:hAnsiTheme="minorHAnsi"/>
        </w:rPr>
        <w:t xml:space="preserve"> positivity whereas the approved osimertinib PI proposes the use of </w:t>
      </w:r>
      <w:r w:rsidR="00395AE3" w:rsidRPr="00D7141B">
        <w:rPr>
          <w:rFonts w:asciiTheme="minorHAnsi" w:hAnsiTheme="minorHAnsi"/>
        </w:rPr>
        <w:t xml:space="preserve">testing based on either </w:t>
      </w:r>
      <w:r w:rsidR="00EE3172" w:rsidRPr="00D7141B">
        <w:rPr>
          <w:rFonts w:asciiTheme="minorHAnsi" w:hAnsiTheme="minorHAnsi"/>
        </w:rPr>
        <w:t xml:space="preserve">tumour </w:t>
      </w:r>
      <w:r w:rsidR="008969B1" w:rsidRPr="00D7141B">
        <w:rPr>
          <w:rFonts w:asciiTheme="minorHAnsi" w:hAnsiTheme="minorHAnsi"/>
        </w:rPr>
        <w:t xml:space="preserve">tissue </w:t>
      </w:r>
      <w:r w:rsidR="00395AE3" w:rsidRPr="00D7141B">
        <w:rPr>
          <w:rFonts w:asciiTheme="minorHAnsi" w:hAnsiTheme="minorHAnsi"/>
        </w:rPr>
        <w:t>or</w:t>
      </w:r>
      <w:r w:rsidR="00EE3172" w:rsidRPr="00D7141B">
        <w:rPr>
          <w:rFonts w:asciiTheme="minorHAnsi" w:hAnsiTheme="minorHAnsi"/>
        </w:rPr>
        <w:t xml:space="preserve"> plasma</w:t>
      </w:r>
      <w:r w:rsidR="002063E1" w:rsidRPr="00D7141B">
        <w:rPr>
          <w:rFonts w:asciiTheme="minorHAnsi" w:hAnsiTheme="minorHAnsi"/>
        </w:rPr>
        <w:t>;</w:t>
      </w:r>
    </w:p>
    <w:p w:rsidR="00194540" w:rsidRPr="00D7141B" w:rsidRDefault="00E20442" w:rsidP="008A376B">
      <w:pPr>
        <w:pStyle w:val="MSACESBulletpoint"/>
        <w:ind w:left="1134" w:hanging="425"/>
        <w:jc w:val="both"/>
        <w:rPr>
          <w:rFonts w:asciiTheme="minorHAnsi" w:hAnsiTheme="minorHAnsi"/>
          <w:color w:val="000000" w:themeColor="text1"/>
        </w:rPr>
      </w:pPr>
      <w:r w:rsidRPr="00D7141B">
        <w:rPr>
          <w:rFonts w:asciiTheme="minorHAnsi" w:hAnsiTheme="minorHAnsi"/>
          <w:color w:val="000000" w:themeColor="text1"/>
        </w:rPr>
        <w:t>t</w:t>
      </w:r>
      <w:r w:rsidR="00194540" w:rsidRPr="00D7141B">
        <w:rPr>
          <w:rFonts w:asciiTheme="minorHAnsi" w:hAnsiTheme="minorHAnsi"/>
          <w:color w:val="000000" w:themeColor="text1"/>
        </w:rPr>
        <w:t>he ESC</w:t>
      </w:r>
      <w:r w:rsidR="00AB58D5" w:rsidRPr="00D7141B">
        <w:rPr>
          <w:rFonts w:asciiTheme="minorHAnsi" w:hAnsiTheme="minorHAnsi"/>
          <w:color w:val="000000" w:themeColor="text1"/>
        </w:rPr>
        <w:t>s</w:t>
      </w:r>
      <w:r w:rsidR="00194540" w:rsidRPr="00D7141B">
        <w:rPr>
          <w:rFonts w:asciiTheme="minorHAnsi" w:hAnsiTheme="minorHAnsi"/>
          <w:color w:val="000000" w:themeColor="text1"/>
        </w:rPr>
        <w:t xml:space="preserve"> noted that the proposed PBS restriction did not specify the type of sample;</w:t>
      </w:r>
    </w:p>
    <w:p w:rsidR="00194540" w:rsidRPr="00D7141B" w:rsidRDefault="00E20442" w:rsidP="008A376B">
      <w:pPr>
        <w:pStyle w:val="MSACESBulletpoint"/>
        <w:ind w:left="1134" w:hanging="425"/>
        <w:jc w:val="both"/>
        <w:rPr>
          <w:rFonts w:asciiTheme="minorHAnsi" w:hAnsiTheme="minorHAnsi"/>
          <w:color w:val="000000" w:themeColor="text1"/>
        </w:rPr>
      </w:pPr>
      <w:r w:rsidRPr="00D7141B">
        <w:rPr>
          <w:rFonts w:asciiTheme="minorHAnsi" w:hAnsiTheme="minorHAnsi"/>
          <w:color w:val="000000" w:themeColor="text1"/>
        </w:rPr>
        <w:t>t</w:t>
      </w:r>
      <w:r w:rsidR="00194540" w:rsidRPr="00D7141B">
        <w:rPr>
          <w:rFonts w:asciiTheme="minorHAnsi" w:hAnsiTheme="minorHAnsi"/>
          <w:color w:val="000000" w:themeColor="text1"/>
        </w:rPr>
        <w:t>he ESC</w:t>
      </w:r>
      <w:r w:rsidR="00AB58D5" w:rsidRPr="00D7141B">
        <w:rPr>
          <w:rFonts w:asciiTheme="minorHAnsi" w:hAnsiTheme="minorHAnsi"/>
          <w:color w:val="000000" w:themeColor="text1"/>
        </w:rPr>
        <w:t>s</w:t>
      </w:r>
      <w:r w:rsidR="00194540" w:rsidRPr="00D7141B">
        <w:rPr>
          <w:rFonts w:asciiTheme="minorHAnsi" w:hAnsiTheme="minorHAnsi"/>
          <w:color w:val="000000" w:themeColor="text1"/>
        </w:rPr>
        <w:t xml:space="preserve"> considered that this was a significant issue, as some patients could elect to pay for plasma-based testing to avoid </w:t>
      </w:r>
      <w:r w:rsidR="008E7128">
        <w:rPr>
          <w:rFonts w:asciiTheme="minorHAnsi" w:hAnsiTheme="minorHAnsi"/>
          <w:color w:val="000000" w:themeColor="text1"/>
        </w:rPr>
        <w:t>re</w:t>
      </w:r>
      <w:r w:rsidR="00194540" w:rsidRPr="00D7141B">
        <w:rPr>
          <w:rFonts w:asciiTheme="minorHAnsi" w:hAnsiTheme="minorHAnsi"/>
          <w:color w:val="000000" w:themeColor="text1"/>
        </w:rPr>
        <w:t>biopsy and still be eligible for osimertinib according to the proposed restriction;</w:t>
      </w:r>
    </w:p>
    <w:p w:rsidR="00194540" w:rsidRPr="00D7141B" w:rsidRDefault="00E20442" w:rsidP="008A376B">
      <w:pPr>
        <w:pStyle w:val="MSACESBulletpoint"/>
        <w:ind w:left="1134" w:hanging="425"/>
        <w:jc w:val="both"/>
        <w:rPr>
          <w:rFonts w:asciiTheme="minorHAnsi" w:hAnsiTheme="minorHAnsi"/>
          <w:color w:val="000000" w:themeColor="text1"/>
        </w:rPr>
      </w:pPr>
      <w:r w:rsidRPr="00D7141B">
        <w:rPr>
          <w:rFonts w:asciiTheme="minorHAnsi" w:hAnsiTheme="minorHAnsi"/>
          <w:color w:val="000000" w:themeColor="text1"/>
        </w:rPr>
        <w:lastRenderedPageBreak/>
        <w:t>h</w:t>
      </w:r>
      <w:r w:rsidR="00194540" w:rsidRPr="00D7141B">
        <w:rPr>
          <w:rFonts w:asciiTheme="minorHAnsi" w:hAnsiTheme="minorHAnsi"/>
          <w:color w:val="000000" w:themeColor="text1"/>
        </w:rPr>
        <w:t>owever, the ESC</w:t>
      </w:r>
      <w:r w:rsidR="00AB58D5" w:rsidRPr="00D7141B">
        <w:rPr>
          <w:rFonts w:asciiTheme="minorHAnsi" w:hAnsiTheme="minorHAnsi"/>
          <w:color w:val="000000" w:themeColor="text1"/>
        </w:rPr>
        <w:t>s</w:t>
      </w:r>
      <w:r w:rsidR="00194540" w:rsidRPr="00D7141B">
        <w:rPr>
          <w:rFonts w:asciiTheme="minorHAnsi" w:hAnsiTheme="minorHAnsi"/>
          <w:color w:val="000000" w:themeColor="text1"/>
        </w:rPr>
        <w:t xml:space="preserve"> considered that the lack of evidence regarding the comparative effectiveness of osimertinib in patients with </w:t>
      </w:r>
      <w:r w:rsidR="00B901D2" w:rsidRPr="00D7141B">
        <w:rPr>
          <w:rFonts w:asciiTheme="minorHAnsi" w:hAnsiTheme="minorHAnsi"/>
          <w:color w:val="000000" w:themeColor="text1"/>
        </w:rPr>
        <w:t>T790M</w:t>
      </w:r>
      <w:r w:rsidR="00194540" w:rsidRPr="00D7141B">
        <w:rPr>
          <w:rFonts w:asciiTheme="minorHAnsi" w:hAnsiTheme="minorHAnsi"/>
          <w:color w:val="000000" w:themeColor="text1"/>
        </w:rPr>
        <w:t xml:space="preserve"> mutations in plasma</w:t>
      </w:r>
      <w:r w:rsidR="00D01026" w:rsidRPr="00D7141B">
        <w:rPr>
          <w:rFonts w:asciiTheme="minorHAnsi" w:hAnsiTheme="minorHAnsi"/>
          <w:color w:val="000000" w:themeColor="text1"/>
        </w:rPr>
        <w:t xml:space="preserve">, and the </w:t>
      </w:r>
      <w:r w:rsidR="00F740BF" w:rsidRPr="00D7141B">
        <w:rPr>
          <w:rFonts w:asciiTheme="minorHAnsi" w:hAnsiTheme="minorHAnsi"/>
          <w:color w:val="000000" w:themeColor="text1"/>
        </w:rPr>
        <w:t xml:space="preserve">biologically plausible </w:t>
      </w:r>
      <w:r w:rsidR="00D01026" w:rsidRPr="00D7141B">
        <w:rPr>
          <w:rFonts w:asciiTheme="minorHAnsi" w:hAnsiTheme="minorHAnsi"/>
          <w:color w:val="000000" w:themeColor="text1"/>
        </w:rPr>
        <w:t>variation in prognostic value of test results from these two sources of test samples</w:t>
      </w:r>
      <w:r w:rsidR="00F740BF" w:rsidRPr="00D7141B">
        <w:rPr>
          <w:rFonts w:asciiTheme="minorHAnsi" w:hAnsiTheme="minorHAnsi"/>
          <w:color w:val="000000" w:themeColor="text1"/>
        </w:rPr>
        <w:t>,</w:t>
      </w:r>
      <w:r w:rsidR="00D01026" w:rsidRPr="00D7141B">
        <w:rPr>
          <w:rFonts w:asciiTheme="minorHAnsi" w:hAnsiTheme="minorHAnsi"/>
          <w:color w:val="000000" w:themeColor="text1"/>
        </w:rPr>
        <w:t xml:space="preserve"> would mean</w:t>
      </w:r>
      <w:r w:rsidR="00194540" w:rsidRPr="00D7141B">
        <w:rPr>
          <w:rFonts w:asciiTheme="minorHAnsi" w:hAnsiTheme="minorHAnsi"/>
          <w:color w:val="000000" w:themeColor="text1"/>
        </w:rPr>
        <w:t xml:space="preserve"> that a new submission </w:t>
      </w:r>
      <w:r w:rsidR="00D01026" w:rsidRPr="00D7141B">
        <w:rPr>
          <w:rFonts w:asciiTheme="minorHAnsi" w:hAnsiTheme="minorHAnsi"/>
          <w:color w:val="000000" w:themeColor="text1"/>
        </w:rPr>
        <w:t>sh</w:t>
      </w:r>
      <w:r w:rsidR="00194540" w:rsidRPr="00D7141B">
        <w:rPr>
          <w:rFonts w:asciiTheme="minorHAnsi" w:hAnsiTheme="minorHAnsi"/>
          <w:color w:val="000000" w:themeColor="text1"/>
        </w:rPr>
        <w:t>ould be required to determine eligibility for osimertinib on the basis of plasma testing for th</w:t>
      </w:r>
      <w:r w:rsidR="00D01026" w:rsidRPr="00D7141B">
        <w:rPr>
          <w:rFonts w:asciiTheme="minorHAnsi" w:hAnsiTheme="minorHAnsi"/>
          <w:color w:val="000000" w:themeColor="text1"/>
        </w:rPr>
        <w:t>es</w:t>
      </w:r>
      <w:r w:rsidR="00194540" w:rsidRPr="00D7141B">
        <w:rPr>
          <w:rFonts w:asciiTheme="minorHAnsi" w:hAnsiTheme="minorHAnsi"/>
          <w:color w:val="000000" w:themeColor="text1"/>
        </w:rPr>
        <w:t>e mutation</w:t>
      </w:r>
      <w:r w:rsidR="00D01026" w:rsidRPr="00D7141B">
        <w:rPr>
          <w:rFonts w:asciiTheme="minorHAnsi" w:hAnsiTheme="minorHAnsi"/>
          <w:color w:val="000000" w:themeColor="text1"/>
        </w:rPr>
        <w:t>s</w:t>
      </w:r>
      <w:r w:rsidR="00194540" w:rsidRPr="00D7141B">
        <w:rPr>
          <w:rFonts w:asciiTheme="minorHAnsi" w:hAnsiTheme="minorHAnsi"/>
          <w:color w:val="000000" w:themeColor="text1"/>
        </w:rPr>
        <w:t>;</w:t>
      </w:r>
      <w:r w:rsidR="00D464B8" w:rsidRPr="00D7141B">
        <w:rPr>
          <w:rFonts w:asciiTheme="minorHAnsi" w:hAnsiTheme="minorHAnsi"/>
          <w:color w:val="000000" w:themeColor="text1"/>
        </w:rPr>
        <w:t xml:space="preserve"> </w:t>
      </w:r>
      <w:r w:rsidR="00194540" w:rsidRPr="00D7141B">
        <w:rPr>
          <w:rFonts w:asciiTheme="minorHAnsi" w:hAnsiTheme="minorHAnsi"/>
          <w:color w:val="000000" w:themeColor="text1"/>
        </w:rPr>
        <w:t xml:space="preserve">and </w:t>
      </w:r>
    </w:p>
    <w:p w:rsidR="00194540" w:rsidRPr="008A376B" w:rsidRDefault="00194540" w:rsidP="008A376B">
      <w:pPr>
        <w:pStyle w:val="MSACESBulletpoint"/>
        <w:ind w:left="1134" w:hanging="425"/>
        <w:jc w:val="both"/>
        <w:rPr>
          <w:rFonts w:asciiTheme="minorHAnsi" w:hAnsiTheme="minorHAnsi"/>
        </w:rPr>
      </w:pPr>
      <w:r w:rsidRPr="00D7141B">
        <w:rPr>
          <w:rFonts w:asciiTheme="minorHAnsi" w:hAnsiTheme="minorHAnsi"/>
          <w:color w:val="000000" w:themeColor="text1"/>
        </w:rPr>
        <w:t>the ESC</w:t>
      </w:r>
      <w:r w:rsidR="00AB58D5" w:rsidRPr="00D7141B">
        <w:rPr>
          <w:rFonts w:asciiTheme="minorHAnsi" w:hAnsiTheme="minorHAnsi"/>
          <w:color w:val="000000" w:themeColor="text1"/>
        </w:rPr>
        <w:t>s</w:t>
      </w:r>
      <w:r w:rsidRPr="00D7141B">
        <w:rPr>
          <w:rFonts w:asciiTheme="minorHAnsi" w:hAnsiTheme="minorHAnsi"/>
          <w:color w:val="000000" w:themeColor="text1"/>
        </w:rPr>
        <w:t xml:space="preserve"> </w:t>
      </w:r>
      <w:r w:rsidR="00D01026" w:rsidRPr="00D7141B">
        <w:rPr>
          <w:rFonts w:asciiTheme="minorHAnsi" w:hAnsiTheme="minorHAnsi"/>
          <w:color w:val="000000" w:themeColor="text1"/>
        </w:rPr>
        <w:t xml:space="preserve">therefore </w:t>
      </w:r>
      <w:r w:rsidRPr="00D7141B">
        <w:rPr>
          <w:rFonts w:asciiTheme="minorHAnsi" w:hAnsiTheme="minorHAnsi"/>
          <w:color w:val="000000" w:themeColor="text1"/>
        </w:rPr>
        <w:t>advised that the</w:t>
      </w:r>
      <w:r w:rsidRPr="00D7141B">
        <w:rPr>
          <w:rFonts w:asciiTheme="minorHAnsi" w:hAnsiTheme="minorHAnsi"/>
        </w:rPr>
        <w:t xml:space="preserve"> wording</w:t>
      </w:r>
      <w:r w:rsidRPr="008A376B">
        <w:rPr>
          <w:rFonts w:asciiTheme="minorHAnsi" w:hAnsiTheme="minorHAnsi"/>
        </w:rPr>
        <w:t xml:space="preserve"> of any PBS restriction should specify use of tumour tissue material to determine </w:t>
      </w:r>
      <w:r w:rsidR="00B901D2" w:rsidRPr="00B901D2">
        <w:rPr>
          <w:rFonts w:asciiTheme="minorHAnsi" w:hAnsiTheme="minorHAnsi"/>
          <w:i/>
        </w:rPr>
        <w:t>T790M</w:t>
      </w:r>
      <w:r w:rsidRPr="008A376B">
        <w:rPr>
          <w:rFonts w:asciiTheme="minorHAnsi" w:hAnsiTheme="minorHAnsi"/>
        </w:rPr>
        <w:t xml:space="preserve"> positivity to be consistent with the primary basis of patient selection in the AURA3 trial, consistent with the current PBS restrictions for TKIs such as erlotinib and gefitinib.</w:t>
      </w:r>
    </w:p>
    <w:p w:rsidR="00EE3172" w:rsidRPr="00536F4D" w:rsidRDefault="00EE3172" w:rsidP="00891893">
      <w:pPr>
        <w:pStyle w:val="ListParagraph"/>
        <w:ind w:left="709" w:hanging="709"/>
      </w:pPr>
      <w:r w:rsidRPr="00536F4D">
        <w:t>The recommended dose of osimertinib is 80</w:t>
      </w:r>
      <w:r w:rsidR="00D01026">
        <w:t> </w:t>
      </w:r>
      <w:r w:rsidRPr="00536F4D">
        <w:t>mg once a day until disease progression or unacceptable toxicity. If a dose reduction is necessary due to toxicity or safety, then the dose of osim</w:t>
      </w:r>
      <w:r w:rsidR="008969B1" w:rsidRPr="00536F4D">
        <w:t>ertinib should be reduced to 40 </w:t>
      </w:r>
      <w:r w:rsidRPr="00536F4D">
        <w:t>mg taken once daily. This is consistent with the approved Therapeutic Goods Administration (TGA) Product Information (PI) for osimertinib.</w:t>
      </w:r>
    </w:p>
    <w:p w:rsidR="00EE3172" w:rsidRPr="00536F4D" w:rsidRDefault="00EE3172" w:rsidP="00891893">
      <w:pPr>
        <w:pStyle w:val="ListParagraph"/>
        <w:ind w:left="709" w:hanging="709"/>
      </w:pPr>
      <w:r w:rsidRPr="00536F4D">
        <w:t xml:space="preserve">The submission proposed a Special Pricing Arrangement </w:t>
      </w:r>
      <w:r w:rsidRPr="00536F4D">
        <w:rPr>
          <w:color w:val="auto"/>
        </w:rPr>
        <w:t>(SPA)</w:t>
      </w:r>
      <w:r w:rsidRPr="00536F4D">
        <w:t xml:space="preserve">. The proposed effective price for osimertinib represents a </w:t>
      </w:r>
      <w:r w:rsidR="000B2D46">
        <w:rPr>
          <w:noProof/>
          <w:color w:val="000000"/>
          <w:highlight w:val="black"/>
        </w:rPr>
        <w:t>''''''''</w:t>
      </w:r>
      <w:r w:rsidRPr="00536F4D">
        <w:t>% rebate on the published dispensed price for maximum quantity.</w:t>
      </w:r>
    </w:p>
    <w:p w:rsidR="00EE3172" w:rsidRPr="00536F4D" w:rsidRDefault="00EE3172" w:rsidP="00891893">
      <w:pPr>
        <w:pStyle w:val="ListParagraph"/>
        <w:ind w:left="709" w:hanging="709"/>
      </w:pPr>
      <w:r w:rsidRPr="00536F4D">
        <w:t xml:space="preserve">The requested listing allows patients with any performance status (PS) to receive treatment with osimertinib, whereas the majority of the osimertinib studies </w:t>
      </w:r>
      <w:r w:rsidR="008969B1" w:rsidRPr="00536F4D">
        <w:t xml:space="preserve">only </w:t>
      </w:r>
      <w:r w:rsidRPr="00536F4D">
        <w:t>included patients with a World Health Organisation (WHO) PS of 0 or 1.</w:t>
      </w:r>
    </w:p>
    <w:p w:rsidR="00806118" w:rsidRDefault="00806118" w:rsidP="00891893">
      <w:pPr>
        <w:pStyle w:val="ListParagraph"/>
        <w:ind w:left="709" w:hanging="709"/>
      </w:pPr>
      <w:r w:rsidRPr="00536F4D">
        <w:t>The proposed restriction does not exclude use of osimertinib after platinum-based chemotherapy.</w:t>
      </w:r>
    </w:p>
    <w:p w:rsidR="002457ED" w:rsidRDefault="00D7141B" w:rsidP="00D7141B">
      <w:pPr>
        <w:pStyle w:val="ListParagraph"/>
        <w:numPr>
          <w:ilvl w:val="0"/>
          <w:numId w:val="0"/>
        </w:numPr>
        <w:ind w:left="709"/>
        <w:rPr>
          <w:i/>
        </w:rPr>
      </w:pPr>
      <w:r w:rsidRPr="00C35EF9">
        <w:rPr>
          <w:i/>
        </w:rPr>
        <w:t>For more detail on PBAC’s view, see section 7 PBAC outcome.</w:t>
      </w:r>
    </w:p>
    <w:p w:rsidR="002457ED" w:rsidRDefault="002457ED">
      <w:pPr>
        <w:spacing w:before="0" w:line="259" w:lineRule="auto"/>
        <w:jc w:val="left"/>
        <w:rPr>
          <w:i/>
          <w:color w:val="000000" w:themeColor="text1"/>
        </w:rPr>
      </w:pPr>
      <w:r>
        <w:rPr>
          <w:i/>
        </w:rPr>
        <w:br w:type="page"/>
      </w:r>
    </w:p>
    <w:p w:rsidR="00D7141B" w:rsidRPr="00536F4D" w:rsidRDefault="00D7141B" w:rsidP="00D7141B">
      <w:pPr>
        <w:pStyle w:val="ListParagraph"/>
        <w:numPr>
          <w:ilvl w:val="0"/>
          <w:numId w:val="0"/>
        </w:numPr>
        <w:ind w:left="709"/>
      </w:pPr>
    </w:p>
    <w:p w:rsidR="003657A4" w:rsidRPr="00536F4D" w:rsidRDefault="003657A4" w:rsidP="003657A4">
      <w:pPr>
        <w:pStyle w:val="ESHeading1"/>
      </w:pPr>
      <w:bookmarkStart w:id="8" w:name="_Toc492390263"/>
      <w:r w:rsidRPr="00536F4D">
        <w:t>Background</w:t>
      </w:r>
      <w:bookmarkEnd w:id="5"/>
      <w:bookmarkEnd w:id="8"/>
    </w:p>
    <w:p w:rsidR="003657A4" w:rsidRPr="00092496" w:rsidRDefault="003657A4" w:rsidP="00092496">
      <w:pPr>
        <w:widowControl w:val="0"/>
        <w:spacing w:before="240" w:line="276" w:lineRule="auto"/>
        <w:ind w:left="1080" w:hanging="1080"/>
        <w:rPr>
          <w:rFonts w:cs="Arial"/>
          <w:b/>
          <w:bCs/>
          <w:i/>
          <w:snapToGrid w:val="0"/>
          <w:sz w:val="28"/>
          <w:szCs w:val="28"/>
        </w:rPr>
      </w:pPr>
      <w:bookmarkStart w:id="9" w:name="_Toc492390264"/>
      <w:r w:rsidRPr="00092496">
        <w:rPr>
          <w:rFonts w:cs="Arial"/>
          <w:b/>
          <w:bCs/>
          <w:i/>
          <w:snapToGrid w:val="0"/>
          <w:sz w:val="28"/>
          <w:szCs w:val="28"/>
        </w:rPr>
        <w:t xml:space="preserve">Registration </w:t>
      </w:r>
      <w:r w:rsidR="008929E1" w:rsidRPr="00092496">
        <w:rPr>
          <w:rFonts w:cs="Arial"/>
          <w:b/>
          <w:bCs/>
          <w:i/>
          <w:snapToGrid w:val="0"/>
          <w:sz w:val="28"/>
          <w:szCs w:val="28"/>
        </w:rPr>
        <w:t>s</w:t>
      </w:r>
      <w:r w:rsidRPr="00092496">
        <w:rPr>
          <w:rFonts w:cs="Arial"/>
          <w:b/>
          <w:bCs/>
          <w:i/>
          <w:snapToGrid w:val="0"/>
          <w:sz w:val="28"/>
          <w:szCs w:val="28"/>
        </w:rPr>
        <w:t>tatus</w:t>
      </w:r>
      <w:bookmarkEnd w:id="9"/>
    </w:p>
    <w:p w:rsidR="00EE3172" w:rsidRPr="00536F4D" w:rsidRDefault="00EE3172" w:rsidP="00891893">
      <w:pPr>
        <w:pStyle w:val="ListParagraph"/>
        <w:ind w:left="709" w:hanging="709"/>
      </w:pPr>
      <w:r w:rsidRPr="00536F4D">
        <w:rPr>
          <w:color w:val="auto"/>
        </w:rPr>
        <w:t xml:space="preserve">Osimertinib was registered by the TGA on 3 August 2016 for “the treatment of patients with locally advanced or metastatic </w:t>
      </w:r>
      <w:r w:rsidR="00B901D2" w:rsidRPr="00B901D2">
        <w:rPr>
          <w:i/>
          <w:color w:val="auto"/>
        </w:rPr>
        <w:t>EGFR</w:t>
      </w:r>
      <w:r w:rsidRPr="00536F4D">
        <w:rPr>
          <w:color w:val="auto"/>
        </w:rPr>
        <w:t xml:space="preserve"> </w:t>
      </w:r>
      <w:r w:rsidR="00B901D2" w:rsidRPr="00B901D2">
        <w:rPr>
          <w:i/>
          <w:color w:val="auto"/>
        </w:rPr>
        <w:t>T790M</w:t>
      </w:r>
      <w:r w:rsidRPr="00536F4D">
        <w:rPr>
          <w:color w:val="auto"/>
        </w:rPr>
        <w:t xml:space="preserve"> mutation-positive non-small cell lung cancer”.</w:t>
      </w:r>
    </w:p>
    <w:p w:rsidR="00EE3172" w:rsidRPr="00536F4D" w:rsidRDefault="00EE3172" w:rsidP="00891893">
      <w:pPr>
        <w:pStyle w:val="ListParagraph"/>
        <w:ind w:left="709" w:hanging="709"/>
      </w:pPr>
      <w:r w:rsidRPr="00FD0C77">
        <w:t xml:space="preserve">The </w:t>
      </w:r>
      <w:r w:rsidR="0098081D" w:rsidRPr="00FD0C77">
        <w:t>ESC</w:t>
      </w:r>
      <w:r w:rsidR="00AB58D5" w:rsidRPr="00FD0C77">
        <w:t>s</w:t>
      </w:r>
      <w:r w:rsidR="0098081D" w:rsidRPr="00FD0C77">
        <w:t xml:space="preserve"> noted that the </w:t>
      </w:r>
      <w:r w:rsidRPr="00FD0C77">
        <w:t>approved TGA indication does not specify that osimertinib must be used in patients with</w:t>
      </w:r>
      <w:r w:rsidRPr="00536F4D">
        <w:t xml:space="preserve"> progressive disease after prior TKI therapy. The proposed PBS restriction is for patients who have progressed on or after </w:t>
      </w:r>
      <w:r w:rsidR="00B901D2" w:rsidRPr="00651569">
        <w:t>EGFR</w:t>
      </w:r>
      <w:r w:rsidRPr="00536F4D">
        <w:t xml:space="preserve"> TKI </w:t>
      </w:r>
      <w:r w:rsidRPr="000C32F5">
        <w:t>therapy. T</w:t>
      </w:r>
      <w:r w:rsidR="0098081D" w:rsidRPr="000C32F5">
        <w:t>he ESC</w:t>
      </w:r>
      <w:r w:rsidR="00AB58D5" w:rsidRPr="000C32F5">
        <w:t>s</w:t>
      </w:r>
      <w:r w:rsidR="0098081D" w:rsidRPr="000C32F5">
        <w:t xml:space="preserve"> advised that</w:t>
      </w:r>
      <w:r w:rsidR="00D01026" w:rsidRPr="000C32F5">
        <w:t>,</w:t>
      </w:r>
      <w:r w:rsidR="0098081D" w:rsidRPr="000C32F5">
        <w:t xml:space="preserve"> although this was</w:t>
      </w:r>
      <w:r w:rsidRPr="000C32F5">
        <w:t xml:space="preserve"> reasonable</w:t>
      </w:r>
      <w:r w:rsidR="00D01026" w:rsidRPr="000C32F5">
        <w:t xml:space="preserve"> because</w:t>
      </w:r>
      <w:r w:rsidRPr="000C32F5">
        <w:t xml:space="preserve"> the evidence on osimertinib provided in the submission </w:t>
      </w:r>
      <w:r w:rsidR="008A376B" w:rsidRPr="000C32F5">
        <w:t>wa</w:t>
      </w:r>
      <w:r w:rsidRPr="000C32F5">
        <w:t>s for patients who have progressed on prior TKI therapies</w:t>
      </w:r>
      <w:r w:rsidR="0098081D" w:rsidRPr="000C32F5">
        <w:t>, there w</w:t>
      </w:r>
      <w:r w:rsidR="00D01026" w:rsidRPr="000C32F5">
        <w:t>ould be</w:t>
      </w:r>
      <w:r w:rsidR="0098081D" w:rsidRPr="000C32F5">
        <w:t xml:space="preserve"> a significant </w:t>
      </w:r>
      <w:r w:rsidR="00D01026" w:rsidRPr="000C32F5">
        <w:t>risk</w:t>
      </w:r>
      <w:r w:rsidR="0098081D" w:rsidRPr="000C32F5">
        <w:t xml:space="preserve"> of leakage into first</w:t>
      </w:r>
      <w:r w:rsidR="00D01026" w:rsidRPr="000C32F5">
        <w:t>-</w:t>
      </w:r>
      <w:r w:rsidR="0098081D" w:rsidRPr="000C32F5">
        <w:t>line therapy.</w:t>
      </w:r>
    </w:p>
    <w:p w:rsidR="003657A4" w:rsidRPr="00092496" w:rsidRDefault="003657A4" w:rsidP="00092496">
      <w:pPr>
        <w:widowControl w:val="0"/>
        <w:spacing w:before="240" w:line="276" w:lineRule="auto"/>
        <w:ind w:left="1080" w:hanging="1080"/>
        <w:rPr>
          <w:rFonts w:cs="Arial"/>
          <w:b/>
          <w:bCs/>
          <w:i/>
          <w:snapToGrid w:val="0"/>
          <w:sz w:val="28"/>
          <w:szCs w:val="28"/>
        </w:rPr>
      </w:pPr>
      <w:bookmarkStart w:id="10" w:name="_Toc492390265"/>
      <w:r w:rsidRPr="00092496">
        <w:rPr>
          <w:rFonts w:cs="Arial"/>
          <w:b/>
          <w:bCs/>
          <w:i/>
          <w:snapToGrid w:val="0"/>
          <w:sz w:val="28"/>
          <w:szCs w:val="28"/>
        </w:rPr>
        <w:t>Previous PBAC consideration</w:t>
      </w:r>
      <w:bookmarkEnd w:id="10"/>
    </w:p>
    <w:p w:rsidR="00D7141B" w:rsidRPr="00536F4D" w:rsidRDefault="00702DE1" w:rsidP="00C35EF9">
      <w:pPr>
        <w:pStyle w:val="ListParagraph"/>
        <w:ind w:left="709" w:hanging="709"/>
        <w:rPr>
          <w:color w:val="auto"/>
        </w:rPr>
      </w:pPr>
      <w:r w:rsidRPr="00536F4D">
        <w:rPr>
          <w:color w:val="auto"/>
        </w:rPr>
        <w:t>This is the first PBAC submission for osimertinib.</w:t>
      </w:r>
    </w:p>
    <w:p w:rsidR="003657A4" w:rsidRPr="00536F4D" w:rsidRDefault="003657A4" w:rsidP="003657A4">
      <w:pPr>
        <w:pStyle w:val="ESHeading1"/>
      </w:pPr>
      <w:bookmarkStart w:id="11" w:name="_Toc490140970"/>
      <w:bookmarkStart w:id="12" w:name="_Toc476306884"/>
      <w:bookmarkStart w:id="13" w:name="_Toc492390266"/>
      <w:r w:rsidRPr="00536F4D">
        <w:t>Population and disease</w:t>
      </w:r>
      <w:bookmarkEnd w:id="11"/>
      <w:bookmarkEnd w:id="12"/>
      <w:bookmarkEnd w:id="13"/>
    </w:p>
    <w:p w:rsidR="003657A4" w:rsidRPr="00536F4D" w:rsidRDefault="00702DE1" w:rsidP="00891893">
      <w:pPr>
        <w:pStyle w:val="ListParagraph"/>
        <w:ind w:left="709" w:hanging="709"/>
        <w:rPr>
          <w:color w:val="auto"/>
        </w:rPr>
      </w:pPr>
      <w:r w:rsidRPr="00536F4D">
        <w:rPr>
          <w:color w:val="auto"/>
        </w:rPr>
        <w:t>NSCLC accounts for over 80% of all lung cancer cases. Approximately 50% of patients with lung cancer are diagnosed at an advanced/inoperable stage and prognosis is poor</w:t>
      </w:r>
      <w:r w:rsidR="00171939" w:rsidRPr="00536F4D">
        <w:rPr>
          <w:color w:val="auto"/>
        </w:rPr>
        <w:t>.</w:t>
      </w:r>
    </w:p>
    <w:p w:rsidR="003657A4" w:rsidRPr="00536F4D" w:rsidRDefault="00702DE1" w:rsidP="00891893">
      <w:pPr>
        <w:pStyle w:val="ListParagraph"/>
        <w:ind w:left="709" w:hanging="709"/>
      </w:pPr>
      <w:r w:rsidRPr="00536F4D">
        <w:t xml:space="preserve">The biomarker is the </w:t>
      </w:r>
      <w:r w:rsidR="00B901D2" w:rsidRPr="00FD0C77">
        <w:rPr>
          <w:i/>
        </w:rPr>
        <w:t>EGFR</w:t>
      </w:r>
      <w:r w:rsidRPr="00536F4D">
        <w:t xml:space="preserve"> </w:t>
      </w:r>
      <w:r w:rsidR="00B901D2" w:rsidRPr="00FD0C77">
        <w:rPr>
          <w:i/>
        </w:rPr>
        <w:t>T790M</w:t>
      </w:r>
      <w:r w:rsidRPr="00536F4D">
        <w:t xml:space="preserve"> mutation, which is a point mutation that results in the substitution of threonine (T) with methionine (M) at amino acid position 790 in the kinase domain of exon 20 of the </w:t>
      </w:r>
      <w:r w:rsidR="00B901D2" w:rsidRPr="00FD0C77">
        <w:rPr>
          <w:i/>
        </w:rPr>
        <w:t>EGFR</w:t>
      </w:r>
      <w:r w:rsidRPr="00536F4D">
        <w:t xml:space="preserve"> gene. This mutation increases the binding affinity of </w:t>
      </w:r>
      <w:r w:rsidR="00B901D2" w:rsidRPr="00FD0C77">
        <w:rPr>
          <w:i/>
        </w:rPr>
        <w:t>EGFR</w:t>
      </w:r>
      <w:r w:rsidRPr="00536F4D">
        <w:t xml:space="preserve"> for adenosine triphosphate (ATP), which therefore reduces the binding rate of ATP competitive TKIs and restores enzymatic activity. </w:t>
      </w:r>
      <w:r w:rsidR="00B901D2" w:rsidRPr="00FD0C77">
        <w:rPr>
          <w:i/>
          <w:color w:val="auto"/>
        </w:rPr>
        <w:t>T790M</w:t>
      </w:r>
      <w:r w:rsidR="00E37967" w:rsidRPr="00FD0C77">
        <w:rPr>
          <w:color w:val="auto"/>
        </w:rPr>
        <w:t xml:space="preserve"> mutations become more common following treatment with </w:t>
      </w:r>
      <w:r w:rsidR="00B901D2" w:rsidRPr="00651569">
        <w:rPr>
          <w:color w:val="auto"/>
        </w:rPr>
        <w:t>EGFR</w:t>
      </w:r>
      <w:r w:rsidR="00E37967" w:rsidRPr="00FD0C77">
        <w:rPr>
          <w:color w:val="auto"/>
        </w:rPr>
        <w:t xml:space="preserve"> TKIs as proliferation of </w:t>
      </w:r>
      <w:r w:rsidR="00B901D2" w:rsidRPr="00FD0C77">
        <w:rPr>
          <w:i/>
          <w:color w:val="auto"/>
        </w:rPr>
        <w:t>EGFR</w:t>
      </w:r>
      <w:r w:rsidR="00E37967" w:rsidRPr="00FD0C77">
        <w:rPr>
          <w:color w:val="auto"/>
        </w:rPr>
        <w:t xml:space="preserve"> </w:t>
      </w:r>
      <w:r w:rsidR="00B901D2" w:rsidRPr="00FD0C77">
        <w:rPr>
          <w:i/>
          <w:color w:val="auto"/>
        </w:rPr>
        <w:t>T790M</w:t>
      </w:r>
      <w:r w:rsidR="00E37967" w:rsidRPr="00FD0C77">
        <w:rPr>
          <w:color w:val="auto"/>
        </w:rPr>
        <w:t xml:space="preserve"> mutation positive clones increases in the absence of competitive pressure from tumour cells which are suppressed by </w:t>
      </w:r>
      <w:r w:rsidR="00B901D2" w:rsidRPr="00651569">
        <w:rPr>
          <w:color w:val="auto"/>
        </w:rPr>
        <w:t>EGFR</w:t>
      </w:r>
      <w:r w:rsidR="00E37967" w:rsidRPr="00FD0C77">
        <w:rPr>
          <w:color w:val="auto"/>
        </w:rPr>
        <w:t xml:space="preserve"> TKIs</w:t>
      </w:r>
      <w:r w:rsidR="008360BE" w:rsidRPr="00FD0C77">
        <w:rPr>
          <w:color w:val="auto"/>
        </w:rPr>
        <w:t xml:space="preserve">. For this reason, it is important that a new sample is collected on progression for the purposes of </w:t>
      </w:r>
      <w:r w:rsidR="00B901D2" w:rsidRPr="00FD0C77">
        <w:rPr>
          <w:i/>
          <w:color w:val="auto"/>
        </w:rPr>
        <w:t>EGFR</w:t>
      </w:r>
      <w:r w:rsidR="008360BE" w:rsidRPr="00FD0C77">
        <w:rPr>
          <w:color w:val="auto"/>
        </w:rPr>
        <w:t xml:space="preserve"> </w:t>
      </w:r>
      <w:r w:rsidR="00B901D2" w:rsidRPr="00FD0C77">
        <w:rPr>
          <w:i/>
          <w:color w:val="auto"/>
        </w:rPr>
        <w:t>T790M</w:t>
      </w:r>
      <w:r w:rsidR="008360BE" w:rsidRPr="00FD0C77">
        <w:rPr>
          <w:color w:val="auto"/>
        </w:rPr>
        <w:t xml:space="preserve"> mutation status to determine eligibility for osimertinib. </w:t>
      </w:r>
      <w:r w:rsidR="008360BE" w:rsidRPr="00536F4D">
        <w:t xml:space="preserve">Overall, </w:t>
      </w:r>
      <w:r w:rsidR="00B901D2" w:rsidRPr="00FD0C77">
        <w:rPr>
          <w:i/>
        </w:rPr>
        <w:t>EGFR</w:t>
      </w:r>
      <w:r w:rsidR="008360BE" w:rsidRPr="00536F4D">
        <w:t xml:space="preserve"> </w:t>
      </w:r>
      <w:r w:rsidR="00B901D2" w:rsidRPr="00FD0C77">
        <w:rPr>
          <w:i/>
        </w:rPr>
        <w:t>T790M</w:t>
      </w:r>
      <w:r w:rsidR="008360BE" w:rsidRPr="00536F4D">
        <w:t xml:space="preserve"> mutations are detected in approximately 60%</w:t>
      </w:r>
      <w:r w:rsidR="008360BE" w:rsidRPr="00536F4D">
        <w:rPr>
          <w:rStyle w:val="FootnoteReference"/>
        </w:rPr>
        <w:footnoteReference w:id="1"/>
      </w:r>
      <w:r w:rsidR="008360BE" w:rsidRPr="00536F4D">
        <w:t xml:space="preserve"> of patients with locally advanced or metastatic NSCLC who have progressed on or after treatment with an </w:t>
      </w:r>
      <w:r w:rsidR="00B901D2" w:rsidRPr="00651569">
        <w:t>EGFR</w:t>
      </w:r>
      <w:r w:rsidR="008360BE" w:rsidRPr="00536F4D">
        <w:t xml:space="preserve"> TKI</w:t>
      </w:r>
      <w:r w:rsidR="008969B1" w:rsidRPr="00536F4D">
        <w:t>.</w:t>
      </w:r>
    </w:p>
    <w:p w:rsidR="006074CD" w:rsidRDefault="00171939" w:rsidP="00891893">
      <w:pPr>
        <w:pStyle w:val="ListParagraph"/>
        <w:ind w:left="709" w:hanging="709"/>
      </w:pPr>
      <w:r w:rsidRPr="00536F4D">
        <w:rPr>
          <w:color w:val="auto"/>
        </w:rPr>
        <w:t>The submission request</w:t>
      </w:r>
      <w:r w:rsidR="008969B1" w:rsidRPr="00536F4D">
        <w:rPr>
          <w:color w:val="auto"/>
        </w:rPr>
        <w:t>ed</w:t>
      </w:r>
      <w:r w:rsidRPr="00536F4D">
        <w:rPr>
          <w:color w:val="auto"/>
        </w:rPr>
        <w:t xml:space="preserve"> </w:t>
      </w:r>
      <w:r w:rsidRPr="00536F4D">
        <w:t xml:space="preserve">listing of osimertinib for </w:t>
      </w:r>
      <w:r w:rsidR="00B901D2" w:rsidRPr="00B901D2">
        <w:rPr>
          <w:i/>
        </w:rPr>
        <w:t>T790M</w:t>
      </w:r>
      <w:r w:rsidRPr="00536F4D">
        <w:t xml:space="preserve"> mutation positive patients who have failed first-line </w:t>
      </w:r>
      <w:r w:rsidR="00B901D2" w:rsidRPr="00651569">
        <w:t>EGFR</w:t>
      </w:r>
      <w:r w:rsidR="008969B1" w:rsidRPr="00536F4D">
        <w:t xml:space="preserve"> </w:t>
      </w:r>
      <w:r w:rsidRPr="00536F4D">
        <w:t>TKIs. Second-line treatment most commonly consists of platinum-based doublet chemotherapy, the nominated main comparator in the submission.</w:t>
      </w:r>
    </w:p>
    <w:p w:rsidR="00D7141B" w:rsidRPr="00C35EF9" w:rsidRDefault="00D7141B" w:rsidP="00D7141B">
      <w:pPr>
        <w:pStyle w:val="ListParagraph"/>
        <w:numPr>
          <w:ilvl w:val="0"/>
          <w:numId w:val="0"/>
        </w:numPr>
        <w:ind w:left="709"/>
      </w:pPr>
      <w:r w:rsidRPr="00C35EF9">
        <w:rPr>
          <w:i/>
        </w:rPr>
        <w:t>For more detail on PBAC’s view, see section 7 PBAC outcome.</w:t>
      </w:r>
    </w:p>
    <w:p w:rsidR="003657A4" w:rsidRPr="00536F4D" w:rsidRDefault="003657A4" w:rsidP="003657A4">
      <w:pPr>
        <w:pStyle w:val="ESHeading1"/>
      </w:pPr>
      <w:bookmarkStart w:id="14" w:name="_Toc490140971"/>
      <w:bookmarkStart w:id="15" w:name="_Toc492390267"/>
      <w:r w:rsidRPr="00536F4D">
        <w:lastRenderedPageBreak/>
        <w:t>Comparator</w:t>
      </w:r>
      <w:bookmarkEnd w:id="14"/>
      <w:bookmarkEnd w:id="15"/>
    </w:p>
    <w:p w:rsidR="00FD5FA6" w:rsidRPr="00D7141B" w:rsidRDefault="00FD5FA6" w:rsidP="00891893">
      <w:pPr>
        <w:pStyle w:val="ListParagraph"/>
        <w:ind w:left="709" w:hanging="709"/>
        <w:rPr>
          <w:color w:val="auto"/>
        </w:rPr>
      </w:pPr>
      <w:bookmarkStart w:id="16" w:name="_Toc490140972"/>
      <w:r w:rsidRPr="00536F4D">
        <w:rPr>
          <w:color w:val="auto"/>
        </w:rPr>
        <w:t xml:space="preserve">The submission nominated no testing for </w:t>
      </w:r>
      <w:r w:rsidR="00B901D2" w:rsidRPr="00B901D2">
        <w:rPr>
          <w:i/>
          <w:color w:val="auto"/>
        </w:rPr>
        <w:t>EGFR</w:t>
      </w:r>
      <w:r w:rsidRPr="00536F4D">
        <w:rPr>
          <w:color w:val="auto"/>
        </w:rPr>
        <w:t xml:space="preserve"> </w:t>
      </w:r>
      <w:r w:rsidR="00B901D2" w:rsidRPr="00B901D2">
        <w:rPr>
          <w:i/>
          <w:color w:val="auto"/>
        </w:rPr>
        <w:t>T790M</w:t>
      </w:r>
      <w:r w:rsidRPr="00536F4D">
        <w:rPr>
          <w:color w:val="auto"/>
        </w:rPr>
        <w:t xml:space="preserve"> mutation</w:t>
      </w:r>
      <w:r w:rsidR="00F740BF">
        <w:rPr>
          <w:color w:val="auto"/>
        </w:rPr>
        <w:t>s</w:t>
      </w:r>
      <w:r w:rsidRPr="00536F4D">
        <w:rPr>
          <w:color w:val="auto"/>
        </w:rPr>
        <w:t xml:space="preserve"> and all patients treated with platinum-based doublet chemotherapy as the main comparator. This is reasonable.</w:t>
      </w:r>
      <w:r w:rsidR="0098081D">
        <w:rPr>
          <w:color w:val="auto"/>
        </w:rPr>
        <w:t xml:space="preserve"> </w:t>
      </w:r>
      <w:r w:rsidR="0098081D" w:rsidRPr="000C32F5">
        <w:rPr>
          <w:color w:val="auto"/>
        </w:rPr>
        <w:t>The ESC</w:t>
      </w:r>
      <w:r w:rsidR="00AB58D5" w:rsidRPr="000C32F5">
        <w:rPr>
          <w:color w:val="auto"/>
        </w:rPr>
        <w:t>s</w:t>
      </w:r>
      <w:r w:rsidR="0098081D" w:rsidRPr="000C32F5">
        <w:rPr>
          <w:color w:val="auto"/>
        </w:rPr>
        <w:t xml:space="preserve"> considered that the nominated comparators for both </w:t>
      </w:r>
      <w:r w:rsidR="00B901D2" w:rsidRPr="000C32F5">
        <w:rPr>
          <w:i/>
          <w:color w:val="auto"/>
        </w:rPr>
        <w:t>EGFR</w:t>
      </w:r>
      <w:r w:rsidR="00CF502D" w:rsidRPr="000C32F5">
        <w:rPr>
          <w:i/>
          <w:color w:val="auto"/>
        </w:rPr>
        <w:t xml:space="preserve"> </w:t>
      </w:r>
      <w:r w:rsidR="00B901D2" w:rsidRPr="000C32F5">
        <w:rPr>
          <w:i/>
          <w:color w:val="auto"/>
        </w:rPr>
        <w:t>T790M</w:t>
      </w:r>
      <w:r w:rsidR="00CF502D" w:rsidRPr="000C32F5">
        <w:rPr>
          <w:i/>
          <w:color w:val="auto"/>
        </w:rPr>
        <w:t xml:space="preserve"> </w:t>
      </w:r>
      <w:r w:rsidR="00CF502D" w:rsidRPr="000C32F5">
        <w:rPr>
          <w:color w:val="auto"/>
        </w:rPr>
        <w:t xml:space="preserve">mutation testing </w:t>
      </w:r>
      <w:r w:rsidR="0098081D" w:rsidRPr="000C32F5">
        <w:rPr>
          <w:color w:val="auto"/>
        </w:rPr>
        <w:t>and osimertinib treatment were appropriate.</w:t>
      </w:r>
    </w:p>
    <w:p w:rsidR="00D7141B" w:rsidRPr="00C35EF9" w:rsidRDefault="00D7141B" w:rsidP="00D7141B">
      <w:pPr>
        <w:pStyle w:val="ListParagraph"/>
        <w:numPr>
          <w:ilvl w:val="0"/>
          <w:numId w:val="0"/>
        </w:numPr>
        <w:ind w:left="709"/>
        <w:rPr>
          <w:color w:val="auto"/>
        </w:rPr>
      </w:pPr>
      <w:r w:rsidRPr="00C35EF9">
        <w:rPr>
          <w:i/>
        </w:rPr>
        <w:t>For more detail on PBAC’s view, see section 7 PBAC outcome.</w:t>
      </w:r>
    </w:p>
    <w:p w:rsidR="003657A4" w:rsidRPr="00536F4D" w:rsidRDefault="003657A4" w:rsidP="003657A4">
      <w:pPr>
        <w:pStyle w:val="ESHeading1"/>
      </w:pPr>
      <w:bookmarkStart w:id="17" w:name="_Toc492390268"/>
      <w:r w:rsidRPr="00536F4D">
        <w:t>Consideration of the evidence</w:t>
      </w:r>
      <w:bookmarkEnd w:id="16"/>
      <w:bookmarkEnd w:id="17"/>
    </w:p>
    <w:p w:rsidR="007F2355" w:rsidRPr="00A13763" w:rsidRDefault="007F2355" w:rsidP="00721BE5">
      <w:pPr>
        <w:pStyle w:val="PBACHeading1"/>
        <w:outlineLvl w:val="1"/>
      </w:pPr>
      <w:bookmarkStart w:id="18" w:name="_Toc492390269"/>
      <w:r w:rsidRPr="00A13763">
        <w:t>Sponsor hearing</w:t>
      </w:r>
    </w:p>
    <w:p w:rsidR="00FD0C77" w:rsidRPr="008929E1" w:rsidRDefault="007F2355" w:rsidP="00FD0C77">
      <w:pPr>
        <w:pStyle w:val="ListParagraph"/>
        <w:ind w:left="709" w:hanging="709"/>
        <w:rPr>
          <w:rFonts w:cs="Arial"/>
          <w:bCs/>
          <w:snapToGrid w:val="0"/>
          <w:szCs w:val="24"/>
        </w:rPr>
      </w:pPr>
      <w:r w:rsidRPr="007F2355">
        <w:t xml:space="preserve">The sponsor requested a hearing for this item. At the hearing, a clinician presented data highlighting the benefits of </w:t>
      </w:r>
      <w:r w:rsidR="00FD0C77">
        <w:t>osimertinib</w:t>
      </w:r>
      <w:r w:rsidRPr="007F2355">
        <w:t xml:space="preserve"> treatment in</w:t>
      </w:r>
      <w:r w:rsidR="00FD0C77">
        <w:t xml:space="preserve"> </w:t>
      </w:r>
      <w:r w:rsidR="00FD0C77" w:rsidRPr="00AA3DD4">
        <w:rPr>
          <w:i/>
          <w:color w:val="auto"/>
        </w:rPr>
        <w:t>EGFR T790M</w:t>
      </w:r>
      <w:r w:rsidR="00FD0C77">
        <w:rPr>
          <w:color w:val="auto"/>
        </w:rPr>
        <w:t xml:space="preserve"> mutation positive NSCLC</w:t>
      </w:r>
      <w:r w:rsidRPr="007F2355">
        <w:t xml:space="preserve">. The clinician </w:t>
      </w:r>
      <w:r w:rsidR="00092496">
        <w:t>discussed the benefits of osimertinib treatment over chemotherapy, p</w:t>
      </w:r>
      <w:r w:rsidR="00AA3DD4">
        <w:t>articularly in patients who had</w:t>
      </w:r>
      <w:r w:rsidR="00FD0C77">
        <w:t xml:space="preserve"> </w:t>
      </w:r>
      <w:r w:rsidR="00092496">
        <w:t>central nervous syst</w:t>
      </w:r>
      <w:r w:rsidR="00CA41C8">
        <w:t xml:space="preserve">em (CNS) metastases at baseline, </w:t>
      </w:r>
      <w:r w:rsidR="00CA41C8" w:rsidRPr="00CA41C8">
        <w:t>and addressed other matters in response to the Committee’s questions.</w:t>
      </w:r>
      <w:r w:rsidR="00092496">
        <w:t xml:space="preserve"> The PBAC considered that the sponsor hearing was informative as it provided a clinical </w:t>
      </w:r>
      <w:r w:rsidR="00BF3381">
        <w:t>perspective</w:t>
      </w:r>
      <w:r w:rsidR="00092496">
        <w:t xml:space="preserve"> on the treatment algorithm of EGFR mutation positive NSCLC in Australia.</w:t>
      </w:r>
    </w:p>
    <w:p w:rsidR="007F2355" w:rsidRPr="00FD0C77" w:rsidRDefault="007F2355" w:rsidP="00721BE5">
      <w:pPr>
        <w:widowControl w:val="0"/>
        <w:spacing w:before="240" w:line="276" w:lineRule="auto"/>
        <w:ind w:left="1077" w:hanging="1077"/>
        <w:outlineLvl w:val="1"/>
        <w:rPr>
          <w:rFonts w:cs="Arial"/>
          <w:b/>
          <w:bCs/>
          <w:i/>
          <w:snapToGrid w:val="0"/>
          <w:sz w:val="28"/>
          <w:szCs w:val="28"/>
        </w:rPr>
      </w:pPr>
      <w:r w:rsidRPr="00FD0C77">
        <w:rPr>
          <w:rFonts w:cs="Arial"/>
          <w:b/>
          <w:bCs/>
          <w:i/>
          <w:snapToGrid w:val="0"/>
          <w:sz w:val="28"/>
          <w:szCs w:val="28"/>
        </w:rPr>
        <w:t>Consumer comments</w:t>
      </w:r>
    </w:p>
    <w:p w:rsidR="007F2355" w:rsidRPr="007F2355" w:rsidRDefault="007F2355" w:rsidP="007F2355">
      <w:pPr>
        <w:pStyle w:val="ListParagraph"/>
        <w:ind w:left="709" w:hanging="709"/>
        <w:rPr>
          <w:color w:val="auto"/>
        </w:rPr>
      </w:pPr>
      <w:r w:rsidRPr="007F2355">
        <w:rPr>
          <w:color w:val="auto"/>
        </w:rPr>
        <w:t>The PBAC noted and welcomed the input from individuals (</w:t>
      </w:r>
      <w:r w:rsidR="00CA41C8">
        <w:rPr>
          <w:color w:val="auto"/>
        </w:rPr>
        <w:t>19</w:t>
      </w:r>
      <w:r w:rsidRPr="007F2355">
        <w:rPr>
          <w:color w:val="auto"/>
        </w:rPr>
        <w:t>)</w:t>
      </w:r>
      <w:r w:rsidR="00CA41C8">
        <w:rPr>
          <w:color w:val="auto"/>
        </w:rPr>
        <w:t>, heath professional (1)</w:t>
      </w:r>
      <w:r w:rsidRPr="007F2355">
        <w:rPr>
          <w:color w:val="auto"/>
        </w:rPr>
        <w:t xml:space="preserve"> and organisations (1) via the Consumer Comments facility on the PBS website. The comments described benefits of treatment with </w:t>
      </w:r>
      <w:r w:rsidR="00CA41C8">
        <w:rPr>
          <w:color w:val="auto"/>
        </w:rPr>
        <w:t>osimertinib</w:t>
      </w:r>
      <w:r w:rsidRPr="007F2355">
        <w:rPr>
          <w:color w:val="auto"/>
        </w:rPr>
        <w:t>, and emphasized its efficacy in reducing tumour burden.</w:t>
      </w:r>
    </w:p>
    <w:p w:rsidR="00CA41C8" w:rsidRPr="009C2495" w:rsidRDefault="00CA41C8" w:rsidP="009C2495">
      <w:pPr>
        <w:pStyle w:val="ListParagraph"/>
        <w:ind w:left="709" w:hanging="709"/>
        <w:rPr>
          <w:color w:val="auto"/>
        </w:rPr>
      </w:pPr>
      <w:r w:rsidRPr="009C2495">
        <w:rPr>
          <w:color w:val="auto"/>
        </w:rPr>
        <w:t xml:space="preserve">The PBAC noted the advice received from Rare Cancers Australia stating that the PBS listing of osimertinib would offer a clinically effective treatment option for </w:t>
      </w:r>
      <w:r w:rsidRPr="00CA41C8">
        <w:rPr>
          <w:color w:val="auto"/>
        </w:rPr>
        <w:t>EGFR mutation positive NSCLC in Australia.</w:t>
      </w:r>
    </w:p>
    <w:p w:rsidR="007F2355" w:rsidRPr="007F2355" w:rsidRDefault="007F2355" w:rsidP="00CA41C8">
      <w:pPr>
        <w:pStyle w:val="ListParagraph"/>
        <w:ind w:left="709" w:hanging="709"/>
        <w:rPr>
          <w:color w:val="auto"/>
        </w:rPr>
      </w:pPr>
      <w:r w:rsidRPr="007F2355">
        <w:rPr>
          <w:color w:val="auto"/>
        </w:rPr>
        <w:t xml:space="preserve">The Medical Oncology Group of Australia (MOGA) also expressed its support for the </w:t>
      </w:r>
      <w:r w:rsidR="008929E1">
        <w:rPr>
          <w:color w:val="auto"/>
        </w:rPr>
        <w:t>osimertinib</w:t>
      </w:r>
      <w:r w:rsidRPr="007F2355">
        <w:rPr>
          <w:color w:val="auto"/>
        </w:rPr>
        <w:t xml:space="preserve"> submission, noting that the PBS listing of </w:t>
      </w:r>
      <w:r w:rsidR="008929E1">
        <w:rPr>
          <w:color w:val="auto"/>
        </w:rPr>
        <w:t>osimertinib</w:t>
      </w:r>
      <w:r w:rsidRPr="007F2355">
        <w:rPr>
          <w:color w:val="auto"/>
        </w:rPr>
        <w:t xml:space="preserve"> in this population would fill a significant area of unmet need. The PBAC noted that the MOGA presented the European Society for Medical Oncology Magnitude of Clinical Benefit Scale (ESMO-MCBS) for </w:t>
      </w:r>
      <w:r w:rsidR="008929E1">
        <w:rPr>
          <w:color w:val="auto"/>
        </w:rPr>
        <w:t>osimertinib</w:t>
      </w:r>
      <w:r w:rsidRPr="007F2355">
        <w:rPr>
          <w:color w:val="auto"/>
        </w:rPr>
        <w:t xml:space="preserve">, which was limited to </w:t>
      </w:r>
      <w:r w:rsidR="00AA3DD4">
        <w:rPr>
          <w:color w:val="auto"/>
        </w:rPr>
        <w:t>4</w:t>
      </w:r>
      <w:r w:rsidRPr="007F2355">
        <w:rPr>
          <w:color w:val="auto"/>
        </w:rPr>
        <w:t xml:space="preserve"> (out of a maximum of 5, where 5 and 4 represent the grades with substantial improvement)</w:t>
      </w:r>
      <w:r w:rsidRPr="0095377E">
        <w:rPr>
          <w:color w:val="auto"/>
          <w:vertAlign w:val="superscript"/>
        </w:rPr>
        <w:footnoteReference w:id="2"/>
      </w:r>
      <w:r w:rsidRPr="007F2355">
        <w:rPr>
          <w:color w:val="auto"/>
        </w:rPr>
        <w:t xml:space="preserve">, based on </w:t>
      </w:r>
      <w:r w:rsidR="0095377E">
        <w:rPr>
          <w:color w:val="auto"/>
        </w:rPr>
        <w:t>a comparison against platinum-based chemotherapy and pemetrexed treatment.</w:t>
      </w:r>
    </w:p>
    <w:bookmarkEnd w:id="18"/>
    <w:p w:rsidR="003657A4" w:rsidRPr="000C32F5" w:rsidRDefault="00272AC4" w:rsidP="003657A4">
      <w:pPr>
        <w:pStyle w:val="ESHeading2"/>
        <w:rPr>
          <w:rFonts w:asciiTheme="minorHAnsi" w:hAnsiTheme="minorHAnsi"/>
        </w:rPr>
      </w:pPr>
      <w:r>
        <w:rPr>
          <w:rFonts w:asciiTheme="minorHAnsi" w:hAnsiTheme="minorHAnsi"/>
        </w:rPr>
        <w:t>Clinical trials</w:t>
      </w:r>
    </w:p>
    <w:p w:rsidR="00456192" w:rsidRPr="00536F4D" w:rsidRDefault="00FD5FA6" w:rsidP="00891893">
      <w:pPr>
        <w:pStyle w:val="ListParagraph"/>
        <w:ind w:left="709" w:hanging="709"/>
        <w:rPr>
          <w:color w:val="auto"/>
        </w:rPr>
      </w:pPr>
      <w:r w:rsidRPr="00536F4D">
        <w:rPr>
          <w:color w:val="auto"/>
        </w:rPr>
        <w:t xml:space="preserve">The </w:t>
      </w:r>
      <w:r w:rsidR="00D56270">
        <w:rPr>
          <w:color w:val="auto"/>
        </w:rPr>
        <w:t xml:space="preserve">submission presented clinical evidence to </w:t>
      </w:r>
      <w:r w:rsidR="00FD0C77">
        <w:rPr>
          <w:color w:val="auto"/>
        </w:rPr>
        <w:t>demonstrate</w:t>
      </w:r>
      <w:r w:rsidR="00D56270">
        <w:rPr>
          <w:color w:val="auto"/>
        </w:rPr>
        <w:t xml:space="preserve"> </w:t>
      </w:r>
      <w:r w:rsidRPr="00536F4D">
        <w:rPr>
          <w:color w:val="auto"/>
        </w:rPr>
        <w:t xml:space="preserve">that targeting patients with the </w:t>
      </w:r>
      <w:r w:rsidR="00B901D2" w:rsidRPr="00B901D2">
        <w:rPr>
          <w:i/>
          <w:color w:val="auto"/>
        </w:rPr>
        <w:t>T790M</w:t>
      </w:r>
      <w:r w:rsidRPr="00536F4D">
        <w:rPr>
          <w:color w:val="auto"/>
        </w:rPr>
        <w:t xml:space="preserve"> mutation with osimertinib will improve their overall survival, compared to no testing and </w:t>
      </w:r>
      <w:r w:rsidR="00E3441B" w:rsidRPr="00536F4D">
        <w:rPr>
          <w:color w:val="auto"/>
        </w:rPr>
        <w:t xml:space="preserve">treatment with </w:t>
      </w:r>
      <w:r w:rsidRPr="00536F4D">
        <w:rPr>
          <w:color w:val="auto"/>
        </w:rPr>
        <w:t>platinum</w:t>
      </w:r>
      <w:r w:rsidR="00C05237" w:rsidRPr="00536F4D">
        <w:rPr>
          <w:color w:val="auto"/>
        </w:rPr>
        <w:t>-</w:t>
      </w:r>
      <w:r w:rsidR="00C346A4" w:rsidRPr="00536F4D">
        <w:rPr>
          <w:color w:val="auto"/>
        </w:rPr>
        <w:t>based doublet chemotherapy.</w:t>
      </w:r>
    </w:p>
    <w:p w:rsidR="003657A4" w:rsidRPr="00536F4D" w:rsidRDefault="003657A4" w:rsidP="00EE3172">
      <w:pPr>
        <w:pStyle w:val="Caption"/>
      </w:pPr>
      <w:bookmarkStart w:id="19" w:name="_Ref490140772"/>
      <w:r w:rsidRPr="00536F4D">
        <w:lastRenderedPageBreak/>
        <w:t>Table</w:t>
      </w:r>
      <w:r w:rsidR="003D5C91">
        <w:t xml:space="preserve"> </w:t>
      </w:r>
      <w:r w:rsidR="00AB747A" w:rsidRPr="00536F4D">
        <w:rPr>
          <w:noProof/>
        </w:rPr>
        <w:t>2</w:t>
      </w:r>
      <w:bookmarkEnd w:id="19"/>
      <w:r w:rsidR="00BC6818" w:rsidRPr="00536F4D">
        <w:t>:</w:t>
      </w:r>
      <w:r w:rsidR="003D5C91">
        <w:t xml:space="preserve"> </w:t>
      </w:r>
      <w:r w:rsidRPr="00536F4D">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3603"/>
        <w:gridCol w:w="1641"/>
        <w:gridCol w:w="2331"/>
      </w:tblGrid>
      <w:tr w:rsidR="003657A4" w:rsidRPr="00536F4D" w:rsidTr="007A3F06">
        <w:tc>
          <w:tcPr>
            <w:tcW w:w="902" w:type="pct"/>
            <w:tcBorders>
              <w:top w:val="single" w:sz="4" w:space="0" w:color="auto"/>
              <w:left w:val="single" w:sz="4" w:space="0" w:color="auto"/>
              <w:bottom w:val="single" w:sz="4" w:space="0" w:color="auto"/>
              <w:right w:val="single" w:sz="4" w:space="0" w:color="auto"/>
            </w:tcBorders>
          </w:tcPr>
          <w:p w:rsidR="003657A4" w:rsidRPr="00536F4D" w:rsidRDefault="003657A4" w:rsidP="008C10E1">
            <w:pPr>
              <w:pStyle w:val="TableText"/>
              <w:spacing w:line="254" w:lineRule="auto"/>
              <w:jc w:val="left"/>
              <w:rPr>
                <w:b/>
              </w:rPr>
            </w:pPr>
          </w:p>
        </w:tc>
        <w:tc>
          <w:tcPr>
            <w:tcW w:w="1949" w:type="pct"/>
            <w:tcBorders>
              <w:top w:val="single" w:sz="4" w:space="0" w:color="auto"/>
              <w:left w:val="single" w:sz="4" w:space="0" w:color="auto"/>
              <w:bottom w:val="single" w:sz="4" w:space="0" w:color="auto"/>
              <w:right w:val="single" w:sz="4" w:space="0" w:color="auto"/>
            </w:tcBorders>
            <w:hideMark/>
          </w:tcPr>
          <w:p w:rsidR="003657A4" w:rsidRPr="00536F4D" w:rsidRDefault="003657A4" w:rsidP="008C10E1">
            <w:pPr>
              <w:pStyle w:val="TableText"/>
              <w:spacing w:line="254" w:lineRule="auto"/>
              <w:jc w:val="left"/>
              <w:rPr>
                <w:b/>
              </w:rPr>
            </w:pPr>
            <w:r w:rsidRPr="00536F4D">
              <w:rPr>
                <w:b/>
              </w:rPr>
              <w:t>Type of evidence supplied</w:t>
            </w:r>
          </w:p>
        </w:tc>
        <w:tc>
          <w:tcPr>
            <w:tcW w:w="888" w:type="pct"/>
            <w:tcBorders>
              <w:top w:val="single" w:sz="4" w:space="0" w:color="auto"/>
              <w:left w:val="single" w:sz="4" w:space="0" w:color="auto"/>
              <w:bottom w:val="single" w:sz="4" w:space="0" w:color="auto"/>
              <w:right w:val="single" w:sz="4" w:space="0" w:color="auto"/>
            </w:tcBorders>
            <w:hideMark/>
          </w:tcPr>
          <w:p w:rsidR="003657A4" w:rsidRPr="00536F4D" w:rsidRDefault="003657A4" w:rsidP="008C10E1">
            <w:pPr>
              <w:pStyle w:val="TableText"/>
              <w:spacing w:line="254" w:lineRule="auto"/>
              <w:jc w:val="left"/>
              <w:rPr>
                <w:b/>
              </w:rPr>
            </w:pPr>
            <w:r w:rsidRPr="00536F4D">
              <w:rPr>
                <w:b/>
              </w:rPr>
              <w:t>Extent of evidence supplied</w:t>
            </w:r>
          </w:p>
        </w:tc>
        <w:tc>
          <w:tcPr>
            <w:tcW w:w="1261" w:type="pct"/>
            <w:tcBorders>
              <w:top w:val="single" w:sz="4" w:space="0" w:color="auto"/>
              <w:left w:val="single" w:sz="4" w:space="0" w:color="auto"/>
              <w:bottom w:val="single" w:sz="4" w:space="0" w:color="auto"/>
              <w:right w:val="single" w:sz="4" w:space="0" w:color="auto"/>
            </w:tcBorders>
            <w:vAlign w:val="center"/>
            <w:hideMark/>
          </w:tcPr>
          <w:p w:rsidR="003657A4" w:rsidRPr="00536F4D" w:rsidRDefault="003657A4" w:rsidP="008C10E1">
            <w:pPr>
              <w:pStyle w:val="TableText"/>
              <w:spacing w:line="254" w:lineRule="auto"/>
              <w:rPr>
                <w:b/>
              </w:rPr>
            </w:pPr>
            <w:r w:rsidRPr="00536F4D">
              <w:rPr>
                <w:b/>
              </w:rPr>
              <w:t xml:space="preserve">Overall risk of bias in clinical trials </w:t>
            </w:r>
          </w:p>
        </w:tc>
      </w:tr>
      <w:tr w:rsidR="00FD5FA6" w:rsidRPr="00536F4D" w:rsidTr="007A3F06">
        <w:tc>
          <w:tcPr>
            <w:tcW w:w="902" w:type="pct"/>
            <w:tcBorders>
              <w:top w:val="single" w:sz="4" w:space="0" w:color="auto"/>
              <w:left w:val="single" w:sz="4" w:space="0" w:color="auto"/>
              <w:bottom w:val="single" w:sz="4" w:space="0" w:color="auto"/>
              <w:right w:val="single" w:sz="4" w:space="0" w:color="auto"/>
            </w:tcBorders>
            <w:hideMark/>
          </w:tcPr>
          <w:p w:rsidR="00FD5FA6" w:rsidRPr="00536F4D" w:rsidRDefault="00FD5FA6" w:rsidP="00FD5FA6">
            <w:pPr>
              <w:pStyle w:val="TableText"/>
              <w:spacing w:line="254" w:lineRule="auto"/>
              <w:jc w:val="left"/>
            </w:pPr>
            <w:r w:rsidRPr="00536F4D">
              <w:t>Accuracy and performance of the test (analytical validity)</w:t>
            </w:r>
          </w:p>
        </w:tc>
        <w:tc>
          <w:tcPr>
            <w:tcW w:w="1949" w:type="pct"/>
            <w:tcBorders>
              <w:top w:val="single" w:sz="4" w:space="0" w:color="auto"/>
              <w:left w:val="single" w:sz="4" w:space="0" w:color="auto"/>
              <w:bottom w:val="single" w:sz="4" w:space="0" w:color="auto"/>
              <w:right w:val="single" w:sz="4" w:space="0" w:color="auto"/>
            </w:tcBorders>
            <w:hideMark/>
          </w:tcPr>
          <w:p w:rsidR="00FD5FA6" w:rsidRPr="00990CC6" w:rsidRDefault="00FD5FA6" w:rsidP="00FD5FA6">
            <w:pPr>
              <w:pStyle w:val="TableText"/>
              <w:spacing w:line="254" w:lineRule="auto"/>
              <w:jc w:val="left"/>
            </w:pPr>
            <w:r w:rsidRPr="00990CC6">
              <w:t xml:space="preserve">Concordance studies between evidentiary standard and other forms of </w:t>
            </w:r>
            <w:r w:rsidR="00B901D2" w:rsidRPr="00990CC6">
              <w:rPr>
                <w:i/>
              </w:rPr>
              <w:t>EGFR</w:t>
            </w:r>
            <w:r w:rsidRPr="00990CC6">
              <w:t xml:space="preserve"> mutation testing</w:t>
            </w:r>
            <w:r w:rsidRPr="00990CC6">
              <w:rPr>
                <w:vertAlign w:val="superscript"/>
              </w:rPr>
              <w:t xml:space="preserve"> a</w:t>
            </w:r>
          </w:p>
        </w:tc>
        <w:tc>
          <w:tcPr>
            <w:tcW w:w="888" w:type="pct"/>
            <w:tcBorders>
              <w:top w:val="single" w:sz="4" w:space="0" w:color="auto"/>
              <w:left w:val="single" w:sz="4" w:space="0" w:color="auto"/>
              <w:bottom w:val="single" w:sz="4" w:space="0" w:color="auto"/>
              <w:right w:val="single" w:sz="4" w:space="0" w:color="auto"/>
            </w:tcBorders>
            <w:hideMark/>
          </w:tcPr>
          <w:p w:rsidR="00FD5FA6" w:rsidRPr="00536F4D" w:rsidRDefault="000B2D46" w:rsidP="00FD5FA6">
            <w:pPr>
              <w:pStyle w:val="TableText"/>
              <w:spacing w:line="254" w:lineRule="auto"/>
            </w:pPr>
            <w:sdt>
              <w:sdtPr>
                <w:id w:val="-1393650888"/>
                <w14:checkbox>
                  <w14:checked w14:val="1"/>
                  <w14:checkedState w14:val="2612" w14:font="MS Gothic"/>
                  <w14:uncheckedState w14:val="2610" w14:font="MS Gothic"/>
                </w14:checkbox>
              </w:sdtPr>
              <w:sdtEndPr/>
              <w:sdtContent>
                <w:r w:rsidR="00FD5FA6" w:rsidRPr="00536F4D">
                  <w:rPr>
                    <w:rFonts w:ascii="MS Gothic" w:eastAsia="MS Gothic" w:hAnsi="MS Gothic"/>
                  </w:rPr>
                  <w:t>☒</w:t>
                </w:r>
              </w:sdtContent>
            </w:sdt>
            <w:r w:rsidR="00FD5FA6" w:rsidRPr="00536F4D">
              <w:tab/>
              <w:t>k=3</w:t>
            </w:r>
            <w:r w:rsidR="00FD5FA6" w:rsidRPr="00536F4D">
              <w:tab/>
              <w:t>n=833</w:t>
            </w:r>
          </w:p>
        </w:tc>
        <w:tc>
          <w:tcPr>
            <w:tcW w:w="1261" w:type="pct"/>
            <w:tcBorders>
              <w:top w:val="single" w:sz="4" w:space="0" w:color="auto"/>
              <w:left w:val="single" w:sz="4" w:space="0" w:color="auto"/>
              <w:bottom w:val="single" w:sz="4" w:space="0" w:color="auto"/>
              <w:right w:val="single" w:sz="4" w:space="0" w:color="auto"/>
            </w:tcBorders>
            <w:hideMark/>
          </w:tcPr>
          <w:p w:rsidR="00FD5FA6" w:rsidRPr="00536F4D" w:rsidRDefault="00FD5FA6" w:rsidP="00FD5FA6">
            <w:pPr>
              <w:pStyle w:val="TableText"/>
              <w:spacing w:line="254" w:lineRule="auto"/>
            </w:pPr>
            <w:r w:rsidRPr="00536F4D">
              <w:rPr>
                <w:szCs w:val="20"/>
              </w:rPr>
              <w:t xml:space="preserve">Low to moderate risk of bias </w:t>
            </w:r>
          </w:p>
        </w:tc>
      </w:tr>
      <w:tr w:rsidR="00FD5FA6" w:rsidRPr="00536F4D" w:rsidTr="007A3F06">
        <w:tc>
          <w:tcPr>
            <w:tcW w:w="902" w:type="pct"/>
            <w:tcBorders>
              <w:top w:val="single" w:sz="4" w:space="0" w:color="auto"/>
              <w:left w:val="single" w:sz="4" w:space="0" w:color="auto"/>
              <w:bottom w:val="single" w:sz="4" w:space="0" w:color="auto"/>
              <w:right w:val="single" w:sz="4" w:space="0" w:color="auto"/>
            </w:tcBorders>
            <w:hideMark/>
          </w:tcPr>
          <w:p w:rsidR="00FD5FA6" w:rsidRPr="00536F4D" w:rsidRDefault="00FD5FA6" w:rsidP="00FD5FA6">
            <w:pPr>
              <w:pStyle w:val="TableText"/>
              <w:spacing w:line="254" w:lineRule="auto"/>
              <w:jc w:val="left"/>
            </w:pPr>
            <w:r w:rsidRPr="00536F4D">
              <w:t>Prognostic evidence</w:t>
            </w:r>
          </w:p>
        </w:tc>
        <w:tc>
          <w:tcPr>
            <w:tcW w:w="1949" w:type="pct"/>
            <w:tcBorders>
              <w:top w:val="single" w:sz="4" w:space="0" w:color="auto"/>
              <w:left w:val="single" w:sz="4" w:space="0" w:color="auto"/>
              <w:bottom w:val="single" w:sz="4" w:space="0" w:color="auto"/>
              <w:right w:val="single" w:sz="4" w:space="0" w:color="auto"/>
            </w:tcBorders>
            <w:hideMark/>
          </w:tcPr>
          <w:p w:rsidR="00FD5FA6" w:rsidRPr="00990CC6" w:rsidRDefault="00FD5FA6" w:rsidP="00FD5FA6">
            <w:pPr>
              <w:pStyle w:val="TableText"/>
              <w:spacing w:line="254" w:lineRule="auto"/>
              <w:jc w:val="left"/>
            </w:pPr>
            <w:r w:rsidRPr="00990CC6">
              <w:t xml:space="preserve">Comparison of outcomes in patients with and without </w:t>
            </w:r>
            <w:r w:rsidR="00B901D2" w:rsidRPr="00990CC6">
              <w:rPr>
                <w:i/>
              </w:rPr>
              <w:t>T790M</w:t>
            </w:r>
            <w:r w:rsidRPr="00990CC6">
              <w:t xml:space="preserve"> mutations (based on plasma) who receive the chemotherapy + placebo</w:t>
            </w:r>
          </w:p>
        </w:tc>
        <w:tc>
          <w:tcPr>
            <w:tcW w:w="888" w:type="pct"/>
            <w:tcBorders>
              <w:top w:val="single" w:sz="4" w:space="0" w:color="auto"/>
              <w:left w:val="single" w:sz="4" w:space="0" w:color="auto"/>
              <w:bottom w:val="single" w:sz="4" w:space="0" w:color="auto"/>
              <w:right w:val="single" w:sz="4" w:space="0" w:color="auto"/>
            </w:tcBorders>
            <w:hideMark/>
          </w:tcPr>
          <w:p w:rsidR="00FD5FA6" w:rsidRPr="00536F4D" w:rsidRDefault="000B2D46" w:rsidP="00FD5FA6">
            <w:pPr>
              <w:pStyle w:val="TableText"/>
              <w:spacing w:line="254" w:lineRule="auto"/>
            </w:pPr>
            <w:sdt>
              <w:sdtPr>
                <w:id w:val="868034114"/>
                <w14:checkbox>
                  <w14:checked w14:val="1"/>
                  <w14:checkedState w14:val="2612" w14:font="MS Gothic"/>
                  <w14:uncheckedState w14:val="2610" w14:font="MS Gothic"/>
                </w14:checkbox>
              </w:sdtPr>
              <w:sdtEndPr/>
              <w:sdtContent>
                <w:r w:rsidR="00FD5FA6" w:rsidRPr="00536F4D">
                  <w:rPr>
                    <w:rFonts w:ascii="MS Gothic" w:eastAsia="MS Gothic" w:hAnsi="MS Gothic"/>
                  </w:rPr>
                  <w:t>☒</w:t>
                </w:r>
              </w:sdtContent>
            </w:sdt>
            <w:r w:rsidR="00FD5FA6" w:rsidRPr="00536F4D">
              <w:tab/>
              <w:t>k=1</w:t>
            </w:r>
            <w:r w:rsidR="00FD5FA6" w:rsidRPr="00536F4D">
              <w:tab/>
              <w:t>n=120</w:t>
            </w:r>
          </w:p>
        </w:tc>
        <w:tc>
          <w:tcPr>
            <w:tcW w:w="1261" w:type="pct"/>
            <w:tcBorders>
              <w:top w:val="single" w:sz="4" w:space="0" w:color="auto"/>
              <w:left w:val="single" w:sz="4" w:space="0" w:color="auto"/>
              <w:bottom w:val="single" w:sz="4" w:space="0" w:color="auto"/>
              <w:right w:val="single" w:sz="4" w:space="0" w:color="auto"/>
            </w:tcBorders>
            <w:hideMark/>
          </w:tcPr>
          <w:p w:rsidR="00FD5FA6" w:rsidRPr="00536F4D" w:rsidRDefault="00FD5FA6" w:rsidP="00990CC6">
            <w:pPr>
              <w:pStyle w:val="TableText"/>
              <w:spacing w:line="254" w:lineRule="auto"/>
            </w:pPr>
            <w:r w:rsidRPr="00536F4D">
              <w:rPr>
                <w:szCs w:val="20"/>
              </w:rPr>
              <w:t xml:space="preserve">High risk of bias due to </w:t>
            </w:r>
            <w:r w:rsidR="00E3441B" w:rsidRPr="00536F4D">
              <w:rPr>
                <w:szCs w:val="20"/>
              </w:rPr>
              <w:t xml:space="preserve">use of </w:t>
            </w:r>
            <w:r w:rsidRPr="00536F4D">
              <w:rPr>
                <w:szCs w:val="20"/>
              </w:rPr>
              <w:t>plasma</w:t>
            </w:r>
            <w:r w:rsidR="00395AE3">
              <w:rPr>
                <w:szCs w:val="20"/>
              </w:rPr>
              <w:t>-based</w:t>
            </w:r>
            <w:r w:rsidRPr="00536F4D">
              <w:rPr>
                <w:szCs w:val="20"/>
              </w:rPr>
              <w:t xml:space="preserve"> rather than </w:t>
            </w:r>
            <w:r w:rsidR="00395AE3">
              <w:rPr>
                <w:szCs w:val="20"/>
              </w:rPr>
              <w:t xml:space="preserve">tumour </w:t>
            </w:r>
            <w:r w:rsidRPr="00536F4D">
              <w:rPr>
                <w:szCs w:val="20"/>
              </w:rPr>
              <w:t>tissue</w:t>
            </w:r>
            <w:r w:rsidR="00395AE3">
              <w:rPr>
                <w:szCs w:val="20"/>
              </w:rPr>
              <w:t>-based</w:t>
            </w:r>
            <w:r w:rsidR="00990CC6">
              <w:rPr>
                <w:szCs w:val="20"/>
              </w:rPr>
              <w:t xml:space="preserve"> test</w:t>
            </w:r>
          </w:p>
        </w:tc>
      </w:tr>
      <w:tr w:rsidR="00FD5FA6" w:rsidRPr="00536F4D" w:rsidTr="007A3F06">
        <w:tc>
          <w:tcPr>
            <w:tcW w:w="902" w:type="pct"/>
            <w:tcBorders>
              <w:top w:val="single" w:sz="4" w:space="0" w:color="auto"/>
              <w:left w:val="single" w:sz="4" w:space="0" w:color="auto"/>
              <w:bottom w:val="single" w:sz="4" w:space="0" w:color="auto"/>
              <w:right w:val="single" w:sz="4" w:space="0" w:color="auto"/>
            </w:tcBorders>
            <w:hideMark/>
          </w:tcPr>
          <w:p w:rsidR="00FD5FA6" w:rsidRPr="00536F4D" w:rsidRDefault="00FD5FA6" w:rsidP="00FD5FA6">
            <w:pPr>
              <w:pStyle w:val="TableText"/>
              <w:spacing w:line="254" w:lineRule="auto"/>
              <w:jc w:val="left"/>
            </w:pPr>
            <w:r w:rsidRPr="00536F4D">
              <w:t>Predictive evidence</w:t>
            </w:r>
          </w:p>
        </w:tc>
        <w:tc>
          <w:tcPr>
            <w:tcW w:w="1949" w:type="pct"/>
            <w:tcBorders>
              <w:top w:val="single" w:sz="4" w:space="0" w:color="auto"/>
              <w:left w:val="single" w:sz="4" w:space="0" w:color="auto"/>
              <w:bottom w:val="single" w:sz="4" w:space="0" w:color="auto"/>
              <w:right w:val="single" w:sz="4" w:space="0" w:color="auto"/>
            </w:tcBorders>
            <w:hideMark/>
          </w:tcPr>
          <w:p w:rsidR="00FD5FA6" w:rsidRPr="00990CC6" w:rsidRDefault="00FD5FA6" w:rsidP="00E3441B">
            <w:pPr>
              <w:pStyle w:val="TableText"/>
              <w:spacing w:line="254" w:lineRule="auto"/>
              <w:jc w:val="left"/>
            </w:pPr>
            <w:r w:rsidRPr="00990CC6">
              <w:t xml:space="preserve">Comparison of outcomes in patients with and without </w:t>
            </w:r>
            <w:r w:rsidR="00B901D2" w:rsidRPr="00990CC6">
              <w:rPr>
                <w:i/>
              </w:rPr>
              <w:t>T790M</w:t>
            </w:r>
            <w:r w:rsidRPr="00990CC6">
              <w:t xml:space="preserve"> mutations (based on tumour tissue) who receive osimertinib</w:t>
            </w:r>
          </w:p>
        </w:tc>
        <w:tc>
          <w:tcPr>
            <w:tcW w:w="888" w:type="pct"/>
            <w:tcBorders>
              <w:top w:val="single" w:sz="4" w:space="0" w:color="auto"/>
              <w:left w:val="single" w:sz="4" w:space="0" w:color="auto"/>
              <w:bottom w:val="single" w:sz="4" w:space="0" w:color="auto"/>
              <w:right w:val="single" w:sz="4" w:space="0" w:color="auto"/>
            </w:tcBorders>
            <w:hideMark/>
          </w:tcPr>
          <w:p w:rsidR="00FD5FA6" w:rsidRPr="00536F4D" w:rsidRDefault="000B2D46" w:rsidP="00FD5FA6">
            <w:pPr>
              <w:pStyle w:val="TableText"/>
              <w:spacing w:line="254" w:lineRule="auto"/>
            </w:pPr>
            <w:sdt>
              <w:sdtPr>
                <w:id w:val="257573047"/>
                <w14:checkbox>
                  <w14:checked w14:val="1"/>
                  <w14:checkedState w14:val="2612" w14:font="MS Gothic"/>
                  <w14:uncheckedState w14:val="2610" w14:font="MS Gothic"/>
                </w14:checkbox>
              </w:sdtPr>
              <w:sdtEndPr/>
              <w:sdtContent>
                <w:r w:rsidR="00FD5FA6" w:rsidRPr="00536F4D">
                  <w:rPr>
                    <w:rFonts w:ascii="MS Gothic" w:eastAsia="MS Gothic" w:hAnsi="MS Gothic"/>
                  </w:rPr>
                  <w:t>☒</w:t>
                </w:r>
              </w:sdtContent>
            </w:sdt>
            <w:r w:rsidR="00FD5FA6" w:rsidRPr="00536F4D">
              <w:tab/>
              <w:t>k=1</w:t>
            </w:r>
            <w:r w:rsidR="00FD5FA6" w:rsidRPr="00536F4D">
              <w:tab/>
              <w:t>n=244</w:t>
            </w:r>
          </w:p>
        </w:tc>
        <w:tc>
          <w:tcPr>
            <w:tcW w:w="1261" w:type="pct"/>
            <w:tcBorders>
              <w:top w:val="single" w:sz="4" w:space="0" w:color="auto"/>
              <w:left w:val="single" w:sz="4" w:space="0" w:color="auto"/>
              <w:bottom w:val="single" w:sz="4" w:space="0" w:color="auto"/>
              <w:right w:val="single" w:sz="4" w:space="0" w:color="auto"/>
            </w:tcBorders>
            <w:hideMark/>
          </w:tcPr>
          <w:p w:rsidR="00FD5FA6" w:rsidRPr="00536F4D" w:rsidRDefault="00FD5FA6" w:rsidP="00E3441B">
            <w:pPr>
              <w:pStyle w:val="TableText"/>
              <w:spacing w:line="254" w:lineRule="auto"/>
            </w:pPr>
            <w:r w:rsidRPr="00536F4D">
              <w:rPr>
                <w:szCs w:val="20"/>
              </w:rPr>
              <w:t xml:space="preserve">High risk of bias for interpretation of predictive validity, </w:t>
            </w:r>
            <w:r w:rsidR="00E3441B" w:rsidRPr="00536F4D">
              <w:rPr>
                <w:szCs w:val="20"/>
              </w:rPr>
              <w:t>as this is based on a</w:t>
            </w:r>
            <w:r w:rsidRPr="00536F4D">
              <w:rPr>
                <w:szCs w:val="20"/>
              </w:rPr>
              <w:t xml:space="preserve"> naïve indirect comparison with the pr</w:t>
            </w:r>
            <w:r w:rsidR="00990CC6">
              <w:rPr>
                <w:szCs w:val="20"/>
              </w:rPr>
              <w:t>ognostic evidence</w:t>
            </w:r>
          </w:p>
        </w:tc>
      </w:tr>
      <w:tr w:rsidR="00FD5FA6" w:rsidRPr="00536F4D" w:rsidTr="007A3F06">
        <w:tc>
          <w:tcPr>
            <w:tcW w:w="902" w:type="pct"/>
            <w:tcBorders>
              <w:top w:val="single" w:sz="4" w:space="0" w:color="auto"/>
              <w:left w:val="single" w:sz="4" w:space="0" w:color="auto"/>
              <w:bottom w:val="single" w:sz="4" w:space="0" w:color="auto"/>
              <w:right w:val="single" w:sz="4" w:space="0" w:color="auto"/>
            </w:tcBorders>
          </w:tcPr>
          <w:p w:rsidR="00FD5FA6" w:rsidRPr="00536F4D" w:rsidRDefault="00FD5FA6" w:rsidP="00FD5FA6">
            <w:pPr>
              <w:pStyle w:val="TableText"/>
              <w:spacing w:line="254" w:lineRule="auto"/>
              <w:jc w:val="left"/>
            </w:pPr>
            <w:r w:rsidRPr="00536F4D">
              <w:t xml:space="preserve">Change in patient management </w:t>
            </w:r>
          </w:p>
        </w:tc>
        <w:tc>
          <w:tcPr>
            <w:tcW w:w="1949" w:type="pct"/>
            <w:tcBorders>
              <w:top w:val="single" w:sz="4" w:space="0" w:color="auto"/>
              <w:left w:val="single" w:sz="4" w:space="0" w:color="auto"/>
              <w:bottom w:val="single" w:sz="4" w:space="0" w:color="auto"/>
              <w:right w:val="single" w:sz="4" w:space="0" w:color="auto"/>
            </w:tcBorders>
          </w:tcPr>
          <w:p w:rsidR="00FD5FA6" w:rsidRPr="00990CC6" w:rsidRDefault="00990CC6" w:rsidP="00FD5FA6">
            <w:pPr>
              <w:pStyle w:val="TableText"/>
              <w:spacing w:line="254" w:lineRule="auto"/>
              <w:jc w:val="left"/>
            </w:pPr>
            <w:r w:rsidRPr="00990CC6">
              <w:t>Not supplied</w:t>
            </w:r>
          </w:p>
        </w:tc>
        <w:tc>
          <w:tcPr>
            <w:tcW w:w="888" w:type="pct"/>
            <w:tcBorders>
              <w:top w:val="single" w:sz="4" w:space="0" w:color="auto"/>
              <w:left w:val="single" w:sz="4" w:space="0" w:color="auto"/>
              <w:bottom w:val="single" w:sz="4" w:space="0" w:color="auto"/>
              <w:right w:val="single" w:sz="4" w:space="0" w:color="auto"/>
            </w:tcBorders>
          </w:tcPr>
          <w:p w:rsidR="00FD5FA6" w:rsidRPr="00536F4D" w:rsidRDefault="000B2D46" w:rsidP="008D7FA1">
            <w:pPr>
              <w:pStyle w:val="TableText"/>
              <w:spacing w:line="254" w:lineRule="auto"/>
            </w:pPr>
            <w:sdt>
              <w:sdtPr>
                <w:id w:val="-263378289"/>
                <w14:checkbox>
                  <w14:checked w14:val="0"/>
                  <w14:checkedState w14:val="2612" w14:font="MS Gothic"/>
                  <w14:uncheckedState w14:val="2610" w14:font="MS Gothic"/>
                </w14:checkbox>
              </w:sdtPr>
              <w:sdtEndPr/>
              <w:sdtContent>
                <w:r w:rsidR="00FD5FA6" w:rsidRPr="00536F4D">
                  <w:rPr>
                    <w:rFonts w:ascii="MS Gothic" w:eastAsia="MS Gothic" w:hAnsi="MS Gothic"/>
                  </w:rPr>
                  <w:t>☐</w:t>
                </w:r>
              </w:sdtContent>
            </w:sdt>
            <w:r w:rsidR="00FD5FA6" w:rsidRPr="00536F4D">
              <w:tab/>
              <w:t>k=0</w:t>
            </w:r>
            <w:r w:rsidR="00E3441B" w:rsidRPr="00536F4D">
              <w:t>“</w:t>
            </w:r>
            <w:r w:rsidR="00E3441B" w:rsidRPr="00536F4D">
              <w:br/>
            </w:r>
            <w:r w:rsidR="00E3441B" w:rsidRPr="00536F4D">
              <w:tab/>
            </w:r>
            <w:r w:rsidR="00FD5FA6" w:rsidRPr="00536F4D">
              <w:t>n=</w:t>
            </w:r>
            <w:r w:rsidR="00E3441B" w:rsidRPr="00536F4D">
              <w:t>NA</w:t>
            </w:r>
          </w:p>
        </w:tc>
        <w:tc>
          <w:tcPr>
            <w:tcW w:w="1261" w:type="pct"/>
            <w:tcBorders>
              <w:top w:val="single" w:sz="4" w:space="0" w:color="auto"/>
              <w:left w:val="single" w:sz="4" w:space="0" w:color="auto"/>
              <w:bottom w:val="single" w:sz="4" w:space="0" w:color="auto"/>
              <w:right w:val="single" w:sz="4" w:space="0" w:color="auto"/>
            </w:tcBorders>
            <w:hideMark/>
          </w:tcPr>
          <w:p w:rsidR="00FD5FA6" w:rsidRPr="00536F4D" w:rsidRDefault="00FD5FA6" w:rsidP="00FD5FA6">
            <w:pPr>
              <w:pStyle w:val="TableText"/>
              <w:spacing w:line="254" w:lineRule="auto"/>
            </w:pPr>
          </w:p>
        </w:tc>
      </w:tr>
      <w:tr w:rsidR="004901AE" w:rsidRPr="00536F4D" w:rsidTr="007A3F06">
        <w:tc>
          <w:tcPr>
            <w:tcW w:w="902" w:type="pct"/>
            <w:tcBorders>
              <w:top w:val="single" w:sz="4" w:space="0" w:color="auto"/>
              <w:left w:val="single" w:sz="4" w:space="0" w:color="auto"/>
              <w:bottom w:val="single" w:sz="4" w:space="0" w:color="auto"/>
              <w:right w:val="single" w:sz="4" w:space="0" w:color="auto"/>
            </w:tcBorders>
            <w:hideMark/>
          </w:tcPr>
          <w:p w:rsidR="004901AE" w:rsidRPr="00536F4D" w:rsidRDefault="004901AE" w:rsidP="004901AE">
            <w:pPr>
              <w:pStyle w:val="TableText"/>
              <w:spacing w:line="254" w:lineRule="auto"/>
              <w:jc w:val="left"/>
            </w:pPr>
            <w:r w:rsidRPr="00536F4D">
              <w:t xml:space="preserve">Treatment effectiveness </w:t>
            </w:r>
          </w:p>
          <w:p w:rsidR="004901AE" w:rsidRPr="00536F4D" w:rsidRDefault="004901AE" w:rsidP="004901AE">
            <w:pPr>
              <w:pStyle w:val="TableText"/>
              <w:spacing w:line="254" w:lineRule="auto"/>
              <w:jc w:val="left"/>
            </w:pPr>
            <w:r w:rsidRPr="00536F4D">
              <w:t>Treatment effect (enriched)</w:t>
            </w:r>
          </w:p>
        </w:tc>
        <w:tc>
          <w:tcPr>
            <w:tcW w:w="1949" w:type="pct"/>
            <w:tcBorders>
              <w:top w:val="single" w:sz="4" w:space="0" w:color="auto"/>
              <w:left w:val="single" w:sz="4" w:space="0" w:color="auto"/>
              <w:bottom w:val="single" w:sz="4" w:space="0" w:color="auto"/>
              <w:right w:val="single" w:sz="4" w:space="0" w:color="auto"/>
            </w:tcBorders>
          </w:tcPr>
          <w:p w:rsidR="004901AE" w:rsidRPr="00990CC6" w:rsidRDefault="004901AE" w:rsidP="004901AE">
            <w:pPr>
              <w:pStyle w:val="TableText"/>
              <w:spacing w:line="254" w:lineRule="auto"/>
              <w:jc w:val="left"/>
            </w:pPr>
            <w:r w:rsidRPr="00990CC6">
              <w:t>AURA3</w:t>
            </w:r>
            <w:r w:rsidR="00990CC6">
              <w:t> </w:t>
            </w:r>
            <w:r w:rsidRPr="00990CC6">
              <w:rPr>
                <w:vertAlign w:val="superscript"/>
              </w:rPr>
              <w:t>b</w:t>
            </w:r>
            <w:r w:rsidRPr="00990CC6">
              <w:t xml:space="preserve"> was a head-to-head trial comparing osimertinib with platinum-based chemotherapy in tumour </w:t>
            </w:r>
            <w:r w:rsidR="00B901D2" w:rsidRPr="00990CC6">
              <w:rPr>
                <w:i/>
              </w:rPr>
              <w:t>T790M</w:t>
            </w:r>
            <w:r w:rsidRPr="00990CC6">
              <w:t xml:space="preserve"> positive patients. However, due to treatment switching in AURA3, the submission used a naive indirect comparison</w:t>
            </w:r>
            <w:r w:rsidR="00990CC6" w:rsidRPr="00990CC6">
              <w:t> </w:t>
            </w:r>
            <w:r w:rsidRPr="00990CC6">
              <w:rPr>
                <w:vertAlign w:val="superscript"/>
              </w:rPr>
              <w:t>c</w:t>
            </w:r>
            <w:r w:rsidRPr="00990CC6">
              <w:t xml:space="preserve"> between 2 single</w:t>
            </w:r>
            <w:r w:rsidR="000E0E2E">
              <w:t>-</w:t>
            </w:r>
            <w:r w:rsidRPr="00990CC6">
              <w:t xml:space="preserve">arm osimertinib studies and a single </w:t>
            </w:r>
            <w:r w:rsidR="00AD752E" w:rsidRPr="00990CC6">
              <w:t>platinum-</w:t>
            </w:r>
            <w:r w:rsidRPr="00990CC6">
              <w:t>based chemother</w:t>
            </w:r>
            <w:r w:rsidR="00990CC6" w:rsidRPr="00990CC6">
              <w:t>apy arm from the IMPRESS trial.</w:t>
            </w:r>
          </w:p>
        </w:tc>
        <w:tc>
          <w:tcPr>
            <w:tcW w:w="888" w:type="pct"/>
            <w:tcBorders>
              <w:top w:val="single" w:sz="4" w:space="0" w:color="auto"/>
              <w:left w:val="single" w:sz="4" w:space="0" w:color="auto"/>
              <w:bottom w:val="single" w:sz="4" w:space="0" w:color="auto"/>
              <w:right w:val="single" w:sz="4" w:space="0" w:color="auto"/>
            </w:tcBorders>
            <w:hideMark/>
          </w:tcPr>
          <w:p w:rsidR="004901AE" w:rsidRPr="00536F4D" w:rsidRDefault="000B2D46" w:rsidP="004901AE">
            <w:pPr>
              <w:pStyle w:val="TableText"/>
            </w:pPr>
            <w:sdt>
              <w:sdtPr>
                <w:id w:val="-246890010"/>
                <w14:checkbox>
                  <w14:checked w14:val="1"/>
                  <w14:checkedState w14:val="2612" w14:font="MS Gothic"/>
                  <w14:uncheckedState w14:val="2610" w14:font="MS Gothic"/>
                </w14:checkbox>
              </w:sdtPr>
              <w:sdtEndPr/>
              <w:sdtContent>
                <w:r w:rsidR="004901AE" w:rsidRPr="00536F4D">
                  <w:rPr>
                    <w:rFonts w:ascii="MS Gothic" w:eastAsia="MS Gothic" w:hAnsi="MS Gothic"/>
                  </w:rPr>
                  <w:t>☒</w:t>
                </w:r>
              </w:sdtContent>
            </w:sdt>
            <w:r w:rsidR="004901AE" w:rsidRPr="00536F4D">
              <w:tab/>
              <w:t>k</w:t>
            </w:r>
            <w:r w:rsidR="004901AE" w:rsidRPr="00536F4D">
              <w:rPr>
                <w:vertAlign w:val="superscript"/>
              </w:rPr>
              <w:t>b</w:t>
            </w:r>
            <w:r w:rsidR="004901AE" w:rsidRPr="00536F4D">
              <w:t>=1</w:t>
            </w:r>
          </w:p>
          <w:p w:rsidR="004901AE" w:rsidRPr="00536F4D" w:rsidRDefault="004901AE" w:rsidP="004901AE">
            <w:pPr>
              <w:pStyle w:val="TableText"/>
            </w:pPr>
            <w:r w:rsidRPr="00536F4D">
              <w:tab/>
              <w:t>n= 419</w:t>
            </w:r>
          </w:p>
          <w:p w:rsidR="004901AE" w:rsidRPr="00536F4D" w:rsidRDefault="000B2D46" w:rsidP="004901AE">
            <w:pPr>
              <w:pStyle w:val="TableText"/>
              <w:spacing w:line="254" w:lineRule="auto"/>
            </w:pPr>
            <w:sdt>
              <w:sdtPr>
                <w:id w:val="-110368743"/>
                <w14:checkbox>
                  <w14:checked w14:val="1"/>
                  <w14:checkedState w14:val="2612" w14:font="MS Gothic"/>
                  <w14:uncheckedState w14:val="2610" w14:font="MS Gothic"/>
                </w14:checkbox>
              </w:sdtPr>
              <w:sdtEndPr/>
              <w:sdtContent>
                <w:r w:rsidR="004901AE" w:rsidRPr="00536F4D">
                  <w:rPr>
                    <w:rFonts w:ascii="MS Gothic" w:eastAsia="MS Gothic" w:hAnsi="MS Gothic"/>
                  </w:rPr>
                  <w:t>☒</w:t>
                </w:r>
              </w:sdtContent>
            </w:sdt>
            <w:r w:rsidR="004901AE" w:rsidRPr="00536F4D">
              <w:tab/>
              <w:t>k</w:t>
            </w:r>
            <w:r w:rsidR="004901AE" w:rsidRPr="00536F4D">
              <w:rPr>
                <w:vertAlign w:val="superscript"/>
              </w:rPr>
              <w:t>c</w:t>
            </w:r>
            <w:r w:rsidR="004901AE" w:rsidRPr="00536F4D">
              <w:t>=3</w:t>
            </w:r>
          </w:p>
          <w:p w:rsidR="004901AE" w:rsidRPr="00536F4D" w:rsidRDefault="004901AE" w:rsidP="004901AE">
            <w:pPr>
              <w:pStyle w:val="TableText"/>
              <w:spacing w:line="254" w:lineRule="auto"/>
            </w:pPr>
            <w:r w:rsidRPr="00536F4D">
              <w:tab/>
              <w:t>n= 190</w:t>
            </w:r>
          </w:p>
        </w:tc>
        <w:tc>
          <w:tcPr>
            <w:tcW w:w="1261" w:type="pct"/>
            <w:tcBorders>
              <w:top w:val="single" w:sz="4" w:space="0" w:color="auto"/>
              <w:left w:val="single" w:sz="4" w:space="0" w:color="auto"/>
              <w:bottom w:val="single" w:sz="4" w:space="0" w:color="auto"/>
              <w:right w:val="single" w:sz="4" w:space="0" w:color="auto"/>
            </w:tcBorders>
          </w:tcPr>
          <w:p w:rsidR="004901AE" w:rsidRPr="00536F4D" w:rsidRDefault="004901AE" w:rsidP="004901AE">
            <w:pPr>
              <w:pStyle w:val="TableText"/>
              <w:spacing w:line="254" w:lineRule="auto"/>
              <w:jc w:val="left"/>
            </w:pPr>
            <w:r w:rsidRPr="00536F4D">
              <w:rPr>
                <w:vertAlign w:val="superscript"/>
              </w:rPr>
              <w:t xml:space="preserve">b </w:t>
            </w:r>
            <w:r w:rsidRPr="00536F4D">
              <w:t>Direct comparison at low risk of bias for PFS, alt</w:t>
            </w:r>
            <w:r w:rsidR="00990CC6">
              <w:t>hough high risk of bias for OS</w:t>
            </w:r>
          </w:p>
          <w:p w:rsidR="004901AE" w:rsidRPr="00536F4D" w:rsidRDefault="004901AE" w:rsidP="008D7FA1">
            <w:pPr>
              <w:pStyle w:val="TableText"/>
              <w:spacing w:line="254" w:lineRule="auto"/>
              <w:jc w:val="left"/>
            </w:pPr>
            <w:r w:rsidRPr="00536F4D">
              <w:rPr>
                <w:vertAlign w:val="superscript"/>
              </w:rPr>
              <w:t xml:space="preserve">c </w:t>
            </w:r>
            <w:r w:rsidRPr="00536F4D">
              <w:t xml:space="preserve">Naïve indirect </w:t>
            </w:r>
            <w:r w:rsidR="00990CC6">
              <w:t>comparison at high risk of bias</w:t>
            </w:r>
          </w:p>
        </w:tc>
      </w:tr>
    </w:tbl>
    <w:p w:rsidR="008D7FA1" w:rsidRPr="00536F4D" w:rsidRDefault="004901AE" w:rsidP="008D7FA1">
      <w:pPr>
        <w:pStyle w:val="TableFooter"/>
      </w:pPr>
      <w:r w:rsidRPr="00536F4D">
        <w:rPr>
          <w:vertAlign w:val="superscript"/>
        </w:rPr>
        <w:t>a</w:t>
      </w:r>
      <w:r w:rsidRPr="00536F4D">
        <w:t xml:space="preserve"> reference standard not available; </w:t>
      </w:r>
      <w:r w:rsidRPr="00536F4D">
        <w:rPr>
          <w:vertAlign w:val="superscript"/>
        </w:rPr>
        <w:t xml:space="preserve">b </w:t>
      </w:r>
      <w:r w:rsidRPr="00536F4D">
        <w:t xml:space="preserve">direct comparison; </w:t>
      </w:r>
      <w:r w:rsidRPr="00536F4D">
        <w:rPr>
          <w:vertAlign w:val="superscript"/>
        </w:rPr>
        <w:t xml:space="preserve">c </w:t>
      </w:r>
      <w:r w:rsidRPr="00536F4D">
        <w:t>indirect naïve comparison; k=number of studies, n=number of patients.</w:t>
      </w:r>
    </w:p>
    <w:p w:rsidR="004901AE" w:rsidRPr="00536F4D" w:rsidRDefault="008D7FA1" w:rsidP="008D7FA1">
      <w:pPr>
        <w:pStyle w:val="TableFooter"/>
      </w:pPr>
      <w:r w:rsidRPr="00536F4D">
        <w:t>Source: Complied during the evaluation.</w:t>
      </w:r>
    </w:p>
    <w:p w:rsidR="00FD5FA6" w:rsidRPr="00536F4D" w:rsidRDefault="00FD5FA6" w:rsidP="00891893">
      <w:pPr>
        <w:pStyle w:val="ListParagraph"/>
        <w:ind w:left="709" w:hanging="709"/>
        <w:rPr>
          <w:color w:val="auto"/>
        </w:rPr>
      </w:pPr>
      <w:r w:rsidRPr="00536F4D">
        <w:rPr>
          <w:color w:val="auto"/>
        </w:rPr>
        <w:t>Data available for the linked evidence c</w:t>
      </w:r>
      <w:r w:rsidR="002A229A" w:rsidRPr="00536F4D">
        <w:rPr>
          <w:color w:val="auto"/>
        </w:rPr>
        <w:t xml:space="preserve">omponents </w:t>
      </w:r>
      <w:r w:rsidR="00CF502D">
        <w:rPr>
          <w:color w:val="auto"/>
        </w:rPr>
        <w:t xml:space="preserve">are </w:t>
      </w:r>
      <w:r w:rsidR="002A229A" w:rsidRPr="00536F4D">
        <w:rPr>
          <w:color w:val="auto"/>
        </w:rPr>
        <w:t xml:space="preserve">outlined in </w:t>
      </w:r>
      <w:r w:rsidR="00627421" w:rsidRPr="00536F4D">
        <w:t xml:space="preserve">Table </w:t>
      </w:r>
      <w:r w:rsidR="00627421" w:rsidRPr="00536F4D">
        <w:rPr>
          <w:noProof/>
        </w:rPr>
        <w:t>3</w:t>
      </w:r>
      <w:r w:rsidR="00C04064" w:rsidRPr="00536F4D">
        <w:rPr>
          <w:color w:val="auto"/>
        </w:rPr>
        <w:t>.</w:t>
      </w:r>
    </w:p>
    <w:p w:rsidR="00FD5FA6" w:rsidRPr="00536F4D" w:rsidRDefault="00FD5FA6" w:rsidP="00891893">
      <w:pPr>
        <w:pStyle w:val="ListParagraph"/>
        <w:ind w:left="709" w:hanging="709"/>
        <w:rPr>
          <w:color w:val="auto"/>
        </w:rPr>
      </w:pPr>
      <w:r w:rsidRPr="00536F4D">
        <w:rPr>
          <w:color w:val="auto"/>
        </w:rPr>
        <w:t xml:space="preserve">Gaps in the evidence include comparative treatment effectiveness in patients who are </w:t>
      </w:r>
      <w:r w:rsidR="00B901D2" w:rsidRPr="00B901D2">
        <w:rPr>
          <w:i/>
          <w:color w:val="auto"/>
        </w:rPr>
        <w:t>T790M</w:t>
      </w:r>
      <w:r w:rsidRPr="00536F4D">
        <w:rPr>
          <w:color w:val="auto"/>
        </w:rPr>
        <w:t xml:space="preserve"> mutation negative. The benefit of selective osimertinib treatment</w:t>
      </w:r>
      <w:r w:rsidR="00E3441B" w:rsidRPr="00536F4D">
        <w:rPr>
          <w:color w:val="auto"/>
        </w:rPr>
        <w:t xml:space="preserve"> has not been assessed </w:t>
      </w:r>
      <w:r w:rsidR="00C04064" w:rsidRPr="00536F4D">
        <w:rPr>
          <w:color w:val="auto"/>
        </w:rPr>
        <w:t>i.e.</w:t>
      </w:r>
      <w:r w:rsidR="00E3441B" w:rsidRPr="00536F4D">
        <w:rPr>
          <w:color w:val="auto"/>
        </w:rPr>
        <w:t xml:space="preserve"> treatment</w:t>
      </w:r>
      <w:r w:rsidRPr="00536F4D">
        <w:rPr>
          <w:color w:val="auto"/>
        </w:rPr>
        <w:t xml:space="preserve"> based on </w:t>
      </w:r>
      <w:r w:rsidR="00B901D2" w:rsidRPr="00B901D2">
        <w:rPr>
          <w:i/>
          <w:color w:val="auto"/>
        </w:rPr>
        <w:t>EGFR</w:t>
      </w:r>
      <w:r w:rsidRPr="00536F4D">
        <w:rPr>
          <w:color w:val="auto"/>
        </w:rPr>
        <w:t xml:space="preserve"> mutation testing, rather than non-selective treatment. The submitted evidence does not allow </w:t>
      </w:r>
      <w:r w:rsidR="00E3441B" w:rsidRPr="00536F4D">
        <w:rPr>
          <w:color w:val="auto"/>
        </w:rPr>
        <w:t xml:space="preserve">a </w:t>
      </w:r>
      <w:r w:rsidRPr="00536F4D">
        <w:rPr>
          <w:color w:val="auto"/>
        </w:rPr>
        <w:t>distinction between pro</w:t>
      </w:r>
      <w:r w:rsidR="00C346A4" w:rsidRPr="00536F4D">
        <w:rPr>
          <w:color w:val="auto"/>
        </w:rPr>
        <w:t>gnostic and predictive effects.</w:t>
      </w:r>
    </w:p>
    <w:p w:rsidR="003657A4" w:rsidRPr="00536F4D" w:rsidRDefault="003657A4" w:rsidP="00EE3172">
      <w:pPr>
        <w:pStyle w:val="Caption"/>
      </w:pPr>
      <w:bookmarkStart w:id="20" w:name="_Ref490222594"/>
      <w:r w:rsidRPr="00536F4D">
        <w:t xml:space="preserve">Table </w:t>
      </w:r>
      <w:r w:rsidR="00AB747A" w:rsidRPr="00536F4D">
        <w:rPr>
          <w:noProof/>
        </w:rPr>
        <w:t>3</w:t>
      </w:r>
      <w:bookmarkEnd w:id="20"/>
      <w:r w:rsidR="00BC6818" w:rsidRPr="00536F4D">
        <w:t>:</w:t>
      </w:r>
      <w:r w:rsidR="003D5C91">
        <w:t xml:space="preserve"> </w:t>
      </w:r>
      <w:r w:rsidRPr="00536F4D">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gridCol w:w="3464"/>
      </w:tblGrid>
      <w:tr w:rsidR="00FD5FA6" w:rsidRPr="00536F4D" w:rsidTr="00235807">
        <w:tc>
          <w:tcPr>
            <w:tcW w:w="1439" w:type="pct"/>
            <w:tcBorders>
              <w:top w:val="single" w:sz="4" w:space="0" w:color="000000"/>
              <w:left w:val="single" w:sz="4" w:space="0" w:color="000000"/>
              <w:bottom w:val="single" w:sz="4" w:space="0" w:color="000000"/>
              <w:right w:val="single" w:sz="4" w:space="0" w:color="000000"/>
            </w:tcBorders>
            <w:hideMark/>
          </w:tcPr>
          <w:p w:rsidR="00FD5FA6" w:rsidRPr="00536F4D" w:rsidRDefault="00FD5FA6" w:rsidP="00FD5FA6">
            <w:pPr>
              <w:pStyle w:val="TableText"/>
              <w:spacing w:line="254" w:lineRule="auto"/>
              <w:jc w:val="left"/>
            </w:pPr>
            <w:r w:rsidRPr="00536F4D">
              <w:t>Proposed test vs no test</w:t>
            </w:r>
          </w:p>
        </w:tc>
        <w:tc>
          <w:tcPr>
            <w:tcW w:w="3561" w:type="pct"/>
            <w:gridSpan w:val="2"/>
            <w:tcBorders>
              <w:top w:val="single" w:sz="4" w:space="0" w:color="000000"/>
              <w:left w:val="single" w:sz="4" w:space="0" w:color="000000"/>
              <w:bottom w:val="single" w:sz="4" w:space="0" w:color="000000"/>
              <w:right w:val="single" w:sz="4" w:space="0" w:color="000000"/>
            </w:tcBorders>
            <w:hideMark/>
          </w:tcPr>
          <w:p w:rsidR="00FD5FA6" w:rsidRPr="00536F4D" w:rsidRDefault="00FD5FA6" w:rsidP="00FD5FA6">
            <w:pPr>
              <w:pStyle w:val="TableText"/>
              <w:spacing w:line="254" w:lineRule="auto"/>
              <w:rPr>
                <w:b/>
              </w:rPr>
            </w:pPr>
            <w:r w:rsidRPr="00536F4D">
              <w:t>-</w:t>
            </w:r>
          </w:p>
        </w:tc>
      </w:tr>
      <w:tr w:rsidR="00FD5FA6" w:rsidRPr="00536F4D" w:rsidTr="00235807">
        <w:tc>
          <w:tcPr>
            <w:tcW w:w="1439" w:type="pct"/>
            <w:tcBorders>
              <w:top w:val="single" w:sz="4" w:space="0" w:color="000000"/>
              <w:left w:val="single" w:sz="4" w:space="0" w:color="000000"/>
              <w:bottom w:val="single" w:sz="4" w:space="0" w:color="000000"/>
              <w:right w:val="single" w:sz="4" w:space="0" w:color="000000"/>
            </w:tcBorders>
            <w:hideMark/>
          </w:tcPr>
          <w:p w:rsidR="00FD5FA6" w:rsidRPr="00536F4D" w:rsidRDefault="00FD5FA6" w:rsidP="00FD5FA6">
            <w:pPr>
              <w:pStyle w:val="TableText"/>
              <w:spacing w:line="254" w:lineRule="auto"/>
              <w:jc w:val="left"/>
            </w:pPr>
            <w:r w:rsidRPr="00536F4D">
              <w:t>Proposed test vs alternative test</w:t>
            </w:r>
          </w:p>
        </w:tc>
        <w:tc>
          <w:tcPr>
            <w:tcW w:w="3561" w:type="pct"/>
            <w:gridSpan w:val="2"/>
            <w:tcBorders>
              <w:top w:val="single" w:sz="4" w:space="0" w:color="000000"/>
              <w:left w:val="single" w:sz="4" w:space="0" w:color="000000"/>
              <w:bottom w:val="single" w:sz="4" w:space="0" w:color="000000"/>
              <w:right w:val="single" w:sz="4" w:space="0" w:color="000000"/>
            </w:tcBorders>
            <w:hideMark/>
          </w:tcPr>
          <w:p w:rsidR="00FD5FA6" w:rsidRPr="00536F4D" w:rsidRDefault="00FD5FA6" w:rsidP="00FD5FA6">
            <w:pPr>
              <w:pStyle w:val="TableText"/>
              <w:spacing w:line="254" w:lineRule="auto"/>
              <w:rPr>
                <w:b/>
              </w:rPr>
            </w:pPr>
            <w:r w:rsidRPr="00536F4D">
              <w:t xml:space="preserve">AURA1A/1B, AURA2, Hor et al (2016) </w:t>
            </w:r>
          </w:p>
        </w:tc>
      </w:tr>
      <w:tr w:rsidR="003B53BF" w:rsidRPr="00536F4D" w:rsidTr="00235807">
        <w:tc>
          <w:tcPr>
            <w:tcW w:w="1439" w:type="pct"/>
            <w:tcBorders>
              <w:top w:val="single" w:sz="4" w:space="0" w:color="000000"/>
              <w:left w:val="single" w:sz="4" w:space="0" w:color="000000"/>
              <w:bottom w:val="single" w:sz="4" w:space="0" w:color="000000"/>
              <w:right w:val="single" w:sz="4" w:space="0" w:color="000000"/>
            </w:tcBorders>
          </w:tcPr>
          <w:p w:rsidR="003B53BF" w:rsidRPr="00536F4D" w:rsidRDefault="003B53BF" w:rsidP="003B53BF">
            <w:pPr>
              <w:pStyle w:val="TableText"/>
              <w:spacing w:line="254" w:lineRule="auto"/>
            </w:pPr>
          </w:p>
        </w:tc>
        <w:tc>
          <w:tcPr>
            <w:tcW w:w="1687" w:type="pct"/>
            <w:tcBorders>
              <w:top w:val="single" w:sz="4" w:space="0" w:color="000000"/>
              <w:left w:val="single" w:sz="4" w:space="0" w:color="000000"/>
              <w:bottom w:val="single" w:sz="4" w:space="0" w:color="000000"/>
              <w:right w:val="single" w:sz="4" w:space="0" w:color="000000"/>
            </w:tcBorders>
            <w:hideMark/>
          </w:tcPr>
          <w:p w:rsidR="003B53BF" w:rsidRPr="00536F4D" w:rsidRDefault="00615717" w:rsidP="003B53BF">
            <w:pPr>
              <w:pStyle w:val="TableText"/>
              <w:spacing w:line="254" w:lineRule="auto"/>
              <w:rPr>
                <w:b/>
              </w:rPr>
            </w:pPr>
            <w:r w:rsidRPr="00536F4D">
              <w:rPr>
                <w:b/>
              </w:rPr>
              <w:t>Osimertinib</w:t>
            </w:r>
            <w:r w:rsidR="003B53BF" w:rsidRPr="00536F4D">
              <w:rPr>
                <w:b/>
              </w:rPr>
              <w:t xml:space="preserve"> </w:t>
            </w:r>
          </w:p>
        </w:tc>
        <w:tc>
          <w:tcPr>
            <w:tcW w:w="1874" w:type="pct"/>
            <w:tcBorders>
              <w:top w:val="single" w:sz="4" w:space="0" w:color="000000"/>
              <w:left w:val="single" w:sz="4" w:space="0" w:color="000000"/>
              <w:bottom w:val="single" w:sz="4" w:space="0" w:color="000000"/>
              <w:right w:val="single" w:sz="4" w:space="0" w:color="000000"/>
            </w:tcBorders>
            <w:hideMark/>
          </w:tcPr>
          <w:p w:rsidR="003B53BF" w:rsidRPr="00536F4D" w:rsidRDefault="00E3441B" w:rsidP="003B53BF">
            <w:pPr>
              <w:pStyle w:val="TableText"/>
              <w:spacing w:line="254" w:lineRule="auto"/>
              <w:rPr>
                <w:b/>
              </w:rPr>
            </w:pPr>
            <w:r w:rsidRPr="00536F4D">
              <w:rPr>
                <w:b/>
              </w:rPr>
              <w:t>Platinum-based doublet chemotherapy</w:t>
            </w:r>
            <w:r w:rsidR="003B53BF" w:rsidRPr="00536F4D">
              <w:rPr>
                <w:b/>
              </w:rPr>
              <w:t xml:space="preserve"> </w:t>
            </w:r>
          </w:p>
        </w:tc>
      </w:tr>
      <w:tr w:rsidR="003B53BF" w:rsidRPr="00536F4D" w:rsidTr="00235807">
        <w:tc>
          <w:tcPr>
            <w:tcW w:w="1439" w:type="pct"/>
            <w:tcBorders>
              <w:top w:val="single" w:sz="4" w:space="0" w:color="000000"/>
              <w:left w:val="single" w:sz="4" w:space="0" w:color="000000"/>
              <w:bottom w:val="single" w:sz="4" w:space="0" w:color="000000"/>
              <w:right w:val="single" w:sz="4" w:space="0" w:color="000000"/>
            </w:tcBorders>
            <w:hideMark/>
          </w:tcPr>
          <w:p w:rsidR="003B53BF" w:rsidRPr="00536F4D" w:rsidRDefault="003B53BF" w:rsidP="003B53BF">
            <w:pPr>
              <w:pStyle w:val="TableText"/>
              <w:spacing w:line="254" w:lineRule="auto"/>
            </w:pPr>
            <w:r w:rsidRPr="00536F4D">
              <w:t>Biomarker test positive</w:t>
            </w:r>
          </w:p>
        </w:tc>
        <w:tc>
          <w:tcPr>
            <w:tcW w:w="1687" w:type="pct"/>
            <w:tcBorders>
              <w:top w:val="single" w:sz="4" w:space="0" w:color="000000"/>
              <w:left w:val="single" w:sz="4" w:space="0" w:color="000000"/>
              <w:bottom w:val="single" w:sz="4" w:space="0" w:color="000000"/>
              <w:right w:val="single" w:sz="4" w:space="0" w:color="000000"/>
            </w:tcBorders>
            <w:hideMark/>
          </w:tcPr>
          <w:p w:rsidR="003B53BF" w:rsidRPr="00536F4D" w:rsidRDefault="003B53BF" w:rsidP="003B53BF">
            <w:pPr>
              <w:pStyle w:val="TableText"/>
              <w:spacing w:line="254" w:lineRule="auto"/>
            </w:pPr>
            <w:r w:rsidRPr="00536F4D">
              <w:t>AURA1B (</w:t>
            </w:r>
            <w:r w:rsidR="00B901D2" w:rsidRPr="00B901D2">
              <w:rPr>
                <w:i/>
              </w:rPr>
              <w:t>T790M</w:t>
            </w:r>
            <w:r w:rsidRPr="00536F4D">
              <w:t xml:space="preserve"> mutation status based on tumour tissue)</w:t>
            </w:r>
          </w:p>
          <w:p w:rsidR="003B53BF" w:rsidRPr="00536F4D" w:rsidRDefault="003B53BF" w:rsidP="003B53BF">
            <w:pPr>
              <w:pStyle w:val="TableText"/>
              <w:spacing w:line="254" w:lineRule="auto"/>
            </w:pPr>
            <w:r w:rsidRPr="00536F4D">
              <w:t>AURA3 (</w:t>
            </w:r>
            <w:r w:rsidR="00B901D2" w:rsidRPr="00B901D2">
              <w:rPr>
                <w:i/>
              </w:rPr>
              <w:t>T790M</w:t>
            </w:r>
            <w:r w:rsidRPr="00536F4D">
              <w:t xml:space="preserve"> mutation status based on tumour tissue)</w:t>
            </w:r>
          </w:p>
          <w:p w:rsidR="003B53BF" w:rsidRPr="00536F4D" w:rsidRDefault="003B53BF" w:rsidP="003B53BF">
            <w:pPr>
              <w:pStyle w:val="TableText"/>
              <w:spacing w:line="254" w:lineRule="auto"/>
            </w:pPr>
            <w:r w:rsidRPr="00536F4D">
              <w:t>AURA1C and AURA2 (</w:t>
            </w:r>
            <w:r w:rsidR="00B901D2" w:rsidRPr="00B901D2">
              <w:rPr>
                <w:i/>
              </w:rPr>
              <w:t>T790M</w:t>
            </w:r>
            <w:r w:rsidRPr="00536F4D">
              <w:t xml:space="preserve"> mutation status based on tumour tissue)</w:t>
            </w:r>
          </w:p>
        </w:tc>
        <w:tc>
          <w:tcPr>
            <w:tcW w:w="1874" w:type="pct"/>
            <w:tcBorders>
              <w:top w:val="single" w:sz="4" w:space="0" w:color="000000"/>
              <w:left w:val="single" w:sz="4" w:space="0" w:color="000000"/>
              <w:bottom w:val="single" w:sz="4" w:space="0" w:color="000000"/>
              <w:right w:val="single" w:sz="4" w:space="0" w:color="000000"/>
            </w:tcBorders>
            <w:hideMark/>
          </w:tcPr>
          <w:p w:rsidR="003B53BF" w:rsidRPr="00536F4D" w:rsidRDefault="003B53BF" w:rsidP="003B53BF">
            <w:pPr>
              <w:pStyle w:val="TableText"/>
              <w:spacing w:line="254" w:lineRule="auto"/>
            </w:pPr>
            <w:r w:rsidRPr="00536F4D">
              <w:t>IMPRESS (</w:t>
            </w:r>
            <w:r w:rsidR="00B901D2" w:rsidRPr="00B901D2">
              <w:rPr>
                <w:i/>
              </w:rPr>
              <w:t>T790M</w:t>
            </w:r>
            <w:r w:rsidRPr="00536F4D">
              <w:t xml:space="preserve"> mutation status based on plasma)</w:t>
            </w:r>
          </w:p>
          <w:p w:rsidR="003B53BF" w:rsidRPr="00536F4D" w:rsidRDefault="003B53BF" w:rsidP="003B53BF">
            <w:pPr>
              <w:pStyle w:val="TableText"/>
              <w:spacing w:line="254" w:lineRule="auto"/>
            </w:pPr>
            <w:r w:rsidRPr="00536F4D">
              <w:t>AURA3 (</w:t>
            </w:r>
            <w:r w:rsidR="00B901D2" w:rsidRPr="00B901D2">
              <w:rPr>
                <w:i/>
              </w:rPr>
              <w:t>T790M</w:t>
            </w:r>
            <w:r w:rsidRPr="00536F4D">
              <w:t xml:space="preserve"> mutation status based on tumour tissue)</w:t>
            </w:r>
          </w:p>
        </w:tc>
      </w:tr>
      <w:tr w:rsidR="003B53BF" w:rsidRPr="00536F4D" w:rsidTr="00235807">
        <w:tc>
          <w:tcPr>
            <w:tcW w:w="1439" w:type="pct"/>
            <w:tcBorders>
              <w:top w:val="single" w:sz="4" w:space="0" w:color="000000"/>
              <w:left w:val="single" w:sz="4" w:space="0" w:color="000000"/>
              <w:bottom w:val="single" w:sz="4" w:space="0" w:color="000000"/>
              <w:right w:val="single" w:sz="4" w:space="0" w:color="000000"/>
            </w:tcBorders>
            <w:hideMark/>
          </w:tcPr>
          <w:p w:rsidR="003B53BF" w:rsidRPr="00536F4D" w:rsidRDefault="003B53BF" w:rsidP="003B53BF">
            <w:pPr>
              <w:pStyle w:val="TableText"/>
              <w:spacing w:line="254" w:lineRule="auto"/>
            </w:pPr>
            <w:r w:rsidRPr="00536F4D">
              <w:t>Biomarker test negative</w:t>
            </w:r>
            <w:r w:rsidRPr="00536F4D">
              <w:rPr>
                <w:b/>
              </w:rPr>
              <w:t xml:space="preserve"> </w:t>
            </w:r>
          </w:p>
        </w:tc>
        <w:tc>
          <w:tcPr>
            <w:tcW w:w="1687" w:type="pct"/>
            <w:tcBorders>
              <w:top w:val="single" w:sz="4" w:space="0" w:color="000000"/>
              <w:left w:val="single" w:sz="4" w:space="0" w:color="000000"/>
              <w:bottom w:val="single" w:sz="4" w:space="0" w:color="000000"/>
              <w:right w:val="single" w:sz="4" w:space="0" w:color="000000"/>
            </w:tcBorders>
            <w:hideMark/>
          </w:tcPr>
          <w:p w:rsidR="003B53BF" w:rsidRPr="00536F4D" w:rsidRDefault="003B53BF" w:rsidP="003B53BF">
            <w:pPr>
              <w:pStyle w:val="TableText"/>
              <w:spacing w:line="254" w:lineRule="auto"/>
            </w:pPr>
            <w:r w:rsidRPr="00536F4D">
              <w:t>AURA1B (</w:t>
            </w:r>
            <w:r w:rsidR="00B901D2" w:rsidRPr="00B901D2">
              <w:rPr>
                <w:i/>
              </w:rPr>
              <w:t>T790M</w:t>
            </w:r>
            <w:r w:rsidRPr="00536F4D">
              <w:t xml:space="preserve"> mutation status based on tumour tissue)</w:t>
            </w:r>
          </w:p>
        </w:tc>
        <w:tc>
          <w:tcPr>
            <w:tcW w:w="1874" w:type="pct"/>
            <w:tcBorders>
              <w:top w:val="single" w:sz="4" w:space="0" w:color="000000"/>
              <w:left w:val="single" w:sz="4" w:space="0" w:color="000000"/>
              <w:bottom w:val="single" w:sz="4" w:space="0" w:color="000000"/>
              <w:right w:val="single" w:sz="4" w:space="0" w:color="000000"/>
            </w:tcBorders>
            <w:hideMark/>
          </w:tcPr>
          <w:p w:rsidR="003B53BF" w:rsidRPr="00536F4D" w:rsidRDefault="003B53BF" w:rsidP="003B53BF">
            <w:pPr>
              <w:pStyle w:val="TableText"/>
              <w:spacing w:line="254" w:lineRule="auto"/>
            </w:pPr>
            <w:r w:rsidRPr="00536F4D">
              <w:t>IMPRESS (</w:t>
            </w:r>
            <w:r w:rsidR="00B901D2" w:rsidRPr="00B901D2">
              <w:rPr>
                <w:i/>
              </w:rPr>
              <w:t>T790M</w:t>
            </w:r>
            <w:r w:rsidRPr="00536F4D">
              <w:t xml:space="preserve"> mutation status based on plasma)</w:t>
            </w:r>
          </w:p>
        </w:tc>
      </w:tr>
    </w:tbl>
    <w:p w:rsidR="003657A4" w:rsidRPr="00536F4D" w:rsidRDefault="00235807" w:rsidP="003657A4">
      <w:pPr>
        <w:pStyle w:val="TableFooter"/>
      </w:pPr>
      <w:r w:rsidRPr="00536F4D">
        <w:t>Source: Complied during the evaluation.</w:t>
      </w:r>
    </w:p>
    <w:p w:rsidR="00FD5FA6" w:rsidRPr="00536F4D" w:rsidRDefault="00FD5FA6" w:rsidP="00891893">
      <w:pPr>
        <w:pStyle w:val="ListParagraph"/>
        <w:ind w:left="709" w:hanging="709"/>
        <w:rPr>
          <w:color w:val="auto"/>
        </w:rPr>
      </w:pPr>
      <w:r w:rsidRPr="00536F4D">
        <w:rPr>
          <w:color w:val="auto"/>
        </w:rPr>
        <w:lastRenderedPageBreak/>
        <w:t xml:space="preserve">Populations selected by </w:t>
      </w:r>
      <w:r w:rsidR="00414BEF" w:rsidRPr="00536F4D">
        <w:rPr>
          <w:color w:val="auto"/>
        </w:rPr>
        <w:t xml:space="preserve">positive results in </w:t>
      </w:r>
      <w:r w:rsidRPr="00536F4D">
        <w:rPr>
          <w:color w:val="auto"/>
        </w:rPr>
        <w:t xml:space="preserve">plasma and tumour tissue </w:t>
      </w:r>
      <w:r w:rsidR="0098081D" w:rsidRPr="00536F4D">
        <w:rPr>
          <w:color w:val="auto"/>
        </w:rPr>
        <w:t>ha</w:t>
      </w:r>
      <w:r w:rsidR="0098081D">
        <w:rPr>
          <w:color w:val="auto"/>
        </w:rPr>
        <w:t>d</w:t>
      </w:r>
      <w:r w:rsidR="0098081D" w:rsidRPr="00536F4D">
        <w:rPr>
          <w:color w:val="auto"/>
        </w:rPr>
        <w:t xml:space="preserve"> </w:t>
      </w:r>
      <w:r w:rsidRPr="00536F4D">
        <w:rPr>
          <w:color w:val="auto"/>
        </w:rPr>
        <w:t xml:space="preserve">different spectrums of disease. </w:t>
      </w:r>
      <w:r w:rsidR="0093658C" w:rsidRPr="00536F4D">
        <w:rPr>
          <w:color w:val="auto"/>
        </w:rPr>
        <w:t>The findings from d</w:t>
      </w:r>
      <w:r w:rsidRPr="00536F4D">
        <w:rPr>
          <w:color w:val="auto"/>
        </w:rPr>
        <w:t xml:space="preserve">ifferent components of the linked evidence approach </w:t>
      </w:r>
      <w:r w:rsidR="0098081D">
        <w:rPr>
          <w:color w:val="auto"/>
        </w:rPr>
        <w:t>we</w:t>
      </w:r>
      <w:r w:rsidRPr="00536F4D">
        <w:rPr>
          <w:color w:val="auto"/>
        </w:rPr>
        <w:t>re therefore not tr</w:t>
      </w:r>
      <w:r w:rsidR="00C346A4" w:rsidRPr="00536F4D">
        <w:rPr>
          <w:color w:val="auto"/>
        </w:rPr>
        <w:t>ansferrable.</w:t>
      </w:r>
    </w:p>
    <w:p w:rsidR="00FD5FA6" w:rsidRPr="00536F4D" w:rsidRDefault="00FD5FA6" w:rsidP="00891893">
      <w:pPr>
        <w:pStyle w:val="ListParagraph"/>
        <w:ind w:left="709" w:hanging="709"/>
        <w:rPr>
          <w:color w:val="auto"/>
        </w:rPr>
      </w:pPr>
      <w:r w:rsidRPr="00536F4D">
        <w:rPr>
          <w:color w:val="auto"/>
        </w:rPr>
        <w:t xml:space="preserve">There </w:t>
      </w:r>
      <w:r w:rsidR="0098081D">
        <w:rPr>
          <w:color w:val="auto"/>
        </w:rPr>
        <w:t>wa</w:t>
      </w:r>
      <w:r w:rsidR="0098081D" w:rsidRPr="00536F4D">
        <w:rPr>
          <w:color w:val="auto"/>
        </w:rPr>
        <w:t xml:space="preserve">s </w:t>
      </w:r>
      <w:r w:rsidRPr="00536F4D">
        <w:rPr>
          <w:color w:val="auto"/>
        </w:rPr>
        <w:t>a high risk of bias associated with the included evidence</w:t>
      </w:r>
      <w:r w:rsidR="00BC140F" w:rsidRPr="00536F4D">
        <w:rPr>
          <w:color w:val="auto"/>
        </w:rPr>
        <w:t xml:space="preserve"> (</w:t>
      </w:r>
      <w:r w:rsidR="00627421" w:rsidRPr="00536F4D">
        <w:t xml:space="preserve">Table </w:t>
      </w:r>
      <w:r w:rsidR="00627421" w:rsidRPr="00536F4D">
        <w:rPr>
          <w:noProof/>
        </w:rPr>
        <w:t>4</w:t>
      </w:r>
      <w:r w:rsidR="00BC140F" w:rsidRPr="00536F4D">
        <w:rPr>
          <w:color w:val="auto"/>
        </w:rPr>
        <w:t>)</w:t>
      </w:r>
      <w:r w:rsidR="00C346A4" w:rsidRPr="00536F4D">
        <w:rPr>
          <w:color w:val="auto"/>
        </w:rPr>
        <w:t>.</w:t>
      </w:r>
    </w:p>
    <w:p w:rsidR="003657A4" w:rsidRPr="000C32F5" w:rsidRDefault="003657A4" w:rsidP="00DA12F3">
      <w:pPr>
        <w:pStyle w:val="ESHeading2"/>
        <w:rPr>
          <w:rFonts w:asciiTheme="minorHAnsi" w:hAnsiTheme="minorHAnsi"/>
        </w:rPr>
      </w:pPr>
      <w:bookmarkStart w:id="21" w:name="_Toc492390270"/>
      <w:r w:rsidRPr="000C32F5">
        <w:rPr>
          <w:rFonts w:asciiTheme="minorHAnsi" w:hAnsiTheme="minorHAnsi"/>
        </w:rPr>
        <w:t>Comparative effectiveness</w:t>
      </w:r>
      <w:bookmarkEnd w:id="21"/>
    </w:p>
    <w:p w:rsidR="003657A4" w:rsidRPr="00536F4D" w:rsidRDefault="003657A4" w:rsidP="00891893">
      <w:pPr>
        <w:pStyle w:val="ListParagraph"/>
        <w:ind w:left="709" w:hanging="709"/>
        <w:rPr>
          <w:color w:val="auto"/>
        </w:rPr>
      </w:pPr>
      <w:r w:rsidRPr="00536F4D">
        <w:rPr>
          <w:color w:val="auto"/>
        </w:rPr>
        <w:t>Details of the treatment trials presented in the submission ar</w:t>
      </w:r>
      <w:r w:rsidR="00C346A4" w:rsidRPr="00536F4D">
        <w:rPr>
          <w:color w:val="auto"/>
        </w:rPr>
        <w:t>e provided in the table below.</w:t>
      </w:r>
    </w:p>
    <w:p w:rsidR="003657A4" w:rsidRPr="00536F4D" w:rsidRDefault="003657A4" w:rsidP="00EE3172">
      <w:pPr>
        <w:pStyle w:val="Caption"/>
      </w:pPr>
      <w:bookmarkStart w:id="22" w:name="_Ref490743421"/>
      <w:r w:rsidRPr="00536F4D">
        <w:t>Table</w:t>
      </w:r>
      <w:r w:rsidR="003D5C91">
        <w:t xml:space="preserve"> </w:t>
      </w:r>
      <w:r w:rsidR="00AB747A" w:rsidRPr="00536F4D">
        <w:rPr>
          <w:noProof/>
        </w:rPr>
        <w:t>4</w:t>
      </w:r>
      <w:bookmarkEnd w:id="22"/>
      <w:r w:rsidR="00BC6818" w:rsidRPr="00536F4D">
        <w:t>:</w:t>
      </w:r>
      <w:r w:rsidR="003D5C91" w:rsidRPr="00536F4D" w:rsidDel="003D5C91">
        <w:t xml:space="preserve"> </w:t>
      </w:r>
      <w:r w:rsidRPr="00536F4D">
        <w:t>Trials and associated reports presented in the submission</w:t>
      </w:r>
    </w:p>
    <w:tbl>
      <w:tblPr>
        <w:tblStyle w:val="Summarybox1"/>
        <w:tblW w:w="5000" w:type="pct"/>
        <w:tblLook w:val="01E0" w:firstRow="1" w:lastRow="1" w:firstColumn="1" w:lastColumn="1" w:noHBand="0" w:noVBand="0"/>
        <w:tblCaption w:val="Table 4: Trials and associated reports presented in the submission"/>
      </w:tblPr>
      <w:tblGrid>
        <w:gridCol w:w="959"/>
        <w:gridCol w:w="5721"/>
        <w:gridCol w:w="2562"/>
      </w:tblGrid>
      <w:tr w:rsidR="00FD5FA6" w:rsidRPr="00536F4D" w:rsidTr="005D46F1">
        <w:trPr>
          <w:tblHeader/>
        </w:trPr>
        <w:tc>
          <w:tcPr>
            <w:tcW w:w="519" w:type="pct"/>
          </w:tcPr>
          <w:p w:rsidR="00FD5FA6" w:rsidRPr="00536F4D" w:rsidRDefault="00FD5FA6" w:rsidP="00DA12F3">
            <w:pPr>
              <w:pStyle w:val="TableText"/>
              <w:rPr>
                <w:b/>
              </w:rPr>
            </w:pPr>
            <w:r w:rsidRPr="00536F4D">
              <w:rPr>
                <w:b/>
              </w:rPr>
              <w:t>Trial ID</w:t>
            </w:r>
          </w:p>
        </w:tc>
        <w:tc>
          <w:tcPr>
            <w:tcW w:w="3095" w:type="pct"/>
          </w:tcPr>
          <w:p w:rsidR="00FD5FA6" w:rsidRPr="00536F4D" w:rsidRDefault="00FD5FA6" w:rsidP="00DA12F3">
            <w:pPr>
              <w:pStyle w:val="TableText"/>
              <w:rPr>
                <w:b/>
              </w:rPr>
            </w:pPr>
            <w:r w:rsidRPr="00536F4D">
              <w:rPr>
                <w:b/>
              </w:rPr>
              <w:t>Protocol title/ Publication title</w:t>
            </w:r>
          </w:p>
        </w:tc>
        <w:tc>
          <w:tcPr>
            <w:tcW w:w="1386" w:type="pct"/>
          </w:tcPr>
          <w:p w:rsidR="00FD5FA6" w:rsidRPr="00536F4D" w:rsidRDefault="00FD5FA6" w:rsidP="00DA12F3">
            <w:pPr>
              <w:pStyle w:val="TableText"/>
              <w:rPr>
                <w:b/>
              </w:rPr>
            </w:pPr>
            <w:r w:rsidRPr="00536F4D">
              <w:rPr>
                <w:b/>
              </w:rPr>
              <w:t>Study report date/Publication citation</w:t>
            </w:r>
          </w:p>
        </w:tc>
      </w:tr>
      <w:tr w:rsidR="00FD5FA6" w:rsidRPr="00536F4D" w:rsidTr="00DA12F3">
        <w:tc>
          <w:tcPr>
            <w:tcW w:w="5000" w:type="pct"/>
            <w:gridSpan w:val="3"/>
          </w:tcPr>
          <w:p w:rsidR="00FD5FA6" w:rsidRPr="00536F4D" w:rsidRDefault="00FD5FA6" w:rsidP="00DA12F3">
            <w:pPr>
              <w:pStyle w:val="TableText"/>
              <w:rPr>
                <w:b/>
              </w:rPr>
            </w:pPr>
            <w:r w:rsidRPr="00536F4D">
              <w:rPr>
                <w:b/>
              </w:rPr>
              <w:t>Direct randomised trial of osimertinib ver</w:t>
            </w:r>
            <w:r w:rsidR="0072146A">
              <w:rPr>
                <w:b/>
              </w:rPr>
              <w:t>sus platinum-based chemotherapy</w:t>
            </w:r>
          </w:p>
        </w:tc>
      </w:tr>
      <w:tr w:rsidR="00FD5FA6" w:rsidRPr="00536F4D" w:rsidTr="00327765">
        <w:trPr>
          <w:trHeight w:val="1001"/>
        </w:trPr>
        <w:tc>
          <w:tcPr>
            <w:tcW w:w="519" w:type="pct"/>
            <w:vMerge w:val="restart"/>
          </w:tcPr>
          <w:p w:rsidR="00FD5FA6" w:rsidRPr="00536F4D" w:rsidRDefault="00FD5FA6" w:rsidP="00DA12F3">
            <w:pPr>
              <w:pStyle w:val="TableText"/>
            </w:pPr>
            <w:r w:rsidRPr="00536F4D">
              <w:t>AURA3</w:t>
            </w:r>
          </w:p>
        </w:tc>
        <w:tc>
          <w:tcPr>
            <w:tcW w:w="3095" w:type="pct"/>
          </w:tcPr>
          <w:p w:rsidR="00FD5FA6" w:rsidRPr="00536F4D" w:rsidRDefault="00327765" w:rsidP="00DA12F3">
            <w:pPr>
              <w:pStyle w:val="TableText"/>
              <w:rPr>
                <w:u w:val="single"/>
              </w:rPr>
            </w:pPr>
            <w:r w:rsidRPr="00536F4D">
              <w:rPr>
                <w:u w:val="single"/>
              </w:rPr>
              <w:t>Internal study reports</w:t>
            </w:r>
          </w:p>
          <w:p w:rsidR="00FD5FA6" w:rsidRPr="00536F4D" w:rsidRDefault="00FD5FA6" w:rsidP="00DA12F3">
            <w:pPr>
              <w:pStyle w:val="TableText"/>
            </w:pPr>
            <w:r w:rsidRPr="00536F4D">
              <w:t>Multi-study analysis of TAGRISSO™ (Osimertinib) efficacy in patients with central nervous system (CNS) metastases secondary to epidermal growth factor receptor (</w:t>
            </w:r>
            <w:r w:rsidR="00B901D2" w:rsidRPr="00B901D2">
              <w:rPr>
                <w:i/>
              </w:rPr>
              <w:t>EGFR</w:t>
            </w:r>
            <w:r w:rsidRPr="00536F4D">
              <w:t xml:space="preserve">) </w:t>
            </w:r>
            <w:r w:rsidR="00B901D2" w:rsidRPr="00B901D2">
              <w:rPr>
                <w:i/>
              </w:rPr>
              <w:t>T790M</w:t>
            </w:r>
            <w:r w:rsidRPr="00536F4D">
              <w:t xml:space="preserve"> mutation-positive non-small cell lung cancer (NSCLC). </w:t>
            </w:r>
          </w:p>
        </w:tc>
        <w:tc>
          <w:tcPr>
            <w:tcW w:w="1386" w:type="pct"/>
          </w:tcPr>
          <w:p w:rsidR="00FD5FA6" w:rsidRPr="00536F4D" w:rsidRDefault="00FD5FA6" w:rsidP="00DA12F3">
            <w:pPr>
              <w:pStyle w:val="TableText"/>
            </w:pPr>
          </w:p>
          <w:p w:rsidR="00FD5FA6" w:rsidRPr="000B2D46" w:rsidRDefault="000B2D46" w:rsidP="00327765">
            <w:pPr>
              <w:pStyle w:val="TableText"/>
              <w:rPr>
                <w:highlight w:val="black"/>
              </w:rPr>
            </w:pPr>
            <w:r>
              <w:rPr>
                <w:noProof/>
                <w:color w:val="000000"/>
                <w:highlight w:val="black"/>
              </w:rPr>
              <w:t>'''''' '''''''''''''''''''''''''''' '''''''''''</w:t>
            </w:r>
          </w:p>
        </w:tc>
      </w:tr>
      <w:tr w:rsidR="00FD5FA6" w:rsidRPr="00536F4D" w:rsidTr="00327765">
        <w:trPr>
          <w:trHeight w:val="1544"/>
        </w:trPr>
        <w:tc>
          <w:tcPr>
            <w:tcW w:w="519" w:type="pct"/>
            <w:vMerge/>
          </w:tcPr>
          <w:p w:rsidR="00FD5FA6" w:rsidRPr="00536F4D" w:rsidRDefault="00FD5FA6" w:rsidP="00DA12F3">
            <w:pPr>
              <w:pStyle w:val="TableText"/>
            </w:pPr>
          </w:p>
        </w:tc>
        <w:tc>
          <w:tcPr>
            <w:tcW w:w="3095" w:type="pct"/>
          </w:tcPr>
          <w:p w:rsidR="00FD5FA6" w:rsidRPr="00536F4D" w:rsidRDefault="00FD5FA6" w:rsidP="00DA12F3">
            <w:pPr>
              <w:pStyle w:val="TableText"/>
            </w:pPr>
            <w:r w:rsidRPr="00536F4D">
              <w:t xml:space="preserve">A Phase III, open-label, randomized study of AZD9291 (Osimertinib) versus platinum-based doublet chemotherapy for patients with locally advanced or metastatic non-small cell lung cancer whose disease has progressed with previous epidermal growth factor receptor tyrosine kinase inhibitor therapy and whose tumours harbour a </w:t>
            </w:r>
            <w:r w:rsidR="00B901D2" w:rsidRPr="00B901D2">
              <w:rPr>
                <w:i/>
              </w:rPr>
              <w:t>T790M</w:t>
            </w:r>
            <w:r w:rsidRPr="00536F4D">
              <w:t xml:space="preserve"> mutation within the epidermal growth factor receptor gene (AURA3). Clinical Study Report D5160C00003. Edition 2, </w:t>
            </w:r>
            <w:r w:rsidR="000B2D46">
              <w:rPr>
                <w:noProof/>
                <w:color w:val="000000"/>
                <w:highlight w:val="black"/>
              </w:rPr>
              <w:t>''''''''''' ''''''''''''''''' '''''' '''''''''' '''''''''''''</w:t>
            </w:r>
            <w:r w:rsidRPr="00536F4D">
              <w:t>.</w:t>
            </w:r>
          </w:p>
        </w:tc>
        <w:tc>
          <w:tcPr>
            <w:tcW w:w="1386" w:type="pct"/>
          </w:tcPr>
          <w:p w:rsidR="00FD5FA6" w:rsidRPr="000B2D46" w:rsidRDefault="000B2D46" w:rsidP="00DA12F3">
            <w:pPr>
              <w:pStyle w:val="TableText"/>
              <w:rPr>
                <w:highlight w:val="black"/>
              </w:rPr>
            </w:pPr>
            <w:r>
              <w:rPr>
                <w:noProof/>
                <w:color w:val="000000"/>
                <w:highlight w:val="black"/>
              </w:rPr>
              <w:t>''' ''''''''''''''''''''''''' '''''''''''''</w:t>
            </w:r>
          </w:p>
        </w:tc>
      </w:tr>
      <w:tr w:rsidR="00FD5FA6" w:rsidRPr="00536F4D" w:rsidTr="00327765">
        <w:trPr>
          <w:trHeight w:val="268"/>
        </w:trPr>
        <w:tc>
          <w:tcPr>
            <w:tcW w:w="519" w:type="pct"/>
            <w:vMerge/>
          </w:tcPr>
          <w:p w:rsidR="00FD5FA6" w:rsidRPr="00536F4D" w:rsidRDefault="00FD5FA6" w:rsidP="00DA12F3">
            <w:pPr>
              <w:pStyle w:val="TableText"/>
            </w:pPr>
          </w:p>
        </w:tc>
        <w:tc>
          <w:tcPr>
            <w:tcW w:w="3095" w:type="pct"/>
          </w:tcPr>
          <w:p w:rsidR="00FD5FA6" w:rsidRPr="000B2D46" w:rsidRDefault="000B2D46" w:rsidP="00DA12F3">
            <w:pPr>
              <w:pStyle w:val="TableText"/>
              <w:jc w:val="left"/>
              <w:rPr>
                <w:highlight w:val="black"/>
              </w:rPr>
            </w:pPr>
            <w:r>
              <w:rPr>
                <w:noProof/>
                <w:color w:val="000000"/>
                <w:highlight w:val="black"/>
              </w:rPr>
              <w:t>'''''''''''''''' '''''''''''''' ''''''''''''''' '''''''''''''''''''''''''''' '''''' ''''''''''''''''''''''''''''' '''''''''''''''''''''''''''''''''''''' ''''''''''''''''''''''''' '''''''''''''' '''''''''''''''''''''''''''''''''' '''''''''''''''' ''''' '''''''''''' ''''''''''''''' ''' ''''''''''''''''''''''''' '''''''''''''</w:t>
            </w:r>
          </w:p>
        </w:tc>
        <w:tc>
          <w:tcPr>
            <w:tcW w:w="1386" w:type="pct"/>
          </w:tcPr>
          <w:p w:rsidR="00FD5FA6" w:rsidRPr="000B2D46" w:rsidRDefault="000B2D46" w:rsidP="00DA12F3">
            <w:pPr>
              <w:pStyle w:val="TableText"/>
              <w:rPr>
                <w:highlight w:val="black"/>
              </w:rPr>
            </w:pPr>
            <w:r>
              <w:rPr>
                <w:noProof/>
                <w:color w:val="000000"/>
                <w:highlight w:val="black"/>
              </w:rPr>
              <w:t>''' '''''''''''''''''''''''''' ''''''''''''</w:t>
            </w:r>
          </w:p>
        </w:tc>
      </w:tr>
      <w:tr w:rsidR="00FD5FA6" w:rsidRPr="00536F4D" w:rsidTr="00327765">
        <w:trPr>
          <w:trHeight w:val="740"/>
        </w:trPr>
        <w:tc>
          <w:tcPr>
            <w:tcW w:w="519" w:type="pct"/>
            <w:vMerge/>
          </w:tcPr>
          <w:p w:rsidR="00FD5FA6" w:rsidRPr="00536F4D" w:rsidRDefault="00FD5FA6" w:rsidP="00DA12F3">
            <w:pPr>
              <w:pStyle w:val="TableText"/>
            </w:pPr>
          </w:p>
        </w:tc>
        <w:tc>
          <w:tcPr>
            <w:tcW w:w="3095" w:type="pct"/>
          </w:tcPr>
          <w:p w:rsidR="00327765" w:rsidRPr="00536F4D" w:rsidRDefault="00327765" w:rsidP="00DA12F3">
            <w:pPr>
              <w:pStyle w:val="TableText"/>
            </w:pPr>
            <w:r w:rsidRPr="00536F4D">
              <w:rPr>
                <w:u w:val="single"/>
              </w:rPr>
              <w:t>Publications</w:t>
            </w:r>
          </w:p>
          <w:p w:rsidR="00FD5FA6" w:rsidRPr="00536F4D" w:rsidRDefault="00FD5FA6" w:rsidP="00DA12F3">
            <w:pPr>
              <w:pStyle w:val="TableText"/>
            </w:pPr>
            <w:r w:rsidRPr="00536F4D">
              <w:t xml:space="preserve">Mok TS, Wu YL, Ahn MJ, et al. Osimertinib or platinum-pemetrexed in </w:t>
            </w:r>
            <w:r w:rsidR="00B901D2" w:rsidRPr="00B901D2">
              <w:rPr>
                <w:i/>
              </w:rPr>
              <w:t>EGFR</w:t>
            </w:r>
            <w:r w:rsidRPr="00536F4D">
              <w:t xml:space="preserve"> </w:t>
            </w:r>
            <w:r w:rsidR="00B901D2" w:rsidRPr="00B901D2">
              <w:rPr>
                <w:i/>
              </w:rPr>
              <w:t>T790M</w:t>
            </w:r>
            <w:r w:rsidRPr="00536F4D">
              <w:t>-positive lung cancer.</w:t>
            </w:r>
          </w:p>
        </w:tc>
        <w:tc>
          <w:tcPr>
            <w:tcW w:w="1386" w:type="pct"/>
          </w:tcPr>
          <w:p w:rsidR="00327765" w:rsidRPr="00536F4D" w:rsidRDefault="00327765" w:rsidP="00DA12F3">
            <w:pPr>
              <w:pStyle w:val="TableText"/>
            </w:pPr>
          </w:p>
          <w:p w:rsidR="00FD5FA6" w:rsidRPr="00536F4D" w:rsidRDefault="00FD5FA6" w:rsidP="00DA12F3">
            <w:pPr>
              <w:pStyle w:val="TableText"/>
              <w:rPr>
                <w:highlight w:val="yellow"/>
              </w:rPr>
            </w:pPr>
            <w:r w:rsidRPr="00536F4D">
              <w:t>New England Journal of Medicine 2017; 376 (7):629-640</w:t>
            </w:r>
          </w:p>
        </w:tc>
      </w:tr>
      <w:tr w:rsidR="00FD5FA6" w:rsidRPr="00536F4D" w:rsidTr="00327765">
        <w:trPr>
          <w:trHeight w:val="738"/>
        </w:trPr>
        <w:tc>
          <w:tcPr>
            <w:tcW w:w="519" w:type="pct"/>
            <w:vMerge/>
          </w:tcPr>
          <w:p w:rsidR="00FD5FA6" w:rsidRPr="00536F4D" w:rsidRDefault="00FD5FA6" w:rsidP="00DA12F3">
            <w:pPr>
              <w:pStyle w:val="TableText"/>
            </w:pPr>
          </w:p>
        </w:tc>
        <w:tc>
          <w:tcPr>
            <w:tcW w:w="3095" w:type="pct"/>
          </w:tcPr>
          <w:p w:rsidR="00FD5FA6" w:rsidRPr="00536F4D" w:rsidRDefault="00FD5FA6" w:rsidP="00DA12F3">
            <w:pPr>
              <w:pStyle w:val="TableText"/>
            </w:pPr>
            <w:r w:rsidRPr="00536F4D">
              <w:t xml:space="preserve">Papadimitrakopoulou et al. Randomized Phase III study of osimertinib vs platinum-pemetrexed for </w:t>
            </w:r>
            <w:r w:rsidR="00B901D2" w:rsidRPr="00B901D2">
              <w:rPr>
                <w:i/>
              </w:rPr>
              <w:t>EGFR</w:t>
            </w:r>
            <w:r w:rsidRPr="00536F4D">
              <w:t xml:space="preserve"> </w:t>
            </w:r>
            <w:r w:rsidR="00B901D2" w:rsidRPr="00B901D2">
              <w:rPr>
                <w:i/>
              </w:rPr>
              <w:t>T790M</w:t>
            </w:r>
            <w:r w:rsidRPr="00536F4D">
              <w:t>-positive advanced NSCLC (AURA3).</w:t>
            </w:r>
          </w:p>
        </w:tc>
        <w:tc>
          <w:tcPr>
            <w:tcW w:w="1386" w:type="pct"/>
          </w:tcPr>
          <w:p w:rsidR="00FD5FA6" w:rsidRPr="00536F4D" w:rsidRDefault="00FD5FA6" w:rsidP="00DA12F3">
            <w:pPr>
              <w:pStyle w:val="TableText"/>
            </w:pPr>
            <w:r w:rsidRPr="00536F4D">
              <w:t>Journal of Thoracic Oncology 2017; 12(1):S5-S6.</w:t>
            </w:r>
          </w:p>
        </w:tc>
      </w:tr>
      <w:tr w:rsidR="00FD5FA6" w:rsidRPr="00536F4D" w:rsidTr="00327765">
        <w:trPr>
          <w:trHeight w:val="441"/>
        </w:trPr>
        <w:tc>
          <w:tcPr>
            <w:tcW w:w="519" w:type="pct"/>
            <w:vMerge/>
          </w:tcPr>
          <w:p w:rsidR="00FD5FA6" w:rsidRPr="00536F4D" w:rsidRDefault="00FD5FA6" w:rsidP="00DA12F3">
            <w:pPr>
              <w:pStyle w:val="TableText"/>
            </w:pPr>
          </w:p>
        </w:tc>
        <w:tc>
          <w:tcPr>
            <w:tcW w:w="3095" w:type="pct"/>
          </w:tcPr>
          <w:p w:rsidR="00FD5FA6" w:rsidRPr="00536F4D" w:rsidRDefault="00FD5FA6" w:rsidP="00DA12F3">
            <w:pPr>
              <w:pStyle w:val="TableText"/>
            </w:pPr>
            <w:r w:rsidRPr="00536F4D">
              <w:t xml:space="preserve">Wu et al (2017). Osimertinib vs platinum-pemetrexed for </w:t>
            </w:r>
            <w:r w:rsidR="00B901D2" w:rsidRPr="00B901D2">
              <w:rPr>
                <w:i/>
              </w:rPr>
              <w:t>T790M</w:t>
            </w:r>
            <w:r w:rsidRPr="00536F4D">
              <w:t xml:space="preserve">-mutation positive advanced NSCLC (AURA3): Plasma ctDNA analysis. </w:t>
            </w:r>
          </w:p>
        </w:tc>
        <w:tc>
          <w:tcPr>
            <w:tcW w:w="1386" w:type="pct"/>
          </w:tcPr>
          <w:p w:rsidR="00FD5FA6" w:rsidRPr="00536F4D" w:rsidRDefault="00FD5FA6" w:rsidP="00327765">
            <w:pPr>
              <w:pStyle w:val="TableText"/>
            </w:pPr>
            <w:r w:rsidRPr="00536F4D">
              <w:t>Journal of Thoracic Oncology 2017;12(1):S386.</w:t>
            </w:r>
          </w:p>
        </w:tc>
      </w:tr>
      <w:tr w:rsidR="00FD5FA6" w:rsidRPr="00536F4D" w:rsidTr="00DA12F3">
        <w:tc>
          <w:tcPr>
            <w:tcW w:w="5000" w:type="pct"/>
            <w:gridSpan w:val="3"/>
          </w:tcPr>
          <w:p w:rsidR="00FD5FA6" w:rsidRPr="00536F4D" w:rsidRDefault="000E0E2E" w:rsidP="00DA12F3">
            <w:pPr>
              <w:pStyle w:val="TableText"/>
              <w:rPr>
                <w:b/>
              </w:rPr>
            </w:pPr>
            <w:r>
              <w:rPr>
                <w:b/>
              </w:rPr>
              <w:t>Single-</w:t>
            </w:r>
            <w:r w:rsidR="00FD5FA6" w:rsidRPr="00536F4D">
              <w:rPr>
                <w:b/>
              </w:rPr>
              <w:t xml:space="preserve">arm non-comparative studies used for the naïve indirect comparison presented in the submission </w:t>
            </w:r>
          </w:p>
        </w:tc>
      </w:tr>
      <w:tr w:rsidR="00FD5FA6" w:rsidRPr="00536F4D" w:rsidTr="00DA12F3">
        <w:tc>
          <w:tcPr>
            <w:tcW w:w="5000" w:type="pct"/>
            <w:gridSpan w:val="3"/>
          </w:tcPr>
          <w:p w:rsidR="00FD5FA6" w:rsidRPr="00536F4D" w:rsidRDefault="00FD5FA6" w:rsidP="00DA12F3">
            <w:pPr>
              <w:pStyle w:val="TableText"/>
              <w:rPr>
                <w:b/>
                <w:smallCaps/>
              </w:rPr>
            </w:pPr>
            <w:r w:rsidRPr="00536F4D">
              <w:rPr>
                <w:b/>
                <w:smallCaps/>
              </w:rPr>
              <w:t>Osimertinib</w:t>
            </w:r>
          </w:p>
        </w:tc>
      </w:tr>
      <w:tr w:rsidR="00FD5FA6" w:rsidRPr="00536F4D" w:rsidTr="00327765">
        <w:tc>
          <w:tcPr>
            <w:tcW w:w="519" w:type="pct"/>
            <w:vMerge w:val="restart"/>
          </w:tcPr>
          <w:p w:rsidR="00FD5FA6" w:rsidRPr="00536F4D" w:rsidRDefault="00FD5FA6" w:rsidP="00DA12F3">
            <w:pPr>
              <w:pStyle w:val="TableText"/>
            </w:pPr>
            <w:r w:rsidRPr="00536F4D">
              <w:t>AURA2</w:t>
            </w:r>
          </w:p>
        </w:tc>
        <w:tc>
          <w:tcPr>
            <w:tcW w:w="3095" w:type="pct"/>
          </w:tcPr>
          <w:p w:rsidR="00FD5FA6" w:rsidRPr="00536F4D" w:rsidRDefault="00327765" w:rsidP="00DA12F3">
            <w:pPr>
              <w:pStyle w:val="TableText"/>
              <w:rPr>
                <w:u w:val="single"/>
              </w:rPr>
            </w:pPr>
            <w:r w:rsidRPr="00536F4D">
              <w:rPr>
                <w:u w:val="single"/>
              </w:rPr>
              <w:t>Internal study report</w:t>
            </w:r>
          </w:p>
          <w:p w:rsidR="00FD5FA6" w:rsidRPr="00536F4D" w:rsidRDefault="00FD5FA6" w:rsidP="00DA12F3">
            <w:pPr>
              <w:pStyle w:val="TableText"/>
            </w:pPr>
            <w:r w:rsidRPr="00536F4D">
              <w:t xml:space="preserve">A Phase II, open-label, single-arm study to assess the safety and efficacy of osimertinib in patients with locally advanced/metastatic non-small cell lung cancer who.se disease has progressed with previous epidermal growth factor receptor tyrosine kinase inhibitor therapy and whose tumours are epidermal growth factor receptor mutation and </w:t>
            </w:r>
            <w:r w:rsidR="00B901D2" w:rsidRPr="00B901D2">
              <w:rPr>
                <w:i/>
              </w:rPr>
              <w:t>T790M</w:t>
            </w:r>
            <w:r w:rsidRPr="00536F4D">
              <w:t xml:space="preserve"> mutation positive (AURA2). Clinical Study Report D5160C00002. Edition 3. </w:t>
            </w:r>
            <w:r w:rsidR="000B2D46">
              <w:rPr>
                <w:noProof/>
                <w:color w:val="000000"/>
                <w:highlight w:val="black"/>
              </w:rPr>
              <w:t>''''''''''' '''''''''''''''' '''' ''''''''''''''''''''''' ''''''''''''''</w:t>
            </w:r>
          </w:p>
        </w:tc>
        <w:tc>
          <w:tcPr>
            <w:tcW w:w="1386" w:type="pct"/>
          </w:tcPr>
          <w:p w:rsidR="00FD5FA6" w:rsidRPr="00536F4D" w:rsidRDefault="00FD5FA6" w:rsidP="00DA12F3">
            <w:pPr>
              <w:pStyle w:val="TableText"/>
            </w:pPr>
          </w:p>
          <w:p w:rsidR="00FD5FA6" w:rsidRPr="000B2D46" w:rsidRDefault="000B2D46" w:rsidP="00327765">
            <w:pPr>
              <w:pStyle w:val="TableText"/>
              <w:rPr>
                <w:highlight w:val="black"/>
              </w:rPr>
            </w:pPr>
            <w:r>
              <w:rPr>
                <w:noProof/>
                <w:color w:val="000000"/>
                <w:highlight w:val="black"/>
              </w:rPr>
              <w:t>'''' '''''''''' ''''''''''''</w:t>
            </w:r>
          </w:p>
        </w:tc>
      </w:tr>
      <w:tr w:rsidR="00FD5FA6" w:rsidRPr="00536F4D" w:rsidTr="00327765">
        <w:trPr>
          <w:trHeight w:val="268"/>
        </w:trPr>
        <w:tc>
          <w:tcPr>
            <w:tcW w:w="519" w:type="pct"/>
            <w:vMerge/>
          </w:tcPr>
          <w:p w:rsidR="00FD5FA6" w:rsidRPr="00536F4D" w:rsidRDefault="00FD5FA6" w:rsidP="00DA12F3">
            <w:pPr>
              <w:pStyle w:val="TableText"/>
              <w:jc w:val="left"/>
            </w:pPr>
          </w:p>
        </w:tc>
        <w:tc>
          <w:tcPr>
            <w:tcW w:w="3095" w:type="pct"/>
          </w:tcPr>
          <w:p w:rsidR="00FD5FA6" w:rsidRPr="00536F4D" w:rsidRDefault="00FD5FA6" w:rsidP="00DA12F3">
            <w:pPr>
              <w:pStyle w:val="TableText"/>
              <w:jc w:val="left"/>
            </w:pPr>
            <w:r w:rsidRPr="00536F4D">
              <w:rPr>
                <w:u w:val="single"/>
              </w:rPr>
              <w:t>Publications</w:t>
            </w:r>
          </w:p>
          <w:p w:rsidR="00FD5FA6" w:rsidRPr="00536F4D" w:rsidRDefault="00FD5FA6" w:rsidP="00DA12F3">
            <w:pPr>
              <w:pStyle w:val="TableText"/>
              <w:jc w:val="left"/>
              <w:rPr>
                <w:u w:val="single"/>
              </w:rPr>
            </w:pPr>
            <w:r w:rsidRPr="00536F4D">
              <w:t xml:space="preserve">Goss et al. Osimertinib for pre-treated </w:t>
            </w:r>
            <w:r w:rsidR="00B901D2" w:rsidRPr="00B901D2">
              <w:rPr>
                <w:i/>
              </w:rPr>
              <w:t>EGFR</w:t>
            </w:r>
            <w:r w:rsidRPr="00536F4D">
              <w:t xml:space="preserve"> Thr790Met-positive advanced non-small cell lung cancer (AURA2): a multicentre, open-label, single-arm, Phase II study.</w:t>
            </w:r>
          </w:p>
        </w:tc>
        <w:tc>
          <w:tcPr>
            <w:tcW w:w="1386" w:type="pct"/>
          </w:tcPr>
          <w:p w:rsidR="00FD5FA6" w:rsidRPr="00536F4D" w:rsidRDefault="00FD5FA6" w:rsidP="00DA12F3">
            <w:pPr>
              <w:pStyle w:val="TableText"/>
            </w:pPr>
          </w:p>
          <w:p w:rsidR="00FD5FA6" w:rsidRPr="00536F4D" w:rsidRDefault="00FD5FA6" w:rsidP="00DA12F3">
            <w:pPr>
              <w:pStyle w:val="TableText"/>
            </w:pPr>
            <w:r w:rsidRPr="00536F4D">
              <w:t>The Lancet Oncology 2016; 17(12):1643-1652</w:t>
            </w:r>
          </w:p>
        </w:tc>
      </w:tr>
      <w:tr w:rsidR="00FD5FA6" w:rsidRPr="00536F4D" w:rsidTr="00327765">
        <w:trPr>
          <w:trHeight w:val="268"/>
        </w:trPr>
        <w:tc>
          <w:tcPr>
            <w:tcW w:w="519" w:type="pct"/>
            <w:vMerge/>
          </w:tcPr>
          <w:p w:rsidR="00FD5FA6" w:rsidRPr="00536F4D" w:rsidRDefault="00FD5FA6" w:rsidP="00DA12F3">
            <w:pPr>
              <w:pStyle w:val="TableText"/>
            </w:pPr>
          </w:p>
        </w:tc>
        <w:tc>
          <w:tcPr>
            <w:tcW w:w="3095" w:type="pct"/>
          </w:tcPr>
          <w:p w:rsidR="00FD5FA6" w:rsidRPr="00536F4D" w:rsidRDefault="00FD5FA6" w:rsidP="00DA12F3">
            <w:pPr>
              <w:pStyle w:val="TableText"/>
            </w:pPr>
            <w:r w:rsidRPr="00536F4D">
              <w:t xml:space="preserve">Mitsudomi et al. AZD9291 in pre-treated </w:t>
            </w:r>
            <w:r w:rsidR="00B901D2" w:rsidRPr="00B901D2">
              <w:rPr>
                <w:i/>
              </w:rPr>
              <w:t>T790M</w:t>
            </w:r>
            <w:r w:rsidRPr="00536F4D">
              <w:t xml:space="preserve"> positive advanced NSCLC: </w:t>
            </w:r>
            <w:r w:rsidRPr="00536F4D">
              <w:lastRenderedPageBreak/>
              <w:t>AURA2 Phase II study.</w:t>
            </w:r>
          </w:p>
        </w:tc>
        <w:tc>
          <w:tcPr>
            <w:tcW w:w="1386" w:type="pct"/>
          </w:tcPr>
          <w:p w:rsidR="00FD5FA6" w:rsidRPr="00536F4D" w:rsidRDefault="00FD5FA6" w:rsidP="00DA12F3">
            <w:pPr>
              <w:pStyle w:val="TableText"/>
            </w:pPr>
            <w:r w:rsidRPr="00536F4D">
              <w:lastRenderedPageBreak/>
              <w:t xml:space="preserve">Journal of Thoracic Oncology </w:t>
            </w:r>
            <w:r w:rsidRPr="00536F4D">
              <w:lastRenderedPageBreak/>
              <w:t>2015; 10(9):S320</w:t>
            </w:r>
          </w:p>
        </w:tc>
      </w:tr>
      <w:tr w:rsidR="00FD5FA6" w:rsidRPr="00536F4D" w:rsidTr="00327765">
        <w:trPr>
          <w:trHeight w:val="491"/>
        </w:trPr>
        <w:tc>
          <w:tcPr>
            <w:tcW w:w="519" w:type="pct"/>
            <w:vMerge/>
          </w:tcPr>
          <w:p w:rsidR="00FD5FA6" w:rsidRPr="00536F4D" w:rsidRDefault="00FD5FA6" w:rsidP="00DA12F3">
            <w:pPr>
              <w:pStyle w:val="TableText"/>
            </w:pPr>
          </w:p>
        </w:tc>
        <w:tc>
          <w:tcPr>
            <w:tcW w:w="3095" w:type="pct"/>
          </w:tcPr>
          <w:p w:rsidR="00FD5FA6" w:rsidRPr="00536F4D" w:rsidRDefault="00FD5FA6" w:rsidP="00DA12F3">
            <w:pPr>
              <w:pStyle w:val="TableText"/>
            </w:pPr>
            <w:r w:rsidRPr="00536F4D">
              <w:t xml:space="preserve">Rudell et al. The impact of osimertinib on function and health status for patients with </w:t>
            </w:r>
            <w:r w:rsidR="00B901D2" w:rsidRPr="00B901D2">
              <w:rPr>
                <w:i/>
              </w:rPr>
              <w:t>EGFR</w:t>
            </w:r>
            <w:r w:rsidRPr="00536F4D">
              <w:t xml:space="preserve"> mutation-positive advanced non-small cell lung cancer.</w:t>
            </w:r>
          </w:p>
        </w:tc>
        <w:tc>
          <w:tcPr>
            <w:tcW w:w="1386" w:type="pct"/>
          </w:tcPr>
          <w:p w:rsidR="00FD5FA6" w:rsidRPr="00536F4D" w:rsidRDefault="00FD5FA6" w:rsidP="00DA12F3">
            <w:pPr>
              <w:pStyle w:val="TableText"/>
            </w:pPr>
            <w:r w:rsidRPr="00536F4D">
              <w:t>Journal of Clinical Oncology 2016; 34.</w:t>
            </w:r>
          </w:p>
        </w:tc>
      </w:tr>
      <w:tr w:rsidR="00FD5FA6" w:rsidRPr="00536F4D" w:rsidTr="00327765">
        <w:trPr>
          <w:trHeight w:val="499"/>
        </w:trPr>
        <w:tc>
          <w:tcPr>
            <w:tcW w:w="519" w:type="pct"/>
            <w:vMerge/>
          </w:tcPr>
          <w:p w:rsidR="00FD5FA6" w:rsidRPr="00536F4D" w:rsidRDefault="00FD5FA6" w:rsidP="00DA12F3">
            <w:pPr>
              <w:pStyle w:val="TableText"/>
            </w:pPr>
          </w:p>
        </w:tc>
        <w:tc>
          <w:tcPr>
            <w:tcW w:w="3095" w:type="pct"/>
          </w:tcPr>
          <w:p w:rsidR="00FD5FA6" w:rsidRPr="00536F4D" w:rsidRDefault="00FD5FA6" w:rsidP="00DA12F3">
            <w:pPr>
              <w:pStyle w:val="TableText"/>
            </w:pPr>
            <w:r w:rsidRPr="00536F4D">
              <w:t xml:space="preserve">Bodnar et al. Health state utility measured by EQ-5D-5L for </w:t>
            </w:r>
            <w:r w:rsidR="00B901D2" w:rsidRPr="00B901D2">
              <w:rPr>
                <w:i/>
              </w:rPr>
              <w:t>EGFR</w:t>
            </w:r>
            <w:r w:rsidRPr="00536F4D">
              <w:t xml:space="preserve"> mutant </w:t>
            </w:r>
            <w:r w:rsidR="00B901D2" w:rsidRPr="00B901D2">
              <w:rPr>
                <w:i/>
              </w:rPr>
              <w:t>T790M</w:t>
            </w:r>
            <w:r w:rsidRPr="00536F4D">
              <w:t xml:space="preserve"> NSCLC patients treated with osimertinib.</w:t>
            </w:r>
          </w:p>
        </w:tc>
        <w:tc>
          <w:tcPr>
            <w:tcW w:w="1386" w:type="pct"/>
          </w:tcPr>
          <w:p w:rsidR="00FD5FA6" w:rsidRPr="00536F4D" w:rsidRDefault="00FD5FA6" w:rsidP="00DA12F3">
            <w:pPr>
              <w:pStyle w:val="TableText"/>
            </w:pPr>
            <w:r w:rsidRPr="00536F4D">
              <w:t xml:space="preserve">Annals of Oncology 2016; 27 (Suppl. 6):1041P </w:t>
            </w:r>
          </w:p>
        </w:tc>
      </w:tr>
      <w:tr w:rsidR="00FD5FA6" w:rsidRPr="00536F4D" w:rsidTr="00327765">
        <w:trPr>
          <w:trHeight w:val="841"/>
        </w:trPr>
        <w:tc>
          <w:tcPr>
            <w:tcW w:w="519" w:type="pct"/>
            <w:vMerge w:val="restart"/>
          </w:tcPr>
          <w:p w:rsidR="00FD5FA6" w:rsidRPr="00536F4D" w:rsidRDefault="00FD5FA6" w:rsidP="00DA12F3">
            <w:pPr>
              <w:pStyle w:val="TableText"/>
            </w:pPr>
            <w:r w:rsidRPr="00536F4D">
              <w:t>AURA1C</w:t>
            </w:r>
          </w:p>
        </w:tc>
        <w:tc>
          <w:tcPr>
            <w:tcW w:w="3095" w:type="pct"/>
          </w:tcPr>
          <w:p w:rsidR="00FD5FA6" w:rsidRPr="00536F4D" w:rsidRDefault="00327765" w:rsidP="00DA12F3">
            <w:pPr>
              <w:pStyle w:val="TableText"/>
              <w:rPr>
                <w:u w:val="single"/>
              </w:rPr>
            </w:pPr>
            <w:r w:rsidRPr="00536F4D">
              <w:rPr>
                <w:u w:val="single"/>
              </w:rPr>
              <w:t>Internal study report</w:t>
            </w:r>
          </w:p>
          <w:p w:rsidR="00FD5FA6" w:rsidRPr="00536F4D" w:rsidRDefault="00FD5FA6" w:rsidP="00DA12F3">
            <w:pPr>
              <w:pStyle w:val="TableText"/>
            </w:pPr>
            <w:r w:rsidRPr="00536F4D">
              <w:t xml:space="preserve">A Phase II, open-label, multicentre study to assess the safety, tolerability, pharmacokinetics and preliminary anti-tumour activity of ascending doses of osimertinib in patients with advanced non-small cell lung cancer who have progressed following prior therapy with an epidermal growth factor receptor tyrosine kinase inhibitor agent [AURA Phase II Extension (AURA1C)]. Clinical Study Report D5160C00001. Edition 3. </w:t>
            </w:r>
            <w:r w:rsidR="000B2D46">
              <w:rPr>
                <w:noProof/>
                <w:color w:val="000000"/>
                <w:highlight w:val="black"/>
              </w:rPr>
              <w:t>'''''''''''' ''''''''''''''''' ''' ''''''''''''''''''''''''' ''''''''''''</w:t>
            </w:r>
          </w:p>
        </w:tc>
        <w:tc>
          <w:tcPr>
            <w:tcW w:w="1386" w:type="pct"/>
          </w:tcPr>
          <w:p w:rsidR="00FD5FA6" w:rsidRPr="00536F4D" w:rsidRDefault="00FD5FA6" w:rsidP="00DA12F3">
            <w:pPr>
              <w:pStyle w:val="TableText"/>
            </w:pPr>
          </w:p>
          <w:p w:rsidR="00FD5FA6" w:rsidRPr="000B2D46" w:rsidRDefault="000B2D46" w:rsidP="00DA12F3">
            <w:pPr>
              <w:pStyle w:val="TableText"/>
              <w:rPr>
                <w:highlight w:val="black"/>
              </w:rPr>
            </w:pPr>
            <w:r>
              <w:rPr>
                <w:noProof/>
                <w:color w:val="000000"/>
                <w:highlight w:val="black"/>
              </w:rPr>
              <w:t>''''' '''''''''''''''' '''''''''''</w:t>
            </w:r>
          </w:p>
        </w:tc>
      </w:tr>
      <w:tr w:rsidR="00FD5FA6" w:rsidRPr="00536F4D" w:rsidTr="00327765">
        <w:trPr>
          <w:trHeight w:val="712"/>
        </w:trPr>
        <w:tc>
          <w:tcPr>
            <w:tcW w:w="519" w:type="pct"/>
            <w:vMerge/>
          </w:tcPr>
          <w:p w:rsidR="00FD5FA6" w:rsidRPr="00536F4D" w:rsidRDefault="00FD5FA6" w:rsidP="00DA12F3">
            <w:pPr>
              <w:pStyle w:val="TableText"/>
              <w:rPr>
                <w:highlight w:val="yellow"/>
              </w:rPr>
            </w:pPr>
          </w:p>
        </w:tc>
        <w:tc>
          <w:tcPr>
            <w:tcW w:w="3095" w:type="pct"/>
          </w:tcPr>
          <w:p w:rsidR="00FD5FA6" w:rsidRPr="00536F4D" w:rsidRDefault="00FD5FA6" w:rsidP="00DA12F3">
            <w:pPr>
              <w:pStyle w:val="TableText"/>
              <w:jc w:val="left"/>
            </w:pPr>
            <w:r w:rsidRPr="00536F4D">
              <w:rPr>
                <w:u w:val="single"/>
              </w:rPr>
              <w:t>Publications</w:t>
            </w:r>
          </w:p>
          <w:p w:rsidR="00FD5FA6" w:rsidRPr="00536F4D" w:rsidRDefault="00FD5FA6" w:rsidP="00DA12F3">
            <w:pPr>
              <w:pStyle w:val="TableText"/>
            </w:pPr>
            <w:r w:rsidRPr="00536F4D">
              <w:t xml:space="preserve">Yang et al. Osimertinib in pre-treated </w:t>
            </w:r>
            <w:r w:rsidR="00B901D2" w:rsidRPr="00B901D2">
              <w:rPr>
                <w:i/>
              </w:rPr>
              <w:t>T790M</w:t>
            </w:r>
            <w:r w:rsidRPr="00536F4D">
              <w:t>-positive advanced non-small cell lung cancer: AURA Study Phase II Extension Component.</w:t>
            </w:r>
          </w:p>
        </w:tc>
        <w:tc>
          <w:tcPr>
            <w:tcW w:w="1386" w:type="pct"/>
          </w:tcPr>
          <w:p w:rsidR="00FD5FA6" w:rsidRPr="00536F4D" w:rsidRDefault="00FD5FA6" w:rsidP="00DA12F3">
            <w:pPr>
              <w:pStyle w:val="TableText"/>
            </w:pPr>
          </w:p>
          <w:p w:rsidR="00FD5FA6" w:rsidRPr="00536F4D" w:rsidRDefault="00FD5FA6" w:rsidP="00DA12F3">
            <w:pPr>
              <w:pStyle w:val="TableText"/>
            </w:pPr>
            <w:r w:rsidRPr="00536F4D">
              <w:t>Journal of Clinical Oncology 2017; 35(12):1288-1296</w:t>
            </w:r>
          </w:p>
        </w:tc>
      </w:tr>
      <w:tr w:rsidR="00FD5FA6" w:rsidRPr="00536F4D" w:rsidTr="00327765">
        <w:trPr>
          <w:trHeight w:val="313"/>
        </w:trPr>
        <w:tc>
          <w:tcPr>
            <w:tcW w:w="519" w:type="pct"/>
            <w:vMerge/>
          </w:tcPr>
          <w:p w:rsidR="00FD5FA6" w:rsidRPr="00536F4D" w:rsidRDefault="00FD5FA6" w:rsidP="00DA12F3">
            <w:pPr>
              <w:pStyle w:val="TableText"/>
              <w:rPr>
                <w:highlight w:val="yellow"/>
              </w:rPr>
            </w:pPr>
          </w:p>
        </w:tc>
        <w:tc>
          <w:tcPr>
            <w:tcW w:w="3095" w:type="pct"/>
          </w:tcPr>
          <w:p w:rsidR="00FD5FA6" w:rsidRPr="00536F4D" w:rsidRDefault="00FD5FA6" w:rsidP="00DA12F3">
            <w:pPr>
              <w:pStyle w:val="TableText"/>
            </w:pPr>
            <w:r w:rsidRPr="00536F4D">
              <w:t xml:space="preserve">Yang et al. AZD9291 in pre-treated </w:t>
            </w:r>
            <w:r w:rsidR="00B901D2" w:rsidRPr="00B901D2">
              <w:rPr>
                <w:i/>
              </w:rPr>
              <w:t>T790M</w:t>
            </w:r>
            <w:r w:rsidRPr="00536F4D">
              <w:t xml:space="preserve"> positive advanced non-small cell lung cancer (NSCLC): AURA study Phase II extension cohort. </w:t>
            </w:r>
          </w:p>
        </w:tc>
        <w:tc>
          <w:tcPr>
            <w:tcW w:w="1386" w:type="pct"/>
          </w:tcPr>
          <w:p w:rsidR="00FD5FA6" w:rsidRPr="00536F4D" w:rsidRDefault="00FD5FA6" w:rsidP="00DA12F3">
            <w:pPr>
              <w:pStyle w:val="TableText"/>
            </w:pPr>
            <w:r w:rsidRPr="00536F4D">
              <w:t>Journal of Thoracic Oncology 2015; 10(9):S319.</w:t>
            </w:r>
          </w:p>
        </w:tc>
      </w:tr>
      <w:tr w:rsidR="00327765" w:rsidRPr="00536F4D" w:rsidTr="00327765">
        <w:trPr>
          <w:trHeight w:val="1478"/>
        </w:trPr>
        <w:tc>
          <w:tcPr>
            <w:tcW w:w="519" w:type="pct"/>
            <w:vMerge w:val="restart"/>
          </w:tcPr>
          <w:p w:rsidR="00327765" w:rsidRPr="00536F4D" w:rsidRDefault="00327765" w:rsidP="00DA12F3">
            <w:pPr>
              <w:pStyle w:val="TableText"/>
              <w:rPr>
                <w:highlight w:val="yellow"/>
              </w:rPr>
            </w:pPr>
            <w:r w:rsidRPr="00536F4D">
              <w:t>AURA Pooled (AURA1C + AURA2)</w:t>
            </w:r>
          </w:p>
        </w:tc>
        <w:tc>
          <w:tcPr>
            <w:tcW w:w="3095" w:type="pct"/>
          </w:tcPr>
          <w:p w:rsidR="00327765" w:rsidRPr="00536F4D" w:rsidRDefault="00327765" w:rsidP="00DA12F3">
            <w:pPr>
              <w:pStyle w:val="TableText"/>
              <w:rPr>
                <w:u w:val="single"/>
              </w:rPr>
            </w:pPr>
            <w:r w:rsidRPr="00536F4D">
              <w:rPr>
                <w:u w:val="single"/>
              </w:rPr>
              <w:t>Internal study report</w:t>
            </w:r>
          </w:p>
          <w:p w:rsidR="00327765" w:rsidRPr="00536F4D" w:rsidRDefault="00327765" w:rsidP="00DA12F3">
            <w:pPr>
              <w:pStyle w:val="TableText"/>
            </w:pPr>
            <w:r w:rsidRPr="00536F4D">
              <w:t xml:space="preserve">Osimertinib D5160C00001 and D5160C00002 Integrated summary of pooled clinical efficacy data for osimertinib for the treatment of patients with locally advanced or metastatic </w:t>
            </w:r>
            <w:r w:rsidR="00B901D2" w:rsidRPr="00B901D2">
              <w:rPr>
                <w:i/>
              </w:rPr>
              <w:t>EGFR</w:t>
            </w:r>
            <w:r w:rsidRPr="00536F4D">
              <w:t xml:space="preserve"> </w:t>
            </w:r>
            <w:r w:rsidR="00B901D2" w:rsidRPr="00B901D2">
              <w:rPr>
                <w:i/>
              </w:rPr>
              <w:t>T790M</w:t>
            </w:r>
            <w:r w:rsidRPr="00536F4D">
              <w:t xml:space="preserve"> mutation positive non-small cell lung cancer (NSCLC) who have progressed on or after </w:t>
            </w:r>
            <w:r w:rsidR="00B901D2" w:rsidRPr="00B901D2">
              <w:rPr>
                <w:i/>
              </w:rPr>
              <w:t>EGFR</w:t>
            </w:r>
            <w:r w:rsidRPr="00536F4D">
              <w:t xml:space="preserve">-TKI therapy. </w:t>
            </w:r>
            <w:r w:rsidR="000B2D46">
              <w:rPr>
                <w:noProof/>
                <w:color w:val="000000"/>
                <w:highlight w:val="black"/>
              </w:rPr>
              <w:t>''''''''''' ''''''''''''''' ''' ''''''''''''''''''''''''' ''''''''''''</w:t>
            </w:r>
          </w:p>
        </w:tc>
        <w:tc>
          <w:tcPr>
            <w:tcW w:w="1386" w:type="pct"/>
          </w:tcPr>
          <w:p w:rsidR="00327765" w:rsidRPr="000B2D46" w:rsidRDefault="000B2D46" w:rsidP="00DA12F3">
            <w:pPr>
              <w:pStyle w:val="TableText"/>
              <w:rPr>
                <w:highlight w:val="black"/>
              </w:rPr>
            </w:pPr>
            <w:r>
              <w:rPr>
                <w:noProof/>
                <w:color w:val="000000"/>
                <w:highlight w:val="black"/>
              </w:rPr>
              <w:t>''''''''''''''''''''''''''' ''''''''''''</w:t>
            </w:r>
          </w:p>
        </w:tc>
      </w:tr>
      <w:tr w:rsidR="00327765" w:rsidRPr="00536F4D" w:rsidTr="00327765">
        <w:trPr>
          <w:trHeight w:val="641"/>
        </w:trPr>
        <w:tc>
          <w:tcPr>
            <w:tcW w:w="519" w:type="pct"/>
            <w:vMerge/>
          </w:tcPr>
          <w:p w:rsidR="00327765" w:rsidRPr="00536F4D" w:rsidRDefault="00327765" w:rsidP="00DA12F3">
            <w:pPr>
              <w:pStyle w:val="TableText"/>
              <w:rPr>
                <w:highlight w:val="yellow"/>
              </w:rPr>
            </w:pPr>
          </w:p>
        </w:tc>
        <w:tc>
          <w:tcPr>
            <w:tcW w:w="3095" w:type="pct"/>
          </w:tcPr>
          <w:p w:rsidR="00327765" w:rsidRPr="00536F4D" w:rsidRDefault="00327765" w:rsidP="00DA12F3">
            <w:pPr>
              <w:pStyle w:val="TableText"/>
              <w:jc w:val="left"/>
            </w:pPr>
            <w:r w:rsidRPr="00536F4D">
              <w:rPr>
                <w:u w:val="single"/>
              </w:rPr>
              <w:t>Publications</w:t>
            </w:r>
          </w:p>
          <w:p w:rsidR="00327765" w:rsidRPr="00536F4D" w:rsidRDefault="00327765" w:rsidP="00DA12F3">
            <w:pPr>
              <w:pStyle w:val="TableText"/>
            </w:pPr>
            <w:r w:rsidRPr="00536F4D">
              <w:t xml:space="preserve">Yang et al. Osimertinib (AZD9291) in pre-treated pts with </w:t>
            </w:r>
            <w:r w:rsidR="00B901D2" w:rsidRPr="00B901D2">
              <w:rPr>
                <w:i/>
              </w:rPr>
              <w:t>T790M</w:t>
            </w:r>
            <w:r w:rsidRPr="00536F4D">
              <w:t xml:space="preserve">-positive advanced NSCLC: Updated Phase 1 (P1) and pooled Phase II (P2) results. </w:t>
            </w:r>
          </w:p>
        </w:tc>
        <w:tc>
          <w:tcPr>
            <w:tcW w:w="1386" w:type="pct"/>
          </w:tcPr>
          <w:p w:rsidR="00327765" w:rsidRPr="00536F4D" w:rsidRDefault="00327765" w:rsidP="00DA12F3">
            <w:pPr>
              <w:pStyle w:val="TableText"/>
            </w:pPr>
          </w:p>
          <w:p w:rsidR="00327765" w:rsidRPr="00536F4D" w:rsidRDefault="00327765" w:rsidP="00DA12F3">
            <w:pPr>
              <w:pStyle w:val="TableText"/>
            </w:pPr>
            <w:r w:rsidRPr="00536F4D">
              <w:t>Journal of Thoracic Oncology 2016; 11(4): S152-S153</w:t>
            </w:r>
          </w:p>
        </w:tc>
      </w:tr>
      <w:tr w:rsidR="00327765" w:rsidRPr="00536F4D" w:rsidTr="00327765">
        <w:trPr>
          <w:trHeight w:val="538"/>
        </w:trPr>
        <w:tc>
          <w:tcPr>
            <w:tcW w:w="519" w:type="pct"/>
            <w:vMerge/>
          </w:tcPr>
          <w:p w:rsidR="00327765" w:rsidRPr="00536F4D" w:rsidRDefault="00327765" w:rsidP="00DA12F3">
            <w:pPr>
              <w:pStyle w:val="TableText"/>
              <w:rPr>
                <w:highlight w:val="yellow"/>
              </w:rPr>
            </w:pPr>
          </w:p>
        </w:tc>
        <w:tc>
          <w:tcPr>
            <w:tcW w:w="3095" w:type="pct"/>
          </w:tcPr>
          <w:p w:rsidR="00327765" w:rsidRPr="00536F4D" w:rsidRDefault="00327765" w:rsidP="00DA12F3">
            <w:pPr>
              <w:pStyle w:val="TableText"/>
            </w:pPr>
            <w:r w:rsidRPr="00536F4D">
              <w:t xml:space="preserve">Goss et al. AZD9291 in pre-treated patients with </w:t>
            </w:r>
            <w:r w:rsidR="00B901D2" w:rsidRPr="00B901D2">
              <w:rPr>
                <w:i/>
              </w:rPr>
              <w:t>T790M</w:t>
            </w:r>
            <w:r w:rsidRPr="00536F4D">
              <w:t xml:space="preserve"> positive advanced non-small cell lung cancer (NSCLC): Pooled analysis from two Phase II studies. </w:t>
            </w:r>
          </w:p>
        </w:tc>
        <w:tc>
          <w:tcPr>
            <w:tcW w:w="1386" w:type="pct"/>
          </w:tcPr>
          <w:p w:rsidR="00327765" w:rsidRPr="00536F4D" w:rsidRDefault="00327765" w:rsidP="00DA12F3">
            <w:pPr>
              <w:pStyle w:val="TableText"/>
            </w:pPr>
            <w:r w:rsidRPr="00536F4D">
              <w:t>European Journal of Cancer 2015; 51: S640</w:t>
            </w:r>
          </w:p>
        </w:tc>
      </w:tr>
      <w:tr w:rsidR="00327765" w:rsidRPr="00536F4D" w:rsidTr="00327765">
        <w:trPr>
          <w:trHeight w:val="606"/>
        </w:trPr>
        <w:tc>
          <w:tcPr>
            <w:tcW w:w="519" w:type="pct"/>
            <w:vMerge/>
          </w:tcPr>
          <w:p w:rsidR="00327765" w:rsidRPr="00536F4D" w:rsidRDefault="00327765" w:rsidP="00DA12F3">
            <w:pPr>
              <w:pStyle w:val="TableText"/>
              <w:rPr>
                <w:highlight w:val="yellow"/>
              </w:rPr>
            </w:pPr>
          </w:p>
        </w:tc>
        <w:tc>
          <w:tcPr>
            <w:tcW w:w="3095" w:type="pct"/>
          </w:tcPr>
          <w:p w:rsidR="00327765" w:rsidRPr="00536F4D" w:rsidRDefault="00327765" w:rsidP="00DA12F3">
            <w:pPr>
              <w:pStyle w:val="TableText"/>
            </w:pPr>
            <w:r w:rsidRPr="00536F4D">
              <w:t xml:space="preserve">Ahn et al. AZD9291 activity in patients with </w:t>
            </w:r>
            <w:r w:rsidR="00B901D2" w:rsidRPr="00B901D2">
              <w:rPr>
                <w:i/>
              </w:rPr>
              <w:t>EGFR</w:t>
            </w:r>
            <w:r w:rsidRPr="00536F4D">
              <w:t xml:space="preserve">-mutant advanced non-small cell lung cancer (NSCLC) and brain metastases: Data from Phase II studies. </w:t>
            </w:r>
          </w:p>
        </w:tc>
        <w:tc>
          <w:tcPr>
            <w:tcW w:w="1386" w:type="pct"/>
          </w:tcPr>
          <w:p w:rsidR="00327765" w:rsidRPr="00536F4D" w:rsidRDefault="00327765" w:rsidP="00DA12F3">
            <w:pPr>
              <w:pStyle w:val="TableText"/>
            </w:pPr>
            <w:r w:rsidRPr="00536F4D">
              <w:t>European Journal of Cancer 2015; 51: S625-S626</w:t>
            </w:r>
          </w:p>
        </w:tc>
      </w:tr>
      <w:tr w:rsidR="00327765" w:rsidRPr="00536F4D" w:rsidTr="00327765">
        <w:trPr>
          <w:trHeight w:val="547"/>
        </w:trPr>
        <w:tc>
          <w:tcPr>
            <w:tcW w:w="519" w:type="pct"/>
            <w:vMerge/>
          </w:tcPr>
          <w:p w:rsidR="00327765" w:rsidRPr="00536F4D" w:rsidRDefault="00327765" w:rsidP="00DA12F3">
            <w:pPr>
              <w:pStyle w:val="TableText"/>
              <w:rPr>
                <w:highlight w:val="yellow"/>
              </w:rPr>
            </w:pPr>
          </w:p>
        </w:tc>
        <w:tc>
          <w:tcPr>
            <w:tcW w:w="3095" w:type="pct"/>
          </w:tcPr>
          <w:p w:rsidR="00327765" w:rsidRPr="00536F4D" w:rsidRDefault="00327765" w:rsidP="00DA12F3">
            <w:pPr>
              <w:pStyle w:val="TableText"/>
            </w:pPr>
            <w:r w:rsidRPr="00536F4D">
              <w:t xml:space="preserve">Ryden et al. Patient experience of symptoms and side effects when treated with AZD9291 for advanced non-small cell lung cancer: A qualitative interview sub-study. </w:t>
            </w:r>
          </w:p>
        </w:tc>
        <w:tc>
          <w:tcPr>
            <w:tcW w:w="1386" w:type="pct"/>
          </w:tcPr>
          <w:p w:rsidR="00327765" w:rsidRPr="00536F4D" w:rsidRDefault="00327765" w:rsidP="00DA12F3">
            <w:pPr>
              <w:pStyle w:val="TableText"/>
            </w:pPr>
            <w:r w:rsidRPr="00536F4D">
              <w:t>European Journal of Cancer 2015; 51: S221</w:t>
            </w:r>
          </w:p>
        </w:tc>
      </w:tr>
      <w:tr w:rsidR="00327765" w:rsidRPr="00536F4D" w:rsidTr="00327765">
        <w:trPr>
          <w:trHeight w:val="473"/>
        </w:trPr>
        <w:tc>
          <w:tcPr>
            <w:tcW w:w="519" w:type="pct"/>
            <w:vMerge/>
          </w:tcPr>
          <w:p w:rsidR="00327765" w:rsidRPr="00536F4D" w:rsidRDefault="00327765" w:rsidP="00DA12F3">
            <w:pPr>
              <w:pStyle w:val="TableText"/>
              <w:rPr>
                <w:highlight w:val="yellow"/>
              </w:rPr>
            </w:pPr>
          </w:p>
        </w:tc>
        <w:tc>
          <w:tcPr>
            <w:tcW w:w="3095" w:type="pct"/>
          </w:tcPr>
          <w:p w:rsidR="00327765" w:rsidRPr="00536F4D" w:rsidRDefault="00327765" w:rsidP="00DA12F3">
            <w:pPr>
              <w:pStyle w:val="TableText"/>
            </w:pPr>
            <w:r w:rsidRPr="00536F4D">
              <w:t xml:space="preserve">Ryden et al. Patient-reported symptom response and impact of treatment with AZD9291 for advanced non-small cell lung cancer. </w:t>
            </w:r>
          </w:p>
        </w:tc>
        <w:tc>
          <w:tcPr>
            <w:tcW w:w="1386" w:type="pct"/>
          </w:tcPr>
          <w:p w:rsidR="00327765" w:rsidRPr="00536F4D" w:rsidRDefault="00327765" w:rsidP="00DA12F3">
            <w:pPr>
              <w:pStyle w:val="TableText"/>
            </w:pPr>
            <w:r w:rsidRPr="00536F4D">
              <w:t>European Journal of Cancer 2015; 51: S606</w:t>
            </w:r>
          </w:p>
        </w:tc>
      </w:tr>
      <w:tr w:rsidR="00327765" w:rsidRPr="00536F4D" w:rsidTr="00327765">
        <w:trPr>
          <w:trHeight w:val="622"/>
        </w:trPr>
        <w:tc>
          <w:tcPr>
            <w:tcW w:w="519" w:type="pct"/>
            <w:vMerge/>
          </w:tcPr>
          <w:p w:rsidR="00327765" w:rsidRPr="00536F4D" w:rsidRDefault="00327765" w:rsidP="00DA12F3">
            <w:pPr>
              <w:pStyle w:val="TableText"/>
              <w:rPr>
                <w:highlight w:val="yellow"/>
              </w:rPr>
            </w:pPr>
          </w:p>
        </w:tc>
        <w:tc>
          <w:tcPr>
            <w:tcW w:w="3095" w:type="pct"/>
          </w:tcPr>
          <w:p w:rsidR="00327765" w:rsidRPr="00536F4D" w:rsidRDefault="00327765" w:rsidP="00DA12F3">
            <w:pPr>
              <w:pStyle w:val="TableText"/>
            </w:pPr>
            <w:r w:rsidRPr="00536F4D">
              <w:t xml:space="preserve">Jenkins et al. Plasma Circulating tumour DNA (ctDNA) analysis for detection of </w:t>
            </w:r>
            <w:r w:rsidR="00B901D2" w:rsidRPr="00B901D2">
              <w:rPr>
                <w:i/>
              </w:rPr>
              <w:t>EGFR</w:t>
            </w:r>
            <w:r w:rsidRPr="00536F4D">
              <w:t xml:space="preserve"> </w:t>
            </w:r>
            <w:r w:rsidR="00B901D2" w:rsidRPr="00B901D2">
              <w:rPr>
                <w:i/>
              </w:rPr>
              <w:t>T790M</w:t>
            </w:r>
            <w:r w:rsidRPr="00536F4D">
              <w:t xml:space="preserve"> mutation in patients (pts) with </w:t>
            </w:r>
            <w:r w:rsidR="00B901D2" w:rsidRPr="00B901D2">
              <w:rPr>
                <w:i/>
              </w:rPr>
              <w:t>EGFR</w:t>
            </w:r>
            <w:r w:rsidRPr="00536F4D">
              <w:t xml:space="preserve"> mutation-positive advanced non-small cell lung cancer (aNSCLC). </w:t>
            </w:r>
          </w:p>
        </w:tc>
        <w:tc>
          <w:tcPr>
            <w:tcW w:w="1386" w:type="pct"/>
          </w:tcPr>
          <w:p w:rsidR="00327765" w:rsidRPr="00536F4D" w:rsidRDefault="00327765" w:rsidP="00DA12F3">
            <w:pPr>
              <w:pStyle w:val="TableText"/>
            </w:pPr>
            <w:r w:rsidRPr="00536F4D">
              <w:t>Journal of Thoracic Oncology 2016; 11(4): S153-S154</w:t>
            </w:r>
          </w:p>
        </w:tc>
      </w:tr>
      <w:tr w:rsidR="00327765" w:rsidRPr="00536F4D" w:rsidTr="00327765">
        <w:trPr>
          <w:trHeight w:val="690"/>
        </w:trPr>
        <w:tc>
          <w:tcPr>
            <w:tcW w:w="519" w:type="pct"/>
            <w:vMerge/>
          </w:tcPr>
          <w:p w:rsidR="00327765" w:rsidRPr="00536F4D" w:rsidRDefault="00327765" w:rsidP="00DA12F3">
            <w:pPr>
              <w:pStyle w:val="TableText"/>
              <w:rPr>
                <w:highlight w:val="yellow"/>
              </w:rPr>
            </w:pPr>
          </w:p>
        </w:tc>
        <w:tc>
          <w:tcPr>
            <w:tcW w:w="3095" w:type="pct"/>
          </w:tcPr>
          <w:p w:rsidR="00327765" w:rsidRPr="00536F4D" w:rsidRDefault="00327765" w:rsidP="00DA12F3">
            <w:pPr>
              <w:pStyle w:val="TableText"/>
            </w:pPr>
            <w:r w:rsidRPr="00536F4D">
              <w:t xml:space="preserve">Goss et al. Central Nervous System (CNS) response to osimertinib in patients with </w:t>
            </w:r>
            <w:r w:rsidR="00B901D2" w:rsidRPr="00B901D2">
              <w:rPr>
                <w:i/>
              </w:rPr>
              <w:t>T790M</w:t>
            </w:r>
            <w:r w:rsidRPr="00536F4D">
              <w:t>-positive advanced NSCLC: Pooled data from two Phase II trials..</w:t>
            </w:r>
          </w:p>
        </w:tc>
        <w:tc>
          <w:tcPr>
            <w:tcW w:w="1386" w:type="pct"/>
          </w:tcPr>
          <w:p w:rsidR="00327765" w:rsidRPr="00536F4D" w:rsidRDefault="00327765" w:rsidP="00DA12F3">
            <w:pPr>
              <w:pStyle w:val="TableText"/>
            </w:pPr>
            <w:r w:rsidRPr="00536F4D">
              <w:t>Journal of Thoracic Oncology 2017; 12(1):S440-S441</w:t>
            </w:r>
          </w:p>
        </w:tc>
      </w:tr>
      <w:tr w:rsidR="00327765" w:rsidRPr="00536F4D" w:rsidTr="00327765">
        <w:trPr>
          <w:trHeight w:val="475"/>
        </w:trPr>
        <w:tc>
          <w:tcPr>
            <w:tcW w:w="519" w:type="pct"/>
            <w:vMerge/>
          </w:tcPr>
          <w:p w:rsidR="00327765" w:rsidRPr="00536F4D" w:rsidRDefault="00327765" w:rsidP="00DA12F3">
            <w:pPr>
              <w:pStyle w:val="TableText"/>
              <w:rPr>
                <w:highlight w:val="yellow"/>
              </w:rPr>
            </w:pPr>
          </w:p>
        </w:tc>
        <w:tc>
          <w:tcPr>
            <w:tcW w:w="3095" w:type="pct"/>
          </w:tcPr>
          <w:p w:rsidR="00327765" w:rsidRPr="00536F4D" w:rsidRDefault="00327765" w:rsidP="00DA12F3">
            <w:pPr>
              <w:pStyle w:val="TableText"/>
            </w:pPr>
            <w:r w:rsidRPr="00536F4D">
              <w:t xml:space="preserve">Novello et al. Analysis of patient-reported symptom response with osimertinib (AZD9291) treatment for advanced non-small cell lung cancer. </w:t>
            </w:r>
          </w:p>
        </w:tc>
        <w:tc>
          <w:tcPr>
            <w:tcW w:w="1386" w:type="pct"/>
          </w:tcPr>
          <w:p w:rsidR="00327765" w:rsidRPr="00536F4D" w:rsidRDefault="00327765" w:rsidP="00DA12F3">
            <w:pPr>
              <w:pStyle w:val="TableText"/>
            </w:pPr>
            <w:r w:rsidRPr="00536F4D">
              <w:t>Journal of Thoracic Oncology 2017; 12(1):S1238-S1239</w:t>
            </w:r>
          </w:p>
        </w:tc>
      </w:tr>
      <w:tr w:rsidR="00FD5FA6" w:rsidRPr="00536F4D" w:rsidTr="00DA12F3">
        <w:trPr>
          <w:trHeight w:val="224"/>
        </w:trPr>
        <w:tc>
          <w:tcPr>
            <w:tcW w:w="5000" w:type="pct"/>
            <w:gridSpan w:val="3"/>
          </w:tcPr>
          <w:p w:rsidR="00FD5FA6" w:rsidRPr="00536F4D" w:rsidRDefault="00FD5FA6" w:rsidP="00DA12F3">
            <w:pPr>
              <w:pStyle w:val="TableText"/>
            </w:pPr>
            <w:r w:rsidRPr="00536F4D">
              <w:rPr>
                <w:b/>
                <w:smallCaps/>
              </w:rPr>
              <w:t>Platinum-based chemotherapy</w:t>
            </w:r>
            <w:r w:rsidRPr="00536F4D">
              <w:t xml:space="preserve"> (Chemotherapy alone single arm sourced from the randomised controlled trial IMPRESS)</w:t>
            </w:r>
          </w:p>
        </w:tc>
      </w:tr>
      <w:tr w:rsidR="00327765" w:rsidRPr="00536F4D" w:rsidTr="00327765">
        <w:trPr>
          <w:trHeight w:val="1425"/>
        </w:trPr>
        <w:tc>
          <w:tcPr>
            <w:tcW w:w="519" w:type="pct"/>
            <w:vMerge w:val="restart"/>
          </w:tcPr>
          <w:p w:rsidR="00327765" w:rsidRPr="00536F4D" w:rsidRDefault="00327765" w:rsidP="00DA12F3">
            <w:pPr>
              <w:pStyle w:val="TableText"/>
              <w:rPr>
                <w:highlight w:val="yellow"/>
              </w:rPr>
            </w:pPr>
            <w:r w:rsidRPr="00536F4D">
              <w:lastRenderedPageBreak/>
              <w:t>IMPRESS</w:t>
            </w:r>
          </w:p>
        </w:tc>
        <w:tc>
          <w:tcPr>
            <w:tcW w:w="3095" w:type="pct"/>
          </w:tcPr>
          <w:p w:rsidR="00327765" w:rsidRPr="00536F4D" w:rsidRDefault="00327765" w:rsidP="00DA12F3">
            <w:pPr>
              <w:pStyle w:val="TableText"/>
            </w:pPr>
            <w:r w:rsidRPr="00536F4D">
              <w:t>Internal study report</w:t>
            </w:r>
          </w:p>
          <w:p w:rsidR="00327765" w:rsidRPr="00536F4D" w:rsidRDefault="00327765" w:rsidP="00DA12F3">
            <w:pPr>
              <w:pStyle w:val="TableText"/>
            </w:pPr>
            <w:r w:rsidRPr="00536F4D">
              <w:t>A Phase III randomised, double-blind, placebo-controlled, parallel, multicentre study to assess the efficacy and safety of continuing gefitinib 250mg in addition to chemotherapy versus chemotherapy alone in patients who have epidermal growth factor receptor (</w:t>
            </w:r>
            <w:r w:rsidR="00B901D2" w:rsidRPr="00B901D2">
              <w:rPr>
                <w:i/>
              </w:rPr>
              <w:t>EGFR</w:t>
            </w:r>
            <w:r w:rsidRPr="00536F4D">
              <w:t>) mutation positive locally advanced or metastatic non-small cell lung cancer (NSCLC) and have progressed on first-line gefitinib (IMPRESS). Clinical Study Report D791LC00001: Edition 1</w:t>
            </w:r>
          </w:p>
        </w:tc>
        <w:tc>
          <w:tcPr>
            <w:tcW w:w="1386" w:type="pct"/>
          </w:tcPr>
          <w:p w:rsidR="00327765" w:rsidRPr="00536F4D" w:rsidRDefault="00327765" w:rsidP="00DA12F3">
            <w:pPr>
              <w:pStyle w:val="TableText"/>
            </w:pPr>
          </w:p>
          <w:p w:rsidR="00327765" w:rsidRPr="000B2D46" w:rsidRDefault="000B2D46" w:rsidP="00327765">
            <w:pPr>
              <w:pStyle w:val="TableText"/>
              <w:rPr>
                <w:highlight w:val="black"/>
              </w:rPr>
            </w:pPr>
            <w:r>
              <w:rPr>
                <w:noProof/>
                <w:color w:val="000000"/>
                <w:highlight w:val="black"/>
              </w:rPr>
              <w:t>'''''' '''''''''''''''''''''' ''''''''''''''</w:t>
            </w:r>
          </w:p>
        </w:tc>
      </w:tr>
      <w:tr w:rsidR="00327765" w:rsidRPr="00536F4D" w:rsidTr="00327765">
        <w:trPr>
          <w:trHeight w:val="1244"/>
        </w:trPr>
        <w:tc>
          <w:tcPr>
            <w:tcW w:w="519" w:type="pct"/>
            <w:vMerge/>
          </w:tcPr>
          <w:p w:rsidR="00327765" w:rsidRPr="00536F4D" w:rsidRDefault="00327765" w:rsidP="00DA12F3">
            <w:pPr>
              <w:pStyle w:val="TableText"/>
            </w:pPr>
          </w:p>
        </w:tc>
        <w:tc>
          <w:tcPr>
            <w:tcW w:w="3095" w:type="pct"/>
          </w:tcPr>
          <w:p w:rsidR="00327765" w:rsidRPr="00536F4D" w:rsidRDefault="00327765" w:rsidP="00327765">
            <w:pPr>
              <w:pStyle w:val="TableText"/>
              <w:jc w:val="left"/>
            </w:pPr>
            <w:r w:rsidRPr="00536F4D">
              <w:rPr>
                <w:u w:val="single"/>
              </w:rPr>
              <w:t>Publications</w:t>
            </w:r>
          </w:p>
          <w:p w:rsidR="00327765" w:rsidRPr="00536F4D" w:rsidRDefault="00327765" w:rsidP="00327765">
            <w:pPr>
              <w:pStyle w:val="TableText"/>
            </w:pPr>
            <w:r w:rsidRPr="00536F4D">
              <w:t xml:space="preserve">Soria J-C, Wu Y-L, Nakagawa K, Kim S-W, et al. Gefitinib plus chemotherapy versus placebo plus chemotherapy in </w:t>
            </w:r>
            <w:r w:rsidR="00B901D2" w:rsidRPr="00B901D2">
              <w:rPr>
                <w:i/>
              </w:rPr>
              <w:t>EGFR</w:t>
            </w:r>
            <w:r w:rsidRPr="00536F4D">
              <w:t>-mutation-positive non-small-cell lung cancer after progression on first-line gefitinib (IMPRESS): a Phase III randomised trial.</w:t>
            </w:r>
          </w:p>
        </w:tc>
        <w:tc>
          <w:tcPr>
            <w:tcW w:w="1386" w:type="pct"/>
          </w:tcPr>
          <w:p w:rsidR="00327765" w:rsidRPr="00536F4D" w:rsidRDefault="00327765" w:rsidP="00DA12F3">
            <w:pPr>
              <w:pStyle w:val="TableText"/>
            </w:pPr>
            <w:r w:rsidRPr="00536F4D">
              <w:t>The Lancet Oncology 2015; 16(8):990-998.</w:t>
            </w:r>
          </w:p>
        </w:tc>
      </w:tr>
      <w:tr w:rsidR="00327765" w:rsidRPr="00536F4D" w:rsidTr="00327765">
        <w:trPr>
          <w:trHeight w:val="703"/>
        </w:trPr>
        <w:tc>
          <w:tcPr>
            <w:tcW w:w="519" w:type="pct"/>
            <w:vMerge/>
          </w:tcPr>
          <w:p w:rsidR="00327765" w:rsidRPr="00536F4D" w:rsidRDefault="00327765" w:rsidP="00DA12F3">
            <w:pPr>
              <w:pStyle w:val="TableText"/>
            </w:pPr>
          </w:p>
        </w:tc>
        <w:tc>
          <w:tcPr>
            <w:tcW w:w="3095" w:type="pct"/>
          </w:tcPr>
          <w:p w:rsidR="00327765" w:rsidRPr="00536F4D" w:rsidRDefault="00327765" w:rsidP="00DA12F3">
            <w:pPr>
              <w:pStyle w:val="TableText"/>
            </w:pPr>
            <w:r w:rsidRPr="00536F4D">
              <w:t>Nakagawa K, et al. Gefitinib / chemotherapy vs chemotherapy in epidermal growth factor receptor (</w:t>
            </w:r>
            <w:r w:rsidR="00B901D2" w:rsidRPr="00B901D2">
              <w:rPr>
                <w:i/>
              </w:rPr>
              <w:t>EGFR</w:t>
            </w:r>
            <w:r w:rsidRPr="00536F4D">
              <w:t xml:space="preserve">) mutation-positive NSCLC resistant to first-line gefitinib: IMPRESS </w:t>
            </w:r>
            <w:r w:rsidR="00B901D2" w:rsidRPr="00B901D2">
              <w:rPr>
                <w:i/>
              </w:rPr>
              <w:t>T790M</w:t>
            </w:r>
            <w:r w:rsidRPr="00536F4D">
              <w:t xml:space="preserve"> subgroup analysis.</w:t>
            </w:r>
          </w:p>
        </w:tc>
        <w:tc>
          <w:tcPr>
            <w:tcW w:w="1386" w:type="pct"/>
          </w:tcPr>
          <w:p w:rsidR="00327765" w:rsidRPr="00536F4D" w:rsidRDefault="00327765" w:rsidP="00DA12F3">
            <w:pPr>
              <w:pStyle w:val="TableText"/>
            </w:pPr>
            <w:r w:rsidRPr="00536F4D">
              <w:t>World Conference Lung Cancer. 2015</w:t>
            </w:r>
          </w:p>
        </w:tc>
      </w:tr>
    </w:tbl>
    <w:p w:rsidR="00FD5FA6" w:rsidRPr="00536F4D" w:rsidRDefault="00FD5FA6" w:rsidP="00FD5FA6">
      <w:pPr>
        <w:pStyle w:val="TableFooter"/>
      </w:pPr>
      <w:r w:rsidRPr="00536F4D">
        <w:t>Source: Table 2-2, pp37-8 of the submission</w:t>
      </w:r>
      <w:r w:rsidR="0072146A">
        <w:t>.</w:t>
      </w:r>
    </w:p>
    <w:p w:rsidR="003657A4" w:rsidRPr="00536F4D" w:rsidRDefault="003657A4" w:rsidP="00EE3172">
      <w:pPr>
        <w:pStyle w:val="Caption"/>
      </w:pPr>
      <w:r w:rsidRPr="00536F4D">
        <w:t>Table</w:t>
      </w:r>
      <w:r w:rsidR="00C61A70">
        <w:t xml:space="preserve"> 5</w:t>
      </w:r>
      <w:r w:rsidR="00BC6818" w:rsidRPr="00536F4D">
        <w:t>:</w:t>
      </w:r>
      <w:r w:rsidR="00C61A70">
        <w:t xml:space="preserve"> </w:t>
      </w:r>
      <w:r w:rsidRPr="00536F4D">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6"/>
        <w:gridCol w:w="570"/>
        <w:gridCol w:w="2714"/>
        <w:gridCol w:w="2252"/>
        <w:gridCol w:w="1213"/>
        <w:gridCol w:w="1337"/>
      </w:tblGrid>
      <w:tr w:rsidR="00FD5FA6" w:rsidRPr="00536F4D" w:rsidTr="00DA12F3">
        <w:tc>
          <w:tcPr>
            <w:tcW w:w="548"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rPr>
                <w:b/>
              </w:rPr>
            </w:pPr>
            <w:r w:rsidRPr="00536F4D">
              <w:rPr>
                <w:b/>
              </w:rPr>
              <w:t>Trial</w:t>
            </w:r>
          </w:p>
        </w:tc>
        <w:tc>
          <w:tcPr>
            <w:tcW w:w="314"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rPr>
                <w:b/>
              </w:rPr>
            </w:pPr>
            <w:r w:rsidRPr="00536F4D">
              <w:rPr>
                <w:b/>
              </w:rPr>
              <w:t>N</w:t>
            </w:r>
          </w:p>
        </w:tc>
        <w:tc>
          <w:tcPr>
            <w:tcW w:w="1494"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rPr>
                <w:b/>
              </w:rPr>
            </w:pPr>
            <w:r w:rsidRPr="00536F4D">
              <w:rPr>
                <w:b/>
              </w:rPr>
              <w:t>Design/ Mean treatment duration</w:t>
            </w:r>
          </w:p>
        </w:tc>
        <w:tc>
          <w:tcPr>
            <w:tcW w:w="1240"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rPr>
                <w:b/>
              </w:rPr>
            </w:pPr>
            <w:r w:rsidRPr="00536F4D">
              <w:rPr>
                <w:b/>
              </w:rPr>
              <w:t>Patient population</w:t>
            </w:r>
          </w:p>
        </w:tc>
        <w:tc>
          <w:tcPr>
            <w:tcW w:w="668"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rPr>
                <w:b/>
              </w:rPr>
            </w:pPr>
            <w:r w:rsidRPr="00536F4D">
              <w:rPr>
                <w:b/>
              </w:rPr>
              <w:t>Outcomes</w:t>
            </w:r>
          </w:p>
        </w:tc>
        <w:tc>
          <w:tcPr>
            <w:tcW w:w="736"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rPr>
                <w:b/>
              </w:rPr>
            </w:pPr>
            <w:r w:rsidRPr="00536F4D">
              <w:rPr>
                <w:b/>
              </w:rPr>
              <w:t>Use in modelled evaluation</w:t>
            </w:r>
          </w:p>
        </w:tc>
      </w:tr>
      <w:tr w:rsidR="00FD5FA6" w:rsidRPr="00536F4D" w:rsidTr="00DA12F3">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rPr>
                <w:b/>
              </w:rPr>
            </w:pPr>
            <w:r w:rsidRPr="00536F4D">
              <w:rPr>
                <w:b/>
              </w:rPr>
              <w:t xml:space="preserve">Osimertinib versus </w:t>
            </w:r>
            <w:r w:rsidR="00AD752E" w:rsidRPr="00536F4D">
              <w:rPr>
                <w:b/>
              </w:rPr>
              <w:t>platinum-</w:t>
            </w:r>
            <w:r w:rsidRPr="00536F4D">
              <w:rPr>
                <w:b/>
              </w:rPr>
              <w:t>doublet chemotherapy</w:t>
            </w:r>
          </w:p>
        </w:tc>
      </w:tr>
      <w:tr w:rsidR="00FD5FA6" w:rsidRPr="00536F4D" w:rsidTr="00DA12F3">
        <w:tc>
          <w:tcPr>
            <w:tcW w:w="548" w:type="pct"/>
            <w:tcBorders>
              <w:top w:val="single" w:sz="4" w:space="0" w:color="auto"/>
              <w:left w:val="single" w:sz="4" w:space="0" w:color="auto"/>
              <w:bottom w:val="single" w:sz="4" w:space="0" w:color="auto"/>
              <w:right w:val="single" w:sz="4" w:space="0" w:color="auto"/>
            </w:tcBorders>
            <w:hideMark/>
          </w:tcPr>
          <w:p w:rsidR="00FD5FA6" w:rsidRPr="00536F4D" w:rsidRDefault="00FD5FA6" w:rsidP="00DA12F3">
            <w:pPr>
              <w:pStyle w:val="TableText"/>
              <w:spacing w:line="256" w:lineRule="auto"/>
              <w:jc w:val="left"/>
            </w:pPr>
            <w:r w:rsidRPr="00536F4D">
              <w:t>AURA 3</w:t>
            </w:r>
          </w:p>
        </w:tc>
        <w:tc>
          <w:tcPr>
            <w:tcW w:w="314" w:type="pct"/>
            <w:tcBorders>
              <w:top w:val="single" w:sz="4" w:space="0" w:color="auto"/>
              <w:left w:val="single" w:sz="4" w:space="0" w:color="auto"/>
              <w:bottom w:val="single" w:sz="4" w:space="0" w:color="auto"/>
              <w:right w:val="single" w:sz="4" w:space="0" w:color="auto"/>
            </w:tcBorders>
            <w:hideMark/>
          </w:tcPr>
          <w:p w:rsidR="00FD5FA6" w:rsidRPr="00536F4D" w:rsidRDefault="00FD5FA6" w:rsidP="00DA12F3">
            <w:pPr>
              <w:pStyle w:val="TableText"/>
              <w:spacing w:line="256" w:lineRule="auto"/>
              <w:jc w:val="left"/>
            </w:pPr>
            <w:r w:rsidRPr="00536F4D">
              <w:t>419</w:t>
            </w:r>
          </w:p>
        </w:tc>
        <w:tc>
          <w:tcPr>
            <w:tcW w:w="1494" w:type="pct"/>
            <w:tcBorders>
              <w:top w:val="single" w:sz="4" w:space="0" w:color="auto"/>
              <w:left w:val="single" w:sz="4" w:space="0" w:color="auto"/>
              <w:bottom w:val="single" w:sz="4" w:space="0" w:color="auto"/>
              <w:right w:val="single" w:sz="4" w:space="0" w:color="auto"/>
            </w:tcBorders>
            <w:hideMark/>
          </w:tcPr>
          <w:p w:rsidR="00FD5FA6" w:rsidRPr="00536F4D" w:rsidRDefault="00FD5FA6" w:rsidP="00DA12F3">
            <w:pPr>
              <w:pStyle w:val="TableText"/>
              <w:spacing w:line="256" w:lineRule="auto"/>
              <w:jc w:val="left"/>
            </w:pPr>
            <w:r w:rsidRPr="00536F4D">
              <w:t>R, OL</w:t>
            </w:r>
          </w:p>
          <w:p w:rsidR="00FD5FA6" w:rsidRPr="00536F4D" w:rsidRDefault="00FD5FA6" w:rsidP="00DA12F3">
            <w:pPr>
              <w:pStyle w:val="TableText"/>
              <w:spacing w:line="256" w:lineRule="auto"/>
              <w:jc w:val="left"/>
            </w:pPr>
            <w:r w:rsidRPr="00536F4D">
              <w:t xml:space="preserve">Osimertinib arm: </w:t>
            </w:r>
            <w:r w:rsidR="000B2D46">
              <w:rPr>
                <w:noProof/>
                <w:color w:val="000000"/>
                <w:highlight w:val="black"/>
              </w:rPr>
              <w:t>''''''''''' ''''''''''''''''</w:t>
            </w:r>
            <w:r w:rsidRPr="00536F4D">
              <w:t>;</w:t>
            </w:r>
          </w:p>
          <w:p w:rsidR="00FD5FA6" w:rsidRPr="00536F4D" w:rsidRDefault="00FD5FA6" w:rsidP="00DA12F3">
            <w:pPr>
              <w:pStyle w:val="TableText"/>
              <w:spacing w:line="256" w:lineRule="auto"/>
              <w:jc w:val="left"/>
            </w:pPr>
            <w:r w:rsidRPr="00536F4D">
              <w:t xml:space="preserve">Chemotherapy arm: </w:t>
            </w:r>
            <w:r w:rsidR="000B2D46">
              <w:rPr>
                <w:noProof/>
                <w:color w:val="000000"/>
                <w:highlight w:val="black"/>
              </w:rPr>
              <w:t>'''''''' ''''''''''''''''</w:t>
            </w:r>
          </w:p>
        </w:tc>
        <w:tc>
          <w:tcPr>
            <w:tcW w:w="1240" w:type="pct"/>
            <w:tcBorders>
              <w:top w:val="single" w:sz="4" w:space="0" w:color="auto"/>
              <w:left w:val="single" w:sz="4" w:space="0" w:color="auto"/>
              <w:bottom w:val="single" w:sz="4" w:space="0" w:color="auto"/>
              <w:right w:val="single" w:sz="4" w:space="0" w:color="auto"/>
            </w:tcBorders>
            <w:hideMark/>
          </w:tcPr>
          <w:p w:rsidR="00FD5FA6" w:rsidRPr="00536F4D" w:rsidRDefault="00B901D2" w:rsidP="00DA12F3">
            <w:pPr>
              <w:pStyle w:val="TableText"/>
              <w:spacing w:line="256" w:lineRule="auto"/>
              <w:jc w:val="left"/>
            </w:pPr>
            <w:r w:rsidRPr="00B901D2">
              <w:rPr>
                <w:i/>
              </w:rPr>
              <w:t>T790M</w:t>
            </w:r>
            <w:r w:rsidR="00FD5FA6" w:rsidRPr="00536F4D">
              <w:t xml:space="preserve"> mutation positive NSCLC patients who have failed prior </w:t>
            </w:r>
            <w:r w:rsidRPr="00651569">
              <w:t>EGFR</w:t>
            </w:r>
            <w:r w:rsidR="00FD5FA6" w:rsidRPr="00536F4D">
              <w:t xml:space="preserve"> TKI</w:t>
            </w:r>
          </w:p>
        </w:tc>
        <w:tc>
          <w:tcPr>
            <w:tcW w:w="668" w:type="pct"/>
            <w:tcBorders>
              <w:top w:val="single" w:sz="4" w:space="0" w:color="auto"/>
              <w:left w:val="single" w:sz="4" w:space="0" w:color="auto"/>
              <w:bottom w:val="single" w:sz="4" w:space="0" w:color="auto"/>
              <w:right w:val="single" w:sz="4" w:space="0" w:color="auto"/>
            </w:tcBorders>
            <w:hideMark/>
          </w:tcPr>
          <w:p w:rsidR="00FD5FA6" w:rsidRPr="00536F4D" w:rsidRDefault="00FD5FA6" w:rsidP="00DA12F3">
            <w:pPr>
              <w:pStyle w:val="TableText"/>
              <w:spacing w:line="256" w:lineRule="auto"/>
              <w:jc w:val="left"/>
            </w:pPr>
            <w:r w:rsidRPr="00536F4D">
              <w:t>PFS, response rate</w:t>
            </w:r>
          </w:p>
        </w:tc>
        <w:tc>
          <w:tcPr>
            <w:tcW w:w="736" w:type="pct"/>
            <w:tcBorders>
              <w:top w:val="single" w:sz="4" w:space="0" w:color="auto"/>
              <w:left w:val="single" w:sz="4" w:space="0" w:color="auto"/>
              <w:bottom w:val="single" w:sz="4" w:space="0" w:color="auto"/>
              <w:right w:val="single" w:sz="4" w:space="0" w:color="auto"/>
            </w:tcBorders>
            <w:hideMark/>
          </w:tcPr>
          <w:p w:rsidR="00FD5FA6" w:rsidRPr="00536F4D" w:rsidRDefault="00501D24" w:rsidP="00DA12F3">
            <w:pPr>
              <w:pStyle w:val="TableText"/>
              <w:spacing w:line="256" w:lineRule="auto"/>
              <w:jc w:val="left"/>
            </w:pPr>
            <w:r>
              <w:t>PFS gains</w:t>
            </w:r>
          </w:p>
        </w:tc>
      </w:tr>
      <w:tr w:rsidR="00FD5FA6" w:rsidRPr="00536F4D" w:rsidTr="00DA12F3">
        <w:tc>
          <w:tcPr>
            <w:tcW w:w="5000" w:type="pct"/>
            <w:gridSpan w:val="6"/>
            <w:tcBorders>
              <w:top w:val="single" w:sz="4" w:space="0" w:color="auto"/>
              <w:left w:val="single" w:sz="4" w:space="0" w:color="auto"/>
              <w:bottom w:val="single" w:sz="4" w:space="0" w:color="auto"/>
              <w:right w:val="single" w:sz="4" w:space="0" w:color="auto"/>
            </w:tcBorders>
            <w:vAlign w:val="center"/>
          </w:tcPr>
          <w:p w:rsidR="00FD5FA6" w:rsidRPr="00536F4D" w:rsidRDefault="000E0E2E" w:rsidP="000E0E2E">
            <w:pPr>
              <w:pStyle w:val="TableText"/>
              <w:spacing w:line="256" w:lineRule="auto"/>
              <w:rPr>
                <w:b/>
              </w:rPr>
            </w:pPr>
            <w:r>
              <w:rPr>
                <w:b/>
              </w:rPr>
              <w:t>Single-</w:t>
            </w:r>
            <w:r w:rsidR="00FD5FA6" w:rsidRPr="00536F4D">
              <w:rPr>
                <w:b/>
              </w:rPr>
              <w:t>arm</w:t>
            </w:r>
            <w:r>
              <w:rPr>
                <w:b/>
              </w:rPr>
              <w:t xml:space="preserve"> studies</w:t>
            </w:r>
            <w:r w:rsidR="00FD5FA6" w:rsidRPr="00536F4D">
              <w:rPr>
                <w:b/>
              </w:rPr>
              <w:t xml:space="preserve"> used in the indirect comparison</w:t>
            </w:r>
          </w:p>
        </w:tc>
      </w:tr>
      <w:tr w:rsidR="00FD5FA6" w:rsidRPr="00536F4D" w:rsidTr="00DA12F3">
        <w:tc>
          <w:tcPr>
            <w:tcW w:w="5000" w:type="pct"/>
            <w:gridSpan w:val="6"/>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spacing w:line="256" w:lineRule="auto"/>
              <w:rPr>
                <w:b/>
              </w:rPr>
            </w:pPr>
            <w:r w:rsidRPr="00536F4D">
              <w:rPr>
                <w:b/>
              </w:rPr>
              <w:t>Osimertinib</w:t>
            </w:r>
          </w:p>
        </w:tc>
      </w:tr>
      <w:tr w:rsidR="00FD5FA6" w:rsidRPr="00536F4D" w:rsidTr="00DA12F3">
        <w:tc>
          <w:tcPr>
            <w:tcW w:w="548"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AURA1C</w:t>
            </w:r>
          </w:p>
        </w:tc>
        <w:tc>
          <w:tcPr>
            <w:tcW w:w="314"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61*</w:t>
            </w:r>
          </w:p>
        </w:tc>
        <w:tc>
          <w:tcPr>
            <w:tcW w:w="1494"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2</w:t>
            </w:r>
            <w:r w:rsidRPr="00536F4D">
              <w:rPr>
                <w:vertAlign w:val="superscript"/>
              </w:rPr>
              <w:t>nd</w:t>
            </w:r>
            <w:r w:rsidR="006F143D">
              <w:t>-</w:t>
            </w:r>
            <w:r w:rsidRPr="00536F4D">
              <w:t xml:space="preserve">line subgroup of single arm, </w:t>
            </w:r>
          </w:p>
          <w:p w:rsidR="00FD5FA6" w:rsidRPr="000B2D46" w:rsidRDefault="000B2D46" w:rsidP="00DA12F3">
            <w:pPr>
              <w:pStyle w:val="TableText"/>
              <w:spacing w:line="256" w:lineRule="auto"/>
              <w:rPr>
                <w:highlight w:val="black"/>
              </w:rPr>
            </w:pPr>
            <w:r>
              <w:rPr>
                <w:noProof/>
                <w:color w:val="000000"/>
                <w:highlight w:val="black"/>
              </w:rPr>
              <w:t>''''''''''' '''''''''''''''''''</w:t>
            </w:r>
          </w:p>
        </w:tc>
        <w:tc>
          <w:tcPr>
            <w:tcW w:w="1240"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B901D2" w:rsidP="00DA12F3">
            <w:pPr>
              <w:pStyle w:val="TableText"/>
              <w:spacing w:line="256" w:lineRule="auto"/>
            </w:pPr>
            <w:r w:rsidRPr="00B901D2">
              <w:rPr>
                <w:i/>
              </w:rPr>
              <w:t>T790M</w:t>
            </w:r>
            <w:r w:rsidR="00FD5FA6" w:rsidRPr="00536F4D">
              <w:t xml:space="preserve"> mutation positive NSCLC patients who have failed prior </w:t>
            </w:r>
            <w:r w:rsidRPr="00651569">
              <w:t>EGFR</w:t>
            </w:r>
            <w:r w:rsidR="00FD5FA6" w:rsidRPr="00536F4D">
              <w:t xml:space="preserve"> TKI</w:t>
            </w:r>
          </w:p>
        </w:tc>
        <w:tc>
          <w:tcPr>
            <w:tcW w:w="668"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72146A" w:rsidP="00DA12F3">
            <w:pPr>
              <w:pStyle w:val="TableText"/>
              <w:spacing w:line="256" w:lineRule="auto"/>
            </w:pPr>
            <w:r>
              <w:t>OS, r</w:t>
            </w:r>
            <w:r w:rsidR="00FD5FA6" w:rsidRPr="00536F4D">
              <w:t>esponse rate</w:t>
            </w:r>
          </w:p>
        </w:tc>
        <w:tc>
          <w:tcPr>
            <w:tcW w:w="736"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Not used</w:t>
            </w:r>
          </w:p>
        </w:tc>
      </w:tr>
      <w:tr w:rsidR="00FD5FA6" w:rsidRPr="00536F4D" w:rsidTr="00DA12F3">
        <w:tc>
          <w:tcPr>
            <w:tcW w:w="548"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AURA2</w:t>
            </w:r>
          </w:p>
        </w:tc>
        <w:tc>
          <w:tcPr>
            <w:tcW w:w="314"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68*</w:t>
            </w:r>
          </w:p>
        </w:tc>
        <w:tc>
          <w:tcPr>
            <w:tcW w:w="1494"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2</w:t>
            </w:r>
            <w:r w:rsidRPr="00536F4D">
              <w:rPr>
                <w:vertAlign w:val="superscript"/>
              </w:rPr>
              <w:t>nd</w:t>
            </w:r>
            <w:r w:rsidR="006F143D">
              <w:t>-</w:t>
            </w:r>
            <w:r w:rsidRPr="00536F4D">
              <w:t xml:space="preserve">line subgroup of single arm, </w:t>
            </w:r>
          </w:p>
          <w:p w:rsidR="00FD5FA6" w:rsidRPr="000B2D46" w:rsidRDefault="000B2D46" w:rsidP="00DA12F3">
            <w:pPr>
              <w:pStyle w:val="TableText"/>
              <w:spacing w:line="256" w:lineRule="auto"/>
              <w:rPr>
                <w:highlight w:val="black"/>
              </w:rPr>
            </w:pPr>
            <w:r>
              <w:rPr>
                <w:noProof/>
                <w:color w:val="000000"/>
                <w:highlight w:val="black"/>
              </w:rPr>
              <w:t>''''''''''' ''''''''''''''''''</w:t>
            </w:r>
          </w:p>
        </w:tc>
        <w:tc>
          <w:tcPr>
            <w:tcW w:w="1240"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B901D2" w:rsidP="00DA12F3">
            <w:pPr>
              <w:pStyle w:val="TableText"/>
              <w:spacing w:line="256" w:lineRule="auto"/>
            </w:pPr>
            <w:r w:rsidRPr="00B901D2">
              <w:rPr>
                <w:i/>
              </w:rPr>
              <w:t>T790M</w:t>
            </w:r>
            <w:r w:rsidR="00FD5FA6" w:rsidRPr="00536F4D">
              <w:t xml:space="preserve"> mutation positive NSCLC patients who have failed prior </w:t>
            </w:r>
            <w:r w:rsidRPr="00651569">
              <w:t>EGFR</w:t>
            </w:r>
            <w:r w:rsidR="00FD5FA6" w:rsidRPr="00536F4D">
              <w:t xml:space="preserve"> TKI</w:t>
            </w:r>
          </w:p>
        </w:tc>
        <w:tc>
          <w:tcPr>
            <w:tcW w:w="668"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OS, PFS</w:t>
            </w:r>
          </w:p>
        </w:tc>
        <w:tc>
          <w:tcPr>
            <w:tcW w:w="736"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Not used</w:t>
            </w:r>
          </w:p>
        </w:tc>
      </w:tr>
      <w:tr w:rsidR="00FD5FA6" w:rsidRPr="00536F4D" w:rsidTr="00DA12F3">
        <w:tc>
          <w:tcPr>
            <w:tcW w:w="548"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Pooled*</w:t>
            </w:r>
          </w:p>
        </w:tc>
        <w:tc>
          <w:tcPr>
            <w:tcW w:w="314"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129*</w:t>
            </w:r>
          </w:p>
        </w:tc>
        <w:tc>
          <w:tcPr>
            <w:tcW w:w="1494"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Included AURA1C AND AURA2 sub-group analysis.</w:t>
            </w:r>
          </w:p>
          <w:p w:rsidR="00FD5FA6" w:rsidRPr="00536F4D" w:rsidRDefault="00FD5FA6" w:rsidP="00DA12F3">
            <w:pPr>
              <w:pStyle w:val="TableText"/>
              <w:spacing w:line="256" w:lineRule="auto"/>
            </w:pPr>
            <w:r w:rsidRPr="00536F4D">
              <w:t>Treatment duration not reported for pooled 2</w:t>
            </w:r>
            <w:r w:rsidRPr="00536F4D">
              <w:rPr>
                <w:vertAlign w:val="superscript"/>
              </w:rPr>
              <w:t>nd</w:t>
            </w:r>
            <w:r w:rsidR="006F143D">
              <w:t>-</w:t>
            </w:r>
            <w:r w:rsidRPr="00536F4D">
              <w:t>line subgroup.</w:t>
            </w:r>
          </w:p>
          <w:p w:rsidR="00FD5FA6" w:rsidRPr="00536F4D" w:rsidRDefault="00FD5FA6" w:rsidP="00EE4F10">
            <w:pPr>
              <w:pStyle w:val="TableText"/>
              <w:spacing w:line="256" w:lineRule="auto"/>
            </w:pPr>
            <w:r w:rsidRPr="00536F4D">
              <w:t xml:space="preserve">All lines: </w:t>
            </w:r>
            <w:r w:rsidR="00EE4F10">
              <w:t>10.9</w:t>
            </w:r>
            <w:r w:rsidRPr="00536F4D">
              <w:t xml:space="preserve"> months</w:t>
            </w:r>
          </w:p>
        </w:tc>
        <w:tc>
          <w:tcPr>
            <w:tcW w:w="1240" w:type="pct"/>
            <w:tcBorders>
              <w:top w:val="single" w:sz="4" w:space="0" w:color="auto"/>
              <w:left w:val="single" w:sz="4" w:space="0" w:color="auto"/>
              <w:bottom w:val="single" w:sz="4" w:space="0" w:color="auto"/>
              <w:right w:val="single" w:sz="4" w:space="0" w:color="auto"/>
            </w:tcBorders>
            <w:vAlign w:val="center"/>
          </w:tcPr>
          <w:p w:rsidR="00FD5FA6" w:rsidRPr="00536F4D" w:rsidRDefault="00B901D2" w:rsidP="002D0AA2">
            <w:pPr>
              <w:pStyle w:val="TableText"/>
              <w:spacing w:line="256" w:lineRule="auto"/>
            </w:pPr>
            <w:r w:rsidRPr="00B901D2">
              <w:rPr>
                <w:i/>
              </w:rPr>
              <w:t>T790M</w:t>
            </w:r>
            <w:r w:rsidR="00FD5FA6" w:rsidRPr="00536F4D">
              <w:t xml:space="preserve"> mutation positive, (determined by tumour sample) NSCLC patients who have failed prior </w:t>
            </w:r>
            <w:r w:rsidRPr="00651569">
              <w:t>EGFR</w:t>
            </w:r>
            <w:r w:rsidR="00FD5FA6" w:rsidRPr="00651569">
              <w:t xml:space="preserve"> </w:t>
            </w:r>
            <w:r w:rsidR="00FD5FA6" w:rsidRPr="00536F4D">
              <w:t>TKI</w:t>
            </w:r>
          </w:p>
        </w:tc>
        <w:tc>
          <w:tcPr>
            <w:tcW w:w="668" w:type="pct"/>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spacing w:line="256" w:lineRule="auto"/>
            </w:pPr>
            <w:r w:rsidRPr="00536F4D">
              <w:t>PFS, OS</w:t>
            </w:r>
          </w:p>
        </w:tc>
        <w:tc>
          <w:tcPr>
            <w:tcW w:w="736"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Survival gains</w:t>
            </w:r>
          </w:p>
        </w:tc>
      </w:tr>
      <w:tr w:rsidR="00FD5FA6" w:rsidRPr="00536F4D" w:rsidTr="00DA12F3">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FD5FA6" w:rsidRPr="00536F4D" w:rsidRDefault="0072146A" w:rsidP="00DA12F3">
            <w:pPr>
              <w:pStyle w:val="TableText"/>
              <w:spacing w:line="256" w:lineRule="auto"/>
              <w:rPr>
                <w:b/>
              </w:rPr>
            </w:pPr>
            <w:r>
              <w:rPr>
                <w:b/>
              </w:rPr>
              <w:t>Chemotherapy</w:t>
            </w:r>
          </w:p>
        </w:tc>
      </w:tr>
      <w:tr w:rsidR="00FD5FA6" w:rsidRPr="00536F4D" w:rsidTr="00DA12F3">
        <w:tc>
          <w:tcPr>
            <w:tcW w:w="548" w:type="pct"/>
            <w:tcBorders>
              <w:top w:val="single" w:sz="4" w:space="0" w:color="auto"/>
              <w:left w:val="single" w:sz="4" w:space="0" w:color="auto"/>
              <w:bottom w:val="single" w:sz="4" w:space="0" w:color="auto"/>
              <w:right w:val="single" w:sz="4" w:space="0" w:color="auto"/>
            </w:tcBorders>
            <w:vAlign w:val="center"/>
            <w:hideMark/>
          </w:tcPr>
          <w:p w:rsidR="00FD5FA6" w:rsidRPr="00536F4D" w:rsidRDefault="00FD5FA6" w:rsidP="00DA12F3">
            <w:pPr>
              <w:pStyle w:val="TableText"/>
              <w:spacing w:line="256" w:lineRule="auto"/>
            </w:pPr>
            <w:r w:rsidRPr="00536F4D">
              <w:t>IMPRESS</w:t>
            </w:r>
          </w:p>
        </w:tc>
        <w:tc>
          <w:tcPr>
            <w:tcW w:w="314" w:type="pct"/>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spacing w:line="256" w:lineRule="auto"/>
            </w:pPr>
            <w:r w:rsidRPr="00536F4D">
              <w:t>61</w:t>
            </w:r>
          </w:p>
        </w:tc>
        <w:tc>
          <w:tcPr>
            <w:tcW w:w="1494" w:type="pct"/>
            <w:tcBorders>
              <w:top w:val="single" w:sz="4" w:space="0" w:color="auto"/>
              <w:left w:val="single" w:sz="4" w:space="0" w:color="auto"/>
              <w:bottom w:val="single" w:sz="4" w:space="0" w:color="auto"/>
              <w:right w:val="single" w:sz="4" w:space="0" w:color="auto"/>
            </w:tcBorders>
            <w:vAlign w:val="center"/>
          </w:tcPr>
          <w:p w:rsidR="00FD5FA6" w:rsidRPr="00536F4D" w:rsidRDefault="00B901D2" w:rsidP="00DA12F3">
            <w:pPr>
              <w:pStyle w:val="TableText"/>
              <w:spacing w:line="256" w:lineRule="auto"/>
            </w:pPr>
            <w:r w:rsidRPr="00B901D2">
              <w:rPr>
                <w:i/>
              </w:rPr>
              <w:t>T790M</w:t>
            </w:r>
            <w:r w:rsidR="00FD5FA6" w:rsidRPr="00536F4D">
              <w:t xml:space="preserve"> positive subgroup of a single arm </w:t>
            </w:r>
            <w:r w:rsidR="000E0E2E">
              <w:t>from</w:t>
            </w:r>
            <w:r w:rsidR="00FD5FA6" w:rsidRPr="00536F4D">
              <w:t xml:space="preserve"> a</w:t>
            </w:r>
            <w:r w:rsidR="000E0E2E">
              <w:t>n</w:t>
            </w:r>
            <w:r w:rsidR="00FD5FA6" w:rsidRPr="00536F4D">
              <w:t xml:space="preserve"> RCT, exploratory biomarker analysis</w:t>
            </w:r>
          </w:p>
          <w:p w:rsidR="00FD5FA6" w:rsidRPr="00536F4D" w:rsidRDefault="00FD5FA6" w:rsidP="00DA12F3">
            <w:pPr>
              <w:pStyle w:val="TableText"/>
              <w:spacing w:line="256" w:lineRule="auto"/>
            </w:pPr>
            <w:r w:rsidRPr="00536F4D">
              <w:t xml:space="preserve">Chemotherapy arm: </w:t>
            </w:r>
            <w:r w:rsidR="000B2D46">
              <w:rPr>
                <w:noProof/>
                <w:color w:val="000000"/>
                <w:highlight w:val="black"/>
              </w:rPr>
              <w:t>'''''''' ''''''''''''''''''</w:t>
            </w:r>
          </w:p>
        </w:tc>
        <w:tc>
          <w:tcPr>
            <w:tcW w:w="1240" w:type="pct"/>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spacing w:line="256" w:lineRule="auto"/>
            </w:pPr>
            <w:r w:rsidRPr="00536F4D">
              <w:t xml:space="preserve">The subgroup of </w:t>
            </w:r>
            <w:r w:rsidR="00B901D2" w:rsidRPr="00B901D2">
              <w:rPr>
                <w:i/>
              </w:rPr>
              <w:t>T790M</w:t>
            </w:r>
            <w:r w:rsidRPr="00536F4D">
              <w:t xml:space="preserve"> mutation positive (determined by plasma</w:t>
            </w:r>
            <w:r w:rsidR="00990CC6">
              <w:t>-based</w:t>
            </w:r>
            <w:r w:rsidRPr="00536F4D">
              <w:t xml:space="preserve"> testing) patients who were treated with </w:t>
            </w:r>
            <w:r w:rsidR="00AD752E" w:rsidRPr="00536F4D">
              <w:t>platinum-</w:t>
            </w:r>
            <w:r w:rsidRPr="00536F4D">
              <w:t xml:space="preserve">chemotherapy after failure to prior </w:t>
            </w:r>
            <w:r w:rsidR="00B901D2" w:rsidRPr="00651569">
              <w:t>EGFR</w:t>
            </w:r>
            <w:r w:rsidRPr="00651569">
              <w:t xml:space="preserve"> </w:t>
            </w:r>
            <w:r w:rsidRPr="00536F4D">
              <w:t>TKI</w:t>
            </w:r>
          </w:p>
        </w:tc>
        <w:tc>
          <w:tcPr>
            <w:tcW w:w="668" w:type="pct"/>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spacing w:line="256" w:lineRule="auto"/>
            </w:pPr>
            <w:r w:rsidRPr="00536F4D">
              <w:t>PFS, OS</w:t>
            </w:r>
          </w:p>
        </w:tc>
        <w:tc>
          <w:tcPr>
            <w:tcW w:w="736" w:type="pct"/>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spacing w:line="256" w:lineRule="auto"/>
            </w:pPr>
            <w:r w:rsidRPr="00536F4D">
              <w:t>Survival gains</w:t>
            </w:r>
          </w:p>
        </w:tc>
      </w:tr>
    </w:tbl>
    <w:p w:rsidR="00FD5FA6" w:rsidRPr="00536F4D" w:rsidRDefault="00FD5FA6" w:rsidP="00FD5FA6">
      <w:pPr>
        <w:pStyle w:val="TableFooter"/>
      </w:pPr>
      <w:r w:rsidRPr="00536F4D">
        <w:t>*only subgroups of patients who received osimertinib as a</w:t>
      </w:r>
      <w:r w:rsidR="006F143D">
        <w:t xml:space="preserve"> second-</w:t>
      </w:r>
      <w:r w:rsidRPr="00536F4D">
        <w:t>line treatment in AURA1C and AURA2 were included in indirect comparison, the total numbers of subjects in AURA1C and AURA2 were 201 and 210 respectively.</w:t>
      </w:r>
    </w:p>
    <w:p w:rsidR="00FF0932" w:rsidRPr="000B2D46" w:rsidRDefault="000B2D46" w:rsidP="00FD5FA6">
      <w:pPr>
        <w:pStyle w:val="TableFooter"/>
        <w:rPr>
          <w:highlight w:val="black"/>
        </w:rPr>
      </w:pPr>
      <w:r>
        <w:rPr>
          <w:noProof/>
          <w:color w:val="000000"/>
          <w:highlight w:val="black"/>
        </w:rPr>
        <w:t>''''''''''''''''' ''''''''''' '''''''''''''''' ''''''''''''''''''' '''''''' '''''''' '''''''''''''''' '''''''''''''''''''' '''''' '''''''' '''''''''' ''''''''''' '''''''''''''''''''' ''''''' ''''''''''''''''''''''' '''''''' ''''''''''' '''''''''''''''''' '''''' '''''''''''''''''''''''''''''''''</w:t>
      </w:r>
    </w:p>
    <w:p w:rsidR="00FF0932" w:rsidRPr="00536F4D" w:rsidRDefault="000E0E2E" w:rsidP="00FD5FA6">
      <w:pPr>
        <w:pStyle w:val="TableFooter"/>
      </w:pPr>
      <w:r>
        <w:t>AURA single-</w:t>
      </w:r>
      <w:r w:rsidR="00FF0932" w:rsidRPr="00536F4D">
        <w:t xml:space="preserve">arm studies </w:t>
      </w:r>
      <w:r w:rsidR="006F143D">
        <w:t>–</w:t>
      </w:r>
      <w:r w:rsidR="00FF0932" w:rsidRPr="00536F4D">
        <w:t xml:space="preserve"> </w:t>
      </w:r>
      <w:r w:rsidR="000B2D46">
        <w:rPr>
          <w:b/>
          <w:noProof/>
          <w:color w:val="000000"/>
          <w:highlight w:val="black"/>
        </w:rPr>
        <w:t>''''''''''''''''''''''''' '''''''''''''''''''</w:t>
      </w:r>
      <w:r w:rsidR="000B2D46">
        <w:rPr>
          <w:noProof/>
          <w:color w:val="000000"/>
          <w:highlight w:val="black"/>
        </w:rPr>
        <w:t xml:space="preserve"> '''''''''''''''''' '''''''''''''''''''' ''''' ''''''''''''''''''''' ''''''''' ''''''''''' '''''''''''''''' ''''' ''''''''''''''''''''' ''''' ''''''''' '''''''''''''''' ''''' '''''''''''''''''</w:t>
      </w:r>
      <w:r w:rsidR="00FF0932" w:rsidRPr="00536F4D">
        <w:t>.</w:t>
      </w:r>
    </w:p>
    <w:p w:rsidR="00FF0932" w:rsidRPr="00536F4D" w:rsidRDefault="00FF0932" w:rsidP="00FD5FA6">
      <w:pPr>
        <w:pStyle w:val="TableFooter"/>
      </w:pPr>
      <w:r w:rsidRPr="00536F4D">
        <w:t xml:space="preserve">IMPRESS: Clinical Study Report, OS Addendum p16 reported the median duration of follow-up as “504 months” in the chemotherapy only </w:t>
      </w:r>
      <w:r w:rsidRPr="00536F4D">
        <w:lastRenderedPageBreak/>
        <w:t>group which does not appear plausible.</w:t>
      </w:r>
    </w:p>
    <w:p w:rsidR="00FD5FA6" w:rsidRPr="00536F4D" w:rsidRDefault="00FD5FA6" w:rsidP="00FD5FA6">
      <w:pPr>
        <w:pStyle w:val="TableFooter"/>
      </w:pPr>
      <w:r w:rsidRPr="00536F4D">
        <w:t xml:space="preserve">DB = double blind, R = randomised; OL=open label; OS=overall survival; PFS=progression-free survival; </w:t>
      </w:r>
      <w:r w:rsidR="00B901D2" w:rsidRPr="00B901D2">
        <w:rPr>
          <w:i/>
        </w:rPr>
        <w:t>EGFR</w:t>
      </w:r>
      <w:r w:rsidRPr="00536F4D">
        <w:t xml:space="preserve"> = epidermal growth factor receptor; TKI = tyrosine kinase inhibitor; NSCLC = non-small cell lung cancer; RCT = randomised controlled trial.</w:t>
      </w:r>
    </w:p>
    <w:p w:rsidR="00FD5FA6" w:rsidRPr="00536F4D" w:rsidRDefault="00FD5FA6" w:rsidP="00FD5FA6">
      <w:pPr>
        <w:pStyle w:val="TableFooter"/>
      </w:pPr>
      <w:r w:rsidRPr="00536F4D">
        <w:t>Source: compiled during the evaluation</w:t>
      </w:r>
      <w:r w:rsidR="0072146A">
        <w:t>.</w:t>
      </w:r>
    </w:p>
    <w:p w:rsidR="00FD5FA6" w:rsidRPr="00536F4D" w:rsidRDefault="00FD5FA6" w:rsidP="00891893">
      <w:pPr>
        <w:pStyle w:val="ListParagraph"/>
        <w:ind w:left="709" w:hanging="709"/>
        <w:rPr>
          <w:color w:val="auto"/>
        </w:rPr>
      </w:pPr>
      <w:r w:rsidRPr="00536F4D">
        <w:rPr>
          <w:color w:val="auto"/>
        </w:rPr>
        <w:t xml:space="preserve">The submission noted that overall survival (OS) data from AURA3 remained immature </w:t>
      </w:r>
      <w:r w:rsidR="000B2D46">
        <w:rPr>
          <w:noProof/>
          <w:color w:val="000000"/>
          <w:highlight w:val="black"/>
        </w:rPr>
        <w:t>'''''''''''''''' '''''''''''''''''''' '''' '''''''''''' ''''''''''''''' ''''''''''' ''''' ''''''''''''''''''' ''''''''' ''''''''''''''''' ''''''</w:t>
      </w:r>
      <w:r w:rsidRPr="00536F4D">
        <w:rPr>
          <w:color w:val="auto"/>
        </w:rPr>
        <w:t xml:space="preserve"> and </w:t>
      </w:r>
      <w:r w:rsidR="000B2D46">
        <w:rPr>
          <w:noProof/>
          <w:color w:val="000000"/>
          <w:highlight w:val="black"/>
        </w:rPr>
        <w:t>'''''</w:t>
      </w:r>
      <w:r w:rsidRPr="00536F4D">
        <w:rPr>
          <w:color w:val="auto"/>
        </w:rPr>
        <w:t xml:space="preserve">% of patients randomised to chemotherapy </w:t>
      </w:r>
      <w:r w:rsidR="00385B7C" w:rsidRPr="00536F4D">
        <w:rPr>
          <w:color w:val="auto"/>
        </w:rPr>
        <w:t xml:space="preserve">had </w:t>
      </w:r>
      <w:r w:rsidRPr="00536F4D">
        <w:rPr>
          <w:color w:val="auto"/>
        </w:rPr>
        <w:t xml:space="preserve">switched to osimertinib upon progression. The submission, therefore, presented a naïve indirect comparison of osimertinib versus </w:t>
      </w:r>
      <w:r w:rsidR="00AD752E" w:rsidRPr="00536F4D">
        <w:rPr>
          <w:color w:val="auto"/>
        </w:rPr>
        <w:t>platinum-</w:t>
      </w:r>
      <w:r w:rsidRPr="00536F4D">
        <w:rPr>
          <w:color w:val="auto"/>
        </w:rPr>
        <w:t>chemotherapy using subgroups of AURA</w:t>
      </w:r>
      <w:r w:rsidR="0093658C" w:rsidRPr="00536F4D">
        <w:rPr>
          <w:color w:val="auto"/>
        </w:rPr>
        <w:t>1C and AURA2 that have been</w:t>
      </w:r>
      <w:r w:rsidRPr="00536F4D">
        <w:rPr>
          <w:color w:val="auto"/>
        </w:rPr>
        <w:t xml:space="preserve"> pooled and </w:t>
      </w:r>
      <w:r w:rsidR="0093658C" w:rsidRPr="00536F4D">
        <w:rPr>
          <w:color w:val="auto"/>
        </w:rPr>
        <w:t xml:space="preserve">compared to the </w:t>
      </w:r>
      <w:r w:rsidRPr="00536F4D">
        <w:rPr>
          <w:color w:val="auto"/>
        </w:rPr>
        <w:t>chemotherapy arm of the IMPRESS trial.</w:t>
      </w:r>
    </w:p>
    <w:p w:rsidR="003657A4" w:rsidRPr="00536F4D" w:rsidRDefault="003657A4" w:rsidP="00891893">
      <w:pPr>
        <w:pStyle w:val="ListParagraph"/>
        <w:ind w:left="709" w:hanging="709"/>
      </w:pPr>
      <w:r w:rsidRPr="00536F4D">
        <w:rPr>
          <w:color w:val="auto"/>
        </w:rPr>
        <w:t xml:space="preserve">A summary of the </w:t>
      </w:r>
      <w:r w:rsidR="00A55F42" w:rsidRPr="00536F4D">
        <w:rPr>
          <w:color w:val="auto"/>
        </w:rPr>
        <w:t xml:space="preserve">head-to-head </w:t>
      </w:r>
      <w:r w:rsidR="008E5FE9" w:rsidRPr="00536F4D">
        <w:rPr>
          <w:color w:val="auto"/>
        </w:rPr>
        <w:t xml:space="preserve">randomised </w:t>
      </w:r>
      <w:r w:rsidRPr="00536F4D">
        <w:rPr>
          <w:color w:val="auto"/>
        </w:rPr>
        <w:t xml:space="preserve">trial results, conditional on biomarker status, </w:t>
      </w:r>
      <w:r w:rsidR="0072146A">
        <w:rPr>
          <w:color w:val="auto"/>
        </w:rPr>
        <w:t>is</w:t>
      </w:r>
      <w:r w:rsidRPr="00536F4D">
        <w:rPr>
          <w:color w:val="auto"/>
        </w:rPr>
        <w:t xml:space="preserve"> provided in the table below.</w:t>
      </w:r>
    </w:p>
    <w:p w:rsidR="003657A4" w:rsidRPr="00536F4D" w:rsidRDefault="003657A4" w:rsidP="00EE3172">
      <w:pPr>
        <w:pStyle w:val="Caption"/>
      </w:pPr>
      <w:r w:rsidRPr="00536F4D">
        <w:t xml:space="preserve">Table </w:t>
      </w:r>
      <w:r w:rsidR="00AB747A" w:rsidRPr="00536F4D">
        <w:rPr>
          <w:noProof/>
        </w:rPr>
        <w:t>6</w:t>
      </w:r>
      <w:r w:rsidR="00BC6818" w:rsidRPr="00536F4D">
        <w:t>:</w:t>
      </w:r>
      <w:r w:rsidR="00C61A70" w:rsidRPr="00536F4D" w:rsidDel="00C61A70">
        <w:t xml:space="preserve"> </w:t>
      </w:r>
      <w:r w:rsidR="00FD5FA6" w:rsidRPr="00536F4D">
        <w:t xml:space="preserve">AURA3: PFS and OS results for </w:t>
      </w:r>
      <w:r w:rsidR="00B901D2" w:rsidRPr="00B901D2">
        <w:rPr>
          <w:i/>
        </w:rPr>
        <w:t>T790M</w:t>
      </w:r>
      <w:r w:rsidR="00FD5FA6" w:rsidRPr="00536F4D">
        <w:t xml:space="preserve"> mutation positive population treated with either osimertinib or </w:t>
      </w:r>
      <w:r w:rsidR="00AD752E" w:rsidRPr="00536F4D">
        <w:t>platinum-</w:t>
      </w:r>
      <w:r w:rsidR="00FD5FA6" w:rsidRPr="00536F4D">
        <w:t>based chemotherapy</w:t>
      </w:r>
    </w:p>
    <w:tbl>
      <w:tblPr>
        <w:tblStyle w:val="Summarybox1"/>
        <w:tblW w:w="5000" w:type="pct"/>
        <w:tblLook w:val="04A0" w:firstRow="1" w:lastRow="0" w:firstColumn="1" w:lastColumn="0" w:noHBand="0" w:noVBand="1"/>
        <w:tblCaption w:val="Table 6: AURA3: PFS and OS results for T790M mutation positive population treated with either osimertinib or platinum-based chemotherapy"/>
      </w:tblPr>
      <w:tblGrid>
        <w:gridCol w:w="3085"/>
        <w:gridCol w:w="1701"/>
        <w:gridCol w:w="1596"/>
        <w:gridCol w:w="1885"/>
        <w:gridCol w:w="975"/>
      </w:tblGrid>
      <w:tr w:rsidR="00FD5FA6" w:rsidRPr="00536F4D" w:rsidTr="005D46F1">
        <w:trPr>
          <w:tblHeader/>
        </w:trPr>
        <w:tc>
          <w:tcPr>
            <w:tcW w:w="3085" w:type="dxa"/>
            <w:vMerge w:val="restart"/>
          </w:tcPr>
          <w:p w:rsidR="00FD5FA6" w:rsidRPr="00536F4D" w:rsidRDefault="00FD5FA6" w:rsidP="00DA12F3">
            <w:pPr>
              <w:pStyle w:val="TableText"/>
              <w:rPr>
                <w:b/>
                <w:lang w:eastAsia="zh-CN"/>
              </w:rPr>
            </w:pPr>
            <w:r w:rsidRPr="00536F4D">
              <w:rPr>
                <w:b/>
              </w:rPr>
              <w:t>Endpoint</w:t>
            </w:r>
          </w:p>
        </w:tc>
        <w:tc>
          <w:tcPr>
            <w:tcW w:w="1701" w:type="dxa"/>
          </w:tcPr>
          <w:p w:rsidR="00FD5FA6" w:rsidRPr="00536F4D" w:rsidRDefault="00FD5FA6" w:rsidP="00A55F42">
            <w:pPr>
              <w:pStyle w:val="TableText"/>
              <w:jc w:val="center"/>
              <w:rPr>
                <w:b/>
                <w:lang w:eastAsia="zh-CN"/>
              </w:rPr>
            </w:pPr>
            <w:r w:rsidRPr="00536F4D">
              <w:rPr>
                <w:b/>
              </w:rPr>
              <w:t>Osimertinib</w:t>
            </w:r>
          </w:p>
        </w:tc>
        <w:tc>
          <w:tcPr>
            <w:tcW w:w="1596" w:type="dxa"/>
          </w:tcPr>
          <w:p w:rsidR="00FD5FA6" w:rsidRPr="00536F4D" w:rsidRDefault="00FD5FA6" w:rsidP="00A55F42">
            <w:pPr>
              <w:pStyle w:val="TableText"/>
              <w:jc w:val="center"/>
              <w:rPr>
                <w:b/>
                <w:lang w:eastAsia="zh-CN"/>
              </w:rPr>
            </w:pPr>
            <w:r w:rsidRPr="00536F4D">
              <w:rPr>
                <w:b/>
              </w:rPr>
              <w:t>Chemotherapy</w:t>
            </w:r>
          </w:p>
        </w:tc>
        <w:tc>
          <w:tcPr>
            <w:tcW w:w="1885" w:type="dxa"/>
            <w:vMerge w:val="restart"/>
          </w:tcPr>
          <w:p w:rsidR="00FD5FA6" w:rsidRPr="00536F4D" w:rsidRDefault="00A55F42" w:rsidP="00A55F42">
            <w:pPr>
              <w:pStyle w:val="TableText"/>
              <w:jc w:val="center"/>
              <w:rPr>
                <w:b/>
                <w:lang w:eastAsia="zh-CN"/>
              </w:rPr>
            </w:pPr>
            <w:r w:rsidRPr="00536F4D">
              <w:rPr>
                <w:b/>
              </w:rPr>
              <w:t>Hazard ratio</w:t>
            </w:r>
            <w:r w:rsidR="00FD5FA6" w:rsidRPr="00536F4D">
              <w:rPr>
                <w:b/>
              </w:rPr>
              <w:t xml:space="preserve"> (95% CI)</w:t>
            </w:r>
          </w:p>
        </w:tc>
        <w:tc>
          <w:tcPr>
            <w:tcW w:w="975" w:type="dxa"/>
            <w:vMerge w:val="restart"/>
          </w:tcPr>
          <w:p w:rsidR="00FD5FA6" w:rsidRPr="00536F4D" w:rsidRDefault="00FD5FA6" w:rsidP="00A55F42">
            <w:pPr>
              <w:pStyle w:val="TableText"/>
              <w:jc w:val="center"/>
              <w:rPr>
                <w:b/>
                <w:lang w:eastAsia="zh-CN"/>
              </w:rPr>
            </w:pPr>
            <w:r w:rsidRPr="00536F4D">
              <w:rPr>
                <w:b/>
              </w:rPr>
              <w:t>p-value</w:t>
            </w:r>
          </w:p>
        </w:tc>
      </w:tr>
      <w:tr w:rsidR="00FD5FA6" w:rsidRPr="00536F4D" w:rsidTr="005D46F1">
        <w:trPr>
          <w:tblHeader/>
        </w:trPr>
        <w:tc>
          <w:tcPr>
            <w:tcW w:w="3085" w:type="dxa"/>
            <w:vMerge/>
            <w:tcBorders>
              <w:bottom w:val="single" w:sz="4" w:space="0" w:color="auto"/>
            </w:tcBorders>
          </w:tcPr>
          <w:p w:rsidR="00FD5FA6" w:rsidRPr="00536F4D" w:rsidRDefault="00FD5FA6" w:rsidP="00DA12F3">
            <w:pPr>
              <w:pStyle w:val="TableText"/>
              <w:rPr>
                <w:b/>
              </w:rPr>
            </w:pPr>
          </w:p>
        </w:tc>
        <w:tc>
          <w:tcPr>
            <w:tcW w:w="1701" w:type="dxa"/>
            <w:tcBorders>
              <w:bottom w:val="single" w:sz="4" w:space="0" w:color="auto"/>
            </w:tcBorders>
          </w:tcPr>
          <w:p w:rsidR="00FD5FA6" w:rsidRPr="00536F4D" w:rsidRDefault="00FD5FA6" w:rsidP="00A55F42">
            <w:pPr>
              <w:pStyle w:val="TableText"/>
              <w:jc w:val="center"/>
              <w:rPr>
                <w:b/>
              </w:rPr>
            </w:pPr>
            <w:r w:rsidRPr="00536F4D">
              <w:rPr>
                <w:b/>
              </w:rPr>
              <w:t>N=279</w:t>
            </w:r>
          </w:p>
        </w:tc>
        <w:tc>
          <w:tcPr>
            <w:tcW w:w="1596" w:type="dxa"/>
            <w:tcBorders>
              <w:bottom w:val="single" w:sz="4" w:space="0" w:color="auto"/>
            </w:tcBorders>
          </w:tcPr>
          <w:p w:rsidR="00FD5FA6" w:rsidRPr="00536F4D" w:rsidRDefault="00FD5FA6" w:rsidP="00A55F42">
            <w:pPr>
              <w:pStyle w:val="TableText"/>
              <w:jc w:val="center"/>
              <w:rPr>
                <w:b/>
              </w:rPr>
            </w:pPr>
            <w:r w:rsidRPr="00536F4D">
              <w:rPr>
                <w:b/>
              </w:rPr>
              <w:t>N=140</w:t>
            </w:r>
          </w:p>
        </w:tc>
        <w:tc>
          <w:tcPr>
            <w:tcW w:w="1885" w:type="dxa"/>
            <w:vMerge/>
            <w:tcBorders>
              <w:bottom w:val="single" w:sz="4" w:space="0" w:color="auto"/>
            </w:tcBorders>
          </w:tcPr>
          <w:p w:rsidR="00FD5FA6" w:rsidRPr="00536F4D" w:rsidRDefault="00FD5FA6" w:rsidP="00A55F42">
            <w:pPr>
              <w:pStyle w:val="TableText"/>
              <w:jc w:val="center"/>
              <w:rPr>
                <w:b/>
              </w:rPr>
            </w:pPr>
          </w:p>
        </w:tc>
        <w:tc>
          <w:tcPr>
            <w:tcW w:w="975" w:type="dxa"/>
            <w:vMerge/>
            <w:tcBorders>
              <w:bottom w:val="single" w:sz="4" w:space="0" w:color="auto"/>
            </w:tcBorders>
          </w:tcPr>
          <w:p w:rsidR="00FD5FA6" w:rsidRPr="00536F4D" w:rsidRDefault="00FD5FA6" w:rsidP="00A55F42">
            <w:pPr>
              <w:pStyle w:val="TableText"/>
              <w:jc w:val="center"/>
              <w:rPr>
                <w:b/>
              </w:rPr>
            </w:pPr>
          </w:p>
        </w:tc>
      </w:tr>
      <w:tr w:rsidR="00FD5FA6" w:rsidRPr="00536F4D" w:rsidTr="00A55F42">
        <w:tc>
          <w:tcPr>
            <w:tcW w:w="3085" w:type="dxa"/>
            <w:tcBorders>
              <w:bottom w:val="nil"/>
            </w:tcBorders>
          </w:tcPr>
          <w:p w:rsidR="00FD5FA6" w:rsidRPr="00536F4D" w:rsidRDefault="00FD5FA6" w:rsidP="00DA12F3">
            <w:pPr>
              <w:pStyle w:val="TableText"/>
              <w:rPr>
                <w:b/>
                <w:lang w:eastAsia="zh-CN"/>
              </w:rPr>
            </w:pPr>
            <w:r w:rsidRPr="00536F4D">
              <w:rPr>
                <w:b/>
                <w:lang w:eastAsia="zh-CN"/>
              </w:rPr>
              <w:t>PFS</w:t>
            </w:r>
            <w:r w:rsidRPr="00536F4D">
              <w:rPr>
                <w:b/>
                <w:vertAlign w:val="superscript"/>
                <w:lang w:eastAsia="zh-CN"/>
              </w:rPr>
              <w:t>a</w:t>
            </w:r>
          </w:p>
        </w:tc>
        <w:tc>
          <w:tcPr>
            <w:tcW w:w="1701" w:type="dxa"/>
            <w:tcBorders>
              <w:bottom w:val="nil"/>
            </w:tcBorders>
          </w:tcPr>
          <w:p w:rsidR="00FD5FA6" w:rsidRPr="00536F4D" w:rsidRDefault="00FD5FA6" w:rsidP="00A55F42">
            <w:pPr>
              <w:pStyle w:val="TableText"/>
              <w:jc w:val="center"/>
              <w:rPr>
                <w:lang w:eastAsia="zh-CN"/>
              </w:rPr>
            </w:pPr>
          </w:p>
        </w:tc>
        <w:tc>
          <w:tcPr>
            <w:tcW w:w="1596" w:type="dxa"/>
            <w:tcBorders>
              <w:bottom w:val="nil"/>
            </w:tcBorders>
          </w:tcPr>
          <w:p w:rsidR="00FD5FA6" w:rsidRPr="00536F4D" w:rsidRDefault="00FD5FA6" w:rsidP="00A55F42">
            <w:pPr>
              <w:pStyle w:val="TableText"/>
              <w:jc w:val="center"/>
              <w:rPr>
                <w:lang w:eastAsia="zh-CN"/>
              </w:rPr>
            </w:pPr>
          </w:p>
        </w:tc>
        <w:tc>
          <w:tcPr>
            <w:tcW w:w="1885" w:type="dxa"/>
            <w:tcBorders>
              <w:bottom w:val="nil"/>
            </w:tcBorders>
          </w:tcPr>
          <w:p w:rsidR="00FD5FA6" w:rsidRPr="00536F4D" w:rsidRDefault="00FD5FA6" w:rsidP="00A55F42">
            <w:pPr>
              <w:pStyle w:val="TableText"/>
              <w:jc w:val="center"/>
              <w:rPr>
                <w:lang w:eastAsia="zh-CN"/>
              </w:rPr>
            </w:pPr>
          </w:p>
        </w:tc>
        <w:tc>
          <w:tcPr>
            <w:tcW w:w="975" w:type="dxa"/>
            <w:tcBorders>
              <w:bottom w:val="nil"/>
            </w:tcBorders>
          </w:tcPr>
          <w:p w:rsidR="00FD5FA6" w:rsidRPr="00536F4D" w:rsidRDefault="00FD5FA6" w:rsidP="00A55F42">
            <w:pPr>
              <w:pStyle w:val="TableText"/>
              <w:jc w:val="center"/>
              <w:rPr>
                <w:lang w:eastAsia="zh-CN"/>
              </w:rPr>
            </w:pPr>
          </w:p>
        </w:tc>
      </w:tr>
      <w:tr w:rsidR="00FD5FA6" w:rsidRPr="00536F4D" w:rsidTr="00A55F42">
        <w:tc>
          <w:tcPr>
            <w:tcW w:w="3085" w:type="dxa"/>
            <w:tcBorders>
              <w:top w:val="nil"/>
              <w:bottom w:val="nil"/>
            </w:tcBorders>
          </w:tcPr>
          <w:p w:rsidR="00FD5FA6" w:rsidRPr="00536F4D" w:rsidRDefault="00FD5FA6" w:rsidP="00DA12F3">
            <w:pPr>
              <w:pStyle w:val="TableText"/>
              <w:rPr>
                <w:lang w:eastAsia="zh-CN"/>
              </w:rPr>
            </w:pPr>
            <w:r w:rsidRPr="00536F4D">
              <w:rPr>
                <w:lang w:eastAsia="zh-CN"/>
              </w:rPr>
              <w:t xml:space="preserve">Events, </w:t>
            </w:r>
            <w:r w:rsidR="00D100AB" w:rsidRPr="00536F4D">
              <w:rPr>
                <w:lang w:eastAsia="zh-CN"/>
              </w:rPr>
              <w:t xml:space="preserve">(progression or death) </w:t>
            </w:r>
            <w:r w:rsidRPr="00536F4D">
              <w:rPr>
                <w:lang w:eastAsia="zh-CN"/>
              </w:rPr>
              <w:t>n (%)</w:t>
            </w:r>
          </w:p>
        </w:tc>
        <w:tc>
          <w:tcPr>
            <w:tcW w:w="1701" w:type="dxa"/>
            <w:tcBorders>
              <w:top w:val="nil"/>
              <w:bottom w:val="nil"/>
            </w:tcBorders>
          </w:tcPr>
          <w:p w:rsidR="00FD5FA6" w:rsidRPr="00536F4D" w:rsidRDefault="00FD5FA6" w:rsidP="00A55F42">
            <w:pPr>
              <w:pStyle w:val="TableText"/>
              <w:jc w:val="center"/>
              <w:rPr>
                <w:lang w:eastAsia="zh-CN"/>
              </w:rPr>
            </w:pPr>
            <w:r w:rsidRPr="00536F4D">
              <w:t>140/279 (50.2)</w:t>
            </w:r>
          </w:p>
        </w:tc>
        <w:tc>
          <w:tcPr>
            <w:tcW w:w="1596" w:type="dxa"/>
            <w:tcBorders>
              <w:top w:val="nil"/>
              <w:bottom w:val="nil"/>
            </w:tcBorders>
          </w:tcPr>
          <w:p w:rsidR="00FD5FA6" w:rsidRPr="00536F4D" w:rsidRDefault="00FD5FA6" w:rsidP="00A55F42">
            <w:pPr>
              <w:pStyle w:val="TableText"/>
              <w:jc w:val="center"/>
              <w:rPr>
                <w:lang w:eastAsia="zh-CN"/>
              </w:rPr>
            </w:pPr>
            <w:r w:rsidRPr="00536F4D">
              <w:t>110/140 (78.6)</w:t>
            </w:r>
          </w:p>
        </w:tc>
        <w:tc>
          <w:tcPr>
            <w:tcW w:w="1885" w:type="dxa"/>
            <w:vMerge w:val="restart"/>
            <w:tcBorders>
              <w:top w:val="nil"/>
              <w:bottom w:val="nil"/>
            </w:tcBorders>
          </w:tcPr>
          <w:p w:rsidR="00FD5FA6" w:rsidRPr="00536F4D" w:rsidRDefault="00FD5FA6" w:rsidP="00A55F42">
            <w:pPr>
              <w:pStyle w:val="TableText"/>
              <w:jc w:val="center"/>
              <w:rPr>
                <w:lang w:eastAsia="zh-CN"/>
              </w:rPr>
            </w:pPr>
            <w:r w:rsidRPr="00536F4D">
              <w:t>0.30 (0.23, 0.41)</w:t>
            </w:r>
          </w:p>
        </w:tc>
        <w:tc>
          <w:tcPr>
            <w:tcW w:w="975" w:type="dxa"/>
            <w:vMerge w:val="restart"/>
            <w:tcBorders>
              <w:top w:val="nil"/>
              <w:bottom w:val="nil"/>
            </w:tcBorders>
          </w:tcPr>
          <w:p w:rsidR="00FD5FA6" w:rsidRPr="00536F4D" w:rsidRDefault="00FD5FA6" w:rsidP="00A55F42">
            <w:pPr>
              <w:pStyle w:val="TableText"/>
              <w:jc w:val="center"/>
              <w:rPr>
                <w:lang w:eastAsia="zh-CN"/>
              </w:rPr>
            </w:pPr>
            <w:r w:rsidRPr="00536F4D">
              <w:rPr>
                <w:lang w:eastAsia="zh-CN"/>
              </w:rPr>
              <w:t>&lt;0.001</w:t>
            </w:r>
          </w:p>
        </w:tc>
      </w:tr>
      <w:tr w:rsidR="00FD5FA6" w:rsidRPr="00536F4D" w:rsidTr="00A55F42">
        <w:tc>
          <w:tcPr>
            <w:tcW w:w="3085" w:type="dxa"/>
            <w:tcBorders>
              <w:top w:val="nil"/>
              <w:bottom w:val="single" w:sz="4" w:space="0" w:color="auto"/>
            </w:tcBorders>
          </w:tcPr>
          <w:p w:rsidR="00FD5FA6" w:rsidRPr="00536F4D" w:rsidRDefault="00FD5FA6" w:rsidP="00DA12F3">
            <w:pPr>
              <w:pStyle w:val="TableText"/>
              <w:rPr>
                <w:lang w:eastAsia="zh-CN"/>
              </w:rPr>
            </w:pPr>
            <w:r w:rsidRPr="00536F4D">
              <w:rPr>
                <w:lang w:eastAsia="zh-CN"/>
              </w:rPr>
              <w:t>Median, months (95% CI)</w:t>
            </w:r>
            <w:r w:rsidRPr="00536F4D">
              <w:rPr>
                <w:vertAlign w:val="superscript"/>
                <w:lang w:eastAsia="zh-CN"/>
              </w:rPr>
              <w:t>b</w:t>
            </w:r>
          </w:p>
        </w:tc>
        <w:tc>
          <w:tcPr>
            <w:tcW w:w="1701" w:type="dxa"/>
            <w:tcBorders>
              <w:top w:val="nil"/>
              <w:bottom w:val="single" w:sz="4" w:space="0" w:color="auto"/>
            </w:tcBorders>
          </w:tcPr>
          <w:p w:rsidR="00FD5FA6" w:rsidRPr="00536F4D" w:rsidRDefault="00FD5FA6" w:rsidP="00A55F42">
            <w:pPr>
              <w:pStyle w:val="TableText"/>
              <w:jc w:val="center"/>
              <w:rPr>
                <w:lang w:eastAsia="zh-CN"/>
              </w:rPr>
            </w:pPr>
            <w:r w:rsidRPr="00536F4D">
              <w:t>10.1 (8.3, 12.3)</w:t>
            </w:r>
          </w:p>
        </w:tc>
        <w:tc>
          <w:tcPr>
            <w:tcW w:w="1596" w:type="dxa"/>
            <w:tcBorders>
              <w:top w:val="nil"/>
              <w:bottom w:val="single" w:sz="4" w:space="0" w:color="auto"/>
            </w:tcBorders>
          </w:tcPr>
          <w:p w:rsidR="00FD5FA6" w:rsidRPr="00536F4D" w:rsidRDefault="00FD5FA6" w:rsidP="00A55F42">
            <w:pPr>
              <w:pStyle w:val="TableText"/>
              <w:jc w:val="center"/>
              <w:rPr>
                <w:lang w:eastAsia="zh-CN"/>
              </w:rPr>
            </w:pPr>
            <w:r w:rsidRPr="00536F4D">
              <w:t>4.4 (4.2, 5.6)</w:t>
            </w:r>
          </w:p>
        </w:tc>
        <w:tc>
          <w:tcPr>
            <w:tcW w:w="1885" w:type="dxa"/>
            <w:vMerge/>
            <w:tcBorders>
              <w:top w:val="nil"/>
              <w:bottom w:val="single" w:sz="4" w:space="0" w:color="auto"/>
            </w:tcBorders>
          </w:tcPr>
          <w:p w:rsidR="00FD5FA6" w:rsidRPr="00536F4D" w:rsidRDefault="00FD5FA6" w:rsidP="00A55F42">
            <w:pPr>
              <w:pStyle w:val="TableText"/>
              <w:jc w:val="center"/>
              <w:rPr>
                <w:lang w:eastAsia="zh-CN"/>
              </w:rPr>
            </w:pPr>
          </w:p>
        </w:tc>
        <w:tc>
          <w:tcPr>
            <w:tcW w:w="975" w:type="dxa"/>
            <w:vMerge/>
            <w:tcBorders>
              <w:top w:val="nil"/>
              <w:bottom w:val="single" w:sz="4" w:space="0" w:color="auto"/>
            </w:tcBorders>
          </w:tcPr>
          <w:p w:rsidR="00FD5FA6" w:rsidRPr="00536F4D" w:rsidRDefault="00FD5FA6" w:rsidP="00A55F42">
            <w:pPr>
              <w:pStyle w:val="TableText"/>
              <w:jc w:val="center"/>
              <w:rPr>
                <w:lang w:eastAsia="zh-CN"/>
              </w:rPr>
            </w:pPr>
          </w:p>
        </w:tc>
      </w:tr>
      <w:tr w:rsidR="00FD5FA6" w:rsidRPr="00536F4D" w:rsidTr="00A55F42">
        <w:tc>
          <w:tcPr>
            <w:tcW w:w="3085" w:type="dxa"/>
            <w:tcBorders>
              <w:top w:val="single" w:sz="4" w:space="0" w:color="auto"/>
              <w:bottom w:val="nil"/>
            </w:tcBorders>
          </w:tcPr>
          <w:p w:rsidR="00FD5FA6" w:rsidRPr="00536F4D" w:rsidRDefault="00FD5FA6" w:rsidP="00DA12F3">
            <w:pPr>
              <w:pStyle w:val="TableText"/>
              <w:rPr>
                <w:lang w:eastAsia="zh-CN"/>
              </w:rPr>
            </w:pPr>
            <w:r w:rsidRPr="00536F4D">
              <w:rPr>
                <w:lang w:eastAsia="zh-CN"/>
              </w:rPr>
              <w:t>% of patients progression free by time point (95% CI)</w:t>
            </w:r>
            <w:r w:rsidRPr="00536F4D">
              <w:rPr>
                <w:vertAlign w:val="superscript"/>
                <w:lang w:eastAsia="zh-CN"/>
              </w:rPr>
              <w:t>b</w:t>
            </w:r>
          </w:p>
        </w:tc>
        <w:tc>
          <w:tcPr>
            <w:tcW w:w="1701" w:type="dxa"/>
            <w:tcBorders>
              <w:top w:val="single" w:sz="4" w:space="0" w:color="auto"/>
              <w:bottom w:val="nil"/>
            </w:tcBorders>
          </w:tcPr>
          <w:p w:rsidR="00FD5FA6" w:rsidRPr="00536F4D" w:rsidRDefault="00FD5FA6" w:rsidP="00A55F42">
            <w:pPr>
              <w:pStyle w:val="TableText"/>
              <w:jc w:val="center"/>
              <w:rPr>
                <w:lang w:eastAsia="zh-CN"/>
              </w:rPr>
            </w:pPr>
          </w:p>
        </w:tc>
        <w:tc>
          <w:tcPr>
            <w:tcW w:w="1596" w:type="dxa"/>
            <w:tcBorders>
              <w:top w:val="single" w:sz="4" w:space="0" w:color="auto"/>
              <w:bottom w:val="nil"/>
            </w:tcBorders>
          </w:tcPr>
          <w:p w:rsidR="00FD5FA6" w:rsidRPr="00536F4D" w:rsidRDefault="00FD5FA6" w:rsidP="00A55F42">
            <w:pPr>
              <w:pStyle w:val="TableText"/>
              <w:jc w:val="center"/>
              <w:rPr>
                <w:lang w:eastAsia="zh-CN"/>
              </w:rPr>
            </w:pPr>
          </w:p>
        </w:tc>
        <w:tc>
          <w:tcPr>
            <w:tcW w:w="1885" w:type="dxa"/>
            <w:tcBorders>
              <w:top w:val="single" w:sz="4" w:space="0" w:color="auto"/>
              <w:bottom w:val="nil"/>
            </w:tcBorders>
          </w:tcPr>
          <w:p w:rsidR="00FD5FA6" w:rsidRPr="00536F4D" w:rsidRDefault="00FD5FA6" w:rsidP="00A55F42">
            <w:pPr>
              <w:pStyle w:val="TableText"/>
              <w:jc w:val="center"/>
              <w:rPr>
                <w:lang w:eastAsia="zh-CN"/>
              </w:rPr>
            </w:pPr>
          </w:p>
        </w:tc>
        <w:tc>
          <w:tcPr>
            <w:tcW w:w="975" w:type="dxa"/>
            <w:tcBorders>
              <w:top w:val="single" w:sz="4" w:space="0" w:color="auto"/>
              <w:bottom w:val="nil"/>
            </w:tcBorders>
          </w:tcPr>
          <w:p w:rsidR="00FD5FA6" w:rsidRPr="00536F4D" w:rsidRDefault="00FD5FA6" w:rsidP="00A55F42">
            <w:pPr>
              <w:pStyle w:val="TableText"/>
              <w:jc w:val="center"/>
              <w:rPr>
                <w:lang w:eastAsia="zh-CN"/>
              </w:rPr>
            </w:pPr>
          </w:p>
        </w:tc>
      </w:tr>
      <w:tr w:rsidR="00FD5FA6" w:rsidRPr="00536F4D" w:rsidTr="00A55F42">
        <w:tc>
          <w:tcPr>
            <w:tcW w:w="3085" w:type="dxa"/>
            <w:tcBorders>
              <w:top w:val="nil"/>
              <w:bottom w:val="nil"/>
            </w:tcBorders>
          </w:tcPr>
          <w:p w:rsidR="00FD5FA6" w:rsidRPr="00536F4D" w:rsidRDefault="00FD5FA6" w:rsidP="00DA12F3">
            <w:pPr>
              <w:pStyle w:val="TableText"/>
            </w:pPr>
            <w:r w:rsidRPr="00536F4D">
              <w:t>6 months</w:t>
            </w:r>
          </w:p>
        </w:tc>
        <w:tc>
          <w:tcPr>
            <w:tcW w:w="1701" w:type="dxa"/>
            <w:tcBorders>
              <w:top w:val="nil"/>
              <w:bottom w:val="nil"/>
            </w:tcBorders>
          </w:tcPr>
          <w:p w:rsidR="00FD5FA6" w:rsidRPr="00536F4D" w:rsidRDefault="00FD5FA6" w:rsidP="00A55F42">
            <w:pPr>
              <w:pStyle w:val="TableText"/>
              <w:jc w:val="center"/>
              <w:rPr>
                <w:lang w:eastAsia="zh-CN"/>
              </w:rPr>
            </w:pPr>
            <w:r w:rsidRPr="00536F4D">
              <w:t>68.8 (62.9, 74.0)</w:t>
            </w:r>
          </w:p>
        </w:tc>
        <w:tc>
          <w:tcPr>
            <w:tcW w:w="1596" w:type="dxa"/>
            <w:tcBorders>
              <w:top w:val="nil"/>
              <w:bottom w:val="nil"/>
            </w:tcBorders>
          </w:tcPr>
          <w:p w:rsidR="00FD5FA6" w:rsidRPr="00536F4D" w:rsidRDefault="00FD5FA6" w:rsidP="00A55F42">
            <w:pPr>
              <w:pStyle w:val="TableText"/>
              <w:jc w:val="center"/>
              <w:rPr>
                <w:lang w:eastAsia="zh-CN"/>
              </w:rPr>
            </w:pPr>
            <w:r w:rsidRPr="00536F4D">
              <w:t>36.9 (28.5, 45.3)</w:t>
            </w:r>
          </w:p>
        </w:tc>
        <w:tc>
          <w:tcPr>
            <w:tcW w:w="1885" w:type="dxa"/>
            <w:tcBorders>
              <w:top w:val="nil"/>
              <w:bottom w:val="nil"/>
            </w:tcBorders>
          </w:tcPr>
          <w:p w:rsidR="00FD5FA6" w:rsidRPr="00536F4D" w:rsidRDefault="00FD5FA6" w:rsidP="00A55F42">
            <w:pPr>
              <w:pStyle w:val="TableText"/>
              <w:jc w:val="center"/>
              <w:rPr>
                <w:lang w:eastAsia="zh-CN"/>
              </w:rPr>
            </w:pPr>
          </w:p>
        </w:tc>
        <w:tc>
          <w:tcPr>
            <w:tcW w:w="975" w:type="dxa"/>
            <w:tcBorders>
              <w:top w:val="nil"/>
              <w:bottom w:val="nil"/>
            </w:tcBorders>
          </w:tcPr>
          <w:p w:rsidR="00FD5FA6" w:rsidRPr="00536F4D" w:rsidRDefault="00FD5FA6" w:rsidP="00A55F42">
            <w:pPr>
              <w:pStyle w:val="TableText"/>
              <w:jc w:val="center"/>
              <w:rPr>
                <w:lang w:eastAsia="zh-CN"/>
              </w:rPr>
            </w:pPr>
          </w:p>
        </w:tc>
      </w:tr>
      <w:tr w:rsidR="00FD5FA6" w:rsidRPr="00536F4D" w:rsidTr="00A55F42">
        <w:tc>
          <w:tcPr>
            <w:tcW w:w="3085" w:type="dxa"/>
            <w:tcBorders>
              <w:top w:val="nil"/>
              <w:bottom w:val="single" w:sz="4" w:space="0" w:color="auto"/>
            </w:tcBorders>
          </w:tcPr>
          <w:p w:rsidR="00FD5FA6" w:rsidRPr="00536F4D" w:rsidRDefault="00FD5FA6" w:rsidP="00DA12F3">
            <w:pPr>
              <w:pStyle w:val="TableText"/>
            </w:pPr>
            <w:r w:rsidRPr="00536F4D">
              <w:t>12 months</w:t>
            </w:r>
          </w:p>
        </w:tc>
        <w:tc>
          <w:tcPr>
            <w:tcW w:w="1701" w:type="dxa"/>
            <w:tcBorders>
              <w:top w:val="nil"/>
              <w:bottom w:val="single" w:sz="4" w:space="0" w:color="auto"/>
            </w:tcBorders>
          </w:tcPr>
          <w:p w:rsidR="00FD5FA6" w:rsidRPr="00536F4D" w:rsidRDefault="00FD5FA6" w:rsidP="00A55F42">
            <w:pPr>
              <w:pStyle w:val="TableText"/>
              <w:jc w:val="center"/>
              <w:rPr>
                <w:lang w:eastAsia="zh-CN"/>
              </w:rPr>
            </w:pPr>
            <w:r w:rsidRPr="00536F4D">
              <w:t>44.0 (36.9, 50.9)</w:t>
            </w:r>
          </w:p>
        </w:tc>
        <w:tc>
          <w:tcPr>
            <w:tcW w:w="1596" w:type="dxa"/>
            <w:tcBorders>
              <w:top w:val="nil"/>
              <w:bottom w:val="single" w:sz="4" w:space="0" w:color="auto"/>
            </w:tcBorders>
          </w:tcPr>
          <w:p w:rsidR="00FD5FA6" w:rsidRPr="00536F4D" w:rsidRDefault="00FD5FA6" w:rsidP="00A55F42">
            <w:pPr>
              <w:pStyle w:val="TableText"/>
              <w:jc w:val="center"/>
              <w:rPr>
                <w:lang w:eastAsia="zh-CN"/>
              </w:rPr>
            </w:pPr>
            <w:r w:rsidRPr="00536F4D">
              <w:t>9.8 (4.9, 16.9)</w:t>
            </w:r>
          </w:p>
        </w:tc>
        <w:tc>
          <w:tcPr>
            <w:tcW w:w="1885" w:type="dxa"/>
            <w:tcBorders>
              <w:top w:val="nil"/>
            </w:tcBorders>
          </w:tcPr>
          <w:p w:rsidR="00FD5FA6" w:rsidRPr="00536F4D" w:rsidRDefault="00FD5FA6" w:rsidP="00A55F42">
            <w:pPr>
              <w:pStyle w:val="TableText"/>
              <w:jc w:val="center"/>
              <w:rPr>
                <w:lang w:eastAsia="zh-CN"/>
              </w:rPr>
            </w:pPr>
          </w:p>
        </w:tc>
        <w:tc>
          <w:tcPr>
            <w:tcW w:w="975" w:type="dxa"/>
            <w:tcBorders>
              <w:top w:val="nil"/>
            </w:tcBorders>
          </w:tcPr>
          <w:p w:rsidR="00FD5FA6" w:rsidRPr="00536F4D" w:rsidRDefault="00FD5FA6" w:rsidP="00A55F42">
            <w:pPr>
              <w:pStyle w:val="TableText"/>
              <w:jc w:val="center"/>
              <w:rPr>
                <w:lang w:eastAsia="zh-CN"/>
              </w:rPr>
            </w:pPr>
          </w:p>
        </w:tc>
      </w:tr>
      <w:tr w:rsidR="00FD5FA6" w:rsidRPr="00536F4D" w:rsidTr="00A55F42">
        <w:tc>
          <w:tcPr>
            <w:tcW w:w="3085" w:type="dxa"/>
            <w:tcBorders>
              <w:bottom w:val="nil"/>
            </w:tcBorders>
          </w:tcPr>
          <w:p w:rsidR="00FD5FA6" w:rsidRPr="00536F4D" w:rsidRDefault="00FD5FA6" w:rsidP="00DA12F3">
            <w:pPr>
              <w:pStyle w:val="TableText"/>
              <w:rPr>
                <w:b/>
                <w:lang w:eastAsia="zh-CN"/>
              </w:rPr>
            </w:pPr>
            <w:r w:rsidRPr="00536F4D">
              <w:rPr>
                <w:b/>
                <w:lang w:eastAsia="zh-CN"/>
              </w:rPr>
              <w:t>OS</w:t>
            </w:r>
            <w:r w:rsidRPr="00536F4D">
              <w:rPr>
                <w:b/>
                <w:vertAlign w:val="superscript"/>
                <w:lang w:eastAsia="zh-CN"/>
              </w:rPr>
              <w:t>b</w:t>
            </w:r>
          </w:p>
        </w:tc>
        <w:tc>
          <w:tcPr>
            <w:tcW w:w="1701" w:type="dxa"/>
            <w:tcBorders>
              <w:bottom w:val="nil"/>
            </w:tcBorders>
          </w:tcPr>
          <w:p w:rsidR="00FD5FA6" w:rsidRPr="000B2D46" w:rsidRDefault="00FD5FA6" w:rsidP="00A55F42">
            <w:pPr>
              <w:pStyle w:val="TableText"/>
              <w:jc w:val="center"/>
              <w:rPr>
                <w:lang w:eastAsia="zh-CN"/>
              </w:rPr>
            </w:pPr>
          </w:p>
        </w:tc>
        <w:tc>
          <w:tcPr>
            <w:tcW w:w="1596" w:type="dxa"/>
            <w:tcBorders>
              <w:bottom w:val="nil"/>
            </w:tcBorders>
          </w:tcPr>
          <w:p w:rsidR="00FD5FA6" w:rsidRPr="000B2D46" w:rsidRDefault="00FD5FA6" w:rsidP="00A55F42">
            <w:pPr>
              <w:pStyle w:val="TableText"/>
              <w:jc w:val="center"/>
              <w:rPr>
                <w:lang w:eastAsia="zh-CN"/>
              </w:rPr>
            </w:pPr>
          </w:p>
        </w:tc>
        <w:tc>
          <w:tcPr>
            <w:tcW w:w="1885" w:type="dxa"/>
            <w:vMerge w:val="restart"/>
          </w:tcPr>
          <w:p w:rsidR="00FD5FA6" w:rsidRPr="000B2D46" w:rsidRDefault="00FD5FA6" w:rsidP="00A55F42">
            <w:pPr>
              <w:pStyle w:val="TableText"/>
              <w:jc w:val="center"/>
              <w:rPr>
                <w:lang w:eastAsia="zh-CN"/>
              </w:rPr>
            </w:pPr>
          </w:p>
          <w:p w:rsidR="00FD5FA6" w:rsidRPr="000B2D46" w:rsidRDefault="000B2D46" w:rsidP="00A55F42">
            <w:pPr>
              <w:pStyle w:val="TableText"/>
              <w:jc w:val="center"/>
              <w:rPr>
                <w:highlight w:val="black"/>
                <w:lang w:eastAsia="zh-CN"/>
              </w:rPr>
            </w:pPr>
            <w:r>
              <w:rPr>
                <w:noProof/>
                <w:color w:val="000000"/>
                <w:highlight w:val="black"/>
              </w:rPr>
              <w:t>''''''''''' ''''''''''''''' '''''''''''''</w:t>
            </w:r>
          </w:p>
        </w:tc>
        <w:tc>
          <w:tcPr>
            <w:tcW w:w="975" w:type="dxa"/>
            <w:vMerge w:val="restart"/>
          </w:tcPr>
          <w:p w:rsidR="00FD5FA6" w:rsidRPr="000B2D46" w:rsidRDefault="00FD5FA6" w:rsidP="00A55F42">
            <w:pPr>
              <w:pStyle w:val="TableText"/>
              <w:jc w:val="center"/>
            </w:pPr>
          </w:p>
          <w:p w:rsidR="00FD5FA6" w:rsidRPr="000B2D46" w:rsidRDefault="000B2D46" w:rsidP="00A55F42">
            <w:pPr>
              <w:pStyle w:val="TableText"/>
              <w:jc w:val="center"/>
              <w:rPr>
                <w:highlight w:val="black"/>
                <w:lang w:eastAsia="zh-CN"/>
              </w:rPr>
            </w:pPr>
            <w:r>
              <w:rPr>
                <w:noProof/>
                <w:color w:val="000000"/>
                <w:highlight w:val="black"/>
              </w:rPr>
              <w:t>''''''''''''''</w:t>
            </w:r>
          </w:p>
        </w:tc>
      </w:tr>
      <w:tr w:rsidR="00FD5FA6" w:rsidRPr="00536F4D" w:rsidTr="00A55F42">
        <w:tc>
          <w:tcPr>
            <w:tcW w:w="3085" w:type="dxa"/>
            <w:tcBorders>
              <w:top w:val="nil"/>
              <w:bottom w:val="nil"/>
            </w:tcBorders>
          </w:tcPr>
          <w:p w:rsidR="00FD5FA6" w:rsidRPr="00536F4D" w:rsidRDefault="00FD5FA6" w:rsidP="00DA12F3">
            <w:pPr>
              <w:pStyle w:val="TableText"/>
              <w:rPr>
                <w:lang w:eastAsia="zh-CN"/>
              </w:rPr>
            </w:pPr>
            <w:r w:rsidRPr="00536F4D">
              <w:rPr>
                <w:lang w:eastAsia="zh-CN"/>
              </w:rPr>
              <w:t xml:space="preserve">Events, </w:t>
            </w:r>
            <w:r w:rsidR="00D100AB" w:rsidRPr="00536F4D">
              <w:rPr>
                <w:lang w:eastAsia="zh-CN"/>
              </w:rPr>
              <w:t xml:space="preserve">(death) </w:t>
            </w:r>
            <w:r w:rsidRPr="00536F4D">
              <w:rPr>
                <w:lang w:eastAsia="zh-CN"/>
              </w:rPr>
              <w:t>n (%)</w:t>
            </w:r>
          </w:p>
        </w:tc>
        <w:tc>
          <w:tcPr>
            <w:tcW w:w="1701" w:type="dxa"/>
            <w:tcBorders>
              <w:top w:val="nil"/>
              <w:bottom w:val="nil"/>
            </w:tcBorders>
          </w:tcPr>
          <w:p w:rsidR="00FD5FA6" w:rsidRPr="000B2D46" w:rsidRDefault="000B2D46" w:rsidP="00A55F42">
            <w:pPr>
              <w:pStyle w:val="TableText"/>
              <w:jc w:val="center"/>
              <w:rPr>
                <w:highlight w:val="black"/>
                <w:lang w:eastAsia="zh-CN"/>
              </w:rPr>
            </w:pPr>
            <w:r>
              <w:rPr>
                <w:noProof/>
                <w:color w:val="000000"/>
                <w:highlight w:val="black"/>
              </w:rPr>
              <w:t>''''''''''''''''' '''''''''''''</w:t>
            </w:r>
          </w:p>
        </w:tc>
        <w:tc>
          <w:tcPr>
            <w:tcW w:w="1596" w:type="dxa"/>
            <w:tcBorders>
              <w:top w:val="nil"/>
              <w:bottom w:val="nil"/>
            </w:tcBorders>
          </w:tcPr>
          <w:p w:rsidR="00FD5FA6" w:rsidRPr="000B2D46" w:rsidRDefault="000B2D46" w:rsidP="00A55F42">
            <w:pPr>
              <w:pStyle w:val="TableText"/>
              <w:jc w:val="center"/>
              <w:rPr>
                <w:highlight w:val="black"/>
                <w:lang w:eastAsia="zh-CN"/>
              </w:rPr>
            </w:pPr>
            <w:r>
              <w:rPr>
                <w:noProof/>
                <w:color w:val="000000"/>
                <w:highlight w:val="black"/>
              </w:rPr>
              <w:t>''''''''''''''''' '''''''''''''</w:t>
            </w:r>
          </w:p>
        </w:tc>
        <w:tc>
          <w:tcPr>
            <w:tcW w:w="1885" w:type="dxa"/>
            <w:vMerge/>
          </w:tcPr>
          <w:p w:rsidR="00FD5FA6" w:rsidRPr="000B2D46" w:rsidRDefault="00FD5FA6" w:rsidP="00A55F42">
            <w:pPr>
              <w:pStyle w:val="TableText"/>
              <w:jc w:val="center"/>
              <w:rPr>
                <w:lang w:eastAsia="zh-CN"/>
              </w:rPr>
            </w:pPr>
          </w:p>
        </w:tc>
        <w:tc>
          <w:tcPr>
            <w:tcW w:w="975" w:type="dxa"/>
            <w:vMerge/>
          </w:tcPr>
          <w:p w:rsidR="00FD5FA6" w:rsidRPr="000B2D46" w:rsidRDefault="00FD5FA6" w:rsidP="00A55F42">
            <w:pPr>
              <w:pStyle w:val="TableText"/>
              <w:jc w:val="center"/>
              <w:rPr>
                <w:lang w:eastAsia="zh-CN"/>
              </w:rPr>
            </w:pPr>
          </w:p>
        </w:tc>
      </w:tr>
      <w:tr w:rsidR="00FD5FA6" w:rsidRPr="00536F4D" w:rsidTr="00A55F42">
        <w:tc>
          <w:tcPr>
            <w:tcW w:w="3085" w:type="dxa"/>
            <w:tcBorders>
              <w:top w:val="nil"/>
              <w:bottom w:val="single" w:sz="4" w:space="0" w:color="auto"/>
            </w:tcBorders>
          </w:tcPr>
          <w:p w:rsidR="00FD5FA6" w:rsidRPr="00536F4D" w:rsidRDefault="00FD5FA6" w:rsidP="00DA12F3">
            <w:pPr>
              <w:pStyle w:val="TableText"/>
              <w:rPr>
                <w:lang w:eastAsia="zh-CN"/>
              </w:rPr>
            </w:pPr>
            <w:r w:rsidRPr="00536F4D">
              <w:rPr>
                <w:lang w:eastAsia="zh-CN"/>
              </w:rPr>
              <w:t>Median, months (95% CI)</w:t>
            </w:r>
            <w:r w:rsidRPr="00536F4D">
              <w:rPr>
                <w:vertAlign w:val="superscript"/>
                <w:lang w:eastAsia="zh-CN"/>
              </w:rPr>
              <w:t>b</w:t>
            </w:r>
          </w:p>
        </w:tc>
        <w:tc>
          <w:tcPr>
            <w:tcW w:w="1701" w:type="dxa"/>
            <w:tcBorders>
              <w:top w:val="nil"/>
              <w:bottom w:val="single" w:sz="4" w:space="0" w:color="auto"/>
            </w:tcBorders>
          </w:tcPr>
          <w:p w:rsidR="00FD5FA6" w:rsidRPr="000B2D46" w:rsidRDefault="000B2D46" w:rsidP="00A55F42">
            <w:pPr>
              <w:pStyle w:val="TableText"/>
              <w:jc w:val="center"/>
              <w:rPr>
                <w:highlight w:val="black"/>
                <w:lang w:eastAsia="zh-CN"/>
              </w:rPr>
            </w:pPr>
            <w:r>
              <w:rPr>
                <w:noProof/>
                <w:color w:val="000000"/>
                <w:highlight w:val="black"/>
              </w:rPr>
              <w:t>''''''' ''''''''''''' '''''''''</w:t>
            </w:r>
          </w:p>
        </w:tc>
        <w:tc>
          <w:tcPr>
            <w:tcW w:w="1596" w:type="dxa"/>
            <w:tcBorders>
              <w:top w:val="nil"/>
              <w:bottom w:val="single" w:sz="4" w:space="0" w:color="auto"/>
            </w:tcBorders>
          </w:tcPr>
          <w:p w:rsidR="00FD5FA6" w:rsidRPr="000B2D46" w:rsidRDefault="000B2D46" w:rsidP="00A55F42">
            <w:pPr>
              <w:pStyle w:val="TableText"/>
              <w:jc w:val="center"/>
              <w:rPr>
                <w:highlight w:val="black"/>
                <w:lang w:eastAsia="zh-CN"/>
              </w:rPr>
            </w:pPr>
            <w:r>
              <w:rPr>
                <w:noProof/>
                <w:color w:val="000000"/>
                <w:highlight w:val="black"/>
              </w:rPr>
              <w:t>''''''''' ''''''''''''' ''''''''''</w:t>
            </w:r>
          </w:p>
        </w:tc>
        <w:tc>
          <w:tcPr>
            <w:tcW w:w="1885" w:type="dxa"/>
            <w:vMerge/>
          </w:tcPr>
          <w:p w:rsidR="00FD5FA6" w:rsidRPr="00536F4D" w:rsidRDefault="00FD5FA6" w:rsidP="00A55F42">
            <w:pPr>
              <w:pStyle w:val="TableText"/>
              <w:jc w:val="center"/>
              <w:rPr>
                <w:lang w:eastAsia="zh-CN"/>
              </w:rPr>
            </w:pPr>
          </w:p>
        </w:tc>
        <w:tc>
          <w:tcPr>
            <w:tcW w:w="975" w:type="dxa"/>
            <w:vMerge/>
          </w:tcPr>
          <w:p w:rsidR="00FD5FA6" w:rsidRPr="00536F4D" w:rsidRDefault="00FD5FA6" w:rsidP="00A55F42">
            <w:pPr>
              <w:pStyle w:val="TableText"/>
              <w:jc w:val="center"/>
              <w:rPr>
                <w:lang w:eastAsia="zh-CN"/>
              </w:rPr>
            </w:pPr>
          </w:p>
        </w:tc>
      </w:tr>
      <w:tr w:rsidR="00FD5FA6" w:rsidRPr="00536F4D" w:rsidTr="00A55F42">
        <w:tc>
          <w:tcPr>
            <w:tcW w:w="3085" w:type="dxa"/>
            <w:tcBorders>
              <w:bottom w:val="nil"/>
            </w:tcBorders>
          </w:tcPr>
          <w:p w:rsidR="00FD5FA6" w:rsidRPr="00536F4D" w:rsidRDefault="00FD5FA6" w:rsidP="00DA12F3">
            <w:pPr>
              <w:pStyle w:val="TableText"/>
              <w:rPr>
                <w:lang w:eastAsia="zh-CN"/>
              </w:rPr>
            </w:pPr>
            <w:r w:rsidRPr="00536F4D">
              <w:rPr>
                <w:lang w:eastAsia="zh-CN"/>
              </w:rPr>
              <w:t>% survival by time point (95% CI)</w:t>
            </w:r>
            <w:r w:rsidRPr="00536F4D">
              <w:rPr>
                <w:vertAlign w:val="superscript"/>
                <w:lang w:eastAsia="zh-CN"/>
              </w:rPr>
              <w:t>b</w:t>
            </w:r>
          </w:p>
        </w:tc>
        <w:tc>
          <w:tcPr>
            <w:tcW w:w="1701" w:type="dxa"/>
            <w:tcBorders>
              <w:bottom w:val="nil"/>
            </w:tcBorders>
          </w:tcPr>
          <w:p w:rsidR="00FD5FA6" w:rsidRPr="000B2D46" w:rsidRDefault="00FD5FA6" w:rsidP="00A55F42">
            <w:pPr>
              <w:pStyle w:val="TableText"/>
              <w:jc w:val="center"/>
              <w:rPr>
                <w:lang w:eastAsia="zh-CN"/>
              </w:rPr>
            </w:pPr>
          </w:p>
        </w:tc>
        <w:tc>
          <w:tcPr>
            <w:tcW w:w="1596" w:type="dxa"/>
            <w:tcBorders>
              <w:bottom w:val="nil"/>
            </w:tcBorders>
          </w:tcPr>
          <w:p w:rsidR="00FD5FA6" w:rsidRPr="000B2D46" w:rsidRDefault="00FD5FA6" w:rsidP="00A55F42">
            <w:pPr>
              <w:pStyle w:val="TableText"/>
              <w:jc w:val="center"/>
              <w:rPr>
                <w:lang w:eastAsia="zh-CN"/>
              </w:rPr>
            </w:pPr>
          </w:p>
        </w:tc>
        <w:tc>
          <w:tcPr>
            <w:tcW w:w="1885" w:type="dxa"/>
            <w:vMerge/>
          </w:tcPr>
          <w:p w:rsidR="00FD5FA6" w:rsidRPr="00536F4D" w:rsidRDefault="00FD5FA6" w:rsidP="00A55F42">
            <w:pPr>
              <w:pStyle w:val="TableText"/>
              <w:jc w:val="center"/>
              <w:rPr>
                <w:lang w:eastAsia="zh-CN"/>
              </w:rPr>
            </w:pPr>
          </w:p>
        </w:tc>
        <w:tc>
          <w:tcPr>
            <w:tcW w:w="975" w:type="dxa"/>
            <w:vMerge/>
          </w:tcPr>
          <w:p w:rsidR="00FD5FA6" w:rsidRPr="00536F4D" w:rsidRDefault="00FD5FA6" w:rsidP="00A55F42">
            <w:pPr>
              <w:pStyle w:val="TableText"/>
              <w:jc w:val="center"/>
              <w:rPr>
                <w:lang w:eastAsia="zh-CN"/>
              </w:rPr>
            </w:pPr>
          </w:p>
        </w:tc>
      </w:tr>
      <w:tr w:rsidR="00FD5FA6" w:rsidRPr="00536F4D" w:rsidTr="00A55F42">
        <w:tc>
          <w:tcPr>
            <w:tcW w:w="3085" w:type="dxa"/>
            <w:tcBorders>
              <w:top w:val="nil"/>
              <w:bottom w:val="nil"/>
            </w:tcBorders>
          </w:tcPr>
          <w:p w:rsidR="00FD5FA6" w:rsidRPr="00536F4D" w:rsidRDefault="00FD5FA6" w:rsidP="00DA12F3">
            <w:pPr>
              <w:pStyle w:val="TableText"/>
            </w:pPr>
            <w:r w:rsidRPr="00536F4D">
              <w:t>6 months</w:t>
            </w:r>
          </w:p>
        </w:tc>
        <w:tc>
          <w:tcPr>
            <w:tcW w:w="1701" w:type="dxa"/>
            <w:tcBorders>
              <w:top w:val="nil"/>
              <w:bottom w:val="nil"/>
            </w:tcBorders>
          </w:tcPr>
          <w:p w:rsidR="00FD5FA6" w:rsidRPr="000B2D46" w:rsidRDefault="000B2D46" w:rsidP="00A55F42">
            <w:pPr>
              <w:pStyle w:val="TableText"/>
              <w:jc w:val="center"/>
              <w:rPr>
                <w:highlight w:val="black"/>
                <w:lang w:eastAsia="zh-CN"/>
              </w:rPr>
            </w:pPr>
            <w:r>
              <w:rPr>
                <w:noProof/>
                <w:color w:val="000000"/>
                <w:highlight w:val="black"/>
              </w:rPr>
              <w:t>''''''''''' ''''''''''''' '''''''''''''</w:t>
            </w:r>
          </w:p>
        </w:tc>
        <w:tc>
          <w:tcPr>
            <w:tcW w:w="1596" w:type="dxa"/>
            <w:tcBorders>
              <w:top w:val="nil"/>
              <w:bottom w:val="nil"/>
            </w:tcBorders>
          </w:tcPr>
          <w:p w:rsidR="00FD5FA6" w:rsidRPr="000B2D46" w:rsidRDefault="000B2D46" w:rsidP="00A55F42">
            <w:pPr>
              <w:pStyle w:val="TableText"/>
              <w:jc w:val="center"/>
              <w:rPr>
                <w:highlight w:val="black"/>
                <w:lang w:eastAsia="zh-CN"/>
              </w:rPr>
            </w:pPr>
            <w:r>
              <w:rPr>
                <w:noProof/>
                <w:color w:val="000000"/>
                <w:highlight w:val="black"/>
              </w:rPr>
              <w:t>''''''''''' '''''''''''' '''''''''''</w:t>
            </w:r>
          </w:p>
        </w:tc>
        <w:tc>
          <w:tcPr>
            <w:tcW w:w="1885" w:type="dxa"/>
            <w:vMerge/>
          </w:tcPr>
          <w:p w:rsidR="00FD5FA6" w:rsidRPr="00536F4D" w:rsidRDefault="00FD5FA6" w:rsidP="00A55F42">
            <w:pPr>
              <w:pStyle w:val="TableText"/>
              <w:jc w:val="center"/>
              <w:rPr>
                <w:lang w:eastAsia="zh-CN"/>
              </w:rPr>
            </w:pPr>
          </w:p>
        </w:tc>
        <w:tc>
          <w:tcPr>
            <w:tcW w:w="975" w:type="dxa"/>
            <w:vMerge/>
          </w:tcPr>
          <w:p w:rsidR="00FD5FA6" w:rsidRPr="00536F4D" w:rsidRDefault="00FD5FA6" w:rsidP="00A55F42">
            <w:pPr>
              <w:pStyle w:val="TableText"/>
              <w:jc w:val="center"/>
              <w:rPr>
                <w:lang w:eastAsia="zh-CN"/>
              </w:rPr>
            </w:pPr>
          </w:p>
        </w:tc>
      </w:tr>
      <w:tr w:rsidR="00FD5FA6" w:rsidRPr="00536F4D" w:rsidTr="00A55F42">
        <w:tc>
          <w:tcPr>
            <w:tcW w:w="3085" w:type="dxa"/>
            <w:tcBorders>
              <w:top w:val="nil"/>
            </w:tcBorders>
          </w:tcPr>
          <w:p w:rsidR="00FD5FA6" w:rsidRPr="00536F4D" w:rsidRDefault="00FD5FA6" w:rsidP="00DA12F3">
            <w:pPr>
              <w:pStyle w:val="TableText"/>
            </w:pPr>
            <w:r w:rsidRPr="00536F4D">
              <w:t>12 months</w:t>
            </w:r>
          </w:p>
        </w:tc>
        <w:tc>
          <w:tcPr>
            <w:tcW w:w="1701" w:type="dxa"/>
            <w:tcBorders>
              <w:top w:val="nil"/>
            </w:tcBorders>
          </w:tcPr>
          <w:p w:rsidR="00FD5FA6" w:rsidRPr="000B2D46" w:rsidRDefault="000B2D46" w:rsidP="00A55F42">
            <w:pPr>
              <w:pStyle w:val="TableText"/>
              <w:jc w:val="center"/>
              <w:rPr>
                <w:highlight w:val="black"/>
                <w:lang w:eastAsia="zh-CN"/>
              </w:rPr>
            </w:pPr>
            <w:r>
              <w:rPr>
                <w:noProof/>
                <w:color w:val="000000"/>
                <w:highlight w:val="black"/>
              </w:rPr>
              <w:t>'''''''''' '''''''''''''''' ''''''''''''</w:t>
            </w:r>
          </w:p>
        </w:tc>
        <w:tc>
          <w:tcPr>
            <w:tcW w:w="1596" w:type="dxa"/>
            <w:tcBorders>
              <w:top w:val="nil"/>
            </w:tcBorders>
          </w:tcPr>
          <w:p w:rsidR="00FD5FA6" w:rsidRPr="000B2D46" w:rsidRDefault="000B2D46" w:rsidP="00A55F42">
            <w:pPr>
              <w:pStyle w:val="TableText"/>
              <w:jc w:val="center"/>
              <w:rPr>
                <w:highlight w:val="black"/>
                <w:lang w:eastAsia="zh-CN"/>
              </w:rPr>
            </w:pPr>
            <w:r>
              <w:rPr>
                <w:noProof/>
                <w:color w:val="000000"/>
                <w:highlight w:val="black"/>
              </w:rPr>
              <w:t>''''''''''' '''''''''''''' '''''''''''</w:t>
            </w:r>
          </w:p>
        </w:tc>
        <w:tc>
          <w:tcPr>
            <w:tcW w:w="1885" w:type="dxa"/>
            <w:vMerge/>
          </w:tcPr>
          <w:p w:rsidR="00FD5FA6" w:rsidRPr="00536F4D" w:rsidRDefault="00FD5FA6" w:rsidP="00A55F42">
            <w:pPr>
              <w:pStyle w:val="TableText"/>
              <w:jc w:val="center"/>
              <w:rPr>
                <w:lang w:eastAsia="zh-CN"/>
              </w:rPr>
            </w:pPr>
          </w:p>
        </w:tc>
        <w:tc>
          <w:tcPr>
            <w:tcW w:w="975" w:type="dxa"/>
            <w:vMerge/>
          </w:tcPr>
          <w:p w:rsidR="00FD5FA6" w:rsidRPr="00536F4D" w:rsidRDefault="00FD5FA6" w:rsidP="00A55F42">
            <w:pPr>
              <w:pStyle w:val="TableText"/>
              <w:jc w:val="center"/>
              <w:rPr>
                <w:lang w:eastAsia="zh-CN"/>
              </w:rPr>
            </w:pPr>
          </w:p>
        </w:tc>
      </w:tr>
    </w:tbl>
    <w:p w:rsidR="00FD5FA6" w:rsidRPr="00536F4D" w:rsidRDefault="00FD5FA6" w:rsidP="00FD5FA6">
      <w:pPr>
        <w:pStyle w:val="TableFooter"/>
      </w:pPr>
      <w:r w:rsidRPr="00536F4D">
        <w:rPr>
          <w:vertAlign w:val="superscript"/>
        </w:rPr>
        <w:t>a</w:t>
      </w:r>
      <w:r w:rsidRPr="00536F4D">
        <w:t xml:space="preserve"> Results are presented for the analysis of PFS based on investigator assessment and medians calculated using the Kaplan-Meier technique.</w:t>
      </w:r>
      <w:r w:rsidR="00B34FEE" w:rsidRPr="00536F4D">
        <w:t xml:space="preserve"> The AURA3 CSR DCO1 (Table 11.2.1.3.1) reported that the median follow-up for PFS was 8.4 months for osimertinib and 5.5 months for chemotherapy</w:t>
      </w:r>
    </w:p>
    <w:p w:rsidR="00FD5FA6" w:rsidRPr="000B2D46" w:rsidRDefault="00FD5FA6" w:rsidP="00FD5FA6">
      <w:pPr>
        <w:pStyle w:val="TableFooter"/>
      </w:pPr>
      <w:r w:rsidRPr="00536F4D">
        <w:rPr>
          <w:vertAlign w:val="superscript"/>
        </w:rPr>
        <w:t>b</w:t>
      </w:r>
      <w:r w:rsidRPr="00536F4D">
        <w:t xml:space="preserve"> </w:t>
      </w:r>
      <w:r w:rsidR="000B2D46">
        <w:rPr>
          <w:noProof/>
          <w:color w:val="000000"/>
          <w:highlight w:val="black"/>
        </w:rPr>
        <w:t xml:space="preserve">''''''''''' ''''''''''''''' ''''' ''''''' ''''''''''' ''''' ''''''''''''''' '''''''' '''''''''''''''''' ''''' '''''''''''''''''''''''' ''''''''''''''' '''''''''''''' '''''''''''''''''' '''''''''''''' ''''' '''''''''''''''''' '''' '''''''' '''''''''''''''''''''''''''''' '''''''''' '''''''''' ''''''''''''''''''''' '''''''''' '''''' ''''''''''''''''' '''''''''''''''''''''''''''''' ''''''''''''''''''''' ''''''''''''''''''''''''' '''''''''''''' '''''''' '''''''''''''''''''''''''''''''' '''''''''''''''''''''''' ''''''''''''''''' '''''''''''' '''''''''''''''' '''''''''''''''''' '''''''''' '''''''' '''''''''''''''''' ''''''''''''''''''''' '''''' ''''''' '''''''''' ''''''''''' ''''''''''''''''' ''''''' ''''''''''''''''''''''''' '''''''''' ''''''''''' ''''''''''''''''' ''''''' '''''''''''''''''''''''''''''''''' </w:t>
      </w:r>
    </w:p>
    <w:p w:rsidR="00FD5FA6" w:rsidRPr="00536F4D" w:rsidRDefault="00FD5FA6" w:rsidP="00FD5FA6">
      <w:pPr>
        <w:pStyle w:val="TableFooter"/>
      </w:pPr>
      <w:r w:rsidRPr="00536F4D">
        <w:t>CI = confidence interval; PFS = progression-free survival; OS = overall survival; NC = not reached/not calculated.</w:t>
      </w:r>
    </w:p>
    <w:p w:rsidR="00FD5FA6" w:rsidRPr="00536F4D" w:rsidRDefault="00FD5FA6" w:rsidP="00FD5FA6">
      <w:pPr>
        <w:pStyle w:val="TableFooter"/>
      </w:pPr>
      <w:r w:rsidRPr="00536F4D">
        <w:t>Source: Table 2-17, p72 of the main submission.</w:t>
      </w:r>
    </w:p>
    <w:p w:rsidR="005336F7" w:rsidRPr="00272AC4" w:rsidRDefault="00FD5FA6" w:rsidP="00F740BF">
      <w:pPr>
        <w:pStyle w:val="ListParagraph"/>
        <w:ind w:left="709" w:hanging="709"/>
      </w:pPr>
      <w:r w:rsidRPr="00272AC4">
        <w:rPr>
          <w:color w:val="auto"/>
        </w:rPr>
        <w:t>No adjustment for treatment switching in the AURA3 trial was presented</w:t>
      </w:r>
      <w:r w:rsidRPr="00272AC4">
        <w:t xml:space="preserve"> in the submission.</w:t>
      </w:r>
    </w:p>
    <w:p w:rsidR="005336F7" w:rsidRPr="00272AC4" w:rsidRDefault="005336F7" w:rsidP="005336F7">
      <w:pPr>
        <w:pStyle w:val="MSACESBulletpoint"/>
        <w:jc w:val="both"/>
        <w:rPr>
          <w:rFonts w:asciiTheme="minorHAnsi" w:hAnsiTheme="minorHAnsi"/>
          <w:color w:val="000000" w:themeColor="text1"/>
        </w:rPr>
      </w:pPr>
      <w:r w:rsidRPr="00272AC4">
        <w:rPr>
          <w:rFonts w:asciiTheme="minorHAnsi" w:hAnsiTheme="minorHAnsi"/>
          <w:color w:val="000000" w:themeColor="text1"/>
        </w:rPr>
        <w:t xml:space="preserve">The </w:t>
      </w:r>
      <w:r w:rsidR="00215C2C" w:rsidRPr="00272AC4">
        <w:rPr>
          <w:rFonts w:asciiTheme="minorHAnsi" w:hAnsiTheme="minorHAnsi"/>
          <w:color w:val="000000" w:themeColor="text1"/>
        </w:rPr>
        <w:t>Pre-Sub-Committee R</w:t>
      </w:r>
      <w:r w:rsidR="006753F2" w:rsidRPr="00272AC4">
        <w:rPr>
          <w:rFonts w:asciiTheme="minorHAnsi" w:hAnsiTheme="minorHAnsi"/>
          <w:color w:val="000000" w:themeColor="text1"/>
        </w:rPr>
        <w:t>esponse (</w:t>
      </w:r>
      <w:r w:rsidRPr="00272AC4">
        <w:rPr>
          <w:rFonts w:asciiTheme="minorHAnsi" w:hAnsiTheme="minorHAnsi"/>
          <w:color w:val="000000" w:themeColor="text1"/>
        </w:rPr>
        <w:t>PSCR</w:t>
      </w:r>
      <w:r w:rsidR="006753F2" w:rsidRPr="00272AC4">
        <w:rPr>
          <w:rFonts w:asciiTheme="minorHAnsi" w:hAnsiTheme="minorHAnsi"/>
          <w:color w:val="000000" w:themeColor="text1"/>
        </w:rPr>
        <w:t>)</w:t>
      </w:r>
      <w:r w:rsidRPr="00272AC4">
        <w:rPr>
          <w:rFonts w:asciiTheme="minorHAnsi" w:hAnsiTheme="minorHAnsi"/>
          <w:color w:val="000000" w:themeColor="text1"/>
        </w:rPr>
        <w:t xml:space="preserve"> (p3) claimed that a naïve indirect comparison was considered more appropriate than a statistical adjustment for treatment switching, as</w:t>
      </w:r>
      <w:r w:rsidR="00F740BF" w:rsidRPr="00272AC4">
        <w:rPr>
          <w:rFonts w:asciiTheme="minorHAnsi" w:hAnsiTheme="minorHAnsi"/>
          <w:color w:val="000000" w:themeColor="text1"/>
        </w:rPr>
        <w:t>:</w:t>
      </w:r>
    </w:p>
    <w:p w:rsidR="005336F7" w:rsidRPr="00272AC4" w:rsidRDefault="00D464B8" w:rsidP="00821660">
      <w:pPr>
        <w:pStyle w:val="MSACESBulletpoint"/>
        <w:numPr>
          <w:ilvl w:val="1"/>
          <w:numId w:val="12"/>
        </w:numPr>
        <w:ind w:left="1418" w:hanging="284"/>
        <w:jc w:val="both"/>
        <w:rPr>
          <w:rFonts w:asciiTheme="minorHAnsi" w:hAnsiTheme="minorHAnsi"/>
          <w:color w:val="000000" w:themeColor="text1"/>
        </w:rPr>
      </w:pPr>
      <w:r w:rsidRPr="00272AC4">
        <w:rPr>
          <w:rFonts w:asciiTheme="minorHAnsi" w:hAnsiTheme="minorHAnsi"/>
          <w:color w:val="000000" w:themeColor="text1"/>
        </w:rPr>
        <w:t>b</w:t>
      </w:r>
      <w:r w:rsidR="005336F7" w:rsidRPr="00272AC4">
        <w:rPr>
          <w:rFonts w:asciiTheme="minorHAnsi" w:hAnsiTheme="minorHAnsi"/>
          <w:color w:val="000000" w:themeColor="text1"/>
        </w:rPr>
        <w:t xml:space="preserve">y the time of the interim analysis, </w:t>
      </w:r>
      <w:r w:rsidR="000B2D46">
        <w:rPr>
          <w:rFonts w:asciiTheme="minorHAnsi" w:hAnsiTheme="minorHAnsi"/>
          <w:noProof/>
          <w:color w:val="000000"/>
          <w:highlight w:val="black"/>
        </w:rPr>
        <w:t>''''''</w:t>
      </w:r>
      <w:r w:rsidR="005336F7" w:rsidRPr="00272AC4">
        <w:rPr>
          <w:rFonts w:asciiTheme="minorHAnsi" w:hAnsiTheme="minorHAnsi"/>
          <w:color w:val="000000" w:themeColor="text1"/>
        </w:rPr>
        <w:t>% of the chemotherapy arm of AURA3 had switched to osimertinib after disease progression, substantially confounding OS results</w:t>
      </w:r>
      <w:r w:rsidR="00F740BF" w:rsidRPr="00272AC4">
        <w:rPr>
          <w:rFonts w:asciiTheme="minorHAnsi" w:hAnsiTheme="minorHAnsi"/>
          <w:color w:val="000000" w:themeColor="text1"/>
        </w:rPr>
        <w:t>;</w:t>
      </w:r>
    </w:p>
    <w:p w:rsidR="005336F7" w:rsidRPr="00272AC4" w:rsidRDefault="00D464B8" w:rsidP="00821660">
      <w:pPr>
        <w:pStyle w:val="MSACESBulletpoint"/>
        <w:numPr>
          <w:ilvl w:val="1"/>
          <w:numId w:val="12"/>
        </w:numPr>
        <w:ind w:left="1418" w:hanging="284"/>
        <w:jc w:val="both"/>
        <w:rPr>
          <w:rFonts w:asciiTheme="minorHAnsi" w:hAnsiTheme="minorHAnsi"/>
          <w:color w:val="000000" w:themeColor="text1"/>
        </w:rPr>
      </w:pPr>
      <w:r w:rsidRPr="00272AC4">
        <w:rPr>
          <w:rFonts w:asciiTheme="minorHAnsi" w:hAnsiTheme="minorHAnsi"/>
          <w:color w:val="000000" w:themeColor="text1"/>
        </w:rPr>
        <w:lastRenderedPageBreak/>
        <w:t>t</w:t>
      </w:r>
      <w:r w:rsidR="005336F7" w:rsidRPr="00272AC4">
        <w:rPr>
          <w:rFonts w:asciiTheme="minorHAnsi" w:hAnsiTheme="minorHAnsi"/>
          <w:color w:val="000000" w:themeColor="text1"/>
        </w:rPr>
        <w:t xml:space="preserve">he primary analysis cut-off </w:t>
      </w:r>
      <w:r w:rsidR="00181824" w:rsidRPr="00272AC4">
        <w:rPr>
          <w:rFonts w:asciiTheme="minorHAnsi" w:hAnsiTheme="minorHAnsi"/>
          <w:color w:val="000000" w:themeColor="text1"/>
        </w:rPr>
        <w:t>had not been</w:t>
      </w:r>
      <w:r w:rsidR="005336F7" w:rsidRPr="00272AC4">
        <w:rPr>
          <w:rFonts w:asciiTheme="minorHAnsi" w:hAnsiTheme="minorHAnsi"/>
          <w:color w:val="000000" w:themeColor="text1"/>
        </w:rPr>
        <w:t xml:space="preserve"> reached. OS data from AURA3 </w:t>
      </w:r>
      <w:r w:rsidR="009A65D6" w:rsidRPr="00272AC4">
        <w:rPr>
          <w:rFonts w:asciiTheme="minorHAnsi" w:hAnsiTheme="minorHAnsi"/>
          <w:color w:val="000000" w:themeColor="text1"/>
        </w:rPr>
        <w:t>we</w:t>
      </w:r>
      <w:r w:rsidR="005336F7" w:rsidRPr="00272AC4">
        <w:rPr>
          <w:rFonts w:asciiTheme="minorHAnsi" w:hAnsiTheme="minorHAnsi"/>
          <w:color w:val="000000" w:themeColor="text1"/>
        </w:rPr>
        <w:t xml:space="preserve">re still immature, </w:t>
      </w:r>
      <w:r w:rsidR="000B2D46">
        <w:rPr>
          <w:rFonts w:asciiTheme="minorHAnsi" w:hAnsiTheme="minorHAnsi"/>
          <w:noProof/>
          <w:color w:val="000000"/>
          <w:highlight w:val="black"/>
        </w:rPr>
        <w:t>''''''''''''' '''''''' ''''''''''''' '''''''''''''' '''''''''''''' '''''''''''' ''''''''' '''''''''''' '''''''''''''' ''''''''''''''''' '''' '''''''' ''''''' '''' '''''''''' '''''''''''''''''''''</w:t>
      </w:r>
      <w:r w:rsidR="00F740BF" w:rsidRPr="00272AC4">
        <w:rPr>
          <w:rFonts w:asciiTheme="minorHAnsi" w:hAnsiTheme="minorHAnsi"/>
          <w:color w:val="000000" w:themeColor="text1"/>
        </w:rPr>
        <w:t>;</w:t>
      </w:r>
      <w:r w:rsidR="0072146A">
        <w:rPr>
          <w:rFonts w:asciiTheme="minorHAnsi" w:hAnsiTheme="minorHAnsi"/>
          <w:color w:val="000000" w:themeColor="text1"/>
        </w:rPr>
        <w:t xml:space="preserve"> and</w:t>
      </w:r>
    </w:p>
    <w:p w:rsidR="005336F7" w:rsidRPr="00272AC4" w:rsidRDefault="00D464B8" w:rsidP="00821660">
      <w:pPr>
        <w:pStyle w:val="MSACESBulletpoint"/>
        <w:numPr>
          <w:ilvl w:val="1"/>
          <w:numId w:val="12"/>
        </w:numPr>
        <w:ind w:left="1418" w:hanging="284"/>
        <w:jc w:val="both"/>
        <w:rPr>
          <w:rFonts w:asciiTheme="minorHAnsi" w:hAnsiTheme="minorHAnsi"/>
          <w:color w:val="000000" w:themeColor="text1"/>
        </w:rPr>
      </w:pPr>
      <w:r w:rsidRPr="00272AC4">
        <w:rPr>
          <w:rFonts w:asciiTheme="minorHAnsi" w:hAnsiTheme="minorHAnsi"/>
          <w:color w:val="000000" w:themeColor="text1"/>
        </w:rPr>
        <w:t>a</w:t>
      </w:r>
      <w:r w:rsidR="005336F7" w:rsidRPr="00272AC4">
        <w:rPr>
          <w:rFonts w:asciiTheme="minorHAnsi" w:hAnsiTheme="minorHAnsi"/>
          <w:color w:val="000000" w:themeColor="text1"/>
        </w:rPr>
        <w:t>djustment methods that involve subsets of patients or events would reduce the sample size even further. In this case, there would be too few patients left in the analysis for switching-adjustment methods to be meaningful.</w:t>
      </w:r>
    </w:p>
    <w:p w:rsidR="00D464B8" w:rsidRPr="00272AC4" w:rsidRDefault="005336F7" w:rsidP="005336F7">
      <w:pPr>
        <w:pStyle w:val="MSACESBulletpoint"/>
        <w:jc w:val="both"/>
        <w:rPr>
          <w:rFonts w:asciiTheme="minorHAnsi" w:hAnsiTheme="minorHAnsi"/>
        </w:rPr>
      </w:pPr>
      <w:r w:rsidRPr="00272AC4">
        <w:rPr>
          <w:rFonts w:asciiTheme="minorHAnsi" w:hAnsiTheme="minorHAnsi"/>
          <w:color w:val="000000" w:themeColor="text1"/>
        </w:rPr>
        <w:t>The ESC</w:t>
      </w:r>
      <w:r w:rsidR="00AB58D5" w:rsidRPr="00272AC4">
        <w:rPr>
          <w:rFonts w:asciiTheme="minorHAnsi" w:hAnsiTheme="minorHAnsi"/>
          <w:color w:val="000000" w:themeColor="text1"/>
        </w:rPr>
        <w:t>s</w:t>
      </w:r>
      <w:r w:rsidRPr="00272AC4">
        <w:rPr>
          <w:rFonts w:asciiTheme="minorHAnsi" w:hAnsiTheme="minorHAnsi"/>
          <w:color w:val="000000" w:themeColor="text1"/>
        </w:rPr>
        <w:t xml:space="preserve"> acknowledged the limitations cited by the PSCR, but maintained that the AURA3 trial represented the most relevant evidence and therefore more mature data on the ITT population of this trial would </w:t>
      </w:r>
      <w:r w:rsidR="009A65D6" w:rsidRPr="00272AC4">
        <w:rPr>
          <w:rFonts w:asciiTheme="minorHAnsi" w:hAnsiTheme="minorHAnsi"/>
          <w:color w:val="000000" w:themeColor="text1"/>
        </w:rPr>
        <w:t xml:space="preserve">have been </w:t>
      </w:r>
      <w:r w:rsidRPr="00272AC4">
        <w:rPr>
          <w:rFonts w:asciiTheme="minorHAnsi" w:hAnsiTheme="minorHAnsi"/>
          <w:color w:val="000000" w:themeColor="text1"/>
        </w:rPr>
        <w:t>preferred to the naive indirect comparison presented in the submission.</w:t>
      </w:r>
    </w:p>
    <w:p w:rsidR="00331478" w:rsidRPr="00331478" w:rsidRDefault="00331478" w:rsidP="00331478">
      <w:pPr>
        <w:pStyle w:val="ListParagraph"/>
        <w:ind w:left="709" w:hanging="709"/>
      </w:pPr>
      <w:r w:rsidRPr="00331478">
        <w:t xml:space="preserve">Further, there was a higher proportion of patients with Asian background in AURA3 (65%) compared to Australian clinical practice (23%). In subgroup analyses of the AURA3 trial, the point estimate of the hazard ratio (HR) for progression-free survival (PFS) was more favourable for osimertinib compared to chemotherapy in Asians (HR 0.32 </w:t>
      </w:r>
      <w:r w:rsidRPr="00272AC4">
        <w:t>(95% CI: 0.24, 0.44)) than that in non-Asians (HR 0.48 (95% CI: 0.32, 0.75)). The ESC</w:t>
      </w:r>
      <w:r w:rsidR="00AB58D5" w:rsidRPr="00272AC4">
        <w:t>s</w:t>
      </w:r>
      <w:r w:rsidRPr="00272AC4">
        <w:t xml:space="preserve"> considered that</w:t>
      </w:r>
      <w:r w:rsidR="007E1990">
        <w:t>,</w:t>
      </w:r>
      <w:r w:rsidRPr="00272AC4">
        <w:t xml:space="preserve"> although this was likely to have </w:t>
      </w:r>
      <w:r w:rsidR="00855B53" w:rsidRPr="00272AC4">
        <w:t xml:space="preserve">reduced the </w:t>
      </w:r>
      <w:r w:rsidRPr="00272AC4">
        <w:t>difference in comparative benefit with osimertinib treatment, it did not rule out a PFS benefit with osimertinib treatment entirely.</w:t>
      </w:r>
    </w:p>
    <w:p w:rsidR="00FD5FA6" w:rsidRPr="00536F4D" w:rsidRDefault="000B096C" w:rsidP="00891893">
      <w:pPr>
        <w:pStyle w:val="ListParagraph"/>
        <w:ind w:left="709" w:hanging="709"/>
        <w:rPr>
          <w:color w:val="auto"/>
        </w:rPr>
      </w:pPr>
      <w:r w:rsidRPr="00536F4D">
        <w:rPr>
          <w:color w:val="auto"/>
        </w:rPr>
        <w:t>The results of the naïve indirect comparison of osimertinib versus platinum-based chemotherapy are presented below.</w:t>
      </w:r>
    </w:p>
    <w:p w:rsidR="00FD5FA6" w:rsidRPr="00536F4D" w:rsidRDefault="00FD5FA6" w:rsidP="00FD5FA6">
      <w:pPr>
        <w:pStyle w:val="Caption"/>
      </w:pPr>
      <w:r w:rsidRPr="00536F4D">
        <w:t xml:space="preserve">Table </w:t>
      </w:r>
      <w:r w:rsidR="00AB747A" w:rsidRPr="00536F4D">
        <w:rPr>
          <w:noProof/>
        </w:rPr>
        <w:t>7</w:t>
      </w:r>
      <w:r w:rsidR="00BC6818" w:rsidRPr="00536F4D">
        <w:t>:</w:t>
      </w:r>
      <w:r w:rsidR="00C61A70">
        <w:t xml:space="preserve"> </w:t>
      </w:r>
      <w:r w:rsidRPr="00536F4D">
        <w:t xml:space="preserve">Naïve comparison of efficacy results for osimertinib versus </w:t>
      </w:r>
      <w:r w:rsidR="00AD752E" w:rsidRPr="00536F4D">
        <w:t>platinum-</w:t>
      </w:r>
      <w:r w:rsidRPr="00536F4D">
        <w:t xml:space="preserve">doublet chemotherapy as </w:t>
      </w:r>
      <w:r w:rsidR="006F143D">
        <w:t>second-</w:t>
      </w:r>
      <w:r w:rsidRPr="00536F4D">
        <w:t xml:space="preserve">line treatment in patients with </w:t>
      </w:r>
      <w:r w:rsidR="00B901D2" w:rsidRPr="00B901D2">
        <w:rPr>
          <w:i/>
        </w:rPr>
        <w:t>EGFR</w:t>
      </w:r>
      <w:r w:rsidRPr="00536F4D">
        <w:t xml:space="preserve"> </w:t>
      </w:r>
      <w:r w:rsidR="00B901D2" w:rsidRPr="00B901D2">
        <w:rPr>
          <w:i/>
        </w:rPr>
        <w:t>T790M</w:t>
      </w:r>
      <w:r w:rsidRPr="00536F4D">
        <w:t xml:space="preserve"> mutation positive NSCLC</w:t>
      </w:r>
    </w:p>
    <w:tbl>
      <w:tblPr>
        <w:tblStyle w:val="Summarybox1"/>
        <w:tblW w:w="4950" w:type="pct"/>
        <w:tblLook w:val="04A0" w:firstRow="1" w:lastRow="0" w:firstColumn="1" w:lastColumn="0" w:noHBand="0" w:noVBand="1"/>
        <w:tblCaption w:val="Table 7: Naïve comparison of efficacy results for osimertinib versus platinum-doublet chemotherapy as second-line treatment in patients with EGFR T790M mutation positive NSCLC"/>
      </w:tblPr>
      <w:tblGrid>
        <w:gridCol w:w="2943"/>
        <w:gridCol w:w="3119"/>
        <w:gridCol w:w="3088"/>
      </w:tblGrid>
      <w:tr w:rsidR="00FD5FA6" w:rsidRPr="00536F4D" w:rsidTr="005D46F1">
        <w:trPr>
          <w:trHeight w:val="749"/>
          <w:tblHeader/>
        </w:trPr>
        <w:tc>
          <w:tcPr>
            <w:tcW w:w="2943" w:type="dxa"/>
            <w:tcBorders>
              <w:bottom w:val="single" w:sz="4" w:space="0" w:color="auto"/>
            </w:tcBorders>
          </w:tcPr>
          <w:p w:rsidR="00FD5FA6" w:rsidRPr="00536F4D" w:rsidRDefault="00FD5FA6" w:rsidP="00DA12F3">
            <w:pPr>
              <w:pStyle w:val="TableText"/>
              <w:rPr>
                <w:b/>
              </w:rPr>
            </w:pPr>
            <w:r w:rsidRPr="00536F4D">
              <w:rPr>
                <w:b/>
              </w:rPr>
              <w:t>Endpoint</w:t>
            </w:r>
          </w:p>
        </w:tc>
        <w:tc>
          <w:tcPr>
            <w:tcW w:w="3119" w:type="dxa"/>
            <w:tcBorders>
              <w:bottom w:val="single" w:sz="4" w:space="0" w:color="auto"/>
            </w:tcBorders>
          </w:tcPr>
          <w:p w:rsidR="00FD5FA6" w:rsidRPr="00536F4D" w:rsidRDefault="00FD5FA6" w:rsidP="00990CC6">
            <w:pPr>
              <w:pStyle w:val="TableText"/>
              <w:rPr>
                <w:b/>
              </w:rPr>
            </w:pPr>
            <w:r w:rsidRPr="00536F4D">
              <w:rPr>
                <w:b/>
              </w:rPr>
              <w:t>Osimertinib, AURA1C and AURA2 pooled</w:t>
            </w:r>
            <w:r w:rsidR="00990CC6">
              <w:rPr>
                <w:b/>
              </w:rPr>
              <w:t xml:space="preserve">; </w:t>
            </w:r>
            <w:r w:rsidR="00B901D2" w:rsidRPr="00B901D2">
              <w:rPr>
                <w:b/>
                <w:i/>
              </w:rPr>
              <w:t>T790M</w:t>
            </w:r>
            <w:r w:rsidRPr="00536F4D">
              <w:rPr>
                <w:b/>
              </w:rPr>
              <w:t xml:space="preserve"> positive determined prospectively by tumour </w:t>
            </w:r>
            <w:r w:rsidR="008E7128">
              <w:rPr>
                <w:b/>
              </w:rPr>
              <w:t>re</w:t>
            </w:r>
            <w:r w:rsidRPr="00536F4D">
              <w:rPr>
                <w:b/>
              </w:rPr>
              <w:t>biopsy, N=129</w:t>
            </w:r>
          </w:p>
        </w:tc>
        <w:tc>
          <w:tcPr>
            <w:tcW w:w="3088" w:type="dxa"/>
            <w:tcBorders>
              <w:bottom w:val="single" w:sz="4" w:space="0" w:color="auto"/>
            </w:tcBorders>
          </w:tcPr>
          <w:p w:rsidR="00FD5FA6" w:rsidRPr="00536F4D" w:rsidRDefault="00FD5FA6" w:rsidP="00990CC6">
            <w:pPr>
              <w:pStyle w:val="TableText"/>
              <w:jc w:val="left"/>
              <w:rPr>
                <w:b/>
              </w:rPr>
            </w:pPr>
            <w:r w:rsidRPr="00536F4D">
              <w:rPr>
                <w:b/>
              </w:rPr>
              <w:t>IMPRESS</w:t>
            </w:r>
            <w:r w:rsidRPr="00536F4D" w:rsidDel="001B3D9F">
              <w:rPr>
                <w:b/>
              </w:rPr>
              <w:t xml:space="preserve"> </w:t>
            </w:r>
            <w:r w:rsidR="00AD752E" w:rsidRPr="00536F4D">
              <w:rPr>
                <w:b/>
              </w:rPr>
              <w:t>Platinum-</w:t>
            </w:r>
            <w:r w:rsidRPr="00536F4D">
              <w:rPr>
                <w:b/>
              </w:rPr>
              <w:t>doublet chemotherapy</w:t>
            </w:r>
            <w:r w:rsidR="00990CC6">
              <w:rPr>
                <w:b/>
              </w:rPr>
              <w:t xml:space="preserve">; </w:t>
            </w:r>
            <w:r w:rsidR="00B901D2" w:rsidRPr="00B901D2">
              <w:rPr>
                <w:b/>
                <w:i/>
              </w:rPr>
              <w:t>T790M</w:t>
            </w:r>
            <w:r w:rsidRPr="00536F4D">
              <w:rPr>
                <w:b/>
              </w:rPr>
              <w:t xml:space="preserve"> positive determined retrospectively by plasma</w:t>
            </w:r>
            <w:r w:rsidR="00990CC6">
              <w:rPr>
                <w:b/>
              </w:rPr>
              <w:t>-based samples</w:t>
            </w:r>
            <w:r w:rsidRPr="00536F4D">
              <w:rPr>
                <w:b/>
              </w:rPr>
              <w:t>, N=61</w:t>
            </w:r>
          </w:p>
        </w:tc>
      </w:tr>
      <w:tr w:rsidR="00FD5FA6" w:rsidRPr="00536F4D" w:rsidTr="008E7128">
        <w:tc>
          <w:tcPr>
            <w:tcW w:w="2943" w:type="dxa"/>
            <w:tcBorders>
              <w:bottom w:val="nil"/>
            </w:tcBorders>
          </w:tcPr>
          <w:p w:rsidR="00FD5FA6" w:rsidRPr="00536F4D" w:rsidRDefault="00FD5FA6" w:rsidP="00DA12F3">
            <w:pPr>
              <w:pStyle w:val="TableText"/>
              <w:rPr>
                <w:lang w:eastAsia="zh-CN"/>
              </w:rPr>
            </w:pPr>
            <w:r w:rsidRPr="00536F4D">
              <w:rPr>
                <w:b/>
                <w:lang w:eastAsia="zh-CN"/>
              </w:rPr>
              <w:t>PFS</w:t>
            </w:r>
          </w:p>
        </w:tc>
        <w:tc>
          <w:tcPr>
            <w:tcW w:w="3119" w:type="dxa"/>
            <w:tcBorders>
              <w:bottom w:val="nil"/>
            </w:tcBorders>
          </w:tcPr>
          <w:p w:rsidR="00FD5FA6" w:rsidRPr="00536F4D" w:rsidRDefault="00FD5FA6" w:rsidP="00DA12F3">
            <w:pPr>
              <w:pStyle w:val="TableText"/>
              <w:jc w:val="center"/>
              <w:rPr>
                <w:lang w:eastAsia="zh-CN"/>
              </w:rPr>
            </w:pPr>
          </w:p>
        </w:tc>
        <w:tc>
          <w:tcPr>
            <w:tcW w:w="3088" w:type="dxa"/>
            <w:tcBorders>
              <w:bottom w:val="nil"/>
            </w:tcBorders>
          </w:tcPr>
          <w:p w:rsidR="00FD5FA6" w:rsidRPr="00536F4D" w:rsidRDefault="00FD5FA6" w:rsidP="00DA12F3">
            <w:pPr>
              <w:pStyle w:val="TableText"/>
              <w:jc w:val="center"/>
              <w:rPr>
                <w:lang w:eastAsia="zh-CN"/>
              </w:rPr>
            </w:pPr>
          </w:p>
        </w:tc>
      </w:tr>
      <w:tr w:rsidR="00FD5FA6" w:rsidRPr="00536F4D" w:rsidTr="008E7128">
        <w:tc>
          <w:tcPr>
            <w:tcW w:w="2943" w:type="dxa"/>
            <w:tcBorders>
              <w:top w:val="nil"/>
              <w:bottom w:val="nil"/>
            </w:tcBorders>
          </w:tcPr>
          <w:p w:rsidR="00FD5FA6" w:rsidRPr="00536F4D" w:rsidRDefault="00FD5FA6" w:rsidP="00DA12F3">
            <w:pPr>
              <w:pStyle w:val="TableText"/>
              <w:rPr>
                <w:lang w:eastAsia="zh-CN"/>
              </w:rPr>
            </w:pPr>
            <w:r w:rsidRPr="00536F4D">
              <w:rPr>
                <w:lang w:eastAsia="zh-CN"/>
              </w:rPr>
              <w:t>Events,</w:t>
            </w:r>
            <w:r w:rsidR="00D100AB" w:rsidRPr="00536F4D">
              <w:rPr>
                <w:lang w:eastAsia="zh-CN"/>
              </w:rPr>
              <w:t xml:space="preserve"> (progression or death)</w:t>
            </w:r>
            <w:r w:rsidRPr="00536F4D">
              <w:rPr>
                <w:lang w:eastAsia="zh-CN"/>
              </w:rPr>
              <w:t xml:space="preserve"> n (%)</w:t>
            </w:r>
          </w:p>
        </w:tc>
        <w:tc>
          <w:tcPr>
            <w:tcW w:w="3119" w:type="dxa"/>
            <w:tcBorders>
              <w:top w:val="nil"/>
              <w:bottom w:val="nil"/>
            </w:tcBorders>
          </w:tcPr>
          <w:p w:rsidR="00FD5FA6" w:rsidRPr="000B2D46" w:rsidRDefault="000B2D46" w:rsidP="00DA12F3">
            <w:pPr>
              <w:pStyle w:val="TableText"/>
              <w:jc w:val="center"/>
              <w:rPr>
                <w:highlight w:val="black"/>
                <w:lang w:eastAsia="zh-CN"/>
              </w:rPr>
            </w:pPr>
            <w:r>
              <w:rPr>
                <w:noProof/>
                <w:color w:val="000000"/>
                <w:highlight w:val="black"/>
                <w:lang w:eastAsia="zh-CN"/>
              </w:rPr>
              <w:t>''''''' '''''''''''''''</w:t>
            </w:r>
          </w:p>
        </w:tc>
        <w:tc>
          <w:tcPr>
            <w:tcW w:w="3088" w:type="dxa"/>
            <w:tcBorders>
              <w:top w:val="nil"/>
              <w:bottom w:val="nil"/>
            </w:tcBorders>
          </w:tcPr>
          <w:p w:rsidR="00FD5FA6" w:rsidRPr="00536F4D" w:rsidRDefault="00FD5FA6" w:rsidP="00DA12F3">
            <w:pPr>
              <w:pStyle w:val="TableText"/>
              <w:jc w:val="center"/>
              <w:rPr>
                <w:lang w:eastAsia="zh-CN"/>
              </w:rPr>
            </w:pPr>
            <w:r w:rsidRPr="00536F4D">
              <w:rPr>
                <w:lang w:eastAsia="zh-CN"/>
              </w:rPr>
              <w:t>51 (83.6)</w:t>
            </w:r>
          </w:p>
        </w:tc>
      </w:tr>
      <w:tr w:rsidR="00FD5FA6" w:rsidRPr="00536F4D" w:rsidTr="008E7128">
        <w:tc>
          <w:tcPr>
            <w:tcW w:w="2943" w:type="dxa"/>
            <w:tcBorders>
              <w:top w:val="nil"/>
              <w:bottom w:val="single" w:sz="4" w:space="0" w:color="auto"/>
            </w:tcBorders>
          </w:tcPr>
          <w:p w:rsidR="00FD5FA6" w:rsidRPr="00536F4D" w:rsidRDefault="00FD5FA6" w:rsidP="00DA12F3">
            <w:pPr>
              <w:pStyle w:val="TableText"/>
              <w:rPr>
                <w:lang w:eastAsia="zh-CN"/>
              </w:rPr>
            </w:pPr>
            <w:r w:rsidRPr="00536F4D">
              <w:rPr>
                <w:lang w:eastAsia="zh-CN"/>
              </w:rPr>
              <w:t>Median, months (95% CI)</w:t>
            </w:r>
          </w:p>
        </w:tc>
        <w:tc>
          <w:tcPr>
            <w:tcW w:w="3119" w:type="dxa"/>
            <w:tcBorders>
              <w:top w:val="nil"/>
              <w:bottom w:val="single" w:sz="4" w:space="0" w:color="auto"/>
            </w:tcBorders>
          </w:tcPr>
          <w:p w:rsidR="00FD5FA6" w:rsidRPr="000B2D46" w:rsidRDefault="000B2D46" w:rsidP="00DA12F3">
            <w:pPr>
              <w:pStyle w:val="TableText"/>
              <w:jc w:val="center"/>
              <w:rPr>
                <w:highlight w:val="black"/>
                <w:lang w:eastAsia="zh-CN"/>
              </w:rPr>
            </w:pPr>
            <w:r>
              <w:rPr>
                <w:noProof/>
                <w:color w:val="000000"/>
                <w:highlight w:val="black"/>
                <w:lang w:eastAsia="zh-CN"/>
              </w:rPr>
              <w:t>''''''''''' ''''''''''' '''''''''''''</w:t>
            </w:r>
          </w:p>
        </w:tc>
        <w:tc>
          <w:tcPr>
            <w:tcW w:w="3088" w:type="dxa"/>
            <w:tcBorders>
              <w:top w:val="nil"/>
              <w:bottom w:val="single" w:sz="4" w:space="0" w:color="auto"/>
            </w:tcBorders>
          </w:tcPr>
          <w:p w:rsidR="00FD5FA6" w:rsidRPr="00536F4D" w:rsidRDefault="00FD5FA6" w:rsidP="00DA12F3">
            <w:pPr>
              <w:pStyle w:val="TableText"/>
              <w:jc w:val="center"/>
              <w:rPr>
                <w:lang w:eastAsia="zh-CN"/>
              </w:rPr>
            </w:pPr>
            <w:r w:rsidRPr="00536F4D">
              <w:rPr>
                <w:lang w:eastAsia="zh-CN"/>
              </w:rPr>
              <w:t xml:space="preserve">5.3 </w:t>
            </w:r>
          </w:p>
        </w:tc>
      </w:tr>
      <w:tr w:rsidR="00FD5FA6" w:rsidRPr="00536F4D" w:rsidTr="0056001A">
        <w:trPr>
          <w:trHeight w:val="131"/>
        </w:trPr>
        <w:tc>
          <w:tcPr>
            <w:tcW w:w="2943" w:type="dxa"/>
            <w:tcBorders>
              <w:bottom w:val="nil"/>
            </w:tcBorders>
          </w:tcPr>
          <w:p w:rsidR="00FD5FA6" w:rsidRPr="00536F4D" w:rsidRDefault="00FD5FA6" w:rsidP="00DA12F3">
            <w:pPr>
              <w:pStyle w:val="TableText"/>
              <w:rPr>
                <w:lang w:eastAsia="zh-CN"/>
              </w:rPr>
            </w:pPr>
            <w:r w:rsidRPr="00536F4D">
              <w:rPr>
                <w:b/>
                <w:lang w:eastAsia="zh-CN"/>
              </w:rPr>
              <w:t>OS</w:t>
            </w:r>
          </w:p>
        </w:tc>
        <w:tc>
          <w:tcPr>
            <w:tcW w:w="3119" w:type="dxa"/>
            <w:tcBorders>
              <w:bottom w:val="nil"/>
            </w:tcBorders>
          </w:tcPr>
          <w:p w:rsidR="00FD5FA6" w:rsidRPr="000B2D46" w:rsidRDefault="00FD5FA6" w:rsidP="00DA12F3">
            <w:pPr>
              <w:pStyle w:val="TableText"/>
              <w:jc w:val="center"/>
              <w:rPr>
                <w:lang w:eastAsia="zh-CN"/>
              </w:rPr>
            </w:pPr>
          </w:p>
        </w:tc>
        <w:tc>
          <w:tcPr>
            <w:tcW w:w="3088" w:type="dxa"/>
            <w:tcBorders>
              <w:bottom w:val="nil"/>
            </w:tcBorders>
          </w:tcPr>
          <w:p w:rsidR="00FD5FA6" w:rsidRPr="00536F4D" w:rsidRDefault="00FD5FA6" w:rsidP="00DA12F3">
            <w:pPr>
              <w:pStyle w:val="TableText"/>
              <w:jc w:val="center"/>
              <w:rPr>
                <w:lang w:eastAsia="zh-CN"/>
              </w:rPr>
            </w:pPr>
          </w:p>
        </w:tc>
      </w:tr>
      <w:tr w:rsidR="00FD5FA6" w:rsidRPr="00536F4D" w:rsidTr="008E7128">
        <w:tc>
          <w:tcPr>
            <w:tcW w:w="2943" w:type="dxa"/>
            <w:tcBorders>
              <w:top w:val="nil"/>
              <w:bottom w:val="nil"/>
            </w:tcBorders>
          </w:tcPr>
          <w:p w:rsidR="00FD5FA6" w:rsidRPr="00536F4D" w:rsidRDefault="00FD5FA6" w:rsidP="00DA12F3">
            <w:pPr>
              <w:pStyle w:val="TableText"/>
              <w:rPr>
                <w:lang w:eastAsia="zh-CN"/>
              </w:rPr>
            </w:pPr>
            <w:r w:rsidRPr="00536F4D">
              <w:rPr>
                <w:lang w:eastAsia="zh-CN"/>
              </w:rPr>
              <w:t>Events</w:t>
            </w:r>
            <w:r w:rsidR="008360BE" w:rsidRPr="00536F4D">
              <w:rPr>
                <w:lang w:eastAsia="zh-CN"/>
              </w:rPr>
              <w:t xml:space="preserve"> (deaths)</w:t>
            </w:r>
            <w:r w:rsidRPr="00536F4D">
              <w:rPr>
                <w:lang w:eastAsia="zh-CN"/>
              </w:rPr>
              <w:t>, n (%)</w:t>
            </w:r>
          </w:p>
        </w:tc>
        <w:tc>
          <w:tcPr>
            <w:tcW w:w="3119" w:type="dxa"/>
            <w:tcBorders>
              <w:top w:val="nil"/>
              <w:bottom w:val="nil"/>
            </w:tcBorders>
          </w:tcPr>
          <w:p w:rsidR="00FD5FA6" w:rsidRPr="000B2D46" w:rsidRDefault="000B2D46" w:rsidP="00DA12F3">
            <w:pPr>
              <w:pStyle w:val="TableText"/>
              <w:jc w:val="center"/>
              <w:rPr>
                <w:highlight w:val="black"/>
                <w:lang w:eastAsia="zh-CN"/>
              </w:rPr>
            </w:pPr>
            <w:r>
              <w:rPr>
                <w:noProof/>
                <w:color w:val="000000"/>
                <w:highlight w:val="black"/>
                <w:lang w:eastAsia="zh-CN"/>
              </w:rPr>
              <w:t>'''''' '''''''''''''''</w:t>
            </w:r>
          </w:p>
        </w:tc>
        <w:tc>
          <w:tcPr>
            <w:tcW w:w="3088" w:type="dxa"/>
            <w:tcBorders>
              <w:top w:val="nil"/>
              <w:bottom w:val="nil"/>
            </w:tcBorders>
          </w:tcPr>
          <w:p w:rsidR="00FD5FA6" w:rsidRPr="000B2D46" w:rsidRDefault="000B2D46" w:rsidP="00DA12F3">
            <w:pPr>
              <w:pStyle w:val="TableText"/>
              <w:jc w:val="center"/>
              <w:rPr>
                <w:highlight w:val="black"/>
                <w:lang w:eastAsia="zh-CN"/>
              </w:rPr>
            </w:pPr>
            <w:r>
              <w:rPr>
                <w:noProof/>
                <w:color w:val="000000"/>
                <w:highlight w:val="black"/>
                <w:lang w:eastAsia="zh-CN"/>
              </w:rPr>
              <w:t>''''' '''''''''''''''</w:t>
            </w:r>
          </w:p>
        </w:tc>
      </w:tr>
      <w:tr w:rsidR="00FD5FA6" w:rsidRPr="00536F4D" w:rsidTr="008E7128">
        <w:tc>
          <w:tcPr>
            <w:tcW w:w="2943" w:type="dxa"/>
            <w:tcBorders>
              <w:top w:val="nil"/>
            </w:tcBorders>
          </w:tcPr>
          <w:p w:rsidR="00FD5FA6" w:rsidRPr="00536F4D" w:rsidRDefault="00FD5FA6" w:rsidP="00DA12F3">
            <w:pPr>
              <w:pStyle w:val="TableText"/>
              <w:rPr>
                <w:lang w:eastAsia="zh-CN"/>
              </w:rPr>
            </w:pPr>
            <w:r w:rsidRPr="00536F4D">
              <w:rPr>
                <w:lang w:eastAsia="zh-CN"/>
              </w:rPr>
              <w:t>Median, months (95% CI)</w:t>
            </w:r>
          </w:p>
        </w:tc>
        <w:tc>
          <w:tcPr>
            <w:tcW w:w="3119" w:type="dxa"/>
            <w:tcBorders>
              <w:top w:val="nil"/>
            </w:tcBorders>
          </w:tcPr>
          <w:p w:rsidR="00FD5FA6" w:rsidRPr="000B2D46" w:rsidRDefault="000B2D46" w:rsidP="00DA12F3">
            <w:pPr>
              <w:pStyle w:val="TableText"/>
              <w:jc w:val="center"/>
              <w:rPr>
                <w:highlight w:val="black"/>
                <w:lang w:eastAsia="zh-CN"/>
              </w:rPr>
            </w:pPr>
            <w:r>
              <w:rPr>
                <w:noProof/>
                <w:color w:val="000000"/>
                <w:highlight w:val="black"/>
                <w:lang w:eastAsia="zh-CN"/>
              </w:rPr>
              <w:t>'''''''' ''''''''''' ''''''''''</w:t>
            </w:r>
          </w:p>
        </w:tc>
        <w:tc>
          <w:tcPr>
            <w:tcW w:w="3088" w:type="dxa"/>
            <w:tcBorders>
              <w:top w:val="nil"/>
            </w:tcBorders>
          </w:tcPr>
          <w:p w:rsidR="00FD5FA6" w:rsidRPr="000B2D46" w:rsidRDefault="000B2D46" w:rsidP="00DA12F3">
            <w:pPr>
              <w:pStyle w:val="TableText"/>
              <w:jc w:val="center"/>
              <w:rPr>
                <w:highlight w:val="black"/>
                <w:lang w:eastAsia="zh-CN"/>
              </w:rPr>
            </w:pPr>
            <w:r>
              <w:rPr>
                <w:noProof/>
                <w:color w:val="000000"/>
                <w:highlight w:val="black"/>
                <w:lang w:eastAsia="zh-CN"/>
              </w:rPr>
              <w:t>'''''''''''</w:t>
            </w:r>
          </w:p>
        </w:tc>
      </w:tr>
      <w:tr w:rsidR="00FD5FA6" w:rsidRPr="00536F4D" w:rsidTr="008E7128">
        <w:tc>
          <w:tcPr>
            <w:tcW w:w="2943" w:type="dxa"/>
          </w:tcPr>
          <w:p w:rsidR="00FD5FA6" w:rsidRPr="00536F4D" w:rsidRDefault="00FD5FA6" w:rsidP="00DA12F3">
            <w:pPr>
              <w:pStyle w:val="TableText"/>
              <w:rPr>
                <w:vertAlign w:val="superscript"/>
                <w:lang w:eastAsia="zh-CN"/>
              </w:rPr>
            </w:pPr>
            <w:r w:rsidRPr="00536F4D">
              <w:rPr>
                <w:b/>
                <w:lang w:eastAsia="zh-CN"/>
              </w:rPr>
              <w:t>ORR</w:t>
            </w:r>
            <w:r w:rsidRPr="00536F4D">
              <w:rPr>
                <w:vertAlign w:val="superscript"/>
                <w:lang w:eastAsia="zh-CN"/>
              </w:rPr>
              <w:t xml:space="preserve"> </w:t>
            </w:r>
          </w:p>
          <w:p w:rsidR="00FD5FA6" w:rsidRPr="00536F4D" w:rsidRDefault="00FD5FA6" w:rsidP="00DA12F3">
            <w:pPr>
              <w:pStyle w:val="TableText"/>
              <w:rPr>
                <w:vertAlign w:val="superscript"/>
                <w:lang w:eastAsia="zh-CN"/>
              </w:rPr>
            </w:pPr>
            <w:r w:rsidRPr="00536F4D">
              <w:rPr>
                <w:lang w:eastAsia="zh-CN"/>
              </w:rPr>
              <w:t>ORR, % , (95% CI)</w:t>
            </w:r>
          </w:p>
        </w:tc>
        <w:tc>
          <w:tcPr>
            <w:tcW w:w="3119" w:type="dxa"/>
          </w:tcPr>
          <w:p w:rsidR="00FD5FA6" w:rsidRPr="000B2D46" w:rsidRDefault="00FD5FA6" w:rsidP="00DA12F3">
            <w:pPr>
              <w:pStyle w:val="TableText"/>
              <w:jc w:val="center"/>
              <w:rPr>
                <w:lang w:eastAsia="zh-CN"/>
              </w:rPr>
            </w:pPr>
          </w:p>
          <w:p w:rsidR="00FD5FA6" w:rsidRPr="000B2D46" w:rsidRDefault="000B2D46" w:rsidP="00DA12F3">
            <w:pPr>
              <w:pStyle w:val="TableText"/>
              <w:jc w:val="center"/>
              <w:rPr>
                <w:highlight w:val="black"/>
                <w:lang w:eastAsia="zh-CN"/>
              </w:rPr>
            </w:pPr>
            <w:r>
              <w:rPr>
                <w:noProof/>
                <w:color w:val="000000"/>
                <w:highlight w:val="black"/>
                <w:lang w:eastAsia="zh-CN"/>
              </w:rPr>
              <w:t>''''''''''' ''''''''''''''' ''''''''''''</w:t>
            </w:r>
          </w:p>
        </w:tc>
        <w:tc>
          <w:tcPr>
            <w:tcW w:w="3088" w:type="dxa"/>
          </w:tcPr>
          <w:p w:rsidR="00FD5FA6" w:rsidRPr="00536F4D" w:rsidRDefault="00FD5FA6" w:rsidP="00DA12F3">
            <w:pPr>
              <w:pStyle w:val="TableText"/>
              <w:jc w:val="center"/>
              <w:rPr>
                <w:lang w:eastAsia="zh-CN"/>
              </w:rPr>
            </w:pPr>
          </w:p>
          <w:p w:rsidR="00FD5FA6" w:rsidRPr="00536F4D" w:rsidRDefault="00FD5FA6" w:rsidP="00DA12F3">
            <w:pPr>
              <w:pStyle w:val="TableText"/>
              <w:jc w:val="center"/>
              <w:rPr>
                <w:lang w:eastAsia="zh-CN"/>
              </w:rPr>
            </w:pPr>
            <w:r w:rsidRPr="00536F4D">
              <w:rPr>
                <w:lang w:eastAsia="zh-CN"/>
              </w:rPr>
              <w:t>39.3</w:t>
            </w:r>
          </w:p>
        </w:tc>
      </w:tr>
      <w:tr w:rsidR="00FD5FA6" w:rsidRPr="00536F4D" w:rsidTr="008E7128">
        <w:tc>
          <w:tcPr>
            <w:tcW w:w="2943" w:type="dxa"/>
          </w:tcPr>
          <w:p w:rsidR="00FD5FA6" w:rsidRPr="00536F4D" w:rsidRDefault="00FD5FA6" w:rsidP="00DA12F3">
            <w:pPr>
              <w:pStyle w:val="TableText"/>
              <w:rPr>
                <w:vertAlign w:val="superscript"/>
                <w:lang w:eastAsia="zh-CN"/>
              </w:rPr>
            </w:pPr>
            <w:r w:rsidRPr="00536F4D">
              <w:rPr>
                <w:b/>
                <w:lang w:eastAsia="zh-CN"/>
              </w:rPr>
              <w:t>DCR</w:t>
            </w:r>
          </w:p>
          <w:p w:rsidR="00FD5FA6" w:rsidRPr="00536F4D" w:rsidRDefault="00FD5FA6" w:rsidP="00DA12F3">
            <w:pPr>
              <w:pStyle w:val="TableText"/>
            </w:pPr>
            <w:r w:rsidRPr="00536F4D">
              <w:rPr>
                <w:lang w:eastAsia="zh-CN"/>
              </w:rPr>
              <w:t>DCR, %, (95% CI)</w:t>
            </w:r>
          </w:p>
        </w:tc>
        <w:tc>
          <w:tcPr>
            <w:tcW w:w="3119" w:type="dxa"/>
          </w:tcPr>
          <w:p w:rsidR="00FD5FA6" w:rsidRPr="000B2D46" w:rsidRDefault="00FD5FA6" w:rsidP="00DA12F3">
            <w:pPr>
              <w:pStyle w:val="TableText"/>
              <w:jc w:val="center"/>
              <w:rPr>
                <w:lang w:eastAsia="zh-CN"/>
              </w:rPr>
            </w:pPr>
          </w:p>
          <w:p w:rsidR="00FD5FA6" w:rsidRPr="000B2D46" w:rsidRDefault="000B2D46" w:rsidP="00DA12F3">
            <w:pPr>
              <w:pStyle w:val="TableText"/>
              <w:jc w:val="center"/>
              <w:rPr>
                <w:highlight w:val="black"/>
                <w:lang w:eastAsia="zh-CN"/>
              </w:rPr>
            </w:pPr>
            <w:r>
              <w:rPr>
                <w:noProof/>
                <w:color w:val="000000"/>
                <w:highlight w:val="black"/>
                <w:lang w:eastAsia="zh-CN"/>
              </w:rPr>
              <w:t>''''''''''' '''''''''''''' ''''''''''''''</w:t>
            </w:r>
          </w:p>
        </w:tc>
        <w:tc>
          <w:tcPr>
            <w:tcW w:w="3088" w:type="dxa"/>
          </w:tcPr>
          <w:p w:rsidR="00FD5FA6" w:rsidRPr="00536F4D" w:rsidRDefault="00FD5FA6" w:rsidP="00DA12F3">
            <w:pPr>
              <w:pStyle w:val="TableText"/>
              <w:jc w:val="center"/>
              <w:rPr>
                <w:lang w:eastAsia="zh-CN"/>
              </w:rPr>
            </w:pPr>
          </w:p>
          <w:p w:rsidR="00FD5FA6" w:rsidRPr="00536F4D" w:rsidRDefault="00FD5FA6" w:rsidP="00DA12F3">
            <w:pPr>
              <w:pStyle w:val="TableText"/>
              <w:keepNext/>
              <w:jc w:val="center"/>
              <w:rPr>
                <w:lang w:eastAsia="zh-CN"/>
              </w:rPr>
            </w:pPr>
            <w:r w:rsidRPr="00536F4D">
              <w:rPr>
                <w:lang w:eastAsia="zh-CN"/>
              </w:rPr>
              <w:t>77.0</w:t>
            </w:r>
          </w:p>
        </w:tc>
      </w:tr>
    </w:tbl>
    <w:p w:rsidR="00FD5FA6" w:rsidRPr="00536F4D" w:rsidRDefault="00FD5FA6" w:rsidP="00FD5FA6">
      <w:pPr>
        <w:pStyle w:val="TableFooter"/>
      </w:pPr>
      <w:r w:rsidRPr="00536F4D">
        <w:t>Attachment 9 to the main submission did not present 95% CI for the IMPRESS chemotherapy alone treatment arm.</w:t>
      </w:r>
    </w:p>
    <w:p w:rsidR="00F46D64" w:rsidRPr="00536F4D" w:rsidRDefault="000E0E2E" w:rsidP="00F46D64">
      <w:pPr>
        <w:pStyle w:val="TableFooter"/>
      </w:pPr>
      <w:r>
        <w:t>AURA single-</w:t>
      </w:r>
      <w:r w:rsidR="00F46D64" w:rsidRPr="00536F4D">
        <w:t xml:space="preserve">arm studies </w:t>
      </w:r>
      <w:r w:rsidR="006F143D">
        <w:t>–</w:t>
      </w:r>
      <w:r w:rsidR="00F46D64" w:rsidRPr="00536F4D">
        <w:t xml:space="preserve"> </w:t>
      </w:r>
      <w:r w:rsidR="000B2D46">
        <w:rPr>
          <w:b/>
          <w:noProof/>
          <w:color w:val="000000"/>
          <w:highlight w:val="black"/>
        </w:rPr>
        <w:t>'''''''''''''''''''''''''' '''''''''''''''''</w:t>
      </w:r>
      <w:r w:rsidR="000B2D46">
        <w:rPr>
          <w:noProof/>
          <w:color w:val="000000"/>
          <w:highlight w:val="black"/>
        </w:rPr>
        <w:t xml:space="preserve"> '''''''''''''''''' ''''''''''''''''' ''''' ''''''''''''''''''''''' '''''''''' ''''''''''' '''''''''''''''''' ''''' '''''''''''''''''''''''' ''''' ''''''''''' ''''''''''''''''' '''' ''''''''''''''''</w:t>
      </w:r>
      <w:r w:rsidR="00F46D64" w:rsidRPr="00536F4D">
        <w:t>.</w:t>
      </w:r>
    </w:p>
    <w:p w:rsidR="00F46D64" w:rsidRPr="00536F4D" w:rsidRDefault="00F46D64" w:rsidP="00F46D64">
      <w:pPr>
        <w:pStyle w:val="TableFooter"/>
      </w:pPr>
      <w:r w:rsidRPr="00536F4D">
        <w:t>IMPRESS: Clinical Study Report, OS Addendum p16 reported the median duration of follow-up as “</w:t>
      </w:r>
      <w:r w:rsidR="000B2D46">
        <w:rPr>
          <w:noProof/>
          <w:color w:val="000000"/>
          <w:highlight w:val="black"/>
        </w:rPr>
        <w:t>''''''''''</w:t>
      </w:r>
      <w:r w:rsidRPr="00536F4D">
        <w:t xml:space="preserve"> months” in the chemotherapy only group which does not appear plausible.</w:t>
      </w:r>
    </w:p>
    <w:p w:rsidR="00FD5FA6" w:rsidRPr="00536F4D" w:rsidRDefault="00FD5FA6" w:rsidP="00F46D64">
      <w:pPr>
        <w:pStyle w:val="TableFooter"/>
      </w:pPr>
      <w:r w:rsidRPr="00536F4D">
        <w:t>CI = confidence interval; CR = complete response; DCR = disease control rate; NC = not reached/calculable; ORR = objective response rate; OS = overall survival; PFS = progression-free survival; PR = partial response; RECIST = Response Evaluation Criteria In Solid Tumours; SD = standard deviation</w:t>
      </w:r>
    </w:p>
    <w:p w:rsidR="00FD5FA6" w:rsidRPr="00536F4D" w:rsidRDefault="00FD5FA6" w:rsidP="00FD5FA6">
      <w:pPr>
        <w:pStyle w:val="TableFooter"/>
      </w:pPr>
      <w:r w:rsidRPr="00536F4D">
        <w:t>Source: Table 15, p21 of Attachment 9 to the main submission.</w:t>
      </w:r>
    </w:p>
    <w:p w:rsidR="00FD5FA6" w:rsidRPr="0072146A" w:rsidRDefault="0098081D" w:rsidP="00891893">
      <w:pPr>
        <w:pStyle w:val="ListParagraph"/>
        <w:ind w:left="709" w:hanging="709"/>
        <w:rPr>
          <w:color w:val="auto"/>
        </w:rPr>
      </w:pPr>
      <w:r w:rsidRPr="00272AC4">
        <w:rPr>
          <w:color w:val="auto"/>
        </w:rPr>
        <w:t>The ESC</w:t>
      </w:r>
      <w:r w:rsidR="00AB58D5" w:rsidRPr="00272AC4">
        <w:rPr>
          <w:color w:val="auto"/>
        </w:rPr>
        <w:t>s</w:t>
      </w:r>
      <w:r w:rsidRPr="00272AC4">
        <w:rPr>
          <w:color w:val="auto"/>
        </w:rPr>
        <w:t xml:space="preserve"> noted that i</w:t>
      </w:r>
      <w:r w:rsidR="00FD5FA6" w:rsidRPr="00272AC4">
        <w:rPr>
          <w:color w:val="auto"/>
        </w:rPr>
        <w:t>n</w:t>
      </w:r>
      <w:r w:rsidR="00FD5FA6" w:rsidRPr="00536F4D">
        <w:t xml:space="preserve"> </w:t>
      </w:r>
      <w:r w:rsidR="00B901D2" w:rsidRPr="00B901D2">
        <w:rPr>
          <w:i/>
          <w:lang w:eastAsia="zh-CN"/>
        </w:rPr>
        <w:t>EGFR</w:t>
      </w:r>
      <w:r w:rsidR="00FD5FA6" w:rsidRPr="00536F4D">
        <w:rPr>
          <w:lang w:eastAsia="zh-CN"/>
        </w:rPr>
        <w:t xml:space="preserve"> </w:t>
      </w:r>
      <w:r w:rsidR="00B901D2" w:rsidRPr="00B901D2">
        <w:rPr>
          <w:i/>
          <w:lang w:eastAsia="zh-CN"/>
        </w:rPr>
        <w:t>T790M</w:t>
      </w:r>
      <w:r w:rsidR="00FD5FA6" w:rsidRPr="00536F4D">
        <w:rPr>
          <w:lang w:eastAsia="zh-CN"/>
        </w:rPr>
        <w:t xml:space="preserve"> mutation positive advanced NSCLC patients, the median OS had not been reached </w:t>
      </w:r>
      <w:r w:rsidR="00F740BF">
        <w:t xml:space="preserve">in the osimertinib </w:t>
      </w:r>
      <w:r w:rsidR="000E0E2E">
        <w:t>single-</w:t>
      </w:r>
      <w:r w:rsidR="00FD5FA6" w:rsidRPr="00536F4D">
        <w:t xml:space="preserve">arm studies at the time of </w:t>
      </w:r>
      <w:r w:rsidR="00FD5FA6" w:rsidRPr="00536F4D">
        <w:lastRenderedPageBreak/>
        <w:t>interim analysis (</w:t>
      </w:r>
      <w:r w:rsidR="000B2D46">
        <w:rPr>
          <w:noProof/>
          <w:color w:val="000000"/>
          <w:highlight w:val="black"/>
        </w:rPr>
        <w:t>''''''''''' ''''''''''''''''''</w:t>
      </w:r>
      <w:r w:rsidR="00FD5FA6" w:rsidRPr="00272AC4">
        <w:rPr>
          <w:i/>
          <w:color w:val="auto"/>
        </w:rPr>
        <w:t>).</w:t>
      </w:r>
      <w:r w:rsidR="00A34CAD" w:rsidRPr="00272AC4">
        <w:rPr>
          <w:i/>
          <w:color w:val="auto"/>
        </w:rPr>
        <w:t xml:space="preserve"> </w:t>
      </w:r>
      <w:r w:rsidR="00A34CAD" w:rsidRPr="00272AC4">
        <w:rPr>
          <w:color w:val="auto"/>
        </w:rPr>
        <w:t xml:space="preserve">The PSCR (p2) acknowledged the immature nature of the OS data presented in the submission, and presented further survival data that showed that the </w:t>
      </w:r>
      <w:r w:rsidR="00A34CAD" w:rsidRPr="00272AC4">
        <w:t>median OS for AURA</w:t>
      </w:r>
      <w:r w:rsidR="00F740BF" w:rsidRPr="00272AC4">
        <w:t>1C and AURA2</w:t>
      </w:r>
      <w:r w:rsidR="00A34CAD" w:rsidRPr="00272AC4">
        <w:t xml:space="preserve"> (pooled) had </w:t>
      </w:r>
      <w:r w:rsidR="00F740BF" w:rsidRPr="00272AC4">
        <w:t xml:space="preserve">been </w:t>
      </w:r>
      <w:r w:rsidR="00A34CAD" w:rsidRPr="00272AC4">
        <w:t xml:space="preserve">reached </w:t>
      </w:r>
      <w:r w:rsidR="00F740BF" w:rsidRPr="00272AC4">
        <w:t xml:space="preserve">at </w:t>
      </w:r>
      <w:r w:rsidR="00A34CAD" w:rsidRPr="00272AC4">
        <w:t xml:space="preserve">26.8 months and </w:t>
      </w:r>
      <w:r w:rsidR="00A34CAD" w:rsidRPr="00272AC4">
        <w:rPr>
          <w:color w:val="auto"/>
        </w:rPr>
        <w:t>73% of patients (301/411) had experienced disease progression</w:t>
      </w:r>
      <w:r w:rsidR="00A34CAD" w:rsidRPr="00272AC4">
        <w:t>.</w:t>
      </w:r>
    </w:p>
    <w:p w:rsidR="00FD5FA6" w:rsidRDefault="00385B7C" w:rsidP="00891893">
      <w:pPr>
        <w:pStyle w:val="ListParagraph"/>
        <w:ind w:left="709" w:hanging="709"/>
        <w:rPr>
          <w:color w:val="auto"/>
        </w:rPr>
      </w:pPr>
      <w:r w:rsidRPr="00536F4D">
        <w:rPr>
          <w:color w:val="auto"/>
        </w:rPr>
        <w:t xml:space="preserve">Without a common reference, prognostic differences across the osimertinib and chemotherapy treatment arms </w:t>
      </w:r>
      <w:r w:rsidR="0098081D" w:rsidRPr="00536F4D">
        <w:rPr>
          <w:color w:val="auto"/>
        </w:rPr>
        <w:t>c</w:t>
      </w:r>
      <w:r w:rsidR="0098081D">
        <w:rPr>
          <w:color w:val="auto"/>
        </w:rPr>
        <w:t>ould not</w:t>
      </w:r>
      <w:r w:rsidR="0098081D" w:rsidRPr="00536F4D">
        <w:rPr>
          <w:color w:val="auto"/>
        </w:rPr>
        <w:t xml:space="preserve"> </w:t>
      </w:r>
      <w:r w:rsidRPr="00536F4D">
        <w:rPr>
          <w:color w:val="auto"/>
        </w:rPr>
        <w:t xml:space="preserve">be differentiated from the direct treatment effect. Importantly, </w:t>
      </w:r>
      <w:r w:rsidR="00B901D2" w:rsidRPr="00B901D2">
        <w:rPr>
          <w:i/>
          <w:color w:val="auto"/>
        </w:rPr>
        <w:t>T790M</w:t>
      </w:r>
      <w:r w:rsidRPr="00536F4D">
        <w:rPr>
          <w:color w:val="auto"/>
        </w:rPr>
        <w:t xml:space="preserve"> mutation positivity was not determined using comparable methods in the AURA studies and IMPRESS trial. </w:t>
      </w:r>
      <w:r w:rsidR="00FD5FA6" w:rsidRPr="00536F4D">
        <w:t xml:space="preserve">The populations included in the naïve indirect comparison may not be </w:t>
      </w:r>
      <w:r w:rsidR="00B9660D" w:rsidRPr="00536F4D">
        <w:t>similar</w:t>
      </w:r>
      <w:r w:rsidR="00FD5FA6" w:rsidRPr="00536F4D">
        <w:t xml:space="preserve"> in terms of prognostic factors. Chemotherapy-treated </w:t>
      </w:r>
      <w:r w:rsidR="00B901D2" w:rsidRPr="00B901D2">
        <w:rPr>
          <w:i/>
        </w:rPr>
        <w:t>T790M</w:t>
      </w:r>
      <w:r w:rsidR="00FD5FA6" w:rsidRPr="00536F4D">
        <w:t xml:space="preserve"> positive patients from IMPRESS were more likely to have had a poorer prognos</w:t>
      </w:r>
      <w:r w:rsidR="0004049A">
        <w:t xml:space="preserve">is than </w:t>
      </w:r>
      <w:r w:rsidR="00FD5FA6" w:rsidRPr="00536F4D">
        <w:t xml:space="preserve">osimertinib treated </w:t>
      </w:r>
      <w:r w:rsidR="00B901D2" w:rsidRPr="00B901D2">
        <w:rPr>
          <w:i/>
        </w:rPr>
        <w:t>T790M</w:t>
      </w:r>
      <w:r w:rsidR="00FD5FA6" w:rsidRPr="00536F4D">
        <w:t xml:space="preserve"> positive patients from the AURA studies.</w:t>
      </w:r>
      <w:r w:rsidR="0004049A">
        <w:t xml:space="preserve"> </w:t>
      </w:r>
      <w:r w:rsidR="00FD5FA6" w:rsidRPr="00536F4D">
        <w:rPr>
          <w:color w:val="auto"/>
        </w:rPr>
        <w:t>Therefore, the results of the indirect comparison were likely to be biased in favour of osimertinib.</w:t>
      </w:r>
    </w:p>
    <w:p w:rsidR="00BE658B" w:rsidRPr="00272AC4" w:rsidRDefault="00BE658B" w:rsidP="0037102C">
      <w:pPr>
        <w:pStyle w:val="ListParagraph"/>
        <w:ind w:left="709" w:hanging="709"/>
        <w:rPr>
          <w:color w:val="auto"/>
        </w:rPr>
      </w:pPr>
      <w:r w:rsidRPr="00272AC4">
        <w:rPr>
          <w:color w:val="auto"/>
        </w:rPr>
        <w:t>The ESC</w:t>
      </w:r>
      <w:r w:rsidR="00AB58D5" w:rsidRPr="00272AC4">
        <w:rPr>
          <w:color w:val="auto"/>
        </w:rPr>
        <w:t>s</w:t>
      </w:r>
      <w:r w:rsidRPr="00272AC4">
        <w:rPr>
          <w:color w:val="auto"/>
        </w:rPr>
        <w:t xml:space="preserve"> noted that</w:t>
      </w:r>
      <w:r w:rsidR="00F740BF" w:rsidRPr="00272AC4">
        <w:rPr>
          <w:color w:val="auto"/>
        </w:rPr>
        <w:t>,</w:t>
      </w:r>
      <w:r w:rsidRPr="00272AC4">
        <w:rPr>
          <w:color w:val="auto"/>
        </w:rPr>
        <w:t xml:space="preserve"> in the IMPRESS chemotherapy arm, </w:t>
      </w:r>
      <w:r w:rsidR="00B901D2" w:rsidRPr="00272AC4">
        <w:rPr>
          <w:i/>
          <w:color w:val="auto"/>
        </w:rPr>
        <w:t>T790M</w:t>
      </w:r>
      <w:r w:rsidRPr="00272AC4">
        <w:rPr>
          <w:color w:val="auto"/>
        </w:rPr>
        <w:t xml:space="preserve"> positive status was determined in an exploratory manner via plasma</w:t>
      </w:r>
      <w:r w:rsidR="00990CC6" w:rsidRPr="00272AC4">
        <w:rPr>
          <w:color w:val="auto"/>
        </w:rPr>
        <w:t>-based</w:t>
      </w:r>
      <w:r w:rsidRPr="00272AC4">
        <w:rPr>
          <w:color w:val="auto"/>
        </w:rPr>
        <w:t xml:space="preserve"> testing</w:t>
      </w:r>
      <w:r w:rsidR="004A096C">
        <w:rPr>
          <w:rStyle w:val="FootnoteReference"/>
          <w:color w:val="auto"/>
        </w:rPr>
        <w:footnoteReference w:id="3"/>
      </w:r>
      <w:r w:rsidRPr="00272AC4">
        <w:rPr>
          <w:color w:val="auto"/>
        </w:rPr>
        <w:t xml:space="preserve">. </w:t>
      </w:r>
      <w:r w:rsidR="00B901D2" w:rsidRPr="00272AC4">
        <w:rPr>
          <w:i/>
          <w:color w:val="auto"/>
        </w:rPr>
        <w:t>T790M</w:t>
      </w:r>
      <w:r w:rsidRPr="00272AC4">
        <w:rPr>
          <w:i/>
          <w:color w:val="auto"/>
        </w:rPr>
        <w:t xml:space="preserve"> </w:t>
      </w:r>
      <w:r w:rsidRPr="00272AC4">
        <w:rPr>
          <w:color w:val="auto"/>
        </w:rPr>
        <w:t xml:space="preserve">positive status based on plasma testing is likely to be reflective of patients with a high tumour burden and distant metastases (shedders) </w:t>
      </w:r>
      <w:r w:rsidR="00015A0C">
        <w:rPr>
          <w:color w:val="auto"/>
        </w:rPr>
        <w:t xml:space="preserve">who are </w:t>
      </w:r>
      <w:r w:rsidRPr="00272AC4">
        <w:rPr>
          <w:color w:val="auto"/>
        </w:rPr>
        <w:t xml:space="preserve">unable to have a tumour </w:t>
      </w:r>
      <w:r w:rsidR="008E7128">
        <w:rPr>
          <w:color w:val="auto"/>
        </w:rPr>
        <w:t>re</w:t>
      </w:r>
      <w:r w:rsidRPr="00272AC4">
        <w:rPr>
          <w:color w:val="auto"/>
        </w:rPr>
        <w:t xml:space="preserve">biopsy, </w:t>
      </w:r>
      <w:r w:rsidR="00015A0C">
        <w:rPr>
          <w:color w:val="auto"/>
        </w:rPr>
        <w:t xml:space="preserve">thus </w:t>
      </w:r>
      <w:r w:rsidRPr="00272AC4">
        <w:rPr>
          <w:color w:val="auto"/>
        </w:rPr>
        <w:t xml:space="preserve">potentially </w:t>
      </w:r>
      <w:r w:rsidR="00015A0C">
        <w:rPr>
          <w:color w:val="auto"/>
        </w:rPr>
        <w:t>identifying</w:t>
      </w:r>
      <w:r w:rsidR="00015A0C" w:rsidRPr="00272AC4">
        <w:rPr>
          <w:color w:val="auto"/>
        </w:rPr>
        <w:t xml:space="preserve"> </w:t>
      </w:r>
      <w:r w:rsidR="00015A0C">
        <w:rPr>
          <w:color w:val="auto"/>
        </w:rPr>
        <w:t xml:space="preserve">a group of patients with a </w:t>
      </w:r>
      <w:r w:rsidRPr="00272AC4">
        <w:rPr>
          <w:color w:val="auto"/>
        </w:rPr>
        <w:t xml:space="preserve">poor prognosis. In contrast, </w:t>
      </w:r>
      <w:r w:rsidR="00B901D2" w:rsidRPr="00272AC4">
        <w:rPr>
          <w:i/>
          <w:color w:val="auto"/>
        </w:rPr>
        <w:t>T790M</w:t>
      </w:r>
      <w:r w:rsidRPr="00272AC4">
        <w:rPr>
          <w:color w:val="auto"/>
        </w:rPr>
        <w:t xml:space="preserve"> positive status was prospectively determined via tumour </w:t>
      </w:r>
      <w:r w:rsidR="008E7128">
        <w:rPr>
          <w:color w:val="auto"/>
        </w:rPr>
        <w:t>re</w:t>
      </w:r>
      <w:r w:rsidRPr="00272AC4">
        <w:rPr>
          <w:color w:val="auto"/>
        </w:rPr>
        <w:t>biopsy in the osimertinib singl</w:t>
      </w:r>
      <w:r w:rsidR="000E0E2E">
        <w:rPr>
          <w:color w:val="auto"/>
        </w:rPr>
        <w:t>e-</w:t>
      </w:r>
      <w:r w:rsidRPr="00272AC4">
        <w:rPr>
          <w:color w:val="auto"/>
        </w:rPr>
        <w:t>arm studies</w:t>
      </w:r>
      <w:r w:rsidR="00015A0C">
        <w:rPr>
          <w:color w:val="auto"/>
        </w:rPr>
        <w:t>. Identifying patients in this manner is</w:t>
      </w:r>
      <w:r w:rsidRPr="00272AC4">
        <w:rPr>
          <w:color w:val="auto"/>
        </w:rPr>
        <w:t xml:space="preserve"> unlikely to </w:t>
      </w:r>
      <w:r w:rsidR="001F1FF8">
        <w:rPr>
          <w:color w:val="auto"/>
        </w:rPr>
        <w:t xml:space="preserve">select only </w:t>
      </w:r>
      <w:r w:rsidR="00015A0C">
        <w:rPr>
          <w:color w:val="auto"/>
        </w:rPr>
        <w:t>patient</w:t>
      </w:r>
      <w:r w:rsidR="001F1FF8">
        <w:rPr>
          <w:color w:val="auto"/>
        </w:rPr>
        <w:t xml:space="preserve">s </w:t>
      </w:r>
      <w:r w:rsidR="00015A0C">
        <w:rPr>
          <w:color w:val="auto"/>
        </w:rPr>
        <w:t xml:space="preserve">with a </w:t>
      </w:r>
      <w:r w:rsidRPr="00272AC4">
        <w:rPr>
          <w:color w:val="auto"/>
        </w:rPr>
        <w:t>high tumour burden</w:t>
      </w:r>
      <w:r w:rsidR="00015A0C">
        <w:rPr>
          <w:color w:val="auto"/>
        </w:rPr>
        <w:t xml:space="preserve">. </w:t>
      </w:r>
      <w:r w:rsidR="0037102C" w:rsidRPr="00272AC4">
        <w:rPr>
          <w:color w:val="auto"/>
        </w:rPr>
        <w:t xml:space="preserve">Although the PSCR (p1) contended that a comparison of the chemotherapy arm </w:t>
      </w:r>
      <w:r w:rsidR="007E1990">
        <w:rPr>
          <w:color w:val="auto"/>
        </w:rPr>
        <w:t xml:space="preserve">results </w:t>
      </w:r>
      <w:r w:rsidR="0037102C" w:rsidRPr="00272AC4">
        <w:rPr>
          <w:color w:val="auto"/>
        </w:rPr>
        <w:t xml:space="preserve">from the IMPRESS and AURA3 studies </w:t>
      </w:r>
      <w:r w:rsidR="007E1990">
        <w:rPr>
          <w:color w:val="auto"/>
        </w:rPr>
        <w:t xml:space="preserve">suggested </w:t>
      </w:r>
      <w:r w:rsidR="0037102C" w:rsidRPr="00272AC4">
        <w:rPr>
          <w:color w:val="auto"/>
        </w:rPr>
        <w:t>a similarity in efficacy outcomes</w:t>
      </w:r>
      <w:r w:rsidR="004E0767" w:rsidRPr="00272AC4">
        <w:rPr>
          <w:color w:val="auto"/>
        </w:rPr>
        <w:t>,</w:t>
      </w:r>
      <w:r w:rsidR="0037102C" w:rsidRPr="00272AC4">
        <w:rPr>
          <w:color w:val="auto"/>
        </w:rPr>
        <w:t xml:space="preserve"> and hence did not support the suggestion of a differing prognostic effect for patients </w:t>
      </w:r>
      <w:r w:rsidR="00990CC6" w:rsidRPr="00272AC4">
        <w:rPr>
          <w:color w:val="auto"/>
        </w:rPr>
        <w:t xml:space="preserve">in the IMPRESS trial </w:t>
      </w:r>
      <w:r w:rsidR="0037102C" w:rsidRPr="00272AC4">
        <w:rPr>
          <w:color w:val="auto"/>
        </w:rPr>
        <w:t xml:space="preserve">with a </w:t>
      </w:r>
      <w:r w:rsidR="00B901D2" w:rsidRPr="00272AC4">
        <w:rPr>
          <w:i/>
          <w:color w:val="auto"/>
        </w:rPr>
        <w:t>T790M</w:t>
      </w:r>
      <w:r w:rsidR="0037102C" w:rsidRPr="00272AC4">
        <w:rPr>
          <w:color w:val="auto"/>
        </w:rPr>
        <w:t xml:space="preserve"> mutation in </w:t>
      </w:r>
      <w:r w:rsidR="00990CC6" w:rsidRPr="00272AC4">
        <w:rPr>
          <w:color w:val="auto"/>
        </w:rPr>
        <w:t>their plasma</w:t>
      </w:r>
      <w:r w:rsidR="0037102C" w:rsidRPr="00272AC4">
        <w:rPr>
          <w:color w:val="auto"/>
        </w:rPr>
        <w:t>, t</w:t>
      </w:r>
      <w:r w:rsidRPr="00272AC4">
        <w:rPr>
          <w:color w:val="auto"/>
        </w:rPr>
        <w:t>he ESC</w:t>
      </w:r>
      <w:r w:rsidR="00AB58D5" w:rsidRPr="00272AC4">
        <w:rPr>
          <w:color w:val="auto"/>
        </w:rPr>
        <w:t>s</w:t>
      </w:r>
      <w:r w:rsidRPr="00272AC4">
        <w:rPr>
          <w:color w:val="auto"/>
        </w:rPr>
        <w:t xml:space="preserve"> considered that th</w:t>
      </w:r>
      <w:r w:rsidR="007E1990">
        <w:rPr>
          <w:color w:val="auto"/>
        </w:rPr>
        <w:t>e</w:t>
      </w:r>
      <w:r w:rsidRPr="00272AC4">
        <w:rPr>
          <w:color w:val="auto"/>
        </w:rPr>
        <w:t xml:space="preserve"> selection bias </w:t>
      </w:r>
      <w:r w:rsidR="007E1990">
        <w:rPr>
          <w:color w:val="auto"/>
        </w:rPr>
        <w:t xml:space="preserve">arising from relying on plasma-based testing </w:t>
      </w:r>
      <w:r w:rsidRPr="00272AC4">
        <w:rPr>
          <w:color w:val="auto"/>
        </w:rPr>
        <w:t>was likely to favour osimertinib.</w:t>
      </w:r>
    </w:p>
    <w:p w:rsidR="003C1DEA" w:rsidRPr="00272AC4" w:rsidRDefault="003C1DEA" w:rsidP="003C1DEA">
      <w:pPr>
        <w:pStyle w:val="ListParagraph"/>
        <w:ind w:left="709" w:hanging="709"/>
        <w:rPr>
          <w:color w:val="auto"/>
        </w:rPr>
      </w:pPr>
      <w:r w:rsidRPr="00272AC4">
        <w:t>Overall, the ESC</w:t>
      </w:r>
      <w:r w:rsidR="00AB58D5" w:rsidRPr="00272AC4">
        <w:t>s</w:t>
      </w:r>
      <w:r w:rsidRPr="00272AC4">
        <w:t xml:space="preserve"> advised that the magnitude of benefit, if any, of osimertinib treatment wa</w:t>
      </w:r>
      <w:r w:rsidR="00855B53" w:rsidRPr="00272AC4">
        <w:t>s confounded by the immaturity o</w:t>
      </w:r>
      <w:r w:rsidRPr="00272AC4">
        <w:t>f the survival data and the biases in the indirect comparison</w:t>
      </w:r>
      <w:r w:rsidRPr="00272AC4">
        <w:rPr>
          <w:color w:val="auto"/>
        </w:rPr>
        <w:t>.</w:t>
      </w:r>
    </w:p>
    <w:p w:rsidR="003657A4" w:rsidRPr="000C32F5" w:rsidRDefault="003657A4" w:rsidP="003657A4">
      <w:pPr>
        <w:pStyle w:val="ESHeading2"/>
        <w:rPr>
          <w:rFonts w:asciiTheme="minorHAnsi" w:hAnsiTheme="minorHAnsi"/>
        </w:rPr>
      </w:pPr>
      <w:bookmarkStart w:id="23" w:name="_Toc492390271"/>
      <w:r w:rsidRPr="000C32F5">
        <w:rPr>
          <w:rFonts w:asciiTheme="minorHAnsi" w:hAnsiTheme="minorHAnsi"/>
        </w:rPr>
        <w:t>Comparative harms</w:t>
      </w:r>
      <w:bookmarkEnd w:id="23"/>
    </w:p>
    <w:p w:rsidR="00FD5FA6" w:rsidRPr="00536F4D" w:rsidRDefault="00B9660D" w:rsidP="00891893">
      <w:pPr>
        <w:pStyle w:val="ListParagraph"/>
        <w:ind w:left="709" w:hanging="709"/>
        <w:rPr>
          <w:color w:val="auto"/>
        </w:rPr>
      </w:pPr>
      <w:r w:rsidRPr="00536F4D">
        <w:rPr>
          <w:color w:val="auto"/>
        </w:rPr>
        <w:t>A</w:t>
      </w:r>
      <w:r w:rsidR="00FD5FA6" w:rsidRPr="00536F4D">
        <w:rPr>
          <w:color w:val="auto"/>
        </w:rPr>
        <w:t xml:space="preserve"> summary of adverse events (AEs)</w:t>
      </w:r>
      <w:r w:rsidR="00C346A4" w:rsidRPr="00536F4D">
        <w:rPr>
          <w:color w:val="auto"/>
        </w:rPr>
        <w:t xml:space="preserve"> from AURA3 is presented below.</w:t>
      </w:r>
    </w:p>
    <w:p w:rsidR="00FB6BBE" w:rsidRDefault="00FB6BBE">
      <w:pPr>
        <w:spacing w:before="0" w:line="259" w:lineRule="auto"/>
        <w:jc w:val="left"/>
        <w:rPr>
          <w:rFonts w:ascii="Arial Narrow" w:hAnsi="Arial Narrow"/>
          <w:b/>
          <w:iCs/>
          <w:sz w:val="20"/>
          <w:szCs w:val="18"/>
        </w:rPr>
      </w:pPr>
      <w:r>
        <w:br w:type="page"/>
      </w:r>
    </w:p>
    <w:p w:rsidR="00BC6818" w:rsidRPr="00536F4D" w:rsidRDefault="00BC6818" w:rsidP="00BC6818">
      <w:pPr>
        <w:pStyle w:val="Caption"/>
      </w:pPr>
      <w:r w:rsidRPr="00536F4D">
        <w:lastRenderedPageBreak/>
        <w:t xml:space="preserve">Table </w:t>
      </w:r>
      <w:r w:rsidR="00AB747A" w:rsidRPr="00536F4D">
        <w:rPr>
          <w:noProof/>
        </w:rPr>
        <w:t>8</w:t>
      </w:r>
      <w:r w:rsidRPr="00536F4D">
        <w:t>:</w:t>
      </w:r>
      <w:r w:rsidR="00C61A70" w:rsidRPr="00536F4D" w:rsidDel="00C61A70">
        <w:t xml:space="preserve"> </w:t>
      </w:r>
      <w:r w:rsidRPr="00536F4D">
        <w:t>AURA3 summary of adverse events</w:t>
      </w:r>
    </w:p>
    <w:tbl>
      <w:tblPr>
        <w:tblStyle w:val="Summarybox1"/>
        <w:tblW w:w="5000" w:type="pct"/>
        <w:tblLook w:val="04A0" w:firstRow="1" w:lastRow="0" w:firstColumn="1" w:lastColumn="0" w:noHBand="0" w:noVBand="1"/>
        <w:tblCaption w:val="Table 8: AURA3 summary of adverse events"/>
      </w:tblPr>
      <w:tblGrid>
        <w:gridCol w:w="6403"/>
        <w:gridCol w:w="1440"/>
        <w:gridCol w:w="1399"/>
      </w:tblGrid>
      <w:tr w:rsidR="00FD5FA6" w:rsidRPr="00536F4D" w:rsidTr="005D46F1">
        <w:trPr>
          <w:tblHeader/>
        </w:trPr>
        <w:tc>
          <w:tcPr>
            <w:tcW w:w="6246" w:type="dxa"/>
            <w:vMerge w:val="restart"/>
          </w:tcPr>
          <w:p w:rsidR="00FD5FA6" w:rsidRPr="00536F4D" w:rsidRDefault="00FD5FA6" w:rsidP="00DA12F3">
            <w:pPr>
              <w:pStyle w:val="TableText"/>
              <w:rPr>
                <w:b/>
              </w:rPr>
            </w:pPr>
            <w:r w:rsidRPr="00536F4D">
              <w:rPr>
                <w:b/>
              </w:rPr>
              <w:t>AE category</w:t>
            </w:r>
            <w:r w:rsidR="007108A1" w:rsidRPr="00536F4D">
              <w:rPr>
                <w:b/>
              </w:rPr>
              <w:t xml:space="preserve"> </w:t>
            </w:r>
            <w:r w:rsidRPr="00536F4D">
              <w:rPr>
                <w:b/>
                <w:vertAlign w:val="superscript"/>
              </w:rPr>
              <w:t>a</w:t>
            </w:r>
          </w:p>
        </w:tc>
        <w:tc>
          <w:tcPr>
            <w:tcW w:w="1405" w:type="dxa"/>
            <w:tcBorders>
              <w:bottom w:val="nil"/>
            </w:tcBorders>
          </w:tcPr>
          <w:p w:rsidR="00FD5FA6" w:rsidRPr="00536F4D" w:rsidRDefault="00FD5FA6" w:rsidP="00DA12F3">
            <w:pPr>
              <w:pStyle w:val="TableText"/>
              <w:jc w:val="center"/>
              <w:rPr>
                <w:b/>
              </w:rPr>
            </w:pPr>
            <w:r w:rsidRPr="00536F4D">
              <w:rPr>
                <w:b/>
              </w:rPr>
              <w:t>Osimertinib</w:t>
            </w:r>
          </w:p>
        </w:tc>
        <w:tc>
          <w:tcPr>
            <w:tcW w:w="1365" w:type="dxa"/>
            <w:tcBorders>
              <w:bottom w:val="nil"/>
            </w:tcBorders>
          </w:tcPr>
          <w:p w:rsidR="00FD5FA6" w:rsidRPr="00536F4D" w:rsidRDefault="00FD5FA6" w:rsidP="00DA12F3">
            <w:pPr>
              <w:pStyle w:val="TableText"/>
              <w:jc w:val="center"/>
              <w:rPr>
                <w:b/>
              </w:rPr>
            </w:pPr>
            <w:r w:rsidRPr="00536F4D">
              <w:rPr>
                <w:b/>
              </w:rPr>
              <w:t>Chemotherapy</w:t>
            </w:r>
          </w:p>
        </w:tc>
      </w:tr>
      <w:tr w:rsidR="00FD5FA6" w:rsidRPr="00536F4D" w:rsidTr="005D46F1">
        <w:trPr>
          <w:tblHeader/>
        </w:trPr>
        <w:tc>
          <w:tcPr>
            <w:tcW w:w="6246" w:type="dxa"/>
            <w:vMerge/>
          </w:tcPr>
          <w:p w:rsidR="00FD5FA6" w:rsidRPr="00536F4D" w:rsidRDefault="00FD5FA6" w:rsidP="00DA12F3">
            <w:pPr>
              <w:pStyle w:val="TableText"/>
              <w:rPr>
                <w:b/>
              </w:rPr>
            </w:pPr>
          </w:p>
        </w:tc>
        <w:tc>
          <w:tcPr>
            <w:tcW w:w="1405" w:type="dxa"/>
            <w:tcBorders>
              <w:top w:val="nil"/>
            </w:tcBorders>
          </w:tcPr>
          <w:p w:rsidR="00FD5FA6" w:rsidRPr="00536F4D" w:rsidRDefault="00FD5FA6" w:rsidP="00DA12F3">
            <w:pPr>
              <w:pStyle w:val="TableText"/>
              <w:jc w:val="center"/>
              <w:rPr>
                <w:b/>
              </w:rPr>
            </w:pPr>
            <w:r w:rsidRPr="00536F4D">
              <w:rPr>
                <w:b/>
              </w:rPr>
              <w:t>N=279</w:t>
            </w:r>
          </w:p>
        </w:tc>
        <w:tc>
          <w:tcPr>
            <w:tcW w:w="1365" w:type="dxa"/>
            <w:tcBorders>
              <w:top w:val="nil"/>
            </w:tcBorders>
          </w:tcPr>
          <w:p w:rsidR="00FD5FA6" w:rsidRPr="00536F4D" w:rsidRDefault="00FD5FA6" w:rsidP="00DA12F3">
            <w:pPr>
              <w:pStyle w:val="TableText"/>
              <w:jc w:val="center"/>
              <w:rPr>
                <w:b/>
              </w:rPr>
            </w:pPr>
            <w:r w:rsidRPr="00536F4D">
              <w:rPr>
                <w:b/>
              </w:rPr>
              <w:t>N=136</w:t>
            </w:r>
          </w:p>
        </w:tc>
      </w:tr>
      <w:tr w:rsidR="00FD5FA6" w:rsidRPr="00536F4D" w:rsidTr="00BC6818">
        <w:tc>
          <w:tcPr>
            <w:tcW w:w="6246" w:type="dxa"/>
          </w:tcPr>
          <w:p w:rsidR="00FD5FA6" w:rsidRPr="00536F4D" w:rsidRDefault="00FD5FA6" w:rsidP="00DA12F3">
            <w:pPr>
              <w:pStyle w:val="TableText"/>
            </w:pPr>
            <w:r w:rsidRPr="00536F4D">
              <w:t>Any AE, n (%)</w:t>
            </w:r>
          </w:p>
        </w:tc>
        <w:tc>
          <w:tcPr>
            <w:tcW w:w="1405" w:type="dxa"/>
          </w:tcPr>
          <w:p w:rsidR="00FD5FA6" w:rsidRPr="00536F4D" w:rsidRDefault="00FD5FA6" w:rsidP="0072146A">
            <w:pPr>
              <w:pStyle w:val="TableText"/>
              <w:jc w:val="center"/>
            </w:pPr>
            <w:r w:rsidRPr="00536F4D">
              <w:t>273 (97.8)</w:t>
            </w:r>
          </w:p>
        </w:tc>
        <w:tc>
          <w:tcPr>
            <w:tcW w:w="1365" w:type="dxa"/>
          </w:tcPr>
          <w:p w:rsidR="00FD5FA6" w:rsidRPr="00536F4D" w:rsidRDefault="00FD5FA6" w:rsidP="0072146A">
            <w:pPr>
              <w:pStyle w:val="TableText"/>
              <w:jc w:val="center"/>
            </w:pPr>
            <w:r w:rsidRPr="00536F4D">
              <w:t>135 (99.3)</w:t>
            </w:r>
          </w:p>
        </w:tc>
      </w:tr>
      <w:tr w:rsidR="00FD5FA6" w:rsidRPr="00536F4D" w:rsidTr="00BC6818">
        <w:tc>
          <w:tcPr>
            <w:tcW w:w="6246" w:type="dxa"/>
          </w:tcPr>
          <w:p w:rsidR="00FD5FA6" w:rsidRPr="00536F4D" w:rsidRDefault="00FD5FA6" w:rsidP="00DA12F3">
            <w:pPr>
              <w:pStyle w:val="TableText"/>
            </w:pPr>
            <w:r w:rsidRPr="00536F4D">
              <w:t>Any AE possibly related to study treatment</w:t>
            </w:r>
            <w:r w:rsidR="007108A1" w:rsidRPr="00536F4D">
              <w:t xml:space="preserve"> </w:t>
            </w:r>
            <w:r w:rsidRPr="00536F4D">
              <w:rPr>
                <w:vertAlign w:val="superscript"/>
              </w:rPr>
              <w:t>b</w:t>
            </w:r>
          </w:p>
        </w:tc>
        <w:tc>
          <w:tcPr>
            <w:tcW w:w="1405" w:type="dxa"/>
          </w:tcPr>
          <w:p w:rsidR="00FD5FA6" w:rsidRPr="00536F4D" w:rsidRDefault="00FD5FA6" w:rsidP="0072146A">
            <w:pPr>
              <w:pStyle w:val="TableText"/>
              <w:jc w:val="center"/>
            </w:pPr>
            <w:r w:rsidRPr="00536F4D">
              <w:t>236 (84.6)</w:t>
            </w:r>
          </w:p>
        </w:tc>
        <w:tc>
          <w:tcPr>
            <w:tcW w:w="1365" w:type="dxa"/>
          </w:tcPr>
          <w:p w:rsidR="00FD5FA6" w:rsidRPr="00536F4D" w:rsidRDefault="00FD5FA6" w:rsidP="0072146A">
            <w:pPr>
              <w:pStyle w:val="TableText"/>
              <w:jc w:val="center"/>
            </w:pPr>
            <w:r w:rsidRPr="00536F4D">
              <w:t>121 (89.0)</w:t>
            </w:r>
          </w:p>
        </w:tc>
      </w:tr>
      <w:tr w:rsidR="00FD5FA6" w:rsidRPr="00536F4D" w:rsidTr="00BC6818">
        <w:tc>
          <w:tcPr>
            <w:tcW w:w="6246" w:type="dxa"/>
          </w:tcPr>
          <w:p w:rsidR="00FD5FA6" w:rsidRPr="00536F4D" w:rsidRDefault="00FD5FA6" w:rsidP="00DA12F3">
            <w:pPr>
              <w:pStyle w:val="TableText"/>
            </w:pPr>
            <w:r w:rsidRPr="00536F4D">
              <w:t>Any AE of CTCAE Grade 3 or higher</w:t>
            </w:r>
          </w:p>
        </w:tc>
        <w:tc>
          <w:tcPr>
            <w:tcW w:w="1405" w:type="dxa"/>
          </w:tcPr>
          <w:p w:rsidR="00FD5FA6" w:rsidRPr="00536F4D" w:rsidRDefault="00FD5FA6" w:rsidP="0072146A">
            <w:pPr>
              <w:pStyle w:val="TableText"/>
              <w:jc w:val="center"/>
            </w:pPr>
            <w:r w:rsidRPr="00536F4D">
              <w:t>82 (29.4)</w:t>
            </w:r>
          </w:p>
        </w:tc>
        <w:tc>
          <w:tcPr>
            <w:tcW w:w="1365" w:type="dxa"/>
          </w:tcPr>
          <w:p w:rsidR="00FD5FA6" w:rsidRPr="00536F4D" w:rsidRDefault="00FD5FA6" w:rsidP="0072146A">
            <w:pPr>
              <w:pStyle w:val="TableText"/>
              <w:jc w:val="center"/>
            </w:pPr>
            <w:r w:rsidRPr="00536F4D">
              <w:t>64 (47.1)</w:t>
            </w:r>
          </w:p>
        </w:tc>
      </w:tr>
      <w:tr w:rsidR="00FD5FA6" w:rsidRPr="00536F4D" w:rsidTr="00BC6818">
        <w:tc>
          <w:tcPr>
            <w:tcW w:w="6246" w:type="dxa"/>
          </w:tcPr>
          <w:p w:rsidR="00FD5FA6" w:rsidRPr="00536F4D" w:rsidRDefault="00FD5FA6" w:rsidP="00DA12F3">
            <w:pPr>
              <w:pStyle w:val="TableText"/>
            </w:pPr>
            <w:r w:rsidRPr="00536F4D">
              <w:t>Any AE of CTCAE Grade 3 or higher, possibly related to study treatment</w:t>
            </w:r>
            <w:r w:rsidR="007108A1" w:rsidRPr="00536F4D">
              <w:t xml:space="preserve"> </w:t>
            </w:r>
            <w:r w:rsidRPr="00536F4D">
              <w:rPr>
                <w:vertAlign w:val="superscript"/>
              </w:rPr>
              <w:t>b</w:t>
            </w:r>
          </w:p>
        </w:tc>
        <w:tc>
          <w:tcPr>
            <w:tcW w:w="1405" w:type="dxa"/>
          </w:tcPr>
          <w:p w:rsidR="00FD5FA6" w:rsidRPr="00536F4D" w:rsidRDefault="00FD5FA6" w:rsidP="0072146A">
            <w:pPr>
              <w:pStyle w:val="TableText"/>
              <w:jc w:val="center"/>
            </w:pPr>
            <w:r w:rsidRPr="00536F4D">
              <w:t>20 (7.2)</w:t>
            </w:r>
          </w:p>
        </w:tc>
        <w:tc>
          <w:tcPr>
            <w:tcW w:w="1365" w:type="dxa"/>
          </w:tcPr>
          <w:p w:rsidR="00FD5FA6" w:rsidRPr="00536F4D" w:rsidRDefault="00FD5FA6" w:rsidP="0072146A">
            <w:pPr>
              <w:pStyle w:val="TableText"/>
              <w:jc w:val="center"/>
            </w:pPr>
            <w:r w:rsidRPr="00536F4D">
              <w:t>45 (33.1)</w:t>
            </w:r>
          </w:p>
        </w:tc>
      </w:tr>
      <w:tr w:rsidR="00FD5FA6" w:rsidRPr="00536F4D" w:rsidTr="00BC6818">
        <w:tc>
          <w:tcPr>
            <w:tcW w:w="6246" w:type="dxa"/>
          </w:tcPr>
          <w:p w:rsidR="00FD5FA6" w:rsidRPr="00536F4D" w:rsidRDefault="00FD5FA6" w:rsidP="00DA12F3">
            <w:pPr>
              <w:pStyle w:val="TableText"/>
            </w:pPr>
            <w:r w:rsidRPr="00536F4D">
              <w:t>Any AE with outcome = death</w:t>
            </w:r>
          </w:p>
        </w:tc>
        <w:tc>
          <w:tcPr>
            <w:tcW w:w="1405" w:type="dxa"/>
          </w:tcPr>
          <w:p w:rsidR="00FD5FA6" w:rsidRPr="00536F4D" w:rsidRDefault="00FD5FA6" w:rsidP="0072146A">
            <w:pPr>
              <w:pStyle w:val="TableText"/>
              <w:jc w:val="center"/>
            </w:pPr>
            <w:r w:rsidRPr="00536F4D">
              <w:t>6 (2.2)</w:t>
            </w:r>
          </w:p>
        </w:tc>
        <w:tc>
          <w:tcPr>
            <w:tcW w:w="1365" w:type="dxa"/>
          </w:tcPr>
          <w:p w:rsidR="00FD5FA6" w:rsidRPr="00536F4D" w:rsidRDefault="00FD5FA6" w:rsidP="0072146A">
            <w:pPr>
              <w:pStyle w:val="TableText"/>
              <w:jc w:val="center"/>
            </w:pPr>
            <w:r w:rsidRPr="00536F4D">
              <w:t>1 (0.7)</w:t>
            </w:r>
          </w:p>
        </w:tc>
      </w:tr>
      <w:tr w:rsidR="00FD5FA6" w:rsidRPr="00536F4D" w:rsidTr="00BC6818">
        <w:tc>
          <w:tcPr>
            <w:tcW w:w="6246" w:type="dxa"/>
          </w:tcPr>
          <w:p w:rsidR="00FD5FA6" w:rsidRPr="00536F4D" w:rsidRDefault="00FD5FA6" w:rsidP="00DA12F3">
            <w:pPr>
              <w:pStyle w:val="TableText"/>
            </w:pPr>
            <w:r w:rsidRPr="00536F4D">
              <w:t>Any AE with outcome = death, possibly related to study treatment</w:t>
            </w:r>
            <w:r w:rsidR="007108A1" w:rsidRPr="00536F4D">
              <w:t xml:space="preserve"> </w:t>
            </w:r>
            <w:r w:rsidRPr="00536F4D">
              <w:rPr>
                <w:vertAlign w:val="superscript"/>
              </w:rPr>
              <w:t>b</w:t>
            </w:r>
          </w:p>
        </w:tc>
        <w:tc>
          <w:tcPr>
            <w:tcW w:w="1405" w:type="dxa"/>
          </w:tcPr>
          <w:p w:rsidR="00FD5FA6" w:rsidRPr="00536F4D" w:rsidRDefault="00FD5FA6" w:rsidP="0072146A">
            <w:pPr>
              <w:pStyle w:val="TableText"/>
              <w:jc w:val="center"/>
            </w:pPr>
            <w:r w:rsidRPr="00536F4D">
              <w:t>2 (0.7)</w:t>
            </w:r>
          </w:p>
        </w:tc>
        <w:tc>
          <w:tcPr>
            <w:tcW w:w="1365" w:type="dxa"/>
          </w:tcPr>
          <w:p w:rsidR="00FD5FA6" w:rsidRPr="00536F4D" w:rsidRDefault="00FD5FA6" w:rsidP="0072146A">
            <w:pPr>
              <w:pStyle w:val="TableText"/>
              <w:jc w:val="center"/>
            </w:pPr>
            <w:r w:rsidRPr="00536F4D">
              <w:t>1 (0.7)</w:t>
            </w:r>
          </w:p>
        </w:tc>
      </w:tr>
      <w:tr w:rsidR="00FD5FA6" w:rsidRPr="00536F4D" w:rsidTr="00BC6818">
        <w:tc>
          <w:tcPr>
            <w:tcW w:w="6246" w:type="dxa"/>
          </w:tcPr>
          <w:p w:rsidR="00FD5FA6" w:rsidRPr="00536F4D" w:rsidRDefault="00FD5FA6" w:rsidP="00DA12F3">
            <w:pPr>
              <w:pStyle w:val="TableText"/>
            </w:pPr>
            <w:r w:rsidRPr="00536F4D">
              <w:t>Any SAE</w:t>
            </w:r>
          </w:p>
        </w:tc>
        <w:tc>
          <w:tcPr>
            <w:tcW w:w="1405" w:type="dxa"/>
          </w:tcPr>
          <w:p w:rsidR="00FD5FA6" w:rsidRPr="00536F4D" w:rsidRDefault="00FD5FA6" w:rsidP="0072146A">
            <w:pPr>
              <w:pStyle w:val="TableText"/>
              <w:jc w:val="center"/>
            </w:pPr>
            <w:r w:rsidRPr="00536F4D">
              <w:t>65 (23.3)</w:t>
            </w:r>
          </w:p>
        </w:tc>
        <w:tc>
          <w:tcPr>
            <w:tcW w:w="1365" w:type="dxa"/>
          </w:tcPr>
          <w:p w:rsidR="00FD5FA6" w:rsidRPr="00536F4D" w:rsidRDefault="00FD5FA6" w:rsidP="0072146A">
            <w:pPr>
              <w:pStyle w:val="TableText"/>
              <w:jc w:val="center"/>
            </w:pPr>
            <w:r w:rsidRPr="00536F4D">
              <w:t>35 (25.7)</w:t>
            </w:r>
          </w:p>
        </w:tc>
      </w:tr>
      <w:tr w:rsidR="00FD5FA6" w:rsidRPr="00536F4D" w:rsidTr="00BC6818">
        <w:tc>
          <w:tcPr>
            <w:tcW w:w="6246" w:type="dxa"/>
          </w:tcPr>
          <w:p w:rsidR="00FD5FA6" w:rsidRPr="00536F4D" w:rsidRDefault="00FD5FA6" w:rsidP="00DA12F3">
            <w:pPr>
              <w:pStyle w:val="TableText"/>
            </w:pPr>
            <w:r w:rsidRPr="00536F4D">
              <w:t>Any SAE, possibly related to study treatment</w:t>
            </w:r>
            <w:r w:rsidR="007108A1" w:rsidRPr="00536F4D">
              <w:t xml:space="preserve"> </w:t>
            </w:r>
            <w:r w:rsidRPr="00536F4D">
              <w:rPr>
                <w:vertAlign w:val="superscript"/>
              </w:rPr>
              <w:t>b</w:t>
            </w:r>
          </w:p>
        </w:tc>
        <w:tc>
          <w:tcPr>
            <w:tcW w:w="1405" w:type="dxa"/>
          </w:tcPr>
          <w:p w:rsidR="00FD5FA6" w:rsidRPr="00536F4D" w:rsidRDefault="00FD5FA6" w:rsidP="0072146A">
            <w:pPr>
              <w:pStyle w:val="TableText"/>
              <w:jc w:val="center"/>
            </w:pPr>
            <w:r w:rsidRPr="00536F4D">
              <w:t>10 (3.6)</w:t>
            </w:r>
          </w:p>
        </w:tc>
        <w:tc>
          <w:tcPr>
            <w:tcW w:w="1365" w:type="dxa"/>
          </w:tcPr>
          <w:p w:rsidR="00FD5FA6" w:rsidRPr="00536F4D" w:rsidRDefault="00FD5FA6" w:rsidP="0072146A">
            <w:pPr>
              <w:pStyle w:val="TableText"/>
              <w:jc w:val="center"/>
            </w:pPr>
            <w:r w:rsidRPr="00536F4D">
              <w:t>17 (12.5)</w:t>
            </w:r>
          </w:p>
        </w:tc>
      </w:tr>
      <w:tr w:rsidR="00FD5FA6" w:rsidRPr="00536F4D" w:rsidTr="00BC6818">
        <w:tc>
          <w:tcPr>
            <w:tcW w:w="6246" w:type="dxa"/>
          </w:tcPr>
          <w:p w:rsidR="00FD5FA6" w:rsidRPr="00536F4D" w:rsidRDefault="00FD5FA6" w:rsidP="00DA12F3">
            <w:pPr>
              <w:pStyle w:val="TableText"/>
            </w:pPr>
            <w:r w:rsidRPr="00536F4D">
              <w:t>Any AE leading to discontinuation of study treatment</w:t>
            </w:r>
          </w:p>
        </w:tc>
        <w:tc>
          <w:tcPr>
            <w:tcW w:w="1405" w:type="dxa"/>
          </w:tcPr>
          <w:p w:rsidR="00FD5FA6" w:rsidRPr="00536F4D" w:rsidRDefault="00FD5FA6" w:rsidP="0072146A">
            <w:pPr>
              <w:pStyle w:val="TableText"/>
              <w:jc w:val="center"/>
            </w:pPr>
            <w:r w:rsidRPr="00536F4D">
              <w:t>22 (7.9)</w:t>
            </w:r>
          </w:p>
        </w:tc>
        <w:tc>
          <w:tcPr>
            <w:tcW w:w="1365" w:type="dxa"/>
          </w:tcPr>
          <w:p w:rsidR="00FD5FA6" w:rsidRPr="00536F4D" w:rsidRDefault="00FD5FA6" w:rsidP="0072146A">
            <w:pPr>
              <w:pStyle w:val="TableText"/>
              <w:jc w:val="center"/>
            </w:pPr>
            <w:r w:rsidRPr="00536F4D">
              <w:t>15 (11.0)</w:t>
            </w:r>
          </w:p>
        </w:tc>
      </w:tr>
      <w:tr w:rsidR="00FD5FA6" w:rsidRPr="00536F4D" w:rsidTr="00BC6818">
        <w:tc>
          <w:tcPr>
            <w:tcW w:w="6246" w:type="dxa"/>
          </w:tcPr>
          <w:p w:rsidR="00FD5FA6" w:rsidRPr="00536F4D" w:rsidRDefault="00FD5FA6" w:rsidP="00DA12F3">
            <w:pPr>
              <w:pStyle w:val="TableText"/>
            </w:pPr>
            <w:r w:rsidRPr="00536F4D">
              <w:t>Any AE leading to discontinuation of study treatment, possibly related to study treatment</w:t>
            </w:r>
            <w:r w:rsidR="007108A1" w:rsidRPr="00536F4D">
              <w:t xml:space="preserve"> </w:t>
            </w:r>
            <w:r w:rsidRPr="00536F4D">
              <w:rPr>
                <w:vertAlign w:val="superscript"/>
              </w:rPr>
              <w:t>b</w:t>
            </w:r>
          </w:p>
        </w:tc>
        <w:tc>
          <w:tcPr>
            <w:tcW w:w="1405" w:type="dxa"/>
          </w:tcPr>
          <w:p w:rsidR="00FD5FA6" w:rsidRPr="00536F4D" w:rsidRDefault="00FD5FA6" w:rsidP="0072146A">
            <w:pPr>
              <w:pStyle w:val="TableText"/>
              <w:jc w:val="center"/>
            </w:pPr>
            <w:r w:rsidRPr="00536F4D">
              <w:t>12 (4.3)</w:t>
            </w:r>
          </w:p>
        </w:tc>
        <w:tc>
          <w:tcPr>
            <w:tcW w:w="1365" w:type="dxa"/>
          </w:tcPr>
          <w:p w:rsidR="00FD5FA6" w:rsidRPr="00536F4D" w:rsidRDefault="00FD5FA6" w:rsidP="0072146A">
            <w:pPr>
              <w:pStyle w:val="TableText"/>
              <w:jc w:val="center"/>
            </w:pPr>
            <w:r w:rsidRPr="00536F4D">
              <w:t>13 (9.6)</w:t>
            </w:r>
          </w:p>
        </w:tc>
      </w:tr>
    </w:tbl>
    <w:p w:rsidR="00FD5FA6" w:rsidRPr="00536F4D" w:rsidRDefault="00FD5FA6" w:rsidP="00FD5FA6">
      <w:pPr>
        <w:pStyle w:val="TableFooter"/>
      </w:pPr>
      <w:r w:rsidRPr="00536F4D">
        <w:rPr>
          <w:vertAlign w:val="superscript"/>
        </w:rPr>
        <w:t xml:space="preserve">a </w:t>
      </w:r>
      <w:r w:rsidRPr="00536F4D">
        <w:t>Patients with multiple events in the same category are counted only once in that category. Patients with events in more than one category were counted once in each category.</w:t>
      </w:r>
    </w:p>
    <w:p w:rsidR="00FD5FA6" w:rsidRPr="00536F4D" w:rsidRDefault="00FD5FA6" w:rsidP="00FD5FA6">
      <w:pPr>
        <w:pStyle w:val="TableFooter"/>
      </w:pPr>
      <w:r w:rsidRPr="00536F4D">
        <w:rPr>
          <w:vertAlign w:val="superscript"/>
        </w:rPr>
        <w:t xml:space="preserve">b </w:t>
      </w:r>
      <w:r w:rsidRPr="00536F4D">
        <w:t>As assessed by the investigator, and programmatically derived from individual causality assessments. Includes AEs with an onset date on or after the date of first dose and up to and including 28 days following the date of last dose of randomised treatment or the day before first administration of treatment switching.</w:t>
      </w:r>
    </w:p>
    <w:p w:rsidR="00FD5FA6" w:rsidRPr="00536F4D" w:rsidRDefault="00FD5FA6" w:rsidP="00FD5FA6">
      <w:pPr>
        <w:pStyle w:val="TableFooter"/>
      </w:pPr>
      <w:r w:rsidRPr="00536F4D">
        <w:t>AE = adverse event; CTCAE = Common Terminology Criteria for Adverse Events; SAE = serious adverse event</w:t>
      </w:r>
    </w:p>
    <w:p w:rsidR="00FD5FA6" w:rsidRPr="00536F4D" w:rsidRDefault="00FD5FA6" w:rsidP="00FD5FA6">
      <w:pPr>
        <w:pStyle w:val="TableFooter"/>
      </w:pPr>
      <w:r w:rsidRPr="00536F4D">
        <w:t>Source: Table 2-19, p80 of the main submission</w:t>
      </w:r>
      <w:r w:rsidR="00FC1ED4">
        <w:t>.</w:t>
      </w:r>
    </w:p>
    <w:p w:rsidR="00FD5FA6" w:rsidRPr="00536F4D" w:rsidRDefault="00FD5FA6" w:rsidP="00891893">
      <w:pPr>
        <w:pStyle w:val="ListParagraph"/>
        <w:ind w:left="709" w:hanging="709"/>
      </w:pPr>
      <w:r w:rsidRPr="00536F4D">
        <w:t>The safety profile of osimertinib differs from chemotherapy and both are well established</w:t>
      </w:r>
      <w:r w:rsidR="00CA5705" w:rsidRPr="00536F4D">
        <w:t>. S</w:t>
      </w:r>
      <w:r w:rsidRPr="00536F4D">
        <w:t xml:space="preserve">kin, nail and gastrointestinal effects </w:t>
      </w:r>
      <w:r w:rsidR="00430C9A" w:rsidRPr="00536F4D">
        <w:t xml:space="preserve">were </w:t>
      </w:r>
      <w:r w:rsidRPr="00536F4D">
        <w:t xml:space="preserve">more prominent with osimertinib and </w:t>
      </w:r>
      <w:r w:rsidR="00CA5705" w:rsidRPr="00536F4D">
        <w:t xml:space="preserve">there </w:t>
      </w:r>
      <w:r w:rsidR="00430C9A" w:rsidRPr="00536F4D">
        <w:t>we</w:t>
      </w:r>
      <w:r w:rsidR="00CA5705" w:rsidRPr="00536F4D">
        <w:t xml:space="preserve">re </w:t>
      </w:r>
      <w:r w:rsidRPr="00536F4D">
        <w:t>more haematological events associated with platinum-based chemotherapy. AEs with a higher incidence in the osimertinib arm than in the chemotherapy arm included diarrhoea (41% vs. 11%), paronychia (19% vs. 2%) and dermatitis (14% vs. 2%)</w:t>
      </w:r>
      <w:r w:rsidR="00CA5705" w:rsidRPr="00536F4D">
        <w:t>,</w:t>
      </w:r>
      <w:r w:rsidRPr="00536F4D">
        <w:t xml:space="preserve"> consistent with the known class effects for </w:t>
      </w:r>
      <w:r w:rsidR="00B901D2" w:rsidRPr="00651569">
        <w:t>EGFR</w:t>
      </w:r>
      <w:r w:rsidRPr="00651569">
        <w:t xml:space="preserve"> </w:t>
      </w:r>
      <w:r w:rsidRPr="00536F4D">
        <w:t>TKIs (e.g. gefitinib and erlotinib). AEs with a higher frequency in the chemotherapy arm than in the osimertinib arm included nausea (49% vs. 20%), anaemia (30% vs. 8%), neutropenia (13% vs. 4%), decreased platelet count (15% vs. 5%), and asthenia (15% vs. 7%).</w:t>
      </w:r>
      <w:r w:rsidR="00CB1C21" w:rsidRPr="00536F4D">
        <w:t xml:space="preserve"> </w:t>
      </w:r>
      <w:r w:rsidR="00CB1C21" w:rsidRPr="00536F4D">
        <w:rPr>
          <w:color w:val="auto"/>
        </w:rPr>
        <w:t>In AURA3, interstitial lung disease (ILD) was reported in 4.3% of patients who received treatment with osimertinib, compared to 1.5% of those who received chemotherapy. The Periodic Benefit-Risk Evaluation Report</w:t>
      </w:r>
      <w:r w:rsidR="00B278FA" w:rsidRPr="00536F4D">
        <w:rPr>
          <w:color w:val="auto"/>
        </w:rPr>
        <w:t>,</w:t>
      </w:r>
      <w:r w:rsidR="00CB1C21" w:rsidRPr="00536F4D">
        <w:rPr>
          <w:color w:val="auto"/>
        </w:rPr>
        <w:t xml:space="preserve"> provided in Attachment 7</w:t>
      </w:r>
      <w:r w:rsidR="00B278FA" w:rsidRPr="00536F4D">
        <w:rPr>
          <w:color w:val="auto"/>
        </w:rPr>
        <w:t xml:space="preserve"> to the main submission, noted that ILD was an important identified risk associated with osimertinib and that cases of ILD have been reported in 3.2% (22/690) of patients who received treatment with osimertinib in Phase II and Phase III clinical studies.</w:t>
      </w:r>
    </w:p>
    <w:p w:rsidR="00FD5FA6" w:rsidRPr="00536F4D" w:rsidRDefault="004E0767" w:rsidP="00891893">
      <w:pPr>
        <w:pStyle w:val="ListParagraph"/>
        <w:ind w:left="709" w:hanging="709"/>
        <w:rPr>
          <w:color w:val="auto"/>
        </w:rPr>
      </w:pPr>
      <w:r w:rsidRPr="00272AC4">
        <w:t>F</w:t>
      </w:r>
      <w:r w:rsidR="00385B7C" w:rsidRPr="00272AC4">
        <w:t xml:space="preserve">or the majority of patients, listing of </w:t>
      </w:r>
      <w:r w:rsidR="00FD5FA6" w:rsidRPr="00272AC4">
        <w:t>osimertinib</w:t>
      </w:r>
      <w:r w:rsidR="00385B7C" w:rsidRPr="00272AC4">
        <w:t xml:space="preserve"> would displace</w:t>
      </w:r>
      <w:r w:rsidR="0098081D" w:rsidRPr="00272AC4">
        <w:t xml:space="preserve">, rather than substitute, platinum-doublet chemotherapy </w:t>
      </w:r>
      <w:r w:rsidR="00385B7C" w:rsidRPr="00272AC4">
        <w:t xml:space="preserve">to </w:t>
      </w:r>
      <w:r w:rsidR="0098081D" w:rsidRPr="00272AC4">
        <w:t>a later</w:t>
      </w:r>
      <w:r w:rsidR="004A096C">
        <w:t xml:space="preserve"> </w:t>
      </w:r>
      <w:r w:rsidR="00385B7C" w:rsidRPr="00272AC4">
        <w:t>line</w:t>
      </w:r>
      <w:r w:rsidR="0098081D" w:rsidRPr="00272AC4">
        <w:t xml:space="preserve"> of treatment.</w:t>
      </w:r>
      <w:r w:rsidR="00FD5FA6" w:rsidRPr="00272AC4">
        <w:t xml:space="preserve"> </w:t>
      </w:r>
      <w:r w:rsidR="00385B7C" w:rsidRPr="00272AC4">
        <w:t>For these</w:t>
      </w:r>
      <w:r w:rsidR="00385B7C" w:rsidRPr="00536F4D">
        <w:t xml:space="preserve"> patients, </w:t>
      </w:r>
      <w:r w:rsidR="00FD5FA6" w:rsidRPr="00536F4D">
        <w:t>chemotherapy-related AEs w</w:t>
      </w:r>
      <w:r w:rsidR="00430C9A" w:rsidRPr="00536F4D">
        <w:t>ould</w:t>
      </w:r>
      <w:r w:rsidR="00FD5FA6" w:rsidRPr="00536F4D">
        <w:t xml:space="preserve"> be delayed</w:t>
      </w:r>
      <w:r w:rsidR="00803A6F" w:rsidRPr="00536F4D">
        <w:t>,</w:t>
      </w:r>
      <w:r w:rsidR="00FD5FA6" w:rsidRPr="00536F4D">
        <w:t xml:space="preserve"> rather than totally avoided. </w:t>
      </w:r>
      <w:r w:rsidR="00385B7C" w:rsidRPr="00536F4D">
        <w:t>To inform the comparative safety of osimertinib, relative to platinum</w:t>
      </w:r>
      <w:r w:rsidR="00C05237" w:rsidRPr="00536F4D">
        <w:t>-</w:t>
      </w:r>
      <w:r w:rsidR="00385B7C" w:rsidRPr="00536F4D">
        <w:t xml:space="preserve">based chemotherapy, safety data from </w:t>
      </w:r>
      <w:r w:rsidR="00FD5FA6" w:rsidRPr="00536F4D">
        <w:t>the direct AURA3 tri</w:t>
      </w:r>
      <w:r w:rsidR="00385B7C" w:rsidRPr="00536F4D">
        <w:t xml:space="preserve">al </w:t>
      </w:r>
      <w:r w:rsidR="00430C9A" w:rsidRPr="00536F4D">
        <w:t xml:space="preserve">should be </w:t>
      </w:r>
      <w:r w:rsidR="00385B7C" w:rsidRPr="00536F4D">
        <w:t>considered more relevant than the indirect safety analyses.</w:t>
      </w:r>
    </w:p>
    <w:p w:rsidR="003657A4" w:rsidRPr="000C32F5" w:rsidRDefault="00C22581" w:rsidP="003657A4">
      <w:pPr>
        <w:pStyle w:val="ESHeading2"/>
        <w:rPr>
          <w:rFonts w:asciiTheme="minorHAnsi" w:hAnsiTheme="minorHAnsi"/>
        </w:rPr>
      </w:pPr>
      <w:bookmarkStart w:id="24" w:name="_Toc492390272"/>
      <w:r w:rsidRPr="000C32F5">
        <w:rPr>
          <w:rFonts w:asciiTheme="minorHAnsi" w:hAnsiTheme="minorHAnsi"/>
        </w:rPr>
        <w:lastRenderedPageBreak/>
        <w:t>B</w:t>
      </w:r>
      <w:r w:rsidR="003657A4" w:rsidRPr="000C32F5">
        <w:rPr>
          <w:rFonts w:asciiTheme="minorHAnsi" w:hAnsiTheme="minorHAnsi"/>
        </w:rPr>
        <w:t>enefits and harms</w:t>
      </w:r>
      <w:bookmarkEnd w:id="24"/>
    </w:p>
    <w:p w:rsidR="00FB6BBE" w:rsidRDefault="00FD5FA6" w:rsidP="00FD5FA6">
      <w:pPr>
        <w:pStyle w:val="ListParagraph"/>
        <w:ind w:left="709" w:hanging="709"/>
      </w:pPr>
      <w:r w:rsidRPr="00536F4D">
        <w:rPr>
          <w:color w:val="auto"/>
        </w:rPr>
        <w:t>A summary of the comparative benefits and harms for osimertinib versus platinum-based chemotherapy is presented in the table below</w:t>
      </w:r>
      <w:r w:rsidRPr="00536F4D">
        <w:t xml:space="preserve">. The table is based on the key </w:t>
      </w:r>
      <w:r w:rsidR="00803A6F" w:rsidRPr="00536F4D">
        <w:t xml:space="preserve">head-to-head </w:t>
      </w:r>
      <w:r w:rsidRPr="00536F4D">
        <w:t>trial AURA3. Benefits and harms from the naïve indirec</w:t>
      </w:r>
      <w:r w:rsidR="000E0E2E">
        <w:t>t comparison between the single-</w:t>
      </w:r>
      <w:r w:rsidRPr="00536F4D">
        <w:t xml:space="preserve">arm studies </w:t>
      </w:r>
      <w:r w:rsidR="0098081D">
        <w:t>could not</w:t>
      </w:r>
      <w:r w:rsidR="0098081D" w:rsidRPr="00536F4D">
        <w:t xml:space="preserve"> </w:t>
      </w:r>
      <w:r w:rsidRPr="00536F4D">
        <w:t xml:space="preserve">be meaningfully </w:t>
      </w:r>
      <w:r w:rsidRPr="00A90DD3">
        <w:t>interpreted. Interpretation of the benefits and harms from AURA3 should consider the immaturity of the OS data and treatment switching from chemotherapy to osimertinib upon disease progression.</w:t>
      </w:r>
    </w:p>
    <w:p w:rsidR="00FB6BBE" w:rsidRPr="00FB6BBE" w:rsidRDefault="00FB6BBE" w:rsidP="00FB6BBE">
      <w:pPr>
        <w:keepNext/>
        <w:tabs>
          <w:tab w:val="left" w:pos="1134"/>
        </w:tabs>
        <w:spacing w:before="240" w:after="0"/>
        <w:contextualSpacing/>
        <w:rPr>
          <w:rFonts w:ascii="Arial Narrow" w:hAnsi="Arial Narrow"/>
          <w:b/>
          <w:iCs/>
          <w:sz w:val="20"/>
          <w:szCs w:val="18"/>
        </w:rPr>
      </w:pPr>
      <w:r w:rsidRPr="00FB6BBE">
        <w:rPr>
          <w:rFonts w:ascii="Arial Narrow" w:hAnsi="Arial Narrow"/>
          <w:b/>
          <w:iCs/>
          <w:sz w:val="20"/>
          <w:szCs w:val="18"/>
        </w:rPr>
        <w:t xml:space="preserve">Table </w:t>
      </w:r>
      <w:r w:rsidRPr="00FB6BBE">
        <w:rPr>
          <w:rFonts w:ascii="Arial Narrow" w:hAnsi="Arial Narrow"/>
          <w:b/>
          <w:iCs/>
          <w:noProof/>
          <w:sz w:val="20"/>
          <w:szCs w:val="18"/>
        </w:rPr>
        <w:t>9</w:t>
      </w:r>
      <w:r w:rsidRPr="00FB6BBE">
        <w:rPr>
          <w:rFonts w:ascii="Arial Narrow" w:hAnsi="Arial Narrow"/>
          <w:b/>
          <w:iCs/>
          <w:sz w:val="20"/>
          <w:szCs w:val="18"/>
        </w:rPr>
        <w:t xml:space="preserve">: AURA3: Summary of comparative benefits and harms for osimertinib and platinum-based chemotherapy </w:t>
      </w:r>
      <w:r w:rsidR="000B2D46">
        <w:rPr>
          <w:rFonts w:ascii="Arial Narrow" w:hAnsi="Arial Narrow"/>
          <w:b/>
          <w:iCs/>
          <w:noProof/>
          <w:color w:val="000000"/>
          <w:sz w:val="20"/>
          <w:szCs w:val="18"/>
          <w:highlight w:val="black"/>
        </w:rPr>
        <w:t>''''''''''''''' '''''' '''''''''''''''''' ''' ''''''''''''''''''''' '''''''''' '''''''''''''''' ''''''''' '''''''''''''''''' ''''''''' ''''''''' '''''''''''''''''''' ''''''''''' '''''''''''''''''''''''''' '''' ''''''''''''''''''''''''''</w:t>
      </w:r>
    </w:p>
    <w:tbl>
      <w:tblPr>
        <w:tblStyle w:val="TableGridbeth7"/>
        <w:tblW w:w="4994" w:type="pct"/>
        <w:tblInd w:w="28" w:type="dxa"/>
        <w:tblLayout w:type="fixed"/>
        <w:tblCellMar>
          <w:left w:w="28" w:type="dxa"/>
          <w:right w:w="28" w:type="dxa"/>
        </w:tblCellMar>
        <w:tblLook w:val="04A0" w:firstRow="1" w:lastRow="0" w:firstColumn="1" w:lastColumn="0" w:noHBand="0" w:noVBand="1"/>
        <w:tblCaption w:val="Table 9: AURA3: Summary of comparative benefits and harms for osimertinib and platinum-based chemotherapy (interim OS analysis 2 September 2016 cut-off; 26% maturity with 67% switching from chemotherapy to osimertinib)"/>
      </w:tblPr>
      <w:tblGrid>
        <w:gridCol w:w="2394"/>
        <w:gridCol w:w="1569"/>
        <w:gridCol w:w="1575"/>
        <w:gridCol w:w="991"/>
        <w:gridCol w:w="1005"/>
        <w:gridCol w:w="1537"/>
      </w:tblGrid>
      <w:tr w:rsidR="00FD5FA6" w:rsidRPr="00536F4D" w:rsidTr="005D46F1">
        <w:trPr>
          <w:trHeight w:val="214"/>
          <w:tblHeader/>
        </w:trPr>
        <w:tc>
          <w:tcPr>
            <w:tcW w:w="5000" w:type="pct"/>
            <w:gridSpan w:val="6"/>
            <w:shd w:val="clear" w:color="auto" w:fill="auto"/>
            <w:vAlign w:val="center"/>
          </w:tcPr>
          <w:p w:rsidR="00FD5FA6" w:rsidRPr="00536F4D" w:rsidRDefault="00FD5FA6" w:rsidP="00DA12F3">
            <w:pPr>
              <w:spacing w:before="0"/>
              <w:rPr>
                <w:rFonts w:ascii="Arial Narrow" w:hAnsi="Arial Narrow"/>
                <w:b/>
                <w:color w:val="000000"/>
                <w:sz w:val="20"/>
                <w:szCs w:val="18"/>
              </w:rPr>
            </w:pPr>
            <w:r w:rsidRPr="00536F4D">
              <w:rPr>
                <w:rFonts w:ascii="Arial Narrow" w:hAnsi="Arial Narrow"/>
                <w:b/>
                <w:color w:val="000000"/>
                <w:sz w:val="20"/>
                <w:szCs w:val="18"/>
              </w:rPr>
              <w:t>Benefits</w:t>
            </w:r>
          </w:p>
        </w:tc>
      </w:tr>
      <w:tr w:rsidR="00FD5FA6" w:rsidRPr="00536F4D" w:rsidTr="00DA12F3">
        <w:tc>
          <w:tcPr>
            <w:tcW w:w="1320" w:type="pct"/>
            <w:shd w:val="clear" w:color="auto" w:fill="auto"/>
            <w:vAlign w:val="center"/>
          </w:tcPr>
          <w:p w:rsidR="00FD5FA6" w:rsidRPr="00536F4D" w:rsidRDefault="00FD5FA6" w:rsidP="00DA12F3">
            <w:pPr>
              <w:spacing w:before="0"/>
              <w:jc w:val="center"/>
              <w:rPr>
                <w:rFonts w:ascii="Arial Narrow" w:hAnsi="Arial Narrow"/>
                <w:color w:val="000000"/>
                <w:sz w:val="20"/>
                <w:szCs w:val="18"/>
              </w:rPr>
            </w:pPr>
          </w:p>
        </w:tc>
        <w:tc>
          <w:tcPr>
            <w:tcW w:w="865" w:type="pct"/>
            <w:vAlign w:val="center"/>
          </w:tcPr>
          <w:p w:rsidR="00FD5FA6" w:rsidRPr="00536F4D" w:rsidRDefault="00FD5FA6" w:rsidP="00DA12F3">
            <w:pPr>
              <w:spacing w:before="0"/>
              <w:jc w:val="center"/>
              <w:rPr>
                <w:rFonts w:ascii="Arial Narrow" w:hAnsi="Arial Narrow"/>
                <w:b/>
                <w:sz w:val="20"/>
              </w:rPr>
            </w:pPr>
            <w:r w:rsidRPr="00536F4D">
              <w:rPr>
                <w:rFonts w:ascii="Arial Narrow" w:hAnsi="Arial Narrow"/>
                <w:b/>
                <w:sz w:val="20"/>
              </w:rPr>
              <w:t>Osimertinib</w:t>
            </w:r>
          </w:p>
          <w:p w:rsidR="00FD5FA6" w:rsidRPr="00536F4D" w:rsidRDefault="00FD5FA6" w:rsidP="00DA12F3">
            <w:pPr>
              <w:spacing w:before="0"/>
              <w:jc w:val="center"/>
              <w:rPr>
                <w:rFonts w:ascii="Arial Narrow" w:hAnsi="Arial Narrow"/>
                <w:b/>
                <w:sz w:val="20"/>
              </w:rPr>
            </w:pPr>
            <w:r w:rsidRPr="00536F4D">
              <w:rPr>
                <w:rFonts w:ascii="Arial Narrow" w:hAnsi="Arial Narrow"/>
                <w:b/>
                <w:sz w:val="20"/>
              </w:rPr>
              <w:t>N = 279</w:t>
            </w:r>
          </w:p>
          <w:p w:rsidR="00FD5FA6" w:rsidRPr="00536F4D" w:rsidRDefault="00FD5FA6" w:rsidP="00DA12F3">
            <w:pPr>
              <w:spacing w:before="0"/>
              <w:jc w:val="center"/>
              <w:rPr>
                <w:rFonts w:ascii="Arial Narrow" w:hAnsi="Arial Narrow"/>
                <w:b/>
                <w:color w:val="000000"/>
                <w:sz w:val="20"/>
                <w:szCs w:val="18"/>
              </w:rPr>
            </w:pPr>
            <w:r w:rsidRPr="00536F4D">
              <w:rPr>
                <w:rFonts w:ascii="Arial Narrow" w:hAnsi="Arial Narrow"/>
                <w:b/>
                <w:sz w:val="20"/>
              </w:rPr>
              <w:t>Mean duration of exposure: 11.1 months</w:t>
            </w:r>
          </w:p>
        </w:tc>
        <w:tc>
          <w:tcPr>
            <w:tcW w:w="868" w:type="pct"/>
            <w:vAlign w:val="center"/>
          </w:tcPr>
          <w:p w:rsidR="00FD5FA6" w:rsidRPr="00536F4D" w:rsidRDefault="00FD5FA6" w:rsidP="00DA12F3">
            <w:pPr>
              <w:spacing w:before="0"/>
              <w:jc w:val="center"/>
              <w:rPr>
                <w:rFonts w:ascii="Arial Narrow" w:hAnsi="Arial Narrow"/>
                <w:b/>
                <w:sz w:val="20"/>
              </w:rPr>
            </w:pPr>
            <w:r w:rsidRPr="00536F4D">
              <w:rPr>
                <w:rFonts w:ascii="Arial Narrow" w:hAnsi="Arial Narrow"/>
                <w:b/>
                <w:sz w:val="20"/>
              </w:rPr>
              <w:t>Chemotherapy</w:t>
            </w:r>
          </w:p>
          <w:p w:rsidR="00FD5FA6" w:rsidRPr="00536F4D" w:rsidRDefault="00FD5FA6" w:rsidP="00DA12F3">
            <w:pPr>
              <w:spacing w:before="0"/>
              <w:jc w:val="center"/>
              <w:rPr>
                <w:rFonts w:ascii="Arial Narrow" w:hAnsi="Arial Narrow"/>
                <w:b/>
                <w:sz w:val="20"/>
              </w:rPr>
            </w:pPr>
            <w:r w:rsidRPr="00536F4D">
              <w:rPr>
                <w:rFonts w:ascii="Arial Narrow" w:hAnsi="Arial Narrow"/>
                <w:b/>
                <w:sz w:val="20"/>
              </w:rPr>
              <w:t>N = 140</w:t>
            </w:r>
          </w:p>
          <w:p w:rsidR="00FD5FA6" w:rsidRPr="00536F4D" w:rsidRDefault="00FD5FA6" w:rsidP="00DA12F3">
            <w:pPr>
              <w:spacing w:before="0"/>
              <w:jc w:val="center"/>
              <w:rPr>
                <w:rFonts w:ascii="Arial Narrow" w:hAnsi="Arial Narrow"/>
                <w:b/>
                <w:color w:val="000000"/>
                <w:sz w:val="20"/>
                <w:szCs w:val="18"/>
              </w:rPr>
            </w:pPr>
            <w:r w:rsidRPr="00536F4D">
              <w:rPr>
                <w:rFonts w:ascii="Arial Narrow" w:hAnsi="Arial Narrow"/>
                <w:b/>
                <w:sz w:val="20"/>
              </w:rPr>
              <w:t>Mean duration of exposure: 5.2 months</w:t>
            </w:r>
          </w:p>
        </w:tc>
        <w:tc>
          <w:tcPr>
            <w:tcW w:w="1100" w:type="pct"/>
            <w:gridSpan w:val="2"/>
            <w:vAlign w:val="center"/>
          </w:tcPr>
          <w:p w:rsidR="00FD5FA6" w:rsidRPr="00536F4D" w:rsidRDefault="00FD5FA6" w:rsidP="00DA12F3">
            <w:pPr>
              <w:spacing w:before="0"/>
              <w:jc w:val="center"/>
              <w:rPr>
                <w:rFonts w:ascii="Arial Narrow" w:hAnsi="Arial Narrow"/>
                <w:b/>
                <w:color w:val="000000"/>
                <w:sz w:val="20"/>
                <w:szCs w:val="18"/>
              </w:rPr>
            </w:pPr>
            <w:r w:rsidRPr="00536F4D">
              <w:rPr>
                <w:rFonts w:ascii="Arial Narrow" w:hAnsi="Arial Narrow"/>
                <w:b/>
                <w:sz w:val="20"/>
              </w:rPr>
              <w:t>Absolute difference</w:t>
            </w:r>
          </w:p>
        </w:tc>
        <w:tc>
          <w:tcPr>
            <w:tcW w:w="847" w:type="pct"/>
            <w:vAlign w:val="center"/>
          </w:tcPr>
          <w:p w:rsidR="00FD5FA6" w:rsidRPr="00536F4D" w:rsidRDefault="00FD5FA6" w:rsidP="00DA12F3">
            <w:pPr>
              <w:spacing w:before="0"/>
              <w:jc w:val="center"/>
              <w:rPr>
                <w:rFonts w:ascii="Arial Narrow" w:hAnsi="Arial Narrow"/>
                <w:b/>
                <w:color w:val="000000"/>
                <w:sz w:val="20"/>
                <w:szCs w:val="18"/>
              </w:rPr>
            </w:pPr>
            <w:r w:rsidRPr="00536F4D">
              <w:rPr>
                <w:rFonts w:ascii="Arial Narrow" w:hAnsi="Arial Narrow"/>
                <w:b/>
                <w:sz w:val="20"/>
              </w:rPr>
              <w:t>HR (95% CI)</w:t>
            </w:r>
          </w:p>
        </w:tc>
      </w:tr>
      <w:tr w:rsidR="00FD5FA6" w:rsidRPr="00536F4D" w:rsidTr="00DA12F3">
        <w:tc>
          <w:tcPr>
            <w:tcW w:w="5000" w:type="pct"/>
            <w:gridSpan w:val="6"/>
            <w:shd w:val="clear" w:color="auto" w:fill="auto"/>
          </w:tcPr>
          <w:p w:rsidR="00FD5FA6" w:rsidRPr="00536F4D" w:rsidRDefault="00FD5FA6" w:rsidP="00DA12F3">
            <w:pPr>
              <w:spacing w:before="0"/>
              <w:jc w:val="left"/>
              <w:rPr>
                <w:rFonts w:ascii="Arial Narrow" w:hAnsi="Arial Narrow"/>
                <w:b/>
                <w:sz w:val="20"/>
              </w:rPr>
            </w:pPr>
            <w:r w:rsidRPr="00536F4D">
              <w:rPr>
                <w:rFonts w:ascii="Arial Narrow" w:hAnsi="Arial Narrow"/>
                <w:b/>
                <w:sz w:val="20"/>
              </w:rPr>
              <w:t>Overall survival</w:t>
            </w:r>
          </w:p>
        </w:tc>
      </w:tr>
      <w:tr w:rsidR="00D43BBF" w:rsidRPr="00536F4D" w:rsidTr="007A3F06">
        <w:tc>
          <w:tcPr>
            <w:tcW w:w="1320" w:type="pct"/>
            <w:shd w:val="clear" w:color="auto" w:fill="auto"/>
          </w:tcPr>
          <w:p w:rsidR="00D43BBF" w:rsidRPr="00536F4D" w:rsidRDefault="00D43BBF" w:rsidP="00DA12F3">
            <w:pPr>
              <w:spacing w:before="0"/>
              <w:rPr>
                <w:rFonts w:ascii="Arial Narrow" w:hAnsi="Arial Narrow"/>
                <w:sz w:val="20"/>
              </w:rPr>
            </w:pPr>
            <w:r w:rsidRPr="00536F4D">
              <w:rPr>
                <w:rFonts w:ascii="Arial Narrow" w:hAnsi="Arial Narrow"/>
                <w:sz w:val="20"/>
              </w:rPr>
              <w:t>Deaths, n (%)</w:t>
            </w:r>
          </w:p>
          <w:p w:rsidR="00D43BBF" w:rsidRPr="00536F4D" w:rsidRDefault="00D43BBF" w:rsidP="00DA12F3">
            <w:pPr>
              <w:spacing w:before="0"/>
              <w:rPr>
                <w:rFonts w:ascii="Arial Narrow" w:hAnsi="Arial Narrow"/>
                <w:color w:val="000000"/>
                <w:sz w:val="20"/>
                <w:szCs w:val="18"/>
              </w:rPr>
            </w:pPr>
            <w:r w:rsidRPr="00536F4D">
              <w:rPr>
                <w:rFonts w:ascii="Arial Narrow" w:hAnsi="Arial Narrow"/>
                <w:sz w:val="20"/>
              </w:rPr>
              <w:t>% surviving at 12 month - time point (95% CI)</w:t>
            </w:r>
          </w:p>
        </w:tc>
        <w:tc>
          <w:tcPr>
            <w:tcW w:w="865" w:type="pct"/>
          </w:tcPr>
          <w:p w:rsidR="00D43BBF" w:rsidRPr="000B2D46" w:rsidRDefault="000B2D46" w:rsidP="00DA12F3">
            <w:pPr>
              <w:spacing w:before="0"/>
              <w:jc w:val="center"/>
              <w:rPr>
                <w:rFonts w:ascii="Arial Narrow" w:hAnsi="Arial Narrow"/>
                <w:sz w:val="20"/>
                <w:highlight w:val="black"/>
              </w:rPr>
            </w:pPr>
            <w:r>
              <w:rPr>
                <w:rFonts w:ascii="Arial Narrow" w:hAnsi="Arial Narrow"/>
                <w:noProof/>
                <w:color w:val="000000"/>
                <w:sz w:val="20"/>
                <w:highlight w:val="black"/>
              </w:rPr>
              <w:t>'''''' ''''''''''''''</w:t>
            </w:r>
          </w:p>
          <w:p w:rsidR="00D43BBF" w:rsidRPr="000B2D46" w:rsidRDefault="000B2D46" w:rsidP="00D43BBF">
            <w:pPr>
              <w:spacing w:before="0"/>
              <w:jc w:val="center"/>
              <w:rPr>
                <w:rFonts w:ascii="Arial Narrow" w:hAnsi="Arial Narrow"/>
                <w:sz w:val="20"/>
                <w:highlight w:val="black"/>
              </w:rPr>
            </w:pPr>
            <w:r>
              <w:rPr>
                <w:rFonts w:ascii="Arial Narrow" w:hAnsi="Arial Narrow"/>
                <w:noProof/>
                <w:color w:val="000000"/>
                <w:sz w:val="20"/>
                <w:highlight w:val="black"/>
              </w:rPr>
              <w:t>'''''''''''''''' ''''''''''''' ''''''''''''</w:t>
            </w:r>
          </w:p>
        </w:tc>
        <w:tc>
          <w:tcPr>
            <w:tcW w:w="868" w:type="pct"/>
          </w:tcPr>
          <w:p w:rsidR="00D43BBF" w:rsidRPr="000B2D46" w:rsidRDefault="000B2D46" w:rsidP="00DA12F3">
            <w:pPr>
              <w:spacing w:before="0"/>
              <w:jc w:val="center"/>
              <w:rPr>
                <w:rFonts w:ascii="Arial Narrow" w:hAnsi="Arial Narrow"/>
                <w:sz w:val="20"/>
                <w:highlight w:val="black"/>
              </w:rPr>
            </w:pPr>
            <w:r>
              <w:rPr>
                <w:rFonts w:ascii="Arial Narrow" w:hAnsi="Arial Narrow"/>
                <w:noProof/>
                <w:color w:val="000000"/>
                <w:sz w:val="20"/>
                <w:highlight w:val="black"/>
              </w:rPr>
              <w:t>'''''' ''''''''''''</w:t>
            </w:r>
          </w:p>
          <w:p w:rsidR="00D43BBF" w:rsidRPr="000B2D46" w:rsidRDefault="000B2D46" w:rsidP="00D43BBF">
            <w:pPr>
              <w:spacing w:before="0"/>
              <w:jc w:val="center"/>
              <w:rPr>
                <w:rFonts w:ascii="Arial Narrow" w:hAnsi="Arial Narrow"/>
                <w:sz w:val="20"/>
                <w:highlight w:val="black"/>
              </w:rPr>
            </w:pPr>
            <w:r>
              <w:rPr>
                <w:rFonts w:ascii="Arial Narrow" w:hAnsi="Arial Narrow"/>
                <w:noProof/>
                <w:color w:val="000000"/>
                <w:sz w:val="20"/>
                <w:highlight w:val="black"/>
              </w:rPr>
              <w:t>'''''''''''''''' '''''''''''''' ''''''''''''</w:t>
            </w:r>
          </w:p>
        </w:tc>
        <w:tc>
          <w:tcPr>
            <w:tcW w:w="1100" w:type="pct"/>
            <w:gridSpan w:val="2"/>
          </w:tcPr>
          <w:p w:rsidR="00D43BBF" w:rsidRPr="000B2D46" w:rsidRDefault="000B2D46" w:rsidP="00DA12F3">
            <w:pPr>
              <w:spacing w:before="0"/>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D43BBF" w:rsidRPr="000B2D46" w:rsidRDefault="000B2D46" w:rsidP="00DA12F3">
            <w:pPr>
              <w:spacing w:before="0"/>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7" w:type="pct"/>
            <w:vAlign w:val="center"/>
          </w:tcPr>
          <w:p w:rsidR="00D43BBF" w:rsidRPr="000B2D46" w:rsidRDefault="000B2D46" w:rsidP="007A3F06">
            <w:pPr>
              <w:spacing w:before="0"/>
              <w:jc w:val="center"/>
              <w:rPr>
                <w:rFonts w:ascii="Arial Narrow" w:hAnsi="Arial Narrow"/>
                <w:sz w:val="20"/>
                <w:highlight w:val="black"/>
              </w:rPr>
            </w:pPr>
            <w:r>
              <w:rPr>
                <w:rFonts w:ascii="Arial Narrow" w:hAnsi="Arial Narrow"/>
                <w:noProof/>
                <w:color w:val="000000"/>
                <w:sz w:val="20"/>
                <w:highlight w:val="black"/>
              </w:rPr>
              <w:t>'''''''''' ''''''''''''' ''''''''''''</w:t>
            </w:r>
          </w:p>
          <w:p w:rsidR="00D43BBF" w:rsidRPr="000B2D46" w:rsidRDefault="000B2D46" w:rsidP="00DA12F3">
            <w:pPr>
              <w:spacing w:before="0"/>
              <w:jc w:val="center"/>
              <w:rPr>
                <w:rFonts w:ascii="Arial Narrow" w:hAnsi="Arial Narrow"/>
                <w:sz w:val="20"/>
                <w:highlight w:val="black"/>
              </w:rPr>
            </w:pPr>
            <w:r>
              <w:rPr>
                <w:rFonts w:ascii="Arial Narrow" w:hAnsi="Arial Narrow"/>
                <w:noProof/>
                <w:color w:val="000000"/>
                <w:sz w:val="20"/>
                <w:highlight w:val="black"/>
              </w:rPr>
              <w:t>'''''''''''''''' '''' ''''''''''''''</w:t>
            </w:r>
          </w:p>
        </w:tc>
      </w:tr>
      <w:tr w:rsidR="00D43BBF" w:rsidRPr="00536F4D" w:rsidTr="00DA12F3">
        <w:tc>
          <w:tcPr>
            <w:tcW w:w="1320" w:type="pct"/>
            <w:shd w:val="clear" w:color="auto" w:fill="auto"/>
          </w:tcPr>
          <w:p w:rsidR="00D43BBF" w:rsidRPr="00536F4D" w:rsidRDefault="00D43BBF" w:rsidP="00DA12F3">
            <w:pPr>
              <w:spacing w:before="0"/>
              <w:rPr>
                <w:rFonts w:ascii="Arial Narrow" w:hAnsi="Arial Narrow"/>
                <w:color w:val="000000"/>
                <w:sz w:val="20"/>
                <w:szCs w:val="18"/>
              </w:rPr>
            </w:pPr>
            <w:r w:rsidRPr="00536F4D">
              <w:rPr>
                <w:rFonts w:ascii="Arial Narrow" w:hAnsi="Arial Narrow"/>
                <w:sz w:val="20"/>
              </w:rPr>
              <w:t>OS median months (95% CI)</w:t>
            </w:r>
          </w:p>
        </w:tc>
        <w:tc>
          <w:tcPr>
            <w:tcW w:w="865" w:type="pct"/>
            <w:vAlign w:val="center"/>
          </w:tcPr>
          <w:p w:rsidR="00D43BBF" w:rsidRPr="000B2D46" w:rsidRDefault="000B2D46" w:rsidP="00DA12F3">
            <w:pPr>
              <w:spacing w:before="0"/>
              <w:jc w:val="center"/>
              <w:rPr>
                <w:rFonts w:ascii="Arial Narrow" w:hAnsi="Arial Narrow"/>
                <w:sz w:val="20"/>
                <w:highlight w:val="black"/>
              </w:rPr>
            </w:pPr>
            <w:r>
              <w:rPr>
                <w:rFonts w:ascii="Arial Narrow" w:hAnsi="Arial Narrow"/>
                <w:noProof/>
                <w:color w:val="000000"/>
                <w:sz w:val="20"/>
                <w:highlight w:val="black"/>
              </w:rPr>
              <w:t>'''''''' '''''''''''''''''''''</w:t>
            </w:r>
          </w:p>
          <w:p w:rsidR="00D43BBF" w:rsidRPr="000B2D46" w:rsidRDefault="000B2D46" w:rsidP="00DA12F3">
            <w:pPr>
              <w:spacing w:before="0"/>
              <w:jc w:val="center"/>
              <w:rPr>
                <w:rFonts w:ascii="Arial Narrow" w:hAnsi="Arial Narrow"/>
                <w:sz w:val="20"/>
                <w:highlight w:val="black"/>
              </w:rPr>
            </w:pPr>
            <w:r>
              <w:rPr>
                <w:rFonts w:ascii="Arial Narrow" w:hAnsi="Arial Narrow"/>
                <w:noProof/>
                <w:color w:val="000000"/>
                <w:sz w:val="20"/>
                <w:highlight w:val="black"/>
              </w:rPr>
              <w:t>''''''''''''' ''''''''' ''''''''''''''''''''''</w:t>
            </w:r>
          </w:p>
        </w:tc>
        <w:tc>
          <w:tcPr>
            <w:tcW w:w="868" w:type="pct"/>
            <w:vAlign w:val="center"/>
          </w:tcPr>
          <w:p w:rsidR="00D43BBF" w:rsidRPr="000B2D46" w:rsidRDefault="000B2D46" w:rsidP="00DA12F3">
            <w:pPr>
              <w:spacing w:before="0"/>
              <w:jc w:val="center"/>
              <w:rPr>
                <w:rFonts w:ascii="Arial Narrow" w:hAnsi="Arial Narrow"/>
                <w:sz w:val="20"/>
                <w:highlight w:val="black"/>
              </w:rPr>
            </w:pPr>
            <w:r>
              <w:rPr>
                <w:rFonts w:ascii="Arial Narrow" w:hAnsi="Arial Narrow"/>
                <w:noProof/>
                <w:color w:val="000000"/>
                <w:sz w:val="20"/>
                <w:highlight w:val="black"/>
              </w:rPr>
              <w:t>''''''' ''''''''''''''''''''</w:t>
            </w:r>
          </w:p>
          <w:p w:rsidR="00D43BBF" w:rsidRPr="000B2D46" w:rsidRDefault="000B2D46" w:rsidP="00DA12F3">
            <w:pPr>
              <w:spacing w:before="0"/>
              <w:jc w:val="center"/>
              <w:rPr>
                <w:rFonts w:ascii="Arial Narrow" w:hAnsi="Arial Narrow"/>
                <w:sz w:val="20"/>
                <w:highlight w:val="black"/>
              </w:rPr>
            </w:pPr>
            <w:r>
              <w:rPr>
                <w:rFonts w:ascii="Arial Narrow" w:hAnsi="Arial Narrow"/>
                <w:noProof/>
                <w:color w:val="000000"/>
                <w:sz w:val="20"/>
                <w:highlight w:val="black"/>
              </w:rPr>
              <w:t>'''''''''''''' ''''''''' '''''''''''''''''''</w:t>
            </w:r>
          </w:p>
        </w:tc>
        <w:tc>
          <w:tcPr>
            <w:tcW w:w="1100" w:type="pct"/>
            <w:gridSpan w:val="2"/>
            <w:vAlign w:val="center"/>
          </w:tcPr>
          <w:p w:rsidR="00D43BBF" w:rsidRPr="000B2D46" w:rsidRDefault="000B2D46" w:rsidP="00DA12F3">
            <w:pPr>
              <w:spacing w:before="0"/>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847" w:type="pct"/>
            <w:vAlign w:val="center"/>
          </w:tcPr>
          <w:p w:rsidR="00D43BBF" w:rsidRPr="000B2D46" w:rsidRDefault="00D43BBF" w:rsidP="00DA12F3">
            <w:pPr>
              <w:spacing w:before="0"/>
              <w:jc w:val="center"/>
              <w:rPr>
                <w:rFonts w:ascii="Arial Narrow" w:hAnsi="Arial Narrow"/>
                <w:sz w:val="20"/>
              </w:rPr>
            </w:pPr>
          </w:p>
        </w:tc>
      </w:tr>
      <w:tr w:rsidR="00D43BBF" w:rsidRPr="00536F4D" w:rsidTr="00DA12F3">
        <w:tc>
          <w:tcPr>
            <w:tcW w:w="5000" w:type="pct"/>
            <w:gridSpan w:val="6"/>
            <w:shd w:val="clear" w:color="auto" w:fill="auto"/>
            <w:vAlign w:val="center"/>
          </w:tcPr>
          <w:p w:rsidR="00D43BBF" w:rsidRPr="00536F4D" w:rsidRDefault="00D43BBF" w:rsidP="00DA12F3">
            <w:pPr>
              <w:spacing w:before="0"/>
              <w:jc w:val="left"/>
              <w:rPr>
                <w:rFonts w:ascii="Arial Narrow" w:hAnsi="Arial Narrow"/>
                <w:b/>
                <w:sz w:val="20"/>
              </w:rPr>
            </w:pPr>
            <w:r w:rsidRPr="00536F4D">
              <w:rPr>
                <w:rFonts w:ascii="Arial Narrow" w:hAnsi="Arial Narrow"/>
                <w:b/>
                <w:sz w:val="20"/>
              </w:rPr>
              <w:t>RECIST-defined PFS (Investigator confirmed by independent review)</w:t>
            </w:r>
          </w:p>
        </w:tc>
      </w:tr>
      <w:tr w:rsidR="00D43BBF" w:rsidRPr="00536F4D" w:rsidTr="007A3F06">
        <w:tc>
          <w:tcPr>
            <w:tcW w:w="1320" w:type="pct"/>
            <w:shd w:val="clear" w:color="auto" w:fill="auto"/>
          </w:tcPr>
          <w:p w:rsidR="00D43BBF" w:rsidRPr="00536F4D" w:rsidRDefault="00D43BBF" w:rsidP="00DA12F3">
            <w:pPr>
              <w:spacing w:before="0"/>
              <w:rPr>
                <w:rFonts w:ascii="Arial Narrow" w:hAnsi="Arial Narrow"/>
                <w:color w:val="000000"/>
                <w:sz w:val="20"/>
                <w:szCs w:val="18"/>
              </w:rPr>
            </w:pPr>
            <w:r w:rsidRPr="00536F4D">
              <w:rPr>
                <w:rFonts w:ascii="Arial Narrow" w:hAnsi="Arial Narrow"/>
                <w:sz w:val="20"/>
              </w:rPr>
              <w:t>Progressed, n (%)</w:t>
            </w:r>
          </w:p>
        </w:tc>
        <w:tc>
          <w:tcPr>
            <w:tcW w:w="865" w:type="pct"/>
            <w:vAlign w:val="center"/>
          </w:tcPr>
          <w:p w:rsidR="00D43BBF" w:rsidRPr="00536F4D" w:rsidRDefault="00D43BBF" w:rsidP="00DA12F3">
            <w:pPr>
              <w:spacing w:before="0"/>
              <w:jc w:val="center"/>
              <w:rPr>
                <w:rFonts w:ascii="Arial Narrow" w:hAnsi="Arial Narrow"/>
                <w:sz w:val="20"/>
              </w:rPr>
            </w:pPr>
            <w:r w:rsidRPr="00536F4D">
              <w:rPr>
                <w:rFonts w:ascii="Arial Narrow" w:hAnsi="Arial Narrow"/>
                <w:sz w:val="20"/>
              </w:rPr>
              <w:t>140 (50.2)</w:t>
            </w:r>
          </w:p>
        </w:tc>
        <w:tc>
          <w:tcPr>
            <w:tcW w:w="868" w:type="pct"/>
            <w:vAlign w:val="center"/>
          </w:tcPr>
          <w:p w:rsidR="00D43BBF" w:rsidRPr="00536F4D" w:rsidRDefault="00D43BBF" w:rsidP="00DA12F3">
            <w:pPr>
              <w:spacing w:before="0"/>
              <w:jc w:val="center"/>
              <w:rPr>
                <w:rFonts w:ascii="Arial Narrow" w:hAnsi="Arial Narrow"/>
                <w:sz w:val="20"/>
              </w:rPr>
            </w:pPr>
            <w:r w:rsidRPr="00536F4D">
              <w:rPr>
                <w:rFonts w:ascii="Arial Narrow" w:hAnsi="Arial Narrow"/>
                <w:sz w:val="20"/>
              </w:rPr>
              <w:t>110 (78.6)</w:t>
            </w:r>
          </w:p>
        </w:tc>
        <w:tc>
          <w:tcPr>
            <w:tcW w:w="1100" w:type="pct"/>
            <w:gridSpan w:val="2"/>
          </w:tcPr>
          <w:p w:rsidR="00D43BBF" w:rsidRPr="00536F4D" w:rsidRDefault="00D43BBF" w:rsidP="00DA12F3">
            <w:pPr>
              <w:spacing w:before="0"/>
              <w:jc w:val="center"/>
              <w:rPr>
                <w:rFonts w:ascii="Arial Narrow" w:hAnsi="Arial Narrow"/>
                <w:color w:val="000000"/>
                <w:sz w:val="20"/>
                <w:szCs w:val="18"/>
              </w:rPr>
            </w:pPr>
            <w:r w:rsidRPr="00536F4D">
              <w:rPr>
                <w:rFonts w:ascii="Arial Narrow" w:hAnsi="Arial Narrow"/>
                <w:color w:val="000000"/>
                <w:sz w:val="20"/>
                <w:szCs w:val="18"/>
              </w:rPr>
              <w:t>29%</w:t>
            </w:r>
          </w:p>
        </w:tc>
        <w:tc>
          <w:tcPr>
            <w:tcW w:w="847" w:type="pct"/>
            <w:vAlign w:val="center"/>
          </w:tcPr>
          <w:p w:rsidR="00D43BBF" w:rsidRPr="00536F4D" w:rsidRDefault="00D43BBF" w:rsidP="007A3F06">
            <w:pPr>
              <w:spacing w:before="0"/>
              <w:jc w:val="center"/>
              <w:rPr>
                <w:rFonts w:ascii="Arial Narrow" w:hAnsi="Arial Narrow"/>
                <w:sz w:val="20"/>
              </w:rPr>
            </w:pPr>
            <w:r w:rsidRPr="00536F4D">
              <w:rPr>
                <w:rFonts w:ascii="Arial Narrow" w:hAnsi="Arial Narrow"/>
                <w:sz w:val="20"/>
              </w:rPr>
              <w:t>0.30 (023, 0.41)</w:t>
            </w:r>
          </w:p>
          <w:p w:rsidR="00D43BBF" w:rsidRPr="00536F4D" w:rsidRDefault="00D43BBF" w:rsidP="00DA12F3">
            <w:pPr>
              <w:spacing w:before="0"/>
              <w:jc w:val="center"/>
              <w:rPr>
                <w:rFonts w:ascii="Arial Narrow" w:hAnsi="Arial Narrow"/>
                <w:sz w:val="20"/>
              </w:rPr>
            </w:pPr>
            <w:r w:rsidRPr="00536F4D">
              <w:rPr>
                <w:rFonts w:ascii="Arial Narrow" w:hAnsi="Arial Narrow"/>
                <w:sz w:val="20"/>
              </w:rPr>
              <w:t>p-value &lt;0.001</w:t>
            </w:r>
          </w:p>
        </w:tc>
      </w:tr>
      <w:tr w:rsidR="00D43BBF" w:rsidRPr="00536F4D" w:rsidTr="00DA12F3">
        <w:tc>
          <w:tcPr>
            <w:tcW w:w="1320" w:type="pct"/>
            <w:shd w:val="clear" w:color="auto" w:fill="auto"/>
          </w:tcPr>
          <w:p w:rsidR="00D43BBF" w:rsidRPr="00536F4D" w:rsidRDefault="00D43BBF" w:rsidP="00DA12F3">
            <w:pPr>
              <w:spacing w:before="0"/>
              <w:jc w:val="left"/>
              <w:rPr>
                <w:rFonts w:ascii="Arial Narrow" w:hAnsi="Arial Narrow"/>
                <w:color w:val="000000"/>
                <w:sz w:val="20"/>
                <w:szCs w:val="18"/>
              </w:rPr>
            </w:pPr>
            <w:r w:rsidRPr="00536F4D">
              <w:rPr>
                <w:rFonts w:ascii="Arial Narrow" w:hAnsi="Arial Narrow"/>
                <w:sz w:val="20"/>
              </w:rPr>
              <w:t>PFS median months (95% CI)</w:t>
            </w:r>
          </w:p>
        </w:tc>
        <w:tc>
          <w:tcPr>
            <w:tcW w:w="865" w:type="pct"/>
            <w:vAlign w:val="center"/>
          </w:tcPr>
          <w:p w:rsidR="00D43BBF" w:rsidRPr="00536F4D" w:rsidRDefault="00D43BBF" w:rsidP="00D43BBF">
            <w:pPr>
              <w:spacing w:before="0"/>
              <w:jc w:val="center"/>
              <w:rPr>
                <w:rFonts w:ascii="Arial Narrow" w:hAnsi="Arial Narrow"/>
                <w:sz w:val="20"/>
              </w:rPr>
            </w:pPr>
            <w:r w:rsidRPr="00536F4D">
              <w:rPr>
                <w:rFonts w:ascii="Arial Narrow" w:hAnsi="Arial Narrow"/>
                <w:sz w:val="20"/>
              </w:rPr>
              <w:t>10.1 (8.3, 12.3)</w:t>
            </w:r>
          </w:p>
        </w:tc>
        <w:tc>
          <w:tcPr>
            <w:tcW w:w="868" w:type="pct"/>
            <w:vAlign w:val="center"/>
          </w:tcPr>
          <w:p w:rsidR="00D43BBF" w:rsidRPr="00536F4D" w:rsidRDefault="00D43BBF" w:rsidP="00D43BBF">
            <w:pPr>
              <w:spacing w:before="0"/>
              <w:jc w:val="center"/>
              <w:rPr>
                <w:rFonts w:ascii="Arial Narrow" w:hAnsi="Arial Narrow"/>
                <w:sz w:val="20"/>
              </w:rPr>
            </w:pPr>
            <w:r w:rsidRPr="00536F4D">
              <w:rPr>
                <w:rFonts w:ascii="Arial Narrow" w:hAnsi="Arial Narrow"/>
                <w:sz w:val="20"/>
              </w:rPr>
              <w:t>4.4 (4.2, 5.6)</w:t>
            </w:r>
          </w:p>
        </w:tc>
        <w:tc>
          <w:tcPr>
            <w:tcW w:w="1100" w:type="pct"/>
            <w:gridSpan w:val="2"/>
            <w:vAlign w:val="center"/>
          </w:tcPr>
          <w:p w:rsidR="00D43BBF" w:rsidRPr="00536F4D" w:rsidRDefault="00D43BBF" w:rsidP="00DA12F3">
            <w:pPr>
              <w:spacing w:before="0"/>
              <w:jc w:val="center"/>
              <w:rPr>
                <w:rFonts w:ascii="Arial Narrow" w:hAnsi="Arial Narrow"/>
                <w:color w:val="000000"/>
                <w:sz w:val="20"/>
                <w:szCs w:val="18"/>
              </w:rPr>
            </w:pPr>
            <w:r w:rsidRPr="00536F4D">
              <w:rPr>
                <w:rFonts w:ascii="Arial Narrow" w:hAnsi="Arial Narrow"/>
                <w:sz w:val="20"/>
              </w:rPr>
              <w:t>5.7 months</w:t>
            </w:r>
          </w:p>
        </w:tc>
        <w:tc>
          <w:tcPr>
            <w:tcW w:w="847" w:type="pct"/>
            <w:vAlign w:val="center"/>
          </w:tcPr>
          <w:p w:rsidR="00D43BBF" w:rsidRPr="00536F4D" w:rsidRDefault="00D43BBF" w:rsidP="00DA12F3">
            <w:pPr>
              <w:spacing w:before="0"/>
              <w:jc w:val="center"/>
              <w:rPr>
                <w:rFonts w:ascii="Arial Narrow" w:hAnsi="Arial Narrow"/>
                <w:sz w:val="20"/>
              </w:rPr>
            </w:pPr>
          </w:p>
        </w:tc>
      </w:tr>
      <w:tr w:rsidR="00D43BBF" w:rsidRPr="00536F4D" w:rsidTr="00DA12F3">
        <w:tc>
          <w:tcPr>
            <w:tcW w:w="5000" w:type="pct"/>
            <w:gridSpan w:val="6"/>
            <w:tcBorders>
              <w:top w:val="double" w:sz="4" w:space="0" w:color="auto"/>
            </w:tcBorders>
            <w:shd w:val="clear" w:color="auto" w:fill="auto"/>
            <w:vAlign w:val="center"/>
          </w:tcPr>
          <w:p w:rsidR="00D43BBF" w:rsidRPr="00536F4D" w:rsidRDefault="00D43BBF" w:rsidP="00DA12F3">
            <w:pPr>
              <w:spacing w:before="0"/>
              <w:rPr>
                <w:rFonts w:ascii="Arial Narrow" w:hAnsi="Arial Narrow"/>
                <w:b/>
                <w:color w:val="000000"/>
                <w:sz w:val="20"/>
                <w:szCs w:val="18"/>
              </w:rPr>
            </w:pPr>
            <w:r w:rsidRPr="00536F4D">
              <w:rPr>
                <w:rFonts w:ascii="Arial Narrow" w:hAnsi="Arial Narrow"/>
                <w:b/>
                <w:color w:val="000000"/>
                <w:sz w:val="20"/>
                <w:szCs w:val="18"/>
              </w:rPr>
              <w:t>Harms</w:t>
            </w:r>
          </w:p>
        </w:tc>
      </w:tr>
      <w:tr w:rsidR="00D43BBF" w:rsidRPr="00536F4D" w:rsidTr="00DA12F3">
        <w:tc>
          <w:tcPr>
            <w:tcW w:w="1320" w:type="pct"/>
            <w:vMerge w:val="restart"/>
            <w:shd w:val="clear" w:color="auto" w:fill="auto"/>
            <w:vAlign w:val="center"/>
          </w:tcPr>
          <w:p w:rsidR="00D43BBF" w:rsidRPr="00536F4D" w:rsidRDefault="00D43BBF" w:rsidP="00DA12F3">
            <w:pPr>
              <w:spacing w:before="0"/>
              <w:rPr>
                <w:rFonts w:ascii="Arial Narrow" w:hAnsi="Arial Narrow"/>
                <w:b/>
                <w:color w:val="000000"/>
                <w:sz w:val="20"/>
                <w:szCs w:val="18"/>
              </w:rPr>
            </w:pPr>
          </w:p>
        </w:tc>
        <w:tc>
          <w:tcPr>
            <w:tcW w:w="865" w:type="pct"/>
            <w:vMerge w:val="restart"/>
            <w:vAlign w:val="center"/>
          </w:tcPr>
          <w:p w:rsidR="00D43BBF" w:rsidRPr="00536F4D" w:rsidRDefault="00D43BBF" w:rsidP="00DA12F3">
            <w:pPr>
              <w:spacing w:before="0"/>
              <w:jc w:val="center"/>
              <w:rPr>
                <w:rFonts w:ascii="Arial Narrow" w:hAnsi="Arial Narrow"/>
                <w:b/>
                <w:sz w:val="20"/>
              </w:rPr>
            </w:pPr>
            <w:r w:rsidRPr="00536F4D">
              <w:rPr>
                <w:rFonts w:ascii="Arial Narrow" w:hAnsi="Arial Narrow"/>
                <w:b/>
                <w:sz w:val="20"/>
              </w:rPr>
              <w:t>Osimertinib</w:t>
            </w:r>
          </w:p>
        </w:tc>
        <w:tc>
          <w:tcPr>
            <w:tcW w:w="868" w:type="pct"/>
            <w:vMerge w:val="restart"/>
            <w:vAlign w:val="center"/>
          </w:tcPr>
          <w:p w:rsidR="00D43BBF" w:rsidRPr="00536F4D" w:rsidRDefault="00D43BBF" w:rsidP="00DA12F3">
            <w:pPr>
              <w:spacing w:before="0"/>
              <w:jc w:val="center"/>
              <w:rPr>
                <w:rFonts w:ascii="Arial Narrow" w:hAnsi="Arial Narrow"/>
                <w:b/>
                <w:sz w:val="20"/>
              </w:rPr>
            </w:pPr>
            <w:r w:rsidRPr="00536F4D">
              <w:rPr>
                <w:rFonts w:ascii="Arial Narrow" w:hAnsi="Arial Narrow"/>
                <w:b/>
                <w:sz w:val="20"/>
              </w:rPr>
              <w:t>Chemotherapy</w:t>
            </w:r>
          </w:p>
        </w:tc>
        <w:tc>
          <w:tcPr>
            <w:tcW w:w="1100" w:type="pct"/>
            <w:gridSpan w:val="2"/>
            <w:vAlign w:val="center"/>
          </w:tcPr>
          <w:p w:rsidR="00D43BBF" w:rsidRPr="00536F4D" w:rsidRDefault="00D43BBF" w:rsidP="00DA12F3">
            <w:pPr>
              <w:spacing w:before="0"/>
              <w:jc w:val="center"/>
              <w:rPr>
                <w:rFonts w:ascii="Arial Narrow" w:hAnsi="Arial Narrow"/>
                <w:b/>
                <w:color w:val="000000"/>
                <w:sz w:val="20"/>
                <w:szCs w:val="18"/>
              </w:rPr>
            </w:pPr>
            <w:r w:rsidRPr="00536F4D">
              <w:rPr>
                <w:rFonts w:ascii="Arial Narrow" w:hAnsi="Arial Narrow"/>
                <w:b/>
                <w:color w:val="000000"/>
                <w:sz w:val="20"/>
                <w:szCs w:val="18"/>
              </w:rPr>
              <w:t>Event rate/100 patients</w:t>
            </w:r>
          </w:p>
        </w:tc>
        <w:tc>
          <w:tcPr>
            <w:tcW w:w="847" w:type="pct"/>
            <w:vMerge w:val="restart"/>
            <w:vAlign w:val="center"/>
          </w:tcPr>
          <w:p w:rsidR="00D43BBF" w:rsidRPr="00536F4D" w:rsidRDefault="00D43BBF" w:rsidP="00DA12F3">
            <w:pPr>
              <w:spacing w:before="0"/>
              <w:jc w:val="center"/>
              <w:rPr>
                <w:rFonts w:ascii="Arial Narrow" w:hAnsi="Arial Narrow"/>
                <w:b/>
                <w:color w:val="000000"/>
                <w:sz w:val="20"/>
                <w:szCs w:val="18"/>
              </w:rPr>
            </w:pPr>
            <w:r w:rsidRPr="00536F4D">
              <w:rPr>
                <w:rFonts w:ascii="Arial Narrow" w:hAnsi="Arial Narrow"/>
                <w:b/>
                <w:color w:val="000000"/>
                <w:sz w:val="20"/>
                <w:szCs w:val="18"/>
              </w:rPr>
              <w:t>RD% (95% CI)</w:t>
            </w:r>
          </w:p>
        </w:tc>
      </w:tr>
      <w:tr w:rsidR="00D43BBF" w:rsidRPr="00536F4D" w:rsidTr="00DA12F3">
        <w:tc>
          <w:tcPr>
            <w:tcW w:w="1320" w:type="pct"/>
            <w:vMerge/>
            <w:shd w:val="clear" w:color="auto" w:fill="auto"/>
            <w:vAlign w:val="center"/>
          </w:tcPr>
          <w:p w:rsidR="00D43BBF" w:rsidRPr="00536F4D" w:rsidRDefault="00D43BBF" w:rsidP="00DA12F3">
            <w:pPr>
              <w:spacing w:before="0"/>
              <w:rPr>
                <w:rFonts w:ascii="Arial Narrow" w:hAnsi="Arial Narrow"/>
                <w:b/>
                <w:color w:val="000000"/>
                <w:sz w:val="20"/>
                <w:szCs w:val="18"/>
              </w:rPr>
            </w:pPr>
          </w:p>
        </w:tc>
        <w:tc>
          <w:tcPr>
            <w:tcW w:w="865" w:type="pct"/>
            <w:vMerge/>
            <w:vAlign w:val="center"/>
          </w:tcPr>
          <w:p w:rsidR="00D43BBF" w:rsidRPr="00536F4D" w:rsidRDefault="00D43BBF" w:rsidP="00DA12F3">
            <w:pPr>
              <w:spacing w:before="0"/>
              <w:jc w:val="center"/>
              <w:rPr>
                <w:rFonts w:ascii="Arial Narrow" w:hAnsi="Arial Narrow"/>
                <w:b/>
                <w:color w:val="000000"/>
                <w:sz w:val="20"/>
                <w:szCs w:val="18"/>
              </w:rPr>
            </w:pPr>
          </w:p>
        </w:tc>
        <w:tc>
          <w:tcPr>
            <w:tcW w:w="868" w:type="pct"/>
            <w:vMerge/>
            <w:vAlign w:val="center"/>
          </w:tcPr>
          <w:p w:rsidR="00D43BBF" w:rsidRPr="00536F4D" w:rsidRDefault="00D43BBF" w:rsidP="00DA12F3">
            <w:pPr>
              <w:spacing w:before="0"/>
              <w:jc w:val="center"/>
              <w:rPr>
                <w:rFonts w:ascii="Arial Narrow" w:hAnsi="Arial Narrow"/>
                <w:b/>
                <w:color w:val="000000"/>
                <w:sz w:val="20"/>
                <w:szCs w:val="18"/>
              </w:rPr>
            </w:pPr>
          </w:p>
        </w:tc>
        <w:tc>
          <w:tcPr>
            <w:tcW w:w="546" w:type="pct"/>
            <w:vAlign w:val="center"/>
          </w:tcPr>
          <w:p w:rsidR="00D43BBF" w:rsidRPr="00536F4D" w:rsidRDefault="00D43BBF" w:rsidP="00DA12F3">
            <w:pPr>
              <w:spacing w:before="0"/>
              <w:jc w:val="center"/>
              <w:rPr>
                <w:rFonts w:ascii="Arial Narrow" w:hAnsi="Arial Narrow"/>
                <w:b/>
                <w:color w:val="000000"/>
                <w:sz w:val="20"/>
                <w:szCs w:val="18"/>
              </w:rPr>
            </w:pPr>
            <w:r w:rsidRPr="00536F4D">
              <w:rPr>
                <w:rFonts w:ascii="Arial Narrow" w:hAnsi="Arial Narrow"/>
                <w:b/>
                <w:color w:val="000000"/>
                <w:sz w:val="20"/>
                <w:szCs w:val="18"/>
              </w:rPr>
              <w:t>Osimertinib</w:t>
            </w:r>
          </w:p>
        </w:tc>
        <w:tc>
          <w:tcPr>
            <w:tcW w:w="554" w:type="pct"/>
            <w:vAlign w:val="center"/>
          </w:tcPr>
          <w:p w:rsidR="00D43BBF" w:rsidRPr="00536F4D" w:rsidRDefault="00D43BBF" w:rsidP="00DA12F3">
            <w:pPr>
              <w:spacing w:before="0"/>
              <w:jc w:val="center"/>
              <w:rPr>
                <w:rFonts w:ascii="Arial Narrow" w:hAnsi="Arial Narrow"/>
                <w:b/>
                <w:color w:val="000000"/>
                <w:sz w:val="20"/>
                <w:szCs w:val="18"/>
              </w:rPr>
            </w:pPr>
            <w:r w:rsidRPr="00536F4D">
              <w:rPr>
                <w:rFonts w:ascii="Arial Narrow" w:hAnsi="Arial Narrow"/>
                <w:b/>
                <w:color w:val="000000"/>
                <w:sz w:val="20"/>
                <w:szCs w:val="18"/>
              </w:rPr>
              <w:t>Chemo</w:t>
            </w:r>
          </w:p>
        </w:tc>
        <w:tc>
          <w:tcPr>
            <w:tcW w:w="847" w:type="pct"/>
            <w:vMerge/>
            <w:vAlign w:val="center"/>
          </w:tcPr>
          <w:p w:rsidR="00D43BBF" w:rsidRPr="00536F4D" w:rsidRDefault="00D43BBF" w:rsidP="00DA12F3">
            <w:pPr>
              <w:spacing w:before="0"/>
              <w:jc w:val="center"/>
              <w:rPr>
                <w:rFonts w:ascii="Arial Narrow" w:hAnsi="Arial Narrow"/>
                <w:b/>
                <w:color w:val="000000"/>
                <w:sz w:val="20"/>
                <w:szCs w:val="18"/>
              </w:rPr>
            </w:pPr>
          </w:p>
        </w:tc>
      </w:tr>
      <w:tr w:rsidR="00D43BBF" w:rsidRPr="00536F4D" w:rsidTr="00DA12F3">
        <w:tc>
          <w:tcPr>
            <w:tcW w:w="1320" w:type="pct"/>
            <w:shd w:val="clear" w:color="auto" w:fill="auto"/>
          </w:tcPr>
          <w:p w:rsidR="00D43BBF" w:rsidRPr="00536F4D" w:rsidRDefault="00D43BBF" w:rsidP="00DA12F3">
            <w:pPr>
              <w:spacing w:before="0"/>
              <w:rPr>
                <w:rFonts w:ascii="Arial Narrow" w:hAnsi="Arial Narrow"/>
                <w:color w:val="000000"/>
                <w:sz w:val="20"/>
                <w:szCs w:val="18"/>
              </w:rPr>
            </w:pPr>
            <w:r w:rsidRPr="00536F4D">
              <w:rPr>
                <w:rFonts w:ascii="Arial Narrow" w:hAnsi="Arial Narrow"/>
                <w:sz w:val="20"/>
              </w:rPr>
              <w:t>Any AE of CTCAE Grade 3 or higher, possibly related to study treatment n/N</w:t>
            </w:r>
          </w:p>
        </w:tc>
        <w:tc>
          <w:tcPr>
            <w:tcW w:w="865" w:type="pct"/>
            <w:vAlign w:val="center"/>
          </w:tcPr>
          <w:p w:rsidR="00D43BBF" w:rsidRPr="00536F4D" w:rsidRDefault="00D43BBF" w:rsidP="00DA12F3">
            <w:pPr>
              <w:spacing w:before="0"/>
              <w:jc w:val="center"/>
              <w:rPr>
                <w:rFonts w:ascii="Arial Narrow" w:hAnsi="Arial Narrow"/>
                <w:color w:val="000000"/>
                <w:sz w:val="20"/>
                <w:szCs w:val="18"/>
              </w:rPr>
            </w:pPr>
            <w:r w:rsidRPr="00536F4D">
              <w:rPr>
                <w:rFonts w:ascii="Arial Narrow" w:hAnsi="Arial Narrow"/>
                <w:sz w:val="20"/>
              </w:rPr>
              <w:t>20/279</w:t>
            </w:r>
          </w:p>
        </w:tc>
        <w:tc>
          <w:tcPr>
            <w:tcW w:w="868" w:type="pct"/>
            <w:vAlign w:val="center"/>
          </w:tcPr>
          <w:p w:rsidR="00D43BBF" w:rsidRPr="00536F4D" w:rsidRDefault="00D43BBF" w:rsidP="00DA12F3">
            <w:pPr>
              <w:spacing w:before="0"/>
              <w:jc w:val="center"/>
              <w:rPr>
                <w:rFonts w:ascii="Arial Narrow" w:hAnsi="Arial Narrow"/>
                <w:color w:val="000000"/>
                <w:sz w:val="20"/>
                <w:szCs w:val="18"/>
              </w:rPr>
            </w:pPr>
            <w:r w:rsidRPr="00536F4D">
              <w:rPr>
                <w:rFonts w:ascii="Arial Narrow" w:hAnsi="Arial Narrow"/>
                <w:sz w:val="20"/>
              </w:rPr>
              <w:t>45/136</w:t>
            </w:r>
          </w:p>
        </w:tc>
        <w:tc>
          <w:tcPr>
            <w:tcW w:w="546" w:type="pct"/>
            <w:vAlign w:val="center"/>
          </w:tcPr>
          <w:p w:rsidR="00D43BBF" w:rsidRPr="00536F4D" w:rsidRDefault="00D43BBF" w:rsidP="00DA12F3">
            <w:pPr>
              <w:spacing w:before="0"/>
              <w:jc w:val="center"/>
              <w:rPr>
                <w:rFonts w:ascii="Arial Narrow" w:hAnsi="Arial Narrow"/>
                <w:color w:val="000000"/>
                <w:sz w:val="20"/>
                <w:szCs w:val="18"/>
              </w:rPr>
            </w:pPr>
            <w:r w:rsidRPr="00536F4D">
              <w:rPr>
                <w:rFonts w:ascii="Arial Narrow" w:hAnsi="Arial Narrow"/>
                <w:color w:val="000000"/>
                <w:sz w:val="20"/>
                <w:szCs w:val="18"/>
              </w:rPr>
              <w:t>7.2</w:t>
            </w:r>
          </w:p>
        </w:tc>
        <w:tc>
          <w:tcPr>
            <w:tcW w:w="554" w:type="pct"/>
            <w:vAlign w:val="center"/>
          </w:tcPr>
          <w:p w:rsidR="00D43BBF" w:rsidRPr="00536F4D" w:rsidRDefault="00D43BBF" w:rsidP="00DA12F3">
            <w:pPr>
              <w:spacing w:before="0"/>
              <w:jc w:val="center"/>
              <w:rPr>
                <w:rFonts w:ascii="Arial Narrow" w:hAnsi="Arial Narrow"/>
                <w:color w:val="000000"/>
                <w:sz w:val="20"/>
                <w:szCs w:val="18"/>
              </w:rPr>
            </w:pPr>
            <w:r w:rsidRPr="00536F4D">
              <w:rPr>
                <w:rFonts w:ascii="Arial Narrow" w:hAnsi="Arial Narrow"/>
                <w:color w:val="000000"/>
                <w:sz w:val="20"/>
                <w:szCs w:val="18"/>
              </w:rPr>
              <w:t>33.1</w:t>
            </w:r>
          </w:p>
        </w:tc>
        <w:tc>
          <w:tcPr>
            <w:tcW w:w="847" w:type="pct"/>
            <w:vAlign w:val="center"/>
          </w:tcPr>
          <w:p w:rsidR="00D43BBF" w:rsidRPr="00536F4D" w:rsidRDefault="00D43BBF" w:rsidP="00DA12F3">
            <w:pPr>
              <w:spacing w:before="0"/>
              <w:jc w:val="center"/>
              <w:rPr>
                <w:rFonts w:ascii="Arial Narrow" w:hAnsi="Arial Narrow"/>
                <w:color w:val="000000"/>
                <w:sz w:val="20"/>
                <w:szCs w:val="18"/>
              </w:rPr>
            </w:pPr>
            <w:r w:rsidRPr="00536F4D">
              <w:rPr>
                <w:rFonts w:ascii="Arial Narrow" w:hAnsi="Arial Narrow"/>
                <w:sz w:val="20"/>
              </w:rPr>
              <w:t>-25.9 (-34.4, -17.5)</w:t>
            </w:r>
          </w:p>
        </w:tc>
      </w:tr>
      <w:tr w:rsidR="00D43BBF" w:rsidRPr="00536F4D" w:rsidTr="00DA12F3">
        <w:tc>
          <w:tcPr>
            <w:tcW w:w="1320" w:type="pct"/>
            <w:shd w:val="clear" w:color="auto" w:fill="auto"/>
          </w:tcPr>
          <w:p w:rsidR="00D43BBF" w:rsidRPr="00536F4D" w:rsidRDefault="00D43BBF" w:rsidP="00DA12F3">
            <w:pPr>
              <w:spacing w:before="0"/>
              <w:rPr>
                <w:rFonts w:ascii="Arial Narrow" w:hAnsi="Arial Narrow"/>
                <w:sz w:val="20"/>
              </w:rPr>
            </w:pPr>
            <w:r w:rsidRPr="00536F4D">
              <w:rPr>
                <w:rFonts w:ascii="Arial Narrow" w:hAnsi="Arial Narrow"/>
                <w:color w:val="000000"/>
                <w:sz w:val="20"/>
                <w:szCs w:val="18"/>
              </w:rPr>
              <w:t>Any SAE, possibly related to study treatment</w:t>
            </w:r>
          </w:p>
        </w:tc>
        <w:tc>
          <w:tcPr>
            <w:tcW w:w="865" w:type="pct"/>
            <w:vAlign w:val="center"/>
          </w:tcPr>
          <w:p w:rsidR="00D43BBF" w:rsidRPr="00536F4D" w:rsidRDefault="00D43BBF" w:rsidP="00DA12F3">
            <w:pPr>
              <w:spacing w:before="0"/>
              <w:jc w:val="center"/>
              <w:rPr>
                <w:rFonts w:ascii="Arial Narrow" w:hAnsi="Arial Narrow"/>
                <w:sz w:val="20"/>
              </w:rPr>
            </w:pPr>
            <w:r w:rsidRPr="00536F4D">
              <w:rPr>
                <w:rFonts w:ascii="Arial Narrow" w:hAnsi="Arial Narrow"/>
                <w:sz w:val="20"/>
              </w:rPr>
              <w:t>10/279</w:t>
            </w:r>
          </w:p>
        </w:tc>
        <w:tc>
          <w:tcPr>
            <w:tcW w:w="868" w:type="pct"/>
            <w:vAlign w:val="center"/>
          </w:tcPr>
          <w:p w:rsidR="00D43BBF" w:rsidRPr="00536F4D" w:rsidRDefault="00D43BBF" w:rsidP="00DA12F3">
            <w:pPr>
              <w:spacing w:before="0"/>
              <w:jc w:val="center"/>
              <w:rPr>
                <w:rFonts w:ascii="Arial Narrow" w:hAnsi="Arial Narrow"/>
                <w:sz w:val="20"/>
              </w:rPr>
            </w:pPr>
            <w:r w:rsidRPr="00536F4D">
              <w:rPr>
                <w:rFonts w:ascii="Arial Narrow" w:hAnsi="Arial Narrow"/>
                <w:sz w:val="20"/>
              </w:rPr>
              <w:t>17/136</w:t>
            </w:r>
          </w:p>
        </w:tc>
        <w:tc>
          <w:tcPr>
            <w:tcW w:w="546" w:type="pct"/>
            <w:vAlign w:val="center"/>
          </w:tcPr>
          <w:p w:rsidR="00D43BBF" w:rsidRPr="00536F4D" w:rsidRDefault="00D43BBF" w:rsidP="00DA12F3">
            <w:pPr>
              <w:spacing w:before="0"/>
              <w:jc w:val="center"/>
              <w:rPr>
                <w:rFonts w:ascii="Arial Narrow" w:hAnsi="Arial Narrow"/>
                <w:color w:val="000000"/>
                <w:sz w:val="20"/>
                <w:szCs w:val="18"/>
              </w:rPr>
            </w:pPr>
            <w:r w:rsidRPr="00536F4D">
              <w:rPr>
                <w:rFonts w:ascii="Arial Narrow" w:hAnsi="Arial Narrow"/>
                <w:color w:val="000000"/>
                <w:sz w:val="20"/>
                <w:szCs w:val="18"/>
              </w:rPr>
              <w:t>3.6</w:t>
            </w:r>
          </w:p>
        </w:tc>
        <w:tc>
          <w:tcPr>
            <w:tcW w:w="554" w:type="pct"/>
            <w:vAlign w:val="center"/>
          </w:tcPr>
          <w:p w:rsidR="00D43BBF" w:rsidRPr="00536F4D" w:rsidRDefault="00D43BBF" w:rsidP="00DA12F3">
            <w:pPr>
              <w:spacing w:before="0"/>
              <w:jc w:val="center"/>
              <w:rPr>
                <w:rFonts w:ascii="Arial Narrow" w:hAnsi="Arial Narrow"/>
                <w:color w:val="000000"/>
                <w:sz w:val="20"/>
                <w:szCs w:val="18"/>
              </w:rPr>
            </w:pPr>
            <w:r w:rsidRPr="00536F4D">
              <w:rPr>
                <w:rFonts w:ascii="Arial Narrow" w:hAnsi="Arial Narrow"/>
                <w:color w:val="000000"/>
                <w:sz w:val="20"/>
                <w:szCs w:val="18"/>
              </w:rPr>
              <w:t>12.5</w:t>
            </w:r>
          </w:p>
        </w:tc>
        <w:tc>
          <w:tcPr>
            <w:tcW w:w="847" w:type="pct"/>
            <w:vAlign w:val="center"/>
          </w:tcPr>
          <w:p w:rsidR="00D43BBF" w:rsidRPr="00536F4D" w:rsidRDefault="00D43BBF" w:rsidP="00DA12F3">
            <w:pPr>
              <w:spacing w:before="0"/>
              <w:jc w:val="center"/>
              <w:rPr>
                <w:rFonts w:ascii="Arial Narrow" w:hAnsi="Arial Narrow"/>
                <w:sz w:val="20"/>
              </w:rPr>
            </w:pPr>
            <w:r w:rsidRPr="00536F4D">
              <w:rPr>
                <w:rFonts w:ascii="Arial Narrow" w:hAnsi="Arial Narrow"/>
                <w:sz w:val="20"/>
              </w:rPr>
              <w:t>-8.9 (-14.9, -2.9)</w:t>
            </w:r>
          </w:p>
        </w:tc>
      </w:tr>
    </w:tbl>
    <w:p w:rsidR="00FD5FA6" w:rsidRPr="00536F4D" w:rsidRDefault="00FD5FA6" w:rsidP="00FD5FA6">
      <w:pPr>
        <w:pStyle w:val="TableFooter"/>
      </w:pPr>
      <w:r w:rsidRPr="00536F4D">
        <w:t>SAE = serious a</w:t>
      </w:r>
      <w:r w:rsidR="00D43BBF" w:rsidRPr="00536F4D">
        <w:t>d</w:t>
      </w:r>
      <w:r w:rsidRPr="00536F4D">
        <w:t>verse event; CTCAE = Common Terminology Criteria for Adverse Events; PFS = progression</w:t>
      </w:r>
      <w:r w:rsidR="000E0E2E">
        <w:t>-</w:t>
      </w:r>
      <w:r w:rsidRPr="00536F4D">
        <w:t>free survival; HR = hazard ratio; RD = risk difference</w:t>
      </w:r>
    </w:p>
    <w:p w:rsidR="00FD5FA6" w:rsidRPr="00536F4D" w:rsidRDefault="00FD5FA6" w:rsidP="00FD5FA6">
      <w:pPr>
        <w:pStyle w:val="TableFooter"/>
      </w:pPr>
      <w:r w:rsidRPr="00536F4D">
        <w:t>Source: Compiled during the evaluation from Table 2-19, p80 of the main submission</w:t>
      </w:r>
      <w:r w:rsidR="00FC1ED4">
        <w:t>.</w:t>
      </w:r>
    </w:p>
    <w:p w:rsidR="00FD5FA6" w:rsidRPr="00536F4D" w:rsidRDefault="00FD5FA6" w:rsidP="00D43BBF">
      <w:pPr>
        <w:pStyle w:val="ListParagraph"/>
        <w:spacing w:after="0"/>
        <w:ind w:left="709" w:hanging="709"/>
        <w:rPr>
          <w:color w:val="auto"/>
        </w:rPr>
      </w:pPr>
      <w:r w:rsidRPr="00536F4D">
        <w:rPr>
          <w:color w:val="auto"/>
        </w:rPr>
        <w:t xml:space="preserve">On the basis of </w:t>
      </w:r>
      <w:r w:rsidR="00803A6F" w:rsidRPr="00536F4D">
        <w:rPr>
          <w:color w:val="auto"/>
        </w:rPr>
        <w:t xml:space="preserve">the </w:t>
      </w:r>
      <w:r w:rsidRPr="00536F4D">
        <w:rPr>
          <w:color w:val="auto"/>
        </w:rPr>
        <w:t>AURA3 trial</w:t>
      </w:r>
      <w:r w:rsidR="00282723" w:rsidRPr="00536F4D">
        <w:rPr>
          <w:color w:val="auto"/>
        </w:rPr>
        <w:t xml:space="preserve">, treating </w:t>
      </w:r>
      <w:r w:rsidR="00B901D2" w:rsidRPr="00B901D2">
        <w:rPr>
          <w:i/>
          <w:color w:val="auto"/>
        </w:rPr>
        <w:t>T790M</w:t>
      </w:r>
      <w:r w:rsidR="00282723" w:rsidRPr="00536F4D">
        <w:rPr>
          <w:color w:val="auto"/>
        </w:rPr>
        <w:t xml:space="preserve"> tumour positive advanced NSCLC patients (after failure </w:t>
      </w:r>
      <w:r w:rsidR="00803A6F" w:rsidRPr="00536F4D">
        <w:rPr>
          <w:color w:val="auto"/>
        </w:rPr>
        <w:t xml:space="preserve">of </w:t>
      </w:r>
      <w:r w:rsidR="00282723" w:rsidRPr="00536F4D">
        <w:rPr>
          <w:color w:val="auto"/>
        </w:rPr>
        <w:t xml:space="preserve">TKI therapy) </w:t>
      </w:r>
      <w:r w:rsidR="00B34FEE" w:rsidRPr="00536F4D">
        <w:rPr>
          <w:color w:val="auto"/>
        </w:rPr>
        <w:t xml:space="preserve">with osimertinib </w:t>
      </w:r>
      <w:r w:rsidR="00282723" w:rsidRPr="00536F4D">
        <w:rPr>
          <w:color w:val="auto"/>
        </w:rPr>
        <w:t>for an average period of 11 months:</w:t>
      </w:r>
    </w:p>
    <w:p w:rsidR="00FD5FA6" w:rsidRPr="00536F4D" w:rsidRDefault="00FD5FA6" w:rsidP="009B1F1A">
      <w:pPr>
        <w:pStyle w:val="ESParagraphDotpoint"/>
        <w:ind w:left="1134" w:hanging="567"/>
      </w:pPr>
      <w:r w:rsidRPr="00536F4D">
        <w:t>For every 100 patients treated with osimertinib in comparison to chemotherapy, 26 fewer patients would experience a Grade 3 or higher, drug - related adverse event and 9 fewer patients would have a serious drug-related adverse event when treated with osimertinib instead of with chemotherapy.</w:t>
      </w:r>
    </w:p>
    <w:p w:rsidR="003657A4" w:rsidRPr="000C32F5" w:rsidRDefault="003657A4" w:rsidP="003657A4">
      <w:pPr>
        <w:pStyle w:val="ESHeading2"/>
        <w:rPr>
          <w:rFonts w:asciiTheme="minorHAnsi" w:hAnsiTheme="minorHAnsi"/>
        </w:rPr>
      </w:pPr>
      <w:bookmarkStart w:id="25" w:name="_Toc492390273"/>
      <w:r w:rsidRPr="000C32F5">
        <w:rPr>
          <w:rFonts w:asciiTheme="minorHAnsi" w:hAnsiTheme="minorHAnsi"/>
        </w:rPr>
        <w:t xml:space="preserve">Interpretation of </w:t>
      </w:r>
      <w:r w:rsidR="00896603" w:rsidRPr="000C32F5">
        <w:rPr>
          <w:rFonts w:asciiTheme="minorHAnsi" w:hAnsiTheme="minorHAnsi"/>
        </w:rPr>
        <w:t xml:space="preserve">the </w:t>
      </w:r>
      <w:r w:rsidRPr="000C32F5">
        <w:rPr>
          <w:rFonts w:asciiTheme="minorHAnsi" w:hAnsiTheme="minorHAnsi"/>
        </w:rPr>
        <w:t>clinical evidence</w:t>
      </w:r>
      <w:bookmarkEnd w:id="25"/>
    </w:p>
    <w:p w:rsidR="007908C7" w:rsidRPr="0098081D" w:rsidRDefault="007908C7" w:rsidP="007908C7">
      <w:pPr>
        <w:pStyle w:val="ListParagraph"/>
        <w:ind w:left="709" w:hanging="709"/>
        <w:rPr>
          <w:color w:val="auto"/>
        </w:rPr>
      </w:pPr>
      <w:r w:rsidRPr="00536F4D">
        <w:rPr>
          <w:color w:val="auto"/>
        </w:rPr>
        <w:t xml:space="preserve">The submission claimed that osimertinib </w:t>
      </w:r>
      <w:r>
        <w:t>wa</w:t>
      </w:r>
      <w:r w:rsidRPr="00536F4D">
        <w:t xml:space="preserve">s superior to platinum-based doublet chemotherapy in terms of effectiveness and safety, in the proposed </w:t>
      </w:r>
      <w:r w:rsidR="00B901D2" w:rsidRPr="00B901D2">
        <w:rPr>
          <w:i/>
        </w:rPr>
        <w:t>T790M</w:t>
      </w:r>
      <w:r w:rsidRPr="00536F4D">
        <w:t xml:space="preserve"> mutation positive NSCLC population after failure of first-line T</w:t>
      </w:r>
      <w:r w:rsidR="004E0767">
        <w:t>KIs.</w:t>
      </w:r>
    </w:p>
    <w:p w:rsidR="007908C7" w:rsidRPr="000C32F5" w:rsidRDefault="007908C7" w:rsidP="007908C7">
      <w:pPr>
        <w:pStyle w:val="ListParagraph"/>
        <w:ind w:left="709" w:hanging="709"/>
      </w:pPr>
      <w:r w:rsidRPr="000C32F5">
        <w:lastRenderedPageBreak/>
        <w:t>The ESC</w:t>
      </w:r>
      <w:r w:rsidR="00AB58D5" w:rsidRPr="000C32F5">
        <w:t>s</w:t>
      </w:r>
      <w:r w:rsidRPr="000C32F5">
        <w:t xml:space="preserve"> </w:t>
      </w:r>
      <w:r w:rsidR="00855B53" w:rsidRPr="000C32F5">
        <w:t>considered</w:t>
      </w:r>
      <w:r w:rsidRPr="000C32F5">
        <w:t xml:space="preserve"> that</w:t>
      </w:r>
      <w:r w:rsidR="004E0767" w:rsidRPr="000C32F5">
        <w:t>:</w:t>
      </w:r>
    </w:p>
    <w:p w:rsidR="007908C7" w:rsidRPr="000C32F5" w:rsidRDefault="007908C7" w:rsidP="00321048">
      <w:pPr>
        <w:pStyle w:val="MSACESBulletpoint"/>
        <w:ind w:left="1134" w:hanging="425"/>
        <w:jc w:val="both"/>
        <w:rPr>
          <w:rFonts w:asciiTheme="minorHAnsi" w:hAnsiTheme="minorHAnsi"/>
          <w:color w:val="000000" w:themeColor="text1"/>
        </w:rPr>
      </w:pPr>
      <w:r w:rsidRPr="000C32F5">
        <w:rPr>
          <w:rFonts w:asciiTheme="minorHAnsi" w:hAnsiTheme="minorHAnsi"/>
          <w:color w:val="000000" w:themeColor="text1"/>
        </w:rPr>
        <w:t>the PFS data indicated there was a significant improvement in median PFS of approximately 6 months associated with osimertinib treatment compared with chemotherapy (median follow-up for PFS was approximately 8 months for osimertinib and 6 months for chemotherapy);</w:t>
      </w:r>
      <w:r w:rsidR="00321048" w:rsidRPr="000C32F5">
        <w:rPr>
          <w:rFonts w:asciiTheme="minorHAnsi" w:hAnsiTheme="minorHAnsi"/>
          <w:color w:val="000000" w:themeColor="text1"/>
        </w:rPr>
        <w:t xml:space="preserve"> and</w:t>
      </w:r>
    </w:p>
    <w:p w:rsidR="00687B72" w:rsidRPr="000C32F5" w:rsidRDefault="00855B53" w:rsidP="00321048">
      <w:pPr>
        <w:pStyle w:val="MSACESBulletpoint"/>
        <w:ind w:left="1134" w:hanging="425"/>
        <w:jc w:val="both"/>
        <w:rPr>
          <w:rFonts w:asciiTheme="minorHAnsi" w:hAnsiTheme="minorHAnsi"/>
          <w:color w:val="000000" w:themeColor="text1"/>
        </w:rPr>
      </w:pPr>
      <w:r w:rsidRPr="000C32F5">
        <w:rPr>
          <w:rFonts w:asciiTheme="minorHAnsi" w:hAnsiTheme="minorHAnsi"/>
          <w:color w:val="000000" w:themeColor="text1"/>
        </w:rPr>
        <w:t>t</w:t>
      </w:r>
      <w:r w:rsidR="007908C7" w:rsidRPr="000C32F5">
        <w:rPr>
          <w:rFonts w:asciiTheme="minorHAnsi" w:hAnsiTheme="minorHAnsi"/>
          <w:color w:val="000000" w:themeColor="text1"/>
        </w:rPr>
        <w:t xml:space="preserve">he OS data presented were potentially confounded </w:t>
      </w:r>
      <w:r w:rsidR="004A096C">
        <w:rPr>
          <w:rFonts w:asciiTheme="minorHAnsi" w:hAnsiTheme="minorHAnsi"/>
          <w:color w:val="000000" w:themeColor="text1"/>
        </w:rPr>
        <w:t xml:space="preserve">by </w:t>
      </w:r>
      <w:r w:rsidR="007908C7" w:rsidRPr="000C32F5">
        <w:rPr>
          <w:rFonts w:asciiTheme="minorHAnsi" w:hAnsiTheme="minorHAnsi"/>
          <w:color w:val="000000" w:themeColor="text1"/>
        </w:rPr>
        <w:t xml:space="preserve">patients switching </w:t>
      </w:r>
      <w:r w:rsidR="004A096C">
        <w:rPr>
          <w:rFonts w:asciiTheme="minorHAnsi" w:hAnsiTheme="minorHAnsi"/>
          <w:color w:val="000000" w:themeColor="text1"/>
        </w:rPr>
        <w:t xml:space="preserve">on progression </w:t>
      </w:r>
      <w:r w:rsidR="007908C7" w:rsidRPr="000C32F5">
        <w:rPr>
          <w:rFonts w:asciiTheme="minorHAnsi" w:hAnsiTheme="minorHAnsi"/>
          <w:color w:val="000000" w:themeColor="text1"/>
        </w:rPr>
        <w:t xml:space="preserve">from chemotherapy </w:t>
      </w:r>
      <w:r w:rsidR="00C71028">
        <w:rPr>
          <w:rFonts w:asciiTheme="minorHAnsi" w:hAnsiTheme="minorHAnsi"/>
          <w:color w:val="000000" w:themeColor="text1"/>
        </w:rPr>
        <w:t xml:space="preserve">to osimertinib, </w:t>
      </w:r>
      <w:r w:rsidR="007908C7" w:rsidRPr="000C32F5">
        <w:rPr>
          <w:rFonts w:asciiTheme="minorHAnsi" w:hAnsiTheme="minorHAnsi"/>
          <w:color w:val="000000" w:themeColor="text1"/>
        </w:rPr>
        <w:t xml:space="preserve">and were insufficiently mature </w:t>
      </w:r>
      <w:r w:rsidR="000B2D46">
        <w:rPr>
          <w:rFonts w:asciiTheme="minorHAnsi" w:hAnsiTheme="minorHAnsi"/>
          <w:noProof/>
          <w:color w:val="000000"/>
          <w:highlight w:val="black"/>
        </w:rPr>
        <w:t>'''' '''''' '''''''''''''''''''''' ''''''''''</w:t>
      </w:r>
      <w:r w:rsidR="007908C7" w:rsidRPr="000C32F5">
        <w:rPr>
          <w:rFonts w:asciiTheme="minorHAnsi" w:hAnsiTheme="minorHAnsi"/>
          <w:color w:val="000000" w:themeColor="text1"/>
        </w:rPr>
        <w:t xml:space="preserve"> cut-off date to be meaningful </w:t>
      </w:r>
      <w:r w:rsidR="000B2D46">
        <w:rPr>
          <w:rFonts w:asciiTheme="minorHAnsi" w:hAnsiTheme="minorHAnsi"/>
          <w:noProof/>
          <w:color w:val="000000"/>
          <w:highlight w:val="black"/>
        </w:rPr>
        <w:t>''''''''''''''' ''''''''''''''''''' '''' '''''''''''''''''''''''''' '''''''''''' ''''''''''''''''</w:t>
      </w:r>
      <w:r w:rsidR="00851C57" w:rsidRPr="000C32F5">
        <w:rPr>
          <w:rFonts w:asciiTheme="minorHAnsi" w:hAnsiTheme="minorHAnsi"/>
          <w:color w:val="000000" w:themeColor="text1"/>
        </w:rPr>
        <w:t>.</w:t>
      </w:r>
    </w:p>
    <w:p w:rsidR="00FF1FF2" w:rsidRDefault="003C1DEA" w:rsidP="00FF1FF2">
      <w:pPr>
        <w:pStyle w:val="ListParagraph"/>
        <w:ind w:left="709" w:hanging="709"/>
      </w:pPr>
      <w:r w:rsidRPr="000C32F5">
        <w:t xml:space="preserve">Despite the PSCR’s arguments (see </w:t>
      </w:r>
      <w:r w:rsidRPr="002457ED">
        <w:t>paragraph 6.</w:t>
      </w:r>
      <w:r w:rsidR="00FC1ED4" w:rsidRPr="002457ED">
        <w:t>13</w:t>
      </w:r>
      <w:r w:rsidRPr="002457ED">
        <w:t>), the ESC</w:t>
      </w:r>
      <w:r w:rsidR="00AB58D5" w:rsidRPr="002457ED">
        <w:t>s</w:t>
      </w:r>
      <w:r w:rsidR="004E0767" w:rsidRPr="000C32F5">
        <w:t xml:space="preserve"> advised</w:t>
      </w:r>
      <w:r w:rsidRPr="000C32F5">
        <w:t xml:space="preserve"> that the </w:t>
      </w:r>
      <w:r w:rsidR="00321048" w:rsidRPr="000C32F5">
        <w:t xml:space="preserve">naïve indirect comparison evidence </w:t>
      </w:r>
      <w:r w:rsidRPr="000C32F5">
        <w:t xml:space="preserve">was </w:t>
      </w:r>
      <w:r w:rsidR="004E0767" w:rsidRPr="000C32F5">
        <w:t xml:space="preserve">not </w:t>
      </w:r>
      <w:r w:rsidRPr="000C32F5">
        <w:t xml:space="preserve">informative in estimating the </w:t>
      </w:r>
      <w:r w:rsidR="00855B53" w:rsidRPr="000C32F5">
        <w:t xml:space="preserve">magnitude of </w:t>
      </w:r>
      <w:r w:rsidRPr="000C32F5">
        <w:t>comparative effectiveness of osimertinib treatment compared with chemotherapy.</w:t>
      </w:r>
    </w:p>
    <w:p w:rsidR="007C188B" w:rsidRPr="007C188B" w:rsidRDefault="007C188B" w:rsidP="007C188B">
      <w:pPr>
        <w:pStyle w:val="ListParagraph"/>
        <w:ind w:left="709" w:hanging="709"/>
        <w:rPr>
          <w:color w:val="auto"/>
        </w:rPr>
      </w:pPr>
      <w:r w:rsidRPr="007C188B">
        <w:rPr>
          <w:color w:val="auto"/>
        </w:rPr>
        <w:t xml:space="preserve">The pre-PBAC response (p2) stated that median OS for AURA Pooled had been reached (26.8 months), and claimed that the modelled OS curve was identical to the longer-term OS data for second-line patients in AURA Pooled. The pre-PBAC response (p3) </w:t>
      </w:r>
      <w:r>
        <w:rPr>
          <w:color w:val="auto"/>
        </w:rPr>
        <w:t xml:space="preserve">also </w:t>
      </w:r>
      <w:r w:rsidRPr="007C188B">
        <w:rPr>
          <w:color w:val="auto"/>
        </w:rPr>
        <w:t xml:space="preserve">maintained that a naïve indirect comparison of AURA Pooled and IMPRESS was more appropriate than a statistical adjustment for treatment switching in AURA3, citing (i) the immaturity of OS data at the interim analysis of AURA3.; (ii) </w:t>
      </w:r>
      <w:r w:rsidR="000B2D46">
        <w:rPr>
          <w:noProof/>
          <w:color w:val="000000"/>
          <w:highlight w:val="black"/>
        </w:rPr>
        <w:t>''''''</w:t>
      </w:r>
      <w:r w:rsidRPr="007C188B">
        <w:rPr>
          <w:color w:val="auto"/>
        </w:rPr>
        <w:t>% of patients in the chemotherapy arm of AURA3 had switched to osimertinib after disease progression; and (iii) similar demographics and characteristics of patients enrolled in AURA3, AURA Pooled and IMPRESS, minimising any issue of applicability.</w:t>
      </w:r>
    </w:p>
    <w:p w:rsidR="00865E78" w:rsidRPr="00813422" w:rsidRDefault="00865E78" w:rsidP="00813422">
      <w:pPr>
        <w:pStyle w:val="ListParagraph"/>
        <w:ind w:left="709" w:hanging="709"/>
        <w:rPr>
          <w:color w:val="auto"/>
        </w:rPr>
      </w:pPr>
      <w:r w:rsidRPr="00813422">
        <w:rPr>
          <w:color w:val="auto"/>
        </w:rPr>
        <w:t xml:space="preserve">The PBAC advised that the less scientifically rigorous naive indirect comparison presented in the submission </w:t>
      </w:r>
      <w:r w:rsidR="001F1FF8">
        <w:rPr>
          <w:color w:val="auto"/>
        </w:rPr>
        <w:t>increased the</w:t>
      </w:r>
      <w:r w:rsidRPr="00813422">
        <w:rPr>
          <w:color w:val="auto"/>
        </w:rPr>
        <w:t xml:space="preserve"> uncertainty</w:t>
      </w:r>
      <w:r w:rsidR="001F1FF8">
        <w:rPr>
          <w:color w:val="auto"/>
        </w:rPr>
        <w:t xml:space="preserve"> around quantifying the incremental benefit of osimertinib</w:t>
      </w:r>
      <w:r w:rsidRPr="00813422">
        <w:rPr>
          <w:color w:val="auto"/>
        </w:rPr>
        <w:t xml:space="preserve">. By comparison, the AURA3 trial represented a more scientifically rigorous source of evidence and therefore more mature data from this trial based on an ITT analysis, or possibly </w:t>
      </w:r>
      <w:r w:rsidR="004B366C">
        <w:rPr>
          <w:color w:val="auto"/>
        </w:rPr>
        <w:t xml:space="preserve">based on </w:t>
      </w:r>
      <w:r w:rsidRPr="00813422">
        <w:rPr>
          <w:color w:val="auto"/>
        </w:rPr>
        <w:t>a well-justified adjustment for treatment switching, would have been preferred.</w:t>
      </w:r>
    </w:p>
    <w:p w:rsidR="00BF3B41" w:rsidRPr="00BF3B41" w:rsidRDefault="00BF3B41" w:rsidP="00813422">
      <w:pPr>
        <w:pStyle w:val="ListParagraph"/>
        <w:ind w:left="709" w:hanging="709"/>
      </w:pPr>
      <w:r w:rsidRPr="00813422">
        <w:rPr>
          <w:color w:val="auto"/>
        </w:rPr>
        <w:t>Further, the PBAC considered that the OS data was immature in all of the evidence presented in the submission to support its claim of osimertinib’s superior OS effect over chemotherapy</w:t>
      </w:r>
      <w:r w:rsidR="00C71028">
        <w:rPr>
          <w:color w:val="auto"/>
        </w:rPr>
        <w:t>. The PBAC</w:t>
      </w:r>
      <w:r w:rsidRPr="00813422">
        <w:rPr>
          <w:color w:val="auto"/>
        </w:rPr>
        <w:t xml:space="preserve"> advised that the longer follow-up results from</w:t>
      </w:r>
      <w:r w:rsidRPr="00BF3B41">
        <w:t xml:space="preserve"> the AURA Pooled studies </w:t>
      </w:r>
      <w:r w:rsidR="00C71028">
        <w:t>(</w:t>
      </w:r>
      <w:r w:rsidRPr="00BF3B41">
        <w:t>subsequently presented at a conference and referred to in the PSCR and pre-PBAC response</w:t>
      </w:r>
      <w:r w:rsidR="00C71028">
        <w:t>)</w:t>
      </w:r>
      <w:r w:rsidRPr="00BF3B41">
        <w:t xml:space="preserve"> did not provide a more convincing basis to accept any estimate of incremental OS benefit with osimertinib.</w:t>
      </w:r>
    </w:p>
    <w:p w:rsidR="0098081D" w:rsidRPr="000C32F5" w:rsidRDefault="00FF1FF2" w:rsidP="00865E78">
      <w:pPr>
        <w:pStyle w:val="ListParagraph"/>
        <w:ind w:left="709" w:hanging="709"/>
      </w:pPr>
      <w:r w:rsidRPr="000C32F5">
        <w:t xml:space="preserve">The </w:t>
      </w:r>
      <w:r>
        <w:t>PBAC</w:t>
      </w:r>
      <w:r w:rsidRPr="000C32F5">
        <w:t xml:space="preserve"> advised that, while the submission’s claim of superiority compared with chemotherapy was reasonable in terms of response rates, PFS and safety</w:t>
      </w:r>
      <w:r w:rsidR="006F143D">
        <w:t>-</w:t>
      </w:r>
      <w:r w:rsidRPr="000C32F5">
        <w:t xml:space="preserve">based </w:t>
      </w:r>
      <w:r w:rsidR="006F143D">
        <w:t xml:space="preserve">outcomes </w:t>
      </w:r>
      <w:r w:rsidRPr="000C32F5">
        <w:t xml:space="preserve">on the results of the AURA3 trial, the magnitude of </w:t>
      </w:r>
      <w:r w:rsidR="00C71028">
        <w:t xml:space="preserve">OS </w:t>
      </w:r>
      <w:r w:rsidRPr="000C32F5">
        <w:t>benefit with osimertinib treatment, if any, remained inconclusive due to the immaturity of the survival data presented in the submission and PSCR, and a lack of adjusted analyses to account for treatment switching.</w:t>
      </w:r>
    </w:p>
    <w:p w:rsidR="003657A4" w:rsidRPr="000C32F5" w:rsidRDefault="003657A4" w:rsidP="003657A4">
      <w:pPr>
        <w:pStyle w:val="ESHeading2"/>
        <w:rPr>
          <w:rFonts w:asciiTheme="minorHAnsi" w:hAnsiTheme="minorHAnsi"/>
        </w:rPr>
      </w:pPr>
      <w:bookmarkStart w:id="26" w:name="_Toc492390275"/>
      <w:r w:rsidRPr="000C32F5">
        <w:rPr>
          <w:rFonts w:asciiTheme="minorHAnsi" w:hAnsiTheme="minorHAnsi"/>
        </w:rPr>
        <w:lastRenderedPageBreak/>
        <w:t>Economic analysis</w:t>
      </w:r>
      <w:bookmarkEnd w:id="26"/>
    </w:p>
    <w:p w:rsidR="00285226" w:rsidRPr="00FB6BBE" w:rsidRDefault="00FD5FA6" w:rsidP="00FB6BBE">
      <w:pPr>
        <w:pStyle w:val="ListParagraph"/>
        <w:ind w:left="709" w:hanging="709"/>
        <w:rPr>
          <w:color w:val="auto"/>
        </w:rPr>
      </w:pPr>
      <w:r w:rsidRPr="00536F4D">
        <w:rPr>
          <w:color w:val="auto"/>
        </w:rPr>
        <w:t>The</w:t>
      </w:r>
      <w:r w:rsidRPr="00536F4D">
        <w:t xml:space="preserve"> submission presented a modelled cost-utility analysis, using the randomised trial (AURA3, which compared osimertinib and chemotherapy in a population of patients with </w:t>
      </w:r>
      <w:r w:rsidR="00B901D2" w:rsidRPr="00B901D2">
        <w:rPr>
          <w:i/>
        </w:rPr>
        <w:t>T790M</w:t>
      </w:r>
      <w:r w:rsidRPr="00536F4D">
        <w:t xml:space="preserve">+ NSCLC, after progression following </w:t>
      </w:r>
      <w:r w:rsidR="00B901D2" w:rsidRPr="00651569">
        <w:t>EGFR</w:t>
      </w:r>
      <w:r w:rsidRPr="00651569">
        <w:t xml:space="preserve"> </w:t>
      </w:r>
      <w:r w:rsidRPr="00536F4D">
        <w:t xml:space="preserve">TKI) to inform PFS, and the naïve indirect comparison of nonrandomised studies (AURA </w:t>
      </w:r>
      <w:r w:rsidR="00524A2A">
        <w:t>P</w:t>
      </w:r>
      <w:r w:rsidRPr="00536F4D">
        <w:t>ooled and IMPRESS) to inform OS. A summary of the structure and rationale for the economic model is presented in</w:t>
      </w:r>
      <w:r w:rsidR="00B24640" w:rsidRPr="00536F4D">
        <w:t xml:space="preserve"> </w:t>
      </w:r>
      <w:r w:rsidR="00627421" w:rsidRPr="00536F4D">
        <w:t xml:space="preserve">Table </w:t>
      </w:r>
      <w:r w:rsidR="00627421" w:rsidRPr="00536F4D">
        <w:rPr>
          <w:noProof/>
        </w:rPr>
        <w:t>10</w:t>
      </w:r>
      <w:r w:rsidRPr="00536F4D">
        <w:t>.</w:t>
      </w:r>
      <w:bookmarkStart w:id="27" w:name="_Ref490220594"/>
    </w:p>
    <w:p w:rsidR="00B24640" w:rsidRPr="00536F4D" w:rsidRDefault="00B24640" w:rsidP="00B24640">
      <w:pPr>
        <w:pStyle w:val="Caption"/>
      </w:pPr>
      <w:r w:rsidRPr="00536F4D">
        <w:t xml:space="preserve">Table </w:t>
      </w:r>
      <w:r w:rsidR="00AB747A" w:rsidRPr="00536F4D">
        <w:rPr>
          <w:noProof/>
        </w:rPr>
        <w:t>10</w:t>
      </w:r>
      <w:bookmarkEnd w:id="27"/>
      <w:r w:rsidRPr="00536F4D">
        <w:t>:</w:t>
      </w:r>
      <w:r w:rsidR="00C61A70">
        <w:t xml:space="preserve"> </w:t>
      </w:r>
      <w:r w:rsidRPr="00536F4D">
        <w:t>Summary of model structure and rationale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856"/>
        <w:gridCol w:w="3685"/>
      </w:tblGrid>
      <w:tr w:rsidR="00FD5FA6" w:rsidRPr="00536F4D" w:rsidTr="00896603">
        <w:tc>
          <w:tcPr>
            <w:tcW w:w="1531" w:type="dxa"/>
            <w:shd w:val="clear" w:color="auto" w:fill="auto"/>
          </w:tcPr>
          <w:p w:rsidR="00FD5FA6" w:rsidRPr="00536F4D" w:rsidRDefault="00FD5FA6" w:rsidP="00DA12F3">
            <w:pPr>
              <w:pStyle w:val="TableText"/>
              <w:jc w:val="left"/>
              <w:rPr>
                <w:b/>
              </w:rPr>
            </w:pPr>
            <w:r w:rsidRPr="00536F4D">
              <w:rPr>
                <w:b/>
              </w:rPr>
              <w:t xml:space="preserve">Component </w:t>
            </w:r>
          </w:p>
        </w:tc>
        <w:tc>
          <w:tcPr>
            <w:tcW w:w="3856" w:type="dxa"/>
            <w:shd w:val="clear" w:color="auto" w:fill="auto"/>
          </w:tcPr>
          <w:p w:rsidR="00FD5FA6" w:rsidRPr="00536F4D" w:rsidRDefault="00FD5FA6" w:rsidP="00DA12F3">
            <w:pPr>
              <w:pStyle w:val="TableText"/>
              <w:jc w:val="left"/>
              <w:rPr>
                <w:b/>
              </w:rPr>
            </w:pPr>
            <w:r w:rsidRPr="00536F4D">
              <w:rPr>
                <w:b/>
              </w:rPr>
              <w:t>Description</w:t>
            </w:r>
          </w:p>
        </w:tc>
        <w:tc>
          <w:tcPr>
            <w:tcW w:w="3685" w:type="dxa"/>
          </w:tcPr>
          <w:p w:rsidR="00FD5FA6" w:rsidRPr="00536F4D" w:rsidRDefault="00FD5FA6" w:rsidP="00DA12F3">
            <w:pPr>
              <w:pStyle w:val="TableText"/>
              <w:jc w:val="left"/>
              <w:rPr>
                <w:b/>
              </w:rPr>
            </w:pPr>
            <w:r w:rsidRPr="00536F4D">
              <w:rPr>
                <w:b/>
              </w:rPr>
              <w:t>Justification/comments</w:t>
            </w:r>
          </w:p>
        </w:tc>
      </w:tr>
      <w:tr w:rsidR="00FD5FA6" w:rsidRPr="00536F4D" w:rsidTr="00896603">
        <w:tc>
          <w:tcPr>
            <w:tcW w:w="1531" w:type="dxa"/>
            <w:shd w:val="clear" w:color="auto" w:fill="auto"/>
          </w:tcPr>
          <w:p w:rsidR="00FD5FA6" w:rsidRPr="00536F4D" w:rsidRDefault="00FD5FA6" w:rsidP="00DA12F3">
            <w:pPr>
              <w:pStyle w:val="TableText"/>
              <w:jc w:val="left"/>
              <w:rPr>
                <w:rFonts w:ascii="Times" w:eastAsia="Times New Roman" w:hAnsi="Times" w:cs="Times New Roman"/>
                <w:szCs w:val="20"/>
              </w:rPr>
            </w:pPr>
            <w:r w:rsidRPr="00536F4D">
              <w:t>Time horizon</w:t>
            </w:r>
          </w:p>
        </w:tc>
        <w:tc>
          <w:tcPr>
            <w:tcW w:w="3856" w:type="dxa"/>
            <w:shd w:val="clear" w:color="auto" w:fill="auto"/>
          </w:tcPr>
          <w:p w:rsidR="00FD5FA6" w:rsidRPr="00536F4D" w:rsidRDefault="00FD5FA6" w:rsidP="00DA12F3">
            <w:pPr>
              <w:pStyle w:val="TableText"/>
              <w:rPr>
                <w:rFonts w:ascii="Times" w:eastAsia="Times New Roman" w:hAnsi="Times" w:cs="Times New Roman"/>
                <w:szCs w:val="20"/>
              </w:rPr>
            </w:pPr>
            <w:r w:rsidRPr="00536F4D">
              <w:t xml:space="preserve">10 years in the model base case versus </w:t>
            </w:r>
            <w:r w:rsidR="000B2D46">
              <w:rPr>
                <w:noProof/>
                <w:color w:val="000000"/>
                <w:highlight w:val="black"/>
              </w:rPr>
              <w:t>''''''''''</w:t>
            </w:r>
            <w:r w:rsidRPr="00536F4D">
              <w:t xml:space="preserve"> months in the AURA3 trial</w:t>
            </w:r>
          </w:p>
        </w:tc>
        <w:tc>
          <w:tcPr>
            <w:tcW w:w="3685" w:type="dxa"/>
          </w:tcPr>
          <w:p w:rsidR="00FD5FA6" w:rsidRPr="00536F4D" w:rsidRDefault="00FD5FA6" w:rsidP="00352B4F">
            <w:pPr>
              <w:pStyle w:val="TableText"/>
            </w:pPr>
            <w:r w:rsidRPr="00536F4D">
              <w:t>The submission selected the time horizon based on the modelled time by which the large majority of patients had died. This may not be reasonable. The PBAC has previously accepted a 5</w:t>
            </w:r>
            <w:r w:rsidR="00352B4F">
              <w:t>-</w:t>
            </w:r>
            <w:r w:rsidRPr="00536F4D">
              <w:t>year time horizon for first-line treatments of NSCLC (PBAC erlotinib and afatinib PSDs, July 2013)</w:t>
            </w:r>
            <w:r w:rsidR="008E6B38" w:rsidRPr="00536F4D">
              <w:t xml:space="preserve"> and osimertinib is </w:t>
            </w:r>
            <w:r w:rsidR="00896603" w:rsidRPr="00536F4D">
              <w:t>proposed</w:t>
            </w:r>
            <w:r w:rsidR="008E6B38" w:rsidRPr="00536F4D">
              <w:t xml:space="preserve"> as a second</w:t>
            </w:r>
            <w:r w:rsidR="006F143D">
              <w:t>-</w:t>
            </w:r>
            <w:r w:rsidR="008E6B38" w:rsidRPr="00536F4D">
              <w:t>line treatment</w:t>
            </w:r>
            <w:r w:rsidRPr="00536F4D">
              <w:t>.</w:t>
            </w:r>
          </w:p>
        </w:tc>
      </w:tr>
      <w:tr w:rsidR="00FD5FA6" w:rsidRPr="00536F4D" w:rsidTr="00896603">
        <w:tc>
          <w:tcPr>
            <w:tcW w:w="1531" w:type="dxa"/>
            <w:shd w:val="clear" w:color="auto" w:fill="auto"/>
          </w:tcPr>
          <w:p w:rsidR="00FD5FA6" w:rsidRPr="00536F4D" w:rsidRDefault="00FD5FA6" w:rsidP="00DA12F3">
            <w:pPr>
              <w:pStyle w:val="TableText"/>
              <w:jc w:val="left"/>
              <w:rPr>
                <w:rFonts w:ascii="Times" w:eastAsia="Times New Roman" w:hAnsi="Times" w:cs="Times New Roman"/>
                <w:szCs w:val="20"/>
              </w:rPr>
            </w:pPr>
            <w:r w:rsidRPr="00536F4D">
              <w:t>Outcomes</w:t>
            </w:r>
          </w:p>
        </w:tc>
        <w:tc>
          <w:tcPr>
            <w:tcW w:w="3856" w:type="dxa"/>
            <w:shd w:val="clear" w:color="auto" w:fill="auto"/>
          </w:tcPr>
          <w:p w:rsidR="00FD5FA6" w:rsidRPr="00536F4D" w:rsidRDefault="00FD5FA6" w:rsidP="00DA12F3">
            <w:pPr>
              <w:pStyle w:val="TableText"/>
              <w:rPr>
                <w:rFonts w:ascii="Times" w:eastAsia="Times New Roman" w:hAnsi="Times" w:cs="Times New Roman"/>
                <w:szCs w:val="20"/>
              </w:rPr>
            </w:pPr>
            <w:r w:rsidRPr="00536F4D">
              <w:t>Life-years gained, quality-adjusted life-years gained</w:t>
            </w:r>
          </w:p>
        </w:tc>
        <w:tc>
          <w:tcPr>
            <w:tcW w:w="3685" w:type="dxa"/>
          </w:tcPr>
          <w:p w:rsidR="00FD5FA6" w:rsidRPr="00536F4D" w:rsidRDefault="00FD5FA6" w:rsidP="00DA12F3">
            <w:pPr>
              <w:pStyle w:val="TableText"/>
            </w:pPr>
            <w:r w:rsidRPr="00536F4D">
              <w:t>Reasonable</w:t>
            </w:r>
          </w:p>
        </w:tc>
      </w:tr>
      <w:tr w:rsidR="00FD5FA6" w:rsidRPr="00536F4D" w:rsidTr="00896603">
        <w:tc>
          <w:tcPr>
            <w:tcW w:w="1531" w:type="dxa"/>
            <w:shd w:val="clear" w:color="auto" w:fill="auto"/>
          </w:tcPr>
          <w:p w:rsidR="00FD5FA6" w:rsidRPr="00536F4D" w:rsidRDefault="00FD5FA6" w:rsidP="00DA12F3">
            <w:pPr>
              <w:pStyle w:val="TableText"/>
              <w:jc w:val="left"/>
              <w:rPr>
                <w:rFonts w:ascii="Times" w:eastAsia="Times New Roman" w:hAnsi="Times" w:cs="Times New Roman"/>
                <w:szCs w:val="20"/>
              </w:rPr>
            </w:pPr>
            <w:r w:rsidRPr="00536F4D">
              <w:t>Methods used to generate results</w:t>
            </w:r>
          </w:p>
        </w:tc>
        <w:tc>
          <w:tcPr>
            <w:tcW w:w="3856" w:type="dxa"/>
            <w:shd w:val="clear" w:color="auto" w:fill="auto"/>
          </w:tcPr>
          <w:p w:rsidR="00FD5FA6" w:rsidRPr="00536F4D" w:rsidRDefault="00FD5FA6" w:rsidP="00DA12F3">
            <w:pPr>
              <w:pStyle w:val="TableText"/>
              <w:rPr>
                <w:rFonts w:ascii="Times" w:eastAsia="Times New Roman" w:hAnsi="Times" w:cs="Times New Roman"/>
                <w:szCs w:val="20"/>
              </w:rPr>
            </w:pPr>
            <w:r w:rsidRPr="00536F4D">
              <w:t>Markov cohort expected value analysis.</w:t>
            </w:r>
          </w:p>
        </w:tc>
        <w:tc>
          <w:tcPr>
            <w:tcW w:w="3685" w:type="dxa"/>
          </w:tcPr>
          <w:p w:rsidR="00FD5FA6" w:rsidRPr="00536F4D" w:rsidRDefault="00FD5FA6" w:rsidP="00DA12F3">
            <w:pPr>
              <w:pStyle w:val="TableText"/>
            </w:pPr>
            <w:r w:rsidRPr="00536F4D">
              <w:t>Reasonable</w:t>
            </w:r>
          </w:p>
        </w:tc>
      </w:tr>
      <w:tr w:rsidR="00FD5FA6" w:rsidRPr="00536F4D" w:rsidTr="00896603">
        <w:tc>
          <w:tcPr>
            <w:tcW w:w="1531" w:type="dxa"/>
            <w:shd w:val="clear" w:color="auto" w:fill="auto"/>
          </w:tcPr>
          <w:p w:rsidR="00FD5FA6" w:rsidRPr="00536F4D" w:rsidRDefault="00FD5FA6" w:rsidP="00DA12F3">
            <w:pPr>
              <w:pStyle w:val="TableText"/>
              <w:jc w:val="left"/>
              <w:rPr>
                <w:rFonts w:ascii="Times" w:eastAsia="Times New Roman" w:hAnsi="Times" w:cs="Times New Roman"/>
                <w:szCs w:val="20"/>
              </w:rPr>
            </w:pPr>
            <w:r w:rsidRPr="00536F4D">
              <w:t>Health states</w:t>
            </w:r>
          </w:p>
        </w:tc>
        <w:tc>
          <w:tcPr>
            <w:tcW w:w="3856" w:type="dxa"/>
            <w:shd w:val="clear" w:color="auto" w:fill="auto"/>
          </w:tcPr>
          <w:p w:rsidR="00FD5FA6" w:rsidRPr="00536F4D" w:rsidRDefault="00FD5FA6" w:rsidP="00DA12F3">
            <w:pPr>
              <w:pStyle w:val="TableText"/>
              <w:spacing w:line="256" w:lineRule="auto"/>
            </w:pPr>
            <w:r w:rsidRPr="00536F4D">
              <w:t>Progression</w:t>
            </w:r>
            <w:r w:rsidR="000E0E2E">
              <w:t>-</w:t>
            </w:r>
            <w:r w:rsidRPr="00536F4D">
              <w:t>free on treatment with osimertinib;</w:t>
            </w:r>
          </w:p>
          <w:p w:rsidR="00FD5FA6" w:rsidRPr="00536F4D" w:rsidRDefault="00FD5FA6" w:rsidP="00DA12F3">
            <w:pPr>
              <w:pStyle w:val="TableText"/>
              <w:spacing w:line="256" w:lineRule="auto"/>
            </w:pPr>
            <w:r w:rsidRPr="00536F4D">
              <w:t>Progression</w:t>
            </w:r>
            <w:r w:rsidR="000E0E2E">
              <w:t>-</w:t>
            </w:r>
            <w:r w:rsidRPr="00536F4D">
              <w:t xml:space="preserve">free on treatment with platinum-based doublet (either in the </w:t>
            </w:r>
            <w:r w:rsidR="006F143D">
              <w:t>second-</w:t>
            </w:r>
            <w:r w:rsidRPr="00536F4D">
              <w:t xml:space="preserve">line setting in patients not treated with osimertinib, or </w:t>
            </w:r>
            <w:r w:rsidR="00C635AE">
              <w:t xml:space="preserve">in the </w:t>
            </w:r>
            <w:r w:rsidR="006F143D">
              <w:t>third-</w:t>
            </w:r>
            <w:r w:rsidRPr="00536F4D">
              <w:t>line setting in a proportion of osimertinib-treated patients);</w:t>
            </w:r>
          </w:p>
          <w:p w:rsidR="00FD5FA6" w:rsidRPr="00536F4D" w:rsidRDefault="00FD5FA6" w:rsidP="00DA12F3">
            <w:pPr>
              <w:pStyle w:val="TableText"/>
              <w:spacing w:line="256" w:lineRule="auto"/>
            </w:pPr>
            <w:r w:rsidRPr="00536F4D">
              <w:t xml:space="preserve">Progressing disease </w:t>
            </w:r>
            <w:r w:rsidR="00C635AE">
              <w:t xml:space="preserve">following chemotherapy </w:t>
            </w:r>
            <w:r w:rsidRPr="00536F4D">
              <w:t xml:space="preserve">(on </w:t>
            </w:r>
            <w:r w:rsidR="00C635AE">
              <w:t xml:space="preserve">BSC or </w:t>
            </w:r>
            <w:r w:rsidRPr="00536F4D">
              <w:t xml:space="preserve">salvage therapy </w:t>
            </w:r>
            <w:r w:rsidR="00C635AE">
              <w:t>f</w:t>
            </w:r>
            <w:r w:rsidRPr="00536F4D">
              <w:t xml:space="preserve">or </w:t>
            </w:r>
            <w:r w:rsidR="00C635AE">
              <w:t>some</w:t>
            </w:r>
            <w:r w:rsidRPr="00536F4D">
              <w:t>);</w:t>
            </w:r>
          </w:p>
          <w:p w:rsidR="00FD5FA6" w:rsidRPr="00536F4D" w:rsidRDefault="00FD5FA6" w:rsidP="00DA12F3">
            <w:pPr>
              <w:pStyle w:val="TableText"/>
              <w:rPr>
                <w:rFonts w:ascii="Times" w:eastAsia="Times New Roman" w:hAnsi="Times" w:cs="Times New Roman"/>
                <w:szCs w:val="20"/>
              </w:rPr>
            </w:pPr>
            <w:r w:rsidRPr="00536F4D">
              <w:t>Death</w:t>
            </w:r>
          </w:p>
        </w:tc>
        <w:tc>
          <w:tcPr>
            <w:tcW w:w="3685" w:type="dxa"/>
          </w:tcPr>
          <w:p w:rsidR="00FD5FA6" w:rsidRPr="00536F4D" w:rsidRDefault="00FD5FA6" w:rsidP="00C635AE">
            <w:pPr>
              <w:pStyle w:val="TableText"/>
            </w:pPr>
            <w:r w:rsidRPr="00536F4D">
              <w:t>The use of a four-health state model for patients who begin on second-line osimertinib was not adequately justified (i.e. was not clear why two separate progress</w:t>
            </w:r>
            <w:r w:rsidR="00C635AE">
              <w:t xml:space="preserve">ion-free </w:t>
            </w:r>
            <w:r w:rsidRPr="00536F4D">
              <w:t xml:space="preserve">health states were warranted for patients who start on osimertinib, and only one </w:t>
            </w:r>
            <w:r w:rsidR="008E6B38" w:rsidRPr="00536F4D">
              <w:t>progress</w:t>
            </w:r>
            <w:r w:rsidR="00C635AE">
              <w:t xml:space="preserve">ion-free </w:t>
            </w:r>
            <w:r w:rsidR="008E6B38" w:rsidRPr="00536F4D">
              <w:t xml:space="preserve">health state </w:t>
            </w:r>
            <w:r w:rsidRPr="00536F4D">
              <w:t>for patients who start on chemotherapy).</w:t>
            </w:r>
          </w:p>
        </w:tc>
      </w:tr>
      <w:tr w:rsidR="00FD5FA6" w:rsidRPr="00536F4D" w:rsidTr="00896603">
        <w:tc>
          <w:tcPr>
            <w:tcW w:w="1531" w:type="dxa"/>
            <w:shd w:val="clear" w:color="auto" w:fill="auto"/>
          </w:tcPr>
          <w:p w:rsidR="00FD5FA6" w:rsidRPr="00536F4D" w:rsidRDefault="00FD5FA6" w:rsidP="00DA12F3">
            <w:pPr>
              <w:pStyle w:val="TableText"/>
              <w:jc w:val="left"/>
            </w:pPr>
            <w:r w:rsidRPr="00536F4D">
              <w:t>Utilities</w:t>
            </w:r>
          </w:p>
        </w:tc>
        <w:tc>
          <w:tcPr>
            <w:tcW w:w="3856" w:type="dxa"/>
            <w:shd w:val="clear" w:color="auto" w:fill="auto"/>
          </w:tcPr>
          <w:p w:rsidR="00FD5FA6" w:rsidRPr="00536F4D" w:rsidRDefault="00FD5FA6" w:rsidP="00DA12F3">
            <w:pPr>
              <w:pStyle w:val="TableText"/>
            </w:pPr>
            <w:r w:rsidRPr="00536F4D">
              <w:t>Progression-free utilities: AURA3</w:t>
            </w:r>
          </w:p>
          <w:p w:rsidR="00FD5FA6" w:rsidRPr="00536F4D" w:rsidRDefault="00FD5FA6" w:rsidP="00DA12F3">
            <w:pPr>
              <w:pStyle w:val="TableText"/>
              <w:spacing w:line="256" w:lineRule="auto"/>
            </w:pPr>
            <w:r w:rsidRPr="00536F4D">
              <w:t>Progressive disease: IMPRESS</w:t>
            </w:r>
          </w:p>
        </w:tc>
        <w:tc>
          <w:tcPr>
            <w:tcW w:w="3685" w:type="dxa"/>
          </w:tcPr>
          <w:p w:rsidR="00FD5FA6" w:rsidRPr="00536F4D" w:rsidRDefault="00FD5FA6" w:rsidP="00DA12F3">
            <w:pPr>
              <w:pStyle w:val="TableText"/>
              <w:tabs>
                <w:tab w:val="center" w:pos="1593"/>
              </w:tabs>
            </w:pPr>
            <w:r w:rsidRPr="00536F4D">
              <w:t xml:space="preserve">This was reasonable however the progression-free utility was applied to the ‘progression-free on or after chemotherapy’ health state after disease progression on osimertinib. This was not justified however, had only a minor effect on the ICER. </w:t>
            </w:r>
            <w:r w:rsidRPr="00536F4D">
              <w:rPr>
                <w:vertAlign w:val="superscript"/>
              </w:rPr>
              <w:t>a</w:t>
            </w:r>
          </w:p>
        </w:tc>
      </w:tr>
      <w:tr w:rsidR="00FD5FA6" w:rsidRPr="00536F4D" w:rsidTr="00896603">
        <w:tc>
          <w:tcPr>
            <w:tcW w:w="1531" w:type="dxa"/>
            <w:shd w:val="clear" w:color="auto" w:fill="auto"/>
          </w:tcPr>
          <w:p w:rsidR="00FD5FA6" w:rsidRPr="00536F4D" w:rsidRDefault="00FD5FA6" w:rsidP="00DA12F3">
            <w:pPr>
              <w:pStyle w:val="TableText"/>
              <w:jc w:val="left"/>
              <w:rPr>
                <w:rFonts w:ascii="Times" w:eastAsia="Times New Roman" w:hAnsi="Times" w:cs="Times New Roman"/>
                <w:szCs w:val="20"/>
              </w:rPr>
            </w:pPr>
            <w:r w:rsidRPr="00536F4D">
              <w:t>Cycle length</w:t>
            </w:r>
          </w:p>
        </w:tc>
        <w:tc>
          <w:tcPr>
            <w:tcW w:w="3856" w:type="dxa"/>
            <w:shd w:val="clear" w:color="auto" w:fill="auto"/>
          </w:tcPr>
          <w:p w:rsidR="00FD5FA6" w:rsidRPr="00536F4D" w:rsidRDefault="00FD5FA6" w:rsidP="00DA12F3">
            <w:pPr>
              <w:pStyle w:val="TableText"/>
              <w:rPr>
                <w:rFonts w:ascii="Times" w:eastAsia="Times New Roman" w:hAnsi="Times" w:cs="Times New Roman"/>
                <w:szCs w:val="20"/>
              </w:rPr>
            </w:pPr>
            <w:r w:rsidRPr="00536F4D">
              <w:t>30 days</w:t>
            </w:r>
          </w:p>
        </w:tc>
        <w:tc>
          <w:tcPr>
            <w:tcW w:w="3685" w:type="dxa"/>
          </w:tcPr>
          <w:p w:rsidR="00FD5FA6" w:rsidRPr="00536F4D" w:rsidRDefault="00FD5FA6" w:rsidP="00DA12F3">
            <w:pPr>
              <w:pStyle w:val="TableText"/>
            </w:pPr>
            <w:r w:rsidRPr="00536F4D">
              <w:t>This was reasonable, however every cycle 1/12 of a QALY or LY was gained (which equates to 30.4 days), whereas technically, 30/365.25 of a LY or QALY should be gained per cycle.</w:t>
            </w:r>
          </w:p>
        </w:tc>
      </w:tr>
      <w:tr w:rsidR="00FD5FA6" w:rsidRPr="00536F4D" w:rsidTr="00896603">
        <w:tc>
          <w:tcPr>
            <w:tcW w:w="1531" w:type="dxa"/>
            <w:shd w:val="clear" w:color="auto" w:fill="auto"/>
          </w:tcPr>
          <w:p w:rsidR="00FD5FA6" w:rsidRPr="00536F4D" w:rsidRDefault="00FD5FA6" w:rsidP="00DA12F3">
            <w:pPr>
              <w:pStyle w:val="TableText"/>
              <w:jc w:val="left"/>
            </w:pPr>
            <w:r w:rsidRPr="00536F4D">
              <w:t xml:space="preserve">Transition probabilities </w:t>
            </w:r>
          </w:p>
        </w:tc>
        <w:tc>
          <w:tcPr>
            <w:tcW w:w="3856" w:type="dxa"/>
            <w:shd w:val="clear" w:color="auto" w:fill="auto"/>
          </w:tcPr>
          <w:p w:rsidR="00FD5FA6" w:rsidRPr="00536F4D" w:rsidRDefault="00FD5FA6" w:rsidP="005336F7">
            <w:pPr>
              <w:pStyle w:val="TableText"/>
              <w:numPr>
                <w:ilvl w:val="0"/>
                <w:numId w:val="7"/>
              </w:numPr>
              <w:spacing w:line="256" w:lineRule="auto"/>
              <w:ind w:left="175" w:hanging="141"/>
            </w:pPr>
            <w:r w:rsidRPr="00536F4D">
              <w:t xml:space="preserve">Data from patients </w:t>
            </w:r>
            <w:r w:rsidR="00505957">
              <w:t xml:space="preserve">prior to progression </w:t>
            </w:r>
            <w:r w:rsidRPr="00536F4D">
              <w:t xml:space="preserve">in the relevant treatment arms of AURA3 were used in </w:t>
            </w:r>
            <w:r w:rsidR="00B901D2" w:rsidRPr="00B901D2">
              <w:rPr>
                <w:i/>
              </w:rPr>
              <w:t>T790M</w:t>
            </w:r>
            <w:r w:rsidRPr="00536F4D">
              <w:t>+ patients to inform the transitions from the progression-free health states</w:t>
            </w:r>
            <w:r w:rsidR="001733F2">
              <w:t>.</w:t>
            </w:r>
          </w:p>
          <w:p w:rsidR="00FD5FA6" w:rsidRPr="00536F4D" w:rsidRDefault="00FD5FA6" w:rsidP="005336F7">
            <w:pPr>
              <w:pStyle w:val="TableText"/>
              <w:numPr>
                <w:ilvl w:val="0"/>
                <w:numId w:val="7"/>
              </w:numPr>
              <w:spacing w:line="256" w:lineRule="auto"/>
              <w:ind w:left="175" w:hanging="141"/>
            </w:pPr>
            <w:r w:rsidRPr="00536F4D">
              <w:t xml:space="preserve">Data from unprogressed patients in the control arms of IMPRESS were used in </w:t>
            </w:r>
            <w:r w:rsidR="00B901D2" w:rsidRPr="00B901D2">
              <w:rPr>
                <w:i/>
              </w:rPr>
              <w:t>T790M</w:t>
            </w:r>
            <w:r w:rsidRPr="00536F4D">
              <w:rPr>
                <w:rFonts w:ascii="Calibri" w:hAnsi="Calibri"/>
              </w:rPr>
              <w:t>‒</w:t>
            </w:r>
            <w:r w:rsidRPr="00536F4D">
              <w:t>patients to inform the transitions from the</w:t>
            </w:r>
            <w:r w:rsidR="001733F2">
              <w:t xml:space="preserve"> progression-free health states.</w:t>
            </w:r>
          </w:p>
          <w:p w:rsidR="00FD5FA6" w:rsidRPr="00536F4D" w:rsidRDefault="00FD5FA6" w:rsidP="005336F7">
            <w:pPr>
              <w:pStyle w:val="TableText"/>
              <w:numPr>
                <w:ilvl w:val="0"/>
                <w:numId w:val="7"/>
              </w:numPr>
              <w:spacing w:line="256" w:lineRule="auto"/>
              <w:ind w:left="175" w:hanging="141"/>
              <w:rPr>
                <w:rFonts w:ascii="Times" w:eastAsia="Times New Roman" w:hAnsi="Times" w:cs="Times New Roman"/>
              </w:rPr>
            </w:pPr>
            <w:r w:rsidRPr="00536F4D">
              <w:t xml:space="preserve">Data from progressed patients in the second-line cohort of AURA </w:t>
            </w:r>
            <w:r w:rsidR="00524A2A">
              <w:t>P</w:t>
            </w:r>
            <w:r w:rsidRPr="00536F4D">
              <w:t xml:space="preserve">ooled were used to inform the transition from progressive disease </w:t>
            </w:r>
            <w:r w:rsidRPr="00536F4D">
              <w:lastRenderedPageBreak/>
              <w:t xml:space="preserve">to death after osimertinib treatment in </w:t>
            </w:r>
            <w:r w:rsidR="00B901D2" w:rsidRPr="00B901D2">
              <w:rPr>
                <w:i/>
              </w:rPr>
              <w:t>T790M</w:t>
            </w:r>
            <w:r w:rsidR="001733F2">
              <w:t>+ patients.</w:t>
            </w:r>
          </w:p>
          <w:p w:rsidR="00FD5FA6" w:rsidRPr="00536F4D" w:rsidRDefault="00FD5FA6" w:rsidP="005336F7">
            <w:pPr>
              <w:pStyle w:val="TableText"/>
              <w:numPr>
                <w:ilvl w:val="0"/>
                <w:numId w:val="7"/>
              </w:numPr>
              <w:spacing w:line="256" w:lineRule="auto"/>
              <w:ind w:left="175" w:hanging="141"/>
            </w:pPr>
            <w:r w:rsidRPr="00536F4D">
              <w:t xml:space="preserve">Data from progressed patients in the control arm of IMPRESS were used to inform the transition from progressive disease to death after chemotherapy, by </w:t>
            </w:r>
            <w:r w:rsidR="00B901D2" w:rsidRPr="00B901D2">
              <w:rPr>
                <w:i/>
              </w:rPr>
              <w:t>T790M</w:t>
            </w:r>
            <w:r w:rsidRPr="00536F4D">
              <w:t xml:space="preserve"> status.</w:t>
            </w:r>
          </w:p>
        </w:tc>
        <w:tc>
          <w:tcPr>
            <w:tcW w:w="3685" w:type="dxa"/>
          </w:tcPr>
          <w:p w:rsidR="00FD5FA6" w:rsidRPr="00536F4D" w:rsidRDefault="00FD5FA6" w:rsidP="00DA12F3">
            <w:pPr>
              <w:pStyle w:val="TableText"/>
              <w:spacing w:line="256" w:lineRule="auto"/>
            </w:pPr>
            <w:r w:rsidRPr="00536F4D">
              <w:lastRenderedPageBreak/>
              <w:t xml:space="preserve">The use of supportive evidence (AURA </w:t>
            </w:r>
            <w:r w:rsidR="00524A2A">
              <w:t>P</w:t>
            </w:r>
            <w:r w:rsidRPr="00536F4D">
              <w:t>ooled and IMPRESS) when a direct trial (AURA3) was available was inadequately justified. Analyses based on the ITT results from AURA3 would be more informative, with adjustment for treatment switching considered in sensitivity analyses.</w:t>
            </w:r>
          </w:p>
          <w:p w:rsidR="00FD5FA6" w:rsidRPr="00536F4D" w:rsidRDefault="00FD5FA6" w:rsidP="00DA12F3">
            <w:pPr>
              <w:pStyle w:val="TableText"/>
              <w:spacing w:line="256" w:lineRule="auto"/>
            </w:pPr>
            <w:r w:rsidRPr="00536F4D">
              <w:t xml:space="preserve">The approaches used to estimate the transition probabilities in the model were inconsistent and selected by highly subjective visual inspection. Some transitions were informed by small </w:t>
            </w:r>
            <w:r w:rsidRPr="00536F4D">
              <w:lastRenderedPageBreak/>
              <w:t>patient numbers and may lack precision.</w:t>
            </w:r>
          </w:p>
          <w:p w:rsidR="00FD5FA6" w:rsidRPr="00536F4D" w:rsidRDefault="00FD5FA6" w:rsidP="00DA12F3">
            <w:pPr>
              <w:pStyle w:val="TableText"/>
              <w:spacing w:line="256" w:lineRule="auto"/>
            </w:pPr>
            <w:r w:rsidRPr="00536F4D">
              <w:t xml:space="preserve">Constant transition probabilities, which favoured survival for patients who had received osimertinib, were used in the model beyond the study time horizons. This implied an ongoing treatment effect over the entire duration of the </w:t>
            </w:r>
            <w:r w:rsidR="006F143D">
              <w:t>model, which was not justified.</w:t>
            </w:r>
          </w:p>
        </w:tc>
      </w:tr>
      <w:tr w:rsidR="00FD5FA6" w:rsidRPr="00536F4D" w:rsidTr="00896603">
        <w:tc>
          <w:tcPr>
            <w:tcW w:w="1531" w:type="dxa"/>
            <w:shd w:val="clear" w:color="auto" w:fill="auto"/>
          </w:tcPr>
          <w:p w:rsidR="00FD5FA6" w:rsidRPr="00536F4D" w:rsidRDefault="00FD5FA6" w:rsidP="00DA12F3">
            <w:pPr>
              <w:pStyle w:val="TableText"/>
              <w:jc w:val="left"/>
            </w:pPr>
            <w:r w:rsidRPr="00536F4D">
              <w:lastRenderedPageBreak/>
              <w:t>Test parameters</w:t>
            </w:r>
          </w:p>
        </w:tc>
        <w:tc>
          <w:tcPr>
            <w:tcW w:w="3856" w:type="dxa"/>
            <w:shd w:val="clear" w:color="auto" w:fill="auto"/>
          </w:tcPr>
          <w:p w:rsidR="00FD5FA6" w:rsidRPr="00536F4D" w:rsidRDefault="00FD5FA6" w:rsidP="00DA12F3">
            <w:pPr>
              <w:pStyle w:val="TableText"/>
              <w:spacing w:line="256" w:lineRule="auto"/>
            </w:pPr>
            <w:r w:rsidRPr="00536F4D">
              <w:t xml:space="preserve">PPV and NPV incorporated in a decision analytic which determines the treatments received by underlying </w:t>
            </w:r>
            <w:r w:rsidR="00B901D2" w:rsidRPr="00B901D2">
              <w:rPr>
                <w:i/>
              </w:rPr>
              <w:t>T790M</w:t>
            </w:r>
            <w:r w:rsidRPr="00536F4D">
              <w:t xml:space="preserve"> status.</w:t>
            </w:r>
          </w:p>
        </w:tc>
        <w:tc>
          <w:tcPr>
            <w:tcW w:w="3685" w:type="dxa"/>
          </w:tcPr>
          <w:p w:rsidR="00FD5FA6" w:rsidRPr="00536F4D" w:rsidRDefault="00FD5FA6" w:rsidP="00DA12F3">
            <w:pPr>
              <w:pStyle w:val="TableText"/>
              <w:spacing w:line="256" w:lineRule="auto"/>
            </w:pPr>
            <w:r w:rsidRPr="00536F4D">
              <w:t>Reasonable.</w:t>
            </w:r>
          </w:p>
        </w:tc>
      </w:tr>
      <w:tr w:rsidR="00FD5FA6" w:rsidRPr="00536F4D" w:rsidTr="00896603">
        <w:tc>
          <w:tcPr>
            <w:tcW w:w="1531" w:type="dxa"/>
            <w:shd w:val="clear" w:color="auto" w:fill="auto"/>
          </w:tcPr>
          <w:p w:rsidR="00FD5FA6" w:rsidRPr="00536F4D" w:rsidRDefault="00FD5FA6" w:rsidP="00DA12F3">
            <w:pPr>
              <w:pStyle w:val="TableText"/>
              <w:jc w:val="left"/>
            </w:pPr>
            <w:r w:rsidRPr="00536F4D">
              <w:t>False positives/</w:t>
            </w:r>
            <w:r w:rsidR="00896603" w:rsidRPr="00536F4D">
              <w:t xml:space="preserve"> </w:t>
            </w:r>
            <w:r w:rsidRPr="00536F4D">
              <w:t>negatives</w:t>
            </w:r>
          </w:p>
        </w:tc>
        <w:tc>
          <w:tcPr>
            <w:tcW w:w="3856" w:type="dxa"/>
            <w:shd w:val="clear" w:color="auto" w:fill="auto"/>
          </w:tcPr>
          <w:p w:rsidR="00FD5FA6" w:rsidRPr="00536F4D" w:rsidRDefault="00FD5FA6" w:rsidP="00DA12F3">
            <w:pPr>
              <w:pStyle w:val="TableText"/>
            </w:pPr>
            <w:r w:rsidRPr="00536F4D">
              <w:t>The base case analysis assumed that the performance of the test in the trial wo</w:t>
            </w:r>
            <w:r w:rsidR="00896603" w:rsidRPr="00536F4D">
              <w:t xml:space="preserve">uld be replicated in practice. </w:t>
            </w:r>
            <w:r w:rsidRPr="00536F4D">
              <w:t>Sensitivity analyses were included in which:</w:t>
            </w:r>
          </w:p>
          <w:p w:rsidR="00FD5FA6" w:rsidRPr="00536F4D" w:rsidRDefault="00FD5FA6" w:rsidP="005336F7">
            <w:pPr>
              <w:pStyle w:val="TableText"/>
              <w:numPr>
                <w:ilvl w:val="0"/>
                <w:numId w:val="7"/>
              </w:numPr>
              <w:spacing w:line="256" w:lineRule="auto"/>
              <w:ind w:left="175" w:hanging="141"/>
            </w:pPr>
            <w:r w:rsidRPr="00536F4D">
              <w:t>False negative</w:t>
            </w:r>
            <w:r w:rsidR="008E6B38" w:rsidRPr="00536F4D">
              <w:t xml:space="preserve"> patient</w:t>
            </w:r>
            <w:r w:rsidRPr="00536F4D">
              <w:t>s were assumed to forego benefit.</w:t>
            </w:r>
          </w:p>
          <w:p w:rsidR="00FD5FA6" w:rsidRPr="00536F4D" w:rsidRDefault="00FD5FA6" w:rsidP="005336F7">
            <w:pPr>
              <w:pStyle w:val="TableText"/>
              <w:numPr>
                <w:ilvl w:val="0"/>
                <w:numId w:val="7"/>
              </w:numPr>
              <w:spacing w:line="256" w:lineRule="auto"/>
              <w:ind w:left="175" w:hanging="141"/>
            </w:pPr>
            <w:r w:rsidRPr="00536F4D">
              <w:t>False positive</w:t>
            </w:r>
            <w:r w:rsidR="008E6B38" w:rsidRPr="00536F4D">
              <w:t xml:space="preserve"> patient</w:t>
            </w:r>
            <w:r w:rsidRPr="00536F4D">
              <w:t>s were assumed to receive the same benefit from osimertinib treatment as if they had received chemotherapy (i.e. no net harm from osimertinib treatment).</w:t>
            </w:r>
          </w:p>
        </w:tc>
        <w:tc>
          <w:tcPr>
            <w:tcW w:w="3685" w:type="dxa"/>
          </w:tcPr>
          <w:p w:rsidR="00FD5FA6" w:rsidRPr="00536F4D" w:rsidRDefault="00FD5FA6" w:rsidP="00DA12F3">
            <w:pPr>
              <w:pStyle w:val="TableText"/>
              <w:spacing w:line="256" w:lineRule="auto"/>
            </w:pPr>
            <w:r w:rsidRPr="00536F4D">
              <w:t>The assumption in false positives was based on a naïv</w:t>
            </w:r>
            <w:r w:rsidR="000E0E2E">
              <w:t>e indirect comparison of single-</w:t>
            </w:r>
            <w:r w:rsidRPr="00536F4D">
              <w:t xml:space="preserve">arm studies (AURA1B </w:t>
            </w:r>
            <w:r w:rsidR="00B901D2" w:rsidRPr="00B901D2">
              <w:rPr>
                <w:i/>
              </w:rPr>
              <w:t>T790M</w:t>
            </w:r>
            <w:r w:rsidRPr="00536F4D">
              <w:t xml:space="preserve">- on osimertinib v IMPRESS </w:t>
            </w:r>
            <w:r w:rsidR="00B901D2" w:rsidRPr="00B901D2">
              <w:rPr>
                <w:i/>
              </w:rPr>
              <w:t>T790M</w:t>
            </w:r>
            <w:r w:rsidRPr="00536F4D">
              <w:t>- on chemotherapy). As there may be prognostic differences due to the different testing methods used in the</w:t>
            </w:r>
            <w:r w:rsidR="008E6B38" w:rsidRPr="00536F4D">
              <w:t>se</w:t>
            </w:r>
            <w:r w:rsidRPr="00536F4D">
              <w:t xml:space="preserve"> studies, the conclusion that PFS is similar may not be reasonable and may not be consistent with the biological plausibility of targeted therapy.</w:t>
            </w:r>
          </w:p>
        </w:tc>
      </w:tr>
    </w:tbl>
    <w:p w:rsidR="00FD5FA6" w:rsidRPr="00536F4D" w:rsidRDefault="00FD5FA6" w:rsidP="00FD5FA6">
      <w:pPr>
        <w:pStyle w:val="TableFooter"/>
      </w:pPr>
      <w:r w:rsidRPr="00536F4D">
        <w:rPr>
          <w:vertAlign w:val="superscript"/>
        </w:rPr>
        <w:t>a</w:t>
      </w:r>
      <w:r w:rsidRPr="00536F4D">
        <w:t xml:space="preserve"> As 48% of patients who progress </w:t>
      </w:r>
      <w:r w:rsidR="001733F2">
        <w:t>we</w:t>
      </w:r>
      <w:r w:rsidR="00FE45FA">
        <w:t xml:space="preserve">re estimated to </w:t>
      </w:r>
      <w:r w:rsidRPr="00536F4D">
        <w:t>transition to this health state after osimertinib treatment</w:t>
      </w:r>
      <w:r w:rsidR="001733F2">
        <w:t xml:space="preserve"> (</w:t>
      </w:r>
      <w:r w:rsidR="001733F2" w:rsidRPr="001733F2">
        <w:t>based on a survey of 30 medical oncologists</w:t>
      </w:r>
      <w:r w:rsidR="001733F2">
        <w:t>)</w:t>
      </w:r>
      <w:r w:rsidRPr="00536F4D">
        <w:t>, and as time in this health state is short, the effect on incremental QALYs gained is small.</w:t>
      </w:r>
    </w:p>
    <w:p w:rsidR="00FD5FA6" w:rsidRPr="00536F4D" w:rsidRDefault="00FD5FA6" w:rsidP="00FD5FA6">
      <w:pPr>
        <w:pStyle w:val="TableFooter"/>
      </w:pPr>
      <w:r w:rsidRPr="00536F4D">
        <w:t>Source: Table 3-1, pp122-123 of the submission.</w:t>
      </w:r>
    </w:p>
    <w:p w:rsidR="00FD5FA6" w:rsidRPr="00536F4D" w:rsidRDefault="00FD5FA6" w:rsidP="00891893">
      <w:pPr>
        <w:pStyle w:val="ListParagraph"/>
        <w:ind w:left="709" w:hanging="709"/>
      </w:pPr>
      <w:r w:rsidRPr="00536F4D">
        <w:t>The key drivers of the economic model are presented in</w:t>
      </w:r>
      <w:r w:rsidR="00B24640" w:rsidRPr="00536F4D">
        <w:t xml:space="preserve"> </w:t>
      </w:r>
      <w:r w:rsidR="00627421" w:rsidRPr="00536F4D">
        <w:t xml:space="preserve">Table </w:t>
      </w:r>
      <w:r w:rsidR="00627421" w:rsidRPr="00536F4D">
        <w:rPr>
          <w:noProof/>
        </w:rPr>
        <w:t>11</w:t>
      </w:r>
      <w:r w:rsidRPr="00536F4D">
        <w:t>.</w:t>
      </w:r>
    </w:p>
    <w:p w:rsidR="00B24640" w:rsidRPr="00536F4D" w:rsidRDefault="00B24640" w:rsidP="00B24640">
      <w:pPr>
        <w:pStyle w:val="Caption"/>
      </w:pPr>
      <w:bookmarkStart w:id="28" w:name="_Ref490220624"/>
      <w:r w:rsidRPr="00536F4D">
        <w:t xml:space="preserve">Table </w:t>
      </w:r>
      <w:r w:rsidR="00AB747A" w:rsidRPr="00536F4D">
        <w:rPr>
          <w:noProof/>
        </w:rPr>
        <w:t>11</w:t>
      </w:r>
      <w:bookmarkEnd w:id="28"/>
      <w:r w:rsidRPr="00536F4D">
        <w:t>:</w:t>
      </w:r>
      <w:r w:rsidR="00C61A70">
        <w:t xml:space="preserve"> </w:t>
      </w:r>
      <w:r w:rsidRPr="00536F4D">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37"/>
        <w:gridCol w:w="5246"/>
        <w:gridCol w:w="1399"/>
      </w:tblGrid>
      <w:tr w:rsidR="00FD5FA6" w:rsidRPr="00536F4D" w:rsidTr="00F93209">
        <w:trPr>
          <w:tblHeader/>
        </w:trPr>
        <w:tc>
          <w:tcPr>
            <w:tcW w:w="1342" w:type="pct"/>
            <w:shd w:val="clear" w:color="auto" w:fill="auto"/>
          </w:tcPr>
          <w:p w:rsidR="00FD5FA6" w:rsidRPr="00536F4D" w:rsidRDefault="00FD5FA6" w:rsidP="00DA12F3">
            <w:pPr>
              <w:pStyle w:val="TableText"/>
              <w:rPr>
                <w:b/>
              </w:rPr>
            </w:pPr>
            <w:r w:rsidRPr="00536F4D">
              <w:rPr>
                <w:b/>
              </w:rPr>
              <w:t>Description</w:t>
            </w:r>
          </w:p>
        </w:tc>
        <w:tc>
          <w:tcPr>
            <w:tcW w:w="2888" w:type="pct"/>
            <w:shd w:val="clear" w:color="auto" w:fill="auto"/>
          </w:tcPr>
          <w:p w:rsidR="00FD5FA6" w:rsidRPr="00536F4D" w:rsidRDefault="00FD5FA6" w:rsidP="007D33D9">
            <w:pPr>
              <w:pStyle w:val="TableText"/>
              <w:ind w:left="45" w:right="41"/>
              <w:rPr>
                <w:b/>
              </w:rPr>
            </w:pPr>
            <w:r w:rsidRPr="00536F4D">
              <w:rPr>
                <w:b/>
              </w:rPr>
              <w:t>Method/Value</w:t>
            </w:r>
          </w:p>
        </w:tc>
        <w:tc>
          <w:tcPr>
            <w:tcW w:w="770" w:type="pct"/>
            <w:shd w:val="clear" w:color="auto" w:fill="auto"/>
          </w:tcPr>
          <w:p w:rsidR="00FD5FA6" w:rsidRPr="00536F4D" w:rsidRDefault="00FD5FA6" w:rsidP="00C7024B">
            <w:pPr>
              <w:pStyle w:val="TableText"/>
              <w:jc w:val="left"/>
              <w:rPr>
                <w:b/>
              </w:rPr>
            </w:pPr>
            <w:r w:rsidRPr="00536F4D">
              <w:rPr>
                <w:b/>
              </w:rPr>
              <w:t>Impact</w:t>
            </w:r>
          </w:p>
        </w:tc>
      </w:tr>
      <w:tr w:rsidR="00FD5FA6" w:rsidRPr="00536F4D" w:rsidTr="00F93209">
        <w:tc>
          <w:tcPr>
            <w:tcW w:w="1342" w:type="pct"/>
            <w:shd w:val="clear" w:color="auto" w:fill="auto"/>
          </w:tcPr>
          <w:p w:rsidR="00FD5FA6" w:rsidRPr="00536F4D" w:rsidRDefault="007108A1" w:rsidP="007108A1">
            <w:pPr>
              <w:pStyle w:val="TableText"/>
            </w:pPr>
            <w:r w:rsidRPr="00536F4D">
              <w:t>Osimertinib</w:t>
            </w:r>
            <w:r w:rsidR="00FD5FA6" w:rsidRPr="00536F4D">
              <w:t xml:space="preserve"> </w:t>
            </w:r>
            <w:r w:rsidRPr="00536F4D">
              <w:t>progressive disease</w:t>
            </w:r>
            <w:r w:rsidR="00FD5FA6" w:rsidRPr="00536F4D">
              <w:t xml:space="preserve"> → dead transition probabilities</w:t>
            </w:r>
          </w:p>
        </w:tc>
        <w:tc>
          <w:tcPr>
            <w:tcW w:w="2888" w:type="pct"/>
            <w:shd w:val="clear" w:color="auto" w:fill="auto"/>
          </w:tcPr>
          <w:p w:rsidR="00FD5FA6" w:rsidRPr="00536F4D" w:rsidRDefault="00FD5FA6" w:rsidP="00C7024B">
            <w:pPr>
              <w:pStyle w:val="TableText"/>
              <w:ind w:left="45" w:right="41"/>
            </w:pPr>
            <w:r w:rsidRPr="00536F4D">
              <w:t xml:space="preserve">Constant transition probabilities were used beyond cycle 8. Beyond this time point, an average of the remaining transitions (i.e. from cycle 8 to cycle 11) </w:t>
            </w:r>
            <w:r w:rsidR="00C7024B" w:rsidRPr="00536F4D">
              <w:t>w</w:t>
            </w:r>
            <w:r w:rsidRPr="00536F4D">
              <w:t xml:space="preserve">as used throughout the rest of the time horizon. The method used to select the time point from which to stop using the observed data and the </w:t>
            </w:r>
            <w:r w:rsidR="00C30FC4" w:rsidRPr="00536F4D">
              <w:t xml:space="preserve">type </w:t>
            </w:r>
            <w:r w:rsidRPr="00536F4D">
              <w:t>of data used to estimate the ongoing transition probabilities was based on visual inspection.</w:t>
            </w:r>
          </w:p>
        </w:tc>
        <w:tc>
          <w:tcPr>
            <w:tcW w:w="770" w:type="pct"/>
            <w:shd w:val="clear" w:color="auto" w:fill="auto"/>
          </w:tcPr>
          <w:p w:rsidR="00FD5FA6" w:rsidRPr="00536F4D" w:rsidRDefault="00FD5FA6" w:rsidP="00C7024B">
            <w:pPr>
              <w:pStyle w:val="TableText"/>
              <w:jc w:val="left"/>
            </w:pPr>
            <w:r w:rsidRPr="00536F4D">
              <w:t xml:space="preserve">High, favours </w:t>
            </w:r>
            <w:r w:rsidR="007108A1" w:rsidRPr="00536F4D">
              <w:t>osimertinib</w:t>
            </w:r>
          </w:p>
        </w:tc>
      </w:tr>
      <w:tr w:rsidR="00FD5FA6" w:rsidRPr="00536F4D" w:rsidTr="00F93209">
        <w:tc>
          <w:tcPr>
            <w:tcW w:w="1342" w:type="pct"/>
            <w:shd w:val="clear" w:color="auto" w:fill="auto"/>
          </w:tcPr>
          <w:p w:rsidR="00FD5FA6" w:rsidRPr="00536F4D" w:rsidRDefault="00FD5FA6" w:rsidP="00DA12F3">
            <w:pPr>
              <w:pStyle w:val="TableText"/>
            </w:pPr>
            <w:r w:rsidRPr="00536F4D">
              <w:t>Cost of osimertinib</w:t>
            </w:r>
          </w:p>
        </w:tc>
        <w:tc>
          <w:tcPr>
            <w:tcW w:w="2888" w:type="pct"/>
            <w:shd w:val="clear" w:color="auto" w:fill="auto"/>
          </w:tcPr>
          <w:p w:rsidR="00FD5FA6" w:rsidRPr="00536F4D" w:rsidRDefault="00FD5FA6" w:rsidP="007D33D9">
            <w:pPr>
              <w:pStyle w:val="TableText"/>
              <w:ind w:left="45" w:right="41"/>
            </w:pPr>
            <w:r w:rsidRPr="00536F4D">
              <w:t xml:space="preserve">Submission applied a one-off treatment course cost based on the truncated mean duration of treatment observed in the trial (11 months), compared to </w:t>
            </w:r>
            <w:r w:rsidR="00C30FC4" w:rsidRPr="00536F4D">
              <w:t xml:space="preserve">a </w:t>
            </w:r>
            <w:r w:rsidRPr="00536F4D">
              <w:t xml:space="preserve">modelled mean duration in the </w:t>
            </w:r>
            <w:r w:rsidR="00C30FC4" w:rsidRPr="00536F4D">
              <w:t>‘</w:t>
            </w:r>
            <w:r w:rsidRPr="00536F4D">
              <w:t>progression-free on osimertinib</w:t>
            </w:r>
            <w:r w:rsidR="00C30FC4" w:rsidRPr="00536F4D">
              <w:t>’</w:t>
            </w:r>
            <w:r w:rsidRPr="00536F4D">
              <w:t xml:space="preserve"> health state of approx. 13.6 months</w:t>
            </w:r>
            <w:r w:rsidR="00FE45FA">
              <w:t>.</w:t>
            </w:r>
          </w:p>
        </w:tc>
        <w:tc>
          <w:tcPr>
            <w:tcW w:w="770" w:type="pct"/>
            <w:shd w:val="clear" w:color="auto" w:fill="auto"/>
          </w:tcPr>
          <w:p w:rsidR="00FD5FA6" w:rsidRPr="00536F4D" w:rsidRDefault="00FD5FA6" w:rsidP="00C7024B">
            <w:pPr>
              <w:pStyle w:val="TableText"/>
              <w:jc w:val="left"/>
            </w:pPr>
            <w:r w:rsidRPr="00536F4D">
              <w:t>High, favours osimertinib</w:t>
            </w:r>
          </w:p>
        </w:tc>
      </w:tr>
      <w:tr w:rsidR="00FD5FA6" w:rsidRPr="00536F4D" w:rsidTr="00F93209">
        <w:tc>
          <w:tcPr>
            <w:tcW w:w="1342" w:type="pct"/>
            <w:shd w:val="clear" w:color="auto" w:fill="auto"/>
          </w:tcPr>
          <w:p w:rsidR="00FD5FA6" w:rsidRPr="00536F4D" w:rsidRDefault="007108A1" w:rsidP="007108A1">
            <w:pPr>
              <w:pStyle w:val="TableText"/>
            </w:pPr>
            <w:r w:rsidRPr="00536F4D">
              <w:t>Osimertinib</w:t>
            </w:r>
            <w:r w:rsidR="00FD5FA6" w:rsidRPr="00536F4D">
              <w:t xml:space="preserve"> </w:t>
            </w:r>
            <w:r w:rsidRPr="00536F4D">
              <w:t>progression-free</w:t>
            </w:r>
            <w:r w:rsidR="00FD5FA6" w:rsidRPr="00536F4D">
              <w:t xml:space="preserve"> → </w:t>
            </w:r>
            <w:r w:rsidRPr="00536F4D">
              <w:t>progressive disease</w:t>
            </w:r>
            <w:r w:rsidR="00FD5FA6" w:rsidRPr="00536F4D">
              <w:t xml:space="preserve"> transition probabilities</w:t>
            </w:r>
          </w:p>
        </w:tc>
        <w:tc>
          <w:tcPr>
            <w:tcW w:w="2888" w:type="pct"/>
            <w:shd w:val="clear" w:color="auto" w:fill="auto"/>
          </w:tcPr>
          <w:p w:rsidR="00FD5FA6" w:rsidRPr="00536F4D" w:rsidRDefault="00FD5FA6" w:rsidP="007D33D9">
            <w:pPr>
              <w:pStyle w:val="TableText"/>
              <w:ind w:left="45" w:right="41"/>
            </w:pPr>
            <w:r w:rsidRPr="00536F4D">
              <w:t xml:space="preserve">Constant transition probabilities were used beyond cycle 9. Beyond this time point, an average of the transitions from cycle 4 to the remaining observations (cycle 16) was used throughout the rest of the time horizon. The method used to select the time point from which to stop using the observed data and the </w:t>
            </w:r>
            <w:r w:rsidR="00C30FC4" w:rsidRPr="00536F4D">
              <w:t xml:space="preserve">type </w:t>
            </w:r>
            <w:r w:rsidRPr="00536F4D">
              <w:t>of data used to estimate the ongoing transition probabilities was based on visual inspection.</w:t>
            </w:r>
          </w:p>
        </w:tc>
        <w:tc>
          <w:tcPr>
            <w:tcW w:w="770" w:type="pct"/>
            <w:shd w:val="clear" w:color="auto" w:fill="auto"/>
          </w:tcPr>
          <w:p w:rsidR="00FD5FA6" w:rsidRPr="00536F4D" w:rsidRDefault="00FD5FA6" w:rsidP="00C7024B">
            <w:pPr>
              <w:pStyle w:val="TableText"/>
              <w:jc w:val="left"/>
            </w:pPr>
            <w:r w:rsidRPr="00536F4D">
              <w:t>Moderate, favours osimertinib</w:t>
            </w:r>
          </w:p>
        </w:tc>
      </w:tr>
      <w:tr w:rsidR="00FD5FA6" w:rsidRPr="00536F4D" w:rsidTr="00F93209">
        <w:tc>
          <w:tcPr>
            <w:tcW w:w="1342" w:type="pct"/>
            <w:shd w:val="clear" w:color="auto" w:fill="auto"/>
          </w:tcPr>
          <w:p w:rsidR="00FD5FA6" w:rsidRPr="00536F4D" w:rsidRDefault="00FD5FA6" w:rsidP="00DA12F3">
            <w:pPr>
              <w:pStyle w:val="TableText"/>
            </w:pPr>
            <w:r w:rsidRPr="00536F4D">
              <w:t>Time horizon</w:t>
            </w:r>
          </w:p>
        </w:tc>
        <w:tc>
          <w:tcPr>
            <w:tcW w:w="2888" w:type="pct"/>
            <w:shd w:val="clear" w:color="auto" w:fill="auto"/>
          </w:tcPr>
          <w:p w:rsidR="00FD5FA6" w:rsidRPr="00536F4D" w:rsidRDefault="00FD5FA6" w:rsidP="007D33D9">
            <w:pPr>
              <w:pStyle w:val="TableText"/>
              <w:ind w:left="45" w:right="41"/>
            </w:pPr>
            <w:r w:rsidRPr="00536F4D">
              <w:t>10 years</w:t>
            </w:r>
          </w:p>
        </w:tc>
        <w:tc>
          <w:tcPr>
            <w:tcW w:w="770" w:type="pct"/>
            <w:shd w:val="clear" w:color="auto" w:fill="auto"/>
          </w:tcPr>
          <w:p w:rsidR="00FD5FA6" w:rsidRPr="00536F4D" w:rsidRDefault="00FD5FA6" w:rsidP="00C7024B">
            <w:pPr>
              <w:pStyle w:val="TableText"/>
              <w:jc w:val="left"/>
            </w:pPr>
            <w:r w:rsidRPr="00536F4D">
              <w:t>Moderate, favours osimertinib</w:t>
            </w:r>
          </w:p>
        </w:tc>
      </w:tr>
      <w:tr w:rsidR="00FD5FA6" w:rsidRPr="00536F4D" w:rsidTr="00F93209">
        <w:tc>
          <w:tcPr>
            <w:tcW w:w="1342" w:type="pct"/>
            <w:shd w:val="clear" w:color="auto" w:fill="auto"/>
          </w:tcPr>
          <w:p w:rsidR="00FD5FA6" w:rsidRPr="00536F4D" w:rsidRDefault="00FD5FA6" w:rsidP="00DA12F3">
            <w:pPr>
              <w:pStyle w:val="TableText"/>
            </w:pPr>
            <w:r w:rsidRPr="00536F4D">
              <w:t>Third-line nivolumab use after disease progression on chemotherapy</w:t>
            </w:r>
          </w:p>
        </w:tc>
        <w:tc>
          <w:tcPr>
            <w:tcW w:w="2888" w:type="pct"/>
            <w:shd w:val="clear" w:color="auto" w:fill="auto"/>
          </w:tcPr>
          <w:p w:rsidR="00FD5FA6" w:rsidRPr="00536F4D" w:rsidRDefault="00FD5FA6" w:rsidP="007D33D9">
            <w:pPr>
              <w:pStyle w:val="TableText"/>
              <w:ind w:left="45" w:right="41"/>
            </w:pPr>
            <w:r w:rsidRPr="00536F4D">
              <w:t>48% of those who progress on second-line chemotherapy</w:t>
            </w:r>
            <w:r w:rsidR="001733F2">
              <w:t xml:space="preserve"> </w:t>
            </w:r>
            <w:r w:rsidR="001733F2" w:rsidRPr="001733F2">
              <w:t>based on a survey of 30 medical oncologists</w:t>
            </w:r>
            <w:r w:rsidRPr="00536F4D">
              <w:t xml:space="preserve">. This may be an overestimate due to the </w:t>
            </w:r>
            <w:r w:rsidR="00C30FC4" w:rsidRPr="00536F4D">
              <w:t xml:space="preserve">PBS listing </w:t>
            </w:r>
            <w:r w:rsidRPr="00536F4D">
              <w:t xml:space="preserve">requirement of </w:t>
            </w:r>
            <w:r w:rsidR="00C30FC4" w:rsidRPr="00536F4D">
              <w:t xml:space="preserve">a PS </w:t>
            </w:r>
            <w:r w:rsidRPr="00536F4D">
              <w:t xml:space="preserve">0-1, however there </w:t>
            </w:r>
            <w:r w:rsidR="00C30FC4" w:rsidRPr="00536F4D">
              <w:t xml:space="preserve">are </w:t>
            </w:r>
            <w:r w:rsidRPr="00536F4D">
              <w:t>no data to refute or dispute this estimate.</w:t>
            </w:r>
          </w:p>
        </w:tc>
        <w:tc>
          <w:tcPr>
            <w:tcW w:w="770" w:type="pct"/>
            <w:shd w:val="clear" w:color="auto" w:fill="auto"/>
          </w:tcPr>
          <w:p w:rsidR="00FD5FA6" w:rsidRPr="00536F4D" w:rsidRDefault="00FD5FA6" w:rsidP="00C7024B">
            <w:pPr>
              <w:pStyle w:val="TableText"/>
              <w:jc w:val="left"/>
            </w:pPr>
            <w:r w:rsidRPr="00536F4D">
              <w:t>Moderate, favours osimertinib</w:t>
            </w:r>
          </w:p>
        </w:tc>
      </w:tr>
    </w:tbl>
    <w:p w:rsidR="00FD5FA6" w:rsidRPr="00536F4D" w:rsidRDefault="00FD5FA6" w:rsidP="00FD5FA6">
      <w:pPr>
        <w:pStyle w:val="TableFooter"/>
      </w:pPr>
      <w:r w:rsidRPr="00536F4D">
        <w:t>PS = performance status.</w:t>
      </w:r>
    </w:p>
    <w:p w:rsidR="00FD5FA6" w:rsidRPr="00536F4D" w:rsidRDefault="00FD5FA6" w:rsidP="00FD5FA6">
      <w:pPr>
        <w:pStyle w:val="TableFooter"/>
      </w:pPr>
      <w:r w:rsidRPr="00536F4D">
        <w:t>Source: compiled during the evaluation (reference sections/tables/spreadsheets within the submission)</w:t>
      </w:r>
    </w:p>
    <w:p w:rsidR="00F42013" w:rsidRPr="002F1C15" w:rsidRDefault="00F42013" w:rsidP="001733F2">
      <w:pPr>
        <w:pStyle w:val="ListParagraph"/>
        <w:ind w:left="709" w:hanging="709"/>
      </w:pPr>
      <w:r w:rsidRPr="002F1C15">
        <w:t xml:space="preserve">A four-health state model was used for patients who began second-line treatment on osimertinib. The submission did not justify why two separate </w:t>
      </w:r>
      <w:r w:rsidR="001733F2">
        <w:t>progression-free</w:t>
      </w:r>
      <w:r w:rsidRPr="002F1C15">
        <w:t xml:space="preserve"> </w:t>
      </w:r>
      <w:r w:rsidRPr="002F1C15">
        <w:lastRenderedPageBreak/>
        <w:t xml:space="preserve">health states were warranted for patients who started on osimertinib, compared to only one </w:t>
      </w:r>
      <w:r w:rsidR="001733F2">
        <w:t>progression-free</w:t>
      </w:r>
      <w:r w:rsidRPr="002F1C15">
        <w:t xml:space="preserve"> health state for patients who started on chemotherapy. There were also applicability issues regarding the transition probabilities and utility used in the chemotherapy health state after disease progression on osimertinib.</w:t>
      </w:r>
      <w:r w:rsidR="00172489" w:rsidRPr="00403A96">
        <w:t xml:space="preserve"> The PSCR (p5) acknowledged that osimertinib would not substitute for chemotherapy, but rather displace it to a further treatment line, and that it was reasonable to assume some osimertinib patients (48% used in the analysis</w:t>
      </w:r>
      <w:r w:rsidR="001733F2" w:rsidRPr="001733F2">
        <w:t xml:space="preserve"> based on a survey of 30 medical oncologists</w:t>
      </w:r>
      <w:r w:rsidR="00172489" w:rsidRPr="00403A96">
        <w:t xml:space="preserve">) would still receive chemotherapy in the third-line setting. However, the PSCR stated that the structure of the model </w:t>
      </w:r>
      <w:r w:rsidR="00505957" w:rsidRPr="00403A96">
        <w:t>accounted</w:t>
      </w:r>
      <w:r w:rsidR="00172489" w:rsidRPr="00403A96">
        <w:t xml:space="preserve"> for the possibility of an additional line of therapy in the osimertinib arm of the model, recognising that </w:t>
      </w:r>
      <w:r w:rsidR="00505957" w:rsidRPr="00403A96">
        <w:t>in these patients chemotherapy w</w:t>
      </w:r>
      <w:r w:rsidR="004E0767" w:rsidRPr="00403A96">
        <w:t>ould be</w:t>
      </w:r>
      <w:r w:rsidR="00172489" w:rsidRPr="00403A96">
        <w:t xml:space="preserve"> displaced to later line rather than replaced.</w:t>
      </w:r>
    </w:p>
    <w:p w:rsidR="00F42013" w:rsidRPr="00403A96" w:rsidRDefault="00F42013" w:rsidP="004E0767">
      <w:pPr>
        <w:pStyle w:val="ListParagraph"/>
        <w:ind w:left="709" w:hanging="709"/>
      </w:pPr>
      <w:r w:rsidRPr="00403A96">
        <w:t>The ESC</w:t>
      </w:r>
      <w:r w:rsidR="00AB58D5" w:rsidRPr="00403A96">
        <w:t>s</w:t>
      </w:r>
      <w:r w:rsidRPr="00403A96">
        <w:t xml:space="preserve"> further noted that the submission had not used standard survival analysis methods to extrapolate transition probabilities beyond the time point in the studies from which data became unstable. Constant transition probabilities were assumed beyond the study, which implied an ongoing treatment effect. As such, the ICER was highly sensitive to changes in the estimate of ongoing overall survival used.</w:t>
      </w:r>
    </w:p>
    <w:p w:rsidR="00BA24A5" w:rsidRPr="0046753D" w:rsidRDefault="003A48B8" w:rsidP="000723E4">
      <w:pPr>
        <w:pStyle w:val="ListParagraph"/>
        <w:ind w:left="709" w:hanging="709"/>
      </w:pPr>
      <w:r>
        <w:t xml:space="preserve">The submission </w:t>
      </w:r>
      <w:r w:rsidR="00F42013">
        <w:t>used a</w:t>
      </w:r>
      <w:r>
        <w:t xml:space="preserve"> naïve indirect </w:t>
      </w:r>
      <w:r w:rsidR="000E0E2E">
        <w:t>comparison of the pooled single-</w:t>
      </w:r>
      <w:r>
        <w:t>arm AURA1C and AURA2 studies with the IMPRESS study, rather than the direct AURA3 intention-to-treat (ITT) analysis ± adjustment for treatment switching)</w:t>
      </w:r>
      <w:r w:rsidR="00F42013">
        <w:t xml:space="preserve"> in the economic model</w:t>
      </w:r>
      <w:r>
        <w:t>.</w:t>
      </w:r>
    </w:p>
    <w:p w:rsidR="003A48B8" w:rsidRPr="00272AC4" w:rsidRDefault="002B6B78" w:rsidP="000723E4">
      <w:pPr>
        <w:pStyle w:val="ListParagraph"/>
        <w:ind w:left="709" w:hanging="709"/>
      </w:pPr>
      <w:r w:rsidRPr="00272AC4">
        <w:t>Notwithstanding the PSCR’s arguments in favour of using the pooled single</w:t>
      </w:r>
      <w:r w:rsidR="000E0E2E">
        <w:t>-</w:t>
      </w:r>
      <w:r w:rsidRPr="00272AC4">
        <w:t xml:space="preserve">arm </w:t>
      </w:r>
      <w:r w:rsidR="000E0E2E">
        <w:t xml:space="preserve">study </w:t>
      </w:r>
      <w:r w:rsidRPr="00272AC4">
        <w:t xml:space="preserve">data and against adjusting for treatment switching (see </w:t>
      </w:r>
      <w:r w:rsidRPr="002457ED">
        <w:t>paragraph 6.</w:t>
      </w:r>
      <w:r w:rsidR="00FC1ED4" w:rsidRPr="002457ED">
        <w:t>13</w:t>
      </w:r>
      <w:r w:rsidRPr="002457ED">
        <w:t>), the</w:t>
      </w:r>
      <w:r w:rsidRPr="00272AC4">
        <w:t xml:space="preserve"> ESC</w:t>
      </w:r>
      <w:r w:rsidR="00AB58D5" w:rsidRPr="00272AC4">
        <w:t>s</w:t>
      </w:r>
      <w:r w:rsidRPr="00272AC4">
        <w:t xml:space="preserve"> maintained that it would have been more informative to have used data from AURA3 to model the benefits of osimertinib, </w:t>
      </w:r>
      <w:r w:rsidR="00855B53" w:rsidRPr="00272AC4">
        <w:t>considering</w:t>
      </w:r>
      <w:r w:rsidRPr="00272AC4">
        <w:t xml:space="preserve"> that:</w:t>
      </w:r>
    </w:p>
    <w:p w:rsidR="002B6B78" w:rsidRPr="00272AC4" w:rsidRDefault="002B6B78" w:rsidP="002B6B78">
      <w:pPr>
        <w:pStyle w:val="MSACESBulletpoint"/>
        <w:jc w:val="both"/>
        <w:rPr>
          <w:rFonts w:asciiTheme="minorHAnsi" w:hAnsiTheme="minorHAnsi"/>
          <w:color w:val="000000" w:themeColor="text1"/>
        </w:rPr>
      </w:pPr>
      <w:r w:rsidRPr="00272AC4">
        <w:rPr>
          <w:rFonts w:asciiTheme="minorHAnsi" w:hAnsiTheme="minorHAnsi"/>
          <w:color w:val="000000" w:themeColor="text1"/>
        </w:rPr>
        <w:t xml:space="preserve">the event rate for the pooled analysis </w:t>
      </w:r>
      <w:r w:rsidR="000B2D46">
        <w:rPr>
          <w:rFonts w:asciiTheme="minorHAnsi" w:hAnsiTheme="minorHAnsi"/>
          <w:noProof/>
          <w:color w:val="000000"/>
          <w:highlight w:val="black"/>
        </w:rPr>
        <w:t>'''''''''''''' '''' '''''''''''''' ''''''' ''''' '''''''''''''''' ''''</w:t>
      </w:r>
      <w:r w:rsidRPr="00272AC4">
        <w:rPr>
          <w:rFonts w:asciiTheme="minorHAnsi" w:hAnsiTheme="minorHAnsi"/>
          <w:color w:val="000000" w:themeColor="text1"/>
        </w:rPr>
        <w:t xml:space="preserve"> the event rate observed in th</w:t>
      </w:r>
      <w:r w:rsidR="00855B53" w:rsidRPr="00272AC4">
        <w:rPr>
          <w:rFonts w:asciiTheme="minorHAnsi" w:hAnsiTheme="minorHAnsi"/>
          <w:color w:val="000000" w:themeColor="text1"/>
        </w:rPr>
        <w:t xml:space="preserve">e AURA3 trial </w:t>
      </w:r>
      <w:r w:rsidR="000B2D46">
        <w:rPr>
          <w:rFonts w:asciiTheme="minorHAnsi" w:hAnsiTheme="minorHAnsi"/>
          <w:noProof/>
          <w:color w:val="000000"/>
          <w:highlight w:val="black"/>
        </w:rPr>
        <w:t>''''''''''''''' ''''' ''''''''''''</w:t>
      </w:r>
      <w:r w:rsidR="00855B53" w:rsidRPr="00272AC4">
        <w:rPr>
          <w:rFonts w:asciiTheme="minorHAnsi" w:hAnsiTheme="minorHAnsi"/>
          <w:color w:val="000000" w:themeColor="text1"/>
        </w:rPr>
        <w:t>;</w:t>
      </w:r>
    </w:p>
    <w:p w:rsidR="002B6B78" w:rsidRPr="00272AC4" w:rsidRDefault="002B6B78" w:rsidP="002B6B78">
      <w:pPr>
        <w:pStyle w:val="MSACESBulletpoint"/>
        <w:jc w:val="both"/>
        <w:rPr>
          <w:rFonts w:asciiTheme="minorHAnsi" w:hAnsiTheme="minorHAnsi"/>
          <w:color w:val="000000" w:themeColor="text1"/>
        </w:rPr>
      </w:pPr>
      <w:r w:rsidRPr="00272AC4">
        <w:rPr>
          <w:rFonts w:asciiTheme="minorHAnsi" w:hAnsiTheme="minorHAnsi"/>
          <w:color w:val="000000" w:themeColor="text1"/>
        </w:rPr>
        <w:t>to account for treatment switching, sensitivity analyses could have been conducted on the AURA3 chemotherapy arm data using different extrapolations to explore the impact of these assumptions on the modelled ICER;</w:t>
      </w:r>
    </w:p>
    <w:p w:rsidR="003A48B8" w:rsidRPr="00272AC4" w:rsidRDefault="00A90DD3" w:rsidP="002B6B78">
      <w:pPr>
        <w:pStyle w:val="MSACESBulletpoint"/>
        <w:jc w:val="both"/>
        <w:rPr>
          <w:rFonts w:asciiTheme="minorHAnsi" w:hAnsiTheme="minorHAnsi"/>
          <w:color w:val="000000" w:themeColor="text1"/>
        </w:rPr>
      </w:pPr>
      <w:r w:rsidRPr="00272AC4">
        <w:rPr>
          <w:rFonts w:asciiTheme="minorHAnsi" w:hAnsiTheme="minorHAnsi"/>
          <w:color w:val="000000" w:themeColor="text1"/>
        </w:rPr>
        <w:t>t</w:t>
      </w:r>
      <w:r w:rsidR="003A48B8" w:rsidRPr="00272AC4">
        <w:rPr>
          <w:rFonts w:asciiTheme="minorHAnsi" w:hAnsiTheme="minorHAnsi"/>
          <w:color w:val="000000" w:themeColor="text1"/>
        </w:rPr>
        <w:t>he difference in health outcomes resulting from the naïv</w:t>
      </w:r>
      <w:r w:rsidR="000E0E2E">
        <w:rPr>
          <w:rFonts w:asciiTheme="minorHAnsi" w:hAnsiTheme="minorHAnsi"/>
          <w:color w:val="000000" w:themeColor="text1"/>
        </w:rPr>
        <w:t>e indirect comparison of single-</w:t>
      </w:r>
      <w:r w:rsidR="003A48B8" w:rsidRPr="00272AC4">
        <w:rPr>
          <w:rFonts w:asciiTheme="minorHAnsi" w:hAnsiTheme="minorHAnsi"/>
          <w:color w:val="000000" w:themeColor="text1"/>
        </w:rPr>
        <w:t xml:space="preserve">arm studies </w:t>
      </w:r>
      <w:r w:rsidR="00E630A0" w:rsidRPr="00272AC4">
        <w:rPr>
          <w:rFonts w:asciiTheme="minorHAnsi" w:hAnsiTheme="minorHAnsi"/>
          <w:color w:val="000000" w:themeColor="text1"/>
        </w:rPr>
        <w:t>could potentially</w:t>
      </w:r>
      <w:r w:rsidR="003A48B8" w:rsidRPr="00272AC4">
        <w:rPr>
          <w:rFonts w:asciiTheme="minorHAnsi" w:hAnsiTheme="minorHAnsi"/>
          <w:color w:val="000000" w:themeColor="text1"/>
        </w:rPr>
        <w:t xml:space="preserve"> reflect both a treatment effect of osimertinib and a prognostic effect associated with the</w:t>
      </w:r>
      <w:r w:rsidR="00F42013" w:rsidRPr="00272AC4">
        <w:rPr>
          <w:rFonts w:asciiTheme="minorHAnsi" w:hAnsiTheme="minorHAnsi"/>
          <w:color w:val="000000" w:themeColor="text1"/>
        </w:rPr>
        <w:t xml:space="preserve"> different testing methods used</w:t>
      </w:r>
      <w:r w:rsidR="000723E4" w:rsidRPr="00272AC4">
        <w:rPr>
          <w:rFonts w:asciiTheme="minorHAnsi" w:hAnsiTheme="minorHAnsi"/>
          <w:color w:val="000000" w:themeColor="text1"/>
        </w:rPr>
        <w:t>:</w:t>
      </w:r>
    </w:p>
    <w:p w:rsidR="00DA2B55" w:rsidRPr="00272AC4" w:rsidRDefault="00A90DD3" w:rsidP="00DF6D0D">
      <w:pPr>
        <w:pStyle w:val="MSACESBulletpoint"/>
        <w:numPr>
          <w:ilvl w:val="1"/>
          <w:numId w:val="12"/>
        </w:numPr>
        <w:ind w:left="1418" w:hanging="284"/>
        <w:jc w:val="both"/>
        <w:rPr>
          <w:rFonts w:asciiTheme="minorHAnsi" w:hAnsiTheme="minorHAnsi"/>
          <w:color w:val="000000" w:themeColor="text1"/>
        </w:rPr>
      </w:pPr>
      <w:r w:rsidRPr="00272AC4">
        <w:rPr>
          <w:rFonts w:asciiTheme="minorHAnsi" w:hAnsiTheme="minorHAnsi"/>
          <w:color w:val="000000" w:themeColor="text1"/>
        </w:rPr>
        <w:t>t</w:t>
      </w:r>
      <w:r w:rsidR="00DA2B55" w:rsidRPr="00272AC4">
        <w:rPr>
          <w:rFonts w:asciiTheme="minorHAnsi" w:hAnsiTheme="minorHAnsi"/>
          <w:color w:val="000000" w:themeColor="text1"/>
        </w:rPr>
        <w:t>he PSCR</w:t>
      </w:r>
      <w:r w:rsidR="00855B53" w:rsidRPr="00272AC4">
        <w:rPr>
          <w:rFonts w:asciiTheme="minorHAnsi" w:hAnsiTheme="minorHAnsi"/>
          <w:color w:val="000000" w:themeColor="text1"/>
        </w:rPr>
        <w:t xml:space="preserve"> (p4,5)</w:t>
      </w:r>
      <w:r w:rsidR="00DA2B55" w:rsidRPr="00272AC4">
        <w:rPr>
          <w:rFonts w:asciiTheme="minorHAnsi" w:hAnsiTheme="minorHAnsi"/>
          <w:color w:val="000000" w:themeColor="text1"/>
        </w:rPr>
        <w:t xml:space="preserve"> attempted</w:t>
      </w:r>
      <w:r w:rsidR="00855B53" w:rsidRPr="00272AC4">
        <w:rPr>
          <w:rFonts w:asciiTheme="minorHAnsi" w:hAnsiTheme="minorHAnsi"/>
          <w:color w:val="000000" w:themeColor="text1"/>
        </w:rPr>
        <w:t xml:space="preserve"> to address the</w:t>
      </w:r>
      <w:r w:rsidR="00DA2B55" w:rsidRPr="00272AC4">
        <w:rPr>
          <w:rFonts w:asciiTheme="minorHAnsi" w:hAnsiTheme="minorHAnsi"/>
          <w:color w:val="000000" w:themeColor="text1"/>
        </w:rPr>
        <w:t xml:space="preserve"> concern</w:t>
      </w:r>
      <w:r w:rsidR="00855B53" w:rsidRPr="00272AC4">
        <w:rPr>
          <w:rFonts w:asciiTheme="minorHAnsi" w:hAnsiTheme="minorHAnsi"/>
          <w:color w:val="000000" w:themeColor="text1"/>
        </w:rPr>
        <w:t xml:space="preserve"> regarding different testing methods</w:t>
      </w:r>
      <w:r w:rsidR="00DA2B55" w:rsidRPr="00272AC4">
        <w:rPr>
          <w:rFonts w:asciiTheme="minorHAnsi" w:hAnsiTheme="minorHAnsi"/>
          <w:color w:val="000000" w:themeColor="text1"/>
        </w:rPr>
        <w:t xml:space="preserve"> via a reiteration of the PFS curves for the chemotherapy arms of IMPRESS (</w:t>
      </w:r>
      <w:r w:rsidR="00B901D2" w:rsidRPr="00272AC4">
        <w:rPr>
          <w:rFonts w:asciiTheme="minorHAnsi" w:hAnsiTheme="minorHAnsi"/>
          <w:i/>
          <w:color w:val="000000" w:themeColor="text1"/>
        </w:rPr>
        <w:t>T790M</w:t>
      </w:r>
      <w:r w:rsidR="00DA2B55" w:rsidRPr="00272AC4">
        <w:rPr>
          <w:rFonts w:asciiTheme="minorHAnsi" w:hAnsiTheme="minorHAnsi"/>
          <w:color w:val="000000" w:themeColor="text1"/>
        </w:rPr>
        <w:t xml:space="preserve"> positive patients only) and AURA3, </w:t>
      </w:r>
      <w:r w:rsidR="00855B53" w:rsidRPr="00272AC4">
        <w:rPr>
          <w:rFonts w:asciiTheme="minorHAnsi" w:hAnsiTheme="minorHAnsi"/>
          <w:color w:val="000000" w:themeColor="text1"/>
        </w:rPr>
        <w:t>implying an underlying assumption that</w:t>
      </w:r>
      <w:r w:rsidR="00DA2B55" w:rsidRPr="00272AC4">
        <w:rPr>
          <w:rFonts w:asciiTheme="minorHAnsi" w:hAnsiTheme="minorHAnsi"/>
          <w:color w:val="000000" w:themeColor="text1"/>
        </w:rPr>
        <w:t xml:space="preserve"> PFS was a surrogate for OS</w:t>
      </w:r>
      <w:r w:rsidR="00855B53" w:rsidRPr="00272AC4">
        <w:rPr>
          <w:rFonts w:asciiTheme="minorHAnsi" w:hAnsiTheme="minorHAnsi"/>
          <w:color w:val="000000" w:themeColor="text1"/>
        </w:rPr>
        <w:t>;</w:t>
      </w:r>
    </w:p>
    <w:p w:rsidR="00DA2B55" w:rsidRPr="00272AC4" w:rsidRDefault="00A90DD3" w:rsidP="00DF6D0D">
      <w:pPr>
        <w:pStyle w:val="MSACESBulletpoint"/>
        <w:numPr>
          <w:ilvl w:val="1"/>
          <w:numId w:val="12"/>
        </w:numPr>
        <w:ind w:left="1418" w:hanging="284"/>
        <w:jc w:val="both"/>
        <w:rPr>
          <w:rFonts w:asciiTheme="minorHAnsi" w:hAnsiTheme="minorHAnsi"/>
          <w:color w:val="000000" w:themeColor="text1"/>
        </w:rPr>
      </w:pPr>
      <w:r w:rsidRPr="00272AC4">
        <w:rPr>
          <w:rFonts w:asciiTheme="minorHAnsi" w:hAnsiTheme="minorHAnsi"/>
          <w:color w:val="000000" w:themeColor="text1"/>
        </w:rPr>
        <w:t>h</w:t>
      </w:r>
      <w:r w:rsidR="009540CE" w:rsidRPr="00272AC4">
        <w:rPr>
          <w:rFonts w:asciiTheme="minorHAnsi" w:hAnsiTheme="minorHAnsi"/>
          <w:color w:val="000000" w:themeColor="text1"/>
        </w:rPr>
        <w:t>owever</w:t>
      </w:r>
      <w:r w:rsidR="00DA2B55" w:rsidRPr="00272AC4">
        <w:rPr>
          <w:rFonts w:asciiTheme="minorHAnsi" w:hAnsiTheme="minorHAnsi"/>
          <w:color w:val="000000" w:themeColor="text1"/>
        </w:rPr>
        <w:t>, the ESC</w:t>
      </w:r>
      <w:r w:rsidR="00AB58D5" w:rsidRPr="00272AC4">
        <w:rPr>
          <w:rFonts w:asciiTheme="minorHAnsi" w:hAnsiTheme="minorHAnsi"/>
          <w:color w:val="000000" w:themeColor="text1"/>
        </w:rPr>
        <w:t>s</w:t>
      </w:r>
      <w:r w:rsidR="00DA2B55" w:rsidRPr="00272AC4">
        <w:rPr>
          <w:rFonts w:asciiTheme="minorHAnsi" w:hAnsiTheme="minorHAnsi"/>
          <w:color w:val="000000" w:themeColor="text1"/>
        </w:rPr>
        <w:t xml:space="preserve"> noted that the PBAC </w:t>
      </w:r>
      <w:r w:rsidR="00855B53" w:rsidRPr="00272AC4">
        <w:rPr>
          <w:rFonts w:asciiTheme="minorHAnsi" w:hAnsiTheme="minorHAnsi"/>
          <w:color w:val="000000" w:themeColor="text1"/>
        </w:rPr>
        <w:t>was previously</w:t>
      </w:r>
      <w:r w:rsidR="00DA2B55" w:rsidRPr="00272AC4">
        <w:rPr>
          <w:rFonts w:asciiTheme="minorHAnsi" w:hAnsiTheme="minorHAnsi"/>
          <w:color w:val="000000" w:themeColor="text1"/>
        </w:rPr>
        <w:t xml:space="preserve"> concerned regarding the </w:t>
      </w:r>
      <w:r w:rsidR="00855B53" w:rsidRPr="00272AC4">
        <w:rPr>
          <w:rFonts w:asciiTheme="minorHAnsi" w:hAnsiTheme="minorHAnsi"/>
          <w:color w:val="000000" w:themeColor="text1"/>
        </w:rPr>
        <w:t>validity of this assumption (</w:t>
      </w:r>
      <w:r w:rsidR="00DA2B55" w:rsidRPr="00272AC4">
        <w:rPr>
          <w:rFonts w:asciiTheme="minorHAnsi" w:hAnsiTheme="minorHAnsi"/>
          <w:color w:val="000000" w:themeColor="text1"/>
        </w:rPr>
        <w:t xml:space="preserve">crizotinib </w:t>
      </w:r>
      <w:r w:rsidRPr="00272AC4">
        <w:rPr>
          <w:rFonts w:asciiTheme="minorHAnsi" w:hAnsiTheme="minorHAnsi"/>
          <w:color w:val="000000" w:themeColor="text1"/>
        </w:rPr>
        <w:t xml:space="preserve">Public </w:t>
      </w:r>
      <w:r w:rsidR="000723E4" w:rsidRPr="00272AC4">
        <w:rPr>
          <w:rFonts w:asciiTheme="minorHAnsi" w:hAnsiTheme="minorHAnsi"/>
          <w:color w:val="000000" w:themeColor="text1"/>
        </w:rPr>
        <w:t>S</w:t>
      </w:r>
      <w:r w:rsidRPr="00272AC4">
        <w:rPr>
          <w:rFonts w:asciiTheme="minorHAnsi" w:hAnsiTheme="minorHAnsi"/>
          <w:color w:val="000000" w:themeColor="text1"/>
        </w:rPr>
        <w:t xml:space="preserve">ummary </w:t>
      </w:r>
      <w:r w:rsidR="000723E4" w:rsidRPr="00272AC4">
        <w:rPr>
          <w:rFonts w:asciiTheme="minorHAnsi" w:hAnsiTheme="minorHAnsi"/>
          <w:color w:val="000000" w:themeColor="text1"/>
        </w:rPr>
        <w:t>D</w:t>
      </w:r>
      <w:r w:rsidRPr="00272AC4">
        <w:rPr>
          <w:rFonts w:asciiTheme="minorHAnsi" w:hAnsiTheme="minorHAnsi"/>
          <w:color w:val="000000" w:themeColor="text1"/>
        </w:rPr>
        <w:t>ocument (</w:t>
      </w:r>
      <w:r w:rsidR="00DA2B55" w:rsidRPr="00272AC4">
        <w:rPr>
          <w:rFonts w:asciiTheme="minorHAnsi" w:hAnsiTheme="minorHAnsi"/>
          <w:color w:val="000000" w:themeColor="text1"/>
        </w:rPr>
        <w:t>PSD</w:t>
      </w:r>
      <w:r w:rsidRPr="00272AC4">
        <w:rPr>
          <w:rFonts w:asciiTheme="minorHAnsi" w:hAnsiTheme="minorHAnsi"/>
          <w:color w:val="000000" w:themeColor="text1"/>
        </w:rPr>
        <w:t>)</w:t>
      </w:r>
      <w:r w:rsidR="00DA2B55" w:rsidRPr="00272AC4">
        <w:rPr>
          <w:rFonts w:asciiTheme="minorHAnsi" w:hAnsiTheme="minorHAnsi"/>
          <w:color w:val="000000" w:themeColor="text1"/>
        </w:rPr>
        <w:t>, November 2013</w:t>
      </w:r>
      <w:r w:rsidR="00855B53" w:rsidRPr="00272AC4">
        <w:rPr>
          <w:rFonts w:asciiTheme="minorHAnsi" w:hAnsiTheme="minorHAnsi"/>
          <w:color w:val="000000" w:themeColor="text1"/>
        </w:rPr>
        <w:t xml:space="preserve"> PBAC meeting</w:t>
      </w:r>
      <w:r w:rsidR="00DA2B55" w:rsidRPr="00272AC4">
        <w:rPr>
          <w:rFonts w:asciiTheme="minorHAnsi" w:hAnsiTheme="minorHAnsi"/>
          <w:color w:val="000000" w:themeColor="text1"/>
        </w:rPr>
        <w:t>) and it was not current</w:t>
      </w:r>
      <w:r w:rsidR="009540CE" w:rsidRPr="00272AC4">
        <w:rPr>
          <w:rFonts w:asciiTheme="minorHAnsi" w:hAnsiTheme="minorHAnsi"/>
          <w:color w:val="000000" w:themeColor="text1"/>
        </w:rPr>
        <w:t>ly supported in the literature</w:t>
      </w:r>
      <w:r w:rsidR="009540CE" w:rsidRPr="00272AC4">
        <w:rPr>
          <w:rStyle w:val="FootnoteReference"/>
          <w:rFonts w:asciiTheme="minorHAnsi" w:hAnsiTheme="minorHAnsi"/>
          <w:color w:val="000000" w:themeColor="text1"/>
        </w:rPr>
        <w:footnoteReference w:id="4"/>
      </w:r>
      <w:r w:rsidR="009540CE" w:rsidRPr="00272AC4">
        <w:rPr>
          <w:rFonts w:asciiTheme="minorHAnsi" w:hAnsiTheme="minorHAnsi"/>
          <w:color w:val="000000" w:themeColor="text1"/>
        </w:rPr>
        <w:t>.</w:t>
      </w:r>
      <w:r w:rsidR="00DA2B55" w:rsidRPr="00272AC4">
        <w:rPr>
          <w:rFonts w:asciiTheme="minorHAnsi" w:hAnsiTheme="minorHAnsi"/>
          <w:color w:val="000000" w:themeColor="text1"/>
        </w:rPr>
        <w:t xml:space="preserve"> </w:t>
      </w:r>
      <w:r w:rsidR="009540CE" w:rsidRPr="00272AC4">
        <w:rPr>
          <w:rFonts w:asciiTheme="minorHAnsi" w:hAnsiTheme="minorHAnsi"/>
          <w:color w:val="000000" w:themeColor="text1"/>
        </w:rPr>
        <w:t>Additionally</w:t>
      </w:r>
      <w:r w:rsidR="00DA2B55" w:rsidRPr="00272AC4">
        <w:rPr>
          <w:rFonts w:asciiTheme="minorHAnsi" w:hAnsiTheme="minorHAnsi"/>
          <w:color w:val="000000" w:themeColor="text1"/>
        </w:rPr>
        <w:t>, no evidence was presented in the submission or the PSCR to supp</w:t>
      </w:r>
      <w:r w:rsidR="00855B53" w:rsidRPr="00272AC4">
        <w:rPr>
          <w:rFonts w:asciiTheme="minorHAnsi" w:hAnsiTheme="minorHAnsi"/>
          <w:color w:val="000000" w:themeColor="text1"/>
        </w:rPr>
        <w:t>ort this claim; and</w:t>
      </w:r>
    </w:p>
    <w:p w:rsidR="00DA2B55" w:rsidRPr="008929E1" w:rsidRDefault="00A90DD3" w:rsidP="008929E1">
      <w:pPr>
        <w:pStyle w:val="MSACESBulletpoint"/>
        <w:jc w:val="both"/>
        <w:rPr>
          <w:rFonts w:asciiTheme="minorHAnsi" w:hAnsiTheme="minorHAnsi"/>
        </w:rPr>
      </w:pPr>
      <w:r w:rsidRPr="008929E1">
        <w:rPr>
          <w:rFonts w:asciiTheme="minorHAnsi" w:hAnsiTheme="minorHAnsi"/>
        </w:rPr>
        <w:lastRenderedPageBreak/>
        <w:t>u</w:t>
      </w:r>
      <w:r w:rsidR="00F42013" w:rsidRPr="008929E1">
        <w:rPr>
          <w:rFonts w:asciiTheme="minorHAnsi" w:hAnsiTheme="minorHAnsi"/>
        </w:rPr>
        <w:t>se of a non-concurrent control (OS data from the chemotherapy only arm of IMPRESS) underestimated the survival gain associated with chemotherapy, biasing the</w:t>
      </w:r>
      <w:r w:rsidR="00855B53" w:rsidRPr="008929E1">
        <w:rPr>
          <w:rFonts w:asciiTheme="minorHAnsi" w:hAnsiTheme="minorHAnsi"/>
        </w:rPr>
        <w:t xml:space="preserve"> model in favour of osimertinib.</w:t>
      </w:r>
    </w:p>
    <w:p w:rsidR="00285226" w:rsidRPr="00FB6BBE" w:rsidRDefault="00FD5FA6" w:rsidP="00FB6BBE">
      <w:pPr>
        <w:pStyle w:val="ListParagraph"/>
        <w:ind w:left="709" w:hanging="709"/>
      </w:pPr>
      <w:r w:rsidRPr="00536F4D">
        <w:rPr>
          <w:color w:val="auto"/>
        </w:rPr>
        <w:t>The</w:t>
      </w:r>
      <w:r w:rsidRPr="00536F4D">
        <w:t xml:space="preserve"> results of the stepped economic evaluation are presented in</w:t>
      </w:r>
      <w:r w:rsidR="00B24640" w:rsidRPr="00536F4D">
        <w:t xml:space="preserve"> </w:t>
      </w:r>
      <w:r w:rsidR="00627421" w:rsidRPr="00536F4D">
        <w:t xml:space="preserve">Table </w:t>
      </w:r>
      <w:r w:rsidR="00627421" w:rsidRPr="00536F4D">
        <w:rPr>
          <w:noProof/>
        </w:rPr>
        <w:t>12</w:t>
      </w:r>
      <w:bookmarkStart w:id="29" w:name="_Ref490220655"/>
      <w:r w:rsidR="00FB6BBE">
        <w:t>.</w:t>
      </w:r>
    </w:p>
    <w:p w:rsidR="00B24640" w:rsidRPr="00536F4D" w:rsidRDefault="00B24640" w:rsidP="00B24640">
      <w:pPr>
        <w:pStyle w:val="Caption"/>
      </w:pPr>
      <w:r w:rsidRPr="00536F4D">
        <w:t xml:space="preserve">Table </w:t>
      </w:r>
      <w:r w:rsidR="00AB747A" w:rsidRPr="00536F4D">
        <w:rPr>
          <w:noProof/>
        </w:rPr>
        <w:t>12</w:t>
      </w:r>
      <w:bookmarkEnd w:id="29"/>
      <w:r w:rsidRPr="00536F4D">
        <w:t>:</w:t>
      </w:r>
      <w:r w:rsidR="00C61A70">
        <w:t xml:space="preserve"> </w:t>
      </w:r>
      <w:r w:rsidRPr="00536F4D">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235"/>
        <w:gridCol w:w="991"/>
        <w:gridCol w:w="850"/>
        <w:gridCol w:w="1137"/>
        <w:gridCol w:w="993"/>
        <w:gridCol w:w="896"/>
        <w:gridCol w:w="1033"/>
        <w:gridCol w:w="1107"/>
      </w:tblGrid>
      <w:tr w:rsidR="00FD5FA6" w:rsidRPr="00536F4D" w:rsidTr="00C7024B">
        <w:trPr>
          <w:cantSplit/>
          <w:tblHeader/>
        </w:trPr>
        <w:tc>
          <w:tcPr>
            <w:tcW w:w="1209" w:type="pct"/>
            <w:vMerge w:val="restart"/>
            <w:shd w:val="clear" w:color="auto" w:fill="FFFFFF" w:themeFill="background1"/>
          </w:tcPr>
          <w:p w:rsidR="00FD5FA6" w:rsidRPr="00536F4D" w:rsidRDefault="00FD5FA6" w:rsidP="00C7024B">
            <w:pPr>
              <w:pStyle w:val="TableText"/>
              <w:jc w:val="left"/>
              <w:rPr>
                <w:b/>
              </w:rPr>
            </w:pPr>
            <w:r w:rsidRPr="00536F4D">
              <w:rPr>
                <w:b/>
              </w:rPr>
              <w:t>Data</w:t>
            </w:r>
          </w:p>
        </w:tc>
        <w:tc>
          <w:tcPr>
            <w:tcW w:w="1611" w:type="pct"/>
            <w:gridSpan w:val="3"/>
            <w:shd w:val="clear" w:color="auto" w:fill="FFFFFF" w:themeFill="background1"/>
          </w:tcPr>
          <w:p w:rsidR="00FD5FA6" w:rsidRPr="00536F4D" w:rsidRDefault="00FD5FA6" w:rsidP="00DA12F3">
            <w:pPr>
              <w:pStyle w:val="TableText"/>
              <w:jc w:val="center"/>
              <w:rPr>
                <w:b/>
              </w:rPr>
            </w:pPr>
            <w:r w:rsidRPr="00536F4D">
              <w:rPr>
                <w:b/>
              </w:rPr>
              <w:t>Costs</w:t>
            </w:r>
          </w:p>
        </w:tc>
        <w:tc>
          <w:tcPr>
            <w:tcW w:w="1581" w:type="pct"/>
            <w:gridSpan w:val="3"/>
            <w:shd w:val="clear" w:color="auto" w:fill="FFFFFF" w:themeFill="background1"/>
          </w:tcPr>
          <w:p w:rsidR="00FD5FA6" w:rsidRPr="00536F4D" w:rsidRDefault="00FD5FA6" w:rsidP="00DA12F3">
            <w:pPr>
              <w:pStyle w:val="TableText"/>
              <w:jc w:val="center"/>
              <w:rPr>
                <w:b/>
              </w:rPr>
            </w:pPr>
            <w:r w:rsidRPr="00536F4D">
              <w:rPr>
                <w:b/>
              </w:rPr>
              <w:t>Health outcomes</w:t>
            </w:r>
          </w:p>
        </w:tc>
        <w:tc>
          <w:tcPr>
            <w:tcW w:w="599" w:type="pct"/>
            <w:vMerge w:val="restart"/>
            <w:shd w:val="clear" w:color="auto" w:fill="FFFFFF" w:themeFill="background1"/>
          </w:tcPr>
          <w:p w:rsidR="00FD5FA6" w:rsidRPr="00536F4D" w:rsidRDefault="00FD5FA6" w:rsidP="00DA12F3">
            <w:pPr>
              <w:pStyle w:val="TableText"/>
              <w:rPr>
                <w:b/>
              </w:rPr>
            </w:pPr>
            <w:r w:rsidRPr="00536F4D">
              <w:rPr>
                <w:b/>
              </w:rPr>
              <w:t>ICER</w:t>
            </w:r>
          </w:p>
        </w:tc>
      </w:tr>
      <w:tr w:rsidR="00FD5FA6" w:rsidRPr="00536F4D" w:rsidTr="00C7024B">
        <w:trPr>
          <w:cantSplit/>
          <w:tblHeader/>
        </w:trPr>
        <w:tc>
          <w:tcPr>
            <w:tcW w:w="1209" w:type="pct"/>
            <w:vMerge/>
            <w:shd w:val="clear" w:color="auto" w:fill="FFFFFF" w:themeFill="background1"/>
          </w:tcPr>
          <w:p w:rsidR="00FD5FA6" w:rsidRPr="00536F4D" w:rsidRDefault="00FD5FA6" w:rsidP="00C7024B">
            <w:pPr>
              <w:pStyle w:val="TableText"/>
              <w:jc w:val="left"/>
            </w:pPr>
          </w:p>
        </w:tc>
        <w:tc>
          <w:tcPr>
            <w:tcW w:w="536" w:type="pct"/>
            <w:shd w:val="clear" w:color="auto" w:fill="FFFFFF" w:themeFill="background1"/>
          </w:tcPr>
          <w:p w:rsidR="00FD5FA6" w:rsidRPr="00536F4D" w:rsidRDefault="00FD5FA6" w:rsidP="00DA12F3">
            <w:pPr>
              <w:pStyle w:val="TableText"/>
              <w:jc w:val="center"/>
              <w:rPr>
                <w:rFonts w:ascii="Times" w:eastAsia="Times New Roman" w:hAnsi="Times" w:cs="Times New Roman"/>
                <w:b/>
              </w:rPr>
            </w:pPr>
            <w:r w:rsidRPr="00536F4D">
              <w:rPr>
                <w:b/>
              </w:rPr>
              <w:t>Proposed</w:t>
            </w:r>
          </w:p>
        </w:tc>
        <w:tc>
          <w:tcPr>
            <w:tcW w:w="460" w:type="pct"/>
            <w:shd w:val="clear" w:color="auto" w:fill="FFFFFF" w:themeFill="background1"/>
          </w:tcPr>
          <w:p w:rsidR="00FD5FA6" w:rsidRPr="00536F4D" w:rsidRDefault="00FD5FA6" w:rsidP="00DA12F3">
            <w:pPr>
              <w:pStyle w:val="TableText"/>
              <w:jc w:val="center"/>
              <w:rPr>
                <w:rFonts w:ascii="Times" w:eastAsia="Times New Roman" w:hAnsi="Times" w:cs="Times New Roman"/>
                <w:b/>
              </w:rPr>
            </w:pPr>
            <w:r w:rsidRPr="00536F4D">
              <w:rPr>
                <w:b/>
              </w:rPr>
              <w:t>Current</w:t>
            </w:r>
          </w:p>
        </w:tc>
        <w:tc>
          <w:tcPr>
            <w:tcW w:w="615" w:type="pct"/>
            <w:shd w:val="clear" w:color="auto" w:fill="FFFFFF" w:themeFill="background1"/>
          </w:tcPr>
          <w:p w:rsidR="00FD5FA6" w:rsidRPr="00536F4D" w:rsidRDefault="00FD5FA6" w:rsidP="00DA12F3">
            <w:pPr>
              <w:pStyle w:val="TableText"/>
              <w:jc w:val="center"/>
              <w:rPr>
                <w:rFonts w:ascii="Times" w:eastAsia="Times New Roman" w:hAnsi="Times" w:cs="Times New Roman"/>
                <w:b/>
              </w:rPr>
            </w:pPr>
            <w:r w:rsidRPr="00536F4D">
              <w:rPr>
                <w:b/>
              </w:rPr>
              <w:t>Increment</w:t>
            </w:r>
          </w:p>
        </w:tc>
        <w:tc>
          <w:tcPr>
            <w:tcW w:w="537" w:type="pct"/>
            <w:shd w:val="clear" w:color="auto" w:fill="FFFFFF" w:themeFill="background1"/>
          </w:tcPr>
          <w:p w:rsidR="00FD5FA6" w:rsidRPr="00536F4D" w:rsidRDefault="00FD5FA6" w:rsidP="00DA12F3">
            <w:pPr>
              <w:pStyle w:val="TableText"/>
              <w:jc w:val="center"/>
              <w:rPr>
                <w:rFonts w:ascii="Times" w:eastAsia="Times New Roman" w:hAnsi="Times" w:cs="Times New Roman"/>
                <w:b/>
              </w:rPr>
            </w:pPr>
            <w:r w:rsidRPr="00536F4D">
              <w:rPr>
                <w:b/>
              </w:rPr>
              <w:t>Proposed</w:t>
            </w:r>
          </w:p>
        </w:tc>
        <w:tc>
          <w:tcPr>
            <w:tcW w:w="485" w:type="pct"/>
            <w:shd w:val="clear" w:color="auto" w:fill="FFFFFF" w:themeFill="background1"/>
          </w:tcPr>
          <w:p w:rsidR="00FD5FA6" w:rsidRPr="00536F4D" w:rsidRDefault="00FD5FA6" w:rsidP="00DA12F3">
            <w:pPr>
              <w:pStyle w:val="TableText"/>
              <w:jc w:val="center"/>
              <w:rPr>
                <w:b/>
              </w:rPr>
            </w:pPr>
            <w:r w:rsidRPr="00536F4D">
              <w:rPr>
                <w:b/>
              </w:rPr>
              <w:t>Current</w:t>
            </w:r>
          </w:p>
        </w:tc>
        <w:tc>
          <w:tcPr>
            <w:tcW w:w="559" w:type="pct"/>
            <w:shd w:val="clear" w:color="auto" w:fill="FFFFFF" w:themeFill="background1"/>
          </w:tcPr>
          <w:p w:rsidR="00FD5FA6" w:rsidRPr="00536F4D" w:rsidRDefault="00FD5FA6" w:rsidP="00DA12F3">
            <w:pPr>
              <w:pStyle w:val="TableText"/>
              <w:jc w:val="center"/>
              <w:rPr>
                <w:b/>
              </w:rPr>
            </w:pPr>
            <w:r w:rsidRPr="00536F4D">
              <w:rPr>
                <w:b/>
              </w:rPr>
              <w:t>Increment</w:t>
            </w:r>
          </w:p>
        </w:tc>
        <w:tc>
          <w:tcPr>
            <w:tcW w:w="599" w:type="pct"/>
            <w:vMerge/>
            <w:shd w:val="clear" w:color="auto" w:fill="FFFFFF" w:themeFill="background1"/>
          </w:tcPr>
          <w:p w:rsidR="00FD5FA6" w:rsidRPr="00536F4D" w:rsidRDefault="00FD5FA6" w:rsidP="00DA12F3">
            <w:pPr>
              <w:pStyle w:val="TableText"/>
            </w:pPr>
          </w:p>
        </w:tc>
      </w:tr>
      <w:tr w:rsidR="00FD5FA6" w:rsidRPr="00536F4D" w:rsidTr="00C7024B">
        <w:trPr>
          <w:cantSplit/>
        </w:trPr>
        <w:tc>
          <w:tcPr>
            <w:tcW w:w="1209" w:type="pct"/>
            <w:shd w:val="clear" w:color="auto" w:fill="FFFFFF" w:themeFill="background1"/>
          </w:tcPr>
          <w:p w:rsidR="00FD5FA6" w:rsidRPr="00536F4D" w:rsidRDefault="00FD5FA6" w:rsidP="00C7024B">
            <w:pPr>
              <w:pStyle w:val="TableText"/>
              <w:jc w:val="left"/>
            </w:pPr>
            <w:r w:rsidRPr="00536F4D">
              <w:t>Step 1</w:t>
            </w:r>
          </w:p>
          <w:p w:rsidR="00FD5FA6" w:rsidRPr="00536F4D" w:rsidRDefault="00FC1ED4" w:rsidP="00C7024B">
            <w:pPr>
              <w:pStyle w:val="TableText"/>
              <w:jc w:val="left"/>
            </w:pPr>
            <w:r>
              <w:t>Setting: t</w:t>
            </w:r>
            <w:r w:rsidR="00FD5FA6" w:rsidRPr="00536F4D">
              <w:t>rial setting (</w:t>
            </w:r>
            <w:r w:rsidR="00B901D2" w:rsidRPr="00B901D2">
              <w:rPr>
                <w:i/>
              </w:rPr>
              <w:t>T790M</w:t>
            </w:r>
            <w:r w:rsidR="00FD5FA6" w:rsidRPr="00536F4D">
              <w:t>+ only)</w:t>
            </w:r>
          </w:p>
          <w:p w:rsidR="00FD5FA6" w:rsidRPr="00536F4D" w:rsidRDefault="00FD5FA6" w:rsidP="00C7024B">
            <w:pPr>
              <w:pStyle w:val="TableText"/>
              <w:jc w:val="left"/>
            </w:pPr>
            <w:r w:rsidRPr="00536F4D">
              <w:t xml:space="preserve">Time horizon: 11 months </w:t>
            </w:r>
            <w:r w:rsidRPr="00536F4D">
              <w:rPr>
                <w:vertAlign w:val="superscript"/>
              </w:rPr>
              <w:t>a</w:t>
            </w:r>
            <w:r w:rsidRPr="00536F4D">
              <w:t xml:space="preserve"> </w:t>
            </w:r>
          </w:p>
        </w:tc>
        <w:tc>
          <w:tcPr>
            <w:tcW w:w="536" w:type="pct"/>
            <w:shd w:val="clear" w:color="auto" w:fill="FFFFFF" w:themeFill="background1"/>
          </w:tcPr>
          <w:p w:rsidR="00FD5FA6" w:rsidRPr="00536F4D" w:rsidRDefault="00FD5FA6" w:rsidP="00DA12F3">
            <w:pPr>
              <w:pStyle w:val="TableText"/>
              <w:jc w:val="right"/>
              <w:rPr>
                <w:rFonts w:ascii="Times" w:eastAsia="Times New Roman" w:hAnsi="Times" w:cs="Times New Roman"/>
              </w:rPr>
            </w:pPr>
            <w:r w:rsidRPr="00536F4D">
              <w:t>$</w:t>
            </w:r>
            <w:r w:rsidR="000B2D46">
              <w:rPr>
                <w:noProof/>
                <w:color w:val="000000"/>
                <w:highlight w:val="black"/>
              </w:rPr>
              <w:t>'''''''''''''''''</w:t>
            </w:r>
          </w:p>
        </w:tc>
        <w:tc>
          <w:tcPr>
            <w:tcW w:w="460" w:type="pct"/>
            <w:shd w:val="clear" w:color="auto" w:fill="FFFFFF" w:themeFill="background1"/>
          </w:tcPr>
          <w:p w:rsidR="00FD5FA6" w:rsidRPr="00536F4D" w:rsidRDefault="00FD5FA6" w:rsidP="00DA12F3">
            <w:pPr>
              <w:pStyle w:val="TableText"/>
              <w:jc w:val="right"/>
              <w:rPr>
                <w:rFonts w:ascii="Times" w:eastAsia="Times New Roman" w:hAnsi="Times" w:cs="Times New Roman"/>
              </w:rPr>
            </w:pPr>
            <w:r w:rsidRPr="00536F4D">
              <w:t>$</w:t>
            </w:r>
            <w:r w:rsidR="000B2D46">
              <w:rPr>
                <w:noProof/>
                <w:color w:val="000000"/>
                <w:highlight w:val="black"/>
              </w:rPr>
              <w:t>''''''''''''''''</w:t>
            </w:r>
          </w:p>
        </w:tc>
        <w:tc>
          <w:tcPr>
            <w:tcW w:w="615" w:type="pct"/>
            <w:shd w:val="clear" w:color="auto" w:fill="FFFFFF" w:themeFill="background1"/>
          </w:tcPr>
          <w:p w:rsidR="00FD5FA6" w:rsidRPr="00536F4D" w:rsidRDefault="00FD5FA6" w:rsidP="00DA12F3">
            <w:pPr>
              <w:pStyle w:val="TableText"/>
              <w:jc w:val="right"/>
              <w:rPr>
                <w:rFonts w:ascii="Times" w:eastAsia="Times New Roman" w:hAnsi="Times" w:cs="Times New Roman"/>
              </w:rPr>
            </w:pPr>
            <w:r w:rsidRPr="00536F4D">
              <w:t>$</w:t>
            </w:r>
            <w:r w:rsidR="000B2D46">
              <w:rPr>
                <w:noProof/>
                <w:color w:val="000000"/>
                <w:highlight w:val="black"/>
              </w:rPr>
              <w:t>''''''''''''''''</w:t>
            </w:r>
          </w:p>
        </w:tc>
        <w:tc>
          <w:tcPr>
            <w:tcW w:w="537" w:type="pct"/>
            <w:shd w:val="clear" w:color="auto" w:fill="FFFFFF" w:themeFill="background1"/>
          </w:tcPr>
          <w:p w:rsidR="00FD5FA6" w:rsidRPr="000B2D46" w:rsidRDefault="000B2D46" w:rsidP="00DA12F3">
            <w:pPr>
              <w:pStyle w:val="TableText"/>
              <w:jc w:val="center"/>
              <w:rPr>
                <w:highlight w:val="black"/>
              </w:rPr>
            </w:pPr>
            <w:r>
              <w:rPr>
                <w:noProof/>
                <w:color w:val="000000"/>
                <w:highlight w:val="black"/>
              </w:rPr>
              <w:t>'''''''''''''''' ''''''''''''</w:t>
            </w:r>
          </w:p>
        </w:tc>
        <w:tc>
          <w:tcPr>
            <w:tcW w:w="485" w:type="pct"/>
            <w:shd w:val="clear" w:color="auto" w:fill="FFFFFF" w:themeFill="background1"/>
          </w:tcPr>
          <w:p w:rsidR="00FD5FA6" w:rsidRPr="000B2D46" w:rsidRDefault="000B2D46" w:rsidP="00DA12F3">
            <w:pPr>
              <w:pStyle w:val="TableText"/>
              <w:jc w:val="center"/>
              <w:rPr>
                <w:highlight w:val="black"/>
              </w:rPr>
            </w:pPr>
            <w:r>
              <w:rPr>
                <w:noProof/>
                <w:color w:val="000000"/>
                <w:highlight w:val="black"/>
              </w:rPr>
              <w:t>'''''''''''''' '''''''''''</w:t>
            </w:r>
          </w:p>
        </w:tc>
        <w:tc>
          <w:tcPr>
            <w:tcW w:w="559" w:type="pct"/>
            <w:shd w:val="clear" w:color="auto" w:fill="FFFFFF" w:themeFill="background1"/>
          </w:tcPr>
          <w:p w:rsidR="00FD5FA6" w:rsidRPr="000B2D46" w:rsidRDefault="000B2D46" w:rsidP="00DA12F3">
            <w:pPr>
              <w:pStyle w:val="TableText"/>
              <w:jc w:val="center"/>
              <w:rPr>
                <w:rFonts w:ascii="Times" w:eastAsia="Times New Roman" w:hAnsi="Times" w:cs="Times New Roman"/>
                <w:highlight w:val="black"/>
              </w:rPr>
            </w:pPr>
            <w:r>
              <w:rPr>
                <w:noProof/>
                <w:color w:val="000000"/>
                <w:highlight w:val="black"/>
              </w:rPr>
              <w:t>'''''''''''''''' ''''''''''</w:t>
            </w:r>
          </w:p>
        </w:tc>
        <w:tc>
          <w:tcPr>
            <w:tcW w:w="599" w:type="pct"/>
            <w:shd w:val="clear" w:color="auto" w:fill="FFFFFF" w:themeFill="background1"/>
          </w:tcPr>
          <w:p w:rsidR="00FD5FA6" w:rsidRPr="00536F4D" w:rsidRDefault="00FD5FA6" w:rsidP="00DA12F3">
            <w:pPr>
              <w:pStyle w:val="TableText"/>
              <w:rPr>
                <w:rFonts w:ascii="Times" w:eastAsia="Times New Roman" w:hAnsi="Times" w:cs="Times New Roman"/>
                <w:b/>
              </w:rPr>
            </w:pPr>
            <w:r w:rsidRPr="00536F4D">
              <w:rPr>
                <w:b/>
              </w:rPr>
              <w:t>$</w:t>
            </w:r>
            <w:r w:rsidR="000B2D46">
              <w:rPr>
                <w:b/>
                <w:noProof/>
                <w:color w:val="000000"/>
                <w:highlight w:val="black"/>
              </w:rPr>
              <w:t>''''''''''''''''</w:t>
            </w:r>
            <w:r w:rsidRPr="00536F4D">
              <w:rPr>
                <w:b/>
              </w:rPr>
              <w:t xml:space="preserve"> per addition</w:t>
            </w:r>
            <w:r w:rsidR="00C30FC4" w:rsidRPr="00536F4D">
              <w:rPr>
                <w:b/>
              </w:rPr>
              <w:t>al</w:t>
            </w:r>
            <w:r w:rsidRPr="00536F4D">
              <w:rPr>
                <w:b/>
              </w:rPr>
              <w:t xml:space="preserve"> responder</w:t>
            </w:r>
          </w:p>
        </w:tc>
      </w:tr>
      <w:tr w:rsidR="00FD5FA6" w:rsidRPr="00536F4D" w:rsidTr="00C7024B">
        <w:trPr>
          <w:cantSplit/>
        </w:trPr>
        <w:tc>
          <w:tcPr>
            <w:tcW w:w="1209" w:type="pct"/>
            <w:shd w:val="clear" w:color="auto" w:fill="FFFFFF" w:themeFill="background1"/>
          </w:tcPr>
          <w:p w:rsidR="00FD5FA6" w:rsidRPr="00536F4D" w:rsidRDefault="00FD5FA6" w:rsidP="00C7024B">
            <w:pPr>
              <w:pStyle w:val="TableText"/>
              <w:jc w:val="left"/>
            </w:pPr>
            <w:r w:rsidRPr="00536F4D">
              <w:t>Step 2</w:t>
            </w:r>
          </w:p>
          <w:p w:rsidR="00FD5FA6" w:rsidRPr="00536F4D" w:rsidRDefault="00FD5FA6" w:rsidP="00C7024B">
            <w:pPr>
              <w:pStyle w:val="TableText"/>
              <w:jc w:val="left"/>
            </w:pPr>
            <w:r w:rsidRPr="00536F4D">
              <w:t xml:space="preserve">Setting: </w:t>
            </w:r>
            <w:r w:rsidR="00FC1ED4">
              <w:t>p</w:t>
            </w:r>
            <w:r w:rsidRPr="00536F4D">
              <w:t>roposed MBS and PBS populations</w:t>
            </w:r>
          </w:p>
          <w:p w:rsidR="00FD5FA6" w:rsidRPr="00536F4D" w:rsidRDefault="00FD5FA6" w:rsidP="00C7024B">
            <w:pPr>
              <w:pStyle w:val="TableText"/>
              <w:jc w:val="left"/>
            </w:pPr>
            <w:r w:rsidRPr="00536F4D">
              <w:t>Time horizon: 10 years</w:t>
            </w:r>
          </w:p>
        </w:tc>
        <w:tc>
          <w:tcPr>
            <w:tcW w:w="536" w:type="pct"/>
            <w:shd w:val="clear" w:color="auto" w:fill="FFFFFF" w:themeFill="background1"/>
          </w:tcPr>
          <w:p w:rsidR="00FD5FA6" w:rsidRPr="00536F4D" w:rsidRDefault="00FD5FA6" w:rsidP="00DA12F3">
            <w:pPr>
              <w:pStyle w:val="TableText"/>
              <w:jc w:val="right"/>
              <w:rPr>
                <w:rFonts w:ascii="Times" w:eastAsia="Times New Roman" w:hAnsi="Times" w:cs="Times New Roman"/>
              </w:rPr>
            </w:pPr>
            <w:r w:rsidRPr="00536F4D">
              <w:rPr>
                <w:rFonts w:eastAsia="Times New Roman"/>
                <w:lang w:eastAsia="en-AU"/>
              </w:rPr>
              <w:t>$</w:t>
            </w:r>
            <w:r w:rsidR="000B2D46">
              <w:rPr>
                <w:rFonts w:eastAsia="Times New Roman"/>
                <w:noProof/>
                <w:color w:val="000000"/>
                <w:highlight w:val="black"/>
                <w:lang w:eastAsia="en-AU"/>
              </w:rPr>
              <w:t>'''''''''''''''</w:t>
            </w:r>
          </w:p>
        </w:tc>
        <w:tc>
          <w:tcPr>
            <w:tcW w:w="460" w:type="pct"/>
            <w:shd w:val="clear" w:color="auto" w:fill="FFFFFF" w:themeFill="background1"/>
          </w:tcPr>
          <w:p w:rsidR="00FD5FA6" w:rsidRPr="00536F4D" w:rsidRDefault="00FD5FA6" w:rsidP="007C188B">
            <w:pPr>
              <w:pStyle w:val="TableText"/>
              <w:jc w:val="right"/>
              <w:rPr>
                <w:rFonts w:ascii="Times" w:eastAsia="Times New Roman" w:hAnsi="Times" w:cs="Times New Roman"/>
              </w:rPr>
            </w:pPr>
            <w:r w:rsidRPr="00536F4D">
              <w:rPr>
                <w:rFonts w:eastAsia="Times New Roman"/>
                <w:lang w:eastAsia="en-AU"/>
              </w:rPr>
              <w:t>$</w:t>
            </w:r>
            <w:r w:rsidR="000B2D46">
              <w:rPr>
                <w:rFonts w:eastAsia="Times New Roman"/>
                <w:noProof/>
                <w:color w:val="000000"/>
                <w:highlight w:val="black"/>
                <w:lang w:eastAsia="en-AU"/>
              </w:rPr>
              <w:t>''''''''''''''''</w:t>
            </w:r>
          </w:p>
        </w:tc>
        <w:tc>
          <w:tcPr>
            <w:tcW w:w="615" w:type="pct"/>
            <w:shd w:val="clear" w:color="auto" w:fill="FFFFFF" w:themeFill="background1"/>
          </w:tcPr>
          <w:p w:rsidR="00FD5FA6" w:rsidRPr="00536F4D" w:rsidRDefault="00FD5FA6" w:rsidP="00DA12F3">
            <w:pPr>
              <w:pStyle w:val="TableText"/>
              <w:jc w:val="right"/>
              <w:rPr>
                <w:rFonts w:ascii="Times" w:eastAsia="Times New Roman" w:hAnsi="Times" w:cs="Times New Roman"/>
              </w:rPr>
            </w:pPr>
            <w:r w:rsidRPr="00536F4D">
              <w:rPr>
                <w:rFonts w:eastAsia="Times New Roman"/>
                <w:lang w:eastAsia="en-AU"/>
              </w:rPr>
              <w:t>$</w:t>
            </w:r>
            <w:r w:rsidR="000B2D46">
              <w:rPr>
                <w:rFonts w:eastAsia="Times New Roman"/>
                <w:noProof/>
                <w:color w:val="000000"/>
                <w:highlight w:val="black"/>
                <w:lang w:eastAsia="en-AU"/>
              </w:rPr>
              <w:t>''''''''''''''''''</w:t>
            </w:r>
          </w:p>
        </w:tc>
        <w:tc>
          <w:tcPr>
            <w:tcW w:w="537" w:type="pct"/>
            <w:shd w:val="clear" w:color="auto" w:fill="FFFFFF" w:themeFill="background1"/>
          </w:tcPr>
          <w:p w:rsidR="00FD5FA6" w:rsidRPr="000B2D46" w:rsidRDefault="000B2D46" w:rsidP="00DA12F3">
            <w:pPr>
              <w:pStyle w:val="TableText"/>
              <w:jc w:val="center"/>
              <w:rPr>
                <w:rFonts w:ascii="Times" w:eastAsia="Times New Roman" w:hAnsi="Times" w:cs="Times New Roman"/>
                <w:highlight w:val="black"/>
              </w:rPr>
            </w:pPr>
            <w:r>
              <w:rPr>
                <w:noProof/>
                <w:color w:val="000000"/>
                <w:highlight w:val="black"/>
              </w:rPr>
              <w:t>''''''''''' '''''''''</w:t>
            </w:r>
          </w:p>
        </w:tc>
        <w:tc>
          <w:tcPr>
            <w:tcW w:w="485" w:type="pct"/>
            <w:shd w:val="clear" w:color="auto" w:fill="FFFFFF" w:themeFill="background1"/>
          </w:tcPr>
          <w:p w:rsidR="00FD5FA6" w:rsidRPr="000B2D46" w:rsidRDefault="000B2D46" w:rsidP="00DA12F3">
            <w:pPr>
              <w:pStyle w:val="TableText"/>
              <w:jc w:val="center"/>
              <w:rPr>
                <w:rFonts w:ascii="Times" w:eastAsia="Times New Roman" w:hAnsi="Times" w:cs="Times New Roman"/>
                <w:highlight w:val="black"/>
              </w:rPr>
            </w:pPr>
            <w:r>
              <w:rPr>
                <w:noProof/>
                <w:color w:val="000000"/>
                <w:highlight w:val="black"/>
              </w:rPr>
              <w:t>'''''''''' ''''''''''</w:t>
            </w:r>
          </w:p>
        </w:tc>
        <w:tc>
          <w:tcPr>
            <w:tcW w:w="559" w:type="pct"/>
            <w:shd w:val="clear" w:color="auto" w:fill="FFFFFF" w:themeFill="background1"/>
          </w:tcPr>
          <w:p w:rsidR="00FD5FA6" w:rsidRPr="000B2D46" w:rsidRDefault="000B2D46" w:rsidP="00DA12F3">
            <w:pPr>
              <w:pStyle w:val="TableText"/>
              <w:jc w:val="center"/>
              <w:rPr>
                <w:rFonts w:ascii="Times" w:eastAsia="Times New Roman" w:hAnsi="Times" w:cs="Times New Roman"/>
                <w:highlight w:val="black"/>
              </w:rPr>
            </w:pPr>
            <w:r>
              <w:rPr>
                <w:noProof/>
                <w:color w:val="000000"/>
                <w:highlight w:val="black"/>
              </w:rPr>
              <w:t>''''''''''' '''''''''</w:t>
            </w:r>
          </w:p>
        </w:tc>
        <w:tc>
          <w:tcPr>
            <w:tcW w:w="599" w:type="pct"/>
            <w:shd w:val="clear" w:color="auto" w:fill="FFFFFF" w:themeFill="background1"/>
          </w:tcPr>
          <w:p w:rsidR="00FD5FA6" w:rsidRPr="00536F4D" w:rsidRDefault="00FD5FA6" w:rsidP="007C188B">
            <w:pPr>
              <w:pStyle w:val="TableText"/>
              <w:jc w:val="left"/>
              <w:rPr>
                <w:rFonts w:ascii="Times" w:eastAsia="Times New Roman" w:hAnsi="Times" w:cs="Times New Roman"/>
                <w:b/>
              </w:rPr>
            </w:pPr>
            <w:r w:rsidRPr="00536F4D">
              <w:rPr>
                <w:b/>
              </w:rPr>
              <w:t>$</w:t>
            </w:r>
            <w:r w:rsidR="000B2D46">
              <w:rPr>
                <w:b/>
                <w:noProof/>
                <w:color w:val="000000"/>
                <w:highlight w:val="black"/>
              </w:rPr>
              <w:t>''''''''''''</w:t>
            </w:r>
            <w:r w:rsidRPr="00536F4D">
              <w:rPr>
                <w:b/>
              </w:rPr>
              <w:t xml:space="preserve"> per LY gained</w:t>
            </w:r>
          </w:p>
        </w:tc>
      </w:tr>
      <w:tr w:rsidR="00FD5FA6" w:rsidRPr="00536F4D" w:rsidTr="00C7024B">
        <w:trPr>
          <w:cantSplit/>
        </w:trPr>
        <w:tc>
          <w:tcPr>
            <w:tcW w:w="1209" w:type="pct"/>
            <w:shd w:val="clear" w:color="auto" w:fill="FFFFFF" w:themeFill="background1"/>
          </w:tcPr>
          <w:p w:rsidR="00FD5FA6" w:rsidRPr="00536F4D" w:rsidRDefault="00FD5FA6" w:rsidP="00C7024B">
            <w:pPr>
              <w:pStyle w:val="TableText"/>
              <w:jc w:val="left"/>
            </w:pPr>
            <w:r w:rsidRPr="00536F4D">
              <w:t>Step 3</w:t>
            </w:r>
          </w:p>
          <w:p w:rsidR="00FD5FA6" w:rsidRPr="00536F4D" w:rsidRDefault="00FD5FA6" w:rsidP="00C7024B">
            <w:pPr>
              <w:pStyle w:val="TableText"/>
              <w:jc w:val="left"/>
            </w:pPr>
            <w:r w:rsidRPr="00536F4D">
              <w:t>Study evidence transformed from LY to QALY</w:t>
            </w:r>
          </w:p>
        </w:tc>
        <w:tc>
          <w:tcPr>
            <w:tcW w:w="536" w:type="pct"/>
            <w:shd w:val="clear" w:color="auto" w:fill="FFFFFF" w:themeFill="background1"/>
          </w:tcPr>
          <w:p w:rsidR="00FD5FA6" w:rsidRPr="00536F4D" w:rsidRDefault="00FD5FA6" w:rsidP="00DA12F3">
            <w:pPr>
              <w:pStyle w:val="TableText"/>
              <w:jc w:val="right"/>
              <w:rPr>
                <w:rFonts w:ascii="Times" w:eastAsia="Times New Roman" w:hAnsi="Times" w:cs="Times New Roman"/>
              </w:rPr>
            </w:pPr>
            <w:r w:rsidRPr="00536F4D">
              <w:rPr>
                <w:rFonts w:eastAsia="Times New Roman"/>
                <w:lang w:eastAsia="en-AU"/>
              </w:rPr>
              <w:t>$</w:t>
            </w:r>
            <w:r w:rsidR="000B2D46">
              <w:rPr>
                <w:rFonts w:eastAsia="Times New Roman"/>
                <w:noProof/>
                <w:color w:val="000000"/>
                <w:highlight w:val="black"/>
                <w:lang w:eastAsia="en-AU"/>
              </w:rPr>
              <w:t>'''''''''''''''</w:t>
            </w:r>
          </w:p>
        </w:tc>
        <w:tc>
          <w:tcPr>
            <w:tcW w:w="460" w:type="pct"/>
            <w:shd w:val="clear" w:color="auto" w:fill="FFFFFF" w:themeFill="background1"/>
          </w:tcPr>
          <w:p w:rsidR="00FD5FA6" w:rsidRPr="00536F4D" w:rsidRDefault="00FD5FA6" w:rsidP="00DA12F3">
            <w:pPr>
              <w:pStyle w:val="TableText"/>
              <w:jc w:val="right"/>
              <w:rPr>
                <w:rFonts w:ascii="Times" w:eastAsia="Times New Roman" w:hAnsi="Times" w:cs="Times New Roman"/>
              </w:rPr>
            </w:pPr>
            <w:r w:rsidRPr="00536F4D">
              <w:rPr>
                <w:rFonts w:eastAsia="Times New Roman"/>
                <w:lang w:eastAsia="en-AU"/>
              </w:rPr>
              <w:t>$</w:t>
            </w:r>
            <w:r w:rsidR="000B2D46">
              <w:rPr>
                <w:rFonts w:eastAsia="Times New Roman"/>
                <w:noProof/>
                <w:color w:val="000000"/>
                <w:highlight w:val="black"/>
                <w:lang w:eastAsia="en-AU"/>
              </w:rPr>
              <w:t>'''''''''''''''''</w:t>
            </w:r>
          </w:p>
        </w:tc>
        <w:tc>
          <w:tcPr>
            <w:tcW w:w="615" w:type="pct"/>
            <w:shd w:val="clear" w:color="auto" w:fill="FFFFFF" w:themeFill="background1"/>
          </w:tcPr>
          <w:p w:rsidR="00FD5FA6" w:rsidRPr="00536F4D" w:rsidRDefault="00FD5FA6" w:rsidP="00DA12F3">
            <w:pPr>
              <w:pStyle w:val="TableText"/>
              <w:jc w:val="right"/>
              <w:rPr>
                <w:rFonts w:ascii="Times" w:eastAsia="Times New Roman" w:hAnsi="Times" w:cs="Times New Roman"/>
              </w:rPr>
            </w:pPr>
            <w:r w:rsidRPr="00536F4D">
              <w:rPr>
                <w:rFonts w:eastAsia="Times New Roman"/>
                <w:lang w:eastAsia="en-AU"/>
              </w:rPr>
              <w:t>$</w:t>
            </w:r>
            <w:r w:rsidR="000B2D46">
              <w:rPr>
                <w:rFonts w:eastAsia="Times New Roman"/>
                <w:noProof/>
                <w:color w:val="000000"/>
                <w:highlight w:val="black"/>
                <w:lang w:eastAsia="en-AU"/>
              </w:rPr>
              <w:t>'''''''''''''''''</w:t>
            </w:r>
          </w:p>
        </w:tc>
        <w:tc>
          <w:tcPr>
            <w:tcW w:w="537" w:type="pct"/>
            <w:shd w:val="clear" w:color="auto" w:fill="FFFFFF" w:themeFill="background1"/>
          </w:tcPr>
          <w:p w:rsidR="00FD5FA6" w:rsidRPr="000B2D46" w:rsidRDefault="000B2D46" w:rsidP="00DA12F3">
            <w:pPr>
              <w:pStyle w:val="TableText"/>
              <w:jc w:val="center"/>
              <w:rPr>
                <w:rFonts w:ascii="Times" w:eastAsia="Times New Roman" w:hAnsi="Times" w:cs="Times New Roman"/>
                <w:highlight w:val="black"/>
              </w:rPr>
            </w:pPr>
            <w:r>
              <w:rPr>
                <w:noProof/>
                <w:color w:val="000000"/>
                <w:highlight w:val="black"/>
              </w:rPr>
              <w:t>''''''''''''' ''''''''''''''''''</w:t>
            </w:r>
          </w:p>
        </w:tc>
        <w:tc>
          <w:tcPr>
            <w:tcW w:w="485" w:type="pct"/>
            <w:shd w:val="clear" w:color="auto" w:fill="FFFFFF" w:themeFill="background1"/>
          </w:tcPr>
          <w:p w:rsidR="00FD5FA6" w:rsidRPr="000B2D46" w:rsidRDefault="000B2D46" w:rsidP="00DA12F3">
            <w:pPr>
              <w:pStyle w:val="TableText"/>
              <w:jc w:val="center"/>
              <w:rPr>
                <w:rFonts w:ascii="Times" w:eastAsia="Times New Roman" w:hAnsi="Times" w:cs="Times New Roman"/>
                <w:highlight w:val="black"/>
              </w:rPr>
            </w:pPr>
            <w:r>
              <w:rPr>
                <w:noProof/>
                <w:color w:val="000000"/>
                <w:highlight w:val="black"/>
              </w:rPr>
              <w:t>'''''''''''''' ''''''''''''''''</w:t>
            </w:r>
          </w:p>
        </w:tc>
        <w:tc>
          <w:tcPr>
            <w:tcW w:w="559" w:type="pct"/>
            <w:shd w:val="clear" w:color="auto" w:fill="FFFFFF" w:themeFill="background1"/>
          </w:tcPr>
          <w:p w:rsidR="00FD5FA6" w:rsidRPr="000B2D46" w:rsidRDefault="000B2D46" w:rsidP="00DA12F3">
            <w:pPr>
              <w:pStyle w:val="TableText"/>
              <w:jc w:val="center"/>
              <w:rPr>
                <w:rFonts w:ascii="Times" w:eastAsia="Times New Roman" w:hAnsi="Times" w:cs="Times New Roman"/>
                <w:highlight w:val="black"/>
              </w:rPr>
            </w:pPr>
            <w:r>
              <w:rPr>
                <w:noProof/>
                <w:color w:val="000000"/>
                <w:highlight w:val="black"/>
              </w:rPr>
              <w:t>''''''''''''''' '''''''''''''''''''</w:t>
            </w:r>
          </w:p>
        </w:tc>
        <w:tc>
          <w:tcPr>
            <w:tcW w:w="599" w:type="pct"/>
            <w:shd w:val="clear" w:color="auto" w:fill="FFFFFF" w:themeFill="background1"/>
          </w:tcPr>
          <w:p w:rsidR="00FD5FA6" w:rsidRPr="00536F4D" w:rsidRDefault="00FD5FA6" w:rsidP="00DA12F3">
            <w:pPr>
              <w:pStyle w:val="TableText"/>
              <w:jc w:val="left"/>
              <w:rPr>
                <w:rFonts w:ascii="Times" w:eastAsia="Times New Roman" w:hAnsi="Times" w:cs="Times New Roman"/>
                <w:b/>
              </w:rPr>
            </w:pPr>
            <w:r w:rsidRPr="00536F4D">
              <w:rPr>
                <w:b/>
              </w:rPr>
              <w:t>$</w:t>
            </w:r>
            <w:r w:rsidR="000B2D46">
              <w:rPr>
                <w:b/>
                <w:noProof/>
                <w:color w:val="000000"/>
                <w:highlight w:val="black"/>
              </w:rPr>
              <w:t>''''''''''''</w:t>
            </w:r>
            <w:r w:rsidRPr="00536F4D">
              <w:rPr>
                <w:b/>
              </w:rPr>
              <w:t xml:space="preserve"> per QALY gained</w:t>
            </w:r>
          </w:p>
        </w:tc>
      </w:tr>
    </w:tbl>
    <w:p w:rsidR="00FD5FA6" w:rsidRPr="00536F4D" w:rsidRDefault="00FD5FA6" w:rsidP="00FD5FA6">
      <w:pPr>
        <w:pStyle w:val="TableFooter"/>
      </w:pPr>
      <w:r w:rsidRPr="00536F4D">
        <w:rPr>
          <w:vertAlign w:val="superscript"/>
        </w:rPr>
        <w:t>a</w:t>
      </w:r>
      <w:r w:rsidRPr="00536F4D">
        <w:t xml:space="preserve"> Median time until loss of response for osimertinib</w:t>
      </w:r>
    </w:p>
    <w:p w:rsidR="00FD5FA6" w:rsidRPr="00536F4D" w:rsidRDefault="00FD5FA6" w:rsidP="00FD5FA6">
      <w:pPr>
        <w:pStyle w:val="TableFooter"/>
      </w:pPr>
      <w:r w:rsidRPr="00536F4D">
        <w:t>ORR = objective response rate; LY = life year; QALY = quality-adjusted life year.</w:t>
      </w:r>
    </w:p>
    <w:p w:rsidR="00FD5FA6" w:rsidRPr="00536F4D" w:rsidRDefault="00FD5FA6" w:rsidP="00FD5FA6">
      <w:pPr>
        <w:pStyle w:val="TableFooter"/>
      </w:pPr>
      <w:r w:rsidRPr="00536F4D">
        <w:t>Source: Table 3-32 and Table 3-33, p188 of the submission; Table 3-35, p189 of the submission and Table 3-37 and Table 3-38, p190 of the submission.</w:t>
      </w:r>
    </w:p>
    <w:p w:rsidR="00FD5FA6" w:rsidRDefault="00FD5FA6" w:rsidP="00891893">
      <w:pPr>
        <w:pStyle w:val="ListParagraph"/>
        <w:ind w:left="709" w:hanging="709"/>
      </w:pPr>
      <w:r w:rsidRPr="00536F4D">
        <w:t xml:space="preserve">The incremental costs </w:t>
      </w:r>
      <w:r w:rsidR="00932EF5" w:rsidRPr="00536F4D">
        <w:t>we</w:t>
      </w:r>
      <w:r w:rsidRPr="00536F4D">
        <w:t xml:space="preserve">re likely an underestimate as the submission underestimated the cost of osimertinib treatment and may have overestimated </w:t>
      </w:r>
      <w:r w:rsidR="00C30FC4" w:rsidRPr="00536F4D">
        <w:t xml:space="preserve">the </w:t>
      </w:r>
      <w:r w:rsidRPr="00536F4D">
        <w:t>cost-offsets related to nivolumab use.</w:t>
      </w:r>
    </w:p>
    <w:p w:rsidR="00872AE6" w:rsidRDefault="00BA24A5" w:rsidP="00F93209">
      <w:pPr>
        <w:pStyle w:val="ListParagraph"/>
        <w:ind w:left="709" w:hanging="709"/>
      </w:pPr>
      <w:r>
        <w:t xml:space="preserve">The cost of osimertinib used in the model </w:t>
      </w:r>
      <w:r w:rsidR="001C2885">
        <w:t>might have been</w:t>
      </w:r>
      <w:r>
        <w:t xml:space="preserve"> an underestimate, as it was based on the observed mean duration of treatment on osimertinib in the AURA3 study. This was a truncated mean, as </w:t>
      </w:r>
      <w:r w:rsidR="000B2D46">
        <w:rPr>
          <w:noProof/>
          <w:color w:val="000000"/>
          <w:highlight w:val="black"/>
        </w:rPr>
        <w:t>'''''''''</w:t>
      </w:r>
      <w:r>
        <w:t>% of patients were still on osimertinib treatment at the latest data cut-off.</w:t>
      </w:r>
    </w:p>
    <w:p w:rsidR="00F93209" w:rsidRPr="00403A96" w:rsidRDefault="00696474" w:rsidP="00872AE6">
      <w:pPr>
        <w:pStyle w:val="MSACESBulletpoint"/>
        <w:ind w:left="993" w:hanging="284"/>
        <w:jc w:val="both"/>
        <w:rPr>
          <w:rFonts w:asciiTheme="minorHAnsi" w:hAnsiTheme="minorHAnsi"/>
          <w:color w:val="000000" w:themeColor="text1"/>
        </w:rPr>
      </w:pPr>
      <w:r w:rsidRPr="00403A96">
        <w:rPr>
          <w:rFonts w:asciiTheme="minorHAnsi" w:hAnsiTheme="minorHAnsi"/>
          <w:color w:val="000000" w:themeColor="text1"/>
        </w:rPr>
        <w:t>T</w:t>
      </w:r>
      <w:r w:rsidR="00872AE6" w:rsidRPr="00403A96">
        <w:rPr>
          <w:rFonts w:asciiTheme="minorHAnsi" w:hAnsiTheme="minorHAnsi"/>
          <w:color w:val="000000" w:themeColor="text1"/>
        </w:rPr>
        <w:t>he ESC</w:t>
      </w:r>
      <w:r w:rsidR="00AB58D5" w:rsidRPr="00403A96">
        <w:rPr>
          <w:rFonts w:asciiTheme="minorHAnsi" w:hAnsiTheme="minorHAnsi"/>
          <w:color w:val="000000" w:themeColor="text1"/>
        </w:rPr>
        <w:t>s</w:t>
      </w:r>
      <w:r w:rsidR="00872AE6" w:rsidRPr="00403A96">
        <w:rPr>
          <w:rFonts w:asciiTheme="minorHAnsi" w:hAnsiTheme="minorHAnsi"/>
          <w:color w:val="000000" w:themeColor="text1"/>
        </w:rPr>
        <w:t xml:space="preserve"> noted that</w:t>
      </w:r>
      <w:r w:rsidRPr="00403A96">
        <w:rPr>
          <w:rFonts w:asciiTheme="minorHAnsi" w:hAnsiTheme="minorHAnsi"/>
          <w:color w:val="000000" w:themeColor="text1"/>
        </w:rPr>
        <w:t>,</w:t>
      </w:r>
      <w:r w:rsidR="00872AE6" w:rsidRPr="00403A96">
        <w:rPr>
          <w:rFonts w:asciiTheme="minorHAnsi" w:hAnsiTheme="minorHAnsi"/>
          <w:color w:val="000000" w:themeColor="text1"/>
        </w:rPr>
        <w:t xml:space="preserve"> on applying </w:t>
      </w:r>
      <w:r w:rsidR="00BA24A5" w:rsidRPr="00403A96">
        <w:rPr>
          <w:rFonts w:asciiTheme="minorHAnsi" w:hAnsiTheme="minorHAnsi"/>
          <w:color w:val="000000" w:themeColor="text1"/>
        </w:rPr>
        <w:t xml:space="preserve">the cost of osimertinib on a per cycle basis until disease progression consistent with the </w:t>
      </w:r>
      <w:r w:rsidR="00F93209" w:rsidRPr="00403A96">
        <w:rPr>
          <w:rFonts w:asciiTheme="minorHAnsi" w:hAnsiTheme="minorHAnsi"/>
          <w:color w:val="000000" w:themeColor="text1"/>
        </w:rPr>
        <w:t>requested continuation criteria</w:t>
      </w:r>
      <w:r w:rsidR="00BA24A5" w:rsidRPr="00403A96">
        <w:rPr>
          <w:rFonts w:asciiTheme="minorHAnsi" w:hAnsiTheme="minorHAnsi"/>
          <w:color w:val="000000" w:themeColor="text1"/>
        </w:rPr>
        <w:t xml:space="preserve">, </w:t>
      </w:r>
      <w:r w:rsidR="00872AE6" w:rsidRPr="00403A96">
        <w:rPr>
          <w:rFonts w:asciiTheme="minorHAnsi" w:hAnsiTheme="minorHAnsi"/>
          <w:color w:val="000000" w:themeColor="text1"/>
        </w:rPr>
        <w:t xml:space="preserve">the ICER increased </w:t>
      </w:r>
      <w:r w:rsidRPr="00403A96">
        <w:rPr>
          <w:rFonts w:asciiTheme="minorHAnsi" w:hAnsiTheme="minorHAnsi"/>
          <w:color w:val="000000" w:themeColor="text1"/>
        </w:rPr>
        <w:t xml:space="preserve">from </w:t>
      </w:r>
      <w:r w:rsidR="00155333">
        <w:rPr>
          <w:rFonts w:asciiTheme="minorHAnsi" w:hAnsiTheme="minorHAnsi"/>
          <w:color w:val="000000" w:themeColor="text1"/>
        </w:rPr>
        <w:t>$75,000/QALY - $105,000/QALY</w:t>
      </w:r>
      <w:r w:rsidRPr="00403A96">
        <w:rPr>
          <w:rFonts w:asciiTheme="minorHAnsi" w:hAnsiTheme="minorHAnsi"/>
          <w:color w:val="000000" w:themeColor="text1"/>
        </w:rPr>
        <w:t xml:space="preserve"> </w:t>
      </w:r>
      <w:r w:rsidR="00872AE6" w:rsidRPr="00403A96">
        <w:rPr>
          <w:rFonts w:asciiTheme="minorHAnsi" w:hAnsiTheme="minorHAnsi"/>
          <w:color w:val="000000" w:themeColor="text1"/>
        </w:rPr>
        <w:t xml:space="preserve">to </w:t>
      </w:r>
      <w:r w:rsidR="00155333">
        <w:rPr>
          <w:rFonts w:asciiTheme="minorHAnsi" w:hAnsiTheme="minorHAnsi"/>
          <w:color w:val="000000" w:themeColor="text1"/>
        </w:rPr>
        <w:t>$75,000/QALY - $105,000/QALY</w:t>
      </w:r>
      <w:r w:rsidR="00155333" w:rsidRPr="00403A96">
        <w:rPr>
          <w:rFonts w:asciiTheme="minorHAnsi" w:hAnsiTheme="minorHAnsi"/>
          <w:color w:val="000000" w:themeColor="text1"/>
        </w:rPr>
        <w:t xml:space="preserve"> </w:t>
      </w:r>
      <w:r w:rsidR="003332E1" w:rsidRPr="00403A96">
        <w:rPr>
          <w:rFonts w:asciiTheme="minorHAnsi" w:hAnsiTheme="minorHAnsi"/>
        </w:rPr>
        <w:t xml:space="preserve">(reflecting the extrapolated mean PFS for osimertinib of </w:t>
      </w:r>
      <w:r w:rsidR="000B2D46">
        <w:rPr>
          <w:rFonts w:asciiTheme="minorHAnsi" w:hAnsiTheme="minorHAnsi"/>
          <w:noProof/>
          <w:color w:val="000000"/>
          <w:highlight w:val="black"/>
        </w:rPr>
        <w:t>''''''''</w:t>
      </w:r>
      <w:r w:rsidR="003332E1" w:rsidRPr="00403A96">
        <w:rPr>
          <w:rFonts w:asciiTheme="minorHAnsi" w:hAnsiTheme="minorHAnsi"/>
        </w:rPr>
        <w:t xml:space="preserve"> months)</w:t>
      </w:r>
      <w:r w:rsidRPr="00403A96">
        <w:rPr>
          <w:rFonts w:asciiTheme="minorHAnsi" w:hAnsiTheme="minorHAnsi"/>
          <w:color w:val="000000" w:themeColor="text1"/>
        </w:rPr>
        <w:t>.</w:t>
      </w:r>
    </w:p>
    <w:p w:rsidR="003F0249" w:rsidRPr="00403A96" w:rsidRDefault="00696474" w:rsidP="00872AE6">
      <w:pPr>
        <w:pStyle w:val="MSACESBulletpoint"/>
        <w:ind w:left="993" w:hanging="284"/>
        <w:jc w:val="both"/>
        <w:rPr>
          <w:rFonts w:asciiTheme="minorHAnsi" w:hAnsiTheme="minorHAnsi"/>
          <w:color w:val="000000" w:themeColor="text1"/>
        </w:rPr>
      </w:pPr>
      <w:r w:rsidRPr="00403A96">
        <w:rPr>
          <w:rFonts w:asciiTheme="minorHAnsi" w:hAnsiTheme="minorHAnsi"/>
          <w:color w:val="000000" w:themeColor="text1"/>
        </w:rPr>
        <w:t>A</w:t>
      </w:r>
      <w:r w:rsidR="005467DA" w:rsidRPr="00403A96">
        <w:rPr>
          <w:rFonts w:asciiTheme="minorHAnsi" w:hAnsiTheme="minorHAnsi"/>
          <w:color w:val="000000" w:themeColor="text1"/>
        </w:rPr>
        <w:t>rguing</w:t>
      </w:r>
      <w:r w:rsidR="004C0662" w:rsidRPr="00403A96">
        <w:rPr>
          <w:rFonts w:asciiTheme="minorHAnsi" w:hAnsiTheme="minorHAnsi"/>
          <w:color w:val="000000" w:themeColor="text1"/>
        </w:rPr>
        <w:t xml:space="preserve"> that this approach did not account for dose interruptions or reductions due to tolerability, t</w:t>
      </w:r>
      <w:r w:rsidR="003F0249" w:rsidRPr="00403A96">
        <w:rPr>
          <w:rFonts w:asciiTheme="minorHAnsi" w:hAnsiTheme="minorHAnsi"/>
          <w:color w:val="000000" w:themeColor="text1"/>
        </w:rPr>
        <w:t xml:space="preserve">he PSCR </w:t>
      </w:r>
      <w:r w:rsidR="004C0662" w:rsidRPr="00403A96">
        <w:rPr>
          <w:rFonts w:asciiTheme="minorHAnsi" w:hAnsiTheme="minorHAnsi"/>
          <w:color w:val="000000" w:themeColor="text1"/>
        </w:rPr>
        <w:t xml:space="preserve">(p3) </w:t>
      </w:r>
      <w:r w:rsidR="00631A28">
        <w:rPr>
          <w:rFonts w:asciiTheme="minorHAnsi" w:hAnsiTheme="minorHAnsi"/>
          <w:color w:val="000000" w:themeColor="text1"/>
        </w:rPr>
        <w:t xml:space="preserve">and pre-PBAC response (p5) </w:t>
      </w:r>
      <w:r w:rsidR="003F0249" w:rsidRPr="00403A96">
        <w:rPr>
          <w:rFonts w:asciiTheme="minorHAnsi" w:hAnsiTheme="minorHAnsi"/>
          <w:color w:val="000000" w:themeColor="text1"/>
        </w:rPr>
        <w:t>stated that</w:t>
      </w:r>
      <w:r w:rsidRPr="00403A96">
        <w:rPr>
          <w:rFonts w:asciiTheme="minorHAnsi" w:hAnsiTheme="minorHAnsi"/>
          <w:color w:val="000000" w:themeColor="text1"/>
        </w:rPr>
        <w:t>,</w:t>
      </w:r>
      <w:r w:rsidR="003F0249" w:rsidRPr="00403A96">
        <w:rPr>
          <w:rFonts w:asciiTheme="minorHAnsi" w:hAnsiTheme="minorHAnsi"/>
          <w:color w:val="000000" w:themeColor="text1"/>
        </w:rPr>
        <w:t xml:space="preserve"> at the time of the submission, the actual mean treatment duration was </w:t>
      </w:r>
      <w:r w:rsidR="000B2D46">
        <w:rPr>
          <w:rFonts w:asciiTheme="minorHAnsi" w:hAnsiTheme="minorHAnsi"/>
          <w:noProof/>
          <w:color w:val="000000"/>
          <w:highlight w:val="black"/>
        </w:rPr>
        <w:t>'''''</w:t>
      </w:r>
      <w:r w:rsidR="003F0249" w:rsidRPr="00403A96">
        <w:rPr>
          <w:rFonts w:asciiTheme="minorHAnsi" w:hAnsiTheme="minorHAnsi"/>
          <w:color w:val="000000" w:themeColor="text1"/>
        </w:rPr>
        <w:t xml:space="preserve"> months versus a total median treatment duration of </w:t>
      </w:r>
      <w:r w:rsidR="000B2D46">
        <w:rPr>
          <w:rFonts w:asciiTheme="minorHAnsi" w:hAnsiTheme="minorHAnsi"/>
          <w:noProof/>
          <w:color w:val="000000"/>
          <w:highlight w:val="black"/>
        </w:rPr>
        <w:t>'''''</w:t>
      </w:r>
      <w:r w:rsidR="003F0249" w:rsidRPr="00403A96">
        <w:rPr>
          <w:rFonts w:asciiTheme="minorHAnsi" w:hAnsiTheme="minorHAnsi"/>
          <w:color w:val="000000" w:themeColor="text1"/>
        </w:rPr>
        <w:t xml:space="preserve"> months, resulting in a relativity of </w:t>
      </w:r>
      <w:r w:rsidR="000B2D46">
        <w:rPr>
          <w:rFonts w:asciiTheme="minorHAnsi" w:hAnsiTheme="minorHAnsi"/>
          <w:noProof/>
          <w:color w:val="000000"/>
          <w:highlight w:val="black"/>
        </w:rPr>
        <w:t>''''''''' '''' ''''''''''''''</w:t>
      </w:r>
      <w:r w:rsidR="003F0249" w:rsidRPr="00403A96">
        <w:rPr>
          <w:rFonts w:asciiTheme="minorHAnsi" w:hAnsiTheme="minorHAnsi"/>
          <w:color w:val="000000" w:themeColor="text1"/>
        </w:rPr>
        <w:t>.</w:t>
      </w:r>
    </w:p>
    <w:p w:rsidR="003F0249" w:rsidRPr="00403A96" w:rsidRDefault="00696474" w:rsidP="00872AE6">
      <w:pPr>
        <w:pStyle w:val="MSACESBulletpoint"/>
        <w:ind w:left="993" w:hanging="284"/>
        <w:jc w:val="both"/>
        <w:rPr>
          <w:rFonts w:asciiTheme="minorHAnsi" w:hAnsiTheme="minorHAnsi"/>
          <w:color w:val="000000" w:themeColor="text1"/>
        </w:rPr>
      </w:pPr>
      <w:r w:rsidRPr="00403A96">
        <w:rPr>
          <w:rFonts w:asciiTheme="minorHAnsi" w:hAnsiTheme="minorHAnsi"/>
          <w:color w:val="000000" w:themeColor="text1"/>
        </w:rPr>
        <w:t>T</w:t>
      </w:r>
      <w:r w:rsidR="004C0662" w:rsidRPr="00403A96">
        <w:rPr>
          <w:rFonts w:asciiTheme="minorHAnsi" w:hAnsiTheme="minorHAnsi"/>
          <w:color w:val="000000" w:themeColor="text1"/>
        </w:rPr>
        <w:t>he PSCR further stated that a</w:t>
      </w:r>
      <w:r w:rsidR="003F0249" w:rsidRPr="00403A96">
        <w:rPr>
          <w:rFonts w:asciiTheme="minorHAnsi" w:hAnsiTheme="minorHAnsi"/>
          <w:color w:val="000000" w:themeColor="text1"/>
        </w:rPr>
        <w:t xml:space="preserve">pplying the cost of osimertinib on a per cycle basis to the model after factoring in </w:t>
      </w:r>
      <w:r w:rsidR="003332E1" w:rsidRPr="00403A96">
        <w:rPr>
          <w:rFonts w:asciiTheme="minorHAnsi" w:hAnsiTheme="minorHAnsi"/>
          <w:color w:val="000000" w:themeColor="text1"/>
        </w:rPr>
        <w:t>this</w:t>
      </w:r>
      <w:r w:rsidR="003F0249" w:rsidRPr="00403A96">
        <w:rPr>
          <w:rFonts w:asciiTheme="minorHAnsi" w:hAnsiTheme="minorHAnsi"/>
          <w:color w:val="000000" w:themeColor="text1"/>
        </w:rPr>
        <w:t xml:space="preserve"> relativity of </w:t>
      </w:r>
      <w:r w:rsidR="000B2D46">
        <w:rPr>
          <w:rFonts w:asciiTheme="minorHAnsi" w:hAnsiTheme="minorHAnsi"/>
          <w:noProof/>
          <w:color w:val="000000"/>
          <w:highlight w:val="black"/>
        </w:rPr>
        <w:t>''''''</w:t>
      </w:r>
      <w:r w:rsidR="003F0249" w:rsidRPr="00403A96">
        <w:rPr>
          <w:rFonts w:asciiTheme="minorHAnsi" w:hAnsiTheme="minorHAnsi"/>
          <w:color w:val="000000" w:themeColor="text1"/>
        </w:rPr>
        <w:t xml:space="preserve">% resulted in an ICER of </w:t>
      </w:r>
      <w:r w:rsidR="00155333">
        <w:rPr>
          <w:rFonts w:asciiTheme="minorHAnsi" w:hAnsiTheme="minorHAnsi"/>
          <w:color w:val="000000" w:themeColor="text1"/>
        </w:rPr>
        <w:t>$75,000/QALY - $105,000/QALY</w:t>
      </w:r>
      <w:r w:rsidR="003F0249" w:rsidRPr="00403A96">
        <w:rPr>
          <w:rFonts w:asciiTheme="minorHAnsi" w:hAnsiTheme="minorHAnsi"/>
          <w:color w:val="000000" w:themeColor="text1"/>
        </w:rPr>
        <w:t>.</w:t>
      </w:r>
    </w:p>
    <w:p w:rsidR="003F0249" w:rsidRPr="00403A96" w:rsidRDefault="00696474" w:rsidP="003F0249">
      <w:pPr>
        <w:pStyle w:val="MSACESBulletpoint"/>
        <w:ind w:left="993" w:hanging="284"/>
        <w:jc w:val="both"/>
        <w:rPr>
          <w:rFonts w:asciiTheme="minorHAnsi" w:hAnsiTheme="minorHAnsi"/>
          <w:color w:val="000000" w:themeColor="text1"/>
        </w:rPr>
      </w:pPr>
      <w:r w:rsidRPr="00403A96">
        <w:rPr>
          <w:rFonts w:asciiTheme="minorHAnsi" w:hAnsiTheme="minorHAnsi"/>
          <w:color w:val="000000" w:themeColor="text1"/>
        </w:rPr>
        <w:t>T</w:t>
      </w:r>
      <w:r w:rsidR="003F0249" w:rsidRPr="00403A96">
        <w:rPr>
          <w:rFonts w:asciiTheme="minorHAnsi" w:hAnsiTheme="minorHAnsi"/>
          <w:color w:val="000000" w:themeColor="text1"/>
        </w:rPr>
        <w:t>he ESC</w:t>
      </w:r>
      <w:r w:rsidR="00AB58D5" w:rsidRPr="00403A96">
        <w:rPr>
          <w:rFonts w:asciiTheme="minorHAnsi" w:hAnsiTheme="minorHAnsi"/>
          <w:color w:val="000000" w:themeColor="text1"/>
        </w:rPr>
        <w:t>s</w:t>
      </w:r>
      <w:r w:rsidR="003F0249" w:rsidRPr="00403A96">
        <w:rPr>
          <w:rFonts w:asciiTheme="minorHAnsi" w:hAnsiTheme="minorHAnsi"/>
          <w:color w:val="000000" w:themeColor="text1"/>
        </w:rPr>
        <w:t xml:space="preserve"> considered that this </w:t>
      </w:r>
      <w:r w:rsidR="00610734" w:rsidRPr="00403A96">
        <w:rPr>
          <w:rFonts w:asciiTheme="minorHAnsi" w:hAnsiTheme="minorHAnsi"/>
          <w:color w:val="000000" w:themeColor="text1"/>
        </w:rPr>
        <w:t xml:space="preserve">further dosage adjustment </w:t>
      </w:r>
      <w:r w:rsidR="003332E1" w:rsidRPr="00403A96">
        <w:rPr>
          <w:rFonts w:asciiTheme="minorHAnsi" w:hAnsiTheme="minorHAnsi"/>
        </w:rPr>
        <w:t>was uninformative, as it reinstated the observed truncated mean treatment duration without any extrapolation.</w:t>
      </w:r>
    </w:p>
    <w:p w:rsidR="00D257C7" w:rsidRDefault="00F42013" w:rsidP="00D257C7">
      <w:pPr>
        <w:pStyle w:val="ListParagraph"/>
        <w:ind w:left="709" w:hanging="709"/>
      </w:pPr>
      <w:r>
        <w:lastRenderedPageBreak/>
        <w:t>Nivolumab use in the chemother</w:t>
      </w:r>
      <w:r w:rsidR="0050563A">
        <w:t>apy-treated patients</w:t>
      </w:r>
      <w:r w:rsidR="001733F2">
        <w:t xml:space="preserve"> </w:t>
      </w:r>
      <w:r w:rsidR="0050563A">
        <w:t>wa</w:t>
      </w:r>
      <w:r>
        <w:t xml:space="preserve">s the main driver of cost-offsets in the model. </w:t>
      </w:r>
      <w:r w:rsidR="001733F2">
        <w:t xml:space="preserve">The model </w:t>
      </w:r>
      <w:r w:rsidR="004E3C45">
        <w:t xml:space="preserve">relied on </w:t>
      </w:r>
      <w:r w:rsidR="001733F2">
        <w:t>a survey of 30 medical oncologists</w:t>
      </w:r>
      <w:r w:rsidR="004E3C45">
        <w:t>, who advised that,</w:t>
      </w:r>
      <w:r w:rsidR="001733F2">
        <w:t xml:space="preserve"> </w:t>
      </w:r>
      <w:r w:rsidR="004E3C45">
        <w:t>i</w:t>
      </w:r>
      <w:r w:rsidR="004E3C45" w:rsidRPr="004E3C45">
        <w:t>rrespective of the second-line treatment received, 52% of patients would receive BSC in the third-line setting</w:t>
      </w:r>
      <w:r w:rsidR="00D257C7">
        <w:t xml:space="preserve">. On this basis, </w:t>
      </w:r>
      <w:r w:rsidR="001733F2">
        <w:t xml:space="preserve">48% of patients </w:t>
      </w:r>
      <w:r w:rsidR="00D257C7">
        <w:t>were assumed to have other</w:t>
      </w:r>
      <w:r w:rsidR="009569A3">
        <w:t xml:space="preserve"> active therapies</w:t>
      </w:r>
      <w:r w:rsidR="000A742F">
        <w:t>. For the osimertinib-treated arms of the model, this only had a small consequence</w:t>
      </w:r>
      <w:r w:rsidR="00D257C7">
        <w:t xml:space="preserve"> on estimating utilities</w:t>
      </w:r>
      <w:r w:rsidR="000A742F">
        <w:t xml:space="preserve">, because BSC comprised the </w:t>
      </w:r>
      <w:r w:rsidR="00D257C7">
        <w:t xml:space="preserve">only </w:t>
      </w:r>
      <w:r w:rsidR="000A742F">
        <w:t>third-line option in this arm</w:t>
      </w:r>
      <w:r w:rsidR="00D257C7">
        <w:t xml:space="preserve"> for costing purposes</w:t>
      </w:r>
      <w:r w:rsidR="000A742F">
        <w:t xml:space="preserve">. </w:t>
      </w:r>
      <w:r w:rsidR="00D257C7">
        <w:t>However, f</w:t>
      </w:r>
      <w:r w:rsidR="000A742F">
        <w:t>or the chemotherapy arm, this also had a large cost-offset consequence because th</w:t>
      </w:r>
      <w:r w:rsidR="009569A3">
        <w:t>e</w:t>
      </w:r>
      <w:r w:rsidR="000A742F">
        <w:t xml:space="preserve"> 48% </w:t>
      </w:r>
      <w:r w:rsidR="00D257C7">
        <w:t xml:space="preserve">of patients </w:t>
      </w:r>
      <w:r w:rsidR="000A742F">
        <w:t>w</w:t>
      </w:r>
      <w:r w:rsidR="00D257C7">
        <w:t>ere</w:t>
      </w:r>
      <w:r w:rsidR="000A742F">
        <w:t xml:space="preserve"> also assumed to be treated with third-line nivolumab.</w:t>
      </w:r>
      <w:r w:rsidR="00D257C7">
        <w:t xml:space="preserve"> The PBAC noted that the osimertinib arm of the model did not allow nivolumab as fourth-line following progression on third-line chemotherapy.</w:t>
      </w:r>
    </w:p>
    <w:p w:rsidR="00F42013" w:rsidRPr="00536F4D" w:rsidRDefault="00F42013" w:rsidP="00D257C7">
      <w:pPr>
        <w:pStyle w:val="ListParagraph"/>
        <w:ind w:left="709" w:hanging="709"/>
      </w:pPr>
      <w:r>
        <w:t>As nivolumab was not used in the IMPRESS study after disease progr</w:t>
      </w:r>
      <w:r w:rsidR="0050563A">
        <w:t>ession, the outcomes modelled did</w:t>
      </w:r>
      <w:r>
        <w:t xml:space="preserve"> not capture the benefits associated with its use. Further, due to the performance status requirement</w:t>
      </w:r>
      <w:r w:rsidR="0050563A">
        <w:t>s</w:t>
      </w:r>
      <w:r>
        <w:t xml:space="preserve"> (0-1) of the recent listing of nivolumab, the proportion of patients who would meet this criterion after disease progression on second-line chemotherapy</w:t>
      </w:r>
      <w:r w:rsidR="005467DA">
        <w:t xml:space="preserve"> w</w:t>
      </w:r>
      <w:r w:rsidR="001733F2">
        <w:t>as</w:t>
      </w:r>
      <w:r w:rsidR="005467DA">
        <w:t xml:space="preserve"> likely to </w:t>
      </w:r>
      <w:r>
        <w:t>have been overestimated.</w:t>
      </w:r>
      <w:r w:rsidR="006E01C5" w:rsidRPr="006E01C5">
        <w:rPr>
          <w:i/>
        </w:rPr>
        <w:t xml:space="preserve"> </w:t>
      </w:r>
      <w:r w:rsidR="006E01C5" w:rsidRPr="00272AC4">
        <w:t>The PSCR (p6) argued that the outcomes of third-line use of nivolumab was implicitly captured in the model, as 54.5% of patients in the IMPRESS study received post-progression treatment with chemotherapy or novel agents, and the OS reported for IMPRESS (and used in the model) included gains associated with later line therapies including nivolumab.</w:t>
      </w:r>
    </w:p>
    <w:p w:rsidR="00FD5FA6" w:rsidRPr="00536F4D" w:rsidRDefault="00FD5FA6" w:rsidP="00891893">
      <w:pPr>
        <w:pStyle w:val="ListParagraph"/>
        <w:ind w:left="709" w:hanging="709"/>
      </w:pPr>
      <w:r w:rsidRPr="00536F4D">
        <w:t xml:space="preserve">While the majority of the incremental outcomes gained were accrued in the progression-free health state, some incremental outcomes were gained after disease progression (and so after treatment cessation of osimertinib). This </w:t>
      </w:r>
      <w:r w:rsidR="00F42013">
        <w:t>wa</w:t>
      </w:r>
      <w:r w:rsidR="00C30FC4" w:rsidRPr="00536F4D">
        <w:t xml:space="preserve">s </w:t>
      </w:r>
      <w:r w:rsidRPr="00536F4D">
        <w:t xml:space="preserve">not reasonable, particularly given that these outcomes were informed by a naïve indirect </w:t>
      </w:r>
      <w:r w:rsidR="000E0E2E">
        <w:t>comparison of single-</w:t>
      </w:r>
      <w:r w:rsidRPr="00536F4D">
        <w:t>arm studies.</w:t>
      </w:r>
    </w:p>
    <w:p w:rsidR="00FD5FA6" w:rsidRPr="00536F4D" w:rsidRDefault="00FD5FA6" w:rsidP="00891893">
      <w:pPr>
        <w:pStyle w:val="ListParagraph"/>
        <w:ind w:left="709" w:hanging="709"/>
      </w:pPr>
      <w:r w:rsidRPr="00536F4D">
        <w:t>As the incremental costs appear underestimated, and the incremental outcomes may have been overestimated, the ICER is likely to be an underestimate.</w:t>
      </w:r>
    </w:p>
    <w:p w:rsidR="00505957" w:rsidRDefault="00BA24A5" w:rsidP="00696474">
      <w:pPr>
        <w:pStyle w:val="ListParagraph"/>
        <w:ind w:left="709" w:hanging="709"/>
      </w:pPr>
      <w:r>
        <w:t>The time horizon used in the model was 10 years. As this was selected based on the extrapolated survival curves</w:t>
      </w:r>
      <w:r w:rsidR="005467DA">
        <w:t xml:space="preserve"> which were </w:t>
      </w:r>
      <w:r w:rsidR="00FC1ED4">
        <w:t xml:space="preserve">overly </w:t>
      </w:r>
      <w:r w:rsidR="005467DA">
        <w:t>optimistic,</w:t>
      </w:r>
      <w:r>
        <w:t xml:space="preserve"> the modelled benefit over 10 years </w:t>
      </w:r>
      <w:r w:rsidR="005467DA">
        <w:t>was not</w:t>
      </w:r>
      <w:r>
        <w:t xml:space="preserve"> reasonable. The PBAC has previously accepted a 5</w:t>
      </w:r>
      <w:r w:rsidR="00903CF2">
        <w:t>-</w:t>
      </w:r>
      <w:r>
        <w:t>year time horizon for first-line treatments of NSCLC (erlotinib and afatinib PSDs, July 2013</w:t>
      </w:r>
      <w:r w:rsidR="00505957">
        <w:t xml:space="preserve"> PBAC meeting</w:t>
      </w:r>
      <w:r>
        <w:t xml:space="preserve">). Given that </w:t>
      </w:r>
      <w:r w:rsidR="005467DA">
        <w:t xml:space="preserve">the proposed place in therapy for </w:t>
      </w:r>
      <w:r>
        <w:t xml:space="preserve">osimertinib is in the second-line setting, and </w:t>
      </w:r>
      <w:r w:rsidR="005467DA">
        <w:t>therefore</w:t>
      </w:r>
      <w:r>
        <w:t xml:space="preserve"> at a later stage in disease, the base case time horizon </w:t>
      </w:r>
      <w:r w:rsidR="005467DA">
        <w:t>was</w:t>
      </w:r>
      <w:r>
        <w:t xml:space="preserve"> unrealistically long.</w:t>
      </w:r>
    </w:p>
    <w:p w:rsidR="004F08E2" w:rsidRPr="000C32F5" w:rsidRDefault="005467DA" w:rsidP="004F08E2">
      <w:pPr>
        <w:pStyle w:val="MSACESBulletpoint"/>
        <w:jc w:val="both"/>
        <w:rPr>
          <w:rFonts w:asciiTheme="minorHAnsi" w:hAnsiTheme="minorHAnsi"/>
          <w:color w:val="000000" w:themeColor="text1"/>
        </w:rPr>
      </w:pPr>
      <w:r w:rsidRPr="000C32F5">
        <w:rPr>
          <w:rFonts w:asciiTheme="minorHAnsi" w:hAnsiTheme="minorHAnsi"/>
          <w:color w:val="000000" w:themeColor="text1"/>
        </w:rPr>
        <w:t>t</w:t>
      </w:r>
      <w:r w:rsidR="00505957" w:rsidRPr="000C32F5">
        <w:rPr>
          <w:rFonts w:asciiTheme="minorHAnsi" w:hAnsiTheme="minorHAnsi"/>
          <w:color w:val="000000" w:themeColor="text1"/>
        </w:rPr>
        <w:t>he ESC</w:t>
      </w:r>
      <w:r w:rsidR="00AB58D5" w:rsidRPr="000C32F5">
        <w:rPr>
          <w:rFonts w:asciiTheme="minorHAnsi" w:hAnsiTheme="minorHAnsi"/>
          <w:color w:val="000000" w:themeColor="text1"/>
        </w:rPr>
        <w:t>s</w:t>
      </w:r>
      <w:r w:rsidR="00505957" w:rsidRPr="000C32F5">
        <w:rPr>
          <w:rFonts w:asciiTheme="minorHAnsi" w:hAnsiTheme="minorHAnsi"/>
          <w:color w:val="000000" w:themeColor="text1"/>
        </w:rPr>
        <w:t xml:space="preserve"> noted the PSCR’s (p5) arguments stating that a 10 year time horizon was appropriate</w:t>
      </w:r>
      <w:r w:rsidR="004F08E2" w:rsidRPr="000C32F5">
        <w:rPr>
          <w:rFonts w:asciiTheme="minorHAnsi" w:hAnsiTheme="minorHAnsi"/>
          <w:color w:val="000000" w:themeColor="text1"/>
        </w:rPr>
        <w:t>;</w:t>
      </w:r>
    </w:p>
    <w:p w:rsidR="004F08E2" w:rsidRPr="000C32F5" w:rsidRDefault="005467DA" w:rsidP="004F08E2">
      <w:pPr>
        <w:pStyle w:val="MSACESBulletpoint"/>
        <w:jc w:val="both"/>
        <w:rPr>
          <w:rFonts w:asciiTheme="minorHAnsi" w:hAnsiTheme="minorHAnsi"/>
          <w:color w:val="000000" w:themeColor="text1"/>
        </w:rPr>
      </w:pPr>
      <w:r w:rsidRPr="000C32F5">
        <w:rPr>
          <w:rFonts w:asciiTheme="minorHAnsi" w:hAnsiTheme="minorHAnsi"/>
          <w:color w:val="000000" w:themeColor="text1"/>
        </w:rPr>
        <w:t>t</w:t>
      </w:r>
      <w:r w:rsidR="004F08E2" w:rsidRPr="000C32F5">
        <w:rPr>
          <w:rFonts w:asciiTheme="minorHAnsi" w:hAnsiTheme="minorHAnsi"/>
          <w:color w:val="000000" w:themeColor="text1"/>
        </w:rPr>
        <w:t>he ESC</w:t>
      </w:r>
      <w:r w:rsidR="00AB58D5" w:rsidRPr="000C32F5">
        <w:rPr>
          <w:rFonts w:asciiTheme="minorHAnsi" w:hAnsiTheme="minorHAnsi"/>
          <w:color w:val="000000" w:themeColor="text1"/>
        </w:rPr>
        <w:t>s</w:t>
      </w:r>
      <w:r w:rsidR="004F08E2" w:rsidRPr="000C32F5">
        <w:rPr>
          <w:rFonts w:asciiTheme="minorHAnsi" w:hAnsiTheme="minorHAnsi"/>
          <w:color w:val="000000" w:themeColor="text1"/>
        </w:rPr>
        <w:t xml:space="preserve"> noted that most patients in the chemotherapy arm of the model had died by 5 years, demonstrating consistency with current expectations of prognosis for this </w:t>
      </w:r>
      <w:r w:rsidR="00D204D7" w:rsidRPr="000C32F5">
        <w:rPr>
          <w:rFonts w:asciiTheme="minorHAnsi" w:hAnsiTheme="minorHAnsi"/>
          <w:color w:val="000000" w:themeColor="text1"/>
        </w:rPr>
        <w:t>population</w:t>
      </w:r>
      <w:r w:rsidR="004F08E2" w:rsidRPr="000C32F5">
        <w:rPr>
          <w:rFonts w:asciiTheme="minorHAnsi" w:hAnsiTheme="minorHAnsi"/>
          <w:color w:val="000000" w:themeColor="text1"/>
        </w:rPr>
        <w:t xml:space="preserve"> (as per PBAC’s deliberations </w:t>
      </w:r>
      <w:r w:rsidR="00696474" w:rsidRPr="000C32F5">
        <w:rPr>
          <w:rFonts w:asciiTheme="minorHAnsi" w:hAnsiTheme="minorHAnsi"/>
          <w:color w:val="000000" w:themeColor="text1"/>
        </w:rPr>
        <w:t>in relation to</w:t>
      </w:r>
      <w:r w:rsidR="004F08E2" w:rsidRPr="000C32F5">
        <w:rPr>
          <w:rFonts w:asciiTheme="minorHAnsi" w:hAnsiTheme="minorHAnsi"/>
          <w:color w:val="000000" w:themeColor="text1"/>
        </w:rPr>
        <w:t xml:space="preserve"> erlotinib and afatinib);</w:t>
      </w:r>
    </w:p>
    <w:p w:rsidR="004F08E2" w:rsidRPr="000C32F5" w:rsidRDefault="004F08E2" w:rsidP="004F08E2">
      <w:pPr>
        <w:pStyle w:val="MSACESBulletpoint"/>
        <w:jc w:val="both"/>
        <w:rPr>
          <w:rFonts w:asciiTheme="minorHAnsi" w:hAnsiTheme="minorHAnsi"/>
          <w:color w:val="000000" w:themeColor="text1"/>
        </w:rPr>
      </w:pPr>
      <w:r w:rsidRPr="000C32F5">
        <w:rPr>
          <w:rFonts w:asciiTheme="minorHAnsi" w:hAnsiTheme="minorHAnsi"/>
          <w:color w:val="000000" w:themeColor="text1"/>
        </w:rPr>
        <w:t>the ESC</w:t>
      </w:r>
      <w:r w:rsidR="00AB58D5" w:rsidRPr="000C32F5">
        <w:rPr>
          <w:rFonts w:asciiTheme="minorHAnsi" w:hAnsiTheme="minorHAnsi"/>
          <w:color w:val="000000" w:themeColor="text1"/>
        </w:rPr>
        <w:t>s</w:t>
      </w:r>
      <w:r w:rsidRPr="000C32F5">
        <w:rPr>
          <w:rFonts w:asciiTheme="minorHAnsi" w:hAnsiTheme="minorHAnsi"/>
          <w:color w:val="000000" w:themeColor="text1"/>
        </w:rPr>
        <w:t xml:space="preserve"> considered that</w:t>
      </w:r>
      <w:r w:rsidR="00696474" w:rsidRPr="000C32F5">
        <w:rPr>
          <w:rFonts w:asciiTheme="minorHAnsi" w:hAnsiTheme="minorHAnsi"/>
          <w:color w:val="000000" w:themeColor="text1"/>
        </w:rPr>
        <w:t>,</w:t>
      </w:r>
      <w:r w:rsidRPr="000C32F5">
        <w:rPr>
          <w:rFonts w:asciiTheme="minorHAnsi" w:hAnsiTheme="minorHAnsi"/>
          <w:color w:val="000000" w:themeColor="text1"/>
        </w:rPr>
        <w:t xml:space="preserve"> whilst it was reasonable to assume that the current expectations of prognosis in second</w:t>
      </w:r>
      <w:r w:rsidR="006F143D">
        <w:rPr>
          <w:rFonts w:asciiTheme="minorHAnsi" w:hAnsiTheme="minorHAnsi"/>
          <w:color w:val="000000" w:themeColor="text1"/>
        </w:rPr>
        <w:t>-</w:t>
      </w:r>
      <w:r w:rsidRPr="000C32F5">
        <w:rPr>
          <w:rFonts w:asciiTheme="minorHAnsi" w:hAnsiTheme="minorHAnsi"/>
          <w:color w:val="000000" w:themeColor="text1"/>
        </w:rPr>
        <w:t xml:space="preserve">line advanced NSCLC would support a time </w:t>
      </w:r>
      <w:r w:rsidRPr="000C32F5">
        <w:rPr>
          <w:rFonts w:asciiTheme="minorHAnsi" w:hAnsiTheme="minorHAnsi"/>
          <w:color w:val="000000" w:themeColor="text1"/>
        </w:rPr>
        <w:lastRenderedPageBreak/>
        <w:t>horizon of 5 years, it was possible that a breakthrough therapy could extend survival beyond this time;</w:t>
      </w:r>
      <w:r w:rsidR="007B2209" w:rsidRPr="000C32F5">
        <w:rPr>
          <w:rFonts w:asciiTheme="minorHAnsi" w:hAnsiTheme="minorHAnsi"/>
          <w:color w:val="000000" w:themeColor="text1"/>
        </w:rPr>
        <w:t xml:space="preserve"> </w:t>
      </w:r>
      <w:r w:rsidR="005467DA" w:rsidRPr="000C32F5">
        <w:rPr>
          <w:rFonts w:asciiTheme="minorHAnsi" w:hAnsiTheme="minorHAnsi"/>
          <w:color w:val="000000" w:themeColor="text1"/>
        </w:rPr>
        <w:t>and</w:t>
      </w:r>
    </w:p>
    <w:p w:rsidR="00505957" w:rsidRPr="00FC1ED4" w:rsidRDefault="005467DA" w:rsidP="004F08E2">
      <w:pPr>
        <w:pStyle w:val="MSACESBulletpoint"/>
        <w:jc w:val="both"/>
        <w:rPr>
          <w:rFonts w:asciiTheme="minorHAnsi" w:hAnsiTheme="minorHAnsi"/>
          <w:color w:val="000000" w:themeColor="text1"/>
        </w:rPr>
      </w:pPr>
      <w:r w:rsidRPr="000C32F5">
        <w:rPr>
          <w:rFonts w:asciiTheme="minorHAnsi" w:hAnsiTheme="minorHAnsi"/>
          <w:color w:val="000000" w:themeColor="text1"/>
        </w:rPr>
        <w:t>o</w:t>
      </w:r>
      <w:r w:rsidR="004F08E2" w:rsidRPr="000C32F5">
        <w:rPr>
          <w:rFonts w:asciiTheme="minorHAnsi" w:hAnsiTheme="minorHAnsi"/>
          <w:color w:val="000000" w:themeColor="text1"/>
        </w:rPr>
        <w:t>verall</w:t>
      </w:r>
      <w:r w:rsidR="00505957" w:rsidRPr="000C32F5">
        <w:rPr>
          <w:rFonts w:asciiTheme="minorHAnsi" w:hAnsiTheme="minorHAnsi"/>
          <w:color w:val="000000" w:themeColor="text1"/>
        </w:rPr>
        <w:t>, the ESC</w:t>
      </w:r>
      <w:r w:rsidR="00AB58D5" w:rsidRPr="000C32F5">
        <w:rPr>
          <w:rFonts w:asciiTheme="minorHAnsi" w:hAnsiTheme="minorHAnsi"/>
          <w:color w:val="000000" w:themeColor="text1"/>
        </w:rPr>
        <w:t>s</w:t>
      </w:r>
      <w:r w:rsidR="00505957" w:rsidRPr="000C32F5">
        <w:rPr>
          <w:rFonts w:asciiTheme="minorHAnsi" w:hAnsiTheme="minorHAnsi"/>
          <w:color w:val="000000" w:themeColor="text1"/>
        </w:rPr>
        <w:t xml:space="preserve"> advised that given the immaturity of the OS data from all of the AURA studies, it was currently not possible to confirm or refute the</w:t>
      </w:r>
      <w:r w:rsidR="004A770F" w:rsidRPr="000C32F5">
        <w:rPr>
          <w:rFonts w:asciiTheme="minorHAnsi" w:hAnsiTheme="minorHAnsi"/>
          <w:color w:val="000000" w:themeColor="text1"/>
        </w:rPr>
        <w:t xml:space="preserve"> submission’s</w:t>
      </w:r>
      <w:r w:rsidR="00505957" w:rsidRPr="000C32F5">
        <w:rPr>
          <w:rFonts w:asciiTheme="minorHAnsi" w:hAnsiTheme="minorHAnsi"/>
          <w:color w:val="000000" w:themeColor="text1"/>
        </w:rPr>
        <w:t xml:space="preserve"> choice of a 10 year time horizon.</w:t>
      </w:r>
    </w:p>
    <w:p w:rsidR="00FD5FA6" w:rsidRPr="00536F4D" w:rsidRDefault="00FD5FA6" w:rsidP="00891893">
      <w:pPr>
        <w:pStyle w:val="ListParagraph"/>
        <w:ind w:left="709" w:hanging="709"/>
      </w:pPr>
      <w:r w:rsidRPr="00536F4D">
        <w:t>A Markov trace of trial vs model results over the model time horizon is presented in</w:t>
      </w:r>
      <w:r w:rsidR="00B24640" w:rsidRPr="00536F4D">
        <w:t xml:space="preserve"> </w:t>
      </w:r>
      <w:r w:rsidR="00627421" w:rsidRPr="00536F4D">
        <w:t>Figure</w:t>
      </w:r>
      <w:r w:rsidR="00C61A70">
        <w:t xml:space="preserve"> </w:t>
      </w:r>
      <w:r w:rsidR="00627421" w:rsidRPr="00536F4D">
        <w:rPr>
          <w:noProof/>
        </w:rPr>
        <w:t>1</w:t>
      </w:r>
      <w:r w:rsidRPr="00536F4D">
        <w:t>.</w:t>
      </w:r>
    </w:p>
    <w:p w:rsidR="00B24640" w:rsidRPr="00536F4D" w:rsidRDefault="00B24640" w:rsidP="00B24640">
      <w:pPr>
        <w:pStyle w:val="Caption"/>
      </w:pPr>
      <w:bookmarkStart w:id="30" w:name="_Ref490220733"/>
      <w:r w:rsidRPr="00536F4D">
        <w:t xml:space="preserve">Figure </w:t>
      </w:r>
      <w:r w:rsidR="00627421" w:rsidRPr="00536F4D">
        <w:rPr>
          <w:noProof/>
        </w:rPr>
        <w:t>1</w:t>
      </w:r>
      <w:bookmarkEnd w:id="30"/>
      <w:r w:rsidRPr="00536F4D">
        <w:t>:</w:t>
      </w:r>
      <w:r w:rsidR="00C61A70">
        <w:t xml:space="preserve"> </w:t>
      </w:r>
      <w:r w:rsidRPr="00536F4D">
        <w:t>Markov trace of trial compared to modelled results over the model time horizon</w:t>
      </w:r>
    </w:p>
    <w:p w:rsidR="00FD5FA6" w:rsidRPr="00536F4D" w:rsidRDefault="000B2D46" w:rsidP="00FD5FA6">
      <w:pPr>
        <w:pStyle w:val="Header"/>
        <w:tabs>
          <w:tab w:val="clear" w:pos="4513"/>
          <w:tab w:val="clear" w:pos="9026"/>
        </w:tabs>
        <w:spacing w:before="120" w:after="160"/>
        <w:rPr>
          <w:noProof/>
          <w:lang w:eastAsia="en-AU"/>
        </w:rPr>
      </w:pPr>
      <w:r>
        <w:rPr>
          <w:noProof/>
          <w:lang w:eastAsia="en-AU"/>
        </w:rPr>
        <w:drawing>
          <wp:inline distT="0" distB="0" distL="0" distR="0" wp14:anchorId="72BE72B9" wp14:editId="0F441540">
            <wp:extent cx="5731510" cy="3731895"/>
            <wp:effectExtent l="0" t="0" r="2540" b="190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731895"/>
                    </a:xfrm>
                    <a:prstGeom prst="rect">
                      <a:avLst/>
                    </a:prstGeom>
                  </pic:spPr>
                </pic:pic>
              </a:graphicData>
            </a:graphic>
          </wp:inline>
        </w:drawing>
      </w:r>
    </w:p>
    <w:p w:rsidR="00FD5FA6" w:rsidRPr="00536F4D" w:rsidRDefault="00FD5FA6" w:rsidP="00FD5FA6">
      <w:pPr>
        <w:pStyle w:val="TableFooter"/>
      </w:pPr>
      <w:r w:rsidRPr="00536F4D">
        <w:t>Source: Figure 3-8, p184 of the submission.</w:t>
      </w:r>
    </w:p>
    <w:p w:rsidR="00FD5FA6" w:rsidRPr="00536F4D" w:rsidRDefault="006C23B8" w:rsidP="006C23B8">
      <w:pPr>
        <w:pStyle w:val="ListParagraph"/>
        <w:ind w:left="709" w:hanging="709"/>
      </w:pPr>
      <w:r w:rsidRPr="00536F4D">
        <w:t xml:space="preserve">An alternative scenario, conducted during the evaluation, exploring the cost-effectiveness of osimertinib without </w:t>
      </w:r>
      <w:r w:rsidR="00B901D2" w:rsidRPr="00B901D2">
        <w:rPr>
          <w:i/>
        </w:rPr>
        <w:t>T790M</w:t>
      </w:r>
      <w:r w:rsidRPr="00536F4D">
        <w:t xml:space="preserve"> testing is </w:t>
      </w:r>
      <w:r w:rsidR="00FD5FA6" w:rsidRPr="00536F4D">
        <w:t>presented in</w:t>
      </w:r>
      <w:r w:rsidR="00B24640" w:rsidRPr="00536F4D">
        <w:t xml:space="preserve"> </w:t>
      </w:r>
      <w:r w:rsidR="00627421" w:rsidRPr="00536F4D">
        <w:t xml:space="preserve">Table </w:t>
      </w:r>
      <w:r w:rsidR="00627421" w:rsidRPr="00536F4D">
        <w:rPr>
          <w:noProof/>
        </w:rPr>
        <w:t>13</w:t>
      </w:r>
      <w:r w:rsidR="00FD5FA6" w:rsidRPr="00536F4D">
        <w:t>.</w:t>
      </w:r>
    </w:p>
    <w:p w:rsidR="00B24640" w:rsidRPr="00536F4D" w:rsidRDefault="00B24640" w:rsidP="00B24640">
      <w:pPr>
        <w:pStyle w:val="Caption"/>
      </w:pPr>
      <w:bookmarkStart w:id="31" w:name="_Ref490220796"/>
      <w:r w:rsidRPr="00536F4D">
        <w:t>Table</w:t>
      </w:r>
      <w:r w:rsidR="00C61A70">
        <w:t xml:space="preserve"> 13</w:t>
      </w:r>
      <w:bookmarkEnd w:id="31"/>
      <w:r w:rsidRPr="00536F4D">
        <w:t>:</w:t>
      </w:r>
      <w:r w:rsidR="00C61A70">
        <w:t xml:space="preserve"> </w:t>
      </w:r>
      <w:r w:rsidRPr="00536F4D">
        <w:t xml:space="preserve">ICERs and considerations of various </w:t>
      </w:r>
      <w:r w:rsidR="00B901D2" w:rsidRPr="00B901D2">
        <w:rPr>
          <w:bCs/>
          <w:i/>
        </w:rPr>
        <w:t>T790M</w:t>
      </w:r>
      <w:r w:rsidRPr="00536F4D">
        <w:rPr>
          <w:bCs/>
        </w:rPr>
        <w:t xml:space="preserve"> testing and osimertinib</w:t>
      </w:r>
      <w:r w:rsidRPr="00536F4D">
        <w:t xml:space="preserve"> funding scenarios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479"/>
      </w:tblGrid>
      <w:tr w:rsidR="00FD5FA6" w:rsidRPr="00536F4D" w:rsidTr="00FB6087">
        <w:trPr>
          <w:cantSplit/>
          <w:trHeight w:val="20"/>
          <w:tblHeader/>
        </w:trPr>
        <w:tc>
          <w:tcPr>
            <w:tcW w:w="4200" w:type="pct"/>
          </w:tcPr>
          <w:p w:rsidR="00FD5FA6" w:rsidRPr="00536F4D" w:rsidRDefault="00FD5FA6" w:rsidP="00DA12F3">
            <w:pPr>
              <w:pStyle w:val="TableText"/>
              <w:rPr>
                <w:b/>
              </w:rPr>
            </w:pPr>
          </w:p>
        </w:tc>
        <w:tc>
          <w:tcPr>
            <w:tcW w:w="800" w:type="pct"/>
          </w:tcPr>
          <w:p w:rsidR="00FD5FA6" w:rsidRPr="00536F4D" w:rsidRDefault="00FD5FA6" w:rsidP="00FB6087">
            <w:pPr>
              <w:pStyle w:val="TableText"/>
              <w:jc w:val="center"/>
              <w:rPr>
                <w:b/>
              </w:rPr>
            </w:pPr>
            <w:r w:rsidRPr="00536F4D">
              <w:rPr>
                <w:b/>
              </w:rPr>
              <w:t>ICER</w:t>
            </w:r>
            <w:r w:rsidR="00FB6087">
              <w:rPr>
                <w:b/>
              </w:rPr>
              <w:t xml:space="preserve"> per QALY</w:t>
            </w:r>
          </w:p>
        </w:tc>
      </w:tr>
      <w:tr w:rsidR="00FD5FA6" w:rsidRPr="00536F4D" w:rsidTr="00FB6087">
        <w:trPr>
          <w:cantSplit/>
          <w:trHeight w:val="20"/>
          <w:tblHeader/>
        </w:trPr>
        <w:tc>
          <w:tcPr>
            <w:tcW w:w="4200" w:type="pct"/>
          </w:tcPr>
          <w:p w:rsidR="00FD5FA6" w:rsidRPr="00536F4D" w:rsidRDefault="00FD5FA6" w:rsidP="00DA12F3">
            <w:pPr>
              <w:pStyle w:val="TableText"/>
              <w:rPr>
                <w:b/>
              </w:rPr>
            </w:pPr>
            <w:r w:rsidRPr="00536F4D">
              <w:rPr>
                <w:b/>
              </w:rPr>
              <w:t>Base case</w:t>
            </w:r>
          </w:p>
          <w:p w:rsidR="00FD5FA6" w:rsidRPr="00536F4D" w:rsidRDefault="00FD5FA6" w:rsidP="00FB6087">
            <w:pPr>
              <w:pStyle w:val="TableText"/>
              <w:numPr>
                <w:ilvl w:val="0"/>
                <w:numId w:val="8"/>
              </w:numPr>
              <w:ind w:left="426"/>
            </w:pPr>
            <w:r w:rsidRPr="00536F4D">
              <w:t xml:space="preserve">MSAC funded test: testing on a new sample of tumour tissue from a patient who has progressed on or after treatment with an </w:t>
            </w:r>
            <w:r w:rsidR="00B901D2" w:rsidRPr="00651569">
              <w:t>EGFR</w:t>
            </w:r>
            <w:r w:rsidRPr="00536F4D">
              <w:t xml:space="preserve"> TK</w:t>
            </w:r>
            <w:r w:rsidR="006D4AA4" w:rsidRPr="00536F4D">
              <w:t>I</w:t>
            </w:r>
          </w:p>
          <w:p w:rsidR="00FD5FA6" w:rsidRPr="00536F4D" w:rsidRDefault="00FD5FA6" w:rsidP="00FB6087">
            <w:pPr>
              <w:pStyle w:val="TableText"/>
              <w:numPr>
                <w:ilvl w:val="0"/>
                <w:numId w:val="8"/>
              </w:numPr>
              <w:ind w:left="426"/>
            </w:pPr>
            <w:r w:rsidRPr="00536F4D">
              <w:t xml:space="preserve">PBS restriction: Patient must have evidence of a </w:t>
            </w:r>
            <w:r w:rsidR="00B901D2" w:rsidRPr="00B901D2">
              <w:rPr>
                <w:i/>
              </w:rPr>
              <w:t>T790M</w:t>
            </w:r>
            <w:r w:rsidRPr="00536F4D">
              <w:t xml:space="preserve"> mutation of the </w:t>
            </w:r>
            <w:r w:rsidR="00B901D2" w:rsidRPr="00B901D2">
              <w:rPr>
                <w:i/>
              </w:rPr>
              <w:t>EGFR</w:t>
            </w:r>
            <w:r w:rsidRPr="00536F4D">
              <w:t xml:space="preserve"> gene following progression on or after </w:t>
            </w:r>
            <w:r w:rsidR="00B901D2" w:rsidRPr="00651569">
              <w:t>EGFR</w:t>
            </w:r>
            <w:r w:rsidRPr="00651569">
              <w:t xml:space="preserve"> </w:t>
            </w:r>
            <w:r w:rsidRPr="00536F4D">
              <w:t>TKI</w:t>
            </w:r>
          </w:p>
        </w:tc>
        <w:tc>
          <w:tcPr>
            <w:tcW w:w="800" w:type="pct"/>
          </w:tcPr>
          <w:p w:rsidR="00FD5FA6" w:rsidRPr="00536F4D" w:rsidRDefault="00932EF5" w:rsidP="00FB6087">
            <w:pPr>
              <w:pStyle w:val="TableText"/>
              <w:jc w:val="center"/>
              <w:rPr>
                <w:b/>
              </w:rPr>
            </w:pPr>
            <w:r w:rsidRPr="00536F4D">
              <w:rPr>
                <w:b/>
              </w:rPr>
              <w:t>$</w:t>
            </w:r>
            <w:r w:rsidR="000B2D46">
              <w:rPr>
                <w:b/>
                <w:noProof/>
                <w:color w:val="000000"/>
                <w:highlight w:val="black"/>
              </w:rPr>
              <w:t>''''''''''''</w:t>
            </w:r>
          </w:p>
        </w:tc>
      </w:tr>
      <w:tr w:rsidR="00FD5FA6" w:rsidRPr="00536F4D" w:rsidTr="00FB6087">
        <w:trPr>
          <w:cantSplit/>
          <w:trHeight w:val="20"/>
        </w:trPr>
        <w:tc>
          <w:tcPr>
            <w:tcW w:w="4200" w:type="pct"/>
          </w:tcPr>
          <w:p w:rsidR="00FD5FA6" w:rsidRPr="00536F4D" w:rsidRDefault="00DE6897" w:rsidP="00DA12F3">
            <w:pPr>
              <w:pStyle w:val="TableText"/>
            </w:pPr>
            <w:r w:rsidRPr="00536F4D">
              <w:t>Scenario 1</w:t>
            </w:r>
            <w:r w:rsidRPr="00536F4D">
              <w:rPr>
                <w:vertAlign w:val="superscript"/>
              </w:rPr>
              <w:t xml:space="preserve"> a</w:t>
            </w:r>
          </w:p>
          <w:p w:rsidR="00FD5FA6" w:rsidRPr="00536F4D" w:rsidRDefault="00FD5FA6" w:rsidP="00FB6087">
            <w:pPr>
              <w:pStyle w:val="TableText"/>
              <w:numPr>
                <w:ilvl w:val="0"/>
                <w:numId w:val="9"/>
              </w:numPr>
              <w:ind w:left="426"/>
            </w:pPr>
            <w:r w:rsidRPr="00536F4D">
              <w:t xml:space="preserve">No MSAC funded test </w:t>
            </w:r>
          </w:p>
          <w:p w:rsidR="00FD5FA6" w:rsidRPr="00536F4D" w:rsidRDefault="00FD5FA6" w:rsidP="00FB6087">
            <w:pPr>
              <w:pStyle w:val="TableText"/>
              <w:numPr>
                <w:ilvl w:val="0"/>
                <w:numId w:val="9"/>
              </w:numPr>
              <w:ind w:left="426"/>
            </w:pPr>
            <w:r w:rsidRPr="00536F4D">
              <w:t xml:space="preserve">PBS restriction: All patients eligible for osimertinib after disease progression on or after </w:t>
            </w:r>
            <w:r w:rsidR="00B901D2" w:rsidRPr="00651569">
              <w:t>EGFR</w:t>
            </w:r>
            <w:r w:rsidR="00FB6087" w:rsidRPr="00651569">
              <w:t xml:space="preserve"> </w:t>
            </w:r>
            <w:r w:rsidR="00FB6087">
              <w:t>TKI</w:t>
            </w:r>
          </w:p>
        </w:tc>
        <w:tc>
          <w:tcPr>
            <w:tcW w:w="800" w:type="pct"/>
          </w:tcPr>
          <w:p w:rsidR="00FD5FA6" w:rsidRPr="00536F4D" w:rsidRDefault="00932EF5" w:rsidP="00FB6087">
            <w:pPr>
              <w:pStyle w:val="TableText"/>
              <w:jc w:val="center"/>
            </w:pPr>
            <w:r w:rsidRPr="00536F4D">
              <w:t>$</w:t>
            </w:r>
            <w:r w:rsidR="000B2D46">
              <w:rPr>
                <w:noProof/>
                <w:color w:val="000000"/>
                <w:highlight w:val="black"/>
              </w:rPr>
              <w:t>'''''''''''''''''</w:t>
            </w:r>
          </w:p>
        </w:tc>
      </w:tr>
    </w:tbl>
    <w:p w:rsidR="00FD5FA6" w:rsidRPr="00536F4D" w:rsidRDefault="00FD5FA6" w:rsidP="00FD5FA6">
      <w:pPr>
        <w:pStyle w:val="TableFooter"/>
      </w:pPr>
      <w:r w:rsidRPr="00536F4D">
        <w:rPr>
          <w:vertAlign w:val="superscript"/>
        </w:rPr>
        <w:t>a</w:t>
      </w:r>
      <w:r w:rsidRPr="00536F4D">
        <w:t xml:space="preserve"> This scenario maintains the submission’s assumption that time in the progression-free health state in </w:t>
      </w:r>
      <w:r w:rsidR="00B901D2" w:rsidRPr="00B901D2">
        <w:rPr>
          <w:i/>
        </w:rPr>
        <w:t>T790M</w:t>
      </w:r>
      <w:r w:rsidRPr="00536F4D">
        <w:rPr>
          <w:rFonts w:ascii="Calibri" w:hAnsi="Calibri"/>
        </w:rPr>
        <w:t>‒</w:t>
      </w:r>
      <w:r w:rsidRPr="00536F4D">
        <w:t xml:space="preserve"> is the same on osimertinib as for chemotherapy. This assumption is highly uncertain as there is inadequate data on osimertinib used in </w:t>
      </w:r>
      <w:r w:rsidR="00B901D2" w:rsidRPr="00B901D2">
        <w:rPr>
          <w:i/>
        </w:rPr>
        <w:t>T790M</w:t>
      </w:r>
      <w:r w:rsidRPr="00536F4D">
        <w:t xml:space="preserve">- patients. However, a different treatment course cost of osimertinib in </w:t>
      </w:r>
      <w:r w:rsidR="00B901D2" w:rsidRPr="00B901D2">
        <w:rPr>
          <w:i/>
        </w:rPr>
        <w:t>T790M</w:t>
      </w:r>
      <w:r w:rsidRPr="00536F4D">
        <w:rPr>
          <w:rFonts w:ascii="Arial" w:hAnsi="Arial"/>
        </w:rPr>
        <w:t>‒</w:t>
      </w:r>
      <w:r w:rsidRPr="00536F4D">
        <w:t xml:space="preserve"> </w:t>
      </w:r>
      <w:r w:rsidR="00814492" w:rsidRPr="00536F4D">
        <w:t xml:space="preserve">is modelled </w:t>
      </w:r>
      <w:r w:rsidRPr="00536F4D">
        <w:t xml:space="preserve">(based on the time in the </w:t>
      </w:r>
      <w:r w:rsidR="00464171" w:rsidRPr="00536F4D">
        <w:t>‘</w:t>
      </w:r>
      <w:r w:rsidRPr="00536F4D">
        <w:t>progression-free on osimertinib</w:t>
      </w:r>
      <w:r w:rsidR="00464171" w:rsidRPr="00536F4D">
        <w:t>’</w:t>
      </w:r>
      <w:r w:rsidRPr="00536F4D">
        <w:t xml:space="preserve"> health state, which is shorter than the duration in </w:t>
      </w:r>
      <w:r w:rsidR="00B901D2" w:rsidRPr="00B901D2">
        <w:rPr>
          <w:i/>
        </w:rPr>
        <w:t>T790M</w:t>
      </w:r>
      <w:r w:rsidRPr="00536F4D">
        <w:t xml:space="preserve">+ on osimertinib). Two corrections were additionally modelled: correcting the assumption </w:t>
      </w:r>
      <w:r w:rsidRPr="00536F4D">
        <w:lastRenderedPageBreak/>
        <w:t xml:space="preserve">of additional life years gained in progressive disease in </w:t>
      </w:r>
      <w:r w:rsidR="00B901D2" w:rsidRPr="00B901D2">
        <w:rPr>
          <w:i/>
        </w:rPr>
        <w:t>T790M</w:t>
      </w:r>
      <w:r w:rsidRPr="00536F4D">
        <w:rPr>
          <w:rFonts w:ascii="Arial" w:hAnsi="Arial"/>
        </w:rPr>
        <w:t>‒</w:t>
      </w:r>
      <w:r w:rsidRPr="00536F4D">
        <w:t xml:space="preserve"> who received osimertinib and correcting the utility in progressive disease on third-line chemotherapy.</w:t>
      </w:r>
    </w:p>
    <w:p w:rsidR="00FD5FA6" w:rsidRPr="00536F4D" w:rsidRDefault="00FD5FA6" w:rsidP="00FD5FA6">
      <w:pPr>
        <w:pStyle w:val="TableFooter"/>
      </w:pPr>
      <w:r w:rsidRPr="00536F4D">
        <w:t>Source: Constructed during the evaluation from ‘Model - osimertinib – NSCLC.trex’</w:t>
      </w:r>
      <w:r w:rsidR="00FC1ED4">
        <w:t>.</w:t>
      </w:r>
    </w:p>
    <w:p w:rsidR="00155333" w:rsidRDefault="00155333" w:rsidP="00155333">
      <w:pPr>
        <w:pStyle w:val="ListParagraph"/>
        <w:numPr>
          <w:ilvl w:val="0"/>
          <w:numId w:val="0"/>
        </w:numPr>
        <w:ind w:left="709"/>
      </w:pPr>
      <w:r w:rsidRPr="00155333">
        <w:t xml:space="preserve">The redacted table shows ICERs in the range of </w:t>
      </w:r>
      <w:r>
        <w:t>$75,000/QALY - $105,000/QALY</w:t>
      </w:r>
      <w:r w:rsidRPr="00155333">
        <w:t>.</w:t>
      </w:r>
    </w:p>
    <w:p w:rsidR="00FD5FA6" w:rsidRPr="00536F4D" w:rsidRDefault="00FD5FA6" w:rsidP="00891893">
      <w:pPr>
        <w:pStyle w:val="ListParagraph"/>
        <w:ind w:left="709" w:hanging="709"/>
      </w:pPr>
      <w:r w:rsidRPr="00536F4D">
        <w:t>Results of the key univariate sensitivity analyses presented by the submission and additional analyses conducted during the evaluation are summarised in</w:t>
      </w:r>
      <w:r w:rsidR="00B24640" w:rsidRPr="00536F4D">
        <w:t xml:space="preserve"> </w:t>
      </w:r>
      <w:r w:rsidR="00627421" w:rsidRPr="00536F4D">
        <w:t>Table</w:t>
      </w:r>
      <w:r w:rsidR="00C61A70">
        <w:t xml:space="preserve"> </w:t>
      </w:r>
      <w:r w:rsidR="00627421" w:rsidRPr="00536F4D">
        <w:rPr>
          <w:noProof/>
        </w:rPr>
        <w:t>14</w:t>
      </w:r>
      <w:r w:rsidR="003C477A" w:rsidRPr="00536F4D">
        <w:t>.</w:t>
      </w:r>
    </w:p>
    <w:p w:rsidR="00FD5FA6" w:rsidRPr="00536F4D" w:rsidRDefault="00FD5FA6" w:rsidP="00891893">
      <w:pPr>
        <w:pStyle w:val="ListParagraph"/>
        <w:ind w:left="709" w:hanging="709"/>
      </w:pPr>
      <w:r w:rsidRPr="00536F4D">
        <w:t xml:space="preserve">The submission did not present multivariate analyses. Three multivariate analyses were conducted during the evaluation; varying assumptions regarding the osimertinib transition probability from progression to dead, time horizon and applying the cost of osimertinib per cycle (see </w:t>
      </w:r>
      <w:r w:rsidR="00627421" w:rsidRPr="00536F4D">
        <w:t xml:space="preserve">Table </w:t>
      </w:r>
      <w:r w:rsidR="00627421" w:rsidRPr="00536F4D">
        <w:rPr>
          <w:noProof/>
        </w:rPr>
        <w:t>14</w:t>
      </w:r>
      <w:r w:rsidRPr="00536F4D">
        <w:t>).</w:t>
      </w:r>
    </w:p>
    <w:p w:rsidR="00B24640" w:rsidRPr="00536F4D" w:rsidRDefault="00B24640" w:rsidP="00B24640">
      <w:pPr>
        <w:pStyle w:val="Caption"/>
      </w:pPr>
      <w:bookmarkStart w:id="32" w:name="_Ref490220837"/>
      <w:r w:rsidRPr="00536F4D">
        <w:t>Table</w:t>
      </w:r>
      <w:r w:rsidR="00C61A70">
        <w:t xml:space="preserve"> </w:t>
      </w:r>
      <w:r w:rsidR="00AB747A" w:rsidRPr="00536F4D">
        <w:rPr>
          <w:noProof/>
        </w:rPr>
        <w:t>14</w:t>
      </w:r>
      <w:bookmarkEnd w:id="32"/>
      <w:r w:rsidRPr="00536F4D">
        <w:t>:</w:t>
      </w:r>
      <w:r w:rsidR="00C61A70">
        <w:t xml:space="preserve"> </w:t>
      </w:r>
      <w:r w:rsidRPr="00536F4D">
        <w:t>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15"/>
        <w:gridCol w:w="4695"/>
        <w:gridCol w:w="1172"/>
        <w:gridCol w:w="1172"/>
        <w:gridCol w:w="985"/>
        <w:gridCol w:w="817"/>
      </w:tblGrid>
      <w:tr w:rsidR="00FD5FA6" w:rsidRPr="00536F4D" w:rsidTr="00DA12F3">
        <w:trPr>
          <w:cantSplit/>
          <w:tblHeader/>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jc w:val="center"/>
              <w:rPr>
                <w:b/>
              </w:rPr>
            </w:pPr>
          </w:p>
        </w:tc>
        <w:tc>
          <w:tcPr>
            <w:tcW w:w="2540"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jc w:val="center"/>
              <w:rPr>
                <w:b/>
              </w:rPr>
            </w:pPr>
          </w:p>
        </w:tc>
        <w:tc>
          <w:tcPr>
            <w:tcW w:w="638" w:type="pct"/>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jc w:val="center"/>
              <w:rPr>
                <w:b/>
              </w:rPr>
            </w:pPr>
            <w:r w:rsidRPr="00536F4D">
              <w:rPr>
                <w:b/>
              </w:rPr>
              <w:t>Incremental costs</w:t>
            </w:r>
          </w:p>
        </w:tc>
        <w:tc>
          <w:tcPr>
            <w:tcW w:w="638" w:type="pct"/>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jc w:val="center"/>
              <w:rPr>
                <w:b/>
              </w:rPr>
            </w:pPr>
            <w:r w:rsidRPr="00536F4D">
              <w:rPr>
                <w:b/>
              </w:rPr>
              <w:t>Incremental QALYs</w:t>
            </w:r>
          </w:p>
        </w:tc>
        <w:tc>
          <w:tcPr>
            <w:tcW w:w="507" w:type="pct"/>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jc w:val="center"/>
              <w:rPr>
                <w:b/>
              </w:rPr>
            </w:pPr>
            <w:r w:rsidRPr="00536F4D">
              <w:rPr>
                <w:b/>
              </w:rPr>
              <w:t>ICER</w:t>
            </w:r>
            <w:r w:rsidR="00B84B12" w:rsidRPr="00536F4D">
              <w:rPr>
                <w:b/>
              </w:rPr>
              <w:t>/ QALY</w:t>
            </w:r>
          </w:p>
        </w:tc>
        <w:tc>
          <w:tcPr>
            <w:tcW w:w="446" w:type="pct"/>
            <w:tcBorders>
              <w:top w:val="single" w:sz="4" w:space="0" w:color="auto"/>
              <w:left w:val="single" w:sz="4" w:space="0" w:color="auto"/>
              <w:bottom w:val="single" w:sz="4" w:space="0" w:color="auto"/>
              <w:right w:val="single" w:sz="4" w:space="0" w:color="auto"/>
            </w:tcBorders>
            <w:vAlign w:val="center"/>
          </w:tcPr>
          <w:p w:rsidR="00FD5FA6" w:rsidRPr="00536F4D" w:rsidRDefault="00FD5FA6" w:rsidP="00DA12F3">
            <w:pPr>
              <w:pStyle w:val="TableText"/>
              <w:jc w:val="center"/>
              <w:rPr>
                <w:b/>
              </w:rPr>
            </w:pPr>
            <w:r w:rsidRPr="00536F4D">
              <w:rPr>
                <w:b/>
              </w:rPr>
              <w:t>% change</w:t>
            </w:r>
          </w:p>
        </w:tc>
      </w:tr>
      <w:tr w:rsidR="00FD5FA6" w:rsidRPr="00536F4D" w:rsidTr="00DA12F3">
        <w:trPr>
          <w:cantSplit/>
          <w:tblHeader/>
        </w:trPr>
        <w:tc>
          <w:tcPr>
            <w:tcW w:w="229" w:type="pct"/>
            <w:tcBorders>
              <w:top w:val="single" w:sz="4" w:space="0" w:color="auto"/>
              <w:left w:val="single" w:sz="4" w:space="0" w:color="auto"/>
              <w:bottom w:val="single" w:sz="4" w:space="0" w:color="auto"/>
              <w:right w:val="nil"/>
            </w:tcBorders>
          </w:tcPr>
          <w:p w:rsidR="00FD5FA6" w:rsidRPr="00536F4D" w:rsidRDefault="00FD5FA6" w:rsidP="00DA12F3">
            <w:pPr>
              <w:pStyle w:val="TableText"/>
              <w:rPr>
                <w:b/>
              </w:rPr>
            </w:pPr>
          </w:p>
        </w:tc>
        <w:tc>
          <w:tcPr>
            <w:tcW w:w="2540" w:type="pct"/>
            <w:tcBorders>
              <w:top w:val="single" w:sz="4" w:space="0" w:color="auto"/>
              <w:left w:val="nil"/>
              <w:bottom w:val="single" w:sz="4" w:space="0" w:color="auto"/>
              <w:right w:val="single" w:sz="4" w:space="0" w:color="auto"/>
            </w:tcBorders>
            <w:vAlign w:val="bottom"/>
          </w:tcPr>
          <w:p w:rsidR="00FD5FA6" w:rsidRPr="00536F4D" w:rsidRDefault="00FD5FA6" w:rsidP="00DA12F3">
            <w:pPr>
              <w:pStyle w:val="TableText"/>
              <w:rPr>
                <w:b/>
              </w:rPr>
            </w:pPr>
            <w:r w:rsidRPr="00536F4D">
              <w:rPr>
                <w:b/>
              </w:rPr>
              <w:t>Base case</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b/>
                <w:highlight w:val="black"/>
              </w:rPr>
            </w:pPr>
            <w:r>
              <w:rPr>
                <w:b/>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b/>
                <w:highlight w:val="black"/>
              </w:rPr>
            </w:pPr>
            <w:r>
              <w:rPr>
                <w:b/>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b/>
                <w:highlight w:val="black"/>
              </w:rPr>
            </w:pPr>
            <w:r>
              <w:rPr>
                <w:b/>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536F4D" w:rsidRDefault="00FD5FA6" w:rsidP="00DA12F3">
            <w:pPr>
              <w:pStyle w:val="TableText"/>
              <w:jc w:val="center"/>
              <w:rPr>
                <w:b/>
              </w:rPr>
            </w:pPr>
            <w:r w:rsidRPr="00536F4D">
              <w:rPr>
                <w:b/>
              </w:rPr>
              <w:t>-</w:t>
            </w:r>
          </w:p>
        </w:tc>
      </w:tr>
      <w:tr w:rsidR="00FD5FA6" w:rsidRPr="00536F4D" w:rsidTr="00DA12F3">
        <w:trPr>
          <w:cantSplit/>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pPr>
            <w:r w:rsidRPr="00536F4D">
              <w:t>1</w:t>
            </w:r>
          </w:p>
        </w:tc>
        <w:tc>
          <w:tcPr>
            <w:tcW w:w="2540" w:type="pct"/>
            <w:tcBorders>
              <w:top w:val="single" w:sz="4" w:space="0" w:color="auto"/>
              <w:left w:val="single" w:sz="4" w:space="0" w:color="auto"/>
              <w:bottom w:val="single" w:sz="4" w:space="0" w:color="auto"/>
              <w:right w:val="single" w:sz="4" w:space="0" w:color="auto"/>
            </w:tcBorders>
            <w:vAlign w:val="bottom"/>
          </w:tcPr>
          <w:p w:rsidR="00FD5FA6" w:rsidRPr="00536F4D" w:rsidRDefault="00FD5FA6" w:rsidP="00DF3E8E">
            <w:pPr>
              <w:pStyle w:val="TableText"/>
              <w:rPr>
                <w:highlight w:val="yellow"/>
              </w:rPr>
            </w:pPr>
            <w:r w:rsidRPr="00536F4D">
              <w:t xml:space="preserve">Osimertinib </w:t>
            </w:r>
            <w:r w:rsidR="00DF3E8E" w:rsidRPr="00536F4D">
              <w:t>PD→D</w:t>
            </w:r>
            <w:r w:rsidRPr="00536F4D">
              <w:t xml:space="preserve"> transition probability, using overall average transition probability (</w:t>
            </w:r>
            <w:r w:rsidR="000B2D46">
              <w:rPr>
                <w:noProof/>
                <w:color w:val="000000"/>
                <w:highlight w:val="black"/>
              </w:rPr>
              <w:t>'''''''''''''''''</w:t>
            </w:r>
            <w:r w:rsidRPr="00536F4D">
              <w:t xml:space="preserve">) from cycle 0 onwards </w:t>
            </w:r>
            <w:r w:rsidRPr="00536F4D">
              <w:rPr>
                <w:vertAlign w:val="superscript"/>
              </w:rPr>
              <w:t>a</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pPr>
            <w:r w:rsidRPr="00536F4D">
              <w:t>2</w:t>
            </w:r>
          </w:p>
        </w:tc>
        <w:tc>
          <w:tcPr>
            <w:tcW w:w="2540" w:type="pct"/>
            <w:tcBorders>
              <w:top w:val="single" w:sz="4" w:space="0" w:color="auto"/>
              <w:left w:val="single" w:sz="4" w:space="0" w:color="auto"/>
              <w:bottom w:val="single" w:sz="4" w:space="0" w:color="auto"/>
              <w:right w:val="single" w:sz="4" w:space="0" w:color="auto"/>
            </w:tcBorders>
            <w:vAlign w:val="bottom"/>
          </w:tcPr>
          <w:p w:rsidR="00FD5FA6" w:rsidRPr="00536F4D" w:rsidRDefault="00FD5FA6" w:rsidP="00DA12F3">
            <w:pPr>
              <w:pStyle w:val="TableText"/>
            </w:pPr>
            <w:r w:rsidRPr="00536F4D">
              <w:t xml:space="preserve">Cost of osimertinib applied in each cycle while in </w:t>
            </w:r>
            <w:r w:rsidR="000E0E2E">
              <w:t>‘</w:t>
            </w:r>
            <w:r w:rsidRPr="00536F4D">
              <w:t>progression-free on osimertinib</w:t>
            </w:r>
            <w:r w:rsidR="000E0E2E">
              <w:t>’</w:t>
            </w:r>
            <w:r w:rsidRPr="00536F4D">
              <w:t xml:space="preserve"> health state</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pPr>
            <w:r w:rsidRPr="00536F4D">
              <w:t>3</w:t>
            </w:r>
          </w:p>
        </w:tc>
        <w:tc>
          <w:tcPr>
            <w:tcW w:w="2540" w:type="pct"/>
            <w:tcBorders>
              <w:top w:val="single" w:sz="4" w:space="0" w:color="auto"/>
              <w:left w:val="single" w:sz="4" w:space="0" w:color="auto"/>
              <w:bottom w:val="single" w:sz="4" w:space="0" w:color="auto"/>
              <w:right w:val="single" w:sz="4" w:space="0" w:color="auto"/>
            </w:tcBorders>
            <w:vAlign w:val="bottom"/>
          </w:tcPr>
          <w:p w:rsidR="00FD5FA6" w:rsidRPr="00536F4D" w:rsidRDefault="00FD5FA6" w:rsidP="00DF3E8E">
            <w:pPr>
              <w:pStyle w:val="TableText"/>
            </w:pPr>
            <w:r w:rsidRPr="00536F4D">
              <w:t xml:space="preserve">Osimertinib </w:t>
            </w:r>
            <w:r w:rsidR="00DF3E8E" w:rsidRPr="00536F4D">
              <w:t>PD→D</w:t>
            </w:r>
            <w:r w:rsidRPr="00536F4D">
              <w:t xml:space="preserve"> transition probability, using same ongoing transition probability as for chemotherapy transition (</w:t>
            </w:r>
            <w:r w:rsidR="00B901D2" w:rsidRPr="00B901D2">
              <w:rPr>
                <w:i/>
              </w:rPr>
              <w:t>T790M</w:t>
            </w:r>
            <w:r w:rsidRPr="00536F4D">
              <w:t>+) (</w:t>
            </w:r>
            <w:r w:rsidR="000B2D46">
              <w:rPr>
                <w:noProof/>
                <w:color w:val="000000"/>
                <w:highlight w:val="black"/>
              </w:rPr>
              <w:t>''''''''''''</w:t>
            </w:r>
            <w:r w:rsidRPr="00536F4D">
              <w:t xml:space="preserve">) from cycle 7 onwards </w:t>
            </w:r>
            <w:r w:rsidRPr="00536F4D">
              <w:rPr>
                <w:vertAlign w:val="superscript"/>
              </w:rPr>
              <w:t>b</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pPr>
            <w:r w:rsidRPr="00536F4D">
              <w:t>4</w:t>
            </w:r>
          </w:p>
        </w:tc>
        <w:tc>
          <w:tcPr>
            <w:tcW w:w="2540" w:type="pct"/>
            <w:tcBorders>
              <w:top w:val="single" w:sz="4" w:space="0" w:color="auto"/>
              <w:left w:val="single" w:sz="4" w:space="0" w:color="auto"/>
              <w:bottom w:val="single" w:sz="4" w:space="0" w:color="auto"/>
              <w:right w:val="single" w:sz="4" w:space="0" w:color="auto"/>
            </w:tcBorders>
            <w:vAlign w:val="bottom"/>
          </w:tcPr>
          <w:p w:rsidR="00FD5FA6" w:rsidRPr="00536F4D" w:rsidRDefault="00FD5FA6" w:rsidP="00DF3E8E">
            <w:pPr>
              <w:pStyle w:val="TableText"/>
            </w:pPr>
            <w:r w:rsidRPr="00536F4D">
              <w:t xml:space="preserve">Osimertinib </w:t>
            </w:r>
            <w:r w:rsidR="00DF3E8E" w:rsidRPr="00536F4D">
              <w:t>PF→PD</w:t>
            </w:r>
            <w:r w:rsidRPr="00536F4D">
              <w:t xml:space="preserve"> transition probability, using transition probability from cycle 8 (</w:t>
            </w:r>
            <w:r w:rsidR="000B2D46">
              <w:rPr>
                <w:noProof/>
                <w:color w:val="000000"/>
                <w:highlight w:val="black"/>
              </w:rPr>
              <w:t>'''''''''''''''</w:t>
            </w:r>
            <w:r w:rsidRPr="00536F4D">
              <w:t xml:space="preserve">) onwards </w:t>
            </w:r>
            <w:r w:rsidRPr="00536F4D">
              <w:rPr>
                <w:vertAlign w:val="superscript"/>
              </w:rPr>
              <w:t>c</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pPr>
            <w:r w:rsidRPr="00536F4D">
              <w:t>5</w:t>
            </w:r>
          </w:p>
        </w:tc>
        <w:tc>
          <w:tcPr>
            <w:tcW w:w="2540" w:type="pct"/>
            <w:tcBorders>
              <w:top w:val="single" w:sz="4" w:space="0" w:color="auto"/>
              <w:left w:val="single" w:sz="4" w:space="0" w:color="auto"/>
              <w:bottom w:val="single" w:sz="4" w:space="0" w:color="auto"/>
              <w:right w:val="single" w:sz="4" w:space="0" w:color="auto"/>
            </w:tcBorders>
            <w:vAlign w:val="bottom"/>
          </w:tcPr>
          <w:p w:rsidR="00FD5FA6" w:rsidRPr="00536F4D" w:rsidRDefault="00FD5FA6" w:rsidP="00DA12F3">
            <w:pPr>
              <w:pStyle w:val="TableText"/>
            </w:pPr>
            <w:r w:rsidRPr="00536F4D">
              <w:t>Time horizon, 5 years (truncated)</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pPr>
            <w:r w:rsidRPr="00536F4D">
              <w:t>6</w:t>
            </w:r>
          </w:p>
        </w:tc>
        <w:tc>
          <w:tcPr>
            <w:tcW w:w="2540" w:type="pct"/>
            <w:tcBorders>
              <w:top w:val="single" w:sz="4" w:space="0" w:color="auto"/>
              <w:left w:val="single" w:sz="4" w:space="0" w:color="auto"/>
              <w:bottom w:val="single" w:sz="4" w:space="0" w:color="auto"/>
              <w:right w:val="single" w:sz="4" w:space="0" w:color="auto"/>
            </w:tcBorders>
            <w:vAlign w:val="bottom"/>
          </w:tcPr>
          <w:p w:rsidR="00FD5FA6" w:rsidRPr="00536F4D" w:rsidRDefault="00FD5FA6" w:rsidP="003F635C">
            <w:pPr>
              <w:pStyle w:val="TableText"/>
              <w:rPr>
                <w:b/>
              </w:rPr>
            </w:pPr>
            <w:r w:rsidRPr="00536F4D">
              <w:t xml:space="preserve">Osimertinib </w:t>
            </w:r>
            <w:r w:rsidR="00DF3E8E" w:rsidRPr="00536F4D">
              <w:t>PD→D</w:t>
            </w:r>
            <w:r w:rsidRPr="00536F4D">
              <w:t xml:space="preserve"> transition probability, using average ongoing transition probability of </w:t>
            </w:r>
            <w:r w:rsidR="007108A1" w:rsidRPr="00536F4D">
              <w:t>osimertinib</w:t>
            </w:r>
            <w:r w:rsidRPr="00536F4D">
              <w:t xml:space="preserve"> and chemotherapy transitions (</w:t>
            </w:r>
            <w:r w:rsidR="00B901D2" w:rsidRPr="00B901D2">
              <w:rPr>
                <w:i/>
              </w:rPr>
              <w:t>T790M</w:t>
            </w:r>
            <w:r w:rsidRPr="00536F4D">
              <w:t>+) (</w:t>
            </w:r>
            <w:r w:rsidR="000B2D46">
              <w:rPr>
                <w:noProof/>
                <w:color w:val="000000"/>
                <w:highlight w:val="black"/>
              </w:rPr>
              <w:t>''''''''''''''''</w:t>
            </w:r>
            <w:r w:rsidRPr="00536F4D">
              <w:t xml:space="preserve">) from cycle 7 onwards </w:t>
            </w:r>
            <w:r w:rsidRPr="00536F4D">
              <w:rPr>
                <w:vertAlign w:val="superscript"/>
              </w:rPr>
              <w:t>b</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pPr>
            <w:r w:rsidRPr="00536F4D">
              <w:t>7</w:t>
            </w:r>
          </w:p>
        </w:tc>
        <w:tc>
          <w:tcPr>
            <w:tcW w:w="2540" w:type="pct"/>
            <w:tcBorders>
              <w:top w:val="single" w:sz="4" w:space="0" w:color="auto"/>
              <w:left w:val="single" w:sz="4" w:space="0" w:color="auto"/>
              <w:bottom w:val="single" w:sz="4" w:space="0" w:color="auto"/>
              <w:right w:val="single" w:sz="4" w:space="0" w:color="auto"/>
            </w:tcBorders>
            <w:vAlign w:val="bottom"/>
          </w:tcPr>
          <w:p w:rsidR="00FD5FA6" w:rsidRPr="00536F4D" w:rsidRDefault="00FD5FA6" w:rsidP="00DA12F3">
            <w:pPr>
              <w:pStyle w:val="TableText"/>
            </w:pPr>
            <w:r w:rsidRPr="00536F4D">
              <w:t xml:space="preserve">Third-line nivolumab use after disease progression on </w:t>
            </w:r>
            <w:r w:rsidR="001733F2">
              <w:t xml:space="preserve">second-line </w:t>
            </w:r>
            <w:r w:rsidRPr="00536F4D">
              <w:t xml:space="preserve">chemotherapy </w:t>
            </w:r>
            <w:r w:rsidR="00D257C7">
              <w:t xml:space="preserve">in chemotherapy arm </w:t>
            </w:r>
            <w:r w:rsidRPr="00536F4D">
              <w:t>(18%)</w:t>
            </w:r>
            <w:r w:rsidR="00DC5314">
              <w:t xml:space="preserve"> </w:t>
            </w:r>
            <w:r w:rsidRPr="00536F4D">
              <w:rPr>
                <w:vertAlign w:val="superscript"/>
              </w:rPr>
              <w:t>d</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pPr>
            <w:r w:rsidRPr="00536F4D">
              <w:t>8</w:t>
            </w:r>
          </w:p>
        </w:tc>
        <w:tc>
          <w:tcPr>
            <w:tcW w:w="2540" w:type="pct"/>
            <w:tcBorders>
              <w:top w:val="single" w:sz="4" w:space="0" w:color="auto"/>
              <w:left w:val="single" w:sz="4" w:space="0" w:color="auto"/>
              <w:bottom w:val="single" w:sz="4" w:space="0" w:color="auto"/>
              <w:right w:val="single" w:sz="4" w:space="0" w:color="auto"/>
            </w:tcBorders>
            <w:vAlign w:val="bottom"/>
          </w:tcPr>
          <w:p w:rsidR="00FD5FA6" w:rsidRPr="00536F4D" w:rsidRDefault="00FD5FA6" w:rsidP="00DA12F3">
            <w:pPr>
              <w:pStyle w:val="TableText"/>
            </w:pPr>
            <w:r w:rsidRPr="00536F4D">
              <w:t>Discount rate is 0%</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single" w:sz="4" w:space="0" w:color="auto"/>
              <w:left w:val="single" w:sz="4" w:space="0" w:color="auto"/>
              <w:bottom w:val="single" w:sz="4" w:space="0" w:color="auto"/>
              <w:right w:val="single" w:sz="4" w:space="0" w:color="auto"/>
            </w:tcBorders>
          </w:tcPr>
          <w:p w:rsidR="00FD5FA6" w:rsidRPr="00536F4D" w:rsidRDefault="00FD5FA6" w:rsidP="00DA12F3">
            <w:pPr>
              <w:pStyle w:val="TableText"/>
            </w:pPr>
            <w:r w:rsidRPr="00536F4D">
              <w:t>9</w:t>
            </w:r>
          </w:p>
        </w:tc>
        <w:tc>
          <w:tcPr>
            <w:tcW w:w="2540" w:type="pct"/>
            <w:tcBorders>
              <w:top w:val="single" w:sz="4" w:space="0" w:color="auto"/>
              <w:left w:val="single" w:sz="4" w:space="0" w:color="auto"/>
              <w:bottom w:val="single" w:sz="4" w:space="0" w:color="auto"/>
              <w:right w:val="single" w:sz="4" w:space="0" w:color="auto"/>
            </w:tcBorders>
            <w:vAlign w:val="bottom"/>
          </w:tcPr>
          <w:p w:rsidR="00FD5FA6" w:rsidRPr="00536F4D" w:rsidRDefault="00DF3E8E" w:rsidP="00DA12F3">
            <w:pPr>
              <w:pStyle w:val="TableText"/>
            </w:pPr>
            <w:r w:rsidRPr="00536F4D">
              <w:t>Osimertinib PF→PD</w:t>
            </w:r>
            <w:r w:rsidR="00FD5FA6" w:rsidRPr="00536F4D">
              <w:t xml:space="preserve"> transition probability, using overall average transition probability (</w:t>
            </w:r>
            <w:r w:rsidR="000B2D46">
              <w:rPr>
                <w:noProof/>
                <w:color w:val="000000"/>
                <w:highlight w:val="black"/>
              </w:rPr>
              <w:t>'''''''''''''''''</w:t>
            </w:r>
            <w:r w:rsidR="00FD5FA6" w:rsidRPr="00536F4D">
              <w:t xml:space="preserve">) from cycle 9 onwards </w:t>
            </w:r>
            <w:r w:rsidR="00FD5FA6" w:rsidRPr="00536F4D">
              <w:rPr>
                <w:vertAlign w:val="superscript"/>
              </w:rPr>
              <w:t>c</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single" w:sz="4" w:space="0" w:color="auto"/>
              <w:left w:val="single" w:sz="4" w:space="0" w:color="auto"/>
              <w:bottom w:val="double" w:sz="4" w:space="0" w:color="auto"/>
              <w:right w:val="single" w:sz="4" w:space="0" w:color="auto"/>
            </w:tcBorders>
          </w:tcPr>
          <w:p w:rsidR="00FD5FA6" w:rsidRPr="00536F4D" w:rsidRDefault="00FD5FA6" w:rsidP="00DA12F3">
            <w:pPr>
              <w:pStyle w:val="TableText"/>
            </w:pPr>
            <w:r w:rsidRPr="00536F4D">
              <w:t>10</w:t>
            </w:r>
          </w:p>
        </w:tc>
        <w:tc>
          <w:tcPr>
            <w:tcW w:w="2540" w:type="pct"/>
            <w:tcBorders>
              <w:top w:val="single" w:sz="4" w:space="0" w:color="auto"/>
              <w:left w:val="single" w:sz="4" w:space="0" w:color="auto"/>
              <w:bottom w:val="double" w:sz="4" w:space="0" w:color="auto"/>
              <w:right w:val="single" w:sz="4" w:space="0" w:color="auto"/>
            </w:tcBorders>
            <w:vAlign w:val="bottom"/>
          </w:tcPr>
          <w:p w:rsidR="00FD5FA6" w:rsidRPr="00536F4D" w:rsidRDefault="00FD5FA6" w:rsidP="00DA12F3">
            <w:pPr>
              <w:pStyle w:val="TableText"/>
            </w:pPr>
            <w:r w:rsidRPr="00536F4D">
              <w:t>Cost of pemetrexed as per prior to 1 April 2017 price cut</w:t>
            </w:r>
          </w:p>
        </w:tc>
        <w:tc>
          <w:tcPr>
            <w:tcW w:w="638" w:type="pct"/>
            <w:tcBorders>
              <w:top w:val="single" w:sz="4" w:space="0" w:color="auto"/>
              <w:left w:val="single" w:sz="4" w:space="0" w:color="auto"/>
              <w:bottom w:val="doub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doub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doub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double" w:sz="4" w:space="0" w:color="auto"/>
              <w:right w:val="single" w:sz="4" w:space="0" w:color="auto"/>
            </w:tcBorders>
            <w:vAlign w:val="bottom"/>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Pr>
        <w:tc>
          <w:tcPr>
            <w:tcW w:w="229" w:type="pct"/>
            <w:tcBorders>
              <w:top w:val="double" w:sz="4" w:space="0" w:color="auto"/>
              <w:left w:val="single" w:sz="4" w:space="0" w:color="auto"/>
              <w:bottom w:val="single" w:sz="4" w:space="0" w:color="auto"/>
              <w:right w:val="nil"/>
            </w:tcBorders>
          </w:tcPr>
          <w:p w:rsidR="00FD5FA6" w:rsidRPr="00536F4D" w:rsidRDefault="00FD5FA6" w:rsidP="00DA12F3">
            <w:pPr>
              <w:pStyle w:val="TableText"/>
              <w:rPr>
                <w:b/>
              </w:rPr>
            </w:pPr>
          </w:p>
        </w:tc>
        <w:tc>
          <w:tcPr>
            <w:tcW w:w="2540" w:type="pct"/>
            <w:tcBorders>
              <w:top w:val="double" w:sz="4" w:space="0" w:color="auto"/>
              <w:left w:val="nil"/>
              <w:bottom w:val="single" w:sz="4" w:space="0" w:color="auto"/>
              <w:right w:val="nil"/>
            </w:tcBorders>
            <w:vAlign w:val="bottom"/>
          </w:tcPr>
          <w:p w:rsidR="00FD5FA6" w:rsidRPr="00536F4D" w:rsidRDefault="00FD5FA6" w:rsidP="00DA12F3">
            <w:pPr>
              <w:pStyle w:val="TableText"/>
              <w:rPr>
                <w:b/>
              </w:rPr>
            </w:pPr>
            <w:r w:rsidRPr="00536F4D">
              <w:rPr>
                <w:b/>
              </w:rPr>
              <w:t>Multivariate analyses</w:t>
            </w:r>
          </w:p>
        </w:tc>
        <w:tc>
          <w:tcPr>
            <w:tcW w:w="638" w:type="pct"/>
            <w:tcBorders>
              <w:top w:val="double" w:sz="4" w:space="0" w:color="auto"/>
              <w:left w:val="nil"/>
              <w:bottom w:val="single" w:sz="4" w:space="0" w:color="auto"/>
              <w:right w:val="nil"/>
            </w:tcBorders>
          </w:tcPr>
          <w:p w:rsidR="00FD5FA6" w:rsidRPr="000B2D46" w:rsidRDefault="00FD5FA6" w:rsidP="00DA12F3">
            <w:pPr>
              <w:pStyle w:val="TableText"/>
              <w:jc w:val="center"/>
              <w:rPr>
                <w:b/>
              </w:rPr>
            </w:pPr>
          </w:p>
        </w:tc>
        <w:tc>
          <w:tcPr>
            <w:tcW w:w="638" w:type="pct"/>
            <w:tcBorders>
              <w:top w:val="double" w:sz="4" w:space="0" w:color="auto"/>
              <w:left w:val="nil"/>
              <w:bottom w:val="single" w:sz="4" w:space="0" w:color="auto"/>
              <w:right w:val="nil"/>
            </w:tcBorders>
          </w:tcPr>
          <w:p w:rsidR="00FD5FA6" w:rsidRPr="000B2D46" w:rsidRDefault="00FD5FA6" w:rsidP="00DA12F3">
            <w:pPr>
              <w:pStyle w:val="TableText"/>
              <w:jc w:val="center"/>
              <w:rPr>
                <w:b/>
              </w:rPr>
            </w:pPr>
          </w:p>
        </w:tc>
        <w:tc>
          <w:tcPr>
            <w:tcW w:w="507" w:type="pct"/>
            <w:tcBorders>
              <w:top w:val="double" w:sz="4" w:space="0" w:color="auto"/>
              <w:left w:val="nil"/>
              <w:bottom w:val="single" w:sz="4" w:space="0" w:color="auto"/>
              <w:right w:val="nil"/>
            </w:tcBorders>
          </w:tcPr>
          <w:p w:rsidR="00FD5FA6" w:rsidRPr="000B2D46" w:rsidRDefault="00FD5FA6" w:rsidP="00DA12F3">
            <w:pPr>
              <w:pStyle w:val="TableText"/>
              <w:jc w:val="center"/>
              <w:rPr>
                <w:b/>
              </w:rPr>
            </w:pPr>
          </w:p>
        </w:tc>
        <w:tc>
          <w:tcPr>
            <w:tcW w:w="446" w:type="pct"/>
            <w:tcBorders>
              <w:top w:val="double" w:sz="4" w:space="0" w:color="auto"/>
              <w:left w:val="nil"/>
              <w:bottom w:val="single" w:sz="4" w:space="0" w:color="auto"/>
              <w:right w:val="single" w:sz="4" w:space="0" w:color="auto"/>
            </w:tcBorders>
          </w:tcPr>
          <w:p w:rsidR="00FD5FA6" w:rsidRPr="00536F4D" w:rsidRDefault="00FD5FA6" w:rsidP="00DA12F3">
            <w:pPr>
              <w:pStyle w:val="TableText"/>
              <w:jc w:val="center"/>
              <w:rPr>
                <w:b/>
              </w:rPr>
            </w:pPr>
          </w:p>
        </w:tc>
      </w:tr>
      <w:tr w:rsidR="00FD5FA6" w:rsidRPr="00536F4D" w:rsidTr="00DA12F3">
        <w:trPr>
          <w:cantSplit/>
        </w:trPr>
        <w:tc>
          <w:tcPr>
            <w:tcW w:w="229" w:type="pct"/>
            <w:tcBorders>
              <w:top w:val="single" w:sz="4" w:space="0" w:color="auto"/>
              <w:left w:val="single" w:sz="4" w:space="0" w:color="auto"/>
              <w:bottom w:val="single" w:sz="4" w:space="0" w:color="auto"/>
              <w:right w:val="nil"/>
            </w:tcBorders>
          </w:tcPr>
          <w:p w:rsidR="00FD5FA6" w:rsidRPr="00536F4D" w:rsidRDefault="00FD5FA6" w:rsidP="00DA12F3">
            <w:pPr>
              <w:pStyle w:val="TableText"/>
            </w:pPr>
          </w:p>
        </w:tc>
        <w:tc>
          <w:tcPr>
            <w:tcW w:w="2540" w:type="pct"/>
            <w:tcBorders>
              <w:top w:val="single" w:sz="4" w:space="0" w:color="auto"/>
              <w:left w:val="nil"/>
              <w:bottom w:val="single" w:sz="4" w:space="0" w:color="auto"/>
              <w:right w:val="single" w:sz="4" w:space="0" w:color="auto"/>
            </w:tcBorders>
            <w:vAlign w:val="bottom"/>
          </w:tcPr>
          <w:p w:rsidR="00FD5FA6" w:rsidRPr="00536F4D" w:rsidRDefault="00FD5FA6" w:rsidP="00DA12F3">
            <w:pPr>
              <w:pStyle w:val="TableText"/>
            </w:pPr>
            <w:r w:rsidRPr="00536F4D">
              <w:t>#2 AND #5</w:t>
            </w:r>
          </w:p>
        </w:tc>
        <w:tc>
          <w:tcPr>
            <w:tcW w:w="638"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Height w:val="70"/>
        </w:trPr>
        <w:tc>
          <w:tcPr>
            <w:tcW w:w="229" w:type="pct"/>
            <w:tcBorders>
              <w:top w:val="single" w:sz="4" w:space="0" w:color="auto"/>
              <w:left w:val="single" w:sz="4" w:space="0" w:color="auto"/>
              <w:bottom w:val="single" w:sz="4" w:space="0" w:color="auto"/>
              <w:right w:val="nil"/>
            </w:tcBorders>
          </w:tcPr>
          <w:p w:rsidR="00FD5FA6" w:rsidRPr="00536F4D" w:rsidRDefault="00FD5FA6" w:rsidP="00DA12F3">
            <w:pPr>
              <w:pStyle w:val="TableText"/>
            </w:pPr>
          </w:p>
        </w:tc>
        <w:tc>
          <w:tcPr>
            <w:tcW w:w="2540" w:type="pct"/>
            <w:tcBorders>
              <w:top w:val="single" w:sz="4" w:space="0" w:color="auto"/>
              <w:left w:val="nil"/>
              <w:bottom w:val="single" w:sz="4" w:space="0" w:color="auto"/>
              <w:right w:val="single" w:sz="4" w:space="0" w:color="auto"/>
            </w:tcBorders>
            <w:vAlign w:val="bottom"/>
          </w:tcPr>
          <w:p w:rsidR="00FD5FA6" w:rsidRPr="00536F4D" w:rsidRDefault="00FD5FA6" w:rsidP="00DA12F3">
            <w:pPr>
              <w:pStyle w:val="TableText"/>
            </w:pPr>
            <w:r w:rsidRPr="00536F4D">
              <w:t>#1 AND #2</w:t>
            </w:r>
          </w:p>
        </w:tc>
        <w:tc>
          <w:tcPr>
            <w:tcW w:w="638"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r>
      <w:tr w:rsidR="00FD5FA6" w:rsidRPr="00536F4D" w:rsidTr="00DA12F3">
        <w:trPr>
          <w:cantSplit/>
          <w:trHeight w:val="70"/>
        </w:trPr>
        <w:tc>
          <w:tcPr>
            <w:tcW w:w="229" w:type="pct"/>
            <w:tcBorders>
              <w:top w:val="single" w:sz="4" w:space="0" w:color="auto"/>
              <w:left w:val="single" w:sz="4" w:space="0" w:color="auto"/>
              <w:bottom w:val="single" w:sz="4" w:space="0" w:color="auto"/>
              <w:right w:val="nil"/>
            </w:tcBorders>
          </w:tcPr>
          <w:p w:rsidR="00FD5FA6" w:rsidRPr="00536F4D" w:rsidRDefault="00FD5FA6" w:rsidP="00DA12F3">
            <w:pPr>
              <w:pStyle w:val="TableText"/>
            </w:pPr>
          </w:p>
        </w:tc>
        <w:tc>
          <w:tcPr>
            <w:tcW w:w="2540" w:type="pct"/>
            <w:tcBorders>
              <w:top w:val="single" w:sz="4" w:space="0" w:color="auto"/>
              <w:left w:val="nil"/>
              <w:bottom w:val="single" w:sz="4" w:space="0" w:color="auto"/>
              <w:right w:val="single" w:sz="4" w:space="0" w:color="auto"/>
            </w:tcBorders>
            <w:vAlign w:val="bottom"/>
          </w:tcPr>
          <w:p w:rsidR="00FD5FA6" w:rsidRPr="00536F4D" w:rsidRDefault="00FD5FA6" w:rsidP="00DA12F3">
            <w:pPr>
              <w:pStyle w:val="TableText"/>
            </w:pPr>
            <w:r w:rsidRPr="00536F4D">
              <w:t>#1, #2 AND #5</w:t>
            </w:r>
          </w:p>
        </w:tc>
        <w:tc>
          <w:tcPr>
            <w:tcW w:w="638"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c>
          <w:tcPr>
            <w:tcW w:w="638"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c>
          <w:tcPr>
            <w:tcW w:w="507"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c>
          <w:tcPr>
            <w:tcW w:w="446" w:type="pct"/>
            <w:tcBorders>
              <w:top w:val="single" w:sz="4" w:space="0" w:color="auto"/>
              <w:left w:val="single" w:sz="4" w:space="0" w:color="auto"/>
              <w:bottom w:val="single" w:sz="4" w:space="0" w:color="auto"/>
              <w:right w:val="single" w:sz="4" w:space="0" w:color="auto"/>
            </w:tcBorders>
          </w:tcPr>
          <w:p w:rsidR="00FD5FA6" w:rsidRPr="000B2D46" w:rsidRDefault="000B2D46" w:rsidP="00DA12F3">
            <w:pPr>
              <w:pStyle w:val="TableText"/>
              <w:jc w:val="center"/>
              <w:rPr>
                <w:highlight w:val="black"/>
              </w:rPr>
            </w:pPr>
            <w:r>
              <w:rPr>
                <w:noProof/>
                <w:color w:val="000000"/>
                <w:highlight w:val="black"/>
              </w:rPr>
              <w:t>'''''''''''</w:t>
            </w:r>
          </w:p>
        </w:tc>
      </w:tr>
    </w:tbl>
    <w:p w:rsidR="00FD5FA6" w:rsidRPr="00536F4D" w:rsidRDefault="00FD5FA6" w:rsidP="00FD5FA6">
      <w:pPr>
        <w:pStyle w:val="TableFooter"/>
      </w:pPr>
      <w:r w:rsidRPr="00536F4D">
        <w:rPr>
          <w:vertAlign w:val="superscript"/>
        </w:rPr>
        <w:t>a</w:t>
      </w:r>
      <w:r w:rsidRPr="00536F4D">
        <w:t xml:space="preserve"> Base case value: varied until cycle 7, from then on </w:t>
      </w:r>
      <w:r w:rsidR="000B2D46">
        <w:rPr>
          <w:noProof/>
          <w:color w:val="000000"/>
          <w:highlight w:val="black"/>
        </w:rPr>
        <w:t>'''''''''''''''</w:t>
      </w:r>
      <w:r w:rsidRPr="00536F4D">
        <w:t>. The overall average per cycle probability may be more reasonable in the base case analysis as probabilities were implemented by cycle stage, rather than by time in the health state. As only 35% of patients had experienced a progression by the truncation time point (and so from then on an average transition probability was used) – the earlier (and higher transition probabilities) were not modelled in the majority of patients.</w:t>
      </w:r>
    </w:p>
    <w:p w:rsidR="00FD5FA6" w:rsidRPr="00536F4D" w:rsidRDefault="00FD5FA6" w:rsidP="00FD5FA6">
      <w:pPr>
        <w:pStyle w:val="TableFooter"/>
      </w:pPr>
      <w:r w:rsidRPr="00536F4D">
        <w:rPr>
          <w:vertAlign w:val="superscript"/>
        </w:rPr>
        <w:t>b</w:t>
      </w:r>
      <w:r w:rsidRPr="00536F4D">
        <w:t xml:space="preserve"> Base case value: </w:t>
      </w:r>
      <w:r w:rsidR="000B2D46">
        <w:rPr>
          <w:noProof/>
          <w:color w:val="000000"/>
          <w:highlight w:val="black"/>
        </w:rPr>
        <w:t>''''''''''''''''</w:t>
      </w:r>
    </w:p>
    <w:p w:rsidR="00FD5FA6" w:rsidRPr="00536F4D" w:rsidRDefault="00FD5FA6" w:rsidP="00FD5FA6">
      <w:pPr>
        <w:pStyle w:val="TableFooter"/>
      </w:pPr>
      <w:r w:rsidRPr="00536F4D">
        <w:rPr>
          <w:vertAlign w:val="superscript"/>
        </w:rPr>
        <w:t>c</w:t>
      </w:r>
      <w:r w:rsidRPr="00536F4D">
        <w:t xml:space="preserve"> Base case value: </w:t>
      </w:r>
      <w:r w:rsidR="000B2D46">
        <w:rPr>
          <w:noProof/>
          <w:color w:val="000000"/>
          <w:highlight w:val="black"/>
        </w:rPr>
        <w:t>''''''''''''''''''</w:t>
      </w:r>
      <w:r w:rsidRPr="00536F4D">
        <w:t xml:space="preserve"> (from cycle 9 onwards based on the average transitions from cycle 4 onwards)</w:t>
      </w:r>
    </w:p>
    <w:p w:rsidR="00FD5FA6" w:rsidRPr="00536F4D" w:rsidRDefault="00FD5FA6" w:rsidP="00FD5FA6">
      <w:pPr>
        <w:pStyle w:val="TableFooter"/>
      </w:pPr>
      <w:r w:rsidRPr="00536F4D">
        <w:rPr>
          <w:vertAlign w:val="superscript"/>
        </w:rPr>
        <w:t>d</w:t>
      </w:r>
      <w:r w:rsidRPr="00536F4D">
        <w:t xml:space="preserve"> Base case value: 48%</w:t>
      </w:r>
    </w:p>
    <w:p w:rsidR="00DF3E8E" w:rsidRPr="00536F4D" w:rsidRDefault="00DF3E8E" w:rsidP="00DF3E8E">
      <w:pPr>
        <w:pStyle w:val="TableFooter"/>
      </w:pPr>
      <w:r w:rsidRPr="00536F4D">
        <w:t>D=dead health state; PD=progressive disease health state; PF=progression-free health state.</w:t>
      </w:r>
    </w:p>
    <w:p w:rsidR="00FD5FA6" w:rsidRDefault="00FD5FA6" w:rsidP="00FD5FA6">
      <w:pPr>
        <w:pStyle w:val="TableFooter"/>
      </w:pPr>
      <w:r w:rsidRPr="00536F4D">
        <w:t>Source: Table 3-40, pp191-192 of the submission.</w:t>
      </w:r>
    </w:p>
    <w:p w:rsidR="009B4C1E" w:rsidRDefault="009B4C1E" w:rsidP="00FD5FA6">
      <w:pPr>
        <w:pStyle w:val="TableFooter"/>
      </w:pPr>
    </w:p>
    <w:p w:rsidR="009B4C1E" w:rsidRDefault="009B4C1E" w:rsidP="009B4C1E">
      <w:pPr>
        <w:pStyle w:val="ListParagraph"/>
        <w:numPr>
          <w:ilvl w:val="0"/>
          <w:numId w:val="0"/>
        </w:numPr>
        <w:ind w:left="709"/>
      </w:pPr>
      <w:r w:rsidRPr="00155333">
        <w:lastRenderedPageBreak/>
        <w:t xml:space="preserve">The redacted table shows ICERs in the range of </w:t>
      </w:r>
      <w:r>
        <w:t>$75,000/QALY - $200,000/QALY</w:t>
      </w:r>
      <w:r w:rsidRPr="00155333">
        <w:t>.</w:t>
      </w:r>
    </w:p>
    <w:p w:rsidR="009B4C1E" w:rsidRPr="00536F4D" w:rsidRDefault="009B4C1E" w:rsidP="00FD5FA6">
      <w:pPr>
        <w:pStyle w:val="TableFooter"/>
      </w:pPr>
    </w:p>
    <w:p w:rsidR="00C054B6" w:rsidRPr="00C054B6" w:rsidRDefault="00C054B6" w:rsidP="00C054B6">
      <w:pPr>
        <w:pStyle w:val="ListParagraph"/>
      </w:pPr>
      <w:bookmarkStart w:id="33" w:name="_Toc492390276"/>
      <w:r w:rsidRPr="00C054B6">
        <w:t xml:space="preserve">Acknowledging the </w:t>
      </w:r>
      <w:r>
        <w:t xml:space="preserve">uncertainty in the overall survival data, the pre-PBAC response (p3) proposed that the PBAC consider PBS listing via a </w:t>
      </w:r>
      <w:r w:rsidRPr="00C054B6">
        <w:t>managed entry scheme (MES)</w:t>
      </w:r>
      <w:r>
        <w:t xml:space="preserve">, </w:t>
      </w:r>
      <w:r w:rsidR="000B2D46">
        <w:rPr>
          <w:noProof/>
          <w:color w:val="000000"/>
          <w:highlight w:val="black"/>
        </w:rPr>
        <w:t>'''''''''''''' '''' '''''''''''' ''''' ''''''''''''' ''''' '''''' '''''''''''' '''' '''''''''''''''''''''''' '''''''''''' '''''''' '''''''''''''''''''' ''''''''''''''' ''''''''' '''''''''' ''''' ''''''''''''' '''''''''''''' ''''''''''''''''' '''' ''''''''''''''''''' '''''' '''''''''''''''''' ''''''' ''''' '''''''''''''''''''''''' '''''''''''''''' '''' ''''''''''''''' ''''''''' '''''''' ''''' '''''' ''''''''''''''''' ''''''''' '''''''''''''' '''''''''''''' '''''''''''' '''' ''''''''''''''' '''''' ''''''''''''''''''' ''''' ''''''''''''''' ''''''''' ''''' '''' '' '''' ''' ''''''''''' ''''''''''''''''''' ''''''''''''''''''' ''''''''' '' '''''''''''''''' ''''''' ''''' ''''''''''' '''''''' '''''' '''''''''''''''''''''' '''''''' '''''''''' '''''''''''''''''' '''''''' '''''' ''''''''''''''''''''''''''''''</w:t>
      </w:r>
      <w:r w:rsidRPr="00C054B6">
        <w:t>.</w:t>
      </w:r>
    </w:p>
    <w:p w:rsidR="00BC6818" w:rsidRPr="00536F4D" w:rsidRDefault="00BC6818" w:rsidP="00BC6818">
      <w:pPr>
        <w:pStyle w:val="ESHeading2"/>
        <w:rPr>
          <w:i w:val="0"/>
        </w:rPr>
      </w:pPr>
      <w:r w:rsidRPr="000C32F5">
        <w:rPr>
          <w:rFonts w:asciiTheme="minorHAnsi" w:hAnsiTheme="minorHAnsi"/>
        </w:rPr>
        <w:t>Medicine cost/patient/course: $</w:t>
      </w:r>
      <w:r w:rsidR="000B2D46">
        <w:rPr>
          <w:rFonts w:asciiTheme="minorHAnsi" w:hAnsiTheme="minorHAnsi"/>
          <w:noProof/>
          <w:color w:val="000000"/>
          <w:highlight w:val="black"/>
        </w:rPr>
        <w:t>''''''''''''</w:t>
      </w:r>
      <w:r w:rsidRPr="000C32F5">
        <w:rPr>
          <w:rFonts w:asciiTheme="minorHAnsi" w:hAnsiTheme="minorHAnsi"/>
        </w:rPr>
        <w:t>.</w:t>
      </w:r>
      <w:bookmarkEnd w:id="33"/>
    </w:p>
    <w:p w:rsidR="00BC6818" w:rsidRPr="00536F4D" w:rsidRDefault="00BC6818" w:rsidP="00891893">
      <w:pPr>
        <w:pStyle w:val="ListParagraph"/>
        <w:ind w:left="709" w:hanging="709"/>
      </w:pPr>
      <w:r w:rsidRPr="00536F4D">
        <w:rPr>
          <w:color w:val="auto"/>
        </w:rPr>
        <w:t>The</w:t>
      </w:r>
      <w:r w:rsidRPr="00536F4D">
        <w:t xml:space="preserve"> treatment course cost per </w:t>
      </w:r>
      <w:r w:rsidR="00B901D2" w:rsidRPr="00B901D2">
        <w:rPr>
          <w:i/>
        </w:rPr>
        <w:t>T790M</w:t>
      </w:r>
      <w:r w:rsidRPr="00536F4D">
        <w:t>+ patient was $</w:t>
      </w:r>
      <w:r w:rsidR="000B2D46">
        <w:rPr>
          <w:noProof/>
          <w:color w:val="000000"/>
          <w:highlight w:val="black"/>
        </w:rPr>
        <w:t>''''''''''''</w:t>
      </w:r>
      <w:r w:rsidRPr="00536F4D">
        <w:t xml:space="preserve">. This was based on </w:t>
      </w:r>
      <w:r w:rsidR="000B2D46">
        <w:rPr>
          <w:noProof/>
          <w:color w:val="000000"/>
          <w:highlight w:val="black"/>
        </w:rPr>
        <w:t>''''''</w:t>
      </w:r>
      <w:r w:rsidRPr="00536F4D">
        <w:t xml:space="preserve"> </w:t>
      </w:r>
      <w:r w:rsidR="00503956" w:rsidRPr="00536F4D">
        <w:t>months</w:t>
      </w:r>
      <w:r w:rsidRPr="00536F4D">
        <w:t xml:space="preserve"> of osimertinib at the proposed effective DPMQ of $</w:t>
      </w:r>
      <w:r w:rsidR="000B2D46">
        <w:rPr>
          <w:noProof/>
          <w:color w:val="000000"/>
          <w:highlight w:val="black"/>
        </w:rPr>
        <w:t>''''''''''''''''</w:t>
      </w:r>
      <w:r w:rsidRPr="00536F4D">
        <w:t xml:space="preserve"> per </w:t>
      </w:r>
      <w:r w:rsidR="00503956" w:rsidRPr="00536F4D">
        <w:t>month</w:t>
      </w:r>
      <w:r w:rsidRPr="00536F4D">
        <w:t>.</w:t>
      </w:r>
      <w:r w:rsidR="00DE6897" w:rsidRPr="00536F4D">
        <w:t xml:space="preserve"> As described in Table </w:t>
      </w:r>
      <w:r w:rsidR="00DE6897" w:rsidRPr="00536F4D">
        <w:rPr>
          <w:noProof/>
        </w:rPr>
        <w:t>11</w:t>
      </w:r>
      <w:r w:rsidR="00DE6897" w:rsidRPr="00536F4D">
        <w:t>, this was based on a truncated mean duration of treatment, as observed in the AURA3 study.</w:t>
      </w:r>
    </w:p>
    <w:p w:rsidR="00BC6818" w:rsidRPr="00536F4D" w:rsidRDefault="00BC6818" w:rsidP="00891893">
      <w:pPr>
        <w:pStyle w:val="ListParagraph"/>
        <w:ind w:left="709" w:hanging="709"/>
      </w:pPr>
      <w:r w:rsidRPr="00536F4D">
        <w:t xml:space="preserve">The cost of chemotherapy, including pemetrexed maintenance and administration, per </w:t>
      </w:r>
      <w:r w:rsidR="00B901D2" w:rsidRPr="00B901D2">
        <w:rPr>
          <w:i/>
        </w:rPr>
        <w:t>T790M</w:t>
      </w:r>
      <w:r w:rsidRPr="00536F4D">
        <w:t>+ patient was $</w:t>
      </w:r>
      <w:r w:rsidR="000B2D46">
        <w:rPr>
          <w:noProof/>
          <w:color w:val="000000"/>
          <w:highlight w:val="black"/>
        </w:rPr>
        <w:t>'''''''''''</w:t>
      </w:r>
      <w:r w:rsidRPr="00536F4D">
        <w:t>.</w:t>
      </w:r>
    </w:p>
    <w:p w:rsidR="003657A4" w:rsidRPr="000C32F5" w:rsidRDefault="003657A4" w:rsidP="003657A4">
      <w:pPr>
        <w:pStyle w:val="ESHeading2"/>
        <w:rPr>
          <w:rFonts w:asciiTheme="minorHAnsi" w:hAnsiTheme="minorHAnsi"/>
        </w:rPr>
      </w:pPr>
      <w:bookmarkStart w:id="34" w:name="_Toc492390277"/>
      <w:r w:rsidRPr="000C32F5">
        <w:rPr>
          <w:rFonts w:asciiTheme="minorHAnsi" w:hAnsiTheme="minorHAnsi"/>
        </w:rPr>
        <w:t>Estimated PBS &amp; financial implications</w:t>
      </w:r>
      <w:bookmarkEnd w:id="34"/>
    </w:p>
    <w:p w:rsidR="003657A4" w:rsidRPr="00536F4D" w:rsidRDefault="003657A4" w:rsidP="00891893">
      <w:pPr>
        <w:pStyle w:val="ListParagraph"/>
        <w:ind w:left="709" w:hanging="709"/>
        <w:rPr>
          <w:color w:val="auto"/>
        </w:rPr>
      </w:pPr>
      <w:r w:rsidRPr="00536F4D">
        <w:t xml:space="preserve">This submission </w:t>
      </w:r>
      <w:r w:rsidR="004F08E2" w:rsidRPr="00696474">
        <w:t>was not</w:t>
      </w:r>
      <w:r w:rsidRPr="004F08E2">
        <w:rPr>
          <w:i/>
        </w:rPr>
        <w:t xml:space="preserve"> </w:t>
      </w:r>
      <w:r w:rsidRPr="00536F4D">
        <w:t>considered by DUSC</w:t>
      </w:r>
      <w:r w:rsidR="00BC6818" w:rsidRPr="00536F4D">
        <w:t xml:space="preserve">. The submission used an epidemiological approach to estimate the PBS and MBS usage and financial implications. These were based on </w:t>
      </w:r>
      <w:r w:rsidR="00C05237" w:rsidRPr="00536F4D">
        <w:t>Australian Institute of Health and Welfare (</w:t>
      </w:r>
      <w:r w:rsidR="00BC6818" w:rsidRPr="00536F4D">
        <w:t>AIHW</w:t>
      </w:r>
      <w:r w:rsidR="00C05237" w:rsidRPr="00536F4D">
        <w:t>)</w:t>
      </w:r>
      <w:r w:rsidR="00BC6818" w:rsidRPr="00536F4D">
        <w:t xml:space="preserve"> estimates, commissioned market research data and relevant literature.</w:t>
      </w:r>
    </w:p>
    <w:p w:rsidR="003657A4" w:rsidRPr="00536F4D" w:rsidRDefault="00DF78E5" w:rsidP="00891893">
      <w:pPr>
        <w:pStyle w:val="ListParagraph"/>
        <w:ind w:left="709" w:hanging="709"/>
        <w:rPr>
          <w:color w:val="auto"/>
        </w:rPr>
      </w:pPr>
      <w:r w:rsidRPr="00536F4D">
        <w:t xml:space="preserve">A summary of the approach used to estimate the population eligible, and </w:t>
      </w:r>
      <w:r w:rsidR="003F635C" w:rsidRPr="00536F4D">
        <w:t xml:space="preserve">the </w:t>
      </w:r>
      <w:r w:rsidRPr="00536F4D">
        <w:t xml:space="preserve">uptake </w:t>
      </w:r>
      <w:r w:rsidR="00B901D2" w:rsidRPr="00B901D2">
        <w:rPr>
          <w:i/>
        </w:rPr>
        <w:t>T790M</w:t>
      </w:r>
      <w:r w:rsidRPr="00536F4D">
        <w:t xml:space="preserve"> testing and osimertinib treatment is </w:t>
      </w:r>
      <w:r w:rsidRPr="00536F4D">
        <w:rPr>
          <w:color w:val="auto"/>
        </w:rPr>
        <w:t xml:space="preserve">presented in </w:t>
      </w:r>
      <w:r w:rsidR="00627421" w:rsidRPr="00536F4D">
        <w:t xml:space="preserve">Table </w:t>
      </w:r>
      <w:r w:rsidR="00627421" w:rsidRPr="00536F4D">
        <w:rPr>
          <w:noProof/>
        </w:rPr>
        <w:t>15</w:t>
      </w:r>
      <w:r w:rsidR="004037F9" w:rsidRPr="00536F4D">
        <w:rPr>
          <w:color w:val="auto"/>
        </w:rPr>
        <w:t>.</w:t>
      </w:r>
    </w:p>
    <w:p w:rsidR="003657A4" w:rsidRPr="00536F4D" w:rsidRDefault="003657A4" w:rsidP="00EE3172">
      <w:pPr>
        <w:pStyle w:val="Caption"/>
      </w:pPr>
      <w:bookmarkStart w:id="35" w:name="_Ref490221214"/>
      <w:r w:rsidRPr="00536F4D">
        <w:t>Table</w:t>
      </w:r>
      <w:r w:rsidR="00C61A70">
        <w:t xml:space="preserve"> </w:t>
      </w:r>
      <w:r w:rsidR="00AB747A" w:rsidRPr="00536F4D">
        <w:rPr>
          <w:noProof/>
        </w:rPr>
        <w:t>15</w:t>
      </w:r>
      <w:bookmarkEnd w:id="35"/>
      <w:r w:rsidRPr="00536F4D">
        <w:t>:</w:t>
      </w:r>
      <w:r w:rsidR="00C61A70">
        <w:t xml:space="preserve"> </w:t>
      </w:r>
      <w:r w:rsidR="00BC6818" w:rsidRPr="00536F4D">
        <w:t xml:space="preserve">Estimated use and financial implications of </w:t>
      </w:r>
      <w:r w:rsidR="00B901D2" w:rsidRPr="00B901D2">
        <w:rPr>
          <w:i/>
        </w:rPr>
        <w:t>T790M</w:t>
      </w:r>
      <w:r w:rsidR="00BC6818" w:rsidRPr="00536F4D">
        <w:t xml:space="preserve"> testing and osimertinib listing</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4"/>
        <w:gridCol w:w="1165"/>
        <w:gridCol w:w="1165"/>
        <w:gridCol w:w="1165"/>
        <w:gridCol w:w="1165"/>
        <w:gridCol w:w="1165"/>
        <w:gridCol w:w="1165"/>
      </w:tblGrid>
      <w:tr w:rsidR="00DF78E5" w:rsidRPr="00536F4D" w:rsidTr="00DA12F3">
        <w:trPr>
          <w:tblHeader/>
        </w:trPr>
        <w:tc>
          <w:tcPr>
            <w:tcW w:w="1118" w:type="pct"/>
            <w:shd w:val="clear" w:color="auto" w:fill="auto"/>
            <w:vAlign w:val="center"/>
          </w:tcPr>
          <w:p w:rsidR="00DF78E5" w:rsidRPr="00536F4D" w:rsidRDefault="00DF78E5" w:rsidP="00DA12F3">
            <w:pPr>
              <w:pStyle w:val="TableText"/>
              <w:rPr>
                <w:szCs w:val="20"/>
              </w:rPr>
            </w:pPr>
          </w:p>
        </w:tc>
        <w:tc>
          <w:tcPr>
            <w:tcW w:w="647" w:type="pct"/>
            <w:shd w:val="clear" w:color="auto" w:fill="auto"/>
          </w:tcPr>
          <w:p w:rsidR="00DF78E5" w:rsidRPr="00536F4D" w:rsidRDefault="00DF78E5" w:rsidP="00DA12F3">
            <w:pPr>
              <w:pStyle w:val="TableText"/>
              <w:jc w:val="center"/>
              <w:rPr>
                <w:b/>
              </w:rPr>
            </w:pPr>
            <w:r w:rsidRPr="00536F4D">
              <w:rPr>
                <w:b/>
              </w:rPr>
              <w:t>2018</w:t>
            </w:r>
          </w:p>
        </w:tc>
        <w:tc>
          <w:tcPr>
            <w:tcW w:w="647" w:type="pct"/>
            <w:shd w:val="clear" w:color="auto" w:fill="auto"/>
          </w:tcPr>
          <w:p w:rsidR="00DF78E5" w:rsidRPr="00536F4D" w:rsidRDefault="00DF78E5" w:rsidP="00DA12F3">
            <w:pPr>
              <w:pStyle w:val="TableText"/>
              <w:jc w:val="center"/>
              <w:rPr>
                <w:b/>
              </w:rPr>
            </w:pPr>
            <w:r w:rsidRPr="00536F4D">
              <w:rPr>
                <w:b/>
              </w:rPr>
              <w:t>2019</w:t>
            </w:r>
          </w:p>
        </w:tc>
        <w:tc>
          <w:tcPr>
            <w:tcW w:w="647" w:type="pct"/>
            <w:shd w:val="clear" w:color="auto" w:fill="auto"/>
          </w:tcPr>
          <w:p w:rsidR="00DF78E5" w:rsidRPr="00536F4D" w:rsidRDefault="00DF78E5" w:rsidP="00DA12F3">
            <w:pPr>
              <w:pStyle w:val="TableText"/>
              <w:jc w:val="center"/>
              <w:rPr>
                <w:b/>
              </w:rPr>
            </w:pPr>
            <w:r w:rsidRPr="00536F4D">
              <w:rPr>
                <w:b/>
              </w:rPr>
              <w:t>2020</w:t>
            </w:r>
          </w:p>
        </w:tc>
        <w:tc>
          <w:tcPr>
            <w:tcW w:w="647" w:type="pct"/>
            <w:shd w:val="clear" w:color="auto" w:fill="auto"/>
          </w:tcPr>
          <w:p w:rsidR="00DF78E5" w:rsidRPr="00536F4D" w:rsidRDefault="00DF78E5" w:rsidP="00DA12F3">
            <w:pPr>
              <w:pStyle w:val="TableText"/>
              <w:jc w:val="center"/>
              <w:rPr>
                <w:b/>
              </w:rPr>
            </w:pPr>
            <w:r w:rsidRPr="00536F4D">
              <w:rPr>
                <w:b/>
              </w:rPr>
              <w:t>2021</w:t>
            </w:r>
          </w:p>
        </w:tc>
        <w:tc>
          <w:tcPr>
            <w:tcW w:w="647" w:type="pct"/>
            <w:shd w:val="clear" w:color="auto" w:fill="auto"/>
          </w:tcPr>
          <w:p w:rsidR="00DF78E5" w:rsidRPr="00536F4D" w:rsidRDefault="00DF78E5" w:rsidP="00DA12F3">
            <w:pPr>
              <w:pStyle w:val="TableText"/>
              <w:jc w:val="center"/>
              <w:rPr>
                <w:b/>
              </w:rPr>
            </w:pPr>
            <w:r w:rsidRPr="00536F4D">
              <w:rPr>
                <w:b/>
              </w:rPr>
              <w:t>2022</w:t>
            </w:r>
          </w:p>
        </w:tc>
        <w:tc>
          <w:tcPr>
            <w:tcW w:w="647" w:type="pct"/>
          </w:tcPr>
          <w:p w:rsidR="00DF78E5" w:rsidRPr="00536F4D" w:rsidRDefault="00DF78E5" w:rsidP="00DA12F3">
            <w:pPr>
              <w:pStyle w:val="TableText"/>
              <w:jc w:val="center"/>
              <w:rPr>
                <w:b/>
              </w:rPr>
            </w:pPr>
            <w:r w:rsidRPr="00536F4D">
              <w:rPr>
                <w:b/>
              </w:rPr>
              <w:t>2023</w:t>
            </w:r>
          </w:p>
        </w:tc>
      </w:tr>
      <w:tr w:rsidR="00DF78E5" w:rsidRPr="00536F4D" w:rsidTr="00DA12F3">
        <w:tc>
          <w:tcPr>
            <w:tcW w:w="5000" w:type="pct"/>
            <w:gridSpan w:val="7"/>
            <w:shd w:val="clear" w:color="auto" w:fill="auto"/>
            <w:vAlign w:val="center"/>
          </w:tcPr>
          <w:p w:rsidR="00DF78E5" w:rsidRPr="00536F4D" w:rsidRDefault="00DF78E5" w:rsidP="00524A2A">
            <w:pPr>
              <w:pStyle w:val="TableText"/>
              <w:jc w:val="left"/>
              <w:rPr>
                <w:b/>
                <w:bCs/>
                <w:color w:val="000000"/>
                <w:szCs w:val="20"/>
              </w:rPr>
            </w:pPr>
            <w:r w:rsidRPr="00536F4D">
              <w:rPr>
                <w:b/>
                <w:bCs/>
                <w:color w:val="000000"/>
                <w:szCs w:val="20"/>
              </w:rPr>
              <w:t xml:space="preserve">Estimated extent of use of </w:t>
            </w:r>
            <w:r w:rsidR="00B901D2" w:rsidRPr="00B901D2">
              <w:rPr>
                <w:b/>
                <w:bCs/>
                <w:i/>
                <w:color w:val="000000"/>
                <w:szCs w:val="20"/>
              </w:rPr>
              <w:t>T790M</w:t>
            </w:r>
            <w:r w:rsidRPr="00536F4D">
              <w:rPr>
                <w:b/>
                <w:bCs/>
                <w:color w:val="000000"/>
                <w:szCs w:val="20"/>
              </w:rPr>
              <w:t xml:space="preserve"> testing</w:t>
            </w:r>
          </w:p>
        </w:tc>
      </w:tr>
      <w:tr w:rsidR="00DF78E5" w:rsidRPr="00536F4D" w:rsidTr="00DA12F3">
        <w:tc>
          <w:tcPr>
            <w:tcW w:w="1118" w:type="pct"/>
            <w:shd w:val="clear" w:color="auto" w:fill="auto"/>
            <w:vAlign w:val="center"/>
          </w:tcPr>
          <w:p w:rsidR="00DF78E5" w:rsidRPr="00536F4D" w:rsidRDefault="00DF78E5" w:rsidP="00524A2A">
            <w:pPr>
              <w:pStyle w:val="TableText"/>
              <w:jc w:val="left"/>
              <w:rPr>
                <w:szCs w:val="20"/>
              </w:rPr>
            </w:pPr>
            <w:r w:rsidRPr="00536F4D">
              <w:rPr>
                <w:szCs w:val="20"/>
              </w:rPr>
              <w:t>Number of patients tested</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shd w:val="clear" w:color="auto" w:fill="auto"/>
            <w:vAlign w:val="center"/>
          </w:tcPr>
          <w:p w:rsidR="00DF78E5" w:rsidRPr="00536F4D" w:rsidRDefault="00DF78E5" w:rsidP="00524A2A">
            <w:pPr>
              <w:pStyle w:val="TableText"/>
              <w:jc w:val="left"/>
              <w:rPr>
                <w:szCs w:val="20"/>
              </w:rPr>
            </w:pPr>
            <w:r w:rsidRPr="00536F4D">
              <w:rPr>
                <w:szCs w:val="20"/>
              </w:rPr>
              <w:t>Number of patients likely to receive a positive test result (60%)</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5000" w:type="pct"/>
            <w:gridSpan w:val="7"/>
            <w:shd w:val="clear" w:color="auto" w:fill="auto"/>
            <w:vAlign w:val="center"/>
          </w:tcPr>
          <w:p w:rsidR="00DF78E5" w:rsidRPr="00536F4D" w:rsidRDefault="00DF78E5" w:rsidP="00524A2A">
            <w:pPr>
              <w:pStyle w:val="TableText"/>
              <w:jc w:val="left"/>
              <w:rPr>
                <w:b/>
                <w:bCs/>
                <w:color w:val="000000"/>
                <w:szCs w:val="20"/>
              </w:rPr>
            </w:pPr>
            <w:r w:rsidRPr="00536F4D">
              <w:rPr>
                <w:b/>
                <w:szCs w:val="20"/>
              </w:rPr>
              <w:t xml:space="preserve">Estimated extent of use </w:t>
            </w:r>
            <w:r w:rsidRPr="00536F4D">
              <w:rPr>
                <w:b/>
                <w:bCs/>
                <w:color w:val="000000"/>
                <w:szCs w:val="20"/>
              </w:rPr>
              <w:t>of osimertinib</w:t>
            </w:r>
          </w:p>
        </w:tc>
      </w:tr>
      <w:tr w:rsidR="00DF78E5" w:rsidRPr="00536F4D" w:rsidTr="00DA12F3">
        <w:tc>
          <w:tcPr>
            <w:tcW w:w="1118" w:type="pct"/>
            <w:shd w:val="clear" w:color="auto" w:fill="auto"/>
          </w:tcPr>
          <w:p w:rsidR="00DF78E5" w:rsidRPr="00536F4D" w:rsidRDefault="00DF78E5" w:rsidP="00524A2A">
            <w:pPr>
              <w:pStyle w:val="TableText"/>
              <w:jc w:val="left"/>
              <w:rPr>
                <w:szCs w:val="20"/>
              </w:rPr>
            </w:pPr>
            <w:r w:rsidRPr="00536F4D">
              <w:t>Grandfathered / prevalent patients</w:t>
            </w:r>
          </w:p>
        </w:tc>
        <w:tc>
          <w:tcPr>
            <w:tcW w:w="647" w:type="pct"/>
            <w:shd w:val="clear" w:color="auto" w:fill="auto"/>
          </w:tcPr>
          <w:p w:rsidR="00DF78E5" w:rsidRPr="000B2D46" w:rsidRDefault="000B2D46" w:rsidP="00DA12F3">
            <w:pPr>
              <w:pStyle w:val="TableText"/>
              <w:jc w:val="center"/>
              <w:rPr>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highlight w:val="black"/>
              </w:rPr>
            </w:pPr>
            <w:r>
              <w:rPr>
                <w:noProof/>
                <w:color w:val="000000"/>
                <w:highlight w:val="black"/>
              </w:rPr>
              <w:t>'''''</w:t>
            </w:r>
          </w:p>
        </w:tc>
        <w:tc>
          <w:tcPr>
            <w:tcW w:w="647" w:type="pct"/>
            <w:shd w:val="clear" w:color="auto" w:fill="auto"/>
          </w:tcPr>
          <w:p w:rsidR="00DF78E5" w:rsidRPr="00536F4D" w:rsidRDefault="00DF78E5" w:rsidP="00DA12F3">
            <w:pPr>
              <w:pStyle w:val="TableText"/>
              <w:jc w:val="center"/>
            </w:pPr>
          </w:p>
        </w:tc>
        <w:tc>
          <w:tcPr>
            <w:tcW w:w="647" w:type="pct"/>
            <w:shd w:val="clear" w:color="auto" w:fill="auto"/>
          </w:tcPr>
          <w:p w:rsidR="00DF78E5" w:rsidRPr="00536F4D" w:rsidRDefault="00DF78E5" w:rsidP="00DA12F3">
            <w:pPr>
              <w:pStyle w:val="TableText"/>
              <w:jc w:val="center"/>
            </w:pPr>
          </w:p>
        </w:tc>
        <w:tc>
          <w:tcPr>
            <w:tcW w:w="647" w:type="pct"/>
            <w:shd w:val="clear" w:color="auto" w:fill="auto"/>
          </w:tcPr>
          <w:p w:rsidR="00DF78E5" w:rsidRPr="00536F4D" w:rsidRDefault="00DF78E5" w:rsidP="00DA12F3">
            <w:pPr>
              <w:pStyle w:val="TableText"/>
              <w:jc w:val="center"/>
            </w:pPr>
          </w:p>
        </w:tc>
        <w:tc>
          <w:tcPr>
            <w:tcW w:w="647" w:type="pct"/>
          </w:tcPr>
          <w:p w:rsidR="00DF78E5" w:rsidRPr="00536F4D" w:rsidRDefault="00DF78E5" w:rsidP="00DA12F3">
            <w:pPr>
              <w:pStyle w:val="TableText"/>
              <w:jc w:val="center"/>
            </w:pPr>
          </w:p>
        </w:tc>
      </w:tr>
      <w:tr w:rsidR="00DF78E5" w:rsidRPr="00536F4D" w:rsidTr="00DA12F3">
        <w:tc>
          <w:tcPr>
            <w:tcW w:w="1118" w:type="pct"/>
            <w:shd w:val="clear" w:color="auto" w:fill="auto"/>
            <w:vAlign w:val="center"/>
          </w:tcPr>
          <w:p w:rsidR="00DF78E5" w:rsidRPr="00536F4D" w:rsidRDefault="00DF78E5" w:rsidP="00524A2A">
            <w:pPr>
              <w:pStyle w:val="TableText"/>
              <w:jc w:val="left"/>
              <w:rPr>
                <w:rFonts w:ascii="Times" w:eastAsia="Times New Roman" w:hAnsi="Times" w:cs="Times New Roman"/>
                <w:szCs w:val="20"/>
              </w:rPr>
            </w:pPr>
            <w:r w:rsidRPr="00536F4D">
              <w:rPr>
                <w:szCs w:val="20"/>
              </w:rPr>
              <w:t>Number of patients likely to be treated with proposed medicine</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shd w:val="clear" w:color="auto" w:fill="auto"/>
            <w:vAlign w:val="center"/>
          </w:tcPr>
          <w:p w:rsidR="00DF78E5" w:rsidRPr="00536F4D" w:rsidRDefault="00DF78E5" w:rsidP="00524A2A">
            <w:pPr>
              <w:pStyle w:val="TableText"/>
              <w:jc w:val="left"/>
              <w:rPr>
                <w:rFonts w:ascii="Times" w:eastAsia="Times New Roman" w:hAnsi="Times" w:cs="Times New Roman"/>
                <w:szCs w:val="20"/>
              </w:rPr>
            </w:pPr>
            <w:r w:rsidRPr="00536F4D">
              <w:rPr>
                <w:szCs w:val="20"/>
              </w:rPr>
              <w:t xml:space="preserve">Number of scripts dispensed </w:t>
            </w:r>
            <w:r w:rsidRPr="00536F4D">
              <w:rPr>
                <w:szCs w:val="20"/>
                <w:vertAlign w:val="superscript"/>
              </w:rPr>
              <w:t>a</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5000" w:type="pct"/>
            <w:gridSpan w:val="7"/>
            <w:shd w:val="clear" w:color="auto" w:fill="auto"/>
            <w:vAlign w:val="center"/>
          </w:tcPr>
          <w:p w:rsidR="00DF78E5" w:rsidRPr="00536F4D" w:rsidRDefault="00DF78E5" w:rsidP="00524A2A">
            <w:pPr>
              <w:pStyle w:val="TableText"/>
              <w:jc w:val="left"/>
              <w:rPr>
                <w:b/>
                <w:bCs/>
                <w:color w:val="000000"/>
                <w:szCs w:val="20"/>
              </w:rPr>
            </w:pPr>
            <w:r w:rsidRPr="00536F4D">
              <w:rPr>
                <w:b/>
                <w:szCs w:val="20"/>
              </w:rPr>
              <w:t xml:space="preserve">Estimated financial implications of the </w:t>
            </w:r>
            <w:r w:rsidR="00B901D2" w:rsidRPr="00B901D2">
              <w:rPr>
                <w:b/>
                <w:bCs/>
                <w:i/>
                <w:color w:val="000000"/>
                <w:szCs w:val="20"/>
              </w:rPr>
              <w:t>T790M</w:t>
            </w:r>
            <w:r w:rsidRPr="00536F4D">
              <w:rPr>
                <w:b/>
                <w:bCs/>
                <w:color w:val="000000"/>
                <w:szCs w:val="20"/>
              </w:rPr>
              <w:t xml:space="preserve"> testing</w:t>
            </w:r>
            <w:r w:rsidRPr="00536F4D">
              <w:rPr>
                <w:b/>
                <w:szCs w:val="20"/>
              </w:rPr>
              <w:t xml:space="preserve"> to the MBS</w:t>
            </w:r>
          </w:p>
        </w:tc>
      </w:tr>
      <w:tr w:rsidR="00DF78E5" w:rsidRPr="00536F4D" w:rsidTr="00DA12F3">
        <w:tc>
          <w:tcPr>
            <w:tcW w:w="1118" w:type="pct"/>
            <w:shd w:val="clear" w:color="auto" w:fill="auto"/>
            <w:vAlign w:val="center"/>
          </w:tcPr>
          <w:p w:rsidR="00DF78E5" w:rsidRPr="00536F4D" w:rsidRDefault="00DF78E5" w:rsidP="00524A2A">
            <w:pPr>
              <w:pStyle w:val="TableText"/>
              <w:jc w:val="left"/>
              <w:rPr>
                <w:szCs w:val="20"/>
              </w:rPr>
            </w:pPr>
            <w:r w:rsidRPr="00536F4D">
              <w:rPr>
                <w:szCs w:val="20"/>
              </w:rPr>
              <w:t xml:space="preserve">Cost of </w:t>
            </w:r>
            <w:r w:rsidR="00B901D2" w:rsidRPr="00B901D2">
              <w:rPr>
                <w:i/>
                <w:szCs w:val="20"/>
              </w:rPr>
              <w:t>T790M</w:t>
            </w:r>
            <w:r w:rsidRPr="00536F4D">
              <w:rPr>
                <w:szCs w:val="20"/>
              </w:rPr>
              <w:t xml:space="preserve"> testing </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shd w:val="clear" w:color="auto" w:fill="auto"/>
            <w:vAlign w:val="center"/>
          </w:tcPr>
          <w:p w:rsidR="00DF78E5" w:rsidRPr="00536F4D" w:rsidRDefault="00DF78E5" w:rsidP="00524A2A">
            <w:pPr>
              <w:pStyle w:val="TableText"/>
              <w:jc w:val="left"/>
              <w:rPr>
                <w:szCs w:val="20"/>
              </w:rPr>
            </w:pPr>
            <w:r w:rsidRPr="00536F4D">
              <w:rPr>
                <w:szCs w:val="20"/>
              </w:rPr>
              <w:lastRenderedPageBreak/>
              <w:t xml:space="preserve">Copayments (revised) </w:t>
            </w:r>
            <w:r w:rsidRPr="00536F4D">
              <w:rPr>
                <w:szCs w:val="20"/>
                <w:vertAlign w:val="superscript"/>
              </w:rPr>
              <w:t>b</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vAlign w:val="bottom"/>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shd w:val="clear" w:color="auto" w:fill="auto"/>
            <w:vAlign w:val="center"/>
          </w:tcPr>
          <w:p w:rsidR="00DF78E5" w:rsidRPr="00536F4D" w:rsidRDefault="003A234B" w:rsidP="00524A2A">
            <w:pPr>
              <w:pStyle w:val="TableText"/>
              <w:jc w:val="left"/>
              <w:rPr>
                <w:szCs w:val="20"/>
              </w:rPr>
            </w:pPr>
            <w:r w:rsidRPr="00536F4D">
              <w:rPr>
                <w:szCs w:val="20"/>
              </w:rPr>
              <w:t>Cost to the MBS less copayments (revised)</w:t>
            </w:r>
            <w:r w:rsidRPr="00536F4D">
              <w:rPr>
                <w:szCs w:val="20"/>
                <w:vertAlign w:val="superscript"/>
              </w:rPr>
              <w:t xml:space="preserve"> b</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vAlign w:val="bottom"/>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vAlign w:val="bottom"/>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5000" w:type="pct"/>
            <w:gridSpan w:val="7"/>
            <w:shd w:val="clear" w:color="auto" w:fill="auto"/>
            <w:vAlign w:val="center"/>
          </w:tcPr>
          <w:p w:rsidR="00DF78E5" w:rsidRPr="00536F4D" w:rsidRDefault="00DE6897" w:rsidP="00524A2A">
            <w:pPr>
              <w:pStyle w:val="TableText"/>
              <w:jc w:val="left"/>
              <w:rPr>
                <w:b/>
                <w:bCs/>
                <w:color w:val="000000"/>
                <w:szCs w:val="20"/>
              </w:rPr>
            </w:pPr>
            <w:r w:rsidRPr="00536F4D">
              <w:rPr>
                <w:b/>
                <w:bCs/>
                <w:color w:val="000000"/>
                <w:szCs w:val="20"/>
              </w:rPr>
              <w:t>Estimated financial implications of osimertinib to the PBS/RPBS</w:t>
            </w:r>
          </w:p>
        </w:tc>
      </w:tr>
      <w:tr w:rsidR="00DF78E5" w:rsidRPr="00536F4D" w:rsidTr="00DA12F3">
        <w:tc>
          <w:tcPr>
            <w:tcW w:w="1118" w:type="pct"/>
            <w:shd w:val="clear" w:color="auto" w:fill="auto"/>
            <w:vAlign w:val="center"/>
          </w:tcPr>
          <w:p w:rsidR="00DF78E5" w:rsidRPr="00536F4D" w:rsidRDefault="00DF78E5" w:rsidP="00524A2A">
            <w:pPr>
              <w:pStyle w:val="TableText"/>
              <w:jc w:val="left"/>
              <w:rPr>
                <w:rFonts w:ascii="Times" w:eastAsia="Times New Roman" w:hAnsi="Times" w:cs="Times New Roman"/>
                <w:szCs w:val="20"/>
              </w:rPr>
            </w:pPr>
            <w:r w:rsidRPr="00536F4D">
              <w:rPr>
                <w:szCs w:val="20"/>
              </w:rPr>
              <w:t>Cost to PBS/RPBS</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shd w:val="clear" w:color="auto" w:fill="auto"/>
            <w:vAlign w:val="center"/>
          </w:tcPr>
          <w:p w:rsidR="00DF78E5" w:rsidRPr="00536F4D" w:rsidRDefault="00DF78E5" w:rsidP="00524A2A">
            <w:pPr>
              <w:pStyle w:val="TableText"/>
              <w:jc w:val="left"/>
              <w:rPr>
                <w:szCs w:val="20"/>
              </w:rPr>
            </w:pPr>
            <w:r w:rsidRPr="00536F4D">
              <w:rPr>
                <w:szCs w:val="20"/>
              </w:rPr>
              <w:t>Copayments</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shd w:val="clear" w:color="auto" w:fill="auto"/>
            <w:vAlign w:val="center"/>
          </w:tcPr>
          <w:p w:rsidR="00DF78E5" w:rsidRPr="00536F4D" w:rsidRDefault="00DF78E5" w:rsidP="00524A2A">
            <w:pPr>
              <w:pStyle w:val="TableText"/>
              <w:jc w:val="left"/>
              <w:rPr>
                <w:szCs w:val="20"/>
              </w:rPr>
            </w:pPr>
            <w:r w:rsidRPr="00536F4D">
              <w:rPr>
                <w:szCs w:val="20"/>
              </w:rPr>
              <w:t>Cost to PBS/RPBS less copayments</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5000" w:type="pct"/>
            <w:gridSpan w:val="7"/>
            <w:tcBorders>
              <w:bottom w:val="single" w:sz="4" w:space="0" w:color="auto"/>
            </w:tcBorders>
            <w:shd w:val="clear" w:color="auto" w:fill="auto"/>
            <w:vAlign w:val="center"/>
          </w:tcPr>
          <w:p w:rsidR="00DF78E5" w:rsidRPr="00536F4D" w:rsidRDefault="00DF78E5" w:rsidP="00524A2A">
            <w:pPr>
              <w:pStyle w:val="TableText"/>
              <w:jc w:val="left"/>
              <w:rPr>
                <w:bCs/>
                <w:color w:val="000000"/>
                <w:szCs w:val="20"/>
              </w:rPr>
            </w:pPr>
            <w:r w:rsidRPr="00536F4D">
              <w:rPr>
                <w:b/>
                <w:bCs/>
                <w:color w:val="000000"/>
                <w:szCs w:val="20"/>
              </w:rPr>
              <w:t>Estimated financial implications for associated biopsies and reduction in chemotherapy administration to the MBS</w:t>
            </w:r>
          </w:p>
        </w:tc>
      </w:tr>
      <w:tr w:rsidR="00DF78E5" w:rsidRPr="00536F4D" w:rsidTr="00DA12F3">
        <w:tc>
          <w:tcPr>
            <w:tcW w:w="1118" w:type="pct"/>
            <w:tcBorders>
              <w:bottom w:val="nil"/>
            </w:tcBorders>
            <w:shd w:val="clear" w:color="auto" w:fill="auto"/>
            <w:vAlign w:val="center"/>
          </w:tcPr>
          <w:p w:rsidR="00DF78E5" w:rsidRPr="00536F4D" w:rsidRDefault="00DF78E5" w:rsidP="00524A2A">
            <w:pPr>
              <w:pStyle w:val="TableText"/>
              <w:jc w:val="left"/>
              <w:rPr>
                <w:szCs w:val="20"/>
              </w:rPr>
            </w:pPr>
            <w:r w:rsidRPr="00536F4D">
              <w:rPr>
                <w:szCs w:val="20"/>
              </w:rPr>
              <w:t>Increase in costs to the MBS</w:t>
            </w:r>
          </w:p>
        </w:tc>
        <w:tc>
          <w:tcPr>
            <w:tcW w:w="647" w:type="pct"/>
            <w:tcBorders>
              <w:bottom w:val="nil"/>
            </w:tcBorders>
            <w:shd w:val="clear" w:color="auto" w:fill="auto"/>
            <w:vAlign w:val="center"/>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vAlign w:val="center"/>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vAlign w:val="center"/>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vAlign w:val="center"/>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vAlign w:val="center"/>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vAlign w:val="center"/>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tcBorders>
              <w:top w:val="nil"/>
              <w:bottom w:val="single" w:sz="4" w:space="0" w:color="auto"/>
            </w:tcBorders>
            <w:shd w:val="clear" w:color="auto" w:fill="auto"/>
            <w:vAlign w:val="center"/>
          </w:tcPr>
          <w:p w:rsidR="00DF78E5" w:rsidRPr="00536F4D" w:rsidRDefault="00DF78E5" w:rsidP="00524A2A">
            <w:pPr>
              <w:pStyle w:val="TableText"/>
              <w:jc w:val="left"/>
              <w:rPr>
                <w:szCs w:val="20"/>
              </w:rPr>
            </w:pPr>
            <w:r w:rsidRPr="00536F4D">
              <w:rPr>
                <w:szCs w:val="20"/>
              </w:rPr>
              <w:t>Revised</w:t>
            </w:r>
            <w:r w:rsidRPr="00536F4D">
              <w:rPr>
                <w:szCs w:val="20"/>
                <w:vertAlign w:val="superscript"/>
              </w:rPr>
              <w:t xml:space="preserve"> c</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tcBorders>
              <w:bottom w:val="nil"/>
            </w:tcBorders>
            <w:shd w:val="clear" w:color="auto" w:fill="auto"/>
            <w:vAlign w:val="center"/>
          </w:tcPr>
          <w:p w:rsidR="00DF78E5" w:rsidRPr="00536F4D" w:rsidRDefault="00DF78E5" w:rsidP="00524A2A">
            <w:pPr>
              <w:pStyle w:val="TableText"/>
              <w:jc w:val="left"/>
              <w:rPr>
                <w:szCs w:val="20"/>
              </w:rPr>
            </w:pPr>
            <w:r w:rsidRPr="00536F4D">
              <w:rPr>
                <w:szCs w:val="20"/>
              </w:rPr>
              <w:t>Reduction in costs to the MBS</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tcBorders>
              <w:top w:val="nil"/>
              <w:bottom w:val="single" w:sz="4" w:space="0" w:color="auto"/>
            </w:tcBorders>
            <w:shd w:val="clear" w:color="auto" w:fill="auto"/>
            <w:vAlign w:val="center"/>
          </w:tcPr>
          <w:p w:rsidR="00DF78E5" w:rsidRPr="00536F4D" w:rsidRDefault="00DF78E5" w:rsidP="00524A2A">
            <w:pPr>
              <w:pStyle w:val="TableText"/>
              <w:jc w:val="left"/>
              <w:rPr>
                <w:szCs w:val="20"/>
              </w:rPr>
            </w:pPr>
            <w:r w:rsidRPr="00536F4D">
              <w:rPr>
                <w:szCs w:val="20"/>
              </w:rPr>
              <w:t xml:space="preserve">Revised </w:t>
            </w:r>
            <w:r w:rsidRPr="00536F4D">
              <w:rPr>
                <w:szCs w:val="20"/>
                <w:vertAlign w:val="superscript"/>
              </w:rPr>
              <w:t>d</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bottom w:val="single" w:sz="4" w:space="0" w:color="auto"/>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tcBorders>
              <w:bottom w:val="nil"/>
            </w:tcBorders>
            <w:shd w:val="clear" w:color="auto" w:fill="auto"/>
            <w:vAlign w:val="center"/>
          </w:tcPr>
          <w:p w:rsidR="00DF78E5" w:rsidRPr="00536F4D" w:rsidRDefault="00DF78E5" w:rsidP="00524A2A">
            <w:pPr>
              <w:pStyle w:val="TableText"/>
              <w:jc w:val="left"/>
              <w:rPr>
                <w:szCs w:val="20"/>
              </w:rPr>
            </w:pPr>
            <w:r w:rsidRPr="00536F4D">
              <w:rPr>
                <w:szCs w:val="20"/>
              </w:rPr>
              <w:t>Net cost to the MBS of associated services</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tcBorders>
              <w:top w:val="nil"/>
            </w:tcBorders>
            <w:shd w:val="clear" w:color="auto" w:fill="auto"/>
            <w:vAlign w:val="center"/>
          </w:tcPr>
          <w:p w:rsidR="00DF78E5" w:rsidRPr="00536F4D" w:rsidRDefault="00DF78E5" w:rsidP="00524A2A">
            <w:pPr>
              <w:pStyle w:val="TableText"/>
              <w:jc w:val="left"/>
              <w:rPr>
                <w:szCs w:val="20"/>
              </w:rPr>
            </w:pPr>
            <w:r w:rsidRPr="00536F4D">
              <w:rPr>
                <w:szCs w:val="20"/>
              </w:rPr>
              <w:t>Revised</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5000" w:type="pct"/>
            <w:gridSpan w:val="7"/>
            <w:tcBorders>
              <w:bottom w:val="single" w:sz="4" w:space="0" w:color="auto"/>
            </w:tcBorders>
            <w:shd w:val="clear" w:color="auto" w:fill="auto"/>
            <w:vAlign w:val="center"/>
          </w:tcPr>
          <w:p w:rsidR="00DF78E5" w:rsidRPr="00536F4D" w:rsidRDefault="00DF78E5" w:rsidP="00524A2A">
            <w:pPr>
              <w:pStyle w:val="TableText"/>
              <w:jc w:val="left"/>
              <w:rPr>
                <w:bCs/>
                <w:color w:val="000000"/>
                <w:szCs w:val="20"/>
              </w:rPr>
            </w:pPr>
            <w:r w:rsidRPr="00536F4D">
              <w:rPr>
                <w:b/>
                <w:bCs/>
                <w:color w:val="000000"/>
                <w:szCs w:val="20"/>
              </w:rPr>
              <w:t>Estimated financial implications for reduction in use of chemotherapy, pemetrexed maintenance and nivolumab use</w:t>
            </w:r>
          </w:p>
        </w:tc>
      </w:tr>
      <w:tr w:rsidR="00DF78E5" w:rsidRPr="00536F4D" w:rsidTr="00DA12F3">
        <w:tc>
          <w:tcPr>
            <w:tcW w:w="1118" w:type="pct"/>
            <w:tcBorders>
              <w:bottom w:val="nil"/>
            </w:tcBorders>
            <w:shd w:val="clear" w:color="auto" w:fill="auto"/>
            <w:vAlign w:val="center"/>
          </w:tcPr>
          <w:p w:rsidR="00DF78E5" w:rsidRPr="00536F4D" w:rsidRDefault="00DF78E5" w:rsidP="00524A2A">
            <w:pPr>
              <w:pStyle w:val="TableText"/>
              <w:jc w:val="left"/>
              <w:rPr>
                <w:szCs w:val="20"/>
              </w:rPr>
            </w:pPr>
            <w:r w:rsidRPr="00536F4D">
              <w:rPr>
                <w:szCs w:val="20"/>
              </w:rPr>
              <w:t>Reduction to PBS/RPBS</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tcBorders>
              <w:top w:val="nil"/>
            </w:tcBorders>
            <w:shd w:val="clear" w:color="auto" w:fill="auto"/>
            <w:vAlign w:val="center"/>
          </w:tcPr>
          <w:p w:rsidR="00DF78E5" w:rsidRPr="00536F4D" w:rsidRDefault="00DF78E5" w:rsidP="00524A2A">
            <w:pPr>
              <w:pStyle w:val="TableText"/>
              <w:jc w:val="left"/>
              <w:rPr>
                <w:szCs w:val="20"/>
              </w:rPr>
            </w:pPr>
            <w:r w:rsidRPr="00536F4D">
              <w:rPr>
                <w:szCs w:val="20"/>
              </w:rPr>
              <w:t xml:space="preserve">Revised </w:t>
            </w:r>
            <w:r w:rsidRPr="00536F4D">
              <w:rPr>
                <w:szCs w:val="20"/>
                <w:vertAlign w:val="superscript"/>
              </w:rPr>
              <w:t>e</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tcBorders>
              <w:bottom w:val="single" w:sz="4" w:space="0" w:color="auto"/>
            </w:tcBorders>
            <w:shd w:val="clear" w:color="auto" w:fill="auto"/>
            <w:vAlign w:val="center"/>
          </w:tcPr>
          <w:p w:rsidR="00DF78E5" w:rsidRPr="00536F4D" w:rsidRDefault="00DF78E5" w:rsidP="00524A2A">
            <w:pPr>
              <w:pStyle w:val="TableText"/>
              <w:jc w:val="left"/>
              <w:rPr>
                <w:szCs w:val="20"/>
              </w:rPr>
            </w:pPr>
            <w:r w:rsidRPr="00536F4D">
              <w:rPr>
                <w:szCs w:val="20"/>
              </w:rPr>
              <w:t>Copayments</w:t>
            </w:r>
          </w:p>
        </w:tc>
        <w:tc>
          <w:tcPr>
            <w:tcW w:w="647" w:type="pct"/>
            <w:tcBorders>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single" w:sz="4" w:space="0" w:color="auto"/>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single" w:sz="4" w:space="0" w:color="auto"/>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tcBorders>
              <w:bottom w:val="nil"/>
            </w:tcBorders>
            <w:shd w:val="clear" w:color="auto" w:fill="auto"/>
            <w:vAlign w:val="center"/>
          </w:tcPr>
          <w:p w:rsidR="00DF78E5" w:rsidRPr="00536F4D" w:rsidRDefault="00DF78E5" w:rsidP="00524A2A">
            <w:pPr>
              <w:pStyle w:val="TableText"/>
              <w:jc w:val="left"/>
              <w:rPr>
                <w:szCs w:val="20"/>
              </w:rPr>
            </w:pPr>
            <w:r w:rsidRPr="00536F4D">
              <w:rPr>
                <w:szCs w:val="20"/>
              </w:rPr>
              <w:t>Reduction to PBS/RPBS less copayments</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bottom w:val="nil"/>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1118" w:type="pct"/>
            <w:tcBorders>
              <w:top w:val="nil"/>
            </w:tcBorders>
            <w:shd w:val="clear" w:color="auto" w:fill="auto"/>
            <w:vAlign w:val="center"/>
          </w:tcPr>
          <w:p w:rsidR="00DF78E5" w:rsidRPr="00536F4D" w:rsidRDefault="00DF78E5" w:rsidP="00524A2A">
            <w:pPr>
              <w:pStyle w:val="TableText"/>
              <w:jc w:val="left"/>
              <w:rPr>
                <w:szCs w:val="20"/>
              </w:rPr>
            </w:pPr>
            <w:r w:rsidRPr="00536F4D">
              <w:rPr>
                <w:szCs w:val="20"/>
              </w:rPr>
              <w:t>Revised</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noProof/>
                <w:color w:val="000000"/>
                <w:highlight w:val="black"/>
              </w:rPr>
              <w:t>''''''''''''''''''''''''''</w:t>
            </w:r>
          </w:p>
        </w:tc>
        <w:tc>
          <w:tcPr>
            <w:tcW w:w="647" w:type="pct"/>
            <w:tcBorders>
              <w:top w:val="nil"/>
            </w:tcBorders>
          </w:tcPr>
          <w:p w:rsidR="00DF78E5" w:rsidRPr="000B2D46" w:rsidRDefault="000B2D46" w:rsidP="00DA12F3">
            <w:pPr>
              <w:pStyle w:val="TableText"/>
              <w:jc w:val="center"/>
              <w:rPr>
                <w:bCs/>
                <w:color w:val="000000"/>
                <w:highlight w:val="black"/>
              </w:rPr>
            </w:pPr>
            <w:r>
              <w:rPr>
                <w:noProof/>
                <w:color w:val="000000"/>
                <w:highlight w:val="black"/>
              </w:rPr>
              <w:t>''''''''''''''''''''''''''''</w:t>
            </w:r>
          </w:p>
        </w:tc>
      </w:tr>
      <w:tr w:rsidR="00DF78E5" w:rsidRPr="00536F4D" w:rsidTr="00DA12F3">
        <w:tc>
          <w:tcPr>
            <w:tcW w:w="5000" w:type="pct"/>
            <w:gridSpan w:val="7"/>
            <w:tcBorders>
              <w:bottom w:val="single" w:sz="4" w:space="0" w:color="auto"/>
            </w:tcBorders>
            <w:shd w:val="clear" w:color="auto" w:fill="auto"/>
            <w:vAlign w:val="center"/>
          </w:tcPr>
          <w:p w:rsidR="00DF78E5" w:rsidRPr="00536F4D" w:rsidRDefault="00DF78E5" w:rsidP="00524A2A">
            <w:pPr>
              <w:pStyle w:val="TableText"/>
              <w:jc w:val="left"/>
              <w:rPr>
                <w:b/>
                <w:bCs/>
                <w:color w:val="000000"/>
                <w:szCs w:val="20"/>
              </w:rPr>
            </w:pPr>
            <w:r w:rsidRPr="00536F4D">
              <w:rPr>
                <w:b/>
                <w:bCs/>
                <w:color w:val="000000"/>
                <w:szCs w:val="20"/>
              </w:rPr>
              <w:t>Net financial implications</w:t>
            </w:r>
            <w:r w:rsidRPr="00536F4D">
              <w:rPr>
                <w:b/>
                <w:bCs/>
                <w:color w:val="4472C4" w:themeColor="accent5"/>
                <w:szCs w:val="20"/>
              </w:rPr>
              <w:t xml:space="preserve"> </w:t>
            </w:r>
          </w:p>
        </w:tc>
      </w:tr>
      <w:tr w:rsidR="00DF78E5" w:rsidRPr="00536F4D" w:rsidTr="00DA12F3">
        <w:tc>
          <w:tcPr>
            <w:tcW w:w="1118" w:type="pct"/>
            <w:tcBorders>
              <w:bottom w:val="nil"/>
            </w:tcBorders>
            <w:shd w:val="clear" w:color="auto" w:fill="auto"/>
            <w:vAlign w:val="center"/>
          </w:tcPr>
          <w:p w:rsidR="00DF78E5" w:rsidRPr="00536F4D" w:rsidRDefault="00DF78E5" w:rsidP="00524A2A">
            <w:pPr>
              <w:pStyle w:val="TableText"/>
              <w:jc w:val="left"/>
              <w:rPr>
                <w:b/>
                <w:szCs w:val="20"/>
              </w:rPr>
            </w:pPr>
            <w:r w:rsidRPr="00536F4D">
              <w:rPr>
                <w:b/>
                <w:szCs w:val="20"/>
              </w:rPr>
              <w:t>Net cost to PBS/RPBS</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tcPr>
          <w:p w:rsidR="00DF78E5" w:rsidRPr="000B2D46" w:rsidRDefault="000B2D46" w:rsidP="00DA12F3">
            <w:pPr>
              <w:pStyle w:val="TableText"/>
              <w:jc w:val="center"/>
              <w:rPr>
                <w:b/>
                <w:bCs/>
                <w:color w:val="000000"/>
                <w:highlight w:val="black"/>
              </w:rPr>
            </w:pPr>
            <w:r>
              <w:rPr>
                <w:b/>
                <w:noProof/>
                <w:color w:val="000000"/>
                <w:highlight w:val="black"/>
              </w:rPr>
              <w:t>''''''''''''''''''''''''''</w:t>
            </w:r>
          </w:p>
        </w:tc>
      </w:tr>
      <w:tr w:rsidR="00DF78E5" w:rsidRPr="00536F4D" w:rsidTr="00DA12F3">
        <w:tc>
          <w:tcPr>
            <w:tcW w:w="1118" w:type="pct"/>
            <w:tcBorders>
              <w:top w:val="nil"/>
              <w:bottom w:val="single" w:sz="4" w:space="0" w:color="auto"/>
            </w:tcBorders>
            <w:shd w:val="clear" w:color="auto" w:fill="auto"/>
            <w:vAlign w:val="center"/>
          </w:tcPr>
          <w:p w:rsidR="00DF78E5" w:rsidRPr="00536F4D" w:rsidRDefault="00DF78E5" w:rsidP="00524A2A">
            <w:pPr>
              <w:pStyle w:val="TableText"/>
              <w:jc w:val="left"/>
              <w:rPr>
                <w:b/>
                <w:szCs w:val="20"/>
              </w:rPr>
            </w:pPr>
            <w:r w:rsidRPr="00536F4D">
              <w:rPr>
                <w:b/>
                <w:szCs w:val="20"/>
              </w:rPr>
              <w:t>Revised</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tcPr>
          <w:p w:rsidR="00DF78E5" w:rsidRPr="000B2D46" w:rsidRDefault="000B2D46" w:rsidP="00DA12F3">
            <w:pPr>
              <w:pStyle w:val="TableText"/>
              <w:jc w:val="center"/>
              <w:rPr>
                <w:b/>
                <w:bCs/>
                <w:color w:val="000000"/>
                <w:highlight w:val="black"/>
              </w:rPr>
            </w:pPr>
            <w:r>
              <w:rPr>
                <w:b/>
                <w:noProof/>
                <w:color w:val="000000"/>
                <w:highlight w:val="black"/>
              </w:rPr>
              <w:t>'''''''''''''''''''''''</w:t>
            </w:r>
          </w:p>
        </w:tc>
      </w:tr>
      <w:tr w:rsidR="00DF78E5" w:rsidRPr="00536F4D" w:rsidTr="00DA12F3">
        <w:tc>
          <w:tcPr>
            <w:tcW w:w="1118" w:type="pct"/>
            <w:tcBorders>
              <w:bottom w:val="nil"/>
            </w:tcBorders>
            <w:shd w:val="clear" w:color="auto" w:fill="auto"/>
            <w:vAlign w:val="center"/>
          </w:tcPr>
          <w:p w:rsidR="00DF78E5" w:rsidRPr="00536F4D" w:rsidRDefault="00DF78E5" w:rsidP="00524A2A">
            <w:pPr>
              <w:pStyle w:val="TableText"/>
              <w:jc w:val="left"/>
              <w:rPr>
                <w:rFonts w:ascii="Times" w:eastAsia="Times New Roman" w:hAnsi="Times" w:cs="Times New Roman"/>
                <w:b/>
                <w:szCs w:val="20"/>
              </w:rPr>
            </w:pPr>
            <w:r w:rsidRPr="00536F4D">
              <w:rPr>
                <w:b/>
                <w:szCs w:val="20"/>
              </w:rPr>
              <w:t>Net cost to MBS</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bottom w:val="nil"/>
            </w:tcBorders>
          </w:tcPr>
          <w:p w:rsidR="00DF78E5" w:rsidRPr="000B2D46" w:rsidRDefault="000B2D46" w:rsidP="00DA12F3">
            <w:pPr>
              <w:pStyle w:val="TableText"/>
              <w:jc w:val="center"/>
              <w:rPr>
                <w:b/>
                <w:bCs/>
                <w:color w:val="000000"/>
                <w:highlight w:val="black"/>
              </w:rPr>
            </w:pPr>
            <w:r>
              <w:rPr>
                <w:b/>
                <w:noProof/>
                <w:color w:val="000000"/>
                <w:highlight w:val="black"/>
              </w:rPr>
              <w:t>''''''''''''''''</w:t>
            </w:r>
          </w:p>
        </w:tc>
      </w:tr>
      <w:tr w:rsidR="00DF78E5" w:rsidRPr="00536F4D" w:rsidTr="00DA12F3">
        <w:tc>
          <w:tcPr>
            <w:tcW w:w="1118" w:type="pct"/>
            <w:tcBorders>
              <w:top w:val="nil"/>
              <w:bottom w:val="single" w:sz="4" w:space="0" w:color="auto"/>
            </w:tcBorders>
            <w:shd w:val="clear" w:color="auto" w:fill="auto"/>
            <w:vAlign w:val="center"/>
          </w:tcPr>
          <w:p w:rsidR="00DF78E5" w:rsidRPr="00536F4D" w:rsidRDefault="00DF78E5" w:rsidP="00524A2A">
            <w:pPr>
              <w:pStyle w:val="TableText"/>
              <w:jc w:val="left"/>
              <w:rPr>
                <w:b/>
                <w:szCs w:val="20"/>
              </w:rPr>
            </w:pPr>
            <w:r w:rsidRPr="00536F4D">
              <w:rPr>
                <w:b/>
                <w:szCs w:val="20"/>
              </w:rPr>
              <w:t>Revised</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shd w:val="clear" w:color="auto" w:fill="auto"/>
          </w:tcPr>
          <w:p w:rsidR="00DF78E5" w:rsidRPr="000B2D46" w:rsidRDefault="000B2D46" w:rsidP="00DA12F3">
            <w:pPr>
              <w:pStyle w:val="TableText"/>
              <w:jc w:val="center"/>
              <w:rPr>
                <w:b/>
                <w:bCs/>
                <w:color w:val="000000"/>
                <w:highlight w:val="black"/>
              </w:rPr>
            </w:pPr>
            <w:r>
              <w:rPr>
                <w:b/>
                <w:noProof/>
                <w:color w:val="000000"/>
                <w:highlight w:val="black"/>
              </w:rPr>
              <w:t>''''''''''''''''''</w:t>
            </w:r>
          </w:p>
        </w:tc>
        <w:tc>
          <w:tcPr>
            <w:tcW w:w="647" w:type="pct"/>
            <w:tcBorders>
              <w:top w:val="nil"/>
              <w:bottom w:val="single" w:sz="4" w:space="0" w:color="auto"/>
            </w:tcBorders>
          </w:tcPr>
          <w:p w:rsidR="00DF78E5" w:rsidRPr="000B2D46" w:rsidRDefault="000B2D46" w:rsidP="00DA12F3">
            <w:pPr>
              <w:pStyle w:val="TableText"/>
              <w:jc w:val="center"/>
              <w:rPr>
                <w:b/>
                <w:bCs/>
                <w:color w:val="000000"/>
                <w:highlight w:val="black"/>
              </w:rPr>
            </w:pPr>
            <w:r>
              <w:rPr>
                <w:b/>
                <w:noProof/>
                <w:color w:val="000000"/>
                <w:highlight w:val="black"/>
              </w:rPr>
              <w:t>'''''''''''''''''''</w:t>
            </w:r>
          </w:p>
        </w:tc>
      </w:tr>
      <w:tr w:rsidR="00DF78E5" w:rsidRPr="00536F4D" w:rsidTr="00DA12F3">
        <w:tc>
          <w:tcPr>
            <w:tcW w:w="1118" w:type="pct"/>
            <w:tcBorders>
              <w:bottom w:val="nil"/>
            </w:tcBorders>
            <w:shd w:val="clear" w:color="auto" w:fill="auto"/>
          </w:tcPr>
          <w:p w:rsidR="00DF78E5" w:rsidRPr="00536F4D" w:rsidRDefault="00DF78E5" w:rsidP="00524A2A">
            <w:pPr>
              <w:pStyle w:val="TableText"/>
              <w:jc w:val="left"/>
              <w:rPr>
                <w:szCs w:val="20"/>
              </w:rPr>
            </w:pPr>
            <w:r w:rsidRPr="00536F4D">
              <w:rPr>
                <w:b/>
              </w:rPr>
              <w:t>Net cost to health budget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bottom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bottom w:val="nil"/>
            </w:tcBorders>
          </w:tcPr>
          <w:p w:rsidR="00DF78E5" w:rsidRPr="000B2D46" w:rsidRDefault="000B2D46" w:rsidP="00DA12F3">
            <w:pPr>
              <w:pStyle w:val="TableText"/>
              <w:jc w:val="center"/>
              <w:rPr>
                <w:bCs/>
                <w:color w:val="000000"/>
                <w:highlight w:val="black"/>
              </w:rPr>
            </w:pPr>
            <w:r>
              <w:rPr>
                <w:b/>
                <w:noProof/>
                <w:color w:val="000000"/>
                <w:highlight w:val="black"/>
              </w:rPr>
              <w:t>'''''''''''''''''''''''</w:t>
            </w:r>
          </w:p>
        </w:tc>
      </w:tr>
      <w:tr w:rsidR="00DF78E5" w:rsidRPr="00536F4D" w:rsidTr="00DA12F3">
        <w:tc>
          <w:tcPr>
            <w:tcW w:w="1118" w:type="pct"/>
            <w:tcBorders>
              <w:top w:val="nil"/>
            </w:tcBorders>
            <w:shd w:val="clear" w:color="auto" w:fill="auto"/>
          </w:tcPr>
          <w:p w:rsidR="00DF78E5" w:rsidRPr="00536F4D" w:rsidRDefault="00DF78E5" w:rsidP="00524A2A">
            <w:pPr>
              <w:pStyle w:val="TableText"/>
              <w:jc w:val="left"/>
              <w:rPr>
                <w:szCs w:val="20"/>
              </w:rPr>
            </w:pPr>
            <w:r w:rsidRPr="00536F4D">
              <w:rPr>
                <w:b/>
              </w:rPr>
              <w:t>Revised</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top w:val="nil"/>
            </w:tcBorders>
            <w:shd w:val="clear" w:color="auto" w:fill="auto"/>
          </w:tcPr>
          <w:p w:rsidR="00DF78E5" w:rsidRPr="000B2D46" w:rsidRDefault="000B2D46" w:rsidP="00DA12F3">
            <w:pPr>
              <w:pStyle w:val="TableText"/>
              <w:jc w:val="center"/>
              <w:rPr>
                <w:bCs/>
                <w:color w:val="000000"/>
                <w:highlight w:val="black"/>
              </w:rPr>
            </w:pPr>
            <w:r>
              <w:rPr>
                <w:b/>
                <w:noProof/>
                <w:color w:val="000000"/>
                <w:highlight w:val="black"/>
              </w:rPr>
              <w:t>''''''''''''''''''''''''''</w:t>
            </w:r>
          </w:p>
        </w:tc>
        <w:tc>
          <w:tcPr>
            <w:tcW w:w="647" w:type="pct"/>
            <w:tcBorders>
              <w:top w:val="nil"/>
            </w:tcBorders>
          </w:tcPr>
          <w:p w:rsidR="00DF78E5" w:rsidRPr="000B2D46" w:rsidRDefault="000B2D46" w:rsidP="00DA12F3">
            <w:pPr>
              <w:pStyle w:val="TableText"/>
              <w:jc w:val="center"/>
              <w:rPr>
                <w:bCs/>
                <w:color w:val="000000"/>
                <w:highlight w:val="black"/>
              </w:rPr>
            </w:pPr>
            <w:r>
              <w:rPr>
                <w:b/>
                <w:noProof/>
                <w:color w:val="000000"/>
                <w:highlight w:val="black"/>
              </w:rPr>
              <w:t>''''''''''''''''''''''</w:t>
            </w:r>
          </w:p>
        </w:tc>
      </w:tr>
    </w:tbl>
    <w:p w:rsidR="00DF78E5" w:rsidRPr="00536F4D" w:rsidRDefault="00DF78E5" w:rsidP="00DF78E5">
      <w:pPr>
        <w:pStyle w:val="TableFooter"/>
      </w:pPr>
      <w:r w:rsidRPr="00536F4D">
        <w:rPr>
          <w:vertAlign w:val="superscript"/>
        </w:rPr>
        <w:t>a</w:t>
      </w:r>
      <w:r w:rsidRPr="00536F4D">
        <w:t xml:space="preserve"> Assuming 11 per patient as estimated by the submission.</w:t>
      </w:r>
    </w:p>
    <w:p w:rsidR="00DF78E5" w:rsidRPr="00536F4D" w:rsidRDefault="00DF78E5" w:rsidP="00DF78E5">
      <w:pPr>
        <w:pStyle w:val="TableFooter"/>
      </w:pPr>
      <w:r w:rsidRPr="00536F4D">
        <w:rPr>
          <w:vertAlign w:val="superscript"/>
        </w:rPr>
        <w:t>b</w:t>
      </w:r>
      <w:r w:rsidRPr="00536F4D">
        <w:t xml:space="preserve"> </w:t>
      </w:r>
      <w:r w:rsidR="003A234B" w:rsidRPr="00536F4D">
        <w:t xml:space="preserve">Revised to take into account the appropriate MBS benefit and patient contributions in the cost of testing. Estimates were based on the average fee charged to patients for current MBS-funded </w:t>
      </w:r>
      <w:r w:rsidR="00B901D2" w:rsidRPr="00B901D2">
        <w:rPr>
          <w:i/>
        </w:rPr>
        <w:t>EGFR</w:t>
      </w:r>
      <w:r w:rsidR="003A234B" w:rsidRPr="00536F4D">
        <w:t xml:space="preserve"> tests, the proportion of these services which are conducted in the outpatient setting and the proportion of these services which are bulkbilled, as reported in the Report to the Medical Services Advisory Committee on real world outcomes of Application 1161 PSD, November 2016.</w:t>
      </w:r>
    </w:p>
    <w:p w:rsidR="00DF78E5" w:rsidRPr="00536F4D" w:rsidRDefault="00DF78E5" w:rsidP="00DF78E5">
      <w:pPr>
        <w:pStyle w:val="TableFooter"/>
      </w:pPr>
      <w:r w:rsidRPr="00536F4D">
        <w:rPr>
          <w:vertAlign w:val="superscript"/>
        </w:rPr>
        <w:t>c</w:t>
      </w:r>
      <w:r w:rsidRPr="00536F4D">
        <w:t xml:space="preserve"> Revised to assume that in 65% of services, the 85% MBS benefit applies, and in 35% of services, the 75% MBS benefit applies.</w:t>
      </w:r>
    </w:p>
    <w:p w:rsidR="00DF78E5" w:rsidRPr="00536F4D" w:rsidRDefault="00DF78E5" w:rsidP="00DF78E5">
      <w:pPr>
        <w:pStyle w:val="TableFooter"/>
      </w:pPr>
      <w:r w:rsidRPr="00536F4D">
        <w:rPr>
          <w:vertAlign w:val="superscript"/>
        </w:rPr>
        <w:t>d</w:t>
      </w:r>
      <w:r w:rsidRPr="00536F4D">
        <w:t xml:space="preserve"> Revised to assume 4 administration services of gemcitabine apply, as the service associated with carboplatin use will cover gemcitabine administration on day 1 of each chemotherapy cycle; to assume 6 administrations per patient for nivolumab, as implied in Table 4-24, p208 of the submission, rather than 1 administration per patient as costed in the analysis; and to assume that in 8.5% of services, the 75% MBS benefit applies, and in the remainder of services, the 85% MBS benefit applies.</w:t>
      </w:r>
    </w:p>
    <w:p w:rsidR="00DF78E5" w:rsidRPr="00536F4D" w:rsidRDefault="00DF78E5" w:rsidP="00DF78E5">
      <w:pPr>
        <w:pStyle w:val="TableFooter"/>
      </w:pPr>
      <w:r w:rsidRPr="00536F4D">
        <w:rPr>
          <w:vertAlign w:val="superscript"/>
        </w:rPr>
        <w:t>e</w:t>
      </w:r>
      <w:r w:rsidRPr="00536F4D">
        <w:t xml:space="preserve"> Revised to account for, where applicable, the additional compound fee where compounding was undertaken at a TGA-licensed compounding site, as the PBAC have previously considered that the majority of chemotherapy preparations are compounded in these settings [PBAC bevacizumab PSD, November 2015]; to cost the most efficient combination of vials for the required average dose; and updated to reflect the EFC fees from 1 July, 2017.</w:t>
      </w:r>
    </w:p>
    <w:p w:rsidR="00DF78E5" w:rsidRPr="00536F4D" w:rsidRDefault="00DF78E5" w:rsidP="00DF78E5">
      <w:pPr>
        <w:pStyle w:val="TableFooter"/>
      </w:pPr>
      <w:r w:rsidRPr="00536F4D">
        <w:t>Source: Table4-5, p198; Table 4-11, p201; Table 4-26, pp208-209; Table 4-20, p205; Table 4-21, p206; and Table 4-27, p208 of the submission.</w:t>
      </w:r>
    </w:p>
    <w:p w:rsidR="009B4C1E" w:rsidRPr="009B4C1E" w:rsidRDefault="009B4C1E" w:rsidP="009B4C1E">
      <w:pPr>
        <w:ind w:left="360"/>
        <w:rPr>
          <w:rFonts w:cs="Arial"/>
          <w:szCs w:val="24"/>
        </w:rPr>
      </w:pPr>
      <w:r w:rsidRPr="009B4C1E">
        <w:rPr>
          <w:rFonts w:cs="Arial"/>
          <w:szCs w:val="24"/>
        </w:rPr>
        <w:lastRenderedPageBreak/>
        <w:t xml:space="preserve">The redacted table shows that at year 5, the estimated number of patients was </w:t>
      </w:r>
      <w:r>
        <w:rPr>
          <w:rFonts w:cs="Arial"/>
          <w:szCs w:val="24"/>
        </w:rPr>
        <w:t>less than 10,000 per year</w:t>
      </w:r>
      <w:r w:rsidRPr="009B4C1E">
        <w:rPr>
          <w:rFonts w:cs="Arial"/>
          <w:szCs w:val="24"/>
        </w:rPr>
        <w:t xml:space="preserve"> and the net cost to the PBS would be </w:t>
      </w:r>
      <w:r>
        <w:rPr>
          <w:rFonts w:cs="Arial"/>
          <w:szCs w:val="24"/>
        </w:rPr>
        <w:t>$</w:t>
      </w:r>
      <w:r w:rsidR="007372CD">
        <w:rPr>
          <w:rFonts w:cs="Arial"/>
          <w:szCs w:val="24"/>
        </w:rPr>
        <w:t>2</w:t>
      </w:r>
      <w:r>
        <w:rPr>
          <w:rFonts w:cs="Arial"/>
          <w:szCs w:val="24"/>
        </w:rPr>
        <w:t>0 - $</w:t>
      </w:r>
      <w:r w:rsidR="007372CD">
        <w:rPr>
          <w:rFonts w:cs="Arial"/>
          <w:szCs w:val="24"/>
        </w:rPr>
        <w:t>3</w:t>
      </w:r>
      <w:r>
        <w:rPr>
          <w:rFonts w:cs="Arial"/>
          <w:szCs w:val="24"/>
        </w:rPr>
        <w:t xml:space="preserve">0 million per year. </w:t>
      </w:r>
    </w:p>
    <w:p w:rsidR="004037F9" w:rsidRPr="00536F4D" w:rsidRDefault="004037F9" w:rsidP="00891893">
      <w:pPr>
        <w:pStyle w:val="ListParagraph"/>
        <w:ind w:left="709" w:hanging="709"/>
      </w:pPr>
      <w:r w:rsidRPr="00536F4D">
        <w:t xml:space="preserve">The submission estimated that the number of patients eligible for testing each year would increase from </w:t>
      </w:r>
      <w:r w:rsidR="00405D91">
        <w:t>less than 10,000</w:t>
      </w:r>
      <w:r w:rsidR="00405D91" w:rsidRPr="00536F4D">
        <w:t xml:space="preserve"> </w:t>
      </w:r>
      <w:r w:rsidRPr="00536F4D">
        <w:t xml:space="preserve">in Year 1 to </w:t>
      </w:r>
      <w:r w:rsidR="00405D91">
        <w:t>less than 10,000</w:t>
      </w:r>
      <w:r w:rsidR="00405D91" w:rsidRPr="00536F4D">
        <w:t xml:space="preserve"> </w:t>
      </w:r>
      <w:r w:rsidRPr="00536F4D">
        <w:t xml:space="preserve">in Year 6 (see </w:t>
      </w:r>
      <w:r w:rsidR="00627421" w:rsidRPr="00536F4D">
        <w:t xml:space="preserve">Table </w:t>
      </w:r>
      <w:r w:rsidR="00627421" w:rsidRPr="00536F4D">
        <w:rPr>
          <w:noProof/>
        </w:rPr>
        <w:t>15</w:t>
      </w:r>
      <w:r w:rsidRPr="00536F4D">
        <w:t xml:space="preserve">). Of those tested, 60% were assumed to be </w:t>
      </w:r>
      <w:r w:rsidR="00B901D2" w:rsidRPr="00B901D2">
        <w:rPr>
          <w:i/>
        </w:rPr>
        <w:t>T790M</w:t>
      </w:r>
      <w:r w:rsidRPr="00536F4D">
        <w:t xml:space="preserve">+ and would uptake osimertinib treatment. </w:t>
      </w:r>
      <w:r w:rsidR="005467DA">
        <w:t xml:space="preserve">Grandfathered patients were accounted for in </w:t>
      </w:r>
      <w:r w:rsidR="00696474">
        <w:t xml:space="preserve">the estimates for </w:t>
      </w:r>
      <w:r w:rsidR="005467DA">
        <w:t>Years 1 and 2</w:t>
      </w:r>
      <w:r w:rsidRPr="00536F4D">
        <w:t xml:space="preserve">. The estimated number of patients who would uptake treatment with osimertinib was </w:t>
      </w:r>
      <w:r w:rsidR="007372CD">
        <w:t>less than 10,000</w:t>
      </w:r>
      <w:r w:rsidR="007372CD" w:rsidRPr="00536F4D">
        <w:t xml:space="preserve"> </w:t>
      </w:r>
      <w:r w:rsidRPr="00536F4D">
        <w:t xml:space="preserve"> in Year 1 decreasing to </w:t>
      </w:r>
      <w:r w:rsidR="007372CD">
        <w:t>less than 10,000</w:t>
      </w:r>
      <w:r w:rsidR="007372CD" w:rsidRPr="00536F4D">
        <w:t xml:space="preserve"> </w:t>
      </w:r>
      <w:r w:rsidRPr="00536F4D">
        <w:t xml:space="preserve"> in Year 6 (see </w:t>
      </w:r>
      <w:r w:rsidR="00627421" w:rsidRPr="00536F4D">
        <w:t>Table</w:t>
      </w:r>
      <w:r w:rsidR="00C61A70">
        <w:t xml:space="preserve"> </w:t>
      </w:r>
      <w:r w:rsidR="00627421" w:rsidRPr="00536F4D">
        <w:rPr>
          <w:noProof/>
        </w:rPr>
        <w:t>15</w:t>
      </w:r>
      <w:r w:rsidRPr="00536F4D">
        <w:t>).</w:t>
      </w:r>
    </w:p>
    <w:p w:rsidR="004037F9" w:rsidRPr="00536F4D" w:rsidRDefault="004037F9" w:rsidP="00B61635">
      <w:pPr>
        <w:pStyle w:val="ListParagraph"/>
        <w:ind w:left="709" w:hanging="709"/>
      </w:pPr>
      <w:r w:rsidRPr="00536F4D">
        <w:t xml:space="preserve">The submission estimated up to approximately </w:t>
      </w:r>
      <w:r w:rsidR="004C686B">
        <w:t>less than 10,000</w:t>
      </w:r>
      <w:r w:rsidRPr="00536F4D">
        <w:t xml:space="preserve"> prescriptions of osimertinib dispensed per year, with a cumulative total of </w:t>
      </w:r>
      <w:r w:rsidR="007372CD">
        <w:t xml:space="preserve">10,000 – 50,000 </w:t>
      </w:r>
      <w:r w:rsidR="00524A2A">
        <w:t xml:space="preserve">prescriptions </w:t>
      </w:r>
      <w:r w:rsidRPr="00536F4D">
        <w:t xml:space="preserve">over the first 6 years (see </w:t>
      </w:r>
      <w:r w:rsidR="00627421" w:rsidRPr="00536F4D">
        <w:t>Table</w:t>
      </w:r>
      <w:r w:rsidR="00C61A70">
        <w:t xml:space="preserve"> </w:t>
      </w:r>
      <w:r w:rsidR="00627421" w:rsidRPr="00536F4D">
        <w:rPr>
          <w:noProof/>
        </w:rPr>
        <w:t>15</w:t>
      </w:r>
      <w:r w:rsidRPr="00536F4D">
        <w:t>).</w:t>
      </w:r>
    </w:p>
    <w:p w:rsidR="004037F9" w:rsidRPr="00536F4D" w:rsidRDefault="004037F9" w:rsidP="00891893">
      <w:pPr>
        <w:pStyle w:val="ListParagraph"/>
        <w:ind w:left="709" w:hanging="709"/>
      </w:pPr>
      <w:r w:rsidRPr="00536F4D">
        <w:t xml:space="preserve">The estimated total net cost to government was </w:t>
      </w:r>
      <w:r w:rsidRPr="00536F4D">
        <w:rPr>
          <w:color w:val="000000"/>
        </w:rPr>
        <w:t xml:space="preserve">up to </w:t>
      </w:r>
      <w:r w:rsidR="007372CD">
        <w:t xml:space="preserve">$20 - $30 </w:t>
      </w:r>
      <w:r w:rsidRPr="007372CD">
        <w:t>million</w:t>
      </w:r>
      <w:r w:rsidRPr="00536F4D">
        <w:t xml:space="preserve"> (revised: </w:t>
      </w:r>
      <w:r w:rsidR="007372CD">
        <w:t xml:space="preserve">$20 - $30 </w:t>
      </w:r>
      <w:r w:rsidRPr="007372CD">
        <w:t>million</w:t>
      </w:r>
      <w:r w:rsidRPr="00536F4D">
        <w:t>) per year, compris</w:t>
      </w:r>
      <w:r w:rsidR="00D82E7A" w:rsidRPr="00536F4D">
        <w:t>ing</w:t>
      </w:r>
      <w:r w:rsidRPr="00536F4D">
        <w:t xml:space="preserve"> a net cost of </w:t>
      </w:r>
      <w:r w:rsidR="0073622C">
        <w:t>$20 - $30 million per year</w:t>
      </w:r>
      <w:r w:rsidRPr="00536F4D">
        <w:t xml:space="preserve"> (revised: </w:t>
      </w:r>
      <w:r w:rsidR="0073622C">
        <w:t>$20 - $30 million</w:t>
      </w:r>
      <w:r w:rsidRPr="00536F4D">
        <w:t>) to the PBS, and an estimate cost saving to the MBS of $</w:t>
      </w:r>
      <w:r w:rsidR="000B2D46">
        <w:rPr>
          <w:noProof/>
          <w:color w:val="000000"/>
          <w:highlight w:val="black"/>
        </w:rPr>
        <w:t>'''''''''''''''</w:t>
      </w:r>
      <w:r w:rsidRPr="00536F4D">
        <w:t xml:space="preserve"> (revised: $</w:t>
      </w:r>
      <w:r w:rsidR="000B2D46">
        <w:rPr>
          <w:noProof/>
          <w:color w:val="000000"/>
          <w:highlight w:val="black"/>
        </w:rPr>
        <w:t>''''''''''''''''</w:t>
      </w:r>
      <w:r w:rsidRPr="00536F4D">
        <w:t xml:space="preserve">) </w:t>
      </w:r>
      <w:r w:rsidRPr="00536F4D">
        <w:rPr>
          <w:color w:val="000000"/>
        </w:rPr>
        <w:t xml:space="preserve">over the first 6 years </w:t>
      </w:r>
      <w:r w:rsidRPr="00536F4D">
        <w:t xml:space="preserve">(see </w:t>
      </w:r>
      <w:r w:rsidR="00627421" w:rsidRPr="00536F4D">
        <w:t xml:space="preserve">Table </w:t>
      </w:r>
      <w:r w:rsidR="00627421" w:rsidRPr="00536F4D">
        <w:rPr>
          <w:noProof/>
        </w:rPr>
        <w:t>15</w:t>
      </w:r>
      <w:r w:rsidRPr="00536F4D">
        <w:t>)</w:t>
      </w:r>
      <w:r w:rsidR="003C477A" w:rsidRPr="00536F4D">
        <w:rPr>
          <w:color w:val="000000"/>
        </w:rPr>
        <w:t>.</w:t>
      </w:r>
    </w:p>
    <w:p w:rsidR="00DF78E5" w:rsidRPr="00536F4D" w:rsidRDefault="00DF78E5" w:rsidP="00891893">
      <w:pPr>
        <w:pStyle w:val="ListParagraph"/>
        <w:ind w:left="709" w:hanging="709"/>
      </w:pPr>
      <w:r w:rsidRPr="00536F4D">
        <w:t xml:space="preserve">Cost savings were claimed on the basis of a reduced number of patients being treated with chemotherapy (assumed to be carboplatin and gemcitabine, and associated pre-medication with palonosetron), pemetrexed maintenance and nivolumab use after disease progression on chemotherapy. While osimertinib </w:t>
      </w:r>
      <w:r w:rsidR="00D82E7A" w:rsidRPr="00536F4D">
        <w:t>would be</w:t>
      </w:r>
      <w:r w:rsidRPr="00536F4D">
        <w:t xml:space="preserve"> expected to replace chemotherapy as second-line treatment, the submission assumed that some patients (48%) would still receive chemotherapy in the third-line setting (i.e. osimertinib </w:t>
      </w:r>
      <w:r w:rsidR="00D82E7A" w:rsidRPr="00536F4D">
        <w:t xml:space="preserve">would </w:t>
      </w:r>
      <w:r w:rsidRPr="00536F4D">
        <w:t xml:space="preserve">displace, rather than replace chemotherapy and pemetrexed maintenance). This </w:t>
      </w:r>
      <w:r w:rsidR="004F08E2">
        <w:t>wa</w:t>
      </w:r>
      <w:r w:rsidRPr="00536F4D">
        <w:t>s reasonable.</w:t>
      </w:r>
    </w:p>
    <w:p w:rsidR="00F358F9" w:rsidRDefault="00F358F9" w:rsidP="00F358F9">
      <w:pPr>
        <w:pStyle w:val="ListParagraph"/>
        <w:ind w:left="709" w:hanging="709"/>
      </w:pPr>
      <w:r w:rsidRPr="00F358F9">
        <w:t xml:space="preserve">Pemetrexed maintenance </w:t>
      </w:r>
      <w:r>
        <w:t>was</w:t>
      </w:r>
      <w:r w:rsidRPr="00F358F9">
        <w:t xml:space="preserve"> offset in the majority of patients in whom chemotherapy has been substitute</w:t>
      </w:r>
      <w:r>
        <w:t>d. The proportion offset (73%) wa</w:t>
      </w:r>
      <w:r w:rsidRPr="00F358F9">
        <w:t xml:space="preserve">s not consistent with the </w:t>
      </w:r>
      <w:r>
        <w:t>survey</w:t>
      </w:r>
      <w:r w:rsidRPr="00F358F9">
        <w:t xml:space="preserve"> data presented in the submission (53%). Unlike the AURA3 trial, pemetrexed maintenance therapy was not allowed in the IMPRESS trial.</w:t>
      </w:r>
    </w:p>
    <w:p w:rsidR="00DE6897" w:rsidRPr="00536F4D" w:rsidRDefault="00DE6897" w:rsidP="00DE6897">
      <w:pPr>
        <w:pStyle w:val="ListParagraph"/>
        <w:ind w:left="709" w:hanging="709"/>
      </w:pPr>
      <w:r w:rsidRPr="00536F4D">
        <w:t>The costs to the PBS m</w:t>
      </w:r>
      <w:r w:rsidR="00696474">
        <w:t>ight have been</w:t>
      </w:r>
      <w:r w:rsidRPr="00536F4D">
        <w:t xml:space="preserve"> underestimated as the number of packs per patients was based on the truncated mean duration of treatment from the AURA3 study. A sensitivity analysis was conducted based on the extrapolated mean duration of treatment (Table </w:t>
      </w:r>
      <w:r w:rsidRPr="00536F4D">
        <w:rPr>
          <w:noProof/>
        </w:rPr>
        <w:t>16</w:t>
      </w:r>
      <w:r w:rsidRPr="00536F4D">
        <w:t>).</w:t>
      </w:r>
    </w:p>
    <w:p w:rsidR="00DE6897" w:rsidRPr="00536F4D" w:rsidRDefault="00DE6897" w:rsidP="00DE6897">
      <w:pPr>
        <w:pStyle w:val="Caption"/>
      </w:pPr>
      <w:bookmarkStart w:id="36" w:name="_Ref492383539"/>
      <w:r w:rsidRPr="00536F4D">
        <w:t xml:space="preserve">Table </w:t>
      </w:r>
      <w:r w:rsidRPr="00536F4D">
        <w:rPr>
          <w:noProof/>
        </w:rPr>
        <w:t>16</w:t>
      </w:r>
      <w:bookmarkEnd w:id="36"/>
      <w:r w:rsidRPr="00536F4D">
        <w:t>:</w:t>
      </w:r>
      <w:r w:rsidR="00C61A70">
        <w:t xml:space="preserve"> </w:t>
      </w:r>
      <w:r w:rsidRPr="00536F4D">
        <w:t>Sensitivity analysis based on the extrapolated mean duration of treatment</w:t>
      </w:r>
    </w:p>
    <w:tbl>
      <w:tblPr>
        <w:tblStyle w:val="Summarybox1"/>
        <w:tblW w:w="5000" w:type="pct"/>
        <w:tblLayout w:type="fixed"/>
        <w:tblLook w:val="04A0" w:firstRow="1" w:lastRow="0" w:firstColumn="1" w:lastColumn="0" w:noHBand="0" w:noVBand="1"/>
        <w:tblCaption w:val="Table 16: Sensitivity analysis based on the extrapolated mean duration of treatment"/>
      </w:tblPr>
      <w:tblGrid>
        <w:gridCol w:w="2174"/>
        <w:gridCol w:w="1178"/>
        <w:gridCol w:w="1178"/>
        <w:gridCol w:w="1178"/>
        <w:gridCol w:w="1178"/>
        <w:gridCol w:w="1178"/>
        <w:gridCol w:w="1178"/>
      </w:tblGrid>
      <w:tr w:rsidR="00DE6897" w:rsidRPr="00536F4D" w:rsidTr="005D46F1">
        <w:trPr>
          <w:tblHeader/>
        </w:trPr>
        <w:tc>
          <w:tcPr>
            <w:tcW w:w="2122" w:type="dxa"/>
            <w:tcBorders>
              <w:bottom w:val="single" w:sz="4" w:space="0" w:color="auto"/>
            </w:tcBorders>
          </w:tcPr>
          <w:p w:rsidR="00DE6897" w:rsidRPr="00536F4D" w:rsidRDefault="00DE6897" w:rsidP="008A24E1">
            <w:pPr>
              <w:pStyle w:val="TableText"/>
            </w:pPr>
          </w:p>
        </w:tc>
        <w:tc>
          <w:tcPr>
            <w:tcW w:w="1149" w:type="dxa"/>
            <w:tcBorders>
              <w:bottom w:val="single" w:sz="4" w:space="0" w:color="auto"/>
            </w:tcBorders>
            <w:hideMark/>
          </w:tcPr>
          <w:p w:rsidR="00DE6897" w:rsidRPr="00536F4D" w:rsidRDefault="00DE6897" w:rsidP="008A24E1">
            <w:pPr>
              <w:pStyle w:val="TableText"/>
              <w:jc w:val="center"/>
              <w:rPr>
                <w:b/>
              </w:rPr>
            </w:pPr>
            <w:r w:rsidRPr="00536F4D">
              <w:rPr>
                <w:b/>
              </w:rPr>
              <w:t>Year 1</w:t>
            </w:r>
          </w:p>
        </w:tc>
        <w:tc>
          <w:tcPr>
            <w:tcW w:w="1149" w:type="dxa"/>
            <w:tcBorders>
              <w:bottom w:val="single" w:sz="4" w:space="0" w:color="auto"/>
            </w:tcBorders>
            <w:hideMark/>
          </w:tcPr>
          <w:p w:rsidR="00DE6897" w:rsidRPr="00536F4D" w:rsidRDefault="00DE6897" w:rsidP="008A24E1">
            <w:pPr>
              <w:pStyle w:val="TableText"/>
              <w:jc w:val="center"/>
              <w:rPr>
                <w:b/>
              </w:rPr>
            </w:pPr>
            <w:r w:rsidRPr="00536F4D">
              <w:rPr>
                <w:b/>
              </w:rPr>
              <w:t>Year 2</w:t>
            </w:r>
          </w:p>
        </w:tc>
        <w:tc>
          <w:tcPr>
            <w:tcW w:w="1149" w:type="dxa"/>
            <w:tcBorders>
              <w:bottom w:val="single" w:sz="4" w:space="0" w:color="auto"/>
            </w:tcBorders>
            <w:hideMark/>
          </w:tcPr>
          <w:p w:rsidR="00DE6897" w:rsidRPr="00536F4D" w:rsidRDefault="00DE6897" w:rsidP="008A24E1">
            <w:pPr>
              <w:pStyle w:val="TableText"/>
              <w:jc w:val="center"/>
              <w:rPr>
                <w:b/>
              </w:rPr>
            </w:pPr>
            <w:r w:rsidRPr="00536F4D">
              <w:rPr>
                <w:b/>
              </w:rPr>
              <w:t>Year 3</w:t>
            </w:r>
          </w:p>
        </w:tc>
        <w:tc>
          <w:tcPr>
            <w:tcW w:w="1149" w:type="dxa"/>
            <w:tcBorders>
              <w:bottom w:val="single" w:sz="4" w:space="0" w:color="auto"/>
            </w:tcBorders>
            <w:hideMark/>
          </w:tcPr>
          <w:p w:rsidR="00DE6897" w:rsidRPr="00536F4D" w:rsidRDefault="00DE6897" w:rsidP="008A24E1">
            <w:pPr>
              <w:pStyle w:val="TableText"/>
              <w:jc w:val="center"/>
              <w:rPr>
                <w:b/>
              </w:rPr>
            </w:pPr>
            <w:r w:rsidRPr="00536F4D">
              <w:rPr>
                <w:b/>
              </w:rPr>
              <w:t>Year 4</w:t>
            </w:r>
          </w:p>
        </w:tc>
        <w:tc>
          <w:tcPr>
            <w:tcW w:w="1149" w:type="dxa"/>
            <w:tcBorders>
              <w:bottom w:val="single" w:sz="4" w:space="0" w:color="auto"/>
            </w:tcBorders>
            <w:hideMark/>
          </w:tcPr>
          <w:p w:rsidR="00DE6897" w:rsidRPr="00536F4D" w:rsidRDefault="00DE6897" w:rsidP="008A24E1">
            <w:pPr>
              <w:pStyle w:val="TableText"/>
              <w:jc w:val="center"/>
              <w:rPr>
                <w:b/>
              </w:rPr>
            </w:pPr>
            <w:r w:rsidRPr="00536F4D">
              <w:rPr>
                <w:b/>
              </w:rPr>
              <w:t>Year 5</w:t>
            </w:r>
          </w:p>
        </w:tc>
        <w:tc>
          <w:tcPr>
            <w:tcW w:w="1149" w:type="dxa"/>
            <w:tcBorders>
              <w:bottom w:val="single" w:sz="4" w:space="0" w:color="auto"/>
            </w:tcBorders>
            <w:hideMark/>
          </w:tcPr>
          <w:p w:rsidR="00DE6897" w:rsidRPr="00536F4D" w:rsidRDefault="00DE6897" w:rsidP="008A24E1">
            <w:pPr>
              <w:pStyle w:val="TableText"/>
              <w:jc w:val="center"/>
              <w:rPr>
                <w:b/>
              </w:rPr>
            </w:pPr>
            <w:r w:rsidRPr="00536F4D">
              <w:rPr>
                <w:b/>
              </w:rPr>
              <w:t>Year 6</w:t>
            </w:r>
          </w:p>
        </w:tc>
      </w:tr>
      <w:tr w:rsidR="00DE6897" w:rsidRPr="00536F4D" w:rsidTr="008A24E1">
        <w:tc>
          <w:tcPr>
            <w:tcW w:w="2122" w:type="dxa"/>
            <w:tcBorders>
              <w:top w:val="single" w:sz="4" w:space="0" w:color="auto"/>
              <w:bottom w:val="nil"/>
            </w:tcBorders>
          </w:tcPr>
          <w:p w:rsidR="00DE6897" w:rsidRPr="00536F4D" w:rsidRDefault="00DE6897" w:rsidP="008A24E1">
            <w:pPr>
              <w:pStyle w:val="TableText"/>
              <w:rPr>
                <w:b/>
              </w:rPr>
            </w:pPr>
            <w:r w:rsidRPr="00536F4D">
              <w:rPr>
                <w:b/>
                <w:noProof/>
              </w:rPr>
              <w:t>Net cost to the PBS (revised)</w:t>
            </w:r>
          </w:p>
        </w:tc>
        <w:tc>
          <w:tcPr>
            <w:tcW w:w="1149" w:type="dxa"/>
            <w:tcBorders>
              <w:top w:val="single" w:sz="4" w:space="0" w:color="auto"/>
              <w:bottom w:val="nil"/>
            </w:tcBorders>
          </w:tcPr>
          <w:p w:rsidR="00DE6897" w:rsidRPr="000B2D46" w:rsidRDefault="000B2D46" w:rsidP="008A24E1">
            <w:pPr>
              <w:pStyle w:val="TableText"/>
              <w:jc w:val="right"/>
              <w:rPr>
                <w:b/>
                <w:highlight w:val="black"/>
              </w:rPr>
            </w:pPr>
            <w:r>
              <w:rPr>
                <w:b/>
                <w:noProof/>
                <w:color w:val="000000"/>
                <w:highlight w:val="black"/>
              </w:rPr>
              <w:t>'''''''''''''''''''''''</w:t>
            </w:r>
          </w:p>
        </w:tc>
        <w:tc>
          <w:tcPr>
            <w:tcW w:w="1149" w:type="dxa"/>
            <w:tcBorders>
              <w:top w:val="single" w:sz="4" w:space="0" w:color="auto"/>
              <w:bottom w:val="nil"/>
            </w:tcBorders>
          </w:tcPr>
          <w:p w:rsidR="00DE6897" w:rsidRPr="000B2D46" w:rsidRDefault="000B2D46" w:rsidP="008A24E1">
            <w:pPr>
              <w:pStyle w:val="TableText"/>
              <w:jc w:val="right"/>
              <w:rPr>
                <w:b/>
                <w:highlight w:val="black"/>
              </w:rPr>
            </w:pPr>
            <w:r>
              <w:rPr>
                <w:b/>
                <w:noProof/>
                <w:color w:val="000000"/>
                <w:highlight w:val="black"/>
              </w:rPr>
              <w:t>''''''''''''''''''''''''</w:t>
            </w:r>
          </w:p>
        </w:tc>
        <w:tc>
          <w:tcPr>
            <w:tcW w:w="1149" w:type="dxa"/>
            <w:tcBorders>
              <w:top w:val="single" w:sz="4" w:space="0" w:color="auto"/>
              <w:bottom w:val="nil"/>
            </w:tcBorders>
          </w:tcPr>
          <w:p w:rsidR="00DE6897" w:rsidRPr="000B2D46" w:rsidRDefault="000B2D46" w:rsidP="008A24E1">
            <w:pPr>
              <w:pStyle w:val="TableText"/>
              <w:jc w:val="right"/>
              <w:rPr>
                <w:b/>
                <w:highlight w:val="black"/>
              </w:rPr>
            </w:pPr>
            <w:r>
              <w:rPr>
                <w:b/>
                <w:noProof/>
                <w:color w:val="000000"/>
                <w:highlight w:val="black"/>
              </w:rPr>
              <w:t>''''''''''''''''''''''</w:t>
            </w:r>
          </w:p>
        </w:tc>
        <w:tc>
          <w:tcPr>
            <w:tcW w:w="1149" w:type="dxa"/>
            <w:tcBorders>
              <w:top w:val="single" w:sz="4" w:space="0" w:color="auto"/>
              <w:bottom w:val="nil"/>
            </w:tcBorders>
          </w:tcPr>
          <w:p w:rsidR="00DE6897" w:rsidRPr="000B2D46" w:rsidRDefault="000B2D46" w:rsidP="008A24E1">
            <w:pPr>
              <w:pStyle w:val="TableText"/>
              <w:jc w:val="right"/>
              <w:rPr>
                <w:b/>
                <w:highlight w:val="black"/>
              </w:rPr>
            </w:pPr>
            <w:r>
              <w:rPr>
                <w:b/>
                <w:noProof/>
                <w:color w:val="000000"/>
                <w:highlight w:val="black"/>
              </w:rPr>
              <w:t>'''''''''''''''''''''''''</w:t>
            </w:r>
          </w:p>
        </w:tc>
        <w:tc>
          <w:tcPr>
            <w:tcW w:w="1149" w:type="dxa"/>
            <w:tcBorders>
              <w:top w:val="single" w:sz="4" w:space="0" w:color="auto"/>
              <w:bottom w:val="nil"/>
            </w:tcBorders>
          </w:tcPr>
          <w:p w:rsidR="00DE6897" w:rsidRPr="000B2D46" w:rsidRDefault="000B2D46" w:rsidP="008A24E1">
            <w:pPr>
              <w:pStyle w:val="TableText"/>
              <w:jc w:val="right"/>
              <w:rPr>
                <w:b/>
                <w:highlight w:val="black"/>
              </w:rPr>
            </w:pPr>
            <w:r>
              <w:rPr>
                <w:b/>
                <w:noProof/>
                <w:color w:val="000000"/>
                <w:highlight w:val="black"/>
              </w:rPr>
              <w:t>''''''''''''''''''''''''''</w:t>
            </w:r>
          </w:p>
        </w:tc>
        <w:tc>
          <w:tcPr>
            <w:tcW w:w="1149" w:type="dxa"/>
            <w:tcBorders>
              <w:top w:val="single" w:sz="4" w:space="0" w:color="auto"/>
              <w:bottom w:val="nil"/>
            </w:tcBorders>
          </w:tcPr>
          <w:p w:rsidR="00DE6897" w:rsidRPr="000B2D46" w:rsidRDefault="000B2D46" w:rsidP="008A24E1">
            <w:pPr>
              <w:pStyle w:val="TableText"/>
              <w:jc w:val="right"/>
              <w:rPr>
                <w:b/>
                <w:highlight w:val="black"/>
              </w:rPr>
            </w:pPr>
            <w:r>
              <w:rPr>
                <w:b/>
                <w:noProof/>
                <w:color w:val="000000"/>
                <w:highlight w:val="black"/>
              </w:rPr>
              <w:t>''''''''''''''''''''''''</w:t>
            </w:r>
          </w:p>
        </w:tc>
      </w:tr>
      <w:tr w:rsidR="00DE6897" w:rsidRPr="00536F4D" w:rsidTr="008A24E1">
        <w:tc>
          <w:tcPr>
            <w:tcW w:w="2122" w:type="dxa"/>
          </w:tcPr>
          <w:p w:rsidR="00DE6897" w:rsidRPr="00536F4D" w:rsidRDefault="00DE6897" w:rsidP="008A24E1">
            <w:pPr>
              <w:pStyle w:val="TableText"/>
              <w:keepNext/>
              <w:rPr>
                <w:noProof/>
              </w:rPr>
            </w:pPr>
            <w:r w:rsidRPr="00536F4D">
              <w:rPr>
                <w:noProof/>
              </w:rPr>
              <w:t xml:space="preserve">Assuming </w:t>
            </w:r>
            <w:r w:rsidR="000B2D46">
              <w:rPr>
                <w:noProof/>
                <w:color w:val="000000"/>
                <w:highlight w:val="black"/>
              </w:rPr>
              <w:t>''''''''''</w:t>
            </w:r>
            <w:r w:rsidRPr="00536F4D">
              <w:rPr>
                <w:noProof/>
              </w:rPr>
              <w:t xml:space="preserve"> packs of osimertinib per patient </w:t>
            </w:r>
            <w:r w:rsidRPr="00536F4D">
              <w:rPr>
                <w:noProof/>
                <w:vertAlign w:val="superscript"/>
              </w:rPr>
              <w:t>a</w:t>
            </w:r>
          </w:p>
        </w:tc>
        <w:tc>
          <w:tcPr>
            <w:tcW w:w="1149" w:type="dxa"/>
          </w:tcPr>
          <w:p w:rsidR="00DE6897" w:rsidRPr="000B2D46" w:rsidRDefault="000B2D46" w:rsidP="008A24E1">
            <w:pPr>
              <w:pStyle w:val="TableText"/>
              <w:jc w:val="right"/>
              <w:rPr>
                <w:highlight w:val="black"/>
              </w:rPr>
            </w:pPr>
            <w:r>
              <w:rPr>
                <w:noProof/>
                <w:color w:val="000000"/>
                <w:highlight w:val="black"/>
              </w:rPr>
              <w:t>'''''''''''''''''''''''''''''</w:t>
            </w:r>
          </w:p>
        </w:tc>
        <w:tc>
          <w:tcPr>
            <w:tcW w:w="1149" w:type="dxa"/>
          </w:tcPr>
          <w:p w:rsidR="00DE6897" w:rsidRPr="000B2D46" w:rsidRDefault="000B2D46" w:rsidP="008A24E1">
            <w:pPr>
              <w:pStyle w:val="TableText"/>
              <w:jc w:val="right"/>
              <w:rPr>
                <w:highlight w:val="black"/>
              </w:rPr>
            </w:pPr>
            <w:r>
              <w:rPr>
                <w:noProof/>
                <w:color w:val="000000"/>
                <w:highlight w:val="black"/>
              </w:rPr>
              <w:t>'''''''''''''''''''''''''''''''''</w:t>
            </w:r>
          </w:p>
        </w:tc>
        <w:tc>
          <w:tcPr>
            <w:tcW w:w="1149" w:type="dxa"/>
          </w:tcPr>
          <w:p w:rsidR="00DE6897" w:rsidRPr="000B2D46" w:rsidRDefault="000B2D46" w:rsidP="008A24E1">
            <w:pPr>
              <w:pStyle w:val="TableText"/>
              <w:jc w:val="right"/>
              <w:rPr>
                <w:highlight w:val="black"/>
              </w:rPr>
            </w:pPr>
            <w:r>
              <w:rPr>
                <w:noProof/>
                <w:color w:val="000000"/>
                <w:highlight w:val="black"/>
              </w:rPr>
              <w:t>'''''''''''''''''''''''''''''''</w:t>
            </w:r>
          </w:p>
        </w:tc>
        <w:tc>
          <w:tcPr>
            <w:tcW w:w="1149" w:type="dxa"/>
          </w:tcPr>
          <w:p w:rsidR="00DE6897" w:rsidRPr="000B2D46" w:rsidRDefault="000B2D46" w:rsidP="008A24E1">
            <w:pPr>
              <w:pStyle w:val="TableText"/>
              <w:jc w:val="right"/>
              <w:rPr>
                <w:highlight w:val="black"/>
              </w:rPr>
            </w:pPr>
            <w:r>
              <w:rPr>
                <w:noProof/>
                <w:color w:val="000000"/>
                <w:highlight w:val="black"/>
              </w:rPr>
              <w:t>''''''''''''''''''''''''''''''''</w:t>
            </w:r>
          </w:p>
        </w:tc>
        <w:tc>
          <w:tcPr>
            <w:tcW w:w="1149" w:type="dxa"/>
          </w:tcPr>
          <w:p w:rsidR="00DE6897" w:rsidRPr="000B2D46" w:rsidRDefault="000B2D46" w:rsidP="008A24E1">
            <w:pPr>
              <w:pStyle w:val="TableText"/>
              <w:jc w:val="right"/>
              <w:rPr>
                <w:highlight w:val="black"/>
              </w:rPr>
            </w:pPr>
            <w:r>
              <w:rPr>
                <w:noProof/>
                <w:color w:val="000000"/>
                <w:highlight w:val="black"/>
              </w:rPr>
              <w:t>''''''''''''''''''''''''''''''</w:t>
            </w:r>
          </w:p>
        </w:tc>
        <w:tc>
          <w:tcPr>
            <w:tcW w:w="1149" w:type="dxa"/>
          </w:tcPr>
          <w:p w:rsidR="00DE6897" w:rsidRPr="000B2D46" w:rsidRDefault="000B2D46" w:rsidP="008A24E1">
            <w:pPr>
              <w:pStyle w:val="TableText"/>
              <w:jc w:val="right"/>
              <w:rPr>
                <w:highlight w:val="black"/>
              </w:rPr>
            </w:pPr>
            <w:r>
              <w:rPr>
                <w:noProof/>
                <w:color w:val="000000"/>
                <w:highlight w:val="black"/>
              </w:rPr>
              <w:t>''''''''''''''''''''''''''''</w:t>
            </w:r>
          </w:p>
        </w:tc>
      </w:tr>
    </w:tbl>
    <w:p w:rsidR="00DE6897" w:rsidRPr="00536F4D" w:rsidRDefault="00DE6897" w:rsidP="00DE6897">
      <w:pPr>
        <w:pStyle w:val="TableFooter"/>
        <w:rPr>
          <w:noProof/>
        </w:rPr>
      </w:pPr>
      <w:r w:rsidRPr="00536F4D">
        <w:rPr>
          <w:noProof/>
          <w:vertAlign w:val="superscript"/>
        </w:rPr>
        <w:t>a</w:t>
      </w:r>
      <w:r w:rsidRPr="00536F4D">
        <w:rPr>
          <w:noProof/>
        </w:rPr>
        <w:t xml:space="preserve"> Base case estimate: </w:t>
      </w:r>
      <w:r w:rsidR="000B2D46">
        <w:rPr>
          <w:noProof/>
          <w:color w:val="000000"/>
          <w:highlight w:val="black"/>
        </w:rPr>
        <w:t>''''''</w:t>
      </w:r>
      <w:r w:rsidRPr="00536F4D">
        <w:rPr>
          <w:noProof/>
        </w:rPr>
        <w:t xml:space="preserve"> packs per patient. Alternative analysis was based on the average time in the </w:t>
      </w:r>
      <w:r w:rsidR="000E0E2E">
        <w:rPr>
          <w:noProof/>
        </w:rPr>
        <w:t>‘</w:t>
      </w:r>
      <w:r w:rsidRPr="00536F4D">
        <w:rPr>
          <w:noProof/>
        </w:rPr>
        <w:t>progression-free on osimetinib</w:t>
      </w:r>
      <w:r w:rsidR="000E0E2E">
        <w:rPr>
          <w:noProof/>
        </w:rPr>
        <w:t>’</w:t>
      </w:r>
      <w:r w:rsidRPr="00536F4D">
        <w:rPr>
          <w:noProof/>
        </w:rPr>
        <w:t xml:space="preserve"> health state in </w:t>
      </w:r>
      <w:r w:rsidR="00C12E8E">
        <w:rPr>
          <w:noProof/>
        </w:rPr>
        <w:t>the economic evaluation</w:t>
      </w:r>
      <w:r w:rsidRPr="00536F4D">
        <w:rPr>
          <w:noProof/>
        </w:rPr>
        <w:t>.</w:t>
      </w:r>
    </w:p>
    <w:p w:rsidR="009B4C1E" w:rsidRDefault="00DE6897" w:rsidP="00DE6897">
      <w:pPr>
        <w:pStyle w:val="TableFooter"/>
      </w:pPr>
      <w:r w:rsidRPr="00536F4D">
        <w:rPr>
          <w:noProof/>
        </w:rPr>
        <w:t xml:space="preserve">Source: Compiled during the evaluation using the </w:t>
      </w:r>
      <w:r w:rsidRPr="00536F4D">
        <w:t>‘Tagrisso (osimertinib) Section 4_ Utilisation and cost model.xlsx’ spreadsheet of the submission.</w:t>
      </w:r>
    </w:p>
    <w:p w:rsidR="009B4C1E" w:rsidRPr="009B4C1E" w:rsidRDefault="009B4C1E" w:rsidP="009B4C1E">
      <w:pPr>
        <w:ind w:left="360"/>
        <w:rPr>
          <w:rFonts w:cs="Arial"/>
          <w:szCs w:val="24"/>
        </w:rPr>
      </w:pPr>
      <w:r w:rsidRPr="009B4C1E">
        <w:rPr>
          <w:rFonts w:cs="Arial"/>
          <w:szCs w:val="24"/>
        </w:rPr>
        <w:t xml:space="preserve">The redacted table shows that at year 5, the estimated net cost to the PBS would be </w:t>
      </w:r>
      <w:r>
        <w:rPr>
          <w:rFonts w:cs="Arial"/>
          <w:szCs w:val="24"/>
        </w:rPr>
        <w:t>$</w:t>
      </w:r>
      <w:r w:rsidR="007372CD">
        <w:rPr>
          <w:rFonts w:cs="Arial"/>
          <w:szCs w:val="24"/>
        </w:rPr>
        <w:t>2</w:t>
      </w:r>
      <w:r>
        <w:rPr>
          <w:rFonts w:cs="Arial"/>
          <w:szCs w:val="24"/>
        </w:rPr>
        <w:t>0 - $</w:t>
      </w:r>
      <w:r w:rsidR="007372CD">
        <w:rPr>
          <w:rFonts w:cs="Arial"/>
          <w:szCs w:val="24"/>
        </w:rPr>
        <w:t>3</w:t>
      </w:r>
      <w:r>
        <w:rPr>
          <w:rFonts w:cs="Arial"/>
          <w:szCs w:val="24"/>
        </w:rPr>
        <w:t xml:space="preserve">0 million per year. </w:t>
      </w:r>
    </w:p>
    <w:p w:rsidR="009B4C1E" w:rsidRPr="00536F4D" w:rsidRDefault="009B4C1E" w:rsidP="00DE6897">
      <w:pPr>
        <w:pStyle w:val="TableFooter"/>
      </w:pPr>
    </w:p>
    <w:p w:rsidR="007B2209" w:rsidRPr="000C32F5" w:rsidRDefault="007B2209" w:rsidP="003332E1">
      <w:pPr>
        <w:pStyle w:val="ListParagraph"/>
        <w:ind w:left="709" w:hanging="709"/>
      </w:pPr>
      <w:r w:rsidRPr="000C32F5">
        <w:t>The ESC</w:t>
      </w:r>
      <w:r w:rsidR="00AB58D5" w:rsidRPr="000C32F5">
        <w:t>s</w:t>
      </w:r>
      <w:r w:rsidRPr="000C32F5">
        <w:t xml:space="preserve"> noted that the PSCR (p7) addressed the issues regard</w:t>
      </w:r>
      <w:r w:rsidR="00D456DC" w:rsidRPr="000C32F5">
        <w:t>ing the mean treatment duration</w:t>
      </w:r>
      <w:r w:rsidRPr="000C32F5">
        <w:t xml:space="preserve"> assumptions in the economic model and the financial estimates (see </w:t>
      </w:r>
      <w:r w:rsidRPr="002457ED">
        <w:t>paragraph</w:t>
      </w:r>
      <w:r w:rsidR="005467DA" w:rsidRPr="002457ED">
        <w:t xml:space="preserve"> 6.34</w:t>
      </w:r>
      <w:r w:rsidRPr="002457ED">
        <w:t>), and</w:t>
      </w:r>
      <w:r w:rsidRPr="000C32F5">
        <w:t xml:space="preserve"> presented revised financial estimates accounting for a </w:t>
      </w:r>
      <w:r w:rsidR="003332E1" w:rsidRPr="000C32F5">
        <w:t>revised</w:t>
      </w:r>
      <w:r w:rsidRPr="000C32F5">
        <w:t xml:space="preserve"> treatment duration of </w:t>
      </w:r>
      <w:r w:rsidR="000B2D46">
        <w:rPr>
          <w:noProof/>
          <w:color w:val="000000"/>
          <w:highlight w:val="black"/>
        </w:rPr>
        <w:t>''''''''</w:t>
      </w:r>
      <w:r w:rsidRPr="000C32F5">
        <w:t xml:space="preserve"> months.</w:t>
      </w:r>
    </w:p>
    <w:p w:rsidR="00DF78E5" w:rsidRPr="00536F4D" w:rsidRDefault="00DF78E5" w:rsidP="00891893">
      <w:pPr>
        <w:pStyle w:val="ListParagraph"/>
        <w:ind w:left="709" w:hanging="709"/>
      </w:pPr>
      <w:r w:rsidRPr="00536F4D">
        <w:t>The displacement of chemotherapy to third-line was assumed to replace current third-line use of nivolumab. The proportion of patients who would currently receive third-line nivolumab may be an overestimate due to the requirement in the listing recently recommended by the PBAC</w:t>
      </w:r>
      <w:r w:rsidR="008968EB" w:rsidRPr="00536F4D">
        <w:t xml:space="preserve"> for a </w:t>
      </w:r>
      <w:r w:rsidR="00E301C7" w:rsidRPr="00536F4D">
        <w:t>PS</w:t>
      </w:r>
      <w:r w:rsidR="008968EB" w:rsidRPr="00536F4D">
        <w:t xml:space="preserve"> of 0-1</w:t>
      </w:r>
      <w:r w:rsidRPr="00536F4D">
        <w:t>.</w:t>
      </w:r>
    </w:p>
    <w:p w:rsidR="00DF78E5" w:rsidRPr="00536F4D" w:rsidRDefault="00DF78E5" w:rsidP="00891893">
      <w:pPr>
        <w:pStyle w:val="ListParagraph"/>
        <w:ind w:left="709" w:hanging="709"/>
      </w:pPr>
      <w:r w:rsidRPr="00536F4D">
        <w:t xml:space="preserve">As the PBS items </w:t>
      </w:r>
      <w:r w:rsidR="008968EB" w:rsidRPr="00536F4D">
        <w:t xml:space="preserve">that </w:t>
      </w:r>
      <w:r w:rsidR="00D82E7A" w:rsidRPr="00536F4D">
        <w:t>would be</w:t>
      </w:r>
      <w:r w:rsidR="008968EB" w:rsidRPr="00536F4D">
        <w:t xml:space="preserve"> </w:t>
      </w:r>
      <w:r w:rsidRPr="00536F4D">
        <w:t xml:space="preserve">reduced with the listing of osimertinib are administered by </w:t>
      </w:r>
      <w:r w:rsidR="00C05237" w:rsidRPr="00536F4D">
        <w:t xml:space="preserve">intravenous </w:t>
      </w:r>
      <w:r w:rsidRPr="00536F4D">
        <w:t xml:space="preserve">infusion, savings to the MBS </w:t>
      </w:r>
      <w:r w:rsidR="00D82E7A" w:rsidRPr="00536F4D">
        <w:t>we</w:t>
      </w:r>
      <w:r w:rsidRPr="00536F4D">
        <w:t xml:space="preserve">re claimed in the basis of a reduction in these services. This </w:t>
      </w:r>
      <w:r w:rsidR="00524A2A">
        <w:t>wa</w:t>
      </w:r>
      <w:r w:rsidRPr="00536F4D">
        <w:t xml:space="preserve">s </w:t>
      </w:r>
      <w:r w:rsidR="00524A2A">
        <w:t xml:space="preserve">considered to be </w:t>
      </w:r>
      <w:r w:rsidR="003C477A" w:rsidRPr="00536F4D">
        <w:t>reasonable.</w:t>
      </w:r>
    </w:p>
    <w:p w:rsidR="00DF78E5" w:rsidRDefault="00DF78E5" w:rsidP="00891893">
      <w:pPr>
        <w:pStyle w:val="ListParagraph"/>
        <w:ind w:left="709" w:hanging="709"/>
      </w:pPr>
      <w:r w:rsidRPr="00536F4D">
        <w:t xml:space="preserve">The submission </w:t>
      </w:r>
      <w:r w:rsidR="00D82E7A" w:rsidRPr="00536F4D">
        <w:t>did</w:t>
      </w:r>
      <w:r w:rsidRPr="00536F4D">
        <w:t xml:space="preserve"> not consider the potential for osimertinib use in patients who are unable to tolerate a </w:t>
      </w:r>
      <w:r w:rsidR="008E7128">
        <w:t>re</w:t>
      </w:r>
      <w:r w:rsidRPr="00536F4D">
        <w:t xml:space="preserve">biopsy, but are tested privately </w:t>
      </w:r>
      <w:r w:rsidR="00990CC6">
        <w:t>using a</w:t>
      </w:r>
      <w:r w:rsidRPr="00536F4D">
        <w:t xml:space="preserve"> plasma</w:t>
      </w:r>
      <w:r w:rsidR="00990CC6">
        <w:t xml:space="preserve"> sample</w:t>
      </w:r>
      <w:r w:rsidRPr="00536F4D">
        <w:t>. This use would be allowed within the proposed PBS restriction, as it d</w:t>
      </w:r>
      <w:r w:rsidR="00D82E7A" w:rsidRPr="00536F4D">
        <w:t>id</w:t>
      </w:r>
      <w:r w:rsidRPr="00536F4D">
        <w:t xml:space="preserve"> not specify sample type to be tested.</w:t>
      </w:r>
    </w:p>
    <w:p w:rsidR="00A90DD3" w:rsidRPr="000C32F5" w:rsidRDefault="00A90DD3" w:rsidP="00610734">
      <w:pPr>
        <w:pStyle w:val="ListParagraph"/>
        <w:ind w:left="709" w:hanging="709"/>
      </w:pPr>
      <w:r w:rsidRPr="000C32F5">
        <w:t>The PSCR (p7) presented revised financial estimates</w:t>
      </w:r>
      <w:r w:rsidR="007C188B">
        <w:t>,</w:t>
      </w:r>
      <w:r w:rsidRPr="000C32F5">
        <w:t xml:space="preserve"> </w:t>
      </w:r>
      <w:r w:rsidR="00E41A1E">
        <w:t>which were not independently verified</w:t>
      </w:r>
      <w:r w:rsidR="007C188B">
        <w:t>,</w:t>
      </w:r>
      <w:r w:rsidR="00E41A1E">
        <w:t xml:space="preserve"> </w:t>
      </w:r>
      <w:r w:rsidRPr="000C32F5">
        <w:t xml:space="preserve">accounting for (i) potential for osimertinib use in patients who would be clinically ineligible for a tumour </w:t>
      </w:r>
      <w:r w:rsidR="008E7128">
        <w:t>re</w:t>
      </w:r>
      <w:r w:rsidRPr="000C32F5">
        <w:t xml:space="preserve">biopsy, but would be tested privately </w:t>
      </w:r>
      <w:r w:rsidR="00990CC6" w:rsidRPr="000C32F5">
        <w:t>using a</w:t>
      </w:r>
      <w:r w:rsidRPr="000C32F5">
        <w:t xml:space="preserve"> plasma</w:t>
      </w:r>
      <w:r w:rsidR="00990CC6" w:rsidRPr="000C32F5">
        <w:t xml:space="preserve"> sample</w:t>
      </w:r>
      <w:r w:rsidRPr="000C32F5">
        <w:t xml:space="preserve">; (ii) inclusion of patients with early stage NSCLC with a 20% rate of recurrence; and (iii) a mean treatment duration of </w:t>
      </w:r>
      <w:r w:rsidR="000B2D46">
        <w:rPr>
          <w:noProof/>
          <w:color w:val="000000"/>
          <w:highlight w:val="black"/>
        </w:rPr>
        <w:t>''''''''</w:t>
      </w:r>
      <w:r w:rsidRPr="000C32F5">
        <w:t xml:space="preserve"> months.</w:t>
      </w:r>
    </w:p>
    <w:p w:rsidR="005E5572" w:rsidRPr="000C32F5" w:rsidRDefault="005E5572" w:rsidP="00610734">
      <w:pPr>
        <w:pStyle w:val="ListParagraph"/>
        <w:ind w:left="709" w:hanging="709"/>
      </w:pPr>
      <w:r w:rsidRPr="000C32F5">
        <w:t>These revised estimates are presented in the table below.</w:t>
      </w:r>
    </w:p>
    <w:p w:rsidR="005E5572" w:rsidRPr="00721BE5" w:rsidRDefault="005E5572" w:rsidP="00721BE5">
      <w:pPr>
        <w:pStyle w:val="Caption"/>
      </w:pPr>
      <w:r w:rsidRPr="00721BE5">
        <w:t>Table 17</w:t>
      </w:r>
      <w:r w:rsidR="0072146A" w:rsidRPr="00721BE5">
        <w:t>:</w:t>
      </w:r>
      <w:r w:rsidRPr="00721BE5">
        <w:t xml:space="preserve"> Revised financial estimates presented in the PSCR</w:t>
      </w:r>
    </w:p>
    <w:tbl>
      <w:tblPr>
        <w:tblStyle w:val="TableGrid"/>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Revised financial estimates presented in the PSCR"/>
      </w:tblPr>
      <w:tblGrid>
        <w:gridCol w:w="1708"/>
        <w:gridCol w:w="1228"/>
        <w:gridCol w:w="1231"/>
        <w:gridCol w:w="1254"/>
        <w:gridCol w:w="1231"/>
        <w:gridCol w:w="1254"/>
        <w:gridCol w:w="1229"/>
      </w:tblGrid>
      <w:tr w:rsidR="005E5572" w:rsidRPr="000C32F5" w:rsidTr="005D46F1">
        <w:trPr>
          <w:cnfStyle w:val="100000000000" w:firstRow="1" w:lastRow="0" w:firstColumn="0" w:lastColumn="0" w:oddVBand="0" w:evenVBand="0" w:oddHBand="0" w:evenHBand="0" w:firstRowFirstColumn="0" w:firstRowLastColumn="0" w:lastRowFirstColumn="0" w:lastRowLastColumn="0"/>
          <w:tblHeader/>
        </w:trPr>
        <w:tc>
          <w:tcPr>
            <w:tcW w:w="1737" w:type="dxa"/>
            <w:shd w:val="clear" w:color="auto" w:fill="FFFFFF" w:themeFill="background1"/>
            <w:vAlign w:val="center"/>
          </w:tcPr>
          <w:p w:rsidR="005E5572" w:rsidRPr="000C32F5" w:rsidRDefault="005E5572" w:rsidP="00DF6D0D">
            <w:pPr>
              <w:pStyle w:val="TableText"/>
              <w:spacing w:before="0"/>
              <w:jc w:val="left"/>
              <w:rPr>
                <w:rFonts w:eastAsia="SimSun" w:cs="Times New Roman"/>
                <w:szCs w:val="20"/>
                <w:lang w:val="en-AU" w:eastAsia="en-AU"/>
              </w:rPr>
            </w:pPr>
          </w:p>
        </w:tc>
        <w:tc>
          <w:tcPr>
            <w:tcW w:w="1233" w:type="dxa"/>
            <w:shd w:val="clear" w:color="auto" w:fill="FFFFFF" w:themeFill="background1"/>
            <w:vAlign w:val="center"/>
          </w:tcPr>
          <w:p w:rsidR="005E5572" w:rsidRPr="000C32F5" w:rsidRDefault="005E5572" w:rsidP="00DF6D0D">
            <w:pPr>
              <w:pStyle w:val="TableHeading"/>
              <w:jc w:val="center"/>
              <w:rPr>
                <w:rFonts w:eastAsia="SimSun" w:cs="Times New Roman"/>
                <w:b/>
                <w:szCs w:val="20"/>
                <w:lang w:val="en-AU" w:eastAsia="en-AU"/>
              </w:rPr>
            </w:pPr>
            <w:r w:rsidRPr="000C32F5">
              <w:rPr>
                <w:rFonts w:eastAsia="SimSun" w:cs="Times New Roman"/>
                <w:b/>
                <w:szCs w:val="20"/>
                <w:lang w:val="en-AU" w:eastAsia="en-AU"/>
              </w:rPr>
              <w:t>Year 1</w:t>
            </w:r>
          </w:p>
        </w:tc>
        <w:tc>
          <w:tcPr>
            <w:tcW w:w="1233" w:type="dxa"/>
            <w:shd w:val="clear" w:color="auto" w:fill="FFFFFF" w:themeFill="background1"/>
            <w:vAlign w:val="center"/>
          </w:tcPr>
          <w:p w:rsidR="005E5572" w:rsidRPr="000C32F5" w:rsidRDefault="005E5572" w:rsidP="00DF6D0D">
            <w:pPr>
              <w:pStyle w:val="TableHeading"/>
              <w:jc w:val="center"/>
              <w:rPr>
                <w:rFonts w:eastAsia="SimSun" w:cs="Times New Roman"/>
                <w:b/>
                <w:szCs w:val="20"/>
                <w:lang w:val="en-AU" w:eastAsia="en-AU"/>
              </w:rPr>
            </w:pPr>
            <w:r w:rsidRPr="000C32F5">
              <w:rPr>
                <w:rFonts w:eastAsia="SimSun" w:cs="Times New Roman"/>
                <w:b/>
                <w:szCs w:val="20"/>
                <w:lang w:val="en-AU" w:eastAsia="en-AU"/>
              </w:rPr>
              <w:t>Year 2</w:t>
            </w:r>
          </w:p>
        </w:tc>
        <w:tc>
          <w:tcPr>
            <w:tcW w:w="1233" w:type="dxa"/>
            <w:shd w:val="clear" w:color="auto" w:fill="FFFFFF" w:themeFill="background1"/>
            <w:vAlign w:val="center"/>
          </w:tcPr>
          <w:p w:rsidR="005E5572" w:rsidRPr="000C32F5" w:rsidRDefault="005E5572" w:rsidP="00DF6D0D">
            <w:pPr>
              <w:pStyle w:val="TableHeading"/>
              <w:jc w:val="center"/>
              <w:rPr>
                <w:rFonts w:eastAsia="SimSun" w:cs="Times New Roman"/>
                <w:b/>
                <w:szCs w:val="20"/>
                <w:lang w:val="en-AU" w:eastAsia="en-AU"/>
              </w:rPr>
            </w:pPr>
            <w:r w:rsidRPr="000C32F5">
              <w:rPr>
                <w:rFonts w:eastAsia="SimSun" w:cs="Times New Roman"/>
                <w:b/>
                <w:szCs w:val="20"/>
                <w:lang w:val="en-AU" w:eastAsia="en-AU"/>
              </w:rPr>
              <w:t>Year 3</w:t>
            </w:r>
          </w:p>
        </w:tc>
        <w:tc>
          <w:tcPr>
            <w:tcW w:w="1233" w:type="dxa"/>
            <w:shd w:val="clear" w:color="auto" w:fill="FFFFFF" w:themeFill="background1"/>
            <w:vAlign w:val="center"/>
          </w:tcPr>
          <w:p w:rsidR="005E5572" w:rsidRPr="000C32F5" w:rsidRDefault="005E5572" w:rsidP="00DF6D0D">
            <w:pPr>
              <w:pStyle w:val="TableHeading"/>
              <w:jc w:val="center"/>
              <w:rPr>
                <w:rFonts w:eastAsia="SimSun" w:cs="Times New Roman"/>
                <w:b/>
                <w:szCs w:val="20"/>
                <w:lang w:val="en-AU" w:eastAsia="en-AU"/>
              </w:rPr>
            </w:pPr>
            <w:r w:rsidRPr="000C32F5">
              <w:rPr>
                <w:rFonts w:eastAsia="SimSun" w:cs="Times New Roman"/>
                <w:b/>
                <w:szCs w:val="20"/>
                <w:lang w:val="en-AU" w:eastAsia="en-AU"/>
              </w:rPr>
              <w:t>Year 4</w:t>
            </w:r>
          </w:p>
        </w:tc>
        <w:tc>
          <w:tcPr>
            <w:tcW w:w="1233" w:type="dxa"/>
            <w:shd w:val="clear" w:color="auto" w:fill="FFFFFF" w:themeFill="background1"/>
            <w:vAlign w:val="center"/>
          </w:tcPr>
          <w:p w:rsidR="005E5572" w:rsidRPr="000C32F5" w:rsidRDefault="005E5572" w:rsidP="00DF6D0D">
            <w:pPr>
              <w:pStyle w:val="TableHeading"/>
              <w:jc w:val="center"/>
              <w:rPr>
                <w:rFonts w:eastAsia="SimSun" w:cs="Times New Roman"/>
                <w:b/>
                <w:szCs w:val="20"/>
                <w:lang w:val="en-AU" w:eastAsia="en-AU"/>
              </w:rPr>
            </w:pPr>
            <w:r w:rsidRPr="000C32F5">
              <w:rPr>
                <w:rFonts w:eastAsia="SimSun" w:cs="Times New Roman"/>
                <w:b/>
                <w:szCs w:val="20"/>
                <w:lang w:val="en-AU" w:eastAsia="en-AU"/>
              </w:rPr>
              <w:t>Year 5</w:t>
            </w:r>
          </w:p>
        </w:tc>
        <w:tc>
          <w:tcPr>
            <w:tcW w:w="1233" w:type="dxa"/>
            <w:shd w:val="clear" w:color="auto" w:fill="FFFFFF" w:themeFill="background1"/>
            <w:vAlign w:val="center"/>
          </w:tcPr>
          <w:p w:rsidR="005E5572" w:rsidRPr="000C32F5" w:rsidRDefault="005E5572" w:rsidP="00DF6D0D">
            <w:pPr>
              <w:pStyle w:val="TableHeading"/>
              <w:jc w:val="center"/>
              <w:rPr>
                <w:rFonts w:eastAsia="SimSun" w:cs="Times New Roman"/>
                <w:b/>
                <w:szCs w:val="20"/>
                <w:lang w:val="en-AU" w:eastAsia="en-AU"/>
              </w:rPr>
            </w:pPr>
            <w:r w:rsidRPr="000C32F5">
              <w:rPr>
                <w:rFonts w:eastAsia="SimSun" w:cs="Times New Roman"/>
                <w:b/>
                <w:szCs w:val="20"/>
                <w:lang w:val="en-AU" w:eastAsia="en-AU"/>
              </w:rPr>
              <w:t>Year 6</w:t>
            </w:r>
          </w:p>
        </w:tc>
      </w:tr>
      <w:tr w:rsidR="005E5572" w:rsidRPr="000C32F5" w:rsidTr="00721BE5">
        <w:tc>
          <w:tcPr>
            <w:tcW w:w="1737" w:type="dxa"/>
            <w:vAlign w:val="center"/>
          </w:tcPr>
          <w:p w:rsidR="005E5572" w:rsidRPr="000C32F5" w:rsidRDefault="005E5572" w:rsidP="00DF6D0D">
            <w:pPr>
              <w:pStyle w:val="TableText"/>
              <w:spacing w:before="0"/>
              <w:jc w:val="left"/>
              <w:rPr>
                <w:rFonts w:eastAsia="SimSun" w:cs="Times New Roman"/>
                <w:b/>
                <w:noProof/>
                <w:szCs w:val="20"/>
                <w:lang w:val="en-AU" w:eastAsia="en-AU"/>
              </w:rPr>
            </w:pPr>
            <w:r w:rsidRPr="000C32F5">
              <w:rPr>
                <w:rFonts w:eastAsia="SimSun" w:cs="Times New Roman"/>
                <w:b/>
                <w:noProof/>
                <w:szCs w:val="20"/>
                <w:lang w:val="en-AU" w:eastAsia="en-AU"/>
              </w:rPr>
              <w:t>Number of treated patients</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r>
      <w:tr w:rsidR="005E5572" w:rsidRPr="000C32F5" w:rsidTr="00721BE5">
        <w:tc>
          <w:tcPr>
            <w:tcW w:w="1737" w:type="dxa"/>
            <w:vAlign w:val="center"/>
          </w:tcPr>
          <w:p w:rsidR="005E5572" w:rsidRPr="000C32F5" w:rsidRDefault="005E5572" w:rsidP="00DF6D0D">
            <w:pPr>
              <w:pStyle w:val="TableText"/>
              <w:spacing w:before="0"/>
              <w:jc w:val="left"/>
              <w:rPr>
                <w:rFonts w:eastAsia="SimSun" w:cs="Times New Roman"/>
                <w:b/>
                <w:noProof/>
                <w:szCs w:val="20"/>
                <w:lang w:val="en-AU" w:eastAsia="en-AU"/>
              </w:rPr>
            </w:pPr>
            <w:r w:rsidRPr="000C32F5">
              <w:rPr>
                <w:rFonts w:eastAsia="SimSun" w:cs="Times New Roman"/>
                <w:b/>
                <w:noProof/>
                <w:szCs w:val="20"/>
                <w:lang w:val="en-AU" w:eastAsia="en-AU"/>
              </w:rPr>
              <w:t xml:space="preserve">Number of </w:t>
            </w:r>
            <w:r w:rsidR="00B901D2" w:rsidRPr="000C32F5">
              <w:rPr>
                <w:rFonts w:eastAsia="SimSun" w:cs="Times New Roman"/>
                <w:b/>
                <w:noProof/>
                <w:szCs w:val="20"/>
                <w:lang w:val="en-AU" w:eastAsia="en-AU"/>
              </w:rPr>
              <w:t>T790M</w:t>
            </w:r>
            <w:r w:rsidRPr="000C32F5">
              <w:rPr>
                <w:rFonts w:eastAsia="SimSun" w:cs="Times New Roman"/>
                <w:b/>
                <w:noProof/>
                <w:szCs w:val="20"/>
                <w:lang w:val="en-AU" w:eastAsia="en-AU"/>
              </w:rPr>
              <w:t xml:space="preserve"> tests</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r>
      <w:tr w:rsidR="005E5572" w:rsidRPr="000C32F5" w:rsidTr="00721BE5">
        <w:tc>
          <w:tcPr>
            <w:tcW w:w="1737" w:type="dxa"/>
            <w:vAlign w:val="center"/>
          </w:tcPr>
          <w:p w:rsidR="005E5572" w:rsidRPr="000C32F5" w:rsidRDefault="005E5572" w:rsidP="00DF6D0D">
            <w:pPr>
              <w:pStyle w:val="TableText"/>
              <w:spacing w:before="0"/>
              <w:jc w:val="left"/>
              <w:rPr>
                <w:rFonts w:eastAsia="SimSun" w:cs="Times New Roman"/>
                <w:b/>
                <w:noProof/>
                <w:szCs w:val="20"/>
                <w:lang w:val="en-AU" w:eastAsia="en-AU"/>
              </w:rPr>
            </w:pPr>
            <w:r w:rsidRPr="000C32F5">
              <w:rPr>
                <w:rFonts w:eastAsia="SimSun" w:cs="Times New Roman"/>
                <w:b/>
                <w:noProof/>
                <w:szCs w:val="20"/>
                <w:lang w:val="en-AU" w:eastAsia="en-AU"/>
              </w:rPr>
              <w:t>NET cost to PBS/RPBS</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r>
      <w:tr w:rsidR="005E5572" w:rsidRPr="000C32F5" w:rsidTr="00721BE5">
        <w:tc>
          <w:tcPr>
            <w:tcW w:w="1737" w:type="dxa"/>
            <w:vAlign w:val="center"/>
          </w:tcPr>
          <w:p w:rsidR="005E5572" w:rsidRPr="000C32F5" w:rsidRDefault="005E5572" w:rsidP="00DF6D0D">
            <w:pPr>
              <w:pStyle w:val="TableText"/>
              <w:spacing w:before="0"/>
              <w:jc w:val="left"/>
              <w:rPr>
                <w:rFonts w:eastAsia="SimSun" w:cs="Times New Roman"/>
                <w:b/>
                <w:noProof/>
                <w:szCs w:val="20"/>
                <w:lang w:val="en-AU" w:eastAsia="en-AU"/>
              </w:rPr>
            </w:pPr>
            <w:r w:rsidRPr="000C32F5">
              <w:rPr>
                <w:rFonts w:eastAsia="SimSun" w:cs="Times New Roman"/>
                <w:b/>
                <w:noProof/>
                <w:szCs w:val="20"/>
                <w:lang w:val="en-AU" w:eastAsia="en-AU"/>
              </w:rPr>
              <w:t>NET cost to MBS</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r>
      <w:tr w:rsidR="005E5572" w:rsidRPr="000C32F5" w:rsidTr="00721BE5">
        <w:tc>
          <w:tcPr>
            <w:tcW w:w="1737" w:type="dxa"/>
            <w:vAlign w:val="center"/>
          </w:tcPr>
          <w:p w:rsidR="005E5572" w:rsidRPr="000C32F5" w:rsidRDefault="005E5572" w:rsidP="00DF6D0D">
            <w:pPr>
              <w:pStyle w:val="TableText"/>
              <w:spacing w:before="0"/>
              <w:jc w:val="left"/>
              <w:rPr>
                <w:rFonts w:eastAsia="SimSun" w:cs="Times New Roman"/>
                <w:b/>
                <w:noProof/>
                <w:szCs w:val="20"/>
                <w:lang w:val="en-AU" w:eastAsia="en-AU"/>
              </w:rPr>
            </w:pPr>
            <w:r w:rsidRPr="000C32F5">
              <w:rPr>
                <w:rFonts w:eastAsia="SimSun" w:cs="Times New Roman"/>
                <w:b/>
                <w:noProof/>
                <w:szCs w:val="20"/>
                <w:lang w:val="en-AU" w:eastAsia="en-AU"/>
              </w:rPr>
              <w:t>NET cost to Government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c>
          <w:tcPr>
            <w:tcW w:w="1233" w:type="dxa"/>
            <w:vAlign w:val="center"/>
          </w:tcPr>
          <w:p w:rsidR="005E5572" w:rsidRPr="000B2D46" w:rsidRDefault="000B2D46" w:rsidP="00DF6D0D">
            <w:pPr>
              <w:spacing w:before="0"/>
              <w:jc w:val="center"/>
              <w:rPr>
                <w:rFonts w:ascii="Arial Narrow" w:eastAsia="SimSun" w:hAnsi="Arial Narrow" w:cs="Times New Roman"/>
                <w:sz w:val="20"/>
                <w:szCs w:val="20"/>
                <w:highlight w:val="black"/>
                <w:lang w:val="en-AU" w:eastAsia="en-AU"/>
              </w:rPr>
            </w:pPr>
            <w:r>
              <w:rPr>
                <w:rFonts w:ascii="Arial Narrow" w:eastAsia="SimSun" w:hAnsi="Arial Narrow" w:cs="Times New Roman"/>
                <w:noProof/>
                <w:color w:val="000000"/>
                <w:sz w:val="20"/>
                <w:szCs w:val="20"/>
                <w:highlight w:val="black"/>
                <w:lang w:val="en-AU" w:eastAsia="en-AU"/>
              </w:rPr>
              <w:t>'''''''''''''''''''''''''''</w:t>
            </w:r>
          </w:p>
        </w:tc>
      </w:tr>
    </w:tbl>
    <w:p w:rsidR="00721BE5" w:rsidRDefault="00721BE5" w:rsidP="00721BE5">
      <w:pPr>
        <w:pStyle w:val="ListParagraph"/>
        <w:numPr>
          <w:ilvl w:val="0"/>
          <w:numId w:val="0"/>
        </w:numPr>
        <w:ind w:left="709"/>
      </w:pPr>
      <w:r w:rsidRPr="00721BE5">
        <w:t>The redacted table shows that at year 5, the estimated number of patients was less than 10,000 per year and the net cost to the PBS would be $</w:t>
      </w:r>
      <w:r>
        <w:t>3</w:t>
      </w:r>
      <w:r w:rsidRPr="00721BE5">
        <w:t>0 - $</w:t>
      </w:r>
      <w:r>
        <w:t>6</w:t>
      </w:r>
      <w:r w:rsidRPr="00721BE5">
        <w:t>0 million per year.</w:t>
      </w:r>
    </w:p>
    <w:p w:rsidR="007B2209" w:rsidRPr="000C32F5" w:rsidRDefault="005E5572" w:rsidP="00610734">
      <w:pPr>
        <w:pStyle w:val="ListParagraph"/>
        <w:ind w:left="709" w:hanging="709"/>
      </w:pPr>
      <w:r w:rsidRPr="000C32F5">
        <w:t xml:space="preserve">The PSCR </w:t>
      </w:r>
      <w:r w:rsidR="005467DA" w:rsidRPr="000C32F5">
        <w:t xml:space="preserve">(p7) </w:t>
      </w:r>
      <w:r w:rsidRPr="000C32F5">
        <w:t xml:space="preserve">further stated that these estimates were likely to be inflated, as (i) the impact of a small number of private tests </w:t>
      </w:r>
      <w:r w:rsidR="00990CC6" w:rsidRPr="000C32F5">
        <w:t xml:space="preserve">using plasma samples </w:t>
      </w:r>
      <w:r w:rsidRPr="000C32F5">
        <w:t xml:space="preserve">which flow on to PBS access would be much lower than </w:t>
      </w:r>
      <w:r w:rsidR="005467DA" w:rsidRPr="000C32F5">
        <w:t xml:space="preserve">that </w:t>
      </w:r>
      <w:r w:rsidRPr="000C32F5">
        <w:t>presented if an MBS item for tumour testing was recommended; and (ii) the number of patients receiving first</w:t>
      </w:r>
      <w:r w:rsidR="006F143D">
        <w:t>-</w:t>
      </w:r>
      <w:r w:rsidRPr="000C32F5">
        <w:t xml:space="preserve">line </w:t>
      </w:r>
      <w:r w:rsidR="00B901D2" w:rsidRPr="00651569">
        <w:t>EGFR</w:t>
      </w:r>
      <w:r w:rsidRPr="00651569">
        <w:t xml:space="preserve"> TKI </w:t>
      </w:r>
      <w:r w:rsidRPr="000C32F5">
        <w:t>agents assumed in these estimates was more than that from a recent DUSC evaluation</w:t>
      </w:r>
      <w:r w:rsidR="00B41CE9" w:rsidRPr="000C32F5">
        <w:t>.</w:t>
      </w:r>
    </w:p>
    <w:p w:rsidR="00B41CE9" w:rsidRPr="000C32F5" w:rsidRDefault="00B41CE9" w:rsidP="00610734">
      <w:pPr>
        <w:pStyle w:val="ListParagraph"/>
        <w:ind w:left="709" w:hanging="709"/>
      </w:pPr>
      <w:r w:rsidRPr="000C32F5">
        <w:t>The ESC</w:t>
      </w:r>
      <w:r w:rsidR="00AB58D5" w:rsidRPr="000C32F5">
        <w:t>s</w:t>
      </w:r>
      <w:r w:rsidRPr="000C32F5">
        <w:t xml:space="preserve"> considered that assuming a mean treatment duration of </w:t>
      </w:r>
      <w:r w:rsidR="000B2D46">
        <w:rPr>
          <w:noProof/>
          <w:color w:val="000000"/>
          <w:highlight w:val="black"/>
        </w:rPr>
        <w:t>'''''''''</w:t>
      </w:r>
      <w:r w:rsidRPr="000C32F5">
        <w:t xml:space="preserve"> months was appropriate (as discussed in paragraph</w:t>
      </w:r>
      <w:r w:rsidR="005467DA" w:rsidRPr="000C32F5">
        <w:t xml:space="preserve"> 6.3</w:t>
      </w:r>
      <w:r w:rsidR="00610734" w:rsidRPr="000C32F5">
        <w:t>3</w:t>
      </w:r>
      <w:r w:rsidRPr="000C32F5">
        <w:t xml:space="preserve">), especially as the dose reductions to the </w:t>
      </w:r>
      <w:r w:rsidRPr="000C32F5">
        <w:lastRenderedPageBreak/>
        <w:t>40</w:t>
      </w:r>
      <w:r w:rsidR="00610734" w:rsidRPr="000C32F5">
        <w:t> </w:t>
      </w:r>
      <w:r w:rsidRPr="000C32F5">
        <w:t>mg would have no impact on the cost of osimertinib treatment as the 40</w:t>
      </w:r>
      <w:r w:rsidR="00610734" w:rsidRPr="000C32F5">
        <w:t> </w:t>
      </w:r>
      <w:r w:rsidRPr="000C32F5">
        <w:t>mg pack was priced identically to the 80</w:t>
      </w:r>
      <w:r w:rsidR="00610734" w:rsidRPr="000C32F5">
        <w:t> </w:t>
      </w:r>
      <w:r w:rsidRPr="000C32F5">
        <w:t>mg pack.</w:t>
      </w:r>
    </w:p>
    <w:p w:rsidR="00DF78E5" w:rsidRPr="00536F4D" w:rsidRDefault="00C40663" w:rsidP="00891893">
      <w:pPr>
        <w:pStyle w:val="ListParagraph"/>
        <w:ind w:left="709" w:hanging="709"/>
      </w:pPr>
      <w:r w:rsidRPr="00536F4D">
        <w:t xml:space="preserve">Testing </w:t>
      </w:r>
      <w:r w:rsidR="00106A77" w:rsidRPr="00536F4D">
        <w:t>could</w:t>
      </w:r>
      <w:r w:rsidRPr="00536F4D">
        <w:t xml:space="preserve"> occur in the first-line setting for de novo </w:t>
      </w:r>
      <w:r w:rsidR="00B901D2" w:rsidRPr="00B901D2">
        <w:rPr>
          <w:i/>
        </w:rPr>
        <w:t>T790M</w:t>
      </w:r>
      <w:r w:rsidRPr="00536F4D">
        <w:t xml:space="preserve"> mutations </w:t>
      </w:r>
      <w:r w:rsidR="00106A77" w:rsidRPr="00536F4D">
        <w:t>in order to exclude patients from treatment with first-line TKIs</w:t>
      </w:r>
      <w:r w:rsidR="00106A77" w:rsidRPr="00536F4D">
        <w:rPr>
          <w:rStyle w:val="FootnoteReference"/>
        </w:rPr>
        <w:footnoteReference w:id="5"/>
      </w:r>
      <w:r w:rsidR="00106A77" w:rsidRPr="00536F4D">
        <w:t xml:space="preserve">. The approved TGA indication does not specifically exclude use of osimertinib in the first-line setting. Such use of osimertinib </w:t>
      </w:r>
      <w:r w:rsidR="00D82E7A" w:rsidRPr="00536F4D">
        <w:t>w</w:t>
      </w:r>
      <w:r w:rsidR="00106A77" w:rsidRPr="00536F4D">
        <w:t xml:space="preserve">as not explored in the submission. </w:t>
      </w:r>
      <w:r w:rsidR="0056559C" w:rsidRPr="00536F4D">
        <w:t>There is an ongoing trial (FLAURA</w:t>
      </w:r>
      <w:r w:rsidR="004440DA" w:rsidRPr="00536F4D">
        <w:t>; NCT02296125</w:t>
      </w:r>
      <w:r w:rsidR="0056559C" w:rsidRPr="00536F4D">
        <w:t>) examining the comparative effectiveness of osimertinib relative to erlotinib or gefitinib in the first-line advanced NSCLC setting. T</w:t>
      </w:r>
      <w:r w:rsidR="00106A77" w:rsidRPr="00536F4D">
        <w:t>he requested PBS restriction specifies use only after failure to first-line TKIs.</w:t>
      </w:r>
      <w:r w:rsidR="00B41CE9">
        <w:t xml:space="preserve"> </w:t>
      </w:r>
      <w:r w:rsidR="00B41CE9" w:rsidRPr="000C32F5">
        <w:t>The ESC</w:t>
      </w:r>
      <w:r w:rsidR="00AB58D5" w:rsidRPr="000C32F5">
        <w:t>s</w:t>
      </w:r>
      <w:r w:rsidR="00B41CE9" w:rsidRPr="000C32F5">
        <w:t xml:space="preserve"> </w:t>
      </w:r>
      <w:r w:rsidR="00D456DC" w:rsidRPr="000C32F5">
        <w:t>advised</w:t>
      </w:r>
      <w:r w:rsidR="00B41CE9" w:rsidRPr="000C32F5">
        <w:t xml:space="preserve"> that there w</w:t>
      </w:r>
      <w:r w:rsidR="00610734" w:rsidRPr="000C32F5">
        <w:t>ould be</w:t>
      </w:r>
      <w:r w:rsidR="00B41CE9" w:rsidRPr="000C32F5">
        <w:t xml:space="preserve"> a significant risk </w:t>
      </w:r>
      <w:r w:rsidR="00610734" w:rsidRPr="000C32F5">
        <w:t xml:space="preserve">of </w:t>
      </w:r>
      <w:r w:rsidR="00B41CE9" w:rsidRPr="000C32F5">
        <w:t>leakage to first</w:t>
      </w:r>
      <w:r w:rsidR="00610734" w:rsidRPr="000C32F5">
        <w:t>-</w:t>
      </w:r>
      <w:r w:rsidR="00B41CE9" w:rsidRPr="000C32F5">
        <w:t>line therapy</w:t>
      </w:r>
      <w:r w:rsidR="00D456DC" w:rsidRPr="000C32F5">
        <w:t>, especially</w:t>
      </w:r>
      <w:r w:rsidR="00D456DC" w:rsidRPr="000C32F5">
        <w:rPr>
          <w:color w:val="auto"/>
        </w:rPr>
        <w:t xml:space="preserve"> given that a trial of osimertinib is underway in this setting (FLAURA) (see </w:t>
      </w:r>
      <w:r w:rsidR="00D456DC" w:rsidRPr="002457ED">
        <w:rPr>
          <w:color w:val="auto"/>
        </w:rPr>
        <w:t>paragraph 3.2).</w:t>
      </w:r>
    </w:p>
    <w:p w:rsidR="00DF78E5" w:rsidRPr="00536F4D" w:rsidRDefault="00DF78E5" w:rsidP="00D41BBB">
      <w:pPr>
        <w:pStyle w:val="ListParagraph"/>
        <w:spacing w:after="0"/>
        <w:ind w:left="709" w:hanging="709"/>
      </w:pPr>
      <w:r w:rsidRPr="00536F4D">
        <w:t xml:space="preserve">The costs associated with </w:t>
      </w:r>
      <w:r w:rsidR="00B901D2" w:rsidRPr="00B901D2">
        <w:rPr>
          <w:i/>
        </w:rPr>
        <w:t>T790M</w:t>
      </w:r>
      <w:r w:rsidRPr="00536F4D">
        <w:t xml:space="preserve"> testing and osimertinib use may have been underestimated, as:</w:t>
      </w:r>
    </w:p>
    <w:p w:rsidR="00DF78E5" w:rsidRPr="004A096C" w:rsidRDefault="00DF78E5" w:rsidP="00C346A4">
      <w:pPr>
        <w:pStyle w:val="ESParagraphDotpoint"/>
        <w:ind w:left="1276" w:hanging="284"/>
        <w:rPr>
          <w:color w:val="auto"/>
        </w:rPr>
      </w:pPr>
      <w:r w:rsidRPr="004A096C">
        <w:rPr>
          <w:color w:val="auto"/>
        </w:rPr>
        <w:t>only patients with Stage IIIB/IV diseas</w:t>
      </w:r>
      <w:r w:rsidR="00524A2A" w:rsidRPr="004A096C">
        <w:rPr>
          <w:color w:val="auto"/>
        </w:rPr>
        <w:t>e at diagnosis were considered;</w:t>
      </w:r>
    </w:p>
    <w:p w:rsidR="00DF78E5" w:rsidRPr="00536F4D" w:rsidRDefault="00DF78E5" w:rsidP="00C346A4">
      <w:pPr>
        <w:pStyle w:val="ESParagraphDotpoint"/>
        <w:ind w:left="1276" w:hanging="284"/>
      </w:pPr>
      <w:r w:rsidRPr="00536F4D">
        <w:t>the number of packs per patie</w:t>
      </w:r>
      <w:r w:rsidR="00524A2A">
        <w:t>nt may be an underestimate; and</w:t>
      </w:r>
    </w:p>
    <w:p w:rsidR="00DF78E5" w:rsidRPr="00536F4D" w:rsidRDefault="00DF78E5" w:rsidP="00C346A4">
      <w:pPr>
        <w:pStyle w:val="ESParagraphDotpoint"/>
        <w:ind w:left="1276" w:hanging="284"/>
      </w:pPr>
      <w:r w:rsidRPr="00536F4D">
        <w:t xml:space="preserve">there </w:t>
      </w:r>
      <w:r w:rsidR="00D82E7A" w:rsidRPr="00536F4D">
        <w:t>would be</w:t>
      </w:r>
      <w:r w:rsidRPr="00536F4D">
        <w:t xml:space="preserve"> potential for broader use, both within and outside of the proposed restrictions.</w:t>
      </w:r>
    </w:p>
    <w:p w:rsidR="00DF78E5" w:rsidRPr="00536F4D" w:rsidRDefault="00DF78E5" w:rsidP="00D41BBB">
      <w:pPr>
        <w:spacing w:before="0"/>
        <w:ind w:left="709"/>
      </w:pPr>
      <w:r w:rsidRPr="00536F4D">
        <w:t>Therefore, the net cost to the Australian Government health budget may be underestimated.</w:t>
      </w:r>
    </w:p>
    <w:p w:rsidR="003657A4" w:rsidRPr="000C32F5" w:rsidRDefault="003657A4" w:rsidP="003657A4">
      <w:pPr>
        <w:pStyle w:val="ESHeading2"/>
        <w:rPr>
          <w:rFonts w:asciiTheme="minorHAnsi" w:hAnsiTheme="minorHAnsi"/>
        </w:rPr>
      </w:pPr>
      <w:bookmarkStart w:id="37" w:name="_Toc492390279"/>
      <w:r w:rsidRPr="000C32F5">
        <w:rPr>
          <w:rFonts w:asciiTheme="minorHAnsi" w:hAnsiTheme="minorHAnsi"/>
        </w:rPr>
        <w:t>Financial management – risk sharing arrangements</w:t>
      </w:r>
      <w:bookmarkEnd w:id="37"/>
    </w:p>
    <w:p w:rsidR="00536F4D" w:rsidRPr="002457ED" w:rsidRDefault="00AC1C4A" w:rsidP="00536F4D">
      <w:pPr>
        <w:pStyle w:val="ListParagraph"/>
        <w:ind w:left="709" w:hanging="709"/>
      </w:pPr>
      <w:r w:rsidRPr="00536F4D">
        <w:t>The submission note</w:t>
      </w:r>
      <w:r w:rsidR="00D82E7A" w:rsidRPr="00536F4D">
        <w:t>d</w:t>
      </w:r>
      <w:r w:rsidRPr="00536F4D">
        <w:t xml:space="preserve"> that the sponsor </w:t>
      </w:r>
      <w:r w:rsidR="00D82E7A" w:rsidRPr="00536F4D">
        <w:t>would be</w:t>
      </w:r>
      <w:r w:rsidRPr="00536F4D">
        <w:t xml:space="preserve"> willing to enter into a risk</w:t>
      </w:r>
      <w:r w:rsidR="0001377F">
        <w:t xml:space="preserve"> </w:t>
      </w:r>
      <w:r w:rsidRPr="00536F4D">
        <w:t xml:space="preserve">sharing arrangement regarding the uncertainty in the expected eligible patient population for osimertinib – where there are higher than expected number of eligible patients receiving osimertinib therapy, </w:t>
      </w:r>
      <w:r w:rsidR="000B2D46">
        <w:rPr>
          <w:noProof/>
          <w:color w:val="000000"/>
          <w:highlight w:val="black"/>
        </w:rPr>
        <w:t>'''''' '''''''''''''' '''''''''''''''' '''' '''''''''''''''' ''' '''''''''''''''''''' '''''''''''' ''''' '''''''' ''''''''''''''''''''''' '''''''''''' ''''' '''''''''''' ''''''''''''''''''' '''' '''''''''''''' ''''''''''''''' ''''''''''''''' ''''' ''''''' ''''''''''''''''''' ''''''''''''''''''</w:t>
      </w:r>
      <w:r w:rsidRPr="00536F4D">
        <w:t>. The submission did not provide specific information regarding th</w:t>
      </w:r>
      <w:r w:rsidR="00D82E7A" w:rsidRPr="00536F4D">
        <w:t>ese annual patient number</w:t>
      </w:r>
      <w:r w:rsidRPr="00536F4D">
        <w:t>s.</w:t>
      </w:r>
      <w:r w:rsidR="00D456DC">
        <w:t xml:space="preserve"> </w:t>
      </w:r>
      <w:r w:rsidR="00D456DC" w:rsidRPr="000C32F5">
        <w:t>The ESC</w:t>
      </w:r>
      <w:r w:rsidR="00AB58D5" w:rsidRPr="000C32F5">
        <w:t>s</w:t>
      </w:r>
      <w:r w:rsidR="00D456DC" w:rsidRPr="000C32F5">
        <w:t xml:space="preserve"> considered that a risk sharing arrangement was warranted to address the uncertainties in the estimated patient numbers, and to mitigate the risk of leakage to first</w:t>
      </w:r>
      <w:r w:rsidR="00610734" w:rsidRPr="000C32F5">
        <w:t>-</w:t>
      </w:r>
      <w:r w:rsidR="00D456DC" w:rsidRPr="000C32F5">
        <w:t xml:space="preserve">line </w:t>
      </w:r>
      <w:r w:rsidR="00D456DC" w:rsidRPr="002457ED">
        <w:t xml:space="preserve">therapy </w:t>
      </w:r>
      <w:r w:rsidR="00D456DC" w:rsidRPr="002457ED">
        <w:rPr>
          <w:color w:val="auto"/>
        </w:rPr>
        <w:t>(see paragraphs 3.2 and 6.59)</w:t>
      </w:r>
      <w:r w:rsidR="00D456DC" w:rsidRPr="002457ED">
        <w:t>.</w:t>
      </w:r>
    </w:p>
    <w:p w:rsidR="00F46A65" w:rsidRPr="000C32F5" w:rsidRDefault="00F46A65" w:rsidP="00536F4D">
      <w:pPr>
        <w:pStyle w:val="ListParagraph"/>
        <w:ind w:left="709" w:hanging="709"/>
      </w:pPr>
      <w:r>
        <w:t xml:space="preserve">The pre-PBAC response (p6) proposed </w:t>
      </w:r>
      <w:r w:rsidR="0001377F">
        <w:t xml:space="preserve">more details of </w:t>
      </w:r>
      <w:r>
        <w:t>a risk shar</w:t>
      </w:r>
      <w:r w:rsidR="0001377F">
        <w:t>ing</w:t>
      </w:r>
      <w:r>
        <w:t xml:space="preserve"> arrangement to mitigate the uncertainties in the financial estimates, </w:t>
      </w:r>
      <w:r w:rsidR="000B2D46">
        <w:rPr>
          <w:noProof/>
          <w:color w:val="000000"/>
          <w:highlight w:val="black"/>
        </w:rPr>
        <w:t>'''''''' ''''''''''''' '''''''''''''''''''''''' ''''''''' ''''''''''''' '''''' ''''''''''''''''''' ''''''' '''''''''' ''''''''</w:t>
      </w:r>
      <w:r>
        <w:t>.</w:t>
      </w:r>
    </w:p>
    <w:p w:rsidR="00D7141B" w:rsidRPr="000C32F5" w:rsidRDefault="00D7141B" w:rsidP="00D7141B">
      <w:pPr>
        <w:pStyle w:val="ListParagraph"/>
        <w:numPr>
          <w:ilvl w:val="0"/>
          <w:numId w:val="0"/>
        </w:numPr>
        <w:ind w:left="709"/>
        <w:rPr>
          <w:i/>
        </w:rPr>
      </w:pPr>
      <w:r w:rsidRPr="000C32F5">
        <w:rPr>
          <w:i/>
        </w:rPr>
        <w:t>For more detail on PBAC’s view, see section 7 PBAC outcome.</w:t>
      </w:r>
    </w:p>
    <w:p w:rsidR="0062061E" w:rsidRDefault="00BA257B" w:rsidP="0062061E">
      <w:pPr>
        <w:pStyle w:val="Heading1"/>
        <w:numPr>
          <w:ilvl w:val="0"/>
          <w:numId w:val="2"/>
        </w:numPr>
        <w:spacing w:before="200" w:line="240" w:lineRule="auto"/>
        <w:jc w:val="both"/>
      </w:pPr>
      <w:r>
        <w:t>PBAC o</w:t>
      </w:r>
      <w:r w:rsidR="0062061E">
        <w:t>utcome</w:t>
      </w:r>
    </w:p>
    <w:p w:rsidR="0095377E" w:rsidRPr="0095377E" w:rsidRDefault="009C2495" w:rsidP="009C2495">
      <w:pPr>
        <w:pStyle w:val="ListParagraph"/>
        <w:ind w:left="709" w:hanging="709"/>
        <w:rPr>
          <w:rFonts w:cs="Arial"/>
          <w:b/>
          <w:bCs/>
          <w:snapToGrid w:val="0"/>
          <w:lang w:val="en-GB"/>
        </w:rPr>
      </w:pPr>
      <w:r w:rsidRPr="009C2495">
        <w:t>The PBAC decid</w:t>
      </w:r>
      <w:r>
        <w:t>ed not to recommend osimertinib</w:t>
      </w:r>
      <w:r w:rsidRPr="009C2495">
        <w:t xml:space="preserve"> for the treatment of </w:t>
      </w:r>
      <w:r w:rsidRPr="009C2495">
        <w:rPr>
          <w:i/>
        </w:rPr>
        <w:t xml:space="preserve">EGFR T790M </w:t>
      </w:r>
      <w:r w:rsidRPr="009C2495">
        <w:t xml:space="preserve">mutation positive non-small cell lung cancer. Although accepting that osimertinib </w:t>
      </w:r>
      <w:r w:rsidR="00211FDA">
        <w:t>i</w:t>
      </w:r>
      <w:r w:rsidRPr="009C2495">
        <w:t>s more effective than standard chemotherapy, the PBAC advised that the magnitude of incremental overall survival benefit was difficult to determine from the evidence presented in the submission</w:t>
      </w:r>
      <w:r w:rsidR="00211FDA">
        <w:t xml:space="preserve">, and this was an important driver of the economic </w:t>
      </w:r>
      <w:r w:rsidR="00211FDA">
        <w:lastRenderedPageBreak/>
        <w:t>evaluation</w:t>
      </w:r>
      <w:r w:rsidRPr="009C2495">
        <w:t xml:space="preserve">. Additionally, the PBAC had concerns with </w:t>
      </w:r>
      <w:r w:rsidR="00211FDA">
        <w:t xml:space="preserve">other </w:t>
      </w:r>
      <w:r w:rsidRPr="009C2495">
        <w:t>aspects of the economic model, which resulted in a high and over</w:t>
      </w:r>
      <w:r w:rsidR="00524A2A">
        <w:t xml:space="preserve">ly </w:t>
      </w:r>
      <w:r w:rsidRPr="009C2495">
        <w:t xml:space="preserve">optimistic estimated incremental cost effectiveness ratio at the price </w:t>
      </w:r>
      <w:r w:rsidR="00524A2A">
        <w:t>requested</w:t>
      </w:r>
      <w:r w:rsidRPr="009C2495">
        <w:t xml:space="preserve"> by the submission.</w:t>
      </w:r>
    </w:p>
    <w:p w:rsidR="00575E79" w:rsidRPr="00575E79" w:rsidRDefault="009C2495" w:rsidP="00575E79">
      <w:pPr>
        <w:pStyle w:val="ListParagraph"/>
        <w:ind w:left="709" w:hanging="709"/>
        <w:rPr>
          <w:rFonts w:cs="Arial"/>
          <w:b/>
          <w:bCs/>
          <w:snapToGrid w:val="0"/>
          <w:lang w:val="en-GB"/>
        </w:rPr>
      </w:pPr>
      <w:r w:rsidRPr="009C2495">
        <w:t xml:space="preserve">The PBAC noted that the codependent test for </w:t>
      </w:r>
      <w:r w:rsidRPr="009C2495">
        <w:rPr>
          <w:i/>
        </w:rPr>
        <w:t>EGFR T790M</w:t>
      </w:r>
      <w:r w:rsidRPr="009C2495">
        <w:t xml:space="preserve"> mutations would be considered by the Medical Services Advisory Committee (MSAC) in late November 2017</w:t>
      </w:r>
      <w:r w:rsidR="00575E79">
        <w:t>.</w:t>
      </w:r>
    </w:p>
    <w:p w:rsidR="00575E79" w:rsidRPr="00575E79" w:rsidRDefault="00575E79" w:rsidP="00575E79">
      <w:pPr>
        <w:pStyle w:val="ListParagraph"/>
        <w:ind w:left="709" w:hanging="709"/>
        <w:rPr>
          <w:rFonts w:cs="Arial"/>
          <w:b/>
          <w:bCs/>
          <w:snapToGrid w:val="0"/>
          <w:lang w:val="en-GB"/>
        </w:rPr>
      </w:pPr>
      <w:r>
        <w:t xml:space="preserve">The PBAC </w:t>
      </w:r>
      <w:r w:rsidR="00524A2A">
        <w:t xml:space="preserve">sought </w:t>
      </w:r>
      <w:r w:rsidRPr="00575E79">
        <w:t xml:space="preserve">further advice from MSAC on whether plasma or </w:t>
      </w:r>
      <w:r w:rsidR="008E7128">
        <w:t>re</w:t>
      </w:r>
      <w:r w:rsidRPr="00575E79">
        <w:t xml:space="preserve">biopsy of tumour tissue would be the most appropriate source of biological material to inform </w:t>
      </w:r>
      <w:r w:rsidRPr="006D75BF">
        <w:rPr>
          <w:i/>
        </w:rPr>
        <w:t>EGFR T790M</w:t>
      </w:r>
      <w:r w:rsidRPr="00575E79">
        <w:t xml:space="preserve"> mutation status in this context.</w:t>
      </w:r>
      <w:r w:rsidR="009B0FD0" w:rsidRPr="009B0FD0">
        <w:t xml:space="preserve"> </w:t>
      </w:r>
      <w:r w:rsidR="00164CC0">
        <w:t xml:space="preserve">The PBAC also foreshadowed its intention to restrict any initial treatment criteria for osimertinib to an Authority Required (in writing). </w:t>
      </w:r>
      <w:r w:rsidR="009B0FD0" w:rsidRPr="00575E79">
        <w:t>The PBAC advised that the restriction requested by the sponsor, with proposed changes by the Secretariat, w</w:t>
      </w:r>
      <w:r w:rsidR="009B0FD0">
        <w:t>as</w:t>
      </w:r>
      <w:r w:rsidR="009B0FD0" w:rsidRPr="00575E79">
        <w:t xml:space="preserve"> </w:t>
      </w:r>
      <w:r w:rsidR="009B0FD0">
        <w:t xml:space="preserve">otherwise </w:t>
      </w:r>
      <w:r w:rsidR="009B0FD0" w:rsidRPr="00575E79">
        <w:t>appropriate.</w:t>
      </w:r>
    </w:p>
    <w:p w:rsidR="00575E79" w:rsidRDefault="00575E79" w:rsidP="00575E79">
      <w:pPr>
        <w:pStyle w:val="ListParagraph"/>
        <w:ind w:left="709" w:hanging="709"/>
        <w:rPr>
          <w:color w:val="auto"/>
        </w:rPr>
      </w:pPr>
      <w:r w:rsidRPr="00575E79">
        <w:rPr>
          <w:color w:val="auto"/>
        </w:rPr>
        <w:t>The PBAC considered that the submission’s proposed place in therapy was appropriate, noting that there was unmet clinical need as patients with this condition develop</w:t>
      </w:r>
      <w:r w:rsidR="009B0FD0">
        <w:rPr>
          <w:color w:val="auto"/>
        </w:rPr>
        <w:t xml:space="preserve"> acquired resistance to </w:t>
      </w:r>
      <w:r w:rsidR="00524A2A">
        <w:rPr>
          <w:color w:val="auto"/>
        </w:rPr>
        <w:t xml:space="preserve">first-line EGFR TKI </w:t>
      </w:r>
      <w:r w:rsidR="009B0FD0">
        <w:rPr>
          <w:color w:val="auto"/>
        </w:rPr>
        <w:t>therapy, as confirmed during the sponsor hearing.</w:t>
      </w:r>
    </w:p>
    <w:p w:rsidR="000C4441" w:rsidRDefault="00575E79" w:rsidP="000C4441">
      <w:pPr>
        <w:pStyle w:val="ListParagraph"/>
        <w:ind w:left="709" w:hanging="709"/>
        <w:rPr>
          <w:color w:val="auto"/>
        </w:rPr>
      </w:pPr>
      <w:r w:rsidRPr="00575E79">
        <w:rPr>
          <w:color w:val="auto"/>
        </w:rPr>
        <w:t xml:space="preserve">The PBAC considered that platinum-based doublet chemotherapy </w:t>
      </w:r>
      <w:r>
        <w:rPr>
          <w:color w:val="auto"/>
        </w:rPr>
        <w:t>w</w:t>
      </w:r>
      <w:r w:rsidRPr="00575E79">
        <w:rPr>
          <w:color w:val="auto"/>
        </w:rPr>
        <w:t xml:space="preserve">as the </w:t>
      </w:r>
      <w:r>
        <w:rPr>
          <w:color w:val="auto"/>
        </w:rPr>
        <w:t xml:space="preserve">appropriate </w:t>
      </w:r>
      <w:r w:rsidRPr="00575E79">
        <w:rPr>
          <w:color w:val="auto"/>
        </w:rPr>
        <w:t>comparator</w:t>
      </w:r>
      <w:r>
        <w:rPr>
          <w:color w:val="auto"/>
        </w:rPr>
        <w:t>.</w:t>
      </w:r>
    </w:p>
    <w:p w:rsidR="000C4441" w:rsidRPr="000C4441" w:rsidRDefault="00A90DE8" w:rsidP="000C4441">
      <w:pPr>
        <w:pStyle w:val="ListParagraph"/>
        <w:ind w:left="709" w:hanging="709"/>
        <w:rPr>
          <w:color w:val="auto"/>
        </w:rPr>
      </w:pPr>
      <w:r>
        <w:t>The PBAC noted that th</w:t>
      </w:r>
      <w:r w:rsidRPr="00A90DE8">
        <w:t xml:space="preserve">e submission </w:t>
      </w:r>
      <w:r w:rsidR="000C4441">
        <w:t xml:space="preserve">was </w:t>
      </w:r>
      <w:r w:rsidR="00524A2A">
        <w:t xml:space="preserve">partly </w:t>
      </w:r>
      <w:r w:rsidR="000C4441">
        <w:t xml:space="preserve">based on a </w:t>
      </w:r>
      <w:r w:rsidR="00FD6D31">
        <w:t xml:space="preserve">direct </w:t>
      </w:r>
      <w:r w:rsidRPr="00A90DE8">
        <w:t>randomised</w:t>
      </w:r>
      <w:r w:rsidR="000C4441">
        <w:t xml:space="preserve"> </w:t>
      </w:r>
      <w:r w:rsidRPr="00A90DE8">
        <w:t xml:space="preserve">trial </w:t>
      </w:r>
      <w:r w:rsidR="000C4441">
        <w:t xml:space="preserve">(AURA3) comparing osimertinib to platinum-based chemotherapy </w:t>
      </w:r>
      <w:r w:rsidR="00FD6D31">
        <w:t>in</w:t>
      </w:r>
      <w:r w:rsidRPr="00A90DE8">
        <w:t xml:space="preserve"> the requested population</w:t>
      </w:r>
      <w:r w:rsidR="000C4441">
        <w:t xml:space="preserve">, with PFS as the primary outcome. The PBAC noted that the submission’s claim of superior effectiveness was based on a </w:t>
      </w:r>
      <w:r w:rsidR="00FD6D31">
        <w:t xml:space="preserve">gain in median </w:t>
      </w:r>
      <w:r w:rsidR="000C4441">
        <w:t xml:space="preserve">PFS of 5.7 months in favour of osimertinib (10.1 months versus 4.4 months; HR </w:t>
      </w:r>
      <w:r w:rsidR="009B0FD0">
        <w:t>0.30 [</w:t>
      </w:r>
      <w:r w:rsidR="000C4441" w:rsidRPr="000C4441">
        <w:t>0.23, 0.41</w:t>
      </w:r>
      <w:r w:rsidR="009B0FD0">
        <w:t>])</w:t>
      </w:r>
      <w:r w:rsidR="000C4441">
        <w:t xml:space="preserve">, at a median follow-up of </w:t>
      </w:r>
      <w:r w:rsidR="000B2D46">
        <w:rPr>
          <w:noProof/>
          <w:color w:val="000000"/>
          <w:highlight w:val="black"/>
        </w:rPr>
        <w:t>''''''''</w:t>
      </w:r>
      <w:r w:rsidR="000C4441">
        <w:t xml:space="preserve"> months.</w:t>
      </w:r>
    </w:p>
    <w:p w:rsidR="009D6D07" w:rsidRDefault="000C4441" w:rsidP="009D6D07">
      <w:pPr>
        <w:pStyle w:val="ListParagraph"/>
        <w:ind w:left="709" w:hanging="709"/>
        <w:rPr>
          <w:color w:val="auto"/>
        </w:rPr>
      </w:pPr>
      <w:r>
        <w:t xml:space="preserve">The PBAC </w:t>
      </w:r>
      <w:r w:rsidR="009B0FD0">
        <w:t xml:space="preserve">considered </w:t>
      </w:r>
      <w:r w:rsidRPr="000C4441">
        <w:rPr>
          <w:color w:val="auto"/>
        </w:rPr>
        <w:t xml:space="preserve">that OS data from AURA3 was immature, </w:t>
      </w:r>
      <w:r w:rsidR="000B2D46">
        <w:rPr>
          <w:noProof/>
          <w:color w:val="000000"/>
          <w:highlight w:val="black"/>
        </w:rPr>
        <w:t>''''''''' ''''''' ''''''''''''' ''''''''''''''' '''''''''''''''''' ''''' ''''''''' '''''''''''''''''</w:t>
      </w:r>
      <w:r w:rsidRPr="000C4441">
        <w:rPr>
          <w:color w:val="auto"/>
        </w:rPr>
        <w:t xml:space="preserve">. Further, </w:t>
      </w:r>
      <w:r w:rsidR="009B0FD0">
        <w:rPr>
          <w:color w:val="auto"/>
        </w:rPr>
        <w:t>the PBAC considered that</w:t>
      </w:r>
      <w:r w:rsidR="007C188B">
        <w:rPr>
          <w:color w:val="auto"/>
        </w:rPr>
        <w:t xml:space="preserve"> the OS results were</w:t>
      </w:r>
      <w:r w:rsidR="009B0FD0">
        <w:rPr>
          <w:color w:val="auto"/>
        </w:rPr>
        <w:t xml:space="preserve"> </w:t>
      </w:r>
      <w:r w:rsidR="00524A2A">
        <w:rPr>
          <w:color w:val="auto"/>
        </w:rPr>
        <w:t>contaminated</w:t>
      </w:r>
      <w:r w:rsidR="009B0FD0">
        <w:rPr>
          <w:color w:val="auto"/>
        </w:rPr>
        <w:t xml:space="preserve"> as </w:t>
      </w:r>
      <w:r w:rsidR="000B2D46">
        <w:rPr>
          <w:noProof/>
          <w:color w:val="000000"/>
          <w:highlight w:val="black"/>
        </w:rPr>
        <w:t>'''''</w:t>
      </w:r>
      <w:r w:rsidRPr="000C4441">
        <w:rPr>
          <w:color w:val="auto"/>
        </w:rPr>
        <w:t>% of patients randomised to the chemotherapy arm had switched to osimertinib upon progression</w:t>
      </w:r>
      <w:r w:rsidR="009B0FD0" w:rsidRPr="009B0FD0">
        <w:rPr>
          <w:color w:val="auto"/>
        </w:rPr>
        <w:t xml:space="preserve"> </w:t>
      </w:r>
      <w:r w:rsidR="009B0FD0" w:rsidRPr="000C4441">
        <w:rPr>
          <w:color w:val="auto"/>
        </w:rPr>
        <w:t>at the time of the interim analysis</w:t>
      </w:r>
      <w:r w:rsidRPr="000C4441">
        <w:rPr>
          <w:color w:val="auto"/>
        </w:rPr>
        <w:t>.</w:t>
      </w:r>
    </w:p>
    <w:p w:rsidR="0080641A" w:rsidRDefault="009D6D07" w:rsidP="0080641A">
      <w:pPr>
        <w:pStyle w:val="ListParagraph"/>
        <w:ind w:left="709" w:hanging="709"/>
        <w:rPr>
          <w:color w:val="auto"/>
        </w:rPr>
      </w:pPr>
      <w:r>
        <w:t>The PBAC noted that</w:t>
      </w:r>
      <w:r w:rsidR="00524A2A">
        <w:t>,</w:t>
      </w:r>
      <w:r>
        <w:t xml:space="preserve"> instead of </w:t>
      </w:r>
      <w:r w:rsidRPr="009D6D07">
        <w:t>adjust</w:t>
      </w:r>
      <w:r>
        <w:t xml:space="preserve">ing </w:t>
      </w:r>
      <w:r w:rsidRPr="009D6D07">
        <w:t>for treatment switching in the AURA3 trial</w:t>
      </w:r>
      <w:r>
        <w:t xml:space="preserve">, the submission presented </w:t>
      </w:r>
      <w:r w:rsidR="00A90DE8" w:rsidRPr="00A90DE8">
        <w:t>a naïve indirect comparison between subgroups from single</w:t>
      </w:r>
      <w:r w:rsidR="000E0E2E">
        <w:t>-</w:t>
      </w:r>
      <w:r w:rsidR="00A90DE8" w:rsidRPr="00A90DE8">
        <w:t>arm studies (</w:t>
      </w:r>
      <w:r w:rsidR="002163E9">
        <w:t xml:space="preserve">AURA </w:t>
      </w:r>
      <w:r w:rsidR="00524A2A">
        <w:t>P</w:t>
      </w:r>
      <w:r w:rsidR="002163E9">
        <w:t>ooled [</w:t>
      </w:r>
      <w:r w:rsidR="00A90DE8" w:rsidRPr="00A90DE8">
        <w:t xml:space="preserve">AURA1C </w:t>
      </w:r>
      <w:r>
        <w:t xml:space="preserve">and </w:t>
      </w:r>
      <w:r w:rsidR="00A90DE8" w:rsidRPr="00A90DE8">
        <w:t>AURA2</w:t>
      </w:r>
      <w:r w:rsidR="002163E9">
        <w:t>]</w:t>
      </w:r>
      <w:r w:rsidR="009B0FD0">
        <w:t xml:space="preserve"> for osimertinib and c</w:t>
      </w:r>
      <w:r w:rsidR="00A90DE8" w:rsidRPr="00A90DE8">
        <w:t>hemother</w:t>
      </w:r>
      <w:r>
        <w:t>apy arm from the IMPRESS trial) to claim a</w:t>
      </w:r>
      <w:r w:rsidR="00F1103D">
        <w:t>n overall</w:t>
      </w:r>
      <w:r>
        <w:t xml:space="preserve"> survival advantage in favour of osimertinib. The PBAC noted the</w:t>
      </w:r>
      <w:r w:rsidR="00813422">
        <w:t xml:space="preserve"> arguments in the </w:t>
      </w:r>
      <w:r w:rsidR="004B366C">
        <w:t>p</w:t>
      </w:r>
      <w:r w:rsidR="00813422">
        <w:t>re-PBAC response</w:t>
      </w:r>
      <w:r>
        <w:t xml:space="preserve"> (p</w:t>
      </w:r>
      <w:r w:rsidR="00813422">
        <w:t>2-</w:t>
      </w:r>
      <w:r>
        <w:t xml:space="preserve">3) stating that </w:t>
      </w:r>
      <w:r w:rsidRPr="009D6D07">
        <w:rPr>
          <w:color w:val="auto"/>
        </w:rPr>
        <w:t xml:space="preserve">a naïve indirect comparison was more appropriate than a statistical adjustment for treatment switching, but </w:t>
      </w:r>
      <w:r>
        <w:rPr>
          <w:color w:val="auto"/>
        </w:rPr>
        <w:t>advised</w:t>
      </w:r>
      <w:r w:rsidRPr="009D6D07">
        <w:rPr>
          <w:color w:val="auto"/>
        </w:rPr>
        <w:t xml:space="preserve"> that the </w:t>
      </w:r>
      <w:r w:rsidR="0076698B">
        <w:rPr>
          <w:color w:val="auto"/>
        </w:rPr>
        <w:t xml:space="preserve">less scientifically rigorous </w:t>
      </w:r>
      <w:r w:rsidR="0076698B" w:rsidRPr="009D6D07">
        <w:rPr>
          <w:color w:val="auto"/>
        </w:rPr>
        <w:t xml:space="preserve">naive indirect comparison presented in the submission </w:t>
      </w:r>
      <w:r w:rsidR="0076698B">
        <w:rPr>
          <w:color w:val="auto"/>
        </w:rPr>
        <w:t xml:space="preserve">introduced </w:t>
      </w:r>
      <w:r w:rsidR="004B366C">
        <w:rPr>
          <w:color w:val="auto"/>
        </w:rPr>
        <w:t>more</w:t>
      </w:r>
      <w:r w:rsidR="0076698B">
        <w:rPr>
          <w:color w:val="auto"/>
        </w:rPr>
        <w:t xml:space="preserve"> rather than less uncertainty. By comparison, the </w:t>
      </w:r>
      <w:r w:rsidRPr="009D6D07">
        <w:rPr>
          <w:color w:val="auto"/>
        </w:rPr>
        <w:t xml:space="preserve">AURA3 trial represented </w:t>
      </w:r>
      <w:r w:rsidR="0076698B">
        <w:rPr>
          <w:color w:val="auto"/>
        </w:rPr>
        <w:t xml:space="preserve">a more scientifically </w:t>
      </w:r>
      <w:r w:rsidR="00EC7389">
        <w:rPr>
          <w:color w:val="auto"/>
        </w:rPr>
        <w:t xml:space="preserve">rigorous </w:t>
      </w:r>
      <w:r w:rsidR="0076698B">
        <w:rPr>
          <w:color w:val="auto"/>
        </w:rPr>
        <w:t xml:space="preserve">source of </w:t>
      </w:r>
      <w:r w:rsidRPr="009D6D07">
        <w:rPr>
          <w:color w:val="auto"/>
        </w:rPr>
        <w:t xml:space="preserve">evidence and therefore more mature data </w:t>
      </w:r>
      <w:r w:rsidR="0076698B">
        <w:rPr>
          <w:color w:val="auto"/>
        </w:rPr>
        <w:t xml:space="preserve">from this trial based </w:t>
      </w:r>
      <w:r w:rsidRPr="009D6D07">
        <w:rPr>
          <w:color w:val="auto"/>
        </w:rPr>
        <w:t xml:space="preserve">on </w:t>
      </w:r>
      <w:r w:rsidR="0076698B">
        <w:rPr>
          <w:color w:val="auto"/>
        </w:rPr>
        <w:t xml:space="preserve">an </w:t>
      </w:r>
      <w:r w:rsidRPr="009D6D07">
        <w:rPr>
          <w:color w:val="auto"/>
        </w:rPr>
        <w:t xml:space="preserve">ITT </w:t>
      </w:r>
      <w:r w:rsidR="0076698B">
        <w:rPr>
          <w:color w:val="auto"/>
        </w:rPr>
        <w:t>analysis</w:t>
      </w:r>
      <w:r w:rsidR="009B0FD0">
        <w:rPr>
          <w:color w:val="auto"/>
        </w:rPr>
        <w:t xml:space="preserve">, or </w:t>
      </w:r>
      <w:r w:rsidR="0076698B">
        <w:rPr>
          <w:color w:val="auto"/>
        </w:rPr>
        <w:t xml:space="preserve">possibly </w:t>
      </w:r>
      <w:r w:rsidR="004B366C">
        <w:rPr>
          <w:color w:val="auto"/>
        </w:rPr>
        <w:t xml:space="preserve">based on </w:t>
      </w:r>
      <w:r w:rsidR="009B0FD0">
        <w:rPr>
          <w:color w:val="auto"/>
        </w:rPr>
        <w:t>a well-justified adjustment for treatment switching,</w:t>
      </w:r>
      <w:r w:rsidRPr="009D6D07">
        <w:rPr>
          <w:color w:val="auto"/>
        </w:rPr>
        <w:t xml:space="preserve"> would have been preferred.</w:t>
      </w:r>
    </w:p>
    <w:p w:rsidR="002163E9" w:rsidRDefault="0076698B" w:rsidP="002163E9">
      <w:pPr>
        <w:pStyle w:val="ListParagraph"/>
        <w:ind w:left="709" w:hanging="709"/>
        <w:rPr>
          <w:color w:val="auto"/>
        </w:rPr>
      </w:pPr>
      <w:r>
        <w:rPr>
          <w:color w:val="auto"/>
        </w:rPr>
        <w:t>T</w:t>
      </w:r>
      <w:r w:rsidR="0080641A" w:rsidRPr="0080641A">
        <w:rPr>
          <w:color w:val="auto"/>
        </w:rPr>
        <w:t>he P</w:t>
      </w:r>
      <w:r w:rsidR="0080641A">
        <w:rPr>
          <w:color w:val="auto"/>
        </w:rPr>
        <w:t>B</w:t>
      </w:r>
      <w:r w:rsidR="0080641A" w:rsidRPr="0080641A">
        <w:rPr>
          <w:color w:val="auto"/>
        </w:rPr>
        <w:t>AC</w:t>
      </w:r>
      <w:r>
        <w:rPr>
          <w:color w:val="auto"/>
        </w:rPr>
        <w:t xml:space="preserve">’s main concern with the naïve indirect comparison </w:t>
      </w:r>
      <w:r w:rsidR="00A96050">
        <w:rPr>
          <w:color w:val="auto"/>
        </w:rPr>
        <w:t>was</w:t>
      </w:r>
      <w:r w:rsidR="0080641A" w:rsidRPr="0080641A">
        <w:t xml:space="preserve"> </w:t>
      </w:r>
      <w:r w:rsidR="0080641A">
        <w:rPr>
          <w:color w:val="auto"/>
        </w:rPr>
        <w:t>t</w:t>
      </w:r>
      <w:r w:rsidR="0080641A" w:rsidRPr="0080641A">
        <w:rPr>
          <w:color w:val="auto"/>
        </w:rPr>
        <w:t xml:space="preserve">he </w:t>
      </w:r>
      <w:r w:rsidR="00A96050">
        <w:rPr>
          <w:color w:val="auto"/>
        </w:rPr>
        <w:t xml:space="preserve">high </w:t>
      </w:r>
      <w:r w:rsidR="0080641A" w:rsidRPr="0080641A">
        <w:rPr>
          <w:color w:val="auto"/>
        </w:rPr>
        <w:t>risk of bias</w:t>
      </w:r>
      <w:r w:rsidR="00A96050">
        <w:rPr>
          <w:color w:val="auto"/>
        </w:rPr>
        <w:t xml:space="preserve"> due</w:t>
      </w:r>
      <w:r w:rsidR="0080641A">
        <w:rPr>
          <w:color w:val="auto"/>
        </w:rPr>
        <w:t xml:space="preserve"> to the inherent limitations of indirect comparisons and the </w:t>
      </w:r>
      <w:r w:rsidR="0080641A" w:rsidRPr="0080641A">
        <w:rPr>
          <w:color w:val="auto"/>
        </w:rPr>
        <w:t>lack of a common reference arm</w:t>
      </w:r>
      <w:r w:rsidR="00A96050">
        <w:rPr>
          <w:color w:val="auto"/>
        </w:rPr>
        <w:t>. T</w:t>
      </w:r>
      <w:r w:rsidR="0080641A">
        <w:rPr>
          <w:color w:val="auto"/>
        </w:rPr>
        <w:t xml:space="preserve">he PBAC </w:t>
      </w:r>
      <w:r w:rsidR="00A96050">
        <w:rPr>
          <w:color w:val="auto"/>
        </w:rPr>
        <w:t xml:space="preserve">also </w:t>
      </w:r>
      <w:r w:rsidR="0080641A">
        <w:rPr>
          <w:color w:val="auto"/>
        </w:rPr>
        <w:t xml:space="preserve">noted that </w:t>
      </w:r>
      <w:r w:rsidR="0080641A" w:rsidRPr="002A1B15">
        <w:rPr>
          <w:i/>
          <w:color w:val="auto"/>
        </w:rPr>
        <w:t>T790M</w:t>
      </w:r>
      <w:r w:rsidR="0080641A" w:rsidRPr="0080641A">
        <w:rPr>
          <w:color w:val="auto"/>
        </w:rPr>
        <w:t xml:space="preserve"> status in the chemotherapy arm </w:t>
      </w:r>
      <w:r w:rsidR="0080641A" w:rsidRPr="0080641A">
        <w:rPr>
          <w:color w:val="auto"/>
        </w:rPr>
        <w:lastRenderedPageBreak/>
        <w:t>from the IMPRESS trial</w:t>
      </w:r>
      <w:r w:rsidR="0080641A">
        <w:rPr>
          <w:color w:val="auto"/>
        </w:rPr>
        <w:t xml:space="preserve"> was determined</w:t>
      </w:r>
      <w:r w:rsidR="0080641A" w:rsidRPr="0080641A">
        <w:rPr>
          <w:color w:val="auto"/>
        </w:rPr>
        <w:t xml:space="preserve"> in an exploratory manner via plasma-based testing. Although the PSCR (p1) contended that a comparison of the chemotherapy arm </w:t>
      </w:r>
      <w:r w:rsidR="00644CFF">
        <w:rPr>
          <w:color w:val="auto"/>
        </w:rPr>
        <w:t>results</w:t>
      </w:r>
      <w:r w:rsidR="0080641A" w:rsidRPr="0080641A">
        <w:rPr>
          <w:color w:val="auto"/>
        </w:rPr>
        <w:t xml:space="preserve"> from the IMPRESS and AURA3 trials </w:t>
      </w:r>
      <w:r w:rsidR="007E1990">
        <w:rPr>
          <w:color w:val="auto"/>
        </w:rPr>
        <w:t xml:space="preserve">suggested </w:t>
      </w:r>
      <w:r w:rsidR="0080641A" w:rsidRPr="0080641A">
        <w:rPr>
          <w:color w:val="auto"/>
        </w:rPr>
        <w:t xml:space="preserve">a similarity in efficacy outcomes, and hence did not support the suggestion of a differing prognostic effect for patients with a plasma T790M mutation in the IMPRESS trial, the </w:t>
      </w:r>
      <w:r w:rsidR="0080641A">
        <w:rPr>
          <w:color w:val="auto"/>
        </w:rPr>
        <w:t>PBAC</w:t>
      </w:r>
      <w:r w:rsidR="0080641A" w:rsidRPr="0080641A">
        <w:rPr>
          <w:color w:val="auto"/>
        </w:rPr>
        <w:t xml:space="preserve"> considered that th</w:t>
      </w:r>
      <w:r w:rsidR="007E1990">
        <w:rPr>
          <w:color w:val="auto"/>
        </w:rPr>
        <w:t>e</w:t>
      </w:r>
      <w:r w:rsidR="0080641A" w:rsidRPr="0080641A">
        <w:rPr>
          <w:color w:val="auto"/>
        </w:rPr>
        <w:t xml:space="preserve"> selection bias </w:t>
      </w:r>
      <w:r w:rsidR="007E1990">
        <w:rPr>
          <w:color w:val="auto"/>
        </w:rPr>
        <w:t xml:space="preserve">arising from relying on plasma-based testing </w:t>
      </w:r>
      <w:r w:rsidR="0080641A" w:rsidRPr="0080641A">
        <w:rPr>
          <w:color w:val="auto"/>
        </w:rPr>
        <w:t>was likely to favour osimertinib.</w:t>
      </w:r>
    </w:p>
    <w:p w:rsidR="00A016E9" w:rsidRPr="002163E9" w:rsidRDefault="002163E9" w:rsidP="002163E9">
      <w:pPr>
        <w:pStyle w:val="ListParagraph"/>
        <w:ind w:left="709" w:hanging="709"/>
        <w:rPr>
          <w:color w:val="auto"/>
        </w:rPr>
      </w:pPr>
      <w:r>
        <w:t xml:space="preserve">Additionally, the PBAC considered that the OS data was immature in all of the evidence presented in the submission to support its claim of </w:t>
      </w:r>
      <w:r w:rsidR="00DE7FA7">
        <w:t xml:space="preserve">osimertinib’s </w:t>
      </w:r>
      <w:r>
        <w:t xml:space="preserve">superior </w:t>
      </w:r>
      <w:r w:rsidR="007E1990">
        <w:t xml:space="preserve">OS </w:t>
      </w:r>
      <w:r>
        <w:t>effect</w:t>
      </w:r>
      <w:r w:rsidR="00DE7FA7">
        <w:t xml:space="preserve"> over chemotherapy</w:t>
      </w:r>
      <w:r>
        <w:t xml:space="preserve">, noting that </w:t>
      </w:r>
      <w:r w:rsidR="000B2D46">
        <w:rPr>
          <w:noProof/>
          <w:color w:val="000000"/>
          <w:highlight w:val="black"/>
        </w:rPr>
        <w:t>''''''''</w:t>
      </w:r>
      <w:r w:rsidRPr="002163E9">
        <w:rPr>
          <w:color w:val="auto"/>
        </w:rPr>
        <w:t xml:space="preserve">% and </w:t>
      </w:r>
      <w:r w:rsidR="000B2D46">
        <w:rPr>
          <w:noProof/>
          <w:color w:val="000000"/>
          <w:highlight w:val="black"/>
        </w:rPr>
        <w:t>'''''''''</w:t>
      </w:r>
      <w:r w:rsidRPr="002163E9">
        <w:rPr>
          <w:color w:val="auto"/>
        </w:rPr>
        <w:t xml:space="preserve">% of patients treated with osimertinib in the AURA3 and AURA </w:t>
      </w:r>
      <w:r w:rsidR="00524A2A">
        <w:rPr>
          <w:color w:val="auto"/>
        </w:rPr>
        <w:t>P</w:t>
      </w:r>
      <w:r w:rsidRPr="002163E9">
        <w:rPr>
          <w:color w:val="auto"/>
        </w:rPr>
        <w:t xml:space="preserve">ooled studies, had died at </w:t>
      </w:r>
      <w:r w:rsidR="000B2D46">
        <w:rPr>
          <w:noProof/>
          <w:color w:val="000000"/>
          <w:highlight w:val="black"/>
        </w:rPr>
        <w:t>''''''''</w:t>
      </w:r>
      <w:r w:rsidRPr="002163E9">
        <w:rPr>
          <w:color w:val="auto"/>
        </w:rPr>
        <w:t xml:space="preserve"> and </w:t>
      </w:r>
      <w:r w:rsidR="000B2D46">
        <w:rPr>
          <w:noProof/>
          <w:color w:val="000000"/>
          <w:highlight w:val="black"/>
        </w:rPr>
        <w:t>''''''''</w:t>
      </w:r>
      <w:r w:rsidRPr="002163E9">
        <w:rPr>
          <w:color w:val="auto"/>
        </w:rPr>
        <w:t xml:space="preserve"> months, respectively.</w:t>
      </w:r>
      <w:r w:rsidR="007E1990">
        <w:rPr>
          <w:color w:val="auto"/>
        </w:rPr>
        <w:t xml:space="preserve"> The longer follow-up results from the AURA Pooled studies subsequently presented at a conference and referred to in the PSCR and pre-PBAC response did </w:t>
      </w:r>
      <w:r w:rsidR="00352B4F">
        <w:rPr>
          <w:color w:val="auto"/>
        </w:rPr>
        <w:t>not provide a more convincing basis to accept any estimate of incremental OS benefit with osimertinib.</w:t>
      </w:r>
    </w:p>
    <w:p w:rsidR="00903CF2" w:rsidRDefault="00A016E9" w:rsidP="00903CF2">
      <w:pPr>
        <w:pStyle w:val="ListParagraph"/>
        <w:ind w:left="709" w:hanging="709"/>
        <w:rPr>
          <w:color w:val="auto"/>
        </w:rPr>
      </w:pPr>
      <w:r>
        <w:rPr>
          <w:color w:val="auto"/>
        </w:rPr>
        <w:t>Overall, t</w:t>
      </w:r>
      <w:r w:rsidRPr="00A016E9">
        <w:rPr>
          <w:color w:val="auto"/>
        </w:rPr>
        <w:t xml:space="preserve">he </w:t>
      </w:r>
      <w:r>
        <w:rPr>
          <w:color w:val="auto"/>
        </w:rPr>
        <w:t>PBAC</w:t>
      </w:r>
      <w:r w:rsidRPr="00A016E9">
        <w:rPr>
          <w:color w:val="auto"/>
        </w:rPr>
        <w:t xml:space="preserve"> advised that, while the submission’s claim of superiority compared with platinum-based doublet chemotherapy was reasonable in terms of response rates, PFS, and safety based on the results of the AURA3 trial, the magnitude of incremental benefit </w:t>
      </w:r>
      <w:r w:rsidR="00DE7FA7">
        <w:rPr>
          <w:color w:val="auto"/>
        </w:rPr>
        <w:t>in OS</w:t>
      </w:r>
      <w:r w:rsidRPr="00A016E9">
        <w:rPr>
          <w:color w:val="auto"/>
        </w:rPr>
        <w:t>, if any, over chemotherapy</w:t>
      </w:r>
      <w:r>
        <w:rPr>
          <w:color w:val="auto"/>
        </w:rPr>
        <w:t>,</w:t>
      </w:r>
      <w:r w:rsidRPr="00A016E9">
        <w:rPr>
          <w:color w:val="auto"/>
        </w:rPr>
        <w:t xml:space="preserve"> </w:t>
      </w:r>
      <w:r w:rsidR="00CB77CD">
        <w:rPr>
          <w:color w:val="auto"/>
        </w:rPr>
        <w:t>was</w:t>
      </w:r>
      <w:r w:rsidRPr="00A016E9">
        <w:rPr>
          <w:color w:val="auto"/>
        </w:rPr>
        <w:t xml:space="preserve"> inconclusive due to the immaturity of the </w:t>
      </w:r>
      <w:r w:rsidR="00352B4F">
        <w:rPr>
          <w:color w:val="auto"/>
        </w:rPr>
        <w:t>OS</w:t>
      </w:r>
      <w:r w:rsidRPr="00A016E9">
        <w:rPr>
          <w:color w:val="auto"/>
        </w:rPr>
        <w:t xml:space="preserve"> data </w:t>
      </w:r>
      <w:r w:rsidR="00352B4F">
        <w:rPr>
          <w:color w:val="auto"/>
        </w:rPr>
        <w:t>from AURA3</w:t>
      </w:r>
      <w:r w:rsidR="00AF2B0A">
        <w:rPr>
          <w:color w:val="auto"/>
        </w:rPr>
        <w:t xml:space="preserve"> and the high rate</w:t>
      </w:r>
      <w:r w:rsidR="004A096C">
        <w:rPr>
          <w:color w:val="auto"/>
        </w:rPr>
        <w:t xml:space="preserve"> of switching from chemotherapy to osimertinib</w:t>
      </w:r>
      <w:r w:rsidRPr="00A016E9">
        <w:rPr>
          <w:color w:val="auto"/>
        </w:rPr>
        <w:t>.</w:t>
      </w:r>
      <w:r w:rsidR="00CB77CD">
        <w:rPr>
          <w:color w:val="auto"/>
        </w:rPr>
        <w:t xml:space="preserve"> F</w:t>
      </w:r>
      <w:r w:rsidR="00AA2288">
        <w:rPr>
          <w:color w:val="auto"/>
        </w:rPr>
        <w:t>or the reasons given above</w:t>
      </w:r>
      <w:r w:rsidR="00CB77CD">
        <w:rPr>
          <w:color w:val="auto"/>
        </w:rPr>
        <w:t xml:space="preserve">, the PBAC advised that the results of the naïve indirect comparison </w:t>
      </w:r>
      <w:r w:rsidR="00352B4F" w:rsidRPr="00903CF2">
        <w:rPr>
          <w:color w:val="auto"/>
        </w:rPr>
        <w:t xml:space="preserve">of single-arm studies (AURA </w:t>
      </w:r>
      <w:r w:rsidR="00352B4F">
        <w:rPr>
          <w:color w:val="auto"/>
        </w:rPr>
        <w:t>P</w:t>
      </w:r>
      <w:r w:rsidR="00352B4F" w:rsidRPr="00903CF2">
        <w:rPr>
          <w:color w:val="auto"/>
        </w:rPr>
        <w:t xml:space="preserve">ooled and IMPRESS) </w:t>
      </w:r>
      <w:r w:rsidR="00352B4F">
        <w:rPr>
          <w:color w:val="auto"/>
        </w:rPr>
        <w:t>were</w:t>
      </w:r>
      <w:r w:rsidR="00CB77CD">
        <w:rPr>
          <w:color w:val="auto"/>
        </w:rPr>
        <w:t xml:space="preserve"> not reliable enough to compensate for the limitations of the AURA3 trial.</w:t>
      </w:r>
    </w:p>
    <w:p w:rsidR="00903CF2" w:rsidRDefault="00903CF2" w:rsidP="00903CF2">
      <w:pPr>
        <w:pStyle w:val="ListParagraph"/>
        <w:ind w:left="709" w:hanging="709"/>
        <w:rPr>
          <w:color w:val="auto"/>
        </w:rPr>
      </w:pPr>
      <w:r w:rsidRPr="00903CF2">
        <w:rPr>
          <w:color w:val="auto"/>
        </w:rPr>
        <w:t>The PBAC noted that the submission presented a modelled cost-utility analysis, using AURA3 to inform PFS, and the naïve indirect comparison to inform OS</w:t>
      </w:r>
      <w:r w:rsidR="00FB58D2">
        <w:rPr>
          <w:color w:val="auto"/>
        </w:rPr>
        <w:t>, with a time horizon of 10 years</w:t>
      </w:r>
      <w:r w:rsidRPr="00903CF2">
        <w:rPr>
          <w:color w:val="auto"/>
        </w:rPr>
        <w:t xml:space="preserve">. The PBAC considered that the submission’s choice of a </w:t>
      </w:r>
      <w:r w:rsidR="00AA2288">
        <w:rPr>
          <w:color w:val="auto"/>
        </w:rPr>
        <w:t xml:space="preserve">base case </w:t>
      </w:r>
      <w:r w:rsidRPr="00903CF2">
        <w:rPr>
          <w:color w:val="auto"/>
        </w:rPr>
        <w:t xml:space="preserve">10-year time horizon was </w:t>
      </w:r>
      <w:r w:rsidR="00AA2288">
        <w:t>unrealistically long and therefore implausible</w:t>
      </w:r>
      <w:r w:rsidR="00AA2288" w:rsidRPr="00903CF2">
        <w:rPr>
          <w:color w:val="auto"/>
        </w:rPr>
        <w:t xml:space="preserve"> </w:t>
      </w:r>
      <w:r w:rsidRPr="00903CF2">
        <w:rPr>
          <w:color w:val="auto"/>
        </w:rPr>
        <w:t>over</w:t>
      </w:r>
      <w:r w:rsidR="00352B4F">
        <w:rPr>
          <w:color w:val="auto"/>
        </w:rPr>
        <w:t xml:space="preserve">ly </w:t>
      </w:r>
      <w:r w:rsidRPr="00903CF2">
        <w:rPr>
          <w:color w:val="auto"/>
        </w:rPr>
        <w:t xml:space="preserve">optimistic, </w:t>
      </w:r>
      <w:r>
        <w:rPr>
          <w:color w:val="auto"/>
        </w:rPr>
        <w:t>as</w:t>
      </w:r>
      <w:r w:rsidR="00352B4F">
        <w:rPr>
          <w:color w:val="auto"/>
        </w:rPr>
        <w:t xml:space="preserve"> </w:t>
      </w:r>
      <w:r w:rsidR="00AA2288">
        <w:rPr>
          <w:color w:val="auto"/>
        </w:rPr>
        <w:t>the committee</w:t>
      </w:r>
      <w:r>
        <w:rPr>
          <w:color w:val="auto"/>
        </w:rPr>
        <w:t>:</w:t>
      </w:r>
    </w:p>
    <w:p w:rsidR="00865E78" w:rsidRDefault="00903CF2" w:rsidP="00FB58D2">
      <w:pPr>
        <w:pStyle w:val="MSACESBulletpoint"/>
        <w:jc w:val="both"/>
        <w:rPr>
          <w:rFonts w:asciiTheme="minorHAnsi" w:hAnsiTheme="minorHAnsi"/>
        </w:rPr>
      </w:pPr>
      <w:r w:rsidRPr="00FB58D2">
        <w:rPr>
          <w:rFonts w:asciiTheme="minorHAnsi" w:hAnsiTheme="minorHAnsi"/>
        </w:rPr>
        <w:t>recalled that it had previously accepted a 5-year time horizon for first-line treatments of NSCLC (erlotinib and afatinib PSDs, July 2013 PBAC meeting)</w:t>
      </w:r>
      <w:r w:rsidR="00865E78">
        <w:rPr>
          <w:rFonts w:asciiTheme="minorHAnsi" w:hAnsiTheme="minorHAnsi"/>
        </w:rPr>
        <w:t>;</w:t>
      </w:r>
    </w:p>
    <w:p w:rsidR="00FB58D2" w:rsidRDefault="00FB58D2" w:rsidP="00FB58D2">
      <w:pPr>
        <w:pStyle w:val="MSACESBulletpoint"/>
        <w:jc w:val="both"/>
        <w:rPr>
          <w:rFonts w:asciiTheme="minorHAnsi" w:hAnsiTheme="minorHAnsi"/>
        </w:rPr>
      </w:pPr>
      <w:r>
        <w:rPr>
          <w:rFonts w:asciiTheme="minorHAnsi" w:hAnsiTheme="minorHAnsi"/>
        </w:rPr>
        <w:t>noted that</w:t>
      </w:r>
      <w:r w:rsidRPr="00FB58D2">
        <w:rPr>
          <w:rFonts w:asciiTheme="minorHAnsi" w:hAnsiTheme="minorHAnsi"/>
        </w:rPr>
        <w:t xml:space="preserve"> the proposed place in therapy for osimertinib is in the second-line setting, and therefore at a later stage in disease</w:t>
      </w:r>
      <w:r>
        <w:rPr>
          <w:rFonts w:asciiTheme="minorHAnsi" w:hAnsiTheme="minorHAnsi"/>
        </w:rPr>
        <w:t xml:space="preserve"> tha</w:t>
      </w:r>
      <w:r w:rsidR="006D75BF">
        <w:rPr>
          <w:rFonts w:asciiTheme="minorHAnsi" w:hAnsiTheme="minorHAnsi"/>
        </w:rPr>
        <w:t>n</w:t>
      </w:r>
      <w:r>
        <w:rPr>
          <w:rFonts w:asciiTheme="minorHAnsi" w:hAnsiTheme="minorHAnsi"/>
        </w:rPr>
        <w:t xml:space="preserve"> erlotinib and afatinib;</w:t>
      </w:r>
    </w:p>
    <w:p w:rsidR="00FB58D2" w:rsidRDefault="00FB58D2" w:rsidP="00FB58D2">
      <w:pPr>
        <w:pStyle w:val="MSACESBulletpoint"/>
        <w:jc w:val="both"/>
        <w:rPr>
          <w:rFonts w:asciiTheme="minorHAnsi" w:hAnsiTheme="minorHAnsi"/>
        </w:rPr>
      </w:pPr>
      <w:r w:rsidRPr="00FB58D2">
        <w:rPr>
          <w:rFonts w:asciiTheme="minorHAnsi" w:hAnsiTheme="minorHAnsi"/>
        </w:rPr>
        <w:t>noted ESC’s concerns regarding the ti</w:t>
      </w:r>
      <w:r w:rsidR="006D75BF">
        <w:rPr>
          <w:rFonts w:asciiTheme="minorHAnsi" w:hAnsiTheme="minorHAnsi"/>
        </w:rPr>
        <w:t xml:space="preserve">me horizon (see </w:t>
      </w:r>
      <w:r w:rsidR="006D75BF" w:rsidRPr="002457ED">
        <w:rPr>
          <w:rFonts w:asciiTheme="minorHAnsi" w:hAnsiTheme="minorHAnsi"/>
        </w:rPr>
        <w:t>paragraph 6.4</w:t>
      </w:r>
      <w:r w:rsidR="002457ED" w:rsidRPr="002457ED">
        <w:rPr>
          <w:rFonts w:asciiTheme="minorHAnsi" w:hAnsiTheme="minorHAnsi"/>
        </w:rPr>
        <w:t>5</w:t>
      </w:r>
      <w:r w:rsidR="006D75BF">
        <w:rPr>
          <w:rFonts w:asciiTheme="minorHAnsi" w:hAnsiTheme="minorHAnsi"/>
        </w:rPr>
        <w:t>)</w:t>
      </w:r>
      <w:r w:rsidRPr="00FB58D2">
        <w:rPr>
          <w:rFonts w:asciiTheme="minorHAnsi" w:hAnsiTheme="minorHAnsi"/>
        </w:rPr>
        <w:t>,</w:t>
      </w:r>
      <w:r>
        <w:rPr>
          <w:rFonts w:asciiTheme="minorHAnsi" w:hAnsiTheme="minorHAnsi"/>
        </w:rPr>
        <w:t xml:space="preserve"> particularly noting that </w:t>
      </w:r>
      <w:r w:rsidRPr="00FB58D2">
        <w:rPr>
          <w:rFonts w:asciiTheme="minorHAnsi" w:hAnsiTheme="minorHAnsi"/>
        </w:rPr>
        <w:t>patients in the chemotherapy arm of the model had died by 5 years, demonstrating consistency with current expectations of prognosis for this population</w:t>
      </w:r>
      <w:r>
        <w:rPr>
          <w:rFonts w:asciiTheme="minorHAnsi" w:hAnsiTheme="minorHAnsi"/>
        </w:rPr>
        <w:t>;</w:t>
      </w:r>
    </w:p>
    <w:p w:rsidR="00FB58D2" w:rsidRDefault="00FB58D2" w:rsidP="00FB58D2">
      <w:pPr>
        <w:pStyle w:val="MSACESBulletpoint"/>
        <w:jc w:val="both"/>
        <w:rPr>
          <w:rFonts w:asciiTheme="minorHAnsi" w:hAnsiTheme="minorHAnsi"/>
        </w:rPr>
      </w:pPr>
      <w:r>
        <w:rPr>
          <w:rFonts w:asciiTheme="minorHAnsi" w:hAnsiTheme="minorHAnsi"/>
        </w:rPr>
        <w:t>noted that</w:t>
      </w:r>
      <w:r w:rsidR="00352B4F">
        <w:rPr>
          <w:rFonts w:asciiTheme="minorHAnsi" w:hAnsiTheme="minorHAnsi"/>
        </w:rPr>
        <w:t>,</w:t>
      </w:r>
      <w:r>
        <w:rPr>
          <w:rFonts w:asciiTheme="minorHAnsi" w:hAnsiTheme="minorHAnsi"/>
        </w:rPr>
        <w:t xml:space="preserve"> at the sponsor hearing, the clinician stated that </w:t>
      </w:r>
      <w:r w:rsidR="00903CF2" w:rsidRPr="00903CF2">
        <w:rPr>
          <w:rFonts w:asciiTheme="minorHAnsi" w:hAnsiTheme="minorHAnsi"/>
        </w:rPr>
        <w:t xml:space="preserve">acquired resistance </w:t>
      </w:r>
      <w:r w:rsidR="00352B4F">
        <w:rPr>
          <w:rFonts w:asciiTheme="minorHAnsi" w:hAnsiTheme="minorHAnsi"/>
        </w:rPr>
        <w:t xml:space="preserve">would </w:t>
      </w:r>
      <w:r w:rsidR="00903CF2" w:rsidRPr="00903CF2">
        <w:rPr>
          <w:rFonts w:asciiTheme="minorHAnsi" w:hAnsiTheme="minorHAnsi"/>
        </w:rPr>
        <w:t>develop</w:t>
      </w:r>
      <w:r w:rsidR="00E41A1E">
        <w:rPr>
          <w:rFonts w:asciiTheme="minorHAnsi" w:hAnsiTheme="minorHAnsi"/>
        </w:rPr>
        <w:t xml:space="preserve"> to osimertinib</w:t>
      </w:r>
      <w:r w:rsidR="00903CF2" w:rsidRPr="00903CF2">
        <w:rPr>
          <w:rFonts w:asciiTheme="minorHAnsi" w:hAnsiTheme="minorHAnsi"/>
        </w:rPr>
        <w:t xml:space="preserve"> in this condition</w:t>
      </w:r>
      <w:r>
        <w:rPr>
          <w:rFonts w:asciiTheme="minorHAnsi" w:hAnsiTheme="minorHAnsi"/>
        </w:rPr>
        <w:t>; and</w:t>
      </w:r>
    </w:p>
    <w:p w:rsidR="00FB58D2" w:rsidRDefault="00903CF2" w:rsidP="00FB58D2">
      <w:pPr>
        <w:pStyle w:val="MSACESBulletpoint"/>
        <w:jc w:val="both"/>
        <w:rPr>
          <w:rFonts w:asciiTheme="minorHAnsi" w:hAnsiTheme="minorHAnsi"/>
        </w:rPr>
      </w:pPr>
      <w:r w:rsidRPr="00903CF2">
        <w:rPr>
          <w:rFonts w:asciiTheme="minorHAnsi" w:hAnsiTheme="minorHAnsi"/>
        </w:rPr>
        <w:t xml:space="preserve">noted that changing the time horizon to 5 years resulted in an increase in the ICER from a base case of </w:t>
      </w:r>
      <w:r w:rsidR="00721BE5">
        <w:rPr>
          <w:rFonts w:asciiTheme="minorHAnsi" w:hAnsiTheme="minorHAnsi"/>
        </w:rPr>
        <w:t>$75,000/QALY - $105,000/QALY</w:t>
      </w:r>
      <w:r w:rsidRPr="00903CF2">
        <w:rPr>
          <w:rFonts w:asciiTheme="minorHAnsi" w:hAnsiTheme="minorHAnsi"/>
        </w:rPr>
        <w:t xml:space="preserve"> to </w:t>
      </w:r>
      <w:r w:rsidR="00721BE5">
        <w:rPr>
          <w:rFonts w:asciiTheme="minorHAnsi" w:hAnsiTheme="minorHAnsi"/>
        </w:rPr>
        <w:t>$75,000/QALY - $105,000/QALY</w:t>
      </w:r>
      <w:r w:rsidRPr="00903CF2">
        <w:rPr>
          <w:rFonts w:asciiTheme="minorHAnsi" w:hAnsiTheme="minorHAnsi"/>
        </w:rPr>
        <w:t>.</w:t>
      </w:r>
    </w:p>
    <w:p w:rsidR="00696900" w:rsidRPr="00696900" w:rsidRDefault="00696900" w:rsidP="00696900">
      <w:pPr>
        <w:pStyle w:val="ListParagraph"/>
        <w:ind w:left="709" w:hanging="709"/>
        <w:rPr>
          <w:color w:val="auto"/>
        </w:rPr>
      </w:pPr>
      <w:r>
        <w:rPr>
          <w:color w:val="auto"/>
        </w:rPr>
        <w:t>The PBA</w:t>
      </w:r>
      <w:r w:rsidR="00FB58D2">
        <w:rPr>
          <w:color w:val="auto"/>
        </w:rPr>
        <w:t xml:space="preserve">C </w:t>
      </w:r>
      <w:r w:rsidR="00AA2288">
        <w:rPr>
          <w:color w:val="auto"/>
        </w:rPr>
        <w:t xml:space="preserve">agreed with the ESC </w:t>
      </w:r>
      <w:r w:rsidR="00FB58D2">
        <w:rPr>
          <w:color w:val="auto"/>
        </w:rPr>
        <w:t>that there were several structural issues with the economic model present</w:t>
      </w:r>
      <w:r w:rsidR="002A1B15">
        <w:rPr>
          <w:color w:val="auto"/>
        </w:rPr>
        <w:t>ed in the submission, including</w:t>
      </w:r>
      <w:r w:rsidR="00FB58D2">
        <w:rPr>
          <w:color w:val="auto"/>
        </w:rPr>
        <w:t xml:space="preserve"> (i) </w:t>
      </w:r>
      <w:r>
        <w:rPr>
          <w:color w:val="auto"/>
        </w:rPr>
        <w:t xml:space="preserve">confounding due to the </w:t>
      </w:r>
      <w:r w:rsidR="00FB58D2">
        <w:rPr>
          <w:color w:val="auto"/>
        </w:rPr>
        <w:lastRenderedPageBreak/>
        <w:t xml:space="preserve">use of </w:t>
      </w:r>
      <w:r w:rsidR="00352B4F">
        <w:rPr>
          <w:color w:val="auto"/>
        </w:rPr>
        <w:t xml:space="preserve">OS </w:t>
      </w:r>
      <w:r w:rsidR="00FB58D2">
        <w:rPr>
          <w:color w:val="auto"/>
        </w:rPr>
        <w:t xml:space="preserve">data from single-arm studies (AURA </w:t>
      </w:r>
      <w:r w:rsidR="00524A2A">
        <w:rPr>
          <w:color w:val="auto"/>
        </w:rPr>
        <w:t>P</w:t>
      </w:r>
      <w:r w:rsidR="00FB58D2">
        <w:rPr>
          <w:color w:val="auto"/>
        </w:rPr>
        <w:t xml:space="preserve">ooled and IMPRESS) instead of the randomised trial (AURA3) </w:t>
      </w:r>
      <w:r>
        <w:rPr>
          <w:color w:val="auto"/>
        </w:rPr>
        <w:t xml:space="preserve">to inform the economic model; (ii) inappropriate transition probabilities and utilities; (iii) the </w:t>
      </w:r>
      <w:r w:rsidR="00AA2288">
        <w:rPr>
          <w:color w:val="auto"/>
        </w:rPr>
        <w:t xml:space="preserve">model’s </w:t>
      </w:r>
      <w:r w:rsidRPr="00696900">
        <w:rPr>
          <w:color w:val="auto"/>
        </w:rPr>
        <w:t xml:space="preserve">assumption that </w:t>
      </w:r>
      <w:r w:rsidR="00AA2288">
        <w:rPr>
          <w:color w:val="auto"/>
        </w:rPr>
        <w:t xml:space="preserve">only </w:t>
      </w:r>
      <w:r w:rsidRPr="00696900">
        <w:rPr>
          <w:color w:val="auto"/>
        </w:rPr>
        <w:t xml:space="preserve">patients </w:t>
      </w:r>
      <w:r w:rsidR="00AA2288">
        <w:rPr>
          <w:color w:val="auto"/>
        </w:rPr>
        <w:t xml:space="preserve">in the chemotherapy arm could subsequently </w:t>
      </w:r>
      <w:r w:rsidR="002C0842">
        <w:rPr>
          <w:color w:val="auto"/>
        </w:rPr>
        <w:t xml:space="preserve">receive </w:t>
      </w:r>
      <w:r w:rsidR="00AA2288">
        <w:rPr>
          <w:color w:val="auto"/>
        </w:rPr>
        <w:t>nivolumab</w:t>
      </w:r>
      <w:r w:rsidRPr="00696900">
        <w:rPr>
          <w:color w:val="auto"/>
        </w:rPr>
        <w:t xml:space="preserve">; (iv) the assumption of constant transition probabilities beyond the study period, which implied an ongoing treatment effect; and (v) </w:t>
      </w:r>
      <w:r>
        <w:rPr>
          <w:color w:val="auto"/>
        </w:rPr>
        <w:t xml:space="preserve">the </w:t>
      </w:r>
      <w:r w:rsidRPr="00696900">
        <w:rPr>
          <w:color w:val="auto"/>
        </w:rPr>
        <w:t>use of a non-concurrent control (OS data from the chemotherapy arm of IMPRESS)</w:t>
      </w:r>
      <w:r>
        <w:rPr>
          <w:color w:val="auto"/>
        </w:rPr>
        <w:t xml:space="preserve"> which </w:t>
      </w:r>
      <w:r w:rsidRPr="00696900">
        <w:rPr>
          <w:color w:val="auto"/>
        </w:rPr>
        <w:t xml:space="preserve">underestimated the survival gain associated with chemotherapy, </w:t>
      </w:r>
      <w:r>
        <w:rPr>
          <w:color w:val="auto"/>
        </w:rPr>
        <w:t xml:space="preserve">potentially </w:t>
      </w:r>
      <w:r w:rsidRPr="00696900">
        <w:rPr>
          <w:color w:val="auto"/>
        </w:rPr>
        <w:t>biasing the model in favour of osimertinib.</w:t>
      </w:r>
    </w:p>
    <w:p w:rsidR="00FB58D2" w:rsidRDefault="007E381F" w:rsidP="00FB58D2">
      <w:pPr>
        <w:pStyle w:val="ListParagraph"/>
        <w:ind w:left="709" w:hanging="709"/>
        <w:rPr>
          <w:color w:val="auto"/>
        </w:rPr>
      </w:pPr>
      <w:r>
        <w:rPr>
          <w:color w:val="auto"/>
        </w:rPr>
        <w:t>Additionally</w:t>
      </w:r>
      <w:r w:rsidR="00696900">
        <w:rPr>
          <w:color w:val="auto"/>
        </w:rPr>
        <w:t xml:space="preserve">, the PBAC </w:t>
      </w:r>
      <w:r w:rsidR="00F358F9">
        <w:rPr>
          <w:color w:val="auto"/>
        </w:rPr>
        <w:t>considered</w:t>
      </w:r>
      <w:r w:rsidR="002C0842">
        <w:rPr>
          <w:color w:val="auto"/>
        </w:rPr>
        <w:t xml:space="preserve"> </w:t>
      </w:r>
      <w:r w:rsidR="00696900">
        <w:rPr>
          <w:color w:val="auto"/>
        </w:rPr>
        <w:t xml:space="preserve">that </w:t>
      </w:r>
      <w:r w:rsidR="002C0842">
        <w:rPr>
          <w:color w:val="auto"/>
        </w:rPr>
        <w:t>ano</w:t>
      </w:r>
      <w:r w:rsidR="00696900">
        <w:rPr>
          <w:color w:val="auto"/>
        </w:rPr>
        <w:t xml:space="preserve">ther issue </w:t>
      </w:r>
      <w:r w:rsidR="002C0842">
        <w:rPr>
          <w:color w:val="auto"/>
        </w:rPr>
        <w:t xml:space="preserve">with </w:t>
      </w:r>
      <w:r w:rsidR="00696900">
        <w:rPr>
          <w:color w:val="auto"/>
        </w:rPr>
        <w:t>the economic model</w:t>
      </w:r>
      <w:r>
        <w:rPr>
          <w:color w:val="auto"/>
        </w:rPr>
        <w:t xml:space="preserve"> </w:t>
      </w:r>
      <w:r w:rsidR="002C0842">
        <w:rPr>
          <w:color w:val="auto"/>
        </w:rPr>
        <w:t>w</w:t>
      </w:r>
      <w:r>
        <w:rPr>
          <w:color w:val="auto"/>
        </w:rPr>
        <w:t>as</w:t>
      </w:r>
      <w:r w:rsidR="002C0842">
        <w:rPr>
          <w:color w:val="auto"/>
        </w:rPr>
        <w:t xml:space="preserve"> that </w:t>
      </w:r>
      <w:r w:rsidR="002C0842">
        <w:t>p</w:t>
      </w:r>
      <w:r w:rsidR="002C0842" w:rsidRPr="007E381F">
        <w:t>emetrexed maintenance was n</w:t>
      </w:r>
      <w:r w:rsidR="002C0842">
        <w:t>ot allowed in the IMPRESS study, although the submission claimed that</w:t>
      </w:r>
      <w:r w:rsidR="002C0842" w:rsidRPr="007E381F">
        <w:t xml:space="preserve"> majority of patients (73.2%) would receive pemetrexed maintenance </w:t>
      </w:r>
      <w:r w:rsidR="002C0842">
        <w:t>in Australian clinical practice</w:t>
      </w:r>
      <w:r w:rsidR="002C0842" w:rsidRPr="007E381F">
        <w:t>.</w:t>
      </w:r>
      <w:r w:rsidR="002C0842">
        <w:t xml:space="preserve"> Further, while the economic model was not adjusted for this anomaly, </w:t>
      </w:r>
      <w:r w:rsidR="002C0842" w:rsidRPr="007E381F">
        <w:t xml:space="preserve">the costs of pemetrexed maintenance </w:t>
      </w:r>
      <w:r w:rsidR="002C0842">
        <w:t xml:space="preserve">were applied in the model, biasing the results </w:t>
      </w:r>
      <w:r w:rsidR="002C0842" w:rsidRPr="007E381F">
        <w:t>in favour of osimertinib</w:t>
      </w:r>
      <w:r w:rsidR="00F358F9">
        <w:rPr>
          <w:color w:val="auto"/>
        </w:rPr>
        <w:t>.</w:t>
      </w:r>
    </w:p>
    <w:p w:rsidR="00192245" w:rsidRDefault="00F55125" w:rsidP="00192245">
      <w:pPr>
        <w:pStyle w:val="ListParagraph"/>
        <w:ind w:left="709" w:hanging="709"/>
        <w:rPr>
          <w:color w:val="auto"/>
        </w:rPr>
      </w:pPr>
      <w:r>
        <w:rPr>
          <w:color w:val="auto"/>
        </w:rPr>
        <w:t xml:space="preserve">The PBAC considered that the </w:t>
      </w:r>
      <w:r w:rsidR="001C42EA" w:rsidRPr="001C42EA">
        <w:rPr>
          <w:color w:val="auto"/>
        </w:rPr>
        <w:t xml:space="preserve">cost of osimertinib used in the </w:t>
      </w:r>
      <w:r>
        <w:rPr>
          <w:color w:val="auto"/>
        </w:rPr>
        <w:t xml:space="preserve">economic </w:t>
      </w:r>
      <w:r w:rsidR="001C42EA" w:rsidRPr="001C42EA">
        <w:rPr>
          <w:color w:val="auto"/>
        </w:rPr>
        <w:t xml:space="preserve">model </w:t>
      </w:r>
      <w:r>
        <w:rPr>
          <w:color w:val="auto"/>
        </w:rPr>
        <w:t xml:space="preserve">was </w:t>
      </w:r>
      <w:r w:rsidR="001C42EA" w:rsidRPr="001C42EA">
        <w:rPr>
          <w:color w:val="auto"/>
        </w:rPr>
        <w:t>an underestimate, as it was based on the observed mean duration of treatment on osimertinib in the AURA3 study. Th</w:t>
      </w:r>
      <w:r>
        <w:rPr>
          <w:color w:val="auto"/>
        </w:rPr>
        <w:t>e PBAC noted that this was</w:t>
      </w:r>
      <w:r w:rsidR="001C42EA" w:rsidRPr="001C42EA">
        <w:rPr>
          <w:color w:val="auto"/>
        </w:rPr>
        <w:t xml:space="preserve"> a truncated mean, as </w:t>
      </w:r>
      <w:r w:rsidR="000B2D46">
        <w:rPr>
          <w:noProof/>
          <w:color w:val="000000"/>
          <w:highlight w:val="black"/>
        </w:rPr>
        <w:t>'''''''''</w:t>
      </w:r>
      <w:r w:rsidR="001C42EA" w:rsidRPr="001C42EA">
        <w:rPr>
          <w:color w:val="auto"/>
        </w:rPr>
        <w:t>% of patients were still on osimertinib treatment at the latest data cut-off.</w:t>
      </w:r>
    </w:p>
    <w:p w:rsidR="001C42EA" w:rsidRPr="009A5F31" w:rsidRDefault="00192245" w:rsidP="00721BE5">
      <w:pPr>
        <w:pStyle w:val="MSACESBulletpoint"/>
        <w:rPr>
          <w:rFonts w:asciiTheme="minorHAnsi" w:hAnsiTheme="minorHAnsi"/>
        </w:rPr>
      </w:pPr>
      <w:r w:rsidRPr="009A5F31">
        <w:rPr>
          <w:rFonts w:asciiTheme="minorHAnsi" w:hAnsiTheme="minorHAnsi"/>
        </w:rPr>
        <w:t xml:space="preserve">The PBAC </w:t>
      </w:r>
      <w:r w:rsidR="001C42EA" w:rsidRPr="009A5F31">
        <w:rPr>
          <w:rFonts w:asciiTheme="minorHAnsi" w:hAnsiTheme="minorHAnsi"/>
        </w:rPr>
        <w:t>noted that, on applying the cost of osimertinib on a per cycle basis until disease progression consistent with the requested continuation criteria, the ICER increa</w:t>
      </w:r>
      <w:r w:rsidR="000406E0" w:rsidRPr="009A5F31">
        <w:rPr>
          <w:rFonts w:asciiTheme="minorHAnsi" w:hAnsiTheme="minorHAnsi"/>
        </w:rPr>
        <w:t xml:space="preserve">sed from </w:t>
      </w:r>
      <w:r w:rsidR="00721BE5" w:rsidRPr="00721BE5">
        <w:rPr>
          <w:rFonts w:asciiTheme="minorHAnsi" w:hAnsiTheme="minorHAnsi"/>
        </w:rPr>
        <w:t xml:space="preserve">$75,000/QALY - $105,000/QALY </w:t>
      </w:r>
      <w:r w:rsidR="000406E0" w:rsidRPr="009A5F31">
        <w:rPr>
          <w:rFonts w:asciiTheme="minorHAnsi" w:hAnsiTheme="minorHAnsi"/>
        </w:rPr>
        <w:t xml:space="preserve">to </w:t>
      </w:r>
      <w:r w:rsidR="00721BE5" w:rsidRPr="009A5F31">
        <w:rPr>
          <w:rFonts w:asciiTheme="minorHAnsi" w:hAnsiTheme="minorHAnsi"/>
        </w:rPr>
        <w:t xml:space="preserve">$75,000/QALY - $105,000/QALY </w:t>
      </w:r>
      <w:r w:rsidR="001C42EA" w:rsidRPr="009A5F31">
        <w:rPr>
          <w:rFonts w:asciiTheme="minorHAnsi" w:hAnsiTheme="minorHAnsi"/>
        </w:rPr>
        <w:t xml:space="preserve">(reflecting the extrapolated mean PFS </w:t>
      </w:r>
      <w:r w:rsidRPr="009A5F31">
        <w:rPr>
          <w:rFonts w:asciiTheme="minorHAnsi" w:hAnsiTheme="minorHAnsi"/>
        </w:rPr>
        <w:t xml:space="preserve">for osimertinib of </w:t>
      </w:r>
      <w:r w:rsidR="000B2D46">
        <w:rPr>
          <w:rFonts w:asciiTheme="minorHAnsi" w:hAnsiTheme="minorHAnsi"/>
          <w:noProof/>
          <w:color w:val="000000"/>
          <w:highlight w:val="black"/>
        </w:rPr>
        <w:t>''''''''</w:t>
      </w:r>
      <w:r w:rsidRPr="009A5F31">
        <w:rPr>
          <w:rFonts w:asciiTheme="minorHAnsi" w:hAnsiTheme="minorHAnsi"/>
        </w:rPr>
        <w:t xml:space="preserve"> months);</w:t>
      </w:r>
    </w:p>
    <w:p w:rsidR="00631A28" w:rsidRPr="009A5F31" w:rsidRDefault="00631A28" w:rsidP="00DE242F">
      <w:pPr>
        <w:pStyle w:val="MSACESBulletpoint"/>
        <w:rPr>
          <w:rFonts w:asciiTheme="minorHAnsi" w:hAnsiTheme="minorHAnsi"/>
        </w:rPr>
      </w:pPr>
      <w:r w:rsidRPr="009A5F31">
        <w:rPr>
          <w:rFonts w:asciiTheme="minorHAnsi" w:hAnsiTheme="minorHAnsi"/>
        </w:rPr>
        <w:t xml:space="preserve">Arguing that this approach did not account for dose interruptions or reductions due to tolerability, the PSCR (p3) and pre-PBAC response (p5) stated that, at the time of the submission, the </w:t>
      </w:r>
      <w:r w:rsidR="00BA257B" w:rsidRPr="009A5F31">
        <w:rPr>
          <w:rFonts w:asciiTheme="minorHAnsi" w:hAnsiTheme="minorHAnsi"/>
        </w:rPr>
        <w:t>“</w:t>
      </w:r>
      <w:r w:rsidRPr="009A5F31">
        <w:rPr>
          <w:rFonts w:asciiTheme="minorHAnsi" w:hAnsiTheme="minorHAnsi"/>
        </w:rPr>
        <w:t>actual</w:t>
      </w:r>
      <w:r w:rsidR="00BA257B" w:rsidRPr="009A5F31">
        <w:rPr>
          <w:rFonts w:asciiTheme="minorHAnsi" w:hAnsiTheme="minorHAnsi"/>
        </w:rPr>
        <w:t>”</w:t>
      </w:r>
      <w:r w:rsidRPr="009A5F31">
        <w:rPr>
          <w:rFonts w:asciiTheme="minorHAnsi" w:hAnsiTheme="minorHAnsi"/>
        </w:rPr>
        <w:t xml:space="preserve"> mean treatment duration was </w:t>
      </w:r>
      <w:r w:rsidR="000B2D46">
        <w:rPr>
          <w:rFonts w:asciiTheme="minorHAnsi" w:hAnsiTheme="minorHAnsi"/>
          <w:noProof/>
          <w:color w:val="000000"/>
          <w:highlight w:val="black"/>
        </w:rPr>
        <w:t>'''''</w:t>
      </w:r>
      <w:r w:rsidRPr="009A5F31">
        <w:rPr>
          <w:rFonts w:asciiTheme="minorHAnsi" w:hAnsiTheme="minorHAnsi"/>
        </w:rPr>
        <w:t xml:space="preserve"> months versus a </w:t>
      </w:r>
      <w:r w:rsidR="00BA257B" w:rsidRPr="009A5F31">
        <w:rPr>
          <w:rFonts w:asciiTheme="minorHAnsi" w:hAnsiTheme="minorHAnsi"/>
        </w:rPr>
        <w:t>“</w:t>
      </w:r>
      <w:r w:rsidRPr="009A5F31">
        <w:rPr>
          <w:rFonts w:asciiTheme="minorHAnsi" w:hAnsiTheme="minorHAnsi"/>
        </w:rPr>
        <w:t>total</w:t>
      </w:r>
      <w:r w:rsidR="00BA257B" w:rsidRPr="009A5F31">
        <w:rPr>
          <w:rFonts w:asciiTheme="minorHAnsi" w:hAnsiTheme="minorHAnsi"/>
        </w:rPr>
        <w:t>”</w:t>
      </w:r>
      <w:r w:rsidRPr="009A5F31">
        <w:rPr>
          <w:rFonts w:asciiTheme="minorHAnsi" w:hAnsiTheme="minorHAnsi"/>
        </w:rPr>
        <w:t xml:space="preserve"> median treatment duration of </w:t>
      </w:r>
      <w:r w:rsidR="000B2D46">
        <w:rPr>
          <w:rFonts w:asciiTheme="minorHAnsi" w:hAnsiTheme="minorHAnsi"/>
          <w:noProof/>
          <w:color w:val="000000"/>
          <w:highlight w:val="black"/>
        </w:rPr>
        <w:t>'''''</w:t>
      </w:r>
      <w:r w:rsidRPr="009A5F31">
        <w:rPr>
          <w:rFonts w:asciiTheme="minorHAnsi" w:hAnsiTheme="minorHAnsi"/>
        </w:rPr>
        <w:t xml:space="preserve"> months, resulting in a relativity of </w:t>
      </w:r>
      <w:r w:rsidR="000B2D46">
        <w:rPr>
          <w:rFonts w:asciiTheme="minorHAnsi" w:hAnsiTheme="minorHAnsi"/>
          <w:noProof/>
          <w:color w:val="000000"/>
          <w:highlight w:val="black"/>
        </w:rPr>
        <w:t>'''''''' ''''''''''''''</w:t>
      </w:r>
      <w:r w:rsidRPr="009A5F31">
        <w:rPr>
          <w:rFonts w:asciiTheme="minorHAnsi" w:hAnsiTheme="minorHAnsi"/>
        </w:rPr>
        <w:t>. Applying this dose relativity resulted in</w:t>
      </w:r>
      <w:r w:rsidR="000406E0" w:rsidRPr="009A5F31">
        <w:rPr>
          <w:rFonts w:asciiTheme="minorHAnsi" w:hAnsiTheme="minorHAnsi"/>
        </w:rPr>
        <w:t xml:space="preserve"> an ICER of </w:t>
      </w:r>
      <w:r w:rsidR="00DE242F" w:rsidRPr="00DE242F">
        <w:rPr>
          <w:rFonts w:asciiTheme="minorHAnsi" w:hAnsiTheme="minorHAnsi"/>
        </w:rPr>
        <w:t xml:space="preserve">$75,000/QALY - $105,000/QALY </w:t>
      </w:r>
      <w:r w:rsidRPr="009A5F31">
        <w:rPr>
          <w:rFonts w:asciiTheme="minorHAnsi" w:hAnsiTheme="minorHAnsi"/>
        </w:rPr>
        <w:t>(</w:t>
      </w:r>
      <w:r w:rsidR="0001377F" w:rsidRPr="009A5F31">
        <w:rPr>
          <w:rFonts w:asciiTheme="minorHAnsi" w:hAnsiTheme="minorHAnsi"/>
        </w:rPr>
        <w:t xml:space="preserve">not independently </w:t>
      </w:r>
      <w:r w:rsidRPr="009A5F31">
        <w:rPr>
          <w:rFonts w:asciiTheme="minorHAnsi" w:hAnsiTheme="minorHAnsi"/>
        </w:rPr>
        <w:t>verified).</w:t>
      </w:r>
    </w:p>
    <w:p w:rsidR="00BA257B" w:rsidRDefault="00BA257B" w:rsidP="009A5F31">
      <w:pPr>
        <w:pStyle w:val="MSACESBulletpoint"/>
        <w:rPr>
          <w:rFonts w:asciiTheme="minorHAnsi" w:hAnsiTheme="minorHAnsi"/>
        </w:rPr>
      </w:pPr>
      <w:r>
        <w:rPr>
          <w:rFonts w:asciiTheme="minorHAnsi" w:hAnsiTheme="minorHAnsi"/>
        </w:rPr>
        <w:t>The PBAC considered that</w:t>
      </w:r>
      <w:r w:rsidR="00DF4E45">
        <w:rPr>
          <w:rFonts w:asciiTheme="minorHAnsi" w:hAnsiTheme="minorHAnsi"/>
        </w:rPr>
        <w:t>,</w:t>
      </w:r>
      <w:r>
        <w:rPr>
          <w:rFonts w:asciiTheme="minorHAnsi" w:hAnsiTheme="minorHAnsi"/>
        </w:rPr>
        <w:t xml:space="preserve"> while the basis of this argument was not unreasonable, the </w:t>
      </w:r>
      <w:r w:rsidRPr="00BA257B">
        <w:rPr>
          <w:rFonts w:asciiTheme="minorHAnsi" w:hAnsiTheme="minorHAnsi"/>
        </w:rPr>
        <w:t>progression-free health state model</w:t>
      </w:r>
      <w:r>
        <w:rPr>
          <w:rFonts w:asciiTheme="minorHAnsi" w:hAnsiTheme="minorHAnsi"/>
        </w:rPr>
        <w:t>ling up to a progression event wa</w:t>
      </w:r>
      <w:r w:rsidRPr="00BA257B">
        <w:rPr>
          <w:rFonts w:asciiTheme="minorHAnsi" w:hAnsiTheme="minorHAnsi"/>
        </w:rPr>
        <w:t xml:space="preserve">s based on </w:t>
      </w:r>
      <w:r>
        <w:rPr>
          <w:rFonts w:asciiTheme="minorHAnsi" w:hAnsiTheme="minorHAnsi"/>
        </w:rPr>
        <w:t xml:space="preserve">the </w:t>
      </w:r>
      <w:r w:rsidRPr="00BA257B">
        <w:rPr>
          <w:rFonts w:asciiTheme="minorHAnsi" w:hAnsiTheme="minorHAnsi"/>
        </w:rPr>
        <w:t>AURA3</w:t>
      </w:r>
      <w:r>
        <w:rPr>
          <w:rFonts w:asciiTheme="minorHAnsi" w:hAnsiTheme="minorHAnsi"/>
        </w:rPr>
        <w:t xml:space="preserve"> trial,</w:t>
      </w:r>
      <w:r w:rsidRPr="00BA257B">
        <w:rPr>
          <w:rFonts w:asciiTheme="minorHAnsi" w:hAnsiTheme="minorHAnsi"/>
        </w:rPr>
        <w:t xml:space="preserve"> </w:t>
      </w:r>
      <w:r>
        <w:rPr>
          <w:rFonts w:asciiTheme="minorHAnsi" w:hAnsiTheme="minorHAnsi"/>
        </w:rPr>
        <w:t xml:space="preserve">whereas </w:t>
      </w:r>
      <w:r w:rsidRPr="00BA257B">
        <w:rPr>
          <w:rFonts w:asciiTheme="minorHAnsi" w:hAnsiTheme="minorHAnsi"/>
        </w:rPr>
        <w:t xml:space="preserve">the PSCR </w:t>
      </w:r>
      <w:r>
        <w:rPr>
          <w:rFonts w:asciiTheme="minorHAnsi" w:hAnsiTheme="minorHAnsi"/>
        </w:rPr>
        <w:t xml:space="preserve">and the pre-PBAC response </w:t>
      </w:r>
      <w:r w:rsidRPr="00BA257B">
        <w:rPr>
          <w:rFonts w:asciiTheme="minorHAnsi" w:hAnsiTheme="minorHAnsi"/>
        </w:rPr>
        <w:t>relie</w:t>
      </w:r>
      <w:r>
        <w:rPr>
          <w:rFonts w:asciiTheme="minorHAnsi" w:hAnsiTheme="minorHAnsi"/>
        </w:rPr>
        <w:t>d</w:t>
      </w:r>
      <w:r w:rsidRPr="00BA257B">
        <w:rPr>
          <w:rFonts w:asciiTheme="minorHAnsi" w:hAnsiTheme="minorHAnsi"/>
        </w:rPr>
        <w:t xml:space="preserve"> on the AURA </w:t>
      </w:r>
      <w:r w:rsidR="00524A2A">
        <w:rPr>
          <w:rFonts w:asciiTheme="minorHAnsi" w:hAnsiTheme="minorHAnsi"/>
        </w:rPr>
        <w:t>P</w:t>
      </w:r>
      <w:r w:rsidRPr="00BA257B">
        <w:rPr>
          <w:rFonts w:asciiTheme="minorHAnsi" w:hAnsiTheme="minorHAnsi"/>
        </w:rPr>
        <w:t xml:space="preserve">ooled studies to calculate its ratio of “actual” to “total” duration </w:t>
      </w:r>
      <w:r>
        <w:rPr>
          <w:rFonts w:asciiTheme="minorHAnsi" w:hAnsiTheme="minorHAnsi"/>
        </w:rPr>
        <w:t>above.</w:t>
      </w:r>
    </w:p>
    <w:p w:rsidR="00BA257B" w:rsidRDefault="00BA257B" w:rsidP="009A5F31">
      <w:pPr>
        <w:pStyle w:val="MSACESBulletpoint"/>
        <w:rPr>
          <w:rFonts w:asciiTheme="minorHAnsi" w:hAnsiTheme="minorHAnsi"/>
        </w:rPr>
      </w:pPr>
      <w:r>
        <w:rPr>
          <w:rFonts w:asciiTheme="minorHAnsi" w:hAnsiTheme="minorHAnsi"/>
        </w:rPr>
        <w:t xml:space="preserve">Using these </w:t>
      </w:r>
      <w:r w:rsidR="00CB393D">
        <w:rPr>
          <w:rFonts w:asciiTheme="minorHAnsi" w:hAnsiTheme="minorHAnsi"/>
        </w:rPr>
        <w:t xml:space="preserve">median </w:t>
      </w:r>
      <w:r>
        <w:rPr>
          <w:rFonts w:asciiTheme="minorHAnsi" w:hAnsiTheme="minorHAnsi"/>
        </w:rPr>
        <w:t>values from the AURA3 trial</w:t>
      </w:r>
      <w:r w:rsidR="001F55E3" w:rsidRPr="009A5F31">
        <w:footnoteReference w:id="6"/>
      </w:r>
      <w:r>
        <w:rPr>
          <w:rFonts w:asciiTheme="minorHAnsi" w:hAnsiTheme="minorHAnsi"/>
        </w:rPr>
        <w:t xml:space="preserve"> instead resulted in a r</w:t>
      </w:r>
      <w:r w:rsidRPr="00BA257B">
        <w:rPr>
          <w:rFonts w:asciiTheme="minorHAnsi" w:hAnsiTheme="minorHAnsi"/>
        </w:rPr>
        <w:t xml:space="preserve">atio </w:t>
      </w:r>
      <w:r>
        <w:rPr>
          <w:rFonts w:asciiTheme="minorHAnsi" w:hAnsiTheme="minorHAnsi"/>
        </w:rPr>
        <w:t>of</w:t>
      </w:r>
      <w:r w:rsidRPr="00BA257B">
        <w:rPr>
          <w:rFonts w:asciiTheme="minorHAnsi" w:hAnsiTheme="minorHAnsi"/>
        </w:rPr>
        <w:t xml:space="preserve"> </w:t>
      </w:r>
      <w:r w:rsidR="000B2D46">
        <w:rPr>
          <w:rFonts w:asciiTheme="minorHAnsi" w:hAnsiTheme="minorHAnsi"/>
          <w:noProof/>
          <w:color w:val="000000"/>
          <w:highlight w:val="black"/>
        </w:rPr>
        <w:t>''''''''' ''''''''''''''''''''''''</w:t>
      </w:r>
      <w:r>
        <w:rPr>
          <w:rFonts w:asciiTheme="minorHAnsi" w:hAnsiTheme="minorHAnsi"/>
        </w:rPr>
        <w:t xml:space="preserve">. Further, the </w:t>
      </w:r>
      <w:r w:rsidR="00A91FB0">
        <w:rPr>
          <w:rFonts w:asciiTheme="minorHAnsi" w:hAnsiTheme="minorHAnsi"/>
        </w:rPr>
        <w:t>PBAC noted that the</w:t>
      </w:r>
      <w:r w:rsidRPr="00BA257B">
        <w:rPr>
          <w:rFonts w:asciiTheme="minorHAnsi" w:hAnsiTheme="minorHAnsi"/>
        </w:rPr>
        <w:t xml:space="preserve"> mean </w:t>
      </w:r>
      <w:r w:rsidR="000406E0">
        <w:rPr>
          <w:rFonts w:asciiTheme="minorHAnsi" w:hAnsiTheme="minorHAnsi"/>
        </w:rPr>
        <w:t>relative dose intensity (</w:t>
      </w:r>
      <w:r>
        <w:rPr>
          <w:rFonts w:asciiTheme="minorHAnsi" w:hAnsiTheme="minorHAnsi"/>
        </w:rPr>
        <w:t>RDI</w:t>
      </w:r>
      <w:r w:rsidR="000406E0">
        <w:rPr>
          <w:rFonts w:asciiTheme="minorHAnsi" w:hAnsiTheme="minorHAnsi"/>
        </w:rPr>
        <w:t>)</w:t>
      </w:r>
      <w:r>
        <w:rPr>
          <w:rFonts w:asciiTheme="minorHAnsi" w:hAnsiTheme="minorHAnsi"/>
        </w:rPr>
        <w:t xml:space="preserve"> in the AURA3 trial was reported to be</w:t>
      </w:r>
      <w:r w:rsidR="002A1B15">
        <w:rPr>
          <w:rFonts w:asciiTheme="minorHAnsi" w:hAnsiTheme="minorHAnsi"/>
        </w:rPr>
        <w:t xml:space="preserve"> </w:t>
      </w:r>
      <w:r w:rsidR="000B2D46">
        <w:rPr>
          <w:rFonts w:asciiTheme="minorHAnsi" w:hAnsiTheme="minorHAnsi"/>
          <w:noProof/>
          <w:color w:val="000000"/>
          <w:highlight w:val="black"/>
        </w:rPr>
        <w:t>'''''''''''</w:t>
      </w:r>
      <w:r w:rsidRPr="00BA257B">
        <w:rPr>
          <w:rFonts w:asciiTheme="minorHAnsi" w:hAnsiTheme="minorHAnsi"/>
        </w:rPr>
        <w:t>.</w:t>
      </w:r>
    </w:p>
    <w:p w:rsidR="009A5F31" w:rsidRDefault="009A5F31" w:rsidP="009A5F31">
      <w:pPr>
        <w:pStyle w:val="MSACESBulletpoint"/>
        <w:numPr>
          <w:ilvl w:val="0"/>
          <w:numId w:val="0"/>
        </w:numPr>
        <w:ind w:left="1080"/>
        <w:rPr>
          <w:rFonts w:asciiTheme="minorHAnsi" w:hAnsiTheme="minorHAnsi"/>
        </w:rPr>
      </w:pPr>
    </w:p>
    <w:p w:rsidR="00192245" w:rsidRPr="00192245" w:rsidRDefault="00BA257B" w:rsidP="00BA257B">
      <w:pPr>
        <w:pStyle w:val="MSACESBulletpoint"/>
        <w:numPr>
          <w:ilvl w:val="0"/>
          <w:numId w:val="0"/>
        </w:numPr>
        <w:ind w:left="720"/>
        <w:jc w:val="both"/>
        <w:rPr>
          <w:rFonts w:asciiTheme="minorHAnsi" w:hAnsiTheme="minorHAnsi"/>
        </w:rPr>
      </w:pPr>
      <w:r>
        <w:rPr>
          <w:rFonts w:asciiTheme="minorHAnsi" w:hAnsiTheme="minorHAnsi"/>
        </w:rPr>
        <w:t xml:space="preserve">As such, the PBAC considered that </w:t>
      </w:r>
      <w:r w:rsidRPr="00BA257B">
        <w:rPr>
          <w:rFonts w:asciiTheme="minorHAnsi" w:hAnsiTheme="minorHAnsi"/>
        </w:rPr>
        <w:t xml:space="preserve">substituting data from another clinical source for this variable rather than from the AURA3 trial </w:t>
      </w:r>
      <w:r>
        <w:rPr>
          <w:rFonts w:asciiTheme="minorHAnsi" w:hAnsiTheme="minorHAnsi"/>
        </w:rPr>
        <w:t>reduced the internal validity of th</w:t>
      </w:r>
      <w:r w:rsidR="0001377F">
        <w:rPr>
          <w:rFonts w:asciiTheme="minorHAnsi" w:hAnsiTheme="minorHAnsi"/>
        </w:rPr>
        <w:t>e estimate for the model</w:t>
      </w:r>
      <w:r>
        <w:rPr>
          <w:rFonts w:asciiTheme="minorHAnsi" w:hAnsiTheme="minorHAnsi"/>
        </w:rPr>
        <w:t xml:space="preserve">, and therefore advised that the cost-effectiveness of osimertinib was likely to be </w:t>
      </w:r>
      <w:r w:rsidR="000406E0">
        <w:rPr>
          <w:rFonts w:asciiTheme="minorHAnsi" w:hAnsiTheme="minorHAnsi"/>
        </w:rPr>
        <w:t xml:space="preserve">much closer to the </w:t>
      </w:r>
      <w:r w:rsidR="00DE242F" w:rsidRPr="00DE242F">
        <w:rPr>
          <w:rFonts w:asciiTheme="minorHAnsi" w:hAnsiTheme="minorHAnsi"/>
        </w:rPr>
        <w:t xml:space="preserve">$75,000/QALY - $105,000/QALY </w:t>
      </w:r>
      <w:r w:rsidR="000406E0">
        <w:rPr>
          <w:rFonts w:asciiTheme="minorHAnsi" w:hAnsiTheme="minorHAnsi"/>
        </w:rPr>
        <w:t>estimate, rather than the</w:t>
      </w:r>
      <w:r w:rsidR="00A91FB0">
        <w:rPr>
          <w:rFonts w:asciiTheme="minorHAnsi" w:hAnsiTheme="minorHAnsi"/>
        </w:rPr>
        <w:t xml:space="preserve"> submission’s</w:t>
      </w:r>
      <w:r w:rsidR="000406E0">
        <w:rPr>
          <w:rFonts w:asciiTheme="minorHAnsi" w:hAnsiTheme="minorHAnsi"/>
        </w:rPr>
        <w:t xml:space="preserve"> </w:t>
      </w:r>
      <w:r w:rsidR="00A91FB0">
        <w:rPr>
          <w:rFonts w:asciiTheme="minorHAnsi" w:hAnsiTheme="minorHAnsi"/>
        </w:rPr>
        <w:t xml:space="preserve">base case of </w:t>
      </w:r>
      <w:r w:rsidR="00DE242F" w:rsidRPr="00DE242F">
        <w:rPr>
          <w:rFonts w:asciiTheme="minorHAnsi" w:hAnsiTheme="minorHAnsi"/>
        </w:rPr>
        <w:t>$75,000/QALY - $105,000/QALY</w:t>
      </w:r>
      <w:r w:rsidR="00A91FB0">
        <w:rPr>
          <w:rFonts w:asciiTheme="minorHAnsi" w:hAnsiTheme="minorHAnsi"/>
        </w:rPr>
        <w:t>,</w:t>
      </w:r>
      <w:r w:rsidR="000406E0">
        <w:rPr>
          <w:rFonts w:asciiTheme="minorHAnsi" w:hAnsiTheme="minorHAnsi"/>
        </w:rPr>
        <w:t xml:space="preserve"> or the </w:t>
      </w:r>
      <w:r w:rsidR="00DE242F" w:rsidRPr="00DE242F">
        <w:rPr>
          <w:rFonts w:asciiTheme="minorHAnsi" w:hAnsiTheme="minorHAnsi"/>
        </w:rPr>
        <w:t>$75,000/QALY - $105,000/QALY</w:t>
      </w:r>
      <w:r w:rsidR="000406E0">
        <w:rPr>
          <w:rFonts w:asciiTheme="minorHAnsi" w:hAnsiTheme="minorHAnsi"/>
        </w:rPr>
        <w:t xml:space="preserve"> ICER from the PSCR.</w:t>
      </w:r>
    </w:p>
    <w:p w:rsidR="00F46A65" w:rsidRDefault="009140E3" w:rsidP="00840E56">
      <w:pPr>
        <w:pStyle w:val="ListParagraph"/>
        <w:ind w:left="709" w:hanging="709"/>
      </w:pPr>
      <w:r>
        <w:t xml:space="preserve">The PBAC noted that the PSCR (p7) presented revised </w:t>
      </w:r>
      <w:r w:rsidRPr="009140E3">
        <w:t>financial estimates</w:t>
      </w:r>
      <w:r w:rsidR="001F55E3">
        <w:t>,</w:t>
      </w:r>
      <w:r w:rsidRPr="009140E3">
        <w:t xml:space="preserve"> </w:t>
      </w:r>
      <w:r w:rsidR="00E41A1E">
        <w:t>which were not independently verified</w:t>
      </w:r>
      <w:r w:rsidR="001F55E3">
        <w:t>,</w:t>
      </w:r>
      <w:r w:rsidR="00E41A1E">
        <w:t xml:space="preserve"> </w:t>
      </w:r>
      <w:r w:rsidRPr="009140E3">
        <w:t xml:space="preserve">accounting for (i) potential for osimertinib use in patients who would be clinically ineligible for a tumour </w:t>
      </w:r>
      <w:r w:rsidR="008E7128">
        <w:t>re</w:t>
      </w:r>
      <w:r w:rsidRPr="009140E3">
        <w:t xml:space="preserve">biopsy, but would be tested privately on plasma samples; (ii) inclusion of patients with early stage NSCLC with a 20% rate of recurrence; and (iii) a mean treatment duration of </w:t>
      </w:r>
      <w:r w:rsidR="000B2D46">
        <w:rPr>
          <w:noProof/>
          <w:color w:val="000000"/>
          <w:highlight w:val="black"/>
        </w:rPr>
        <w:t>'''''''''</w:t>
      </w:r>
      <w:r w:rsidRPr="009140E3">
        <w:t xml:space="preserve"> months.</w:t>
      </w:r>
      <w:r>
        <w:t xml:space="preserve"> However, the PBAC considered that uncertainty </w:t>
      </w:r>
      <w:r w:rsidR="0001377F">
        <w:t xml:space="preserve">remained </w:t>
      </w:r>
      <w:r>
        <w:t xml:space="preserve">in the duration of treatment in clinical practice, and a </w:t>
      </w:r>
      <w:r w:rsidRPr="00840E56">
        <w:t xml:space="preserve">significant risk of leakage to first-line therapy, especially given that a trial of osimertinib </w:t>
      </w:r>
      <w:r w:rsidR="0001377F" w:rsidRPr="00840E56">
        <w:t>(FLAURA)</w:t>
      </w:r>
      <w:r w:rsidR="0001377F">
        <w:t xml:space="preserve"> </w:t>
      </w:r>
      <w:r w:rsidRPr="00840E56">
        <w:t>is underway in this setting.</w:t>
      </w:r>
    </w:p>
    <w:p w:rsidR="001F55E3" w:rsidRPr="00840E56" w:rsidRDefault="001F55E3" w:rsidP="001F55E3">
      <w:pPr>
        <w:pStyle w:val="ListParagraph"/>
        <w:ind w:left="709" w:hanging="709"/>
      </w:pPr>
      <w:r w:rsidRPr="00840E56">
        <w:t xml:space="preserve">The </w:t>
      </w:r>
      <w:r>
        <w:t xml:space="preserve">PBAC </w:t>
      </w:r>
      <w:r w:rsidRPr="00840E56">
        <w:t>note</w:t>
      </w:r>
      <w:r>
        <w:t>d</w:t>
      </w:r>
      <w:r w:rsidRPr="00840E56">
        <w:t xml:space="preserve"> that the sponsor </w:t>
      </w:r>
      <w:r>
        <w:t xml:space="preserve">had indicated a </w:t>
      </w:r>
      <w:r w:rsidRPr="00840E56">
        <w:t>willing</w:t>
      </w:r>
      <w:r>
        <w:t>ness</w:t>
      </w:r>
      <w:r w:rsidRPr="00840E56">
        <w:t xml:space="preserve"> to enter into a risk</w:t>
      </w:r>
      <w:r>
        <w:t xml:space="preserve"> </w:t>
      </w:r>
      <w:r w:rsidRPr="00840E56">
        <w:t xml:space="preserve">sharing arrangement </w:t>
      </w:r>
      <w:r>
        <w:t xml:space="preserve">to address </w:t>
      </w:r>
      <w:r w:rsidRPr="00840E56">
        <w:t xml:space="preserve">the uncertainty </w:t>
      </w:r>
      <w:r>
        <w:t xml:space="preserve">about greater </w:t>
      </w:r>
      <w:r w:rsidRPr="00840E56">
        <w:t>than expected number</w:t>
      </w:r>
      <w:r>
        <w:t>s</w:t>
      </w:r>
      <w:r w:rsidRPr="00840E56">
        <w:t xml:space="preserve"> of eligible patients receiving osimertinib therapy </w:t>
      </w:r>
      <w:r>
        <w:t xml:space="preserve">each year arising from </w:t>
      </w:r>
      <w:r w:rsidRPr="00840E56">
        <w:t xml:space="preserve">leakage into </w:t>
      </w:r>
      <w:r>
        <w:t xml:space="preserve">the </w:t>
      </w:r>
      <w:r w:rsidRPr="00840E56">
        <w:t>first</w:t>
      </w:r>
      <w:r>
        <w:t>-</w:t>
      </w:r>
      <w:r w:rsidRPr="00840E56">
        <w:t>line setting.</w:t>
      </w:r>
    </w:p>
    <w:p w:rsidR="00840E56" w:rsidRDefault="00F46A65" w:rsidP="00840E56">
      <w:pPr>
        <w:pStyle w:val="ListParagraph"/>
        <w:ind w:left="709" w:hanging="709"/>
      </w:pPr>
      <w:r>
        <w:t>The PBAC noted that the pre-PBAC response (p3,6) proposed a</w:t>
      </w:r>
      <w:r w:rsidR="00211FDA">
        <w:t>n</w:t>
      </w:r>
      <w:r>
        <w:t xml:space="preserve"> MES to address the uncertainties regarding OS, and/or a risk shar</w:t>
      </w:r>
      <w:r w:rsidR="0001377F">
        <w:t>ing</w:t>
      </w:r>
      <w:r>
        <w:t xml:space="preserve"> arrangement to mitigate the uncertainties in the financial estimates. The PBAC advised that the fundamental flaws in the economic model would need to be amended via a resubmission, before </w:t>
      </w:r>
      <w:r w:rsidR="00211FDA">
        <w:t xml:space="preserve">this </w:t>
      </w:r>
      <w:r>
        <w:t>option could be appropriately considered by the Committee.</w:t>
      </w:r>
      <w:r w:rsidR="00211FDA">
        <w:t xml:space="preserve"> In addition, the PBAC foreshadowed that the base case of such an MES would need to be based on the ITT analysis of AURA3 so that the uncertainty created by the post-progression switching to osimertinib in the comparator arm does not become an unpredictable source of dispute in the revised economic evaluation reflecting the end of the MES.</w:t>
      </w:r>
      <w:r w:rsidR="00E41A1E">
        <w:t xml:space="preserve"> The PBAC foreshadowed that a single-arm retrospective analysis of first-line TKI use from an Australian lung cancer registry would not reduce uncertainty in the estimate of incremental OS</w:t>
      </w:r>
      <w:r w:rsidR="001A30B4">
        <w:t xml:space="preserve"> and could not be used as the basis for an MES</w:t>
      </w:r>
      <w:r w:rsidR="00E41A1E">
        <w:t>.</w:t>
      </w:r>
    </w:p>
    <w:p w:rsidR="009140E3" w:rsidRPr="00FB58D2" w:rsidRDefault="009140E3" w:rsidP="00840E56">
      <w:pPr>
        <w:pStyle w:val="ListParagraph"/>
        <w:ind w:left="709" w:hanging="709"/>
      </w:pPr>
      <w:r>
        <w:t>The PBAC noted that this submission was eligible for an independent review.</w:t>
      </w:r>
    </w:p>
    <w:p w:rsidR="0062061E" w:rsidRPr="009C2495" w:rsidRDefault="0062061E" w:rsidP="009C2495">
      <w:pPr>
        <w:rPr>
          <w:rFonts w:cs="Arial"/>
          <w:b/>
          <w:bCs/>
          <w:snapToGrid w:val="0"/>
          <w:lang w:val="en-GB"/>
        </w:rPr>
      </w:pPr>
      <w:r w:rsidRPr="009C2495">
        <w:rPr>
          <w:rFonts w:cs="Arial"/>
          <w:b/>
          <w:bCs/>
          <w:snapToGrid w:val="0"/>
          <w:lang w:val="en-GB"/>
        </w:rPr>
        <w:t>Outcome:</w:t>
      </w:r>
    </w:p>
    <w:p w:rsidR="0062061E" w:rsidRPr="00F95055" w:rsidRDefault="009C2495" w:rsidP="0062061E">
      <w:pPr>
        <w:rPr>
          <w:rFonts w:cs="Arial"/>
          <w:bCs/>
          <w:snapToGrid w:val="0"/>
          <w:lang w:val="en-GB"/>
        </w:rPr>
      </w:pPr>
      <w:r>
        <w:rPr>
          <w:rFonts w:cs="Arial"/>
          <w:bCs/>
          <w:snapToGrid w:val="0"/>
          <w:lang w:val="en-GB"/>
        </w:rPr>
        <w:t>Rejected</w:t>
      </w:r>
    </w:p>
    <w:p w:rsidR="00344287" w:rsidRPr="00344287" w:rsidRDefault="00344287" w:rsidP="00344287">
      <w:pPr>
        <w:keepNext/>
        <w:keepLines/>
        <w:numPr>
          <w:ilvl w:val="0"/>
          <w:numId w:val="2"/>
        </w:numPr>
        <w:spacing w:before="240" w:after="120"/>
        <w:ind w:left="709" w:hanging="709"/>
        <w:jc w:val="left"/>
        <w:outlineLvl w:val="0"/>
        <w:rPr>
          <w:rFonts w:ascii="Calibri" w:eastAsia="Times New Roman" w:hAnsi="Calibri" w:cs="Times New Roman"/>
          <w:b/>
          <w:sz w:val="32"/>
          <w:szCs w:val="32"/>
        </w:rPr>
      </w:pPr>
      <w:r w:rsidRPr="00344287">
        <w:rPr>
          <w:rFonts w:ascii="Calibri" w:eastAsia="Times New Roman" w:hAnsi="Calibri" w:cs="Times New Roman"/>
          <w:b/>
          <w:sz w:val="32"/>
          <w:szCs w:val="32"/>
        </w:rPr>
        <w:t>Context for Decision</w:t>
      </w:r>
    </w:p>
    <w:p w:rsidR="00344287" w:rsidRPr="00344287" w:rsidRDefault="00344287" w:rsidP="00835B63">
      <w:pPr>
        <w:spacing w:after="120"/>
        <w:rPr>
          <w:rFonts w:ascii="Calibri" w:eastAsia="Calibri" w:hAnsi="Calibri" w:cs="Arial"/>
        </w:rPr>
      </w:pPr>
      <w:r w:rsidRPr="00344287">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44287" w:rsidRPr="00344287" w:rsidRDefault="00344287" w:rsidP="00344287">
      <w:pPr>
        <w:keepNext/>
        <w:keepLines/>
        <w:numPr>
          <w:ilvl w:val="0"/>
          <w:numId w:val="2"/>
        </w:numPr>
        <w:spacing w:before="240" w:after="120"/>
        <w:ind w:left="709" w:hanging="709"/>
        <w:jc w:val="left"/>
        <w:outlineLvl w:val="0"/>
        <w:rPr>
          <w:rFonts w:ascii="Calibri" w:eastAsia="Times New Roman" w:hAnsi="Calibri" w:cs="Times New Roman"/>
          <w:b/>
          <w:sz w:val="32"/>
          <w:szCs w:val="32"/>
        </w:rPr>
      </w:pPr>
      <w:r w:rsidRPr="00344287">
        <w:rPr>
          <w:rFonts w:ascii="Calibri" w:eastAsia="Times New Roman" w:hAnsi="Calibri" w:cs="Times New Roman"/>
          <w:b/>
          <w:sz w:val="32"/>
          <w:szCs w:val="32"/>
        </w:rPr>
        <w:t>Sponsor’s Comment</w:t>
      </w:r>
    </w:p>
    <w:p w:rsidR="00344287" w:rsidRPr="00344287" w:rsidRDefault="00344287" w:rsidP="00344287">
      <w:pPr>
        <w:rPr>
          <w:rFonts w:ascii="Calibri" w:eastAsia="Calibri" w:hAnsi="Calibri" w:cs="Arial"/>
          <w:snapToGrid w:val="0"/>
          <w:szCs w:val="20"/>
        </w:rPr>
      </w:pPr>
      <w:r w:rsidRPr="00344287">
        <w:rPr>
          <w:rFonts w:ascii="Calibri" w:eastAsia="Calibri" w:hAnsi="Calibri" w:cs="Arial"/>
          <w:snapToGrid w:val="0"/>
          <w:szCs w:val="20"/>
        </w:rPr>
        <w:t>The sponsor had no comment.</w:t>
      </w:r>
    </w:p>
    <w:p w:rsidR="0062061E" w:rsidRPr="00F95055" w:rsidRDefault="0062061E" w:rsidP="0062061E">
      <w:pPr>
        <w:widowControl w:val="0"/>
        <w:rPr>
          <w:rFonts w:cs="Arial"/>
          <w:b/>
          <w:bCs/>
          <w:snapToGrid w:val="0"/>
        </w:rPr>
      </w:pPr>
    </w:p>
    <w:sectPr w:rsidR="0062061E" w:rsidRPr="00F95055" w:rsidSect="00DB2B9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08F4C3" w15:done="0"/>
  <w15:commentEx w15:paraId="1E65FD8A" w15:done="0"/>
  <w15:commentEx w15:paraId="43B95195" w15:done="0"/>
  <w15:commentEx w15:paraId="1629D3DD" w15:done="0"/>
  <w15:commentEx w15:paraId="3DB9753A" w15:paraIdParent="1629D3DD" w15:done="0"/>
  <w15:commentEx w15:paraId="67BE1CFD" w15:done="0"/>
  <w15:commentEx w15:paraId="6307A021" w15:paraIdParent="67BE1CFD" w15:done="0"/>
  <w15:commentEx w15:paraId="52359E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8F4C3" w16cid:durableId="1DCD7A3D"/>
  <w16cid:commentId w16cid:paraId="1E65FD8A" w16cid:durableId="1DCD7CAC"/>
  <w16cid:commentId w16cid:paraId="43B95195" w16cid:durableId="1DCD7ECB"/>
  <w16cid:commentId w16cid:paraId="1629D3DD" w16cid:durableId="1DCD7519"/>
  <w16cid:commentId w16cid:paraId="3DB9753A" w16cid:durableId="1DCD7F43"/>
  <w16cid:commentId w16cid:paraId="67BE1CFD" w16cid:durableId="1DCD751A"/>
  <w16cid:commentId w16cid:paraId="6307A021" w16cid:durableId="1DCD8270"/>
  <w16cid:commentId w16cid:paraId="52359ECA" w16cid:durableId="1DCD75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D46" w:rsidRDefault="000B2D46" w:rsidP="00BA3306">
      <w:pPr>
        <w:spacing w:before="0" w:after="0"/>
      </w:pPr>
      <w:r>
        <w:separator/>
      </w:r>
    </w:p>
  </w:endnote>
  <w:endnote w:type="continuationSeparator" w:id="0">
    <w:p w:rsidR="000B2D46" w:rsidRDefault="000B2D46"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46" w:rsidRDefault="000B2D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754514"/>
      <w:docPartObj>
        <w:docPartGallery w:val="Page Numbers (Bottom of Page)"/>
        <w:docPartUnique/>
      </w:docPartObj>
    </w:sdtPr>
    <w:sdtEndPr>
      <w:rPr>
        <w:noProof/>
      </w:rPr>
    </w:sdtEndPr>
    <w:sdtContent>
      <w:p w:rsidR="00777C4A" w:rsidRDefault="00777C4A">
        <w:pPr>
          <w:pStyle w:val="Footer"/>
          <w:jc w:val="center"/>
        </w:pPr>
        <w:r>
          <w:fldChar w:fldCharType="begin"/>
        </w:r>
        <w:r>
          <w:instrText xml:space="preserve"> PAGE   \* MERGEFORMAT </w:instrText>
        </w:r>
        <w:r>
          <w:fldChar w:fldCharType="separate"/>
        </w:r>
        <w:r w:rsidR="000B2D46">
          <w:rPr>
            <w:noProof/>
          </w:rPr>
          <w:t>1</w:t>
        </w:r>
        <w:r>
          <w:rPr>
            <w:noProof/>
          </w:rPr>
          <w:fldChar w:fldCharType="end"/>
        </w:r>
      </w:p>
    </w:sdtContent>
  </w:sdt>
  <w:p w:rsidR="00777C4A" w:rsidRDefault="00777C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46" w:rsidRDefault="000B2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D46" w:rsidRDefault="000B2D46" w:rsidP="00BA3306">
      <w:pPr>
        <w:spacing w:before="0" w:after="0"/>
      </w:pPr>
      <w:r>
        <w:separator/>
      </w:r>
    </w:p>
  </w:footnote>
  <w:footnote w:type="continuationSeparator" w:id="0">
    <w:p w:rsidR="000B2D46" w:rsidRDefault="000B2D46" w:rsidP="00BA3306">
      <w:pPr>
        <w:spacing w:before="0" w:after="0"/>
      </w:pPr>
      <w:r>
        <w:continuationSeparator/>
      </w:r>
    </w:p>
  </w:footnote>
  <w:footnote w:id="1">
    <w:p w:rsidR="00777C4A" w:rsidRDefault="00777C4A">
      <w:pPr>
        <w:pStyle w:val="FootnoteText"/>
      </w:pPr>
      <w:r>
        <w:rPr>
          <w:rStyle w:val="FootnoteReference"/>
        </w:rPr>
        <w:footnoteRef/>
      </w:r>
      <w:r>
        <w:t xml:space="preserve"> </w:t>
      </w:r>
      <w:r w:rsidRPr="008360BE">
        <w:t xml:space="preserve">Wang S, Cang S, Liu D. Third-generation inhibitors targeting </w:t>
      </w:r>
      <w:r w:rsidRPr="00B901D2">
        <w:rPr>
          <w:i/>
        </w:rPr>
        <w:t>EGFR</w:t>
      </w:r>
      <w:r w:rsidRPr="008360BE">
        <w:t xml:space="preserve"> T790M mutation in advanced non-small cell lung cancer. J Hematol Oncol. 2016 Apr 12;9:34</w:t>
      </w:r>
    </w:p>
  </w:footnote>
  <w:footnote w:id="2">
    <w:p w:rsidR="00777C4A" w:rsidRDefault="00777C4A" w:rsidP="007F2355">
      <w:pPr>
        <w:pStyle w:val="FootnoteText"/>
      </w:pPr>
      <w:r>
        <w:rPr>
          <w:rStyle w:val="FootnoteReference"/>
        </w:rPr>
        <w:footnoteRef/>
      </w:r>
      <w:r>
        <w:t xml:space="preserve"> </w:t>
      </w:r>
      <w:r w:rsidRPr="00AE1C52">
        <w:t>Cherny NI, Dafni U, Bogaerts J, et al: ESMO-Magnitude of Clinical Benefit Scale version 1.1. Annals of Oncology 28:2340-2366, 2017</w:t>
      </w:r>
    </w:p>
  </w:footnote>
  <w:footnote w:id="3">
    <w:p w:rsidR="00777C4A" w:rsidRDefault="00777C4A">
      <w:pPr>
        <w:pStyle w:val="FootnoteText"/>
      </w:pPr>
      <w:r>
        <w:rPr>
          <w:rStyle w:val="FootnoteReference"/>
        </w:rPr>
        <w:footnoteRef/>
      </w:r>
      <w:r>
        <w:t xml:space="preserve"> </w:t>
      </w:r>
      <w:r>
        <w:rPr>
          <w:rFonts w:ascii="Segoe UI" w:hAnsi="Segoe UI" w:cs="Segoe UI"/>
          <w:szCs w:val="18"/>
        </w:rPr>
        <w:t xml:space="preserve">Jenkins, S, Yang, JC, Ramalingam, SS, Yu, K, Patel, S, Weston, S, Hodge, R, Cantarini, M, Janne, PA, Mitsudomi, T &amp; Goss, GD 2017, 'Plasma ctDNA Analysis for Detection of the </w:t>
      </w:r>
      <w:r w:rsidRPr="00B901D2">
        <w:rPr>
          <w:rFonts w:ascii="Segoe UI" w:hAnsi="Segoe UI" w:cs="Segoe UI"/>
          <w:i/>
          <w:szCs w:val="18"/>
        </w:rPr>
        <w:t>EGFR</w:t>
      </w:r>
      <w:r>
        <w:rPr>
          <w:rFonts w:ascii="Segoe UI" w:hAnsi="Segoe UI" w:cs="Segoe UI"/>
          <w:szCs w:val="18"/>
        </w:rPr>
        <w:t xml:space="preserve"> T790M Mutation in Patients with Advanced Non-Small Cell Lung Cancer', </w:t>
      </w:r>
      <w:r>
        <w:rPr>
          <w:rFonts w:ascii="Segoe UI" w:hAnsi="Segoe UI" w:cs="Segoe UI"/>
          <w:i/>
          <w:iCs/>
          <w:szCs w:val="18"/>
        </w:rPr>
        <w:t>J Thorac Oncol</w:t>
      </w:r>
      <w:r>
        <w:rPr>
          <w:rFonts w:ascii="Segoe UI" w:hAnsi="Segoe UI" w:cs="Segoe UI"/>
          <w:szCs w:val="18"/>
        </w:rPr>
        <w:t>, vol. 12, no. 7, Jul, pp. 1061-1070.</w:t>
      </w:r>
    </w:p>
  </w:footnote>
  <w:footnote w:id="4">
    <w:p w:rsidR="00777C4A" w:rsidRDefault="00777C4A">
      <w:pPr>
        <w:pStyle w:val="FootnoteText"/>
      </w:pPr>
      <w:r>
        <w:rPr>
          <w:rStyle w:val="FootnoteReference"/>
        </w:rPr>
        <w:footnoteRef/>
      </w:r>
      <w:r>
        <w:t xml:space="preserve"> </w:t>
      </w:r>
      <w:r w:rsidRPr="007108A1">
        <w:t>Fiteni F, Westeel V, Bonnetain F. Surrogate endpoints for overall survival in lung cancer trials: a review. Expert Rev Anticancer Ther. 2017 May;17(5):447-54.</w:t>
      </w:r>
    </w:p>
  </w:footnote>
  <w:footnote w:id="5">
    <w:p w:rsidR="00777C4A" w:rsidRDefault="00777C4A">
      <w:pPr>
        <w:pStyle w:val="FootnoteText"/>
      </w:pPr>
      <w:r>
        <w:rPr>
          <w:rStyle w:val="FootnoteReference"/>
        </w:rPr>
        <w:footnoteRef/>
      </w:r>
      <w:r>
        <w:t xml:space="preserve"> The T790M </w:t>
      </w:r>
      <w:r w:rsidRPr="00106A77">
        <w:t xml:space="preserve">mutation </w:t>
      </w:r>
      <w:r>
        <w:t xml:space="preserve">is assumed to </w:t>
      </w:r>
      <w:r w:rsidRPr="00106A77">
        <w:t xml:space="preserve">confer resistance to first- and second-generation </w:t>
      </w:r>
      <w:r w:rsidRPr="00651569">
        <w:t xml:space="preserve">EGFR </w:t>
      </w:r>
      <w:r w:rsidRPr="00106A77">
        <w:t>TKIs by steric hindrance</w:t>
      </w:r>
      <w:r>
        <w:t xml:space="preserve"> </w:t>
      </w:r>
      <w:r w:rsidRPr="00106A77">
        <w:t xml:space="preserve">and increasing the binding affinity of </w:t>
      </w:r>
      <w:r w:rsidRPr="00B901D2">
        <w:rPr>
          <w:i/>
        </w:rPr>
        <w:t>EGFR</w:t>
      </w:r>
      <w:r w:rsidRPr="00106A77">
        <w:t xml:space="preserve"> for adenosine triphosphate (ATP)</w:t>
      </w:r>
    </w:p>
  </w:footnote>
  <w:footnote w:id="6">
    <w:p w:rsidR="00777C4A" w:rsidRDefault="00777C4A" w:rsidP="001F55E3">
      <w:pPr>
        <w:pStyle w:val="FootnoteText"/>
      </w:pPr>
      <w:r>
        <w:rPr>
          <w:rStyle w:val="FootnoteReference"/>
        </w:rPr>
        <w:footnoteRef/>
      </w:r>
      <w:r>
        <w:t xml:space="preserve"> AURA3 Addendum to Clinical Study Report, page</w:t>
      </w:r>
      <w:r w:rsidRPr="00CB393D">
        <w:t xml:space="preserve"> </w:t>
      </w:r>
      <w:r>
        <w:t>54 and Table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46" w:rsidRDefault="000B2D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C4A" w:rsidRDefault="00777C4A" w:rsidP="00D7141B">
    <w:pPr>
      <w:pStyle w:val="Header"/>
      <w:ind w:left="360"/>
      <w:jc w:val="center"/>
      <w:rPr>
        <w:rFonts w:cs="Arial"/>
        <w:i/>
        <w:color w:val="808080"/>
      </w:rPr>
    </w:pPr>
    <w:r>
      <w:rPr>
        <w:rFonts w:cs="Arial"/>
        <w:i/>
        <w:color w:val="808080"/>
      </w:rPr>
      <w:t>Public Summary Documents</w:t>
    </w:r>
    <w:r w:rsidRPr="00D7141B">
      <w:rPr>
        <w:rFonts w:cs="Arial"/>
        <w:i/>
        <w:color w:val="808080"/>
      </w:rPr>
      <w:t xml:space="preserve"> – </w:t>
    </w:r>
    <w:r>
      <w:rPr>
        <w:rFonts w:cs="Arial"/>
        <w:i/>
        <w:color w:val="808080"/>
      </w:rPr>
      <w:t>November 2017</w:t>
    </w:r>
    <w:r w:rsidRPr="00D7141B">
      <w:rPr>
        <w:rFonts w:cs="Arial"/>
        <w:i/>
        <w:color w:val="808080"/>
      </w:rPr>
      <w:t xml:space="preserve"> PBAC Meeting</w:t>
    </w:r>
  </w:p>
  <w:p w:rsidR="00777C4A" w:rsidRPr="00D7141B" w:rsidRDefault="00777C4A" w:rsidP="00D7141B">
    <w:pPr>
      <w:pStyle w:val="Header"/>
      <w:ind w:left="360"/>
      <w:jc w:val="center"/>
      <w:rPr>
        <w:rFonts w:cs="Arial"/>
        <w:i/>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46" w:rsidRDefault="000B2D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3CD6709C"/>
    <w:lvl w:ilvl="0" w:tplc="8FD2F7C8">
      <w:start w:val="1"/>
      <w:numFmt w:val="bullet"/>
      <w:pStyle w:val="ESParagraphDot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34013"/>
    <w:multiLevelType w:val="hybridMultilevel"/>
    <w:tmpl w:val="C3D0ABEE"/>
    <w:lvl w:ilvl="0" w:tplc="4B6CBC1C">
      <w:start w:val="1"/>
      <w:numFmt w:val="bullet"/>
      <w:pStyle w:val="MSACESBulletpoin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4BB6C05"/>
    <w:multiLevelType w:val="hybridMultilevel"/>
    <w:tmpl w:val="B3D44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490F8C"/>
    <w:multiLevelType w:val="multilevel"/>
    <w:tmpl w:val="1988F17C"/>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1006" w:hanging="864"/>
      </w:pPr>
      <w:rPr>
        <w:rFonts w:hint="default"/>
      </w:rPr>
    </w:lvl>
    <w:lvl w:ilvl="4">
      <w:start w:val="1"/>
      <w:numFmt w:val="decimal"/>
      <w:lvlRestart w:val="3"/>
      <w:pStyle w:val="Heading2Clinical"/>
      <w:lvlText w:val="%1%2.%3.%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23D31069"/>
    <w:multiLevelType w:val="hybridMultilevel"/>
    <w:tmpl w:val="8D36C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71C13DF"/>
    <w:multiLevelType w:val="hybridMultilevel"/>
    <w:tmpl w:val="12A22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A55215E"/>
    <w:multiLevelType w:val="hybridMultilevel"/>
    <w:tmpl w:val="A73ACB8C"/>
    <w:lvl w:ilvl="0" w:tplc="A79A391E">
      <w:start w:val="1"/>
      <w:numFmt w:val="bullet"/>
      <w:pStyle w:val="Instruction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DE63ADB"/>
    <w:multiLevelType w:val="hybridMultilevel"/>
    <w:tmpl w:val="8F3EE88E"/>
    <w:lvl w:ilvl="0" w:tplc="3DB83A1E">
      <w:start w:val="1"/>
      <w:numFmt w:val="bullet"/>
      <w:pStyle w:val="TableBullet"/>
      <w:lvlText w:val=""/>
      <w:lvlJc w:val="left"/>
      <w:pPr>
        <w:ind w:left="720" w:hanging="360"/>
      </w:pPr>
      <w:rPr>
        <w:rFonts w:ascii="Symbol" w:hAnsi="Symbol" w:hint="default"/>
      </w:rPr>
    </w:lvl>
    <w:lvl w:ilvl="1" w:tplc="F99C98C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E8C0C74"/>
    <w:multiLevelType w:val="hybridMultilevel"/>
    <w:tmpl w:val="BC0E0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FFA4198"/>
    <w:multiLevelType w:val="hybridMultilevel"/>
    <w:tmpl w:val="9F54FED6"/>
    <w:lvl w:ilvl="0" w:tplc="F466A5D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84D033C"/>
    <w:multiLevelType w:val="multilevel"/>
    <w:tmpl w:val="B7A01858"/>
    <w:lvl w:ilvl="0">
      <w:start w:val="1"/>
      <w:numFmt w:val="decimal"/>
      <w:pStyle w:val="ESHeading1"/>
      <w:lvlText w:val="%1"/>
      <w:lvlJc w:val="left"/>
      <w:pPr>
        <w:ind w:left="720" w:hanging="720"/>
      </w:pPr>
      <w:rPr>
        <w:rFonts w:hint="default"/>
        <w:b/>
      </w:rPr>
    </w:lvl>
    <w:lvl w:ilvl="1">
      <w:start w:val="1"/>
      <w:numFmt w:val="none"/>
      <w:pStyle w:val="ESHeadingCAPS"/>
      <w:suff w:val="nothing"/>
      <w:lvlText w:val=""/>
      <w:lvlJc w:val="left"/>
      <w:pPr>
        <w:ind w:left="720" w:hanging="720"/>
      </w:pPr>
      <w:rPr>
        <w:rFonts w:hint="default"/>
      </w:rPr>
    </w:lvl>
    <w:lvl w:ilvl="2">
      <w:start w:val="1"/>
      <w:numFmt w:val="none"/>
      <w:lvlRestart w:val="1"/>
      <w:pStyle w:val="ESHeading2"/>
      <w:suff w:val="nothing"/>
      <w:lvlText w:val=""/>
      <w:lvlJc w:val="left"/>
      <w:pPr>
        <w:ind w:left="720" w:hanging="720"/>
      </w:pPr>
      <w:rPr>
        <w:rFonts w:hint="default"/>
      </w:rPr>
    </w:lvl>
    <w:lvl w:ilvl="3">
      <w:start w:val="1"/>
      <w:numFmt w:val="none"/>
      <w:lvlRestart w:val="1"/>
      <w:pStyle w:val="ESHeading3"/>
      <w:suff w:val="nothing"/>
      <w:lvlText w:val=""/>
      <w:lvlJc w:val="left"/>
      <w:pPr>
        <w:ind w:left="1080" w:hanging="1080"/>
      </w:pPr>
      <w:rPr>
        <w:rFonts w:hint="default"/>
      </w:rPr>
    </w:lvl>
    <w:lvl w:ilvl="4">
      <w:start w:val="1"/>
      <w:numFmt w:val="decimal"/>
      <w:lvlRestart w:val="1"/>
      <w:pStyle w:val="ListParagraph"/>
      <w:lvlText w:val="%1.%5"/>
      <w:lvlJc w:val="left"/>
      <w:pPr>
        <w:ind w:left="1080" w:hanging="1080"/>
      </w:pPr>
      <w:rPr>
        <w:rFonts w:hint="default"/>
        <w:b w:val="0"/>
        <w:i w:val="0"/>
        <w:color w:val="auto"/>
        <w:sz w:val="24"/>
        <w:szCs w:val="24"/>
      </w:rPr>
    </w:lvl>
    <w:lvl w:ilvl="5">
      <w:start w:val="1"/>
      <w:numFmt w:val="decimal"/>
      <w:lvlRestart w:val="1"/>
      <w:pStyle w:val="MSACHeading1"/>
      <w:lvlText w:val="%6"/>
      <w:lvlJc w:val="left"/>
      <w:pPr>
        <w:ind w:left="720" w:hanging="720"/>
      </w:pPr>
      <w:rPr>
        <w:rFonts w:hint="default"/>
      </w:rPr>
    </w:lvl>
    <w:lvl w:ilvl="6">
      <w:start w:val="1"/>
      <w:numFmt w:val="none"/>
      <w:lvlRestart w:val="0"/>
      <w:pStyle w:val="MSACESHeading2"/>
      <w:suff w:val="nothing"/>
      <w:lvlText w:val=""/>
      <w:lvlJc w:val="left"/>
      <w:pPr>
        <w:ind w:left="0" w:firstLine="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6"/>
  </w:num>
  <w:num w:numId="4">
    <w:abstractNumId w:val="11"/>
  </w:num>
  <w:num w:numId="5">
    <w:abstractNumId w:val="3"/>
  </w:num>
  <w:num w:numId="6">
    <w:abstractNumId w:val="7"/>
  </w:num>
  <w:num w:numId="7">
    <w:abstractNumId w:val="10"/>
  </w:num>
  <w:num w:numId="8">
    <w:abstractNumId w:val="2"/>
  </w:num>
  <w:num w:numId="9">
    <w:abstractNumId w:val="5"/>
  </w:num>
  <w:num w:numId="10">
    <w:abstractNumId w:val="9"/>
  </w:num>
  <w:num w:numId="11">
    <w:abstractNumId w:val="8"/>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13"/>
  </w:num>
  <w:num w:numId="17">
    <w:abstractNumId w:val="13"/>
  </w:num>
  <w:num w:numId="18">
    <w:abstractNumId w:val="13"/>
  </w:num>
  <w:num w:numId="19">
    <w:abstractNumId w:val="12"/>
  </w:num>
  <w:num w:numId="20">
    <w:abstractNumId w:val="13"/>
  </w:num>
  <w:num w:numId="21">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s-ES" w:vendorID="64" w:dllVersion="6" w:nlCheck="1" w:checkStyle="0"/>
  <w:activeWritingStyle w:appName="MSWord" w:lang="en-GB"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131078" w:nlCheck="1" w:checkStyle="1"/>
  <w:activeWritingStyle w:appName="MSWord" w:lang="en-GB" w:vendorID="64" w:dllVersion="131078" w:nlCheck="1" w:checkStyle="1"/>
  <w:doNotTrackFormatting/>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atratv592xx0he0x23v09t005pt5p2asrww&quot;&gt;AZD9291&lt;record-ids&gt;&lt;item&gt;5&lt;/item&gt;&lt;item&gt;17&lt;/item&gt;&lt;item&gt;19&lt;/item&gt;&lt;item&gt;25&lt;/item&gt;&lt;item&gt;26&lt;/item&gt;&lt;item&gt;29&lt;/item&gt;&lt;item&gt;30&lt;/item&gt;&lt;item&gt;31&lt;/item&gt;&lt;item&gt;35&lt;/item&gt;&lt;item&gt;36&lt;/item&gt;&lt;item&gt;37&lt;/item&gt;&lt;item&gt;38&lt;/item&gt;&lt;item&gt;39&lt;/item&gt;&lt;item&gt;41&lt;/item&gt;&lt;item&gt;42&lt;/item&gt;&lt;item&gt;43&lt;/item&gt;&lt;item&gt;44&lt;/item&gt;&lt;item&gt;45&lt;/item&gt;&lt;item&gt;46&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record-ids&gt;&lt;/item&gt;&lt;/Libraries&gt;"/>
  </w:docVars>
  <w:rsids>
    <w:rsidRoot w:val="00A52077"/>
    <w:rsid w:val="00000F0C"/>
    <w:rsid w:val="00001AB4"/>
    <w:rsid w:val="00001B58"/>
    <w:rsid w:val="00002341"/>
    <w:rsid w:val="00002455"/>
    <w:rsid w:val="00003270"/>
    <w:rsid w:val="00005C76"/>
    <w:rsid w:val="000062E0"/>
    <w:rsid w:val="00006FF0"/>
    <w:rsid w:val="000076E8"/>
    <w:rsid w:val="0001066F"/>
    <w:rsid w:val="0001281E"/>
    <w:rsid w:val="00012BA1"/>
    <w:rsid w:val="000131C9"/>
    <w:rsid w:val="00013222"/>
    <w:rsid w:val="0001377F"/>
    <w:rsid w:val="00015A0C"/>
    <w:rsid w:val="000170E1"/>
    <w:rsid w:val="00020856"/>
    <w:rsid w:val="0002095B"/>
    <w:rsid w:val="00021147"/>
    <w:rsid w:val="000211FD"/>
    <w:rsid w:val="00022D10"/>
    <w:rsid w:val="00023DC6"/>
    <w:rsid w:val="000307EB"/>
    <w:rsid w:val="00030942"/>
    <w:rsid w:val="000323B2"/>
    <w:rsid w:val="00034404"/>
    <w:rsid w:val="0003497C"/>
    <w:rsid w:val="000355CF"/>
    <w:rsid w:val="000376D5"/>
    <w:rsid w:val="0004049A"/>
    <w:rsid w:val="000404C1"/>
    <w:rsid w:val="000406E0"/>
    <w:rsid w:val="00040B71"/>
    <w:rsid w:val="00041002"/>
    <w:rsid w:val="00041A28"/>
    <w:rsid w:val="0004441D"/>
    <w:rsid w:val="00044642"/>
    <w:rsid w:val="00045352"/>
    <w:rsid w:val="000459F8"/>
    <w:rsid w:val="00045B33"/>
    <w:rsid w:val="000461CF"/>
    <w:rsid w:val="00046F30"/>
    <w:rsid w:val="000500A1"/>
    <w:rsid w:val="0005040D"/>
    <w:rsid w:val="00050A8F"/>
    <w:rsid w:val="00052144"/>
    <w:rsid w:val="000522EE"/>
    <w:rsid w:val="00052936"/>
    <w:rsid w:val="00052BCD"/>
    <w:rsid w:val="00054831"/>
    <w:rsid w:val="00054E87"/>
    <w:rsid w:val="00055DCD"/>
    <w:rsid w:val="00056CCD"/>
    <w:rsid w:val="00057F71"/>
    <w:rsid w:val="00061346"/>
    <w:rsid w:val="00062018"/>
    <w:rsid w:val="00062067"/>
    <w:rsid w:val="0006246B"/>
    <w:rsid w:val="0006287B"/>
    <w:rsid w:val="00064D04"/>
    <w:rsid w:val="00065C62"/>
    <w:rsid w:val="00065CDE"/>
    <w:rsid w:val="00065F4A"/>
    <w:rsid w:val="00066270"/>
    <w:rsid w:val="00067626"/>
    <w:rsid w:val="000676E5"/>
    <w:rsid w:val="000701A3"/>
    <w:rsid w:val="0007063B"/>
    <w:rsid w:val="00070D75"/>
    <w:rsid w:val="00071AD5"/>
    <w:rsid w:val="000723E4"/>
    <w:rsid w:val="00075FAB"/>
    <w:rsid w:val="00076C1C"/>
    <w:rsid w:val="00080FF3"/>
    <w:rsid w:val="0008220E"/>
    <w:rsid w:val="00082868"/>
    <w:rsid w:val="000834C3"/>
    <w:rsid w:val="0008478C"/>
    <w:rsid w:val="000847FE"/>
    <w:rsid w:val="00084923"/>
    <w:rsid w:val="00084B18"/>
    <w:rsid w:val="000860C1"/>
    <w:rsid w:val="00086133"/>
    <w:rsid w:val="00086CD0"/>
    <w:rsid w:val="00092453"/>
    <w:rsid w:val="00092496"/>
    <w:rsid w:val="00092945"/>
    <w:rsid w:val="000949AB"/>
    <w:rsid w:val="00094CDE"/>
    <w:rsid w:val="00095DEF"/>
    <w:rsid w:val="0009688E"/>
    <w:rsid w:val="000A040F"/>
    <w:rsid w:val="000A0A16"/>
    <w:rsid w:val="000A0CE9"/>
    <w:rsid w:val="000A1F7B"/>
    <w:rsid w:val="000A2112"/>
    <w:rsid w:val="000A2694"/>
    <w:rsid w:val="000A2EF1"/>
    <w:rsid w:val="000A3B23"/>
    <w:rsid w:val="000A3D99"/>
    <w:rsid w:val="000A3F4C"/>
    <w:rsid w:val="000A4194"/>
    <w:rsid w:val="000A6F95"/>
    <w:rsid w:val="000A6FBD"/>
    <w:rsid w:val="000A72DC"/>
    <w:rsid w:val="000A742F"/>
    <w:rsid w:val="000A78A5"/>
    <w:rsid w:val="000A7EA5"/>
    <w:rsid w:val="000B096C"/>
    <w:rsid w:val="000B0E02"/>
    <w:rsid w:val="000B0E89"/>
    <w:rsid w:val="000B1373"/>
    <w:rsid w:val="000B2BE3"/>
    <w:rsid w:val="000B2D46"/>
    <w:rsid w:val="000B44BA"/>
    <w:rsid w:val="000B56CD"/>
    <w:rsid w:val="000B5893"/>
    <w:rsid w:val="000B5AE8"/>
    <w:rsid w:val="000B5D00"/>
    <w:rsid w:val="000B6229"/>
    <w:rsid w:val="000B6554"/>
    <w:rsid w:val="000B6850"/>
    <w:rsid w:val="000B6B69"/>
    <w:rsid w:val="000B708F"/>
    <w:rsid w:val="000C0142"/>
    <w:rsid w:val="000C16CE"/>
    <w:rsid w:val="000C18A9"/>
    <w:rsid w:val="000C32F5"/>
    <w:rsid w:val="000C3BF1"/>
    <w:rsid w:val="000C4441"/>
    <w:rsid w:val="000C5EE4"/>
    <w:rsid w:val="000C668E"/>
    <w:rsid w:val="000C6A40"/>
    <w:rsid w:val="000C705C"/>
    <w:rsid w:val="000C75A1"/>
    <w:rsid w:val="000C7981"/>
    <w:rsid w:val="000C7C45"/>
    <w:rsid w:val="000D0023"/>
    <w:rsid w:val="000D053F"/>
    <w:rsid w:val="000D0A81"/>
    <w:rsid w:val="000D1EDB"/>
    <w:rsid w:val="000D2EEF"/>
    <w:rsid w:val="000D39EF"/>
    <w:rsid w:val="000D3FA1"/>
    <w:rsid w:val="000E07CD"/>
    <w:rsid w:val="000E0E2E"/>
    <w:rsid w:val="000E192F"/>
    <w:rsid w:val="000E1A17"/>
    <w:rsid w:val="000E2B11"/>
    <w:rsid w:val="000E37A5"/>
    <w:rsid w:val="000E39CE"/>
    <w:rsid w:val="000E4ABA"/>
    <w:rsid w:val="000E674F"/>
    <w:rsid w:val="000F243A"/>
    <w:rsid w:val="000F2534"/>
    <w:rsid w:val="000F3652"/>
    <w:rsid w:val="000F64F2"/>
    <w:rsid w:val="000F69D5"/>
    <w:rsid w:val="000F6CFA"/>
    <w:rsid w:val="000F7AB4"/>
    <w:rsid w:val="000F7B51"/>
    <w:rsid w:val="000F7EEB"/>
    <w:rsid w:val="001016DA"/>
    <w:rsid w:val="001018A8"/>
    <w:rsid w:val="00101C0F"/>
    <w:rsid w:val="00102B44"/>
    <w:rsid w:val="001059D6"/>
    <w:rsid w:val="001060AB"/>
    <w:rsid w:val="00106A77"/>
    <w:rsid w:val="00110A4F"/>
    <w:rsid w:val="001123F4"/>
    <w:rsid w:val="0011254E"/>
    <w:rsid w:val="00112664"/>
    <w:rsid w:val="00112BBC"/>
    <w:rsid w:val="001134B1"/>
    <w:rsid w:val="00113DBE"/>
    <w:rsid w:val="001141E6"/>
    <w:rsid w:val="0011547F"/>
    <w:rsid w:val="00115B62"/>
    <w:rsid w:val="00115D0D"/>
    <w:rsid w:val="001165E3"/>
    <w:rsid w:val="00116A92"/>
    <w:rsid w:val="00116FEE"/>
    <w:rsid w:val="001176B4"/>
    <w:rsid w:val="00120674"/>
    <w:rsid w:val="00120BEC"/>
    <w:rsid w:val="00121684"/>
    <w:rsid w:val="0012396C"/>
    <w:rsid w:val="00124A1E"/>
    <w:rsid w:val="0012520E"/>
    <w:rsid w:val="0012523C"/>
    <w:rsid w:val="00125673"/>
    <w:rsid w:val="0012701F"/>
    <w:rsid w:val="00127372"/>
    <w:rsid w:val="00127576"/>
    <w:rsid w:val="00127802"/>
    <w:rsid w:val="001279AE"/>
    <w:rsid w:val="00127CF7"/>
    <w:rsid w:val="00132752"/>
    <w:rsid w:val="001335D6"/>
    <w:rsid w:val="00133894"/>
    <w:rsid w:val="00133B1C"/>
    <w:rsid w:val="00134C34"/>
    <w:rsid w:val="00134F5E"/>
    <w:rsid w:val="00135050"/>
    <w:rsid w:val="001358AE"/>
    <w:rsid w:val="00136399"/>
    <w:rsid w:val="00136E76"/>
    <w:rsid w:val="00140A20"/>
    <w:rsid w:val="0014134D"/>
    <w:rsid w:val="00144EEC"/>
    <w:rsid w:val="00146271"/>
    <w:rsid w:val="001463A9"/>
    <w:rsid w:val="001464A5"/>
    <w:rsid w:val="001468C6"/>
    <w:rsid w:val="00146BC5"/>
    <w:rsid w:val="00146C47"/>
    <w:rsid w:val="0014717C"/>
    <w:rsid w:val="00150A65"/>
    <w:rsid w:val="00150BB7"/>
    <w:rsid w:val="001533F6"/>
    <w:rsid w:val="001538F3"/>
    <w:rsid w:val="001540CD"/>
    <w:rsid w:val="00154735"/>
    <w:rsid w:val="00155333"/>
    <w:rsid w:val="00155AAD"/>
    <w:rsid w:val="00156657"/>
    <w:rsid w:val="00161BD2"/>
    <w:rsid w:val="00161C86"/>
    <w:rsid w:val="00161E0E"/>
    <w:rsid w:val="00163264"/>
    <w:rsid w:val="00163CD7"/>
    <w:rsid w:val="0016447F"/>
    <w:rsid w:val="00164677"/>
    <w:rsid w:val="00164CC0"/>
    <w:rsid w:val="0016549B"/>
    <w:rsid w:val="00165A49"/>
    <w:rsid w:val="00165D9A"/>
    <w:rsid w:val="00167BED"/>
    <w:rsid w:val="0017002A"/>
    <w:rsid w:val="001709D4"/>
    <w:rsid w:val="00171834"/>
    <w:rsid w:val="00171939"/>
    <w:rsid w:val="00171DDB"/>
    <w:rsid w:val="00172489"/>
    <w:rsid w:val="001733F2"/>
    <w:rsid w:val="00173577"/>
    <w:rsid w:val="00176543"/>
    <w:rsid w:val="00176658"/>
    <w:rsid w:val="00176AA5"/>
    <w:rsid w:val="001770A7"/>
    <w:rsid w:val="0017720E"/>
    <w:rsid w:val="001772CC"/>
    <w:rsid w:val="00177893"/>
    <w:rsid w:val="00181824"/>
    <w:rsid w:val="00182531"/>
    <w:rsid w:val="0018373E"/>
    <w:rsid w:val="00184221"/>
    <w:rsid w:val="00184324"/>
    <w:rsid w:val="001852C7"/>
    <w:rsid w:val="00185726"/>
    <w:rsid w:val="00185C35"/>
    <w:rsid w:val="00186307"/>
    <w:rsid w:val="001863F7"/>
    <w:rsid w:val="00186EBC"/>
    <w:rsid w:val="00187E5B"/>
    <w:rsid w:val="00192245"/>
    <w:rsid w:val="00193180"/>
    <w:rsid w:val="00193225"/>
    <w:rsid w:val="00194540"/>
    <w:rsid w:val="00195CA3"/>
    <w:rsid w:val="00195DA4"/>
    <w:rsid w:val="00195F6A"/>
    <w:rsid w:val="00197D31"/>
    <w:rsid w:val="001A0142"/>
    <w:rsid w:val="001A0BE3"/>
    <w:rsid w:val="001A29C9"/>
    <w:rsid w:val="001A30B4"/>
    <w:rsid w:val="001A3DC9"/>
    <w:rsid w:val="001A45D5"/>
    <w:rsid w:val="001A57F3"/>
    <w:rsid w:val="001A5A3A"/>
    <w:rsid w:val="001A6465"/>
    <w:rsid w:val="001A7119"/>
    <w:rsid w:val="001B00CE"/>
    <w:rsid w:val="001B12B8"/>
    <w:rsid w:val="001B2FC6"/>
    <w:rsid w:val="001B62BE"/>
    <w:rsid w:val="001B6389"/>
    <w:rsid w:val="001B72FE"/>
    <w:rsid w:val="001B763C"/>
    <w:rsid w:val="001C04CC"/>
    <w:rsid w:val="001C051E"/>
    <w:rsid w:val="001C06AA"/>
    <w:rsid w:val="001C0A5F"/>
    <w:rsid w:val="001C0E10"/>
    <w:rsid w:val="001C13C0"/>
    <w:rsid w:val="001C267A"/>
    <w:rsid w:val="001C2885"/>
    <w:rsid w:val="001C36F5"/>
    <w:rsid w:val="001C42EA"/>
    <w:rsid w:val="001C69D7"/>
    <w:rsid w:val="001C6AC4"/>
    <w:rsid w:val="001C7497"/>
    <w:rsid w:val="001D22B9"/>
    <w:rsid w:val="001D29E5"/>
    <w:rsid w:val="001D34C6"/>
    <w:rsid w:val="001D3E68"/>
    <w:rsid w:val="001D51DA"/>
    <w:rsid w:val="001D5DE3"/>
    <w:rsid w:val="001D67B6"/>
    <w:rsid w:val="001E0D00"/>
    <w:rsid w:val="001E11F9"/>
    <w:rsid w:val="001E1696"/>
    <w:rsid w:val="001E25EC"/>
    <w:rsid w:val="001E3B21"/>
    <w:rsid w:val="001E5896"/>
    <w:rsid w:val="001E5918"/>
    <w:rsid w:val="001E67FC"/>
    <w:rsid w:val="001E6C81"/>
    <w:rsid w:val="001F073C"/>
    <w:rsid w:val="001F1ACC"/>
    <w:rsid w:val="001F1FF8"/>
    <w:rsid w:val="001F2912"/>
    <w:rsid w:val="001F3378"/>
    <w:rsid w:val="001F55E3"/>
    <w:rsid w:val="001F5D2A"/>
    <w:rsid w:val="001F6896"/>
    <w:rsid w:val="001F6B4C"/>
    <w:rsid w:val="00200296"/>
    <w:rsid w:val="00200A9C"/>
    <w:rsid w:val="00201ADB"/>
    <w:rsid w:val="00201B62"/>
    <w:rsid w:val="00201C7E"/>
    <w:rsid w:val="00201DAE"/>
    <w:rsid w:val="002036D7"/>
    <w:rsid w:val="00203F67"/>
    <w:rsid w:val="002042AD"/>
    <w:rsid w:val="002045DC"/>
    <w:rsid w:val="00204B6C"/>
    <w:rsid w:val="00205796"/>
    <w:rsid w:val="002058E5"/>
    <w:rsid w:val="0020593B"/>
    <w:rsid w:val="002059FC"/>
    <w:rsid w:val="002063E1"/>
    <w:rsid w:val="00210FAA"/>
    <w:rsid w:val="00211340"/>
    <w:rsid w:val="00211F51"/>
    <w:rsid w:val="00211FDA"/>
    <w:rsid w:val="00212915"/>
    <w:rsid w:val="0021332B"/>
    <w:rsid w:val="00214438"/>
    <w:rsid w:val="00215C2C"/>
    <w:rsid w:val="002163E9"/>
    <w:rsid w:val="00216816"/>
    <w:rsid w:val="00216C8E"/>
    <w:rsid w:val="002177E7"/>
    <w:rsid w:val="002205EB"/>
    <w:rsid w:val="00220F18"/>
    <w:rsid w:val="00220FE5"/>
    <w:rsid w:val="0022112C"/>
    <w:rsid w:val="00221F9A"/>
    <w:rsid w:val="002233FA"/>
    <w:rsid w:val="002234A6"/>
    <w:rsid w:val="00225C7A"/>
    <w:rsid w:val="00225FCB"/>
    <w:rsid w:val="00226113"/>
    <w:rsid w:val="00231C26"/>
    <w:rsid w:val="00233296"/>
    <w:rsid w:val="00235807"/>
    <w:rsid w:val="00237286"/>
    <w:rsid w:val="00241434"/>
    <w:rsid w:val="002425EA"/>
    <w:rsid w:val="00242EA0"/>
    <w:rsid w:val="002430B9"/>
    <w:rsid w:val="00243685"/>
    <w:rsid w:val="00243C5E"/>
    <w:rsid w:val="00243F24"/>
    <w:rsid w:val="0024459C"/>
    <w:rsid w:val="00244F23"/>
    <w:rsid w:val="00245359"/>
    <w:rsid w:val="002457ED"/>
    <w:rsid w:val="00245A98"/>
    <w:rsid w:val="00245E8C"/>
    <w:rsid w:val="00246390"/>
    <w:rsid w:val="00246855"/>
    <w:rsid w:val="00246BDF"/>
    <w:rsid w:val="00250195"/>
    <w:rsid w:val="002509AA"/>
    <w:rsid w:val="00250D2B"/>
    <w:rsid w:val="00251971"/>
    <w:rsid w:val="0025286A"/>
    <w:rsid w:val="002530E7"/>
    <w:rsid w:val="00254205"/>
    <w:rsid w:val="002542A6"/>
    <w:rsid w:val="00254578"/>
    <w:rsid w:val="0025487C"/>
    <w:rsid w:val="00254EEB"/>
    <w:rsid w:val="0025531F"/>
    <w:rsid w:val="00255453"/>
    <w:rsid w:val="0025613F"/>
    <w:rsid w:val="002567DD"/>
    <w:rsid w:val="00256DCA"/>
    <w:rsid w:val="00257F91"/>
    <w:rsid w:val="00260212"/>
    <w:rsid w:val="002603D3"/>
    <w:rsid w:val="0026056F"/>
    <w:rsid w:val="0026107D"/>
    <w:rsid w:val="00261DC6"/>
    <w:rsid w:val="00262C13"/>
    <w:rsid w:val="002635E6"/>
    <w:rsid w:val="00264623"/>
    <w:rsid w:val="00264773"/>
    <w:rsid w:val="00265ABA"/>
    <w:rsid w:val="002679E6"/>
    <w:rsid w:val="00270BBC"/>
    <w:rsid w:val="002715AF"/>
    <w:rsid w:val="00272AC4"/>
    <w:rsid w:val="00273549"/>
    <w:rsid w:val="002736E2"/>
    <w:rsid w:val="0027581B"/>
    <w:rsid w:val="00277199"/>
    <w:rsid w:val="00277D40"/>
    <w:rsid w:val="002801F4"/>
    <w:rsid w:val="00280B5B"/>
    <w:rsid w:val="00280D8D"/>
    <w:rsid w:val="00280EF9"/>
    <w:rsid w:val="00281DCF"/>
    <w:rsid w:val="00282723"/>
    <w:rsid w:val="002836DF"/>
    <w:rsid w:val="00283CC7"/>
    <w:rsid w:val="0028412A"/>
    <w:rsid w:val="0028423D"/>
    <w:rsid w:val="0028458C"/>
    <w:rsid w:val="00285226"/>
    <w:rsid w:val="00287293"/>
    <w:rsid w:val="00287596"/>
    <w:rsid w:val="00287E1E"/>
    <w:rsid w:val="00287F3D"/>
    <w:rsid w:val="00290215"/>
    <w:rsid w:val="00290961"/>
    <w:rsid w:val="002923DF"/>
    <w:rsid w:val="002928F4"/>
    <w:rsid w:val="00293BE4"/>
    <w:rsid w:val="00293D36"/>
    <w:rsid w:val="00295D73"/>
    <w:rsid w:val="00296017"/>
    <w:rsid w:val="00296F08"/>
    <w:rsid w:val="00297A3D"/>
    <w:rsid w:val="002A1B15"/>
    <w:rsid w:val="002A229A"/>
    <w:rsid w:val="002A3948"/>
    <w:rsid w:val="002A4503"/>
    <w:rsid w:val="002A6EFF"/>
    <w:rsid w:val="002A78B9"/>
    <w:rsid w:val="002B05B8"/>
    <w:rsid w:val="002B0D0C"/>
    <w:rsid w:val="002B1E6A"/>
    <w:rsid w:val="002B2952"/>
    <w:rsid w:val="002B29DA"/>
    <w:rsid w:val="002B3DEB"/>
    <w:rsid w:val="002B4941"/>
    <w:rsid w:val="002B52C3"/>
    <w:rsid w:val="002B5608"/>
    <w:rsid w:val="002B5D74"/>
    <w:rsid w:val="002B67CA"/>
    <w:rsid w:val="002B6B78"/>
    <w:rsid w:val="002B7ADB"/>
    <w:rsid w:val="002C00F5"/>
    <w:rsid w:val="002C0842"/>
    <w:rsid w:val="002C1543"/>
    <w:rsid w:val="002C180F"/>
    <w:rsid w:val="002C1D2F"/>
    <w:rsid w:val="002C33CE"/>
    <w:rsid w:val="002C5CB7"/>
    <w:rsid w:val="002C6A4A"/>
    <w:rsid w:val="002C709C"/>
    <w:rsid w:val="002C714D"/>
    <w:rsid w:val="002C7D91"/>
    <w:rsid w:val="002D0540"/>
    <w:rsid w:val="002D0AA2"/>
    <w:rsid w:val="002D0BC3"/>
    <w:rsid w:val="002D1FA8"/>
    <w:rsid w:val="002D23E6"/>
    <w:rsid w:val="002D24AC"/>
    <w:rsid w:val="002D2FCA"/>
    <w:rsid w:val="002D6177"/>
    <w:rsid w:val="002D67E6"/>
    <w:rsid w:val="002D7823"/>
    <w:rsid w:val="002E077B"/>
    <w:rsid w:val="002E2201"/>
    <w:rsid w:val="002E3684"/>
    <w:rsid w:val="002E4075"/>
    <w:rsid w:val="002E4293"/>
    <w:rsid w:val="002E4C2D"/>
    <w:rsid w:val="002E5285"/>
    <w:rsid w:val="002E5DEA"/>
    <w:rsid w:val="002E637F"/>
    <w:rsid w:val="002E6805"/>
    <w:rsid w:val="002E724A"/>
    <w:rsid w:val="002F078A"/>
    <w:rsid w:val="002F13D9"/>
    <w:rsid w:val="002F1C15"/>
    <w:rsid w:val="002F26E6"/>
    <w:rsid w:val="002F311E"/>
    <w:rsid w:val="002F3264"/>
    <w:rsid w:val="002F345B"/>
    <w:rsid w:val="002F464F"/>
    <w:rsid w:val="002F53E5"/>
    <w:rsid w:val="002F5FEC"/>
    <w:rsid w:val="002F6031"/>
    <w:rsid w:val="002F71B8"/>
    <w:rsid w:val="00300A84"/>
    <w:rsid w:val="00300E42"/>
    <w:rsid w:val="00301712"/>
    <w:rsid w:val="00301EA1"/>
    <w:rsid w:val="00301F26"/>
    <w:rsid w:val="00302C2D"/>
    <w:rsid w:val="00302E63"/>
    <w:rsid w:val="00302F79"/>
    <w:rsid w:val="00302FCC"/>
    <w:rsid w:val="003062AE"/>
    <w:rsid w:val="003062B6"/>
    <w:rsid w:val="003078DD"/>
    <w:rsid w:val="0031033B"/>
    <w:rsid w:val="003104AE"/>
    <w:rsid w:val="00310E37"/>
    <w:rsid w:val="00311278"/>
    <w:rsid w:val="00311AEC"/>
    <w:rsid w:val="0031297E"/>
    <w:rsid w:val="00312CDA"/>
    <w:rsid w:val="00314BFC"/>
    <w:rsid w:val="00315514"/>
    <w:rsid w:val="00317E18"/>
    <w:rsid w:val="00320151"/>
    <w:rsid w:val="00320DF7"/>
    <w:rsid w:val="00321048"/>
    <w:rsid w:val="0032260E"/>
    <w:rsid w:val="00324141"/>
    <w:rsid w:val="00324A9D"/>
    <w:rsid w:val="003252B6"/>
    <w:rsid w:val="00326FD2"/>
    <w:rsid w:val="00327765"/>
    <w:rsid w:val="00330C4C"/>
    <w:rsid w:val="003310DC"/>
    <w:rsid w:val="003313B8"/>
    <w:rsid w:val="00331478"/>
    <w:rsid w:val="003332E1"/>
    <w:rsid w:val="003333F4"/>
    <w:rsid w:val="00333C84"/>
    <w:rsid w:val="00334ACF"/>
    <w:rsid w:val="003405A2"/>
    <w:rsid w:val="003414F1"/>
    <w:rsid w:val="00341A14"/>
    <w:rsid w:val="0034293F"/>
    <w:rsid w:val="00343DE9"/>
    <w:rsid w:val="00344287"/>
    <w:rsid w:val="00344AF0"/>
    <w:rsid w:val="00345BF0"/>
    <w:rsid w:val="00345E01"/>
    <w:rsid w:val="00346622"/>
    <w:rsid w:val="0034724F"/>
    <w:rsid w:val="0035045D"/>
    <w:rsid w:val="00350A48"/>
    <w:rsid w:val="00350B09"/>
    <w:rsid w:val="00351381"/>
    <w:rsid w:val="00352B4F"/>
    <w:rsid w:val="003530A6"/>
    <w:rsid w:val="00353627"/>
    <w:rsid w:val="00353DB3"/>
    <w:rsid w:val="00355773"/>
    <w:rsid w:val="00355F72"/>
    <w:rsid w:val="00357657"/>
    <w:rsid w:val="00357E32"/>
    <w:rsid w:val="00360198"/>
    <w:rsid w:val="00361922"/>
    <w:rsid w:val="003639A6"/>
    <w:rsid w:val="003649A1"/>
    <w:rsid w:val="003657A4"/>
    <w:rsid w:val="003679AE"/>
    <w:rsid w:val="00367D98"/>
    <w:rsid w:val="00370688"/>
    <w:rsid w:val="0037102C"/>
    <w:rsid w:val="003711E8"/>
    <w:rsid w:val="003714BA"/>
    <w:rsid w:val="003739CC"/>
    <w:rsid w:val="003742D2"/>
    <w:rsid w:val="003747ED"/>
    <w:rsid w:val="003758D6"/>
    <w:rsid w:val="00376372"/>
    <w:rsid w:val="003763BD"/>
    <w:rsid w:val="0038281C"/>
    <w:rsid w:val="0038286B"/>
    <w:rsid w:val="00383A03"/>
    <w:rsid w:val="003840D4"/>
    <w:rsid w:val="003850CA"/>
    <w:rsid w:val="0038516B"/>
    <w:rsid w:val="00385661"/>
    <w:rsid w:val="00385A64"/>
    <w:rsid w:val="00385B7C"/>
    <w:rsid w:val="0038608C"/>
    <w:rsid w:val="00386D1A"/>
    <w:rsid w:val="003905C6"/>
    <w:rsid w:val="00390B0E"/>
    <w:rsid w:val="00390F99"/>
    <w:rsid w:val="003915D6"/>
    <w:rsid w:val="0039182E"/>
    <w:rsid w:val="00392A2B"/>
    <w:rsid w:val="0039342B"/>
    <w:rsid w:val="00394FFD"/>
    <w:rsid w:val="0039501E"/>
    <w:rsid w:val="003959B7"/>
    <w:rsid w:val="00395AE3"/>
    <w:rsid w:val="00396045"/>
    <w:rsid w:val="00396339"/>
    <w:rsid w:val="0039639D"/>
    <w:rsid w:val="00396B36"/>
    <w:rsid w:val="00397170"/>
    <w:rsid w:val="003A04B8"/>
    <w:rsid w:val="003A07F2"/>
    <w:rsid w:val="003A17EC"/>
    <w:rsid w:val="003A2246"/>
    <w:rsid w:val="003A234B"/>
    <w:rsid w:val="003A3433"/>
    <w:rsid w:val="003A48B8"/>
    <w:rsid w:val="003A4CAC"/>
    <w:rsid w:val="003A537E"/>
    <w:rsid w:val="003A660F"/>
    <w:rsid w:val="003A693E"/>
    <w:rsid w:val="003A781F"/>
    <w:rsid w:val="003A7DF1"/>
    <w:rsid w:val="003B095E"/>
    <w:rsid w:val="003B1C81"/>
    <w:rsid w:val="003B3716"/>
    <w:rsid w:val="003B3C35"/>
    <w:rsid w:val="003B4B80"/>
    <w:rsid w:val="003B53BF"/>
    <w:rsid w:val="003B53C2"/>
    <w:rsid w:val="003B55B8"/>
    <w:rsid w:val="003B67B5"/>
    <w:rsid w:val="003B7AA9"/>
    <w:rsid w:val="003C0127"/>
    <w:rsid w:val="003C055D"/>
    <w:rsid w:val="003C0EAF"/>
    <w:rsid w:val="003C1A9F"/>
    <w:rsid w:val="003C1DEA"/>
    <w:rsid w:val="003C2758"/>
    <w:rsid w:val="003C477A"/>
    <w:rsid w:val="003C54D2"/>
    <w:rsid w:val="003C5524"/>
    <w:rsid w:val="003C5B77"/>
    <w:rsid w:val="003C5ED3"/>
    <w:rsid w:val="003D0345"/>
    <w:rsid w:val="003D0B07"/>
    <w:rsid w:val="003D11A9"/>
    <w:rsid w:val="003D1451"/>
    <w:rsid w:val="003D2757"/>
    <w:rsid w:val="003D2A37"/>
    <w:rsid w:val="003D3607"/>
    <w:rsid w:val="003D470F"/>
    <w:rsid w:val="003D4CEF"/>
    <w:rsid w:val="003D5C91"/>
    <w:rsid w:val="003D61F2"/>
    <w:rsid w:val="003D69EF"/>
    <w:rsid w:val="003E0EDB"/>
    <w:rsid w:val="003E52C4"/>
    <w:rsid w:val="003E5971"/>
    <w:rsid w:val="003E6475"/>
    <w:rsid w:val="003E7388"/>
    <w:rsid w:val="003E7676"/>
    <w:rsid w:val="003F01EF"/>
    <w:rsid w:val="003F0249"/>
    <w:rsid w:val="003F0418"/>
    <w:rsid w:val="003F105A"/>
    <w:rsid w:val="003F245A"/>
    <w:rsid w:val="003F3590"/>
    <w:rsid w:val="003F57E6"/>
    <w:rsid w:val="003F6199"/>
    <w:rsid w:val="003F635C"/>
    <w:rsid w:val="00400093"/>
    <w:rsid w:val="00401B8A"/>
    <w:rsid w:val="00401E77"/>
    <w:rsid w:val="00401F34"/>
    <w:rsid w:val="004033BF"/>
    <w:rsid w:val="004037F9"/>
    <w:rsid w:val="00403A96"/>
    <w:rsid w:val="004044F2"/>
    <w:rsid w:val="00404C3E"/>
    <w:rsid w:val="00404CBD"/>
    <w:rsid w:val="00405D91"/>
    <w:rsid w:val="004067E0"/>
    <w:rsid w:val="00413427"/>
    <w:rsid w:val="00414755"/>
    <w:rsid w:val="00414BEF"/>
    <w:rsid w:val="00414FDC"/>
    <w:rsid w:val="00416479"/>
    <w:rsid w:val="0041685C"/>
    <w:rsid w:val="00421450"/>
    <w:rsid w:val="0042168F"/>
    <w:rsid w:val="00422F23"/>
    <w:rsid w:val="00423F3A"/>
    <w:rsid w:val="004246E4"/>
    <w:rsid w:val="00426090"/>
    <w:rsid w:val="00426C29"/>
    <w:rsid w:val="00426CF2"/>
    <w:rsid w:val="00427E55"/>
    <w:rsid w:val="00430C9A"/>
    <w:rsid w:val="00431320"/>
    <w:rsid w:val="00432407"/>
    <w:rsid w:val="0043390D"/>
    <w:rsid w:val="00435877"/>
    <w:rsid w:val="00435B8E"/>
    <w:rsid w:val="00436076"/>
    <w:rsid w:val="00436A99"/>
    <w:rsid w:val="00436F29"/>
    <w:rsid w:val="00437BB5"/>
    <w:rsid w:val="004434DB"/>
    <w:rsid w:val="004440DA"/>
    <w:rsid w:val="00445281"/>
    <w:rsid w:val="00445B94"/>
    <w:rsid w:val="004460F9"/>
    <w:rsid w:val="00447A4F"/>
    <w:rsid w:val="004519EC"/>
    <w:rsid w:val="0045341A"/>
    <w:rsid w:val="0045389C"/>
    <w:rsid w:val="00453BAE"/>
    <w:rsid w:val="00453D59"/>
    <w:rsid w:val="00454742"/>
    <w:rsid w:val="00456192"/>
    <w:rsid w:val="00456242"/>
    <w:rsid w:val="00460B6A"/>
    <w:rsid w:val="004619BB"/>
    <w:rsid w:val="0046340D"/>
    <w:rsid w:val="004640EB"/>
    <w:rsid w:val="00464171"/>
    <w:rsid w:val="004644E0"/>
    <w:rsid w:val="004649B7"/>
    <w:rsid w:val="00465CED"/>
    <w:rsid w:val="00465D3F"/>
    <w:rsid w:val="0046621E"/>
    <w:rsid w:val="0046753D"/>
    <w:rsid w:val="0047093A"/>
    <w:rsid w:val="0047122D"/>
    <w:rsid w:val="004722E2"/>
    <w:rsid w:val="004722F0"/>
    <w:rsid w:val="00472D4D"/>
    <w:rsid w:val="00472EF6"/>
    <w:rsid w:val="00473A2E"/>
    <w:rsid w:val="00477F9D"/>
    <w:rsid w:val="00483939"/>
    <w:rsid w:val="004852FD"/>
    <w:rsid w:val="00485364"/>
    <w:rsid w:val="00486411"/>
    <w:rsid w:val="0048761C"/>
    <w:rsid w:val="004876F0"/>
    <w:rsid w:val="004901AE"/>
    <w:rsid w:val="00490A71"/>
    <w:rsid w:val="00490BF3"/>
    <w:rsid w:val="00491528"/>
    <w:rsid w:val="004919DD"/>
    <w:rsid w:val="00492539"/>
    <w:rsid w:val="00492BE9"/>
    <w:rsid w:val="00493059"/>
    <w:rsid w:val="00494F7C"/>
    <w:rsid w:val="004969CC"/>
    <w:rsid w:val="004A0688"/>
    <w:rsid w:val="004A096C"/>
    <w:rsid w:val="004A1D4A"/>
    <w:rsid w:val="004A205A"/>
    <w:rsid w:val="004A26C3"/>
    <w:rsid w:val="004A2DF5"/>
    <w:rsid w:val="004A3195"/>
    <w:rsid w:val="004A33F9"/>
    <w:rsid w:val="004A4EF3"/>
    <w:rsid w:val="004A5746"/>
    <w:rsid w:val="004A6244"/>
    <w:rsid w:val="004A770F"/>
    <w:rsid w:val="004B09D7"/>
    <w:rsid w:val="004B0FD3"/>
    <w:rsid w:val="004B366C"/>
    <w:rsid w:val="004B3C00"/>
    <w:rsid w:val="004B3E17"/>
    <w:rsid w:val="004B454F"/>
    <w:rsid w:val="004B4CD6"/>
    <w:rsid w:val="004B4E5F"/>
    <w:rsid w:val="004B533F"/>
    <w:rsid w:val="004B5ED0"/>
    <w:rsid w:val="004B7D80"/>
    <w:rsid w:val="004C0662"/>
    <w:rsid w:val="004C1D0C"/>
    <w:rsid w:val="004C3D22"/>
    <w:rsid w:val="004C445C"/>
    <w:rsid w:val="004C5108"/>
    <w:rsid w:val="004C5239"/>
    <w:rsid w:val="004C5C1F"/>
    <w:rsid w:val="004C5F62"/>
    <w:rsid w:val="004C686B"/>
    <w:rsid w:val="004C7DD9"/>
    <w:rsid w:val="004D0810"/>
    <w:rsid w:val="004D081E"/>
    <w:rsid w:val="004D1006"/>
    <w:rsid w:val="004D45DF"/>
    <w:rsid w:val="004D4B55"/>
    <w:rsid w:val="004D66AC"/>
    <w:rsid w:val="004D72FC"/>
    <w:rsid w:val="004D7E2C"/>
    <w:rsid w:val="004D7F30"/>
    <w:rsid w:val="004E0767"/>
    <w:rsid w:val="004E0C0B"/>
    <w:rsid w:val="004E2085"/>
    <w:rsid w:val="004E2125"/>
    <w:rsid w:val="004E2DB2"/>
    <w:rsid w:val="004E346E"/>
    <w:rsid w:val="004E3C45"/>
    <w:rsid w:val="004E5546"/>
    <w:rsid w:val="004E5924"/>
    <w:rsid w:val="004E5DAC"/>
    <w:rsid w:val="004E5EAE"/>
    <w:rsid w:val="004E5F8F"/>
    <w:rsid w:val="004E6D75"/>
    <w:rsid w:val="004E7AD4"/>
    <w:rsid w:val="004F08E2"/>
    <w:rsid w:val="004F1802"/>
    <w:rsid w:val="004F1F16"/>
    <w:rsid w:val="004F26A0"/>
    <w:rsid w:val="004F3688"/>
    <w:rsid w:val="004F3AAE"/>
    <w:rsid w:val="004F3B6C"/>
    <w:rsid w:val="004F3E69"/>
    <w:rsid w:val="004F4B2F"/>
    <w:rsid w:val="004F4BDE"/>
    <w:rsid w:val="004F7414"/>
    <w:rsid w:val="004F7CAC"/>
    <w:rsid w:val="005014DC"/>
    <w:rsid w:val="00501D24"/>
    <w:rsid w:val="00502602"/>
    <w:rsid w:val="00503956"/>
    <w:rsid w:val="00504DA3"/>
    <w:rsid w:val="0050563A"/>
    <w:rsid w:val="00505957"/>
    <w:rsid w:val="00506280"/>
    <w:rsid w:val="0050773B"/>
    <w:rsid w:val="005110F2"/>
    <w:rsid w:val="00511320"/>
    <w:rsid w:val="005119C9"/>
    <w:rsid w:val="00511E4F"/>
    <w:rsid w:val="00512D2D"/>
    <w:rsid w:val="00512F31"/>
    <w:rsid w:val="00513671"/>
    <w:rsid w:val="005143F9"/>
    <w:rsid w:val="00514E56"/>
    <w:rsid w:val="00516566"/>
    <w:rsid w:val="00516668"/>
    <w:rsid w:val="00516C86"/>
    <w:rsid w:val="005218C3"/>
    <w:rsid w:val="00521F97"/>
    <w:rsid w:val="00524A2A"/>
    <w:rsid w:val="0052758B"/>
    <w:rsid w:val="00531980"/>
    <w:rsid w:val="00531C11"/>
    <w:rsid w:val="00531CC4"/>
    <w:rsid w:val="0053211C"/>
    <w:rsid w:val="005331DB"/>
    <w:rsid w:val="005336F7"/>
    <w:rsid w:val="0053408A"/>
    <w:rsid w:val="00535C74"/>
    <w:rsid w:val="00535E6D"/>
    <w:rsid w:val="005361AB"/>
    <w:rsid w:val="00536F4D"/>
    <w:rsid w:val="005407D8"/>
    <w:rsid w:val="00540F4F"/>
    <w:rsid w:val="0054112D"/>
    <w:rsid w:val="0054129B"/>
    <w:rsid w:val="0054139D"/>
    <w:rsid w:val="005416CF"/>
    <w:rsid w:val="00541D43"/>
    <w:rsid w:val="00542068"/>
    <w:rsid w:val="00543AF9"/>
    <w:rsid w:val="00544C74"/>
    <w:rsid w:val="00545978"/>
    <w:rsid w:val="005467DA"/>
    <w:rsid w:val="00546944"/>
    <w:rsid w:val="00547B70"/>
    <w:rsid w:val="005535A0"/>
    <w:rsid w:val="0055532F"/>
    <w:rsid w:val="005558A9"/>
    <w:rsid w:val="00557628"/>
    <w:rsid w:val="0055780A"/>
    <w:rsid w:val="0056001A"/>
    <w:rsid w:val="00560B4A"/>
    <w:rsid w:val="00560BC3"/>
    <w:rsid w:val="005610DF"/>
    <w:rsid w:val="005615F4"/>
    <w:rsid w:val="00561D24"/>
    <w:rsid w:val="00561FF9"/>
    <w:rsid w:val="00562897"/>
    <w:rsid w:val="005651D5"/>
    <w:rsid w:val="0056559C"/>
    <w:rsid w:val="00566926"/>
    <w:rsid w:val="00567770"/>
    <w:rsid w:val="00567EF5"/>
    <w:rsid w:val="005715F3"/>
    <w:rsid w:val="00572F68"/>
    <w:rsid w:val="0057324A"/>
    <w:rsid w:val="00573748"/>
    <w:rsid w:val="005738A6"/>
    <w:rsid w:val="00573DD3"/>
    <w:rsid w:val="00575488"/>
    <w:rsid w:val="00575E79"/>
    <w:rsid w:val="00576318"/>
    <w:rsid w:val="00576ADE"/>
    <w:rsid w:val="00576E18"/>
    <w:rsid w:val="00577CFD"/>
    <w:rsid w:val="00577DEF"/>
    <w:rsid w:val="00577FFD"/>
    <w:rsid w:val="0058209D"/>
    <w:rsid w:val="00582249"/>
    <w:rsid w:val="00583654"/>
    <w:rsid w:val="005858AA"/>
    <w:rsid w:val="00586A22"/>
    <w:rsid w:val="00587FDC"/>
    <w:rsid w:val="005915E9"/>
    <w:rsid w:val="00592FC3"/>
    <w:rsid w:val="00596381"/>
    <w:rsid w:val="00597972"/>
    <w:rsid w:val="00597A7F"/>
    <w:rsid w:val="00597DE6"/>
    <w:rsid w:val="00597ECD"/>
    <w:rsid w:val="00597FAB"/>
    <w:rsid w:val="005A041A"/>
    <w:rsid w:val="005A0959"/>
    <w:rsid w:val="005A3281"/>
    <w:rsid w:val="005A37E1"/>
    <w:rsid w:val="005A495E"/>
    <w:rsid w:val="005A4C43"/>
    <w:rsid w:val="005A58CD"/>
    <w:rsid w:val="005A6384"/>
    <w:rsid w:val="005A75D8"/>
    <w:rsid w:val="005B104C"/>
    <w:rsid w:val="005B263C"/>
    <w:rsid w:val="005B36E3"/>
    <w:rsid w:val="005B5DED"/>
    <w:rsid w:val="005C2085"/>
    <w:rsid w:val="005C2361"/>
    <w:rsid w:val="005C24FA"/>
    <w:rsid w:val="005C3A10"/>
    <w:rsid w:val="005C407E"/>
    <w:rsid w:val="005C473F"/>
    <w:rsid w:val="005C49DD"/>
    <w:rsid w:val="005C4A33"/>
    <w:rsid w:val="005C6240"/>
    <w:rsid w:val="005C63EC"/>
    <w:rsid w:val="005C665B"/>
    <w:rsid w:val="005C6D08"/>
    <w:rsid w:val="005C6DDA"/>
    <w:rsid w:val="005C7497"/>
    <w:rsid w:val="005C793C"/>
    <w:rsid w:val="005C7FA7"/>
    <w:rsid w:val="005D1ADA"/>
    <w:rsid w:val="005D2A47"/>
    <w:rsid w:val="005D2C49"/>
    <w:rsid w:val="005D2F2C"/>
    <w:rsid w:val="005D46F1"/>
    <w:rsid w:val="005D5BA1"/>
    <w:rsid w:val="005D668D"/>
    <w:rsid w:val="005D697E"/>
    <w:rsid w:val="005E12A9"/>
    <w:rsid w:val="005E2185"/>
    <w:rsid w:val="005E49B2"/>
    <w:rsid w:val="005E5572"/>
    <w:rsid w:val="005E6358"/>
    <w:rsid w:val="005F0AE8"/>
    <w:rsid w:val="005F1FD6"/>
    <w:rsid w:val="005F2122"/>
    <w:rsid w:val="005F28FF"/>
    <w:rsid w:val="005F2A6B"/>
    <w:rsid w:val="005F3366"/>
    <w:rsid w:val="005F40C1"/>
    <w:rsid w:val="005F4A36"/>
    <w:rsid w:val="005F4D2D"/>
    <w:rsid w:val="005F6CE7"/>
    <w:rsid w:val="006010D7"/>
    <w:rsid w:val="00601997"/>
    <w:rsid w:val="00602040"/>
    <w:rsid w:val="006024D3"/>
    <w:rsid w:val="00603C17"/>
    <w:rsid w:val="006043B7"/>
    <w:rsid w:val="00604BAA"/>
    <w:rsid w:val="00605388"/>
    <w:rsid w:val="00606653"/>
    <w:rsid w:val="00606EF9"/>
    <w:rsid w:val="0060706A"/>
    <w:rsid w:val="006074CD"/>
    <w:rsid w:val="00607758"/>
    <w:rsid w:val="00610674"/>
    <w:rsid w:val="00610734"/>
    <w:rsid w:val="00610D5E"/>
    <w:rsid w:val="006110E8"/>
    <w:rsid w:val="00611D85"/>
    <w:rsid w:val="00612788"/>
    <w:rsid w:val="00612EEA"/>
    <w:rsid w:val="00613467"/>
    <w:rsid w:val="00615717"/>
    <w:rsid w:val="00616C56"/>
    <w:rsid w:val="0061749C"/>
    <w:rsid w:val="00617727"/>
    <w:rsid w:val="0062027A"/>
    <w:rsid w:val="0062061E"/>
    <w:rsid w:val="00621555"/>
    <w:rsid w:val="00621DAF"/>
    <w:rsid w:val="006226E1"/>
    <w:rsid w:val="00624315"/>
    <w:rsid w:val="006245AB"/>
    <w:rsid w:val="00624778"/>
    <w:rsid w:val="006247F7"/>
    <w:rsid w:val="00625123"/>
    <w:rsid w:val="0062545B"/>
    <w:rsid w:val="0062552A"/>
    <w:rsid w:val="00627421"/>
    <w:rsid w:val="006301F9"/>
    <w:rsid w:val="006316BF"/>
    <w:rsid w:val="00631935"/>
    <w:rsid w:val="00631A28"/>
    <w:rsid w:val="006332BE"/>
    <w:rsid w:val="006337CB"/>
    <w:rsid w:val="006340E4"/>
    <w:rsid w:val="00634CB9"/>
    <w:rsid w:val="00634EE9"/>
    <w:rsid w:val="006361AD"/>
    <w:rsid w:val="00637C5B"/>
    <w:rsid w:val="006408C3"/>
    <w:rsid w:val="00640E65"/>
    <w:rsid w:val="00641F9D"/>
    <w:rsid w:val="0064290C"/>
    <w:rsid w:val="0064344A"/>
    <w:rsid w:val="006436B7"/>
    <w:rsid w:val="006446A3"/>
    <w:rsid w:val="006448C0"/>
    <w:rsid w:val="00644B1E"/>
    <w:rsid w:val="00644B90"/>
    <w:rsid w:val="00644CFF"/>
    <w:rsid w:val="0064533B"/>
    <w:rsid w:val="0064620D"/>
    <w:rsid w:val="00651569"/>
    <w:rsid w:val="0065431E"/>
    <w:rsid w:val="0065523C"/>
    <w:rsid w:val="006558C5"/>
    <w:rsid w:val="00656A27"/>
    <w:rsid w:val="00657754"/>
    <w:rsid w:val="006618AA"/>
    <w:rsid w:val="00662BBB"/>
    <w:rsid w:val="00662DFF"/>
    <w:rsid w:val="00663A1D"/>
    <w:rsid w:val="00664356"/>
    <w:rsid w:val="006643A7"/>
    <w:rsid w:val="00665FC6"/>
    <w:rsid w:val="00667104"/>
    <w:rsid w:val="00667CBF"/>
    <w:rsid w:val="006709FE"/>
    <w:rsid w:val="006711E7"/>
    <w:rsid w:val="00672120"/>
    <w:rsid w:val="0067245A"/>
    <w:rsid w:val="00673352"/>
    <w:rsid w:val="00673843"/>
    <w:rsid w:val="006753F2"/>
    <w:rsid w:val="006770D5"/>
    <w:rsid w:val="00677290"/>
    <w:rsid w:val="0068047C"/>
    <w:rsid w:val="00680C10"/>
    <w:rsid w:val="00681C5B"/>
    <w:rsid w:val="00682DA9"/>
    <w:rsid w:val="0068368C"/>
    <w:rsid w:val="0068650C"/>
    <w:rsid w:val="00686A71"/>
    <w:rsid w:val="00686F66"/>
    <w:rsid w:val="006876F0"/>
    <w:rsid w:val="00687B72"/>
    <w:rsid w:val="0069123E"/>
    <w:rsid w:val="00691913"/>
    <w:rsid w:val="00693399"/>
    <w:rsid w:val="0069459C"/>
    <w:rsid w:val="00694967"/>
    <w:rsid w:val="0069533D"/>
    <w:rsid w:val="00695431"/>
    <w:rsid w:val="00695B73"/>
    <w:rsid w:val="00695BD6"/>
    <w:rsid w:val="00696474"/>
    <w:rsid w:val="006966BF"/>
    <w:rsid w:val="00696900"/>
    <w:rsid w:val="00697662"/>
    <w:rsid w:val="006A0723"/>
    <w:rsid w:val="006A138B"/>
    <w:rsid w:val="006A1569"/>
    <w:rsid w:val="006A15B9"/>
    <w:rsid w:val="006A2CEF"/>
    <w:rsid w:val="006A34FB"/>
    <w:rsid w:val="006A3DEA"/>
    <w:rsid w:val="006A47C5"/>
    <w:rsid w:val="006A4BE5"/>
    <w:rsid w:val="006A6E6A"/>
    <w:rsid w:val="006A7666"/>
    <w:rsid w:val="006B0480"/>
    <w:rsid w:val="006B085F"/>
    <w:rsid w:val="006B0899"/>
    <w:rsid w:val="006B140A"/>
    <w:rsid w:val="006B3DCD"/>
    <w:rsid w:val="006B52BF"/>
    <w:rsid w:val="006B5508"/>
    <w:rsid w:val="006B5D29"/>
    <w:rsid w:val="006B6CEA"/>
    <w:rsid w:val="006B6DE4"/>
    <w:rsid w:val="006C014A"/>
    <w:rsid w:val="006C07D8"/>
    <w:rsid w:val="006C0974"/>
    <w:rsid w:val="006C23B8"/>
    <w:rsid w:val="006C4906"/>
    <w:rsid w:val="006C6AA6"/>
    <w:rsid w:val="006C6C08"/>
    <w:rsid w:val="006C6FE1"/>
    <w:rsid w:val="006C71EF"/>
    <w:rsid w:val="006D0429"/>
    <w:rsid w:val="006D1450"/>
    <w:rsid w:val="006D224A"/>
    <w:rsid w:val="006D3271"/>
    <w:rsid w:val="006D33C5"/>
    <w:rsid w:val="006D4AA4"/>
    <w:rsid w:val="006D5B7E"/>
    <w:rsid w:val="006D5D03"/>
    <w:rsid w:val="006D5F43"/>
    <w:rsid w:val="006D75BF"/>
    <w:rsid w:val="006D7D25"/>
    <w:rsid w:val="006E01C5"/>
    <w:rsid w:val="006E2B62"/>
    <w:rsid w:val="006E35D6"/>
    <w:rsid w:val="006E6A9A"/>
    <w:rsid w:val="006E7302"/>
    <w:rsid w:val="006F143D"/>
    <w:rsid w:val="006F161E"/>
    <w:rsid w:val="006F1BB3"/>
    <w:rsid w:val="006F21CC"/>
    <w:rsid w:val="006F32F6"/>
    <w:rsid w:val="006F350A"/>
    <w:rsid w:val="006F40C2"/>
    <w:rsid w:val="006F518F"/>
    <w:rsid w:val="006F5560"/>
    <w:rsid w:val="006F7CE0"/>
    <w:rsid w:val="0070017F"/>
    <w:rsid w:val="00700A05"/>
    <w:rsid w:val="00700FE7"/>
    <w:rsid w:val="00701ABC"/>
    <w:rsid w:val="00702DE1"/>
    <w:rsid w:val="00704A07"/>
    <w:rsid w:val="007063D3"/>
    <w:rsid w:val="00706EB2"/>
    <w:rsid w:val="00710485"/>
    <w:rsid w:val="007108A1"/>
    <w:rsid w:val="007109D8"/>
    <w:rsid w:val="0071160F"/>
    <w:rsid w:val="00712C73"/>
    <w:rsid w:val="007135F2"/>
    <w:rsid w:val="0071362E"/>
    <w:rsid w:val="00714B50"/>
    <w:rsid w:val="00714E0D"/>
    <w:rsid w:val="00715033"/>
    <w:rsid w:val="00716492"/>
    <w:rsid w:val="00717C8E"/>
    <w:rsid w:val="007200D1"/>
    <w:rsid w:val="007200E1"/>
    <w:rsid w:val="007204F3"/>
    <w:rsid w:val="00720EFF"/>
    <w:rsid w:val="0072146A"/>
    <w:rsid w:val="00721BE5"/>
    <w:rsid w:val="00722107"/>
    <w:rsid w:val="00722446"/>
    <w:rsid w:val="0072251D"/>
    <w:rsid w:val="00722E4F"/>
    <w:rsid w:val="00723E1E"/>
    <w:rsid w:val="00723FD0"/>
    <w:rsid w:val="007253C0"/>
    <w:rsid w:val="00730D7F"/>
    <w:rsid w:val="007350FB"/>
    <w:rsid w:val="0073546E"/>
    <w:rsid w:val="0073622C"/>
    <w:rsid w:val="007372CD"/>
    <w:rsid w:val="00737E0C"/>
    <w:rsid w:val="007408F2"/>
    <w:rsid w:val="007464A0"/>
    <w:rsid w:val="007501F9"/>
    <w:rsid w:val="00750420"/>
    <w:rsid w:val="007509A6"/>
    <w:rsid w:val="00750B5A"/>
    <w:rsid w:val="00751208"/>
    <w:rsid w:val="00751C6B"/>
    <w:rsid w:val="00751F15"/>
    <w:rsid w:val="00751F33"/>
    <w:rsid w:val="00752656"/>
    <w:rsid w:val="00753B9A"/>
    <w:rsid w:val="00754081"/>
    <w:rsid w:val="00756EE6"/>
    <w:rsid w:val="007572A5"/>
    <w:rsid w:val="00757ACB"/>
    <w:rsid w:val="00762818"/>
    <w:rsid w:val="00763754"/>
    <w:rsid w:val="00764384"/>
    <w:rsid w:val="0076522C"/>
    <w:rsid w:val="00765C92"/>
    <w:rsid w:val="0076698B"/>
    <w:rsid w:val="00766FD2"/>
    <w:rsid w:val="00770261"/>
    <w:rsid w:val="00770966"/>
    <w:rsid w:val="00772C70"/>
    <w:rsid w:val="00772D45"/>
    <w:rsid w:val="0077548D"/>
    <w:rsid w:val="007775B8"/>
    <w:rsid w:val="00777BF0"/>
    <w:rsid w:val="00777C4A"/>
    <w:rsid w:val="0078023D"/>
    <w:rsid w:val="00780BD0"/>
    <w:rsid w:val="00780EE9"/>
    <w:rsid w:val="00781777"/>
    <w:rsid w:val="00781AF0"/>
    <w:rsid w:val="00781EC7"/>
    <w:rsid w:val="00781F4B"/>
    <w:rsid w:val="00782613"/>
    <w:rsid w:val="00783B82"/>
    <w:rsid w:val="007847FA"/>
    <w:rsid w:val="00784929"/>
    <w:rsid w:val="00784B96"/>
    <w:rsid w:val="00785FA7"/>
    <w:rsid w:val="00787332"/>
    <w:rsid w:val="007908C7"/>
    <w:rsid w:val="00790910"/>
    <w:rsid w:val="00790C1A"/>
    <w:rsid w:val="00791DE1"/>
    <w:rsid w:val="00792777"/>
    <w:rsid w:val="00792ACF"/>
    <w:rsid w:val="00794CD3"/>
    <w:rsid w:val="00795C4A"/>
    <w:rsid w:val="0079783D"/>
    <w:rsid w:val="00797A5E"/>
    <w:rsid w:val="00797F7A"/>
    <w:rsid w:val="007A0667"/>
    <w:rsid w:val="007A0DC7"/>
    <w:rsid w:val="007A15D0"/>
    <w:rsid w:val="007A2676"/>
    <w:rsid w:val="007A3110"/>
    <w:rsid w:val="007A3A8C"/>
    <w:rsid w:val="007A3F06"/>
    <w:rsid w:val="007A5FB6"/>
    <w:rsid w:val="007A60CD"/>
    <w:rsid w:val="007A6254"/>
    <w:rsid w:val="007B0E0C"/>
    <w:rsid w:val="007B2209"/>
    <w:rsid w:val="007B23AF"/>
    <w:rsid w:val="007B2AF8"/>
    <w:rsid w:val="007B41C9"/>
    <w:rsid w:val="007B4B13"/>
    <w:rsid w:val="007B5A06"/>
    <w:rsid w:val="007B70EF"/>
    <w:rsid w:val="007B7485"/>
    <w:rsid w:val="007C0D0E"/>
    <w:rsid w:val="007C0E45"/>
    <w:rsid w:val="007C188B"/>
    <w:rsid w:val="007C1FF1"/>
    <w:rsid w:val="007C26E5"/>
    <w:rsid w:val="007C3269"/>
    <w:rsid w:val="007C5F1F"/>
    <w:rsid w:val="007C7160"/>
    <w:rsid w:val="007C720A"/>
    <w:rsid w:val="007C7477"/>
    <w:rsid w:val="007C7499"/>
    <w:rsid w:val="007D1092"/>
    <w:rsid w:val="007D1AFE"/>
    <w:rsid w:val="007D1B82"/>
    <w:rsid w:val="007D1DD5"/>
    <w:rsid w:val="007D2621"/>
    <w:rsid w:val="007D33D9"/>
    <w:rsid w:val="007D3F07"/>
    <w:rsid w:val="007D5CA8"/>
    <w:rsid w:val="007D706B"/>
    <w:rsid w:val="007E0CAF"/>
    <w:rsid w:val="007E1097"/>
    <w:rsid w:val="007E1990"/>
    <w:rsid w:val="007E1AF9"/>
    <w:rsid w:val="007E2A7B"/>
    <w:rsid w:val="007E381F"/>
    <w:rsid w:val="007E423F"/>
    <w:rsid w:val="007E58EB"/>
    <w:rsid w:val="007E5A87"/>
    <w:rsid w:val="007F027A"/>
    <w:rsid w:val="007F08CA"/>
    <w:rsid w:val="007F0CE5"/>
    <w:rsid w:val="007F2355"/>
    <w:rsid w:val="007F3B6E"/>
    <w:rsid w:val="007F50D3"/>
    <w:rsid w:val="007F5274"/>
    <w:rsid w:val="007F73D1"/>
    <w:rsid w:val="007F7784"/>
    <w:rsid w:val="007F7E03"/>
    <w:rsid w:val="0080005F"/>
    <w:rsid w:val="008015E3"/>
    <w:rsid w:val="0080170A"/>
    <w:rsid w:val="00802B63"/>
    <w:rsid w:val="00803A6F"/>
    <w:rsid w:val="0080436D"/>
    <w:rsid w:val="008047B5"/>
    <w:rsid w:val="00806118"/>
    <w:rsid w:val="0080641A"/>
    <w:rsid w:val="00806434"/>
    <w:rsid w:val="00807559"/>
    <w:rsid w:val="008103EE"/>
    <w:rsid w:val="008115C2"/>
    <w:rsid w:val="008117BF"/>
    <w:rsid w:val="00811CA5"/>
    <w:rsid w:val="00813288"/>
    <w:rsid w:val="00813422"/>
    <w:rsid w:val="008141FA"/>
    <w:rsid w:val="00814492"/>
    <w:rsid w:val="00814DB6"/>
    <w:rsid w:val="00815CE6"/>
    <w:rsid w:val="00820056"/>
    <w:rsid w:val="00820306"/>
    <w:rsid w:val="008212EE"/>
    <w:rsid w:val="00821660"/>
    <w:rsid w:val="00821A29"/>
    <w:rsid w:val="00821C4A"/>
    <w:rsid w:val="008229E5"/>
    <w:rsid w:val="00823233"/>
    <w:rsid w:val="00824426"/>
    <w:rsid w:val="00824B0E"/>
    <w:rsid w:val="00824C9D"/>
    <w:rsid w:val="0082569C"/>
    <w:rsid w:val="008260B8"/>
    <w:rsid w:val="0082644D"/>
    <w:rsid w:val="0082650A"/>
    <w:rsid w:val="00826568"/>
    <w:rsid w:val="00827126"/>
    <w:rsid w:val="0082716E"/>
    <w:rsid w:val="008304C3"/>
    <w:rsid w:val="00830597"/>
    <w:rsid w:val="00830E52"/>
    <w:rsid w:val="00830F86"/>
    <w:rsid w:val="0083190E"/>
    <w:rsid w:val="0083233F"/>
    <w:rsid w:val="008324E3"/>
    <w:rsid w:val="00834C13"/>
    <w:rsid w:val="00835B63"/>
    <w:rsid w:val="008360BE"/>
    <w:rsid w:val="008369CB"/>
    <w:rsid w:val="00836E8D"/>
    <w:rsid w:val="00837C79"/>
    <w:rsid w:val="00840E56"/>
    <w:rsid w:val="008411FC"/>
    <w:rsid w:val="00842F40"/>
    <w:rsid w:val="00844347"/>
    <w:rsid w:val="0084437F"/>
    <w:rsid w:val="00844A82"/>
    <w:rsid w:val="00845645"/>
    <w:rsid w:val="00845783"/>
    <w:rsid w:val="00845946"/>
    <w:rsid w:val="008476A0"/>
    <w:rsid w:val="00847997"/>
    <w:rsid w:val="0085041B"/>
    <w:rsid w:val="008509E0"/>
    <w:rsid w:val="00851C57"/>
    <w:rsid w:val="00851C5E"/>
    <w:rsid w:val="00852F38"/>
    <w:rsid w:val="00855B53"/>
    <w:rsid w:val="00856C34"/>
    <w:rsid w:val="0086103B"/>
    <w:rsid w:val="00862B69"/>
    <w:rsid w:val="00862E7D"/>
    <w:rsid w:val="00862F16"/>
    <w:rsid w:val="008631B5"/>
    <w:rsid w:val="00863D0D"/>
    <w:rsid w:val="00865546"/>
    <w:rsid w:val="00865DC1"/>
    <w:rsid w:val="00865E78"/>
    <w:rsid w:val="00865F0C"/>
    <w:rsid w:val="00870C8E"/>
    <w:rsid w:val="00872AE6"/>
    <w:rsid w:val="00872E86"/>
    <w:rsid w:val="0087365A"/>
    <w:rsid w:val="008743C7"/>
    <w:rsid w:val="00874779"/>
    <w:rsid w:val="008750F9"/>
    <w:rsid w:val="00875341"/>
    <w:rsid w:val="0087536F"/>
    <w:rsid w:val="008766B7"/>
    <w:rsid w:val="00880393"/>
    <w:rsid w:val="0088051C"/>
    <w:rsid w:val="00880A40"/>
    <w:rsid w:val="008810DB"/>
    <w:rsid w:val="0088139D"/>
    <w:rsid w:val="00882C06"/>
    <w:rsid w:val="00882CC7"/>
    <w:rsid w:val="00883CC3"/>
    <w:rsid w:val="00883D2E"/>
    <w:rsid w:val="00884326"/>
    <w:rsid w:val="00884E99"/>
    <w:rsid w:val="008869F4"/>
    <w:rsid w:val="008911CB"/>
    <w:rsid w:val="00891893"/>
    <w:rsid w:val="008929E1"/>
    <w:rsid w:val="00893EEF"/>
    <w:rsid w:val="00896153"/>
    <w:rsid w:val="008961F5"/>
    <w:rsid w:val="00896603"/>
    <w:rsid w:val="008968EB"/>
    <w:rsid w:val="008969B1"/>
    <w:rsid w:val="008975A2"/>
    <w:rsid w:val="008A12B3"/>
    <w:rsid w:val="008A143E"/>
    <w:rsid w:val="008A14CB"/>
    <w:rsid w:val="008A24E1"/>
    <w:rsid w:val="008A2C72"/>
    <w:rsid w:val="008A3362"/>
    <w:rsid w:val="008A376B"/>
    <w:rsid w:val="008A3ADD"/>
    <w:rsid w:val="008A40BC"/>
    <w:rsid w:val="008A40DD"/>
    <w:rsid w:val="008A443B"/>
    <w:rsid w:val="008A4880"/>
    <w:rsid w:val="008A52B1"/>
    <w:rsid w:val="008A5754"/>
    <w:rsid w:val="008A5E0E"/>
    <w:rsid w:val="008A60DB"/>
    <w:rsid w:val="008B0165"/>
    <w:rsid w:val="008B0C53"/>
    <w:rsid w:val="008B143C"/>
    <w:rsid w:val="008B1D2A"/>
    <w:rsid w:val="008B2287"/>
    <w:rsid w:val="008B2E71"/>
    <w:rsid w:val="008B4B3D"/>
    <w:rsid w:val="008B5B32"/>
    <w:rsid w:val="008C0401"/>
    <w:rsid w:val="008C10E1"/>
    <w:rsid w:val="008C2989"/>
    <w:rsid w:val="008C29DF"/>
    <w:rsid w:val="008C2C82"/>
    <w:rsid w:val="008C3BE1"/>
    <w:rsid w:val="008C597D"/>
    <w:rsid w:val="008C67E8"/>
    <w:rsid w:val="008C69C5"/>
    <w:rsid w:val="008C7243"/>
    <w:rsid w:val="008D09DD"/>
    <w:rsid w:val="008D1784"/>
    <w:rsid w:val="008D1965"/>
    <w:rsid w:val="008D32E3"/>
    <w:rsid w:val="008D3DCC"/>
    <w:rsid w:val="008D475B"/>
    <w:rsid w:val="008D55BB"/>
    <w:rsid w:val="008D758B"/>
    <w:rsid w:val="008D76B8"/>
    <w:rsid w:val="008D78FF"/>
    <w:rsid w:val="008D7FA1"/>
    <w:rsid w:val="008E3C5D"/>
    <w:rsid w:val="008E44D2"/>
    <w:rsid w:val="008E5B22"/>
    <w:rsid w:val="008E5FE9"/>
    <w:rsid w:val="008E6B38"/>
    <w:rsid w:val="008E6E5C"/>
    <w:rsid w:val="008E6F01"/>
    <w:rsid w:val="008E703A"/>
    <w:rsid w:val="008E7128"/>
    <w:rsid w:val="008F0261"/>
    <w:rsid w:val="008F113F"/>
    <w:rsid w:val="008F1683"/>
    <w:rsid w:val="008F3060"/>
    <w:rsid w:val="008F3519"/>
    <w:rsid w:val="008F4A7E"/>
    <w:rsid w:val="008F5299"/>
    <w:rsid w:val="008F5E79"/>
    <w:rsid w:val="00900174"/>
    <w:rsid w:val="009003BE"/>
    <w:rsid w:val="00900BDD"/>
    <w:rsid w:val="00900D28"/>
    <w:rsid w:val="00901927"/>
    <w:rsid w:val="00901EB6"/>
    <w:rsid w:val="00903CF2"/>
    <w:rsid w:val="00903F33"/>
    <w:rsid w:val="009042A4"/>
    <w:rsid w:val="009045F1"/>
    <w:rsid w:val="00906183"/>
    <w:rsid w:val="00906B8B"/>
    <w:rsid w:val="00906C2F"/>
    <w:rsid w:val="00906EB0"/>
    <w:rsid w:val="00907899"/>
    <w:rsid w:val="00910D38"/>
    <w:rsid w:val="009122C4"/>
    <w:rsid w:val="00912B48"/>
    <w:rsid w:val="009140E3"/>
    <w:rsid w:val="00914273"/>
    <w:rsid w:val="00914DA7"/>
    <w:rsid w:val="009158E5"/>
    <w:rsid w:val="00915F63"/>
    <w:rsid w:val="00916789"/>
    <w:rsid w:val="00916FF3"/>
    <w:rsid w:val="009177E9"/>
    <w:rsid w:val="0092108A"/>
    <w:rsid w:val="00921847"/>
    <w:rsid w:val="009231D0"/>
    <w:rsid w:val="00923BAB"/>
    <w:rsid w:val="009240B7"/>
    <w:rsid w:val="0092455D"/>
    <w:rsid w:val="0092466B"/>
    <w:rsid w:val="00924E0B"/>
    <w:rsid w:val="009252EF"/>
    <w:rsid w:val="0092600B"/>
    <w:rsid w:val="009265C7"/>
    <w:rsid w:val="009277C7"/>
    <w:rsid w:val="00930B62"/>
    <w:rsid w:val="00930D09"/>
    <w:rsid w:val="009328C9"/>
    <w:rsid w:val="00932EF5"/>
    <w:rsid w:val="009331CF"/>
    <w:rsid w:val="009334AC"/>
    <w:rsid w:val="00934564"/>
    <w:rsid w:val="0093658C"/>
    <w:rsid w:val="00936B27"/>
    <w:rsid w:val="00940296"/>
    <w:rsid w:val="00941A22"/>
    <w:rsid w:val="00941ED9"/>
    <w:rsid w:val="00942010"/>
    <w:rsid w:val="009420FA"/>
    <w:rsid w:val="0094262C"/>
    <w:rsid w:val="009428E2"/>
    <w:rsid w:val="00943169"/>
    <w:rsid w:val="0094320A"/>
    <w:rsid w:val="00943265"/>
    <w:rsid w:val="009439BD"/>
    <w:rsid w:val="00943AD7"/>
    <w:rsid w:val="0094523E"/>
    <w:rsid w:val="0094537D"/>
    <w:rsid w:val="0095170D"/>
    <w:rsid w:val="00952BA5"/>
    <w:rsid w:val="00952F83"/>
    <w:rsid w:val="0095307F"/>
    <w:rsid w:val="009534DC"/>
    <w:rsid w:val="0095377E"/>
    <w:rsid w:val="009537DC"/>
    <w:rsid w:val="009540CE"/>
    <w:rsid w:val="009545CA"/>
    <w:rsid w:val="009548FF"/>
    <w:rsid w:val="00955526"/>
    <w:rsid w:val="00956895"/>
    <w:rsid w:val="009569A3"/>
    <w:rsid w:val="00957FD5"/>
    <w:rsid w:val="00962538"/>
    <w:rsid w:val="00962FC9"/>
    <w:rsid w:val="009634A0"/>
    <w:rsid w:val="00964FF7"/>
    <w:rsid w:val="00965109"/>
    <w:rsid w:val="00965269"/>
    <w:rsid w:val="009667E0"/>
    <w:rsid w:val="00966C09"/>
    <w:rsid w:val="00967949"/>
    <w:rsid w:val="00967A0F"/>
    <w:rsid w:val="00967CE3"/>
    <w:rsid w:val="00967ED7"/>
    <w:rsid w:val="00970305"/>
    <w:rsid w:val="00970379"/>
    <w:rsid w:val="009717B8"/>
    <w:rsid w:val="00971B08"/>
    <w:rsid w:val="009732E6"/>
    <w:rsid w:val="009737D6"/>
    <w:rsid w:val="00973A40"/>
    <w:rsid w:val="00973F51"/>
    <w:rsid w:val="00974C93"/>
    <w:rsid w:val="009755F6"/>
    <w:rsid w:val="00975A73"/>
    <w:rsid w:val="00977E1A"/>
    <w:rsid w:val="0098081D"/>
    <w:rsid w:val="00981467"/>
    <w:rsid w:val="00981F16"/>
    <w:rsid w:val="00983695"/>
    <w:rsid w:val="00984441"/>
    <w:rsid w:val="009844CF"/>
    <w:rsid w:val="00984DD8"/>
    <w:rsid w:val="00984E34"/>
    <w:rsid w:val="00985938"/>
    <w:rsid w:val="00986923"/>
    <w:rsid w:val="00990840"/>
    <w:rsid w:val="0099085F"/>
    <w:rsid w:val="00990CC6"/>
    <w:rsid w:val="00990E55"/>
    <w:rsid w:val="0099149A"/>
    <w:rsid w:val="00992058"/>
    <w:rsid w:val="00992157"/>
    <w:rsid w:val="00992536"/>
    <w:rsid w:val="009925DB"/>
    <w:rsid w:val="00992BBC"/>
    <w:rsid w:val="00992D0A"/>
    <w:rsid w:val="00993CC9"/>
    <w:rsid w:val="009940A4"/>
    <w:rsid w:val="00997CC2"/>
    <w:rsid w:val="00997D7B"/>
    <w:rsid w:val="009A016D"/>
    <w:rsid w:val="009A164E"/>
    <w:rsid w:val="009A26E1"/>
    <w:rsid w:val="009A27B4"/>
    <w:rsid w:val="009A2AA5"/>
    <w:rsid w:val="009A2CB2"/>
    <w:rsid w:val="009A33E6"/>
    <w:rsid w:val="009A5F31"/>
    <w:rsid w:val="009A65D6"/>
    <w:rsid w:val="009A6A4D"/>
    <w:rsid w:val="009A6A51"/>
    <w:rsid w:val="009A6F74"/>
    <w:rsid w:val="009B0221"/>
    <w:rsid w:val="009B0768"/>
    <w:rsid w:val="009B0FD0"/>
    <w:rsid w:val="009B1F1A"/>
    <w:rsid w:val="009B35D3"/>
    <w:rsid w:val="009B4485"/>
    <w:rsid w:val="009B44F5"/>
    <w:rsid w:val="009B4632"/>
    <w:rsid w:val="009B4C1E"/>
    <w:rsid w:val="009B56F6"/>
    <w:rsid w:val="009B5AC4"/>
    <w:rsid w:val="009B5C54"/>
    <w:rsid w:val="009C0AD2"/>
    <w:rsid w:val="009C0CC4"/>
    <w:rsid w:val="009C0E0B"/>
    <w:rsid w:val="009C2495"/>
    <w:rsid w:val="009C293A"/>
    <w:rsid w:val="009C43BC"/>
    <w:rsid w:val="009C4D08"/>
    <w:rsid w:val="009C4F22"/>
    <w:rsid w:val="009C5446"/>
    <w:rsid w:val="009C57C5"/>
    <w:rsid w:val="009C5A15"/>
    <w:rsid w:val="009C7E23"/>
    <w:rsid w:val="009D0A54"/>
    <w:rsid w:val="009D15D8"/>
    <w:rsid w:val="009D1651"/>
    <w:rsid w:val="009D3237"/>
    <w:rsid w:val="009D329A"/>
    <w:rsid w:val="009D3628"/>
    <w:rsid w:val="009D4C2A"/>
    <w:rsid w:val="009D5CFB"/>
    <w:rsid w:val="009D5F62"/>
    <w:rsid w:val="009D61AA"/>
    <w:rsid w:val="009D6914"/>
    <w:rsid w:val="009D6D07"/>
    <w:rsid w:val="009E0528"/>
    <w:rsid w:val="009E1A3C"/>
    <w:rsid w:val="009E1C22"/>
    <w:rsid w:val="009E2252"/>
    <w:rsid w:val="009E2481"/>
    <w:rsid w:val="009E2A5F"/>
    <w:rsid w:val="009E37E4"/>
    <w:rsid w:val="009E3C7E"/>
    <w:rsid w:val="009E43E8"/>
    <w:rsid w:val="009E77E8"/>
    <w:rsid w:val="009F0381"/>
    <w:rsid w:val="009F04E8"/>
    <w:rsid w:val="009F09D6"/>
    <w:rsid w:val="009F11F8"/>
    <w:rsid w:val="009F16D7"/>
    <w:rsid w:val="009F193A"/>
    <w:rsid w:val="009F3631"/>
    <w:rsid w:val="009F363C"/>
    <w:rsid w:val="009F3790"/>
    <w:rsid w:val="009F3BE6"/>
    <w:rsid w:val="009F533F"/>
    <w:rsid w:val="009F5C30"/>
    <w:rsid w:val="009F72CF"/>
    <w:rsid w:val="009F7A90"/>
    <w:rsid w:val="009F7CEB"/>
    <w:rsid w:val="00A016E9"/>
    <w:rsid w:val="00A0332F"/>
    <w:rsid w:val="00A03A0A"/>
    <w:rsid w:val="00A040FD"/>
    <w:rsid w:val="00A0426A"/>
    <w:rsid w:val="00A04C0D"/>
    <w:rsid w:val="00A04EDD"/>
    <w:rsid w:val="00A05542"/>
    <w:rsid w:val="00A10FBF"/>
    <w:rsid w:val="00A1106E"/>
    <w:rsid w:val="00A1136E"/>
    <w:rsid w:val="00A11C54"/>
    <w:rsid w:val="00A12A44"/>
    <w:rsid w:val="00A12A8C"/>
    <w:rsid w:val="00A15237"/>
    <w:rsid w:val="00A161F9"/>
    <w:rsid w:val="00A179C8"/>
    <w:rsid w:val="00A17B6F"/>
    <w:rsid w:val="00A205A8"/>
    <w:rsid w:val="00A20B1A"/>
    <w:rsid w:val="00A216F9"/>
    <w:rsid w:val="00A22A39"/>
    <w:rsid w:val="00A2315A"/>
    <w:rsid w:val="00A23A98"/>
    <w:rsid w:val="00A23CEC"/>
    <w:rsid w:val="00A25521"/>
    <w:rsid w:val="00A26E4A"/>
    <w:rsid w:val="00A31F9C"/>
    <w:rsid w:val="00A3217A"/>
    <w:rsid w:val="00A32692"/>
    <w:rsid w:val="00A32B3A"/>
    <w:rsid w:val="00A33DA6"/>
    <w:rsid w:val="00A3466C"/>
    <w:rsid w:val="00A34CAD"/>
    <w:rsid w:val="00A34EFE"/>
    <w:rsid w:val="00A37051"/>
    <w:rsid w:val="00A3746C"/>
    <w:rsid w:val="00A412C7"/>
    <w:rsid w:val="00A41CF1"/>
    <w:rsid w:val="00A41E5D"/>
    <w:rsid w:val="00A43236"/>
    <w:rsid w:val="00A44F0C"/>
    <w:rsid w:val="00A45200"/>
    <w:rsid w:val="00A45378"/>
    <w:rsid w:val="00A46DEC"/>
    <w:rsid w:val="00A47731"/>
    <w:rsid w:val="00A51A41"/>
    <w:rsid w:val="00A52077"/>
    <w:rsid w:val="00A52120"/>
    <w:rsid w:val="00A52A15"/>
    <w:rsid w:val="00A52F39"/>
    <w:rsid w:val="00A535FB"/>
    <w:rsid w:val="00A53FA8"/>
    <w:rsid w:val="00A54FF1"/>
    <w:rsid w:val="00A550AE"/>
    <w:rsid w:val="00A5573D"/>
    <w:rsid w:val="00A55B2A"/>
    <w:rsid w:val="00A55F42"/>
    <w:rsid w:val="00A6082F"/>
    <w:rsid w:val="00A612B2"/>
    <w:rsid w:val="00A63630"/>
    <w:rsid w:val="00A6374D"/>
    <w:rsid w:val="00A6517D"/>
    <w:rsid w:val="00A65C1F"/>
    <w:rsid w:val="00A66E8A"/>
    <w:rsid w:val="00A70F70"/>
    <w:rsid w:val="00A72542"/>
    <w:rsid w:val="00A736A1"/>
    <w:rsid w:val="00A73C28"/>
    <w:rsid w:val="00A73FC6"/>
    <w:rsid w:val="00A75112"/>
    <w:rsid w:val="00A75DA1"/>
    <w:rsid w:val="00A7619B"/>
    <w:rsid w:val="00A7710B"/>
    <w:rsid w:val="00A7712D"/>
    <w:rsid w:val="00A77BDE"/>
    <w:rsid w:val="00A77F64"/>
    <w:rsid w:val="00A80841"/>
    <w:rsid w:val="00A81F82"/>
    <w:rsid w:val="00A8236B"/>
    <w:rsid w:val="00A83470"/>
    <w:rsid w:val="00A841B0"/>
    <w:rsid w:val="00A84497"/>
    <w:rsid w:val="00A84EAA"/>
    <w:rsid w:val="00A85A2B"/>
    <w:rsid w:val="00A85A2C"/>
    <w:rsid w:val="00A872C4"/>
    <w:rsid w:val="00A87353"/>
    <w:rsid w:val="00A87991"/>
    <w:rsid w:val="00A90DD3"/>
    <w:rsid w:val="00A90DE8"/>
    <w:rsid w:val="00A91FB0"/>
    <w:rsid w:val="00A93000"/>
    <w:rsid w:val="00A93543"/>
    <w:rsid w:val="00A940FB"/>
    <w:rsid w:val="00A942AA"/>
    <w:rsid w:val="00A94A48"/>
    <w:rsid w:val="00A94BB9"/>
    <w:rsid w:val="00A94EFC"/>
    <w:rsid w:val="00A95AC2"/>
    <w:rsid w:val="00A95AD8"/>
    <w:rsid w:val="00A95CC8"/>
    <w:rsid w:val="00A96050"/>
    <w:rsid w:val="00A963DD"/>
    <w:rsid w:val="00A9644D"/>
    <w:rsid w:val="00A965D3"/>
    <w:rsid w:val="00AA07C1"/>
    <w:rsid w:val="00AA0DEB"/>
    <w:rsid w:val="00AA1096"/>
    <w:rsid w:val="00AA1681"/>
    <w:rsid w:val="00AA2288"/>
    <w:rsid w:val="00AA2553"/>
    <w:rsid w:val="00AA2FA1"/>
    <w:rsid w:val="00AA3DD4"/>
    <w:rsid w:val="00AA51C1"/>
    <w:rsid w:val="00AA6156"/>
    <w:rsid w:val="00AA6596"/>
    <w:rsid w:val="00AA688A"/>
    <w:rsid w:val="00AA73AC"/>
    <w:rsid w:val="00AA7B77"/>
    <w:rsid w:val="00AB1837"/>
    <w:rsid w:val="00AB187A"/>
    <w:rsid w:val="00AB1FCB"/>
    <w:rsid w:val="00AB23F0"/>
    <w:rsid w:val="00AB3968"/>
    <w:rsid w:val="00AB514A"/>
    <w:rsid w:val="00AB58D5"/>
    <w:rsid w:val="00AB5A32"/>
    <w:rsid w:val="00AB6EEF"/>
    <w:rsid w:val="00AB747A"/>
    <w:rsid w:val="00AC0B0C"/>
    <w:rsid w:val="00AC0C91"/>
    <w:rsid w:val="00AC1AE2"/>
    <w:rsid w:val="00AC1C4A"/>
    <w:rsid w:val="00AC1E12"/>
    <w:rsid w:val="00AC2C12"/>
    <w:rsid w:val="00AC3CFA"/>
    <w:rsid w:val="00AC44CD"/>
    <w:rsid w:val="00AC485F"/>
    <w:rsid w:val="00AC50E3"/>
    <w:rsid w:val="00AC512D"/>
    <w:rsid w:val="00AC59CF"/>
    <w:rsid w:val="00AC5DB0"/>
    <w:rsid w:val="00AD2484"/>
    <w:rsid w:val="00AD2B10"/>
    <w:rsid w:val="00AD31B3"/>
    <w:rsid w:val="00AD333F"/>
    <w:rsid w:val="00AD3CC4"/>
    <w:rsid w:val="00AD47F5"/>
    <w:rsid w:val="00AD51C9"/>
    <w:rsid w:val="00AD5A9D"/>
    <w:rsid w:val="00AD6352"/>
    <w:rsid w:val="00AD752E"/>
    <w:rsid w:val="00AE1C52"/>
    <w:rsid w:val="00AE214C"/>
    <w:rsid w:val="00AE2A68"/>
    <w:rsid w:val="00AE36AC"/>
    <w:rsid w:val="00AE3A5A"/>
    <w:rsid w:val="00AE4E67"/>
    <w:rsid w:val="00AE5486"/>
    <w:rsid w:val="00AE6595"/>
    <w:rsid w:val="00AE67D9"/>
    <w:rsid w:val="00AE772D"/>
    <w:rsid w:val="00AF0B58"/>
    <w:rsid w:val="00AF0DF9"/>
    <w:rsid w:val="00AF0ED0"/>
    <w:rsid w:val="00AF1A88"/>
    <w:rsid w:val="00AF2B0A"/>
    <w:rsid w:val="00AF3DFA"/>
    <w:rsid w:val="00AF4BE4"/>
    <w:rsid w:val="00AF7178"/>
    <w:rsid w:val="00AF7CC6"/>
    <w:rsid w:val="00B006D2"/>
    <w:rsid w:val="00B00DC9"/>
    <w:rsid w:val="00B01BB3"/>
    <w:rsid w:val="00B0230D"/>
    <w:rsid w:val="00B05A6C"/>
    <w:rsid w:val="00B05CD6"/>
    <w:rsid w:val="00B10D58"/>
    <w:rsid w:val="00B11EA0"/>
    <w:rsid w:val="00B13487"/>
    <w:rsid w:val="00B1542E"/>
    <w:rsid w:val="00B16471"/>
    <w:rsid w:val="00B17FDB"/>
    <w:rsid w:val="00B21592"/>
    <w:rsid w:val="00B21BB1"/>
    <w:rsid w:val="00B225D0"/>
    <w:rsid w:val="00B23AF6"/>
    <w:rsid w:val="00B24555"/>
    <w:rsid w:val="00B24640"/>
    <w:rsid w:val="00B259DF"/>
    <w:rsid w:val="00B25D68"/>
    <w:rsid w:val="00B260B6"/>
    <w:rsid w:val="00B26774"/>
    <w:rsid w:val="00B2777B"/>
    <w:rsid w:val="00B278FA"/>
    <w:rsid w:val="00B30120"/>
    <w:rsid w:val="00B30D73"/>
    <w:rsid w:val="00B31396"/>
    <w:rsid w:val="00B32BFE"/>
    <w:rsid w:val="00B32F5A"/>
    <w:rsid w:val="00B333D7"/>
    <w:rsid w:val="00B34FEE"/>
    <w:rsid w:val="00B367E2"/>
    <w:rsid w:val="00B40400"/>
    <w:rsid w:val="00B40FFD"/>
    <w:rsid w:val="00B41CE9"/>
    <w:rsid w:val="00B42835"/>
    <w:rsid w:val="00B428A3"/>
    <w:rsid w:val="00B43062"/>
    <w:rsid w:val="00B47396"/>
    <w:rsid w:val="00B478C4"/>
    <w:rsid w:val="00B51761"/>
    <w:rsid w:val="00B5295B"/>
    <w:rsid w:val="00B53836"/>
    <w:rsid w:val="00B55CAC"/>
    <w:rsid w:val="00B5637B"/>
    <w:rsid w:val="00B56D6A"/>
    <w:rsid w:val="00B56E81"/>
    <w:rsid w:val="00B61391"/>
    <w:rsid w:val="00B61635"/>
    <w:rsid w:val="00B619CD"/>
    <w:rsid w:val="00B63460"/>
    <w:rsid w:val="00B63AAF"/>
    <w:rsid w:val="00B66C37"/>
    <w:rsid w:val="00B67119"/>
    <w:rsid w:val="00B70522"/>
    <w:rsid w:val="00B70BDD"/>
    <w:rsid w:val="00B70F1B"/>
    <w:rsid w:val="00B71074"/>
    <w:rsid w:val="00B71675"/>
    <w:rsid w:val="00B71B62"/>
    <w:rsid w:val="00B738D5"/>
    <w:rsid w:val="00B75BC0"/>
    <w:rsid w:val="00B75F86"/>
    <w:rsid w:val="00B76492"/>
    <w:rsid w:val="00B765DE"/>
    <w:rsid w:val="00B7796D"/>
    <w:rsid w:val="00B77A6C"/>
    <w:rsid w:val="00B800C4"/>
    <w:rsid w:val="00B802B7"/>
    <w:rsid w:val="00B80B83"/>
    <w:rsid w:val="00B81987"/>
    <w:rsid w:val="00B82296"/>
    <w:rsid w:val="00B822C6"/>
    <w:rsid w:val="00B8254D"/>
    <w:rsid w:val="00B83300"/>
    <w:rsid w:val="00B84208"/>
    <w:rsid w:val="00B84692"/>
    <w:rsid w:val="00B84B12"/>
    <w:rsid w:val="00B8539D"/>
    <w:rsid w:val="00B8560C"/>
    <w:rsid w:val="00B860EE"/>
    <w:rsid w:val="00B863A0"/>
    <w:rsid w:val="00B901D2"/>
    <w:rsid w:val="00B90245"/>
    <w:rsid w:val="00B9046B"/>
    <w:rsid w:val="00B91565"/>
    <w:rsid w:val="00B91CA1"/>
    <w:rsid w:val="00B93A9B"/>
    <w:rsid w:val="00B95864"/>
    <w:rsid w:val="00B9660D"/>
    <w:rsid w:val="00BA01AB"/>
    <w:rsid w:val="00BA04D2"/>
    <w:rsid w:val="00BA195C"/>
    <w:rsid w:val="00BA24A5"/>
    <w:rsid w:val="00BA257B"/>
    <w:rsid w:val="00BA3306"/>
    <w:rsid w:val="00BA3EF1"/>
    <w:rsid w:val="00BA5724"/>
    <w:rsid w:val="00BA73EE"/>
    <w:rsid w:val="00BA79D5"/>
    <w:rsid w:val="00BB02E4"/>
    <w:rsid w:val="00BB1F22"/>
    <w:rsid w:val="00BB26A3"/>
    <w:rsid w:val="00BB3110"/>
    <w:rsid w:val="00BB480A"/>
    <w:rsid w:val="00BB54A6"/>
    <w:rsid w:val="00BB5FF9"/>
    <w:rsid w:val="00BB6875"/>
    <w:rsid w:val="00BC140F"/>
    <w:rsid w:val="00BC18ED"/>
    <w:rsid w:val="00BC1ECD"/>
    <w:rsid w:val="00BC4F4E"/>
    <w:rsid w:val="00BC6136"/>
    <w:rsid w:val="00BC6818"/>
    <w:rsid w:val="00BD03EC"/>
    <w:rsid w:val="00BD1278"/>
    <w:rsid w:val="00BD2769"/>
    <w:rsid w:val="00BD3BAC"/>
    <w:rsid w:val="00BD51EC"/>
    <w:rsid w:val="00BE07C5"/>
    <w:rsid w:val="00BE17B8"/>
    <w:rsid w:val="00BE3CAA"/>
    <w:rsid w:val="00BE3E5F"/>
    <w:rsid w:val="00BE4B89"/>
    <w:rsid w:val="00BE5478"/>
    <w:rsid w:val="00BE583A"/>
    <w:rsid w:val="00BE6358"/>
    <w:rsid w:val="00BE658B"/>
    <w:rsid w:val="00BE74A5"/>
    <w:rsid w:val="00BE7F55"/>
    <w:rsid w:val="00BF0921"/>
    <w:rsid w:val="00BF2FF5"/>
    <w:rsid w:val="00BF3381"/>
    <w:rsid w:val="00BF3507"/>
    <w:rsid w:val="00BF3B41"/>
    <w:rsid w:val="00BF4683"/>
    <w:rsid w:val="00BF48E4"/>
    <w:rsid w:val="00BF49C7"/>
    <w:rsid w:val="00C0025C"/>
    <w:rsid w:val="00C0207B"/>
    <w:rsid w:val="00C031FA"/>
    <w:rsid w:val="00C04064"/>
    <w:rsid w:val="00C0408D"/>
    <w:rsid w:val="00C05237"/>
    <w:rsid w:val="00C054B6"/>
    <w:rsid w:val="00C056C1"/>
    <w:rsid w:val="00C05DB2"/>
    <w:rsid w:val="00C05FA1"/>
    <w:rsid w:val="00C06459"/>
    <w:rsid w:val="00C07417"/>
    <w:rsid w:val="00C0761D"/>
    <w:rsid w:val="00C07BBA"/>
    <w:rsid w:val="00C10407"/>
    <w:rsid w:val="00C105F0"/>
    <w:rsid w:val="00C115F0"/>
    <w:rsid w:val="00C11ADD"/>
    <w:rsid w:val="00C11DE9"/>
    <w:rsid w:val="00C12CE0"/>
    <w:rsid w:val="00C12E8E"/>
    <w:rsid w:val="00C13867"/>
    <w:rsid w:val="00C1463B"/>
    <w:rsid w:val="00C14A46"/>
    <w:rsid w:val="00C17105"/>
    <w:rsid w:val="00C174C6"/>
    <w:rsid w:val="00C17F16"/>
    <w:rsid w:val="00C209D5"/>
    <w:rsid w:val="00C2162A"/>
    <w:rsid w:val="00C22581"/>
    <w:rsid w:val="00C22D3E"/>
    <w:rsid w:val="00C23FEA"/>
    <w:rsid w:val="00C24424"/>
    <w:rsid w:val="00C256B4"/>
    <w:rsid w:val="00C257D5"/>
    <w:rsid w:val="00C268CF"/>
    <w:rsid w:val="00C30301"/>
    <w:rsid w:val="00C30334"/>
    <w:rsid w:val="00C30FC4"/>
    <w:rsid w:val="00C317F3"/>
    <w:rsid w:val="00C32157"/>
    <w:rsid w:val="00C341E1"/>
    <w:rsid w:val="00C346A4"/>
    <w:rsid w:val="00C349C2"/>
    <w:rsid w:val="00C355D9"/>
    <w:rsid w:val="00C35EF9"/>
    <w:rsid w:val="00C361F4"/>
    <w:rsid w:val="00C3635B"/>
    <w:rsid w:val="00C40663"/>
    <w:rsid w:val="00C42422"/>
    <w:rsid w:val="00C425FE"/>
    <w:rsid w:val="00C44113"/>
    <w:rsid w:val="00C44C37"/>
    <w:rsid w:val="00C455DF"/>
    <w:rsid w:val="00C469B0"/>
    <w:rsid w:val="00C46AE5"/>
    <w:rsid w:val="00C473B8"/>
    <w:rsid w:val="00C47654"/>
    <w:rsid w:val="00C47E70"/>
    <w:rsid w:val="00C50367"/>
    <w:rsid w:val="00C51312"/>
    <w:rsid w:val="00C51EB3"/>
    <w:rsid w:val="00C52BE0"/>
    <w:rsid w:val="00C52F78"/>
    <w:rsid w:val="00C531F8"/>
    <w:rsid w:val="00C53CE3"/>
    <w:rsid w:val="00C54374"/>
    <w:rsid w:val="00C55460"/>
    <w:rsid w:val="00C55CA8"/>
    <w:rsid w:val="00C57642"/>
    <w:rsid w:val="00C57E4D"/>
    <w:rsid w:val="00C60D47"/>
    <w:rsid w:val="00C61562"/>
    <w:rsid w:val="00C61A70"/>
    <w:rsid w:val="00C622A3"/>
    <w:rsid w:val="00C6230B"/>
    <w:rsid w:val="00C626E2"/>
    <w:rsid w:val="00C628C8"/>
    <w:rsid w:val="00C62C40"/>
    <w:rsid w:val="00C635AE"/>
    <w:rsid w:val="00C63D41"/>
    <w:rsid w:val="00C652F8"/>
    <w:rsid w:val="00C66C97"/>
    <w:rsid w:val="00C66E36"/>
    <w:rsid w:val="00C7024B"/>
    <w:rsid w:val="00C70897"/>
    <w:rsid w:val="00C71028"/>
    <w:rsid w:val="00C71A5D"/>
    <w:rsid w:val="00C721CC"/>
    <w:rsid w:val="00C73340"/>
    <w:rsid w:val="00C736E7"/>
    <w:rsid w:val="00C739A0"/>
    <w:rsid w:val="00C73B5C"/>
    <w:rsid w:val="00C75177"/>
    <w:rsid w:val="00C7519E"/>
    <w:rsid w:val="00C756CC"/>
    <w:rsid w:val="00C76208"/>
    <w:rsid w:val="00C7697D"/>
    <w:rsid w:val="00C76CDB"/>
    <w:rsid w:val="00C81A12"/>
    <w:rsid w:val="00C824E4"/>
    <w:rsid w:val="00C8352D"/>
    <w:rsid w:val="00C840D4"/>
    <w:rsid w:val="00C846BE"/>
    <w:rsid w:val="00C85AD5"/>
    <w:rsid w:val="00C87120"/>
    <w:rsid w:val="00C87401"/>
    <w:rsid w:val="00C87F5E"/>
    <w:rsid w:val="00C9161F"/>
    <w:rsid w:val="00C9172A"/>
    <w:rsid w:val="00C918A6"/>
    <w:rsid w:val="00C91BDC"/>
    <w:rsid w:val="00C934DC"/>
    <w:rsid w:val="00C944BE"/>
    <w:rsid w:val="00C94E41"/>
    <w:rsid w:val="00C9636C"/>
    <w:rsid w:val="00C963DE"/>
    <w:rsid w:val="00C9672C"/>
    <w:rsid w:val="00CA0C26"/>
    <w:rsid w:val="00CA0CDC"/>
    <w:rsid w:val="00CA1A8D"/>
    <w:rsid w:val="00CA22F5"/>
    <w:rsid w:val="00CA3AB4"/>
    <w:rsid w:val="00CA4066"/>
    <w:rsid w:val="00CA41C8"/>
    <w:rsid w:val="00CA5705"/>
    <w:rsid w:val="00CA5A63"/>
    <w:rsid w:val="00CA63CB"/>
    <w:rsid w:val="00CA68CB"/>
    <w:rsid w:val="00CA69AC"/>
    <w:rsid w:val="00CB07A8"/>
    <w:rsid w:val="00CB10C0"/>
    <w:rsid w:val="00CB1C21"/>
    <w:rsid w:val="00CB2072"/>
    <w:rsid w:val="00CB393D"/>
    <w:rsid w:val="00CB3BA9"/>
    <w:rsid w:val="00CB5389"/>
    <w:rsid w:val="00CB5A98"/>
    <w:rsid w:val="00CB617F"/>
    <w:rsid w:val="00CB6C12"/>
    <w:rsid w:val="00CB77CD"/>
    <w:rsid w:val="00CB7B60"/>
    <w:rsid w:val="00CC00AF"/>
    <w:rsid w:val="00CC0C7F"/>
    <w:rsid w:val="00CC10E1"/>
    <w:rsid w:val="00CC2411"/>
    <w:rsid w:val="00CC2B4A"/>
    <w:rsid w:val="00CC3644"/>
    <w:rsid w:val="00CC3E84"/>
    <w:rsid w:val="00CC41D7"/>
    <w:rsid w:val="00CC455C"/>
    <w:rsid w:val="00CC62B9"/>
    <w:rsid w:val="00CC63E9"/>
    <w:rsid w:val="00CC7387"/>
    <w:rsid w:val="00CC79A7"/>
    <w:rsid w:val="00CD0E1B"/>
    <w:rsid w:val="00CD12E3"/>
    <w:rsid w:val="00CD4249"/>
    <w:rsid w:val="00CD4898"/>
    <w:rsid w:val="00CD5ADE"/>
    <w:rsid w:val="00CD5BEE"/>
    <w:rsid w:val="00CD5CD4"/>
    <w:rsid w:val="00CD6327"/>
    <w:rsid w:val="00CD6637"/>
    <w:rsid w:val="00CD6A4D"/>
    <w:rsid w:val="00CD6ED4"/>
    <w:rsid w:val="00CD73D1"/>
    <w:rsid w:val="00CE03B7"/>
    <w:rsid w:val="00CE119E"/>
    <w:rsid w:val="00CE20A7"/>
    <w:rsid w:val="00CE2195"/>
    <w:rsid w:val="00CE2B78"/>
    <w:rsid w:val="00CE353B"/>
    <w:rsid w:val="00CE4ED1"/>
    <w:rsid w:val="00CE5848"/>
    <w:rsid w:val="00CE590C"/>
    <w:rsid w:val="00CE6B41"/>
    <w:rsid w:val="00CE74A3"/>
    <w:rsid w:val="00CE7A3F"/>
    <w:rsid w:val="00CF0D7F"/>
    <w:rsid w:val="00CF116B"/>
    <w:rsid w:val="00CF22ED"/>
    <w:rsid w:val="00CF3979"/>
    <w:rsid w:val="00CF3FCA"/>
    <w:rsid w:val="00CF4240"/>
    <w:rsid w:val="00CF437B"/>
    <w:rsid w:val="00CF502D"/>
    <w:rsid w:val="00CF56DC"/>
    <w:rsid w:val="00CF6C59"/>
    <w:rsid w:val="00D01026"/>
    <w:rsid w:val="00D01B1E"/>
    <w:rsid w:val="00D02171"/>
    <w:rsid w:val="00D026F7"/>
    <w:rsid w:val="00D034DD"/>
    <w:rsid w:val="00D037D4"/>
    <w:rsid w:val="00D03B0F"/>
    <w:rsid w:val="00D03BE8"/>
    <w:rsid w:val="00D042E7"/>
    <w:rsid w:val="00D04952"/>
    <w:rsid w:val="00D05585"/>
    <w:rsid w:val="00D059AE"/>
    <w:rsid w:val="00D06259"/>
    <w:rsid w:val="00D06A16"/>
    <w:rsid w:val="00D06CF9"/>
    <w:rsid w:val="00D06EB0"/>
    <w:rsid w:val="00D07770"/>
    <w:rsid w:val="00D100AB"/>
    <w:rsid w:val="00D1018C"/>
    <w:rsid w:val="00D1078F"/>
    <w:rsid w:val="00D10E60"/>
    <w:rsid w:val="00D10FC3"/>
    <w:rsid w:val="00D12550"/>
    <w:rsid w:val="00D12CD2"/>
    <w:rsid w:val="00D14D23"/>
    <w:rsid w:val="00D15395"/>
    <w:rsid w:val="00D15D8B"/>
    <w:rsid w:val="00D169E3"/>
    <w:rsid w:val="00D17039"/>
    <w:rsid w:val="00D17984"/>
    <w:rsid w:val="00D2021B"/>
    <w:rsid w:val="00D204D7"/>
    <w:rsid w:val="00D214C7"/>
    <w:rsid w:val="00D215EA"/>
    <w:rsid w:val="00D21AD2"/>
    <w:rsid w:val="00D23207"/>
    <w:rsid w:val="00D23962"/>
    <w:rsid w:val="00D23ADA"/>
    <w:rsid w:val="00D23B99"/>
    <w:rsid w:val="00D24D4B"/>
    <w:rsid w:val="00D24DAD"/>
    <w:rsid w:val="00D250A8"/>
    <w:rsid w:val="00D257C7"/>
    <w:rsid w:val="00D25916"/>
    <w:rsid w:val="00D266B6"/>
    <w:rsid w:val="00D26B38"/>
    <w:rsid w:val="00D26D97"/>
    <w:rsid w:val="00D30500"/>
    <w:rsid w:val="00D30AA5"/>
    <w:rsid w:val="00D31FF9"/>
    <w:rsid w:val="00D329E6"/>
    <w:rsid w:val="00D32E5F"/>
    <w:rsid w:val="00D35654"/>
    <w:rsid w:val="00D3696A"/>
    <w:rsid w:val="00D36EBD"/>
    <w:rsid w:val="00D37841"/>
    <w:rsid w:val="00D37972"/>
    <w:rsid w:val="00D40536"/>
    <w:rsid w:val="00D40896"/>
    <w:rsid w:val="00D40A68"/>
    <w:rsid w:val="00D41534"/>
    <w:rsid w:val="00D41BBB"/>
    <w:rsid w:val="00D42A7F"/>
    <w:rsid w:val="00D42CE3"/>
    <w:rsid w:val="00D43BBF"/>
    <w:rsid w:val="00D451FC"/>
    <w:rsid w:val="00D456DC"/>
    <w:rsid w:val="00D457EC"/>
    <w:rsid w:val="00D464B8"/>
    <w:rsid w:val="00D46951"/>
    <w:rsid w:val="00D473FF"/>
    <w:rsid w:val="00D476B7"/>
    <w:rsid w:val="00D476F1"/>
    <w:rsid w:val="00D51B74"/>
    <w:rsid w:val="00D5238F"/>
    <w:rsid w:val="00D53F67"/>
    <w:rsid w:val="00D54141"/>
    <w:rsid w:val="00D55E0F"/>
    <w:rsid w:val="00D56270"/>
    <w:rsid w:val="00D579FE"/>
    <w:rsid w:val="00D61D1F"/>
    <w:rsid w:val="00D61F15"/>
    <w:rsid w:val="00D6278F"/>
    <w:rsid w:val="00D63C48"/>
    <w:rsid w:val="00D64289"/>
    <w:rsid w:val="00D65178"/>
    <w:rsid w:val="00D65278"/>
    <w:rsid w:val="00D6667B"/>
    <w:rsid w:val="00D67031"/>
    <w:rsid w:val="00D70DD2"/>
    <w:rsid w:val="00D71194"/>
    <w:rsid w:val="00D71400"/>
    <w:rsid w:val="00D7141B"/>
    <w:rsid w:val="00D7174E"/>
    <w:rsid w:val="00D72729"/>
    <w:rsid w:val="00D7296B"/>
    <w:rsid w:val="00D736CB"/>
    <w:rsid w:val="00D75149"/>
    <w:rsid w:val="00D76779"/>
    <w:rsid w:val="00D77E16"/>
    <w:rsid w:val="00D80A70"/>
    <w:rsid w:val="00D81B1A"/>
    <w:rsid w:val="00D82E7A"/>
    <w:rsid w:val="00D8366C"/>
    <w:rsid w:val="00D83D64"/>
    <w:rsid w:val="00D8433A"/>
    <w:rsid w:val="00D8676A"/>
    <w:rsid w:val="00D93386"/>
    <w:rsid w:val="00D94C2F"/>
    <w:rsid w:val="00D95394"/>
    <w:rsid w:val="00D962CC"/>
    <w:rsid w:val="00D96A78"/>
    <w:rsid w:val="00D970E7"/>
    <w:rsid w:val="00DA01E5"/>
    <w:rsid w:val="00DA032B"/>
    <w:rsid w:val="00DA0456"/>
    <w:rsid w:val="00DA12F3"/>
    <w:rsid w:val="00DA1318"/>
    <w:rsid w:val="00DA277A"/>
    <w:rsid w:val="00DA2B55"/>
    <w:rsid w:val="00DA3948"/>
    <w:rsid w:val="00DA3A9B"/>
    <w:rsid w:val="00DA3BA9"/>
    <w:rsid w:val="00DA3FC6"/>
    <w:rsid w:val="00DA493F"/>
    <w:rsid w:val="00DA55BB"/>
    <w:rsid w:val="00DA71A8"/>
    <w:rsid w:val="00DA73EE"/>
    <w:rsid w:val="00DA7AB8"/>
    <w:rsid w:val="00DB001E"/>
    <w:rsid w:val="00DB00F7"/>
    <w:rsid w:val="00DB13ED"/>
    <w:rsid w:val="00DB2B9C"/>
    <w:rsid w:val="00DB37D0"/>
    <w:rsid w:val="00DB64BA"/>
    <w:rsid w:val="00DB79D0"/>
    <w:rsid w:val="00DC082F"/>
    <w:rsid w:val="00DC1743"/>
    <w:rsid w:val="00DC1929"/>
    <w:rsid w:val="00DC273B"/>
    <w:rsid w:val="00DC2A46"/>
    <w:rsid w:val="00DC2A64"/>
    <w:rsid w:val="00DC4CC9"/>
    <w:rsid w:val="00DC5314"/>
    <w:rsid w:val="00DC7746"/>
    <w:rsid w:val="00DD0FA0"/>
    <w:rsid w:val="00DD107C"/>
    <w:rsid w:val="00DD2409"/>
    <w:rsid w:val="00DD3049"/>
    <w:rsid w:val="00DD30CC"/>
    <w:rsid w:val="00DD3A84"/>
    <w:rsid w:val="00DD4AB8"/>
    <w:rsid w:val="00DD624A"/>
    <w:rsid w:val="00DD67F3"/>
    <w:rsid w:val="00DD6FC6"/>
    <w:rsid w:val="00DE1885"/>
    <w:rsid w:val="00DE1F52"/>
    <w:rsid w:val="00DE242F"/>
    <w:rsid w:val="00DE2EF7"/>
    <w:rsid w:val="00DE30E2"/>
    <w:rsid w:val="00DE3A9A"/>
    <w:rsid w:val="00DE3E2F"/>
    <w:rsid w:val="00DE4C10"/>
    <w:rsid w:val="00DE50EC"/>
    <w:rsid w:val="00DE5951"/>
    <w:rsid w:val="00DE6421"/>
    <w:rsid w:val="00DE67FF"/>
    <w:rsid w:val="00DE6897"/>
    <w:rsid w:val="00DE6CA3"/>
    <w:rsid w:val="00DE74A7"/>
    <w:rsid w:val="00DE7FA7"/>
    <w:rsid w:val="00DF0A04"/>
    <w:rsid w:val="00DF16C0"/>
    <w:rsid w:val="00DF3E8E"/>
    <w:rsid w:val="00DF4321"/>
    <w:rsid w:val="00DF4E45"/>
    <w:rsid w:val="00DF548B"/>
    <w:rsid w:val="00DF6A5C"/>
    <w:rsid w:val="00DF6D0D"/>
    <w:rsid w:val="00DF78E5"/>
    <w:rsid w:val="00E00A3C"/>
    <w:rsid w:val="00E00B18"/>
    <w:rsid w:val="00E01465"/>
    <w:rsid w:val="00E029B7"/>
    <w:rsid w:val="00E03495"/>
    <w:rsid w:val="00E036E6"/>
    <w:rsid w:val="00E041E4"/>
    <w:rsid w:val="00E042BA"/>
    <w:rsid w:val="00E0565F"/>
    <w:rsid w:val="00E05F1C"/>
    <w:rsid w:val="00E05FBC"/>
    <w:rsid w:val="00E06938"/>
    <w:rsid w:val="00E07A55"/>
    <w:rsid w:val="00E10006"/>
    <w:rsid w:val="00E10B7D"/>
    <w:rsid w:val="00E1302F"/>
    <w:rsid w:val="00E13A03"/>
    <w:rsid w:val="00E13E93"/>
    <w:rsid w:val="00E13F34"/>
    <w:rsid w:val="00E1433F"/>
    <w:rsid w:val="00E147EC"/>
    <w:rsid w:val="00E14F30"/>
    <w:rsid w:val="00E20442"/>
    <w:rsid w:val="00E2267B"/>
    <w:rsid w:val="00E227EA"/>
    <w:rsid w:val="00E22A00"/>
    <w:rsid w:val="00E23393"/>
    <w:rsid w:val="00E23426"/>
    <w:rsid w:val="00E23660"/>
    <w:rsid w:val="00E236E3"/>
    <w:rsid w:val="00E255F7"/>
    <w:rsid w:val="00E26327"/>
    <w:rsid w:val="00E268C0"/>
    <w:rsid w:val="00E2761D"/>
    <w:rsid w:val="00E27C0E"/>
    <w:rsid w:val="00E301C7"/>
    <w:rsid w:val="00E3046E"/>
    <w:rsid w:val="00E31326"/>
    <w:rsid w:val="00E3178B"/>
    <w:rsid w:val="00E31A1E"/>
    <w:rsid w:val="00E31B9C"/>
    <w:rsid w:val="00E32C18"/>
    <w:rsid w:val="00E33148"/>
    <w:rsid w:val="00E334DC"/>
    <w:rsid w:val="00E3441B"/>
    <w:rsid w:val="00E34484"/>
    <w:rsid w:val="00E344C1"/>
    <w:rsid w:val="00E37424"/>
    <w:rsid w:val="00E37967"/>
    <w:rsid w:val="00E37AE8"/>
    <w:rsid w:val="00E41A1E"/>
    <w:rsid w:val="00E45180"/>
    <w:rsid w:val="00E45305"/>
    <w:rsid w:val="00E46AC9"/>
    <w:rsid w:val="00E47E63"/>
    <w:rsid w:val="00E512C2"/>
    <w:rsid w:val="00E53407"/>
    <w:rsid w:val="00E53DB6"/>
    <w:rsid w:val="00E53E47"/>
    <w:rsid w:val="00E54ACA"/>
    <w:rsid w:val="00E54E6A"/>
    <w:rsid w:val="00E54FB3"/>
    <w:rsid w:val="00E55904"/>
    <w:rsid w:val="00E55B65"/>
    <w:rsid w:val="00E55E72"/>
    <w:rsid w:val="00E569BD"/>
    <w:rsid w:val="00E628DC"/>
    <w:rsid w:val="00E62B97"/>
    <w:rsid w:val="00E630A0"/>
    <w:rsid w:val="00E6346D"/>
    <w:rsid w:val="00E63A5A"/>
    <w:rsid w:val="00E65014"/>
    <w:rsid w:val="00E66614"/>
    <w:rsid w:val="00E7034A"/>
    <w:rsid w:val="00E71626"/>
    <w:rsid w:val="00E7176C"/>
    <w:rsid w:val="00E71CEB"/>
    <w:rsid w:val="00E7398B"/>
    <w:rsid w:val="00E74365"/>
    <w:rsid w:val="00E74AF9"/>
    <w:rsid w:val="00E76493"/>
    <w:rsid w:val="00E768B1"/>
    <w:rsid w:val="00E80035"/>
    <w:rsid w:val="00E80CB9"/>
    <w:rsid w:val="00E8269B"/>
    <w:rsid w:val="00E826D1"/>
    <w:rsid w:val="00E84FEA"/>
    <w:rsid w:val="00E85718"/>
    <w:rsid w:val="00E85B07"/>
    <w:rsid w:val="00E87B4D"/>
    <w:rsid w:val="00E901C3"/>
    <w:rsid w:val="00E91871"/>
    <w:rsid w:val="00E91ED4"/>
    <w:rsid w:val="00E92B08"/>
    <w:rsid w:val="00E92B30"/>
    <w:rsid w:val="00E930FA"/>
    <w:rsid w:val="00E9668E"/>
    <w:rsid w:val="00E976DF"/>
    <w:rsid w:val="00EA04C3"/>
    <w:rsid w:val="00EA1417"/>
    <w:rsid w:val="00EA16B2"/>
    <w:rsid w:val="00EA1B29"/>
    <w:rsid w:val="00EA36EF"/>
    <w:rsid w:val="00EA5552"/>
    <w:rsid w:val="00EA654A"/>
    <w:rsid w:val="00EA655D"/>
    <w:rsid w:val="00EA65E9"/>
    <w:rsid w:val="00EA66E6"/>
    <w:rsid w:val="00EA7697"/>
    <w:rsid w:val="00EB0588"/>
    <w:rsid w:val="00EB159D"/>
    <w:rsid w:val="00EB426B"/>
    <w:rsid w:val="00EB445E"/>
    <w:rsid w:val="00EB5E33"/>
    <w:rsid w:val="00EB5E6D"/>
    <w:rsid w:val="00EB67FC"/>
    <w:rsid w:val="00EC0076"/>
    <w:rsid w:val="00EC01BB"/>
    <w:rsid w:val="00EC0564"/>
    <w:rsid w:val="00EC31F0"/>
    <w:rsid w:val="00EC32A5"/>
    <w:rsid w:val="00EC3C86"/>
    <w:rsid w:val="00EC4125"/>
    <w:rsid w:val="00EC454E"/>
    <w:rsid w:val="00EC4758"/>
    <w:rsid w:val="00EC5EB6"/>
    <w:rsid w:val="00EC6741"/>
    <w:rsid w:val="00EC7389"/>
    <w:rsid w:val="00EC7E7E"/>
    <w:rsid w:val="00ED0EF9"/>
    <w:rsid w:val="00ED19C4"/>
    <w:rsid w:val="00ED2907"/>
    <w:rsid w:val="00ED2EA5"/>
    <w:rsid w:val="00ED4BDE"/>
    <w:rsid w:val="00ED5777"/>
    <w:rsid w:val="00ED5BB3"/>
    <w:rsid w:val="00ED6252"/>
    <w:rsid w:val="00ED6596"/>
    <w:rsid w:val="00ED692D"/>
    <w:rsid w:val="00ED7B53"/>
    <w:rsid w:val="00EE2852"/>
    <w:rsid w:val="00EE3172"/>
    <w:rsid w:val="00EE4F10"/>
    <w:rsid w:val="00EE649F"/>
    <w:rsid w:val="00EE65F2"/>
    <w:rsid w:val="00EF1417"/>
    <w:rsid w:val="00EF17A1"/>
    <w:rsid w:val="00EF2E20"/>
    <w:rsid w:val="00EF3278"/>
    <w:rsid w:val="00EF3E8B"/>
    <w:rsid w:val="00EF4602"/>
    <w:rsid w:val="00EF53CC"/>
    <w:rsid w:val="00EF63EB"/>
    <w:rsid w:val="00EF7F8C"/>
    <w:rsid w:val="00F00678"/>
    <w:rsid w:val="00F01723"/>
    <w:rsid w:val="00F02BE6"/>
    <w:rsid w:val="00F049EC"/>
    <w:rsid w:val="00F05283"/>
    <w:rsid w:val="00F0542E"/>
    <w:rsid w:val="00F0645B"/>
    <w:rsid w:val="00F06E78"/>
    <w:rsid w:val="00F1103D"/>
    <w:rsid w:val="00F12C14"/>
    <w:rsid w:val="00F13CFE"/>
    <w:rsid w:val="00F145A6"/>
    <w:rsid w:val="00F1546C"/>
    <w:rsid w:val="00F15A89"/>
    <w:rsid w:val="00F15D98"/>
    <w:rsid w:val="00F16692"/>
    <w:rsid w:val="00F16695"/>
    <w:rsid w:val="00F226A1"/>
    <w:rsid w:val="00F229C5"/>
    <w:rsid w:val="00F22E2A"/>
    <w:rsid w:val="00F2343B"/>
    <w:rsid w:val="00F25783"/>
    <w:rsid w:val="00F26024"/>
    <w:rsid w:val="00F2645A"/>
    <w:rsid w:val="00F26B4B"/>
    <w:rsid w:val="00F26DFE"/>
    <w:rsid w:val="00F2706C"/>
    <w:rsid w:val="00F27BE3"/>
    <w:rsid w:val="00F30372"/>
    <w:rsid w:val="00F3064C"/>
    <w:rsid w:val="00F3094A"/>
    <w:rsid w:val="00F313D2"/>
    <w:rsid w:val="00F31BC3"/>
    <w:rsid w:val="00F325E7"/>
    <w:rsid w:val="00F32FC5"/>
    <w:rsid w:val="00F335EE"/>
    <w:rsid w:val="00F344FA"/>
    <w:rsid w:val="00F34DF3"/>
    <w:rsid w:val="00F3506A"/>
    <w:rsid w:val="00F358F9"/>
    <w:rsid w:val="00F35E51"/>
    <w:rsid w:val="00F36331"/>
    <w:rsid w:val="00F36CFA"/>
    <w:rsid w:val="00F36EC9"/>
    <w:rsid w:val="00F37864"/>
    <w:rsid w:val="00F410A6"/>
    <w:rsid w:val="00F42013"/>
    <w:rsid w:val="00F4240E"/>
    <w:rsid w:val="00F43B9D"/>
    <w:rsid w:val="00F444C6"/>
    <w:rsid w:val="00F44981"/>
    <w:rsid w:val="00F451FB"/>
    <w:rsid w:val="00F45864"/>
    <w:rsid w:val="00F466F7"/>
    <w:rsid w:val="00F46A65"/>
    <w:rsid w:val="00F46AAC"/>
    <w:rsid w:val="00F46D64"/>
    <w:rsid w:val="00F504FA"/>
    <w:rsid w:val="00F505C1"/>
    <w:rsid w:val="00F51C5A"/>
    <w:rsid w:val="00F52569"/>
    <w:rsid w:val="00F55125"/>
    <w:rsid w:val="00F556AA"/>
    <w:rsid w:val="00F55EBF"/>
    <w:rsid w:val="00F56314"/>
    <w:rsid w:val="00F569E1"/>
    <w:rsid w:val="00F56A9A"/>
    <w:rsid w:val="00F56C94"/>
    <w:rsid w:val="00F56DA3"/>
    <w:rsid w:val="00F57CB7"/>
    <w:rsid w:val="00F61249"/>
    <w:rsid w:val="00F6177B"/>
    <w:rsid w:val="00F62AB3"/>
    <w:rsid w:val="00F63F22"/>
    <w:rsid w:val="00F64CC5"/>
    <w:rsid w:val="00F6545B"/>
    <w:rsid w:val="00F67AE8"/>
    <w:rsid w:val="00F71E16"/>
    <w:rsid w:val="00F72B42"/>
    <w:rsid w:val="00F72BB2"/>
    <w:rsid w:val="00F730C9"/>
    <w:rsid w:val="00F733F3"/>
    <w:rsid w:val="00F73A39"/>
    <w:rsid w:val="00F73E47"/>
    <w:rsid w:val="00F740BF"/>
    <w:rsid w:val="00F756C0"/>
    <w:rsid w:val="00F758FF"/>
    <w:rsid w:val="00F75D3A"/>
    <w:rsid w:val="00F76B69"/>
    <w:rsid w:val="00F76DCD"/>
    <w:rsid w:val="00F771F4"/>
    <w:rsid w:val="00F77D8F"/>
    <w:rsid w:val="00F80139"/>
    <w:rsid w:val="00F825B5"/>
    <w:rsid w:val="00F8275A"/>
    <w:rsid w:val="00F82EA5"/>
    <w:rsid w:val="00F841CA"/>
    <w:rsid w:val="00F860CF"/>
    <w:rsid w:val="00F86C40"/>
    <w:rsid w:val="00F8751E"/>
    <w:rsid w:val="00F87C31"/>
    <w:rsid w:val="00F9212E"/>
    <w:rsid w:val="00F92DFD"/>
    <w:rsid w:val="00F93209"/>
    <w:rsid w:val="00F9445F"/>
    <w:rsid w:val="00F95B31"/>
    <w:rsid w:val="00F95F0A"/>
    <w:rsid w:val="00F96E21"/>
    <w:rsid w:val="00F972FF"/>
    <w:rsid w:val="00F97B0C"/>
    <w:rsid w:val="00F97EA4"/>
    <w:rsid w:val="00FA0329"/>
    <w:rsid w:val="00FA3279"/>
    <w:rsid w:val="00FA3AB9"/>
    <w:rsid w:val="00FA46C6"/>
    <w:rsid w:val="00FA4BB5"/>
    <w:rsid w:val="00FA5504"/>
    <w:rsid w:val="00FA6B7E"/>
    <w:rsid w:val="00FB08B3"/>
    <w:rsid w:val="00FB13F6"/>
    <w:rsid w:val="00FB4F96"/>
    <w:rsid w:val="00FB57DB"/>
    <w:rsid w:val="00FB58D2"/>
    <w:rsid w:val="00FB5DB3"/>
    <w:rsid w:val="00FB6087"/>
    <w:rsid w:val="00FB6669"/>
    <w:rsid w:val="00FB6BBE"/>
    <w:rsid w:val="00FB7864"/>
    <w:rsid w:val="00FB78BC"/>
    <w:rsid w:val="00FC06E3"/>
    <w:rsid w:val="00FC17AB"/>
    <w:rsid w:val="00FC1AC1"/>
    <w:rsid w:val="00FC1ED4"/>
    <w:rsid w:val="00FC22AB"/>
    <w:rsid w:val="00FC272E"/>
    <w:rsid w:val="00FC294A"/>
    <w:rsid w:val="00FC422B"/>
    <w:rsid w:val="00FC4DBD"/>
    <w:rsid w:val="00FC594B"/>
    <w:rsid w:val="00FC5DBD"/>
    <w:rsid w:val="00FC5E9A"/>
    <w:rsid w:val="00FC77CD"/>
    <w:rsid w:val="00FC7D21"/>
    <w:rsid w:val="00FC7DDB"/>
    <w:rsid w:val="00FC7EF4"/>
    <w:rsid w:val="00FD0C77"/>
    <w:rsid w:val="00FD0DA5"/>
    <w:rsid w:val="00FD1088"/>
    <w:rsid w:val="00FD14FD"/>
    <w:rsid w:val="00FD2394"/>
    <w:rsid w:val="00FD2A20"/>
    <w:rsid w:val="00FD2E62"/>
    <w:rsid w:val="00FD4211"/>
    <w:rsid w:val="00FD5C2F"/>
    <w:rsid w:val="00FD5FA6"/>
    <w:rsid w:val="00FD6D31"/>
    <w:rsid w:val="00FD7841"/>
    <w:rsid w:val="00FD7D62"/>
    <w:rsid w:val="00FE100E"/>
    <w:rsid w:val="00FE15EC"/>
    <w:rsid w:val="00FE2431"/>
    <w:rsid w:val="00FE25EA"/>
    <w:rsid w:val="00FE45FA"/>
    <w:rsid w:val="00FE4C58"/>
    <w:rsid w:val="00FE6746"/>
    <w:rsid w:val="00FE7354"/>
    <w:rsid w:val="00FF0932"/>
    <w:rsid w:val="00FF130E"/>
    <w:rsid w:val="00FF1FF2"/>
    <w:rsid w:val="00FF2550"/>
    <w:rsid w:val="00FF2765"/>
    <w:rsid w:val="00FF321A"/>
    <w:rsid w:val="00FF3592"/>
    <w:rsid w:val="00FF3A1E"/>
    <w:rsid w:val="00FF610D"/>
    <w:rsid w:val="00FF66A2"/>
    <w:rsid w:val="00FF6CC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5" w:qFormat="1"/>
    <w:lsdException w:name="heading 5" w:uiPriority="10"/>
    <w:lsdException w:name="heading 6" w:uiPriority="12" w:qFormat="1"/>
    <w:lsdException w:name="heading 7" w:uiPriority="12"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lsdException w:name="Default Paragraph Font" w:uiPriority="1"/>
    <w:lsdException w:name="Body Text" w:uiPriority="3"/>
    <w:lsdException w:name="Body Text Indent" w:uiPriority="9"/>
    <w:lsdException w:name="Subtitle" w:semiHidden="0" w:uiPriority="12" w:unhideWhenUsed="0"/>
    <w:lsdException w:name="Body Text 2" w:uiPriority="9"/>
    <w:lsdException w:name="Body Text 3" w:uiPriority="9"/>
    <w:lsdException w:name="Strong" w:semiHidden="0" w:uiPriority="25" w:unhideWhenUsed="0"/>
    <w:lsdException w:name="Emphasis" w:semiHidden="0" w:uiPriority="20" w:unhideWhenUsed="0" w:qFormat="1"/>
    <w:lsdException w:name="Balloon Text" w:uiPriority="9"/>
    <w:lsdException w:name="Table Grid" w:semiHidden="0" w:uiPriority="59" w:unhideWhenUsed="0"/>
    <w:lsdException w:name="Placeholder Text" w:unhideWhenUsed="0"/>
    <w:lsdException w:name="No Spacing" w:semiHidden="0"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32" w:unhideWhenUsed="0"/>
    <w:lsdException w:name="Intense Quote" w:semiHidden="0" w:uiPriority="33"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lsdException w:name="Intense Emphasis" w:semiHidden="0" w:uiPriority="24" w:unhideWhenUsed="0"/>
    <w:lsdException w:name="Subtle Reference" w:semiHidden="0" w:uiPriority="34" w:unhideWhenUsed="0"/>
    <w:lsdException w:name="Intense Reference" w:semiHidden="0" w:uiPriority="35" w:unhideWhenUsed="0"/>
    <w:lsdException w:name="Book Title" w:semiHidden="0" w:uiPriority="36" w:unhideWhenUsed="0"/>
    <w:lsdException w:name="Bibliography" w:uiPriority="37"/>
    <w:lsdException w:name="TOC Heading" w:uiPriority="42"/>
  </w:latentStyles>
  <w:style w:type="paragraph" w:default="1" w:styleId="Normal">
    <w:name w:val="Normal"/>
    <w:qFormat/>
    <w:rsid w:val="003D2757"/>
    <w:pPr>
      <w:spacing w:before="120" w:line="240" w:lineRule="auto"/>
      <w:jc w:val="both"/>
    </w:pPr>
    <w:rPr>
      <w:sz w:val="24"/>
    </w:rPr>
  </w:style>
  <w:style w:type="paragraph" w:styleId="Heading1">
    <w:name w:val="heading 1"/>
    <w:next w:val="Normal"/>
    <w:link w:val="Heading1Char"/>
    <w:uiPriority w:val="9"/>
    <w:qFormat/>
    <w:rsid w:val="005C2085"/>
    <w:pPr>
      <w:keepNext/>
      <w:keepLines/>
      <w:numPr>
        <w:numId w:val="5"/>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4A5746"/>
    <w:pPr>
      <w:keepNext/>
      <w:keepLines/>
      <w:numPr>
        <w:ilvl w:val="3"/>
        <w:numId w:val="5"/>
      </w:numPr>
      <w:spacing w:before="360" w:after="120"/>
      <w:ind w:left="864"/>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1"/>
    <w:qFormat/>
    <w:rsid w:val="00186307"/>
    <w:pPr>
      <w:keepNext/>
      <w:keepLines/>
      <w:numPr>
        <w:ilvl w:val="5"/>
        <w:numId w:val="5"/>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5"/>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unhideWhenUsed/>
    <w:rsid w:val="003B095E"/>
    <w:pPr>
      <w:numPr>
        <w:ilvl w:val="0"/>
        <w:numId w:val="0"/>
      </w:numPr>
      <w:outlineLvl w:val="4"/>
    </w:pPr>
  </w:style>
  <w:style w:type="paragraph" w:styleId="Heading6">
    <w:name w:val="heading 6"/>
    <w:aliases w:val="Heading 3 - Body"/>
    <w:basedOn w:val="Heading3"/>
    <w:next w:val="Normal"/>
    <w:link w:val="Heading6Char"/>
    <w:uiPriority w:val="12"/>
    <w:unhideWhenUsed/>
    <w:qFormat/>
    <w:rsid w:val="00624315"/>
    <w:pPr>
      <w:outlineLvl w:val="5"/>
    </w:pPr>
    <w:rPr>
      <w:sz w:val="24"/>
    </w:rPr>
  </w:style>
  <w:style w:type="paragraph" w:styleId="Heading7">
    <w:name w:val="heading 7"/>
    <w:basedOn w:val="Heading1"/>
    <w:next w:val="Normal"/>
    <w:link w:val="Heading7Char"/>
    <w:uiPriority w:val="12"/>
    <w:unhideWhenUsed/>
    <w:qFormat/>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9"/>
    <w:unhideWhenUsed/>
    <w:qFormat/>
    <w:rsid w:val="002B5D7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9"/>
    <w:unhideWhenUsed/>
    <w:qFormat/>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630"/>
    <w:rPr>
      <w:rFonts w:eastAsiaTheme="majorEastAsia" w:cstheme="majorBidi"/>
      <w:b/>
      <w:sz w:val="32"/>
      <w:szCs w:val="28"/>
    </w:rPr>
  </w:style>
  <w:style w:type="character" w:customStyle="1" w:styleId="Heading2Char">
    <w:name w:val="Heading 2 Char"/>
    <w:basedOn w:val="DefaultParagraphFont"/>
    <w:link w:val="Heading2"/>
    <w:uiPriority w:val="9"/>
    <w:rsid w:val="00A63630"/>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1"/>
    <w:rsid w:val="00A63630"/>
    <w:rPr>
      <w:rFonts w:eastAsiaTheme="majorEastAsia" w:cstheme="majorBidi"/>
      <w:b/>
      <w:sz w:val="28"/>
      <w:szCs w:val="28"/>
    </w:rPr>
  </w:style>
  <w:style w:type="paragraph" w:styleId="ListParagraph">
    <w:name w:val="List Paragraph"/>
    <w:aliases w:val="ES Paragraph,PBAC ES Paragraph,BulletPoints"/>
    <w:basedOn w:val="Normal"/>
    <w:link w:val="ListParagraphChar"/>
    <w:uiPriority w:val="72"/>
    <w:qFormat/>
    <w:rsid w:val="00133B1C"/>
    <w:pPr>
      <w:numPr>
        <w:ilvl w:val="4"/>
        <w:numId w:val="2"/>
      </w:numPr>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5"/>
    <w:rsid w:val="00A63630"/>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rsid w:val="00F95F0A"/>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rsid w:val="00F95F0A"/>
    <w:rPr>
      <w:rFonts w:eastAsiaTheme="majorEastAsia" w:cstheme="majorBidi"/>
      <w:b/>
      <w:sz w:val="24"/>
      <w:szCs w:val="28"/>
    </w:rPr>
  </w:style>
  <w:style w:type="character" w:customStyle="1" w:styleId="Heading7Char">
    <w:name w:val="Heading 7 Char"/>
    <w:basedOn w:val="DefaultParagraphFont"/>
    <w:link w:val="Heading7"/>
    <w:uiPriority w:val="12"/>
    <w:rsid w:val="00F95F0A"/>
    <w:rPr>
      <w:rFonts w:eastAsiaTheme="majorEastAsia" w:cstheme="majorBidi"/>
      <w:b/>
      <w:i/>
      <w:sz w:val="24"/>
      <w:szCs w:val="24"/>
    </w:rPr>
  </w:style>
  <w:style w:type="character" w:customStyle="1" w:styleId="Heading8Char">
    <w:name w:val="Heading 8 Char"/>
    <w:basedOn w:val="DefaultParagraphFont"/>
    <w:link w:val="Heading8"/>
    <w:uiPriority w:val="9"/>
    <w:rsid w:val="00F95F0A"/>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9"/>
    <w:rsid w:val="00F95F0A"/>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
    <w:basedOn w:val="Normal"/>
    <w:next w:val="Normal"/>
    <w:link w:val="CaptionChar"/>
    <w:autoRedefine/>
    <w:uiPriority w:val="35"/>
    <w:unhideWhenUsed/>
    <w:qFormat/>
    <w:rsid w:val="00EE3172"/>
    <w:pPr>
      <w:keepNext/>
      <w:tabs>
        <w:tab w:val="left" w:pos="1134"/>
      </w:tabs>
      <w:spacing w:before="240" w:after="0"/>
      <w:contextualSpacing/>
    </w:pPr>
    <w:rPr>
      <w:rFonts w:ascii="Arial Narrow" w:hAnsi="Arial Narrow"/>
      <w:b/>
      <w:iCs/>
      <w:sz w:val="20"/>
      <w:szCs w:val="18"/>
    </w:rPr>
  </w:style>
  <w:style w:type="paragraph" w:customStyle="1" w:styleId="TableText">
    <w:name w:val="Table Text"/>
    <w:basedOn w:val="Normal"/>
    <w:link w:val="TableTextChar"/>
    <w:qFormat/>
    <w:rsid w:val="002530E7"/>
    <w:pPr>
      <w:widowControl w:val="0"/>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F95F0A"/>
    <w:rPr>
      <w:sz w:val="18"/>
      <w:szCs w:val="20"/>
    </w:rPr>
  </w:style>
  <w:style w:type="character" w:styleId="FootnoteReference">
    <w:name w:val="footnote reference"/>
    <w:basedOn w:val="DefaultParagraphFont"/>
    <w:uiPriority w:val="99"/>
    <w:unhideWhenUsed/>
    <w:rsid w:val="00BA3306"/>
    <w:rPr>
      <w:vertAlign w:val="superscript"/>
    </w:rPr>
  </w:style>
  <w:style w:type="character" w:styleId="CommentReference">
    <w:name w:val="annotation reference"/>
    <w:aliases w:val="Table Title,-H18"/>
    <w:basedOn w:val="DefaultParagraphFont"/>
    <w:unhideWhenUsed/>
    <w:qFormat/>
    <w:rsid w:val="004E5546"/>
    <w:rPr>
      <w:color w:val="FF0000"/>
      <w:sz w:val="16"/>
      <w:szCs w:val="16"/>
    </w:rPr>
  </w:style>
  <w:style w:type="paragraph" w:styleId="CommentText">
    <w:name w:val="annotation text"/>
    <w:aliases w:val="- H19"/>
    <w:basedOn w:val="Normal"/>
    <w:link w:val="CommentTextChar"/>
    <w:uiPriority w:val="99"/>
    <w:unhideWhenUsed/>
    <w:qFormat/>
    <w:rsid w:val="004619BB"/>
    <w:rPr>
      <w:sz w:val="20"/>
      <w:szCs w:val="20"/>
    </w:rPr>
  </w:style>
  <w:style w:type="character" w:customStyle="1" w:styleId="CommentTextChar">
    <w:name w:val="Comment Text Char"/>
    <w:aliases w:val="- H19 Char"/>
    <w:basedOn w:val="DefaultParagraphFont"/>
    <w:link w:val="CommentText"/>
    <w:uiPriority w:val="99"/>
    <w:rsid w:val="00F95F0A"/>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F95F0A"/>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uiPriority w:val="35"/>
    <w:rsid w:val="00EE3172"/>
    <w:rPr>
      <w:rFonts w:ascii="Arial Narrow" w:hAnsi="Arial Narrow"/>
      <w:b/>
      <w:iCs/>
      <w:sz w:val="20"/>
      <w:szCs w:val="18"/>
    </w:rPr>
  </w:style>
  <w:style w:type="paragraph" w:customStyle="1" w:styleId="TableFooter">
    <w:name w:val="Table Footer"/>
    <w:basedOn w:val="Normal"/>
    <w:link w:val="TableFooterChar"/>
    <w:uiPriority w:val="1"/>
    <w:qFormat/>
    <w:rsid w:val="00140A20"/>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uiPriority w:val="1"/>
    <w:rsid w:val="00F95F0A"/>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F95F0A"/>
    <w:rPr>
      <w:sz w:val="24"/>
    </w:rPr>
  </w:style>
  <w:style w:type="paragraph" w:styleId="Footer">
    <w:name w:val="footer"/>
    <w:aliases w:val="Page 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aliases w:val="Page Footer Char"/>
    <w:basedOn w:val="DefaultParagraphFont"/>
    <w:link w:val="Footer"/>
    <w:uiPriority w:val="99"/>
    <w:rsid w:val="00F95F0A"/>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BodyText">
    <w:name w:val="Body Text"/>
    <w:basedOn w:val="Normal"/>
    <w:link w:val="BodyTextChar"/>
    <w:uiPriority w:val="3"/>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uiPriority w:val="3"/>
    <w:rsid w:val="00F95F0A"/>
    <w:rPr>
      <w:rFonts w:ascii="Arial" w:eastAsia="Times New Roman" w:hAnsi="Arial" w:cs="Arial"/>
      <w:snapToGrid w:val="0"/>
      <w:szCs w:val="20"/>
    </w:rPr>
  </w:style>
  <w:style w:type="paragraph" w:styleId="NoSpacing">
    <w:name w:val="No Spacing"/>
    <w:uiPriority w:val="10"/>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0062E0"/>
    <w:pPr>
      <w:widowControl w:val="0"/>
      <w:tabs>
        <w:tab w:val="right" w:pos="1134"/>
        <w:tab w:val="right" w:leader="dot" w:pos="9015"/>
      </w:tabs>
      <w:spacing w:after="0"/>
      <w:ind w:left="879"/>
    </w:pPr>
    <w:rPr>
      <w:rFonts w:ascii="Arial" w:eastAsia="Times New Roman" w:hAnsi="Arial" w:cs="Arial"/>
      <w:snapToGrid w:val="0"/>
      <w:sz w:val="20"/>
      <w:szCs w:val="20"/>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ES Paragraph Char,PBAC ES Paragraph Char,BulletPoints Char"/>
    <w:basedOn w:val="DefaultParagraphFont"/>
    <w:link w:val="ListParagraph"/>
    <w:uiPriority w:val="72"/>
    <w:locked/>
    <w:rsid w:val="00133B1C"/>
    <w:rPr>
      <w:color w:val="000000" w:themeColor="text1"/>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uiPriority w:val="3"/>
    <w:rsid w:val="00E46AC9"/>
    <w:pPr>
      <w:numPr>
        <w:numId w:val="4"/>
      </w:numPr>
      <w:spacing w:before="0" w:after="240"/>
      <w:ind w:left="357" w:hanging="357"/>
    </w:pPr>
    <w:rPr>
      <w:sz w:val="22"/>
    </w:rPr>
  </w:style>
  <w:style w:type="character" w:customStyle="1" w:styleId="StyleArial11pt">
    <w:name w:val="Style Arial 11 pt"/>
    <w:basedOn w:val="DefaultParagraphFont"/>
    <w:uiPriority w:val="3"/>
    <w:rsid w:val="00E2761D"/>
    <w:rPr>
      <w:rFonts w:ascii="Arial" w:hAnsi="Arial"/>
      <w:sz w:val="22"/>
    </w:rPr>
  </w:style>
  <w:style w:type="paragraph" w:customStyle="1" w:styleId="ESHeading1">
    <w:name w:val="ES Heading 1"/>
    <w:basedOn w:val="Heading1"/>
    <w:next w:val="Heading1"/>
    <w:uiPriority w:val="2"/>
    <w:qFormat/>
    <w:rsid w:val="00EA1417"/>
    <w:pPr>
      <w:numPr>
        <w:numId w:val="2"/>
      </w:numPr>
      <w:spacing w:before="240" w:line="240" w:lineRule="auto"/>
    </w:pPr>
    <w:rPr>
      <w:rFonts w:eastAsia="Times New Roman" w:cs="Arial"/>
      <w:snapToGrid w:val="0"/>
      <w:szCs w:val="32"/>
    </w:rPr>
  </w:style>
  <w:style w:type="paragraph" w:customStyle="1" w:styleId="Default">
    <w:name w:val="Default"/>
    <w:uiPriority w:val="3"/>
    <w:rsid w:val="00770966"/>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F95F0A"/>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C934DC"/>
    <w:rPr>
      <w:rFonts w:ascii="Arial" w:eastAsiaTheme="majorEastAsia" w:hAnsi="Arial" w:cstheme="majorBidi"/>
      <w:b/>
      <w:i/>
      <w:snapToGrid w:val="0"/>
      <w:sz w:val="28"/>
      <w:szCs w:val="28"/>
    </w:rPr>
  </w:style>
  <w:style w:type="paragraph" w:customStyle="1" w:styleId="Comment">
    <w:name w:val="Comment"/>
    <w:basedOn w:val="Normal"/>
    <w:link w:val="CommentChar"/>
    <w:uiPriority w:val="3"/>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3"/>
    <w:rsid w:val="00F95F0A"/>
    <w:rPr>
      <w:rFonts w:ascii="Calibri" w:eastAsia="Times New Roman" w:hAnsi="Calibri" w:cs="Tahoma"/>
      <w:i/>
      <w:color w:val="C00000"/>
      <w:lang w:eastAsia="en-AU"/>
    </w:rPr>
  </w:style>
  <w:style w:type="character" w:customStyle="1" w:styleId="TableTextChar">
    <w:name w:val="Table Text Char"/>
    <w:link w:val="TableText"/>
    <w:rsid w:val="00F95F0A"/>
    <w:rPr>
      <w:rFonts w:ascii="Arial Narrow" w:hAnsi="Arial Narrow"/>
      <w:sz w:val="20"/>
    </w:rPr>
  </w:style>
  <w:style w:type="paragraph" w:customStyle="1" w:styleId="Guidelines">
    <w:name w:val="Guidelines"/>
    <w:basedOn w:val="Normal"/>
    <w:link w:val="GuidelinesChar"/>
    <w:uiPriority w:val="3"/>
    <w:rsid w:val="00644B1E"/>
    <w:pPr>
      <w:spacing w:before="0" w:after="240" w:line="312" w:lineRule="auto"/>
    </w:pPr>
    <w:rPr>
      <w:rFonts w:ascii="Calibri" w:eastAsia="Times New Roman" w:hAnsi="Calibri" w:cs="Tahoma"/>
      <w:vanish/>
      <w:color w:val="C00000"/>
      <w:sz w:val="22"/>
      <w:lang w:eastAsia="en-AU"/>
    </w:rPr>
  </w:style>
  <w:style w:type="character" w:customStyle="1" w:styleId="GuidelinesChar">
    <w:name w:val="Guidelines Char"/>
    <w:basedOn w:val="DefaultParagraphFont"/>
    <w:link w:val="Guidelines"/>
    <w:uiPriority w:val="3"/>
    <w:rsid w:val="00F95F0A"/>
    <w:rPr>
      <w:rFonts w:ascii="Calibri" w:eastAsia="Times New Roman" w:hAnsi="Calibri" w:cs="Tahoma"/>
      <w:vanish/>
      <w:color w:val="C00000"/>
      <w:lang w:eastAsia="en-AU"/>
    </w:rPr>
  </w:style>
  <w:style w:type="paragraph" w:customStyle="1" w:styleId="AttachmentHeading">
    <w:name w:val="Attachment Heading"/>
    <w:basedOn w:val="Heading1"/>
    <w:next w:val="Normal"/>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GB"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1">
    <w:name w:val="List Table 1 Light1"/>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4B0FD3"/>
    <w:pPr>
      <w:numPr>
        <w:numId w:val="6"/>
      </w:numPr>
      <w:contextualSpacing/>
      <w:jc w:val="left"/>
    </w:pPr>
    <w:rPr>
      <w:rFonts w:ascii="Calibri" w:hAnsi="Calibri"/>
    </w:rPr>
  </w:style>
  <w:style w:type="paragraph" w:customStyle="1" w:styleId="ESHeading2">
    <w:name w:val="ES Heading 2"/>
    <w:basedOn w:val="Heading2"/>
    <w:link w:val="ESHeading2Char"/>
    <w:uiPriority w:val="2"/>
    <w:qFormat/>
    <w:rsid w:val="00E54ACA"/>
    <w:pPr>
      <w:numPr>
        <w:ilvl w:val="2"/>
        <w:numId w:val="2"/>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4B0FD3"/>
    <w:rPr>
      <w:rFonts w:ascii="Calibri" w:hAnsi="Calibri"/>
      <w:color w:val="0070C0"/>
      <w:sz w:val="24"/>
    </w:rPr>
  </w:style>
  <w:style w:type="character" w:customStyle="1" w:styleId="ESHeading2Char">
    <w:name w:val="ES Heading 2 Char"/>
    <w:basedOn w:val="Heading2Char"/>
    <w:link w:val="ESHeading2"/>
    <w:uiPriority w:val="2"/>
    <w:rsid w:val="00F95F0A"/>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3"/>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ESHeadingCAPS">
    <w:name w:val="ES Heading CAPS"/>
    <w:basedOn w:val="ESHeading2"/>
    <w:link w:val="ESHeadingCAPSChar"/>
    <w:uiPriority w:val="2"/>
    <w:qFormat/>
    <w:rsid w:val="00BC1ECD"/>
    <w:pPr>
      <w:numPr>
        <w:ilvl w:val="1"/>
      </w:numPr>
    </w:pPr>
    <w:rPr>
      <w:i w:val="0"/>
      <w:smallCaps/>
      <w:sz w:val="32"/>
    </w:rPr>
  </w:style>
  <w:style w:type="paragraph" w:customStyle="1" w:styleId="ESHeading3">
    <w:name w:val="ES Heading 3"/>
    <w:basedOn w:val="ESHeading2"/>
    <w:link w:val="ESHeading3Char"/>
    <w:uiPriority w:val="2"/>
    <w:qFormat/>
    <w:rsid w:val="00396339"/>
    <w:pPr>
      <w:numPr>
        <w:ilvl w:val="3"/>
      </w:numPr>
    </w:pPr>
    <w:rPr>
      <w:i w:val="0"/>
      <w:sz w:val="24"/>
    </w:rPr>
  </w:style>
  <w:style w:type="character" w:customStyle="1" w:styleId="ESHeadingCAPSChar">
    <w:name w:val="ES Heading CAPS Char"/>
    <w:basedOn w:val="ESHeading2Char"/>
    <w:link w:val="ESHeadingCAPS"/>
    <w:uiPriority w:val="2"/>
    <w:rsid w:val="00F95F0A"/>
    <w:rPr>
      <w:rFonts w:asciiTheme="majorHAnsi" w:eastAsiaTheme="majorEastAsia" w:hAnsiTheme="majorHAnsi" w:cstheme="majorBidi"/>
      <w:b/>
      <w:i w:val="0"/>
      <w:smallCaps/>
      <w:snapToGrid w:val="0"/>
      <w:sz w:val="32"/>
      <w:szCs w:val="28"/>
    </w:rPr>
  </w:style>
  <w:style w:type="paragraph" w:customStyle="1" w:styleId="Paragraphheading1">
    <w:name w:val="Paragraph heading 1"/>
    <w:uiPriority w:val="3"/>
    <w:rsid w:val="00396339"/>
    <w:pPr>
      <w:spacing w:after="0" w:line="240" w:lineRule="auto"/>
      <w:ind w:left="720" w:hanging="720"/>
    </w:pPr>
    <w:rPr>
      <w:rFonts w:asciiTheme="majorHAnsi" w:eastAsia="Times New Roman" w:hAnsiTheme="majorHAnsi" w:cs="Arial"/>
      <w:i/>
      <w:snapToGrid w:val="0"/>
      <w:sz w:val="32"/>
      <w:szCs w:val="32"/>
    </w:rPr>
  </w:style>
  <w:style w:type="character" w:customStyle="1" w:styleId="ESHeading3Char">
    <w:name w:val="ES Heading 3 Char"/>
    <w:basedOn w:val="ESHeading2Char"/>
    <w:link w:val="ESHeading3"/>
    <w:uiPriority w:val="2"/>
    <w:rsid w:val="00F95F0A"/>
    <w:rPr>
      <w:rFonts w:asciiTheme="majorHAnsi" w:eastAsiaTheme="majorEastAsia" w:hAnsiTheme="majorHAnsi" w:cstheme="majorBidi"/>
      <w:b/>
      <w:i w:val="0"/>
      <w:snapToGrid w:val="0"/>
      <w:sz w:val="24"/>
      <w:szCs w:val="28"/>
    </w:rPr>
  </w:style>
  <w:style w:type="paragraph" w:customStyle="1" w:styleId="Level1">
    <w:name w:val="Level 1"/>
    <w:basedOn w:val="Normal"/>
    <w:uiPriority w:val="3"/>
    <w:rsid w:val="001059D6"/>
  </w:style>
  <w:style w:type="paragraph" w:customStyle="1" w:styleId="ESParagraphDotpoint">
    <w:name w:val="ES Paragraph Dotpoint"/>
    <w:basedOn w:val="ListParagraph"/>
    <w:link w:val="ESParagraphDotpointChar"/>
    <w:uiPriority w:val="2"/>
    <w:qFormat/>
    <w:rsid w:val="00F72BB2"/>
    <w:pPr>
      <w:numPr>
        <w:ilvl w:val="0"/>
        <w:numId w:val="1"/>
      </w:numPr>
      <w:spacing w:before="0" w:after="0"/>
    </w:pPr>
  </w:style>
  <w:style w:type="character" w:customStyle="1" w:styleId="ESParagraphDotpointChar">
    <w:name w:val="ES Paragraph Dotpoint Char"/>
    <w:basedOn w:val="ListParagraphChar"/>
    <w:link w:val="ESParagraphDotpoint"/>
    <w:uiPriority w:val="2"/>
    <w:rsid w:val="00345E01"/>
    <w:rPr>
      <w:color w:val="000000" w:themeColor="text1"/>
      <w:sz w:val="24"/>
    </w:rPr>
  </w:style>
  <w:style w:type="paragraph" w:customStyle="1" w:styleId="AttachmentHeading2">
    <w:name w:val="Attachment Heading 2"/>
    <w:basedOn w:val="Heading2"/>
    <w:link w:val="AttachmentHeading2Char"/>
    <w:uiPriority w:val="3"/>
    <w:qFormat/>
    <w:rsid w:val="007109D8"/>
    <w:pPr>
      <w:numPr>
        <w:ilvl w:val="0"/>
        <w:numId w:val="0"/>
      </w:numPr>
    </w:pPr>
  </w:style>
  <w:style w:type="character" w:customStyle="1" w:styleId="AttachmentHeading2Char">
    <w:name w:val="Attachment Heading 2 Char"/>
    <w:basedOn w:val="Heading2Char"/>
    <w:link w:val="Attachment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bletextChar1">
    <w:name w:val="Table text Char1"/>
    <w:basedOn w:val="DefaultParagraphFont"/>
    <w:link w:val="Tabletext0"/>
    <w:locked/>
    <w:rsid w:val="005D697E"/>
    <w:rPr>
      <w:rFonts w:ascii="Arial" w:eastAsia="Times New Roman" w:hAnsi="Arial" w:cs="Times New Roman"/>
      <w:sz w:val="20"/>
      <w:szCs w:val="20"/>
    </w:rPr>
  </w:style>
  <w:style w:type="paragraph" w:customStyle="1" w:styleId="Tabletext0">
    <w:name w:val="Table text"/>
    <w:basedOn w:val="Normal"/>
    <w:link w:val="TabletextChar1"/>
    <w:qFormat/>
    <w:rsid w:val="005D697E"/>
    <w:pPr>
      <w:spacing w:before="0" w:after="120"/>
    </w:pPr>
    <w:rPr>
      <w:rFonts w:ascii="Arial" w:eastAsia="Times New Roman" w:hAnsi="Arial" w:cs="Times New Roman"/>
      <w:sz w:val="20"/>
      <w:szCs w:val="20"/>
    </w:rPr>
  </w:style>
  <w:style w:type="character" w:styleId="HTMLCite">
    <w:name w:val="HTML Cite"/>
    <w:basedOn w:val="DefaultParagraphFont"/>
    <w:uiPriority w:val="99"/>
    <w:semiHidden/>
    <w:unhideWhenUsed/>
    <w:rsid w:val="00D61F15"/>
    <w:rPr>
      <w:i/>
      <w:iCs/>
    </w:rPr>
  </w:style>
  <w:style w:type="paragraph" w:customStyle="1" w:styleId="Heading2Clinical">
    <w:name w:val="Heading 2 Clinical"/>
    <w:basedOn w:val="Heading3"/>
    <w:link w:val="Heading2ClinicalChar"/>
    <w:qFormat/>
    <w:rsid w:val="00211340"/>
    <w:pPr>
      <w:numPr>
        <w:ilvl w:val="4"/>
      </w:numPr>
      <w:tabs>
        <w:tab w:val="left" w:pos="1418"/>
      </w:tabs>
    </w:pPr>
  </w:style>
  <w:style w:type="character" w:customStyle="1" w:styleId="Heading2ClinicalChar">
    <w:name w:val="Heading 2 Clinical Char"/>
    <w:basedOn w:val="Heading4Char"/>
    <w:link w:val="Heading2Clinical"/>
    <w:rsid w:val="00211340"/>
    <w:rPr>
      <w:rFonts w:eastAsiaTheme="majorEastAsia" w:cstheme="majorBidi"/>
      <w:b/>
      <w:color w:val="000000" w:themeColor="text1"/>
      <w:sz w:val="28"/>
      <w:szCs w:val="28"/>
    </w:rPr>
  </w:style>
  <w:style w:type="character" w:customStyle="1" w:styleId="TableHeadingChar">
    <w:name w:val="Table Heading Char"/>
    <w:basedOn w:val="DefaultParagraphFont"/>
    <w:link w:val="TableHeading"/>
    <w:locked/>
    <w:rsid w:val="00A25521"/>
    <w:rPr>
      <w:rFonts w:ascii="Arial Narrow" w:hAnsi="Arial Narrow"/>
      <w:b/>
      <w:sz w:val="20"/>
    </w:rPr>
  </w:style>
  <w:style w:type="paragraph" w:customStyle="1" w:styleId="TableHeading">
    <w:name w:val="Table Heading"/>
    <w:basedOn w:val="Normal"/>
    <w:link w:val="TableHeadingChar"/>
    <w:qFormat/>
    <w:rsid w:val="00A25521"/>
    <w:pPr>
      <w:keepNext/>
      <w:spacing w:before="0" w:after="60"/>
    </w:pPr>
    <w:rPr>
      <w:rFonts w:ascii="Arial Narrow" w:hAnsi="Arial Narrow"/>
      <w:b/>
      <w:sz w:val="20"/>
    </w:rPr>
  </w:style>
  <w:style w:type="paragraph" w:styleId="BodyText2">
    <w:name w:val="Body Text 2"/>
    <w:basedOn w:val="Normal"/>
    <w:link w:val="BodyText2Char"/>
    <w:uiPriority w:val="9"/>
    <w:unhideWhenUsed/>
    <w:rsid w:val="00A25521"/>
    <w:pPr>
      <w:jc w:val="center"/>
    </w:pPr>
    <w:rPr>
      <w:color w:val="FFFFFF" w:themeColor="background1"/>
      <w:sz w:val="20"/>
    </w:rPr>
  </w:style>
  <w:style w:type="character" w:customStyle="1" w:styleId="BodyText2Char">
    <w:name w:val="Body Text 2 Char"/>
    <w:basedOn w:val="DefaultParagraphFont"/>
    <w:link w:val="BodyText2"/>
    <w:uiPriority w:val="9"/>
    <w:rsid w:val="00A25521"/>
    <w:rPr>
      <w:color w:val="FFFFFF" w:themeColor="background1"/>
      <w:sz w:val="20"/>
    </w:rPr>
  </w:style>
  <w:style w:type="character" w:customStyle="1" w:styleId="TablenotesChar">
    <w:name w:val="Tablenotes Char"/>
    <w:basedOn w:val="DefaultParagraphFont"/>
    <w:link w:val="Tablenotes"/>
    <w:locked/>
    <w:rsid w:val="00B16471"/>
    <w:rPr>
      <w:rFonts w:ascii="Arial Narrow" w:eastAsia="Times New Roman" w:hAnsi="Arial Narrow" w:cs="Arial"/>
      <w:sz w:val="18"/>
      <w:szCs w:val="20"/>
    </w:rPr>
  </w:style>
  <w:style w:type="paragraph" w:customStyle="1" w:styleId="Tablenotes">
    <w:name w:val="Tablenotes"/>
    <w:basedOn w:val="Normal"/>
    <w:link w:val="TablenotesChar"/>
    <w:rsid w:val="00B16471"/>
    <w:pPr>
      <w:widowControl w:val="0"/>
      <w:snapToGrid w:val="0"/>
      <w:spacing w:before="0" w:after="120"/>
      <w:contextualSpacing/>
    </w:pPr>
    <w:rPr>
      <w:rFonts w:ascii="Arial Narrow" w:eastAsia="Times New Roman" w:hAnsi="Arial Narrow" w:cs="Arial"/>
      <w:sz w:val="18"/>
      <w:szCs w:val="20"/>
    </w:rPr>
  </w:style>
  <w:style w:type="paragraph" w:styleId="BodyText3">
    <w:name w:val="Body Text 3"/>
    <w:basedOn w:val="Normal"/>
    <w:link w:val="BodyText3Char"/>
    <w:uiPriority w:val="9"/>
    <w:unhideWhenUsed/>
    <w:rsid w:val="00A34EFE"/>
    <w:rPr>
      <w:i/>
    </w:rPr>
  </w:style>
  <w:style w:type="character" w:customStyle="1" w:styleId="BodyText3Char">
    <w:name w:val="Body Text 3 Char"/>
    <w:basedOn w:val="DefaultParagraphFont"/>
    <w:link w:val="BodyText3"/>
    <w:uiPriority w:val="9"/>
    <w:rsid w:val="00A34EFE"/>
    <w:rPr>
      <w:i/>
      <w:sz w:val="24"/>
    </w:rPr>
  </w:style>
  <w:style w:type="table" w:customStyle="1" w:styleId="AZTable">
    <w:name w:val="AZ Table"/>
    <w:basedOn w:val="TableNormal"/>
    <w:uiPriority w:val="99"/>
    <w:rsid w:val="0020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Summarybox1">
    <w:name w:val="Summary box1"/>
    <w:basedOn w:val="TableNormal"/>
    <w:next w:val="TableGrid"/>
    <w:uiPriority w:val="59"/>
    <w:rsid w:val="00974C93"/>
    <w:pPr>
      <w:spacing w:after="0" w:line="36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link w:val="SourcesChar"/>
    <w:rsid w:val="00971B08"/>
    <w:pPr>
      <w:spacing w:after="120"/>
      <w:ind w:left="284" w:hanging="284"/>
    </w:pPr>
    <w:rPr>
      <w:rFonts w:ascii="Arial" w:hAnsi="Arial"/>
      <w:sz w:val="16"/>
    </w:rPr>
  </w:style>
  <w:style w:type="character" w:customStyle="1" w:styleId="SourcesChar">
    <w:name w:val="Sources Char"/>
    <w:basedOn w:val="DefaultParagraphFont"/>
    <w:link w:val="Sources"/>
    <w:rsid w:val="00971B08"/>
    <w:rPr>
      <w:rFonts w:ascii="Arial" w:hAnsi="Arial"/>
      <w:sz w:val="16"/>
    </w:rPr>
  </w:style>
  <w:style w:type="paragraph" w:customStyle="1" w:styleId="TableBullet">
    <w:name w:val="Table Bullet"/>
    <w:basedOn w:val="TableText"/>
    <w:rsid w:val="00971B08"/>
    <w:pPr>
      <w:widowControl/>
      <w:numPr>
        <w:numId w:val="10"/>
      </w:numPr>
      <w:spacing w:before="20" w:after="20" w:line="276" w:lineRule="auto"/>
    </w:pPr>
    <w:rPr>
      <w:rFonts w:eastAsiaTheme="majorEastAsia" w:cs="Arial"/>
      <w:szCs w:val="20"/>
      <w:lang w:eastAsia="en-AU" w:bidi="en-US"/>
    </w:rPr>
  </w:style>
  <w:style w:type="paragraph" w:customStyle="1" w:styleId="TableHeading0">
    <w:name w:val="TableHeading"/>
    <w:basedOn w:val="Caption"/>
    <w:link w:val="TableHeadingChar0"/>
    <w:rsid w:val="003A781F"/>
    <w:pPr>
      <w:tabs>
        <w:tab w:val="clear" w:pos="1134"/>
        <w:tab w:val="left" w:pos="0"/>
      </w:tabs>
      <w:spacing w:before="120" w:after="40"/>
      <w:contextualSpacing w:val="0"/>
    </w:pPr>
  </w:style>
  <w:style w:type="character" w:customStyle="1" w:styleId="TableHeadingChar0">
    <w:name w:val="TableHeading Char"/>
    <w:link w:val="TableHeading0"/>
    <w:rsid w:val="003A781F"/>
    <w:rPr>
      <w:rFonts w:ascii="Arial Narrow" w:hAnsi="Arial Narrow"/>
      <w:b/>
      <w:iCs/>
      <w:sz w:val="20"/>
      <w:szCs w:val="18"/>
    </w:rPr>
  </w:style>
  <w:style w:type="table" w:customStyle="1" w:styleId="Summarybox2">
    <w:name w:val="Summary box2"/>
    <w:basedOn w:val="TableNormal"/>
    <w:next w:val="TableGrid"/>
    <w:uiPriority w:val="59"/>
    <w:rsid w:val="00701ABC"/>
    <w:pPr>
      <w:spacing w:after="0" w:line="36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7A3110"/>
    <w:pPr>
      <w:spacing w:before="200" w:after="120" w:line="240" w:lineRule="auto"/>
    </w:pPr>
    <w:rPr>
      <w:rFonts w:ascii="Arial" w:eastAsia="Times New Roman" w:hAnsi="Arial" w:cs="Arial"/>
      <w:b/>
      <w:snapToGrid w:val="0"/>
    </w:rPr>
  </w:style>
  <w:style w:type="paragraph" w:customStyle="1" w:styleId="PBACheading10">
    <w:name w:val="PBAC heading 1"/>
    <w:uiPriority w:val="3"/>
    <w:rsid w:val="007A3110"/>
    <w:pPr>
      <w:spacing w:after="0" w:line="240" w:lineRule="auto"/>
      <w:ind w:left="720" w:hanging="720"/>
    </w:pPr>
    <w:rPr>
      <w:rFonts w:ascii="Arial" w:eastAsia="Times New Roman" w:hAnsi="Arial" w:cs="Arial"/>
      <w:snapToGrid w:val="0"/>
    </w:rPr>
  </w:style>
  <w:style w:type="paragraph" w:customStyle="1" w:styleId="TableHeader">
    <w:name w:val="Table Header"/>
    <w:basedOn w:val="Normal"/>
    <w:next w:val="Normal"/>
    <w:uiPriority w:val="3"/>
    <w:rsid w:val="007A3110"/>
    <w:pPr>
      <w:widowControl w:val="0"/>
      <w:spacing w:before="0" w:after="0"/>
    </w:pPr>
    <w:rPr>
      <w:rFonts w:ascii="Arial Narrow" w:eastAsia="Times New Roman" w:hAnsi="Arial Narrow" w:cs="Arial"/>
      <w:b/>
      <w:snapToGrid w:val="0"/>
      <w:sz w:val="20"/>
      <w:szCs w:val="20"/>
    </w:rPr>
  </w:style>
  <w:style w:type="character" w:customStyle="1" w:styleId="blackbold">
    <w:name w:val="blackbold"/>
    <w:basedOn w:val="DefaultParagraphFont"/>
    <w:rsid w:val="007A3110"/>
  </w:style>
  <w:style w:type="paragraph" w:customStyle="1" w:styleId="EndNoteBibliographyTitle">
    <w:name w:val="EndNote Bibliography Title"/>
    <w:basedOn w:val="Normal"/>
    <w:link w:val="EndNoteBibliographyTitleChar"/>
    <w:rsid w:val="007A3110"/>
    <w:pPr>
      <w:spacing w:after="0"/>
      <w:jc w:val="center"/>
    </w:pPr>
    <w:rPr>
      <w:rFonts w:ascii="Calibri" w:eastAsia="Times New Roman" w:hAnsi="Calibri" w:cs="Arial"/>
      <w:noProof/>
      <w:sz w:val="22"/>
      <w:szCs w:val="20"/>
      <w:lang w:val="en-US"/>
    </w:rPr>
  </w:style>
  <w:style w:type="character" w:customStyle="1" w:styleId="EndNoteBibliographyTitleChar">
    <w:name w:val="EndNote Bibliography Title Char"/>
    <w:basedOn w:val="TableFooterChar"/>
    <w:link w:val="EndNoteBibliographyTitle"/>
    <w:rsid w:val="007A3110"/>
    <w:rPr>
      <w:rFonts w:ascii="Calibri" w:eastAsia="Times New Roman" w:hAnsi="Calibri" w:cs="Arial"/>
      <w:noProof/>
      <w:snapToGrid/>
      <w:sz w:val="18"/>
      <w:szCs w:val="20"/>
      <w:lang w:val="en-US"/>
    </w:rPr>
  </w:style>
  <w:style w:type="paragraph" w:customStyle="1" w:styleId="EndNoteBibliography">
    <w:name w:val="EndNote Bibliography"/>
    <w:basedOn w:val="Normal"/>
    <w:link w:val="EndNoteBibliographyChar"/>
    <w:rsid w:val="007A3110"/>
    <w:rPr>
      <w:rFonts w:ascii="Calibri" w:eastAsia="Times New Roman" w:hAnsi="Calibri" w:cs="Arial"/>
      <w:noProof/>
      <w:sz w:val="22"/>
      <w:szCs w:val="20"/>
      <w:lang w:val="en-US"/>
    </w:rPr>
  </w:style>
  <w:style w:type="character" w:customStyle="1" w:styleId="EndNoteBibliographyChar">
    <w:name w:val="EndNote Bibliography Char"/>
    <w:basedOn w:val="TableFooterChar"/>
    <w:link w:val="EndNoteBibliography"/>
    <w:rsid w:val="007A3110"/>
    <w:rPr>
      <w:rFonts w:ascii="Calibri" w:eastAsia="Times New Roman" w:hAnsi="Calibri" w:cs="Arial"/>
      <w:noProof/>
      <w:snapToGrid/>
      <w:sz w:val="18"/>
      <w:szCs w:val="20"/>
      <w:lang w:val="en-US"/>
    </w:rPr>
  </w:style>
  <w:style w:type="paragraph" w:customStyle="1" w:styleId="TableNotes0">
    <w:name w:val="TableNotes"/>
    <w:basedOn w:val="Normal"/>
    <w:rsid w:val="00161BD2"/>
    <w:pPr>
      <w:spacing w:before="0" w:after="60"/>
    </w:pPr>
    <w:rPr>
      <w:sz w:val="20"/>
    </w:rPr>
  </w:style>
  <w:style w:type="character" w:styleId="Emphasis">
    <w:name w:val="Emphasis"/>
    <w:basedOn w:val="DefaultParagraphFont"/>
    <w:uiPriority w:val="20"/>
    <w:qFormat/>
    <w:rsid w:val="00161BD2"/>
    <w:rPr>
      <w:b w:val="0"/>
      <w:i/>
      <w:iCs/>
    </w:rPr>
  </w:style>
  <w:style w:type="table" w:customStyle="1" w:styleId="TableGridbeth7">
    <w:name w:val="Table Gridbeth7"/>
    <w:basedOn w:val="TableNormal"/>
    <w:next w:val="TableGrid"/>
    <w:uiPriority w:val="59"/>
    <w:rsid w:val="00F8275A"/>
    <w:pPr>
      <w:spacing w:after="0" w:line="240" w:lineRule="auto"/>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ESHeading1">
    <w:name w:val="PBAC ES Heading 1"/>
    <w:basedOn w:val="Heading1"/>
    <w:next w:val="Normal"/>
    <w:link w:val="PBACESHeading1Char"/>
    <w:uiPriority w:val="2"/>
    <w:qFormat/>
    <w:rsid w:val="003657A4"/>
    <w:pPr>
      <w:numPr>
        <w:numId w:val="0"/>
      </w:numPr>
      <w:spacing w:before="240" w:line="240" w:lineRule="auto"/>
      <w:ind w:left="720" w:hanging="720"/>
    </w:pPr>
    <w:rPr>
      <w:rFonts w:eastAsia="Times New Roman" w:cs="Arial"/>
      <w:snapToGrid w:val="0"/>
      <w:szCs w:val="32"/>
    </w:rPr>
  </w:style>
  <w:style w:type="paragraph" w:customStyle="1" w:styleId="PBACESHeading2">
    <w:name w:val="PBAC ES Heading 2"/>
    <w:basedOn w:val="Heading2"/>
    <w:link w:val="PBACESHeading2Char"/>
    <w:uiPriority w:val="2"/>
    <w:qFormat/>
    <w:rsid w:val="003657A4"/>
    <w:pPr>
      <w:numPr>
        <w:ilvl w:val="0"/>
        <w:numId w:val="0"/>
      </w:numPr>
      <w:ind w:left="720" w:hanging="720"/>
    </w:pPr>
    <w:rPr>
      <w:rFonts w:asciiTheme="majorHAnsi" w:hAnsiTheme="majorHAnsi"/>
    </w:rPr>
  </w:style>
  <w:style w:type="character" w:customStyle="1" w:styleId="PBACESHeading2Char">
    <w:name w:val="PBAC ES Heading 2 Char"/>
    <w:basedOn w:val="Heading2Char"/>
    <w:link w:val="PBACESHeading2"/>
    <w:uiPriority w:val="2"/>
    <w:rsid w:val="003657A4"/>
    <w:rPr>
      <w:rFonts w:asciiTheme="majorHAnsi" w:eastAsiaTheme="majorEastAsia" w:hAnsiTheme="majorHAnsi" w:cstheme="majorBidi"/>
      <w:b/>
      <w:i/>
      <w:snapToGrid w:val="0"/>
      <w:sz w:val="28"/>
      <w:szCs w:val="28"/>
    </w:rPr>
  </w:style>
  <w:style w:type="paragraph" w:customStyle="1" w:styleId="PBACESHeadingCAPS">
    <w:name w:val="PBAC ES Heading CAPS"/>
    <w:basedOn w:val="PBACESHeading2"/>
    <w:link w:val="PBACESHeadingCAPSChar"/>
    <w:uiPriority w:val="2"/>
    <w:qFormat/>
    <w:rsid w:val="003657A4"/>
    <w:rPr>
      <w:i w:val="0"/>
      <w:smallCaps/>
      <w:sz w:val="32"/>
    </w:rPr>
  </w:style>
  <w:style w:type="paragraph" w:customStyle="1" w:styleId="PBACESHeading3">
    <w:name w:val="PBAC ES Heading 3"/>
    <w:basedOn w:val="PBACESHeading2"/>
    <w:link w:val="PBACESHeading3Char"/>
    <w:uiPriority w:val="2"/>
    <w:qFormat/>
    <w:rsid w:val="003657A4"/>
    <w:pPr>
      <w:ind w:left="1080" w:hanging="1080"/>
    </w:pPr>
    <w:rPr>
      <w:i w:val="0"/>
      <w:sz w:val="24"/>
    </w:rPr>
  </w:style>
  <w:style w:type="character" w:customStyle="1" w:styleId="PBACESHeadingCAPSChar">
    <w:name w:val="PBAC ES Heading CAPS Char"/>
    <w:basedOn w:val="PBACESHeading2Char"/>
    <w:link w:val="PBACESHeadingCAPS"/>
    <w:uiPriority w:val="2"/>
    <w:rsid w:val="003657A4"/>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2"/>
    <w:rsid w:val="003657A4"/>
    <w:rPr>
      <w:rFonts w:asciiTheme="majorHAnsi" w:eastAsiaTheme="majorEastAsia" w:hAnsiTheme="majorHAnsi" w:cstheme="majorBidi"/>
      <w:b/>
      <w:i w:val="0"/>
      <w:snapToGrid w:val="0"/>
      <w:sz w:val="24"/>
      <w:szCs w:val="28"/>
    </w:rPr>
  </w:style>
  <w:style w:type="paragraph" w:customStyle="1" w:styleId="PBACESParagraphDotpoint">
    <w:name w:val="PBAC ES Paragraph Dotpoint"/>
    <w:basedOn w:val="ListParagraph"/>
    <w:link w:val="PBACESParagraphDotpointChar"/>
    <w:uiPriority w:val="2"/>
    <w:qFormat/>
    <w:rsid w:val="003657A4"/>
    <w:pPr>
      <w:numPr>
        <w:ilvl w:val="0"/>
        <w:numId w:val="0"/>
      </w:numPr>
      <w:spacing w:before="0" w:after="0"/>
      <w:ind w:left="1843" w:hanging="709"/>
    </w:pPr>
  </w:style>
  <w:style w:type="character" w:customStyle="1" w:styleId="PBACESParagraphDotpointChar">
    <w:name w:val="PBAC ES Paragraph Dotpoint Char"/>
    <w:basedOn w:val="ListParagraphChar"/>
    <w:link w:val="PBACESParagraphDotpoint"/>
    <w:uiPriority w:val="2"/>
    <w:rsid w:val="003657A4"/>
    <w:rPr>
      <w:color w:val="000000" w:themeColor="text1"/>
      <w:sz w:val="24"/>
    </w:rPr>
  </w:style>
  <w:style w:type="paragraph" w:customStyle="1" w:styleId="V50InstructionsBullets">
    <w:name w:val="V5.0 Instructions Bullets"/>
    <w:basedOn w:val="Normal"/>
    <w:qFormat/>
    <w:rsid w:val="003657A4"/>
    <w:pPr>
      <w:numPr>
        <w:numId w:val="11"/>
      </w:numPr>
      <w:spacing w:before="0" w:after="0"/>
      <w:ind w:left="714" w:hanging="357"/>
      <w:jc w:val="left"/>
    </w:pPr>
    <w:rPr>
      <w:color w:val="4472C4" w:themeColor="accent5"/>
    </w:rPr>
  </w:style>
  <w:style w:type="paragraph" w:customStyle="1" w:styleId="MSACESStyle">
    <w:name w:val="MSAC ES Style"/>
    <w:next w:val="Normal"/>
    <w:link w:val="MSACESStyleChar"/>
    <w:rsid w:val="003657A4"/>
    <w:rPr>
      <w:rFonts w:ascii="Arial" w:eastAsia="Times New Roman" w:hAnsi="Arial" w:cs="Arial"/>
      <w:b/>
      <w:iCs/>
      <w:sz w:val="28"/>
      <w:szCs w:val="18"/>
    </w:rPr>
  </w:style>
  <w:style w:type="paragraph" w:customStyle="1" w:styleId="MSACSubtitle">
    <w:name w:val="MSAC Subtitle"/>
    <w:basedOn w:val="Normal"/>
    <w:next w:val="Normal"/>
    <w:link w:val="MSACSubtitleChar"/>
    <w:qFormat/>
    <w:rsid w:val="003657A4"/>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2"/>
    <w:rsid w:val="003657A4"/>
    <w:rPr>
      <w:rFonts w:eastAsia="Times New Roman" w:cs="Arial"/>
      <w:b/>
      <w:snapToGrid w:val="0"/>
      <w:sz w:val="32"/>
      <w:szCs w:val="32"/>
    </w:rPr>
  </w:style>
  <w:style w:type="character" w:customStyle="1" w:styleId="MSACESStyleChar">
    <w:name w:val="MSAC ES Style Char"/>
    <w:basedOn w:val="PBACESHeading1Char"/>
    <w:link w:val="MSACESStyle"/>
    <w:rsid w:val="003657A4"/>
    <w:rPr>
      <w:rFonts w:ascii="Arial" w:eastAsia="Times New Roman" w:hAnsi="Arial" w:cs="Arial"/>
      <w:b/>
      <w:iCs/>
      <w:snapToGrid/>
      <w:sz w:val="28"/>
      <w:szCs w:val="18"/>
    </w:rPr>
  </w:style>
  <w:style w:type="character" w:customStyle="1" w:styleId="MSACSubtitleChar">
    <w:name w:val="MSAC Subtitle Char"/>
    <w:basedOn w:val="DefaultParagraphFont"/>
    <w:link w:val="MSACSubtitle"/>
    <w:rsid w:val="003657A4"/>
    <w:rPr>
      <w:rFonts w:ascii="Arial" w:hAnsi="Arial"/>
      <w:b/>
      <w:i/>
      <w:color w:val="000080"/>
      <w:sz w:val="28"/>
    </w:rPr>
  </w:style>
  <w:style w:type="paragraph" w:customStyle="1" w:styleId="MSACHeading1">
    <w:name w:val="MSAC Heading 1"/>
    <w:basedOn w:val="Heading1"/>
    <w:next w:val="MSACESParagraph"/>
    <w:link w:val="MSACHeading1Char"/>
    <w:qFormat/>
    <w:rsid w:val="003657A4"/>
    <w:pPr>
      <w:numPr>
        <w:ilvl w:val="5"/>
        <w:numId w:val="2"/>
      </w:numPr>
      <w:spacing w:before="160" w:after="240"/>
    </w:pPr>
    <w:rPr>
      <w:rFonts w:ascii="Arial" w:hAnsi="Arial"/>
      <w:sz w:val="24"/>
    </w:rPr>
  </w:style>
  <w:style w:type="paragraph" w:customStyle="1" w:styleId="MSACESParagraph">
    <w:name w:val="MSAC ES Paragraph"/>
    <w:link w:val="MSACESParagraphChar"/>
    <w:qFormat/>
    <w:rsid w:val="003657A4"/>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rsid w:val="003657A4"/>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qFormat/>
    <w:rsid w:val="003657A4"/>
    <w:pPr>
      <w:numPr>
        <w:ilvl w:val="6"/>
        <w:numId w:val="2"/>
      </w:numPr>
    </w:pPr>
    <w:rPr>
      <w:rFonts w:ascii="Cambria" w:hAnsi="Cambria"/>
      <w:i w:val="0"/>
      <w:sz w:val="24"/>
    </w:rPr>
  </w:style>
  <w:style w:type="paragraph" w:customStyle="1" w:styleId="MSACESBulletpoint">
    <w:name w:val="MSAC ES Bulletpoint"/>
    <w:basedOn w:val="MSACESParagraph"/>
    <w:link w:val="MSACESBulletpointChar"/>
    <w:qFormat/>
    <w:rsid w:val="003657A4"/>
    <w:pPr>
      <w:numPr>
        <w:numId w:val="12"/>
      </w:numPr>
      <w:contextualSpacing/>
    </w:pPr>
  </w:style>
  <w:style w:type="character" w:customStyle="1" w:styleId="MSACESHeading2Char">
    <w:name w:val="MSAC ES Heading 2 Char"/>
    <w:basedOn w:val="DefaultParagraphFont"/>
    <w:link w:val="MSACESHeading2"/>
    <w:rsid w:val="003657A4"/>
    <w:rPr>
      <w:rFonts w:ascii="Cambria" w:eastAsiaTheme="majorEastAsia" w:hAnsi="Cambria" w:cstheme="majorBidi"/>
      <w:b/>
      <w:snapToGrid w:val="0"/>
      <w:sz w:val="24"/>
      <w:szCs w:val="28"/>
    </w:rPr>
  </w:style>
  <w:style w:type="character" w:customStyle="1" w:styleId="TabletextChar0">
    <w:name w:val="Table text Char"/>
    <w:rsid w:val="003657A4"/>
    <w:rPr>
      <w:rFonts w:ascii="Arial Narrow" w:hAnsi="Arial Narrow" w:cs="Tahoma"/>
    </w:rPr>
  </w:style>
  <w:style w:type="character" w:customStyle="1" w:styleId="MSACESParagraphChar">
    <w:name w:val="MSAC ES Paragraph Char"/>
    <w:basedOn w:val="DefaultParagraphFont"/>
    <w:link w:val="MSACESParagraph"/>
    <w:rsid w:val="003657A4"/>
    <w:rPr>
      <w:rFonts w:ascii="Times New Roman" w:hAnsi="Times New Roman"/>
      <w:sz w:val="24"/>
    </w:rPr>
  </w:style>
  <w:style w:type="character" w:customStyle="1" w:styleId="MSACESBulletpointChar">
    <w:name w:val="MSAC ES Bulletpoint Char"/>
    <w:basedOn w:val="MSACESParagraphChar"/>
    <w:link w:val="MSACESBulletpoint"/>
    <w:rsid w:val="003657A4"/>
    <w:rPr>
      <w:rFonts w:ascii="Times New Roman" w:hAnsi="Times New Roman"/>
      <w:sz w:val="24"/>
    </w:rPr>
  </w:style>
  <w:style w:type="paragraph" w:customStyle="1" w:styleId="Tablecaption">
    <w:name w:val="Table caption"/>
    <w:basedOn w:val="Normal"/>
    <w:link w:val="TablecaptionChar"/>
    <w:rsid w:val="003657A4"/>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3657A4"/>
    <w:rPr>
      <w:rFonts w:ascii="Arial Narrow" w:eastAsia="Times New Roman" w:hAnsi="Arial Narrow" w:cs="Arial"/>
      <w:sz w:val="20"/>
      <w:szCs w:val="20"/>
    </w:rPr>
  </w:style>
  <w:style w:type="paragraph" w:customStyle="1" w:styleId="Tabletextright">
    <w:name w:val="Table text right"/>
    <w:basedOn w:val="Normal"/>
    <w:link w:val="TabletextrightChar"/>
    <w:qFormat/>
    <w:rsid w:val="003657A4"/>
    <w:pPr>
      <w:keepNext/>
      <w:spacing w:before="0" w:after="0"/>
      <w:jc w:val="right"/>
    </w:pPr>
    <w:rPr>
      <w:rFonts w:ascii="Arial Narrow" w:eastAsia="Times New Roman" w:hAnsi="Arial Narrow" w:cs="Arial"/>
      <w:sz w:val="20"/>
      <w:szCs w:val="20"/>
    </w:rPr>
  </w:style>
  <w:style w:type="character" w:customStyle="1" w:styleId="TabletextrightChar">
    <w:name w:val="Table text right Char"/>
    <w:basedOn w:val="DefaultParagraphFont"/>
    <w:link w:val="Tabletextright"/>
    <w:rsid w:val="003657A4"/>
    <w:rPr>
      <w:rFonts w:ascii="Arial Narrow" w:eastAsia="Times New Roman" w:hAnsi="Arial Narrow" w:cs="Arial"/>
      <w:sz w:val="20"/>
      <w:szCs w:val="20"/>
    </w:rPr>
  </w:style>
  <w:style w:type="paragraph" w:styleId="EndnoteText">
    <w:name w:val="endnote text"/>
    <w:basedOn w:val="Normal"/>
    <w:link w:val="EndnoteTextChar"/>
    <w:uiPriority w:val="99"/>
    <w:semiHidden/>
    <w:unhideWhenUsed/>
    <w:rsid w:val="00133894"/>
    <w:pPr>
      <w:spacing w:before="0" w:after="0"/>
    </w:pPr>
    <w:rPr>
      <w:sz w:val="20"/>
      <w:szCs w:val="20"/>
    </w:rPr>
  </w:style>
  <w:style w:type="character" w:customStyle="1" w:styleId="EndnoteTextChar">
    <w:name w:val="Endnote Text Char"/>
    <w:basedOn w:val="DefaultParagraphFont"/>
    <w:link w:val="EndnoteText"/>
    <w:uiPriority w:val="99"/>
    <w:semiHidden/>
    <w:rsid w:val="00133894"/>
    <w:rPr>
      <w:sz w:val="20"/>
      <w:szCs w:val="20"/>
    </w:rPr>
  </w:style>
  <w:style w:type="character" w:styleId="EndnoteReference">
    <w:name w:val="endnote reference"/>
    <w:basedOn w:val="DefaultParagraphFont"/>
    <w:uiPriority w:val="99"/>
    <w:semiHidden/>
    <w:unhideWhenUsed/>
    <w:rsid w:val="00133894"/>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15237"/>
    <w:pPr>
      <w:spacing w:before="0" w:line="240" w:lineRule="exact"/>
      <w:jc w:val="left"/>
    </w:pPr>
    <w:rPr>
      <w:rFonts w:ascii="Verdana" w:eastAsia="MS Mincho" w:hAnsi="Verdana" w:cs="Verdana"/>
      <w:sz w:val="20"/>
      <w:szCs w:val="20"/>
      <w:lang w:val="en-US"/>
    </w:rPr>
  </w:style>
  <w:style w:type="paragraph" w:customStyle="1" w:styleId="V50Heading2nonumbers">
    <w:name w:val="V5.0 Heading 2 no numbers"/>
    <w:basedOn w:val="Heading2"/>
    <w:qFormat/>
    <w:rsid w:val="00612788"/>
    <w:pPr>
      <w:numPr>
        <w:ilvl w:val="0"/>
        <w:numId w:val="0"/>
      </w:numPr>
      <w:spacing w:before="240"/>
      <w:ind w:left="578" w:hanging="578"/>
    </w:pPr>
    <w:rPr>
      <w:rFonts w:asciiTheme="minorHAnsi" w:hAnsiTheme="minorHAnsi"/>
      <w:snapToGrid/>
    </w:rPr>
  </w:style>
  <w:style w:type="paragraph" w:styleId="DocumentMap">
    <w:name w:val="Document Map"/>
    <w:basedOn w:val="Normal"/>
    <w:link w:val="DocumentMapChar"/>
    <w:uiPriority w:val="99"/>
    <w:semiHidden/>
    <w:unhideWhenUsed/>
    <w:rsid w:val="00C71028"/>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C7102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5" w:qFormat="1"/>
    <w:lsdException w:name="heading 5" w:uiPriority="10"/>
    <w:lsdException w:name="heading 6" w:uiPriority="12" w:qFormat="1"/>
    <w:lsdException w:name="heading 7" w:uiPriority="12"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lsdException w:name="Default Paragraph Font" w:uiPriority="1"/>
    <w:lsdException w:name="Body Text" w:uiPriority="3"/>
    <w:lsdException w:name="Body Text Indent" w:uiPriority="9"/>
    <w:lsdException w:name="Subtitle" w:semiHidden="0" w:uiPriority="12" w:unhideWhenUsed="0"/>
    <w:lsdException w:name="Body Text 2" w:uiPriority="9"/>
    <w:lsdException w:name="Body Text 3" w:uiPriority="9"/>
    <w:lsdException w:name="Strong" w:semiHidden="0" w:uiPriority="25" w:unhideWhenUsed="0"/>
    <w:lsdException w:name="Emphasis" w:semiHidden="0" w:uiPriority="20" w:unhideWhenUsed="0" w:qFormat="1"/>
    <w:lsdException w:name="Balloon Text" w:uiPriority="9"/>
    <w:lsdException w:name="Table Grid" w:semiHidden="0" w:uiPriority="59" w:unhideWhenUsed="0"/>
    <w:lsdException w:name="Placeholder Text" w:unhideWhenUsed="0"/>
    <w:lsdException w:name="No Spacing" w:semiHidden="0"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32" w:unhideWhenUsed="0"/>
    <w:lsdException w:name="Intense Quote" w:semiHidden="0" w:uiPriority="33"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lsdException w:name="Intense Emphasis" w:semiHidden="0" w:uiPriority="24" w:unhideWhenUsed="0"/>
    <w:lsdException w:name="Subtle Reference" w:semiHidden="0" w:uiPriority="34" w:unhideWhenUsed="0"/>
    <w:lsdException w:name="Intense Reference" w:semiHidden="0" w:uiPriority="35" w:unhideWhenUsed="0"/>
    <w:lsdException w:name="Book Title" w:semiHidden="0" w:uiPriority="36" w:unhideWhenUsed="0"/>
    <w:lsdException w:name="Bibliography" w:uiPriority="37"/>
    <w:lsdException w:name="TOC Heading" w:uiPriority="42"/>
  </w:latentStyles>
  <w:style w:type="paragraph" w:default="1" w:styleId="Normal">
    <w:name w:val="Normal"/>
    <w:qFormat/>
    <w:rsid w:val="003D2757"/>
    <w:pPr>
      <w:spacing w:before="120" w:line="240" w:lineRule="auto"/>
      <w:jc w:val="both"/>
    </w:pPr>
    <w:rPr>
      <w:sz w:val="24"/>
    </w:rPr>
  </w:style>
  <w:style w:type="paragraph" w:styleId="Heading1">
    <w:name w:val="heading 1"/>
    <w:next w:val="Normal"/>
    <w:link w:val="Heading1Char"/>
    <w:uiPriority w:val="9"/>
    <w:qFormat/>
    <w:rsid w:val="005C2085"/>
    <w:pPr>
      <w:keepNext/>
      <w:keepLines/>
      <w:numPr>
        <w:numId w:val="5"/>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4A5746"/>
    <w:pPr>
      <w:keepNext/>
      <w:keepLines/>
      <w:numPr>
        <w:ilvl w:val="3"/>
        <w:numId w:val="5"/>
      </w:numPr>
      <w:spacing w:before="360" w:after="120"/>
      <w:ind w:left="864"/>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1"/>
    <w:qFormat/>
    <w:rsid w:val="00186307"/>
    <w:pPr>
      <w:keepNext/>
      <w:keepLines/>
      <w:numPr>
        <w:ilvl w:val="5"/>
        <w:numId w:val="5"/>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5"/>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unhideWhenUsed/>
    <w:rsid w:val="003B095E"/>
    <w:pPr>
      <w:numPr>
        <w:ilvl w:val="0"/>
        <w:numId w:val="0"/>
      </w:numPr>
      <w:outlineLvl w:val="4"/>
    </w:pPr>
  </w:style>
  <w:style w:type="paragraph" w:styleId="Heading6">
    <w:name w:val="heading 6"/>
    <w:aliases w:val="Heading 3 - Body"/>
    <w:basedOn w:val="Heading3"/>
    <w:next w:val="Normal"/>
    <w:link w:val="Heading6Char"/>
    <w:uiPriority w:val="12"/>
    <w:unhideWhenUsed/>
    <w:qFormat/>
    <w:rsid w:val="00624315"/>
    <w:pPr>
      <w:outlineLvl w:val="5"/>
    </w:pPr>
    <w:rPr>
      <w:sz w:val="24"/>
    </w:rPr>
  </w:style>
  <w:style w:type="paragraph" w:styleId="Heading7">
    <w:name w:val="heading 7"/>
    <w:basedOn w:val="Heading1"/>
    <w:next w:val="Normal"/>
    <w:link w:val="Heading7Char"/>
    <w:uiPriority w:val="12"/>
    <w:unhideWhenUsed/>
    <w:qFormat/>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9"/>
    <w:unhideWhenUsed/>
    <w:qFormat/>
    <w:rsid w:val="002B5D7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9"/>
    <w:unhideWhenUsed/>
    <w:qFormat/>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630"/>
    <w:rPr>
      <w:rFonts w:eastAsiaTheme="majorEastAsia" w:cstheme="majorBidi"/>
      <w:b/>
      <w:sz w:val="32"/>
      <w:szCs w:val="28"/>
    </w:rPr>
  </w:style>
  <w:style w:type="character" w:customStyle="1" w:styleId="Heading2Char">
    <w:name w:val="Heading 2 Char"/>
    <w:basedOn w:val="DefaultParagraphFont"/>
    <w:link w:val="Heading2"/>
    <w:uiPriority w:val="9"/>
    <w:rsid w:val="00A63630"/>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1"/>
    <w:rsid w:val="00A63630"/>
    <w:rPr>
      <w:rFonts w:eastAsiaTheme="majorEastAsia" w:cstheme="majorBidi"/>
      <w:b/>
      <w:sz w:val="28"/>
      <w:szCs w:val="28"/>
    </w:rPr>
  </w:style>
  <w:style w:type="paragraph" w:styleId="ListParagraph">
    <w:name w:val="List Paragraph"/>
    <w:aliases w:val="ES Paragraph,PBAC ES Paragraph,BulletPoints"/>
    <w:basedOn w:val="Normal"/>
    <w:link w:val="ListParagraphChar"/>
    <w:uiPriority w:val="72"/>
    <w:qFormat/>
    <w:rsid w:val="00133B1C"/>
    <w:pPr>
      <w:numPr>
        <w:ilvl w:val="4"/>
        <w:numId w:val="2"/>
      </w:numPr>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5"/>
    <w:rsid w:val="00A63630"/>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rsid w:val="00F95F0A"/>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rsid w:val="00F95F0A"/>
    <w:rPr>
      <w:rFonts w:eastAsiaTheme="majorEastAsia" w:cstheme="majorBidi"/>
      <w:b/>
      <w:sz w:val="24"/>
      <w:szCs w:val="28"/>
    </w:rPr>
  </w:style>
  <w:style w:type="character" w:customStyle="1" w:styleId="Heading7Char">
    <w:name w:val="Heading 7 Char"/>
    <w:basedOn w:val="DefaultParagraphFont"/>
    <w:link w:val="Heading7"/>
    <w:uiPriority w:val="12"/>
    <w:rsid w:val="00F95F0A"/>
    <w:rPr>
      <w:rFonts w:eastAsiaTheme="majorEastAsia" w:cstheme="majorBidi"/>
      <w:b/>
      <w:i/>
      <w:sz w:val="24"/>
      <w:szCs w:val="24"/>
    </w:rPr>
  </w:style>
  <w:style w:type="character" w:customStyle="1" w:styleId="Heading8Char">
    <w:name w:val="Heading 8 Char"/>
    <w:basedOn w:val="DefaultParagraphFont"/>
    <w:link w:val="Heading8"/>
    <w:uiPriority w:val="9"/>
    <w:rsid w:val="00F95F0A"/>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9"/>
    <w:rsid w:val="00F95F0A"/>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
    <w:basedOn w:val="Normal"/>
    <w:next w:val="Normal"/>
    <w:link w:val="CaptionChar"/>
    <w:autoRedefine/>
    <w:uiPriority w:val="35"/>
    <w:unhideWhenUsed/>
    <w:qFormat/>
    <w:rsid w:val="00EE3172"/>
    <w:pPr>
      <w:keepNext/>
      <w:tabs>
        <w:tab w:val="left" w:pos="1134"/>
      </w:tabs>
      <w:spacing w:before="240" w:after="0"/>
      <w:contextualSpacing/>
    </w:pPr>
    <w:rPr>
      <w:rFonts w:ascii="Arial Narrow" w:hAnsi="Arial Narrow"/>
      <w:b/>
      <w:iCs/>
      <w:sz w:val="20"/>
      <w:szCs w:val="18"/>
    </w:rPr>
  </w:style>
  <w:style w:type="paragraph" w:customStyle="1" w:styleId="TableText">
    <w:name w:val="Table Text"/>
    <w:basedOn w:val="Normal"/>
    <w:link w:val="TableTextChar"/>
    <w:qFormat/>
    <w:rsid w:val="002530E7"/>
    <w:pPr>
      <w:widowControl w:val="0"/>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F95F0A"/>
    <w:rPr>
      <w:sz w:val="18"/>
      <w:szCs w:val="20"/>
    </w:rPr>
  </w:style>
  <w:style w:type="character" w:styleId="FootnoteReference">
    <w:name w:val="footnote reference"/>
    <w:basedOn w:val="DefaultParagraphFont"/>
    <w:uiPriority w:val="99"/>
    <w:unhideWhenUsed/>
    <w:rsid w:val="00BA3306"/>
    <w:rPr>
      <w:vertAlign w:val="superscript"/>
    </w:rPr>
  </w:style>
  <w:style w:type="character" w:styleId="CommentReference">
    <w:name w:val="annotation reference"/>
    <w:aliases w:val="Table Title,-H18"/>
    <w:basedOn w:val="DefaultParagraphFont"/>
    <w:unhideWhenUsed/>
    <w:qFormat/>
    <w:rsid w:val="004E5546"/>
    <w:rPr>
      <w:color w:val="FF0000"/>
      <w:sz w:val="16"/>
      <w:szCs w:val="16"/>
    </w:rPr>
  </w:style>
  <w:style w:type="paragraph" w:styleId="CommentText">
    <w:name w:val="annotation text"/>
    <w:aliases w:val="- H19"/>
    <w:basedOn w:val="Normal"/>
    <w:link w:val="CommentTextChar"/>
    <w:uiPriority w:val="99"/>
    <w:unhideWhenUsed/>
    <w:qFormat/>
    <w:rsid w:val="004619BB"/>
    <w:rPr>
      <w:sz w:val="20"/>
      <w:szCs w:val="20"/>
    </w:rPr>
  </w:style>
  <w:style w:type="character" w:customStyle="1" w:styleId="CommentTextChar">
    <w:name w:val="Comment Text Char"/>
    <w:aliases w:val="- H19 Char"/>
    <w:basedOn w:val="DefaultParagraphFont"/>
    <w:link w:val="CommentText"/>
    <w:uiPriority w:val="99"/>
    <w:rsid w:val="00F95F0A"/>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F95F0A"/>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uiPriority w:val="35"/>
    <w:rsid w:val="00EE3172"/>
    <w:rPr>
      <w:rFonts w:ascii="Arial Narrow" w:hAnsi="Arial Narrow"/>
      <w:b/>
      <w:iCs/>
      <w:sz w:val="20"/>
      <w:szCs w:val="18"/>
    </w:rPr>
  </w:style>
  <w:style w:type="paragraph" w:customStyle="1" w:styleId="TableFooter">
    <w:name w:val="Table Footer"/>
    <w:basedOn w:val="Normal"/>
    <w:link w:val="TableFooterChar"/>
    <w:uiPriority w:val="1"/>
    <w:qFormat/>
    <w:rsid w:val="00140A20"/>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uiPriority w:val="1"/>
    <w:rsid w:val="00F95F0A"/>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F95F0A"/>
    <w:rPr>
      <w:sz w:val="24"/>
    </w:rPr>
  </w:style>
  <w:style w:type="paragraph" w:styleId="Footer">
    <w:name w:val="footer"/>
    <w:aliases w:val="Page 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aliases w:val="Page Footer Char"/>
    <w:basedOn w:val="DefaultParagraphFont"/>
    <w:link w:val="Footer"/>
    <w:uiPriority w:val="99"/>
    <w:rsid w:val="00F95F0A"/>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BodyText">
    <w:name w:val="Body Text"/>
    <w:basedOn w:val="Normal"/>
    <w:link w:val="BodyTextChar"/>
    <w:uiPriority w:val="3"/>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uiPriority w:val="3"/>
    <w:rsid w:val="00F95F0A"/>
    <w:rPr>
      <w:rFonts w:ascii="Arial" w:eastAsia="Times New Roman" w:hAnsi="Arial" w:cs="Arial"/>
      <w:snapToGrid w:val="0"/>
      <w:szCs w:val="20"/>
    </w:rPr>
  </w:style>
  <w:style w:type="paragraph" w:styleId="NoSpacing">
    <w:name w:val="No Spacing"/>
    <w:uiPriority w:val="10"/>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0062E0"/>
    <w:pPr>
      <w:widowControl w:val="0"/>
      <w:tabs>
        <w:tab w:val="right" w:pos="1134"/>
        <w:tab w:val="right" w:leader="dot" w:pos="9015"/>
      </w:tabs>
      <w:spacing w:after="0"/>
      <w:ind w:left="879"/>
    </w:pPr>
    <w:rPr>
      <w:rFonts w:ascii="Arial" w:eastAsia="Times New Roman" w:hAnsi="Arial" w:cs="Arial"/>
      <w:snapToGrid w:val="0"/>
      <w:sz w:val="20"/>
      <w:szCs w:val="20"/>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ES Paragraph Char,PBAC ES Paragraph Char,BulletPoints Char"/>
    <w:basedOn w:val="DefaultParagraphFont"/>
    <w:link w:val="ListParagraph"/>
    <w:uiPriority w:val="72"/>
    <w:locked/>
    <w:rsid w:val="00133B1C"/>
    <w:rPr>
      <w:color w:val="000000" w:themeColor="text1"/>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uiPriority w:val="3"/>
    <w:rsid w:val="00E46AC9"/>
    <w:pPr>
      <w:numPr>
        <w:numId w:val="4"/>
      </w:numPr>
      <w:spacing w:before="0" w:after="240"/>
      <w:ind w:left="357" w:hanging="357"/>
    </w:pPr>
    <w:rPr>
      <w:sz w:val="22"/>
    </w:rPr>
  </w:style>
  <w:style w:type="character" w:customStyle="1" w:styleId="StyleArial11pt">
    <w:name w:val="Style Arial 11 pt"/>
    <w:basedOn w:val="DefaultParagraphFont"/>
    <w:uiPriority w:val="3"/>
    <w:rsid w:val="00E2761D"/>
    <w:rPr>
      <w:rFonts w:ascii="Arial" w:hAnsi="Arial"/>
      <w:sz w:val="22"/>
    </w:rPr>
  </w:style>
  <w:style w:type="paragraph" w:customStyle="1" w:styleId="ESHeading1">
    <w:name w:val="ES Heading 1"/>
    <w:basedOn w:val="Heading1"/>
    <w:next w:val="Heading1"/>
    <w:uiPriority w:val="2"/>
    <w:qFormat/>
    <w:rsid w:val="00EA1417"/>
    <w:pPr>
      <w:numPr>
        <w:numId w:val="2"/>
      </w:numPr>
      <w:spacing w:before="240" w:line="240" w:lineRule="auto"/>
    </w:pPr>
    <w:rPr>
      <w:rFonts w:eastAsia="Times New Roman" w:cs="Arial"/>
      <w:snapToGrid w:val="0"/>
      <w:szCs w:val="32"/>
    </w:rPr>
  </w:style>
  <w:style w:type="paragraph" w:customStyle="1" w:styleId="Default">
    <w:name w:val="Default"/>
    <w:uiPriority w:val="3"/>
    <w:rsid w:val="00770966"/>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F95F0A"/>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C934DC"/>
    <w:rPr>
      <w:rFonts w:ascii="Arial" w:eastAsiaTheme="majorEastAsia" w:hAnsi="Arial" w:cstheme="majorBidi"/>
      <w:b/>
      <w:i/>
      <w:snapToGrid w:val="0"/>
      <w:sz w:val="28"/>
      <w:szCs w:val="28"/>
    </w:rPr>
  </w:style>
  <w:style w:type="paragraph" w:customStyle="1" w:styleId="Comment">
    <w:name w:val="Comment"/>
    <w:basedOn w:val="Normal"/>
    <w:link w:val="CommentChar"/>
    <w:uiPriority w:val="3"/>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3"/>
    <w:rsid w:val="00F95F0A"/>
    <w:rPr>
      <w:rFonts w:ascii="Calibri" w:eastAsia="Times New Roman" w:hAnsi="Calibri" w:cs="Tahoma"/>
      <w:i/>
      <w:color w:val="C00000"/>
      <w:lang w:eastAsia="en-AU"/>
    </w:rPr>
  </w:style>
  <w:style w:type="character" w:customStyle="1" w:styleId="TableTextChar">
    <w:name w:val="Table Text Char"/>
    <w:link w:val="TableText"/>
    <w:rsid w:val="00F95F0A"/>
    <w:rPr>
      <w:rFonts w:ascii="Arial Narrow" w:hAnsi="Arial Narrow"/>
      <w:sz w:val="20"/>
    </w:rPr>
  </w:style>
  <w:style w:type="paragraph" w:customStyle="1" w:styleId="Guidelines">
    <w:name w:val="Guidelines"/>
    <w:basedOn w:val="Normal"/>
    <w:link w:val="GuidelinesChar"/>
    <w:uiPriority w:val="3"/>
    <w:rsid w:val="00644B1E"/>
    <w:pPr>
      <w:spacing w:before="0" w:after="240" w:line="312" w:lineRule="auto"/>
    </w:pPr>
    <w:rPr>
      <w:rFonts w:ascii="Calibri" w:eastAsia="Times New Roman" w:hAnsi="Calibri" w:cs="Tahoma"/>
      <w:vanish/>
      <w:color w:val="C00000"/>
      <w:sz w:val="22"/>
      <w:lang w:eastAsia="en-AU"/>
    </w:rPr>
  </w:style>
  <w:style w:type="character" w:customStyle="1" w:styleId="GuidelinesChar">
    <w:name w:val="Guidelines Char"/>
    <w:basedOn w:val="DefaultParagraphFont"/>
    <w:link w:val="Guidelines"/>
    <w:uiPriority w:val="3"/>
    <w:rsid w:val="00F95F0A"/>
    <w:rPr>
      <w:rFonts w:ascii="Calibri" w:eastAsia="Times New Roman" w:hAnsi="Calibri" w:cs="Tahoma"/>
      <w:vanish/>
      <w:color w:val="C00000"/>
      <w:lang w:eastAsia="en-AU"/>
    </w:rPr>
  </w:style>
  <w:style w:type="paragraph" w:customStyle="1" w:styleId="AttachmentHeading">
    <w:name w:val="Attachment Heading"/>
    <w:basedOn w:val="Heading1"/>
    <w:next w:val="Normal"/>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GB"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1">
    <w:name w:val="List Table 1 Light1"/>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4B0FD3"/>
    <w:pPr>
      <w:numPr>
        <w:numId w:val="6"/>
      </w:numPr>
      <w:contextualSpacing/>
      <w:jc w:val="left"/>
    </w:pPr>
    <w:rPr>
      <w:rFonts w:ascii="Calibri" w:hAnsi="Calibri"/>
    </w:rPr>
  </w:style>
  <w:style w:type="paragraph" w:customStyle="1" w:styleId="ESHeading2">
    <w:name w:val="ES Heading 2"/>
    <w:basedOn w:val="Heading2"/>
    <w:link w:val="ESHeading2Char"/>
    <w:uiPriority w:val="2"/>
    <w:qFormat/>
    <w:rsid w:val="00E54ACA"/>
    <w:pPr>
      <w:numPr>
        <w:ilvl w:val="2"/>
        <w:numId w:val="2"/>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4B0FD3"/>
    <w:rPr>
      <w:rFonts w:ascii="Calibri" w:hAnsi="Calibri"/>
      <w:color w:val="0070C0"/>
      <w:sz w:val="24"/>
    </w:rPr>
  </w:style>
  <w:style w:type="character" w:customStyle="1" w:styleId="ESHeading2Char">
    <w:name w:val="ES Heading 2 Char"/>
    <w:basedOn w:val="Heading2Char"/>
    <w:link w:val="ESHeading2"/>
    <w:uiPriority w:val="2"/>
    <w:rsid w:val="00F95F0A"/>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3"/>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ESHeadingCAPS">
    <w:name w:val="ES Heading CAPS"/>
    <w:basedOn w:val="ESHeading2"/>
    <w:link w:val="ESHeadingCAPSChar"/>
    <w:uiPriority w:val="2"/>
    <w:qFormat/>
    <w:rsid w:val="00BC1ECD"/>
    <w:pPr>
      <w:numPr>
        <w:ilvl w:val="1"/>
      </w:numPr>
    </w:pPr>
    <w:rPr>
      <w:i w:val="0"/>
      <w:smallCaps/>
      <w:sz w:val="32"/>
    </w:rPr>
  </w:style>
  <w:style w:type="paragraph" w:customStyle="1" w:styleId="ESHeading3">
    <w:name w:val="ES Heading 3"/>
    <w:basedOn w:val="ESHeading2"/>
    <w:link w:val="ESHeading3Char"/>
    <w:uiPriority w:val="2"/>
    <w:qFormat/>
    <w:rsid w:val="00396339"/>
    <w:pPr>
      <w:numPr>
        <w:ilvl w:val="3"/>
      </w:numPr>
    </w:pPr>
    <w:rPr>
      <w:i w:val="0"/>
      <w:sz w:val="24"/>
    </w:rPr>
  </w:style>
  <w:style w:type="character" w:customStyle="1" w:styleId="ESHeadingCAPSChar">
    <w:name w:val="ES Heading CAPS Char"/>
    <w:basedOn w:val="ESHeading2Char"/>
    <w:link w:val="ESHeadingCAPS"/>
    <w:uiPriority w:val="2"/>
    <w:rsid w:val="00F95F0A"/>
    <w:rPr>
      <w:rFonts w:asciiTheme="majorHAnsi" w:eastAsiaTheme="majorEastAsia" w:hAnsiTheme="majorHAnsi" w:cstheme="majorBidi"/>
      <w:b/>
      <w:i w:val="0"/>
      <w:smallCaps/>
      <w:snapToGrid w:val="0"/>
      <w:sz w:val="32"/>
      <w:szCs w:val="28"/>
    </w:rPr>
  </w:style>
  <w:style w:type="paragraph" w:customStyle="1" w:styleId="Paragraphheading1">
    <w:name w:val="Paragraph heading 1"/>
    <w:uiPriority w:val="3"/>
    <w:rsid w:val="00396339"/>
    <w:pPr>
      <w:spacing w:after="0" w:line="240" w:lineRule="auto"/>
      <w:ind w:left="720" w:hanging="720"/>
    </w:pPr>
    <w:rPr>
      <w:rFonts w:asciiTheme="majorHAnsi" w:eastAsia="Times New Roman" w:hAnsiTheme="majorHAnsi" w:cs="Arial"/>
      <w:i/>
      <w:snapToGrid w:val="0"/>
      <w:sz w:val="32"/>
      <w:szCs w:val="32"/>
    </w:rPr>
  </w:style>
  <w:style w:type="character" w:customStyle="1" w:styleId="ESHeading3Char">
    <w:name w:val="ES Heading 3 Char"/>
    <w:basedOn w:val="ESHeading2Char"/>
    <w:link w:val="ESHeading3"/>
    <w:uiPriority w:val="2"/>
    <w:rsid w:val="00F95F0A"/>
    <w:rPr>
      <w:rFonts w:asciiTheme="majorHAnsi" w:eastAsiaTheme="majorEastAsia" w:hAnsiTheme="majorHAnsi" w:cstheme="majorBidi"/>
      <w:b/>
      <w:i w:val="0"/>
      <w:snapToGrid w:val="0"/>
      <w:sz w:val="24"/>
      <w:szCs w:val="28"/>
    </w:rPr>
  </w:style>
  <w:style w:type="paragraph" w:customStyle="1" w:styleId="Level1">
    <w:name w:val="Level 1"/>
    <w:basedOn w:val="Normal"/>
    <w:uiPriority w:val="3"/>
    <w:rsid w:val="001059D6"/>
  </w:style>
  <w:style w:type="paragraph" w:customStyle="1" w:styleId="ESParagraphDotpoint">
    <w:name w:val="ES Paragraph Dotpoint"/>
    <w:basedOn w:val="ListParagraph"/>
    <w:link w:val="ESParagraphDotpointChar"/>
    <w:uiPriority w:val="2"/>
    <w:qFormat/>
    <w:rsid w:val="00F72BB2"/>
    <w:pPr>
      <w:numPr>
        <w:ilvl w:val="0"/>
        <w:numId w:val="1"/>
      </w:numPr>
      <w:spacing w:before="0" w:after="0"/>
    </w:pPr>
  </w:style>
  <w:style w:type="character" w:customStyle="1" w:styleId="ESParagraphDotpointChar">
    <w:name w:val="ES Paragraph Dotpoint Char"/>
    <w:basedOn w:val="ListParagraphChar"/>
    <w:link w:val="ESParagraphDotpoint"/>
    <w:uiPriority w:val="2"/>
    <w:rsid w:val="00345E01"/>
    <w:rPr>
      <w:color w:val="000000" w:themeColor="text1"/>
      <w:sz w:val="24"/>
    </w:rPr>
  </w:style>
  <w:style w:type="paragraph" w:customStyle="1" w:styleId="AttachmentHeading2">
    <w:name w:val="Attachment Heading 2"/>
    <w:basedOn w:val="Heading2"/>
    <w:link w:val="AttachmentHeading2Char"/>
    <w:uiPriority w:val="3"/>
    <w:qFormat/>
    <w:rsid w:val="007109D8"/>
    <w:pPr>
      <w:numPr>
        <w:ilvl w:val="0"/>
        <w:numId w:val="0"/>
      </w:numPr>
    </w:pPr>
  </w:style>
  <w:style w:type="character" w:customStyle="1" w:styleId="AttachmentHeading2Char">
    <w:name w:val="Attachment Heading 2 Char"/>
    <w:basedOn w:val="Heading2Char"/>
    <w:link w:val="Attachment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bletextChar1">
    <w:name w:val="Table text Char1"/>
    <w:basedOn w:val="DefaultParagraphFont"/>
    <w:link w:val="Tabletext0"/>
    <w:locked/>
    <w:rsid w:val="005D697E"/>
    <w:rPr>
      <w:rFonts w:ascii="Arial" w:eastAsia="Times New Roman" w:hAnsi="Arial" w:cs="Times New Roman"/>
      <w:sz w:val="20"/>
      <w:szCs w:val="20"/>
    </w:rPr>
  </w:style>
  <w:style w:type="paragraph" w:customStyle="1" w:styleId="Tabletext0">
    <w:name w:val="Table text"/>
    <w:basedOn w:val="Normal"/>
    <w:link w:val="TabletextChar1"/>
    <w:qFormat/>
    <w:rsid w:val="005D697E"/>
    <w:pPr>
      <w:spacing w:before="0" w:after="120"/>
    </w:pPr>
    <w:rPr>
      <w:rFonts w:ascii="Arial" w:eastAsia="Times New Roman" w:hAnsi="Arial" w:cs="Times New Roman"/>
      <w:sz w:val="20"/>
      <w:szCs w:val="20"/>
    </w:rPr>
  </w:style>
  <w:style w:type="character" w:styleId="HTMLCite">
    <w:name w:val="HTML Cite"/>
    <w:basedOn w:val="DefaultParagraphFont"/>
    <w:uiPriority w:val="99"/>
    <w:semiHidden/>
    <w:unhideWhenUsed/>
    <w:rsid w:val="00D61F15"/>
    <w:rPr>
      <w:i/>
      <w:iCs/>
    </w:rPr>
  </w:style>
  <w:style w:type="paragraph" w:customStyle="1" w:styleId="Heading2Clinical">
    <w:name w:val="Heading 2 Clinical"/>
    <w:basedOn w:val="Heading3"/>
    <w:link w:val="Heading2ClinicalChar"/>
    <w:qFormat/>
    <w:rsid w:val="00211340"/>
    <w:pPr>
      <w:numPr>
        <w:ilvl w:val="4"/>
      </w:numPr>
      <w:tabs>
        <w:tab w:val="left" w:pos="1418"/>
      </w:tabs>
    </w:pPr>
  </w:style>
  <w:style w:type="character" w:customStyle="1" w:styleId="Heading2ClinicalChar">
    <w:name w:val="Heading 2 Clinical Char"/>
    <w:basedOn w:val="Heading4Char"/>
    <w:link w:val="Heading2Clinical"/>
    <w:rsid w:val="00211340"/>
    <w:rPr>
      <w:rFonts w:eastAsiaTheme="majorEastAsia" w:cstheme="majorBidi"/>
      <w:b/>
      <w:color w:val="000000" w:themeColor="text1"/>
      <w:sz w:val="28"/>
      <w:szCs w:val="28"/>
    </w:rPr>
  </w:style>
  <w:style w:type="character" w:customStyle="1" w:styleId="TableHeadingChar">
    <w:name w:val="Table Heading Char"/>
    <w:basedOn w:val="DefaultParagraphFont"/>
    <w:link w:val="TableHeading"/>
    <w:locked/>
    <w:rsid w:val="00A25521"/>
    <w:rPr>
      <w:rFonts w:ascii="Arial Narrow" w:hAnsi="Arial Narrow"/>
      <w:b/>
      <w:sz w:val="20"/>
    </w:rPr>
  </w:style>
  <w:style w:type="paragraph" w:customStyle="1" w:styleId="TableHeading">
    <w:name w:val="Table Heading"/>
    <w:basedOn w:val="Normal"/>
    <w:link w:val="TableHeadingChar"/>
    <w:qFormat/>
    <w:rsid w:val="00A25521"/>
    <w:pPr>
      <w:keepNext/>
      <w:spacing w:before="0" w:after="60"/>
    </w:pPr>
    <w:rPr>
      <w:rFonts w:ascii="Arial Narrow" w:hAnsi="Arial Narrow"/>
      <w:b/>
      <w:sz w:val="20"/>
    </w:rPr>
  </w:style>
  <w:style w:type="paragraph" w:styleId="BodyText2">
    <w:name w:val="Body Text 2"/>
    <w:basedOn w:val="Normal"/>
    <w:link w:val="BodyText2Char"/>
    <w:uiPriority w:val="9"/>
    <w:unhideWhenUsed/>
    <w:rsid w:val="00A25521"/>
    <w:pPr>
      <w:jc w:val="center"/>
    </w:pPr>
    <w:rPr>
      <w:color w:val="FFFFFF" w:themeColor="background1"/>
      <w:sz w:val="20"/>
    </w:rPr>
  </w:style>
  <w:style w:type="character" w:customStyle="1" w:styleId="BodyText2Char">
    <w:name w:val="Body Text 2 Char"/>
    <w:basedOn w:val="DefaultParagraphFont"/>
    <w:link w:val="BodyText2"/>
    <w:uiPriority w:val="9"/>
    <w:rsid w:val="00A25521"/>
    <w:rPr>
      <w:color w:val="FFFFFF" w:themeColor="background1"/>
      <w:sz w:val="20"/>
    </w:rPr>
  </w:style>
  <w:style w:type="character" w:customStyle="1" w:styleId="TablenotesChar">
    <w:name w:val="Tablenotes Char"/>
    <w:basedOn w:val="DefaultParagraphFont"/>
    <w:link w:val="Tablenotes"/>
    <w:locked/>
    <w:rsid w:val="00B16471"/>
    <w:rPr>
      <w:rFonts w:ascii="Arial Narrow" w:eastAsia="Times New Roman" w:hAnsi="Arial Narrow" w:cs="Arial"/>
      <w:sz w:val="18"/>
      <w:szCs w:val="20"/>
    </w:rPr>
  </w:style>
  <w:style w:type="paragraph" w:customStyle="1" w:styleId="Tablenotes">
    <w:name w:val="Tablenotes"/>
    <w:basedOn w:val="Normal"/>
    <w:link w:val="TablenotesChar"/>
    <w:rsid w:val="00B16471"/>
    <w:pPr>
      <w:widowControl w:val="0"/>
      <w:snapToGrid w:val="0"/>
      <w:spacing w:before="0" w:after="120"/>
      <w:contextualSpacing/>
    </w:pPr>
    <w:rPr>
      <w:rFonts w:ascii="Arial Narrow" w:eastAsia="Times New Roman" w:hAnsi="Arial Narrow" w:cs="Arial"/>
      <w:sz w:val="18"/>
      <w:szCs w:val="20"/>
    </w:rPr>
  </w:style>
  <w:style w:type="paragraph" w:styleId="BodyText3">
    <w:name w:val="Body Text 3"/>
    <w:basedOn w:val="Normal"/>
    <w:link w:val="BodyText3Char"/>
    <w:uiPriority w:val="9"/>
    <w:unhideWhenUsed/>
    <w:rsid w:val="00A34EFE"/>
    <w:rPr>
      <w:i/>
    </w:rPr>
  </w:style>
  <w:style w:type="character" w:customStyle="1" w:styleId="BodyText3Char">
    <w:name w:val="Body Text 3 Char"/>
    <w:basedOn w:val="DefaultParagraphFont"/>
    <w:link w:val="BodyText3"/>
    <w:uiPriority w:val="9"/>
    <w:rsid w:val="00A34EFE"/>
    <w:rPr>
      <w:i/>
      <w:sz w:val="24"/>
    </w:rPr>
  </w:style>
  <w:style w:type="table" w:customStyle="1" w:styleId="AZTable">
    <w:name w:val="AZ Table"/>
    <w:basedOn w:val="TableNormal"/>
    <w:uiPriority w:val="99"/>
    <w:rsid w:val="0020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Summarybox1">
    <w:name w:val="Summary box1"/>
    <w:basedOn w:val="TableNormal"/>
    <w:next w:val="TableGrid"/>
    <w:uiPriority w:val="59"/>
    <w:rsid w:val="00974C93"/>
    <w:pPr>
      <w:spacing w:after="0" w:line="36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link w:val="SourcesChar"/>
    <w:rsid w:val="00971B08"/>
    <w:pPr>
      <w:spacing w:after="120"/>
      <w:ind w:left="284" w:hanging="284"/>
    </w:pPr>
    <w:rPr>
      <w:rFonts w:ascii="Arial" w:hAnsi="Arial"/>
      <w:sz w:val="16"/>
    </w:rPr>
  </w:style>
  <w:style w:type="character" w:customStyle="1" w:styleId="SourcesChar">
    <w:name w:val="Sources Char"/>
    <w:basedOn w:val="DefaultParagraphFont"/>
    <w:link w:val="Sources"/>
    <w:rsid w:val="00971B08"/>
    <w:rPr>
      <w:rFonts w:ascii="Arial" w:hAnsi="Arial"/>
      <w:sz w:val="16"/>
    </w:rPr>
  </w:style>
  <w:style w:type="paragraph" w:customStyle="1" w:styleId="TableBullet">
    <w:name w:val="Table Bullet"/>
    <w:basedOn w:val="TableText"/>
    <w:rsid w:val="00971B08"/>
    <w:pPr>
      <w:widowControl/>
      <w:numPr>
        <w:numId w:val="10"/>
      </w:numPr>
      <w:spacing w:before="20" w:after="20" w:line="276" w:lineRule="auto"/>
    </w:pPr>
    <w:rPr>
      <w:rFonts w:eastAsiaTheme="majorEastAsia" w:cs="Arial"/>
      <w:szCs w:val="20"/>
      <w:lang w:eastAsia="en-AU" w:bidi="en-US"/>
    </w:rPr>
  </w:style>
  <w:style w:type="paragraph" w:customStyle="1" w:styleId="TableHeading0">
    <w:name w:val="TableHeading"/>
    <w:basedOn w:val="Caption"/>
    <w:link w:val="TableHeadingChar0"/>
    <w:rsid w:val="003A781F"/>
    <w:pPr>
      <w:tabs>
        <w:tab w:val="clear" w:pos="1134"/>
        <w:tab w:val="left" w:pos="0"/>
      </w:tabs>
      <w:spacing w:before="120" w:after="40"/>
      <w:contextualSpacing w:val="0"/>
    </w:pPr>
  </w:style>
  <w:style w:type="character" w:customStyle="1" w:styleId="TableHeadingChar0">
    <w:name w:val="TableHeading Char"/>
    <w:link w:val="TableHeading0"/>
    <w:rsid w:val="003A781F"/>
    <w:rPr>
      <w:rFonts w:ascii="Arial Narrow" w:hAnsi="Arial Narrow"/>
      <w:b/>
      <w:iCs/>
      <w:sz w:val="20"/>
      <w:szCs w:val="18"/>
    </w:rPr>
  </w:style>
  <w:style w:type="table" w:customStyle="1" w:styleId="Summarybox2">
    <w:name w:val="Summary box2"/>
    <w:basedOn w:val="TableNormal"/>
    <w:next w:val="TableGrid"/>
    <w:uiPriority w:val="59"/>
    <w:rsid w:val="00701ABC"/>
    <w:pPr>
      <w:spacing w:after="0" w:line="36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7A3110"/>
    <w:pPr>
      <w:spacing w:before="200" w:after="120" w:line="240" w:lineRule="auto"/>
    </w:pPr>
    <w:rPr>
      <w:rFonts w:ascii="Arial" w:eastAsia="Times New Roman" w:hAnsi="Arial" w:cs="Arial"/>
      <w:b/>
      <w:snapToGrid w:val="0"/>
    </w:rPr>
  </w:style>
  <w:style w:type="paragraph" w:customStyle="1" w:styleId="PBACheading10">
    <w:name w:val="PBAC heading 1"/>
    <w:uiPriority w:val="3"/>
    <w:rsid w:val="007A3110"/>
    <w:pPr>
      <w:spacing w:after="0" w:line="240" w:lineRule="auto"/>
      <w:ind w:left="720" w:hanging="720"/>
    </w:pPr>
    <w:rPr>
      <w:rFonts w:ascii="Arial" w:eastAsia="Times New Roman" w:hAnsi="Arial" w:cs="Arial"/>
      <w:snapToGrid w:val="0"/>
    </w:rPr>
  </w:style>
  <w:style w:type="paragraph" w:customStyle="1" w:styleId="TableHeader">
    <w:name w:val="Table Header"/>
    <w:basedOn w:val="Normal"/>
    <w:next w:val="Normal"/>
    <w:uiPriority w:val="3"/>
    <w:rsid w:val="007A3110"/>
    <w:pPr>
      <w:widowControl w:val="0"/>
      <w:spacing w:before="0" w:after="0"/>
    </w:pPr>
    <w:rPr>
      <w:rFonts w:ascii="Arial Narrow" w:eastAsia="Times New Roman" w:hAnsi="Arial Narrow" w:cs="Arial"/>
      <w:b/>
      <w:snapToGrid w:val="0"/>
      <w:sz w:val="20"/>
      <w:szCs w:val="20"/>
    </w:rPr>
  </w:style>
  <w:style w:type="character" w:customStyle="1" w:styleId="blackbold">
    <w:name w:val="blackbold"/>
    <w:basedOn w:val="DefaultParagraphFont"/>
    <w:rsid w:val="007A3110"/>
  </w:style>
  <w:style w:type="paragraph" w:customStyle="1" w:styleId="EndNoteBibliographyTitle">
    <w:name w:val="EndNote Bibliography Title"/>
    <w:basedOn w:val="Normal"/>
    <w:link w:val="EndNoteBibliographyTitleChar"/>
    <w:rsid w:val="007A3110"/>
    <w:pPr>
      <w:spacing w:after="0"/>
      <w:jc w:val="center"/>
    </w:pPr>
    <w:rPr>
      <w:rFonts w:ascii="Calibri" w:eastAsia="Times New Roman" w:hAnsi="Calibri" w:cs="Arial"/>
      <w:noProof/>
      <w:sz w:val="22"/>
      <w:szCs w:val="20"/>
      <w:lang w:val="en-US"/>
    </w:rPr>
  </w:style>
  <w:style w:type="character" w:customStyle="1" w:styleId="EndNoteBibliographyTitleChar">
    <w:name w:val="EndNote Bibliography Title Char"/>
    <w:basedOn w:val="TableFooterChar"/>
    <w:link w:val="EndNoteBibliographyTitle"/>
    <w:rsid w:val="007A3110"/>
    <w:rPr>
      <w:rFonts w:ascii="Calibri" w:eastAsia="Times New Roman" w:hAnsi="Calibri" w:cs="Arial"/>
      <w:noProof/>
      <w:snapToGrid/>
      <w:sz w:val="18"/>
      <w:szCs w:val="20"/>
      <w:lang w:val="en-US"/>
    </w:rPr>
  </w:style>
  <w:style w:type="paragraph" w:customStyle="1" w:styleId="EndNoteBibliography">
    <w:name w:val="EndNote Bibliography"/>
    <w:basedOn w:val="Normal"/>
    <w:link w:val="EndNoteBibliographyChar"/>
    <w:rsid w:val="007A3110"/>
    <w:rPr>
      <w:rFonts w:ascii="Calibri" w:eastAsia="Times New Roman" w:hAnsi="Calibri" w:cs="Arial"/>
      <w:noProof/>
      <w:sz w:val="22"/>
      <w:szCs w:val="20"/>
      <w:lang w:val="en-US"/>
    </w:rPr>
  </w:style>
  <w:style w:type="character" w:customStyle="1" w:styleId="EndNoteBibliographyChar">
    <w:name w:val="EndNote Bibliography Char"/>
    <w:basedOn w:val="TableFooterChar"/>
    <w:link w:val="EndNoteBibliography"/>
    <w:rsid w:val="007A3110"/>
    <w:rPr>
      <w:rFonts w:ascii="Calibri" w:eastAsia="Times New Roman" w:hAnsi="Calibri" w:cs="Arial"/>
      <w:noProof/>
      <w:snapToGrid/>
      <w:sz w:val="18"/>
      <w:szCs w:val="20"/>
      <w:lang w:val="en-US"/>
    </w:rPr>
  </w:style>
  <w:style w:type="paragraph" w:customStyle="1" w:styleId="TableNotes0">
    <w:name w:val="TableNotes"/>
    <w:basedOn w:val="Normal"/>
    <w:rsid w:val="00161BD2"/>
    <w:pPr>
      <w:spacing w:before="0" w:after="60"/>
    </w:pPr>
    <w:rPr>
      <w:sz w:val="20"/>
    </w:rPr>
  </w:style>
  <w:style w:type="character" w:styleId="Emphasis">
    <w:name w:val="Emphasis"/>
    <w:basedOn w:val="DefaultParagraphFont"/>
    <w:uiPriority w:val="20"/>
    <w:qFormat/>
    <w:rsid w:val="00161BD2"/>
    <w:rPr>
      <w:b w:val="0"/>
      <w:i/>
      <w:iCs/>
    </w:rPr>
  </w:style>
  <w:style w:type="table" w:customStyle="1" w:styleId="TableGridbeth7">
    <w:name w:val="Table Gridbeth7"/>
    <w:basedOn w:val="TableNormal"/>
    <w:next w:val="TableGrid"/>
    <w:uiPriority w:val="59"/>
    <w:rsid w:val="00F8275A"/>
    <w:pPr>
      <w:spacing w:after="0" w:line="240" w:lineRule="auto"/>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ESHeading1">
    <w:name w:val="PBAC ES Heading 1"/>
    <w:basedOn w:val="Heading1"/>
    <w:next w:val="Normal"/>
    <w:link w:val="PBACESHeading1Char"/>
    <w:uiPriority w:val="2"/>
    <w:qFormat/>
    <w:rsid w:val="003657A4"/>
    <w:pPr>
      <w:numPr>
        <w:numId w:val="0"/>
      </w:numPr>
      <w:spacing w:before="240" w:line="240" w:lineRule="auto"/>
      <w:ind w:left="720" w:hanging="720"/>
    </w:pPr>
    <w:rPr>
      <w:rFonts w:eastAsia="Times New Roman" w:cs="Arial"/>
      <w:snapToGrid w:val="0"/>
      <w:szCs w:val="32"/>
    </w:rPr>
  </w:style>
  <w:style w:type="paragraph" w:customStyle="1" w:styleId="PBACESHeading2">
    <w:name w:val="PBAC ES Heading 2"/>
    <w:basedOn w:val="Heading2"/>
    <w:link w:val="PBACESHeading2Char"/>
    <w:uiPriority w:val="2"/>
    <w:qFormat/>
    <w:rsid w:val="003657A4"/>
    <w:pPr>
      <w:numPr>
        <w:ilvl w:val="0"/>
        <w:numId w:val="0"/>
      </w:numPr>
      <w:ind w:left="720" w:hanging="720"/>
    </w:pPr>
    <w:rPr>
      <w:rFonts w:asciiTheme="majorHAnsi" w:hAnsiTheme="majorHAnsi"/>
    </w:rPr>
  </w:style>
  <w:style w:type="character" w:customStyle="1" w:styleId="PBACESHeading2Char">
    <w:name w:val="PBAC ES Heading 2 Char"/>
    <w:basedOn w:val="Heading2Char"/>
    <w:link w:val="PBACESHeading2"/>
    <w:uiPriority w:val="2"/>
    <w:rsid w:val="003657A4"/>
    <w:rPr>
      <w:rFonts w:asciiTheme="majorHAnsi" w:eastAsiaTheme="majorEastAsia" w:hAnsiTheme="majorHAnsi" w:cstheme="majorBidi"/>
      <w:b/>
      <w:i/>
      <w:snapToGrid w:val="0"/>
      <w:sz w:val="28"/>
      <w:szCs w:val="28"/>
    </w:rPr>
  </w:style>
  <w:style w:type="paragraph" w:customStyle="1" w:styleId="PBACESHeadingCAPS">
    <w:name w:val="PBAC ES Heading CAPS"/>
    <w:basedOn w:val="PBACESHeading2"/>
    <w:link w:val="PBACESHeadingCAPSChar"/>
    <w:uiPriority w:val="2"/>
    <w:qFormat/>
    <w:rsid w:val="003657A4"/>
    <w:rPr>
      <w:i w:val="0"/>
      <w:smallCaps/>
      <w:sz w:val="32"/>
    </w:rPr>
  </w:style>
  <w:style w:type="paragraph" w:customStyle="1" w:styleId="PBACESHeading3">
    <w:name w:val="PBAC ES Heading 3"/>
    <w:basedOn w:val="PBACESHeading2"/>
    <w:link w:val="PBACESHeading3Char"/>
    <w:uiPriority w:val="2"/>
    <w:qFormat/>
    <w:rsid w:val="003657A4"/>
    <w:pPr>
      <w:ind w:left="1080" w:hanging="1080"/>
    </w:pPr>
    <w:rPr>
      <w:i w:val="0"/>
      <w:sz w:val="24"/>
    </w:rPr>
  </w:style>
  <w:style w:type="character" w:customStyle="1" w:styleId="PBACESHeadingCAPSChar">
    <w:name w:val="PBAC ES Heading CAPS Char"/>
    <w:basedOn w:val="PBACESHeading2Char"/>
    <w:link w:val="PBACESHeadingCAPS"/>
    <w:uiPriority w:val="2"/>
    <w:rsid w:val="003657A4"/>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2"/>
    <w:rsid w:val="003657A4"/>
    <w:rPr>
      <w:rFonts w:asciiTheme="majorHAnsi" w:eastAsiaTheme="majorEastAsia" w:hAnsiTheme="majorHAnsi" w:cstheme="majorBidi"/>
      <w:b/>
      <w:i w:val="0"/>
      <w:snapToGrid w:val="0"/>
      <w:sz w:val="24"/>
      <w:szCs w:val="28"/>
    </w:rPr>
  </w:style>
  <w:style w:type="paragraph" w:customStyle="1" w:styleId="PBACESParagraphDotpoint">
    <w:name w:val="PBAC ES Paragraph Dotpoint"/>
    <w:basedOn w:val="ListParagraph"/>
    <w:link w:val="PBACESParagraphDotpointChar"/>
    <w:uiPriority w:val="2"/>
    <w:qFormat/>
    <w:rsid w:val="003657A4"/>
    <w:pPr>
      <w:numPr>
        <w:ilvl w:val="0"/>
        <w:numId w:val="0"/>
      </w:numPr>
      <w:spacing w:before="0" w:after="0"/>
      <w:ind w:left="1843" w:hanging="709"/>
    </w:pPr>
  </w:style>
  <w:style w:type="character" w:customStyle="1" w:styleId="PBACESParagraphDotpointChar">
    <w:name w:val="PBAC ES Paragraph Dotpoint Char"/>
    <w:basedOn w:val="ListParagraphChar"/>
    <w:link w:val="PBACESParagraphDotpoint"/>
    <w:uiPriority w:val="2"/>
    <w:rsid w:val="003657A4"/>
    <w:rPr>
      <w:color w:val="000000" w:themeColor="text1"/>
      <w:sz w:val="24"/>
    </w:rPr>
  </w:style>
  <w:style w:type="paragraph" w:customStyle="1" w:styleId="V50InstructionsBullets">
    <w:name w:val="V5.0 Instructions Bullets"/>
    <w:basedOn w:val="Normal"/>
    <w:qFormat/>
    <w:rsid w:val="003657A4"/>
    <w:pPr>
      <w:numPr>
        <w:numId w:val="11"/>
      </w:numPr>
      <w:spacing w:before="0" w:after="0"/>
      <w:ind w:left="714" w:hanging="357"/>
      <w:jc w:val="left"/>
    </w:pPr>
    <w:rPr>
      <w:color w:val="4472C4" w:themeColor="accent5"/>
    </w:rPr>
  </w:style>
  <w:style w:type="paragraph" w:customStyle="1" w:styleId="MSACESStyle">
    <w:name w:val="MSAC ES Style"/>
    <w:next w:val="Normal"/>
    <w:link w:val="MSACESStyleChar"/>
    <w:rsid w:val="003657A4"/>
    <w:rPr>
      <w:rFonts w:ascii="Arial" w:eastAsia="Times New Roman" w:hAnsi="Arial" w:cs="Arial"/>
      <w:b/>
      <w:iCs/>
      <w:sz w:val="28"/>
      <w:szCs w:val="18"/>
    </w:rPr>
  </w:style>
  <w:style w:type="paragraph" w:customStyle="1" w:styleId="MSACSubtitle">
    <w:name w:val="MSAC Subtitle"/>
    <w:basedOn w:val="Normal"/>
    <w:next w:val="Normal"/>
    <w:link w:val="MSACSubtitleChar"/>
    <w:qFormat/>
    <w:rsid w:val="003657A4"/>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2"/>
    <w:rsid w:val="003657A4"/>
    <w:rPr>
      <w:rFonts w:eastAsia="Times New Roman" w:cs="Arial"/>
      <w:b/>
      <w:snapToGrid w:val="0"/>
      <w:sz w:val="32"/>
      <w:szCs w:val="32"/>
    </w:rPr>
  </w:style>
  <w:style w:type="character" w:customStyle="1" w:styleId="MSACESStyleChar">
    <w:name w:val="MSAC ES Style Char"/>
    <w:basedOn w:val="PBACESHeading1Char"/>
    <w:link w:val="MSACESStyle"/>
    <w:rsid w:val="003657A4"/>
    <w:rPr>
      <w:rFonts w:ascii="Arial" w:eastAsia="Times New Roman" w:hAnsi="Arial" w:cs="Arial"/>
      <w:b/>
      <w:iCs/>
      <w:snapToGrid/>
      <w:sz w:val="28"/>
      <w:szCs w:val="18"/>
    </w:rPr>
  </w:style>
  <w:style w:type="character" w:customStyle="1" w:styleId="MSACSubtitleChar">
    <w:name w:val="MSAC Subtitle Char"/>
    <w:basedOn w:val="DefaultParagraphFont"/>
    <w:link w:val="MSACSubtitle"/>
    <w:rsid w:val="003657A4"/>
    <w:rPr>
      <w:rFonts w:ascii="Arial" w:hAnsi="Arial"/>
      <w:b/>
      <w:i/>
      <w:color w:val="000080"/>
      <w:sz w:val="28"/>
    </w:rPr>
  </w:style>
  <w:style w:type="paragraph" w:customStyle="1" w:styleId="MSACHeading1">
    <w:name w:val="MSAC Heading 1"/>
    <w:basedOn w:val="Heading1"/>
    <w:next w:val="MSACESParagraph"/>
    <w:link w:val="MSACHeading1Char"/>
    <w:qFormat/>
    <w:rsid w:val="003657A4"/>
    <w:pPr>
      <w:numPr>
        <w:ilvl w:val="5"/>
        <w:numId w:val="2"/>
      </w:numPr>
      <w:spacing w:before="160" w:after="240"/>
    </w:pPr>
    <w:rPr>
      <w:rFonts w:ascii="Arial" w:hAnsi="Arial"/>
      <w:sz w:val="24"/>
    </w:rPr>
  </w:style>
  <w:style w:type="paragraph" w:customStyle="1" w:styleId="MSACESParagraph">
    <w:name w:val="MSAC ES Paragraph"/>
    <w:link w:val="MSACESParagraphChar"/>
    <w:qFormat/>
    <w:rsid w:val="003657A4"/>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rsid w:val="003657A4"/>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qFormat/>
    <w:rsid w:val="003657A4"/>
    <w:pPr>
      <w:numPr>
        <w:ilvl w:val="6"/>
        <w:numId w:val="2"/>
      </w:numPr>
    </w:pPr>
    <w:rPr>
      <w:rFonts w:ascii="Cambria" w:hAnsi="Cambria"/>
      <w:i w:val="0"/>
      <w:sz w:val="24"/>
    </w:rPr>
  </w:style>
  <w:style w:type="paragraph" w:customStyle="1" w:styleId="MSACESBulletpoint">
    <w:name w:val="MSAC ES Bulletpoint"/>
    <w:basedOn w:val="MSACESParagraph"/>
    <w:link w:val="MSACESBulletpointChar"/>
    <w:qFormat/>
    <w:rsid w:val="003657A4"/>
    <w:pPr>
      <w:numPr>
        <w:numId w:val="12"/>
      </w:numPr>
      <w:contextualSpacing/>
    </w:pPr>
  </w:style>
  <w:style w:type="character" w:customStyle="1" w:styleId="MSACESHeading2Char">
    <w:name w:val="MSAC ES Heading 2 Char"/>
    <w:basedOn w:val="DefaultParagraphFont"/>
    <w:link w:val="MSACESHeading2"/>
    <w:rsid w:val="003657A4"/>
    <w:rPr>
      <w:rFonts w:ascii="Cambria" w:eastAsiaTheme="majorEastAsia" w:hAnsi="Cambria" w:cstheme="majorBidi"/>
      <w:b/>
      <w:snapToGrid w:val="0"/>
      <w:sz w:val="24"/>
      <w:szCs w:val="28"/>
    </w:rPr>
  </w:style>
  <w:style w:type="character" w:customStyle="1" w:styleId="TabletextChar0">
    <w:name w:val="Table text Char"/>
    <w:rsid w:val="003657A4"/>
    <w:rPr>
      <w:rFonts w:ascii="Arial Narrow" w:hAnsi="Arial Narrow" w:cs="Tahoma"/>
    </w:rPr>
  </w:style>
  <w:style w:type="character" w:customStyle="1" w:styleId="MSACESParagraphChar">
    <w:name w:val="MSAC ES Paragraph Char"/>
    <w:basedOn w:val="DefaultParagraphFont"/>
    <w:link w:val="MSACESParagraph"/>
    <w:rsid w:val="003657A4"/>
    <w:rPr>
      <w:rFonts w:ascii="Times New Roman" w:hAnsi="Times New Roman"/>
      <w:sz w:val="24"/>
    </w:rPr>
  </w:style>
  <w:style w:type="character" w:customStyle="1" w:styleId="MSACESBulletpointChar">
    <w:name w:val="MSAC ES Bulletpoint Char"/>
    <w:basedOn w:val="MSACESParagraphChar"/>
    <w:link w:val="MSACESBulletpoint"/>
    <w:rsid w:val="003657A4"/>
    <w:rPr>
      <w:rFonts w:ascii="Times New Roman" w:hAnsi="Times New Roman"/>
      <w:sz w:val="24"/>
    </w:rPr>
  </w:style>
  <w:style w:type="paragraph" w:customStyle="1" w:styleId="Tablecaption">
    <w:name w:val="Table caption"/>
    <w:basedOn w:val="Normal"/>
    <w:link w:val="TablecaptionChar"/>
    <w:rsid w:val="003657A4"/>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3657A4"/>
    <w:rPr>
      <w:rFonts w:ascii="Arial Narrow" w:eastAsia="Times New Roman" w:hAnsi="Arial Narrow" w:cs="Arial"/>
      <w:sz w:val="20"/>
      <w:szCs w:val="20"/>
    </w:rPr>
  </w:style>
  <w:style w:type="paragraph" w:customStyle="1" w:styleId="Tabletextright">
    <w:name w:val="Table text right"/>
    <w:basedOn w:val="Normal"/>
    <w:link w:val="TabletextrightChar"/>
    <w:qFormat/>
    <w:rsid w:val="003657A4"/>
    <w:pPr>
      <w:keepNext/>
      <w:spacing w:before="0" w:after="0"/>
      <w:jc w:val="right"/>
    </w:pPr>
    <w:rPr>
      <w:rFonts w:ascii="Arial Narrow" w:eastAsia="Times New Roman" w:hAnsi="Arial Narrow" w:cs="Arial"/>
      <w:sz w:val="20"/>
      <w:szCs w:val="20"/>
    </w:rPr>
  </w:style>
  <w:style w:type="character" w:customStyle="1" w:styleId="TabletextrightChar">
    <w:name w:val="Table text right Char"/>
    <w:basedOn w:val="DefaultParagraphFont"/>
    <w:link w:val="Tabletextright"/>
    <w:rsid w:val="003657A4"/>
    <w:rPr>
      <w:rFonts w:ascii="Arial Narrow" w:eastAsia="Times New Roman" w:hAnsi="Arial Narrow" w:cs="Arial"/>
      <w:sz w:val="20"/>
      <w:szCs w:val="20"/>
    </w:rPr>
  </w:style>
  <w:style w:type="paragraph" w:styleId="EndnoteText">
    <w:name w:val="endnote text"/>
    <w:basedOn w:val="Normal"/>
    <w:link w:val="EndnoteTextChar"/>
    <w:uiPriority w:val="99"/>
    <w:semiHidden/>
    <w:unhideWhenUsed/>
    <w:rsid w:val="00133894"/>
    <w:pPr>
      <w:spacing w:before="0" w:after="0"/>
    </w:pPr>
    <w:rPr>
      <w:sz w:val="20"/>
      <w:szCs w:val="20"/>
    </w:rPr>
  </w:style>
  <w:style w:type="character" w:customStyle="1" w:styleId="EndnoteTextChar">
    <w:name w:val="Endnote Text Char"/>
    <w:basedOn w:val="DefaultParagraphFont"/>
    <w:link w:val="EndnoteText"/>
    <w:uiPriority w:val="99"/>
    <w:semiHidden/>
    <w:rsid w:val="00133894"/>
    <w:rPr>
      <w:sz w:val="20"/>
      <w:szCs w:val="20"/>
    </w:rPr>
  </w:style>
  <w:style w:type="character" w:styleId="EndnoteReference">
    <w:name w:val="endnote reference"/>
    <w:basedOn w:val="DefaultParagraphFont"/>
    <w:uiPriority w:val="99"/>
    <w:semiHidden/>
    <w:unhideWhenUsed/>
    <w:rsid w:val="00133894"/>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15237"/>
    <w:pPr>
      <w:spacing w:before="0" w:line="240" w:lineRule="exact"/>
      <w:jc w:val="left"/>
    </w:pPr>
    <w:rPr>
      <w:rFonts w:ascii="Verdana" w:eastAsia="MS Mincho" w:hAnsi="Verdana" w:cs="Verdana"/>
      <w:sz w:val="20"/>
      <w:szCs w:val="20"/>
      <w:lang w:val="en-US"/>
    </w:rPr>
  </w:style>
  <w:style w:type="paragraph" w:customStyle="1" w:styleId="V50Heading2nonumbers">
    <w:name w:val="V5.0 Heading 2 no numbers"/>
    <w:basedOn w:val="Heading2"/>
    <w:qFormat/>
    <w:rsid w:val="00612788"/>
    <w:pPr>
      <w:numPr>
        <w:ilvl w:val="0"/>
        <w:numId w:val="0"/>
      </w:numPr>
      <w:spacing w:before="240"/>
      <w:ind w:left="578" w:hanging="578"/>
    </w:pPr>
    <w:rPr>
      <w:rFonts w:asciiTheme="minorHAnsi" w:hAnsiTheme="minorHAnsi"/>
      <w:snapToGrid/>
    </w:rPr>
  </w:style>
  <w:style w:type="paragraph" w:styleId="DocumentMap">
    <w:name w:val="Document Map"/>
    <w:basedOn w:val="Normal"/>
    <w:link w:val="DocumentMapChar"/>
    <w:uiPriority w:val="99"/>
    <w:semiHidden/>
    <w:unhideWhenUsed/>
    <w:rsid w:val="00C71028"/>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C71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10">
      <w:bodyDiv w:val="1"/>
      <w:marLeft w:val="0"/>
      <w:marRight w:val="0"/>
      <w:marTop w:val="0"/>
      <w:marBottom w:val="0"/>
      <w:divBdr>
        <w:top w:val="none" w:sz="0" w:space="0" w:color="auto"/>
        <w:left w:val="none" w:sz="0" w:space="0" w:color="auto"/>
        <w:bottom w:val="none" w:sz="0" w:space="0" w:color="auto"/>
        <w:right w:val="none" w:sz="0" w:space="0" w:color="auto"/>
      </w:divBdr>
    </w:div>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29495911">
      <w:bodyDiv w:val="1"/>
      <w:marLeft w:val="0"/>
      <w:marRight w:val="0"/>
      <w:marTop w:val="0"/>
      <w:marBottom w:val="0"/>
      <w:divBdr>
        <w:top w:val="none" w:sz="0" w:space="0" w:color="auto"/>
        <w:left w:val="none" w:sz="0" w:space="0" w:color="auto"/>
        <w:bottom w:val="none" w:sz="0" w:space="0" w:color="auto"/>
        <w:right w:val="none" w:sz="0" w:space="0" w:color="auto"/>
      </w:divBdr>
    </w:div>
    <w:div w:id="83963830">
      <w:bodyDiv w:val="1"/>
      <w:marLeft w:val="0"/>
      <w:marRight w:val="0"/>
      <w:marTop w:val="0"/>
      <w:marBottom w:val="0"/>
      <w:divBdr>
        <w:top w:val="none" w:sz="0" w:space="0" w:color="auto"/>
        <w:left w:val="none" w:sz="0" w:space="0" w:color="auto"/>
        <w:bottom w:val="none" w:sz="0" w:space="0" w:color="auto"/>
        <w:right w:val="none" w:sz="0" w:space="0" w:color="auto"/>
      </w:divBdr>
    </w:div>
    <w:div w:id="99572970">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60383124">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42973830">
      <w:bodyDiv w:val="1"/>
      <w:marLeft w:val="0"/>
      <w:marRight w:val="0"/>
      <w:marTop w:val="0"/>
      <w:marBottom w:val="0"/>
      <w:divBdr>
        <w:top w:val="none" w:sz="0" w:space="0" w:color="auto"/>
        <w:left w:val="none" w:sz="0" w:space="0" w:color="auto"/>
        <w:bottom w:val="none" w:sz="0" w:space="0" w:color="auto"/>
        <w:right w:val="none" w:sz="0" w:space="0" w:color="auto"/>
      </w:divBdr>
    </w:div>
    <w:div w:id="375395374">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53519357">
      <w:bodyDiv w:val="1"/>
      <w:marLeft w:val="0"/>
      <w:marRight w:val="0"/>
      <w:marTop w:val="0"/>
      <w:marBottom w:val="0"/>
      <w:divBdr>
        <w:top w:val="none" w:sz="0" w:space="0" w:color="auto"/>
        <w:left w:val="none" w:sz="0" w:space="0" w:color="auto"/>
        <w:bottom w:val="none" w:sz="0" w:space="0" w:color="auto"/>
        <w:right w:val="none" w:sz="0" w:space="0" w:color="auto"/>
      </w:divBdr>
    </w:div>
    <w:div w:id="455366681">
      <w:bodyDiv w:val="1"/>
      <w:marLeft w:val="0"/>
      <w:marRight w:val="0"/>
      <w:marTop w:val="0"/>
      <w:marBottom w:val="0"/>
      <w:divBdr>
        <w:top w:val="none" w:sz="0" w:space="0" w:color="auto"/>
        <w:left w:val="none" w:sz="0" w:space="0" w:color="auto"/>
        <w:bottom w:val="none" w:sz="0" w:space="0" w:color="auto"/>
        <w:right w:val="none" w:sz="0" w:space="0" w:color="auto"/>
      </w:divBdr>
    </w:div>
    <w:div w:id="459301649">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278">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39579535">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19276">
      <w:bodyDiv w:val="1"/>
      <w:marLeft w:val="0"/>
      <w:marRight w:val="0"/>
      <w:marTop w:val="0"/>
      <w:marBottom w:val="0"/>
      <w:divBdr>
        <w:top w:val="none" w:sz="0" w:space="0" w:color="auto"/>
        <w:left w:val="none" w:sz="0" w:space="0" w:color="auto"/>
        <w:bottom w:val="none" w:sz="0" w:space="0" w:color="auto"/>
        <w:right w:val="none" w:sz="0" w:space="0" w:color="auto"/>
      </w:divBdr>
    </w:div>
    <w:div w:id="735469512">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784156561">
      <w:bodyDiv w:val="1"/>
      <w:marLeft w:val="0"/>
      <w:marRight w:val="0"/>
      <w:marTop w:val="0"/>
      <w:marBottom w:val="0"/>
      <w:divBdr>
        <w:top w:val="none" w:sz="0" w:space="0" w:color="auto"/>
        <w:left w:val="none" w:sz="0" w:space="0" w:color="auto"/>
        <w:bottom w:val="none" w:sz="0" w:space="0" w:color="auto"/>
        <w:right w:val="none" w:sz="0" w:space="0" w:color="auto"/>
      </w:divBdr>
    </w:div>
    <w:div w:id="795218720">
      <w:bodyDiv w:val="1"/>
      <w:marLeft w:val="0"/>
      <w:marRight w:val="0"/>
      <w:marTop w:val="0"/>
      <w:marBottom w:val="0"/>
      <w:divBdr>
        <w:top w:val="none" w:sz="0" w:space="0" w:color="auto"/>
        <w:left w:val="none" w:sz="0" w:space="0" w:color="auto"/>
        <w:bottom w:val="none" w:sz="0" w:space="0" w:color="auto"/>
        <w:right w:val="none" w:sz="0" w:space="0" w:color="auto"/>
      </w:divBdr>
    </w:div>
    <w:div w:id="801115693">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12406882">
      <w:bodyDiv w:val="1"/>
      <w:marLeft w:val="0"/>
      <w:marRight w:val="0"/>
      <w:marTop w:val="0"/>
      <w:marBottom w:val="0"/>
      <w:divBdr>
        <w:top w:val="none" w:sz="0" w:space="0" w:color="auto"/>
        <w:left w:val="none" w:sz="0" w:space="0" w:color="auto"/>
        <w:bottom w:val="none" w:sz="0" w:space="0" w:color="auto"/>
        <w:right w:val="none" w:sz="0" w:space="0" w:color="auto"/>
      </w:divBdr>
    </w:div>
    <w:div w:id="816452524">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55650707">
      <w:bodyDiv w:val="1"/>
      <w:marLeft w:val="0"/>
      <w:marRight w:val="0"/>
      <w:marTop w:val="0"/>
      <w:marBottom w:val="0"/>
      <w:divBdr>
        <w:top w:val="none" w:sz="0" w:space="0" w:color="auto"/>
        <w:left w:val="none" w:sz="0" w:space="0" w:color="auto"/>
        <w:bottom w:val="none" w:sz="0" w:space="0" w:color="auto"/>
        <w:right w:val="none" w:sz="0" w:space="0" w:color="auto"/>
      </w:divBdr>
    </w:div>
    <w:div w:id="858856713">
      <w:bodyDiv w:val="1"/>
      <w:marLeft w:val="0"/>
      <w:marRight w:val="0"/>
      <w:marTop w:val="0"/>
      <w:marBottom w:val="0"/>
      <w:divBdr>
        <w:top w:val="none" w:sz="0" w:space="0" w:color="auto"/>
        <w:left w:val="none" w:sz="0" w:space="0" w:color="auto"/>
        <w:bottom w:val="none" w:sz="0" w:space="0" w:color="auto"/>
        <w:right w:val="none" w:sz="0" w:space="0" w:color="auto"/>
      </w:divBdr>
    </w:div>
    <w:div w:id="875853353">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08539995">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75254041">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995377046">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96857">
      <w:bodyDiv w:val="1"/>
      <w:marLeft w:val="0"/>
      <w:marRight w:val="0"/>
      <w:marTop w:val="0"/>
      <w:marBottom w:val="0"/>
      <w:divBdr>
        <w:top w:val="none" w:sz="0" w:space="0" w:color="auto"/>
        <w:left w:val="none" w:sz="0" w:space="0" w:color="auto"/>
        <w:bottom w:val="none" w:sz="0" w:space="0" w:color="auto"/>
        <w:right w:val="none" w:sz="0" w:space="0" w:color="auto"/>
      </w:divBdr>
    </w:div>
    <w:div w:id="1041202653">
      <w:bodyDiv w:val="1"/>
      <w:marLeft w:val="0"/>
      <w:marRight w:val="0"/>
      <w:marTop w:val="0"/>
      <w:marBottom w:val="0"/>
      <w:divBdr>
        <w:top w:val="none" w:sz="0" w:space="0" w:color="auto"/>
        <w:left w:val="none" w:sz="0" w:space="0" w:color="auto"/>
        <w:bottom w:val="none" w:sz="0" w:space="0" w:color="auto"/>
        <w:right w:val="none" w:sz="0" w:space="0" w:color="auto"/>
      </w:divBdr>
    </w:div>
    <w:div w:id="1049499989">
      <w:bodyDiv w:val="1"/>
      <w:marLeft w:val="0"/>
      <w:marRight w:val="0"/>
      <w:marTop w:val="0"/>
      <w:marBottom w:val="0"/>
      <w:divBdr>
        <w:top w:val="none" w:sz="0" w:space="0" w:color="auto"/>
        <w:left w:val="none" w:sz="0" w:space="0" w:color="auto"/>
        <w:bottom w:val="none" w:sz="0" w:space="0" w:color="auto"/>
        <w:right w:val="none" w:sz="0" w:space="0" w:color="auto"/>
      </w:divBdr>
    </w:div>
    <w:div w:id="1052268664">
      <w:bodyDiv w:val="1"/>
      <w:marLeft w:val="0"/>
      <w:marRight w:val="0"/>
      <w:marTop w:val="0"/>
      <w:marBottom w:val="0"/>
      <w:divBdr>
        <w:top w:val="none" w:sz="0" w:space="0" w:color="auto"/>
        <w:left w:val="none" w:sz="0" w:space="0" w:color="auto"/>
        <w:bottom w:val="none" w:sz="0" w:space="0" w:color="auto"/>
        <w:right w:val="none" w:sz="0" w:space="0" w:color="auto"/>
      </w:divBdr>
    </w:div>
    <w:div w:id="1097016836">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34651343">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26343150">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8352">
      <w:bodyDiv w:val="1"/>
      <w:marLeft w:val="0"/>
      <w:marRight w:val="0"/>
      <w:marTop w:val="0"/>
      <w:marBottom w:val="0"/>
      <w:divBdr>
        <w:top w:val="none" w:sz="0" w:space="0" w:color="auto"/>
        <w:left w:val="none" w:sz="0" w:space="0" w:color="auto"/>
        <w:bottom w:val="none" w:sz="0" w:space="0" w:color="auto"/>
        <w:right w:val="none" w:sz="0" w:space="0" w:color="auto"/>
      </w:divBdr>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695112187">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22361972">
      <w:bodyDiv w:val="1"/>
      <w:marLeft w:val="0"/>
      <w:marRight w:val="0"/>
      <w:marTop w:val="0"/>
      <w:marBottom w:val="0"/>
      <w:divBdr>
        <w:top w:val="none" w:sz="0" w:space="0" w:color="auto"/>
        <w:left w:val="none" w:sz="0" w:space="0" w:color="auto"/>
        <w:bottom w:val="none" w:sz="0" w:space="0" w:color="auto"/>
        <w:right w:val="none" w:sz="0" w:space="0" w:color="auto"/>
      </w:divBdr>
    </w:div>
    <w:div w:id="1741053121">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996">
      <w:bodyDiv w:val="1"/>
      <w:marLeft w:val="0"/>
      <w:marRight w:val="0"/>
      <w:marTop w:val="0"/>
      <w:marBottom w:val="0"/>
      <w:divBdr>
        <w:top w:val="none" w:sz="0" w:space="0" w:color="auto"/>
        <w:left w:val="none" w:sz="0" w:space="0" w:color="auto"/>
        <w:bottom w:val="none" w:sz="0" w:space="0" w:color="auto"/>
        <w:right w:val="none" w:sz="0" w:space="0" w:color="auto"/>
      </w:divBdr>
    </w:div>
    <w:div w:id="1859737584">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28952444">
      <w:bodyDiv w:val="1"/>
      <w:marLeft w:val="0"/>
      <w:marRight w:val="0"/>
      <w:marTop w:val="0"/>
      <w:marBottom w:val="0"/>
      <w:divBdr>
        <w:top w:val="none" w:sz="0" w:space="0" w:color="auto"/>
        <w:left w:val="none" w:sz="0" w:space="0" w:color="auto"/>
        <w:bottom w:val="none" w:sz="0" w:space="0" w:color="auto"/>
        <w:right w:val="none" w:sz="0" w:space="0" w:color="auto"/>
      </w:divBdr>
    </w:div>
    <w:div w:id="1932354540">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832">
      <w:bodyDiv w:val="1"/>
      <w:marLeft w:val="0"/>
      <w:marRight w:val="0"/>
      <w:marTop w:val="0"/>
      <w:marBottom w:val="0"/>
      <w:divBdr>
        <w:top w:val="none" w:sz="0" w:space="0" w:color="auto"/>
        <w:left w:val="none" w:sz="0" w:space="0" w:color="auto"/>
        <w:bottom w:val="none" w:sz="0" w:space="0" w:color="auto"/>
        <w:right w:val="none" w:sz="0" w:space="0" w:color="auto"/>
      </w:divBdr>
    </w:div>
    <w:div w:id="1961297470">
      <w:bodyDiv w:val="1"/>
      <w:marLeft w:val="0"/>
      <w:marRight w:val="0"/>
      <w:marTop w:val="0"/>
      <w:marBottom w:val="0"/>
      <w:divBdr>
        <w:top w:val="none" w:sz="0" w:space="0" w:color="auto"/>
        <w:left w:val="none" w:sz="0" w:space="0" w:color="auto"/>
        <w:bottom w:val="none" w:sz="0" w:space="0" w:color="auto"/>
        <w:right w:val="none" w:sz="0" w:space="0" w:color="auto"/>
      </w:divBdr>
    </w:div>
    <w:div w:id="2036542655">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54571546">
      <w:bodyDiv w:val="1"/>
      <w:marLeft w:val="0"/>
      <w:marRight w:val="0"/>
      <w:marTop w:val="0"/>
      <w:marBottom w:val="0"/>
      <w:divBdr>
        <w:top w:val="none" w:sz="0" w:space="0" w:color="auto"/>
        <w:left w:val="none" w:sz="0" w:space="0" w:color="auto"/>
        <w:bottom w:val="none" w:sz="0" w:space="0" w:color="auto"/>
        <w:right w:val="none" w:sz="0" w:space="0" w:color="auto"/>
      </w:divBdr>
    </w:div>
    <w:div w:id="2104452452">
      <w:bodyDiv w:val="1"/>
      <w:marLeft w:val="0"/>
      <w:marRight w:val="0"/>
      <w:marTop w:val="0"/>
      <w:marBottom w:val="0"/>
      <w:divBdr>
        <w:top w:val="none" w:sz="0" w:space="0" w:color="auto"/>
        <w:left w:val="none" w:sz="0" w:space="0" w:color="auto"/>
        <w:bottom w:val="none" w:sz="0" w:space="0" w:color="auto"/>
        <w:right w:val="none" w:sz="0" w:space="0" w:color="auto"/>
      </w:divBdr>
    </w:div>
    <w:div w:id="2107576454">
      <w:bodyDiv w:val="1"/>
      <w:marLeft w:val="0"/>
      <w:marRight w:val="0"/>
      <w:marTop w:val="0"/>
      <w:marBottom w:val="0"/>
      <w:divBdr>
        <w:top w:val="none" w:sz="0" w:space="0" w:color="auto"/>
        <w:left w:val="none" w:sz="0" w:space="0" w:color="auto"/>
        <w:bottom w:val="none" w:sz="0" w:space="0" w:color="auto"/>
        <w:right w:val="none" w:sz="0" w:space="0" w:color="auto"/>
      </w:divBdr>
    </w:div>
    <w:div w:id="2111968348">
      <w:bodyDiv w:val="1"/>
      <w:marLeft w:val="0"/>
      <w:marRight w:val="0"/>
      <w:marTop w:val="0"/>
      <w:marBottom w:val="0"/>
      <w:divBdr>
        <w:top w:val="none" w:sz="0" w:space="0" w:color="auto"/>
        <w:left w:val="none" w:sz="0" w:space="0" w:color="auto"/>
        <w:bottom w:val="none" w:sz="0" w:space="0" w:color="auto"/>
        <w:right w:val="none" w:sz="0" w:space="0" w:color="auto"/>
      </w:divBdr>
    </w:div>
    <w:div w:id="211427667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9E21C-A076-4682-9AD2-B3981B4D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14822</Words>
  <Characters>84489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2018-02-14T23:50:00Z</dcterms:created>
  <dcterms:modified xsi:type="dcterms:W3CDTF">2018-02-14T23:52:00Z</dcterms:modified>
</cp:coreProperties>
</file>