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2A4503" w:rsidRDefault="003B19EC" w:rsidP="00660814">
      <w:pPr>
        <w:ind w:left="992" w:hanging="992"/>
        <w:outlineLvl w:val="0"/>
        <w:rPr>
          <w:sz w:val="36"/>
          <w:szCs w:val="36"/>
        </w:rPr>
      </w:pPr>
      <w:bookmarkStart w:id="0" w:name="_GoBack"/>
      <w:bookmarkEnd w:id="0"/>
      <w:r>
        <w:rPr>
          <w:b/>
          <w:sz w:val="36"/>
          <w:szCs w:val="36"/>
        </w:rPr>
        <w:t>6</w:t>
      </w:r>
      <w:r w:rsidR="00C317F3" w:rsidRPr="002A4503">
        <w:rPr>
          <w:b/>
          <w:sz w:val="36"/>
          <w:szCs w:val="36"/>
        </w:rPr>
        <w:t>.</w:t>
      </w:r>
      <w:r>
        <w:rPr>
          <w:b/>
          <w:sz w:val="36"/>
          <w:szCs w:val="36"/>
        </w:rPr>
        <w:t>10</w:t>
      </w:r>
      <w:r w:rsidR="00C317F3" w:rsidRPr="002A4503">
        <w:rPr>
          <w:b/>
          <w:sz w:val="36"/>
          <w:szCs w:val="36"/>
        </w:rPr>
        <w:tab/>
      </w:r>
      <w:r w:rsidR="00EE3D6F">
        <w:rPr>
          <w:b/>
          <w:sz w:val="36"/>
          <w:szCs w:val="36"/>
        </w:rPr>
        <w:t>OCRELIZUMAB</w:t>
      </w:r>
      <w:r w:rsidR="00C317F3" w:rsidRPr="002A4503">
        <w:rPr>
          <w:b/>
          <w:sz w:val="36"/>
          <w:szCs w:val="36"/>
        </w:rPr>
        <w:t>,</w:t>
      </w:r>
      <w:r w:rsidR="009D4C2A">
        <w:rPr>
          <w:b/>
          <w:sz w:val="36"/>
          <w:szCs w:val="36"/>
        </w:rPr>
        <w:br/>
      </w:r>
      <w:r w:rsidR="00EE3D6F" w:rsidRPr="00EE3D6F">
        <w:rPr>
          <w:b/>
          <w:sz w:val="36"/>
          <w:szCs w:val="36"/>
        </w:rPr>
        <w:t>Solution concentrate</w:t>
      </w:r>
      <w:r w:rsidR="002924DA">
        <w:rPr>
          <w:b/>
          <w:sz w:val="36"/>
          <w:szCs w:val="36"/>
        </w:rPr>
        <w:t xml:space="preserve"> for I.V. infusion 300 mg in 10 </w:t>
      </w:r>
      <w:r w:rsidR="00EE3D6F" w:rsidRPr="00EE3D6F">
        <w:rPr>
          <w:b/>
          <w:sz w:val="36"/>
          <w:szCs w:val="36"/>
        </w:rPr>
        <w:t>mL</w:t>
      </w:r>
      <w:r w:rsidR="00C317F3" w:rsidRPr="002A4503">
        <w:rPr>
          <w:b/>
          <w:sz w:val="36"/>
          <w:szCs w:val="36"/>
        </w:rPr>
        <w:t xml:space="preserve">, </w:t>
      </w:r>
      <w:r w:rsidR="009D4C2A">
        <w:rPr>
          <w:b/>
          <w:sz w:val="36"/>
          <w:szCs w:val="36"/>
        </w:rPr>
        <w:br/>
      </w:r>
      <w:r w:rsidR="00EE3D6F" w:rsidRPr="00EE3D6F">
        <w:rPr>
          <w:b/>
          <w:sz w:val="36"/>
          <w:szCs w:val="36"/>
        </w:rPr>
        <w:t xml:space="preserve">Ocrevus®, Roche Products Pty </w:t>
      </w:r>
      <w:r w:rsidR="002D57F6" w:rsidRPr="00EE3D6F">
        <w:rPr>
          <w:b/>
          <w:sz w:val="36"/>
          <w:szCs w:val="36"/>
        </w:rPr>
        <w:t>L</w:t>
      </w:r>
      <w:r w:rsidR="002D57F6">
        <w:rPr>
          <w:b/>
          <w:sz w:val="36"/>
          <w:szCs w:val="36"/>
        </w:rPr>
        <w:t>t</w:t>
      </w:r>
      <w:r w:rsidR="002D57F6" w:rsidRPr="00EE3D6F">
        <w:rPr>
          <w:b/>
          <w:sz w:val="36"/>
          <w:szCs w:val="36"/>
        </w:rPr>
        <w:t>d</w:t>
      </w:r>
    </w:p>
    <w:p w:rsidR="00C317F3" w:rsidRPr="00BB367E" w:rsidRDefault="00C317F3" w:rsidP="002001C6">
      <w:pPr>
        <w:pStyle w:val="Heading1"/>
        <w:ind w:left="709" w:hanging="709"/>
      </w:pPr>
      <w:bookmarkStart w:id="1" w:name="_Toc413139271"/>
      <w:bookmarkStart w:id="2" w:name="_Toc492991348"/>
      <w:r w:rsidRPr="00BB367E">
        <w:t xml:space="preserve">Purpose of </w:t>
      </w:r>
      <w:r w:rsidR="00661286" w:rsidRPr="00BB367E">
        <w:t>a</w:t>
      </w:r>
      <w:r w:rsidRPr="00BB367E">
        <w:t>pplication</w:t>
      </w:r>
      <w:bookmarkEnd w:id="1"/>
      <w:bookmarkEnd w:id="2"/>
    </w:p>
    <w:p w:rsidR="00FC33EA" w:rsidRPr="00BB367E" w:rsidRDefault="006F1AD7" w:rsidP="00FF615A">
      <w:pPr>
        <w:pStyle w:val="ListParagraph"/>
        <w:numPr>
          <w:ilvl w:val="1"/>
          <w:numId w:val="1"/>
        </w:numPr>
        <w:ind w:left="720" w:hanging="720"/>
        <w:jc w:val="both"/>
      </w:pPr>
      <w:r w:rsidRPr="00BB367E">
        <w:t>Section 100 listing for ocrelizumab</w:t>
      </w:r>
      <w:r w:rsidR="00C317F3" w:rsidRPr="00BB367E">
        <w:t xml:space="preserve"> for treatment of </w:t>
      </w:r>
      <w:r w:rsidRPr="00BB367E">
        <w:t>primary progressive multiple sclerosis (PPMS)</w:t>
      </w:r>
      <w:r w:rsidR="00C317F3" w:rsidRPr="00BB367E">
        <w:t>.</w:t>
      </w:r>
      <w:r w:rsidRPr="00BB367E">
        <w:t xml:space="preserve"> This </w:t>
      </w:r>
      <w:r w:rsidR="00C30B4C" w:rsidRPr="00BB367E">
        <w:t>wa</w:t>
      </w:r>
      <w:r w:rsidRPr="00BB367E">
        <w:t xml:space="preserve">s </w:t>
      </w:r>
      <w:r w:rsidR="00C30B4C" w:rsidRPr="00BB367E">
        <w:t xml:space="preserve">the </w:t>
      </w:r>
      <w:r w:rsidRPr="00BB367E">
        <w:t xml:space="preserve">first ocrelizumab submission for PPMS. </w:t>
      </w:r>
    </w:p>
    <w:p w:rsidR="00F44EFB" w:rsidRPr="00BB367E" w:rsidRDefault="00770379" w:rsidP="00FF615A">
      <w:pPr>
        <w:pStyle w:val="ListParagraph"/>
        <w:numPr>
          <w:ilvl w:val="1"/>
          <w:numId w:val="1"/>
        </w:numPr>
        <w:ind w:left="720" w:hanging="720"/>
        <w:jc w:val="both"/>
      </w:pPr>
      <w:r w:rsidRPr="00BB367E">
        <w:t>The basis for listing was a cost-utility model of ocrelizumab in comparison to best supportive care.</w:t>
      </w:r>
      <w:r w:rsidR="00F44EFB" w:rsidRPr="00BB367E">
        <w:t xml:space="preserve"> </w:t>
      </w:r>
    </w:p>
    <w:p w:rsidR="00233552" w:rsidRPr="00BB367E" w:rsidRDefault="00233552" w:rsidP="00FF615A">
      <w:pPr>
        <w:pStyle w:val="ListParagraph"/>
        <w:numPr>
          <w:ilvl w:val="1"/>
          <w:numId w:val="1"/>
        </w:numPr>
        <w:ind w:left="720" w:hanging="720"/>
        <w:jc w:val="both"/>
      </w:pPr>
      <w:r w:rsidRPr="00BB367E">
        <w:t>The key components of the clinical issue addressed by the submission are presented in Table 1.</w:t>
      </w:r>
    </w:p>
    <w:p w:rsidR="00AE513E" w:rsidRPr="00BB367E" w:rsidRDefault="003C0D30" w:rsidP="00772501">
      <w:pPr>
        <w:spacing w:before="0" w:after="60"/>
        <w:jc w:val="both"/>
        <w:rPr>
          <w:b/>
        </w:rPr>
      </w:pPr>
      <w:r w:rsidRPr="00BB367E">
        <w:rPr>
          <w:rFonts w:ascii="Arial Narrow" w:hAnsi="Arial Narrow"/>
          <w:b/>
          <w:sz w:val="20"/>
          <w:szCs w:val="20"/>
        </w:rPr>
        <w:t>Table 1</w:t>
      </w:r>
      <w:r w:rsidR="00AE513E" w:rsidRPr="00BB367E">
        <w:rPr>
          <w:rFonts w:ascii="Arial Narrow" w:hAnsi="Arial Narrow"/>
          <w:b/>
          <w:sz w:val="20"/>
          <w:szCs w:val="20"/>
        </w:rPr>
        <w:t>: Key components of the clinical issue addressed by the submission</w:t>
      </w:r>
      <w:r w:rsidR="00AE513E" w:rsidRPr="00BB367E">
        <w:rPr>
          <w:b/>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739"/>
        <w:gridCol w:w="7503"/>
      </w:tblGrid>
      <w:tr w:rsidR="00AE513E" w:rsidRPr="00BB367E" w:rsidTr="00957C44">
        <w:trPr>
          <w:cnfStyle w:val="100000000000" w:firstRow="1" w:lastRow="0" w:firstColumn="0" w:lastColumn="0" w:oddVBand="0" w:evenVBand="0" w:oddHBand="0" w:evenHBand="0" w:firstRowFirstColumn="0" w:firstRowLastColumn="0" w:lastRowFirstColumn="0" w:lastRowLastColumn="0"/>
          <w:cantSplit/>
          <w:tblHeader/>
        </w:trPr>
        <w:tc>
          <w:tcPr>
            <w:tcW w:w="941" w:type="pct"/>
            <w:shd w:val="clear" w:color="auto" w:fill="auto"/>
          </w:tcPr>
          <w:p w:rsidR="00AE513E" w:rsidRPr="00BB367E" w:rsidRDefault="00AE513E" w:rsidP="00772501">
            <w:pPr>
              <w:pStyle w:val="TableText"/>
              <w:rPr>
                <w:szCs w:val="20"/>
              </w:rPr>
            </w:pPr>
            <w:r w:rsidRPr="00BB367E">
              <w:t>Component</w:t>
            </w:r>
          </w:p>
        </w:tc>
        <w:tc>
          <w:tcPr>
            <w:tcW w:w="4059" w:type="pct"/>
            <w:shd w:val="clear" w:color="auto" w:fill="auto"/>
          </w:tcPr>
          <w:p w:rsidR="00AE513E" w:rsidRPr="00BB367E" w:rsidRDefault="00AE513E" w:rsidP="00772501">
            <w:pPr>
              <w:pStyle w:val="TableText"/>
            </w:pPr>
            <w:r w:rsidRPr="00BB367E">
              <w:t>Description</w:t>
            </w:r>
          </w:p>
        </w:tc>
      </w:tr>
      <w:tr w:rsidR="00770379" w:rsidRPr="00BB367E" w:rsidTr="00957C44">
        <w:trPr>
          <w:cantSplit/>
        </w:trPr>
        <w:tc>
          <w:tcPr>
            <w:tcW w:w="941" w:type="pct"/>
            <w:shd w:val="clear" w:color="auto" w:fill="auto"/>
          </w:tcPr>
          <w:p w:rsidR="00770379" w:rsidRPr="00BB367E" w:rsidRDefault="00770379" w:rsidP="00772501">
            <w:pPr>
              <w:pStyle w:val="TableText"/>
            </w:pPr>
            <w:r w:rsidRPr="00BB367E">
              <w:t>Population</w:t>
            </w:r>
          </w:p>
        </w:tc>
        <w:tc>
          <w:tcPr>
            <w:tcW w:w="4059" w:type="pct"/>
            <w:shd w:val="clear" w:color="auto" w:fill="auto"/>
          </w:tcPr>
          <w:p w:rsidR="00770379" w:rsidRPr="00BB367E" w:rsidRDefault="00770379" w:rsidP="009818C2">
            <w:pPr>
              <w:pStyle w:val="TableText"/>
            </w:pPr>
            <w:r w:rsidRPr="00BB367E">
              <w:t xml:space="preserve">Patients with primary </w:t>
            </w:r>
            <w:r w:rsidR="009818C2" w:rsidRPr="00BB367E">
              <w:t xml:space="preserve">progressive </w:t>
            </w:r>
            <w:r w:rsidRPr="00BB367E">
              <w:t>multiple sclerosis</w:t>
            </w:r>
          </w:p>
        </w:tc>
      </w:tr>
      <w:tr w:rsidR="00770379" w:rsidRPr="00BB367E" w:rsidTr="00957C44">
        <w:trPr>
          <w:cantSplit/>
        </w:trPr>
        <w:tc>
          <w:tcPr>
            <w:tcW w:w="941" w:type="pct"/>
            <w:shd w:val="clear" w:color="auto" w:fill="auto"/>
          </w:tcPr>
          <w:p w:rsidR="00770379" w:rsidRPr="00BB367E" w:rsidRDefault="00770379" w:rsidP="00772501">
            <w:pPr>
              <w:pStyle w:val="TableText"/>
            </w:pPr>
            <w:r w:rsidRPr="00BB367E">
              <w:t>Intervention</w:t>
            </w:r>
          </w:p>
        </w:tc>
        <w:tc>
          <w:tcPr>
            <w:tcW w:w="4059" w:type="pct"/>
            <w:shd w:val="clear" w:color="auto" w:fill="auto"/>
          </w:tcPr>
          <w:p w:rsidR="00770379" w:rsidRPr="00BB367E" w:rsidRDefault="00596934" w:rsidP="0083405E">
            <w:pPr>
              <w:pStyle w:val="TableText"/>
            </w:pPr>
            <w:r w:rsidRPr="00BB367E">
              <w:t>Ocrelizumab (600mg IV infusion every 6 months)</w:t>
            </w:r>
          </w:p>
        </w:tc>
      </w:tr>
      <w:tr w:rsidR="00770379" w:rsidRPr="00BB367E" w:rsidTr="00957C44">
        <w:trPr>
          <w:cantSplit/>
        </w:trPr>
        <w:tc>
          <w:tcPr>
            <w:tcW w:w="941" w:type="pct"/>
            <w:shd w:val="clear" w:color="auto" w:fill="auto"/>
          </w:tcPr>
          <w:p w:rsidR="00770379" w:rsidRPr="00BB367E" w:rsidRDefault="00770379" w:rsidP="00772501">
            <w:pPr>
              <w:pStyle w:val="TableText"/>
            </w:pPr>
            <w:r w:rsidRPr="00BB367E">
              <w:t>Comparator</w:t>
            </w:r>
          </w:p>
        </w:tc>
        <w:tc>
          <w:tcPr>
            <w:tcW w:w="4059" w:type="pct"/>
            <w:shd w:val="clear" w:color="auto" w:fill="auto"/>
          </w:tcPr>
          <w:p w:rsidR="00770379" w:rsidRPr="00BB367E" w:rsidRDefault="00770379" w:rsidP="00772501">
            <w:pPr>
              <w:pStyle w:val="TableText"/>
            </w:pPr>
            <w:r w:rsidRPr="00BB367E">
              <w:t>Best supportive care</w:t>
            </w:r>
            <w:r w:rsidR="00003A2C" w:rsidRPr="00BB367E">
              <w:t xml:space="preserve"> (BSC)</w:t>
            </w:r>
          </w:p>
        </w:tc>
      </w:tr>
      <w:tr w:rsidR="00770379" w:rsidRPr="00BB367E" w:rsidTr="00957C44">
        <w:trPr>
          <w:cantSplit/>
        </w:trPr>
        <w:tc>
          <w:tcPr>
            <w:tcW w:w="941" w:type="pct"/>
            <w:shd w:val="clear" w:color="auto" w:fill="auto"/>
          </w:tcPr>
          <w:p w:rsidR="00770379" w:rsidRPr="00BB367E" w:rsidRDefault="00770379" w:rsidP="00772501">
            <w:pPr>
              <w:pStyle w:val="TableText"/>
            </w:pPr>
            <w:r w:rsidRPr="00BB367E">
              <w:t>Outcomes</w:t>
            </w:r>
          </w:p>
        </w:tc>
        <w:tc>
          <w:tcPr>
            <w:tcW w:w="4059" w:type="pct"/>
            <w:shd w:val="clear" w:color="auto" w:fill="auto"/>
          </w:tcPr>
          <w:p w:rsidR="00770379" w:rsidRPr="00BB367E" w:rsidRDefault="002052AF" w:rsidP="00D01A5E">
            <w:pPr>
              <w:pStyle w:val="TableText"/>
            </w:pPr>
            <w:r w:rsidRPr="00BB367E">
              <w:t>Delay in</w:t>
            </w:r>
            <w:r w:rsidR="00770379" w:rsidRPr="00BB367E">
              <w:t xml:space="preserve"> disease progression</w:t>
            </w:r>
          </w:p>
        </w:tc>
      </w:tr>
      <w:tr w:rsidR="00770379" w:rsidRPr="00BB367E" w:rsidTr="00957C44">
        <w:trPr>
          <w:cantSplit/>
        </w:trPr>
        <w:tc>
          <w:tcPr>
            <w:tcW w:w="941" w:type="pct"/>
            <w:shd w:val="clear" w:color="auto" w:fill="auto"/>
          </w:tcPr>
          <w:p w:rsidR="00770379" w:rsidRPr="00BB367E" w:rsidRDefault="00770379" w:rsidP="00772501">
            <w:pPr>
              <w:pStyle w:val="TableText"/>
            </w:pPr>
            <w:r w:rsidRPr="00BB367E">
              <w:t>Clinical claim</w:t>
            </w:r>
          </w:p>
        </w:tc>
        <w:tc>
          <w:tcPr>
            <w:tcW w:w="4059" w:type="pct"/>
            <w:shd w:val="clear" w:color="auto" w:fill="auto"/>
          </w:tcPr>
          <w:p w:rsidR="00770379" w:rsidRPr="00BB367E" w:rsidRDefault="00770379" w:rsidP="00772501">
            <w:pPr>
              <w:pStyle w:val="TableText"/>
            </w:pPr>
            <w:r w:rsidRPr="00BB367E">
              <w:t>Ocrelizum</w:t>
            </w:r>
            <w:r w:rsidR="002052AF" w:rsidRPr="00BB367E">
              <w:t>a</w:t>
            </w:r>
            <w:r w:rsidRPr="00BB367E">
              <w:t>b is superior to BSC in terms of efficacy and is inferior to BSC in terms of safety with an acceptable safety profile, comparable to placebo.</w:t>
            </w:r>
          </w:p>
        </w:tc>
      </w:tr>
    </w:tbl>
    <w:p w:rsidR="00770379" w:rsidRPr="00BB367E" w:rsidRDefault="00770379" w:rsidP="00770379">
      <w:pPr>
        <w:pStyle w:val="TableFooter"/>
      </w:pPr>
      <w:bookmarkStart w:id="3" w:name="_Toc413139272"/>
      <w:r w:rsidRPr="00BB367E">
        <w:t>Source: Table 1.1</w:t>
      </w:r>
      <w:r w:rsidR="00D141A9" w:rsidRPr="00BB367E">
        <w:t>.</w:t>
      </w:r>
      <w:r w:rsidRPr="00BB367E">
        <w:t>3, p7 of the submission.</w:t>
      </w:r>
    </w:p>
    <w:p w:rsidR="00770379" w:rsidRPr="00BB367E" w:rsidRDefault="00770379" w:rsidP="00770379">
      <w:pPr>
        <w:pStyle w:val="TableFooter"/>
      </w:pPr>
      <w:r w:rsidRPr="00BB367E">
        <w:t>IV = intravenous; HrQoL = health-related quality of life</w:t>
      </w:r>
    </w:p>
    <w:p w:rsidR="007A49D6" w:rsidRDefault="007A49D6">
      <w:pPr>
        <w:spacing w:before="0" w:line="259" w:lineRule="auto"/>
        <w:rPr>
          <w:rFonts w:eastAsiaTheme="majorEastAsia" w:cstheme="majorBidi"/>
          <w:b/>
          <w:sz w:val="32"/>
          <w:szCs w:val="28"/>
        </w:rPr>
      </w:pPr>
      <w:bookmarkStart w:id="4" w:name="_Toc492991349"/>
      <w:r>
        <w:br w:type="page"/>
      </w:r>
    </w:p>
    <w:p w:rsidR="00E4041E" w:rsidRPr="00BB367E" w:rsidRDefault="00C317F3" w:rsidP="00E4041E">
      <w:pPr>
        <w:pStyle w:val="Heading1"/>
        <w:ind w:left="709" w:hanging="709"/>
      </w:pPr>
      <w:r w:rsidRPr="00BB367E">
        <w:lastRenderedPageBreak/>
        <w:t>Requested listing</w:t>
      </w:r>
      <w:bookmarkEnd w:id="3"/>
      <w:bookmarkEnd w:id="4"/>
      <w:r w:rsidR="005C6285" w:rsidRPr="00BB367E">
        <w:t xml:space="preserve"> </w:t>
      </w:r>
    </w:p>
    <w:tbl>
      <w:tblPr>
        <w:tblStyle w:val="PlainTable21"/>
        <w:tblW w:w="9236" w:type="dxa"/>
        <w:tblCellMar>
          <w:left w:w="28" w:type="dxa"/>
          <w:right w:w="28" w:type="dxa"/>
        </w:tblCellMar>
        <w:tblLook w:val="04A0" w:firstRow="1" w:lastRow="0" w:firstColumn="1" w:lastColumn="0" w:noHBand="0" w:noVBand="1"/>
        <w:tblCaption w:val="Requested listing "/>
      </w:tblPr>
      <w:tblGrid>
        <w:gridCol w:w="2835"/>
        <w:gridCol w:w="865"/>
        <w:gridCol w:w="866"/>
        <w:gridCol w:w="866"/>
        <w:gridCol w:w="2076"/>
        <w:gridCol w:w="1728"/>
      </w:tblGrid>
      <w:tr w:rsidR="00C30B4C" w:rsidRPr="00BB367E" w:rsidTr="00874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Align w:val="center"/>
          </w:tcPr>
          <w:p w:rsidR="00C30B4C" w:rsidRPr="00BB367E" w:rsidRDefault="00C30B4C" w:rsidP="00FC33EA">
            <w:pPr>
              <w:pStyle w:val="Tabletext0"/>
              <w:spacing w:before="40" w:after="40"/>
              <w:rPr>
                <w:b w:val="0"/>
                <w:bCs w:val="0"/>
              </w:rPr>
            </w:pPr>
            <w:r w:rsidRPr="00BB367E">
              <w:t>Name, restriction, manner of administration, form</w:t>
            </w:r>
          </w:p>
        </w:tc>
        <w:tc>
          <w:tcPr>
            <w:tcW w:w="865" w:type="dxa"/>
            <w:vAlign w:val="center"/>
          </w:tcPr>
          <w:p w:rsidR="00C30B4C" w:rsidRPr="00BB367E" w:rsidRDefault="00C30B4C" w:rsidP="00FC33EA">
            <w:pPr>
              <w:pStyle w:val="Tabletext0"/>
              <w:spacing w:before="40" w:after="40"/>
              <w:jc w:val="center"/>
              <w:cnfStyle w:val="100000000000" w:firstRow="1" w:lastRow="0" w:firstColumn="0" w:lastColumn="0" w:oddVBand="0" w:evenVBand="0" w:oddHBand="0" w:evenHBand="0" w:firstRowFirstColumn="0" w:firstRowLastColumn="0" w:lastRowFirstColumn="0" w:lastRowLastColumn="0"/>
              <w:rPr>
                <w:b w:val="0"/>
                <w:bCs w:val="0"/>
              </w:rPr>
            </w:pPr>
            <w:r w:rsidRPr="00BB367E">
              <w:t>Maximum quantity (packs)</w:t>
            </w:r>
          </w:p>
        </w:tc>
        <w:tc>
          <w:tcPr>
            <w:tcW w:w="866" w:type="dxa"/>
            <w:vAlign w:val="center"/>
          </w:tcPr>
          <w:p w:rsidR="00C30B4C" w:rsidRPr="00BB367E" w:rsidRDefault="00C30B4C" w:rsidP="00FC33EA">
            <w:pPr>
              <w:pStyle w:val="Tabletext0"/>
              <w:spacing w:before="40" w:after="40"/>
              <w:jc w:val="center"/>
              <w:cnfStyle w:val="100000000000" w:firstRow="1" w:lastRow="0" w:firstColumn="0" w:lastColumn="0" w:oddVBand="0" w:evenVBand="0" w:oddHBand="0" w:evenHBand="0" w:firstRowFirstColumn="0" w:firstRowLastColumn="0" w:lastRowFirstColumn="0" w:lastRowLastColumn="0"/>
              <w:rPr>
                <w:b w:val="0"/>
                <w:bCs w:val="0"/>
              </w:rPr>
            </w:pPr>
            <w:r w:rsidRPr="00BB367E">
              <w:t>Maximum quantity (units)</w:t>
            </w:r>
          </w:p>
        </w:tc>
        <w:tc>
          <w:tcPr>
            <w:tcW w:w="866" w:type="dxa"/>
            <w:vAlign w:val="center"/>
          </w:tcPr>
          <w:p w:rsidR="00C30B4C" w:rsidRPr="00BB367E" w:rsidRDefault="00C30B4C" w:rsidP="00FC33EA">
            <w:pPr>
              <w:pStyle w:val="Tabletext0"/>
              <w:spacing w:before="40" w:after="40"/>
              <w:jc w:val="center"/>
              <w:cnfStyle w:val="100000000000" w:firstRow="1" w:lastRow="0" w:firstColumn="0" w:lastColumn="0" w:oddVBand="0" w:evenVBand="0" w:oddHBand="0" w:evenHBand="0" w:firstRowFirstColumn="0" w:firstRowLastColumn="0" w:lastRowFirstColumn="0" w:lastRowLastColumn="0"/>
              <w:rPr>
                <w:b w:val="0"/>
                <w:bCs w:val="0"/>
              </w:rPr>
            </w:pPr>
            <w:r w:rsidRPr="00BB367E">
              <w:t>No. of repeats</w:t>
            </w:r>
          </w:p>
        </w:tc>
        <w:tc>
          <w:tcPr>
            <w:tcW w:w="2076" w:type="dxa"/>
            <w:vAlign w:val="center"/>
          </w:tcPr>
          <w:p w:rsidR="00C30B4C" w:rsidRPr="00BB367E" w:rsidRDefault="00C30B4C" w:rsidP="00FC33EA">
            <w:pPr>
              <w:pStyle w:val="Tabletext0"/>
              <w:spacing w:before="40" w:after="40"/>
              <w:jc w:val="center"/>
              <w:cnfStyle w:val="100000000000" w:firstRow="1" w:lastRow="0" w:firstColumn="0" w:lastColumn="0" w:oddVBand="0" w:evenVBand="0" w:oddHBand="0" w:evenHBand="0" w:firstRowFirstColumn="0" w:firstRowLastColumn="0" w:lastRowFirstColumn="0" w:lastRowLastColumn="0"/>
              <w:rPr>
                <w:bCs w:val="0"/>
              </w:rPr>
            </w:pPr>
            <w:r w:rsidRPr="00BB367E">
              <w:t>Dispensed price for maximum quantity-</w:t>
            </w:r>
          </w:p>
          <w:p w:rsidR="00C30B4C" w:rsidRPr="00BB367E" w:rsidRDefault="00C30B4C" w:rsidP="00FC33EA">
            <w:pPr>
              <w:pStyle w:val="Tabletext0"/>
              <w:spacing w:before="40" w:after="40"/>
              <w:jc w:val="center"/>
              <w:cnfStyle w:val="100000000000" w:firstRow="1" w:lastRow="0" w:firstColumn="0" w:lastColumn="0" w:oddVBand="0" w:evenVBand="0" w:oddHBand="0" w:evenHBand="0" w:firstRowFirstColumn="0" w:firstRowLastColumn="0" w:lastRowFirstColumn="0" w:lastRowLastColumn="0"/>
              <w:rPr>
                <w:b w:val="0"/>
                <w:bCs w:val="0"/>
              </w:rPr>
            </w:pPr>
            <w:r w:rsidRPr="00BB367E">
              <w:t>Published (Effective)</w:t>
            </w:r>
          </w:p>
        </w:tc>
        <w:tc>
          <w:tcPr>
            <w:tcW w:w="0" w:type="auto"/>
            <w:vAlign w:val="center"/>
          </w:tcPr>
          <w:p w:rsidR="00C30B4C" w:rsidRPr="00BB367E" w:rsidRDefault="00C30B4C" w:rsidP="00FC33EA">
            <w:pPr>
              <w:pStyle w:val="Tabletext0"/>
              <w:spacing w:before="40" w:after="40"/>
              <w:jc w:val="center"/>
              <w:cnfStyle w:val="100000000000" w:firstRow="1" w:lastRow="0" w:firstColumn="0" w:lastColumn="0" w:oddVBand="0" w:evenVBand="0" w:oddHBand="0" w:evenHBand="0" w:firstRowFirstColumn="0" w:firstRowLastColumn="0" w:lastRowFirstColumn="0" w:lastRowLastColumn="0"/>
              <w:rPr>
                <w:b w:val="0"/>
                <w:bCs w:val="0"/>
              </w:rPr>
            </w:pPr>
            <w:r w:rsidRPr="00BB367E">
              <w:t>Proprietary name and manufacturer</w:t>
            </w:r>
          </w:p>
        </w:tc>
      </w:tr>
      <w:tr w:rsidR="00C30B4C" w:rsidRPr="00BB367E" w:rsidTr="00874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C30B4C" w:rsidRPr="00BB367E" w:rsidRDefault="00C30B4C" w:rsidP="00FC33EA">
            <w:pPr>
              <w:pStyle w:val="Tabletext0"/>
              <w:spacing w:before="40" w:after="40"/>
              <w:rPr>
                <w:b w:val="0"/>
              </w:rPr>
            </w:pPr>
            <w:r w:rsidRPr="00BB367E">
              <w:rPr>
                <w:b w:val="0"/>
              </w:rPr>
              <w:t xml:space="preserve">OCRELIZUMAB </w:t>
            </w:r>
          </w:p>
          <w:p w:rsidR="00C30B4C" w:rsidRPr="00BB367E" w:rsidRDefault="00C30B4C" w:rsidP="00FC33EA">
            <w:pPr>
              <w:pStyle w:val="Tabletext0"/>
              <w:spacing w:before="40" w:after="40"/>
              <w:rPr>
                <w:b w:val="0"/>
                <w:bCs w:val="0"/>
              </w:rPr>
            </w:pPr>
            <w:r w:rsidRPr="00BB367E">
              <w:rPr>
                <w:b w:val="0"/>
              </w:rPr>
              <w:t>300mg/10 mL injection, 1 x 10mL vial</w:t>
            </w:r>
          </w:p>
        </w:tc>
        <w:tc>
          <w:tcPr>
            <w:tcW w:w="865" w:type="dxa"/>
            <w:vAlign w:val="center"/>
          </w:tcPr>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pPr>
          </w:p>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rPr>
                <w:rFonts w:ascii="Times" w:hAnsi="Times"/>
                <w:b/>
              </w:rPr>
            </w:pPr>
            <w:r w:rsidRPr="00BB367E">
              <w:t>2</w:t>
            </w:r>
          </w:p>
        </w:tc>
        <w:tc>
          <w:tcPr>
            <w:tcW w:w="866" w:type="dxa"/>
            <w:vAlign w:val="center"/>
          </w:tcPr>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pPr>
          </w:p>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rPr>
                <w:rFonts w:ascii="Times" w:hAnsi="Times"/>
                <w:b/>
              </w:rPr>
            </w:pPr>
            <w:r w:rsidRPr="00BB367E">
              <w:t>600mg</w:t>
            </w:r>
          </w:p>
        </w:tc>
        <w:tc>
          <w:tcPr>
            <w:tcW w:w="866" w:type="dxa"/>
            <w:vAlign w:val="center"/>
          </w:tcPr>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rPr>
                <w:rFonts w:ascii="Times" w:hAnsi="Times"/>
              </w:rPr>
            </w:pPr>
          </w:p>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rPr>
                <w:rFonts w:ascii="Times" w:hAnsi="Times"/>
                <w:b/>
              </w:rPr>
            </w:pPr>
            <w:r w:rsidRPr="00BB367E">
              <w:rPr>
                <w:rFonts w:ascii="Times" w:hAnsi="Times"/>
              </w:rPr>
              <w:t>0</w:t>
            </w:r>
          </w:p>
        </w:tc>
        <w:tc>
          <w:tcPr>
            <w:tcW w:w="2076" w:type="dxa"/>
            <w:vAlign w:val="center"/>
          </w:tcPr>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rPr>
                <w:b/>
                <w:vertAlign w:val="superscript"/>
              </w:rPr>
            </w:pPr>
            <w:r w:rsidRPr="00BB367E">
              <w:t>$</w:t>
            </w:r>
            <w:r w:rsidR="00F176AE">
              <w:rPr>
                <w:noProof/>
                <w:color w:val="000000"/>
                <w:highlight w:val="black"/>
              </w:rPr>
              <w:t>'''''''''''''''''''''''''</w:t>
            </w:r>
            <w:r w:rsidRPr="00BB367E">
              <w:t xml:space="preserve"> ($</w:t>
            </w:r>
            <w:r w:rsidR="00F176AE">
              <w:rPr>
                <w:noProof/>
                <w:color w:val="000000"/>
                <w:highlight w:val="black"/>
              </w:rPr>
              <w:t>''''''''''''''''''''''''''</w:t>
            </w:r>
            <w:r w:rsidRPr="00BB367E">
              <w:t>)</w:t>
            </w:r>
            <w:r w:rsidRPr="00BB367E">
              <w:rPr>
                <w:rStyle w:val="FootnoteReference"/>
              </w:rPr>
              <w:footnoteReference w:id="1"/>
            </w:r>
          </w:p>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rPr>
                <w:rFonts w:ascii="Times" w:hAnsi="Times"/>
                <w:b/>
              </w:rPr>
            </w:pPr>
            <w:r w:rsidRPr="00BB367E">
              <w:t>$</w:t>
            </w:r>
            <w:r w:rsidR="00F176AE">
              <w:rPr>
                <w:noProof/>
                <w:color w:val="000000"/>
                <w:highlight w:val="black"/>
              </w:rPr>
              <w:t>''''''''''''''''''''''''</w:t>
            </w:r>
            <w:r w:rsidRPr="00BB367E">
              <w:t xml:space="preserve"> ($</w:t>
            </w:r>
            <w:r w:rsidR="00F176AE">
              <w:rPr>
                <w:noProof/>
                <w:color w:val="000000"/>
                <w:highlight w:val="black"/>
              </w:rPr>
              <w:t>'''''''''''''''''''''''</w:t>
            </w:r>
            <w:r w:rsidRPr="00BB367E">
              <w:t>)</w:t>
            </w:r>
            <w:r w:rsidRPr="00BB367E">
              <w:rPr>
                <w:rStyle w:val="FootnoteReference"/>
              </w:rPr>
              <w:footnoteReference w:id="2"/>
            </w:r>
          </w:p>
        </w:tc>
        <w:tc>
          <w:tcPr>
            <w:tcW w:w="0" w:type="auto"/>
            <w:vAlign w:val="center"/>
          </w:tcPr>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rPr>
                <w:b/>
              </w:rPr>
            </w:pPr>
            <w:r w:rsidRPr="00BB367E">
              <w:t>Ocrevus®,</w:t>
            </w:r>
          </w:p>
          <w:p w:rsidR="00C30B4C" w:rsidRPr="00BB367E" w:rsidRDefault="00C30B4C" w:rsidP="00FC33EA">
            <w:pPr>
              <w:pStyle w:val="Tabletext0"/>
              <w:spacing w:before="40" w:after="40"/>
              <w:jc w:val="center"/>
              <w:cnfStyle w:val="000000100000" w:firstRow="0" w:lastRow="0" w:firstColumn="0" w:lastColumn="0" w:oddVBand="0" w:evenVBand="0" w:oddHBand="1" w:evenHBand="0" w:firstRowFirstColumn="0" w:firstRowLastColumn="0" w:lastRowFirstColumn="0" w:lastRowLastColumn="0"/>
              <w:rPr>
                <w:rFonts w:ascii="Times" w:hAnsi="Times"/>
                <w:b/>
              </w:rPr>
            </w:pPr>
            <w:r w:rsidRPr="00BB367E">
              <w:t>Roche</w:t>
            </w:r>
          </w:p>
        </w:tc>
      </w:tr>
    </w:tbl>
    <w:tbl>
      <w:tblPr>
        <w:tblW w:w="9198" w:type="dxa"/>
        <w:tblCellMar>
          <w:left w:w="28" w:type="dxa"/>
          <w:right w:w="28" w:type="dxa"/>
        </w:tblCellMar>
        <w:tblLook w:val="0000" w:firstRow="0" w:lastRow="0" w:firstColumn="0" w:lastColumn="0" w:noHBand="0" w:noVBand="0"/>
        <w:tblCaption w:val="Requested listing "/>
      </w:tblPr>
      <w:tblGrid>
        <w:gridCol w:w="2254"/>
        <w:gridCol w:w="6944"/>
      </w:tblGrid>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keepNext/>
              <w:keepLines/>
              <w:spacing w:before="40" w:after="40"/>
              <w:rPr>
                <w:rFonts w:ascii="Arial Narrow" w:hAnsi="Arial Narrow"/>
                <w:b/>
                <w:sz w:val="20"/>
                <w:lang w:eastAsia="en-AU"/>
              </w:rPr>
            </w:pPr>
            <w:r w:rsidRPr="00BB367E">
              <w:rPr>
                <w:rFonts w:ascii="Arial Narrow" w:hAnsi="Arial Narrow"/>
                <w:b/>
                <w:sz w:val="20"/>
                <w:lang w:eastAsia="en-AU"/>
              </w:rPr>
              <w:t>Category / Program</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keepNext/>
              <w:keepLines/>
              <w:spacing w:before="40" w:after="40"/>
              <w:rPr>
                <w:rFonts w:ascii="Arial Narrow" w:hAnsi="Arial Narrow"/>
                <w:sz w:val="20"/>
                <w:lang w:eastAsia="en-AU"/>
              </w:rPr>
            </w:pPr>
            <w:r w:rsidRPr="00BB367E">
              <w:rPr>
                <w:rFonts w:ascii="Arial Narrow" w:hAnsi="Arial Narrow"/>
                <w:sz w:val="20"/>
                <w:lang w:eastAsia="en-AU"/>
              </w:rPr>
              <w:t>Section 100 (Highly Specialised Drugs program)</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Condition:</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Multiple sclerosis</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Treatment phase:</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Initial</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Restriction:</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Public hospital Authority Required (Streamlined)</w:t>
            </w:r>
          </w:p>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 xml:space="preserve">Private hospital Authority Required </w:t>
            </w:r>
          </w:p>
        </w:tc>
      </w:tr>
      <w:tr w:rsidR="00770379" w:rsidRPr="00BB367E" w:rsidTr="00C85439">
        <w:trPr>
          <w:cantSplit/>
          <w:trHeight w:val="90"/>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Treatment criteria:</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Must be treated by a neurologist.</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212563" w:rsidRDefault="00770379" w:rsidP="00FC33EA">
            <w:pPr>
              <w:spacing w:before="40" w:after="40"/>
              <w:rPr>
                <w:rFonts w:ascii="Arial Narrow" w:hAnsi="Arial Narrow"/>
                <w:b/>
                <w:sz w:val="20"/>
                <w:lang w:eastAsia="en-AU"/>
              </w:rPr>
            </w:pPr>
            <w:r w:rsidRPr="00BB367E">
              <w:rPr>
                <w:rFonts w:ascii="Arial Narrow" w:hAnsi="Arial Narrow"/>
                <w:b/>
                <w:sz w:val="20"/>
                <w:lang w:eastAsia="en-AU"/>
              </w:rPr>
              <w:t>Clinical criteria:</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The condition must be diagnosed as clinically definite primary progressive multiple sclerosis by one year of disease progression (retrospectively or prospectively determined)</w:t>
            </w:r>
          </w:p>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AND; 2 of the following 3 criteria (if a subject has brainstem or spinal cord syndrome all symptomatic lesions are excluded from the criteria):</w:t>
            </w:r>
          </w:p>
          <w:p w:rsidR="00770379" w:rsidRPr="00BB367E" w:rsidRDefault="00D141A9" w:rsidP="00FC33EA">
            <w:pPr>
              <w:spacing w:before="40" w:after="40"/>
              <w:rPr>
                <w:rFonts w:ascii="Arial Narrow" w:hAnsi="Arial Narrow"/>
                <w:sz w:val="20"/>
                <w:lang w:eastAsia="en-AU"/>
              </w:rPr>
            </w:pPr>
            <w:r w:rsidRPr="00BB367E">
              <w:rPr>
                <w:rFonts w:ascii="Arial Narrow" w:hAnsi="Arial Narrow"/>
                <w:sz w:val="20"/>
                <w:lang w:eastAsia="en-AU"/>
              </w:rPr>
              <w:t>Evidence of DIS in the brain based on ≥ 1 T2 lesion in at least 1 area characteristic for MS (periventricular, juxtacortical, or infratentorial); OR Evidence of DIS in the spinal cord based on ≥ 2 T2 lesions in the cord; OR Positive CSF (isoelectric focusing evidence of oligo</w:t>
            </w:r>
            <w:r w:rsidR="009E3172">
              <w:rPr>
                <w:rFonts w:ascii="Arial Narrow" w:hAnsi="Arial Narrow"/>
                <w:sz w:val="20"/>
                <w:lang w:eastAsia="en-AU"/>
              </w:rPr>
              <w:t>c</w:t>
            </w:r>
            <w:r w:rsidRPr="00BB367E">
              <w:rPr>
                <w:rFonts w:ascii="Arial Narrow" w:hAnsi="Arial Narrow"/>
                <w:sz w:val="20"/>
                <w:lang w:eastAsia="en-AU"/>
              </w:rPr>
              <w:t>lonal bands and/or elevated IgG index)</w:t>
            </w:r>
          </w:p>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 xml:space="preserve">Note: in T2 lesions, Gadolinium enhancement of lesions is not required. </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Administrative Advice</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Special Pricing Arrangements apply</w:t>
            </w:r>
          </w:p>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No increase in the maximum quantity or number of units may be authorised.</w:t>
            </w:r>
          </w:p>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No increase in the maximum number of repeats may be authorised</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Category / Program</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Section 100 (Highly Specialised Drugs program)</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Condition:</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Multiple sclerosis</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Treatment phase:</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Continuation</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Restriction:</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Public hospital Authority Required (Streamlined)</w:t>
            </w:r>
          </w:p>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 xml:space="preserve">Private hospital Authority Required </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Treatment criteria:</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Must be treated by a neurologist.</w:t>
            </w:r>
          </w:p>
        </w:tc>
      </w:tr>
      <w:tr w:rsidR="00770379" w:rsidRPr="00BB367E" w:rsidTr="00C85439">
        <w:trPr>
          <w:cantSplit/>
        </w:trPr>
        <w:tc>
          <w:tcPr>
            <w:tcW w:w="122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b/>
                <w:sz w:val="20"/>
                <w:lang w:eastAsia="en-AU"/>
              </w:rPr>
            </w:pPr>
            <w:r w:rsidRPr="00BB367E">
              <w:rPr>
                <w:rFonts w:ascii="Arial Narrow" w:hAnsi="Arial Narrow"/>
                <w:b/>
                <w:sz w:val="20"/>
                <w:lang w:eastAsia="en-AU"/>
              </w:rPr>
              <w:t>Clinical criteria:</w:t>
            </w:r>
          </w:p>
        </w:tc>
        <w:tc>
          <w:tcPr>
            <w:tcW w:w="3775" w:type="pct"/>
            <w:tcBorders>
              <w:top w:val="single" w:sz="4" w:space="0" w:color="auto"/>
              <w:left w:val="single" w:sz="4" w:space="0" w:color="auto"/>
              <w:bottom w:val="single" w:sz="4" w:space="0" w:color="auto"/>
              <w:right w:val="single" w:sz="4" w:space="0" w:color="auto"/>
            </w:tcBorders>
          </w:tcPr>
          <w:p w:rsidR="00770379" w:rsidRPr="00BB367E" w:rsidRDefault="00770379" w:rsidP="00FC33EA">
            <w:pPr>
              <w:spacing w:before="40" w:after="40"/>
              <w:rPr>
                <w:rFonts w:ascii="Arial Narrow" w:hAnsi="Arial Narrow"/>
                <w:sz w:val="20"/>
                <w:lang w:eastAsia="en-AU"/>
              </w:rPr>
            </w:pPr>
            <w:r w:rsidRPr="00BB367E">
              <w:rPr>
                <w:rFonts w:ascii="Arial Narrow" w:hAnsi="Arial Narrow"/>
                <w:sz w:val="20"/>
                <w:lang w:eastAsia="en-AU"/>
              </w:rPr>
              <w:t>Patient must have previously received treatment with this drug for primary progressive multiple sclerosis; AND Patient must have demonstrated compliance with, and an ability to tolerate this therapy</w:t>
            </w:r>
          </w:p>
        </w:tc>
      </w:tr>
    </w:tbl>
    <w:p w:rsidR="00770379" w:rsidRPr="00BB367E" w:rsidRDefault="00770379" w:rsidP="00770379">
      <w:pPr>
        <w:pStyle w:val="TableFooter"/>
      </w:pPr>
      <w:r w:rsidRPr="00BB367E">
        <w:t>Source: Table 1.4.3, p22-24 of the submission.</w:t>
      </w:r>
    </w:p>
    <w:p w:rsidR="00C317F3" w:rsidRPr="00D54E8B" w:rsidRDefault="00770379" w:rsidP="00FF615A">
      <w:pPr>
        <w:pStyle w:val="ListParagraph"/>
        <w:numPr>
          <w:ilvl w:val="1"/>
          <w:numId w:val="1"/>
        </w:numPr>
        <w:ind w:left="720" w:hanging="720"/>
        <w:jc w:val="both"/>
      </w:pPr>
      <w:r w:rsidRPr="00D54E8B">
        <w:t xml:space="preserve">The </w:t>
      </w:r>
      <w:r w:rsidR="002052AF" w:rsidRPr="00D54E8B">
        <w:t>submission</w:t>
      </w:r>
      <w:r w:rsidRPr="00D54E8B">
        <w:t xml:space="preserve"> proposed a Special Pricing Arrangement</w:t>
      </w:r>
      <w:r w:rsidR="00003A2C" w:rsidRPr="00D54E8B">
        <w:t xml:space="preserve"> (SPA)</w:t>
      </w:r>
      <w:r w:rsidRPr="00D54E8B">
        <w:t xml:space="preserve"> in the form of a </w:t>
      </w:r>
      <w:r w:rsidR="00F176AE">
        <w:rPr>
          <w:noProof/>
          <w:color w:val="000000"/>
          <w:highlight w:val="black"/>
        </w:rPr>
        <w:t>''''''''</w:t>
      </w:r>
      <w:r w:rsidRPr="00D54E8B">
        <w:t>% rebate on the published ex</w:t>
      </w:r>
      <w:r w:rsidR="00003A2C" w:rsidRPr="00D54E8B">
        <w:t>-</w:t>
      </w:r>
      <w:r w:rsidRPr="00D54E8B">
        <w:t>manufacturer’s price of ocrelizumab.</w:t>
      </w:r>
    </w:p>
    <w:p w:rsidR="002052AF" w:rsidRPr="00D54E8B" w:rsidRDefault="00C85439" w:rsidP="00C85439">
      <w:pPr>
        <w:ind w:left="709" w:hanging="709"/>
        <w:jc w:val="both"/>
      </w:pPr>
      <w:r w:rsidRPr="00D54E8B">
        <w:t>2.2</w:t>
      </w:r>
      <w:r w:rsidRPr="00D54E8B">
        <w:tab/>
      </w:r>
      <w:r w:rsidR="002052AF" w:rsidRPr="00D54E8B">
        <w:t>Ocrelizumab is anticipated to be used as a chronic treatment.</w:t>
      </w:r>
      <w:r w:rsidR="00916C0D" w:rsidRPr="00D54E8B">
        <w:t xml:space="preserve"> </w:t>
      </w:r>
      <w:r w:rsidR="001334EB" w:rsidRPr="00D54E8B">
        <w:t xml:space="preserve">The ORATORIO trial differed in its treatment regimen to that of the TGA approved Product Information (PI) and the requested restriction. </w:t>
      </w:r>
      <w:r w:rsidR="00916C0D" w:rsidRPr="00D54E8B">
        <w:t>In the ORATORIO trial, ocrelizumab 600 mg I.V. was administered at 24 week intervals, given as two infusions of 3</w:t>
      </w:r>
      <w:r w:rsidR="001334EB" w:rsidRPr="00D54E8B">
        <w:t>00mg given 14 days apart. The PI</w:t>
      </w:r>
      <w:r w:rsidR="00916C0D" w:rsidRPr="00D54E8B">
        <w:t xml:space="preserve"> recommended a dosing interval of every 6 months, with the initial dose administered as one 300mg infusion, followed by a second 300mg infusion two weeks later, and specified a minimum interval of 5 months between each dose.</w:t>
      </w:r>
    </w:p>
    <w:p w:rsidR="001723FA" w:rsidRDefault="00783B37" w:rsidP="0018482B">
      <w:pPr>
        <w:pStyle w:val="ListParagraph"/>
        <w:numPr>
          <w:ilvl w:val="1"/>
          <w:numId w:val="1"/>
        </w:numPr>
        <w:ind w:left="720" w:hanging="720"/>
        <w:jc w:val="both"/>
        <w:rPr>
          <w:bCs/>
        </w:rPr>
      </w:pPr>
      <w:r w:rsidRPr="00D54E8B">
        <w:lastRenderedPageBreak/>
        <w:t xml:space="preserve">The proposed restriction is consistent with the TGA indication, but was much broader than the inclusion and exclusion criteria of the ORATORIO trial, as the restriction allows use among patients aged older than 55 years and does not specify an EDSS requirement (unlike the ORATORIO trial). The </w:t>
      </w:r>
      <w:r w:rsidR="00C43907">
        <w:t>Pre-Sub</w:t>
      </w:r>
      <w:r w:rsidR="00CD62CC">
        <w:t>-</w:t>
      </w:r>
      <w:r w:rsidR="00C43907">
        <w:t>Committee Response (</w:t>
      </w:r>
      <w:r w:rsidRPr="00D54E8B">
        <w:t>PSCR</w:t>
      </w:r>
      <w:r w:rsidR="00C43907">
        <w:t>)</w:t>
      </w:r>
      <w:r w:rsidRPr="00D54E8B">
        <w:t xml:space="preserve"> (p3-4) stated</w:t>
      </w:r>
      <w:r w:rsidR="004D1961" w:rsidRPr="00D54E8B">
        <w:t xml:space="preserve"> that broad PBS listing criteria was proposed based on advice from th</w:t>
      </w:r>
      <w:r w:rsidR="002B37FC" w:rsidRPr="00D54E8B">
        <w:t xml:space="preserve">ree advisory board meetings, interactions with </w:t>
      </w:r>
      <w:r w:rsidR="004D1961" w:rsidRPr="00D54E8B">
        <w:t>health care professionals and in the absence of a defined patient subgroup in whom clearly superior clinical benefit was derived in the ORATORIO trial.</w:t>
      </w:r>
    </w:p>
    <w:p w:rsidR="00F85B1B" w:rsidRPr="00B82C6A" w:rsidRDefault="0018482B" w:rsidP="00F85B1B">
      <w:pPr>
        <w:pStyle w:val="ListParagraph"/>
        <w:numPr>
          <w:ilvl w:val="1"/>
          <w:numId w:val="1"/>
        </w:numPr>
        <w:ind w:left="720" w:hanging="720"/>
        <w:jc w:val="both"/>
        <w:rPr>
          <w:bCs/>
        </w:rPr>
      </w:pPr>
      <w:r w:rsidRPr="00B82C6A">
        <w:rPr>
          <w:bCs/>
        </w:rPr>
        <w:t xml:space="preserve">The pre-PBAC response (p1) claimed that results </w:t>
      </w:r>
      <w:r w:rsidRPr="00B82C6A">
        <w:rPr>
          <w:rFonts w:ascii="Calibri" w:hAnsi="Calibri" w:cs="Calibri"/>
          <w:bCs/>
        </w:rPr>
        <w:t xml:space="preserve">from ORATORIO showed a consistent treatment effect across subgroups via various patient-relevant measures and therefore, </w:t>
      </w:r>
      <w:r w:rsidRPr="00B82C6A">
        <w:rPr>
          <w:rFonts w:ascii="Calibri" w:hAnsi="Calibri" w:cs="Calibri"/>
          <w:bCs/>
          <w:lang w:val="en-US"/>
        </w:rPr>
        <w:t xml:space="preserve">the efficacy and safety outcomes observed in the ITT population of ORATORIO is expected to be realized in the PBS population. </w:t>
      </w:r>
      <w:r w:rsidR="0096152D" w:rsidRPr="00B82C6A">
        <w:rPr>
          <w:rFonts w:ascii="Calibri" w:hAnsi="Calibri" w:cs="Calibri"/>
          <w:bCs/>
          <w:lang w:val="en-US"/>
        </w:rPr>
        <w:t xml:space="preserve">The pre-PBAC response (p2) asserted that the TGA </w:t>
      </w:r>
      <w:r w:rsidR="0096152D" w:rsidRPr="00B82C6A">
        <w:rPr>
          <w:rFonts w:ascii="Calibri" w:hAnsi="Calibri" w:cs="Calibri"/>
          <w:bCs/>
        </w:rPr>
        <w:t>deemed a broad indication for PPMS appropriate stating the age limitation in the trial program as a precaution only. The PBAC noted the TGA indication, however</w:t>
      </w:r>
      <w:r w:rsidR="00F85B1B" w:rsidRPr="00B82C6A">
        <w:rPr>
          <w:rFonts w:ascii="Calibri" w:hAnsi="Calibri" w:cs="Calibri"/>
          <w:bCs/>
        </w:rPr>
        <w:t>,</w:t>
      </w:r>
      <w:r w:rsidR="0096152D" w:rsidRPr="00B82C6A">
        <w:rPr>
          <w:rFonts w:ascii="Calibri" w:hAnsi="Calibri" w:cs="Calibri"/>
          <w:bCs/>
        </w:rPr>
        <w:t xml:space="preserve"> considered that regulatory approval </w:t>
      </w:r>
      <w:r w:rsidR="00F85B1B" w:rsidRPr="00B82C6A">
        <w:rPr>
          <w:rFonts w:ascii="Calibri" w:hAnsi="Calibri" w:cs="Calibri"/>
          <w:bCs/>
        </w:rPr>
        <w:t xml:space="preserve">of ocrelizumab for PPMS does not translate to acceptable cost effectiveness of ocrelizumab. </w:t>
      </w:r>
      <w:r w:rsidR="004E2DCD" w:rsidRPr="00B82C6A">
        <w:rPr>
          <w:rFonts w:ascii="Calibri" w:hAnsi="Calibri" w:cs="Calibri"/>
          <w:bCs/>
        </w:rPr>
        <w:t xml:space="preserve">The PBAC also noted comments from the TGA Delegate indicating that ocrelizumab is likely to be more beneficial in certain patient subgroups and may confer minimal benefit in other subgroups </w:t>
      </w:r>
      <w:r w:rsidR="00D060E0" w:rsidRPr="00B82C6A">
        <w:rPr>
          <w:rFonts w:ascii="Calibri" w:hAnsi="Calibri" w:cs="Calibri"/>
          <w:bCs/>
        </w:rPr>
        <w:t>for PPMS</w:t>
      </w:r>
      <w:r w:rsidR="00340C16">
        <w:rPr>
          <w:rFonts w:ascii="Calibri" w:hAnsi="Calibri" w:cs="Calibri"/>
          <w:bCs/>
        </w:rPr>
        <w:t xml:space="preserve"> </w:t>
      </w:r>
      <w:r w:rsidR="004E2DCD" w:rsidRPr="00B82C6A">
        <w:rPr>
          <w:rFonts w:ascii="Calibri" w:hAnsi="Calibri" w:cs="Calibri"/>
          <w:bCs/>
        </w:rPr>
        <w:t>(refer to paragraph</w:t>
      </w:r>
      <w:r w:rsidR="00B17454">
        <w:rPr>
          <w:rFonts w:ascii="Calibri" w:hAnsi="Calibri" w:cs="Calibri"/>
          <w:bCs/>
        </w:rPr>
        <w:t>s</w:t>
      </w:r>
      <w:r w:rsidR="004E2DCD" w:rsidRPr="00B82C6A">
        <w:rPr>
          <w:rFonts w:ascii="Calibri" w:hAnsi="Calibri" w:cs="Calibri"/>
          <w:bCs/>
        </w:rPr>
        <w:t xml:space="preserve"> 6</w:t>
      </w:r>
      <w:r w:rsidR="00C1390A">
        <w:rPr>
          <w:rFonts w:ascii="Calibri" w:hAnsi="Calibri" w:cs="Calibri"/>
          <w:bCs/>
        </w:rPr>
        <w:t>.12</w:t>
      </w:r>
      <w:r w:rsidR="004E2DCD" w:rsidRPr="00B82C6A">
        <w:rPr>
          <w:rFonts w:ascii="Calibri" w:hAnsi="Calibri" w:cs="Calibri"/>
          <w:bCs/>
        </w:rPr>
        <w:t xml:space="preserve"> and 6.1</w:t>
      </w:r>
      <w:r w:rsidR="00C1390A">
        <w:rPr>
          <w:rFonts w:ascii="Calibri" w:hAnsi="Calibri" w:cs="Calibri"/>
          <w:bCs/>
        </w:rPr>
        <w:t>3</w:t>
      </w:r>
      <w:r w:rsidR="004E2DCD" w:rsidRPr="00B82C6A">
        <w:rPr>
          <w:rFonts w:ascii="Calibri" w:hAnsi="Calibri" w:cs="Calibri"/>
          <w:bCs/>
        </w:rPr>
        <w:t xml:space="preserve">). </w:t>
      </w:r>
    </w:p>
    <w:p w:rsidR="0018482B" w:rsidRPr="00B82C6A" w:rsidRDefault="00F85B1B" w:rsidP="00583050">
      <w:pPr>
        <w:pStyle w:val="ListParagraph"/>
        <w:numPr>
          <w:ilvl w:val="1"/>
          <w:numId w:val="1"/>
        </w:numPr>
        <w:jc w:val="both"/>
        <w:rPr>
          <w:bCs/>
        </w:rPr>
      </w:pPr>
      <w:r w:rsidRPr="00B82C6A">
        <w:rPr>
          <w:rFonts w:ascii="Calibri" w:hAnsi="Calibri" w:cs="Calibri"/>
          <w:bCs/>
        </w:rPr>
        <w:t>The PBAC noted the DUSC’s advice that the requested restriction allows for older patients with higher EDSS scores than the ORATORIO trial, and that there is no evidence of treatment effectiveness in patients over the age of 55 years or with a baseline EDSS of over 6.5. The DUSC noted that, unlike the PBS restrictions for alemtuzumab and natalizumab in</w:t>
      </w:r>
      <w:r w:rsidR="00583050" w:rsidRPr="00B82C6A">
        <w:rPr>
          <w:rFonts w:ascii="Calibri" w:hAnsi="Calibri" w:cs="Calibri"/>
          <w:bCs/>
        </w:rPr>
        <w:t xml:space="preserve"> relapsing remitting multiple sclerosis</w:t>
      </w:r>
      <w:r w:rsidRPr="00B82C6A">
        <w:rPr>
          <w:rFonts w:ascii="Calibri" w:hAnsi="Calibri" w:cs="Calibri"/>
          <w:bCs/>
        </w:rPr>
        <w:t xml:space="preserve"> </w:t>
      </w:r>
      <w:r w:rsidR="00583050" w:rsidRPr="00B82C6A">
        <w:rPr>
          <w:rFonts w:ascii="Calibri" w:hAnsi="Calibri" w:cs="Calibri"/>
          <w:bCs/>
        </w:rPr>
        <w:t>(</w:t>
      </w:r>
      <w:r w:rsidRPr="00B82C6A">
        <w:rPr>
          <w:rFonts w:ascii="Calibri" w:hAnsi="Calibri" w:cs="Calibri"/>
          <w:bCs/>
        </w:rPr>
        <w:t>RRMS</w:t>
      </w:r>
      <w:r w:rsidR="00583050" w:rsidRPr="00B82C6A">
        <w:rPr>
          <w:rFonts w:ascii="Calibri" w:hAnsi="Calibri" w:cs="Calibri"/>
          <w:bCs/>
        </w:rPr>
        <w:t>)</w:t>
      </w:r>
      <w:r w:rsidRPr="00B82C6A">
        <w:rPr>
          <w:rFonts w:ascii="Calibri" w:hAnsi="Calibri" w:cs="Calibri"/>
          <w:bCs/>
        </w:rPr>
        <w:t>, the requested restriction for ocrelizumab in PPMS does not require that the patient is ambulant. The DUSC advised that the restriction should include criteria based on disease severity for initial therapy and criteria based on prior treatment effectiveness for continuing therapy.</w:t>
      </w:r>
    </w:p>
    <w:p w:rsidR="00D54E8B" w:rsidRPr="00D54E8B" w:rsidRDefault="00D54E8B" w:rsidP="00D54E8B">
      <w:pPr>
        <w:spacing w:before="0" w:after="0"/>
        <w:ind w:left="709"/>
        <w:contextualSpacing/>
        <w:jc w:val="both"/>
        <w:rPr>
          <w:rFonts w:ascii="Calibri" w:eastAsia="Times New Roman" w:hAnsi="Calibri" w:cs="Times New Roman"/>
          <w:i/>
          <w:szCs w:val="24"/>
          <w:lang w:eastAsia="en-AU"/>
        </w:rPr>
      </w:pPr>
      <w:r w:rsidRPr="00B82C6A">
        <w:rPr>
          <w:rFonts w:ascii="Calibri" w:eastAsia="Times New Roman" w:hAnsi="Calibri" w:cs="Times New Roman"/>
          <w:i/>
          <w:szCs w:val="24"/>
          <w:lang w:eastAsia="en-AU"/>
        </w:rPr>
        <w:t>For more detail</w:t>
      </w:r>
      <w:r w:rsidRPr="004E2DCD">
        <w:rPr>
          <w:rFonts w:ascii="Calibri" w:eastAsia="Times New Roman" w:hAnsi="Calibri" w:cs="Times New Roman"/>
          <w:i/>
          <w:szCs w:val="24"/>
          <w:lang w:eastAsia="en-AU"/>
        </w:rPr>
        <w:t xml:space="preserve"> on PBAC’s view, see section 7 PBAC outcome.</w:t>
      </w:r>
    </w:p>
    <w:p w:rsidR="00C317F3" w:rsidRPr="00BB367E" w:rsidRDefault="00C317F3" w:rsidP="002001C6">
      <w:pPr>
        <w:pStyle w:val="Heading1"/>
        <w:ind w:left="709" w:hanging="709"/>
      </w:pPr>
      <w:bookmarkStart w:id="5" w:name="_Toc413139273"/>
      <w:bookmarkStart w:id="6" w:name="_Toc492991350"/>
      <w:r w:rsidRPr="00BB367E">
        <w:t>Background</w:t>
      </w:r>
      <w:bookmarkEnd w:id="5"/>
      <w:bookmarkEnd w:id="6"/>
    </w:p>
    <w:p w:rsidR="0017638E" w:rsidRPr="00BB367E" w:rsidRDefault="0017638E" w:rsidP="0017638E">
      <w:pPr>
        <w:pStyle w:val="Heading2"/>
        <w:rPr>
          <w:i w:val="0"/>
        </w:rPr>
      </w:pPr>
      <w:bookmarkStart w:id="7" w:name="_Toc492991351"/>
      <w:r w:rsidRPr="00BB367E">
        <w:rPr>
          <w:i w:val="0"/>
        </w:rPr>
        <w:t>Registration status</w:t>
      </w:r>
      <w:bookmarkEnd w:id="7"/>
    </w:p>
    <w:p w:rsidR="00770379" w:rsidRPr="0018482B" w:rsidRDefault="00C317F3" w:rsidP="00FF615A">
      <w:pPr>
        <w:pStyle w:val="ListParagraph"/>
        <w:numPr>
          <w:ilvl w:val="1"/>
          <w:numId w:val="1"/>
        </w:numPr>
        <w:ind w:left="720" w:hanging="720"/>
        <w:jc w:val="both"/>
      </w:pPr>
      <w:r w:rsidRPr="0018482B">
        <w:t xml:space="preserve">TGA status: </w:t>
      </w:r>
      <w:r w:rsidR="00770379" w:rsidRPr="0018482B">
        <w:t>– Ocrelizumab was TGA registered on</w:t>
      </w:r>
      <w:r w:rsidR="00184D06" w:rsidRPr="0018482B">
        <w:t xml:space="preserve"> 13 July 2017</w:t>
      </w:r>
      <w:r w:rsidR="00770379" w:rsidRPr="0018482B">
        <w:t xml:space="preserve"> </w:t>
      </w:r>
      <w:r w:rsidR="00C85439" w:rsidRPr="0018482B">
        <w:t>f</w:t>
      </w:r>
      <w:r w:rsidR="00770379" w:rsidRPr="0018482B">
        <w:t>or:</w:t>
      </w:r>
    </w:p>
    <w:p w:rsidR="001D1FDC" w:rsidRPr="00BB367E" w:rsidRDefault="001D1FDC" w:rsidP="00FF615A">
      <w:pPr>
        <w:pStyle w:val="ListParagraph"/>
        <w:numPr>
          <w:ilvl w:val="0"/>
          <w:numId w:val="7"/>
        </w:numPr>
        <w:spacing w:before="0" w:after="0"/>
        <w:ind w:left="993" w:hanging="284"/>
        <w:jc w:val="both"/>
      </w:pPr>
      <w:r w:rsidRPr="00BB367E">
        <w:t>The treatment of patients with relapsing forms of multiple sclerosis (RMS) to delay the progression of physical disability and to reduce the frequency of relapse.</w:t>
      </w:r>
    </w:p>
    <w:p w:rsidR="001D1FDC" w:rsidRPr="00BB367E" w:rsidRDefault="001D1FDC" w:rsidP="00FF615A">
      <w:pPr>
        <w:pStyle w:val="ListParagraph"/>
        <w:numPr>
          <w:ilvl w:val="0"/>
          <w:numId w:val="7"/>
        </w:numPr>
        <w:spacing w:before="0"/>
        <w:ind w:left="993" w:hanging="284"/>
        <w:jc w:val="both"/>
      </w:pPr>
      <w:r w:rsidRPr="00BB367E">
        <w:t>The treatment of patients with primary progressive multiple sclerosis (PPMS) to delay the progression of physical disability.</w:t>
      </w:r>
    </w:p>
    <w:p w:rsidR="001D1FDC" w:rsidRPr="0018482B" w:rsidRDefault="001D1FDC" w:rsidP="0018482B">
      <w:pPr>
        <w:pStyle w:val="ListParagraph"/>
        <w:ind w:left="709"/>
        <w:jc w:val="both"/>
      </w:pPr>
      <w:r w:rsidRPr="00BB367E">
        <w:t>Ocrelizumab was considered and recommended for listing at the July 2017 PBAC meeting for relapsing remitting multiple sclerosis (RRMS).</w:t>
      </w:r>
    </w:p>
    <w:p w:rsidR="00C317F3" w:rsidRPr="00BB367E" w:rsidRDefault="00C317F3" w:rsidP="002001C6">
      <w:pPr>
        <w:pStyle w:val="Heading1"/>
        <w:ind w:left="709" w:hanging="709"/>
      </w:pPr>
      <w:bookmarkStart w:id="8" w:name="_Toc492991352"/>
      <w:r w:rsidRPr="00BB367E">
        <w:t>Population and disease</w:t>
      </w:r>
      <w:bookmarkEnd w:id="8"/>
    </w:p>
    <w:p w:rsidR="005B0B30" w:rsidRPr="00BB367E" w:rsidRDefault="00C85439" w:rsidP="00C85439">
      <w:pPr>
        <w:pStyle w:val="ListParagraph"/>
        <w:ind w:hanging="720"/>
        <w:jc w:val="both"/>
      </w:pPr>
      <w:r w:rsidRPr="00BB367E">
        <w:t>4.1</w:t>
      </w:r>
      <w:r w:rsidRPr="00BB367E">
        <w:tab/>
      </w:r>
      <w:r w:rsidR="005B0B30" w:rsidRPr="00BB367E">
        <w:t>Multiple sclerosis</w:t>
      </w:r>
      <w:r w:rsidR="0071242D" w:rsidRPr="00BB367E">
        <w:t xml:space="preserve"> (MS)</w:t>
      </w:r>
      <w:r w:rsidR="005B0B30" w:rsidRPr="00BB367E">
        <w:t xml:space="preserve"> is a progressive, chronic, autoimmune disease of the central nervous system in which the myelin sheath protecting axons is damaged</w:t>
      </w:r>
      <w:r w:rsidR="0071242D" w:rsidRPr="00BB367E">
        <w:t>,</w:t>
      </w:r>
      <w:r w:rsidR="005B0B30" w:rsidRPr="00BB367E">
        <w:t xml:space="preserve"> resulting in distorted nerve signals and pathways. Multiple sclerosis is associated with a complex range of symptoms including visual disturbance, fatigue, pain, reduced mobility and coordination, cognitive impairment and mood changes. Most patients </w:t>
      </w:r>
      <w:r w:rsidR="0071242D" w:rsidRPr="00BB367E">
        <w:t>are</w:t>
      </w:r>
      <w:r w:rsidR="005B0B30" w:rsidRPr="00BB367E">
        <w:t xml:space="preserve"> i</w:t>
      </w:r>
      <w:r w:rsidR="00666E20">
        <w:t>nitially diagnosed with RRMS</w:t>
      </w:r>
      <w:r w:rsidR="005B0B30" w:rsidRPr="00BB367E">
        <w:t>, characterised by acute clinical attacks (relapses) followed by partial/full recovery and periods of clinical stability (remissions). Approximately 10% of MS patients are</w:t>
      </w:r>
      <w:r w:rsidR="00666E20">
        <w:t xml:space="preserve"> diagnosed with PPMS, which</w:t>
      </w:r>
      <w:r w:rsidR="005B0B30" w:rsidRPr="00BB367E">
        <w:t xml:space="preserve"> is characterised by a more rapid course of progression than RRMS and an accumulation of disability from the onset of symptoms without relapses or remissions. </w:t>
      </w:r>
    </w:p>
    <w:p w:rsidR="00C317F3" w:rsidRDefault="0007154B" w:rsidP="0007154B">
      <w:pPr>
        <w:pStyle w:val="ListParagraph"/>
        <w:ind w:hanging="720"/>
        <w:jc w:val="both"/>
      </w:pPr>
      <w:r w:rsidRPr="00BB367E">
        <w:t>4.2</w:t>
      </w:r>
      <w:r w:rsidRPr="00BB367E">
        <w:tab/>
      </w:r>
      <w:r w:rsidR="005B0B30" w:rsidRPr="00BB367E">
        <w:t>Ocrelizumab, if listed, would be the only PBS-listed treatment for PPMS</w:t>
      </w:r>
      <w:r w:rsidR="00FC33EA" w:rsidRPr="00BB367E">
        <w:t>.</w:t>
      </w:r>
    </w:p>
    <w:p w:rsidR="00D54E8B" w:rsidRPr="00D54E8B" w:rsidRDefault="00D54E8B" w:rsidP="00D54E8B">
      <w:pPr>
        <w:pStyle w:val="ListParagraph"/>
        <w:ind w:left="709"/>
        <w:jc w:val="both"/>
        <w:rPr>
          <w:i/>
        </w:rPr>
      </w:pPr>
      <w:r w:rsidRPr="00B6660B">
        <w:rPr>
          <w:i/>
        </w:rPr>
        <w:t>For more detail on PBAC’s view, see section 7 PBAC outcome.</w:t>
      </w:r>
    </w:p>
    <w:p w:rsidR="00C317F3" w:rsidRPr="00BB367E" w:rsidRDefault="00C317F3" w:rsidP="002001C6">
      <w:pPr>
        <w:pStyle w:val="Heading1"/>
        <w:ind w:left="709" w:hanging="709"/>
      </w:pPr>
      <w:bookmarkStart w:id="9" w:name="_Toc413139275"/>
      <w:bookmarkStart w:id="10" w:name="_Toc492991353"/>
      <w:r w:rsidRPr="00BB367E">
        <w:t>Comparator</w:t>
      </w:r>
      <w:bookmarkEnd w:id="9"/>
      <w:bookmarkEnd w:id="10"/>
    </w:p>
    <w:p w:rsidR="00D54E8B" w:rsidRDefault="003B2EEA" w:rsidP="00D54E8B">
      <w:pPr>
        <w:pStyle w:val="ListParagraph"/>
        <w:ind w:left="709"/>
        <w:jc w:val="both"/>
      </w:pPr>
      <w:r w:rsidRPr="00BB367E">
        <w:t>Th</w:t>
      </w:r>
      <w:r w:rsidR="005B0B30" w:rsidRPr="00BB367E">
        <w:t xml:space="preserve">e submission nominated best supportive care (BSC) as the main comparator. Given that there are no other </w:t>
      </w:r>
      <w:r w:rsidR="00FC33EA" w:rsidRPr="00BB367E">
        <w:t>PBS-listed</w:t>
      </w:r>
      <w:r w:rsidR="005B0B30" w:rsidRPr="00BB367E">
        <w:t xml:space="preserve"> treatments for PPMS, this was reasonable.</w:t>
      </w:r>
      <w:r w:rsidR="009925DB" w:rsidRPr="00BB367E">
        <w:t xml:space="preserve"> </w:t>
      </w:r>
    </w:p>
    <w:p w:rsidR="00C317F3" w:rsidRPr="00D54E8B" w:rsidRDefault="00D54E8B" w:rsidP="00D54E8B">
      <w:pPr>
        <w:pStyle w:val="ListParagraph"/>
        <w:ind w:left="709"/>
        <w:jc w:val="both"/>
        <w:rPr>
          <w:i/>
        </w:rPr>
      </w:pPr>
      <w:r w:rsidRPr="00B6660B">
        <w:rPr>
          <w:i/>
        </w:rPr>
        <w:t>For more detail on PBAC’s view, see section 7 PBAC outcome.</w:t>
      </w:r>
    </w:p>
    <w:p w:rsidR="00C317F3" w:rsidRPr="00BB367E" w:rsidRDefault="00F16EDA" w:rsidP="00F16EDA">
      <w:pPr>
        <w:pStyle w:val="Heading1"/>
        <w:spacing w:before="400"/>
        <w:ind w:left="432"/>
        <w:jc w:val="both"/>
      </w:pPr>
      <w:bookmarkStart w:id="11" w:name="_Toc413139276"/>
      <w:bookmarkStart w:id="12" w:name="_Toc476306886"/>
      <w:bookmarkStart w:id="13" w:name="_Toc482710347"/>
      <w:r w:rsidRPr="00CE5C86">
        <w:t>Consideration of the evidence</w:t>
      </w:r>
      <w:bookmarkEnd w:id="11"/>
      <w:bookmarkEnd w:id="12"/>
      <w:bookmarkEnd w:id="13"/>
    </w:p>
    <w:p w:rsidR="00655359" w:rsidRPr="00292821" w:rsidRDefault="00DD145A" w:rsidP="00292821">
      <w:pPr>
        <w:pStyle w:val="V50Heading2nonumbers"/>
      </w:pPr>
      <w:r w:rsidRPr="00292821">
        <w:t>Sponsor hearing</w:t>
      </w:r>
    </w:p>
    <w:p w:rsidR="00DD145A" w:rsidRPr="00655359" w:rsidRDefault="00DD145A" w:rsidP="00FF615A">
      <w:pPr>
        <w:widowControl w:val="0"/>
        <w:numPr>
          <w:ilvl w:val="1"/>
          <w:numId w:val="1"/>
        </w:numPr>
        <w:spacing w:before="0" w:after="120"/>
        <w:jc w:val="both"/>
        <w:rPr>
          <w:rFonts w:cs="Arial"/>
          <w:bCs/>
          <w:snapToGrid w:val="0"/>
        </w:rPr>
      </w:pPr>
      <w:r w:rsidRPr="00655359">
        <w:rPr>
          <w:rFonts w:cs="Arial"/>
          <w:bCs/>
          <w:snapToGrid w:val="0"/>
        </w:rPr>
        <w:t>The</w:t>
      </w:r>
      <w:r w:rsidR="00655359" w:rsidRPr="00655359">
        <w:rPr>
          <w:rFonts w:cs="Arial"/>
          <w:bCs/>
          <w:snapToGrid w:val="0"/>
        </w:rPr>
        <w:t>re was no hearing for this item</w:t>
      </w:r>
      <w:r w:rsidRPr="00655359">
        <w:rPr>
          <w:rFonts w:cs="Arial"/>
          <w:bCs/>
          <w:snapToGrid w:val="0"/>
        </w:rPr>
        <w:t>.</w:t>
      </w:r>
    </w:p>
    <w:p w:rsidR="00DD145A" w:rsidRPr="00292821" w:rsidRDefault="00DD145A" w:rsidP="00292821">
      <w:pPr>
        <w:pStyle w:val="V50Heading2nonumbers"/>
      </w:pPr>
      <w:r w:rsidRPr="00292821">
        <w:t>Consumer comments</w:t>
      </w:r>
    </w:p>
    <w:p w:rsidR="00CD0A30" w:rsidRPr="00F16EDA" w:rsidRDefault="00DD145A" w:rsidP="00FF615A">
      <w:pPr>
        <w:widowControl w:val="0"/>
        <w:numPr>
          <w:ilvl w:val="1"/>
          <w:numId w:val="1"/>
        </w:numPr>
        <w:spacing w:before="0" w:after="120"/>
        <w:jc w:val="both"/>
        <w:rPr>
          <w:rFonts w:cs="Arial"/>
          <w:bCs/>
          <w:snapToGrid w:val="0"/>
        </w:rPr>
      </w:pPr>
      <w:r w:rsidRPr="00933F4A">
        <w:rPr>
          <w:rFonts w:cs="Arial"/>
          <w:bCs/>
          <w:snapToGrid w:val="0"/>
        </w:rPr>
        <w:t>The PBAC noted and welcom</w:t>
      </w:r>
      <w:r w:rsidR="00C027F7" w:rsidRPr="00933F4A">
        <w:rPr>
          <w:rFonts w:cs="Arial"/>
          <w:bCs/>
          <w:snapToGrid w:val="0"/>
        </w:rPr>
        <w:t>ed the input from individuals (63</w:t>
      </w:r>
      <w:r w:rsidRPr="00933F4A">
        <w:rPr>
          <w:rFonts w:cs="Arial"/>
          <w:bCs/>
          <w:snapToGrid w:val="0"/>
        </w:rPr>
        <w:t xml:space="preserve">), </w:t>
      </w:r>
      <w:r w:rsidR="00C027F7" w:rsidRPr="00933F4A">
        <w:rPr>
          <w:rFonts w:cs="Arial"/>
          <w:bCs/>
          <w:snapToGrid w:val="0"/>
        </w:rPr>
        <w:t xml:space="preserve">a </w:t>
      </w:r>
      <w:r w:rsidRPr="00933F4A">
        <w:rPr>
          <w:rFonts w:cs="Arial"/>
          <w:bCs/>
          <w:snapToGrid w:val="0"/>
        </w:rPr>
        <w:t>he</w:t>
      </w:r>
      <w:r w:rsidR="00C027F7" w:rsidRPr="00933F4A">
        <w:rPr>
          <w:rFonts w:cs="Arial"/>
          <w:bCs/>
          <w:snapToGrid w:val="0"/>
        </w:rPr>
        <w:t>alth care professional (1) and organisations (2</w:t>
      </w:r>
      <w:r w:rsidRPr="00933F4A">
        <w:rPr>
          <w:rFonts w:cs="Arial"/>
          <w:bCs/>
          <w:snapToGrid w:val="0"/>
        </w:rPr>
        <w:t>) via the Consumer Comments facility on the PBS website</w:t>
      </w:r>
      <w:r w:rsidR="00CD0A30" w:rsidRPr="00933F4A">
        <w:rPr>
          <w:rFonts w:cs="Arial"/>
          <w:bCs/>
          <w:snapToGrid w:val="0"/>
        </w:rPr>
        <w:t>.  The</w:t>
      </w:r>
      <w:r w:rsidR="00C110C7">
        <w:rPr>
          <w:rFonts w:cs="Arial"/>
          <w:bCs/>
          <w:snapToGrid w:val="0"/>
        </w:rPr>
        <w:t xml:space="preserve"> comments</w:t>
      </w:r>
      <w:r w:rsidR="00CD0A30" w:rsidRPr="00933F4A">
        <w:rPr>
          <w:rFonts w:cs="Arial"/>
          <w:bCs/>
          <w:snapToGrid w:val="0"/>
        </w:rPr>
        <w:t xml:space="preserve"> supported the PBS listing of ocrelizumab for PPMS and emphasised the need for treatments that may slow the progression of disease, preserve physical functioning and maintain quality of life. The comments described ocrelizumab as the first </w:t>
      </w:r>
      <w:r w:rsidR="00CD0A30" w:rsidRPr="00F16EDA">
        <w:rPr>
          <w:rFonts w:cs="Arial"/>
          <w:bCs/>
          <w:snapToGrid w:val="0"/>
        </w:rPr>
        <w:t xml:space="preserve">therapy to have shown evidence of efficacy in patients with PPMS. </w:t>
      </w:r>
      <w:r w:rsidR="00B516B8" w:rsidRPr="00F16EDA">
        <w:rPr>
          <w:rFonts w:cs="Arial"/>
          <w:bCs/>
          <w:snapToGrid w:val="0"/>
        </w:rPr>
        <w:t xml:space="preserve"> They also highlighted the benefit of a twice-yearly treatment option over more frequent injections such as with interferons. </w:t>
      </w:r>
      <w:r w:rsidR="00CD0A30" w:rsidRPr="00F16EDA">
        <w:rPr>
          <w:rFonts w:cs="Arial"/>
          <w:bCs/>
          <w:snapToGrid w:val="0"/>
        </w:rPr>
        <w:t xml:space="preserve">The comments argued that it was inequitable for ocrelizumab to be available only to patients with </w:t>
      </w:r>
      <w:r w:rsidR="00982834">
        <w:t>RR</w:t>
      </w:r>
      <w:r w:rsidR="00CD0A30" w:rsidRPr="00F16EDA">
        <w:rPr>
          <w:rFonts w:cs="Arial"/>
          <w:bCs/>
          <w:snapToGrid w:val="0"/>
        </w:rPr>
        <w:t xml:space="preserve">MS. </w:t>
      </w:r>
    </w:p>
    <w:p w:rsidR="00175595" w:rsidRPr="00F16EDA" w:rsidRDefault="00DD145A" w:rsidP="00FF615A">
      <w:pPr>
        <w:widowControl w:val="0"/>
        <w:numPr>
          <w:ilvl w:val="1"/>
          <w:numId w:val="1"/>
        </w:numPr>
        <w:spacing w:before="0" w:after="120"/>
        <w:jc w:val="both"/>
        <w:rPr>
          <w:rFonts w:cs="Arial"/>
          <w:bCs/>
          <w:snapToGrid w:val="0"/>
        </w:rPr>
      </w:pPr>
      <w:r w:rsidRPr="00F16EDA">
        <w:rPr>
          <w:rFonts w:cs="Arial"/>
          <w:bCs/>
          <w:snapToGrid w:val="0"/>
        </w:rPr>
        <w:t xml:space="preserve">The PBAC noted the advice received from </w:t>
      </w:r>
      <w:r w:rsidR="00CD0A30" w:rsidRPr="00F16EDA">
        <w:t>MS Australia and MS Research Australia</w:t>
      </w:r>
      <w:r w:rsidR="00175595" w:rsidRPr="00F16EDA">
        <w:t xml:space="preserve"> strongly supporting the PBS listing of ocrelizumab for PPMS. The organisations described the gradual progression of</w:t>
      </w:r>
      <w:r w:rsidR="00982834">
        <w:t xml:space="preserve"> the</w:t>
      </w:r>
      <w:r w:rsidR="00175595" w:rsidRPr="00F16EDA">
        <w:t xml:space="preserve"> disease</w:t>
      </w:r>
      <w:r w:rsidR="00F16EDA" w:rsidRPr="00F16EDA">
        <w:t xml:space="preserve"> and the resulting long term disability for patients with PPMS. They emphasised the unmet clinical need for patients with PPMS and that given ocrelizumab was the first and only treatment option available, even a modest delay in disability can provide benefit to individuals and their families and the broader community. </w:t>
      </w:r>
    </w:p>
    <w:p w:rsidR="00F16EDA" w:rsidRPr="00506AAC" w:rsidRDefault="00F16EDA" w:rsidP="00F16EDA">
      <w:pPr>
        <w:pStyle w:val="V50Heading2nonumbers"/>
      </w:pPr>
      <w:r w:rsidRPr="00506AAC">
        <w:t>Clinical trials</w:t>
      </w:r>
    </w:p>
    <w:p w:rsidR="00C317F3" w:rsidRPr="00BB367E" w:rsidRDefault="008F0C68" w:rsidP="00FF615A">
      <w:pPr>
        <w:pStyle w:val="ListParagraph"/>
        <w:numPr>
          <w:ilvl w:val="1"/>
          <w:numId w:val="1"/>
        </w:numPr>
        <w:ind w:left="720" w:hanging="720"/>
        <w:jc w:val="both"/>
      </w:pPr>
      <w:r w:rsidRPr="00BB367E">
        <w:t xml:space="preserve">The submission was based on one randomised, double blind </w:t>
      </w:r>
      <w:r w:rsidR="00FE784A" w:rsidRPr="00BB367E">
        <w:t xml:space="preserve">placebo control </w:t>
      </w:r>
      <w:r w:rsidRPr="00BB367E">
        <w:t>trial comparing ocrelizumab 600</w:t>
      </w:r>
      <w:r w:rsidR="00A75434" w:rsidRPr="00BB367E">
        <w:t xml:space="preserve">mg </w:t>
      </w:r>
      <w:r w:rsidR="00844B31" w:rsidRPr="00BB367E">
        <w:t>every 24 weeks, administered as two infusions of 300mg given 14 days apart,</w:t>
      </w:r>
      <w:r w:rsidR="00A75434" w:rsidRPr="00BB367E">
        <w:t xml:space="preserve"> to placebo (ORATORIO: N=732).</w:t>
      </w:r>
      <w:r w:rsidR="00C317F3" w:rsidRPr="00BB367E">
        <w:t xml:space="preserve">  </w:t>
      </w:r>
    </w:p>
    <w:p w:rsidR="00C317F3" w:rsidRPr="00BB367E" w:rsidRDefault="00C317F3" w:rsidP="00FF615A">
      <w:pPr>
        <w:pStyle w:val="ListParagraph"/>
        <w:numPr>
          <w:ilvl w:val="1"/>
          <w:numId w:val="1"/>
        </w:numPr>
        <w:ind w:left="720" w:hanging="720"/>
        <w:jc w:val="both"/>
      </w:pPr>
      <w:r w:rsidRPr="00BB367E">
        <w:t>Details of the trial presented in the submission ar</w:t>
      </w:r>
      <w:r w:rsidR="008F0C68" w:rsidRPr="00BB367E">
        <w:t xml:space="preserve">e provided in </w:t>
      </w:r>
      <w:r w:rsidR="00233552" w:rsidRPr="00BB367E">
        <w:t>Table 2</w:t>
      </w:r>
      <w:r w:rsidR="008F0C68" w:rsidRPr="00BB367E">
        <w:t xml:space="preserve">. </w:t>
      </w:r>
    </w:p>
    <w:p w:rsidR="00C317F3" w:rsidRPr="00BB367E" w:rsidRDefault="008F0C68" w:rsidP="00772501">
      <w:pPr>
        <w:pStyle w:val="TableHeading0"/>
      </w:pPr>
      <w:r w:rsidRPr="00BB367E">
        <w:t xml:space="preserve">Table </w:t>
      </w:r>
      <w:r w:rsidR="003C0D30" w:rsidRPr="00BB367E">
        <w:t>2</w:t>
      </w:r>
      <w:r w:rsidRPr="00BB367E">
        <w:t xml:space="preserve">: Trial </w:t>
      </w:r>
      <w:r w:rsidR="00C317F3" w:rsidRPr="00BB367E">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260"/>
        <w:gridCol w:w="2376"/>
      </w:tblGrid>
      <w:tr w:rsidR="00C317F3" w:rsidRPr="00BB367E" w:rsidTr="00FC33EA">
        <w:trPr>
          <w:tblHeader/>
        </w:trPr>
        <w:tc>
          <w:tcPr>
            <w:tcW w:w="796" w:type="pct"/>
          </w:tcPr>
          <w:p w:rsidR="00C317F3" w:rsidRPr="00BB367E" w:rsidRDefault="00C317F3" w:rsidP="00FC33EA">
            <w:pPr>
              <w:pStyle w:val="TableText"/>
              <w:rPr>
                <w:b/>
              </w:rPr>
            </w:pPr>
            <w:r w:rsidRPr="00BB367E">
              <w:rPr>
                <w:b/>
              </w:rPr>
              <w:t xml:space="preserve">Trial </w:t>
            </w:r>
          </w:p>
        </w:tc>
        <w:tc>
          <w:tcPr>
            <w:tcW w:w="2896" w:type="pct"/>
          </w:tcPr>
          <w:p w:rsidR="00C317F3" w:rsidRPr="00BB367E" w:rsidRDefault="00C317F3" w:rsidP="00FC33EA">
            <w:pPr>
              <w:pStyle w:val="TableText"/>
              <w:jc w:val="center"/>
              <w:rPr>
                <w:b/>
              </w:rPr>
            </w:pPr>
            <w:r w:rsidRPr="00BB367E">
              <w:rPr>
                <w:b/>
              </w:rPr>
              <w:t>Protocol title/ Publication title</w:t>
            </w:r>
          </w:p>
        </w:tc>
        <w:tc>
          <w:tcPr>
            <w:tcW w:w="1308" w:type="pct"/>
          </w:tcPr>
          <w:p w:rsidR="00C317F3" w:rsidRPr="00BB367E" w:rsidRDefault="00C317F3" w:rsidP="00FC33EA">
            <w:pPr>
              <w:pStyle w:val="TableText"/>
              <w:jc w:val="center"/>
              <w:rPr>
                <w:b/>
              </w:rPr>
            </w:pPr>
            <w:r w:rsidRPr="00BB367E">
              <w:rPr>
                <w:b/>
              </w:rPr>
              <w:t>Publication citation</w:t>
            </w:r>
          </w:p>
        </w:tc>
      </w:tr>
      <w:tr w:rsidR="00C317F3" w:rsidRPr="00BB367E" w:rsidTr="005C3BD2">
        <w:tc>
          <w:tcPr>
            <w:tcW w:w="5000" w:type="pct"/>
            <w:gridSpan w:val="3"/>
            <w:tcBorders>
              <w:bottom w:val="single" w:sz="4" w:space="0" w:color="auto"/>
            </w:tcBorders>
          </w:tcPr>
          <w:p w:rsidR="00C317F3" w:rsidRPr="00BB367E" w:rsidRDefault="008F0C68" w:rsidP="00772501">
            <w:pPr>
              <w:pStyle w:val="TableText"/>
              <w:rPr>
                <w:b/>
              </w:rPr>
            </w:pPr>
            <w:r w:rsidRPr="00BB367E">
              <w:rPr>
                <w:b/>
              </w:rPr>
              <w:t>Direct randomised trial</w:t>
            </w:r>
          </w:p>
        </w:tc>
      </w:tr>
      <w:tr w:rsidR="00FE784A" w:rsidRPr="00BB367E" w:rsidTr="00FC33EA">
        <w:trPr>
          <w:trHeight w:val="726"/>
        </w:trPr>
        <w:tc>
          <w:tcPr>
            <w:tcW w:w="796" w:type="pct"/>
            <w:vMerge w:val="restart"/>
          </w:tcPr>
          <w:p w:rsidR="00FE784A" w:rsidRPr="00BB367E" w:rsidRDefault="00FE784A" w:rsidP="00772501">
            <w:pPr>
              <w:pStyle w:val="TableText"/>
              <w:rPr>
                <w:rFonts w:ascii="Times" w:eastAsia="Times New Roman" w:hAnsi="Times" w:cs="Times New Roman"/>
              </w:rPr>
            </w:pPr>
            <w:r w:rsidRPr="00BB367E">
              <w:t>ORATORIO</w:t>
            </w:r>
          </w:p>
        </w:tc>
        <w:tc>
          <w:tcPr>
            <w:tcW w:w="2896" w:type="pct"/>
            <w:tcBorders>
              <w:bottom w:val="nil"/>
            </w:tcBorders>
          </w:tcPr>
          <w:p w:rsidR="00FE784A" w:rsidRPr="00BB367E" w:rsidRDefault="00FE784A" w:rsidP="008F0C68">
            <w:pPr>
              <w:pStyle w:val="TableText"/>
            </w:pPr>
            <w:r w:rsidRPr="00BB367E">
              <w:t xml:space="preserve">Clinical Study Report. Clinical Study Report. A Phase III, Multicentre, Randomized, Parallel-group, Double-blind, Placebo Controlled Study to Evaluate the Efficacy and Safety of Ocrelizumab in Adults With Primary Progressive Multiple Sclerosis.  </w:t>
            </w:r>
          </w:p>
        </w:tc>
        <w:tc>
          <w:tcPr>
            <w:tcW w:w="1308" w:type="pct"/>
            <w:tcBorders>
              <w:bottom w:val="nil"/>
            </w:tcBorders>
          </w:tcPr>
          <w:p w:rsidR="00FE784A" w:rsidRPr="00BB367E" w:rsidRDefault="00FE784A" w:rsidP="008F0C68">
            <w:pPr>
              <w:pStyle w:val="TableText"/>
            </w:pPr>
            <w:r w:rsidRPr="00BB367E">
              <w:t>March 2016</w:t>
            </w:r>
          </w:p>
        </w:tc>
      </w:tr>
      <w:tr w:rsidR="00FE784A" w:rsidRPr="00BB367E" w:rsidTr="00FC33EA">
        <w:tc>
          <w:tcPr>
            <w:tcW w:w="796" w:type="pct"/>
            <w:vMerge/>
            <w:tcBorders>
              <w:bottom w:val="single" w:sz="4" w:space="0" w:color="auto"/>
            </w:tcBorders>
          </w:tcPr>
          <w:p w:rsidR="00FE784A" w:rsidRPr="00BB367E" w:rsidRDefault="00FE784A" w:rsidP="00772501">
            <w:pPr>
              <w:pStyle w:val="TableText"/>
            </w:pPr>
          </w:p>
        </w:tc>
        <w:tc>
          <w:tcPr>
            <w:tcW w:w="2896" w:type="pct"/>
            <w:tcBorders>
              <w:top w:val="nil"/>
              <w:bottom w:val="single" w:sz="4" w:space="0" w:color="auto"/>
            </w:tcBorders>
          </w:tcPr>
          <w:p w:rsidR="00FE784A" w:rsidRPr="00BB367E" w:rsidRDefault="00FE784A" w:rsidP="00772501">
            <w:pPr>
              <w:pStyle w:val="TableText"/>
              <w:rPr>
                <w:rFonts w:ascii="Times" w:eastAsia="Times New Roman" w:hAnsi="Times" w:cs="Times New Roman"/>
              </w:rPr>
            </w:pPr>
            <w:r w:rsidRPr="00BB367E">
              <w:t>Montalban. Ocrelizumab versus placebo in primary progressive multiple sclerosis.</w:t>
            </w:r>
          </w:p>
        </w:tc>
        <w:tc>
          <w:tcPr>
            <w:tcW w:w="1308" w:type="pct"/>
            <w:tcBorders>
              <w:top w:val="nil"/>
              <w:bottom w:val="single" w:sz="4" w:space="0" w:color="auto"/>
            </w:tcBorders>
          </w:tcPr>
          <w:p w:rsidR="00FE784A" w:rsidRPr="00BB367E" w:rsidRDefault="00FE784A" w:rsidP="00772501">
            <w:pPr>
              <w:pStyle w:val="TableText"/>
            </w:pPr>
            <w:r w:rsidRPr="00BB367E">
              <w:t>New England Journal of Medicine. 2017;</w:t>
            </w:r>
            <w:r w:rsidR="00FC33EA" w:rsidRPr="00BB367E">
              <w:t xml:space="preserve"> </w:t>
            </w:r>
            <w:r w:rsidRPr="00BB367E">
              <w:t>376(3):209-20.</w:t>
            </w:r>
          </w:p>
        </w:tc>
      </w:tr>
    </w:tbl>
    <w:p w:rsidR="00C317F3" w:rsidRPr="00BB367E" w:rsidRDefault="003C0D30" w:rsidP="00772501">
      <w:pPr>
        <w:pStyle w:val="TableFooter"/>
      </w:pPr>
      <w:r w:rsidRPr="00BB367E">
        <w:t>Source: Table 2.2.1, p 36 of the submission.</w:t>
      </w:r>
      <w:r w:rsidR="00C317F3" w:rsidRPr="00BB367E">
        <w:t xml:space="preserve"> </w:t>
      </w:r>
    </w:p>
    <w:p w:rsidR="00C317F3" w:rsidRPr="00BB367E" w:rsidRDefault="00C317F3" w:rsidP="00FF615A">
      <w:pPr>
        <w:pStyle w:val="ListParagraph"/>
        <w:numPr>
          <w:ilvl w:val="1"/>
          <w:numId w:val="1"/>
        </w:numPr>
        <w:spacing w:before="0" w:after="120"/>
        <w:jc w:val="both"/>
      </w:pPr>
      <w:r w:rsidRPr="00BB367E">
        <w:t xml:space="preserve">The key features of </w:t>
      </w:r>
      <w:r w:rsidR="002052AF" w:rsidRPr="00BB367E">
        <w:t>the ORATORIO trial</w:t>
      </w:r>
      <w:r w:rsidRPr="00BB367E">
        <w:t xml:space="preserve"> are summarised in </w:t>
      </w:r>
      <w:r w:rsidR="00233552" w:rsidRPr="00BB367E">
        <w:t>Table 3</w:t>
      </w:r>
      <w:r w:rsidRPr="00BB367E">
        <w:t xml:space="preserve">.  </w:t>
      </w:r>
    </w:p>
    <w:p w:rsidR="00C317F3" w:rsidRPr="00BB367E" w:rsidRDefault="00C317F3" w:rsidP="00772501">
      <w:pPr>
        <w:pStyle w:val="TableHeading0"/>
      </w:pPr>
      <w:r w:rsidRPr="00BB367E">
        <w:t xml:space="preserve">Table </w:t>
      </w:r>
      <w:r w:rsidR="003C0D30" w:rsidRPr="00BB367E">
        <w:t>3</w:t>
      </w:r>
      <w:r w:rsidRPr="00BB367E">
        <w:t>: Key features of the included evidence</w:t>
      </w:r>
      <w:r w:rsidR="003C1D3B" w:rsidRPr="00BB367E">
        <w:t>, ocrelizumab versus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716"/>
        <w:gridCol w:w="1428"/>
        <w:gridCol w:w="856"/>
        <w:gridCol w:w="1284"/>
        <w:gridCol w:w="1571"/>
        <w:gridCol w:w="1662"/>
      </w:tblGrid>
      <w:tr w:rsidR="00C317F3" w:rsidRPr="00BB367E" w:rsidTr="00233552">
        <w:tc>
          <w:tcPr>
            <w:tcW w:w="862" w:type="pct"/>
            <w:shd w:val="clear" w:color="auto" w:fill="auto"/>
            <w:vAlign w:val="center"/>
          </w:tcPr>
          <w:p w:rsidR="00C317F3" w:rsidRPr="00BB367E" w:rsidRDefault="00C317F3" w:rsidP="00772501">
            <w:pPr>
              <w:pStyle w:val="TableText"/>
              <w:rPr>
                <w:b/>
              </w:rPr>
            </w:pPr>
            <w:r w:rsidRPr="00BB367E">
              <w:rPr>
                <w:b/>
              </w:rPr>
              <w:t>Trial</w:t>
            </w:r>
          </w:p>
        </w:tc>
        <w:tc>
          <w:tcPr>
            <w:tcW w:w="394" w:type="pct"/>
            <w:shd w:val="clear" w:color="auto" w:fill="auto"/>
            <w:vAlign w:val="center"/>
          </w:tcPr>
          <w:p w:rsidR="00C317F3" w:rsidRPr="00BB367E" w:rsidRDefault="00C317F3" w:rsidP="00233552">
            <w:pPr>
              <w:pStyle w:val="TableText"/>
              <w:jc w:val="center"/>
              <w:rPr>
                <w:b/>
              </w:rPr>
            </w:pPr>
            <w:r w:rsidRPr="00BB367E">
              <w:rPr>
                <w:b/>
              </w:rPr>
              <w:t>N</w:t>
            </w:r>
          </w:p>
        </w:tc>
        <w:tc>
          <w:tcPr>
            <w:tcW w:w="786" w:type="pct"/>
            <w:shd w:val="clear" w:color="auto" w:fill="auto"/>
            <w:vAlign w:val="center"/>
          </w:tcPr>
          <w:p w:rsidR="00C317F3" w:rsidRPr="00BB367E" w:rsidRDefault="00C317F3" w:rsidP="00233552">
            <w:pPr>
              <w:pStyle w:val="TableText"/>
              <w:jc w:val="center"/>
              <w:rPr>
                <w:b/>
              </w:rPr>
            </w:pPr>
            <w:r w:rsidRPr="00BB367E">
              <w:rPr>
                <w:b/>
              </w:rPr>
              <w:t>Design/ duration</w:t>
            </w:r>
            <w:r w:rsidR="005F2A6B" w:rsidRPr="00BB367E">
              <w:rPr>
                <w:b/>
              </w:rPr>
              <w:t xml:space="preserve"> of follow-up</w:t>
            </w:r>
          </w:p>
        </w:tc>
        <w:tc>
          <w:tcPr>
            <w:tcW w:w="471" w:type="pct"/>
            <w:shd w:val="clear" w:color="auto" w:fill="auto"/>
            <w:vAlign w:val="center"/>
          </w:tcPr>
          <w:p w:rsidR="00C317F3" w:rsidRPr="00BB367E" w:rsidRDefault="00C317F3" w:rsidP="00233552">
            <w:pPr>
              <w:pStyle w:val="TableText"/>
              <w:jc w:val="center"/>
              <w:rPr>
                <w:b/>
              </w:rPr>
            </w:pPr>
            <w:r w:rsidRPr="00BB367E">
              <w:rPr>
                <w:b/>
              </w:rPr>
              <w:t>Risk of bias</w:t>
            </w:r>
          </w:p>
        </w:tc>
        <w:tc>
          <w:tcPr>
            <w:tcW w:w="707" w:type="pct"/>
            <w:shd w:val="clear" w:color="auto" w:fill="auto"/>
            <w:vAlign w:val="center"/>
          </w:tcPr>
          <w:p w:rsidR="00C317F3" w:rsidRPr="00BB367E" w:rsidRDefault="00C317F3" w:rsidP="00233552">
            <w:pPr>
              <w:pStyle w:val="TableText"/>
              <w:jc w:val="center"/>
              <w:rPr>
                <w:b/>
              </w:rPr>
            </w:pPr>
            <w:r w:rsidRPr="00BB367E">
              <w:rPr>
                <w:b/>
              </w:rPr>
              <w:t>Patient population</w:t>
            </w:r>
          </w:p>
        </w:tc>
        <w:tc>
          <w:tcPr>
            <w:tcW w:w="865" w:type="pct"/>
            <w:shd w:val="clear" w:color="auto" w:fill="auto"/>
            <w:vAlign w:val="center"/>
          </w:tcPr>
          <w:p w:rsidR="00C317F3" w:rsidRPr="00BB367E" w:rsidRDefault="00B71CC5" w:rsidP="00233552">
            <w:pPr>
              <w:pStyle w:val="TableText"/>
              <w:jc w:val="center"/>
              <w:rPr>
                <w:b/>
              </w:rPr>
            </w:pPr>
            <w:r w:rsidRPr="00BB367E">
              <w:rPr>
                <w:b/>
              </w:rPr>
              <w:t>Outcomes</w:t>
            </w:r>
          </w:p>
        </w:tc>
        <w:tc>
          <w:tcPr>
            <w:tcW w:w="915" w:type="pct"/>
            <w:shd w:val="clear" w:color="auto" w:fill="auto"/>
            <w:vAlign w:val="center"/>
          </w:tcPr>
          <w:p w:rsidR="00C317F3" w:rsidRPr="00BB367E" w:rsidRDefault="00C317F3" w:rsidP="00233552">
            <w:pPr>
              <w:pStyle w:val="TableText"/>
              <w:jc w:val="center"/>
              <w:rPr>
                <w:b/>
              </w:rPr>
            </w:pPr>
            <w:r w:rsidRPr="00BB367E">
              <w:rPr>
                <w:b/>
              </w:rPr>
              <w:t>Use in modelled evaluation</w:t>
            </w:r>
          </w:p>
        </w:tc>
      </w:tr>
      <w:tr w:rsidR="00FE784A" w:rsidRPr="00BB367E" w:rsidTr="00233552">
        <w:tc>
          <w:tcPr>
            <w:tcW w:w="862" w:type="pct"/>
            <w:shd w:val="clear" w:color="auto" w:fill="auto"/>
            <w:vAlign w:val="center"/>
          </w:tcPr>
          <w:p w:rsidR="00FE784A" w:rsidRPr="00BB367E" w:rsidRDefault="00FE784A" w:rsidP="00772501">
            <w:pPr>
              <w:pStyle w:val="TableText"/>
            </w:pPr>
            <w:r w:rsidRPr="00BB367E">
              <w:t>ORATORIO</w:t>
            </w:r>
          </w:p>
        </w:tc>
        <w:tc>
          <w:tcPr>
            <w:tcW w:w="394" w:type="pct"/>
            <w:vMerge w:val="restart"/>
            <w:shd w:val="clear" w:color="auto" w:fill="auto"/>
            <w:vAlign w:val="center"/>
          </w:tcPr>
          <w:p w:rsidR="00FE784A" w:rsidRPr="00BB367E" w:rsidRDefault="00FE784A" w:rsidP="00233552">
            <w:pPr>
              <w:pStyle w:val="TableText"/>
              <w:jc w:val="center"/>
              <w:rPr>
                <w:rFonts w:eastAsia="Times New Roman" w:cs="Times New Roman"/>
              </w:rPr>
            </w:pPr>
            <w:r w:rsidRPr="00BB367E">
              <w:rPr>
                <w:rFonts w:eastAsia="Times New Roman" w:cs="Times New Roman"/>
              </w:rPr>
              <w:t>732</w:t>
            </w:r>
          </w:p>
        </w:tc>
        <w:tc>
          <w:tcPr>
            <w:tcW w:w="786" w:type="pct"/>
            <w:shd w:val="clear" w:color="auto" w:fill="auto"/>
            <w:vAlign w:val="center"/>
          </w:tcPr>
          <w:p w:rsidR="00FE784A" w:rsidRPr="00BB367E" w:rsidRDefault="00FE784A" w:rsidP="00233552">
            <w:pPr>
              <w:pStyle w:val="TableText"/>
              <w:jc w:val="center"/>
              <w:rPr>
                <w:rFonts w:ascii="Times" w:eastAsia="Times New Roman" w:hAnsi="Times" w:cs="Times New Roman"/>
              </w:rPr>
            </w:pPr>
            <w:r w:rsidRPr="00BB367E">
              <w:t xml:space="preserve">R, DB, </w:t>
            </w:r>
            <w:r w:rsidR="00233552" w:rsidRPr="00BB367E">
              <w:br/>
            </w:r>
            <w:r w:rsidRPr="00BB367E">
              <w:t>120 weeks</w:t>
            </w:r>
          </w:p>
        </w:tc>
        <w:tc>
          <w:tcPr>
            <w:tcW w:w="471" w:type="pct"/>
            <w:shd w:val="clear" w:color="auto" w:fill="auto"/>
            <w:vAlign w:val="center"/>
          </w:tcPr>
          <w:p w:rsidR="00FE784A" w:rsidRPr="00BB367E" w:rsidRDefault="00FE784A" w:rsidP="00233552">
            <w:pPr>
              <w:pStyle w:val="TableText"/>
              <w:jc w:val="center"/>
              <w:rPr>
                <w:rFonts w:ascii="Times" w:eastAsia="Times New Roman" w:hAnsi="Times" w:cs="Times New Roman"/>
              </w:rPr>
            </w:pPr>
            <w:r w:rsidRPr="00BB367E">
              <w:t>Low</w:t>
            </w:r>
          </w:p>
        </w:tc>
        <w:tc>
          <w:tcPr>
            <w:tcW w:w="707" w:type="pct"/>
            <w:shd w:val="clear" w:color="auto" w:fill="auto"/>
            <w:vAlign w:val="center"/>
          </w:tcPr>
          <w:p w:rsidR="00FE784A" w:rsidRPr="00BB367E" w:rsidRDefault="00FE784A" w:rsidP="00233552">
            <w:pPr>
              <w:pStyle w:val="TableText"/>
              <w:jc w:val="center"/>
              <w:rPr>
                <w:rFonts w:ascii="Times" w:eastAsia="Times New Roman" w:hAnsi="Times" w:cs="Times New Roman"/>
              </w:rPr>
            </w:pPr>
            <w:r w:rsidRPr="00BB367E">
              <w:t>PPMS</w:t>
            </w:r>
          </w:p>
        </w:tc>
        <w:tc>
          <w:tcPr>
            <w:tcW w:w="865" w:type="pct"/>
            <w:shd w:val="clear" w:color="auto" w:fill="auto"/>
            <w:vAlign w:val="center"/>
          </w:tcPr>
          <w:p w:rsidR="00FE784A" w:rsidRPr="00BB367E" w:rsidRDefault="009E3172" w:rsidP="00233552">
            <w:pPr>
              <w:pStyle w:val="TableText"/>
              <w:jc w:val="center"/>
              <w:rPr>
                <w:rFonts w:ascii="Times" w:eastAsia="Times New Roman" w:hAnsi="Times" w:cs="Times New Roman"/>
              </w:rPr>
            </w:pPr>
            <w:r>
              <w:t>CDP</w:t>
            </w:r>
            <w:r w:rsidRPr="00BB367E">
              <w:t xml:space="preserve"> </w:t>
            </w:r>
            <w:r w:rsidR="00FE784A" w:rsidRPr="00BB367E">
              <w:t>12; CDP 24</w:t>
            </w:r>
          </w:p>
        </w:tc>
        <w:tc>
          <w:tcPr>
            <w:tcW w:w="915" w:type="pct"/>
            <w:shd w:val="clear" w:color="auto" w:fill="auto"/>
            <w:vAlign w:val="center"/>
          </w:tcPr>
          <w:p w:rsidR="00233552" w:rsidRPr="00BB367E" w:rsidRDefault="00FE784A" w:rsidP="00233552">
            <w:pPr>
              <w:pStyle w:val="TableText"/>
              <w:jc w:val="center"/>
            </w:pPr>
            <w:r w:rsidRPr="00BB367E">
              <w:t xml:space="preserve">Yes </w:t>
            </w:r>
          </w:p>
          <w:p w:rsidR="00FE784A" w:rsidRPr="00BB367E" w:rsidRDefault="00FE784A" w:rsidP="00233552">
            <w:pPr>
              <w:pStyle w:val="TableText"/>
              <w:jc w:val="center"/>
              <w:rPr>
                <w:rFonts w:ascii="Times" w:eastAsia="Times New Roman" w:hAnsi="Times" w:cs="Times New Roman"/>
              </w:rPr>
            </w:pPr>
            <w:r w:rsidRPr="00BB367E">
              <w:t>(sensitivity analyses</w:t>
            </w:r>
            <w:r w:rsidR="00233552" w:rsidRPr="00BB367E">
              <w:t>)</w:t>
            </w:r>
          </w:p>
        </w:tc>
      </w:tr>
      <w:tr w:rsidR="00FE784A" w:rsidRPr="00BB367E" w:rsidTr="00233552">
        <w:tc>
          <w:tcPr>
            <w:tcW w:w="862" w:type="pct"/>
            <w:shd w:val="clear" w:color="auto" w:fill="auto"/>
            <w:vAlign w:val="center"/>
          </w:tcPr>
          <w:p w:rsidR="00FE784A" w:rsidRPr="00BB367E" w:rsidRDefault="00FE784A" w:rsidP="00772501">
            <w:pPr>
              <w:pStyle w:val="TableText"/>
              <w:rPr>
                <w:rFonts w:ascii="Times" w:eastAsia="Times New Roman" w:hAnsi="Times" w:cs="Times New Roman"/>
              </w:rPr>
            </w:pPr>
            <w:r w:rsidRPr="00BB367E">
              <w:t>ORATORIO open label extension</w:t>
            </w:r>
          </w:p>
        </w:tc>
        <w:tc>
          <w:tcPr>
            <w:tcW w:w="394" w:type="pct"/>
            <w:vMerge/>
            <w:shd w:val="clear" w:color="auto" w:fill="auto"/>
            <w:vAlign w:val="center"/>
          </w:tcPr>
          <w:p w:rsidR="00FE784A" w:rsidRPr="00BB367E" w:rsidRDefault="00FE784A" w:rsidP="00233552">
            <w:pPr>
              <w:pStyle w:val="TableText"/>
              <w:jc w:val="center"/>
              <w:rPr>
                <w:rFonts w:ascii="Times" w:eastAsia="Times New Roman" w:hAnsi="Times" w:cs="Times New Roman"/>
              </w:rPr>
            </w:pPr>
          </w:p>
        </w:tc>
        <w:tc>
          <w:tcPr>
            <w:tcW w:w="786" w:type="pct"/>
            <w:shd w:val="clear" w:color="auto" w:fill="auto"/>
            <w:vAlign w:val="center"/>
          </w:tcPr>
          <w:p w:rsidR="00FE784A" w:rsidRPr="00BB367E" w:rsidRDefault="00FE784A" w:rsidP="00233552">
            <w:pPr>
              <w:pStyle w:val="TableText"/>
              <w:jc w:val="center"/>
              <w:rPr>
                <w:rFonts w:ascii="Times" w:eastAsia="Times New Roman" w:hAnsi="Times" w:cs="Times New Roman"/>
              </w:rPr>
            </w:pPr>
            <w:r w:rsidRPr="00BB367E">
              <w:t xml:space="preserve">R, OL, </w:t>
            </w:r>
            <w:r w:rsidR="00233552" w:rsidRPr="00BB367E">
              <w:br/>
            </w:r>
            <w:r w:rsidRPr="00BB367E">
              <w:t>144 weeks</w:t>
            </w:r>
            <w:r w:rsidR="00E7239C" w:rsidRPr="00BB367E">
              <w:t>*</w:t>
            </w:r>
          </w:p>
        </w:tc>
        <w:tc>
          <w:tcPr>
            <w:tcW w:w="471" w:type="pct"/>
            <w:shd w:val="clear" w:color="auto" w:fill="auto"/>
            <w:vAlign w:val="center"/>
          </w:tcPr>
          <w:p w:rsidR="00FE784A" w:rsidRPr="00BB367E" w:rsidRDefault="00CE1EE1" w:rsidP="00233552">
            <w:pPr>
              <w:pStyle w:val="TableText"/>
              <w:jc w:val="center"/>
              <w:rPr>
                <w:rFonts w:ascii="Times" w:eastAsia="Times New Roman" w:hAnsi="Times" w:cs="Times New Roman"/>
              </w:rPr>
            </w:pPr>
            <w:r w:rsidRPr="00BB367E">
              <w:t>Low</w:t>
            </w:r>
          </w:p>
        </w:tc>
        <w:tc>
          <w:tcPr>
            <w:tcW w:w="707" w:type="pct"/>
            <w:shd w:val="clear" w:color="auto" w:fill="auto"/>
            <w:vAlign w:val="center"/>
          </w:tcPr>
          <w:p w:rsidR="00FE784A" w:rsidRPr="00BB367E" w:rsidRDefault="00FE784A" w:rsidP="00233552">
            <w:pPr>
              <w:pStyle w:val="TableText"/>
              <w:jc w:val="center"/>
              <w:rPr>
                <w:rFonts w:ascii="Times" w:eastAsia="Times New Roman" w:hAnsi="Times" w:cs="Times New Roman"/>
              </w:rPr>
            </w:pPr>
            <w:r w:rsidRPr="00BB367E">
              <w:t>PPMS</w:t>
            </w:r>
          </w:p>
        </w:tc>
        <w:tc>
          <w:tcPr>
            <w:tcW w:w="865" w:type="pct"/>
            <w:shd w:val="clear" w:color="auto" w:fill="auto"/>
            <w:vAlign w:val="center"/>
          </w:tcPr>
          <w:p w:rsidR="00FE784A" w:rsidRPr="00BB367E" w:rsidRDefault="00FE784A" w:rsidP="00233552">
            <w:pPr>
              <w:pStyle w:val="TableText"/>
              <w:jc w:val="center"/>
              <w:rPr>
                <w:rFonts w:ascii="Times" w:eastAsia="Times New Roman" w:hAnsi="Times" w:cs="Times New Roman"/>
              </w:rPr>
            </w:pPr>
            <w:r w:rsidRPr="00BB367E">
              <w:t>CDP 12; CDP 24</w:t>
            </w:r>
          </w:p>
        </w:tc>
        <w:tc>
          <w:tcPr>
            <w:tcW w:w="915" w:type="pct"/>
            <w:shd w:val="clear" w:color="auto" w:fill="auto"/>
            <w:vAlign w:val="center"/>
          </w:tcPr>
          <w:p w:rsidR="00233552" w:rsidRPr="00BB367E" w:rsidRDefault="00FE784A" w:rsidP="00233552">
            <w:pPr>
              <w:pStyle w:val="TableText"/>
              <w:jc w:val="center"/>
            </w:pPr>
            <w:r w:rsidRPr="00BB367E">
              <w:t xml:space="preserve">Yes </w:t>
            </w:r>
          </w:p>
          <w:p w:rsidR="00FE784A" w:rsidRPr="00BB367E" w:rsidRDefault="00FE784A" w:rsidP="00233552">
            <w:pPr>
              <w:pStyle w:val="TableText"/>
              <w:jc w:val="center"/>
              <w:rPr>
                <w:rFonts w:ascii="Times" w:eastAsia="Times New Roman" w:hAnsi="Times" w:cs="Times New Roman"/>
              </w:rPr>
            </w:pPr>
            <w:r w:rsidRPr="00BB367E">
              <w:t>(base case)</w:t>
            </w:r>
          </w:p>
        </w:tc>
      </w:tr>
    </w:tbl>
    <w:p w:rsidR="00C317F3" w:rsidRPr="00BB367E" w:rsidRDefault="00233552" w:rsidP="00772501">
      <w:pPr>
        <w:pStyle w:val="TableFooter"/>
      </w:pPr>
      <w:r w:rsidRPr="00BB367E">
        <w:t>CDP=confirmed disability progression, defined as the time from baseline to the first disability progression, which is confirmed at the next regularly scheduled visit ≥12 weeks (or ≥24 weeks) after the initial disability progression</w:t>
      </w:r>
      <w:r w:rsidR="00CC2EAA" w:rsidRPr="00BB367E">
        <w:t xml:space="preserve"> (</w:t>
      </w:r>
      <w:r w:rsidR="008A0A39" w:rsidRPr="00BB367E">
        <w:t>i.e.</w:t>
      </w:r>
      <w:r w:rsidR="00CC2EAA" w:rsidRPr="00BB367E">
        <w:t>, that observed increase in disability was sustained for a period of 12 or 24 weeks)</w:t>
      </w:r>
      <w:r w:rsidRPr="00BB367E">
        <w:t xml:space="preserve">; </w:t>
      </w:r>
      <w:r w:rsidR="00C317F3" w:rsidRPr="00BB367E">
        <w:t>DB=double blind; MC=multi-centre; OL=open label; R=randomised.</w:t>
      </w:r>
    </w:p>
    <w:p w:rsidR="00C317F3" w:rsidRPr="00BB367E" w:rsidRDefault="00C317F3" w:rsidP="00F651D8">
      <w:pPr>
        <w:pStyle w:val="TableFooter"/>
        <w:tabs>
          <w:tab w:val="center" w:pos="4513"/>
        </w:tabs>
      </w:pPr>
      <w:r w:rsidRPr="00BB367E">
        <w:t>Source: compiled during the evaluation</w:t>
      </w:r>
      <w:r w:rsidR="00F651D8">
        <w:tab/>
      </w:r>
    </w:p>
    <w:p w:rsidR="00E7239C" w:rsidRPr="00BB367E" w:rsidRDefault="00E7239C" w:rsidP="00233552">
      <w:pPr>
        <w:pStyle w:val="TableFooter"/>
        <w:ind w:left="284" w:hanging="284"/>
      </w:pPr>
      <w:r w:rsidRPr="00BB367E">
        <w:t>*</w:t>
      </w:r>
      <w:r w:rsidR="00233552" w:rsidRPr="00BB367E">
        <w:tab/>
      </w:r>
      <w:r w:rsidRPr="00BB367E">
        <w:t>The submission stated that after the primary cut-off of 120 weeks, the open label study remained blinded and random controlled until 144 weeks.</w:t>
      </w:r>
    </w:p>
    <w:p w:rsidR="00C317F3" w:rsidRPr="00BB367E" w:rsidRDefault="003C0D30" w:rsidP="00FF615A">
      <w:pPr>
        <w:pStyle w:val="ListParagraph"/>
        <w:numPr>
          <w:ilvl w:val="1"/>
          <w:numId w:val="1"/>
        </w:numPr>
        <w:ind w:left="720" w:hanging="720"/>
        <w:jc w:val="both"/>
      </w:pPr>
      <w:r w:rsidRPr="00BB367E">
        <w:t>The ORATORIO</w:t>
      </w:r>
      <w:r w:rsidR="003458C2" w:rsidRPr="00BB367E">
        <w:t xml:space="preserve"> trial</w:t>
      </w:r>
      <w:r w:rsidRPr="00BB367E">
        <w:t xml:space="preserve"> </w:t>
      </w:r>
      <w:r w:rsidR="003458C2" w:rsidRPr="00BB367E">
        <w:t>included</w:t>
      </w:r>
      <w:r w:rsidR="002117E3" w:rsidRPr="00BB367E">
        <w:t xml:space="preserve"> a narrower population than the </w:t>
      </w:r>
      <w:r w:rsidR="003458C2" w:rsidRPr="00BB367E">
        <w:t xml:space="preserve">likely </w:t>
      </w:r>
      <w:r w:rsidR="002117E3" w:rsidRPr="00BB367E">
        <w:t>Australian PPMS population, with the following inclusion criteria:</w:t>
      </w:r>
      <w:r w:rsidRPr="00BB367E">
        <w:t xml:space="preserve"> </w:t>
      </w:r>
    </w:p>
    <w:p w:rsidR="00D0199C" w:rsidRPr="00BB367E" w:rsidRDefault="00D0199C" w:rsidP="00FF615A">
      <w:pPr>
        <w:pStyle w:val="ListParagraph"/>
        <w:numPr>
          <w:ilvl w:val="0"/>
          <w:numId w:val="8"/>
        </w:numPr>
        <w:spacing w:before="0" w:after="0"/>
        <w:ind w:left="993" w:hanging="426"/>
        <w:jc w:val="both"/>
      </w:pPr>
      <w:r w:rsidRPr="00BB367E">
        <w:t>Patients aged 18-55 years;</w:t>
      </w:r>
    </w:p>
    <w:p w:rsidR="002117E3" w:rsidRPr="00BB367E" w:rsidRDefault="002117E3" w:rsidP="00FF615A">
      <w:pPr>
        <w:pStyle w:val="ListParagraph"/>
        <w:numPr>
          <w:ilvl w:val="0"/>
          <w:numId w:val="8"/>
        </w:numPr>
        <w:spacing w:before="0" w:after="0"/>
        <w:ind w:left="993" w:hanging="426"/>
        <w:jc w:val="both"/>
      </w:pPr>
      <w:r w:rsidRPr="00BB367E">
        <w:t>Patients with EDSS at screening from 3.0 to 6.5 points</w:t>
      </w:r>
      <w:r w:rsidR="00233552" w:rsidRPr="00BB367E">
        <w:t>;</w:t>
      </w:r>
    </w:p>
    <w:p w:rsidR="002117E3" w:rsidRPr="00BB367E" w:rsidRDefault="00233552" w:rsidP="00FF615A">
      <w:pPr>
        <w:pStyle w:val="ListParagraph"/>
        <w:numPr>
          <w:ilvl w:val="0"/>
          <w:numId w:val="8"/>
        </w:numPr>
        <w:spacing w:before="0" w:after="0"/>
        <w:ind w:left="993" w:hanging="426"/>
        <w:jc w:val="both"/>
      </w:pPr>
      <w:r w:rsidRPr="00BB367E">
        <w:t>A score of ≥</w:t>
      </w:r>
      <w:r w:rsidR="002117E3" w:rsidRPr="00BB367E">
        <w:t>2.0 on the functional systems scale</w:t>
      </w:r>
      <w:r w:rsidRPr="00BB367E">
        <w:t>;</w:t>
      </w:r>
    </w:p>
    <w:p w:rsidR="002117E3" w:rsidRPr="00BB367E" w:rsidRDefault="002117E3" w:rsidP="00FF615A">
      <w:pPr>
        <w:pStyle w:val="ListParagraph"/>
        <w:numPr>
          <w:ilvl w:val="0"/>
          <w:numId w:val="8"/>
        </w:numPr>
        <w:spacing w:before="0" w:after="120"/>
        <w:ind w:left="992" w:hanging="425"/>
        <w:jc w:val="both"/>
      </w:pPr>
      <w:r w:rsidRPr="00BB367E">
        <w:t xml:space="preserve">A disease duration from onset of MS symptoms of less than 15 years for patients </w:t>
      </w:r>
      <w:r w:rsidR="00233552" w:rsidRPr="00BB367E">
        <w:t>with an EDSS at screening of &gt;</w:t>
      </w:r>
      <w:r w:rsidRPr="00BB367E">
        <w:t>5.0; and 10 years in patients with an EDS</w:t>
      </w:r>
      <w:r w:rsidR="00233552" w:rsidRPr="00BB367E">
        <w:t>S at screening of ≤</w:t>
      </w:r>
      <w:r w:rsidRPr="00BB367E">
        <w:t>5.0.</w:t>
      </w:r>
    </w:p>
    <w:p w:rsidR="00345CDE" w:rsidRDefault="00345CDE" w:rsidP="00FF615A">
      <w:pPr>
        <w:pStyle w:val="ListParagraph"/>
        <w:numPr>
          <w:ilvl w:val="1"/>
          <w:numId w:val="1"/>
        </w:numPr>
        <w:ind w:left="720" w:hanging="720"/>
        <w:jc w:val="both"/>
      </w:pPr>
      <w:r w:rsidRPr="00BB367E">
        <w:t>Characteristics of Australian PPMS patients from the MSBase registry indicate</w:t>
      </w:r>
      <w:r w:rsidR="0087408E" w:rsidRPr="00BB367E">
        <w:t>d</w:t>
      </w:r>
      <w:r w:rsidRPr="00BB367E">
        <w:t xml:space="preserve"> that the current Australian population is older (mean of 58 years), have been diagnosed with PPMS for longer (12 years versus approximately 3 years), have a higher EDSS score, include</w:t>
      </w:r>
      <w:r w:rsidR="0087408E" w:rsidRPr="00BB367E">
        <w:t>s</w:t>
      </w:r>
      <w:r w:rsidRPr="00BB367E">
        <w:t xml:space="preserve"> a greater proportion of females and a greater proportion of patients have had prior </w:t>
      </w:r>
      <w:r w:rsidR="0087408E" w:rsidRPr="00BB367E">
        <w:t>disease modifying therapies</w:t>
      </w:r>
      <w:r w:rsidRPr="00BB367E">
        <w:t xml:space="preserve"> compared with those enrolled in ORATORIO.</w:t>
      </w:r>
      <w:r w:rsidR="00644097">
        <w:t xml:space="preserve"> </w:t>
      </w:r>
    </w:p>
    <w:p w:rsidR="001723FA" w:rsidRPr="00B82C6A" w:rsidRDefault="001723FA" w:rsidP="001723FA">
      <w:pPr>
        <w:pStyle w:val="ListParagraph"/>
        <w:numPr>
          <w:ilvl w:val="1"/>
          <w:numId w:val="1"/>
        </w:numPr>
        <w:jc w:val="both"/>
      </w:pPr>
      <w:r w:rsidRPr="00B82C6A">
        <w:t xml:space="preserve">The pre-PBAC response (p1) stated that a survey of 154 clinicians in Germany, France, Italy, Spain and the UK conducted in September 2017 summarised the ideal PPMS patient for ocrelizumab as one who is “fast progressing with EDSS &lt;6.5, and underlying inflammation; progression needs to urgently be slowed to save as much neurological function as possible”. One clinician noted ‘though the unmet need for EDSS &gt;6.5 patients is high, they are too far progressed to benefit from OCR’. The pre-PBAC response stated that results of this survey were </w:t>
      </w:r>
      <w:r w:rsidRPr="00B82C6A">
        <w:rPr>
          <w:rFonts w:ascii="Calibri" w:hAnsi="Calibri" w:cs="Calibri"/>
          <w:bCs/>
        </w:rPr>
        <w:t xml:space="preserve">consistent with advice from Australian MS experts consulted for the preparation of the submission, who stated that they have a higher likelihood of treating ambulatory patients with shorter disease duration and/or with gadolinium positive (Gd+) T1 lesions; representing  approximately 50% of the prevalent PPMS population. The pre-PBAC response argued that </w:t>
      </w:r>
      <w:r w:rsidRPr="00B82C6A">
        <w:rPr>
          <w:rFonts w:ascii="Calibri" w:hAnsi="Calibri" w:cs="Calibri"/>
          <w:bCs/>
          <w:lang w:val="en-US"/>
        </w:rPr>
        <w:t>the cohort of PPMS patients currently captured in the MSBase Registry does not accurately reflect the population expected to be treated with ocrelizumab.</w:t>
      </w:r>
      <w:r w:rsidR="00982834">
        <w:rPr>
          <w:rFonts w:ascii="Calibri" w:hAnsi="Calibri" w:cs="Calibri"/>
          <w:bCs/>
          <w:lang w:val="en-US"/>
        </w:rPr>
        <w:t xml:space="preserve"> The PBAC noted that the requested restriction did not limit use of ocrelizumab to patients as described by the pre-PBAC response. </w:t>
      </w:r>
    </w:p>
    <w:p w:rsidR="003A4D73" w:rsidRPr="00B82C6A" w:rsidRDefault="00B145BC" w:rsidP="00B145BC">
      <w:pPr>
        <w:pStyle w:val="ListParagraph"/>
        <w:numPr>
          <w:ilvl w:val="1"/>
          <w:numId w:val="1"/>
        </w:numPr>
        <w:jc w:val="both"/>
      </w:pPr>
      <w:r w:rsidRPr="00F805E7">
        <w:rPr>
          <w:rFonts w:ascii="Calibri" w:hAnsi="Calibri" w:cs="Calibri"/>
          <w:bCs/>
          <w:lang w:val="en-US"/>
        </w:rPr>
        <w:t>The PBAC noted that in the Request for Advisory Committee on Medicines (ACM) Advice</w:t>
      </w:r>
      <w:r w:rsidR="00F176AE">
        <w:rPr>
          <w:rFonts w:ascii="Calibri" w:hAnsi="Calibri" w:cs="Calibri"/>
          <w:bCs/>
          <w:noProof/>
          <w:color w:val="000000"/>
          <w:highlight w:val="black"/>
          <w:lang w:val="en-US"/>
        </w:rPr>
        <w:t>'' '''''' '''''''''''''''' ''''''''''' ''''''''''''''''' ''''''' ''''''''''''''''' '''''''''''''' ''''' ''''''' '''''''''''''''' '''''''''''''''' ''''''''''''''''''' '''' ''''''''''' '''''''''''''' '''''''' ''' ''''''''''''''''''' '''''''' ''''' ''''''' '''''''''''''' ''''' '''''''''''''''''''''''' '''' '''''' '''''''''''' ''''''''''''''''''''' ''''''''''' '''' ''''''''''''''''' '''''''''''''''' ''''''''' ''''''''''' ''''''''''''''''''''''''' '''''''''''''' ''''''''' ''''''''' '''''''' ''''''''''''''''''''' ''''''''''''''''''''''' '''''''''' '''''''''''' '''' ''''''''''' '''' ''''''''''''' '''''''' ''''''''' '''''''' ''''''''''''' '''''' ''''''''''''''''' '''''''' ''''''''''''''''''' '''''''' ''''''''''' ''''''''''''''' ''''''''''''''' ''''' ''''' '''''' ''''''''''' '''''''''''''''''''''' '''''''' '''' ''''''''''''' ''''''''''''''''''''''' ''''''' '''''''''''' ''''''''''''''' '''' ''''''''' '''''''''''' ''''''''''''''' ''''''''''''' '''''''' ''''''''' '''''''''''''''' '''''''' ''''''''''' ''''''''' ''''' '''''''''''''''' ''''''' ''''''' '''''' ''''''''' '''''''' '''''''''''''''''''</w:t>
      </w:r>
      <w:r w:rsidRPr="00B82C6A">
        <w:rPr>
          <w:rFonts w:ascii="Calibri" w:hAnsi="Calibri" w:cs="Calibri"/>
          <w:bCs/>
        </w:rPr>
        <w:t xml:space="preserve"> </w:t>
      </w:r>
      <w:r w:rsidR="003A4D73" w:rsidRPr="00B82C6A">
        <w:rPr>
          <w:rFonts w:ascii="Calibri" w:hAnsi="Calibri" w:cs="Calibri"/>
          <w:bCs/>
        </w:rPr>
        <w:t>The PBAC further noted that the following statement was added to the ocrelizumab TGA Product Information (p9): “</w:t>
      </w:r>
      <w:r w:rsidR="003A4D73" w:rsidRPr="00B82C6A">
        <w:t xml:space="preserve">A post-hoc analysis suggested that patients who are 50 years of age or below, or patients who have inflammation determined by MRI (Gd </w:t>
      </w:r>
      <w:r w:rsidR="007A49D6" w:rsidRPr="00B82C6A">
        <w:t>enhancing</w:t>
      </w:r>
      <w:r w:rsidR="003A4D73" w:rsidRPr="00B82C6A">
        <w:t xml:space="preserve"> or T2 lesion) may receive a greater treatment benefit than patients who are over 50 years of age or patients who do not have inflammation by MRI.” </w:t>
      </w:r>
    </w:p>
    <w:p w:rsidR="00B145BC" w:rsidRPr="00B82C6A" w:rsidRDefault="003A4D73" w:rsidP="00B145BC">
      <w:pPr>
        <w:pStyle w:val="ListParagraph"/>
        <w:numPr>
          <w:ilvl w:val="1"/>
          <w:numId w:val="1"/>
        </w:numPr>
        <w:jc w:val="both"/>
      </w:pPr>
      <w:r w:rsidRPr="00B82C6A">
        <w:t>The PBAC was concerned about the applicability of the trial results to the potential PBS population, given the anticipated differences in patient baseline characteristics. The PBAC was concerned that the requested PBS restriction, which is broader than the trial eligibility criteria, and which do</w:t>
      </w:r>
      <w:r w:rsidR="00C110C7">
        <w:t>es</w:t>
      </w:r>
      <w:r w:rsidRPr="00B82C6A">
        <w:t xml:space="preserve"> not restrict access to PPMS patients most likely to respond to ocrelizumab, may result in use of ocrelizumab</w:t>
      </w:r>
      <w:r w:rsidR="00D8329E" w:rsidRPr="00B82C6A">
        <w:t xml:space="preserve"> that was less efficacious (or not efficacious) and </w:t>
      </w:r>
      <w:r w:rsidR="00C110C7">
        <w:t xml:space="preserve">therefore </w:t>
      </w:r>
      <w:r w:rsidR="00D8329E" w:rsidRPr="00B82C6A">
        <w:t>not cost effective</w:t>
      </w:r>
      <w:r w:rsidRPr="00B82C6A">
        <w:t xml:space="preserve">. The PBAC advised this was an important consideration in the context of the modest clinical effect observed </w:t>
      </w:r>
      <w:r w:rsidR="00E471ED">
        <w:t>in the trial</w:t>
      </w:r>
      <w:r w:rsidRPr="00B82C6A">
        <w:t xml:space="preserve">. </w:t>
      </w:r>
    </w:p>
    <w:p w:rsidR="00CE1EE1" w:rsidRPr="00BB367E" w:rsidRDefault="00233552" w:rsidP="00FF615A">
      <w:pPr>
        <w:pStyle w:val="ListParagraph"/>
        <w:numPr>
          <w:ilvl w:val="1"/>
          <w:numId w:val="1"/>
        </w:numPr>
        <w:ind w:left="720" w:hanging="720"/>
        <w:jc w:val="both"/>
      </w:pPr>
      <w:r w:rsidRPr="00F805E7">
        <w:t xml:space="preserve">The TGA evaluator </w:t>
      </w:r>
      <w:r w:rsidR="00CE1EE1" w:rsidRPr="00F805E7">
        <w:t>(</w:t>
      </w:r>
      <w:r w:rsidR="006F7B6D" w:rsidRPr="00F805E7">
        <w:t>Clinical Evaluation Report [</w:t>
      </w:r>
      <w:r w:rsidR="00CE1EE1" w:rsidRPr="00F805E7">
        <w:t>CER</w:t>
      </w:r>
      <w:r w:rsidR="006F7B6D" w:rsidRPr="00F805E7">
        <w:t>]</w:t>
      </w:r>
      <w:r w:rsidR="00F176AE">
        <w:rPr>
          <w:noProof/>
          <w:color w:val="000000"/>
          <w:highlight w:val="black"/>
        </w:rPr>
        <w:t>'' '''''''''''' ''''''''''' '''''''' ''''''''' '''''' '''''''''''' '''''''' '''''''' '''''''''''''''''''' ''''' ''''''' '''''''''''' '''''''''''''''''''' '''''''' ''''''''''''''''''''''' '''''''' ''''' '''''''''''''' ''''''''''''' ''''''''''''''' ''''''''' '''' ''''''''''' ''''' '''''''''''''''''''''''</w:t>
      </w:r>
      <w:r w:rsidR="00FD594D" w:rsidRPr="006B24AC">
        <w:t xml:space="preserve"> </w:t>
      </w:r>
      <w:r w:rsidR="00FD594D" w:rsidRPr="00BB367E">
        <w:t xml:space="preserve">In the context of PPMS, all other Phase III trials have failed to demonstrate efficacy of treatment over placebo, including rituximab (which is also </w:t>
      </w:r>
      <w:r w:rsidR="008C6EDD">
        <w:t xml:space="preserve">a </w:t>
      </w:r>
      <w:r w:rsidR="00FD594D" w:rsidRPr="00BB367E">
        <w:t xml:space="preserve">CD20 antagonist). </w:t>
      </w:r>
    </w:p>
    <w:p w:rsidR="002117E3" w:rsidRDefault="00CE1EE1" w:rsidP="00FF615A">
      <w:pPr>
        <w:pStyle w:val="ListParagraph"/>
        <w:numPr>
          <w:ilvl w:val="1"/>
          <w:numId w:val="1"/>
        </w:numPr>
        <w:ind w:left="720" w:hanging="720"/>
        <w:jc w:val="both"/>
      </w:pPr>
      <w:r w:rsidRPr="00F805E7">
        <w:t xml:space="preserve">The TGA evaluator </w:t>
      </w:r>
      <w:r w:rsidR="00F176AE">
        <w:rPr>
          <w:noProof/>
          <w:color w:val="000000"/>
          <w:highlight w:val="black"/>
        </w:rPr>
        <w:t>''''''''''''''' '''''''' '''' '''''''''''''''''''''' ''''' ''''''' ''''''' ''''' '''''''''''''''' ''''''''''''''''''' '''' ''' ''''''''''' ''''''''''' '''''''' ''''''' '''''''''''''''' '''''''' ''''''''''' ''''' ''''''''''''''''' ''''''''''''' ''''''''''''''''' ''''''''''''''''''''' '''' ''''''''''''''' ''' '''''''''''''''''' '''''''''''''''' ''''' '''''''''''''' ''''''''''' '''''''' ''''''''''''''' '''''''''''''' ''''''' '''''''''''''' ''''' '''''''' '''''''' '''''''' '''' ''''''' '''''''''''''' '''''''''''''''''' '''''' ''''''''''' ''''''''''''''''''''''' ''''''''''''''''' '''''''' '''''''' ''''' ''''''' ''''''''''''''''' '''''''''''''''''''' ''''''''''''''''''''' '''''''''''''' '''''' '''''''''''''' '''''''''''''''''''''''' ''''''''' ''''''' ''''''' '''''' '''''''''' '''''' '''''''''''''''''''' '''''''' ''''''''' '''''''''''''''' ''''''' ''''''''''' '''''''' '''' ''''''''''' ''''' ''''''''''''' ''''''''''''''' '''''''''''''''''''' ''''''''''' ''''' ''''''''''''''' ''''' '''''''''''''''''''' ''''' ''''''''''''''''''' ''''''''''''''' '''''''''''' '''''''' '''' ''''''' '''''''' ''''''' '''''''''''''''' '''''''''''''' ''''''''' '''''''''' '''''''''' '''''''''''''''''''''' '''' ''''''''''''''''' ''''''' '''''' ''' '''''''' '''''' '''''''''''' ''' ''''''''''''''''' ''''''' '''''''''''''''''''''' ''''''''' ''''''' '''''''''''''' ''''''''''' ''''''''''''' ''''''''' '''''''''' ''''''''''''''''' ''''''''''' ''''''''''''''</w:t>
      </w:r>
      <w:r w:rsidR="00A170A1">
        <w:t xml:space="preserve"> </w:t>
      </w:r>
    </w:p>
    <w:p w:rsidR="00C317F3" w:rsidRPr="00BB367E" w:rsidRDefault="00C317F3" w:rsidP="00772501">
      <w:pPr>
        <w:pStyle w:val="Heading2"/>
        <w:rPr>
          <w:i w:val="0"/>
        </w:rPr>
      </w:pPr>
      <w:bookmarkStart w:id="14" w:name="_Toc413139278"/>
      <w:bookmarkStart w:id="15" w:name="_Toc492991355"/>
      <w:r w:rsidRPr="00BB367E">
        <w:rPr>
          <w:i w:val="0"/>
        </w:rPr>
        <w:t>Comparative effectiveness</w:t>
      </w:r>
      <w:bookmarkEnd w:id="14"/>
      <w:bookmarkEnd w:id="15"/>
      <w:r w:rsidRPr="00BB367E">
        <w:rPr>
          <w:i w:val="0"/>
        </w:rPr>
        <w:t xml:space="preserve"> </w:t>
      </w:r>
    </w:p>
    <w:p w:rsidR="00065F4A" w:rsidRPr="00BB367E" w:rsidRDefault="00233552" w:rsidP="00FF615A">
      <w:pPr>
        <w:pStyle w:val="ListParagraph"/>
        <w:numPr>
          <w:ilvl w:val="1"/>
          <w:numId w:val="1"/>
        </w:numPr>
        <w:spacing w:before="0" w:after="120"/>
        <w:jc w:val="both"/>
      </w:pPr>
      <w:r w:rsidRPr="00BB367E">
        <w:t>The results of k</w:t>
      </w:r>
      <w:r w:rsidR="002052AF" w:rsidRPr="00BB367E">
        <w:t xml:space="preserve">ey outcomes in the ORATORIO trial are presented </w:t>
      </w:r>
      <w:r w:rsidRPr="00BB367E">
        <w:t>in Table 4</w:t>
      </w:r>
      <w:r w:rsidR="002052AF" w:rsidRPr="00BB367E">
        <w:t>.</w:t>
      </w:r>
    </w:p>
    <w:p w:rsidR="002117E3" w:rsidRPr="00BB367E" w:rsidRDefault="002117E3" w:rsidP="002117E3">
      <w:pPr>
        <w:pStyle w:val="TableHeading0"/>
      </w:pPr>
      <w:r w:rsidRPr="00BB367E">
        <w:t xml:space="preserve">Table 4: Results of key outcomes in ORATORIO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8"/>
        <w:gridCol w:w="1468"/>
        <w:gridCol w:w="1375"/>
        <w:gridCol w:w="1133"/>
        <w:gridCol w:w="970"/>
        <w:gridCol w:w="1448"/>
      </w:tblGrid>
      <w:tr w:rsidR="002117E3" w:rsidRPr="00BB367E" w:rsidTr="001D476C">
        <w:trPr>
          <w:trHeight w:val="113"/>
          <w:tblHeader/>
        </w:trPr>
        <w:tc>
          <w:tcPr>
            <w:tcW w:w="1480" w:type="pct"/>
            <w:vAlign w:val="center"/>
          </w:tcPr>
          <w:p w:rsidR="002117E3" w:rsidRPr="00BB367E" w:rsidRDefault="002117E3" w:rsidP="00D0199C">
            <w:pPr>
              <w:pStyle w:val="TableText"/>
              <w:rPr>
                <w:b/>
              </w:rPr>
            </w:pPr>
            <w:r w:rsidRPr="00BB367E">
              <w:rPr>
                <w:b/>
              </w:rPr>
              <w:t>Outcome</w:t>
            </w:r>
          </w:p>
        </w:tc>
        <w:tc>
          <w:tcPr>
            <w:tcW w:w="808" w:type="pct"/>
            <w:vAlign w:val="center"/>
          </w:tcPr>
          <w:p w:rsidR="002117E3" w:rsidRPr="00BB367E" w:rsidRDefault="002117E3" w:rsidP="00D0199C">
            <w:pPr>
              <w:pStyle w:val="TableText"/>
              <w:jc w:val="center"/>
              <w:rPr>
                <w:b/>
              </w:rPr>
            </w:pPr>
            <w:r w:rsidRPr="00BB367E">
              <w:rPr>
                <w:b/>
              </w:rPr>
              <w:t>Ocrelizumab</w:t>
            </w:r>
          </w:p>
          <w:p w:rsidR="002117E3" w:rsidRPr="00BB367E" w:rsidRDefault="002117E3" w:rsidP="00D0199C">
            <w:pPr>
              <w:pStyle w:val="TableText"/>
              <w:jc w:val="center"/>
              <w:rPr>
                <w:b/>
              </w:rPr>
            </w:pPr>
            <w:r w:rsidRPr="00BB367E">
              <w:rPr>
                <w:b/>
              </w:rPr>
              <w:t>n/N (%)</w:t>
            </w:r>
          </w:p>
        </w:tc>
        <w:tc>
          <w:tcPr>
            <w:tcW w:w="757" w:type="pct"/>
            <w:vAlign w:val="center"/>
          </w:tcPr>
          <w:p w:rsidR="002117E3" w:rsidRPr="00BB367E" w:rsidRDefault="002117E3" w:rsidP="00D0199C">
            <w:pPr>
              <w:pStyle w:val="TableText"/>
              <w:jc w:val="center"/>
              <w:rPr>
                <w:b/>
              </w:rPr>
            </w:pPr>
            <w:r w:rsidRPr="00BB367E">
              <w:rPr>
                <w:b/>
              </w:rPr>
              <w:t>Placebo</w:t>
            </w:r>
          </w:p>
          <w:p w:rsidR="002117E3" w:rsidRPr="00BB367E" w:rsidRDefault="002117E3" w:rsidP="00D0199C">
            <w:pPr>
              <w:pStyle w:val="TableText"/>
              <w:jc w:val="center"/>
              <w:rPr>
                <w:b/>
              </w:rPr>
            </w:pPr>
            <w:r w:rsidRPr="00BB367E">
              <w:rPr>
                <w:b/>
              </w:rPr>
              <w:t>n/N (%)</w:t>
            </w:r>
          </w:p>
        </w:tc>
        <w:tc>
          <w:tcPr>
            <w:tcW w:w="624" w:type="pct"/>
            <w:vAlign w:val="center"/>
          </w:tcPr>
          <w:p w:rsidR="002117E3" w:rsidRPr="00BB367E" w:rsidRDefault="002117E3" w:rsidP="00D0199C">
            <w:pPr>
              <w:pStyle w:val="TableText"/>
              <w:jc w:val="center"/>
              <w:rPr>
                <w:b/>
              </w:rPr>
            </w:pPr>
            <w:r w:rsidRPr="00BB367E">
              <w:rPr>
                <w:b/>
              </w:rPr>
              <w:t>Difference in time to CDP  for 30%*</w:t>
            </w:r>
          </w:p>
        </w:tc>
        <w:tc>
          <w:tcPr>
            <w:tcW w:w="534" w:type="pct"/>
            <w:vAlign w:val="center"/>
          </w:tcPr>
          <w:p w:rsidR="002117E3" w:rsidRPr="00BB367E" w:rsidRDefault="002117E3" w:rsidP="00D0199C">
            <w:pPr>
              <w:pStyle w:val="TableText"/>
              <w:jc w:val="center"/>
              <w:rPr>
                <w:b/>
              </w:rPr>
            </w:pPr>
            <w:r w:rsidRPr="00BB367E">
              <w:rPr>
                <w:b/>
              </w:rPr>
              <w:t>P value</w:t>
            </w:r>
            <w:r w:rsidR="00233552" w:rsidRPr="00BB367E">
              <w:rPr>
                <w:b/>
              </w:rPr>
              <w:br/>
            </w:r>
            <w:r w:rsidRPr="00BB367E">
              <w:rPr>
                <w:b/>
              </w:rPr>
              <w:t>(log rank test)</w:t>
            </w:r>
          </w:p>
        </w:tc>
        <w:tc>
          <w:tcPr>
            <w:tcW w:w="797" w:type="pct"/>
            <w:vAlign w:val="center"/>
          </w:tcPr>
          <w:p w:rsidR="002117E3" w:rsidRPr="00BB367E" w:rsidRDefault="002117E3" w:rsidP="00D0199C">
            <w:pPr>
              <w:pStyle w:val="TableText"/>
              <w:jc w:val="center"/>
              <w:rPr>
                <w:b/>
              </w:rPr>
            </w:pPr>
            <w:r w:rsidRPr="00BB367E">
              <w:rPr>
                <w:b/>
              </w:rPr>
              <w:t>Hazard ratio</w:t>
            </w:r>
          </w:p>
          <w:p w:rsidR="002117E3" w:rsidRPr="00BB367E" w:rsidRDefault="002117E3" w:rsidP="00D0199C">
            <w:pPr>
              <w:pStyle w:val="TableText"/>
              <w:jc w:val="center"/>
              <w:rPr>
                <w:b/>
              </w:rPr>
            </w:pPr>
            <w:r w:rsidRPr="00BB367E">
              <w:rPr>
                <w:b/>
              </w:rPr>
              <w:t>(95% CI)</w:t>
            </w:r>
          </w:p>
        </w:tc>
      </w:tr>
      <w:tr w:rsidR="002117E3" w:rsidRPr="00BB367E" w:rsidTr="00233552">
        <w:tc>
          <w:tcPr>
            <w:tcW w:w="1480" w:type="pct"/>
          </w:tcPr>
          <w:p w:rsidR="002117E3" w:rsidRPr="00BB367E" w:rsidRDefault="002117E3" w:rsidP="00D0199C">
            <w:pPr>
              <w:pStyle w:val="Tabletext0"/>
              <w:spacing w:before="40" w:after="40"/>
            </w:pPr>
            <w:r w:rsidRPr="00BB367E">
              <w:t>12 week CDP (primary)</w:t>
            </w:r>
          </w:p>
        </w:tc>
        <w:tc>
          <w:tcPr>
            <w:tcW w:w="808" w:type="pct"/>
          </w:tcPr>
          <w:p w:rsidR="002117E3" w:rsidRPr="00BB367E" w:rsidRDefault="002117E3" w:rsidP="00D0199C">
            <w:pPr>
              <w:pStyle w:val="Tabletext0"/>
              <w:spacing w:before="40" w:after="40"/>
              <w:jc w:val="center"/>
            </w:pPr>
            <w:r w:rsidRPr="00BB367E">
              <w:t>160/487 (32.9)</w:t>
            </w:r>
          </w:p>
        </w:tc>
        <w:tc>
          <w:tcPr>
            <w:tcW w:w="757" w:type="pct"/>
          </w:tcPr>
          <w:p w:rsidR="002117E3" w:rsidRPr="00BB367E" w:rsidRDefault="00A4539A" w:rsidP="00D0199C">
            <w:pPr>
              <w:pStyle w:val="Tabletext0"/>
              <w:spacing w:before="40" w:after="40"/>
              <w:jc w:val="center"/>
            </w:pPr>
            <w:r>
              <w:t>96</w:t>
            </w:r>
            <w:r w:rsidR="002117E3" w:rsidRPr="00BB367E">
              <w:t>/244 (39.3)</w:t>
            </w:r>
          </w:p>
        </w:tc>
        <w:tc>
          <w:tcPr>
            <w:tcW w:w="624" w:type="pct"/>
          </w:tcPr>
          <w:p w:rsidR="002117E3" w:rsidRPr="00BB367E" w:rsidRDefault="002117E3" w:rsidP="00D0199C">
            <w:pPr>
              <w:pStyle w:val="Tabletext0"/>
              <w:spacing w:before="40" w:after="40"/>
              <w:jc w:val="center"/>
            </w:pPr>
            <w:r w:rsidRPr="00BB367E">
              <w:t>19.9 weeks</w:t>
            </w:r>
          </w:p>
        </w:tc>
        <w:tc>
          <w:tcPr>
            <w:tcW w:w="534" w:type="pct"/>
          </w:tcPr>
          <w:p w:rsidR="002117E3" w:rsidRPr="00BB367E" w:rsidRDefault="002117E3" w:rsidP="00D0199C">
            <w:pPr>
              <w:pStyle w:val="Tabletext0"/>
              <w:spacing w:before="40" w:after="40"/>
              <w:jc w:val="center"/>
            </w:pPr>
            <w:r w:rsidRPr="00BB367E">
              <w:t>0.0321</w:t>
            </w:r>
          </w:p>
        </w:tc>
        <w:tc>
          <w:tcPr>
            <w:tcW w:w="797" w:type="pct"/>
          </w:tcPr>
          <w:p w:rsidR="002117E3" w:rsidRPr="00BB367E" w:rsidRDefault="002117E3" w:rsidP="00D0199C">
            <w:pPr>
              <w:pStyle w:val="Tabletext0"/>
              <w:spacing w:before="40" w:after="40"/>
              <w:jc w:val="center"/>
            </w:pPr>
            <w:r w:rsidRPr="00BB367E">
              <w:t>0.76 (0.59, 0.98)</w:t>
            </w:r>
          </w:p>
        </w:tc>
      </w:tr>
      <w:tr w:rsidR="002117E3" w:rsidRPr="00BB367E" w:rsidTr="00233552">
        <w:tc>
          <w:tcPr>
            <w:tcW w:w="1480" w:type="pct"/>
          </w:tcPr>
          <w:p w:rsidR="002117E3" w:rsidRPr="00BB367E" w:rsidRDefault="002117E3" w:rsidP="00D0199C">
            <w:pPr>
              <w:pStyle w:val="Tabletext0"/>
              <w:spacing w:before="40" w:after="40"/>
            </w:pPr>
            <w:r w:rsidRPr="00BB367E">
              <w:t>12 week CDP (Extended period)***</w:t>
            </w:r>
          </w:p>
        </w:tc>
        <w:tc>
          <w:tcPr>
            <w:tcW w:w="808" w:type="pct"/>
          </w:tcPr>
          <w:p w:rsidR="002117E3" w:rsidRPr="00F176AE" w:rsidRDefault="00F176AE" w:rsidP="00D0199C">
            <w:pPr>
              <w:pStyle w:val="Tabletext0"/>
              <w:spacing w:before="40" w:after="40"/>
              <w:jc w:val="center"/>
              <w:rPr>
                <w:highlight w:val="black"/>
              </w:rPr>
            </w:pPr>
            <w:r>
              <w:rPr>
                <w:noProof/>
                <w:color w:val="000000"/>
                <w:highlight w:val="black"/>
              </w:rPr>
              <w:t>''''''''''''''''''''' '''''''''''''''</w:t>
            </w:r>
          </w:p>
        </w:tc>
        <w:tc>
          <w:tcPr>
            <w:tcW w:w="757" w:type="pct"/>
          </w:tcPr>
          <w:p w:rsidR="002117E3" w:rsidRPr="00BB367E" w:rsidRDefault="002117E3" w:rsidP="00D0199C">
            <w:pPr>
              <w:pStyle w:val="Tabletext0"/>
              <w:spacing w:before="40" w:after="40"/>
              <w:jc w:val="center"/>
            </w:pPr>
            <w:r w:rsidRPr="00BB367E">
              <w:t>106/244 (43.4)</w:t>
            </w:r>
          </w:p>
        </w:tc>
        <w:tc>
          <w:tcPr>
            <w:tcW w:w="624" w:type="pct"/>
          </w:tcPr>
          <w:p w:rsidR="002117E3" w:rsidRPr="00BB367E" w:rsidRDefault="002117E3" w:rsidP="00D0199C">
            <w:pPr>
              <w:pStyle w:val="Tabletext0"/>
              <w:spacing w:before="40" w:after="40"/>
              <w:jc w:val="center"/>
            </w:pPr>
            <w:r w:rsidRPr="00BB367E">
              <w:t>NA</w:t>
            </w:r>
          </w:p>
        </w:tc>
        <w:tc>
          <w:tcPr>
            <w:tcW w:w="534" w:type="pct"/>
          </w:tcPr>
          <w:p w:rsidR="002117E3" w:rsidRPr="00BB367E" w:rsidRDefault="002117E3" w:rsidP="00D0199C">
            <w:pPr>
              <w:pStyle w:val="Tabletext0"/>
              <w:spacing w:before="40" w:after="40"/>
              <w:jc w:val="center"/>
            </w:pPr>
            <w:r w:rsidRPr="00BB367E">
              <w:t>0.0151</w:t>
            </w:r>
          </w:p>
        </w:tc>
        <w:tc>
          <w:tcPr>
            <w:tcW w:w="797" w:type="pct"/>
          </w:tcPr>
          <w:p w:rsidR="002117E3" w:rsidRPr="00BB367E" w:rsidRDefault="002117E3" w:rsidP="00D0199C">
            <w:pPr>
              <w:pStyle w:val="Tabletext0"/>
              <w:spacing w:before="40" w:after="40"/>
              <w:jc w:val="center"/>
            </w:pPr>
            <w:r w:rsidRPr="00BB367E">
              <w:t xml:space="preserve">0.74 </w:t>
            </w:r>
            <w:r w:rsidR="00F176AE">
              <w:rPr>
                <w:noProof/>
                <w:color w:val="000000"/>
                <w:highlight w:val="black"/>
              </w:rPr>
              <w:t>'''''''''''''' ''''''''''''</w:t>
            </w:r>
          </w:p>
        </w:tc>
      </w:tr>
      <w:tr w:rsidR="002117E3" w:rsidRPr="00BB367E" w:rsidTr="00233552">
        <w:tc>
          <w:tcPr>
            <w:tcW w:w="1480" w:type="pct"/>
          </w:tcPr>
          <w:p w:rsidR="002117E3" w:rsidRPr="00BB367E" w:rsidRDefault="002117E3" w:rsidP="00D0199C">
            <w:pPr>
              <w:pStyle w:val="Tabletext0"/>
              <w:spacing w:before="40" w:after="40"/>
            </w:pPr>
            <w:r w:rsidRPr="00BB367E">
              <w:t>24 week CDP (primary)</w:t>
            </w:r>
          </w:p>
        </w:tc>
        <w:tc>
          <w:tcPr>
            <w:tcW w:w="808" w:type="pct"/>
          </w:tcPr>
          <w:p w:rsidR="002117E3" w:rsidRPr="00BB367E" w:rsidRDefault="002117E3" w:rsidP="00D0199C">
            <w:pPr>
              <w:pStyle w:val="Tabletext0"/>
              <w:spacing w:before="40" w:after="40"/>
              <w:jc w:val="center"/>
            </w:pPr>
            <w:r w:rsidRPr="00BB367E">
              <w:t>144/487 (29.6)</w:t>
            </w:r>
          </w:p>
        </w:tc>
        <w:tc>
          <w:tcPr>
            <w:tcW w:w="757" w:type="pct"/>
          </w:tcPr>
          <w:p w:rsidR="002117E3" w:rsidRPr="00BB367E" w:rsidRDefault="002117E3" w:rsidP="000D7E54">
            <w:pPr>
              <w:pStyle w:val="Tabletext0"/>
              <w:spacing w:before="40" w:after="40"/>
              <w:jc w:val="center"/>
            </w:pPr>
            <w:r w:rsidRPr="00BB367E">
              <w:t>87/244 (35.7)</w:t>
            </w:r>
          </w:p>
        </w:tc>
        <w:tc>
          <w:tcPr>
            <w:tcW w:w="624" w:type="pct"/>
          </w:tcPr>
          <w:p w:rsidR="002117E3" w:rsidRPr="00BB367E" w:rsidRDefault="002117E3" w:rsidP="00D0199C">
            <w:pPr>
              <w:pStyle w:val="Tabletext0"/>
              <w:spacing w:before="40" w:after="40"/>
              <w:jc w:val="center"/>
            </w:pPr>
            <w:r w:rsidRPr="00BB367E">
              <w:t>26.3 weeks</w:t>
            </w:r>
          </w:p>
        </w:tc>
        <w:tc>
          <w:tcPr>
            <w:tcW w:w="534" w:type="pct"/>
          </w:tcPr>
          <w:p w:rsidR="002117E3" w:rsidRPr="00BB367E" w:rsidRDefault="002117E3" w:rsidP="00D0199C">
            <w:pPr>
              <w:pStyle w:val="Tabletext0"/>
              <w:spacing w:before="40" w:after="40"/>
              <w:jc w:val="center"/>
            </w:pPr>
            <w:r w:rsidRPr="00BB367E">
              <w:t>0.0365</w:t>
            </w:r>
          </w:p>
        </w:tc>
        <w:tc>
          <w:tcPr>
            <w:tcW w:w="797" w:type="pct"/>
          </w:tcPr>
          <w:p w:rsidR="002117E3" w:rsidRPr="00BB367E" w:rsidRDefault="002117E3" w:rsidP="00D0199C">
            <w:pPr>
              <w:pStyle w:val="Tabletext0"/>
              <w:spacing w:before="40" w:after="40"/>
              <w:jc w:val="center"/>
            </w:pPr>
            <w:r w:rsidRPr="00BB367E">
              <w:t>0.75 (0.58, 0.98)</w:t>
            </w:r>
          </w:p>
        </w:tc>
      </w:tr>
      <w:tr w:rsidR="002117E3" w:rsidRPr="00BB367E" w:rsidTr="00233552">
        <w:tc>
          <w:tcPr>
            <w:tcW w:w="1480" w:type="pct"/>
          </w:tcPr>
          <w:p w:rsidR="002117E3" w:rsidRPr="00BB367E" w:rsidRDefault="002117E3" w:rsidP="00D0199C">
            <w:pPr>
              <w:pStyle w:val="Tabletext0"/>
              <w:spacing w:before="40" w:after="40"/>
            </w:pPr>
            <w:r w:rsidRPr="00BB367E">
              <w:t>24 week CDP (Extended period)</w:t>
            </w:r>
          </w:p>
        </w:tc>
        <w:tc>
          <w:tcPr>
            <w:tcW w:w="808" w:type="pct"/>
          </w:tcPr>
          <w:p w:rsidR="002117E3" w:rsidRPr="00F176AE" w:rsidRDefault="00F176AE" w:rsidP="00D0199C">
            <w:pPr>
              <w:pStyle w:val="Tabletext0"/>
              <w:spacing w:before="40" w:after="40"/>
              <w:jc w:val="center"/>
              <w:rPr>
                <w:highlight w:val="black"/>
              </w:rPr>
            </w:pPr>
            <w:r>
              <w:rPr>
                <w:noProof/>
                <w:color w:val="000000"/>
                <w:highlight w:val="black"/>
              </w:rPr>
              <w:t>'''''''''''''''''''''''''''''''''''''''''</w:t>
            </w:r>
          </w:p>
        </w:tc>
        <w:tc>
          <w:tcPr>
            <w:tcW w:w="757" w:type="pct"/>
          </w:tcPr>
          <w:p w:rsidR="002117E3" w:rsidRPr="00BB367E" w:rsidRDefault="002117E3" w:rsidP="00D0199C">
            <w:pPr>
              <w:pStyle w:val="Tabletext0"/>
              <w:spacing w:before="40" w:after="40"/>
              <w:jc w:val="center"/>
            </w:pPr>
            <w:r w:rsidRPr="00BB367E">
              <w:t>93/244**(38.20)</w:t>
            </w:r>
          </w:p>
        </w:tc>
        <w:tc>
          <w:tcPr>
            <w:tcW w:w="624" w:type="pct"/>
          </w:tcPr>
          <w:p w:rsidR="002117E3" w:rsidRPr="00BB367E" w:rsidRDefault="002117E3" w:rsidP="00D0199C">
            <w:pPr>
              <w:pStyle w:val="Tabletext0"/>
              <w:spacing w:before="40" w:after="40"/>
              <w:jc w:val="center"/>
            </w:pPr>
            <w:r w:rsidRPr="00BB367E">
              <w:t>NA</w:t>
            </w:r>
          </w:p>
        </w:tc>
        <w:tc>
          <w:tcPr>
            <w:tcW w:w="534" w:type="pct"/>
          </w:tcPr>
          <w:p w:rsidR="002117E3" w:rsidRPr="00BB367E" w:rsidRDefault="002117E3" w:rsidP="00D0199C">
            <w:pPr>
              <w:pStyle w:val="Tabletext0"/>
              <w:spacing w:before="40" w:after="40"/>
              <w:jc w:val="center"/>
            </w:pPr>
            <w:r w:rsidRPr="00BB367E">
              <w:t>0.0056</w:t>
            </w:r>
          </w:p>
        </w:tc>
        <w:tc>
          <w:tcPr>
            <w:tcW w:w="797" w:type="pct"/>
          </w:tcPr>
          <w:p w:rsidR="002117E3" w:rsidRPr="00BB367E" w:rsidRDefault="002117E3" w:rsidP="00D0199C">
            <w:pPr>
              <w:pStyle w:val="Tabletext0"/>
              <w:spacing w:before="40" w:after="40"/>
              <w:jc w:val="center"/>
            </w:pPr>
            <w:r w:rsidRPr="00BB367E">
              <w:t xml:space="preserve">0.70 </w:t>
            </w:r>
            <w:r w:rsidR="00F176AE">
              <w:rPr>
                <w:noProof/>
                <w:color w:val="000000"/>
                <w:highlight w:val="black"/>
              </w:rPr>
              <w:t>''''''''''''' '''''''''''</w:t>
            </w:r>
          </w:p>
        </w:tc>
      </w:tr>
    </w:tbl>
    <w:p w:rsidR="002117E3" w:rsidRPr="00BB367E" w:rsidRDefault="002117E3" w:rsidP="002117E3">
      <w:pPr>
        <w:pStyle w:val="TableFooter"/>
      </w:pPr>
      <w:r w:rsidRPr="00BB367E">
        <w:t xml:space="preserve">Source: Tables 2.5.1-2.5.4, pp57-61 </w:t>
      </w:r>
      <w:r w:rsidR="00D141A9" w:rsidRPr="00BB367E">
        <w:t>of</w:t>
      </w:r>
      <w:r w:rsidRPr="00BB367E">
        <w:t xml:space="preserve"> the submission; Tables 115 &amp; 116, pp171-172 of the TGA CER</w:t>
      </w:r>
    </w:p>
    <w:p w:rsidR="002117E3" w:rsidRPr="00BB367E" w:rsidRDefault="002117E3" w:rsidP="002117E3">
      <w:pPr>
        <w:pStyle w:val="TableFooter"/>
        <w:rPr>
          <w:rFonts w:eastAsia="Calibri"/>
        </w:rPr>
      </w:pPr>
      <w:r w:rsidRPr="00BB367E">
        <w:rPr>
          <w:rFonts w:eastAsia="Calibri"/>
        </w:rPr>
        <w:t xml:space="preserve">CDP = confirmed disability progression; CI = confidence interval; ITT = intention to treat; </w:t>
      </w:r>
      <w:r w:rsidRPr="00BB367E">
        <w:rPr>
          <w:rFonts w:eastAsia="Calibri"/>
          <w:iCs/>
        </w:rPr>
        <w:t>n</w:t>
      </w:r>
      <w:r w:rsidRPr="00BB367E">
        <w:rPr>
          <w:rFonts w:eastAsia="Calibri"/>
        </w:rPr>
        <w:t xml:space="preserve"> = number of participants reporting data; </w:t>
      </w:r>
      <w:r w:rsidRPr="00BB367E">
        <w:rPr>
          <w:rFonts w:eastAsia="Calibri"/>
          <w:iCs/>
        </w:rPr>
        <w:t xml:space="preserve">N </w:t>
      </w:r>
      <w:r w:rsidRPr="00BB367E">
        <w:rPr>
          <w:rFonts w:eastAsia="Calibri"/>
        </w:rPr>
        <w:t xml:space="preserve">= total participants in group; NA = not </w:t>
      </w:r>
      <w:r w:rsidR="00D141A9" w:rsidRPr="00BB367E">
        <w:rPr>
          <w:rFonts w:eastAsia="Calibri"/>
        </w:rPr>
        <w:t>applicable</w:t>
      </w:r>
    </w:p>
    <w:p w:rsidR="002117E3" w:rsidRPr="00BB367E" w:rsidRDefault="002117E3" w:rsidP="001D476C">
      <w:pPr>
        <w:pStyle w:val="TableFooter"/>
        <w:ind w:left="284" w:hanging="284"/>
        <w:rPr>
          <w:rFonts w:ascii="Calibri" w:eastAsia="Calibri" w:hAnsi="Calibri"/>
        </w:rPr>
      </w:pPr>
      <w:r w:rsidRPr="00BB367E">
        <w:rPr>
          <w:rFonts w:ascii="Calibri" w:eastAsia="Calibri" w:hAnsi="Calibri"/>
        </w:rPr>
        <w:t>*</w:t>
      </w:r>
      <w:r w:rsidR="001D476C" w:rsidRPr="00BB367E">
        <w:tab/>
      </w:r>
      <w:r w:rsidRPr="00BB367E">
        <w:t>in neither arm of the trial did 50% of patients achieve confirmed progression, and so difference in median time to confirmed progression was unavailable  , the  difference in time to onset of CDP 12 for 30% of patients is presented instead</w:t>
      </w:r>
    </w:p>
    <w:p w:rsidR="002117E3" w:rsidRPr="00BB367E" w:rsidRDefault="001D476C" w:rsidP="001D476C">
      <w:pPr>
        <w:pStyle w:val="TableFooter"/>
        <w:ind w:left="284" w:hanging="284"/>
        <w:rPr>
          <w:rFonts w:eastAsia="Calibri"/>
        </w:rPr>
      </w:pPr>
      <w:r w:rsidRPr="00BB367E">
        <w:rPr>
          <w:rFonts w:eastAsia="Calibri"/>
        </w:rPr>
        <w:t>**</w:t>
      </w:r>
      <w:r w:rsidRPr="00BB367E">
        <w:rPr>
          <w:rFonts w:eastAsia="Calibri"/>
        </w:rPr>
        <w:tab/>
      </w:r>
      <w:r w:rsidR="002117E3" w:rsidRPr="00BB367E">
        <w:rPr>
          <w:rFonts w:eastAsia="Calibri"/>
        </w:rPr>
        <w:t>back calculated from percentages during the evaluation.</w:t>
      </w:r>
    </w:p>
    <w:p w:rsidR="002117E3" w:rsidRPr="00BB367E" w:rsidRDefault="001D476C" w:rsidP="001D476C">
      <w:pPr>
        <w:pStyle w:val="TableFooter"/>
        <w:ind w:left="284" w:hanging="284"/>
        <w:rPr>
          <w:rFonts w:eastAsia="Calibri"/>
        </w:rPr>
      </w:pPr>
      <w:r w:rsidRPr="00BB367E">
        <w:rPr>
          <w:rFonts w:eastAsia="Calibri"/>
        </w:rPr>
        <w:t>***</w:t>
      </w:r>
      <w:r w:rsidRPr="00BB367E">
        <w:rPr>
          <w:rFonts w:eastAsia="Calibri"/>
        </w:rPr>
        <w:tab/>
      </w:r>
      <w:r w:rsidR="002117E3" w:rsidRPr="00A4539A">
        <w:rPr>
          <w:rFonts w:eastAsia="Calibri"/>
        </w:rPr>
        <w:t>the sponsor’s response to EMA Questions ‘ORATORIO EMA120 2017.pdf’(Table 7)</w:t>
      </w:r>
      <w:r w:rsidR="002117E3" w:rsidRPr="00BB367E">
        <w:rPr>
          <w:rFonts w:eastAsia="Calibri"/>
        </w:rPr>
        <w:t xml:space="preserve"> indicated different proportions for the extended 12 week CDP results: 40.99% for Placebo and 34.18</w:t>
      </w:r>
      <w:r w:rsidR="000D7E54">
        <w:rPr>
          <w:rFonts w:eastAsia="Calibri"/>
        </w:rPr>
        <w:t>%</w:t>
      </w:r>
      <w:r w:rsidR="002117E3" w:rsidRPr="00BB367E">
        <w:rPr>
          <w:rFonts w:eastAsia="Calibri"/>
        </w:rPr>
        <w:t xml:space="preserve"> for ocrelizumab. No explanation of this discrepancy was provided. </w:t>
      </w:r>
    </w:p>
    <w:p w:rsidR="00F50FD9" w:rsidRPr="00D54E8B" w:rsidRDefault="00F50FD9" w:rsidP="00FF615A">
      <w:pPr>
        <w:pStyle w:val="ListParagraph"/>
        <w:numPr>
          <w:ilvl w:val="1"/>
          <w:numId w:val="1"/>
        </w:numPr>
        <w:ind w:left="720" w:hanging="720"/>
        <w:jc w:val="both"/>
      </w:pPr>
      <w:r w:rsidRPr="00D54E8B">
        <w:t xml:space="preserve">There were statistically significant improvements across all </w:t>
      </w:r>
      <w:r w:rsidR="001D476C" w:rsidRPr="00D54E8B">
        <w:t>confirmed disability progression</w:t>
      </w:r>
      <w:r w:rsidR="00987D67">
        <w:t xml:space="preserve"> </w:t>
      </w:r>
      <w:r w:rsidR="00987D67" w:rsidRPr="00D54E8B">
        <w:t>outcomes</w:t>
      </w:r>
      <w:r w:rsidR="001D476C" w:rsidRPr="00D54E8B">
        <w:t xml:space="preserve"> (</w:t>
      </w:r>
      <w:r w:rsidRPr="00D54E8B">
        <w:t>CDP</w:t>
      </w:r>
      <w:r w:rsidR="001D476C" w:rsidRPr="00D54E8B">
        <w:t>; first disability progression, which is confirmed at the next regularly scheduled visit ≥12 weeks (or ≥24 weeks) after the initial disability progression)</w:t>
      </w:r>
      <w:r w:rsidRPr="00D54E8B">
        <w:t xml:space="preserve">. </w:t>
      </w:r>
    </w:p>
    <w:p w:rsidR="00F50FD9" w:rsidRPr="00F176AE" w:rsidRDefault="00F50FD9" w:rsidP="00FF615A">
      <w:pPr>
        <w:pStyle w:val="ListParagraph"/>
        <w:numPr>
          <w:ilvl w:val="1"/>
          <w:numId w:val="1"/>
        </w:numPr>
        <w:ind w:left="720" w:hanging="720"/>
        <w:jc w:val="both"/>
      </w:pPr>
      <w:r w:rsidRPr="00F805E7">
        <w:t xml:space="preserve">The TGA CER </w:t>
      </w:r>
      <w:r w:rsidR="00F176AE">
        <w:rPr>
          <w:noProof/>
          <w:color w:val="000000"/>
          <w:highlight w:val="black"/>
        </w:rPr>
        <w:t>''''''''''''''''''''' '''''''' '''''' '''''''''''''' '''''''''' '''' ''''''' ''''''''''''''''' '''''''''''' '''''''' '''''''''''''''''''''''' '''''''' ''''''''''''' '''''''''' '''''''' ''''''''' ''''''''''''''''''' ''' '''''''' '''''''''''''''''''' '''' ''''''''''''''''''''''''' ''''''''''''' '''''' ''''''''''''''''' ''''''' '''''' '''''''''' ''''''''' '''''''''''''''''''''' '''''' ''''' ''''''' ''''''''''' '''''' '''''''''''''' '''''''' ''''''' ''''''''' '''''''''''''''''''''''''''''' '''' ''''' ''''''''' ''''''' ''''''''''''''''''' ''''''' ''''''''''''''''' '''''''' '''''''''''''''' '''''''' '''''''''' '''''''' '''' ''''''''' '''''''''''''' '''''''' ''''''''''' '''''' '''''''''''''' '''''''''''' '''''''''' '''' '''''''''''''' '''''''''''''''''''' ''''' ''''''''''''' ''''''' '''''''' ''''' '''''' '''''''''' '''''''' '''''''' '''''''' ''''''''''''' ''''''''''''''''' '''''''''''''''''''' '''''''' '' ''''''''''''''''' '''''''''''''''' '''''''''''''''''''''''''' '''''''''' '''''''''''</w:t>
      </w:r>
    </w:p>
    <w:p w:rsidR="00F50FD9" w:rsidRPr="00F176AE" w:rsidRDefault="00F50FD9" w:rsidP="00FF615A">
      <w:pPr>
        <w:pStyle w:val="ListParagraph"/>
        <w:numPr>
          <w:ilvl w:val="1"/>
          <w:numId w:val="1"/>
        </w:numPr>
        <w:ind w:left="720" w:hanging="720"/>
        <w:jc w:val="both"/>
      </w:pPr>
      <w:r w:rsidRPr="00F805E7">
        <w:t xml:space="preserve">The CER </w:t>
      </w:r>
      <w:r w:rsidR="00F176AE">
        <w:rPr>
          <w:noProof/>
          <w:color w:val="000000"/>
          <w:highlight w:val="black"/>
        </w:rPr>
        <w:t xml:space="preserve">'''''''' '''''''''' ''''''''' '''''''' '''''''' '''''''' ''''' ''''''''''''''' '''' '''''''''' ''''''' ''''''''' '''''''''''''''''' '''''''''''''''''''' ''''''''''''''''''''' ''''''''' '''''' ''''''''''''''''''' '''' ''''''''''''''' '''''''' ''''' '''''''''''''''''' ''''''''''''''''''''''' '''''''' '''''''''''''''''''''''' ''''''' ''''''''''''''''' '''' ''''''''' '''' ''''''''''' ''''' ''''''''''''' '''''' ''''''''' '''' ''''''''''''''''' '''''''' '''''''''''''''''''''''''''' ''''' '''''''''''''' </w:t>
      </w:r>
    </w:p>
    <w:p w:rsidR="00345CDE" w:rsidRPr="00D54E8B" w:rsidRDefault="00F9603F" w:rsidP="00FF615A">
      <w:pPr>
        <w:pStyle w:val="ListParagraph"/>
        <w:numPr>
          <w:ilvl w:val="1"/>
          <w:numId w:val="1"/>
        </w:numPr>
        <w:ind w:left="720" w:hanging="720"/>
        <w:jc w:val="both"/>
      </w:pPr>
      <w:r w:rsidRPr="00D54E8B">
        <w:t>Pre-defined s</w:t>
      </w:r>
      <w:r w:rsidR="00345CDE" w:rsidRPr="00D54E8B">
        <w:t>ubgroup analyses presented by the submission indicate</w:t>
      </w:r>
      <w:r w:rsidRPr="00D54E8B">
        <w:t>d</w:t>
      </w:r>
      <w:r w:rsidR="00345CDE" w:rsidRPr="00D54E8B">
        <w:t xml:space="preserve"> that gender</w:t>
      </w:r>
      <w:r w:rsidR="0087408E" w:rsidRPr="00D54E8B">
        <w:t xml:space="preserve">, </w:t>
      </w:r>
      <w:r w:rsidR="00345CDE" w:rsidRPr="00D54E8B">
        <w:t xml:space="preserve">age </w:t>
      </w:r>
      <w:r w:rsidR="0087408E" w:rsidRPr="00D54E8B">
        <w:t xml:space="preserve">and </w:t>
      </w:r>
      <w:r w:rsidRPr="00D54E8B">
        <w:t xml:space="preserve">T1 </w:t>
      </w:r>
      <w:r w:rsidR="0087408E" w:rsidRPr="00D54E8B">
        <w:t xml:space="preserve">gadolinium (Gd) status of lesions </w:t>
      </w:r>
      <w:r w:rsidR="00345CDE" w:rsidRPr="00D54E8B">
        <w:t>may be treatment effect modifiers.</w:t>
      </w:r>
      <w:r w:rsidRPr="00D54E8B">
        <w:t xml:space="preserve"> The submission noted that the analyses were not powered to demonstrate efficacy differences between the subgroups.</w:t>
      </w:r>
    </w:p>
    <w:p w:rsidR="00C317F3" w:rsidRPr="00D54E8B" w:rsidRDefault="00C317F3" w:rsidP="00772501">
      <w:pPr>
        <w:pStyle w:val="Heading2"/>
        <w:rPr>
          <w:i w:val="0"/>
        </w:rPr>
      </w:pPr>
      <w:bookmarkStart w:id="16" w:name="_Toc413139279"/>
      <w:bookmarkStart w:id="17" w:name="_Toc492991356"/>
      <w:r w:rsidRPr="00D54E8B">
        <w:rPr>
          <w:i w:val="0"/>
        </w:rPr>
        <w:t>Comparative harms</w:t>
      </w:r>
      <w:bookmarkEnd w:id="16"/>
      <w:bookmarkEnd w:id="17"/>
    </w:p>
    <w:p w:rsidR="00FE784A" w:rsidRPr="00D54E8B" w:rsidRDefault="00FE784A" w:rsidP="00FF615A">
      <w:pPr>
        <w:pStyle w:val="ListParagraph"/>
        <w:numPr>
          <w:ilvl w:val="1"/>
          <w:numId w:val="1"/>
        </w:numPr>
        <w:ind w:left="720" w:hanging="720"/>
        <w:jc w:val="both"/>
      </w:pPr>
      <w:r w:rsidRPr="00D54E8B">
        <w:t xml:space="preserve">In the ORATORIO trial, ocrelizumab was associated with higher rates </w:t>
      </w:r>
      <w:r w:rsidR="002052AF" w:rsidRPr="00D54E8B">
        <w:t xml:space="preserve">of at least one adverse event, </w:t>
      </w:r>
      <w:r w:rsidRPr="00D54E8B">
        <w:t>adverse events leading to dose modification or interruption, infusion related</w:t>
      </w:r>
      <w:r w:rsidR="0087408E" w:rsidRPr="00D54E8B">
        <w:t xml:space="preserve"> reactions and </w:t>
      </w:r>
      <w:r w:rsidRPr="00D54E8B">
        <w:t xml:space="preserve">upper respiratory tract infections </w:t>
      </w:r>
      <w:r w:rsidR="002052AF" w:rsidRPr="00D54E8B">
        <w:t>compared to placebo</w:t>
      </w:r>
      <w:r w:rsidRPr="00D54E8B">
        <w:t xml:space="preserve">. </w:t>
      </w:r>
      <w:r w:rsidR="001D476C" w:rsidRPr="00D54E8B">
        <w:t>It would be expected that the increased risk of infusion related reactions associated with ocrelizumab would be greater compared with BSC in practice than observed compared with placebo (sham injections) in the ORATORIO trial.</w:t>
      </w:r>
      <w:r w:rsidR="002207DA" w:rsidRPr="00D54E8B">
        <w:t xml:space="preserve"> The ESC considered that there may be a higher incidence of adverse events in an older and frailer PBS population. </w:t>
      </w:r>
      <w:r w:rsidR="00982834">
        <w:t>The PBAC agreed with the ESC’s views.</w:t>
      </w:r>
    </w:p>
    <w:p w:rsidR="00E45180" w:rsidRPr="00BB367E" w:rsidRDefault="00624315" w:rsidP="00FE784A">
      <w:pPr>
        <w:pStyle w:val="Heading2"/>
        <w:rPr>
          <w:i w:val="0"/>
        </w:rPr>
      </w:pPr>
      <w:bookmarkStart w:id="18" w:name="_Toc492991357"/>
      <w:bookmarkStart w:id="19" w:name="_Toc413139281"/>
      <w:r w:rsidRPr="00BB367E">
        <w:rPr>
          <w:i w:val="0"/>
        </w:rPr>
        <w:t>Benefits and harms</w:t>
      </w:r>
      <w:bookmarkEnd w:id="18"/>
    </w:p>
    <w:p w:rsidR="00357657" w:rsidRPr="00BB367E" w:rsidRDefault="00034404" w:rsidP="00FF615A">
      <w:pPr>
        <w:pStyle w:val="ListParagraph"/>
        <w:numPr>
          <w:ilvl w:val="1"/>
          <w:numId w:val="1"/>
        </w:numPr>
        <w:ind w:left="720" w:hanging="720"/>
        <w:jc w:val="both"/>
      </w:pPr>
      <w:r w:rsidRPr="00BB367E">
        <w:t>A summary of the comp</w:t>
      </w:r>
      <w:r w:rsidR="00FE784A" w:rsidRPr="00BB367E">
        <w:t xml:space="preserve">arative benefits and harms for ocrelizumab versus placebo </w:t>
      </w:r>
      <w:r w:rsidRPr="00BB367E">
        <w:t xml:space="preserve">is presented in </w:t>
      </w:r>
      <w:r w:rsidR="001D476C" w:rsidRPr="00BB367E">
        <w:t>Table 5</w:t>
      </w:r>
      <w:r w:rsidRPr="00BB367E">
        <w:t xml:space="preserve">. </w:t>
      </w:r>
    </w:p>
    <w:p w:rsidR="00034404" w:rsidRPr="00BB367E" w:rsidRDefault="00034404" w:rsidP="00772501">
      <w:pPr>
        <w:pStyle w:val="TableHeading0"/>
      </w:pPr>
      <w:r w:rsidRPr="00BB367E">
        <w:t xml:space="preserve">Table </w:t>
      </w:r>
      <w:r w:rsidR="006D4CD2" w:rsidRPr="00BB367E">
        <w:t>5</w:t>
      </w:r>
      <w:r w:rsidRPr="00BB367E">
        <w:t xml:space="preserve">: Summary of comparative benefits and harms for </w:t>
      </w:r>
      <w:r w:rsidR="00EB44E2" w:rsidRPr="00BB367E">
        <w:t>ocrelizumab and placebo</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Summary of comparative benefits and harms for ocrelizumab and placebo"/>
      </w:tblPr>
      <w:tblGrid>
        <w:gridCol w:w="1823"/>
        <w:gridCol w:w="1145"/>
        <w:gridCol w:w="1140"/>
        <w:gridCol w:w="1484"/>
        <w:gridCol w:w="1085"/>
        <w:gridCol w:w="356"/>
        <w:gridCol w:w="621"/>
        <w:gridCol w:w="9"/>
        <w:gridCol w:w="1410"/>
      </w:tblGrid>
      <w:tr w:rsidR="00FE2431" w:rsidRPr="00BB367E" w:rsidTr="00065CDE">
        <w:trPr>
          <w:cnfStyle w:val="100000000000" w:firstRow="1" w:lastRow="0" w:firstColumn="0" w:lastColumn="0" w:oddVBand="0" w:evenVBand="0" w:oddHBand="0" w:evenHBand="0" w:firstRowFirstColumn="0" w:firstRowLastColumn="0" w:lastRowFirstColumn="0" w:lastRowLastColumn="0"/>
          <w:trHeight w:val="150"/>
        </w:trPr>
        <w:tc>
          <w:tcPr>
            <w:tcW w:w="5000" w:type="pct"/>
            <w:gridSpan w:val="9"/>
            <w:shd w:val="clear" w:color="auto" w:fill="auto"/>
            <w:vAlign w:val="center"/>
          </w:tcPr>
          <w:p w:rsidR="00FE2431" w:rsidRPr="00BB367E" w:rsidRDefault="00FE2431" w:rsidP="00772501">
            <w:pPr>
              <w:pStyle w:val="TableText"/>
              <w:rPr>
                <w:u w:val="single"/>
              </w:rPr>
            </w:pPr>
            <w:r w:rsidRPr="00BB367E">
              <w:rPr>
                <w:u w:val="single"/>
              </w:rPr>
              <w:t>Benefits</w:t>
            </w:r>
          </w:p>
        </w:tc>
      </w:tr>
      <w:tr w:rsidR="00357657" w:rsidRPr="00BB367E" w:rsidTr="00065CDE">
        <w:tc>
          <w:tcPr>
            <w:tcW w:w="5000" w:type="pct"/>
            <w:gridSpan w:val="9"/>
            <w:shd w:val="clear" w:color="auto" w:fill="auto"/>
            <w:vAlign w:val="center"/>
          </w:tcPr>
          <w:p w:rsidR="00034404" w:rsidRPr="00BB367E" w:rsidRDefault="00FE2431" w:rsidP="007159D8">
            <w:pPr>
              <w:pStyle w:val="TableText"/>
              <w:rPr>
                <w:b/>
              </w:rPr>
            </w:pPr>
            <w:r w:rsidRPr="00BB367E">
              <w:rPr>
                <w:b/>
              </w:rPr>
              <w:t>Time-to-event Outcome</w:t>
            </w:r>
            <w:r w:rsidR="003D69EF" w:rsidRPr="00BB367E">
              <w:rPr>
                <w:b/>
              </w:rPr>
              <w:t xml:space="preserve"> (</w:t>
            </w:r>
            <w:r w:rsidR="007159D8" w:rsidRPr="00BB367E">
              <w:rPr>
                <w:b/>
              </w:rPr>
              <w:t>120 Weeks follow-up in primary analysis; 144 weeks follow-up after extended period</w:t>
            </w:r>
            <w:r w:rsidR="003D69EF" w:rsidRPr="00BB367E">
              <w:rPr>
                <w:b/>
              </w:rPr>
              <w:t>)</w:t>
            </w:r>
          </w:p>
        </w:tc>
      </w:tr>
      <w:tr w:rsidR="0037467D" w:rsidRPr="00BB367E" w:rsidTr="001D476C">
        <w:tc>
          <w:tcPr>
            <w:tcW w:w="1005" w:type="pct"/>
            <w:tcBorders>
              <w:bottom w:val="single" w:sz="4" w:space="0" w:color="auto"/>
            </w:tcBorders>
            <w:shd w:val="clear" w:color="auto" w:fill="auto"/>
            <w:vAlign w:val="center"/>
          </w:tcPr>
          <w:p w:rsidR="00EB44E2" w:rsidRPr="00BB367E" w:rsidRDefault="00EB44E2" w:rsidP="00772501">
            <w:pPr>
              <w:pStyle w:val="TableText"/>
              <w:rPr>
                <w:b/>
              </w:rPr>
            </w:pPr>
            <w:r w:rsidRPr="00BB367E">
              <w:rPr>
                <w:b/>
              </w:rPr>
              <w:t>Event</w:t>
            </w:r>
          </w:p>
        </w:tc>
        <w:tc>
          <w:tcPr>
            <w:tcW w:w="631" w:type="pct"/>
            <w:tcBorders>
              <w:bottom w:val="single" w:sz="4" w:space="0" w:color="auto"/>
            </w:tcBorders>
            <w:shd w:val="clear" w:color="auto" w:fill="auto"/>
            <w:vAlign w:val="center"/>
          </w:tcPr>
          <w:p w:rsidR="00EB44E2" w:rsidRPr="00BB367E" w:rsidRDefault="00EB44E2" w:rsidP="001D476C">
            <w:pPr>
              <w:pStyle w:val="TableText"/>
              <w:jc w:val="center"/>
              <w:rPr>
                <w:b/>
              </w:rPr>
            </w:pPr>
            <w:r w:rsidRPr="00BB367E">
              <w:rPr>
                <w:b/>
              </w:rPr>
              <w:t>Ocrelizumab</w:t>
            </w:r>
          </w:p>
          <w:p w:rsidR="007159D8" w:rsidRPr="00BB367E" w:rsidRDefault="007159D8" w:rsidP="001D476C">
            <w:pPr>
              <w:pStyle w:val="TableText"/>
              <w:jc w:val="center"/>
              <w:rPr>
                <w:b/>
              </w:rPr>
            </w:pPr>
            <w:r w:rsidRPr="00BB367E">
              <w:rPr>
                <w:b/>
              </w:rPr>
              <w:t>n/N (%)</w:t>
            </w:r>
          </w:p>
        </w:tc>
        <w:tc>
          <w:tcPr>
            <w:tcW w:w="628" w:type="pct"/>
            <w:tcBorders>
              <w:bottom w:val="single" w:sz="4" w:space="0" w:color="auto"/>
            </w:tcBorders>
            <w:shd w:val="clear" w:color="auto" w:fill="auto"/>
            <w:vAlign w:val="center"/>
          </w:tcPr>
          <w:p w:rsidR="00EB44E2" w:rsidRPr="00BB367E" w:rsidRDefault="00EB44E2" w:rsidP="001D476C">
            <w:pPr>
              <w:pStyle w:val="TableText"/>
              <w:jc w:val="center"/>
              <w:rPr>
                <w:b/>
              </w:rPr>
            </w:pPr>
            <w:r w:rsidRPr="00BB367E">
              <w:rPr>
                <w:b/>
              </w:rPr>
              <w:t>Placebo</w:t>
            </w:r>
          </w:p>
          <w:p w:rsidR="007159D8" w:rsidRPr="00BB367E" w:rsidRDefault="007159D8" w:rsidP="001D476C">
            <w:pPr>
              <w:pStyle w:val="TableText"/>
              <w:jc w:val="center"/>
              <w:rPr>
                <w:b/>
              </w:rPr>
            </w:pPr>
            <w:r w:rsidRPr="00BB367E">
              <w:rPr>
                <w:b/>
              </w:rPr>
              <w:t>n/N (%)</w:t>
            </w:r>
          </w:p>
        </w:tc>
        <w:tc>
          <w:tcPr>
            <w:tcW w:w="818" w:type="pct"/>
            <w:tcBorders>
              <w:bottom w:val="single" w:sz="4" w:space="0" w:color="auto"/>
            </w:tcBorders>
            <w:shd w:val="clear" w:color="auto" w:fill="auto"/>
            <w:vAlign w:val="center"/>
          </w:tcPr>
          <w:p w:rsidR="00EB44E2" w:rsidRPr="00BB367E" w:rsidRDefault="00EB44E2" w:rsidP="001D476C">
            <w:pPr>
              <w:pStyle w:val="TableText"/>
              <w:jc w:val="center"/>
              <w:rPr>
                <w:rFonts w:asciiTheme="minorHAnsi" w:hAnsiTheme="minorHAnsi"/>
                <w:b/>
              </w:rPr>
            </w:pPr>
            <w:r w:rsidRPr="00BB367E">
              <w:rPr>
                <w:b/>
              </w:rPr>
              <w:t>RR</w:t>
            </w:r>
            <w:r w:rsidR="00F50FD9" w:rsidRPr="00BB367E">
              <w:rPr>
                <w:b/>
              </w:rPr>
              <w:t>*</w:t>
            </w:r>
          </w:p>
        </w:tc>
        <w:tc>
          <w:tcPr>
            <w:tcW w:w="794" w:type="pct"/>
            <w:gridSpan w:val="2"/>
            <w:tcBorders>
              <w:bottom w:val="single" w:sz="4" w:space="0" w:color="auto"/>
            </w:tcBorders>
            <w:shd w:val="clear" w:color="auto" w:fill="auto"/>
            <w:vAlign w:val="center"/>
          </w:tcPr>
          <w:p w:rsidR="00EB44E2" w:rsidRPr="00BB367E" w:rsidRDefault="00EB44E2" w:rsidP="001D476C">
            <w:pPr>
              <w:pStyle w:val="TableText"/>
              <w:jc w:val="center"/>
              <w:rPr>
                <w:b/>
              </w:rPr>
            </w:pPr>
            <w:r w:rsidRPr="00BB367E">
              <w:rPr>
                <w:b/>
              </w:rPr>
              <w:t>RD</w:t>
            </w:r>
            <w:r w:rsidR="00F50FD9" w:rsidRPr="00BB367E">
              <w:rPr>
                <w:b/>
              </w:rPr>
              <w:t>*</w:t>
            </w:r>
          </w:p>
        </w:tc>
        <w:tc>
          <w:tcPr>
            <w:tcW w:w="347" w:type="pct"/>
            <w:gridSpan w:val="2"/>
            <w:tcBorders>
              <w:bottom w:val="single" w:sz="4" w:space="0" w:color="auto"/>
            </w:tcBorders>
            <w:shd w:val="clear" w:color="auto" w:fill="auto"/>
            <w:vAlign w:val="center"/>
          </w:tcPr>
          <w:p w:rsidR="00EB44E2" w:rsidRPr="00BB367E" w:rsidRDefault="00EB44E2" w:rsidP="001D476C">
            <w:pPr>
              <w:pStyle w:val="TableText"/>
              <w:jc w:val="center"/>
              <w:rPr>
                <w:b/>
              </w:rPr>
            </w:pPr>
            <w:r w:rsidRPr="00BB367E">
              <w:rPr>
                <w:b/>
              </w:rPr>
              <w:t>NNT</w:t>
            </w:r>
            <w:r w:rsidR="00F50FD9" w:rsidRPr="00BB367E">
              <w:rPr>
                <w:b/>
              </w:rPr>
              <w:t>*</w:t>
            </w:r>
          </w:p>
        </w:tc>
        <w:tc>
          <w:tcPr>
            <w:tcW w:w="777" w:type="pct"/>
            <w:tcBorders>
              <w:bottom w:val="single" w:sz="4" w:space="0" w:color="auto"/>
            </w:tcBorders>
            <w:shd w:val="clear" w:color="auto" w:fill="auto"/>
            <w:vAlign w:val="center"/>
          </w:tcPr>
          <w:p w:rsidR="00EB44E2" w:rsidRPr="00BB367E" w:rsidRDefault="00EB44E2" w:rsidP="001D476C">
            <w:pPr>
              <w:pStyle w:val="TableText"/>
              <w:jc w:val="center"/>
              <w:rPr>
                <w:b/>
              </w:rPr>
            </w:pPr>
            <w:r w:rsidRPr="00BB367E">
              <w:rPr>
                <w:b/>
              </w:rPr>
              <w:t>HR (95% CI)</w:t>
            </w:r>
          </w:p>
        </w:tc>
      </w:tr>
      <w:tr w:rsidR="0037467D" w:rsidRPr="00BB367E" w:rsidTr="001D476C">
        <w:tc>
          <w:tcPr>
            <w:tcW w:w="1005" w:type="pct"/>
            <w:tcBorders>
              <w:bottom w:val="single" w:sz="4" w:space="0" w:color="auto"/>
            </w:tcBorders>
            <w:shd w:val="clear" w:color="auto" w:fill="auto"/>
          </w:tcPr>
          <w:p w:rsidR="0037467D" w:rsidRPr="00BB367E" w:rsidRDefault="0037467D" w:rsidP="00772501">
            <w:pPr>
              <w:pStyle w:val="TableText"/>
            </w:pPr>
            <w:r w:rsidRPr="00BB367E">
              <w:t>12 week CDP (primary)</w:t>
            </w:r>
          </w:p>
        </w:tc>
        <w:tc>
          <w:tcPr>
            <w:tcW w:w="631" w:type="pct"/>
            <w:tcBorders>
              <w:bottom w:val="single" w:sz="4" w:space="0" w:color="auto"/>
            </w:tcBorders>
            <w:shd w:val="clear" w:color="auto" w:fill="auto"/>
            <w:vAlign w:val="center"/>
          </w:tcPr>
          <w:p w:rsidR="0037467D" w:rsidRPr="00BB367E" w:rsidRDefault="0037467D" w:rsidP="001D476C">
            <w:pPr>
              <w:pStyle w:val="TableText"/>
              <w:jc w:val="center"/>
            </w:pPr>
            <w:r w:rsidRPr="00BB367E">
              <w:t>160/487 (32.9)</w:t>
            </w:r>
          </w:p>
        </w:tc>
        <w:tc>
          <w:tcPr>
            <w:tcW w:w="628" w:type="pct"/>
            <w:tcBorders>
              <w:bottom w:val="single" w:sz="4" w:space="0" w:color="auto"/>
            </w:tcBorders>
            <w:shd w:val="clear" w:color="auto" w:fill="auto"/>
            <w:vAlign w:val="center"/>
          </w:tcPr>
          <w:p w:rsidR="0037467D" w:rsidRPr="00BB367E" w:rsidRDefault="0037467D" w:rsidP="004A5CD5">
            <w:pPr>
              <w:pStyle w:val="TableText"/>
              <w:jc w:val="center"/>
            </w:pPr>
            <w:r w:rsidRPr="00BB367E">
              <w:t>9</w:t>
            </w:r>
            <w:r w:rsidR="004A5CD5">
              <w:t>6</w:t>
            </w:r>
            <w:r w:rsidRPr="00BB367E">
              <w:t>/244 (39.3)</w:t>
            </w:r>
          </w:p>
        </w:tc>
        <w:tc>
          <w:tcPr>
            <w:tcW w:w="818" w:type="pct"/>
            <w:tcBorders>
              <w:bottom w:val="single" w:sz="4" w:space="0" w:color="auto"/>
            </w:tcBorders>
            <w:shd w:val="clear" w:color="auto" w:fill="auto"/>
            <w:vAlign w:val="center"/>
          </w:tcPr>
          <w:p w:rsidR="0037467D" w:rsidRPr="00BB367E" w:rsidRDefault="0037467D" w:rsidP="001D476C">
            <w:pPr>
              <w:pStyle w:val="TableText"/>
              <w:jc w:val="center"/>
              <w:rPr>
                <w:szCs w:val="20"/>
              </w:rPr>
            </w:pPr>
            <w:r w:rsidRPr="00BB367E">
              <w:rPr>
                <w:rFonts w:eastAsia="Times New Roman" w:cs="Times New Roman"/>
                <w:color w:val="000000"/>
                <w:szCs w:val="20"/>
              </w:rPr>
              <w:t>0.87 (0.71, 1.07)</w:t>
            </w:r>
          </w:p>
        </w:tc>
        <w:tc>
          <w:tcPr>
            <w:tcW w:w="794" w:type="pct"/>
            <w:gridSpan w:val="2"/>
            <w:tcBorders>
              <w:bottom w:val="single" w:sz="4" w:space="0" w:color="auto"/>
            </w:tcBorders>
            <w:shd w:val="clear" w:color="auto" w:fill="auto"/>
            <w:vAlign w:val="center"/>
          </w:tcPr>
          <w:p w:rsidR="0037467D" w:rsidRPr="00BB367E" w:rsidRDefault="0037467D" w:rsidP="001D476C">
            <w:pPr>
              <w:pStyle w:val="TableText"/>
              <w:jc w:val="center"/>
              <w:rPr>
                <w:szCs w:val="20"/>
              </w:rPr>
            </w:pPr>
            <w:r w:rsidRPr="00BB367E">
              <w:rPr>
                <w:rFonts w:eastAsia="Times New Roman" w:cs="Times New Roman"/>
                <w:color w:val="000000"/>
                <w:szCs w:val="20"/>
              </w:rPr>
              <w:t>-0.05 (-0.12, 0.02)</w:t>
            </w:r>
          </w:p>
        </w:tc>
        <w:tc>
          <w:tcPr>
            <w:tcW w:w="347" w:type="pct"/>
            <w:gridSpan w:val="2"/>
            <w:tcBorders>
              <w:bottom w:val="single" w:sz="4" w:space="0" w:color="auto"/>
            </w:tcBorders>
            <w:shd w:val="clear" w:color="auto" w:fill="auto"/>
            <w:vAlign w:val="center"/>
          </w:tcPr>
          <w:p w:rsidR="0037467D" w:rsidRPr="00BB367E" w:rsidRDefault="007159D8" w:rsidP="001D476C">
            <w:pPr>
              <w:pStyle w:val="TableText"/>
              <w:jc w:val="center"/>
            </w:pPr>
            <w:r w:rsidRPr="00BB367E">
              <w:t>20</w:t>
            </w:r>
          </w:p>
        </w:tc>
        <w:tc>
          <w:tcPr>
            <w:tcW w:w="777" w:type="pct"/>
            <w:tcBorders>
              <w:bottom w:val="single" w:sz="4" w:space="0" w:color="auto"/>
            </w:tcBorders>
            <w:shd w:val="clear" w:color="auto" w:fill="auto"/>
            <w:vAlign w:val="center"/>
          </w:tcPr>
          <w:p w:rsidR="0037467D" w:rsidRPr="00BB367E" w:rsidRDefault="0037467D" w:rsidP="001D476C">
            <w:pPr>
              <w:pStyle w:val="TableText"/>
              <w:jc w:val="center"/>
              <w:rPr>
                <w:b/>
              </w:rPr>
            </w:pPr>
            <w:r w:rsidRPr="00BB367E">
              <w:rPr>
                <w:b/>
              </w:rPr>
              <w:t>0.76 (0.59, 0.98)</w:t>
            </w:r>
          </w:p>
        </w:tc>
      </w:tr>
      <w:tr w:rsidR="0037467D" w:rsidRPr="00BB367E" w:rsidTr="001D476C">
        <w:tc>
          <w:tcPr>
            <w:tcW w:w="1005" w:type="pct"/>
            <w:tcBorders>
              <w:bottom w:val="single" w:sz="4" w:space="0" w:color="auto"/>
            </w:tcBorders>
            <w:shd w:val="clear" w:color="auto" w:fill="auto"/>
          </w:tcPr>
          <w:p w:rsidR="0037467D" w:rsidRPr="00BB367E" w:rsidRDefault="0037467D" w:rsidP="00F50FD9">
            <w:pPr>
              <w:pStyle w:val="TableText"/>
            </w:pPr>
            <w:r w:rsidRPr="00BB367E">
              <w:t>12 week CDP (Extended period)</w:t>
            </w:r>
          </w:p>
        </w:tc>
        <w:tc>
          <w:tcPr>
            <w:tcW w:w="631" w:type="pct"/>
            <w:tcBorders>
              <w:bottom w:val="single" w:sz="4" w:space="0" w:color="auto"/>
            </w:tcBorders>
            <w:shd w:val="clear" w:color="auto" w:fill="auto"/>
            <w:vAlign w:val="center"/>
          </w:tcPr>
          <w:p w:rsidR="0037467D" w:rsidRPr="00BB367E" w:rsidRDefault="0037467D" w:rsidP="001D476C">
            <w:pPr>
              <w:pStyle w:val="TableText"/>
              <w:jc w:val="center"/>
            </w:pPr>
            <w:r w:rsidRPr="00BB367E">
              <w:t>177/487 (36.3)</w:t>
            </w:r>
          </w:p>
        </w:tc>
        <w:tc>
          <w:tcPr>
            <w:tcW w:w="628" w:type="pct"/>
            <w:tcBorders>
              <w:bottom w:val="single" w:sz="4" w:space="0" w:color="auto"/>
            </w:tcBorders>
            <w:shd w:val="clear" w:color="auto" w:fill="auto"/>
            <w:vAlign w:val="center"/>
          </w:tcPr>
          <w:p w:rsidR="0037467D" w:rsidRPr="00F176AE" w:rsidRDefault="00F176AE" w:rsidP="001D476C">
            <w:pPr>
              <w:pStyle w:val="TableText"/>
              <w:jc w:val="center"/>
              <w:rPr>
                <w:highlight w:val="black"/>
              </w:rPr>
            </w:pPr>
            <w:r>
              <w:rPr>
                <w:noProof/>
                <w:color w:val="000000"/>
                <w:highlight w:val="black"/>
              </w:rPr>
              <w:t>''''''''''''''''''' '''''''''''''</w:t>
            </w:r>
          </w:p>
        </w:tc>
        <w:tc>
          <w:tcPr>
            <w:tcW w:w="818" w:type="pct"/>
            <w:tcBorders>
              <w:bottom w:val="single" w:sz="4" w:space="0" w:color="auto"/>
            </w:tcBorders>
            <w:shd w:val="clear" w:color="auto" w:fill="auto"/>
            <w:vAlign w:val="center"/>
          </w:tcPr>
          <w:p w:rsidR="0037467D" w:rsidRPr="00BB367E" w:rsidRDefault="0037467D" w:rsidP="001D476C">
            <w:pPr>
              <w:pStyle w:val="TableText"/>
              <w:jc w:val="center"/>
              <w:rPr>
                <w:szCs w:val="20"/>
              </w:rPr>
            </w:pPr>
            <w:r w:rsidRPr="00BB367E">
              <w:rPr>
                <w:rFonts w:eastAsia="Times New Roman" w:cs="Times New Roman"/>
                <w:color w:val="000000"/>
                <w:szCs w:val="20"/>
              </w:rPr>
              <w:t>0.84 (0.7, 1.01)</w:t>
            </w:r>
          </w:p>
        </w:tc>
        <w:tc>
          <w:tcPr>
            <w:tcW w:w="794" w:type="pct"/>
            <w:gridSpan w:val="2"/>
            <w:tcBorders>
              <w:bottom w:val="single" w:sz="4" w:space="0" w:color="auto"/>
            </w:tcBorders>
            <w:shd w:val="clear" w:color="auto" w:fill="auto"/>
            <w:vAlign w:val="center"/>
          </w:tcPr>
          <w:p w:rsidR="0037467D" w:rsidRPr="00BB367E" w:rsidRDefault="0037467D" w:rsidP="001D476C">
            <w:pPr>
              <w:pStyle w:val="TableText"/>
              <w:jc w:val="center"/>
              <w:rPr>
                <w:szCs w:val="20"/>
              </w:rPr>
            </w:pPr>
            <w:r w:rsidRPr="00BB367E">
              <w:rPr>
                <w:rFonts w:eastAsia="Times New Roman" w:cs="Times New Roman"/>
                <w:color w:val="000000"/>
                <w:szCs w:val="20"/>
              </w:rPr>
              <w:t>-0.07 (-0.15, 0.01)</w:t>
            </w:r>
          </w:p>
        </w:tc>
        <w:tc>
          <w:tcPr>
            <w:tcW w:w="347" w:type="pct"/>
            <w:gridSpan w:val="2"/>
            <w:tcBorders>
              <w:bottom w:val="single" w:sz="4" w:space="0" w:color="auto"/>
            </w:tcBorders>
            <w:shd w:val="clear" w:color="auto" w:fill="auto"/>
            <w:vAlign w:val="center"/>
          </w:tcPr>
          <w:p w:rsidR="0037467D" w:rsidRPr="00BB367E" w:rsidRDefault="007159D8" w:rsidP="001D476C">
            <w:pPr>
              <w:pStyle w:val="TableText"/>
              <w:jc w:val="center"/>
            </w:pPr>
            <w:r w:rsidRPr="00BB367E">
              <w:t>14</w:t>
            </w:r>
          </w:p>
        </w:tc>
        <w:tc>
          <w:tcPr>
            <w:tcW w:w="777" w:type="pct"/>
            <w:tcBorders>
              <w:bottom w:val="single" w:sz="4" w:space="0" w:color="auto"/>
            </w:tcBorders>
            <w:shd w:val="clear" w:color="auto" w:fill="auto"/>
            <w:vAlign w:val="center"/>
          </w:tcPr>
          <w:p w:rsidR="0037467D" w:rsidRPr="00BB367E" w:rsidRDefault="0037467D" w:rsidP="001D476C">
            <w:pPr>
              <w:pStyle w:val="TableText"/>
              <w:jc w:val="center"/>
              <w:rPr>
                <w:b/>
              </w:rPr>
            </w:pPr>
            <w:r w:rsidRPr="00BB367E">
              <w:rPr>
                <w:b/>
              </w:rPr>
              <w:t xml:space="preserve">0.74 </w:t>
            </w:r>
            <w:r w:rsidR="00F176AE">
              <w:rPr>
                <w:b/>
                <w:noProof/>
                <w:color w:val="000000"/>
                <w:highlight w:val="black"/>
              </w:rPr>
              <w:t>'''''''''''' '''''''''''</w:t>
            </w:r>
          </w:p>
        </w:tc>
      </w:tr>
      <w:tr w:rsidR="0037467D" w:rsidRPr="00BB367E" w:rsidTr="001D476C">
        <w:tc>
          <w:tcPr>
            <w:tcW w:w="1005" w:type="pct"/>
            <w:tcBorders>
              <w:bottom w:val="single" w:sz="4" w:space="0" w:color="auto"/>
            </w:tcBorders>
            <w:shd w:val="clear" w:color="auto" w:fill="auto"/>
          </w:tcPr>
          <w:p w:rsidR="0037467D" w:rsidRPr="00BB367E" w:rsidRDefault="0037467D" w:rsidP="00772501">
            <w:pPr>
              <w:pStyle w:val="TableText"/>
            </w:pPr>
            <w:r w:rsidRPr="00BB367E">
              <w:t>24 week CDP (primary)</w:t>
            </w:r>
          </w:p>
        </w:tc>
        <w:tc>
          <w:tcPr>
            <w:tcW w:w="631" w:type="pct"/>
            <w:tcBorders>
              <w:bottom w:val="single" w:sz="4" w:space="0" w:color="auto"/>
            </w:tcBorders>
            <w:shd w:val="clear" w:color="auto" w:fill="auto"/>
            <w:vAlign w:val="center"/>
          </w:tcPr>
          <w:p w:rsidR="0037467D" w:rsidRPr="00BB367E" w:rsidRDefault="0037467D" w:rsidP="001D476C">
            <w:pPr>
              <w:pStyle w:val="TableText"/>
              <w:jc w:val="center"/>
            </w:pPr>
            <w:r w:rsidRPr="00BB367E">
              <w:t>144/487 (29.6)</w:t>
            </w:r>
          </w:p>
        </w:tc>
        <w:tc>
          <w:tcPr>
            <w:tcW w:w="628" w:type="pct"/>
            <w:tcBorders>
              <w:bottom w:val="single" w:sz="4" w:space="0" w:color="auto"/>
            </w:tcBorders>
            <w:shd w:val="clear" w:color="auto" w:fill="auto"/>
            <w:vAlign w:val="center"/>
          </w:tcPr>
          <w:p w:rsidR="0037467D" w:rsidRPr="00BB367E" w:rsidRDefault="0037467D" w:rsidP="001D476C">
            <w:pPr>
              <w:pStyle w:val="TableText"/>
              <w:jc w:val="center"/>
            </w:pPr>
            <w:r w:rsidRPr="00BB367E">
              <w:t>87/244 (35.7)</w:t>
            </w:r>
          </w:p>
        </w:tc>
        <w:tc>
          <w:tcPr>
            <w:tcW w:w="818" w:type="pct"/>
            <w:tcBorders>
              <w:bottom w:val="single" w:sz="4" w:space="0" w:color="auto"/>
            </w:tcBorders>
            <w:shd w:val="clear" w:color="auto" w:fill="auto"/>
            <w:vAlign w:val="center"/>
          </w:tcPr>
          <w:p w:rsidR="0037467D" w:rsidRPr="00BB367E" w:rsidRDefault="0037467D" w:rsidP="001D476C">
            <w:pPr>
              <w:pStyle w:val="TableText"/>
              <w:jc w:val="center"/>
              <w:rPr>
                <w:szCs w:val="20"/>
              </w:rPr>
            </w:pPr>
            <w:r w:rsidRPr="00BB367E">
              <w:rPr>
                <w:rFonts w:eastAsia="Times New Roman" w:cs="Times New Roman"/>
                <w:color w:val="000000"/>
                <w:szCs w:val="20"/>
              </w:rPr>
              <w:t>0.83 (0.67, 1.03)</w:t>
            </w:r>
          </w:p>
        </w:tc>
        <w:tc>
          <w:tcPr>
            <w:tcW w:w="794" w:type="pct"/>
            <w:gridSpan w:val="2"/>
            <w:tcBorders>
              <w:bottom w:val="single" w:sz="4" w:space="0" w:color="auto"/>
            </w:tcBorders>
            <w:shd w:val="clear" w:color="auto" w:fill="auto"/>
            <w:vAlign w:val="center"/>
          </w:tcPr>
          <w:p w:rsidR="0037467D" w:rsidRPr="00BB367E" w:rsidRDefault="0037467D" w:rsidP="001D476C">
            <w:pPr>
              <w:pStyle w:val="TableText"/>
              <w:jc w:val="center"/>
              <w:rPr>
                <w:szCs w:val="20"/>
              </w:rPr>
            </w:pPr>
            <w:r w:rsidRPr="00BB367E">
              <w:rPr>
                <w:rFonts w:eastAsia="Times New Roman" w:cs="Times New Roman"/>
                <w:color w:val="000000"/>
                <w:szCs w:val="20"/>
              </w:rPr>
              <w:t>-0.06 (-0.13, 0.01)</w:t>
            </w:r>
          </w:p>
        </w:tc>
        <w:tc>
          <w:tcPr>
            <w:tcW w:w="347" w:type="pct"/>
            <w:gridSpan w:val="2"/>
            <w:tcBorders>
              <w:bottom w:val="single" w:sz="4" w:space="0" w:color="auto"/>
            </w:tcBorders>
            <w:shd w:val="clear" w:color="auto" w:fill="auto"/>
            <w:vAlign w:val="center"/>
          </w:tcPr>
          <w:p w:rsidR="0037467D" w:rsidRPr="00BB367E" w:rsidRDefault="007159D8" w:rsidP="001D476C">
            <w:pPr>
              <w:pStyle w:val="TableText"/>
              <w:jc w:val="center"/>
            </w:pPr>
            <w:r w:rsidRPr="00BB367E">
              <w:t>17</w:t>
            </w:r>
          </w:p>
        </w:tc>
        <w:tc>
          <w:tcPr>
            <w:tcW w:w="777" w:type="pct"/>
            <w:tcBorders>
              <w:bottom w:val="single" w:sz="4" w:space="0" w:color="auto"/>
            </w:tcBorders>
            <w:shd w:val="clear" w:color="auto" w:fill="auto"/>
            <w:vAlign w:val="center"/>
          </w:tcPr>
          <w:p w:rsidR="0037467D" w:rsidRPr="00BB367E" w:rsidRDefault="0037467D" w:rsidP="001D476C">
            <w:pPr>
              <w:pStyle w:val="TableText"/>
              <w:jc w:val="center"/>
              <w:rPr>
                <w:b/>
              </w:rPr>
            </w:pPr>
            <w:r w:rsidRPr="00BB367E">
              <w:rPr>
                <w:b/>
              </w:rPr>
              <w:t>0.75 (0.58, 0.98)</w:t>
            </w:r>
          </w:p>
        </w:tc>
      </w:tr>
      <w:tr w:rsidR="0037467D" w:rsidRPr="00BB367E" w:rsidTr="001D476C">
        <w:tc>
          <w:tcPr>
            <w:tcW w:w="1005" w:type="pct"/>
            <w:shd w:val="clear" w:color="auto" w:fill="auto"/>
          </w:tcPr>
          <w:p w:rsidR="0037467D" w:rsidRPr="00BB367E" w:rsidRDefault="0037467D" w:rsidP="00772501">
            <w:pPr>
              <w:pStyle w:val="TableText"/>
            </w:pPr>
            <w:r w:rsidRPr="00BB367E">
              <w:t>24 week CDP (Extended period)</w:t>
            </w:r>
          </w:p>
        </w:tc>
        <w:tc>
          <w:tcPr>
            <w:tcW w:w="631" w:type="pct"/>
            <w:shd w:val="clear" w:color="auto" w:fill="auto"/>
            <w:vAlign w:val="center"/>
          </w:tcPr>
          <w:p w:rsidR="0037467D" w:rsidRPr="00BB367E" w:rsidRDefault="001D476C" w:rsidP="001D476C">
            <w:pPr>
              <w:pStyle w:val="TableText"/>
              <w:jc w:val="center"/>
            </w:pPr>
            <w:r w:rsidRPr="00BB367E">
              <w:t>151/487**</w:t>
            </w:r>
            <w:r w:rsidRPr="00BB367E">
              <w:br/>
              <w:t>(31.1</w:t>
            </w:r>
            <w:r w:rsidR="0037467D" w:rsidRPr="00BB367E">
              <w:t>)</w:t>
            </w:r>
          </w:p>
        </w:tc>
        <w:tc>
          <w:tcPr>
            <w:tcW w:w="628" w:type="pct"/>
            <w:shd w:val="clear" w:color="auto" w:fill="auto"/>
            <w:vAlign w:val="center"/>
          </w:tcPr>
          <w:p w:rsidR="0037467D" w:rsidRPr="00F176AE" w:rsidRDefault="00F176AE" w:rsidP="001D476C">
            <w:pPr>
              <w:pStyle w:val="TableText"/>
              <w:jc w:val="center"/>
              <w:rPr>
                <w:highlight w:val="black"/>
              </w:rPr>
            </w:pPr>
            <w:r>
              <w:rPr>
                <w:noProof/>
                <w:color w:val="000000"/>
                <w:highlight w:val="black"/>
              </w:rPr>
              <w:t>'''''''''''''''''''''</w:t>
            </w:r>
            <w:r>
              <w:rPr>
                <w:noProof/>
                <w:color w:val="000000"/>
                <w:highlight w:val="black"/>
              </w:rPr>
              <w:br/>
              <w:t>''''''''''''''''''</w:t>
            </w:r>
          </w:p>
        </w:tc>
        <w:tc>
          <w:tcPr>
            <w:tcW w:w="818" w:type="pct"/>
            <w:shd w:val="clear" w:color="auto" w:fill="auto"/>
            <w:vAlign w:val="center"/>
          </w:tcPr>
          <w:p w:rsidR="0037467D" w:rsidRPr="00BB367E" w:rsidRDefault="0037467D" w:rsidP="001D476C">
            <w:pPr>
              <w:pStyle w:val="TableText"/>
              <w:jc w:val="center"/>
              <w:rPr>
                <w:szCs w:val="20"/>
              </w:rPr>
            </w:pPr>
            <w:r w:rsidRPr="00BB367E">
              <w:rPr>
                <w:rFonts w:eastAsia="Times New Roman" w:cs="Times New Roman"/>
                <w:color w:val="000000"/>
                <w:szCs w:val="20"/>
              </w:rPr>
              <w:t>0.81 (0.66, 1</w:t>
            </w:r>
            <w:r w:rsidR="001D476C" w:rsidRPr="00BB367E">
              <w:rPr>
                <w:rFonts w:eastAsia="Times New Roman" w:cs="Times New Roman"/>
                <w:color w:val="000000"/>
                <w:szCs w:val="20"/>
              </w:rPr>
              <w:t>.00</w:t>
            </w:r>
            <w:r w:rsidRPr="00BB367E">
              <w:rPr>
                <w:rFonts w:eastAsia="Times New Roman" w:cs="Times New Roman"/>
                <w:color w:val="000000"/>
                <w:szCs w:val="20"/>
              </w:rPr>
              <w:t>)</w:t>
            </w:r>
          </w:p>
        </w:tc>
        <w:tc>
          <w:tcPr>
            <w:tcW w:w="794" w:type="pct"/>
            <w:gridSpan w:val="2"/>
            <w:shd w:val="clear" w:color="auto" w:fill="auto"/>
            <w:vAlign w:val="center"/>
          </w:tcPr>
          <w:p w:rsidR="0037467D" w:rsidRPr="00BB367E" w:rsidRDefault="0037467D" w:rsidP="001D476C">
            <w:pPr>
              <w:pStyle w:val="TableText"/>
              <w:jc w:val="center"/>
              <w:rPr>
                <w:szCs w:val="20"/>
              </w:rPr>
            </w:pPr>
            <w:r w:rsidRPr="00BB367E">
              <w:rPr>
                <w:rFonts w:eastAsia="Times New Roman" w:cs="Times New Roman"/>
                <w:color w:val="000000"/>
                <w:szCs w:val="20"/>
              </w:rPr>
              <w:t>-0.07 (-0.14, 0</w:t>
            </w:r>
            <w:r w:rsidR="001D476C" w:rsidRPr="00BB367E">
              <w:rPr>
                <w:rFonts w:eastAsia="Times New Roman" w:cs="Times New Roman"/>
                <w:color w:val="000000"/>
                <w:szCs w:val="20"/>
              </w:rPr>
              <w:t>.00</w:t>
            </w:r>
            <w:r w:rsidRPr="00BB367E">
              <w:rPr>
                <w:rFonts w:eastAsia="Times New Roman" w:cs="Times New Roman"/>
                <w:color w:val="000000"/>
                <w:szCs w:val="20"/>
              </w:rPr>
              <w:t>)</w:t>
            </w:r>
          </w:p>
        </w:tc>
        <w:tc>
          <w:tcPr>
            <w:tcW w:w="347" w:type="pct"/>
            <w:gridSpan w:val="2"/>
            <w:shd w:val="clear" w:color="auto" w:fill="auto"/>
            <w:vAlign w:val="center"/>
          </w:tcPr>
          <w:p w:rsidR="0037467D" w:rsidRPr="00BB367E" w:rsidRDefault="007159D8" w:rsidP="001D476C">
            <w:pPr>
              <w:pStyle w:val="TableText"/>
              <w:jc w:val="center"/>
            </w:pPr>
            <w:r w:rsidRPr="00BB367E">
              <w:t>14</w:t>
            </w:r>
          </w:p>
        </w:tc>
        <w:tc>
          <w:tcPr>
            <w:tcW w:w="777" w:type="pct"/>
            <w:shd w:val="clear" w:color="auto" w:fill="auto"/>
            <w:vAlign w:val="center"/>
          </w:tcPr>
          <w:p w:rsidR="0037467D" w:rsidRPr="00BB367E" w:rsidRDefault="0037467D" w:rsidP="001D476C">
            <w:pPr>
              <w:pStyle w:val="TableText"/>
              <w:jc w:val="center"/>
              <w:rPr>
                <w:b/>
              </w:rPr>
            </w:pPr>
            <w:r w:rsidRPr="00BB367E">
              <w:rPr>
                <w:b/>
              </w:rPr>
              <w:t xml:space="preserve">0.70 </w:t>
            </w:r>
            <w:r w:rsidR="00F176AE">
              <w:rPr>
                <w:b/>
                <w:noProof/>
                <w:color w:val="000000"/>
                <w:highlight w:val="black"/>
              </w:rPr>
              <w:t>''''''''''' ''''''''''</w:t>
            </w:r>
          </w:p>
        </w:tc>
      </w:tr>
      <w:tr w:rsidR="00EB44E2" w:rsidRPr="00BB367E" w:rsidTr="00065CDE">
        <w:tc>
          <w:tcPr>
            <w:tcW w:w="5000" w:type="pct"/>
            <w:gridSpan w:val="9"/>
            <w:tcBorders>
              <w:top w:val="double" w:sz="4" w:space="0" w:color="auto"/>
            </w:tcBorders>
            <w:shd w:val="clear" w:color="auto" w:fill="auto"/>
            <w:vAlign w:val="center"/>
          </w:tcPr>
          <w:p w:rsidR="00EB44E2" w:rsidRPr="00BB367E" w:rsidRDefault="00EB44E2" w:rsidP="00772501">
            <w:pPr>
              <w:pStyle w:val="TableText"/>
              <w:rPr>
                <w:b/>
                <w:u w:val="single"/>
              </w:rPr>
            </w:pPr>
            <w:r w:rsidRPr="00BB367E">
              <w:rPr>
                <w:b/>
                <w:u w:val="single"/>
              </w:rPr>
              <w:t>Harms</w:t>
            </w:r>
          </w:p>
        </w:tc>
      </w:tr>
      <w:tr w:rsidR="007159D8" w:rsidRPr="00BB367E" w:rsidTr="001D476C">
        <w:trPr>
          <w:trHeight w:val="70"/>
        </w:trPr>
        <w:tc>
          <w:tcPr>
            <w:tcW w:w="1005" w:type="pct"/>
            <w:vMerge w:val="restart"/>
            <w:shd w:val="clear" w:color="auto" w:fill="auto"/>
            <w:vAlign w:val="center"/>
          </w:tcPr>
          <w:p w:rsidR="00EB44E2" w:rsidRPr="00BB367E" w:rsidRDefault="00EB44E2" w:rsidP="00772501">
            <w:pPr>
              <w:pStyle w:val="TableText"/>
            </w:pPr>
          </w:p>
        </w:tc>
        <w:tc>
          <w:tcPr>
            <w:tcW w:w="631" w:type="pct"/>
            <w:vMerge w:val="restart"/>
            <w:shd w:val="clear" w:color="auto" w:fill="auto"/>
            <w:vAlign w:val="center"/>
          </w:tcPr>
          <w:p w:rsidR="00EB44E2" w:rsidRPr="00BB367E" w:rsidRDefault="0037467D" w:rsidP="00EC460B">
            <w:pPr>
              <w:pStyle w:val="TableText"/>
              <w:jc w:val="center"/>
              <w:rPr>
                <w:b/>
              </w:rPr>
            </w:pPr>
            <w:r w:rsidRPr="00BB367E">
              <w:rPr>
                <w:b/>
              </w:rPr>
              <w:t>Ocrelizumab</w:t>
            </w:r>
          </w:p>
        </w:tc>
        <w:tc>
          <w:tcPr>
            <w:tcW w:w="628" w:type="pct"/>
            <w:vMerge w:val="restart"/>
            <w:shd w:val="clear" w:color="auto" w:fill="auto"/>
            <w:vAlign w:val="center"/>
          </w:tcPr>
          <w:p w:rsidR="00EB44E2" w:rsidRPr="00BB367E" w:rsidRDefault="0037467D" w:rsidP="00EC460B">
            <w:pPr>
              <w:pStyle w:val="TableText"/>
              <w:jc w:val="center"/>
              <w:rPr>
                <w:b/>
              </w:rPr>
            </w:pPr>
            <w:r w:rsidRPr="00BB367E">
              <w:rPr>
                <w:b/>
              </w:rPr>
              <w:t>Placebo</w:t>
            </w:r>
          </w:p>
        </w:tc>
        <w:tc>
          <w:tcPr>
            <w:tcW w:w="818" w:type="pct"/>
            <w:vMerge w:val="restart"/>
            <w:shd w:val="clear" w:color="auto" w:fill="auto"/>
            <w:vAlign w:val="center"/>
          </w:tcPr>
          <w:p w:rsidR="00EB44E2" w:rsidRPr="00BB367E" w:rsidRDefault="00EB44E2" w:rsidP="00EC460B">
            <w:pPr>
              <w:pStyle w:val="TableText"/>
              <w:jc w:val="center"/>
              <w:rPr>
                <w:b/>
              </w:rPr>
            </w:pPr>
            <w:r w:rsidRPr="00BB367E">
              <w:rPr>
                <w:b/>
              </w:rPr>
              <w:t>RR</w:t>
            </w:r>
          </w:p>
          <w:p w:rsidR="00EB44E2" w:rsidRPr="00BB367E" w:rsidRDefault="00EB44E2" w:rsidP="00EC460B">
            <w:pPr>
              <w:pStyle w:val="TableText"/>
              <w:jc w:val="center"/>
              <w:rPr>
                <w:b/>
              </w:rPr>
            </w:pPr>
            <w:r w:rsidRPr="00BB367E">
              <w:rPr>
                <w:b/>
              </w:rPr>
              <w:t>(95% CI)</w:t>
            </w:r>
          </w:p>
        </w:tc>
        <w:tc>
          <w:tcPr>
            <w:tcW w:w="1136" w:type="pct"/>
            <w:gridSpan w:val="3"/>
            <w:shd w:val="clear" w:color="auto" w:fill="auto"/>
            <w:vAlign w:val="center"/>
          </w:tcPr>
          <w:p w:rsidR="00EB44E2" w:rsidRPr="00BB367E" w:rsidRDefault="00EB44E2" w:rsidP="00EC460B">
            <w:pPr>
              <w:pStyle w:val="TableText"/>
              <w:jc w:val="center"/>
              <w:rPr>
                <w:b/>
              </w:rPr>
            </w:pPr>
            <w:r w:rsidRPr="00BB367E">
              <w:rPr>
                <w:b/>
              </w:rPr>
              <w:t>Events/100 patients*</w:t>
            </w:r>
          </w:p>
        </w:tc>
        <w:tc>
          <w:tcPr>
            <w:tcW w:w="782" w:type="pct"/>
            <w:gridSpan w:val="2"/>
            <w:vMerge w:val="restart"/>
            <w:shd w:val="clear" w:color="auto" w:fill="auto"/>
            <w:vAlign w:val="center"/>
          </w:tcPr>
          <w:p w:rsidR="00EB44E2" w:rsidRPr="00BB367E" w:rsidRDefault="00EB44E2" w:rsidP="00EC460B">
            <w:pPr>
              <w:pStyle w:val="TableText"/>
              <w:jc w:val="center"/>
              <w:rPr>
                <w:b/>
              </w:rPr>
            </w:pPr>
            <w:r w:rsidRPr="00BB367E">
              <w:rPr>
                <w:b/>
              </w:rPr>
              <w:t>RD</w:t>
            </w:r>
          </w:p>
          <w:p w:rsidR="00EB44E2" w:rsidRPr="00BB367E" w:rsidRDefault="00EB44E2" w:rsidP="00EC460B">
            <w:pPr>
              <w:pStyle w:val="TableText"/>
              <w:jc w:val="center"/>
              <w:rPr>
                <w:b/>
              </w:rPr>
            </w:pPr>
            <w:r w:rsidRPr="00BB367E">
              <w:rPr>
                <w:b/>
              </w:rPr>
              <w:t>(95% CI)</w:t>
            </w:r>
          </w:p>
        </w:tc>
      </w:tr>
      <w:tr w:rsidR="007159D8" w:rsidRPr="00BB367E" w:rsidTr="001D476C">
        <w:trPr>
          <w:trHeight w:val="390"/>
        </w:trPr>
        <w:tc>
          <w:tcPr>
            <w:tcW w:w="1005" w:type="pct"/>
            <w:vMerge/>
            <w:shd w:val="clear" w:color="auto" w:fill="auto"/>
            <w:vAlign w:val="center"/>
          </w:tcPr>
          <w:p w:rsidR="0037467D" w:rsidRPr="00BB367E" w:rsidRDefault="0037467D" w:rsidP="00772501">
            <w:pPr>
              <w:pStyle w:val="TableText"/>
            </w:pPr>
          </w:p>
        </w:tc>
        <w:tc>
          <w:tcPr>
            <w:tcW w:w="631" w:type="pct"/>
            <w:vMerge/>
            <w:shd w:val="clear" w:color="auto" w:fill="auto"/>
            <w:vAlign w:val="center"/>
          </w:tcPr>
          <w:p w:rsidR="0037467D" w:rsidRPr="00BB367E" w:rsidRDefault="0037467D" w:rsidP="00EC460B">
            <w:pPr>
              <w:pStyle w:val="TableText"/>
              <w:jc w:val="center"/>
            </w:pPr>
          </w:p>
        </w:tc>
        <w:tc>
          <w:tcPr>
            <w:tcW w:w="628" w:type="pct"/>
            <w:vMerge/>
            <w:shd w:val="clear" w:color="auto" w:fill="auto"/>
            <w:vAlign w:val="center"/>
          </w:tcPr>
          <w:p w:rsidR="0037467D" w:rsidRPr="00BB367E" w:rsidRDefault="0037467D" w:rsidP="00EC460B">
            <w:pPr>
              <w:pStyle w:val="TableText"/>
              <w:jc w:val="center"/>
            </w:pPr>
          </w:p>
        </w:tc>
        <w:tc>
          <w:tcPr>
            <w:tcW w:w="818" w:type="pct"/>
            <w:vMerge/>
            <w:shd w:val="clear" w:color="auto" w:fill="auto"/>
            <w:vAlign w:val="center"/>
          </w:tcPr>
          <w:p w:rsidR="0037467D" w:rsidRPr="00BB367E" w:rsidRDefault="0037467D" w:rsidP="00EC460B">
            <w:pPr>
              <w:pStyle w:val="TableText"/>
              <w:jc w:val="center"/>
            </w:pPr>
          </w:p>
        </w:tc>
        <w:tc>
          <w:tcPr>
            <w:tcW w:w="598" w:type="pct"/>
            <w:shd w:val="clear" w:color="auto" w:fill="auto"/>
            <w:vAlign w:val="center"/>
          </w:tcPr>
          <w:p w:rsidR="0037467D" w:rsidRPr="00BB367E" w:rsidRDefault="0037467D" w:rsidP="00EC460B">
            <w:pPr>
              <w:pStyle w:val="TableText"/>
              <w:jc w:val="center"/>
              <w:rPr>
                <w:b/>
              </w:rPr>
            </w:pPr>
            <w:r w:rsidRPr="00BB367E">
              <w:rPr>
                <w:b/>
              </w:rPr>
              <w:t>Ocrelizumab</w:t>
            </w:r>
          </w:p>
        </w:tc>
        <w:tc>
          <w:tcPr>
            <w:tcW w:w="537" w:type="pct"/>
            <w:gridSpan w:val="2"/>
            <w:shd w:val="clear" w:color="auto" w:fill="auto"/>
            <w:vAlign w:val="center"/>
          </w:tcPr>
          <w:p w:rsidR="0037467D" w:rsidRPr="00BB367E" w:rsidRDefault="0037467D" w:rsidP="00EC460B">
            <w:pPr>
              <w:pStyle w:val="TableText"/>
              <w:jc w:val="center"/>
              <w:rPr>
                <w:b/>
              </w:rPr>
            </w:pPr>
            <w:r w:rsidRPr="00BB367E">
              <w:rPr>
                <w:b/>
              </w:rPr>
              <w:t>Placebo</w:t>
            </w:r>
          </w:p>
        </w:tc>
        <w:tc>
          <w:tcPr>
            <w:tcW w:w="782" w:type="pct"/>
            <w:gridSpan w:val="2"/>
            <w:vMerge/>
            <w:shd w:val="clear" w:color="auto" w:fill="auto"/>
            <w:vAlign w:val="center"/>
          </w:tcPr>
          <w:p w:rsidR="0037467D" w:rsidRPr="00BB367E" w:rsidRDefault="0037467D" w:rsidP="00EC460B">
            <w:pPr>
              <w:pStyle w:val="TableText"/>
              <w:jc w:val="center"/>
            </w:pPr>
          </w:p>
        </w:tc>
      </w:tr>
      <w:tr w:rsidR="007159D8" w:rsidRPr="00BB367E" w:rsidTr="001D476C">
        <w:tc>
          <w:tcPr>
            <w:tcW w:w="1005" w:type="pct"/>
            <w:shd w:val="clear" w:color="auto" w:fill="auto"/>
            <w:vAlign w:val="center"/>
          </w:tcPr>
          <w:p w:rsidR="007159D8" w:rsidRPr="00BB367E" w:rsidRDefault="007159D8" w:rsidP="00772501">
            <w:pPr>
              <w:pStyle w:val="TableText"/>
            </w:pPr>
            <w:r w:rsidRPr="00BB367E">
              <w:t>At least one AE</w:t>
            </w:r>
          </w:p>
        </w:tc>
        <w:tc>
          <w:tcPr>
            <w:tcW w:w="631" w:type="pct"/>
            <w:shd w:val="clear" w:color="auto" w:fill="auto"/>
            <w:vAlign w:val="center"/>
          </w:tcPr>
          <w:p w:rsidR="007159D8" w:rsidRPr="00BB367E" w:rsidRDefault="007159D8" w:rsidP="001D476C">
            <w:pPr>
              <w:pStyle w:val="TableText"/>
              <w:jc w:val="center"/>
            </w:pPr>
            <w:r w:rsidRPr="00BB367E">
              <w:t>462/486 (95.1)</w:t>
            </w:r>
          </w:p>
        </w:tc>
        <w:tc>
          <w:tcPr>
            <w:tcW w:w="628" w:type="pct"/>
            <w:shd w:val="clear" w:color="auto" w:fill="auto"/>
            <w:vAlign w:val="center"/>
          </w:tcPr>
          <w:p w:rsidR="007159D8" w:rsidRPr="00BB367E" w:rsidRDefault="007159D8" w:rsidP="001D476C">
            <w:pPr>
              <w:pStyle w:val="TableText"/>
              <w:jc w:val="center"/>
            </w:pPr>
            <w:r w:rsidRPr="00BB367E">
              <w:t>215/239 (90.0)</w:t>
            </w:r>
          </w:p>
        </w:tc>
        <w:tc>
          <w:tcPr>
            <w:tcW w:w="818" w:type="pct"/>
            <w:shd w:val="clear" w:color="auto" w:fill="auto"/>
            <w:vAlign w:val="center"/>
          </w:tcPr>
          <w:p w:rsidR="007159D8" w:rsidRPr="00BB367E" w:rsidRDefault="007159D8" w:rsidP="001D476C">
            <w:pPr>
              <w:pStyle w:val="TableText"/>
              <w:jc w:val="center"/>
              <w:rPr>
                <w:b/>
              </w:rPr>
            </w:pPr>
            <w:r w:rsidRPr="00BB367E">
              <w:rPr>
                <w:b/>
              </w:rPr>
              <w:t>1.06</w:t>
            </w:r>
            <w:r w:rsidR="001D476C" w:rsidRPr="00BB367E">
              <w:rPr>
                <w:b/>
              </w:rPr>
              <w:t xml:space="preserve"> </w:t>
            </w:r>
            <w:r w:rsidRPr="00BB367E">
              <w:rPr>
                <w:b/>
              </w:rPr>
              <w:t>(1.01, 1.11)</w:t>
            </w:r>
          </w:p>
        </w:tc>
        <w:tc>
          <w:tcPr>
            <w:tcW w:w="598" w:type="pct"/>
            <w:shd w:val="clear" w:color="auto" w:fill="auto"/>
            <w:vAlign w:val="center"/>
          </w:tcPr>
          <w:p w:rsidR="007159D8" w:rsidRPr="00BB367E" w:rsidRDefault="007159D8" w:rsidP="001D476C">
            <w:pPr>
              <w:pStyle w:val="TableText"/>
              <w:jc w:val="center"/>
            </w:pPr>
            <w:r w:rsidRPr="00BB367E">
              <w:t>95</w:t>
            </w:r>
          </w:p>
        </w:tc>
        <w:tc>
          <w:tcPr>
            <w:tcW w:w="537" w:type="pct"/>
            <w:gridSpan w:val="2"/>
            <w:shd w:val="clear" w:color="auto" w:fill="auto"/>
            <w:vAlign w:val="center"/>
          </w:tcPr>
          <w:p w:rsidR="007159D8" w:rsidRPr="00BB367E" w:rsidRDefault="007159D8" w:rsidP="001D476C">
            <w:pPr>
              <w:pStyle w:val="TableText"/>
              <w:jc w:val="center"/>
            </w:pPr>
            <w:r w:rsidRPr="00BB367E">
              <w:t>90</w:t>
            </w:r>
          </w:p>
        </w:tc>
        <w:tc>
          <w:tcPr>
            <w:tcW w:w="782" w:type="pct"/>
            <w:gridSpan w:val="2"/>
            <w:shd w:val="clear" w:color="auto" w:fill="auto"/>
            <w:vAlign w:val="center"/>
          </w:tcPr>
          <w:p w:rsidR="007159D8" w:rsidRPr="00BB367E" w:rsidRDefault="007159D8" w:rsidP="001D476C">
            <w:pPr>
              <w:pStyle w:val="TableText"/>
              <w:jc w:val="center"/>
              <w:rPr>
                <w:b/>
              </w:rPr>
            </w:pPr>
            <w:r w:rsidRPr="00BB367E">
              <w:rPr>
                <w:rFonts w:eastAsia="Times New Roman" w:cs="Times New Roman"/>
                <w:b/>
                <w:color w:val="000000"/>
                <w:szCs w:val="20"/>
              </w:rPr>
              <w:t>0.05 (0.01, 0.09)</w:t>
            </w:r>
          </w:p>
        </w:tc>
      </w:tr>
      <w:tr w:rsidR="007159D8" w:rsidRPr="00BB367E" w:rsidTr="001D476C">
        <w:tc>
          <w:tcPr>
            <w:tcW w:w="1005" w:type="pct"/>
            <w:shd w:val="clear" w:color="auto" w:fill="auto"/>
            <w:vAlign w:val="center"/>
          </w:tcPr>
          <w:p w:rsidR="007159D8" w:rsidRPr="00BB367E" w:rsidRDefault="007159D8" w:rsidP="00772501">
            <w:pPr>
              <w:pStyle w:val="TableText"/>
            </w:pPr>
            <w:r w:rsidRPr="00BB367E">
              <w:t>AEs leading to dose modification or interruption</w:t>
            </w:r>
          </w:p>
        </w:tc>
        <w:tc>
          <w:tcPr>
            <w:tcW w:w="631" w:type="pct"/>
            <w:shd w:val="clear" w:color="auto" w:fill="auto"/>
            <w:vAlign w:val="center"/>
          </w:tcPr>
          <w:p w:rsidR="007159D8" w:rsidRPr="00BB367E" w:rsidRDefault="007159D8" w:rsidP="002B7A88">
            <w:pPr>
              <w:pStyle w:val="TableText"/>
              <w:jc w:val="center"/>
            </w:pPr>
            <w:r w:rsidRPr="00BB367E">
              <w:t>47/486 (9.7)</w:t>
            </w:r>
          </w:p>
        </w:tc>
        <w:tc>
          <w:tcPr>
            <w:tcW w:w="628" w:type="pct"/>
            <w:shd w:val="clear" w:color="auto" w:fill="auto"/>
            <w:vAlign w:val="center"/>
          </w:tcPr>
          <w:p w:rsidR="007159D8" w:rsidRPr="00BB367E" w:rsidRDefault="007159D8" w:rsidP="001D476C">
            <w:pPr>
              <w:pStyle w:val="TableText"/>
              <w:jc w:val="center"/>
            </w:pPr>
            <w:r w:rsidRPr="00BB367E">
              <w:t>12/239 (5.0)</w:t>
            </w:r>
          </w:p>
        </w:tc>
        <w:tc>
          <w:tcPr>
            <w:tcW w:w="818" w:type="pct"/>
            <w:shd w:val="clear" w:color="auto" w:fill="auto"/>
            <w:vAlign w:val="center"/>
          </w:tcPr>
          <w:p w:rsidR="007159D8" w:rsidRPr="00BB367E" w:rsidRDefault="007159D8" w:rsidP="001D476C">
            <w:pPr>
              <w:pStyle w:val="TableText"/>
              <w:jc w:val="center"/>
              <w:rPr>
                <w:b/>
              </w:rPr>
            </w:pPr>
            <w:r w:rsidRPr="00BB367E">
              <w:rPr>
                <w:b/>
              </w:rPr>
              <w:t>1.93 (1.04, 3.56)</w:t>
            </w:r>
          </w:p>
        </w:tc>
        <w:tc>
          <w:tcPr>
            <w:tcW w:w="598" w:type="pct"/>
            <w:shd w:val="clear" w:color="auto" w:fill="auto"/>
            <w:vAlign w:val="center"/>
          </w:tcPr>
          <w:p w:rsidR="007159D8" w:rsidRPr="00BB367E" w:rsidRDefault="007159D8" w:rsidP="001D476C">
            <w:pPr>
              <w:pStyle w:val="TableText"/>
              <w:jc w:val="center"/>
            </w:pPr>
            <w:r w:rsidRPr="00BB367E">
              <w:t>10</w:t>
            </w:r>
          </w:p>
        </w:tc>
        <w:tc>
          <w:tcPr>
            <w:tcW w:w="537" w:type="pct"/>
            <w:gridSpan w:val="2"/>
            <w:shd w:val="clear" w:color="auto" w:fill="auto"/>
            <w:vAlign w:val="center"/>
          </w:tcPr>
          <w:p w:rsidR="007159D8" w:rsidRPr="00BB367E" w:rsidRDefault="007159D8" w:rsidP="001D476C">
            <w:pPr>
              <w:pStyle w:val="TableText"/>
              <w:jc w:val="center"/>
            </w:pPr>
            <w:r w:rsidRPr="00BB367E">
              <w:t>5</w:t>
            </w:r>
          </w:p>
        </w:tc>
        <w:tc>
          <w:tcPr>
            <w:tcW w:w="782" w:type="pct"/>
            <w:gridSpan w:val="2"/>
            <w:shd w:val="clear" w:color="auto" w:fill="auto"/>
            <w:vAlign w:val="center"/>
          </w:tcPr>
          <w:p w:rsidR="007159D8" w:rsidRPr="00BB367E" w:rsidRDefault="007159D8" w:rsidP="001D476C">
            <w:pPr>
              <w:pStyle w:val="TableText"/>
              <w:jc w:val="center"/>
              <w:rPr>
                <w:b/>
              </w:rPr>
            </w:pPr>
            <w:r w:rsidRPr="00BB367E">
              <w:rPr>
                <w:rFonts w:eastAsia="Times New Roman" w:cs="Times New Roman"/>
                <w:b/>
                <w:color w:val="000000"/>
                <w:szCs w:val="20"/>
              </w:rPr>
              <w:t>0.05 (0.01, 0.09)</w:t>
            </w:r>
          </w:p>
        </w:tc>
      </w:tr>
      <w:tr w:rsidR="007159D8" w:rsidRPr="00BB367E" w:rsidTr="001D476C">
        <w:tc>
          <w:tcPr>
            <w:tcW w:w="1005" w:type="pct"/>
            <w:shd w:val="clear" w:color="auto" w:fill="auto"/>
            <w:vAlign w:val="center"/>
          </w:tcPr>
          <w:p w:rsidR="007159D8" w:rsidRPr="00BB367E" w:rsidRDefault="007159D8" w:rsidP="00772501">
            <w:pPr>
              <w:pStyle w:val="TableText"/>
            </w:pPr>
            <w:r w:rsidRPr="00BB367E">
              <w:t>Infusion related reaction</w:t>
            </w:r>
          </w:p>
        </w:tc>
        <w:tc>
          <w:tcPr>
            <w:tcW w:w="631" w:type="pct"/>
            <w:shd w:val="clear" w:color="auto" w:fill="auto"/>
            <w:vAlign w:val="center"/>
          </w:tcPr>
          <w:p w:rsidR="007159D8" w:rsidRPr="00BB367E" w:rsidRDefault="007159D8" w:rsidP="001D476C">
            <w:pPr>
              <w:pStyle w:val="TableText"/>
              <w:jc w:val="center"/>
            </w:pPr>
            <w:r w:rsidRPr="00BB367E">
              <w:t>194/486 (39.9)</w:t>
            </w:r>
          </w:p>
        </w:tc>
        <w:tc>
          <w:tcPr>
            <w:tcW w:w="628" w:type="pct"/>
            <w:shd w:val="clear" w:color="auto" w:fill="auto"/>
            <w:vAlign w:val="center"/>
          </w:tcPr>
          <w:p w:rsidR="007159D8" w:rsidRPr="00BB367E" w:rsidRDefault="007159D8" w:rsidP="002B7A88">
            <w:pPr>
              <w:pStyle w:val="TableText"/>
              <w:jc w:val="center"/>
            </w:pPr>
            <w:r w:rsidRPr="00BB367E">
              <w:t>61/239 (25.5)</w:t>
            </w:r>
          </w:p>
        </w:tc>
        <w:tc>
          <w:tcPr>
            <w:tcW w:w="818" w:type="pct"/>
            <w:shd w:val="clear" w:color="auto" w:fill="auto"/>
            <w:vAlign w:val="center"/>
          </w:tcPr>
          <w:p w:rsidR="007159D8" w:rsidRPr="00BB367E" w:rsidRDefault="007159D8" w:rsidP="001D476C">
            <w:pPr>
              <w:pStyle w:val="TableText"/>
              <w:jc w:val="center"/>
              <w:rPr>
                <w:b/>
              </w:rPr>
            </w:pPr>
            <w:r w:rsidRPr="00BB367E">
              <w:rPr>
                <w:b/>
              </w:rPr>
              <w:t>1.56 (1.23, 1.99)</w:t>
            </w:r>
          </w:p>
        </w:tc>
        <w:tc>
          <w:tcPr>
            <w:tcW w:w="598" w:type="pct"/>
            <w:shd w:val="clear" w:color="auto" w:fill="auto"/>
            <w:vAlign w:val="center"/>
          </w:tcPr>
          <w:p w:rsidR="007159D8" w:rsidRPr="00BB367E" w:rsidRDefault="007159D8" w:rsidP="001D476C">
            <w:pPr>
              <w:pStyle w:val="TableText"/>
              <w:jc w:val="center"/>
            </w:pPr>
            <w:r w:rsidRPr="00BB367E">
              <w:t>40</w:t>
            </w:r>
          </w:p>
        </w:tc>
        <w:tc>
          <w:tcPr>
            <w:tcW w:w="537" w:type="pct"/>
            <w:gridSpan w:val="2"/>
            <w:shd w:val="clear" w:color="auto" w:fill="auto"/>
            <w:vAlign w:val="center"/>
          </w:tcPr>
          <w:p w:rsidR="007159D8" w:rsidRPr="00BB367E" w:rsidRDefault="007159D8" w:rsidP="001D476C">
            <w:pPr>
              <w:pStyle w:val="TableText"/>
              <w:jc w:val="center"/>
            </w:pPr>
            <w:r w:rsidRPr="00BB367E">
              <w:t>26</w:t>
            </w:r>
          </w:p>
        </w:tc>
        <w:tc>
          <w:tcPr>
            <w:tcW w:w="782" w:type="pct"/>
            <w:gridSpan w:val="2"/>
            <w:shd w:val="clear" w:color="auto" w:fill="auto"/>
            <w:vAlign w:val="center"/>
          </w:tcPr>
          <w:p w:rsidR="007159D8" w:rsidRPr="00BB367E" w:rsidRDefault="007159D8" w:rsidP="001D476C">
            <w:pPr>
              <w:pStyle w:val="TableText"/>
              <w:jc w:val="center"/>
              <w:rPr>
                <w:b/>
              </w:rPr>
            </w:pPr>
            <w:r w:rsidRPr="00BB367E">
              <w:rPr>
                <w:rFonts w:eastAsia="Times New Roman" w:cs="Times New Roman"/>
                <w:b/>
                <w:color w:val="000000"/>
                <w:szCs w:val="20"/>
              </w:rPr>
              <w:t>0.14 (0.07, 0.21)</w:t>
            </w:r>
          </w:p>
        </w:tc>
      </w:tr>
      <w:tr w:rsidR="007159D8" w:rsidRPr="00BB367E" w:rsidTr="001D476C">
        <w:tc>
          <w:tcPr>
            <w:tcW w:w="1005" w:type="pct"/>
            <w:shd w:val="clear" w:color="auto" w:fill="auto"/>
            <w:vAlign w:val="center"/>
          </w:tcPr>
          <w:p w:rsidR="007159D8" w:rsidRPr="00BB367E" w:rsidRDefault="007159D8" w:rsidP="00772501">
            <w:pPr>
              <w:pStyle w:val="TableText"/>
            </w:pPr>
            <w:r w:rsidRPr="00BB367E">
              <w:t>Upper respiratory tract infection</w:t>
            </w:r>
          </w:p>
        </w:tc>
        <w:tc>
          <w:tcPr>
            <w:tcW w:w="631" w:type="pct"/>
            <w:shd w:val="clear" w:color="auto" w:fill="auto"/>
            <w:vAlign w:val="center"/>
          </w:tcPr>
          <w:p w:rsidR="007159D8" w:rsidRPr="00BB367E" w:rsidRDefault="007159D8" w:rsidP="001D476C">
            <w:pPr>
              <w:pStyle w:val="TableText"/>
              <w:jc w:val="center"/>
            </w:pPr>
            <w:r w:rsidRPr="00BB367E">
              <w:t>53/486 (10.9)</w:t>
            </w:r>
          </w:p>
        </w:tc>
        <w:tc>
          <w:tcPr>
            <w:tcW w:w="628" w:type="pct"/>
            <w:shd w:val="clear" w:color="auto" w:fill="auto"/>
            <w:vAlign w:val="center"/>
          </w:tcPr>
          <w:p w:rsidR="007159D8" w:rsidRPr="00BB367E" w:rsidRDefault="007159D8" w:rsidP="001D476C">
            <w:pPr>
              <w:pStyle w:val="TableText"/>
              <w:jc w:val="center"/>
            </w:pPr>
            <w:r w:rsidRPr="00BB367E">
              <w:t>14/239 (5.9)</w:t>
            </w:r>
          </w:p>
        </w:tc>
        <w:tc>
          <w:tcPr>
            <w:tcW w:w="818" w:type="pct"/>
            <w:shd w:val="clear" w:color="auto" w:fill="auto"/>
            <w:vAlign w:val="center"/>
          </w:tcPr>
          <w:p w:rsidR="007159D8" w:rsidRPr="00BB367E" w:rsidRDefault="007159D8" w:rsidP="001D476C">
            <w:pPr>
              <w:pStyle w:val="TableText"/>
              <w:jc w:val="center"/>
              <w:rPr>
                <w:b/>
              </w:rPr>
            </w:pPr>
            <w:r w:rsidRPr="00BB367E">
              <w:rPr>
                <w:b/>
              </w:rPr>
              <w:t>1.86 (1.05, 3.29)</w:t>
            </w:r>
          </w:p>
        </w:tc>
        <w:tc>
          <w:tcPr>
            <w:tcW w:w="598" w:type="pct"/>
            <w:shd w:val="clear" w:color="auto" w:fill="auto"/>
            <w:vAlign w:val="center"/>
          </w:tcPr>
          <w:p w:rsidR="007159D8" w:rsidRPr="00BB367E" w:rsidRDefault="007159D8" w:rsidP="001D476C">
            <w:pPr>
              <w:pStyle w:val="TableText"/>
              <w:jc w:val="center"/>
            </w:pPr>
            <w:r w:rsidRPr="00BB367E">
              <w:t>11</w:t>
            </w:r>
          </w:p>
        </w:tc>
        <w:tc>
          <w:tcPr>
            <w:tcW w:w="537" w:type="pct"/>
            <w:gridSpan w:val="2"/>
            <w:shd w:val="clear" w:color="auto" w:fill="auto"/>
            <w:vAlign w:val="center"/>
          </w:tcPr>
          <w:p w:rsidR="007159D8" w:rsidRPr="00BB367E" w:rsidRDefault="007159D8" w:rsidP="001D476C">
            <w:pPr>
              <w:pStyle w:val="TableText"/>
              <w:jc w:val="center"/>
            </w:pPr>
            <w:r w:rsidRPr="00BB367E">
              <w:t>6</w:t>
            </w:r>
          </w:p>
        </w:tc>
        <w:tc>
          <w:tcPr>
            <w:tcW w:w="782" w:type="pct"/>
            <w:gridSpan w:val="2"/>
            <w:shd w:val="clear" w:color="auto" w:fill="auto"/>
            <w:vAlign w:val="center"/>
          </w:tcPr>
          <w:p w:rsidR="007159D8" w:rsidRPr="00BB367E" w:rsidRDefault="007159D8" w:rsidP="001D476C">
            <w:pPr>
              <w:pStyle w:val="TableText"/>
              <w:jc w:val="center"/>
              <w:rPr>
                <w:b/>
              </w:rPr>
            </w:pPr>
            <w:r w:rsidRPr="00BB367E">
              <w:rPr>
                <w:rFonts w:eastAsia="Times New Roman" w:cs="Times New Roman"/>
                <w:b/>
                <w:color w:val="000000"/>
                <w:szCs w:val="20"/>
              </w:rPr>
              <w:t>0.05 (0.01, 0.09)</w:t>
            </w:r>
          </w:p>
        </w:tc>
      </w:tr>
      <w:tr w:rsidR="007159D8" w:rsidRPr="00BB367E" w:rsidTr="001D476C">
        <w:trPr>
          <w:trHeight w:val="143"/>
        </w:trPr>
        <w:tc>
          <w:tcPr>
            <w:tcW w:w="1005" w:type="pct"/>
            <w:shd w:val="clear" w:color="auto" w:fill="auto"/>
            <w:vAlign w:val="center"/>
          </w:tcPr>
          <w:p w:rsidR="007159D8" w:rsidRPr="00BB367E" w:rsidRDefault="007159D8" w:rsidP="00772501">
            <w:pPr>
              <w:pStyle w:val="TableText"/>
            </w:pPr>
            <w:r w:rsidRPr="00BB367E">
              <w:t>Nasopharyngitis</w:t>
            </w:r>
          </w:p>
        </w:tc>
        <w:tc>
          <w:tcPr>
            <w:tcW w:w="631" w:type="pct"/>
            <w:shd w:val="clear" w:color="auto" w:fill="auto"/>
            <w:vAlign w:val="center"/>
          </w:tcPr>
          <w:p w:rsidR="007159D8" w:rsidRPr="00BB367E" w:rsidRDefault="007159D8" w:rsidP="001D476C">
            <w:pPr>
              <w:pStyle w:val="TableText"/>
              <w:jc w:val="center"/>
            </w:pPr>
            <w:r w:rsidRPr="00BB367E">
              <w:t>110/486 (22.6)</w:t>
            </w:r>
          </w:p>
        </w:tc>
        <w:tc>
          <w:tcPr>
            <w:tcW w:w="628" w:type="pct"/>
            <w:shd w:val="clear" w:color="auto" w:fill="auto"/>
            <w:vAlign w:val="center"/>
          </w:tcPr>
          <w:p w:rsidR="007159D8" w:rsidRPr="00BB367E" w:rsidRDefault="007159D8" w:rsidP="001D476C">
            <w:pPr>
              <w:pStyle w:val="TableText"/>
              <w:jc w:val="center"/>
            </w:pPr>
            <w:r w:rsidRPr="00BB367E">
              <w:t>65/239 (27.2)</w:t>
            </w:r>
          </w:p>
        </w:tc>
        <w:tc>
          <w:tcPr>
            <w:tcW w:w="818" w:type="pct"/>
            <w:shd w:val="clear" w:color="auto" w:fill="auto"/>
            <w:vAlign w:val="center"/>
          </w:tcPr>
          <w:p w:rsidR="007159D8" w:rsidRPr="00BB367E" w:rsidRDefault="007159D8" w:rsidP="001D476C">
            <w:pPr>
              <w:pStyle w:val="TableText"/>
              <w:jc w:val="center"/>
            </w:pPr>
            <w:r w:rsidRPr="00BB367E">
              <w:t>0.83 (0.64, 1.08)</w:t>
            </w:r>
          </w:p>
        </w:tc>
        <w:tc>
          <w:tcPr>
            <w:tcW w:w="598" w:type="pct"/>
            <w:shd w:val="clear" w:color="auto" w:fill="auto"/>
            <w:vAlign w:val="center"/>
          </w:tcPr>
          <w:p w:rsidR="007159D8" w:rsidRPr="00BB367E" w:rsidRDefault="007159D8" w:rsidP="001D476C">
            <w:pPr>
              <w:pStyle w:val="TableText"/>
              <w:jc w:val="center"/>
              <w:rPr>
                <w:rFonts w:eastAsia="Times New Roman" w:cs="Times New Roman"/>
                <w:color w:val="000000"/>
                <w:szCs w:val="20"/>
              </w:rPr>
            </w:pPr>
            <w:r w:rsidRPr="00BB367E">
              <w:rPr>
                <w:rFonts w:eastAsia="Times New Roman" w:cs="Times New Roman"/>
                <w:color w:val="000000"/>
                <w:szCs w:val="20"/>
              </w:rPr>
              <w:t>23</w:t>
            </w:r>
          </w:p>
        </w:tc>
        <w:tc>
          <w:tcPr>
            <w:tcW w:w="537" w:type="pct"/>
            <w:gridSpan w:val="2"/>
            <w:shd w:val="clear" w:color="auto" w:fill="auto"/>
            <w:vAlign w:val="center"/>
          </w:tcPr>
          <w:p w:rsidR="007159D8" w:rsidRPr="00BB367E" w:rsidRDefault="007159D8" w:rsidP="001D476C">
            <w:pPr>
              <w:pStyle w:val="TableText"/>
              <w:jc w:val="center"/>
            </w:pPr>
            <w:r w:rsidRPr="00BB367E">
              <w:t>27</w:t>
            </w:r>
          </w:p>
        </w:tc>
        <w:tc>
          <w:tcPr>
            <w:tcW w:w="782" w:type="pct"/>
            <w:gridSpan w:val="2"/>
            <w:shd w:val="clear" w:color="auto" w:fill="auto"/>
            <w:vAlign w:val="center"/>
          </w:tcPr>
          <w:p w:rsidR="007159D8" w:rsidRPr="00BB367E" w:rsidRDefault="007159D8" w:rsidP="001D476C">
            <w:pPr>
              <w:pStyle w:val="TableText"/>
              <w:jc w:val="center"/>
            </w:pPr>
            <w:r w:rsidRPr="00BB367E">
              <w:rPr>
                <w:rFonts w:eastAsia="Times New Roman" w:cs="Times New Roman"/>
                <w:color w:val="000000"/>
                <w:szCs w:val="20"/>
              </w:rPr>
              <w:t>-0.05 (-0.12, 0.02)</w:t>
            </w:r>
          </w:p>
        </w:tc>
      </w:tr>
    </w:tbl>
    <w:p w:rsidR="00034404" w:rsidRPr="00BB367E" w:rsidRDefault="00D141A9" w:rsidP="00FF615A">
      <w:pPr>
        <w:pStyle w:val="TableFooter"/>
        <w:numPr>
          <w:ilvl w:val="0"/>
          <w:numId w:val="12"/>
        </w:numPr>
        <w:ind w:left="284" w:hanging="284"/>
      </w:pPr>
      <w:r w:rsidRPr="00BB367E">
        <w:t>Calculations</w:t>
      </w:r>
      <w:r w:rsidR="00F9783B" w:rsidRPr="00BB367E">
        <w:t xml:space="preserve"> of RR, RD and NNT by the TGA varied because they were based on rates of events at 120 weeks rather than proportions of patients with events. </w:t>
      </w:r>
      <w:r w:rsidRPr="00BB367E">
        <w:t>As</w:t>
      </w:r>
      <w:r w:rsidR="00F9783B" w:rsidRPr="00BB367E">
        <w:t xml:space="preserve"> calculated during the evaluation.</w:t>
      </w:r>
    </w:p>
    <w:p w:rsidR="00F9783B" w:rsidRPr="00BB367E" w:rsidRDefault="00F9783B" w:rsidP="001D476C">
      <w:pPr>
        <w:pStyle w:val="TableFooter"/>
        <w:ind w:left="284" w:hanging="284"/>
        <w:rPr>
          <w:rFonts w:eastAsia="Calibri"/>
        </w:rPr>
      </w:pPr>
      <w:r w:rsidRPr="00BB367E">
        <w:rPr>
          <w:rFonts w:eastAsia="Calibri"/>
        </w:rPr>
        <w:t>**</w:t>
      </w:r>
      <w:r w:rsidR="001D476C" w:rsidRPr="00BB367E">
        <w:rPr>
          <w:rFonts w:eastAsia="Calibri"/>
        </w:rPr>
        <w:tab/>
      </w:r>
      <w:r w:rsidR="00D141A9" w:rsidRPr="00BB367E">
        <w:rPr>
          <w:rFonts w:eastAsia="Calibri"/>
        </w:rPr>
        <w:t>Back</w:t>
      </w:r>
      <w:r w:rsidRPr="00BB367E">
        <w:rPr>
          <w:rFonts w:eastAsia="Calibri"/>
        </w:rPr>
        <w:t xml:space="preserve"> calculated from percentages during the evaluation.</w:t>
      </w:r>
    </w:p>
    <w:p w:rsidR="00F9783B" w:rsidRPr="00BB367E" w:rsidRDefault="001D476C" w:rsidP="001D476C">
      <w:pPr>
        <w:pStyle w:val="TableFooter"/>
        <w:ind w:left="284" w:hanging="284"/>
        <w:rPr>
          <w:rFonts w:eastAsia="Calibri"/>
        </w:rPr>
      </w:pPr>
      <w:r w:rsidRPr="004A5CD5">
        <w:rPr>
          <w:rFonts w:eastAsia="Calibri"/>
        </w:rPr>
        <w:t>***</w:t>
      </w:r>
      <w:r w:rsidRPr="004A5CD5">
        <w:rPr>
          <w:rFonts w:eastAsia="Calibri"/>
        </w:rPr>
        <w:tab/>
      </w:r>
      <w:r w:rsidR="00D141A9" w:rsidRPr="004A5CD5">
        <w:rPr>
          <w:rFonts w:eastAsia="Calibri"/>
        </w:rPr>
        <w:t>The</w:t>
      </w:r>
      <w:r w:rsidR="00F9783B" w:rsidRPr="004A5CD5">
        <w:rPr>
          <w:rFonts w:eastAsia="Calibri"/>
        </w:rPr>
        <w:t xml:space="preserve"> sponsor’s response to EMA Questions ‘ORATORIO EMA120 2017.pdf’</w:t>
      </w:r>
      <w:r w:rsidRPr="004A5CD5">
        <w:rPr>
          <w:rFonts w:eastAsia="Calibri"/>
        </w:rPr>
        <w:t xml:space="preserve"> </w:t>
      </w:r>
      <w:r w:rsidR="00F9783B" w:rsidRPr="004A5CD5">
        <w:rPr>
          <w:rFonts w:eastAsia="Calibri"/>
        </w:rPr>
        <w:t>(Table 7) indicated different proportions for the extended 12 week CDP results: 40.99% for Placebo and 34.18</w:t>
      </w:r>
      <w:r w:rsidR="002B7A88">
        <w:rPr>
          <w:rFonts w:eastAsia="Calibri"/>
        </w:rPr>
        <w:t>%</w:t>
      </w:r>
      <w:r w:rsidR="00F9783B" w:rsidRPr="004A5CD5">
        <w:rPr>
          <w:rFonts w:eastAsia="Calibri"/>
        </w:rPr>
        <w:t xml:space="preserve"> for ocrelizumab. No explanation of this</w:t>
      </w:r>
      <w:r w:rsidR="00F9783B" w:rsidRPr="00BB367E">
        <w:rPr>
          <w:rFonts w:eastAsia="Calibri"/>
        </w:rPr>
        <w:t xml:space="preserve"> discrepancy was provided. </w:t>
      </w:r>
    </w:p>
    <w:p w:rsidR="00034404" w:rsidRPr="00BB367E" w:rsidRDefault="00034404" w:rsidP="00772501">
      <w:pPr>
        <w:pStyle w:val="TableFooter"/>
      </w:pPr>
      <w:r w:rsidRPr="00BB367E">
        <w:t>Abbreviations:</w:t>
      </w:r>
      <w:r w:rsidR="00F9783B" w:rsidRPr="00BB367E">
        <w:t xml:space="preserve"> AE = adverse event; CDP = confirmed disability progression; CI = confidence interval; NNT = number needed to treat;</w:t>
      </w:r>
      <w:r w:rsidRPr="00BB367E">
        <w:t xml:space="preserve"> RD = risk difference; RR = risk ratio</w:t>
      </w:r>
    </w:p>
    <w:p w:rsidR="00034404" w:rsidRPr="00BB367E" w:rsidRDefault="00034404" w:rsidP="00772501">
      <w:pPr>
        <w:pStyle w:val="TableFooter"/>
      </w:pPr>
      <w:r w:rsidRPr="00BB367E">
        <w:t>Source: Compil</w:t>
      </w:r>
      <w:r w:rsidR="00357657" w:rsidRPr="00BB367E">
        <w:t>ed during the evaluation/</w:t>
      </w:r>
    </w:p>
    <w:p w:rsidR="00427E55" w:rsidRPr="00BB367E" w:rsidRDefault="00427E55" w:rsidP="00FF615A">
      <w:pPr>
        <w:pStyle w:val="ListParagraph"/>
        <w:numPr>
          <w:ilvl w:val="1"/>
          <w:numId w:val="1"/>
        </w:numPr>
        <w:ind w:left="720" w:hanging="720"/>
        <w:jc w:val="both"/>
      </w:pPr>
      <w:r w:rsidRPr="00BB367E">
        <w:t xml:space="preserve">On the basis of </w:t>
      </w:r>
      <w:r w:rsidR="007159D8" w:rsidRPr="00BB367E">
        <w:t xml:space="preserve">the ORATORIO </w:t>
      </w:r>
      <w:r w:rsidR="006D4CD2" w:rsidRPr="00BB367E">
        <w:t>trial</w:t>
      </w:r>
      <w:r w:rsidRPr="00BB367E">
        <w:t xml:space="preserve"> presented by the submission</w:t>
      </w:r>
      <w:r w:rsidR="00DD265C" w:rsidRPr="00BB367E">
        <w:t>:</w:t>
      </w:r>
    </w:p>
    <w:p w:rsidR="0063060E" w:rsidRPr="00BB367E" w:rsidRDefault="0063060E" w:rsidP="00FF615A">
      <w:pPr>
        <w:pStyle w:val="ListParagraph"/>
        <w:numPr>
          <w:ilvl w:val="0"/>
          <w:numId w:val="10"/>
        </w:numPr>
        <w:ind w:left="990" w:hanging="281"/>
        <w:jc w:val="both"/>
      </w:pPr>
      <w:r w:rsidRPr="00BB367E">
        <w:t>For every 100 patients treated with ocrelizumab approximately five fewer patients would progress over a duration of 120 weeks.</w:t>
      </w:r>
    </w:p>
    <w:p w:rsidR="00DD265C" w:rsidRPr="00BB367E" w:rsidRDefault="00DD265C" w:rsidP="00FF615A">
      <w:pPr>
        <w:pStyle w:val="ListParagraph"/>
        <w:numPr>
          <w:ilvl w:val="0"/>
          <w:numId w:val="3"/>
        </w:numPr>
        <w:spacing w:before="0" w:after="0"/>
        <w:ind w:left="993" w:hanging="281"/>
        <w:jc w:val="both"/>
      </w:pPr>
      <w:r w:rsidRPr="00BB367E">
        <w:t xml:space="preserve">For every 100 patients treated </w:t>
      </w:r>
      <w:r w:rsidR="00D0199C" w:rsidRPr="00BB367E">
        <w:t xml:space="preserve">with ocrelizumab, </w:t>
      </w:r>
      <w:r w:rsidRPr="00BB367E">
        <w:t xml:space="preserve">approximately 40 patients would have an infusion related reaction compared to </w:t>
      </w:r>
      <w:r w:rsidR="00D0199C" w:rsidRPr="00BB367E">
        <w:t>best supportive care (as there would be no placebo sham injections in practice); and</w:t>
      </w:r>
    </w:p>
    <w:p w:rsidR="00DD265C" w:rsidRPr="00BB367E" w:rsidRDefault="00DD265C" w:rsidP="00FF615A">
      <w:pPr>
        <w:pStyle w:val="ListParagraph"/>
        <w:numPr>
          <w:ilvl w:val="0"/>
          <w:numId w:val="3"/>
        </w:numPr>
        <w:spacing w:before="0" w:after="0"/>
        <w:ind w:left="993" w:hanging="281"/>
        <w:jc w:val="both"/>
      </w:pPr>
      <w:r w:rsidRPr="00BB367E">
        <w:t xml:space="preserve">For every 100 </w:t>
      </w:r>
      <w:r w:rsidR="00D141A9" w:rsidRPr="00BB367E">
        <w:t>patients</w:t>
      </w:r>
      <w:r w:rsidRPr="00BB367E">
        <w:t xml:space="preserve"> treated </w:t>
      </w:r>
      <w:r w:rsidR="00D0199C" w:rsidRPr="00BB367E">
        <w:t xml:space="preserve">with ocrelizumab, </w:t>
      </w:r>
      <w:r w:rsidRPr="00BB367E">
        <w:t xml:space="preserve">approximately five </w:t>
      </w:r>
      <w:r w:rsidR="00D0199C" w:rsidRPr="00BB367E">
        <w:t>additional</w:t>
      </w:r>
      <w:r w:rsidRPr="00BB367E">
        <w:t xml:space="preserve"> patients would suffer a respiratory tract infection compared to </w:t>
      </w:r>
      <w:r w:rsidR="00D0199C" w:rsidRPr="00BB367E">
        <w:t>placebo.</w:t>
      </w:r>
    </w:p>
    <w:p w:rsidR="00C317F3" w:rsidRPr="00BB367E" w:rsidRDefault="008058E8" w:rsidP="00772501">
      <w:pPr>
        <w:pStyle w:val="Heading2"/>
        <w:rPr>
          <w:i w:val="0"/>
        </w:rPr>
      </w:pPr>
      <w:bookmarkStart w:id="20" w:name="_Toc492991358"/>
      <w:bookmarkEnd w:id="19"/>
      <w:r w:rsidRPr="00BB367E">
        <w:rPr>
          <w:i w:val="0"/>
        </w:rPr>
        <w:t>Interpretation of clinical evidence</w:t>
      </w:r>
      <w:bookmarkEnd w:id="20"/>
    </w:p>
    <w:p w:rsidR="00DD265C" w:rsidRPr="00D54E8B" w:rsidRDefault="00DD265C" w:rsidP="00FF615A">
      <w:pPr>
        <w:pStyle w:val="ListParagraph"/>
        <w:numPr>
          <w:ilvl w:val="1"/>
          <w:numId w:val="1"/>
        </w:numPr>
        <w:ind w:left="720" w:hanging="720"/>
        <w:jc w:val="both"/>
      </w:pPr>
      <w:r w:rsidRPr="00D54E8B">
        <w:t xml:space="preserve">The submission stated that ocrelizumab is superior in terms of effectiveness compared with BSC and is inferior in terms of safety compared with BSC, but </w:t>
      </w:r>
      <w:r w:rsidR="00D0199C" w:rsidRPr="00D54E8B">
        <w:t>has</w:t>
      </w:r>
      <w:r w:rsidRPr="00D54E8B">
        <w:t xml:space="preserve"> an acceptable safety profile that is comparable with placebo. </w:t>
      </w:r>
    </w:p>
    <w:p w:rsidR="00D0199C" w:rsidRPr="00D54E8B" w:rsidRDefault="004A5CD5" w:rsidP="00FF615A">
      <w:pPr>
        <w:pStyle w:val="ListParagraph"/>
        <w:numPr>
          <w:ilvl w:val="1"/>
          <w:numId w:val="1"/>
        </w:numPr>
        <w:ind w:left="720" w:hanging="720"/>
        <w:jc w:val="both"/>
      </w:pPr>
      <w:r w:rsidRPr="00D54E8B">
        <w:t>The evaluation considered that there were concerns</w:t>
      </w:r>
      <w:r w:rsidR="00D0199C" w:rsidRPr="00D54E8B">
        <w:t xml:space="preserve"> regarding the repr</w:t>
      </w:r>
      <w:r w:rsidRPr="00D54E8B">
        <w:t>oducibility of the modest treatment</w:t>
      </w:r>
      <w:r w:rsidR="00D0199C" w:rsidRPr="00D54E8B">
        <w:t xml:space="preserve"> effect</w:t>
      </w:r>
      <w:r w:rsidRPr="00D54E8B">
        <w:t xml:space="preserve"> of ocrelizumab,</w:t>
      </w:r>
      <w:r w:rsidR="00D0199C" w:rsidRPr="00D54E8B">
        <w:t xml:space="preserve"> given the existence of only one trial. </w:t>
      </w:r>
      <w:r w:rsidRPr="00D54E8B">
        <w:t>The evaluation noted that</w:t>
      </w:r>
      <w:r w:rsidR="002C1A77" w:rsidRPr="00D54E8B">
        <w:t xml:space="preserve"> further </w:t>
      </w:r>
      <w:r w:rsidRPr="00D54E8B">
        <w:t xml:space="preserve">analyses, although </w:t>
      </w:r>
      <w:r w:rsidR="002C1A77" w:rsidRPr="00D54E8B">
        <w:t>post-hoc, did not demonstrate</w:t>
      </w:r>
      <w:r w:rsidR="00D0199C" w:rsidRPr="00D54E8B">
        <w:t xml:space="preserve"> superiority in older subgroups of patients and subgroups of patients with absence of Gd lesions. </w:t>
      </w:r>
      <w:r w:rsidRPr="00D54E8B">
        <w:t>Therefore, the evaluation considered that g</w:t>
      </w:r>
      <w:r w:rsidR="00D0199C" w:rsidRPr="00D54E8B">
        <w:t xml:space="preserve">iven the median age in the MSBase database was over 58 years old, </w:t>
      </w:r>
      <w:r w:rsidR="001229DA" w:rsidRPr="00D54E8B">
        <w:t>a substantial portion of</w:t>
      </w:r>
      <w:r w:rsidR="00D0199C" w:rsidRPr="00D54E8B">
        <w:t xml:space="preserve"> Australian PPMS patients </w:t>
      </w:r>
      <w:r w:rsidR="0087408E" w:rsidRPr="00D54E8B">
        <w:t>may</w:t>
      </w:r>
      <w:r w:rsidR="00D0199C" w:rsidRPr="00D54E8B">
        <w:t xml:space="preserve"> not benefit significantly from ocrelizumab treatment.</w:t>
      </w:r>
      <w:r w:rsidR="00E815FE" w:rsidRPr="00D54E8B">
        <w:t xml:space="preserve"> </w:t>
      </w:r>
    </w:p>
    <w:p w:rsidR="00E815FE" w:rsidRPr="00D54E8B" w:rsidRDefault="00E815FE" w:rsidP="00FF615A">
      <w:pPr>
        <w:pStyle w:val="ListParagraph"/>
        <w:numPr>
          <w:ilvl w:val="1"/>
          <w:numId w:val="1"/>
        </w:numPr>
        <w:ind w:left="720" w:hanging="720"/>
        <w:jc w:val="both"/>
      </w:pPr>
      <w:r w:rsidRPr="00D54E8B">
        <w:t xml:space="preserve">The PSCR (p2) argued that since no study has previously demonstrated a delay in disability progression, there is no established standard, on a cohort level, for what is a clinically relevant reduction of risk of disability progression. The PSCR claimed that &gt;95% of multiple sclerosis neurologists practising in the European Union (n=60) considered the disability progression outcomes of ORATORIO to be clinically relevant (based on anonymised feedback sought by the sponsor). The PSCR argued that in addition to the endpoints highlighted in the commentary, ocrelizumab also showed clinically and statistically significant improvements in the patient relevant exploratory outcomes of upper limb function and decrease in fatigue. </w:t>
      </w:r>
    </w:p>
    <w:p w:rsidR="00E815FE" w:rsidRPr="00D54E8B" w:rsidRDefault="00E815FE" w:rsidP="00FF615A">
      <w:pPr>
        <w:pStyle w:val="ListParagraph"/>
        <w:numPr>
          <w:ilvl w:val="1"/>
          <w:numId w:val="1"/>
        </w:numPr>
        <w:ind w:left="720" w:hanging="720"/>
        <w:jc w:val="both"/>
      </w:pPr>
      <w:r w:rsidRPr="00D54E8B">
        <w:t xml:space="preserve">The ESC agreed with the evaluation that the treatment effect for ocrelizumab appeared modest. </w:t>
      </w:r>
      <w:r w:rsidR="00D93490" w:rsidRPr="00D54E8B">
        <w:t>The ESC was of the view that if baseline differences between the anticipated PBS population and the trial population were accounted for</w:t>
      </w:r>
      <w:r w:rsidR="00644097" w:rsidRPr="00D54E8B">
        <w:t xml:space="preserve"> (refer to paragraph</w:t>
      </w:r>
      <w:r w:rsidR="00487234">
        <w:t>s</w:t>
      </w:r>
      <w:r w:rsidR="00644097" w:rsidRPr="00D54E8B">
        <w:t xml:space="preserve"> 6.</w:t>
      </w:r>
      <w:r w:rsidR="00C1390A">
        <w:t>7</w:t>
      </w:r>
      <w:r w:rsidR="006D52EB" w:rsidRPr="00D54E8B">
        <w:t xml:space="preserve"> -6.</w:t>
      </w:r>
      <w:r w:rsidR="00C1390A">
        <w:t>8</w:t>
      </w:r>
      <w:r w:rsidR="00644097" w:rsidRPr="00D54E8B">
        <w:t>)</w:t>
      </w:r>
      <w:r w:rsidR="00D93490" w:rsidRPr="00D54E8B">
        <w:t xml:space="preserve">, the effect size of ocrelizumab may be further reduced. </w:t>
      </w:r>
      <w:r w:rsidR="00EB15D2" w:rsidRPr="00D54E8B">
        <w:t xml:space="preserve">The ESC was concerned that there may be a higher incidence of adverse events in a potentially older PBS population with more severe disease. </w:t>
      </w:r>
      <w:r w:rsidR="001303C5" w:rsidRPr="00D54E8B">
        <w:t>The ESC noted however, that the CDP result was sustained at the 12 and 24 week time points.</w:t>
      </w:r>
    </w:p>
    <w:p w:rsidR="00555F84" w:rsidRPr="00583050" w:rsidRDefault="00555F84" w:rsidP="00555F84">
      <w:pPr>
        <w:pStyle w:val="ListParagraph"/>
        <w:numPr>
          <w:ilvl w:val="1"/>
          <w:numId w:val="1"/>
        </w:numPr>
        <w:spacing w:before="0" w:after="120"/>
        <w:jc w:val="both"/>
        <w:rPr>
          <w:rFonts w:cs="Arial"/>
          <w:snapToGrid w:val="0"/>
          <w:szCs w:val="20"/>
        </w:rPr>
      </w:pPr>
      <w:r w:rsidRPr="00583050">
        <w:rPr>
          <w:rFonts w:cs="Arial"/>
          <w:snapToGrid w:val="0"/>
          <w:szCs w:val="20"/>
        </w:rPr>
        <w:t>The PBAC considered that the claim of superior comparative effec</w:t>
      </w:r>
      <w:r w:rsidR="00487234">
        <w:rPr>
          <w:rFonts w:cs="Arial"/>
          <w:snapToGrid w:val="0"/>
          <w:szCs w:val="20"/>
        </w:rPr>
        <w:t xml:space="preserve">tiveness was </w:t>
      </w:r>
      <w:r w:rsidRPr="00583050">
        <w:rPr>
          <w:rFonts w:cs="Arial"/>
          <w:snapToGrid w:val="0"/>
          <w:szCs w:val="20"/>
        </w:rPr>
        <w:t>reasonable</w:t>
      </w:r>
      <w:r>
        <w:rPr>
          <w:rFonts w:cs="Arial"/>
          <w:snapToGrid w:val="0"/>
          <w:szCs w:val="20"/>
        </w:rPr>
        <w:t>, however, the Committee considered the clinical benefit of ocrelizumab was modest.</w:t>
      </w:r>
    </w:p>
    <w:p w:rsidR="00555F84" w:rsidRPr="00BB367E" w:rsidRDefault="00555F84" w:rsidP="00555F84">
      <w:pPr>
        <w:pStyle w:val="ListParagraph"/>
        <w:numPr>
          <w:ilvl w:val="1"/>
          <w:numId w:val="1"/>
        </w:numPr>
        <w:spacing w:before="0" w:after="120"/>
        <w:jc w:val="both"/>
      </w:pPr>
      <w:r w:rsidRPr="00583050">
        <w:rPr>
          <w:rFonts w:cs="Arial"/>
          <w:snapToGrid w:val="0"/>
          <w:szCs w:val="20"/>
        </w:rPr>
        <w:t>The PBAC considered that the claim of inferior comparative safety was reasonable. However, the PBAC considered that the claim that ocrelizumab has an acceptable safety profile that is comparable with placebo was not adequately supported. The PBAC noted ocrelizumab was associated with a greater rate of infusion related reactions and upper respiratory tract infections than placebo in the ORATORIO trial. Additionally, the older Australian population would be expected to have a higher risk of infections.</w:t>
      </w:r>
    </w:p>
    <w:p w:rsidR="00C317F3" w:rsidRPr="00BB367E" w:rsidRDefault="00C317F3" w:rsidP="00772501">
      <w:pPr>
        <w:pStyle w:val="Heading2"/>
        <w:rPr>
          <w:i w:val="0"/>
        </w:rPr>
      </w:pPr>
      <w:bookmarkStart w:id="21" w:name="_Toc413139282"/>
      <w:bookmarkStart w:id="22" w:name="_Toc492991359"/>
      <w:r w:rsidRPr="00BB367E">
        <w:rPr>
          <w:i w:val="0"/>
        </w:rPr>
        <w:t>Economic analysis</w:t>
      </w:r>
      <w:bookmarkEnd w:id="21"/>
      <w:bookmarkEnd w:id="22"/>
    </w:p>
    <w:p w:rsidR="00C317F3" w:rsidRPr="00BB367E" w:rsidRDefault="001229DA" w:rsidP="00FF615A">
      <w:pPr>
        <w:pStyle w:val="ListParagraph"/>
        <w:numPr>
          <w:ilvl w:val="1"/>
          <w:numId w:val="1"/>
        </w:numPr>
        <w:ind w:left="720" w:hanging="720"/>
        <w:jc w:val="both"/>
      </w:pPr>
      <w:r w:rsidRPr="00BB367E">
        <w:t>Table 6</w:t>
      </w:r>
      <w:r w:rsidR="006D4CD2" w:rsidRPr="00BB367E">
        <w:t xml:space="preserve"> presents a summary of the economic model presented in the submission</w:t>
      </w:r>
      <w:r w:rsidR="002D0115">
        <w:t>.</w:t>
      </w:r>
    </w:p>
    <w:p w:rsidR="00C317F3" w:rsidRPr="00BB367E" w:rsidRDefault="001A7DD9" w:rsidP="00772501">
      <w:pPr>
        <w:pStyle w:val="TableHeading0"/>
        <w:rPr>
          <w:b w:val="0"/>
        </w:rPr>
      </w:pPr>
      <w:r w:rsidRPr="00BB367E">
        <w:t>Table 6:</w:t>
      </w:r>
      <w:r w:rsidR="00C317F3" w:rsidRPr="00BB367E">
        <w:t xml:space="preserve"> Summary of model structure and rationale</w:t>
      </w:r>
      <w:r w:rsidR="006D4CD2" w:rsidRPr="00BB367E">
        <w:rPr>
          <w:b w:val="0"/>
          <w:color w:val="4472C4" w:themeColor="accent5"/>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08"/>
        <w:gridCol w:w="6174"/>
      </w:tblGrid>
      <w:tr w:rsidR="002F0C7B" w:rsidRPr="00BB367E" w:rsidTr="00957C44">
        <w:trPr>
          <w:trHeight w:val="197"/>
        </w:trPr>
        <w:tc>
          <w:tcPr>
            <w:tcW w:w="1601" w:type="pct"/>
            <w:shd w:val="clear" w:color="auto" w:fill="auto"/>
            <w:vAlign w:val="center"/>
          </w:tcPr>
          <w:p w:rsidR="002F0C7B" w:rsidRPr="00BB367E" w:rsidRDefault="002F0C7B" w:rsidP="001229DA">
            <w:pPr>
              <w:pStyle w:val="TableText"/>
              <w:rPr>
                <w:b/>
              </w:rPr>
            </w:pPr>
            <w:r w:rsidRPr="00BB367E">
              <w:rPr>
                <w:b/>
              </w:rPr>
              <w:t xml:space="preserve">Component </w:t>
            </w:r>
          </w:p>
        </w:tc>
        <w:tc>
          <w:tcPr>
            <w:tcW w:w="3399" w:type="pct"/>
            <w:shd w:val="clear" w:color="auto" w:fill="auto"/>
          </w:tcPr>
          <w:p w:rsidR="002F0C7B" w:rsidRPr="00BB367E" w:rsidRDefault="002F0C7B" w:rsidP="002F0C7B">
            <w:pPr>
              <w:pStyle w:val="TableText"/>
              <w:rPr>
                <w:b/>
              </w:rPr>
            </w:pPr>
            <w:r w:rsidRPr="00BB367E">
              <w:rPr>
                <w:b/>
              </w:rPr>
              <w:t>Description</w:t>
            </w:r>
          </w:p>
        </w:tc>
      </w:tr>
      <w:tr w:rsidR="002F0C7B" w:rsidRPr="00BB367E" w:rsidTr="00957C44">
        <w:tc>
          <w:tcPr>
            <w:tcW w:w="1601" w:type="pct"/>
            <w:shd w:val="clear" w:color="auto" w:fill="auto"/>
            <w:vAlign w:val="center"/>
          </w:tcPr>
          <w:p w:rsidR="002F0C7B" w:rsidRPr="00BB367E" w:rsidRDefault="002F0C7B" w:rsidP="001229DA">
            <w:pPr>
              <w:pStyle w:val="TableText"/>
            </w:pPr>
            <w:r w:rsidRPr="00BB367E">
              <w:t xml:space="preserve">Type of analysis </w:t>
            </w:r>
          </w:p>
        </w:tc>
        <w:tc>
          <w:tcPr>
            <w:tcW w:w="3399" w:type="pct"/>
            <w:shd w:val="clear" w:color="auto" w:fill="auto"/>
          </w:tcPr>
          <w:p w:rsidR="002F0C7B" w:rsidRPr="00BB367E" w:rsidRDefault="002F0C7B" w:rsidP="002F0C7B">
            <w:pPr>
              <w:pStyle w:val="TableText"/>
              <w:rPr>
                <w:rFonts w:ascii="Times" w:eastAsia="Times New Roman" w:hAnsi="Times" w:cs="Times New Roman"/>
                <w:szCs w:val="20"/>
                <w:lang w:val="en-US"/>
              </w:rPr>
            </w:pPr>
            <w:r w:rsidRPr="00BB367E">
              <w:t>Cost utility analysis</w:t>
            </w:r>
          </w:p>
        </w:tc>
      </w:tr>
      <w:tr w:rsidR="002F0C7B" w:rsidRPr="00BB367E" w:rsidTr="00957C44">
        <w:tc>
          <w:tcPr>
            <w:tcW w:w="1601" w:type="pct"/>
            <w:shd w:val="clear" w:color="auto" w:fill="auto"/>
            <w:vAlign w:val="center"/>
          </w:tcPr>
          <w:p w:rsidR="002F0C7B" w:rsidRPr="00BB367E" w:rsidRDefault="002F0C7B" w:rsidP="001229DA">
            <w:pPr>
              <w:pStyle w:val="TableText"/>
              <w:rPr>
                <w:rFonts w:ascii="Times" w:eastAsia="Times New Roman" w:hAnsi="Times" w:cs="Times New Roman"/>
                <w:szCs w:val="20"/>
                <w:lang w:val="en-US"/>
              </w:rPr>
            </w:pPr>
            <w:r w:rsidRPr="00BB367E">
              <w:t>Outcomes</w:t>
            </w:r>
          </w:p>
        </w:tc>
        <w:tc>
          <w:tcPr>
            <w:tcW w:w="3399" w:type="pct"/>
            <w:shd w:val="clear" w:color="auto" w:fill="auto"/>
          </w:tcPr>
          <w:p w:rsidR="002F0C7B" w:rsidRPr="00BB367E" w:rsidRDefault="002F0C7B" w:rsidP="002F0C7B">
            <w:pPr>
              <w:pStyle w:val="TableText"/>
              <w:rPr>
                <w:rFonts w:ascii="Times" w:eastAsia="Times New Roman" w:hAnsi="Times" w:cs="Times New Roman"/>
                <w:szCs w:val="20"/>
                <w:lang w:val="en-US"/>
              </w:rPr>
            </w:pPr>
            <w:r w:rsidRPr="00BB367E">
              <w:t>Life years gained and QALYs gained</w:t>
            </w:r>
          </w:p>
        </w:tc>
      </w:tr>
      <w:tr w:rsidR="002F0C7B" w:rsidRPr="00BB367E" w:rsidTr="00957C44">
        <w:tc>
          <w:tcPr>
            <w:tcW w:w="1601" w:type="pct"/>
            <w:shd w:val="clear" w:color="auto" w:fill="auto"/>
            <w:vAlign w:val="center"/>
          </w:tcPr>
          <w:p w:rsidR="002F0C7B" w:rsidRPr="00BB367E" w:rsidRDefault="002F0C7B" w:rsidP="001229DA">
            <w:pPr>
              <w:pStyle w:val="TableText"/>
              <w:rPr>
                <w:rFonts w:ascii="Times" w:eastAsia="Times New Roman" w:hAnsi="Times" w:cs="Times New Roman"/>
                <w:szCs w:val="20"/>
                <w:lang w:val="en-US"/>
              </w:rPr>
            </w:pPr>
            <w:r w:rsidRPr="00BB367E">
              <w:t>Time horizon</w:t>
            </w:r>
          </w:p>
        </w:tc>
        <w:tc>
          <w:tcPr>
            <w:tcW w:w="3399" w:type="pct"/>
            <w:shd w:val="clear" w:color="auto" w:fill="auto"/>
          </w:tcPr>
          <w:p w:rsidR="002F0C7B" w:rsidRPr="00BB367E" w:rsidRDefault="002F0C7B" w:rsidP="002F0C7B">
            <w:pPr>
              <w:pStyle w:val="TableText"/>
              <w:rPr>
                <w:rFonts w:ascii="Times" w:eastAsia="Times New Roman" w:hAnsi="Times" w:cs="Times New Roman"/>
                <w:szCs w:val="20"/>
                <w:lang w:val="en-US"/>
              </w:rPr>
            </w:pPr>
            <w:r w:rsidRPr="00BB367E">
              <w:t>Life time (56 years), versus 3 years in the key trial data.</w:t>
            </w:r>
          </w:p>
        </w:tc>
      </w:tr>
      <w:tr w:rsidR="002F0C7B" w:rsidRPr="00BB367E" w:rsidTr="00957C44">
        <w:tc>
          <w:tcPr>
            <w:tcW w:w="1601" w:type="pct"/>
            <w:shd w:val="clear" w:color="auto" w:fill="auto"/>
            <w:vAlign w:val="center"/>
          </w:tcPr>
          <w:p w:rsidR="002F0C7B" w:rsidRPr="00BB367E" w:rsidRDefault="002F0C7B" w:rsidP="001229DA">
            <w:pPr>
              <w:pStyle w:val="TableText"/>
              <w:rPr>
                <w:rFonts w:ascii="Times" w:eastAsia="Times New Roman" w:hAnsi="Times" w:cs="Times New Roman"/>
                <w:szCs w:val="20"/>
                <w:lang w:val="en-US"/>
              </w:rPr>
            </w:pPr>
            <w:r w:rsidRPr="00BB367E">
              <w:t>Methods used to generate results</w:t>
            </w:r>
          </w:p>
        </w:tc>
        <w:tc>
          <w:tcPr>
            <w:tcW w:w="3399" w:type="pct"/>
            <w:shd w:val="clear" w:color="auto" w:fill="auto"/>
          </w:tcPr>
          <w:p w:rsidR="002F0C7B" w:rsidRPr="00BB367E" w:rsidRDefault="002F0C7B" w:rsidP="002F0C7B">
            <w:pPr>
              <w:pStyle w:val="TableText"/>
              <w:rPr>
                <w:rFonts w:ascii="Times" w:eastAsia="Times New Roman" w:hAnsi="Times" w:cs="Times New Roman"/>
                <w:szCs w:val="20"/>
                <w:lang w:val="en-US"/>
              </w:rPr>
            </w:pPr>
            <w:r w:rsidRPr="00BB367E">
              <w:t>Markov model</w:t>
            </w:r>
          </w:p>
        </w:tc>
      </w:tr>
      <w:tr w:rsidR="002F0C7B" w:rsidRPr="00BB367E" w:rsidTr="00957C44">
        <w:tc>
          <w:tcPr>
            <w:tcW w:w="1601" w:type="pct"/>
            <w:shd w:val="clear" w:color="auto" w:fill="auto"/>
            <w:vAlign w:val="center"/>
          </w:tcPr>
          <w:p w:rsidR="002F0C7B" w:rsidRPr="00BB367E" w:rsidRDefault="002F0C7B" w:rsidP="001229DA">
            <w:pPr>
              <w:pStyle w:val="TableText"/>
              <w:rPr>
                <w:rFonts w:ascii="Times" w:eastAsia="Times New Roman" w:hAnsi="Times" w:cs="Times New Roman"/>
                <w:szCs w:val="20"/>
                <w:lang w:val="en-US"/>
              </w:rPr>
            </w:pPr>
            <w:r w:rsidRPr="00BB367E">
              <w:t>Health states</w:t>
            </w:r>
          </w:p>
        </w:tc>
        <w:tc>
          <w:tcPr>
            <w:tcW w:w="3399" w:type="pct"/>
            <w:shd w:val="clear" w:color="auto" w:fill="auto"/>
          </w:tcPr>
          <w:p w:rsidR="002F0C7B" w:rsidRPr="00BB367E" w:rsidRDefault="002F0C7B" w:rsidP="002F0C7B">
            <w:pPr>
              <w:pStyle w:val="TableText"/>
              <w:rPr>
                <w:rFonts w:ascii="Times" w:eastAsia="Times New Roman" w:hAnsi="Times" w:cs="Times New Roman"/>
                <w:szCs w:val="20"/>
                <w:lang w:val="en-US"/>
              </w:rPr>
            </w:pPr>
            <w:r w:rsidRPr="00BB367E">
              <w:t>EDSS 0 to 9 (untreated and treated) and death</w:t>
            </w:r>
          </w:p>
        </w:tc>
      </w:tr>
      <w:tr w:rsidR="002F0C7B" w:rsidRPr="00BB367E" w:rsidTr="00957C44">
        <w:tc>
          <w:tcPr>
            <w:tcW w:w="1601" w:type="pct"/>
            <w:shd w:val="clear" w:color="auto" w:fill="auto"/>
            <w:vAlign w:val="center"/>
          </w:tcPr>
          <w:p w:rsidR="002F0C7B" w:rsidRPr="00BB367E" w:rsidRDefault="002F0C7B" w:rsidP="001229DA">
            <w:pPr>
              <w:pStyle w:val="TableText"/>
              <w:rPr>
                <w:rFonts w:ascii="Times" w:eastAsia="Times New Roman" w:hAnsi="Times" w:cs="Times New Roman"/>
                <w:szCs w:val="20"/>
                <w:lang w:val="en-US"/>
              </w:rPr>
            </w:pPr>
            <w:r w:rsidRPr="00BB367E">
              <w:t>Cycle length</w:t>
            </w:r>
          </w:p>
        </w:tc>
        <w:tc>
          <w:tcPr>
            <w:tcW w:w="3399" w:type="pct"/>
            <w:shd w:val="clear" w:color="auto" w:fill="auto"/>
          </w:tcPr>
          <w:p w:rsidR="002F0C7B" w:rsidRPr="00BB367E" w:rsidRDefault="002F0C7B" w:rsidP="002F0C7B">
            <w:pPr>
              <w:pStyle w:val="TableText"/>
              <w:rPr>
                <w:rFonts w:ascii="Times" w:eastAsia="Times New Roman" w:hAnsi="Times" w:cs="Times New Roman"/>
                <w:szCs w:val="20"/>
                <w:lang w:val="en-US"/>
              </w:rPr>
            </w:pPr>
            <w:r w:rsidRPr="00BB367E">
              <w:t>1 year</w:t>
            </w:r>
          </w:p>
        </w:tc>
      </w:tr>
      <w:tr w:rsidR="002F0C7B" w:rsidRPr="00BB367E" w:rsidTr="00957C44">
        <w:tc>
          <w:tcPr>
            <w:tcW w:w="1601" w:type="pct"/>
            <w:shd w:val="clear" w:color="auto" w:fill="auto"/>
            <w:vAlign w:val="center"/>
          </w:tcPr>
          <w:p w:rsidR="002F0C7B" w:rsidRPr="00BB367E" w:rsidRDefault="002F0C7B" w:rsidP="001229DA">
            <w:pPr>
              <w:pStyle w:val="TableText"/>
            </w:pPr>
            <w:r w:rsidRPr="00BB367E">
              <w:t xml:space="preserve">Transition probability </w:t>
            </w:r>
          </w:p>
        </w:tc>
        <w:tc>
          <w:tcPr>
            <w:tcW w:w="3399" w:type="pct"/>
            <w:shd w:val="clear" w:color="auto" w:fill="auto"/>
          </w:tcPr>
          <w:p w:rsidR="002F0C7B" w:rsidRPr="00BB367E" w:rsidRDefault="002F0C7B" w:rsidP="002F0C7B">
            <w:pPr>
              <w:pStyle w:val="TableText"/>
            </w:pPr>
            <w:r w:rsidRPr="00BB367E">
              <w:t>EDSS transition based on natural history of PPMS, treatment hazard ratio applied in ocrelizumab arm.</w:t>
            </w:r>
          </w:p>
        </w:tc>
      </w:tr>
      <w:tr w:rsidR="002F0C7B" w:rsidRPr="00BB367E" w:rsidTr="00957C44">
        <w:trPr>
          <w:trHeight w:val="70"/>
        </w:trPr>
        <w:tc>
          <w:tcPr>
            <w:tcW w:w="1601" w:type="pct"/>
            <w:shd w:val="clear" w:color="auto" w:fill="auto"/>
            <w:vAlign w:val="center"/>
          </w:tcPr>
          <w:p w:rsidR="002F0C7B" w:rsidRPr="00BB367E" w:rsidRDefault="002F0C7B" w:rsidP="001229DA">
            <w:pPr>
              <w:pStyle w:val="TableText"/>
              <w:rPr>
                <w:rFonts w:ascii="Times" w:eastAsia="Times New Roman" w:hAnsi="Times" w:cs="Times New Roman"/>
                <w:szCs w:val="20"/>
                <w:lang w:val="en-US"/>
              </w:rPr>
            </w:pPr>
            <w:r w:rsidRPr="00BB367E">
              <w:t>Software package</w:t>
            </w:r>
          </w:p>
        </w:tc>
        <w:tc>
          <w:tcPr>
            <w:tcW w:w="3399" w:type="pct"/>
            <w:shd w:val="clear" w:color="auto" w:fill="auto"/>
          </w:tcPr>
          <w:p w:rsidR="002F0C7B" w:rsidRPr="00BB367E" w:rsidRDefault="002F0C7B" w:rsidP="002F0C7B">
            <w:pPr>
              <w:pStyle w:val="TableText"/>
              <w:rPr>
                <w:rFonts w:ascii="Times" w:eastAsia="Times New Roman" w:hAnsi="Times" w:cs="Times New Roman"/>
                <w:szCs w:val="20"/>
                <w:lang w:val="en-US"/>
              </w:rPr>
            </w:pPr>
            <w:r w:rsidRPr="00BB367E">
              <w:t>Excel 2010</w:t>
            </w:r>
          </w:p>
        </w:tc>
      </w:tr>
    </w:tbl>
    <w:p w:rsidR="002F0C7B" w:rsidRPr="00BB367E" w:rsidRDefault="002F0C7B" w:rsidP="002F0C7B">
      <w:pPr>
        <w:pStyle w:val="TableFooter"/>
      </w:pPr>
      <w:r w:rsidRPr="00BB367E">
        <w:t xml:space="preserve">Source:  Table 3.1.1, p 82 of the submission. QALY = quality-adjusted life year. </w:t>
      </w:r>
    </w:p>
    <w:p w:rsidR="00E37424" w:rsidRPr="00D54E8B" w:rsidRDefault="001A7DD9" w:rsidP="00FF615A">
      <w:pPr>
        <w:pStyle w:val="ListParagraph"/>
        <w:numPr>
          <w:ilvl w:val="1"/>
          <w:numId w:val="1"/>
        </w:numPr>
        <w:ind w:left="720" w:hanging="720"/>
        <w:jc w:val="both"/>
      </w:pPr>
      <w:r w:rsidRPr="00D54E8B">
        <w:t>The model</w:t>
      </w:r>
      <w:r w:rsidR="00EB2B6A" w:rsidRPr="00D54E8B">
        <w:t xml:space="preserve"> population</w:t>
      </w:r>
      <w:r w:rsidRPr="00D54E8B">
        <w:t xml:space="preserve"> was </w:t>
      </w:r>
      <w:r w:rsidR="00FD05BF" w:rsidRPr="00D54E8B">
        <w:t xml:space="preserve">based on that in the ORATORIO trial and hence </w:t>
      </w:r>
      <w:r w:rsidRPr="00D54E8B">
        <w:t xml:space="preserve">reflective of a younger and likely healthier population than what would be expected in the </w:t>
      </w:r>
      <w:r w:rsidR="002052AF" w:rsidRPr="00D54E8B">
        <w:t>Australian</w:t>
      </w:r>
      <w:r w:rsidRPr="00D54E8B">
        <w:t xml:space="preserve"> population.</w:t>
      </w:r>
      <w:r w:rsidR="00E37424" w:rsidRPr="00D54E8B">
        <w:t xml:space="preserve"> </w:t>
      </w:r>
      <w:r w:rsidRPr="00D54E8B">
        <w:t>Th</w:t>
      </w:r>
      <w:r w:rsidR="002C1A77" w:rsidRPr="00D54E8B">
        <w:t>ough the model could adjust starting age,</w:t>
      </w:r>
      <w:r w:rsidRPr="00D54E8B">
        <w:t xml:space="preserve"> </w:t>
      </w:r>
      <w:r w:rsidR="002C1A77" w:rsidRPr="00D54E8B">
        <w:t xml:space="preserve">it </w:t>
      </w:r>
      <w:r w:rsidRPr="00D54E8B">
        <w:t xml:space="preserve">was not specified to test various assumptions regarding variation in treatment effect by age or presence of Gd lesions. </w:t>
      </w:r>
    </w:p>
    <w:p w:rsidR="00644097" w:rsidRPr="00D54E8B" w:rsidRDefault="00EB2B6A" w:rsidP="00FF615A">
      <w:pPr>
        <w:pStyle w:val="ListParagraph"/>
        <w:numPr>
          <w:ilvl w:val="1"/>
          <w:numId w:val="1"/>
        </w:numPr>
        <w:ind w:left="720" w:hanging="720"/>
        <w:jc w:val="both"/>
      </w:pPr>
      <w:r w:rsidRPr="00D54E8B">
        <w:t xml:space="preserve">Utility values were </w:t>
      </w:r>
      <w:r w:rsidR="00ED2F7A" w:rsidRPr="00D54E8B">
        <w:t>based on ORATORIO EQ-5D responses</w:t>
      </w:r>
      <w:r w:rsidRPr="00D54E8B">
        <w:t xml:space="preserve"> for EDSS health states 2 to 7 and</w:t>
      </w:r>
      <w:r w:rsidR="00ED2F7A" w:rsidRPr="00D54E8B">
        <w:t xml:space="preserve"> on a utility model from Orme (2007), a UK MS survey</w:t>
      </w:r>
      <w:r w:rsidRPr="00D54E8B">
        <w:t>, for health states zero to 1 and 8 to 9. N</w:t>
      </w:r>
      <w:r w:rsidR="00ED2F7A" w:rsidRPr="00D54E8B">
        <w:t>egative utility values reflecting states worse than death</w:t>
      </w:r>
      <w:r w:rsidRPr="00D54E8B">
        <w:t xml:space="preserve"> were used</w:t>
      </w:r>
      <w:r w:rsidR="00ED2F7A" w:rsidRPr="00D54E8B">
        <w:t xml:space="preserve"> in EDSS</w:t>
      </w:r>
      <w:r w:rsidRPr="00D54E8B">
        <w:t xml:space="preserve"> health states</w:t>
      </w:r>
      <w:r w:rsidR="00ED2F7A" w:rsidRPr="00D54E8B">
        <w:t xml:space="preserve"> 8 and 9. </w:t>
      </w:r>
      <w:r w:rsidRPr="00D54E8B">
        <w:t>Since the</w:t>
      </w:r>
      <w:r w:rsidR="002052AF" w:rsidRPr="00D54E8B">
        <w:t xml:space="preserve"> </w:t>
      </w:r>
      <w:r w:rsidRPr="00D54E8B">
        <w:t>utility values</w:t>
      </w:r>
      <w:r w:rsidR="003C456B" w:rsidRPr="00D54E8B">
        <w:t xml:space="preserve"> </w:t>
      </w:r>
      <w:r w:rsidR="002052AF" w:rsidRPr="00D54E8B">
        <w:t xml:space="preserve">were not based on trial data, </w:t>
      </w:r>
      <w:r w:rsidR="00ED2F7A" w:rsidRPr="00D54E8B">
        <w:t xml:space="preserve">setting those values to zero would be more </w:t>
      </w:r>
      <w:r w:rsidRPr="00D54E8B">
        <w:t>conservative</w:t>
      </w:r>
      <w:r w:rsidR="00ED2F7A" w:rsidRPr="00D54E8B">
        <w:t>.</w:t>
      </w:r>
    </w:p>
    <w:p w:rsidR="001A7DD9" w:rsidRPr="00D54E8B" w:rsidRDefault="00D93B4D" w:rsidP="00FF615A">
      <w:pPr>
        <w:pStyle w:val="ListParagraph"/>
        <w:numPr>
          <w:ilvl w:val="1"/>
          <w:numId w:val="1"/>
        </w:numPr>
        <w:ind w:left="720" w:hanging="720"/>
        <w:jc w:val="both"/>
      </w:pPr>
      <w:r w:rsidRPr="00D54E8B">
        <w:t xml:space="preserve">The PSCR (p4) argued that setting the utility values to zero for the EDSS 8 and 9 health states would trivialise the severity of the advanced disease stages of PPMS. The PSCR </w:t>
      </w:r>
      <w:r w:rsidR="00644097" w:rsidRPr="00D54E8B">
        <w:t>claimed</w:t>
      </w:r>
      <w:r w:rsidRPr="00D54E8B">
        <w:t xml:space="preserve"> that these health states </w:t>
      </w:r>
      <w:r w:rsidRPr="00D54E8B">
        <w:rPr>
          <w:bCs/>
        </w:rPr>
        <w:t xml:space="preserve">have been described as worse than death in various </w:t>
      </w:r>
      <w:r w:rsidR="00644097" w:rsidRPr="00D54E8B">
        <w:rPr>
          <w:bCs/>
        </w:rPr>
        <w:t xml:space="preserve">MS </w:t>
      </w:r>
      <w:r w:rsidRPr="00D54E8B">
        <w:rPr>
          <w:bCs/>
        </w:rPr>
        <w:t>quality of life studies, which confirms the results found by Orme (2007).</w:t>
      </w:r>
      <w:r w:rsidR="00305812" w:rsidRPr="00D54E8B">
        <w:rPr>
          <w:bCs/>
        </w:rPr>
        <w:t xml:space="preserve"> </w:t>
      </w:r>
      <w:r w:rsidRPr="00D54E8B">
        <w:rPr>
          <w:bCs/>
        </w:rPr>
        <w:t xml:space="preserve">The PSCR stated that </w:t>
      </w:r>
      <w:r w:rsidR="00B40C04" w:rsidRPr="00D54E8B">
        <w:rPr>
          <w:bCs/>
        </w:rPr>
        <w:t>the valuation of HRQoL using EQ-5D methodology allows health states to appropriately be perceived as worse than death. The PSCR argued that in order to allow a fair comparison of results of cost-utility analyses across disease areas it is crucial that negative utilities are accounted for when appropriate.</w:t>
      </w:r>
      <w:r w:rsidR="00644097" w:rsidRPr="00D54E8B">
        <w:rPr>
          <w:bCs/>
        </w:rPr>
        <w:t xml:space="preserve"> The ESC noted that sensitivity analyses with negative utilities set to zero increased the</w:t>
      </w:r>
      <w:r w:rsidR="004D1751" w:rsidRPr="00D54E8B">
        <w:rPr>
          <w:bCs/>
        </w:rPr>
        <w:t xml:space="preserve"> incremental cost-effectiveness ratio</w:t>
      </w:r>
      <w:r w:rsidR="00644097" w:rsidRPr="00D54E8B">
        <w:rPr>
          <w:bCs/>
        </w:rPr>
        <w:t xml:space="preserve"> </w:t>
      </w:r>
      <w:r w:rsidR="004D1751" w:rsidRPr="00D54E8B">
        <w:rPr>
          <w:bCs/>
        </w:rPr>
        <w:t>(</w:t>
      </w:r>
      <w:r w:rsidR="00644097" w:rsidRPr="00D54E8B">
        <w:rPr>
          <w:bCs/>
        </w:rPr>
        <w:t>ICER</w:t>
      </w:r>
      <w:r w:rsidR="004D1751" w:rsidRPr="00D54E8B">
        <w:rPr>
          <w:bCs/>
        </w:rPr>
        <w:t xml:space="preserve">), </w:t>
      </w:r>
      <w:r w:rsidR="00651937" w:rsidRPr="00D54E8B">
        <w:rPr>
          <w:bCs/>
        </w:rPr>
        <w:t xml:space="preserve">from the base case of </w:t>
      </w:r>
      <w:r w:rsidR="00C43907">
        <w:rPr>
          <w:bCs/>
        </w:rPr>
        <w:t>more than $200,000</w:t>
      </w:r>
      <w:r w:rsidR="004D1751" w:rsidRPr="00D54E8B">
        <w:rPr>
          <w:bCs/>
        </w:rPr>
        <w:t xml:space="preserve"> </w:t>
      </w:r>
      <w:r w:rsidR="00644097" w:rsidRPr="00D54E8B">
        <w:rPr>
          <w:bCs/>
        </w:rPr>
        <w:t xml:space="preserve">to </w:t>
      </w:r>
      <w:r w:rsidR="006F4817">
        <w:rPr>
          <w:bCs/>
        </w:rPr>
        <w:t xml:space="preserve">more than $200,000 </w:t>
      </w:r>
      <w:r w:rsidR="008E6D99">
        <w:rPr>
          <w:bCs/>
        </w:rPr>
        <w:t>per</w:t>
      </w:r>
      <w:r w:rsidR="00651937" w:rsidRPr="00D54E8B">
        <w:rPr>
          <w:bCs/>
        </w:rPr>
        <w:t xml:space="preserve"> quality adjusted life years (QALY) gained</w:t>
      </w:r>
      <w:r w:rsidR="00644097" w:rsidRPr="00D54E8B">
        <w:rPr>
          <w:bCs/>
        </w:rPr>
        <w:t xml:space="preserve">. </w:t>
      </w:r>
    </w:p>
    <w:p w:rsidR="00E95697" w:rsidRPr="00D54E8B" w:rsidRDefault="00ED2F7A" w:rsidP="00FF615A">
      <w:pPr>
        <w:pStyle w:val="ListParagraph"/>
        <w:numPr>
          <w:ilvl w:val="1"/>
          <w:numId w:val="1"/>
        </w:numPr>
        <w:ind w:left="720" w:hanging="720"/>
        <w:jc w:val="both"/>
      </w:pPr>
      <w:r w:rsidRPr="00D54E8B">
        <w:t xml:space="preserve">The submission </w:t>
      </w:r>
      <w:r w:rsidR="00EB2B6A" w:rsidRPr="00D54E8B">
        <w:t>applied additional</w:t>
      </w:r>
      <w:r w:rsidRPr="00D54E8B">
        <w:t xml:space="preserve"> </w:t>
      </w:r>
      <w:r w:rsidR="002052AF" w:rsidRPr="00D54E8B">
        <w:t>disutilit</w:t>
      </w:r>
      <w:r w:rsidR="00115B20" w:rsidRPr="00D54E8B">
        <w:t>ie</w:t>
      </w:r>
      <w:r w:rsidR="002052AF" w:rsidRPr="00D54E8B">
        <w:t>s</w:t>
      </w:r>
      <w:r w:rsidRPr="00D54E8B">
        <w:t xml:space="preserve"> associated with upper limb dysfunction. </w:t>
      </w:r>
      <w:r w:rsidR="002052AF" w:rsidRPr="00D54E8B">
        <w:t>T</w:t>
      </w:r>
      <w:r w:rsidRPr="00D54E8B">
        <w:t xml:space="preserve">he disutilities were </w:t>
      </w:r>
      <w:r w:rsidR="00EB2B6A" w:rsidRPr="00D54E8B">
        <w:t>generated from a linear EQ-5D utility model using</w:t>
      </w:r>
      <w:r w:rsidRPr="00D54E8B">
        <w:t xml:space="preserve"> ORATOR</w:t>
      </w:r>
      <w:r w:rsidR="001229DA" w:rsidRPr="00D54E8B">
        <w:t>IO data on changes in the 9 peg-</w:t>
      </w:r>
      <w:r w:rsidRPr="00D54E8B">
        <w:t>hole test. Details of the model specifi</w:t>
      </w:r>
      <w:r w:rsidR="0087408E" w:rsidRPr="00D54E8B">
        <w:t>cations w</w:t>
      </w:r>
      <w:r w:rsidR="00EB2B6A" w:rsidRPr="00D54E8B">
        <w:t>ere not made available. T</w:t>
      </w:r>
      <w:r w:rsidRPr="00D54E8B">
        <w:t>he</w:t>
      </w:r>
      <w:r w:rsidR="00EB2B6A" w:rsidRPr="00D54E8B">
        <w:t xml:space="preserve"> ESC considered that this</w:t>
      </w:r>
      <w:r w:rsidRPr="00D54E8B">
        <w:t xml:space="preserve"> overall approach was not</w:t>
      </w:r>
      <w:r w:rsidRPr="00EB2B6A">
        <w:rPr>
          <w:i/>
        </w:rPr>
        <w:t xml:space="preserve"> </w:t>
      </w:r>
      <w:r w:rsidRPr="00D54E8B">
        <w:t xml:space="preserve">adequately justified and </w:t>
      </w:r>
      <w:r w:rsidR="00EB2B6A" w:rsidRPr="00D54E8B">
        <w:t>might have</w:t>
      </w:r>
      <w:r w:rsidR="002052AF" w:rsidRPr="00D54E8B">
        <w:t xml:space="preserve"> favoured ocrelizumab</w:t>
      </w:r>
      <w:r w:rsidR="0087408E" w:rsidRPr="00D54E8B">
        <w:t xml:space="preserve"> </w:t>
      </w:r>
      <w:r w:rsidR="00EB2B6A" w:rsidRPr="00D54E8B">
        <w:t>due to</w:t>
      </w:r>
      <w:r w:rsidR="0087408E" w:rsidRPr="00D54E8B">
        <w:t xml:space="preserve"> “double-counting” </w:t>
      </w:r>
      <w:r w:rsidR="00EB2B6A" w:rsidRPr="00D54E8B">
        <w:t>of disutility already</w:t>
      </w:r>
      <w:r w:rsidR="0087408E" w:rsidRPr="00D54E8B">
        <w:t xml:space="preserve"> captured in the EQ-5D values</w:t>
      </w:r>
      <w:r w:rsidR="002052AF" w:rsidRPr="00D54E8B">
        <w:t>.</w:t>
      </w:r>
      <w:r w:rsidR="00D83BAB" w:rsidRPr="00D54E8B">
        <w:t xml:space="preserve"> </w:t>
      </w:r>
    </w:p>
    <w:p w:rsidR="00ED2F7A" w:rsidRPr="00D54E8B" w:rsidRDefault="00D83BAB" w:rsidP="00FF615A">
      <w:pPr>
        <w:pStyle w:val="ListParagraph"/>
        <w:numPr>
          <w:ilvl w:val="1"/>
          <w:numId w:val="1"/>
        </w:numPr>
        <w:ind w:left="720" w:hanging="720"/>
        <w:jc w:val="both"/>
      </w:pPr>
      <w:r w:rsidRPr="00D54E8B">
        <w:t xml:space="preserve">The PSCR (p5) stated that the EDSS model presented in the submission </w:t>
      </w:r>
      <w:r w:rsidRPr="00D54E8B">
        <w:rPr>
          <w:bCs/>
        </w:rPr>
        <w:t xml:space="preserve">excluded patients with a sustained 20% increase in </w:t>
      </w:r>
      <w:r w:rsidR="00E95697" w:rsidRPr="00D54E8B">
        <w:rPr>
          <w:bCs/>
        </w:rPr>
        <w:t>the 9 peg-hole test</w:t>
      </w:r>
      <w:r w:rsidRPr="00D54E8B">
        <w:rPr>
          <w:bCs/>
        </w:rPr>
        <w:t xml:space="preserve">. The PSCR argued therefore, including the additional disutility estimated for upper limb dysfunction does not represent double counting of the effect of upper limb dysfunction on HRQoL. </w:t>
      </w:r>
      <w:r w:rsidR="00C47869" w:rsidRPr="00D54E8B">
        <w:rPr>
          <w:bCs/>
        </w:rPr>
        <w:t xml:space="preserve">The ESC noted that sensitivity analyses with the disutility of upper limb dysfunction excluded increased the ICER, from the base case of </w:t>
      </w:r>
      <w:r w:rsidR="00C43907">
        <w:rPr>
          <w:bCs/>
        </w:rPr>
        <w:t>more than $200,000</w:t>
      </w:r>
      <w:r w:rsidR="00C47869" w:rsidRPr="00D54E8B">
        <w:rPr>
          <w:bCs/>
        </w:rPr>
        <w:t xml:space="preserve">, to </w:t>
      </w:r>
      <w:r w:rsidR="00C43907">
        <w:rPr>
          <w:bCs/>
        </w:rPr>
        <w:t>more than $200,000</w:t>
      </w:r>
      <w:r w:rsidR="004D61C4">
        <w:rPr>
          <w:bCs/>
        </w:rPr>
        <w:t xml:space="preserve"> </w:t>
      </w:r>
      <w:r w:rsidR="00C47869" w:rsidRPr="00D54E8B">
        <w:rPr>
          <w:bCs/>
        </w:rPr>
        <w:t xml:space="preserve">per QALY gained. </w:t>
      </w:r>
    </w:p>
    <w:p w:rsidR="00E37424" w:rsidRPr="00BB367E" w:rsidRDefault="001A7DD9" w:rsidP="00772501">
      <w:pPr>
        <w:pStyle w:val="TableHeading0"/>
      </w:pPr>
      <w:r w:rsidRPr="00BB367E">
        <w:t>Table 7:</w:t>
      </w:r>
      <w:r w:rsidR="00E37424" w:rsidRPr="00BB367E">
        <w:t xml:space="preserve">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4"/>
        <w:gridCol w:w="3834"/>
        <w:gridCol w:w="3384"/>
      </w:tblGrid>
      <w:tr w:rsidR="00E37424" w:rsidRPr="00BB367E" w:rsidTr="00C1390A">
        <w:trPr>
          <w:tblHeader/>
        </w:trPr>
        <w:tc>
          <w:tcPr>
            <w:tcW w:w="0" w:type="auto"/>
            <w:shd w:val="clear" w:color="auto" w:fill="auto"/>
            <w:vAlign w:val="center"/>
          </w:tcPr>
          <w:p w:rsidR="00E37424" w:rsidRPr="00BB367E" w:rsidRDefault="00E37424" w:rsidP="00772501">
            <w:pPr>
              <w:pStyle w:val="TableText"/>
              <w:rPr>
                <w:b/>
              </w:rPr>
            </w:pPr>
            <w:r w:rsidRPr="00BB367E">
              <w:rPr>
                <w:b/>
              </w:rPr>
              <w:t>Description</w:t>
            </w:r>
          </w:p>
        </w:tc>
        <w:tc>
          <w:tcPr>
            <w:tcW w:w="0" w:type="auto"/>
            <w:shd w:val="clear" w:color="auto" w:fill="auto"/>
            <w:vAlign w:val="center"/>
          </w:tcPr>
          <w:p w:rsidR="00E37424" w:rsidRPr="00BB367E" w:rsidRDefault="00E37424" w:rsidP="0087408E">
            <w:pPr>
              <w:pStyle w:val="TableText"/>
              <w:jc w:val="center"/>
              <w:rPr>
                <w:b/>
              </w:rPr>
            </w:pPr>
            <w:r w:rsidRPr="00BB367E">
              <w:rPr>
                <w:b/>
              </w:rPr>
              <w:t>Method/Value</w:t>
            </w:r>
          </w:p>
        </w:tc>
        <w:tc>
          <w:tcPr>
            <w:tcW w:w="0" w:type="auto"/>
            <w:shd w:val="clear" w:color="auto" w:fill="auto"/>
            <w:vAlign w:val="center"/>
          </w:tcPr>
          <w:p w:rsidR="00E37424" w:rsidRPr="00BB367E" w:rsidRDefault="00E37424" w:rsidP="0087408E">
            <w:pPr>
              <w:pStyle w:val="TableText"/>
              <w:jc w:val="center"/>
              <w:rPr>
                <w:b/>
              </w:rPr>
            </w:pPr>
            <w:r w:rsidRPr="00BB367E">
              <w:rPr>
                <w:b/>
              </w:rPr>
              <w:t>Impact</w:t>
            </w:r>
          </w:p>
        </w:tc>
      </w:tr>
      <w:tr w:rsidR="00E37424" w:rsidRPr="00BB367E" w:rsidTr="00C1390A">
        <w:tc>
          <w:tcPr>
            <w:tcW w:w="0" w:type="auto"/>
            <w:shd w:val="clear" w:color="auto" w:fill="auto"/>
            <w:vAlign w:val="center"/>
          </w:tcPr>
          <w:p w:rsidR="00E37424" w:rsidRPr="00BB367E" w:rsidRDefault="002F0C7B" w:rsidP="00772501">
            <w:pPr>
              <w:pStyle w:val="TableText"/>
            </w:pPr>
            <w:r w:rsidRPr="00BB367E">
              <w:t>Estimate of treatment effect</w:t>
            </w:r>
          </w:p>
        </w:tc>
        <w:tc>
          <w:tcPr>
            <w:tcW w:w="0" w:type="auto"/>
            <w:shd w:val="clear" w:color="auto" w:fill="auto"/>
            <w:vAlign w:val="center"/>
          </w:tcPr>
          <w:p w:rsidR="00200296" w:rsidRPr="00BB367E" w:rsidRDefault="002F0C7B" w:rsidP="002F0C7B">
            <w:pPr>
              <w:pStyle w:val="TableText"/>
            </w:pPr>
            <w:r w:rsidRPr="00BB367E">
              <w:t>The hazard ratio of CDP 24 between ocrelizumab and placebo in the open label extension</w:t>
            </w:r>
          </w:p>
        </w:tc>
        <w:tc>
          <w:tcPr>
            <w:tcW w:w="0" w:type="auto"/>
            <w:shd w:val="clear" w:color="auto" w:fill="auto"/>
            <w:vAlign w:val="center"/>
          </w:tcPr>
          <w:p w:rsidR="00E37424" w:rsidRPr="00BB367E" w:rsidRDefault="002F0C7B" w:rsidP="002F0C7B">
            <w:pPr>
              <w:pStyle w:val="TableText"/>
            </w:pPr>
            <w:r w:rsidRPr="00BB367E">
              <w:t>High, favours ocrelizumab</w:t>
            </w:r>
          </w:p>
        </w:tc>
      </w:tr>
      <w:tr w:rsidR="00200296" w:rsidRPr="00BB367E" w:rsidTr="00C1390A">
        <w:tc>
          <w:tcPr>
            <w:tcW w:w="0" w:type="auto"/>
            <w:shd w:val="clear" w:color="auto" w:fill="auto"/>
            <w:vAlign w:val="center"/>
          </w:tcPr>
          <w:p w:rsidR="00200296" w:rsidRPr="00BB367E" w:rsidRDefault="002F0C7B" w:rsidP="00772501">
            <w:pPr>
              <w:pStyle w:val="TableText"/>
            </w:pPr>
            <w:r w:rsidRPr="00BB367E">
              <w:t>Broad assumption of applicability of trial population to Australian population</w:t>
            </w:r>
          </w:p>
        </w:tc>
        <w:tc>
          <w:tcPr>
            <w:tcW w:w="0" w:type="auto"/>
            <w:shd w:val="clear" w:color="auto" w:fill="auto"/>
            <w:vAlign w:val="center"/>
          </w:tcPr>
          <w:p w:rsidR="00200296" w:rsidRPr="00BB367E" w:rsidRDefault="002F0C7B" w:rsidP="00772501">
            <w:pPr>
              <w:pStyle w:val="TableText"/>
            </w:pPr>
            <w:r w:rsidRPr="00BB367E">
              <w:t>Starting age in model of 44 years</w:t>
            </w:r>
            <w:r w:rsidR="004737F9" w:rsidRPr="00BB367E">
              <w:t>. T</w:t>
            </w:r>
            <w:r w:rsidR="00792471" w:rsidRPr="00BB367E">
              <w:t>here we</w:t>
            </w:r>
            <w:r w:rsidR="004737F9" w:rsidRPr="00BB367E">
              <w:t xml:space="preserve">re indications </w:t>
            </w:r>
            <w:r w:rsidR="00792471" w:rsidRPr="00BB367E">
              <w:t>that the Australian population wa</w:t>
            </w:r>
            <w:r w:rsidR="004737F9" w:rsidRPr="00BB367E">
              <w:t>s likely to be older than those enrolled in the ORATORIO trial, and also indications that the treatment effect may be less in older patients.</w:t>
            </w:r>
          </w:p>
        </w:tc>
        <w:tc>
          <w:tcPr>
            <w:tcW w:w="0" w:type="auto"/>
            <w:shd w:val="clear" w:color="auto" w:fill="auto"/>
            <w:vAlign w:val="center"/>
          </w:tcPr>
          <w:p w:rsidR="00200296" w:rsidRPr="00BB367E" w:rsidRDefault="00761A68" w:rsidP="002F0C7B">
            <w:pPr>
              <w:pStyle w:val="TableText"/>
            </w:pPr>
            <w:r w:rsidRPr="00BB367E">
              <w:t>Likely h</w:t>
            </w:r>
            <w:r w:rsidR="00200296" w:rsidRPr="00BB367E">
              <w:t xml:space="preserve">igh, favours </w:t>
            </w:r>
            <w:r w:rsidR="002F0C7B" w:rsidRPr="00BB367E">
              <w:t>ocrelizumab</w:t>
            </w:r>
            <w:r w:rsidRPr="00BB367E">
              <w:t>. Although the model could adjust starting age, it was not specified to test various assumptions regarding variation in treatment effect by age (or presence of Gd lesions)</w:t>
            </w:r>
          </w:p>
        </w:tc>
      </w:tr>
      <w:tr w:rsidR="00200296" w:rsidRPr="00BB367E" w:rsidTr="00C1390A">
        <w:tc>
          <w:tcPr>
            <w:tcW w:w="0" w:type="auto"/>
            <w:shd w:val="clear" w:color="auto" w:fill="auto"/>
            <w:vAlign w:val="center"/>
          </w:tcPr>
          <w:p w:rsidR="00200296" w:rsidRPr="00BB367E" w:rsidRDefault="002F0C7B" w:rsidP="0087408E">
            <w:pPr>
              <w:pStyle w:val="TableText"/>
            </w:pPr>
            <w:r w:rsidRPr="00BB367E">
              <w:t>Utility/disutility</w:t>
            </w:r>
            <w:r w:rsidR="001A7DD9" w:rsidRPr="00BB367E">
              <w:t xml:space="preserve"> </w:t>
            </w:r>
            <w:r w:rsidRPr="00BB367E">
              <w:t>values</w:t>
            </w:r>
          </w:p>
        </w:tc>
        <w:tc>
          <w:tcPr>
            <w:tcW w:w="0" w:type="auto"/>
            <w:shd w:val="clear" w:color="auto" w:fill="auto"/>
            <w:vAlign w:val="center"/>
          </w:tcPr>
          <w:p w:rsidR="00200296" w:rsidRPr="00BB367E" w:rsidRDefault="002F0C7B" w:rsidP="00772501">
            <w:pPr>
              <w:pStyle w:val="TableText"/>
            </w:pPr>
            <w:r w:rsidRPr="00BB367E">
              <w:t>Modelled based on ORATORIO utility values, and Orme values, negative utility states, and disutility associated with upper limb dysfunction</w:t>
            </w:r>
          </w:p>
        </w:tc>
        <w:tc>
          <w:tcPr>
            <w:tcW w:w="0" w:type="auto"/>
            <w:shd w:val="clear" w:color="auto" w:fill="auto"/>
            <w:vAlign w:val="center"/>
          </w:tcPr>
          <w:p w:rsidR="00200296" w:rsidRPr="00BB367E" w:rsidRDefault="002F0C7B" w:rsidP="00772501">
            <w:pPr>
              <w:pStyle w:val="TableText"/>
            </w:pPr>
            <w:r w:rsidRPr="00BB367E">
              <w:t>Moderate, favours ocrelizumab</w:t>
            </w:r>
          </w:p>
        </w:tc>
      </w:tr>
      <w:tr w:rsidR="0087408E" w:rsidRPr="00BB367E" w:rsidTr="00C1390A">
        <w:tc>
          <w:tcPr>
            <w:tcW w:w="0" w:type="auto"/>
            <w:shd w:val="clear" w:color="auto" w:fill="auto"/>
            <w:vAlign w:val="center"/>
          </w:tcPr>
          <w:p w:rsidR="0087408E" w:rsidRPr="00BB367E" w:rsidRDefault="0087408E" w:rsidP="0087408E">
            <w:pPr>
              <w:pStyle w:val="TableText"/>
            </w:pPr>
            <w:r w:rsidRPr="00BB367E">
              <w:t>Assumption of a survival benefit</w:t>
            </w:r>
          </w:p>
        </w:tc>
        <w:tc>
          <w:tcPr>
            <w:tcW w:w="0" w:type="auto"/>
            <w:shd w:val="clear" w:color="auto" w:fill="auto"/>
            <w:vAlign w:val="center"/>
          </w:tcPr>
          <w:p w:rsidR="0087408E" w:rsidRPr="00BB367E" w:rsidRDefault="0087408E" w:rsidP="00772501">
            <w:pPr>
              <w:pStyle w:val="TableText"/>
            </w:pPr>
            <w:r w:rsidRPr="00BB367E">
              <w:t xml:space="preserve">Model applies mortality </w:t>
            </w:r>
            <w:r w:rsidR="00B42CAE" w:rsidRPr="00BB367E">
              <w:t>multipliers to each EDSS health state</w:t>
            </w:r>
          </w:p>
        </w:tc>
        <w:tc>
          <w:tcPr>
            <w:tcW w:w="0" w:type="auto"/>
            <w:shd w:val="clear" w:color="auto" w:fill="auto"/>
            <w:vAlign w:val="center"/>
          </w:tcPr>
          <w:p w:rsidR="0087408E" w:rsidRPr="00BB367E" w:rsidRDefault="00B42CAE" w:rsidP="00772501">
            <w:pPr>
              <w:pStyle w:val="TableText"/>
              <w:rPr>
                <w:vertAlign w:val="superscript"/>
              </w:rPr>
            </w:pPr>
            <w:r w:rsidRPr="00BB367E">
              <w:t>Moderate, favours ocrelizumab</w:t>
            </w:r>
            <w:r w:rsidRPr="00BB367E">
              <w:rPr>
                <w:vertAlign w:val="superscript"/>
              </w:rPr>
              <w:t>a</w:t>
            </w:r>
          </w:p>
        </w:tc>
      </w:tr>
    </w:tbl>
    <w:p w:rsidR="00E37424" w:rsidRPr="00BB367E" w:rsidRDefault="00E37424" w:rsidP="00772501">
      <w:pPr>
        <w:pStyle w:val="TableFooter"/>
      </w:pPr>
      <w:r w:rsidRPr="00BB367E">
        <w:t>Source: compiled during the evaluation</w:t>
      </w:r>
      <w:r w:rsidR="00B80B83" w:rsidRPr="00BB367E">
        <w:t xml:space="preserve"> </w:t>
      </w:r>
    </w:p>
    <w:p w:rsidR="00B42CAE" w:rsidRPr="00B82C6A" w:rsidRDefault="00B42CAE" w:rsidP="00B42CAE">
      <w:pPr>
        <w:pStyle w:val="TableFooter"/>
        <w:tabs>
          <w:tab w:val="left" w:pos="284"/>
        </w:tabs>
      </w:pPr>
      <w:r w:rsidRPr="00BB367E">
        <w:rPr>
          <w:vertAlign w:val="superscript"/>
        </w:rPr>
        <w:t>a</w:t>
      </w:r>
      <w:r w:rsidRPr="00BB367E">
        <w:tab/>
        <w:t>when negative uti</w:t>
      </w:r>
      <w:r w:rsidR="003070F6">
        <w:t xml:space="preserve">lity values are </w:t>
      </w:r>
      <w:r w:rsidR="003070F6" w:rsidRPr="00B82C6A">
        <w:t>also set to one</w:t>
      </w:r>
    </w:p>
    <w:p w:rsidR="00131A74" w:rsidRPr="00B82C6A" w:rsidRDefault="00131A74" w:rsidP="00FF615A">
      <w:pPr>
        <w:pStyle w:val="ListParagraph"/>
        <w:numPr>
          <w:ilvl w:val="1"/>
          <w:numId w:val="1"/>
        </w:numPr>
        <w:ind w:left="720" w:hanging="720"/>
        <w:jc w:val="both"/>
      </w:pPr>
      <w:r w:rsidRPr="00B82C6A">
        <w:rPr>
          <w:szCs w:val="24"/>
        </w:rPr>
        <w:t xml:space="preserve">The PSCR (p4) </w:t>
      </w:r>
      <w:r w:rsidR="003070F6" w:rsidRPr="00B82C6A">
        <w:rPr>
          <w:szCs w:val="24"/>
        </w:rPr>
        <w:t xml:space="preserve">maintained that a lifetime time horizon was appropriate and </w:t>
      </w:r>
      <w:r w:rsidRPr="00B82C6A">
        <w:rPr>
          <w:szCs w:val="24"/>
        </w:rPr>
        <w:t xml:space="preserve">claimed that </w:t>
      </w:r>
      <w:r w:rsidRPr="00B82C6A">
        <w:rPr>
          <w:bCs/>
          <w:szCs w:val="24"/>
        </w:rPr>
        <w:t>there was no evidence of a diminishing treatment effect in patients remaining on treatment in the ORATORIO trial. The PSCR argued given that all-cause discontinuations have been included in the economic evaluation, it was appropriate, based on the results from ORATORIO, to assume that patients remaining on treatment would continuously benefit from ocrelizumab.</w:t>
      </w:r>
      <w:r w:rsidR="00776BE2" w:rsidRPr="00B82C6A">
        <w:rPr>
          <w:bCs/>
          <w:szCs w:val="24"/>
        </w:rPr>
        <w:t xml:space="preserve"> The ESC noted that there was no evidence that ocrelizumab’s treatment effect, based on 144 weeks from the trial, would be maintained over 56 years.</w:t>
      </w:r>
      <w:r w:rsidR="005A3507" w:rsidRPr="00B82C6A">
        <w:rPr>
          <w:bCs/>
          <w:szCs w:val="24"/>
        </w:rPr>
        <w:t xml:space="preserve"> </w:t>
      </w:r>
      <w:r w:rsidR="00846988" w:rsidRPr="00B82C6A">
        <w:rPr>
          <w:bCs/>
          <w:szCs w:val="24"/>
        </w:rPr>
        <w:t xml:space="preserve">The pre-PBAC response (p2-3) stated that </w:t>
      </w:r>
      <w:r w:rsidR="00846988" w:rsidRPr="00B82C6A">
        <w:rPr>
          <w:rFonts w:ascii="Calibri" w:hAnsi="Calibri" w:cs="Calibri"/>
          <w:bCs/>
          <w:lang w:val="en-US"/>
        </w:rPr>
        <w:t>all-cause treatment discontinuation was included in the econo</w:t>
      </w:r>
      <w:r w:rsidR="00583050" w:rsidRPr="00B82C6A">
        <w:rPr>
          <w:rFonts w:ascii="Calibri" w:hAnsi="Calibri" w:cs="Calibri"/>
          <w:bCs/>
          <w:lang w:val="en-US"/>
        </w:rPr>
        <w:t xml:space="preserve">mic evaluation, resulting in an </w:t>
      </w:r>
      <w:r w:rsidR="00846988" w:rsidRPr="00B82C6A">
        <w:rPr>
          <w:rFonts w:ascii="Calibri" w:hAnsi="Calibri" w:cs="Calibri"/>
          <w:bCs/>
          <w:lang w:val="en-US"/>
        </w:rPr>
        <w:t xml:space="preserve">average treatment duration of </w:t>
      </w:r>
      <w:r w:rsidR="00F176AE">
        <w:rPr>
          <w:rFonts w:ascii="Calibri" w:hAnsi="Calibri" w:cs="Calibri"/>
          <w:bCs/>
          <w:noProof/>
          <w:color w:val="000000"/>
          <w:highlight w:val="black"/>
          <w:lang w:val="en-US"/>
        </w:rPr>
        <w:t>'''''''''' '''''''''''</w:t>
      </w:r>
      <w:r w:rsidR="00846988" w:rsidRPr="00B82C6A">
        <w:rPr>
          <w:rFonts w:ascii="Calibri" w:hAnsi="Calibri" w:cs="Calibri"/>
          <w:bCs/>
          <w:lang w:val="en-US"/>
        </w:rPr>
        <w:t xml:space="preserve"> over a 56 year time horizon. The pre-PBAC response (p3) claimed that results of the open label extension period presented in the submission confirmed or exceeded the results observed during the duration of the initial pivotal trial, and that there is no evidence of treatment effect waning. </w:t>
      </w:r>
      <w:r w:rsidR="004D300E" w:rsidRPr="00B82C6A">
        <w:rPr>
          <w:rFonts w:ascii="Calibri" w:hAnsi="Calibri" w:cs="Calibri"/>
          <w:bCs/>
          <w:lang w:val="en-US"/>
        </w:rPr>
        <w:t xml:space="preserve">The PBAC noted that the primary analysis was based on 120 weeks of follow up, and that the extended period was based on 144 weeks of follow up. The PBAC agreed with the ESC that there was no evidence that ocrelizumab’s treatment effect would be maintained over 56 years, particularly given the marginal absolute differences in treatment effect between ocrelizumab and placebo. </w:t>
      </w:r>
    </w:p>
    <w:p w:rsidR="00DB4E5A" w:rsidRPr="00B82C6A" w:rsidRDefault="00200362" w:rsidP="00FF615A">
      <w:pPr>
        <w:pStyle w:val="ListParagraph"/>
        <w:numPr>
          <w:ilvl w:val="1"/>
          <w:numId w:val="1"/>
        </w:numPr>
        <w:ind w:left="720" w:hanging="720"/>
        <w:jc w:val="both"/>
      </w:pPr>
      <w:r w:rsidRPr="00D54E8B">
        <w:rPr>
          <w:szCs w:val="24"/>
        </w:rPr>
        <w:t xml:space="preserve">The PSCR (p5) stated that </w:t>
      </w:r>
      <w:r w:rsidRPr="00D54E8B">
        <w:rPr>
          <w:bCs/>
          <w:szCs w:val="24"/>
        </w:rPr>
        <w:t>EDSS-specific mortality multipliers were applied to the background mortality estimates because MS patients have a greater risk of mortality than the general population. The PSCR argued that the survival benefit modelled in the economic evaluation is a direct result of the applied increased mortality risk associated with increased disability. The PSCR argued given that treatment with ocrelizumab delays disability progression, treated patients remain longer in lower EDSS health states which results in a slightly decreased mortality risk compared to untreated patients.</w:t>
      </w:r>
      <w:r w:rsidR="0036006F" w:rsidRPr="00D54E8B">
        <w:rPr>
          <w:bCs/>
          <w:szCs w:val="24"/>
        </w:rPr>
        <w:t xml:space="preserve"> The ESC noted that the EDSS-specific mortality multipliers were sourced from a long-term observational study in Denmark published in 1997</w:t>
      </w:r>
      <w:r w:rsidR="00AF6940" w:rsidRPr="00D54E8B">
        <w:rPr>
          <w:bCs/>
          <w:szCs w:val="24"/>
        </w:rPr>
        <w:t xml:space="preserve"> (Pokorski)</w:t>
      </w:r>
      <w:r w:rsidR="0036006F" w:rsidRPr="00D54E8B">
        <w:rPr>
          <w:bCs/>
          <w:szCs w:val="24"/>
        </w:rPr>
        <w:t>. The ESC noted that there were a number of translation issues associated with u</w:t>
      </w:r>
      <w:r w:rsidR="003070F6" w:rsidRPr="00D54E8B">
        <w:rPr>
          <w:bCs/>
          <w:szCs w:val="24"/>
        </w:rPr>
        <w:t>sing this study, including, historical</w:t>
      </w:r>
      <w:r w:rsidR="0036006F" w:rsidRPr="00D54E8B">
        <w:rPr>
          <w:bCs/>
          <w:szCs w:val="24"/>
        </w:rPr>
        <w:t xml:space="preserve"> data</w:t>
      </w:r>
      <w:r w:rsidR="003070F6" w:rsidRPr="00D54E8B">
        <w:rPr>
          <w:bCs/>
          <w:szCs w:val="24"/>
        </w:rPr>
        <w:t xml:space="preserve">, regional difference, </w:t>
      </w:r>
      <w:r w:rsidR="00DB4E5A" w:rsidRPr="00D54E8B">
        <w:rPr>
          <w:bCs/>
          <w:szCs w:val="24"/>
        </w:rPr>
        <w:t>inclusion of all types of MS patients, and unclear methods relying on broad classifications such as</w:t>
      </w:r>
      <w:r w:rsidR="00DB4E5A">
        <w:rPr>
          <w:bCs/>
          <w:i/>
          <w:szCs w:val="24"/>
        </w:rPr>
        <w:t xml:space="preserve"> </w:t>
      </w:r>
      <w:r w:rsidR="00DB4E5A" w:rsidRPr="00D54E8B">
        <w:rPr>
          <w:bCs/>
          <w:szCs w:val="24"/>
        </w:rPr>
        <w:t xml:space="preserve">‘definite’, ‘probable’ and ‘possible’ MS, and ‘mild’, ‘moderate’ and ‘severe’ disease. The ESC considered that the incorporation of survival gain in the model through using this approach, which was not demonstrated in the pivotal trial, was not </w:t>
      </w:r>
      <w:r w:rsidR="00DB4E5A" w:rsidRPr="00B82C6A">
        <w:rPr>
          <w:bCs/>
          <w:szCs w:val="24"/>
        </w:rPr>
        <w:t xml:space="preserve">adequately justified.  </w:t>
      </w:r>
    </w:p>
    <w:p w:rsidR="00211A52" w:rsidRPr="00B82C6A" w:rsidRDefault="00211A52" w:rsidP="00FF615A">
      <w:pPr>
        <w:pStyle w:val="ListParagraph"/>
        <w:numPr>
          <w:ilvl w:val="1"/>
          <w:numId w:val="1"/>
        </w:numPr>
        <w:ind w:left="720" w:hanging="720"/>
        <w:jc w:val="both"/>
      </w:pPr>
      <w:r w:rsidRPr="00B82C6A">
        <w:rPr>
          <w:bCs/>
          <w:szCs w:val="24"/>
        </w:rPr>
        <w:t xml:space="preserve">The pre-PBAC response (p2) </w:t>
      </w:r>
      <w:r w:rsidRPr="00B82C6A">
        <w:rPr>
          <w:rFonts w:ascii="Calibri" w:hAnsi="Calibri" w:cs="Calibri"/>
          <w:bCs/>
        </w:rPr>
        <w:t>acknowledged that the available evidence from ORATORIO was insufficient to directly claim a survival ben</w:t>
      </w:r>
      <w:r w:rsidR="00060153" w:rsidRPr="00B82C6A">
        <w:rPr>
          <w:rFonts w:ascii="Calibri" w:hAnsi="Calibri" w:cs="Calibri"/>
          <w:bCs/>
        </w:rPr>
        <w:t xml:space="preserve">efit for ocrelizumab. </w:t>
      </w:r>
      <w:r w:rsidR="00E5389A">
        <w:rPr>
          <w:rFonts w:ascii="Calibri" w:hAnsi="Calibri" w:cs="Calibri"/>
          <w:bCs/>
        </w:rPr>
        <w:t>However, the pre-PBAC response argued</w:t>
      </w:r>
      <w:r w:rsidR="00060153" w:rsidRPr="00B82C6A">
        <w:rPr>
          <w:rFonts w:ascii="Calibri" w:hAnsi="Calibri" w:cs="Calibri"/>
          <w:bCs/>
        </w:rPr>
        <w:t xml:space="preserve"> </w:t>
      </w:r>
      <w:r w:rsidRPr="00B82C6A">
        <w:rPr>
          <w:rFonts w:ascii="Calibri" w:hAnsi="Calibri" w:cs="Calibri"/>
          <w:bCs/>
        </w:rPr>
        <w:t>that as mortality relative to the general population has been shown in the literature (unrelated to ORATORIO) to increase with greater disability, a treatment effectively delaying disability progression must also</w:t>
      </w:r>
      <w:r w:rsidR="00E5389A">
        <w:rPr>
          <w:rFonts w:ascii="Calibri" w:hAnsi="Calibri" w:cs="Calibri"/>
          <w:bCs/>
        </w:rPr>
        <w:t xml:space="preserve"> therefore</w:t>
      </w:r>
      <w:r w:rsidRPr="00B82C6A">
        <w:rPr>
          <w:rFonts w:ascii="Calibri" w:hAnsi="Calibri" w:cs="Calibri"/>
          <w:bCs/>
        </w:rPr>
        <w:t xml:space="preserve"> improve survival. The pre-PBAC response </w:t>
      </w:r>
      <w:r w:rsidR="00E5389A">
        <w:rPr>
          <w:rFonts w:ascii="Calibri" w:hAnsi="Calibri" w:cs="Calibri"/>
          <w:bCs/>
        </w:rPr>
        <w:t xml:space="preserve">also </w:t>
      </w:r>
      <w:r w:rsidRPr="00B82C6A">
        <w:rPr>
          <w:rFonts w:ascii="Calibri" w:hAnsi="Calibri" w:cs="Calibri"/>
          <w:bCs/>
        </w:rPr>
        <w:t>argued that the small survival benefit modelled (</w:t>
      </w:r>
      <w:r w:rsidR="00F176AE">
        <w:rPr>
          <w:rFonts w:ascii="Calibri" w:hAnsi="Calibri" w:cs="Calibri"/>
          <w:bCs/>
          <w:noProof/>
          <w:color w:val="000000"/>
          <w:highlight w:val="black"/>
        </w:rPr>
        <w:t>'''''''''''</w:t>
      </w:r>
      <w:r w:rsidRPr="00B82C6A">
        <w:rPr>
          <w:rFonts w:ascii="Calibri" w:hAnsi="Calibri" w:cs="Calibri"/>
          <w:bCs/>
        </w:rPr>
        <w:t xml:space="preserve"> life years) is plausible as a consequence of the treatment effect of ocrelizumab on disa</w:t>
      </w:r>
      <w:r w:rsidR="00060153" w:rsidRPr="00B82C6A">
        <w:rPr>
          <w:rFonts w:ascii="Calibri" w:hAnsi="Calibri" w:cs="Calibri"/>
          <w:bCs/>
        </w:rPr>
        <w:t>bility progression, and that this</w:t>
      </w:r>
      <w:r w:rsidRPr="00B82C6A">
        <w:rPr>
          <w:rFonts w:ascii="Calibri" w:hAnsi="Calibri" w:cs="Calibri"/>
          <w:bCs/>
        </w:rPr>
        <w:t xml:space="preserve"> small survival benefit would not be detectable in a short term clinical trial with limited patient numbers. </w:t>
      </w:r>
    </w:p>
    <w:p w:rsidR="002F0C7B" w:rsidRPr="00B82C6A" w:rsidRDefault="001229DA" w:rsidP="00FF615A">
      <w:pPr>
        <w:pStyle w:val="ListParagraph"/>
        <w:numPr>
          <w:ilvl w:val="1"/>
          <w:numId w:val="1"/>
        </w:numPr>
        <w:ind w:left="720" w:hanging="720"/>
        <w:jc w:val="both"/>
      </w:pPr>
      <w:r w:rsidRPr="00B82C6A">
        <w:t>Table 8</w:t>
      </w:r>
      <w:r w:rsidR="00ED2F7A" w:rsidRPr="00B82C6A">
        <w:t xml:space="preserve"> presents results of the stepped economic evaluation</w:t>
      </w:r>
      <w:r w:rsidR="005571C7" w:rsidRPr="00B82C6A">
        <w:t>.</w:t>
      </w:r>
    </w:p>
    <w:p w:rsidR="00C317F3" w:rsidRPr="00B82C6A" w:rsidRDefault="001A7DD9" w:rsidP="00772501">
      <w:pPr>
        <w:pStyle w:val="TableHeading0"/>
      </w:pPr>
      <w:r w:rsidRPr="00B82C6A">
        <w:t>Table 8</w:t>
      </w:r>
      <w:r w:rsidR="00C317F3" w:rsidRPr="00B82C6A">
        <w:t>: Results of the stepped economic evaluation</w:t>
      </w:r>
      <w:r w:rsidR="001C0169" w:rsidRPr="00B82C6A">
        <w:t xml:space="preserve"> based on the proposed effective price of ocrelizumab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43"/>
        <w:gridCol w:w="2065"/>
        <w:gridCol w:w="2069"/>
        <w:gridCol w:w="2205"/>
      </w:tblGrid>
      <w:tr w:rsidR="001C0169" w:rsidRPr="00B82C6A" w:rsidTr="008C705B">
        <w:trPr>
          <w:tblHeader/>
        </w:trPr>
        <w:tc>
          <w:tcPr>
            <w:tcW w:w="1510" w:type="pct"/>
            <w:vAlign w:val="center"/>
          </w:tcPr>
          <w:p w:rsidR="001C0169" w:rsidRPr="00B82C6A" w:rsidRDefault="001C0169" w:rsidP="008C705B">
            <w:pPr>
              <w:pStyle w:val="TableText"/>
              <w:rPr>
                <w:b/>
              </w:rPr>
            </w:pPr>
            <w:r w:rsidRPr="00B82C6A">
              <w:rPr>
                <w:b/>
              </w:rPr>
              <w:t>Step and component</w:t>
            </w:r>
          </w:p>
        </w:tc>
        <w:tc>
          <w:tcPr>
            <w:tcW w:w="1137" w:type="pct"/>
            <w:vAlign w:val="center"/>
          </w:tcPr>
          <w:p w:rsidR="001C0169" w:rsidRPr="00B82C6A" w:rsidRDefault="001C0169" w:rsidP="008C705B">
            <w:pPr>
              <w:pStyle w:val="TableText"/>
              <w:jc w:val="center"/>
              <w:rPr>
                <w:b/>
              </w:rPr>
            </w:pPr>
            <w:r w:rsidRPr="00B82C6A">
              <w:rPr>
                <w:b/>
              </w:rPr>
              <w:t>Ocrelizumab</w:t>
            </w:r>
          </w:p>
        </w:tc>
        <w:tc>
          <w:tcPr>
            <w:tcW w:w="1139" w:type="pct"/>
            <w:vAlign w:val="center"/>
          </w:tcPr>
          <w:p w:rsidR="001C0169" w:rsidRPr="00B82C6A" w:rsidRDefault="001C0169" w:rsidP="008C705B">
            <w:pPr>
              <w:pStyle w:val="TableText"/>
              <w:jc w:val="center"/>
              <w:rPr>
                <w:b/>
              </w:rPr>
            </w:pPr>
            <w:r w:rsidRPr="00B82C6A">
              <w:rPr>
                <w:b/>
              </w:rPr>
              <w:t>BSC</w:t>
            </w:r>
          </w:p>
        </w:tc>
        <w:tc>
          <w:tcPr>
            <w:tcW w:w="1214" w:type="pct"/>
            <w:vAlign w:val="center"/>
          </w:tcPr>
          <w:p w:rsidR="001C0169" w:rsidRPr="00B82C6A" w:rsidRDefault="001C0169" w:rsidP="008C705B">
            <w:pPr>
              <w:pStyle w:val="TableText"/>
              <w:jc w:val="center"/>
              <w:rPr>
                <w:b/>
              </w:rPr>
            </w:pPr>
            <w:r w:rsidRPr="00B82C6A">
              <w:rPr>
                <w:b/>
              </w:rPr>
              <w:t>Increment</w:t>
            </w:r>
          </w:p>
        </w:tc>
      </w:tr>
      <w:tr w:rsidR="001C0169" w:rsidRPr="00D54E8B" w:rsidTr="008C705B">
        <w:tc>
          <w:tcPr>
            <w:tcW w:w="5000" w:type="pct"/>
            <w:gridSpan w:val="4"/>
            <w:vAlign w:val="center"/>
          </w:tcPr>
          <w:p w:rsidR="001C0169" w:rsidRPr="00D54E8B" w:rsidRDefault="001C0169" w:rsidP="008C705B">
            <w:pPr>
              <w:pStyle w:val="TableText"/>
              <w:rPr>
                <w:b/>
                <w:snapToGrid w:val="0"/>
              </w:rPr>
            </w:pPr>
            <w:r w:rsidRPr="00D54E8B">
              <w:rPr>
                <w:b/>
                <w:snapToGrid w:val="0"/>
              </w:rPr>
              <w:t>Step 1: Trial-based costs and outcomes</w:t>
            </w:r>
          </w:p>
        </w:tc>
      </w:tr>
      <w:tr w:rsidR="001C0169" w:rsidRPr="00D54E8B" w:rsidTr="008C705B">
        <w:tc>
          <w:tcPr>
            <w:tcW w:w="1510" w:type="pct"/>
            <w:vAlign w:val="center"/>
          </w:tcPr>
          <w:p w:rsidR="001C0169" w:rsidRPr="00D54E8B" w:rsidRDefault="001C0169" w:rsidP="008C705B">
            <w:pPr>
              <w:pStyle w:val="TableText"/>
              <w:rPr>
                <w:rFonts w:ascii="Times" w:eastAsia="Times New Roman" w:hAnsi="Times" w:cs="Times New Roman"/>
              </w:rPr>
            </w:pPr>
            <w:r w:rsidRPr="00D54E8B">
              <w:t>Costs</w:t>
            </w:r>
          </w:p>
        </w:tc>
        <w:tc>
          <w:tcPr>
            <w:tcW w:w="1137" w:type="pct"/>
            <w:vAlign w:val="center"/>
          </w:tcPr>
          <w:p w:rsidR="001C0169" w:rsidRPr="00D54E8B" w:rsidRDefault="001C0169" w:rsidP="008C705B">
            <w:pPr>
              <w:pStyle w:val="TableText"/>
              <w:jc w:val="center"/>
              <w:rPr>
                <w:rFonts w:ascii="Times" w:eastAsia="Times New Roman" w:hAnsi="Times" w:cs="Times New Roman"/>
              </w:rPr>
            </w:pPr>
            <w:r w:rsidRPr="00D54E8B">
              <w:t>$</w:t>
            </w:r>
            <w:r w:rsidR="00F176AE">
              <w:rPr>
                <w:noProof/>
                <w:color w:val="000000"/>
                <w:highlight w:val="black"/>
              </w:rPr>
              <w:t>'''''''''''''''</w:t>
            </w:r>
          </w:p>
        </w:tc>
        <w:tc>
          <w:tcPr>
            <w:tcW w:w="1139" w:type="pct"/>
            <w:vAlign w:val="center"/>
          </w:tcPr>
          <w:p w:rsidR="001C0169" w:rsidRPr="00D54E8B" w:rsidRDefault="001C0169" w:rsidP="008C705B">
            <w:pPr>
              <w:pStyle w:val="TableText"/>
              <w:jc w:val="center"/>
              <w:rPr>
                <w:rFonts w:ascii="Times" w:eastAsia="Times New Roman" w:hAnsi="Times" w:cs="Times New Roman"/>
              </w:rPr>
            </w:pPr>
            <w:r w:rsidRPr="00D54E8B">
              <w:t>0</w:t>
            </w:r>
          </w:p>
        </w:tc>
        <w:tc>
          <w:tcPr>
            <w:tcW w:w="1214" w:type="pct"/>
            <w:vAlign w:val="center"/>
          </w:tcPr>
          <w:p w:rsidR="001C0169" w:rsidRPr="00D54E8B" w:rsidRDefault="001C0169" w:rsidP="008C705B">
            <w:pPr>
              <w:pStyle w:val="TableText"/>
              <w:jc w:val="center"/>
              <w:rPr>
                <w:rFonts w:ascii="Times" w:eastAsia="Times New Roman" w:hAnsi="Times" w:cs="Times New Roman"/>
              </w:rPr>
            </w:pPr>
            <w:r w:rsidRPr="00D54E8B">
              <w:t>$</w:t>
            </w:r>
            <w:r w:rsidR="00F176AE">
              <w:rPr>
                <w:noProof/>
                <w:color w:val="000000"/>
                <w:highlight w:val="black"/>
              </w:rPr>
              <w:t>'''''''''''''''''</w:t>
            </w:r>
          </w:p>
        </w:tc>
      </w:tr>
      <w:tr w:rsidR="001C0169" w:rsidRPr="00D54E8B" w:rsidTr="008C705B">
        <w:tc>
          <w:tcPr>
            <w:tcW w:w="1510" w:type="pct"/>
            <w:vAlign w:val="center"/>
          </w:tcPr>
          <w:p w:rsidR="001C0169" w:rsidRPr="00D54E8B" w:rsidRDefault="001C0169" w:rsidP="008C705B">
            <w:pPr>
              <w:pStyle w:val="TableText"/>
              <w:rPr>
                <w:rFonts w:ascii="Times" w:eastAsia="Times New Roman" w:hAnsi="Times" w:cs="Times New Roman"/>
              </w:rPr>
            </w:pPr>
            <w:r w:rsidRPr="00D54E8B">
              <w:t>LY</w:t>
            </w:r>
          </w:p>
        </w:tc>
        <w:tc>
          <w:tcPr>
            <w:tcW w:w="1137" w:type="pct"/>
            <w:vAlign w:val="center"/>
          </w:tcPr>
          <w:p w:rsidR="001C0169" w:rsidRPr="00F176AE" w:rsidRDefault="00F176AE" w:rsidP="008C705B">
            <w:pPr>
              <w:pStyle w:val="TableText"/>
              <w:jc w:val="center"/>
              <w:rPr>
                <w:highlight w:val="black"/>
              </w:rPr>
            </w:pPr>
            <w:r>
              <w:rPr>
                <w:noProof/>
                <w:color w:val="000000"/>
                <w:highlight w:val="black"/>
              </w:rPr>
              <w:t>'''''''''''''</w:t>
            </w:r>
          </w:p>
        </w:tc>
        <w:tc>
          <w:tcPr>
            <w:tcW w:w="1139" w:type="pct"/>
            <w:vAlign w:val="center"/>
          </w:tcPr>
          <w:p w:rsidR="001C0169" w:rsidRPr="00F176AE" w:rsidRDefault="00F176AE" w:rsidP="008C705B">
            <w:pPr>
              <w:pStyle w:val="TableText"/>
              <w:jc w:val="center"/>
              <w:rPr>
                <w:highlight w:val="black"/>
              </w:rPr>
            </w:pPr>
            <w:r>
              <w:rPr>
                <w:noProof/>
                <w:color w:val="000000"/>
                <w:highlight w:val="black"/>
              </w:rPr>
              <w:t>''''''''''''''</w:t>
            </w:r>
          </w:p>
        </w:tc>
        <w:tc>
          <w:tcPr>
            <w:tcW w:w="1214" w:type="pct"/>
            <w:vAlign w:val="center"/>
          </w:tcPr>
          <w:p w:rsidR="001C0169" w:rsidRPr="00F176AE" w:rsidRDefault="00F176AE" w:rsidP="008C705B">
            <w:pPr>
              <w:pStyle w:val="TableText"/>
              <w:jc w:val="center"/>
              <w:rPr>
                <w:highlight w:val="black"/>
              </w:rPr>
            </w:pPr>
            <w:r>
              <w:rPr>
                <w:noProof/>
                <w:color w:val="000000"/>
                <w:highlight w:val="black"/>
              </w:rPr>
              <w:t>'''''''''''''</w:t>
            </w:r>
          </w:p>
        </w:tc>
      </w:tr>
      <w:tr w:rsidR="001C0169" w:rsidRPr="00D54E8B" w:rsidTr="008C705B">
        <w:tc>
          <w:tcPr>
            <w:tcW w:w="1510" w:type="pct"/>
            <w:vAlign w:val="center"/>
          </w:tcPr>
          <w:p w:rsidR="001C0169" w:rsidRPr="00D54E8B" w:rsidRDefault="001C0169" w:rsidP="008C705B">
            <w:pPr>
              <w:pStyle w:val="TableText"/>
            </w:pPr>
            <w:r w:rsidRPr="00D54E8B">
              <w:t>QALY</w:t>
            </w:r>
          </w:p>
        </w:tc>
        <w:tc>
          <w:tcPr>
            <w:tcW w:w="1137" w:type="pct"/>
            <w:vAlign w:val="center"/>
          </w:tcPr>
          <w:p w:rsidR="001C0169" w:rsidRPr="00F176AE" w:rsidRDefault="00F176AE" w:rsidP="008C705B">
            <w:pPr>
              <w:pStyle w:val="TableText"/>
              <w:jc w:val="center"/>
              <w:rPr>
                <w:highlight w:val="black"/>
              </w:rPr>
            </w:pPr>
            <w:r>
              <w:rPr>
                <w:noProof/>
                <w:color w:val="000000"/>
                <w:highlight w:val="black"/>
              </w:rPr>
              <w:t>''''''''''''''</w:t>
            </w:r>
          </w:p>
        </w:tc>
        <w:tc>
          <w:tcPr>
            <w:tcW w:w="1139" w:type="pct"/>
            <w:vAlign w:val="center"/>
          </w:tcPr>
          <w:p w:rsidR="001C0169" w:rsidRPr="00F176AE" w:rsidRDefault="00F176AE" w:rsidP="008C705B">
            <w:pPr>
              <w:pStyle w:val="TableText"/>
              <w:jc w:val="center"/>
              <w:rPr>
                <w:highlight w:val="black"/>
              </w:rPr>
            </w:pPr>
            <w:r>
              <w:rPr>
                <w:noProof/>
                <w:color w:val="000000"/>
                <w:highlight w:val="black"/>
              </w:rPr>
              <w:t>'''''''''''''''</w:t>
            </w:r>
          </w:p>
        </w:tc>
        <w:tc>
          <w:tcPr>
            <w:tcW w:w="1214" w:type="pct"/>
            <w:vAlign w:val="center"/>
          </w:tcPr>
          <w:p w:rsidR="001C0169" w:rsidRPr="00F176AE" w:rsidRDefault="00F176AE" w:rsidP="008C705B">
            <w:pPr>
              <w:pStyle w:val="TableText"/>
              <w:jc w:val="center"/>
              <w:rPr>
                <w:highlight w:val="black"/>
              </w:rPr>
            </w:pPr>
            <w:r>
              <w:rPr>
                <w:noProof/>
                <w:color w:val="000000"/>
                <w:highlight w:val="black"/>
              </w:rPr>
              <w:t>''''''''''''''</w:t>
            </w:r>
          </w:p>
        </w:tc>
      </w:tr>
      <w:tr w:rsidR="001C0169" w:rsidRPr="00D54E8B" w:rsidTr="008C705B">
        <w:tc>
          <w:tcPr>
            <w:tcW w:w="3786" w:type="pct"/>
            <w:gridSpan w:val="3"/>
            <w:vAlign w:val="center"/>
          </w:tcPr>
          <w:p w:rsidR="001C0169" w:rsidRPr="00D54E8B" w:rsidRDefault="001C0169" w:rsidP="008C705B">
            <w:pPr>
              <w:pStyle w:val="TableText"/>
              <w:rPr>
                <w:rFonts w:ascii="Times" w:eastAsia="Times New Roman" w:hAnsi="Times" w:cs="Times New Roman"/>
                <w:snapToGrid w:val="0"/>
              </w:rPr>
            </w:pPr>
            <w:r w:rsidRPr="00D54E8B">
              <w:t>Incremental cost/QALY gained</w:t>
            </w:r>
          </w:p>
        </w:tc>
        <w:tc>
          <w:tcPr>
            <w:tcW w:w="1214" w:type="pct"/>
            <w:vAlign w:val="center"/>
          </w:tcPr>
          <w:p w:rsidR="001C0169" w:rsidRPr="00D54E8B" w:rsidRDefault="001C0169" w:rsidP="008C705B">
            <w:pPr>
              <w:pStyle w:val="TableText"/>
              <w:jc w:val="center"/>
              <w:rPr>
                <w:rFonts w:ascii="Times" w:eastAsia="Times New Roman" w:hAnsi="Times" w:cs="Times New Roman"/>
              </w:rPr>
            </w:pPr>
            <w:r w:rsidRPr="00D54E8B">
              <w:t>$</w:t>
            </w:r>
            <w:r w:rsidR="00F176AE">
              <w:rPr>
                <w:noProof/>
                <w:color w:val="000000"/>
                <w:highlight w:val="black"/>
              </w:rPr>
              <w:t>'''''''''''''''''''''''</w:t>
            </w:r>
          </w:p>
        </w:tc>
      </w:tr>
      <w:tr w:rsidR="001C0169" w:rsidRPr="00D54E8B" w:rsidTr="008C705B">
        <w:tc>
          <w:tcPr>
            <w:tcW w:w="5000" w:type="pct"/>
            <w:gridSpan w:val="4"/>
            <w:vAlign w:val="center"/>
          </w:tcPr>
          <w:p w:rsidR="001C0169" w:rsidRPr="00D54E8B" w:rsidRDefault="001C0169" w:rsidP="008C705B">
            <w:pPr>
              <w:pStyle w:val="TableText"/>
              <w:rPr>
                <w:b/>
                <w:snapToGrid w:val="0"/>
              </w:rPr>
            </w:pPr>
            <w:r w:rsidRPr="00D54E8B">
              <w:rPr>
                <w:b/>
                <w:snapToGrid w:val="0"/>
              </w:rPr>
              <w:t xml:space="preserve">Step 2: </w:t>
            </w:r>
            <w:r w:rsidRPr="00D54E8B">
              <w:rPr>
                <w:b/>
              </w:rPr>
              <w:t>Extrapolation over lifetime horizon</w:t>
            </w:r>
          </w:p>
        </w:tc>
      </w:tr>
      <w:tr w:rsidR="001C0169" w:rsidRPr="00D54E8B" w:rsidTr="008C705B">
        <w:tc>
          <w:tcPr>
            <w:tcW w:w="1510" w:type="pct"/>
            <w:vAlign w:val="center"/>
          </w:tcPr>
          <w:p w:rsidR="001C0169" w:rsidRPr="00D54E8B" w:rsidRDefault="001C0169" w:rsidP="008C705B">
            <w:pPr>
              <w:pStyle w:val="TableText"/>
              <w:rPr>
                <w:rFonts w:ascii="Times" w:eastAsia="Times New Roman" w:hAnsi="Times" w:cs="Times New Roman"/>
              </w:rPr>
            </w:pPr>
            <w:r w:rsidRPr="00D54E8B">
              <w:t>Costs</w:t>
            </w:r>
          </w:p>
        </w:tc>
        <w:tc>
          <w:tcPr>
            <w:tcW w:w="1137" w:type="pct"/>
            <w:vAlign w:val="center"/>
          </w:tcPr>
          <w:p w:rsidR="001C0169" w:rsidRPr="00D54E8B" w:rsidRDefault="001C0169" w:rsidP="008C705B">
            <w:pPr>
              <w:pStyle w:val="TableText"/>
              <w:jc w:val="center"/>
              <w:rPr>
                <w:rFonts w:ascii="Times" w:eastAsia="Times New Roman" w:hAnsi="Times" w:cs="Times New Roman"/>
              </w:rPr>
            </w:pPr>
            <w:r w:rsidRPr="00D54E8B">
              <w:t>$</w:t>
            </w:r>
            <w:r w:rsidR="00F176AE">
              <w:rPr>
                <w:noProof/>
                <w:color w:val="000000"/>
                <w:highlight w:val="black"/>
              </w:rPr>
              <w:t>''''''''''''''''''</w:t>
            </w:r>
          </w:p>
        </w:tc>
        <w:tc>
          <w:tcPr>
            <w:tcW w:w="1139" w:type="pct"/>
            <w:vAlign w:val="center"/>
          </w:tcPr>
          <w:p w:rsidR="001C0169" w:rsidRPr="00D54E8B" w:rsidRDefault="001C0169" w:rsidP="008C705B">
            <w:pPr>
              <w:pStyle w:val="TableText"/>
              <w:jc w:val="center"/>
              <w:rPr>
                <w:rFonts w:ascii="Times" w:eastAsia="Times New Roman" w:hAnsi="Times" w:cs="Times New Roman"/>
              </w:rPr>
            </w:pPr>
            <w:r w:rsidRPr="00D54E8B">
              <w:t>0</w:t>
            </w:r>
          </w:p>
        </w:tc>
        <w:tc>
          <w:tcPr>
            <w:tcW w:w="1214" w:type="pct"/>
            <w:vAlign w:val="center"/>
          </w:tcPr>
          <w:p w:rsidR="001C0169" w:rsidRPr="00D54E8B" w:rsidRDefault="001C0169" w:rsidP="008C705B">
            <w:pPr>
              <w:pStyle w:val="TableText"/>
              <w:jc w:val="center"/>
              <w:rPr>
                <w:rFonts w:ascii="Times" w:eastAsia="Times New Roman" w:hAnsi="Times" w:cs="Times New Roman"/>
              </w:rPr>
            </w:pPr>
            <w:r w:rsidRPr="00D54E8B">
              <w:t>$</w:t>
            </w:r>
            <w:r w:rsidR="00F176AE">
              <w:rPr>
                <w:noProof/>
                <w:color w:val="000000"/>
                <w:highlight w:val="black"/>
              </w:rPr>
              <w:t>'''''''''''''''''''''</w:t>
            </w:r>
          </w:p>
        </w:tc>
      </w:tr>
      <w:tr w:rsidR="001C0169" w:rsidRPr="00D54E8B" w:rsidTr="008C705B">
        <w:tc>
          <w:tcPr>
            <w:tcW w:w="1510" w:type="pct"/>
            <w:vAlign w:val="center"/>
          </w:tcPr>
          <w:p w:rsidR="001C0169" w:rsidRPr="00D54E8B" w:rsidRDefault="001C0169" w:rsidP="008C705B">
            <w:pPr>
              <w:pStyle w:val="TableText"/>
              <w:rPr>
                <w:rFonts w:ascii="Times" w:eastAsia="Times New Roman" w:hAnsi="Times" w:cs="Times New Roman"/>
              </w:rPr>
            </w:pPr>
            <w:r w:rsidRPr="00D54E8B">
              <w:t>LY</w:t>
            </w:r>
          </w:p>
        </w:tc>
        <w:tc>
          <w:tcPr>
            <w:tcW w:w="1137"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c>
          <w:tcPr>
            <w:tcW w:w="1139"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c>
          <w:tcPr>
            <w:tcW w:w="1214"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r>
      <w:tr w:rsidR="001C0169" w:rsidRPr="00D54E8B" w:rsidTr="008C705B">
        <w:tc>
          <w:tcPr>
            <w:tcW w:w="1510" w:type="pct"/>
            <w:vAlign w:val="center"/>
          </w:tcPr>
          <w:p w:rsidR="001C0169" w:rsidRPr="00D54E8B" w:rsidRDefault="001C0169" w:rsidP="008C705B">
            <w:pPr>
              <w:pStyle w:val="TableText"/>
            </w:pPr>
            <w:r w:rsidRPr="00D54E8B">
              <w:t>QALY</w:t>
            </w:r>
          </w:p>
        </w:tc>
        <w:tc>
          <w:tcPr>
            <w:tcW w:w="1137"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c>
          <w:tcPr>
            <w:tcW w:w="1139"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c>
          <w:tcPr>
            <w:tcW w:w="1214"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r>
      <w:tr w:rsidR="001C0169" w:rsidRPr="00D54E8B" w:rsidTr="008C705B">
        <w:tc>
          <w:tcPr>
            <w:tcW w:w="3786" w:type="pct"/>
            <w:gridSpan w:val="3"/>
            <w:vAlign w:val="center"/>
          </w:tcPr>
          <w:p w:rsidR="001C0169" w:rsidRPr="00D54E8B" w:rsidRDefault="001C0169" w:rsidP="008C705B">
            <w:pPr>
              <w:pStyle w:val="TableText"/>
              <w:rPr>
                <w:rFonts w:ascii="Times" w:eastAsia="Times New Roman" w:hAnsi="Times" w:cs="Times New Roman"/>
                <w:snapToGrid w:val="0"/>
              </w:rPr>
            </w:pPr>
            <w:r w:rsidRPr="00D54E8B">
              <w:t>Incremental cost/QALY gained</w:t>
            </w:r>
          </w:p>
        </w:tc>
        <w:tc>
          <w:tcPr>
            <w:tcW w:w="1214"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r>
      <w:tr w:rsidR="001C0169" w:rsidRPr="00D54E8B" w:rsidTr="008C705B">
        <w:tc>
          <w:tcPr>
            <w:tcW w:w="5000" w:type="pct"/>
            <w:gridSpan w:val="4"/>
            <w:vAlign w:val="center"/>
          </w:tcPr>
          <w:p w:rsidR="001C0169" w:rsidRPr="00D54E8B" w:rsidRDefault="001C0169" w:rsidP="008C705B">
            <w:pPr>
              <w:pStyle w:val="TableText"/>
              <w:rPr>
                <w:b/>
                <w:snapToGrid w:val="0"/>
              </w:rPr>
            </w:pPr>
            <w:r w:rsidRPr="00D54E8B">
              <w:rPr>
                <w:b/>
                <w:snapToGrid w:val="0"/>
              </w:rPr>
              <w:t>Step 3: Inclusion of resource costs</w:t>
            </w:r>
          </w:p>
        </w:tc>
      </w:tr>
      <w:tr w:rsidR="001C0169" w:rsidRPr="00D54E8B" w:rsidTr="008C705B">
        <w:tc>
          <w:tcPr>
            <w:tcW w:w="1510" w:type="pct"/>
            <w:vAlign w:val="center"/>
          </w:tcPr>
          <w:p w:rsidR="001C0169" w:rsidRPr="00D54E8B" w:rsidRDefault="001C0169" w:rsidP="008C705B">
            <w:pPr>
              <w:pStyle w:val="TableText"/>
              <w:rPr>
                <w:rFonts w:ascii="Times" w:eastAsia="Times New Roman" w:hAnsi="Times" w:cs="Times New Roman"/>
              </w:rPr>
            </w:pPr>
            <w:r w:rsidRPr="00D54E8B">
              <w:t>Costs</w:t>
            </w:r>
          </w:p>
        </w:tc>
        <w:tc>
          <w:tcPr>
            <w:tcW w:w="1137"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c>
          <w:tcPr>
            <w:tcW w:w="1139"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c>
          <w:tcPr>
            <w:tcW w:w="1214"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r>
      <w:tr w:rsidR="001C0169" w:rsidRPr="00D54E8B" w:rsidTr="008C705B">
        <w:tc>
          <w:tcPr>
            <w:tcW w:w="1510" w:type="pct"/>
            <w:vAlign w:val="center"/>
          </w:tcPr>
          <w:p w:rsidR="001C0169" w:rsidRPr="00D54E8B" w:rsidRDefault="001C0169" w:rsidP="008C705B">
            <w:pPr>
              <w:pStyle w:val="TableText"/>
              <w:rPr>
                <w:rFonts w:ascii="Times" w:eastAsia="Times New Roman" w:hAnsi="Times" w:cs="Times New Roman"/>
              </w:rPr>
            </w:pPr>
            <w:r w:rsidRPr="00D54E8B">
              <w:t>LY</w:t>
            </w:r>
          </w:p>
        </w:tc>
        <w:tc>
          <w:tcPr>
            <w:tcW w:w="1137"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c>
          <w:tcPr>
            <w:tcW w:w="1139"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c>
          <w:tcPr>
            <w:tcW w:w="1214"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r>
      <w:tr w:rsidR="001C0169" w:rsidRPr="00D54E8B" w:rsidTr="008C705B">
        <w:tc>
          <w:tcPr>
            <w:tcW w:w="1510" w:type="pct"/>
            <w:vAlign w:val="center"/>
          </w:tcPr>
          <w:p w:rsidR="001C0169" w:rsidRPr="00D54E8B" w:rsidRDefault="001C0169" w:rsidP="008C705B">
            <w:pPr>
              <w:pStyle w:val="TableText"/>
            </w:pPr>
            <w:r w:rsidRPr="00D54E8B">
              <w:t>QALY</w:t>
            </w:r>
          </w:p>
        </w:tc>
        <w:tc>
          <w:tcPr>
            <w:tcW w:w="1137"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c>
          <w:tcPr>
            <w:tcW w:w="1139"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c>
          <w:tcPr>
            <w:tcW w:w="1214"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r>
      <w:tr w:rsidR="001C0169" w:rsidRPr="00D54E8B" w:rsidTr="008C705B">
        <w:tc>
          <w:tcPr>
            <w:tcW w:w="3786" w:type="pct"/>
            <w:gridSpan w:val="3"/>
            <w:vAlign w:val="center"/>
          </w:tcPr>
          <w:p w:rsidR="001C0169" w:rsidRPr="00D54E8B" w:rsidRDefault="001C0169" w:rsidP="008C705B">
            <w:pPr>
              <w:pStyle w:val="TableText"/>
              <w:rPr>
                <w:rFonts w:ascii="Times" w:eastAsia="Times New Roman" w:hAnsi="Times" w:cs="Times New Roman"/>
              </w:rPr>
            </w:pPr>
            <w:r w:rsidRPr="00D54E8B">
              <w:t>Incremental cost/QALY gained</w:t>
            </w:r>
          </w:p>
        </w:tc>
        <w:tc>
          <w:tcPr>
            <w:tcW w:w="1214"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r>
      <w:tr w:rsidR="001C0169" w:rsidRPr="00D54E8B" w:rsidTr="008C705B">
        <w:tc>
          <w:tcPr>
            <w:tcW w:w="5000" w:type="pct"/>
            <w:gridSpan w:val="4"/>
            <w:vAlign w:val="center"/>
          </w:tcPr>
          <w:p w:rsidR="001C0169" w:rsidRPr="00D54E8B" w:rsidRDefault="001C0169" w:rsidP="008C705B">
            <w:pPr>
              <w:pStyle w:val="TableText"/>
              <w:rPr>
                <w:b/>
                <w:snapToGrid w:val="0"/>
              </w:rPr>
            </w:pPr>
            <w:r w:rsidRPr="00D54E8B">
              <w:rPr>
                <w:b/>
                <w:snapToGrid w:val="0"/>
              </w:rPr>
              <w:t>Step 4: Inclusion of AE costs</w:t>
            </w:r>
          </w:p>
        </w:tc>
      </w:tr>
      <w:tr w:rsidR="001C0169" w:rsidRPr="00D54E8B" w:rsidTr="008C705B">
        <w:tc>
          <w:tcPr>
            <w:tcW w:w="1510" w:type="pct"/>
            <w:vAlign w:val="center"/>
          </w:tcPr>
          <w:p w:rsidR="001C0169" w:rsidRPr="00D54E8B" w:rsidRDefault="001C0169" w:rsidP="008C705B">
            <w:pPr>
              <w:pStyle w:val="TableText"/>
              <w:rPr>
                <w:rFonts w:ascii="Times" w:eastAsia="Times New Roman" w:hAnsi="Times" w:cs="Times New Roman"/>
              </w:rPr>
            </w:pPr>
            <w:r w:rsidRPr="00D54E8B">
              <w:t>Costs</w:t>
            </w:r>
          </w:p>
        </w:tc>
        <w:tc>
          <w:tcPr>
            <w:tcW w:w="1137"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c>
          <w:tcPr>
            <w:tcW w:w="1139"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c>
          <w:tcPr>
            <w:tcW w:w="1214"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r>
      <w:tr w:rsidR="001C0169" w:rsidRPr="00D54E8B" w:rsidTr="008C705B">
        <w:tc>
          <w:tcPr>
            <w:tcW w:w="1510" w:type="pct"/>
            <w:vAlign w:val="center"/>
          </w:tcPr>
          <w:p w:rsidR="001C0169" w:rsidRPr="00D54E8B" w:rsidRDefault="001C0169" w:rsidP="008C705B">
            <w:pPr>
              <w:pStyle w:val="TableText"/>
              <w:rPr>
                <w:rFonts w:ascii="Times" w:eastAsia="Times New Roman" w:hAnsi="Times" w:cs="Times New Roman"/>
              </w:rPr>
            </w:pPr>
            <w:r w:rsidRPr="00D54E8B">
              <w:t>LY</w:t>
            </w:r>
          </w:p>
        </w:tc>
        <w:tc>
          <w:tcPr>
            <w:tcW w:w="1137"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c>
          <w:tcPr>
            <w:tcW w:w="1139"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c>
          <w:tcPr>
            <w:tcW w:w="1214" w:type="pct"/>
            <w:vAlign w:val="center"/>
          </w:tcPr>
          <w:p w:rsidR="001C0169" w:rsidRPr="00F176AE" w:rsidRDefault="00F176AE" w:rsidP="008C705B">
            <w:pPr>
              <w:pStyle w:val="TableText"/>
              <w:jc w:val="center"/>
              <w:rPr>
                <w:rFonts w:eastAsia="Times New Roman" w:cs="Times New Roman"/>
                <w:highlight w:val="black"/>
              </w:rPr>
            </w:pPr>
            <w:r>
              <w:rPr>
                <w:rFonts w:eastAsia="Times New Roman" w:cs="Times New Roman"/>
                <w:noProof/>
                <w:color w:val="000000"/>
                <w:highlight w:val="black"/>
              </w:rPr>
              <w:t>'''''''''''''</w:t>
            </w:r>
          </w:p>
        </w:tc>
      </w:tr>
      <w:tr w:rsidR="001C0169" w:rsidRPr="00D54E8B" w:rsidTr="008C705B">
        <w:tc>
          <w:tcPr>
            <w:tcW w:w="1510" w:type="pct"/>
            <w:vAlign w:val="center"/>
          </w:tcPr>
          <w:p w:rsidR="001C0169" w:rsidRPr="00D54E8B" w:rsidRDefault="001C0169" w:rsidP="008C705B">
            <w:pPr>
              <w:pStyle w:val="TableText"/>
            </w:pPr>
            <w:r w:rsidRPr="00D54E8B">
              <w:t>QALY</w:t>
            </w:r>
          </w:p>
        </w:tc>
        <w:tc>
          <w:tcPr>
            <w:tcW w:w="1137"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c>
          <w:tcPr>
            <w:tcW w:w="1139"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c>
          <w:tcPr>
            <w:tcW w:w="1214" w:type="pct"/>
            <w:vAlign w:val="center"/>
          </w:tcPr>
          <w:p w:rsidR="001C0169" w:rsidRPr="00F176AE" w:rsidRDefault="00F176AE" w:rsidP="008C705B">
            <w:pPr>
              <w:pStyle w:val="TableText"/>
              <w:jc w:val="center"/>
              <w:rPr>
                <w:highlight w:val="black"/>
              </w:rPr>
            </w:pPr>
            <w:r>
              <w:rPr>
                <w:rFonts w:eastAsia="Times New Roman" w:cs="Times New Roman"/>
                <w:noProof/>
                <w:color w:val="000000"/>
                <w:highlight w:val="black"/>
              </w:rPr>
              <w:t>'''''''''''''''</w:t>
            </w:r>
          </w:p>
        </w:tc>
      </w:tr>
      <w:tr w:rsidR="001C0169" w:rsidRPr="00D54E8B" w:rsidTr="008C705B">
        <w:tc>
          <w:tcPr>
            <w:tcW w:w="3786" w:type="pct"/>
            <w:gridSpan w:val="3"/>
            <w:vAlign w:val="center"/>
          </w:tcPr>
          <w:p w:rsidR="001C0169" w:rsidRPr="00D54E8B" w:rsidRDefault="001C0169" w:rsidP="008C705B">
            <w:pPr>
              <w:pStyle w:val="TableText"/>
              <w:rPr>
                <w:rFonts w:ascii="Times" w:eastAsia="Times New Roman" w:hAnsi="Times" w:cs="Times New Roman"/>
              </w:rPr>
            </w:pPr>
            <w:r w:rsidRPr="00D54E8B">
              <w:t>Incremental cost/QALY gained</w:t>
            </w:r>
          </w:p>
        </w:tc>
        <w:tc>
          <w:tcPr>
            <w:tcW w:w="1214" w:type="pct"/>
            <w:vAlign w:val="center"/>
          </w:tcPr>
          <w:p w:rsidR="001C0169" w:rsidRPr="00D54E8B" w:rsidRDefault="001C0169" w:rsidP="008C705B">
            <w:pPr>
              <w:pStyle w:val="TableText"/>
              <w:jc w:val="center"/>
              <w:rPr>
                <w:rFonts w:ascii="Times" w:eastAsia="Times New Roman" w:hAnsi="Times" w:cs="Times New Roman"/>
              </w:rPr>
            </w:pPr>
            <w:r w:rsidRPr="00D54E8B">
              <w:rPr>
                <w:rFonts w:eastAsia="Times New Roman" w:cs="Times New Roman"/>
              </w:rPr>
              <w:t>$</w:t>
            </w:r>
            <w:r w:rsidR="00F176AE">
              <w:rPr>
                <w:rFonts w:eastAsia="Times New Roman" w:cs="Times New Roman"/>
                <w:noProof/>
                <w:color w:val="000000"/>
                <w:highlight w:val="black"/>
              </w:rPr>
              <w:t>'''''''''''''''''''''</w:t>
            </w:r>
          </w:p>
        </w:tc>
      </w:tr>
    </w:tbl>
    <w:p w:rsidR="00423A55" w:rsidRPr="00BB367E" w:rsidRDefault="00423A55" w:rsidP="00423A55">
      <w:pPr>
        <w:pStyle w:val="TableFooter"/>
      </w:pPr>
      <w:r w:rsidRPr="00BB367E">
        <w:t>Sou</w:t>
      </w:r>
      <w:r w:rsidR="001229DA" w:rsidRPr="00BB367E">
        <w:t xml:space="preserve">rce: Table s 3.8.1-3.8.5, pp </w:t>
      </w:r>
      <w:r w:rsidRPr="00BB367E">
        <w:t xml:space="preserve">118-121 of the submission.  BSC = best supportive care; AE = adverse events; ICER = incremental cost effectiveness ratio; QALY = quality adjusted </w:t>
      </w:r>
      <w:r w:rsidR="00D141A9" w:rsidRPr="00BB367E">
        <w:t>life year</w:t>
      </w:r>
      <w:r w:rsidR="00435240">
        <w:t>; SPA = special pricing arrangement</w:t>
      </w:r>
      <w:r w:rsidRPr="00BB367E">
        <w:t>.</w:t>
      </w:r>
    </w:p>
    <w:p w:rsidR="001A7DD9" w:rsidRPr="00BB367E" w:rsidRDefault="001A7DD9" w:rsidP="00C1390A">
      <w:pPr>
        <w:pStyle w:val="ListParagraph"/>
        <w:numPr>
          <w:ilvl w:val="1"/>
          <w:numId w:val="1"/>
        </w:numPr>
        <w:ind w:left="720" w:hanging="720"/>
        <w:jc w:val="both"/>
      </w:pPr>
      <w:r w:rsidRPr="00BB367E">
        <w:t>The submission stated that the sponsor rec</w:t>
      </w:r>
      <w:r w:rsidR="002052AF" w:rsidRPr="00BB367E">
        <w:t>ognised</w:t>
      </w:r>
      <w:r w:rsidRPr="00BB367E">
        <w:t xml:space="preserve"> ‘the ICER for ocrelizumab in PPMS does not fall within the range of traditionally accepted values’ (p122 of the submission). The </w:t>
      </w:r>
      <w:r w:rsidR="00D141A9" w:rsidRPr="00BB367E">
        <w:t>submission</w:t>
      </w:r>
      <w:r w:rsidRPr="00BB367E">
        <w:t xml:space="preserve"> made a number of arg</w:t>
      </w:r>
      <w:r w:rsidR="008C705B">
        <w:t>uments for why the model results alone</w:t>
      </w:r>
      <w:r w:rsidRPr="00BB367E">
        <w:t xml:space="preserve"> were not suffi</w:t>
      </w:r>
      <w:r w:rsidR="008C705B">
        <w:t>cient</w:t>
      </w:r>
      <w:r w:rsidRPr="00BB367E">
        <w:t xml:space="preserve"> to ass</w:t>
      </w:r>
      <w:r w:rsidR="002052AF" w:rsidRPr="00BB367E">
        <w:t>es</w:t>
      </w:r>
      <w:r w:rsidRPr="00BB367E">
        <w:t>s the holistic value for money of ocrelizumab. These</w:t>
      </w:r>
      <w:r w:rsidR="008C705B">
        <w:t xml:space="preserve"> arguments</w:t>
      </w:r>
      <w:r w:rsidRPr="00BB367E">
        <w:t xml:space="preserve"> are summarised in </w:t>
      </w:r>
      <w:r w:rsidR="001229DA" w:rsidRPr="00BB367E">
        <w:t>Table 9.</w:t>
      </w:r>
    </w:p>
    <w:p w:rsidR="001A7DD9" w:rsidRPr="00BB367E" w:rsidRDefault="001A7DD9" w:rsidP="00ED2F7A">
      <w:pPr>
        <w:pStyle w:val="TableHeader"/>
        <w:keepNext/>
      </w:pPr>
      <w:r w:rsidRPr="00BB367E">
        <w:t>Table 9: The submission’s arguments for unmeasured value in current model</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978"/>
        <w:gridCol w:w="5278"/>
      </w:tblGrid>
      <w:tr w:rsidR="001A7DD9" w:rsidRPr="00BB367E" w:rsidTr="00B42CAE">
        <w:trPr>
          <w:cantSplit/>
          <w:tblHeader/>
        </w:trPr>
        <w:tc>
          <w:tcPr>
            <w:tcW w:w="3978" w:type="dxa"/>
            <w:shd w:val="clear" w:color="auto" w:fill="FFFFFF" w:themeFill="background1"/>
          </w:tcPr>
          <w:p w:rsidR="001A7DD9" w:rsidRPr="00BB367E" w:rsidRDefault="001A7DD9" w:rsidP="001A7DD9">
            <w:pPr>
              <w:pStyle w:val="TableText"/>
              <w:rPr>
                <w:b/>
              </w:rPr>
            </w:pPr>
            <w:r w:rsidRPr="00BB367E">
              <w:rPr>
                <w:b/>
              </w:rPr>
              <w:t>Submission’s argument</w:t>
            </w:r>
          </w:p>
        </w:tc>
        <w:tc>
          <w:tcPr>
            <w:tcW w:w="5278" w:type="dxa"/>
            <w:shd w:val="clear" w:color="auto" w:fill="FFFFFF" w:themeFill="background1"/>
            <w:vAlign w:val="center"/>
          </w:tcPr>
          <w:p w:rsidR="001A7DD9" w:rsidRPr="00BB367E" w:rsidRDefault="001A7DD9" w:rsidP="00B42CAE">
            <w:pPr>
              <w:pStyle w:val="TableText"/>
              <w:jc w:val="center"/>
              <w:rPr>
                <w:b/>
              </w:rPr>
            </w:pPr>
            <w:r w:rsidRPr="00BB367E">
              <w:rPr>
                <w:b/>
              </w:rPr>
              <w:t>Comment</w:t>
            </w:r>
          </w:p>
        </w:tc>
      </w:tr>
      <w:tr w:rsidR="001A7DD9" w:rsidRPr="00BB367E" w:rsidTr="00B42CAE">
        <w:trPr>
          <w:cantSplit/>
        </w:trPr>
        <w:tc>
          <w:tcPr>
            <w:tcW w:w="3978" w:type="dxa"/>
            <w:shd w:val="clear" w:color="auto" w:fill="FFFFFF" w:themeFill="background1"/>
            <w:vAlign w:val="center"/>
          </w:tcPr>
          <w:p w:rsidR="001A7DD9" w:rsidRPr="00D54E8B" w:rsidRDefault="001A7DD9" w:rsidP="00B42CAE">
            <w:pPr>
              <w:pStyle w:val="TableText"/>
            </w:pPr>
            <w:r w:rsidRPr="00D54E8B">
              <w:t>‘…</w:t>
            </w:r>
            <w:r w:rsidR="00D141A9" w:rsidRPr="00D54E8B">
              <w:t>The</w:t>
            </w:r>
            <w:r w:rsidRPr="00D54E8B">
              <w:t xml:space="preserve"> economic evaluation is likely a conservative reflection of ocrelizumab’s cost-effectiveness given that an expected attributable survival benefit as well as quality of life benefits could not be comprehensively accounted for’ (p122 of the submission)</w:t>
            </w:r>
          </w:p>
        </w:tc>
        <w:tc>
          <w:tcPr>
            <w:tcW w:w="5278" w:type="dxa"/>
            <w:shd w:val="clear" w:color="auto" w:fill="FFFFFF" w:themeFill="background1"/>
            <w:vAlign w:val="center"/>
          </w:tcPr>
          <w:p w:rsidR="001A7DD9" w:rsidRPr="00D54E8B" w:rsidRDefault="002052AF" w:rsidP="00B42CAE">
            <w:pPr>
              <w:pStyle w:val="TableText"/>
              <w:rPr>
                <w:rFonts w:eastAsia="Times New Roman" w:cs="Times New Roman"/>
              </w:rPr>
            </w:pPr>
            <w:r w:rsidRPr="00D54E8B">
              <w:rPr>
                <w:rFonts w:eastAsia="Times New Roman" w:cs="Times New Roman"/>
              </w:rPr>
              <w:t>T</w:t>
            </w:r>
            <w:r w:rsidR="003070F6" w:rsidRPr="00D54E8B">
              <w:rPr>
                <w:rFonts w:eastAsia="Times New Roman" w:cs="Times New Roman"/>
              </w:rPr>
              <w:t>he ESC noted there</w:t>
            </w:r>
            <w:r w:rsidR="001A7DD9" w:rsidRPr="00D54E8B">
              <w:rPr>
                <w:rFonts w:eastAsia="Times New Roman" w:cs="Times New Roman"/>
              </w:rPr>
              <w:t xml:space="preserve"> </w:t>
            </w:r>
            <w:r w:rsidRPr="00D54E8B">
              <w:rPr>
                <w:rFonts w:eastAsia="Times New Roman" w:cs="Times New Roman"/>
              </w:rPr>
              <w:t>was</w:t>
            </w:r>
            <w:r w:rsidR="001A7DD9" w:rsidRPr="00D54E8B">
              <w:rPr>
                <w:rFonts w:eastAsia="Times New Roman" w:cs="Times New Roman"/>
              </w:rPr>
              <w:t xml:space="preserve"> no evidence for survival benefit of ocrelizumab in PPMS, and </w:t>
            </w:r>
            <w:r w:rsidR="003070F6" w:rsidRPr="00D54E8B">
              <w:rPr>
                <w:rFonts w:eastAsia="Times New Roman" w:cs="Times New Roman"/>
              </w:rPr>
              <w:t xml:space="preserve">considered </w:t>
            </w:r>
            <w:r w:rsidR="001A7DD9" w:rsidRPr="00D54E8B">
              <w:rPr>
                <w:rFonts w:eastAsia="Times New Roman" w:cs="Times New Roman"/>
              </w:rPr>
              <w:t>the</w:t>
            </w:r>
            <w:r w:rsidR="001E3854" w:rsidRPr="00D54E8B">
              <w:rPr>
                <w:rFonts w:eastAsia="Times New Roman" w:cs="Times New Roman"/>
              </w:rPr>
              <w:t xml:space="preserve"> current</w:t>
            </w:r>
            <w:r w:rsidR="001A7DD9" w:rsidRPr="00D54E8B">
              <w:rPr>
                <w:rFonts w:eastAsia="Times New Roman" w:cs="Times New Roman"/>
              </w:rPr>
              <w:t xml:space="preserve"> survival benefit modelled </w:t>
            </w:r>
            <w:r w:rsidRPr="00D54E8B">
              <w:rPr>
                <w:rFonts w:eastAsia="Times New Roman" w:cs="Times New Roman"/>
              </w:rPr>
              <w:t>was</w:t>
            </w:r>
            <w:r w:rsidR="001A7DD9" w:rsidRPr="00D54E8B">
              <w:rPr>
                <w:rFonts w:eastAsia="Times New Roman" w:cs="Times New Roman"/>
              </w:rPr>
              <w:t xml:space="preserve"> likely an overestimate.</w:t>
            </w:r>
          </w:p>
        </w:tc>
      </w:tr>
      <w:tr w:rsidR="001A7DD9" w:rsidRPr="00BB367E" w:rsidTr="00B42CAE">
        <w:trPr>
          <w:cantSplit/>
        </w:trPr>
        <w:tc>
          <w:tcPr>
            <w:tcW w:w="3978" w:type="dxa"/>
            <w:shd w:val="clear" w:color="auto" w:fill="FFFFFF" w:themeFill="background1"/>
            <w:vAlign w:val="center"/>
          </w:tcPr>
          <w:p w:rsidR="001A7DD9" w:rsidRPr="00D54E8B" w:rsidRDefault="001A7DD9" w:rsidP="00B42CAE">
            <w:pPr>
              <w:pStyle w:val="TableText"/>
              <w:rPr>
                <w:rFonts w:eastAsia="Times New Roman" w:cs="Times New Roman"/>
              </w:rPr>
            </w:pPr>
            <w:r w:rsidRPr="00D54E8B">
              <w:rPr>
                <w:rFonts w:eastAsia="Times New Roman" w:cs="Times New Roman"/>
              </w:rPr>
              <w:t>‘Standard discount rates pose significant challenges for a treatment where upfront treatment is used to delay accumulation of disability over time.’ (p122 of the submission)</w:t>
            </w:r>
          </w:p>
        </w:tc>
        <w:tc>
          <w:tcPr>
            <w:tcW w:w="5278" w:type="dxa"/>
            <w:shd w:val="clear" w:color="auto" w:fill="FFFFFF" w:themeFill="background1"/>
            <w:vAlign w:val="center"/>
          </w:tcPr>
          <w:p w:rsidR="001A7DD9" w:rsidRPr="00D54E8B" w:rsidRDefault="00D141A9" w:rsidP="001E3854">
            <w:pPr>
              <w:pStyle w:val="TableText"/>
              <w:rPr>
                <w:rFonts w:eastAsia="Times New Roman" w:cs="Times New Roman"/>
              </w:rPr>
            </w:pPr>
            <w:r w:rsidRPr="00D54E8B">
              <w:rPr>
                <w:rFonts w:eastAsia="Times New Roman" w:cs="Times New Roman"/>
              </w:rPr>
              <w:t xml:space="preserve">The model was fairly sensitive to reductions in discount rates, however, given that the model assumed a sustained treatment effect for patients remaining on ocrelizumab throughout the life time model, which was not supported by </w:t>
            </w:r>
            <w:r w:rsidR="001E3854" w:rsidRPr="00D54E8B">
              <w:rPr>
                <w:rFonts w:eastAsia="Times New Roman" w:cs="Times New Roman"/>
              </w:rPr>
              <w:t>the trial’s</w:t>
            </w:r>
            <w:r w:rsidRPr="00D54E8B">
              <w:rPr>
                <w:rFonts w:eastAsia="Times New Roman" w:cs="Times New Roman"/>
              </w:rPr>
              <w:t xml:space="preserve"> duration of follow-up of 144 weeks, </w:t>
            </w:r>
            <w:r w:rsidR="001E3854" w:rsidRPr="00D54E8B">
              <w:rPr>
                <w:rFonts w:eastAsia="Times New Roman" w:cs="Times New Roman"/>
              </w:rPr>
              <w:t xml:space="preserve">a </w:t>
            </w:r>
            <w:r w:rsidRPr="00D54E8B">
              <w:rPr>
                <w:rFonts w:eastAsia="Times New Roman" w:cs="Times New Roman"/>
              </w:rPr>
              <w:t xml:space="preserve">discount rate </w:t>
            </w:r>
            <w:r w:rsidR="001E3854" w:rsidRPr="00D54E8B">
              <w:rPr>
                <w:rFonts w:eastAsia="Times New Roman" w:cs="Times New Roman"/>
              </w:rPr>
              <w:t>less</w:t>
            </w:r>
            <w:r w:rsidRPr="00D54E8B">
              <w:rPr>
                <w:rFonts w:eastAsia="Times New Roman" w:cs="Times New Roman"/>
              </w:rPr>
              <w:t xml:space="preserve"> than 5% would increase this estimate of sustained effect.</w:t>
            </w:r>
            <w:r w:rsidR="003070F6" w:rsidRPr="00D54E8B">
              <w:rPr>
                <w:rFonts w:eastAsia="Times New Roman" w:cs="Times New Roman"/>
              </w:rPr>
              <w:t xml:space="preserve"> The ESC considered that the assumption of a lifetime treatment effect was not adequately justified based on the available clinical data, and any change in the discount rate could be tested in sensitivity analyses rather than applied in the base case </w:t>
            </w:r>
            <w:r w:rsidR="00F11472" w:rsidRPr="00D54E8B">
              <w:rPr>
                <w:rFonts w:eastAsia="Times New Roman" w:cs="Times New Roman"/>
              </w:rPr>
              <w:t xml:space="preserve">scenario. </w:t>
            </w:r>
          </w:p>
        </w:tc>
      </w:tr>
      <w:tr w:rsidR="001A7DD9" w:rsidRPr="00BB367E" w:rsidTr="00B42CAE">
        <w:trPr>
          <w:cantSplit/>
        </w:trPr>
        <w:tc>
          <w:tcPr>
            <w:tcW w:w="3978" w:type="dxa"/>
            <w:shd w:val="clear" w:color="auto" w:fill="FFFFFF" w:themeFill="background1"/>
            <w:vAlign w:val="center"/>
          </w:tcPr>
          <w:p w:rsidR="001A7DD9" w:rsidRPr="00D54E8B" w:rsidRDefault="001A7DD9" w:rsidP="00B42CAE">
            <w:pPr>
              <w:pStyle w:val="TableText"/>
              <w:rPr>
                <w:rFonts w:eastAsia="Times New Roman" w:cs="Times New Roman"/>
              </w:rPr>
            </w:pPr>
            <w:r w:rsidRPr="00D54E8B">
              <w:rPr>
                <w:rFonts w:eastAsia="Times New Roman" w:cs="Times New Roman"/>
              </w:rPr>
              <w:t>‘</w:t>
            </w:r>
            <w:r w:rsidR="00D141A9" w:rsidRPr="00D54E8B">
              <w:rPr>
                <w:rFonts w:eastAsia="Times New Roman" w:cs="Times New Roman"/>
              </w:rPr>
              <w:t>Fatigue</w:t>
            </w:r>
            <w:r w:rsidRPr="00D54E8B">
              <w:rPr>
                <w:rFonts w:eastAsia="Times New Roman" w:cs="Times New Roman"/>
              </w:rPr>
              <w:t xml:space="preserve">, cognition and upper limb function are </w:t>
            </w:r>
            <w:r w:rsidR="00D141A9" w:rsidRPr="00D54E8B">
              <w:rPr>
                <w:rFonts w:eastAsia="Times New Roman" w:cs="Times New Roman"/>
              </w:rPr>
              <w:t>patient relevant</w:t>
            </w:r>
            <w:r w:rsidRPr="00D54E8B">
              <w:rPr>
                <w:rFonts w:eastAsia="Times New Roman" w:cs="Times New Roman"/>
              </w:rPr>
              <w:t xml:space="preserve"> outcomes that may not be adequately reflected in the CDP results from ORATORIO’</w:t>
            </w:r>
          </w:p>
        </w:tc>
        <w:tc>
          <w:tcPr>
            <w:tcW w:w="5278" w:type="dxa"/>
            <w:shd w:val="clear" w:color="auto" w:fill="FFFFFF" w:themeFill="background1"/>
            <w:vAlign w:val="center"/>
          </w:tcPr>
          <w:p w:rsidR="001A7DD9" w:rsidRPr="00D54E8B" w:rsidRDefault="001A7DD9" w:rsidP="00CB3A7B">
            <w:pPr>
              <w:pStyle w:val="TableText"/>
              <w:rPr>
                <w:rFonts w:eastAsia="Times New Roman" w:cs="Times New Roman"/>
              </w:rPr>
            </w:pPr>
            <w:r w:rsidRPr="00D54E8B">
              <w:rPr>
                <w:rFonts w:eastAsia="Times New Roman" w:cs="Times New Roman"/>
              </w:rPr>
              <w:t xml:space="preserve">This </w:t>
            </w:r>
            <w:r w:rsidR="002052AF" w:rsidRPr="00D54E8B">
              <w:rPr>
                <w:rFonts w:eastAsia="Times New Roman" w:cs="Times New Roman"/>
              </w:rPr>
              <w:t>was</w:t>
            </w:r>
            <w:r w:rsidRPr="00D54E8B">
              <w:rPr>
                <w:rFonts w:eastAsia="Times New Roman" w:cs="Times New Roman"/>
              </w:rPr>
              <w:t xml:space="preserve"> conceivable and the analysis commissioned regarding utility of fatigue could be informative should it be made available. Nevertheless the submission </w:t>
            </w:r>
            <w:r w:rsidR="002052AF" w:rsidRPr="00D54E8B">
              <w:rPr>
                <w:rFonts w:eastAsia="Times New Roman" w:cs="Times New Roman"/>
              </w:rPr>
              <w:t>had</w:t>
            </w:r>
            <w:r w:rsidRPr="00D54E8B">
              <w:rPr>
                <w:rFonts w:eastAsia="Times New Roman" w:cs="Times New Roman"/>
              </w:rPr>
              <w:t xml:space="preserve"> adjusted for upper limb </w:t>
            </w:r>
            <w:r w:rsidR="00D141A9" w:rsidRPr="00D54E8B">
              <w:rPr>
                <w:rFonts w:eastAsia="Times New Roman" w:cs="Times New Roman"/>
              </w:rPr>
              <w:t>dysfunction,</w:t>
            </w:r>
            <w:r w:rsidRPr="00D54E8B">
              <w:rPr>
                <w:rFonts w:eastAsia="Times New Roman" w:cs="Times New Roman"/>
              </w:rPr>
              <w:t xml:space="preserve"> and the methodology was not </w:t>
            </w:r>
            <w:r w:rsidR="001E3854" w:rsidRPr="00D54E8B">
              <w:rPr>
                <w:rFonts w:eastAsia="Times New Roman" w:cs="Times New Roman"/>
              </w:rPr>
              <w:t xml:space="preserve">adequately described. </w:t>
            </w:r>
          </w:p>
        </w:tc>
      </w:tr>
      <w:tr w:rsidR="001A7DD9" w:rsidRPr="00BB367E" w:rsidTr="00B42CAE">
        <w:trPr>
          <w:cantSplit/>
        </w:trPr>
        <w:tc>
          <w:tcPr>
            <w:tcW w:w="3978" w:type="dxa"/>
            <w:shd w:val="clear" w:color="auto" w:fill="FFFFFF" w:themeFill="background1"/>
            <w:vAlign w:val="center"/>
          </w:tcPr>
          <w:p w:rsidR="001A7DD9" w:rsidRPr="00D54E8B" w:rsidRDefault="001A7DD9" w:rsidP="00B42CAE">
            <w:pPr>
              <w:pStyle w:val="TableText"/>
              <w:rPr>
                <w:rFonts w:eastAsia="Times New Roman" w:cs="Times New Roman"/>
              </w:rPr>
            </w:pPr>
            <w:r w:rsidRPr="00D54E8B">
              <w:rPr>
                <w:rFonts w:eastAsia="Times New Roman" w:cs="Times New Roman"/>
              </w:rPr>
              <w:t xml:space="preserve">‘The high burden of disability in PPMS means that the retaining critical </w:t>
            </w:r>
            <w:r w:rsidR="00D141A9" w:rsidRPr="00D54E8B">
              <w:rPr>
                <w:rFonts w:eastAsia="Times New Roman" w:cs="Times New Roman"/>
              </w:rPr>
              <w:t>functions</w:t>
            </w:r>
            <w:r w:rsidRPr="00D54E8B">
              <w:rPr>
                <w:rFonts w:eastAsia="Times New Roman" w:cs="Times New Roman"/>
              </w:rPr>
              <w:t xml:space="preserve"> can have flow-on benefits to carers (especially partners and </w:t>
            </w:r>
            <w:r w:rsidR="00D141A9" w:rsidRPr="00D54E8B">
              <w:rPr>
                <w:rFonts w:eastAsia="Times New Roman" w:cs="Times New Roman"/>
              </w:rPr>
              <w:t>parents</w:t>
            </w:r>
            <w:r w:rsidRPr="00D54E8B">
              <w:rPr>
                <w:rFonts w:eastAsia="Times New Roman" w:cs="Times New Roman"/>
              </w:rPr>
              <w:t>), improved productivity and workforce participation and reduced dependence on disability benefits and support.’</w:t>
            </w:r>
          </w:p>
        </w:tc>
        <w:tc>
          <w:tcPr>
            <w:tcW w:w="5278" w:type="dxa"/>
            <w:shd w:val="clear" w:color="auto" w:fill="FFFFFF" w:themeFill="background1"/>
            <w:vAlign w:val="center"/>
          </w:tcPr>
          <w:p w:rsidR="001A7DD9" w:rsidRPr="00D54E8B" w:rsidRDefault="001A7DD9" w:rsidP="00B42CAE">
            <w:pPr>
              <w:pStyle w:val="TableText"/>
              <w:rPr>
                <w:rFonts w:eastAsia="Times New Roman" w:cs="Times New Roman"/>
              </w:rPr>
            </w:pPr>
            <w:r w:rsidRPr="00D54E8B">
              <w:rPr>
                <w:rFonts w:eastAsia="Times New Roman" w:cs="Times New Roman"/>
              </w:rPr>
              <w:t xml:space="preserve">This </w:t>
            </w:r>
            <w:r w:rsidR="002052AF" w:rsidRPr="00D54E8B">
              <w:rPr>
                <w:rFonts w:eastAsia="Times New Roman" w:cs="Times New Roman"/>
              </w:rPr>
              <w:t>was</w:t>
            </w:r>
            <w:r w:rsidRPr="00D54E8B">
              <w:rPr>
                <w:rFonts w:eastAsia="Times New Roman" w:cs="Times New Roman"/>
              </w:rPr>
              <w:t xml:space="preserve"> acknowledged, but even if assessment</w:t>
            </w:r>
            <w:r w:rsidR="004D6DF2" w:rsidRPr="00D54E8B">
              <w:rPr>
                <w:rFonts w:eastAsia="Times New Roman" w:cs="Times New Roman"/>
              </w:rPr>
              <w:t xml:space="preserve"> of</w:t>
            </w:r>
            <w:r w:rsidRPr="00D54E8B">
              <w:rPr>
                <w:rFonts w:eastAsia="Times New Roman" w:cs="Times New Roman"/>
              </w:rPr>
              <w:t xml:space="preserve"> indirect costs were recommended in the PBAC guidelines, the </w:t>
            </w:r>
            <w:r w:rsidR="00D141A9" w:rsidRPr="00D54E8B">
              <w:rPr>
                <w:rFonts w:eastAsia="Times New Roman" w:cs="Times New Roman"/>
              </w:rPr>
              <w:t>submission’s</w:t>
            </w:r>
            <w:r w:rsidRPr="00D54E8B">
              <w:rPr>
                <w:rFonts w:eastAsia="Times New Roman" w:cs="Times New Roman"/>
              </w:rPr>
              <w:t xml:space="preserve"> sensitivity analysis </w:t>
            </w:r>
            <w:r w:rsidR="00D141A9" w:rsidRPr="00D54E8B">
              <w:rPr>
                <w:rFonts w:eastAsia="Times New Roman" w:cs="Times New Roman"/>
              </w:rPr>
              <w:t>indicated that</w:t>
            </w:r>
            <w:r w:rsidRPr="00D54E8B">
              <w:rPr>
                <w:rFonts w:eastAsia="Times New Roman" w:cs="Times New Roman"/>
              </w:rPr>
              <w:t xml:space="preserve"> the resulting ICER would still not be close to a </w:t>
            </w:r>
            <w:r w:rsidR="002052AF" w:rsidRPr="00D54E8B">
              <w:rPr>
                <w:rFonts w:eastAsia="Times New Roman" w:cs="Times New Roman"/>
              </w:rPr>
              <w:t>traditionally accepted</w:t>
            </w:r>
            <w:r w:rsidRPr="00D54E8B">
              <w:rPr>
                <w:rFonts w:eastAsia="Times New Roman" w:cs="Times New Roman"/>
              </w:rPr>
              <w:t xml:space="preserve"> estimate of cost-effectiveness. </w:t>
            </w:r>
          </w:p>
        </w:tc>
      </w:tr>
    </w:tbl>
    <w:p w:rsidR="001A7DD9" w:rsidRPr="00BB367E" w:rsidRDefault="001A7DD9" w:rsidP="001A7DD9">
      <w:pPr>
        <w:pStyle w:val="TableFooter"/>
      </w:pPr>
      <w:r w:rsidRPr="00BB367E">
        <w:t>Source: pp 122-123 of the evaluation.</w:t>
      </w:r>
      <w:r w:rsidR="00C42509" w:rsidRPr="00BB367E">
        <w:t xml:space="preserve"> CDP = confirmed disability progression; ICER = incremental cost-effectiveness ratio; PBAC = Pharmaceutical Benefits Scheme; PPMS = primary progressive multiple sclerosis</w:t>
      </w:r>
    </w:p>
    <w:p w:rsidR="003070F6" w:rsidRPr="00D54E8B" w:rsidRDefault="003070F6" w:rsidP="00FF615A">
      <w:pPr>
        <w:pStyle w:val="ListParagraph"/>
        <w:numPr>
          <w:ilvl w:val="1"/>
          <w:numId w:val="1"/>
        </w:numPr>
        <w:ind w:left="720" w:hanging="720"/>
        <w:jc w:val="both"/>
      </w:pPr>
      <w:r w:rsidRPr="00D54E8B">
        <w:t>The ESC noted the arguments for “unmeasured value”</w:t>
      </w:r>
      <w:r w:rsidR="00F11472" w:rsidRPr="00D54E8B">
        <w:t xml:space="preserve"> and the emphasis on equity considerations regarding PPMS relative to relapsing remitting MS,</w:t>
      </w:r>
      <w:r w:rsidRPr="00D54E8B">
        <w:t xml:space="preserve"> in the submission and PSCR</w:t>
      </w:r>
      <w:r w:rsidR="00F11472" w:rsidRPr="00D54E8B">
        <w:t>. The ESC considered that these were matters for consideration by the PBAC.</w:t>
      </w:r>
      <w:r w:rsidR="002278CE">
        <w:t xml:space="preserve"> The PBAC noted the submission’s arguments for “unmeasured value” and considered that th</w:t>
      </w:r>
      <w:r w:rsidR="00C110C7">
        <w:t>e</w:t>
      </w:r>
      <w:r w:rsidR="002278CE">
        <w:t>s</w:t>
      </w:r>
      <w:r w:rsidR="00C110C7">
        <w:t>e</w:t>
      </w:r>
      <w:r w:rsidR="002278CE">
        <w:t xml:space="preserve"> did not justify the low and unacceptable cost-effectiveness of ocrelizumab in PPMS. </w:t>
      </w:r>
    </w:p>
    <w:p w:rsidR="00DB3AE0" w:rsidRPr="00D54E8B" w:rsidRDefault="00DB3AE0" w:rsidP="00FF615A">
      <w:pPr>
        <w:pStyle w:val="ListParagraph"/>
        <w:numPr>
          <w:ilvl w:val="1"/>
          <w:numId w:val="1"/>
        </w:numPr>
        <w:ind w:left="720" w:hanging="720"/>
        <w:jc w:val="both"/>
      </w:pPr>
      <w:r w:rsidRPr="00D54E8B">
        <w:t>Results of the univariate sensitivity analyses presented by the submission and additional analyses conducted during the evaluation are summarised in the table below.</w:t>
      </w:r>
    </w:p>
    <w:p w:rsidR="006851B9" w:rsidRPr="00DB3AE0" w:rsidRDefault="006851B9" w:rsidP="006851B9">
      <w:pPr>
        <w:pStyle w:val="TableHeader"/>
        <w:keepNext/>
      </w:pPr>
      <w:r w:rsidRPr="00DB3AE0">
        <w:t xml:space="preserve">Table </w:t>
      </w:r>
      <w:r>
        <w:t>10</w:t>
      </w:r>
      <w:r w:rsidRPr="00DB3AE0">
        <w:t xml:space="preserve">: </w:t>
      </w:r>
      <w:r w:rsidRPr="00AF7564">
        <w:t>Results</w:t>
      </w:r>
      <w:r w:rsidRPr="00DB3AE0">
        <w:t xml:space="preserve"> of univariate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95"/>
        <w:gridCol w:w="2285"/>
        <w:gridCol w:w="1600"/>
        <w:gridCol w:w="1600"/>
        <w:gridCol w:w="1602"/>
      </w:tblGrid>
      <w:tr w:rsidR="006851B9" w:rsidRPr="00060153" w:rsidTr="00DD145A">
        <w:trPr>
          <w:cantSplit/>
          <w:tblHeader/>
        </w:trPr>
        <w:tc>
          <w:tcPr>
            <w:tcW w:w="2356" w:type="pct"/>
            <w:gridSpan w:val="2"/>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b/>
              </w:rPr>
            </w:pPr>
            <w:r w:rsidRPr="00060153">
              <w:rPr>
                <w:b/>
              </w:rPr>
              <w:t>Univariate analyses</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jc w:val="center"/>
              <w:rPr>
                <w:b/>
              </w:rPr>
            </w:pPr>
            <w:r w:rsidRPr="00060153">
              <w:rPr>
                <w:b/>
              </w:rPr>
              <w:t>Incremental costs</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jc w:val="center"/>
              <w:rPr>
                <w:b/>
              </w:rPr>
            </w:pPr>
            <w:r w:rsidRPr="00060153">
              <w:rPr>
                <w:b/>
              </w:rPr>
              <w:t>Incremental QALYs</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jc w:val="center"/>
              <w:rPr>
                <w:b/>
              </w:rPr>
            </w:pPr>
            <w:r w:rsidRPr="00060153">
              <w:rPr>
                <w:b/>
              </w:rPr>
              <w:t>ICER</w:t>
            </w:r>
          </w:p>
        </w:tc>
      </w:tr>
      <w:tr w:rsidR="006851B9" w:rsidRPr="00060153" w:rsidTr="00DD145A">
        <w:trPr>
          <w:cantSplit/>
        </w:trPr>
        <w:tc>
          <w:tcPr>
            <w:tcW w:w="2356" w:type="pct"/>
            <w:gridSpan w:val="2"/>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pPr>
            <w:r w:rsidRPr="00060153">
              <w:t>Base case</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vMerge w:val="restart"/>
            <w:tcBorders>
              <w:top w:val="single" w:sz="4" w:space="0" w:color="auto"/>
              <w:left w:val="single" w:sz="4" w:space="0" w:color="auto"/>
              <w:right w:val="single" w:sz="4" w:space="0" w:color="auto"/>
            </w:tcBorders>
            <w:vAlign w:val="center"/>
          </w:tcPr>
          <w:p w:rsidR="006851B9" w:rsidRPr="00060153" w:rsidRDefault="006851B9" w:rsidP="00DD145A">
            <w:pPr>
              <w:pStyle w:val="TableText"/>
            </w:pPr>
            <w:r w:rsidRPr="00060153">
              <w:t>Discount rate</w:t>
            </w:r>
          </w:p>
          <w:p w:rsidR="006851B9" w:rsidRPr="00060153" w:rsidRDefault="006851B9" w:rsidP="00DD145A">
            <w:pPr>
              <w:pStyle w:val="TableText"/>
              <w:rPr>
                <w:rFonts w:eastAsia="Times New Roman" w:cs="Times New Roman"/>
              </w:rPr>
            </w:pPr>
            <w:r w:rsidRPr="00060153">
              <w:t>(BC = 5%)</w:t>
            </w: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3.5%</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vMerge/>
            <w:tcBorders>
              <w:left w:val="single" w:sz="4" w:space="0" w:color="auto"/>
              <w:bottom w:val="single" w:sz="4" w:space="0" w:color="auto"/>
              <w:right w:val="single" w:sz="4" w:space="0" w:color="auto"/>
            </w:tcBorders>
            <w:vAlign w:val="center"/>
          </w:tcPr>
          <w:p w:rsidR="006851B9" w:rsidRPr="00060153" w:rsidRDefault="006851B9" w:rsidP="00DD145A">
            <w:pPr>
              <w:pStyle w:val="TableText"/>
            </w:pP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0%</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vMerge w:val="restart"/>
            <w:tcBorders>
              <w:top w:val="single" w:sz="4" w:space="0" w:color="auto"/>
              <w:left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 xml:space="preserve">CDP HR </w:t>
            </w:r>
          </w:p>
          <w:p w:rsidR="006851B9" w:rsidRPr="00060153" w:rsidRDefault="006851B9" w:rsidP="00DD145A">
            <w:pPr>
              <w:pStyle w:val="TableText"/>
              <w:rPr>
                <w:rFonts w:eastAsia="Times New Roman" w:cs="Times New Roman"/>
              </w:rPr>
            </w:pPr>
            <w:r w:rsidRPr="00060153">
              <w:rPr>
                <w:rFonts w:eastAsia="Times New Roman" w:cs="Times New Roman"/>
              </w:rPr>
              <w:t>(BC = 0.70)</w:t>
            </w: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0.76</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vMerge/>
            <w:tcBorders>
              <w:left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t>0.59 (LCI of primary endpoint)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vMerge/>
            <w:tcBorders>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t>0.98 (UCI of primary endpoint)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tcBorders>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Mortality effect Pokorski (1997)</w:t>
            </w: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pPr>
            <w:r w:rsidRPr="00060153">
              <w:t>Removed</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rFonts w:cs="Arial"/>
                <w:bCs/>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rFonts w:cs="Arial"/>
                <w:bCs/>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rFonts w:cs="Arial"/>
                <w:bCs/>
                <w:noProof/>
                <w:color w:val="000000"/>
                <w:highlight w:val="black"/>
              </w:rPr>
              <w:t>'''''''''''''''''''''</w:t>
            </w:r>
          </w:p>
        </w:tc>
      </w:tr>
      <w:tr w:rsidR="006851B9" w:rsidRPr="00060153" w:rsidTr="00DD145A">
        <w:trPr>
          <w:cantSplit/>
        </w:trPr>
        <w:tc>
          <w:tcPr>
            <w:tcW w:w="109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Indirect costs (BC: excluded</w:t>
            </w: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Included</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Height w:val="206"/>
        </w:trPr>
        <w:tc>
          <w:tcPr>
            <w:tcW w:w="109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pPr>
            <w:r w:rsidRPr="00060153">
              <w:t>Natural history EDSS</w:t>
            </w:r>
          </w:p>
          <w:p w:rsidR="006851B9" w:rsidRPr="00060153" w:rsidRDefault="006851B9" w:rsidP="00DD145A">
            <w:pPr>
              <w:pStyle w:val="TableText"/>
              <w:rPr>
                <w:rFonts w:eastAsia="Times New Roman" w:cs="Times New Roman"/>
              </w:rPr>
            </w:pPr>
            <w:r w:rsidRPr="00060153">
              <w:t xml:space="preserve">(BC: PPMS + PRMS </w:t>
            </w: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PPMS only</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pPr>
            <w:r w:rsidRPr="00060153">
              <w:t>Model start age (BC = 44)</w:t>
            </w: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52 (As per MSBase)</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vMerge w:val="restart"/>
            <w:tcBorders>
              <w:top w:val="single" w:sz="4" w:space="0" w:color="auto"/>
              <w:left w:val="single" w:sz="4" w:space="0" w:color="auto"/>
              <w:right w:val="single" w:sz="4" w:space="0" w:color="auto"/>
            </w:tcBorders>
            <w:vAlign w:val="center"/>
          </w:tcPr>
          <w:p w:rsidR="006851B9" w:rsidRPr="00060153" w:rsidRDefault="006851B9" w:rsidP="00DD145A">
            <w:pPr>
              <w:pStyle w:val="TableText"/>
            </w:pPr>
            <w:r w:rsidRPr="00060153">
              <w:t xml:space="preserve">Utilities </w:t>
            </w:r>
          </w:p>
          <w:p w:rsidR="006851B9" w:rsidRPr="00060153" w:rsidRDefault="006851B9" w:rsidP="00DD145A">
            <w:pPr>
              <w:pStyle w:val="TableText"/>
            </w:pPr>
            <w:r w:rsidRPr="00060153">
              <w:t>(BC: trial based; disutility of upper limb dysfunction included)</w:t>
            </w: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Orme (2007) utilities</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vMerge/>
            <w:tcBorders>
              <w:top w:val="single" w:sz="4" w:space="0" w:color="auto"/>
              <w:left w:val="single" w:sz="4" w:space="0" w:color="auto"/>
              <w:right w:val="single" w:sz="4" w:space="0" w:color="auto"/>
            </w:tcBorders>
            <w:vAlign w:val="center"/>
          </w:tcPr>
          <w:p w:rsidR="006851B9" w:rsidRPr="00060153" w:rsidRDefault="006851B9" w:rsidP="00DD145A">
            <w:pPr>
              <w:pStyle w:val="TableText"/>
            </w:pP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Trial based with negative utilities set to 0</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1098" w:type="pct"/>
            <w:vMerge/>
            <w:tcBorders>
              <w:left w:val="single" w:sz="4" w:space="0" w:color="auto"/>
              <w:bottom w:val="single" w:sz="4" w:space="0" w:color="auto"/>
              <w:right w:val="single" w:sz="4" w:space="0" w:color="auto"/>
            </w:tcBorders>
            <w:vAlign w:val="center"/>
          </w:tcPr>
          <w:p w:rsidR="006851B9" w:rsidRPr="00060153" w:rsidRDefault="006851B9" w:rsidP="00DD145A">
            <w:pPr>
              <w:pStyle w:val="TableText"/>
            </w:pPr>
          </w:p>
        </w:tc>
        <w:tc>
          <w:tcPr>
            <w:tcW w:w="1258" w:type="pct"/>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Disutility of upper limb dysfunction excluded</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5000" w:type="pct"/>
            <w:gridSpan w:val="5"/>
            <w:tcBorders>
              <w:left w:val="single" w:sz="4" w:space="0" w:color="auto"/>
              <w:bottom w:val="single" w:sz="4" w:space="0" w:color="auto"/>
              <w:right w:val="single" w:sz="4" w:space="0" w:color="auto"/>
            </w:tcBorders>
            <w:vAlign w:val="center"/>
          </w:tcPr>
          <w:p w:rsidR="006851B9" w:rsidRPr="00060153" w:rsidRDefault="006851B9" w:rsidP="00DD145A">
            <w:pPr>
              <w:pStyle w:val="TableText"/>
            </w:pPr>
            <w:r w:rsidRPr="00060153">
              <w:t xml:space="preserve">Implications of stopping rules </w:t>
            </w:r>
          </w:p>
        </w:tc>
      </w:tr>
      <w:tr w:rsidR="006851B9" w:rsidRPr="00060153" w:rsidTr="00DD145A">
        <w:trPr>
          <w:cantSplit/>
        </w:trPr>
        <w:tc>
          <w:tcPr>
            <w:tcW w:w="2356" w:type="pct"/>
            <w:gridSpan w:val="2"/>
            <w:tcBorders>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rPr>
                <w:rFonts w:eastAsia="Times New Roman" w:cs="Times New Roman"/>
              </w:rPr>
              <w:t>Stop treatment at EDSS 7</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2356" w:type="pct"/>
            <w:gridSpan w:val="2"/>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t>Stop treatment at age 55</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2356" w:type="pct"/>
            <w:gridSpan w:val="2"/>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rPr>
                <w:rFonts w:eastAsia="Times New Roman" w:cs="Times New Roman"/>
              </w:rPr>
            </w:pPr>
            <w:r w:rsidRPr="00060153">
              <w:t>Stop treatment at EDSS 7 or Age 55</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r w:rsidR="006851B9" w:rsidRPr="00060153" w:rsidTr="00DD145A">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pPr>
            <w:r w:rsidRPr="00060153">
              <w:t>Multivariate sensitivity analyses</w:t>
            </w:r>
          </w:p>
        </w:tc>
      </w:tr>
      <w:tr w:rsidR="006851B9" w:rsidRPr="00060153" w:rsidTr="00DD145A">
        <w:trPr>
          <w:cantSplit/>
        </w:trPr>
        <w:tc>
          <w:tcPr>
            <w:tcW w:w="2356" w:type="pct"/>
            <w:gridSpan w:val="2"/>
            <w:tcBorders>
              <w:top w:val="single" w:sz="4" w:space="0" w:color="auto"/>
              <w:left w:val="single" w:sz="4" w:space="0" w:color="auto"/>
              <w:bottom w:val="single" w:sz="4" w:space="0" w:color="auto"/>
              <w:right w:val="single" w:sz="4" w:space="0" w:color="auto"/>
            </w:tcBorders>
            <w:vAlign w:val="center"/>
          </w:tcPr>
          <w:p w:rsidR="006851B9" w:rsidRPr="00060153" w:rsidRDefault="006851B9" w:rsidP="00DD145A">
            <w:pPr>
              <w:pStyle w:val="TableText"/>
            </w:pPr>
            <w:r w:rsidRPr="00060153">
              <w:rPr>
                <w:rFonts w:eastAsia="Times New Roman" w:cs="Times New Roman"/>
              </w:rPr>
              <w:t>Mortality multiplier removed &amp; negative utilities set to 0</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1"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c>
          <w:tcPr>
            <w:tcW w:w="882" w:type="pct"/>
            <w:tcBorders>
              <w:top w:val="single" w:sz="4" w:space="0" w:color="auto"/>
              <w:left w:val="single" w:sz="4" w:space="0" w:color="auto"/>
              <w:bottom w:val="single" w:sz="4" w:space="0" w:color="auto"/>
              <w:right w:val="single" w:sz="4" w:space="0" w:color="auto"/>
            </w:tcBorders>
            <w:vAlign w:val="center"/>
          </w:tcPr>
          <w:p w:rsidR="006851B9" w:rsidRPr="00F176AE" w:rsidRDefault="00F176AE" w:rsidP="00DD145A">
            <w:pPr>
              <w:pStyle w:val="TableText"/>
              <w:jc w:val="center"/>
              <w:rPr>
                <w:highlight w:val="black"/>
              </w:rPr>
            </w:pPr>
            <w:r>
              <w:rPr>
                <w:noProof/>
                <w:color w:val="000000"/>
                <w:highlight w:val="black"/>
              </w:rPr>
              <w:t>'''''''''''''''''''''''</w:t>
            </w:r>
          </w:p>
        </w:tc>
      </w:tr>
    </w:tbl>
    <w:p w:rsidR="006851B9" w:rsidRDefault="006851B9" w:rsidP="006851B9">
      <w:pPr>
        <w:pStyle w:val="TableFooter"/>
      </w:pPr>
      <w:r w:rsidRPr="00DB3AE0">
        <w:t>Source: Table 3.9.6, p128 of the submission, and calculated during the evaluation</w:t>
      </w:r>
    </w:p>
    <w:p w:rsidR="00122014" w:rsidRDefault="00122014" w:rsidP="006851B9">
      <w:pPr>
        <w:pStyle w:val="TableFooter"/>
      </w:pPr>
    </w:p>
    <w:p w:rsidR="00122014" w:rsidRPr="00122014" w:rsidRDefault="00122014" w:rsidP="00122014">
      <w:pPr>
        <w:ind w:left="360"/>
        <w:jc w:val="both"/>
        <w:rPr>
          <w:rFonts w:cs="Arial"/>
          <w:szCs w:val="24"/>
        </w:rPr>
      </w:pPr>
      <w:r w:rsidRPr="00122014">
        <w:rPr>
          <w:rFonts w:cs="Arial"/>
          <w:szCs w:val="24"/>
        </w:rPr>
        <w:t xml:space="preserve">The redacted table shows ICERs in the range of </w:t>
      </w:r>
      <w:r>
        <w:rPr>
          <w:rFonts w:cs="Arial"/>
          <w:szCs w:val="24"/>
        </w:rPr>
        <w:t>$105,000/QALY to more than $200,000/QALY.</w:t>
      </w:r>
    </w:p>
    <w:p w:rsidR="00122014" w:rsidRPr="00DB3AE0" w:rsidRDefault="00122014" w:rsidP="006851B9">
      <w:pPr>
        <w:pStyle w:val="TableFooter"/>
      </w:pPr>
    </w:p>
    <w:p w:rsidR="001229DA" w:rsidRPr="00D54E8B" w:rsidRDefault="001A7DD9" w:rsidP="00FF615A">
      <w:pPr>
        <w:pStyle w:val="ListParagraph"/>
        <w:numPr>
          <w:ilvl w:val="1"/>
          <w:numId w:val="1"/>
        </w:numPr>
        <w:ind w:left="720" w:hanging="720"/>
        <w:jc w:val="both"/>
      </w:pPr>
      <w:r w:rsidRPr="00D54E8B">
        <w:t xml:space="preserve">Overall, the model was most sensitive to estimates of treatment effect. In the base case analysis, the submission </w:t>
      </w:r>
      <w:r w:rsidR="003A30B2">
        <w:t xml:space="preserve">utilised </w:t>
      </w:r>
      <w:r w:rsidR="003A30B2" w:rsidRPr="00D54E8B">
        <w:t>CDP24 from</w:t>
      </w:r>
      <w:r w:rsidR="003A30B2">
        <w:t xml:space="preserve"> the</w:t>
      </w:r>
      <w:r w:rsidR="003A30B2" w:rsidRPr="00D54E8B">
        <w:t xml:space="preserve"> open label extension period </w:t>
      </w:r>
      <w:r w:rsidR="003A30B2">
        <w:t xml:space="preserve">to </w:t>
      </w:r>
      <w:r w:rsidRPr="00D54E8B">
        <w:t xml:space="preserve">estimate </w:t>
      </w:r>
      <w:r w:rsidR="003A30B2">
        <w:t>the</w:t>
      </w:r>
      <w:r w:rsidRPr="00D54E8B">
        <w:t xml:space="preserve"> treatment effect (HR = 0.70). Alternatively, relying on the primary endpoint of the ORATORIO trial (HR=0.76) led to a</w:t>
      </w:r>
      <w:r w:rsidR="005571C7" w:rsidRPr="00D54E8B">
        <w:t>n</w:t>
      </w:r>
      <w:r w:rsidRPr="00D54E8B">
        <w:t xml:space="preserve"> increase in the ICER</w:t>
      </w:r>
      <w:r w:rsidR="00B42CAE" w:rsidRPr="00D54E8B">
        <w:t xml:space="preserve"> (</w:t>
      </w:r>
      <w:r w:rsidR="00A41CCA">
        <w:t>more than $200,000</w:t>
      </w:r>
      <w:r w:rsidR="00B42CAE" w:rsidRPr="00D54E8B">
        <w:t>/QALY gained)</w:t>
      </w:r>
      <w:r w:rsidRPr="00D54E8B">
        <w:t xml:space="preserve">. </w:t>
      </w:r>
    </w:p>
    <w:p w:rsidR="00670DEF" w:rsidRPr="00D54E8B" w:rsidRDefault="001303C5" w:rsidP="00FF615A">
      <w:pPr>
        <w:pStyle w:val="ListParagraph"/>
        <w:numPr>
          <w:ilvl w:val="1"/>
          <w:numId w:val="1"/>
        </w:numPr>
        <w:ind w:left="720" w:hanging="720"/>
        <w:jc w:val="both"/>
        <w:rPr>
          <w:bCs/>
          <w:szCs w:val="24"/>
        </w:rPr>
      </w:pPr>
      <w:r w:rsidRPr="00D54E8B">
        <w:rPr>
          <w:szCs w:val="24"/>
        </w:rPr>
        <w:t xml:space="preserve">The PSCR (p4) stated that the </w:t>
      </w:r>
      <w:r w:rsidRPr="00D54E8B">
        <w:rPr>
          <w:bCs/>
          <w:szCs w:val="24"/>
        </w:rPr>
        <w:t>CDP24 result based on the longest available study follow-up was applied in the economic evaluation because it is deemed most representative of the treatment effect achievable in clinical practice. The PSCR</w:t>
      </w:r>
      <w:r w:rsidR="008A480D" w:rsidRPr="00D54E8B">
        <w:rPr>
          <w:bCs/>
          <w:szCs w:val="24"/>
        </w:rPr>
        <w:t xml:space="preserve"> noted the sensitivity analyses conducted by the evaluation, using the lower and upper 95% confidence interval of the CDP12 outcome, and</w:t>
      </w:r>
      <w:r w:rsidRPr="00D54E8B">
        <w:rPr>
          <w:bCs/>
          <w:szCs w:val="24"/>
        </w:rPr>
        <w:t xml:space="preserve"> stated that the likelihood of the treatment effect being at either of the upper and lower confidence interval limits is low at 2.5%. </w:t>
      </w:r>
    </w:p>
    <w:p w:rsidR="001A7DD9" w:rsidRPr="00E471ED" w:rsidRDefault="00E95697" w:rsidP="00E471ED">
      <w:pPr>
        <w:pStyle w:val="ListParagraph"/>
        <w:numPr>
          <w:ilvl w:val="1"/>
          <w:numId w:val="1"/>
        </w:numPr>
        <w:ind w:left="720" w:hanging="720"/>
        <w:jc w:val="both"/>
        <w:rPr>
          <w:bCs/>
          <w:szCs w:val="24"/>
        </w:rPr>
      </w:pPr>
      <w:r w:rsidRPr="00D54E8B">
        <w:rPr>
          <w:bCs/>
          <w:szCs w:val="24"/>
        </w:rPr>
        <w:t>The ESC noted that differences in the hazard ratio applied in the sensitivity analyses, including use of the</w:t>
      </w:r>
      <w:r w:rsidR="00930CCF" w:rsidRPr="00D54E8B">
        <w:rPr>
          <w:bCs/>
          <w:szCs w:val="24"/>
        </w:rPr>
        <w:t xml:space="preserve"> CDP12 outcome, and</w:t>
      </w:r>
      <w:r w:rsidRPr="00D54E8B">
        <w:rPr>
          <w:bCs/>
          <w:szCs w:val="24"/>
        </w:rPr>
        <w:t xml:space="preserve"> lower and upper confidence limits, resulted in substantial changes in the ICER</w:t>
      </w:r>
      <w:r w:rsidR="00107196" w:rsidRPr="00D54E8B">
        <w:rPr>
          <w:bCs/>
          <w:szCs w:val="24"/>
        </w:rPr>
        <w:t xml:space="preserve"> which </w:t>
      </w:r>
      <w:r w:rsidR="00AB3709" w:rsidRPr="00D54E8B">
        <w:rPr>
          <w:bCs/>
          <w:szCs w:val="24"/>
        </w:rPr>
        <w:t>demonstrated</w:t>
      </w:r>
      <w:r w:rsidR="00107196" w:rsidRPr="00D54E8B">
        <w:rPr>
          <w:bCs/>
          <w:szCs w:val="24"/>
        </w:rPr>
        <w:t xml:space="preserve"> some of the </w:t>
      </w:r>
      <w:r w:rsidR="000C7E91" w:rsidRPr="00D54E8B">
        <w:rPr>
          <w:bCs/>
          <w:szCs w:val="24"/>
        </w:rPr>
        <w:t xml:space="preserve">economic </w:t>
      </w:r>
      <w:r w:rsidR="00107196" w:rsidRPr="00D54E8B">
        <w:rPr>
          <w:bCs/>
          <w:szCs w:val="24"/>
        </w:rPr>
        <w:t>uncertainty associated with</w:t>
      </w:r>
      <w:r w:rsidR="000C7E91" w:rsidRPr="00D54E8B">
        <w:rPr>
          <w:bCs/>
          <w:szCs w:val="24"/>
        </w:rPr>
        <w:t xml:space="preserve"> ocrelizumab</w:t>
      </w:r>
      <w:r w:rsidRPr="00D54E8B">
        <w:rPr>
          <w:bCs/>
          <w:szCs w:val="24"/>
        </w:rPr>
        <w:t>. The ESC considered</w:t>
      </w:r>
      <w:r w:rsidR="001303C5" w:rsidRPr="00D54E8B">
        <w:rPr>
          <w:bCs/>
          <w:szCs w:val="24"/>
        </w:rPr>
        <w:t xml:space="preserve"> that the economic model reflects the trial population, which was younger and </w:t>
      </w:r>
      <w:r w:rsidR="00241759" w:rsidRPr="00D54E8B">
        <w:rPr>
          <w:bCs/>
          <w:szCs w:val="24"/>
        </w:rPr>
        <w:t xml:space="preserve">likely </w:t>
      </w:r>
      <w:r w:rsidR="001303C5" w:rsidRPr="00D54E8B">
        <w:rPr>
          <w:bCs/>
          <w:szCs w:val="24"/>
        </w:rPr>
        <w:t>healthier than the expected PBS population.</w:t>
      </w:r>
      <w:r w:rsidR="00131A74" w:rsidRPr="00D54E8B">
        <w:rPr>
          <w:bCs/>
          <w:szCs w:val="24"/>
        </w:rPr>
        <w:t xml:space="preserve"> </w:t>
      </w:r>
      <w:r w:rsidR="00614676" w:rsidRPr="00D54E8B">
        <w:t>Given previously noted concerns regarding the estimates of effect size</w:t>
      </w:r>
      <w:r w:rsidR="001A7DD9" w:rsidRPr="00D54E8B">
        <w:t xml:space="preserve">, sensitivity analyses were performed </w:t>
      </w:r>
      <w:r w:rsidR="00792471" w:rsidRPr="00D54E8B">
        <w:t xml:space="preserve">during the evaluation </w:t>
      </w:r>
      <w:r w:rsidR="001A7DD9" w:rsidRPr="00D54E8B">
        <w:t>using the upper and lower 95% confidence intervals of the primary en</w:t>
      </w:r>
      <w:r w:rsidR="00ED2F7A" w:rsidRPr="00D54E8B">
        <w:t xml:space="preserve">dpoint </w:t>
      </w:r>
      <w:r w:rsidR="002F60B0" w:rsidRPr="00D54E8B">
        <w:t xml:space="preserve">(CDP12) </w:t>
      </w:r>
      <w:r w:rsidR="00ED2F7A" w:rsidRPr="00D54E8B">
        <w:t>in ORATORIO (0.59,</w:t>
      </w:r>
      <w:r w:rsidR="002052AF" w:rsidRPr="00D54E8B">
        <w:t xml:space="preserve"> 0.98). T</w:t>
      </w:r>
      <w:r w:rsidR="001A7DD9" w:rsidRPr="00D54E8B">
        <w:t xml:space="preserve">he ICER </w:t>
      </w:r>
      <w:r w:rsidR="002052AF" w:rsidRPr="00D54E8B">
        <w:t>decreased</w:t>
      </w:r>
      <w:r w:rsidR="001A7DD9" w:rsidRPr="00D54E8B">
        <w:t xml:space="preserve"> t</w:t>
      </w:r>
      <w:r w:rsidR="002052AF" w:rsidRPr="00D54E8B">
        <w:t xml:space="preserve">o </w:t>
      </w:r>
      <w:r w:rsidR="008F18A0">
        <w:t>$105,000/QALY - $200,000/QALY</w:t>
      </w:r>
      <w:r w:rsidR="00B42CAE" w:rsidRPr="00D54E8B">
        <w:t xml:space="preserve"> gained</w:t>
      </w:r>
      <w:r w:rsidR="002052AF" w:rsidRPr="00D54E8B">
        <w:t xml:space="preserve"> when relying on the l</w:t>
      </w:r>
      <w:r w:rsidR="001A7DD9" w:rsidRPr="00D54E8B">
        <w:t>ower bound of CDP12</w:t>
      </w:r>
      <w:r w:rsidR="002052AF" w:rsidRPr="00D54E8B">
        <w:t>, and increased</w:t>
      </w:r>
      <w:r w:rsidR="001A7DD9" w:rsidRPr="00D54E8B">
        <w:t xml:space="preserve"> to </w:t>
      </w:r>
      <w:r w:rsidR="00122014">
        <w:t>$105,000/QALY - $200,000/QALY</w:t>
      </w:r>
      <w:r w:rsidR="00122014" w:rsidDel="00122014">
        <w:t xml:space="preserve"> </w:t>
      </w:r>
      <w:r w:rsidR="001A7DD9" w:rsidRPr="00D54E8B">
        <w:t>w</w:t>
      </w:r>
      <w:r w:rsidR="002052AF" w:rsidRPr="00D54E8B">
        <w:t>hen relying on the upper bound. T</w:t>
      </w:r>
      <w:r w:rsidR="001A7DD9" w:rsidRPr="00D54E8B">
        <w:t xml:space="preserve">he </w:t>
      </w:r>
      <w:r w:rsidR="002052AF" w:rsidRPr="00D54E8B">
        <w:t>sensitivity analysis</w:t>
      </w:r>
      <w:r w:rsidR="001A7DD9" w:rsidRPr="00D54E8B">
        <w:t xml:space="preserve"> showed that even in the most optimistic of efficacy scenarios, the ICER was well above what is traditionally considered cost-effective. </w:t>
      </w:r>
      <w:r w:rsidR="00057990" w:rsidRPr="00D54E8B">
        <w:t>The PSCR (p4) presented a similar calculation using CDP24 (HR=</w:t>
      </w:r>
      <w:r w:rsidR="00F176AE">
        <w:rPr>
          <w:noProof/>
          <w:color w:val="000000"/>
          <w:highlight w:val="black"/>
        </w:rPr>
        <w:t>''''''''</w:t>
      </w:r>
      <w:r w:rsidR="00057990" w:rsidRPr="00D54E8B">
        <w:t xml:space="preserve">, 95% CI: </w:t>
      </w:r>
      <w:r w:rsidR="00F176AE">
        <w:rPr>
          <w:noProof/>
          <w:color w:val="000000"/>
          <w:highlight w:val="black"/>
        </w:rPr>
        <w:t>''''''''' '''''''''</w:t>
      </w:r>
      <w:r w:rsidR="00057990" w:rsidRPr="00D54E8B">
        <w:t xml:space="preserve">), which resulted in the ICER interval of </w:t>
      </w:r>
      <w:r w:rsidR="008F18A0">
        <w:t>($105,000 - $200,000</w:t>
      </w:r>
      <w:r w:rsidR="00057990" w:rsidRPr="00D54E8B">
        <w:t xml:space="preserve">; </w:t>
      </w:r>
      <w:r w:rsidR="008F18A0">
        <w:t>more than $200,000</w:t>
      </w:r>
      <w:r w:rsidR="00057990" w:rsidRPr="00D54E8B">
        <w:t>) per QALY gained.</w:t>
      </w:r>
    </w:p>
    <w:p w:rsidR="00930CCF" w:rsidRPr="00D54E8B" w:rsidRDefault="00E366A3" w:rsidP="00FF615A">
      <w:pPr>
        <w:pStyle w:val="ListParagraph"/>
        <w:numPr>
          <w:ilvl w:val="1"/>
          <w:numId w:val="1"/>
        </w:numPr>
        <w:ind w:left="720" w:hanging="720"/>
        <w:jc w:val="both"/>
      </w:pPr>
      <w:r w:rsidRPr="00D54E8B">
        <w:t>The ESC considered that in the context of the:</w:t>
      </w:r>
    </w:p>
    <w:p w:rsidR="00E366A3" w:rsidRPr="00D54E8B" w:rsidRDefault="00E366A3" w:rsidP="00FF615A">
      <w:pPr>
        <w:pStyle w:val="ListParagraph"/>
        <w:numPr>
          <w:ilvl w:val="0"/>
          <w:numId w:val="13"/>
        </w:numPr>
        <w:jc w:val="both"/>
      </w:pPr>
      <w:r w:rsidRPr="00D54E8B">
        <w:t>Modest clinical improvements across CDP12 and CDP24 outcomes;</w:t>
      </w:r>
    </w:p>
    <w:p w:rsidR="00E366A3" w:rsidRPr="00D54E8B" w:rsidRDefault="00E366A3" w:rsidP="00FF615A">
      <w:pPr>
        <w:pStyle w:val="ListParagraph"/>
        <w:numPr>
          <w:ilvl w:val="0"/>
          <w:numId w:val="13"/>
        </w:numPr>
        <w:jc w:val="both"/>
      </w:pPr>
      <w:r w:rsidRPr="00D54E8B">
        <w:t>Translation issues of the ORATORIO trial to the potential PBS population;</w:t>
      </w:r>
    </w:p>
    <w:p w:rsidR="00E366A3" w:rsidRPr="00D54E8B" w:rsidRDefault="00E366A3" w:rsidP="00FF615A">
      <w:pPr>
        <w:pStyle w:val="ListParagraph"/>
        <w:numPr>
          <w:ilvl w:val="0"/>
          <w:numId w:val="13"/>
        </w:numPr>
        <w:jc w:val="both"/>
      </w:pPr>
      <w:r w:rsidRPr="00D54E8B">
        <w:t>Large impact of the hazard ratio used in the economic model on the ICER;</w:t>
      </w:r>
    </w:p>
    <w:p w:rsidR="00E366A3" w:rsidRPr="00D54E8B" w:rsidRDefault="00E366A3" w:rsidP="00FF615A">
      <w:pPr>
        <w:pStyle w:val="ListParagraph"/>
        <w:numPr>
          <w:ilvl w:val="0"/>
          <w:numId w:val="13"/>
        </w:numPr>
        <w:jc w:val="both"/>
      </w:pPr>
      <w:r w:rsidRPr="00D54E8B">
        <w:t>Constant treatment effect over 56 years extrapolated from 144 weeks; and</w:t>
      </w:r>
    </w:p>
    <w:p w:rsidR="00E366A3" w:rsidRPr="00D54E8B" w:rsidRDefault="00E366A3" w:rsidP="00FF615A">
      <w:pPr>
        <w:pStyle w:val="ListParagraph"/>
        <w:numPr>
          <w:ilvl w:val="0"/>
          <w:numId w:val="13"/>
        </w:numPr>
        <w:jc w:val="both"/>
      </w:pPr>
      <w:r w:rsidRPr="00D54E8B">
        <w:t>Assumed survival benefit incorporated into the economic model;</w:t>
      </w:r>
    </w:p>
    <w:p w:rsidR="00E366A3" w:rsidRDefault="0061080E" w:rsidP="00BE4B16">
      <w:pPr>
        <w:ind w:left="576"/>
        <w:jc w:val="both"/>
      </w:pPr>
      <w:r w:rsidRPr="00D54E8B">
        <w:t>t</w:t>
      </w:r>
      <w:r w:rsidR="00E366A3" w:rsidRPr="00D54E8B">
        <w:t xml:space="preserve">he </w:t>
      </w:r>
      <w:r w:rsidR="008658EB" w:rsidRPr="00D54E8B">
        <w:t>cost</w:t>
      </w:r>
      <w:r w:rsidR="00E366A3" w:rsidRPr="00D54E8B">
        <w:t xml:space="preserve">/QALY </w:t>
      </w:r>
      <w:r w:rsidR="00016BFB" w:rsidRPr="00D54E8B">
        <w:t xml:space="preserve">gained </w:t>
      </w:r>
      <w:r w:rsidR="00E366A3" w:rsidRPr="00D54E8B">
        <w:t xml:space="preserve">for ocrelizumab in the PBS setting could potentially be much higher than the base case presented in the submission. </w:t>
      </w:r>
      <w:r w:rsidR="001777F9">
        <w:t>The PBAC agreed with the ESC’s views.</w:t>
      </w:r>
    </w:p>
    <w:p w:rsidR="00C772AF" w:rsidRPr="00D54E8B" w:rsidRDefault="00C772AF" w:rsidP="00C772AF">
      <w:pPr>
        <w:pStyle w:val="ListParagraph"/>
        <w:numPr>
          <w:ilvl w:val="1"/>
          <w:numId w:val="1"/>
        </w:numPr>
        <w:ind w:left="720" w:hanging="720"/>
        <w:jc w:val="both"/>
      </w:pPr>
      <w:r>
        <w:t>The PBAC considered the</w:t>
      </w:r>
      <w:r w:rsidRPr="00D54E8B">
        <w:t xml:space="preserve"> estimates of mean treatment effect appeared to be optimistic estimates considering that the Australian prevalent pool of patients is on average over 50 years old, and ocrelizumab has not established effect in PPMS in patients over 55 (p19 of TGA PI). </w:t>
      </w:r>
    </w:p>
    <w:p w:rsidR="00C317F3" w:rsidRPr="00BB367E" w:rsidRDefault="00C317F3" w:rsidP="00772501">
      <w:pPr>
        <w:pStyle w:val="Heading2"/>
        <w:rPr>
          <w:i w:val="0"/>
        </w:rPr>
      </w:pPr>
      <w:bookmarkStart w:id="23" w:name="_Toc413139283"/>
      <w:bookmarkStart w:id="24" w:name="_Toc492991360"/>
      <w:r w:rsidRPr="00BB367E">
        <w:rPr>
          <w:i w:val="0"/>
        </w:rPr>
        <w:t>Drug cost/patient/year</w:t>
      </w:r>
      <w:bookmarkEnd w:id="23"/>
      <w:r w:rsidR="00F950B8" w:rsidRPr="00BB367E">
        <w:rPr>
          <w:i w:val="0"/>
        </w:rPr>
        <w:t>: $</w:t>
      </w:r>
      <w:bookmarkEnd w:id="24"/>
      <w:r w:rsidR="00F176AE">
        <w:rPr>
          <w:i w:val="0"/>
          <w:noProof/>
          <w:color w:val="000000"/>
          <w:highlight w:val="black"/>
        </w:rPr>
        <w:t>'''''''''''''</w:t>
      </w:r>
    </w:p>
    <w:p w:rsidR="00C317F3" w:rsidRPr="00D54E8B" w:rsidRDefault="00423A55" w:rsidP="00FF615A">
      <w:pPr>
        <w:pStyle w:val="ListParagraph"/>
        <w:numPr>
          <w:ilvl w:val="1"/>
          <w:numId w:val="1"/>
        </w:numPr>
        <w:ind w:left="720" w:hanging="720"/>
        <w:jc w:val="both"/>
      </w:pPr>
      <w:r w:rsidRPr="00D54E8B">
        <w:t xml:space="preserve">The undiscounted annual drug acquisition cost of ocrelizumab </w:t>
      </w:r>
      <w:r w:rsidR="00B42CAE" w:rsidRPr="00D54E8B">
        <w:t>based on two</w:t>
      </w:r>
      <w:r w:rsidRPr="00D54E8B">
        <w:t xml:space="preserve"> 600mg </w:t>
      </w:r>
      <w:r w:rsidR="00B42CAE" w:rsidRPr="00D54E8B">
        <w:t>infusions per year</w:t>
      </w:r>
      <w:r w:rsidRPr="00D54E8B">
        <w:t xml:space="preserve"> was estimated to be $</w:t>
      </w:r>
      <w:r w:rsidR="00F176AE">
        <w:rPr>
          <w:noProof/>
          <w:color w:val="000000"/>
          <w:highlight w:val="black"/>
        </w:rPr>
        <w:t>'''''''''''''''''''''</w:t>
      </w:r>
      <w:r w:rsidRPr="00D54E8B">
        <w:t xml:space="preserve"> </w:t>
      </w:r>
      <w:r w:rsidR="00FC33EA" w:rsidRPr="00D54E8B">
        <w:t>(or $</w:t>
      </w:r>
      <w:r w:rsidR="00F176AE">
        <w:rPr>
          <w:noProof/>
          <w:color w:val="000000"/>
          <w:highlight w:val="black"/>
        </w:rPr>
        <w:t>'''''''''''''''''''</w:t>
      </w:r>
      <w:r w:rsidR="00FC33EA" w:rsidRPr="00D54E8B">
        <w:t xml:space="preserve"> when applying the effective price proposed) </w:t>
      </w:r>
      <w:r w:rsidRPr="00D54E8B">
        <w:t>per patient</w:t>
      </w:r>
      <w:r w:rsidR="002052AF" w:rsidRPr="00D54E8B">
        <w:t>,</w:t>
      </w:r>
      <w:r w:rsidRPr="00D54E8B">
        <w:t xml:space="preserve"> taking into account fees and mark</w:t>
      </w:r>
      <w:r w:rsidR="001229DA" w:rsidRPr="00D54E8B">
        <w:t>-</w:t>
      </w:r>
      <w:r w:rsidRPr="00D54E8B">
        <w:t>ups applicable to S100</w:t>
      </w:r>
      <w:r w:rsidR="00FC33EA" w:rsidRPr="00D54E8B">
        <w:t xml:space="preserve"> HSD listing, and a private/public setting split of 20%/80%</w:t>
      </w:r>
      <w:r w:rsidRPr="00D54E8B">
        <w:t>, respectively.</w:t>
      </w:r>
    </w:p>
    <w:p w:rsidR="00934746" w:rsidRPr="00D54E8B" w:rsidRDefault="00934746" w:rsidP="00FF615A">
      <w:pPr>
        <w:pStyle w:val="ListParagraph"/>
        <w:numPr>
          <w:ilvl w:val="1"/>
          <w:numId w:val="1"/>
        </w:numPr>
        <w:ind w:left="720" w:hanging="720"/>
        <w:jc w:val="both"/>
      </w:pPr>
      <w:r w:rsidRPr="00D54E8B">
        <w:t xml:space="preserve">Ocrelizumab was recommended in July 2017 for listing </w:t>
      </w:r>
      <w:r w:rsidR="00F11472" w:rsidRPr="00D54E8B">
        <w:t>in relapsing remitting MS</w:t>
      </w:r>
      <w:r w:rsidR="002D222B" w:rsidRPr="00D54E8B">
        <w:t xml:space="preserve"> (RRMS)</w:t>
      </w:r>
      <w:r w:rsidRPr="00D54E8B">
        <w:t>. Consequently, its effect</w:t>
      </w:r>
      <w:r w:rsidR="00761A68" w:rsidRPr="00D54E8B">
        <w:t>ive</w:t>
      </w:r>
      <w:r w:rsidRPr="00D54E8B">
        <w:t xml:space="preserve"> price will be negotiated in post-PBAC discussions with the sponsor.</w:t>
      </w:r>
      <w:r w:rsidR="001C0169" w:rsidRPr="00D54E8B">
        <w:t xml:space="preserve"> </w:t>
      </w:r>
      <w:r w:rsidR="002D222B" w:rsidRPr="00423BB8">
        <w:t xml:space="preserve">The PSCR (p5) stated </w:t>
      </w:r>
      <w:r w:rsidR="00F176AE">
        <w:rPr>
          <w:noProof/>
          <w:color w:val="000000"/>
          <w:highlight w:val="black"/>
        </w:rPr>
        <w:t>'''''''' ''''''' '''''''''''''' ''''''''''''''' '''' '''''''''' '''''' '''''''''' ''''''''''' ''''' ''''''''''''''''''''''' '''''' ''''''''''' '''''''' ''''''''''''''</w:t>
      </w:r>
    </w:p>
    <w:p w:rsidR="005329E5" w:rsidRPr="002A3E53" w:rsidRDefault="00C317F3" w:rsidP="002A3E53">
      <w:pPr>
        <w:pStyle w:val="Heading2"/>
        <w:rPr>
          <w:i w:val="0"/>
        </w:rPr>
      </w:pPr>
      <w:bookmarkStart w:id="25" w:name="_Toc413139284"/>
      <w:bookmarkStart w:id="26" w:name="_Toc492991361"/>
      <w:r w:rsidRPr="00BB367E">
        <w:rPr>
          <w:i w:val="0"/>
        </w:rPr>
        <w:t>Estimated PBS usage &amp; financial implications</w:t>
      </w:r>
      <w:bookmarkEnd w:id="25"/>
      <w:bookmarkEnd w:id="26"/>
    </w:p>
    <w:p w:rsidR="000C0339" w:rsidRPr="000C0339" w:rsidRDefault="00302117" w:rsidP="00FF615A">
      <w:pPr>
        <w:pStyle w:val="ListParagraph"/>
        <w:numPr>
          <w:ilvl w:val="1"/>
          <w:numId w:val="1"/>
        </w:numPr>
        <w:spacing w:before="0" w:after="120"/>
        <w:jc w:val="both"/>
      </w:pPr>
      <w:r>
        <w:t xml:space="preserve">This submission was </w:t>
      </w:r>
      <w:r w:rsidR="000C0339" w:rsidRPr="000C0339">
        <w:t>considered by DUSC. The submission took an epidemiological approach to estimate use and financial implications. The submission relied on epidemiological data from Miller (2007), Barnett (2003), Multiple Sclerosis Research Australia (MSRA 2010) and expert opinion from an advisory board to calculate these estimates.</w:t>
      </w:r>
    </w:p>
    <w:p w:rsidR="00D025EA" w:rsidRDefault="000C0339" w:rsidP="00D025EA">
      <w:pPr>
        <w:pStyle w:val="ListParagraph"/>
        <w:numPr>
          <w:ilvl w:val="1"/>
          <w:numId w:val="1"/>
        </w:numPr>
        <w:spacing w:before="0" w:after="120"/>
        <w:jc w:val="both"/>
      </w:pPr>
      <w:r w:rsidRPr="000C0339">
        <w:t>T</w:t>
      </w:r>
      <w:r w:rsidR="00C772AF">
        <w:t>able 11</w:t>
      </w:r>
      <w:r w:rsidRPr="000C0339">
        <w:t xml:space="preserve"> presents the estimated use and financial implications associated with listing ocrelizumab.</w:t>
      </w:r>
    </w:p>
    <w:p w:rsidR="00D025EA" w:rsidRDefault="00D025EA" w:rsidP="00D025EA">
      <w:pPr>
        <w:pStyle w:val="TableHeader"/>
      </w:pPr>
      <w:r w:rsidRPr="00D025EA">
        <w:t>Table 11: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13"/>
        <w:gridCol w:w="1094"/>
        <w:gridCol w:w="1070"/>
        <w:gridCol w:w="1031"/>
        <w:gridCol w:w="1063"/>
        <w:gridCol w:w="1070"/>
        <w:gridCol w:w="1063"/>
      </w:tblGrid>
      <w:tr w:rsidR="00D025EA" w:rsidRPr="004E6AFB" w:rsidTr="00D025EA">
        <w:trPr>
          <w:tblHeader/>
        </w:trPr>
        <w:tc>
          <w:tcPr>
            <w:tcW w:w="1492" w:type="pct"/>
            <w:shd w:val="clear" w:color="auto" w:fill="auto"/>
            <w:vAlign w:val="center"/>
          </w:tcPr>
          <w:p w:rsidR="00D025EA" w:rsidRPr="004E6AFB" w:rsidRDefault="00D025EA" w:rsidP="00C110C7">
            <w:pPr>
              <w:pStyle w:val="TableText"/>
            </w:pPr>
          </w:p>
        </w:tc>
        <w:tc>
          <w:tcPr>
            <w:tcW w:w="584" w:type="pct"/>
            <w:shd w:val="clear" w:color="auto" w:fill="auto"/>
            <w:vAlign w:val="center"/>
          </w:tcPr>
          <w:p w:rsidR="00D025EA" w:rsidRPr="004E6AFB" w:rsidRDefault="00D025EA" w:rsidP="00C110C7">
            <w:pPr>
              <w:pStyle w:val="TableText"/>
              <w:jc w:val="center"/>
              <w:rPr>
                <w:b/>
              </w:rPr>
            </w:pPr>
            <w:r w:rsidRPr="004E6AFB">
              <w:rPr>
                <w:b/>
              </w:rPr>
              <w:t>Year 1</w:t>
            </w:r>
          </w:p>
        </w:tc>
        <w:tc>
          <w:tcPr>
            <w:tcW w:w="584" w:type="pct"/>
            <w:shd w:val="clear" w:color="auto" w:fill="auto"/>
            <w:vAlign w:val="center"/>
          </w:tcPr>
          <w:p w:rsidR="00D025EA" w:rsidRPr="004E6AFB" w:rsidRDefault="00D025EA" w:rsidP="00C110C7">
            <w:pPr>
              <w:pStyle w:val="TableText"/>
              <w:jc w:val="center"/>
              <w:rPr>
                <w:b/>
              </w:rPr>
            </w:pPr>
            <w:r w:rsidRPr="004E6AFB">
              <w:rPr>
                <w:b/>
              </w:rPr>
              <w:t>Year 2</w:t>
            </w:r>
          </w:p>
        </w:tc>
        <w:tc>
          <w:tcPr>
            <w:tcW w:w="584" w:type="pct"/>
            <w:shd w:val="clear" w:color="auto" w:fill="auto"/>
            <w:vAlign w:val="center"/>
          </w:tcPr>
          <w:p w:rsidR="00D025EA" w:rsidRPr="004E6AFB" w:rsidRDefault="00D025EA" w:rsidP="00C110C7">
            <w:pPr>
              <w:pStyle w:val="TableText"/>
              <w:jc w:val="center"/>
              <w:rPr>
                <w:b/>
              </w:rPr>
            </w:pPr>
            <w:r w:rsidRPr="004E6AFB">
              <w:rPr>
                <w:b/>
              </w:rPr>
              <w:t>Year 3</w:t>
            </w:r>
          </w:p>
        </w:tc>
        <w:tc>
          <w:tcPr>
            <w:tcW w:w="584" w:type="pct"/>
            <w:shd w:val="clear" w:color="auto" w:fill="auto"/>
            <w:vAlign w:val="center"/>
          </w:tcPr>
          <w:p w:rsidR="00D025EA" w:rsidRPr="004E6AFB" w:rsidRDefault="00D025EA" w:rsidP="00C110C7">
            <w:pPr>
              <w:pStyle w:val="TableText"/>
              <w:jc w:val="center"/>
              <w:rPr>
                <w:b/>
              </w:rPr>
            </w:pPr>
            <w:r w:rsidRPr="004E6AFB">
              <w:rPr>
                <w:b/>
              </w:rPr>
              <w:t>Year 4</w:t>
            </w:r>
          </w:p>
        </w:tc>
        <w:tc>
          <w:tcPr>
            <w:tcW w:w="584" w:type="pct"/>
            <w:shd w:val="clear" w:color="auto" w:fill="auto"/>
            <w:vAlign w:val="center"/>
          </w:tcPr>
          <w:p w:rsidR="00D025EA" w:rsidRPr="004E6AFB" w:rsidRDefault="00D025EA" w:rsidP="00C110C7">
            <w:pPr>
              <w:pStyle w:val="TableText"/>
              <w:jc w:val="center"/>
              <w:rPr>
                <w:b/>
              </w:rPr>
            </w:pPr>
            <w:r w:rsidRPr="004E6AFB">
              <w:rPr>
                <w:b/>
              </w:rPr>
              <w:t>Year 5</w:t>
            </w:r>
          </w:p>
        </w:tc>
        <w:tc>
          <w:tcPr>
            <w:tcW w:w="588" w:type="pct"/>
          </w:tcPr>
          <w:p w:rsidR="00D025EA" w:rsidRPr="004E6AFB" w:rsidRDefault="00D025EA" w:rsidP="00C110C7">
            <w:pPr>
              <w:pStyle w:val="TableText"/>
              <w:jc w:val="center"/>
              <w:rPr>
                <w:b/>
              </w:rPr>
            </w:pPr>
            <w:r w:rsidRPr="004E6AFB">
              <w:rPr>
                <w:b/>
              </w:rPr>
              <w:t>Year 6</w:t>
            </w:r>
          </w:p>
        </w:tc>
      </w:tr>
      <w:tr w:rsidR="00D025EA" w:rsidRPr="004E6AFB" w:rsidTr="00C110C7">
        <w:tc>
          <w:tcPr>
            <w:tcW w:w="5000" w:type="pct"/>
            <w:gridSpan w:val="7"/>
            <w:shd w:val="clear" w:color="auto" w:fill="auto"/>
            <w:vAlign w:val="center"/>
          </w:tcPr>
          <w:p w:rsidR="00D025EA" w:rsidRPr="004E6AFB" w:rsidRDefault="00D025EA" w:rsidP="00C110C7">
            <w:pPr>
              <w:pStyle w:val="TableText"/>
              <w:rPr>
                <w:b/>
                <w:bCs/>
                <w:color w:val="000000"/>
              </w:rPr>
            </w:pPr>
            <w:r w:rsidRPr="004E6AFB">
              <w:rPr>
                <w:b/>
                <w:bCs/>
                <w:color w:val="000000"/>
              </w:rPr>
              <w:t>Estimated extent of use</w:t>
            </w:r>
          </w:p>
        </w:tc>
      </w:tr>
      <w:tr w:rsidR="00D025EA" w:rsidRPr="004E6AFB" w:rsidTr="00D025EA">
        <w:tc>
          <w:tcPr>
            <w:tcW w:w="1492" w:type="pct"/>
            <w:shd w:val="clear" w:color="auto" w:fill="auto"/>
            <w:vAlign w:val="center"/>
          </w:tcPr>
          <w:p w:rsidR="00D025EA" w:rsidRPr="002A3E53" w:rsidRDefault="00D025EA" w:rsidP="00C110C7">
            <w:pPr>
              <w:pStyle w:val="TableText"/>
            </w:pPr>
            <w:r w:rsidRPr="002A3E53">
              <w:t>Number of patients treated</w:t>
            </w:r>
          </w:p>
        </w:tc>
        <w:tc>
          <w:tcPr>
            <w:tcW w:w="584" w:type="pct"/>
            <w:shd w:val="clear" w:color="auto" w:fill="auto"/>
            <w:vAlign w:val="center"/>
          </w:tcPr>
          <w:p w:rsidR="00D025EA" w:rsidRPr="00F176AE" w:rsidRDefault="00F176AE" w:rsidP="00C110C7">
            <w:pPr>
              <w:jc w:val="right"/>
              <w:rPr>
                <w:rFonts w:ascii="Arial Narrow" w:hAnsi="Arial Narrow" w:cs="Arial"/>
                <w:color w:val="000000"/>
                <w:sz w:val="20"/>
                <w:highlight w:val="black"/>
              </w:rPr>
            </w:pPr>
            <w:r>
              <w:rPr>
                <w:rFonts w:ascii="Arial Narrow" w:hAnsi="Arial Narrow" w:cs="Arial"/>
                <w:noProof/>
                <w:color w:val="000000"/>
                <w:sz w:val="20"/>
                <w:highlight w:val="black"/>
              </w:rPr>
              <w:t xml:space="preserve">''''''''''''' </w:t>
            </w:r>
          </w:p>
        </w:tc>
        <w:tc>
          <w:tcPr>
            <w:tcW w:w="584" w:type="pct"/>
            <w:shd w:val="clear" w:color="auto" w:fill="auto"/>
            <w:vAlign w:val="center"/>
          </w:tcPr>
          <w:p w:rsidR="00D025EA" w:rsidRPr="00F176AE" w:rsidRDefault="00F176AE" w:rsidP="00C110C7">
            <w:pPr>
              <w:jc w:val="right"/>
              <w:rPr>
                <w:rFonts w:ascii="Arial Narrow" w:hAnsi="Arial Narrow" w:cs="Arial"/>
                <w:color w:val="000000"/>
                <w:sz w:val="20"/>
                <w:highlight w:val="black"/>
              </w:rPr>
            </w:pPr>
            <w:r>
              <w:rPr>
                <w:rFonts w:ascii="Arial Narrow" w:hAnsi="Arial Narrow" w:cs="Arial"/>
                <w:noProof/>
                <w:color w:val="000000"/>
                <w:sz w:val="20"/>
                <w:highlight w:val="black"/>
              </w:rPr>
              <w:t xml:space="preserve">''''''''''''''' </w:t>
            </w:r>
          </w:p>
        </w:tc>
        <w:tc>
          <w:tcPr>
            <w:tcW w:w="584" w:type="pct"/>
            <w:shd w:val="clear" w:color="auto" w:fill="auto"/>
            <w:vAlign w:val="center"/>
          </w:tcPr>
          <w:p w:rsidR="00D025EA" w:rsidRPr="00F176AE" w:rsidRDefault="00F176AE" w:rsidP="00C110C7">
            <w:pPr>
              <w:jc w:val="right"/>
              <w:rPr>
                <w:rFonts w:ascii="Arial Narrow" w:hAnsi="Arial Narrow" w:cs="Arial"/>
                <w:color w:val="000000"/>
                <w:sz w:val="20"/>
                <w:highlight w:val="black"/>
              </w:rPr>
            </w:pPr>
            <w:r>
              <w:rPr>
                <w:rFonts w:ascii="Arial Narrow" w:hAnsi="Arial Narrow" w:cs="Arial"/>
                <w:noProof/>
                <w:color w:val="000000"/>
                <w:sz w:val="20"/>
                <w:highlight w:val="black"/>
              </w:rPr>
              <w:t xml:space="preserve">'''''''''''' </w:t>
            </w:r>
          </w:p>
        </w:tc>
        <w:tc>
          <w:tcPr>
            <w:tcW w:w="584" w:type="pct"/>
            <w:shd w:val="clear" w:color="auto" w:fill="auto"/>
            <w:vAlign w:val="center"/>
          </w:tcPr>
          <w:p w:rsidR="00D025EA" w:rsidRPr="00F176AE" w:rsidRDefault="00F176AE" w:rsidP="00C110C7">
            <w:pPr>
              <w:jc w:val="right"/>
              <w:rPr>
                <w:rFonts w:ascii="Arial Narrow" w:hAnsi="Arial Narrow" w:cs="Arial"/>
                <w:color w:val="000000"/>
                <w:sz w:val="20"/>
                <w:highlight w:val="black"/>
              </w:rPr>
            </w:pPr>
            <w:r>
              <w:rPr>
                <w:rFonts w:ascii="Arial Narrow" w:hAnsi="Arial Narrow" w:cs="Arial"/>
                <w:noProof/>
                <w:color w:val="000000"/>
                <w:sz w:val="20"/>
                <w:highlight w:val="black"/>
              </w:rPr>
              <w:t xml:space="preserve">''''''''''''' </w:t>
            </w:r>
          </w:p>
        </w:tc>
        <w:tc>
          <w:tcPr>
            <w:tcW w:w="584" w:type="pct"/>
            <w:shd w:val="clear" w:color="auto" w:fill="auto"/>
            <w:vAlign w:val="center"/>
          </w:tcPr>
          <w:p w:rsidR="00D025EA" w:rsidRPr="00F176AE" w:rsidRDefault="00F176AE" w:rsidP="00C110C7">
            <w:pPr>
              <w:jc w:val="right"/>
              <w:rPr>
                <w:rFonts w:ascii="Arial Narrow" w:hAnsi="Arial Narrow" w:cs="Arial"/>
                <w:color w:val="000000"/>
                <w:sz w:val="20"/>
                <w:highlight w:val="black"/>
              </w:rPr>
            </w:pPr>
            <w:r>
              <w:rPr>
                <w:rFonts w:ascii="Arial Narrow" w:hAnsi="Arial Narrow" w:cs="Arial"/>
                <w:noProof/>
                <w:color w:val="000000"/>
                <w:sz w:val="20"/>
                <w:highlight w:val="black"/>
              </w:rPr>
              <w:t xml:space="preserve">''''''''''''' </w:t>
            </w:r>
          </w:p>
        </w:tc>
        <w:tc>
          <w:tcPr>
            <w:tcW w:w="588" w:type="pct"/>
            <w:vAlign w:val="center"/>
          </w:tcPr>
          <w:p w:rsidR="00D025EA" w:rsidRPr="00F176AE" w:rsidRDefault="00F176AE" w:rsidP="00C110C7">
            <w:pPr>
              <w:jc w:val="right"/>
              <w:rPr>
                <w:rFonts w:ascii="Arial Narrow" w:hAnsi="Arial Narrow" w:cs="Arial"/>
                <w:color w:val="000000"/>
                <w:sz w:val="20"/>
                <w:highlight w:val="black"/>
              </w:rPr>
            </w:pPr>
            <w:r>
              <w:rPr>
                <w:rFonts w:ascii="Arial Narrow" w:hAnsi="Arial Narrow" w:cs="Arial"/>
                <w:noProof/>
                <w:color w:val="000000"/>
                <w:sz w:val="20"/>
                <w:highlight w:val="black"/>
              </w:rPr>
              <w:t xml:space="preserve">'''''''''''' </w:t>
            </w:r>
          </w:p>
        </w:tc>
      </w:tr>
      <w:tr w:rsidR="00D025EA" w:rsidRPr="004E6AFB" w:rsidTr="00D025EA">
        <w:tc>
          <w:tcPr>
            <w:tcW w:w="1492" w:type="pct"/>
            <w:shd w:val="clear" w:color="auto" w:fill="auto"/>
            <w:vAlign w:val="center"/>
          </w:tcPr>
          <w:p w:rsidR="00D025EA" w:rsidRPr="002A3E53" w:rsidRDefault="00D025EA" w:rsidP="00C110C7">
            <w:pPr>
              <w:pStyle w:val="TableText"/>
            </w:pPr>
            <w:r w:rsidRPr="002A3E53">
              <w:t>Number of scripts dispensed</w:t>
            </w:r>
            <w:r w:rsidRPr="002A3E53">
              <w:rPr>
                <w:vertAlign w:val="superscript"/>
              </w:rPr>
              <w:t>a</w:t>
            </w:r>
          </w:p>
        </w:tc>
        <w:tc>
          <w:tcPr>
            <w:tcW w:w="584" w:type="pct"/>
            <w:shd w:val="clear" w:color="auto" w:fill="auto"/>
            <w:vAlign w:val="center"/>
          </w:tcPr>
          <w:p w:rsidR="00D025EA" w:rsidRPr="00F176AE" w:rsidRDefault="00F176AE" w:rsidP="00C110C7">
            <w:pPr>
              <w:jc w:val="right"/>
              <w:rPr>
                <w:rFonts w:ascii="Arial Narrow" w:hAnsi="Arial Narrow" w:cs="Arial"/>
                <w:bCs/>
                <w:sz w:val="20"/>
                <w:highlight w:val="black"/>
              </w:rPr>
            </w:pPr>
            <w:r>
              <w:rPr>
                <w:rFonts w:ascii="Arial Narrow" w:hAnsi="Arial Narrow" w:cs="Arial"/>
                <w:bCs/>
                <w:noProof/>
                <w:color w:val="000000"/>
                <w:sz w:val="20"/>
                <w:highlight w:val="black"/>
              </w:rPr>
              <w:t xml:space="preserve">''''''''''''' </w:t>
            </w:r>
          </w:p>
        </w:tc>
        <w:tc>
          <w:tcPr>
            <w:tcW w:w="584" w:type="pct"/>
            <w:shd w:val="clear" w:color="auto" w:fill="auto"/>
            <w:vAlign w:val="center"/>
          </w:tcPr>
          <w:p w:rsidR="00D025EA" w:rsidRPr="00F176AE" w:rsidRDefault="00F176AE" w:rsidP="00C110C7">
            <w:pPr>
              <w:jc w:val="right"/>
              <w:rPr>
                <w:rFonts w:ascii="Arial Narrow" w:hAnsi="Arial Narrow" w:cs="Arial"/>
                <w:bCs/>
                <w:sz w:val="20"/>
                <w:highlight w:val="black"/>
              </w:rPr>
            </w:pPr>
            <w:r>
              <w:rPr>
                <w:rFonts w:ascii="Arial Narrow" w:hAnsi="Arial Narrow" w:cs="Arial"/>
                <w:bCs/>
                <w:noProof/>
                <w:color w:val="000000"/>
                <w:sz w:val="20"/>
                <w:highlight w:val="black"/>
              </w:rPr>
              <w:t xml:space="preserve">''''''''''''''' </w:t>
            </w:r>
          </w:p>
        </w:tc>
        <w:tc>
          <w:tcPr>
            <w:tcW w:w="584" w:type="pct"/>
            <w:shd w:val="clear" w:color="auto" w:fill="auto"/>
            <w:vAlign w:val="center"/>
          </w:tcPr>
          <w:p w:rsidR="00D025EA" w:rsidRPr="00F176AE" w:rsidRDefault="00F176AE" w:rsidP="00C110C7">
            <w:pPr>
              <w:jc w:val="right"/>
              <w:rPr>
                <w:rFonts w:ascii="Arial Narrow" w:hAnsi="Arial Narrow" w:cs="Arial"/>
                <w:bCs/>
                <w:sz w:val="20"/>
                <w:highlight w:val="black"/>
              </w:rPr>
            </w:pPr>
            <w:r>
              <w:rPr>
                <w:rFonts w:ascii="Arial Narrow" w:hAnsi="Arial Narrow" w:cs="Arial"/>
                <w:bCs/>
                <w:noProof/>
                <w:color w:val="000000"/>
                <w:sz w:val="20"/>
                <w:highlight w:val="black"/>
              </w:rPr>
              <w:t xml:space="preserve">'''''''''''''' </w:t>
            </w:r>
          </w:p>
        </w:tc>
        <w:tc>
          <w:tcPr>
            <w:tcW w:w="584" w:type="pct"/>
            <w:shd w:val="clear" w:color="auto" w:fill="auto"/>
            <w:vAlign w:val="center"/>
          </w:tcPr>
          <w:p w:rsidR="00D025EA" w:rsidRPr="00F176AE" w:rsidRDefault="00F176AE" w:rsidP="00C110C7">
            <w:pPr>
              <w:jc w:val="right"/>
              <w:rPr>
                <w:rFonts w:ascii="Arial Narrow" w:hAnsi="Arial Narrow" w:cs="Arial"/>
                <w:bCs/>
                <w:sz w:val="20"/>
                <w:highlight w:val="black"/>
              </w:rPr>
            </w:pPr>
            <w:r>
              <w:rPr>
                <w:rFonts w:ascii="Arial Narrow" w:hAnsi="Arial Narrow" w:cs="Arial"/>
                <w:bCs/>
                <w:noProof/>
                <w:color w:val="000000"/>
                <w:sz w:val="20"/>
                <w:highlight w:val="black"/>
              </w:rPr>
              <w:t xml:space="preserve">''''''''''''' </w:t>
            </w:r>
          </w:p>
        </w:tc>
        <w:tc>
          <w:tcPr>
            <w:tcW w:w="584" w:type="pct"/>
            <w:shd w:val="clear" w:color="auto" w:fill="auto"/>
            <w:vAlign w:val="center"/>
          </w:tcPr>
          <w:p w:rsidR="00D025EA" w:rsidRPr="00F176AE" w:rsidRDefault="00F176AE" w:rsidP="00C110C7">
            <w:pPr>
              <w:jc w:val="right"/>
              <w:rPr>
                <w:rFonts w:ascii="Arial Narrow" w:hAnsi="Arial Narrow" w:cs="Arial"/>
                <w:bCs/>
                <w:sz w:val="20"/>
                <w:highlight w:val="black"/>
              </w:rPr>
            </w:pPr>
            <w:r>
              <w:rPr>
                <w:rFonts w:ascii="Arial Narrow" w:hAnsi="Arial Narrow" w:cs="Arial"/>
                <w:bCs/>
                <w:noProof/>
                <w:color w:val="000000"/>
                <w:sz w:val="20"/>
                <w:highlight w:val="black"/>
              </w:rPr>
              <w:t xml:space="preserve">''''''''''''' </w:t>
            </w:r>
          </w:p>
        </w:tc>
        <w:tc>
          <w:tcPr>
            <w:tcW w:w="588" w:type="pct"/>
            <w:vAlign w:val="center"/>
          </w:tcPr>
          <w:p w:rsidR="00D025EA" w:rsidRPr="00F176AE" w:rsidRDefault="00F176AE" w:rsidP="00C110C7">
            <w:pPr>
              <w:jc w:val="right"/>
              <w:rPr>
                <w:rFonts w:ascii="Arial Narrow" w:hAnsi="Arial Narrow" w:cs="Arial"/>
                <w:bCs/>
                <w:sz w:val="20"/>
                <w:highlight w:val="black"/>
              </w:rPr>
            </w:pPr>
            <w:r>
              <w:rPr>
                <w:rFonts w:ascii="Arial Narrow" w:hAnsi="Arial Narrow" w:cs="Arial"/>
                <w:bCs/>
                <w:noProof/>
                <w:color w:val="000000"/>
                <w:sz w:val="20"/>
                <w:highlight w:val="black"/>
              </w:rPr>
              <w:t xml:space="preserve">'''''''''''' </w:t>
            </w:r>
          </w:p>
        </w:tc>
      </w:tr>
      <w:tr w:rsidR="00D025EA" w:rsidRPr="004E6AFB" w:rsidTr="00C110C7">
        <w:tc>
          <w:tcPr>
            <w:tcW w:w="5000" w:type="pct"/>
            <w:gridSpan w:val="7"/>
            <w:shd w:val="clear" w:color="auto" w:fill="auto"/>
            <w:vAlign w:val="center"/>
          </w:tcPr>
          <w:p w:rsidR="00D025EA" w:rsidRPr="004E6AFB" w:rsidRDefault="00D025EA" w:rsidP="00C110C7">
            <w:pPr>
              <w:pStyle w:val="TableText"/>
              <w:rPr>
                <w:b/>
                <w:bCs/>
                <w:color w:val="000000"/>
              </w:rPr>
            </w:pPr>
            <w:r w:rsidRPr="003C20FC">
              <w:rPr>
                <w:b/>
                <w:bCs/>
                <w:color w:val="000000"/>
              </w:rPr>
              <w:t>Estimated financial implications of ocrelizumab (effective price)</w:t>
            </w:r>
          </w:p>
        </w:tc>
      </w:tr>
      <w:tr w:rsidR="00D025EA" w:rsidRPr="004E6AFB" w:rsidTr="00D025EA">
        <w:tc>
          <w:tcPr>
            <w:tcW w:w="1492" w:type="pct"/>
            <w:shd w:val="clear" w:color="auto" w:fill="auto"/>
            <w:vAlign w:val="center"/>
          </w:tcPr>
          <w:p w:rsidR="00D025EA" w:rsidRPr="002A3E53" w:rsidRDefault="00D025EA" w:rsidP="00C110C7">
            <w:pPr>
              <w:pStyle w:val="TableText"/>
              <w:rPr>
                <w:szCs w:val="20"/>
              </w:rPr>
            </w:pPr>
            <w:r w:rsidRPr="002A3E53">
              <w:rPr>
                <w:szCs w:val="20"/>
              </w:rPr>
              <w:t>Cost to PBS/RPBS</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8" w:type="pct"/>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r>
      <w:tr w:rsidR="00D025EA" w:rsidRPr="004E6AFB" w:rsidTr="00D025EA">
        <w:tc>
          <w:tcPr>
            <w:tcW w:w="1492" w:type="pct"/>
            <w:shd w:val="clear" w:color="auto" w:fill="auto"/>
            <w:vAlign w:val="center"/>
          </w:tcPr>
          <w:p w:rsidR="00D025EA" w:rsidRPr="002A3E53" w:rsidRDefault="00D025EA" w:rsidP="00C110C7">
            <w:pPr>
              <w:pStyle w:val="TableText"/>
              <w:rPr>
                <w:szCs w:val="20"/>
              </w:rPr>
            </w:pPr>
            <w:r w:rsidRPr="002A3E53">
              <w:rPr>
                <w:szCs w:val="20"/>
              </w:rPr>
              <w:t>Copayments</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c>
          <w:tcPr>
            <w:tcW w:w="588" w:type="pct"/>
            <w:vAlign w:val="center"/>
          </w:tcPr>
          <w:p w:rsidR="00D025EA" w:rsidRPr="00F176AE" w:rsidRDefault="00F176AE" w:rsidP="00C110C7">
            <w:pPr>
              <w:jc w:val="right"/>
              <w:rPr>
                <w:rFonts w:ascii="Arial Narrow" w:hAnsi="Arial Narrow" w:cs="Arial"/>
                <w:sz w:val="20"/>
                <w:highlight w:val="black"/>
              </w:rPr>
            </w:pPr>
            <w:r>
              <w:rPr>
                <w:rFonts w:ascii="Arial Narrow" w:hAnsi="Arial Narrow" w:cs="Arial"/>
                <w:noProof/>
                <w:color w:val="000000"/>
                <w:sz w:val="20"/>
                <w:highlight w:val="black"/>
              </w:rPr>
              <w:t>''''''''''''''''''''''''''</w:t>
            </w:r>
          </w:p>
        </w:tc>
      </w:tr>
      <w:tr w:rsidR="00D025EA" w:rsidRPr="004E6AFB" w:rsidTr="00D025EA">
        <w:tc>
          <w:tcPr>
            <w:tcW w:w="1492" w:type="pct"/>
            <w:shd w:val="clear" w:color="auto" w:fill="auto"/>
            <w:vAlign w:val="center"/>
          </w:tcPr>
          <w:p w:rsidR="00D025EA" w:rsidRPr="002A3E53" w:rsidRDefault="00D025EA" w:rsidP="00C110C7">
            <w:pPr>
              <w:pStyle w:val="TableText"/>
              <w:rPr>
                <w:b/>
                <w:sz w:val="19"/>
                <w:szCs w:val="19"/>
              </w:rPr>
            </w:pPr>
            <w:r w:rsidRPr="002A3E53">
              <w:rPr>
                <w:b/>
                <w:szCs w:val="19"/>
              </w:rPr>
              <w:t>Cost to PBS/RPBS less copayments</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8" w:type="pct"/>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r>
      <w:tr w:rsidR="00D025EA" w:rsidRPr="004E6AFB" w:rsidTr="00C110C7">
        <w:tc>
          <w:tcPr>
            <w:tcW w:w="5000" w:type="pct"/>
            <w:gridSpan w:val="7"/>
            <w:shd w:val="clear" w:color="auto" w:fill="auto"/>
            <w:vAlign w:val="center"/>
          </w:tcPr>
          <w:p w:rsidR="00D025EA" w:rsidRPr="004E6AFB" w:rsidRDefault="00D025EA" w:rsidP="00C110C7">
            <w:pPr>
              <w:pStyle w:val="TableText"/>
              <w:rPr>
                <w:bCs/>
                <w:color w:val="000000"/>
              </w:rPr>
            </w:pPr>
            <w:r w:rsidRPr="003C20FC">
              <w:rPr>
                <w:b/>
                <w:bCs/>
                <w:color w:val="000000"/>
              </w:rPr>
              <w:t>Net financial implications</w:t>
            </w:r>
          </w:p>
        </w:tc>
      </w:tr>
      <w:tr w:rsidR="00D025EA" w:rsidRPr="004E6AFB" w:rsidTr="00D025EA">
        <w:tc>
          <w:tcPr>
            <w:tcW w:w="1492" w:type="pct"/>
            <w:shd w:val="clear" w:color="auto" w:fill="auto"/>
            <w:vAlign w:val="center"/>
          </w:tcPr>
          <w:p w:rsidR="00D025EA" w:rsidRPr="002A3E53" w:rsidRDefault="00D025EA" w:rsidP="00C110C7">
            <w:pPr>
              <w:pStyle w:val="TableText"/>
              <w:rPr>
                <w:szCs w:val="19"/>
              </w:rPr>
            </w:pPr>
            <w:r w:rsidRPr="002A3E53">
              <w:rPr>
                <w:szCs w:val="19"/>
              </w:rPr>
              <w:t>Net cost to PBS/RPBS</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8" w:type="pct"/>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r>
      <w:tr w:rsidR="00D025EA" w:rsidRPr="004E6AFB" w:rsidTr="00D025EA">
        <w:tc>
          <w:tcPr>
            <w:tcW w:w="1492" w:type="pct"/>
            <w:shd w:val="clear" w:color="auto" w:fill="auto"/>
            <w:vAlign w:val="center"/>
          </w:tcPr>
          <w:p w:rsidR="00D025EA" w:rsidRPr="002A3E53" w:rsidRDefault="00D025EA" w:rsidP="00C110C7">
            <w:pPr>
              <w:pStyle w:val="TableText"/>
            </w:pPr>
            <w:r w:rsidRPr="002A3E53">
              <w:rPr>
                <w:szCs w:val="19"/>
              </w:rPr>
              <w:t>Net cost to MBS*</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c>
          <w:tcPr>
            <w:tcW w:w="588" w:type="pct"/>
            <w:vAlign w:val="center"/>
          </w:tcPr>
          <w:p w:rsidR="00D025EA" w:rsidRPr="00F176AE" w:rsidRDefault="00F176AE" w:rsidP="00C110C7">
            <w:pPr>
              <w:jc w:val="right"/>
              <w:rPr>
                <w:rFonts w:ascii="Arial Narrow" w:hAnsi="Arial Narrow" w:cs="Arial"/>
                <w:bCs/>
                <w:color w:val="000000"/>
                <w:sz w:val="20"/>
                <w:highlight w:val="black"/>
              </w:rPr>
            </w:pPr>
            <w:r>
              <w:rPr>
                <w:rFonts w:ascii="Arial Narrow" w:hAnsi="Arial Narrow" w:cs="Arial"/>
                <w:bCs/>
                <w:noProof/>
                <w:color w:val="000000"/>
                <w:sz w:val="20"/>
                <w:highlight w:val="black"/>
              </w:rPr>
              <w:t>''''''''''''''''''''''</w:t>
            </w:r>
          </w:p>
        </w:tc>
      </w:tr>
      <w:tr w:rsidR="00D025EA" w:rsidRPr="004E6AFB" w:rsidTr="00D025EA">
        <w:tc>
          <w:tcPr>
            <w:tcW w:w="1492" w:type="pct"/>
            <w:shd w:val="clear" w:color="auto" w:fill="auto"/>
            <w:vAlign w:val="center"/>
          </w:tcPr>
          <w:p w:rsidR="00D025EA" w:rsidRPr="002A3E53" w:rsidRDefault="00D025EA" w:rsidP="00C110C7">
            <w:pPr>
              <w:pStyle w:val="TableText"/>
              <w:rPr>
                <w:b/>
                <w:sz w:val="19"/>
                <w:szCs w:val="19"/>
              </w:rPr>
            </w:pPr>
            <w:r w:rsidRPr="002A3E53">
              <w:rPr>
                <w:b/>
                <w:szCs w:val="20"/>
                <w:lang w:val="en-US"/>
              </w:rPr>
              <w:t>Overall net cost to Government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4" w:type="pct"/>
            <w:shd w:val="clear" w:color="auto" w:fill="auto"/>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c>
          <w:tcPr>
            <w:tcW w:w="588" w:type="pct"/>
            <w:vAlign w:val="center"/>
          </w:tcPr>
          <w:p w:rsidR="00D025EA" w:rsidRPr="00F176AE" w:rsidRDefault="00F176AE" w:rsidP="00C110C7">
            <w:pPr>
              <w:jc w:val="right"/>
              <w:rPr>
                <w:rFonts w:ascii="Arial Narrow" w:hAnsi="Arial Narrow" w:cs="Arial"/>
                <w:b/>
                <w:bCs/>
                <w:color w:val="000000"/>
                <w:sz w:val="20"/>
                <w:highlight w:val="black"/>
              </w:rPr>
            </w:pPr>
            <w:r>
              <w:rPr>
                <w:rFonts w:ascii="Arial Narrow" w:hAnsi="Arial Narrow" w:cs="Arial"/>
                <w:b/>
                <w:bCs/>
                <w:noProof/>
                <w:color w:val="000000"/>
                <w:sz w:val="20"/>
                <w:highlight w:val="black"/>
              </w:rPr>
              <w:t>''''''''''''''''''''''</w:t>
            </w:r>
          </w:p>
        </w:tc>
      </w:tr>
    </w:tbl>
    <w:p w:rsidR="00D025EA" w:rsidRPr="00D025EA" w:rsidRDefault="00D025EA" w:rsidP="00D025EA">
      <w:pPr>
        <w:pStyle w:val="TableNotes"/>
        <w:rPr>
          <w:rFonts w:ascii="Arial Narrow" w:hAnsi="Arial Narrow"/>
          <w:sz w:val="18"/>
          <w:szCs w:val="18"/>
        </w:rPr>
      </w:pPr>
      <w:r w:rsidRPr="00D025EA">
        <w:rPr>
          <w:rFonts w:ascii="Arial Narrow" w:hAnsi="Arial Narrow"/>
          <w:sz w:val="18"/>
          <w:szCs w:val="18"/>
        </w:rPr>
        <w:t>a Assuming 2 scripts per year as estimated by the submission.</w:t>
      </w:r>
    </w:p>
    <w:p w:rsidR="00D025EA" w:rsidRPr="00D025EA" w:rsidRDefault="00D025EA" w:rsidP="00D025EA">
      <w:pPr>
        <w:pStyle w:val="TableNotes"/>
        <w:rPr>
          <w:rFonts w:ascii="Arial Narrow" w:hAnsi="Arial Narrow"/>
          <w:sz w:val="18"/>
          <w:szCs w:val="18"/>
        </w:rPr>
      </w:pPr>
      <w:r w:rsidRPr="00D025EA">
        <w:rPr>
          <w:rFonts w:ascii="Arial Narrow" w:hAnsi="Arial Narrow"/>
          <w:sz w:val="18"/>
          <w:szCs w:val="18"/>
        </w:rPr>
        <w:t>Source: Table  4.2.1, p139 of the submission, Table  4.2.3, p140 of the submission, Table 4.2.4, pp140-141 of the submission., Table 4.5.2 p143 of the submission,  Table 4.5.4, p144 of the submission, and ‘utilisation and cost model.xlsx’.</w:t>
      </w:r>
    </w:p>
    <w:p w:rsidR="00D025EA" w:rsidRDefault="00D025EA" w:rsidP="00D025EA">
      <w:pPr>
        <w:pStyle w:val="TableNotes"/>
        <w:rPr>
          <w:rFonts w:ascii="Arial Narrow" w:hAnsi="Arial Narrow"/>
          <w:sz w:val="18"/>
          <w:szCs w:val="18"/>
        </w:rPr>
      </w:pPr>
      <w:r w:rsidRPr="00D025EA">
        <w:rPr>
          <w:rFonts w:ascii="Arial Narrow" w:hAnsi="Arial Narrow"/>
          <w:sz w:val="18"/>
          <w:szCs w:val="18"/>
        </w:rPr>
        <w:t>* Based on figures from the September 2017 DUSC Advice, updated from the sponsor’s pre-sub-committee response.</w:t>
      </w:r>
    </w:p>
    <w:p w:rsidR="00D025EA" w:rsidRPr="00D025EA" w:rsidRDefault="00D025EA" w:rsidP="00D025EA">
      <w:pPr>
        <w:pStyle w:val="TableNotes"/>
        <w:rPr>
          <w:rFonts w:ascii="Arial Narrow" w:hAnsi="Arial Narrow"/>
          <w:sz w:val="18"/>
          <w:szCs w:val="18"/>
        </w:rPr>
      </w:pPr>
    </w:p>
    <w:p w:rsidR="00EA6296" w:rsidRDefault="00EA6296" w:rsidP="00EA6296">
      <w:pPr>
        <w:pStyle w:val="ListParagraph"/>
        <w:spacing w:before="0" w:after="120"/>
        <w:ind w:left="576"/>
        <w:jc w:val="both"/>
      </w:pPr>
      <w:r w:rsidRPr="00EA6296">
        <w:rPr>
          <w:rFonts w:ascii="Calibri" w:eastAsia="Times New Roman" w:hAnsi="Calibri" w:cs="Times New Roman"/>
          <w:szCs w:val="24"/>
          <w:lang w:eastAsia="en-AU"/>
        </w:rPr>
        <w:t>The redacted table shows that at year 5, the estimated number of patients was less than 10,000 per year and the net cost to the PBS would be $</w:t>
      </w:r>
      <w:r>
        <w:rPr>
          <w:rFonts w:ascii="Calibri" w:eastAsia="Times New Roman" w:hAnsi="Calibri" w:cs="Times New Roman"/>
          <w:szCs w:val="24"/>
          <w:lang w:eastAsia="en-AU"/>
        </w:rPr>
        <w:t>3</w:t>
      </w:r>
      <w:r w:rsidRPr="00EA6296">
        <w:rPr>
          <w:rFonts w:ascii="Calibri" w:eastAsia="Times New Roman" w:hAnsi="Calibri" w:cs="Times New Roman"/>
          <w:szCs w:val="24"/>
          <w:lang w:eastAsia="en-AU"/>
        </w:rPr>
        <w:t>0 - $</w:t>
      </w:r>
      <w:r>
        <w:rPr>
          <w:rFonts w:ascii="Calibri" w:eastAsia="Times New Roman" w:hAnsi="Calibri" w:cs="Times New Roman"/>
          <w:szCs w:val="24"/>
          <w:lang w:eastAsia="en-AU"/>
        </w:rPr>
        <w:t>6</w:t>
      </w:r>
      <w:r w:rsidRPr="00EA6296">
        <w:rPr>
          <w:rFonts w:ascii="Calibri" w:eastAsia="Times New Roman" w:hAnsi="Calibri" w:cs="Times New Roman"/>
          <w:szCs w:val="24"/>
          <w:lang w:eastAsia="en-AU"/>
        </w:rPr>
        <w:t>0 million per year.</w:t>
      </w:r>
    </w:p>
    <w:p w:rsidR="00D025EA" w:rsidRDefault="00D025EA" w:rsidP="00D025EA">
      <w:pPr>
        <w:pStyle w:val="ListParagraph"/>
        <w:numPr>
          <w:ilvl w:val="1"/>
          <w:numId w:val="1"/>
        </w:numPr>
        <w:spacing w:before="0" w:after="120"/>
        <w:jc w:val="both"/>
      </w:pPr>
      <w:r w:rsidRPr="00D025EA">
        <w:t xml:space="preserve">At year 1, the estimated number of patients was </w:t>
      </w:r>
      <w:r w:rsidR="00122014" w:rsidRPr="00EA6296">
        <w:rPr>
          <w:rFonts w:ascii="Calibri" w:eastAsia="Times New Roman" w:hAnsi="Calibri" w:cs="Times New Roman"/>
          <w:szCs w:val="24"/>
          <w:lang w:eastAsia="en-AU"/>
        </w:rPr>
        <w:t xml:space="preserve">less than 10,000 per year </w:t>
      </w:r>
      <w:r w:rsidRPr="00D025EA">
        <w:t xml:space="preserve">and the net cost to the Government would be </w:t>
      </w:r>
      <w:r w:rsidR="00122014" w:rsidRPr="00EA6296">
        <w:rPr>
          <w:rFonts w:ascii="Calibri" w:eastAsia="Times New Roman" w:hAnsi="Calibri" w:cs="Times New Roman"/>
          <w:szCs w:val="24"/>
          <w:lang w:eastAsia="en-AU"/>
        </w:rPr>
        <w:t>$</w:t>
      </w:r>
      <w:r w:rsidR="00122014">
        <w:rPr>
          <w:rFonts w:ascii="Calibri" w:eastAsia="Times New Roman" w:hAnsi="Calibri" w:cs="Times New Roman"/>
          <w:szCs w:val="24"/>
          <w:lang w:eastAsia="en-AU"/>
        </w:rPr>
        <w:t>2</w:t>
      </w:r>
      <w:r w:rsidR="00122014" w:rsidRPr="00EA6296">
        <w:rPr>
          <w:rFonts w:ascii="Calibri" w:eastAsia="Times New Roman" w:hAnsi="Calibri" w:cs="Times New Roman"/>
          <w:szCs w:val="24"/>
          <w:lang w:eastAsia="en-AU"/>
        </w:rPr>
        <w:t>0 - $</w:t>
      </w:r>
      <w:r w:rsidR="00122014">
        <w:rPr>
          <w:rFonts w:ascii="Calibri" w:eastAsia="Times New Roman" w:hAnsi="Calibri" w:cs="Times New Roman"/>
          <w:szCs w:val="24"/>
          <w:lang w:eastAsia="en-AU"/>
        </w:rPr>
        <w:t>3</w:t>
      </w:r>
      <w:r w:rsidR="00122014" w:rsidRPr="00EA6296">
        <w:rPr>
          <w:rFonts w:ascii="Calibri" w:eastAsia="Times New Roman" w:hAnsi="Calibri" w:cs="Times New Roman"/>
          <w:szCs w:val="24"/>
          <w:lang w:eastAsia="en-AU"/>
        </w:rPr>
        <w:t>0 million per year</w:t>
      </w:r>
      <w:r w:rsidRPr="00D025EA">
        <w:t>.</w:t>
      </w:r>
    </w:p>
    <w:p w:rsidR="00E3072C" w:rsidRDefault="00DD7EA3" w:rsidP="00D025EA">
      <w:pPr>
        <w:pStyle w:val="ListParagraph"/>
        <w:numPr>
          <w:ilvl w:val="1"/>
          <w:numId w:val="29"/>
        </w:numPr>
        <w:spacing w:before="0" w:after="120"/>
        <w:jc w:val="both"/>
      </w:pPr>
      <w:r>
        <w:t>At year 6</w:t>
      </w:r>
      <w:r w:rsidR="00E3072C">
        <w:t>, the esti</w:t>
      </w:r>
      <w:r>
        <w:t xml:space="preserve">mated number of patients was </w:t>
      </w:r>
      <w:r w:rsidR="00122014" w:rsidRPr="00EA6296">
        <w:rPr>
          <w:rFonts w:ascii="Calibri" w:eastAsia="Times New Roman" w:hAnsi="Calibri" w:cs="Times New Roman"/>
          <w:szCs w:val="24"/>
          <w:lang w:eastAsia="en-AU"/>
        </w:rPr>
        <w:t xml:space="preserve">less than 10,000 per year </w:t>
      </w:r>
      <w:r w:rsidR="00E3072C">
        <w:t>and the ne</w:t>
      </w:r>
      <w:r>
        <w:t xml:space="preserve">t cost to the </w:t>
      </w:r>
      <w:r w:rsidR="00E471ED">
        <w:t>Government</w:t>
      </w:r>
      <w:r>
        <w:t xml:space="preserve"> would be </w:t>
      </w:r>
      <w:r w:rsidR="00122014" w:rsidRPr="00EA6296">
        <w:rPr>
          <w:rFonts w:ascii="Calibri" w:eastAsia="Times New Roman" w:hAnsi="Calibri" w:cs="Times New Roman"/>
          <w:szCs w:val="24"/>
          <w:lang w:eastAsia="en-AU"/>
        </w:rPr>
        <w:t>$</w:t>
      </w:r>
      <w:r w:rsidR="00122014">
        <w:rPr>
          <w:rFonts w:ascii="Calibri" w:eastAsia="Times New Roman" w:hAnsi="Calibri" w:cs="Times New Roman"/>
          <w:szCs w:val="24"/>
          <w:lang w:eastAsia="en-AU"/>
        </w:rPr>
        <w:t>3</w:t>
      </w:r>
      <w:r w:rsidR="00122014" w:rsidRPr="00EA6296">
        <w:rPr>
          <w:rFonts w:ascii="Calibri" w:eastAsia="Times New Roman" w:hAnsi="Calibri" w:cs="Times New Roman"/>
          <w:szCs w:val="24"/>
          <w:lang w:eastAsia="en-AU"/>
        </w:rPr>
        <w:t>0 - $</w:t>
      </w:r>
      <w:r w:rsidR="00122014">
        <w:rPr>
          <w:rFonts w:ascii="Calibri" w:eastAsia="Times New Roman" w:hAnsi="Calibri" w:cs="Times New Roman"/>
          <w:szCs w:val="24"/>
          <w:lang w:eastAsia="en-AU"/>
        </w:rPr>
        <w:t>6</w:t>
      </w:r>
      <w:r w:rsidR="00122014" w:rsidRPr="00EA6296">
        <w:rPr>
          <w:rFonts w:ascii="Calibri" w:eastAsia="Times New Roman" w:hAnsi="Calibri" w:cs="Times New Roman"/>
          <w:szCs w:val="24"/>
          <w:lang w:eastAsia="en-AU"/>
        </w:rPr>
        <w:t>0 million per year</w:t>
      </w:r>
      <w:r>
        <w:t xml:space="preserve">. </w:t>
      </w:r>
    </w:p>
    <w:p w:rsidR="002A3E53" w:rsidRDefault="002A3E53" w:rsidP="00D025EA">
      <w:pPr>
        <w:pStyle w:val="ListParagraph"/>
        <w:numPr>
          <w:ilvl w:val="1"/>
          <w:numId w:val="29"/>
        </w:numPr>
        <w:spacing w:before="0" w:after="120"/>
        <w:jc w:val="both"/>
      </w:pPr>
      <w:r>
        <w:t xml:space="preserve">The DUSC considered the estimates presented in the submission to be </w:t>
      </w:r>
      <w:r w:rsidR="00E471ED">
        <w:t>under</w:t>
      </w:r>
      <w:r>
        <w:t>estimated and highly uncertain. The main issues were identified as follows.</w:t>
      </w:r>
    </w:p>
    <w:p w:rsidR="00E471ED" w:rsidRDefault="002A3E53" w:rsidP="00E471ED">
      <w:pPr>
        <w:pStyle w:val="ListParagraph"/>
        <w:numPr>
          <w:ilvl w:val="0"/>
          <w:numId w:val="26"/>
        </w:numPr>
        <w:spacing w:before="0" w:after="120"/>
        <w:jc w:val="both"/>
      </w:pPr>
      <w:r>
        <w:t>The number of incident patients was added to the number of prevalent patients to estimate use, resulting in an overestimate of the projected number of treated patients.</w:t>
      </w:r>
    </w:p>
    <w:p w:rsidR="001013BF" w:rsidRDefault="002A3E53" w:rsidP="001013BF">
      <w:pPr>
        <w:pStyle w:val="ListParagraph"/>
        <w:numPr>
          <w:ilvl w:val="0"/>
          <w:numId w:val="26"/>
        </w:numPr>
        <w:spacing w:before="0" w:after="120"/>
        <w:jc w:val="both"/>
      </w:pPr>
      <w:r>
        <w:t>The financial estimates were sensitive to inputs based on expert opinion of uptake and eligibility in the prevalent population. Both estimates risked being underestimates in the base case, leading to underestimates of use and cost to government. A risk share arrangement is necessary to reduce uncertainty in the costs to government.</w:t>
      </w:r>
    </w:p>
    <w:p w:rsidR="001013BF" w:rsidRDefault="002A3E53" w:rsidP="001013BF">
      <w:pPr>
        <w:pStyle w:val="ListParagraph"/>
        <w:numPr>
          <w:ilvl w:val="0"/>
          <w:numId w:val="26"/>
        </w:numPr>
        <w:spacing w:before="0" w:after="120"/>
        <w:jc w:val="both"/>
      </w:pPr>
      <w:r>
        <w:t xml:space="preserve">The requested restriction was broadly worded and allowed for access to a broader PPMS population than the population included in the </w:t>
      </w:r>
      <w:r w:rsidR="0027740E">
        <w:t xml:space="preserve">ORATORIO </w:t>
      </w:r>
      <w:r>
        <w:t>clinical trial. DUSC advised that the restriction should include criteria based on disease severity for initial therapy, and criteria based on prior treatment effectiveness in the request for continuing therapy.</w:t>
      </w:r>
    </w:p>
    <w:p w:rsidR="002A3E53" w:rsidRDefault="002A3E53" w:rsidP="001013BF">
      <w:pPr>
        <w:pStyle w:val="ListParagraph"/>
        <w:numPr>
          <w:ilvl w:val="0"/>
          <w:numId w:val="26"/>
        </w:numPr>
        <w:spacing w:before="0" w:after="120"/>
        <w:jc w:val="both"/>
      </w:pPr>
      <w:r>
        <w:t>The submission did not account for two separate administrations in the initial treatment of ocrelizumab (300mg administered two weeks apart). This underestimated administration costs.</w:t>
      </w:r>
    </w:p>
    <w:p w:rsidR="002A3E53" w:rsidRDefault="002A3E53" w:rsidP="00D025EA">
      <w:pPr>
        <w:pStyle w:val="ListParagraph"/>
        <w:numPr>
          <w:ilvl w:val="1"/>
          <w:numId w:val="29"/>
        </w:numPr>
        <w:spacing w:before="0" w:after="120"/>
        <w:jc w:val="both"/>
      </w:pPr>
      <w:r>
        <w:t>The pre-PBAC response (p3) stated that the sponsor is willing to present a revised utilisation and cost model.</w:t>
      </w:r>
    </w:p>
    <w:p w:rsidR="00C317F3" w:rsidRPr="00BB367E" w:rsidRDefault="00C317F3" w:rsidP="00772501">
      <w:pPr>
        <w:pStyle w:val="Heading2"/>
        <w:rPr>
          <w:i w:val="0"/>
        </w:rPr>
      </w:pPr>
      <w:bookmarkStart w:id="27" w:name="_Toc413139285"/>
      <w:bookmarkStart w:id="28" w:name="_Toc492991362"/>
      <w:r w:rsidRPr="00BB367E">
        <w:rPr>
          <w:i w:val="0"/>
        </w:rPr>
        <w:t xml:space="preserve">Quality </w:t>
      </w:r>
      <w:r w:rsidR="00661286" w:rsidRPr="00BB367E">
        <w:rPr>
          <w:i w:val="0"/>
        </w:rPr>
        <w:t>u</w:t>
      </w:r>
      <w:r w:rsidRPr="00BB367E">
        <w:rPr>
          <w:i w:val="0"/>
        </w:rPr>
        <w:t xml:space="preserve">se of </w:t>
      </w:r>
      <w:r w:rsidR="00661286" w:rsidRPr="00BB367E">
        <w:rPr>
          <w:i w:val="0"/>
        </w:rPr>
        <w:t>m</w:t>
      </w:r>
      <w:r w:rsidRPr="00BB367E">
        <w:rPr>
          <w:i w:val="0"/>
        </w:rPr>
        <w:t>edicines</w:t>
      </w:r>
      <w:bookmarkEnd w:id="27"/>
      <w:bookmarkEnd w:id="28"/>
    </w:p>
    <w:p w:rsidR="00462515" w:rsidRPr="00D54E8B" w:rsidRDefault="00462515" w:rsidP="00D025EA">
      <w:pPr>
        <w:pStyle w:val="ListParagraph"/>
        <w:numPr>
          <w:ilvl w:val="1"/>
          <w:numId w:val="29"/>
        </w:numPr>
        <w:jc w:val="both"/>
      </w:pPr>
      <w:r w:rsidRPr="00D54E8B">
        <w:t xml:space="preserve">The submission stated that there </w:t>
      </w:r>
      <w:r w:rsidR="002052AF" w:rsidRPr="00D54E8B">
        <w:t>are</w:t>
      </w:r>
      <w:r w:rsidRPr="00D54E8B">
        <w:t xml:space="preserve"> no planned quality use of medicine programs specifically to support the listing of ocrelizumab for PPMS</w:t>
      </w:r>
      <w:r w:rsidR="001229DA" w:rsidRPr="00D54E8B">
        <w:t>.</w:t>
      </w:r>
      <w:r w:rsidRPr="00D54E8B">
        <w:t xml:space="preserve"> </w:t>
      </w:r>
    </w:p>
    <w:p w:rsidR="00462515" w:rsidRPr="00D54E8B" w:rsidRDefault="00462515" w:rsidP="00D025EA">
      <w:pPr>
        <w:pStyle w:val="ListParagraph"/>
        <w:numPr>
          <w:ilvl w:val="1"/>
          <w:numId w:val="29"/>
        </w:numPr>
        <w:jc w:val="both"/>
      </w:pPr>
      <w:r w:rsidRPr="00D54E8B">
        <w:t>The submission noted that two global ocrelizumab non-interventional, observational studies will be commencing in 2017 to assess the long term safety and efficacy of oc</w:t>
      </w:r>
      <w:r w:rsidR="001229DA" w:rsidRPr="00D54E8B">
        <w:t xml:space="preserve">relizumab in patients with MS. </w:t>
      </w:r>
      <w:r w:rsidRPr="00D54E8B">
        <w:t>These studies are:</w:t>
      </w:r>
    </w:p>
    <w:p w:rsidR="00462515" w:rsidRPr="00D54E8B" w:rsidRDefault="00462515" w:rsidP="00FF615A">
      <w:pPr>
        <w:pStyle w:val="ListParagraph"/>
        <w:numPr>
          <w:ilvl w:val="0"/>
          <w:numId w:val="9"/>
        </w:numPr>
        <w:spacing w:before="0" w:after="0"/>
        <w:ind w:left="986" w:hanging="357"/>
      </w:pPr>
      <w:r w:rsidRPr="00D54E8B">
        <w:t>MSBase PASS-Ocrelizumab safety sub-study long term safety study of ocrelizumab treated patients with multiple sclerosis</w:t>
      </w:r>
      <w:r w:rsidR="001229DA" w:rsidRPr="00D54E8B">
        <w:t>; and</w:t>
      </w:r>
    </w:p>
    <w:p w:rsidR="00462515" w:rsidRDefault="00462515" w:rsidP="00FF615A">
      <w:pPr>
        <w:pStyle w:val="ListParagraph"/>
        <w:numPr>
          <w:ilvl w:val="0"/>
          <w:numId w:val="9"/>
        </w:numPr>
        <w:spacing w:before="0"/>
        <w:ind w:left="986" w:hanging="357"/>
      </w:pPr>
      <w:r w:rsidRPr="00D54E8B">
        <w:t xml:space="preserve">MSCORE-P- Prospective assessment of real world long-term natural history and </w:t>
      </w:r>
      <w:r w:rsidR="00D141A9" w:rsidRPr="00D54E8B">
        <w:t>ocrelizumab</w:t>
      </w:r>
      <w:r w:rsidRPr="00D54E8B">
        <w:t xml:space="preserve"> effectiveness in progressive MS Disease.</w:t>
      </w:r>
    </w:p>
    <w:p w:rsidR="00C32E67" w:rsidRPr="00B82C6A" w:rsidRDefault="00C32E67" w:rsidP="009F0919">
      <w:pPr>
        <w:pStyle w:val="ListParagraph"/>
        <w:numPr>
          <w:ilvl w:val="1"/>
          <w:numId w:val="29"/>
        </w:numPr>
        <w:jc w:val="both"/>
      </w:pPr>
      <w:r>
        <w:t xml:space="preserve">The </w:t>
      </w:r>
      <w:r w:rsidRPr="00B40658">
        <w:t xml:space="preserve">DUSC advised that ocrelizumab would benefit from a </w:t>
      </w:r>
      <w:r>
        <w:t>quality use of medicines (</w:t>
      </w:r>
      <w:r w:rsidRPr="00B40658">
        <w:t>QUM</w:t>
      </w:r>
      <w:r>
        <w:t>)</w:t>
      </w:r>
      <w:r w:rsidRPr="00B40658">
        <w:t xml:space="preserve"> program to monitor long term safety and adverse events. </w:t>
      </w:r>
      <w:r>
        <w:t xml:space="preserve">The </w:t>
      </w:r>
      <w:r w:rsidRPr="00B40658">
        <w:t xml:space="preserve">DUSC noted that the older Australian population with more severe disease likely to be treated compared to individuals eligible for the </w:t>
      </w:r>
      <w:r w:rsidR="0027740E">
        <w:t>ORATORIO</w:t>
      </w:r>
      <w:r w:rsidRPr="00B40658">
        <w:t xml:space="preserve"> trial would have a higher risk of infection, and considered that patients would benefit from ongoing support to </w:t>
      </w:r>
      <w:r w:rsidRPr="00B82C6A">
        <w:t>manage these events.</w:t>
      </w:r>
      <w:r w:rsidR="009F0919" w:rsidRPr="009F0919">
        <w:t xml:space="preserve"> The PBAC agreed with the DUSC that ocrelizumab would benefit from a quality use of medicines program</w:t>
      </w:r>
      <w:r w:rsidR="009F0919">
        <w:t>.</w:t>
      </w:r>
    </w:p>
    <w:p w:rsidR="00C32E67" w:rsidRPr="00B82C6A" w:rsidRDefault="00C32E67" w:rsidP="00D025EA">
      <w:pPr>
        <w:pStyle w:val="ListParagraph"/>
        <w:numPr>
          <w:ilvl w:val="1"/>
          <w:numId w:val="29"/>
        </w:numPr>
        <w:jc w:val="both"/>
      </w:pPr>
      <w:r w:rsidRPr="00B82C6A">
        <w:t xml:space="preserve">The pre-PBAC response (p3) stated that the sponsor </w:t>
      </w:r>
      <w:r w:rsidRPr="00B82C6A">
        <w:rPr>
          <w:rFonts w:ascii="Calibri" w:hAnsi="Calibri" w:cs="Calibri"/>
          <w:bCs/>
        </w:rPr>
        <w:t xml:space="preserve">has developed 'the Conductor Program' to support patients in the management of ocrelizumab. The program consists of: (1) a secure web portal that can be accessed by doctors and nurses to enrol patients and manage infusion dates, times and location. (2) nurse-support for patients to elect to receive 6-monthly phone calls from a MS nurse; and (3) an ocrelizumab patient app providing information about MS and ocrelizumab, synchronising with the patient portal to auto-populate information regarding the patient's healthcare team and infusion schedule. </w:t>
      </w:r>
    </w:p>
    <w:p w:rsidR="00664573" w:rsidRPr="00664573" w:rsidRDefault="00C317F3" w:rsidP="00AD67DE">
      <w:pPr>
        <w:pStyle w:val="V50Heading2nonumbers"/>
        <w:jc w:val="both"/>
      </w:pPr>
      <w:bookmarkStart w:id="29" w:name="_Toc413139286"/>
      <w:bookmarkStart w:id="30" w:name="_Toc492991363"/>
      <w:r w:rsidRPr="00664573">
        <w:t xml:space="preserve">Financial </w:t>
      </w:r>
      <w:r w:rsidR="00661286" w:rsidRPr="00664573">
        <w:t>m</w:t>
      </w:r>
      <w:r w:rsidRPr="00664573">
        <w:t xml:space="preserve">anagement – </w:t>
      </w:r>
      <w:r w:rsidR="00661286" w:rsidRPr="00664573">
        <w:t>r</w:t>
      </w:r>
      <w:r w:rsidRPr="00664573">
        <w:t xml:space="preserve">isk </w:t>
      </w:r>
      <w:r w:rsidR="00661286" w:rsidRPr="00664573">
        <w:t>s</w:t>
      </w:r>
      <w:r w:rsidRPr="00664573">
        <w:t xml:space="preserve">haring </w:t>
      </w:r>
      <w:r w:rsidR="00661286" w:rsidRPr="00664573">
        <w:t>a</w:t>
      </w:r>
      <w:r w:rsidRPr="00664573">
        <w:t>rrangements</w:t>
      </w:r>
      <w:bookmarkEnd w:id="29"/>
      <w:bookmarkEnd w:id="30"/>
    </w:p>
    <w:p w:rsidR="00664573" w:rsidRDefault="00462515" w:rsidP="00D025EA">
      <w:pPr>
        <w:pStyle w:val="ListParagraph"/>
        <w:numPr>
          <w:ilvl w:val="1"/>
          <w:numId w:val="29"/>
        </w:numPr>
        <w:jc w:val="both"/>
      </w:pPr>
      <w:r w:rsidRPr="00664573">
        <w:t>T</w:t>
      </w:r>
      <w:r w:rsidR="00C317F3" w:rsidRPr="00664573">
        <w:t>he submission state</w:t>
      </w:r>
      <w:r w:rsidRPr="00664573">
        <w:t>d</w:t>
      </w:r>
      <w:r w:rsidR="00C317F3" w:rsidRPr="00664573">
        <w:t xml:space="preserve"> that the sponsor is willing to undertake a risk sharing arrangement</w:t>
      </w:r>
      <w:r w:rsidRPr="00664573">
        <w:t>. No further details were provided.</w:t>
      </w:r>
      <w:r w:rsidR="00C317F3" w:rsidRPr="00664573">
        <w:t xml:space="preserve"> </w:t>
      </w:r>
    </w:p>
    <w:p w:rsidR="00664573" w:rsidRDefault="00D54E8B" w:rsidP="00664573">
      <w:pPr>
        <w:pStyle w:val="ListParagraph"/>
        <w:ind w:left="709"/>
        <w:jc w:val="both"/>
        <w:rPr>
          <w:i/>
        </w:rPr>
      </w:pPr>
      <w:r w:rsidRPr="00B435B9">
        <w:rPr>
          <w:i/>
        </w:rPr>
        <w:t>For more detail on PBAC’s view, see section 7 PBAC outcome.</w:t>
      </w:r>
    </w:p>
    <w:p w:rsidR="007A49D6" w:rsidRPr="00664573" w:rsidRDefault="007A49D6" w:rsidP="00664573">
      <w:pPr>
        <w:pStyle w:val="ListParagraph"/>
        <w:ind w:left="709"/>
        <w:jc w:val="both"/>
        <w:rPr>
          <w:i/>
        </w:rPr>
      </w:pPr>
    </w:p>
    <w:p w:rsidR="00FF615A" w:rsidRPr="009F3C06" w:rsidRDefault="00FF615A" w:rsidP="00D025EA">
      <w:pPr>
        <w:pStyle w:val="Heading1"/>
        <w:spacing w:before="400"/>
        <w:ind w:left="432"/>
        <w:jc w:val="both"/>
      </w:pPr>
      <w:r w:rsidRPr="009F3C06">
        <w:t>PBAC Outcome</w:t>
      </w:r>
    </w:p>
    <w:p w:rsidR="009F3C06" w:rsidRPr="009F3C06" w:rsidRDefault="009F3C06" w:rsidP="009F3C06">
      <w:pPr>
        <w:widowControl w:val="0"/>
        <w:spacing w:before="0" w:after="0"/>
        <w:jc w:val="both"/>
        <w:rPr>
          <w:rFonts w:ascii="Arial" w:eastAsia="Times New Roman" w:hAnsi="Arial" w:cs="Arial"/>
          <w:b/>
          <w:bCs/>
          <w:snapToGrid w:val="0"/>
          <w:sz w:val="22"/>
        </w:rPr>
      </w:pPr>
    </w:p>
    <w:p w:rsidR="00A10CBF" w:rsidRPr="006C21FF" w:rsidRDefault="00A10CBF" w:rsidP="00A10CBF">
      <w:pPr>
        <w:pStyle w:val="ListParagraph"/>
        <w:numPr>
          <w:ilvl w:val="1"/>
          <w:numId w:val="4"/>
        </w:numPr>
        <w:spacing w:before="0" w:after="120"/>
        <w:jc w:val="both"/>
        <w:rPr>
          <w:snapToGrid w:val="0"/>
        </w:rPr>
      </w:pPr>
      <w:r w:rsidRPr="00F55B3B">
        <w:rPr>
          <w:rFonts w:cs="Arial"/>
          <w:snapToGrid w:val="0"/>
          <w:szCs w:val="20"/>
        </w:rPr>
        <w:t>The PBAC did not recommend t</w:t>
      </w:r>
      <w:r>
        <w:rPr>
          <w:rFonts w:cs="Arial"/>
          <w:snapToGrid w:val="0"/>
          <w:szCs w:val="20"/>
        </w:rPr>
        <w:t>he listing of ocrelizumab</w:t>
      </w:r>
      <w:r w:rsidRPr="00F55B3B">
        <w:rPr>
          <w:rFonts w:cs="Arial"/>
          <w:snapToGrid w:val="0"/>
          <w:szCs w:val="20"/>
        </w:rPr>
        <w:t xml:space="preserve"> for t</w:t>
      </w:r>
      <w:r>
        <w:rPr>
          <w:rFonts w:cs="Arial"/>
          <w:snapToGrid w:val="0"/>
          <w:szCs w:val="20"/>
        </w:rPr>
        <w:t>he treatment of patients with primary progressive multiple sclerosis (PPMS),</w:t>
      </w:r>
      <w:r w:rsidRPr="00F55B3B">
        <w:rPr>
          <w:rFonts w:cs="Arial"/>
          <w:snapToGrid w:val="0"/>
          <w:szCs w:val="20"/>
        </w:rPr>
        <w:t xml:space="preserve"> </w:t>
      </w:r>
      <w:r>
        <w:t xml:space="preserve">on the basis of </w:t>
      </w:r>
      <w:r w:rsidR="00C113A8">
        <w:t xml:space="preserve">modest </w:t>
      </w:r>
      <w:r>
        <w:t xml:space="preserve">clinical benefit and the resulting </w:t>
      </w:r>
      <w:r>
        <w:rPr>
          <w:bCs/>
          <w:lang w:val="en-GB"/>
        </w:rPr>
        <w:t xml:space="preserve">high and </w:t>
      </w:r>
      <w:r w:rsidRPr="00AE367E">
        <w:rPr>
          <w:bCs/>
          <w:lang w:val="en-GB"/>
        </w:rPr>
        <w:t xml:space="preserve">uncertain </w:t>
      </w:r>
      <w:r>
        <w:rPr>
          <w:bCs/>
          <w:lang w:val="en-GB"/>
        </w:rPr>
        <w:t>incremental cost-effectiveness ratio (ICER). The PBAC was</w:t>
      </w:r>
      <w:r>
        <w:t xml:space="preserve"> concerned</w:t>
      </w:r>
      <w:r w:rsidRPr="005C290A">
        <w:t xml:space="preserve"> about </w:t>
      </w:r>
      <w:r>
        <w:t xml:space="preserve">the applicability of trial results to the potential PBS </w:t>
      </w:r>
      <w:r w:rsidRPr="006C21FF">
        <w:t>population,</w:t>
      </w:r>
      <w:r w:rsidR="00280E46">
        <w:t xml:space="preserve"> and that the </w:t>
      </w:r>
      <w:r w:rsidR="00E719D5">
        <w:t xml:space="preserve">base case </w:t>
      </w:r>
      <w:r w:rsidR="00280E46">
        <w:t>ICER</w:t>
      </w:r>
      <w:r w:rsidR="00313175">
        <w:t xml:space="preserve"> </w:t>
      </w:r>
      <w:r w:rsidR="00E719D5">
        <w:t xml:space="preserve">presented by the submission may be underestimated as ocrelizumab is likely to be less effective in the PBS population than observed in the ORATORIO trial. The PBAC was also concerned about the </w:t>
      </w:r>
      <w:r w:rsidRPr="006C21FF">
        <w:t>uncertainty with the utilisation estimates due to issues with defining the target PBS population</w:t>
      </w:r>
      <w:r w:rsidRPr="006C21FF">
        <w:rPr>
          <w:rFonts w:cs="Arial"/>
          <w:snapToGrid w:val="0"/>
          <w:szCs w:val="20"/>
        </w:rPr>
        <w:t>, and</w:t>
      </w:r>
      <w:r w:rsidR="004277E5">
        <w:rPr>
          <w:rFonts w:cs="Arial"/>
          <w:snapToGrid w:val="0"/>
          <w:szCs w:val="20"/>
        </w:rPr>
        <w:t xml:space="preserve"> the</w:t>
      </w:r>
      <w:r w:rsidRPr="006C21FF">
        <w:rPr>
          <w:rFonts w:cs="Arial"/>
          <w:snapToGrid w:val="0"/>
          <w:szCs w:val="20"/>
        </w:rPr>
        <w:t xml:space="preserve"> high and likely underestimated financial impact. </w:t>
      </w:r>
    </w:p>
    <w:p w:rsidR="00A10CBF" w:rsidRPr="006C21FF" w:rsidRDefault="006C21FF" w:rsidP="00FF615A">
      <w:pPr>
        <w:widowControl w:val="0"/>
        <w:numPr>
          <w:ilvl w:val="1"/>
          <w:numId w:val="4"/>
        </w:numPr>
        <w:spacing w:before="0" w:after="120"/>
        <w:jc w:val="both"/>
        <w:rPr>
          <w:rFonts w:cs="Arial"/>
          <w:bCs/>
          <w:snapToGrid w:val="0"/>
          <w:lang w:val="en-GB"/>
        </w:rPr>
      </w:pPr>
      <w:r w:rsidRPr="006C21FF">
        <w:rPr>
          <w:bCs/>
          <w:lang w:val="en-GB"/>
        </w:rPr>
        <w:t xml:space="preserve">The PBAC noted the consumer comments received in support of a PBS listing for ocrelizumab, and considered that these reflected the high, unmet clinical need for treatment options for patients with PPMS. </w:t>
      </w:r>
    </w:p>
    <w:p w:rsidR="006C21FF" w:rsidRDefault="006C21FF" w:rsidP="002D5D48">
      <w:pPr>
        <w:widowControl w:val="0"/>
        <w:numPr>
          <w:ilvl w:val="1"/>
          <w:numId w:val="4"/>
        </w:numPr>
        <w:spacing w:before="0" w:after="120"/>
        <w:jc w:val="both"/>
        <w:rPr>
          <w:rFonts w:cs="Arial"/>
          <w:bCs/>
          <w:snapToGrid w:val="0"/>
          <w:lang w:val="en-GB"/>
        </w:rPr>
      </w:pPr>
      <w:r>
        <w:rPr>
          <w:rFonts w:cs="Arial"/>
          <w:bCs/>
          <w:snapToGrid w:val="0"/>
          <w:lang w:val="en-GB"/>
        </w:rPr>
        <w:t xml:space="preserve">The PBAC noted that the requested PBS restriction was broader than the trial eligibility </w:t>
      </w:r>
      <w:r w:rsidR="004277E5">
        <w:rPr>
          <w:rFonts w:cs="Arial"/>
          <w:bCs/>
          <w:snapToGrid w:val="0"/>
          <w:lang w:val="en-GB"/>
        </w:rPr>
        <w:t>criteria. The PBAC noted the sponsor’s assertion that a broad PBS restriction was proposed “in good faith, seeking to ensure equity of access and to facilitate clinical judgement” (p1, pre-PBAC response). The PBAC considered however, that a PBS restriction consistent with the trial inclusion and exclusion criteria was important in identi</w:t>
      </w:r>
      <w:r w:rsidR="002D5D48">
        <w:rPr>
          <w:rFonts w:cs="Arial"/>
          <w:bCs/>
          <w:snapToGrid w:val="0"/>
          <w:lang w:val="en-GB"/>
        </w:rPr>
        <w:t>fying the</w:t>
      </w:r>
      <w:r w:rsidR="004277E5">
        <w:rPr>
          <w:rFonts w:cs="Arial"/>
          <w:bCs/>
          <w:snapToGrid w:val="0"/>
          <w:lang w:val="en-GB"/>
        </w:rPr>
        <w:t xml:space="preserve"> appropriate PBS population, particularly in the context of the modest clinical benefit demonstrated in the ORATORIO trial. </w:t>
      </w:r>
      <w:r w:rsidR="002D5D48">
        <w:rPr>
          <w:rFonts w:cs="Arial"/>
          <w:bCs/>
          <w:snapToGrid w:val="0"/>
          <w:lang w:val="en-GB"/>
        </w:rPr>
        <w:t xml:space="preserve">The PBAC noted that there was no evidence of clinical benefit of ocrelizumab in patients older than 55 years or with an EDSS &gt;6.5 points. The PBAC was therefore concerned that the </w:t>
      </w:r>
      <w:r w:rsidR="002D5D48" w:rsidRPr="002D5D48">
        <w:rPr>
          <w:rFonts w:cs="Arial"/>
          <w:bCs/>
          <w:snapToGrid w:val="0"/>
          <w:lang w:val="en-GB"/>
        </w:rPr>
        <w:t xml:space="preserve">applicability of the treatment effect observed in the </w:t>
      </w:r>
      <w:r w:rsidR="002D5D48">
        <w:rPr>
          <w:rFonts w:cs="Arial"/>
          <w:bCs/>
          <w:snapToGrid w:val="0"/>
          <w:lang w:val="en-GB"/>
        </w:rPr>
        <w:t>ORATORIO trial to the requested PBS</w:t>
      </w:r>
      <w:r w:rsidR="002D5D48" w:rsidRPr="002D5D48">
        <w:rPr>
          <w:rFonts w:cs="Arial"/>
          <w:bCs/>
          <w:snapToGrid w:val="0"/>
          <w:lang w:val="en-GB"/>
        </w:rPr>
        <w:t xml:space="preserve"> population was uncertain</w:t>
      </w:r>
      <w:r w:rsidR="002D5D48">
        <w:rPr>
          <w:rFonts w:cs="Arial"/>
          <w:bCs/>
          <w:snapToGrid w:val="0"/>
          <w:lang w:val="en-GB"/>
        </w:rPr>
        <w:t>. The PBAC further noted that pre</w:t>
      </w:r>
      <w:r w:rsidR="002D5D48" w:rsidRPr="002D5D48">
        <w:rPr>
          <w:rFonts w:cs="Arial"/>
          <w:bCs/>
          <w:snapToGrid w:val="0"/>
          <w:lang w:val="en-GB"/>
        </w:rPr>
        <w:t xml:space="preserve">-specified and post hoc subgroup analyses indicated that patient characteristics such as age and inflammation determined by MRI may be treatment </w:t>
      </w:r>
      <w:r w:rsidR="002D5D48">
        <w:rPr>
          <w:rFonts w:cs="Arial"/>
          <w:bCs/>
          <w:snapToGrid w:val="0"/>
          <w:lang w:val="en-GB"/>
        </w:rPr>
        <w:t xml:space="preserve">effect modifiers. </w:t>
      </w:r>
      <w:r w:rsidR="002D5D48" w:rsidRPr="002D5D48">
        <w:rPr>
          <w:rFonts w:cs="Arial"/>
          <w:bCs/>
          <w:snapToGrid w:val="0"/>
          <w:lang w:val="en-GB"/>
        </w:rPr>
        <w:t>Given the modest treatment effec</w:t>
      </w:r>
      <w:r w:rsidR="002D5D48">
        <w:rPr>
          <w:rFonts w:cs="Arial"/>
          <w:bCs/>
          <w:snapToGrid w:val="0"/>
          <w:lang w:val="en-GB"/>
        </w:rPr>
        <w:t>t observed in the trial, the PBAC</w:t>
      </w:r>
      <w:r w:rsidR="002D5D48" w:rsidRPr="002D5D48">
        <w:rPr>
          <w:rFonts w:cs="Arial"/>
          <w:bCs/>
          <w:snapToGrid w:val="0"/>
          <w:lang w:val="en-GB"/>
        </w:rPr>
        <w:t xml:space="preserve"> was concerned that the treatment effect of ocrelizumab may be less, and/or there may be a higher incidence of adverse events in an older and frailer PBS population.</w:t>
      </w:r>
      <w:r w:rsidR="00595F98">
        <w:rPr>
          <w:rFonts w:cs="Arial"/>
          <w:bCs/>
          <w:snapToGrid w:val="0"/>
          <w:lang w:val="en-GB"/>
        </w:rPr>
        <w:t xml:space="preserve"> The PBAC </w:t>
      </w:r>
      <w:r w:rsidR="004E154E">
        <w:rPr>
          <w:rFonts w:cs="Arial"/>
          <w:bCs/>
          <w:snapToGrid w:val="0"/>
          <w:lang w:val="en-GB"/>
        </w:rPr>
        <w:t xml:space="preserve">therefore </w:t>
      </w:r>
      <w:r w:rsidR="00595F98">
        <w:rPr>
          <w:rFonts w:cs="Arial"/>
          <w:bCs/>
          <w:snapToGrid w:val="0"/>
          <w:lang w:val="en-GB"/>
        </w:rPr>
        <w:t>advised that ocrelizumab be used in</w:t>
      </w:r>
      <w:r w:rsidR="004E154E">
        <w:rPr>
          <w:rFonts w:cs="Arial"/>
          <w:bCs/>
          <w:snapToGrid w:val="0"/>
          <w:lang w:val="en-GB"/>
        </w:rPr>
        <w:t xml:space="preserve"> the subgroup of PPMS patients for which there is evidence of clinical benefit</w:t>
      </w:r>
      <w:r w:rsidR="00D30856">
        <w:rPr>
          <w:rFonts w:cs="Arial"/>
          <w:bCs/>
          <w:snapToGrid w:val="0"/>
          <w:lang w:val="en-GB"/>
        </w:rPr>
        <w:t xml:space="preserve">. </w:t>
      </w:r>
    </w:p>
    <w:p w:rsidR="005A09F8" w:rsidRPr="00E41732" w:rsidRDefault="005A09F8" w:rsidP="002D5D48">
      <w:pPr>
        <w:widowControl w:val="0"/>
        <w:numPr>
          <w:ilvl w:val="1"/>
          <w:numId w:val="4"/>
        </w:numPr>
        <w:spacing w:before="0" w:after="120"/>
        <w:jc w:val="both"/>
        <w:rPr>
          <w:rFonts w:cs="Arial"/>
          <w:bCs/>
          <w:snapToGrid w:val="0"/>
          <w:lang w:val="en-GB"/>
        </w:rPr>
      </w:pPr>
      <w:r>
        <w:rPr>
          <w:rFonts w:cs="Arial"/>
          <w:snapToGrid w:val="0"/>
          <w:szCs w:val="20"/>
        </w:rPr>
        <w:t>The PBAC accepted best supportive care</w:t>
      </w:r>
      <w:r w:rsidR="00471BB4">
        <w:rPr>
          <w:rFonts w:cs="Arial"/>
          <w:snapToGrid w:val="0"/>
          <w:szCs w:val="20"/>
        </w:rPr>
        <w:t xml:space="preserve"> (BSC)</w:t>
      </w:r>
      <w:r w:rsidRPr="002E0FEC">
        <w:rPr>
          <w:rFonts w:cs="Arial"/>
          <w:snapToGrid w:val="0"/>
          <w:szCs w:val="20"/>
        </w:rPr>
        <w:t xml:space="preserve"> as the appropriate </w:t>
      </w:r>
      <w:r>
        <w:rPr>
          <w:rFonts w:cs="Arial"/>
          <w:snapToGrid w:val="0"/>
          <w:szCs w:val="20"/>
        </w:rPr>
        <w:t xml:space="preserve">main </w:t>
      </w:r>
      <w:r w:rsidRPr="002E0FEC">
        <w:rPr>
          <w:rFonts w:cs="Arial"/>
          <w:snapToGrid w:val="0"/>
          <w:szCs w:val="20"/>
        </w:rPr>
        <w:t>comparator</w:t>
      </w:r>
      <w:r>
        <w:rPr>
          <w:rFonts w:cs="Arial"/>
          <w:snapToGrid w:val="0"/>
          <w:szCs w:val="20"/>
        </w:rPr>
        <w:t>.</w:t>
      </w:r>
    </w:p>
    <w:p w:rsidR="00E41732" w:rsidRPr="00471BB4" w:rsidRDefault="00E41732" w:rsidP="00471BB4">
      <w:pPr>
        <w:widowControl w:val="0"/>
        <w:numPr>
          <w:ilvl w:val="1"/>
          <w:numId w:val="4"/>
        </w:numPr>
        <w:spacing w:before="0" w:after="120"/>
        <w:jc w:val="both"/>
        <w:rPr>
          <w:rFonts w:cs="Arial"/>
          <w:bCs/>
          <w:snapToGrid w:val="0"/>
          <w:lang w:val="en-GB"/>
        </w:rPr>
      </w:pPr>
      <w:r>
        <w:rPr>
          <w:rFonts w:cs="Arial"/>
          <w:snapToGrid w:val="0"/>
          <w:szCs w:val="20"/>
        </w:rPr>
        <w:t>The PBAC noted that the submission was based on a single head-to-head trial comparing ocrelizumab to placebo. The PBAC noted that ocrelizumab is the first disease modifying therapy to demonstrate effectiveness in delaying disability progression in PPMS, and that other therapies (g</w:t>
      </w:r>
      <w:r w:rsidRPr="00E41732">
        <w:rPr>
          <w:rFonts w:cs="Arial"/>
          <w:snapToGrid w:val="0"/>
          <w:szCs w:val="20"/>
        </w:rPr>
        <w:t>latiramer aceta</w:t>
      </w:r>
      <w:r>
        <w:rPr>
          <w:rFonts w:cs="Arial"/>
          <w:snapToGrid w:val="0"/>
          <w:szCs w:val="20"/>
        </w:rPr>
        <w:t>te</w:t>
      </w:r>
      <w:r w:rsidR="00471BB4">
        <w:rPr>
          <w:rFonts w:cs="Arial"/>
          <w:snapToGrid w:val="0"/>
          <w:szCs w:val="20"/>
        </w:rPr>
        <w:t>, rituximab</w:t>
      </w:r>
      <w:r>
        <w:rPr>
          <w:rFonts w:cs="Arial"/>
          <w:snapToGrid w:val="0"/>
          <w:szCs w:val="20"/>
        </w:rPr>
        <w:t xml:space="preserve"> and fingolimod) trialled for PPMS had failed. </w:t>
      </w:r>
      <w:r w:rsidRPr="00423BB8">
        <w:rPr>
          <w:rFonts w:cs="Arial"/>
          <w:snapToGrid w:val="0"/>
          <w:szCs w:val="20"/>
        </w:rPr>
        <w:t>The PBAC fu</w:t>
      </w:r>
      <w:r w:rsidR="009B2AC6" w:rsidRPr="00423BB8">
        <w:rPr>
          <w:rFonts w:cs="Arial"/>
          <w:snapToGrid w:val="0"/>
          <w:szCs w:val="20"/>
        </w:rPr>
        <w:t>rther noted that the</w:t>
      </w:r>
      <w:r w:rsidRPr="00423BB8">
        <w:rPr>
          <w:rFonts w:cs="Arial"/>
          <w:snapToGrid w:val="0"/>
          <w:szCs w:val="20"/>
        </w:rPr>
        <w:t xml:space="preserve"> TGA Clinical Evaluation Report </w:t>
      </w:r>
      <w:r w:rsidR="00471BB4" w:rsidRPr="00423BB8">
        <w:rPr>
          <w:rFonts w:cs="Arial"/>
          <w:snapToGrid w:val="0"/>
          <w:szCs w:val="20"/>
        </w:rPr>
        <w:t>(CER</w:t>
      </w:r>
      <w:r w:rsidR="00F176AE">
        <w:rPr>
          <w:rFonts w:cs="Arial"/>
          <w:noProof/>
          <w:snapToGrid w:val="0"/>
          <w:color w:val="000000"/>
          <w:szCs w:val="20"/>
          <w:highlight w:val="black"/>
        </w:rPr>
        <w:t>'' '''''''''' '''''''''''' '''''''''''''''''''' '''''''''''''''''' ''''''' ''''''''' ''''''' '''''''''''''' '''''''' '''''''' ''''''''' '''''''''''''''''''''' ''' '''''' '''''''''''' '''''''''''''''''''''' ''''''''' ''''' '''''''''''''''''''''' '''''''''''''' '''''''' ''''' ''''''''''''''''''''''' ''''''''''''''''' ''''''''''''''''''' '''''''' ''''''''''''''''''''''''''''' ''''''''''''''''''''' '''''' '''''''''''' '''' ''''''' ''''''''''''''''''' ''''' '''''''''''' ''''''' '''''''''''''''' '''''''''''''' ''''' ''''''''''''''''''''' ''''''''' '''''''''''''''' '''''''' '''''' ''''''' '''''''''''''' ''''''' ''''''''''''''''''' ''''''''''' '''''''''''''''' ''''''''''''''''''' ''''' '''''' '''''''''''''''' ''''''''''''' '''''''''''''''''' '''''''''''''''''''' ''''''' '''''''' '''''''' ''''''''''' ''''''''' '''''' '''''''''''''''' ''''' ''''''''''''''''''''' '''''''' '''''''''''''''''''''''''''' '''''''' '''''' ''''''''''''''' '''''''''''''' '''''''''' '''''''''''' '''''''' '''''''' '''''''''''' '''''''''''''''''''' ''''' ''''''' '''''''''''' ''''''''''''''''' ''''''''''' '''' ''''''''''''''''' '''''''' '''''''''''''''''''''' '''''''''''''''''' '''' '''''''''''' '''''''''''''''''''''''' '''' ''''''''''''''''' '''''''' '''''''''' '''''''''''' ''''''''''' '''''''' ''''''''''''''' ''''''''''''''''''''''' ''''''''' '''''' ''''''''''' '''''''''''''''''' '''' ''''''''''''' ''''''''''''''''''''''' ''''''''' ''''''''''''''' ''''' ''''''''''''''''''' ''' '''''' '''''''''''''' '''''''''''''''''''''' ''''''''''''''''''''''' ''''''''''''''''' ''''''''''''''''' '''''''''''' ''''''' '''''''' '''''''''''' '''''''' ''''''''''''''''' '' ''''''''''''''''' '''''''''''</w:t>
      </w:r>
      <w:r w:rsidR="00EF3A2C">
        <w:t xml:space="preserve"> In noting the above issues, the PBAC considered that the overall evidence</w:t>
      </w:r>
      <w:r w:rsidR="001777F9">
        <w:t xml:space="preserve"> base</w:t>
      </w:r>
      <w:r w:rsidR="00EF3A2C">
        <w:t xml:space="preserve"> for the effectiveness of ocrelizumab in PPMS was not robust. </w:t>
      </w:r>
    </w:p>
    <w:p w:rsidR="00471BB4" w:rsidRPr="007E7AF2" w:rsidRDefault="00471BB4" w:rsidP="00471BB4">
      <w:pPr>
        <w:widowControl w:val="0"/>
        <w:numPr>
          <w:ilvl w:val="1"/>
          <w:numId w:val="4"/>
        </w:numPr>
        <w:spacing w:before="0" w:after="120"/>
        <w:jc w:val="both"/>
        <w:rPr>
          <w:rFonts w:cs="Arial"/>
          <w:bCs/>
          <w:snapToGrid w:val="0"/>
          <w:lang w:val="en-GB"/>
        </w:rPr>
      </w:pPr>
      <w:r w:rsidRPr="007E7AF2">
        <w:rPr>
          <w:rFonts w:cs="Arial"/>
          <w:bCs/>
          <w:snapToGrid w:val="0"/>
          <w:lang w:val="en-GB"/>
        </w:rPr>
        <w:t>The PBAC</w:t>
      </w:r>
      <w:r w:rsidR="009B2AC6">
        <w:rPr>
          <w:rFonts w:cs="Arial"/>
          <w:bCs/>
          <w:snapToGrid w:val="0"/>
          <w:lang w:val="en-GB"/>
        </w:rPr>
        <w:t xml:space="preserve"> noted that the</w:t>
      </w:r>
      <w:r w:rsidR="009B2AC6">
        <w:rPr>
          <w:rFonts w:cs="Arial"/>
          <w:bCs/>
          <w:snapToGrid w:val="0"/>
        </w:rPr>
        <w:t xml:space="preserve"> ORATORIO trial</w:t>
      </w:r>
      <w:r w:rsidRPr="007E7AF2">
        <w:rPr>
          <w:rFonts w:cs="Arial"/>
          <w:bCs/>
          <w:snapToGrid w:val="0"/>
        </w:rPr>
        <w:t xml:space="preserve"> demonstrated statistically significant improvements across all confirmed disability progression outcomes</w:t>
      </w:r>
      <w:r w:rsidR="009B2AC6">
        <w:rPr>
          <w:rFonts w:cs="Arial"/>
          <w:bCs/>
          <w:snapToGrid w:val="0"/>
        </w:rPr>
        <w:t xml:space="preserve"> for ocrelizumab over placebo</w:t>
      </w:r>
      <w:r w:rsidRPr="007E7AF2">
        <w:rPr>
          <w:rFonts w:cs="Arial"/>
          <w:bCs/>
          <w:snapToGrid w:val="0"/>
        </w:rPr>
        <w:t xml:space="preserve"> (CDP; defined as the time from baseline to the first disability progression, which is confirmed at the next regularly scheduled visit ≥12 weeks [or ≥24 weeks] after the initial disability progression). </w:t>
      </w:r>
      <w:r w:rsidR="008D562A" w:rsidRPr="007E7AF2">
        <w:rPr>
          <w:rFonts w:cs="Arial"/>
          <w:bCs/>
          <w:snapToGrid w:val="0"/>
        </w:rPr>
        <w:t xml:space="preserve">However, the PBAC considered </w:t>
      </w:r>
      <w:r w:rsidRPr="007E7AF2">
        <w:rPr>
          <w:rFonts w:cs="Arial"/>
          <w:bCs/>
          <w:snapToGrid w:val="0"/>
        </w:rPr>
        <w:t xml:space="preserve">that the treatment effect for ocrelizumab was modest, </w:t>
      </w:r>
      <w:r w:rsidR="007E7AF2" w:rsidRPr="007E7AF2">
        <w:rPr>
          <w:rFonts w:cs="Arial"/>
          <w:bCs/>
          <w:snapToGrid w:val="0"/>
        </w:rPr>
        <w:t>with the difference in time to onset of CDP12 being only approximately 20 weeks for 30% of patients. The PBAC was concerned</w:t>
      </w:r>
      <w:r w:rsidRPr="007E7AF2">
        <w:rPr>
          <w:rFonts w:cs="Arial"/>
          <w:bCs/>
          <w:snapToGrid w:val="0"/>
        </w:rPr>
        <w:t xml:space="preserve"> that a large number of patients would be required to receive treatment for one person to gain benefit (number needed to treat = 20</w:t>
      </w:r>
      <w:r w:rsidR="00E6500E" w:rsidRPr="007E7AF2">
        <w:rPr>
          <w:rFonts w:cs="Arial"/>
          <w:bCs/>
          <w:snapToGrid w:val="0"/>
        </w:rPr>
        <w:t>; for the p</w:t>
      </w:r>
      <w:r w:rsidR="007E7AF2">
        <w:rPr>
          <w:rFonts w:cs="Arial"/>
          <w:bCs/>
          <w:snapToGrid w:val="0"/>
        </w:rPr>
        <w:t xml:space="preserve">rimary outcome of 12 week CDP), and that in certain subgroups, </w:t>
      </w:r>
      <w:r w:rsidR="00E12F14">
        <w:rPr>
          <w:rFonts w:cs="Arial"/>
          <w:bCs/>
          <w:snapToGrid w:val="0"/>
        </w:rPr>
        <w:t>the</w:t>
      </w:r>
      <w:r w:rsidR="007E7AF2">
        <w:rPr>
          <w:rFonts w:cs="Arial"/>
          <w:bCs/>
          <w:snapToGrid w:val="0"/>
        </w:rPr>
        <w:t xml:space="preserve"> treatment effect of ocrelizumab may be negligible. </w:t>
      </w:r>
      <w:r w:rsidR="000A6A63">
        <w:rPr>
          <w:rFonts w:cs="Arial"/>
          <w:bCs/>
          <w:snapToGrid w:val="0"/>
        </w:rPr>
        <w:t xml:space="preserve">Given the small absolute differences in efficacy demonstrated by ocrelizumab over placebo, the PBAC considered that the clinical significance of the trial outcomes was uncertain. </w:t>
      </w:r>
    </w:p>
    <w:p w:rsidR="008D562A" w:rsidRPr="008D562A" w:rsidRDefault="008D562A" w:rsidP="00030DAD">
      <w:pPr>
        <w:pStyle w:val="ListParagraph"/>
        <w:numPr>
          <w:ilvl w:val="1"/>
          <w:numId w:val="4"/>
        </w:numPr>
        <w:jc w:val="both"/>
        <w:rPr>
          <w:rFonts w:cs="Arial"/>
          <w:bCs/>
          <w:snapToGrid w:val="0"/>
          <w:lang w:val="en-GB"/>
        </w:rPr>
      </w:pPr>
      <w:r w:rsidRPr="008D562A">
        <w:rPr>
          <w:rFonts w:cs="Arial"/>
          <w:bCs/>
          <w:snapToGrid w:val="0"/>
          <w:lang w:val="en-GB"/>
        </w:rPr>
        <w:t>The PBA</w:t>
      </w:r>
      <w:r w:rsidR="009B2AC6">
        <w:rPr>
          <w:rFonts w:cs="Arial"/>
          <w:bCs/>
          <w:snapToGrid w:val="0"/>
          <w:lang w:val="en-GB"/>
        </w:rPr>
        <w:t>C accepted</w:t>
      </w:r>
      <w:r w:rsidRPr="008D562A">
        <w:rPr>
          <w:rFonts w:cs="Arial"/>
          <w:bCs/>
          <w:snapToGrid w:val="0"/>
          <w:lang w:val="en-GB"/>
        </w:rPr>
        <w:t xml:space="preserve"> the claim of inferior comparative safety</w:t>
      </w:r>
      <w:r>
        <w:rPr>
          <w:rFonts w:cs="Arial"/>
          <w:bCs/>
          <w:snapToGrid w:val="0"/>
          <w:lang w:val="en-GB"/>
        </w:rPr>
        <w:t xml:space="preserve"> of </w:t>
      </w:r>
      <w:r>
        <w:rPr>
          <w:rFonts w:cs="Arial"/>
          <w:bCs/>
          <w:snapToGrid w:val="0"/>
        </w:rPr>
        <w:t>ocrelizumab over BSC</w:t>
      </w:r>
      <w:r w:rsidRPr="008D562A">
        <w:rPr>
          <w:rFonts w:cs="Arial"/>
          <w:bCs/>
          <w:snapToGrid w:val="0"/>
          <w:lang w:val="en-GB"/>
        </w:rPr>
        <w:t>. However, the PBAC considered that the claim that ocrelizumab has an acceptable safety profile that is comparable with placebo was not adequately supported. The PBAC noted ocrelizumab was associated with a greater rate of infusion related reactions and upper respiratory tract infections than placebo in the ORATORIO trial. Ad</w:t>
      </w:r>
      <w:r>
        <w:rPr>
          <w:rFonts w:cs="Arial"/>
          <w:bCs/>
          <w:snapToGrid w:val="0"/>
          <w:lang w:val="en-GB"/>
        </w:rPr>
        <w:t>ditionally, the potentially older PBS</w:t>
      </w:r>
      <w:r w:rsidRPr="008D562A">
        <w:rPr>
          <w:rFonts w:cs="Arial"/>
          <w:bCs/>
          <w:snapToGrid w:val="0"/>
          <w:lang w:val="en-GB"/>
        </w:rPr>
        <w:t xml:space="preserve"> popu</w:t>
      </w:r>
      <w:r>
        <w:rPr>
          <w:rFonts w:cs="Arial"/>
          <w:bCs/>
          <w:snapToGrid w:val="0"/>
          <w:lang w:val="en-GB"/>
        </w:rPr>
        <w:t>lation with more severe disease may experience</w:t>
      </w:r>
      <w:r w:rsidRPr="008D562A">
        <w:rPr>
          <w:rFonts w:cs="Arial"/>
          <w:bCs/>
          <w:snapToGrid w:val="0"/>
          <w:lang w:val="en-GB"/>
        </w:rPr>
        <w:t xml:space="preserve"> a higher risk of infections</w:t>
      </w:r>
      <w:r>
        <w:rPr>
          <w:rFonts w:cs="Arial"/>
          <w:bCs/>
          <w:snapToGrid w:val="0"/>
          <w:lang w:val="en-GB"/>
        </w:rPr>
        <w:t xml:space="preserve"> and/or other adverse events</w:t>
      </w:r>
      <w:r w:rsidRPr="008D562A">
        <w:rPr>
          <w:rFonts w:cs="Arial"/>
          <w:bCs/>
          <w:snapToGrid w:val="0"/>
          <w:lang w:val="en-GB"/>
        </w:rPr>
        <w:t>.</w:t>
      </w:r>
    </w:p>
    <w:p w:rsidR="00AE5712" w:rsidRPr="00AE5712" w:rsidRDefault="00AE5712" w:rsidP="00030DAD">
      <w:pPr>
        <w:pStyle w:val="ListParagraph"/>
        <w:numPr>
          <w:ilvl w:val="1"/>
          <w:numId w:val="4"/>
        </w:numPr>
        <w:jc w:val="both"/>
        <w:rPr>
          <w:rFonts w:cs="Arial"/>
          <w:bCs/>
          <w:snapToGrid w:val="0"/>
          <w:lang w:val="en-GB"/>
        </w:rPr>
      </w:pPr>
      <w:r w:rsidRPr="00AE5712">
        <w:rPr>
          <w:rFonts w:cs="Arial"/>
          <w:bCs/>
          <w:snapToGrid w:val="0"/>
          <w:lang w:val="en-GB"/>
        </w:rPr>
        <w:t xml:space="preserve">The PBAC noted that the </w:t>
      </w:r>
      <w:r w:rsidR="00CD1703">
        <w:rPr>
          <w:rFonts w:cs="Arial"/>
          <w:bCs/>
          <w:snapToGrid w:val="0"/>
          <w:lang w:val="en-GB"/>
        </w:rPr>
        <w:t xml:space="preserve">treatment effect in the </w:t>
      </w:r>
      <w:r w:rsidRPr="00AE5712">
        <w:rPr>
          <w:rFonts w:cs="Arial"/>
          <w:bCs/>
          <w:snapToGrid w:val="0"/>
          <w:lang w:val="en-GB"/>
        </w:rPr>
        <w:t xml:space="preserve">base case economic analysis </w:t>
      </w:r>
      <w:r w:rsidR="00CD1703">
        <w:rPr>
          <w:rFonts w:cs="Arial"/>
          <w:bCs/>
          <w:snapToGrid w:val="0"/>
          <w:lang w:val="en-GB"/>
        </w:rPr>
        <w:t>was based on the</w:t>
      </w:r>
      <w:r w:rsidRPr="00AE5712">
        <w:rPr>
          <w:rFonts w:cs="Arial"/>
          <w:bCs/>
          <w:snapToGrid w:val="0"/>
          <w:lang w:val="en-GB"/>
        </w:rPr>
        <w:t xml:space="preserve"> CDP24 </w:t>
      </w:r>
      <w:r w:rsidR="00CD1703">
        <w:rPr>
          <w:rFonts w:cs="Arial"/>
          <w:bCs/>
          <w:snapToGrid w:val="0"/>
          <w:lang w:val="en-GB"/>
        </w:rPr>
        <w:t xml:space="preserve">outcome </w:t>
      </w:r>
      <w:r w:rsidRPr="00AE5712">
        <w:rPr>
          <w:rFonts w:cs="Arial"/>
          <w:bCs/>
          <w:snapToGrid w:val="0"/>
          <w:lang w:val="en-GB"/>
        </w:rPr>
        <w:t>from the ORATORIO extension period</w:t>
      </w:r>
      <w:r w:rsidR="00CD1703">
        <w:rPr>
          <w:rFonts w:cs="Arial"/>
          <w:bCs/>
          <w:snapToGrid w:val="0"/>
          <w:lang w:val="en-GB"/>
        </w:rPr>
        <w:t xml:space="preserve"> </w:t>
      </w:r>
      <w:r w:rsidR="00CD1703" w:rsidRPr="00AE5712">
        <w:rPr>
          <w:rFonts w:cs="Arial"/>
          <w:bCs/>
          <w:snapToGrid w:val="0"/>
          <w:lang w:val="en-GB"/>
        </w:rPr>
        <w:t>(HR=0.70)</w:t>
      </w:r>
      <w:r w:rsidRPr="00AE5712">
        <w:rPr>
          <w:rFonts w:cs="Arial"/>
          <w:bCs/>
          <w:snapToGrid w:val="0"/>
          <w:lang w:val="en-GB"/>
        </w:rPr>
        <w:t xml:space="preserve">, rather than on the primary endpoint of the trial (CDP12; HR=0.76). Using the CDP12 estimate increased the ICER to </w:t>
      </w:r>
      <w:r w:rsidR="00391C19">
        <w:rPr>
          <w:rFonts w:cs="Arial"/>
          <w:bCs/>
          <w:snapToGrid w:val="0"/>
          <w:lang w:val="en-GB"/>
        </w:rPr>
        <w:t>more than $200,000</w:t>
      </w:r>
      <w:r w:rsidRPr="00AE5712">
        <w:rPr>
          <w:rFonts w:cs="Arial"/>
          <w:bCs/>
          <w:snapToGrid w:val="0"/>
          <w:lang w:val="en-GB"/>
        </w:rPr>
        <w:t xml:space="preserve"> per QALY gained (base case = </w:t>
      </w:r>
      <w:r w:rsidR="00391C19">
        <w:rPr>
          <w:rFonts w:cs="Arial"/>
          <w:bCs/>
          <w:snapToGrid w:val="0"/>
          <w:lang w:val="en-GB"/>
        </w:rPr>
        <w:t>more than $200,000</w:t>
      </w:r>
      <w:r w:rsidRPr="00AE5712">
        <w:rPr>
          <w:rFonts w:cs="Arial"/>
          <w:bCs/>
          <w:snapToGrid w:val="0"/>
          <w:lang w:val="en-GB"/>
        </w:rPr>
        <w:t>).</w:t>
      </w:r>
      <w:r>
        <w:rPr>
          <w:rFonts w:cs="Arial"/>
          <w:bCs/>
          <w:snapToGrid w:val="0"/>
          <w:lang w:val="en-GB"/>
        </w:rPr>
        <w:t xml:space="preserve"> The PBAC further noted that the estimate of treatment effect was a major driver in the economic model</w:t>
      </w:r>
      <w:r w:rsidR="001777F9">
        <w:rPr>
          <w:rFonts w:cs="Arial"/>
          <w:bCs/>
          <w:snapToGrid w:val="0"/>
          <w:lang w:val="en-GB"/>
        </w:rPr>
        <w:t>. S</w:t>
      </w:r>
      <w:r>
        <w:rPr>
          <w:rFonts w:cs="Arial"/>
          <w:bCs/>
          <w:snapToGrid w:val="0"/>
          <w:lang w:val="en-GB"/>
        </w:rPr>
        <w:t xml:space="preserve">ensitivity analyses indicated that </w:t>
      </w:r>
      <w:r w:rsidRPr="00AE5712">
        <w:rPr>
          <w:rFonts w:cs="Arial"/>
          <w:bCs/>
          <w:snapToGrid w:val="0"/>
          <w:lang w:val="en-GB"/>
        </w:rPr>
        <w:t xml:space="preserve">the ICER scales up quickly when the treatment effect is less favourable than the </w:t>
      </w:r>
      <w:r w:rsidR="001777F9">
        <w:rPr>
          <w:rFonts w:cs="Arial"/>
          <w:bCs/>
          <w:snapToGrid w:val="0"/>
          <w:lang w:val="en-GB"/>
        </w:rPr>
        <w:t xml:space="preserve">base case </w:t>
      </w:r>
      <w:r w:rsidRPr="00AE5712">
        <w:rPr>
          <w:rFonts w:cs="Arial"/>
          <w:bCs/>
          <w:snapToGrid w:val="0"/>
          <w:lang w:val="en-GB"/>
        </w:rPr>
        <w:t>point estimate</w:t>
      </w:r>
      <w:r w:rsidR="001777F9">
        <w:rPr>
          <w:rFonts w:cs="Arial"/>
          <w:bCs/>
          <w:snapToGrid w:val="0"/>
          <w:lang w:val="en-GB"/>
        </w:rPr>
        <w:t xml:space="preserve"> applied in the economic model</w:t>
      </w:r>
      <w:r w:rsidRPr="00AE5712">
        <w:rPr>
          <w:rFonts w:cs="Arial"/>
          <w:bCs/>
          <w:snapToGrid w:val="0"/>
          <w:lang w:val="en-GB"/>
        </w:rPr>
        <w:t>, while decreasing only moderately with a more favourable</w:t>
      </w:r>
      <w:r w:rsidR="001777F9">
        <w:rPr>
          <w:rFonts w:cs="Arial"/>
          <w:bCs/>
          <w:snapToGrid w:val="0"/>
          <w:lang w:val="en-GB"/>
        </w:rPr>
        <w:t xml:space="preserve"> point</w:t>
      </w:r>
      <w:r w:rsidRPr="00AE5712">
        <w:rPr>
          <w:rFonts w:cs="Arial"/>
          <w:bCs/>
          <w:snapToGrid w:val="0"/>
          <w:lang w:val="en-GB"/>
        </w:rPr>
        <w:t xml:space="preserve"> estima</w:t>
      </w:r>
      <w:r>
        <w:rPr>
          <w:rFonts w:cs="Arial"/>
          <w:bCs/>
          <w:snapToGrid w:val="0"/>
          <w:lang w:val="en-GB"/>
        </w:rPr>
        <w:t>te. Applying the 95% confidence interval of the primary endpoint (</w:t>
      </w:r>
      <w:r w:rsidRPr="00AE5712">
        <w:rPr>
          <w:rFonts w:cs="Arial"/>
          <w:bCs/>
          <w:snapToGrid w:val="0"/>
          <w:lang w:val="en-GB"/>
        </w:rPr>
        <w:t>CDP12 95% CI: 0.59, 0.98</w:t>
      </w:r>
      <w:r>
        <w:rPr>
          <w:rFonts w:cs="Arial"/>
          <w:bCs/>
          <w:snapToGrid w:val="0"/>
          <w:lang w:val="en-GB"/>
        </w:rPr>
        <w:t>) in the economic</w:t>
      </w:r>
      <w:r w:rsidR="00AB771C">
        <w:rPr>
          <w:rFonts w:cs="Arial"/>
          <w:bCs/>
          <w:snapToGrid w:val="0"/>
          <w:lang w:val="en-GB"/>
        </w:rPr>
        <w:t xml:space="preserve"> model resulted in the ICER</w:t>
      </w:r>
      <w:r>
        <w:rPr>
          <w:rFonts w:cs="Arial"/>
          <w:bCs/>
          <w:snapToGrid w:val="0"/>
          <w:lang w:val="en-GB"/>
        </w:rPr>
        <w:t xml:space="preserve"> ranging from </w:t>
      </w:r>
      <w:r w:rsidR="007F4301">
        <w:rPr>
          <w:rFonts w:cs="Arial"/>
          <w:bCs/>
          <w:snapToGrid w:val="0"/>
        </w:rPr>
        <w:t>$105,000/QALY - $200,000/QALY</w:t>
      </w:r>
      <w:r>
        <w:rPr>
          <w:rFonts w:cs="Arial"/>
          <w:bCs/>
          <w:snapToGrid w:val="0"/>
        </w:rPr>
        <w:t xml:space="preserve"> to</w:t>
      </w:r>
      <w:r w:rsidRPr="00AE5712">
        <w:rPr>
          <w:rFonts w:cs="Arial"/>
          <w:bCs/>
          <w:snapToGrid w:val="0"/>
        </w:rPr>
        <w:t xml:space="preserve"> </w:t>
      </w:r>
      <w:r w:rsidR="007F4301">
        <w:rPr>
          <w:rFonts w:cs="Arial"/>
          <w:bCs/>
          <w:snapToGrid w:val="0"/>
        </w:rPr>
        <w:t>more than $200,000/QALY</w:t>
      </w:r>
      <w:r>
        <w:rPr>
          <w:rFonts w:cs="Arial"/>
          <w:bCs/>
          <w:snapToGrid w:val="0"/>
        </w:rPr>
        <w:t>. The PBAC considered that this reflected the hig</w:t>
      </w:r>
      <w:r w:rsidR="00AB771C">
        <w:rPr>
          <w:rFonts w:cs="Arial"/>
          <w:bCs/>
          <w:snapToGrid w:val="0"/>
        </w:rPr>
        <w:t>h and highly uncertain ICER</w:t>
      </w:r>
      <w:r>
        <w:rPr>
          <w:rFonts w:cs="Arial"/>
          <w:bCs/>
          <w:snapToGrid w:val="0"/>
        </w:rPr>
        <w:t xml:space="preserve"> associated with ocrelizumab for PPMS, particularly in the context of the Committee’s concerns regarding the marginal clinical benefit demonstrated in the overall ORATORIO population and</w:t>
      </w:r>
      <w:r w:rsidR="00937D05">
        <w:rPr>
          <w:rFonts w:cs="Arial"/>
          <w:bCs/>
          <w:snapToGrid w:val="0"/>
        </w:rPr>
        <w:t xml:space="preserve"> the</w:t>
      </w:r>
      <w:r>
        <w:rPr>
          <w:rFonts w:cs="Arial"/>
          <w:bCs/>
          <w:snapToGrid w:val="0"/>
        </w:rPr>
        <w:t xml:space="preserve"> potentially negligible</w:t>
      </w:r>
      <w:r w:rsidR="00937D05">
        <w:rPr>
          <w:rFonts w:cs="Arial"/>
          <w:bCs/>
          <w:snapToGrid w:val="0"/>
        </w:rPr>
        <w:t xml:space="preserve"> treatment effect in some patient subgroups.  </w:t>
      </w:r>
    </w:p>
    <w:p w:rsidR="008D562A" w:rsidRPr="00937D05" w:rsidRDefault="00937D05" w:rsidP="00471BB4">
      <w:pPr>
        <w:widowControl w:val="0"/>
        <w:numPr>
          <w:ilvl w:val="1"/>
          <w:numId w:val="4"/>
        </w:numPr>
        <w:spacing w:before="0" w:after="120"/>
        <w:jc w:val="both"/>
        <w:rPr>
          <w:rFonts w:cs="Arial"/>
          <w:bCs/>
          <w:snapToGrid w:val="0"/>
          <w:lang w:val="en-GB"/>
        </w:rPr>
      </w:pPr>
      <w:r w:rsidRPr="00937D05">
        <w:rPr>
          <w:rFonts w:cs="Arial"/>
          <w:bCs/>
          <w:snapToGrid w:val="0"/>
          <w:lang w:val="en-GB"/>
        </w:rPr>
        <w:t>The PBAC agreed with the concerns raised by the ESC that:</w:t>
      </w:r>
    </w:p>
    <w:p w:rsidR="00937D05" w:rsidRPr="00937D05" w:rsidRDefault="00937D05" w:rsidP="00971905">
      <w:pPr>
        <w:pStyle w:val="ListParagraph"/>
        <w:numPr>
          <w:ilvl w:val="0"/>
          <w:numId w:val="11"/>
        </w:numPr>
        <w:spacing w:before="0"/>
        <w:ind w:left="993" w:hanging="284"/>
        <w:jc w:val="both"/>
        <w:rPr>
          <w:szCs w:val="24"/>
        </w:rPr>
      </w:pPr>
      <w:r w:rsidRPr="00937D05">
        <w:rPr>
          <w:szCs w:val="24"/>
        </w:rPr>
        <w:t>The treatment effect was assumed to be constant over the model duration (56 years) which did not take into account potential treatment effect modifiers such as time, health state and patient characteristics.</w:t>
      </w:r>
    </w:p>
    <w:p w:rsidR="00937D05" w:rsidRPr="00937D05" w:rsidRDefault="00937D05" w:rsidP="00971905">
      <w:pPr>
        <w:pStyle w:val="ListParagraph"/>
        <w:numPr>
          <w:ilvl w:val="0"/>
          <w:numId w:val="11"/>
        </w:numPr>
        <w:spacing w:before="0"/>
        <w:ind w:left="993" w:hanging="284"/>
        <w:jc w:val="both"/>
        <w:rPr>
          <w:szCs w:val="24"/>
        </w:rPr>
      </w:pPr>
      <w:r w:rsidRPr="00937D05">
        <w:rPr>
          <w:szCs w:val="24"/>
        </w:rPr>
        <w:t>The model population was younger than the expected treatment population. Pre-defined and post hoc subgroup analyses indicated that age was a potential treatment effect modifier, however no adjustments were made in the model to capture these differences.</w:t>
      </w:r>
    </w:p>
    <w:p w:rsidR="00937D05" w:rsidRPr="00937D05" w:rsidRDefault="00937D05" w:rsidP="00971905">
      <w:pPr>
        <w:pStyle w:val="ListParagraph"/>
        <w:numPr>
          <w:ilvl w:val="0"/>
          <w:numId w:val="11"/>
        </w:numPr>
        <w:spacing w:before="0"/>
        <w:ind w:left="993" w:hanging="284"/>
        <w:jc w:val="both"/>
        <w:rPr>
          <w:szCs w:val="24"/>
        </w:rPr>
      </w:pPr>
      <w:r w:rsidRPr="00937D05">
        <w:rPr>
          <w:szCs w:val="24"/>
        </w:rPr>
        <w:t xml:space="preserve">The survival benefit generated by the model as a result of applying EDSS-specific mortality multipliers was not supported by the </w:t>
      </w:r>
      <w:r w:rsidR="001517BE">
        <w:rPr>
          <w:szCs w:val="24"/>
        </w:rPr>
        <w:t>data from ORATORIO</w:t>
      </w:r>
      <w:r w:rsidRPr="00937D05">
        <w:rPr>
          <w:szCs w:val="24"/>
        </w:rPr>
        <w:t>.</w:t>
      </w:r>
    </w:p>
    <w:p w:rsidR="00937D05" w:rsidRPr="00E3072C" w:rsidRDefault="00937D05" w:rsidP="00971905">
      <w:pPr>
        <w:pStyle w:val="ListParagraph"/>
        <w:numPr>
          <w:ilvl w:val="0"/>
          <w:numId w:val="11"/>
        </w:numPr>
        <w:spacing w:before="0"/>
        <w:ind w:left="993" w:hanging="284"/>
        <w:jc w:val="both"/>
        <w:rPr>
          <w:szCs w:val="24"/>
        </w:rPr>
      </w:pPr>
      <w:r w:rsidRPr="00937D05">
        <w:rPr>
          <w:szCs w:val="24"/>
        </w:rPr>
        <w:t>T</w:t>
      </w:r>
      <w:r w:rsidR="00C772AF">
        <w:rPr>
          <w:szCs w:val="24"/>
        </w:rPr>
        <w:t xml:space="preserve">here is potential for double counting with </w:t>
      </w:r>
      <w:r w:rsidRPr="00937D05">
        <w:rPr>
          <w:szCs w:val="24"/>
        </w:rPr>
        <w:t xml:space="preserve">the addition of </w:t>
      </w:r>
      <w:r w:rsidRPr="00E3072C">
        <w:rPr>
          <w:szCs w:val="24"/>
        </w:rPr>
        <w:t>disutility associa</w:t>
      </w:r>
      <w:r w:rsidR="00C772AF">
        <w:rPr>
          <w:szCs w:val="24"/>
        </w:rPr>
        <w:t>ted with upper limb dysfunction</w:t>
      </w:r>
      <w:r w:rsidRPr="00E3072C">
        <w:rPr>
          <w:szCs w:val="24"/>
        </w:rPr>
        <w:t>.</w:t>
      </w:r>
    </w:p>
    <w:p w:rsidR="002278CE" w:rsidRPr="00E3072C" w:rsidRDefault="002278CE" w:rsidP="00FF615A">
      <w:pPr>
        <w:widowControl w:val="0"/>
        <w:numPr>
          <w:ilvl w:val="1"/>
          <w:numId w:val="4"/>
        </w:numPr>
        <w:spacing w:before="0" w:after="120"/>
        <w:jc w:val="both"/>
        <w:rPr>
          <w:rFonts w:cs="Arial"/>
          <w:bCs/>
          <w:snapToGrid w:val="0"/>
          <w:lang w:val="en-GB"/>
        </w:rPr>
      </w:pPr>
      <w:r w:rsidRPr="00E3072C">
        <w:t>The PBAC noted the submission’s arguments for “unmeasured value” and considered that this did</w:t>
      </w:r>
      <w:r w:rsidR="004E420F">
        <w:t xml:space="preserve"> not justify the high ICER</w:t>
      </w:r>
      <w:r w:rsidR="00D944B5">
        <w:t xml:space="preserve"> </w:t>
      </w:r>
      <w:r w:rsidRPr="00E3072C">
        <w:t xml:space="preserve">of ocrelizumab in PPMS. </w:t>
      </w:r>
      <w:r w:rsidR="00147C94" w:rsidRPr="00E3072C">
        <w:t>The PBAC noted that even when the most favourable treatment effect, at the lower end of the 95% CI for the CDP12 outcome (HR = 0.59), was applied in the econ</w:t>
      </w:r>
      <w:r w:rsidR="0027740E">
        <w:t>omic model, the resulting ICER/</w:t>
      </w:r>
      <w:r w:rsidR="00147C94" w:rsidRPr="00E3072C">
        <w:t xml:space="preserve">QALY of </w:t>
      </w:r>
      <w:r w:rsidR="003E218C">
        <w:rPr>
          <w:rFonts w:cs="Arial"/>
          <w:bCs/>
          <w:snapToGrid w:val="0"/>
        </w:rPr>
        <w:t>$105,000 - $200,000</w:t>
      </w:r>
      <w:r w:rsidR="00147C94" w:rsidRPr="00E3072C">
        <w:rPr>
          <w:rFonts w:cs="Arial"/>
          <w:bCs/>
          <w:snapToGrid w:val="0"/>
        </w:rPr>
        <w:t xml:space="preserve"> was still significantly above what the Committee considers to be within a cost-effective range. </w:t>
      </w:r>
    </w:p>
    <w:p w:rsidR="00B56244" w:rsidRPr="006842A7" w:rsidRDefault="00DD7EA3" w:rsidP="006842A7">
      <w:pPr>
        <w:pStyle w:val="ListParagraph"/>
        <w:numPr>
          <w:ilvl w:val="1"/>
          <w:numId w:val="4"/>
        </w:numPr>
        <w:jc w:val="both"/>
        <w:rPr>
          <w:bCs/>
          <w:lang w:val="en-GB"/>
        </w:rPr>
      </w:pPr>
      <w:r w:rsidRPr="00DD7EA3">
        <w:rPr>
          <w:rFonts w:cs="Arial"/>
          <w:bCs/>
          <w:snapToGrid w:val="0"/>
          <w:lang w:val="en-GB"/>
        </w:rPr>
        <w:t xml:space="preserve">The PBAC noted that the </w:t>
      </w:r>
      <w:r w:rsidR="007D1BEB">
        <w:rPr>
          <w:rFonts w:cs="Arial"/>
          <w:bCs/>
          <w:snapToGrid w:val="0"/>
          <w:lang w:val="en-GB"/>
        </w:rPr>
        <w:t xml:space="preserve">submission’s </w:t>
      </w:r>
      <w:r w:rsidRPr="00DD7EA3">
        <w:rPr>
          <w:rFonts w:cs="Arial"/>
          <w:bCs/>
          <w:snapToGrid w:val="0"/>
          <w:lang w:val="en-GB"/>
        </w:rPr>
        <w:t xml:space="preserve">estimated net cost of ocrelizumab </w:t>
      </w:r>
      <w:r w:rsidR="0040132E">
        <w:rPr>
          <w:rFonts w:cs="Arial"/>
          <w:bCs/>
          <w:snapToGrid w:val="0"/>
          <w:lang w:val="en-GB"/>
        </w:rPr>
        <w:t xml:space="preserve">to the PBS/RPBS </w:t>
      </w:r>
      <w:r w:rsidRPr="00DD7EA3">
        <w:rPr>
          <w:rFonts w:cs="Arial"/>
          <w:bCs/>
          <w:snapToGrid w:val="0"/>
          <w:lang w:val="en-GB"/>
        </w:rPr>
        <w:t xml:space="preserve">was approximately </w:t>
      </w:r>
      <w:r w:rsidR="00122014">
        <w:rPr>
          <w:rFonts w:cs="Arial"/>
          <w:bCs/>
          <w:snapToGrid w:val="0"/>
          <w:lang w:val="en-GB"/>
        </w:rPr>
        <w:t>more than $100 million</w:t>
      </w:r>
      <w:r w:rsidR="00D007E5">
        <w:rPr>
          <w:rFonts w:cs="Arial"/>
          <w:bCs/>
          <w:snapToGrid w:val="0"/>
          <w:lang w:val="en-GB"/>
        </w:rPr>
        <w:t xml:space="preserve"> </w:t>
      </w:r>
      <w:r w:rsidRPr="00DD7EA3">
        <w:rPr>
          <w:rFonts w:cs="Arial"/>
          <w:bCs/>
          <w:snapToGrid w:val="0"/>
          <w:lang w:val="en-GB"/>
        </w:rPr>
        <w:t>over six years</w:t>
      </w:r>
      <w:r w:rsidR="0040132E">
        <w:rPr>
          <w:rFonts w:cs="Arial"/>
          <w:bCs/>
          <w:snapToGrid w:val="0"/>
          <w:lang w:val="en-GB"/>
        </w:rPr>
        <w:t xml:space="preserve"> based on the effective price proposed by the sponsor</w:t>
      </w:r>
      <w:r w:rsidRPr="00DD7EA3">
        <w:rPr>
          <w:rFonts w:cs="Arial"/>
          <w:bCs/>
          <w:snapToGrid w:val="0"/>
          <w:lang w:val="en-GB"/>
        </w:rPr>
        <w:t xml:space="preserve">. </w:t>
      </w:r>
      <w:r w:rsidRPr="00DD7EA3">
        <w:rPr>
          <w:bCs/>
          <w:lang w:val="en-GB"/>
        </w:rPr>
        <w:t xml:space="preserve">The PBAC </w:t>
      </w:r>
      <w:r w:rsidR="009B2AC6">
        <w:rPr>
          <w:bCs/>
          <w:lang w:val="en-GB"/>
        </w:rPr>
        <w:t>agreed with the DUSC</w:t>
      </w:r>
      <w:r w:rsidRPr="00DD7EA3">
        <w:rPr>
          <w:bCs/>
          <w:lang w:val="en-GB"/>
        </w:rPr>
        <w:t xml:space="preserve"> that the estimated financial impact to the PBS of listing ocrelizumab was underestimated. The PBAC noted </w:t>
      </w:r>
      <w:r>
        <w:rPr>
          <w:bCs/>
          <w:lang w:val="en-GB"/>
        </w:rPr>
        <w:t xml:space="preserve">that the submission added the number of incident and prevalent patients to estimate use, which resulted in </w:t>
      </w:r>
      <w:r w:rsidRPr="00DD7EA3">
        <w:rPr>
          <w:bCs/>
          <w:lang w:val="en-GB"/>
        </w:rPr>
        <w:t>an overestimate of the projected number of treated patients.</w:t>
      </w:r>
      <w:r>
        <w:rPr>
          <w:bCs/>
          <w:lang w:val="en-GB"/>
        </w:rPr>
        <w:t xml:space="preserve"> </w:t>
      </w:r>
      <w:r w:rsidR="009858B5">
        <w:rPr>
          <w:bCs/>
          <w:lang w:val="en-GB"/>
        </w:rPr>
        <w:t>However, t</w:t>
      </w:r>
      <w:r>
        <w:rPr>
          <w:bCs/>
          <w:lang w:val="en-GB"/>
        </w:rPr>
        <w:t>he financial estimates were sensitive to the estimates of uptake and eligibility in the prevalent population, which were based on expert opinion and likely underestimated. The PBAC considered that given the high clinical need in PPMS and that there are currently no other PBS subsid</w:t>
      </w:r>
      <w:r w:rsidR="00F179D9">
        <w:rPr>
          <w:bCs/>
          <w:lang w:val="en-GB"/>
        </w:rPr>
        <w:t xml:space="preserve">ised treatments available, </w:t>
      </w:r>
      <w:r>
        <w:rPr>
          <w:bCs/>
          <w:lang w:val="en-GB"/>
        </w:rPr>
        <w:t xml:space="preserve">the uptake rate is anticipated to be higher than that proposed by the submission. </w:t>
      </w:r>
      <w:r w:rsidR="0082296F">
        <w:rPr>
          <w:bCs/>
          <w:lang w:val="en-GB"/>
        </w:rPr>
        <w:t xml:space="preserve">The PBAC was concerned that the broad restriction wording would further translate to higher uptake of ocrelizumab, and in subgroups of patients for whom there is little evidence of benefit. The PBAC also noted that administration costs were underestimated, as the submission </w:t>
      </w:r>
      <w:r w:rsidR="0082296F" w:rsidRPr="00313876">
        <w:rPr>
          <w:szCs w:val="24"/>
        </w:rPr>
        <w:t>did not account for two separate administrations in the initial treatment of ocrelizumab (300mg administered two weeks apart).</w:t>
      </w:r>
    </w:p>
    <w:p w:rsidR="0082296F" w:rsidRPr="00DD7EA3" w:rsidRDefault="0082296F" w:rsidP="004C3B82">
      <w:pPr>
        <w:pStyle w:val="ListParagraph"/>
        <w:numPr>
          <w:ilvl w:val="1"/>
          <w:numId w:val="4"/>
        </w:numPr>
        <w:jc w:val="both"/>
        <w:rPr>
          <w:bCs/>
          <w:lang w:val="en-GB"/>
        </w:rPr>
      </w:pPr>
      <w:r>
        <w:rPr>
          <w:szCs w:val="24"/>
        </w:rPr>
        <w:t xml:space="preserve">The PBAC noted that the sponsor proposed a Risk Share Agreement (RSA), however no details for the RSA were proposed. The PBAC considered that a RSA alone was insufficient to address the Committee’s concerns regarding the uncertainty associated with ocrelizumab’s treatment effect, potential PBS population and cost effectiveness. </w:t>
      </w:r>
    </w:p>
    <w:p w:rsidR="0082296F" w:rsidRPr="007727DF" w:rsidRDefault="0082296F" w:rsidP="009B2AC6">
      <w:pPr>
        <w:pStyle w:val="ListParagraph"/>
        <w:numPr>
          <w:ilvl w:val="1"/>
          <w:numId w:val="4"/>
        </w:numPr>
        <w:jc w:val="both"/>
        <w:rPr>
          <w:snapToGrid w:val="0"/>
        </w:rPr>
      </w:pPr>
      <w:r>
        <w:rPr>
          <w:rFonts w:cs="Arial"/>
          <w:bCs/>
          <w:snapToGrid w:val="0"/>
          <w:lang w:val="en-GB"/>
        </w:rPr>
        <w:t xml:space="preserve">The PBAC considered that any resubmission for ocrelizumab for PPMS would require a major submission addressing the issues raised by the PBAC and its subcommittees (ESC and DUSC). </w:t>
      </w:r>
      <w:r w:rsidRPr="007727DF">
        <w:rPr>
          <w:rFonts w:cs="Arial"/>
          <w:snapToGrid w:val="0"/>
          <w:szCs w:val="20"/>
        </w:rPr>
        <w:t xml:space="preserve">The PBAC considered that demonstration of </w:t>
      </w:r>
      <w:r w:rsidR="00911EA2">
        <w:rPr>
          <w:rFonts w:cs="Arial"/>
          <w:snapToGrid w:val="0"/>
          <w:szCs w:val="20"/>
        </w:rPr>
        <w:t xml:space="preserve">more robust evidence and </w:t>
      </w:r>
      <w:r w:rsidRPr="007727DF">
        <w:rPr>
          <w:rFonts w:cs="Arial"/>
          <w:snapToGrid w:val="0"/>
          <w:szCs w:val="20"/>
        </w:rPr>
        <w:t>a</w:t>
      </w:r>
      <w:r>
        <w:rPr>
          <w:rFonts w:cs="Arial"/>
          <w:snapToGrid w:val="0"/>
          <w:szCs w:val="20"/>
        </w:rPr>
        <w:t xml:space="preserve"> greater</w:t>
      </w:r>
      <w:r w:rsidRPr="007727DF">
        <w:rPr>
          <w:rFonts w:cs="Arial"/>
          <w:snapToGrid w:val="0"/>
          <w:szCs w:val="20"/>
        </w:rPr>
        <w:t xml:space="preserve"> absolute benefit in </w:t>
      </w:r>
      <w:r>
        <w:rPr>
          <w:rFonts w:cs="Arial"/>
          <w:snapToGrid w:val="0"/>
          <w:szCs w:val="20"/>
        </w:rPr>
        <w:t>delaying disease progression for PPMS</w:t>
      </w:r>
      <w:r w:rsidRPr="007727DF">
        <w:rPr>
          <w:rFonts w:cs="Arial"/>
          <w:snapToGrid w:val="0"/>
          <w:szCs w:val="20"/>
        </w:rPr>
        <w:t>,</w:t>
      </w:r>
      <w:r>
        <w:rPr>
          <w:rFonts w:cs="Arial"/>
          <w:snapToGrid w:val="0"/>
          <w:szCs w:val="20"/>
        </w:rPr>
        <w:t xml:space="preserve"> and/</w:t>
      </w:r>
      <w:r w:rsidRPr="007727DF">
        <w:rPr>
          <w:rFonts w:cs="Arial"/>
          <w:snapToGrid w:val="0"/>
          <w:szCs w:val="20"/>
        </w:rPr>
        <w:t xml:space="preserve">or a </w:t>
      </w:r>
      <w:r>
        <w:rPr>
          <w:rFonts w:cs="Arial"/>
          <w:snapToGrid w:val="0"/>
          <w:szCs w:val="20"/>
        </w:rPr>
        <w:t xml:space="preserve">substantial </w:t>
      </w:r>
      <w:r w:rsidRPr="007727DF">
        <w:rPr>
          <w:rFonts w:cs="Arial"/>
          <w:snapToGrid w:val="0"/>
          <w:szCs w:val="20"/>
        </w:rPr>
        <w:t>price reduction would be required to achieve a cost-effectiv</w:t>
      </w:r>
      <w:r>
        <w:rPr>
          <w:rFonts w:cs="Arial"/>
          <w:snapToGrid w:val="0"/>
          <w:szCs w:val="20"/>
        </w:rPr>
        <w:t>e listing for ocrelizumab</w:t>
      </w:r>
      <w:r w:rsidRPr="007727DF">
        <w:rPr>
          <w:rFonts w:cs="Arial"/>
          <w:snapToGrid w:val="0"/>
          <w:szCs w:val="20"/>
        </w:rPr>
        <w:t xml:space="preserve"> </w:t>
      </w:r>
      <w:r>
        <w:rPr>
          <w:rFonts w:cs="Arial"/>
          <w:snapToGrid w:val="0"/>
          <w:szCs w:val="20"/>
        </w:rPr>
        <w:t>for PPMS</w:t>
      </w:r>
      <w:r w:rsidRPr="007727DF">
        <w:rPr>
          <w:rFonts w:cs="Arial"/>
          <w:snapToGrid w:val="0"/>
          <w:szCs w:val="20"/>
        </w:rPr>
        <w:t>.</w:t>
      </w:r>
    </w:p>
    <w:p w:rsidR="00E3072C" w:rsidRPr="00E3072C" w:rsidRDefault="00583050" w:rsidP="00FF615A">
      <w:pPr>
        <w:widowControl w:val="0"/>
        <w:numPr>
          <w:ilvl w:val="1"/>
          <w:numId w:val="4"/>
        </w:numPr>
        <w:spacing w:before="0" w:after="120"/>
        <w:jc w:val="both"/>
        <w:rPr>
          <w:rFonts w:cs="Arial"/>
          <w:bCs/>
          <w:snapToGrid w:val="0"/>
          <w:lang w:val="en-GB"/>
        </w:rPr>
      </w:pPr>
      <w:r w:rsidRPr="00AE367E">
        <w:rPr>
          <w:bCs/>
          <w:lang w:val="en-GB"/>
        </w:rPr>
        <w:t>The PBAC noted that this submission is eligible for an Independent Review.</w:t>
      </w:r>
    </w:p>
    <w:p w:rsidR="00FF615A" w:rsidRPr="003A4AB9" w:rsidRDefault="00FF615A" w:rsidP="00FF615A">
      <w:pPr>
        <w:spacing w:before="240"/>
        <w:jc w:val="both"/>
        <w:rPr>
          <w:rFonts w:cs="Arial"/>
          <w:b/>
          <w:bCs/>
          <w:snapToGrid w:val="0"/>
          <w:lang w:val="en-GB"/>
        </w:rPr>
      </w:pPr>
      <w:r w:rsidRPr="003A4AB9">
        <w:rPr>
          <w:rFonts w:cs="Arial"/>
          <w:b/>
          <w:bCs/>
          <w:snapToGrid w:val="0"/>
          <w:lang w:val="en-GB"/>
        </w:rPr>
        <w:t>Outcome:</w:t>
      </w:r>
    </w:p>
    <w:p w:rsidR="00FF615A" w:rsidRPr="003A4AB9" w:rsidRDefault="00FF615A" w:rsidP="00FF615A">
      <w:pPr>
        <w:jc w:val="both"/>
        <w:rPr>
          <w:rFonts w:cs="Arial"/>
          <w:bCs/>
          <w:snapToGrid w:val="0"/>
          <w:lang w:val="en-GB"/>
        </w:rPr>
      </w:pPr>
      <w:r w:rsidRPr="003A4AB9">
        <w:rPr>
          <w:rFonts w:cs="Arial"/>
          <w:bCs/>
          <w:snapToGrid w:val="0"/>
          <w:lang w:val="en-GB"/>
        </w:rPr>
        <w:t>Reje</w:t>
      </w:r>
      <w:r w:rsidR="003A4AB9" w:rsidRPr="003A4AB9">
        <w:rPr>
          <w:rFonts w:cs="Arial"/>
          <w:bCs/>
          <w:snapToGrid w:val="0"/>
          <w:lang w:val="en-GB"/>
        </w:rPr>
        <w:t>cted</w:t>
      </w:r>
    </w:p>
    <w:p w:rsidR="003E218C" w:rsidRPr="003E218C" w:rsidRDefault="003E218C" w:rsidP="003E218C">
      <w:pPr>
        <w:keepNext/>
        <w:keepLines/>
        <w:numPr>
          <w:ilvl w:val="0"/>
          <w:numId w:val="4"/>
        </w:numPr>
        <w:spacing w:before="240" w:after="120"/>
        <w:ind w:left="709" w:hanging="709"/>
        <w:outlineLvl w:val="0"/>
        <w:rPr>
          <w:rFonts w:ascii="Calibri" w:eastAsia="Times New Roman" w:hAnsi="Calibri" w:cs="Times New Roman"/>
          <w:b/>
          <w:sz w:val="32"/>
          <w:szCs w:val="32"/>
        </w:rPr>
      </w:pPr>
      <w:r w:rsidRPr="003E218C">
        <w:rPr>
          <w:rFonts w:ascii="Calibri" w:eastAsia="Times New Roman" w:hAnsi="Calibri" w:cs="Times New Roman"/>
          <w:b/>
          <w:sz w:val="32"/>
          <w:szCs w:val="32"/>
        </w:rPr>
        <w:t>Context for Decision</w:t>
      </w:r>
    </w:p>
    <w:p w:rsidR="003E218C" w:rsidRPr="003E218C" w:rsidRDefault="003E218C" w:rsidP="003E218C">
      <w:pPr>
        <w:spacing w:after="120"/>
        <w:rPr>
          <w:rFonts w:ascii="Calibri" w:eastAsia="Calibri" w:hAnsi="Calibri" w:cs="Arial"/>
        </w:rPr>
      </w:pPr>
      <w:r w:rsidRPr="003E218C">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E218C" w:rsidRPr="003E218C" w:rsidRDefault="003E218C" w:rsidP="003E218C">
      <w:pPr>
        <w:keepNext/>
        <w:keepLines/>
        <w:numPr>
          <w:ilvl w:val="0"/>
          <w:numId w:val="4"/>
        </w:numPr>
        <w:spacing w:before="240" w:after="120"/>
        <w:ind w:left="709" w:hanging="709"/>
        <w:outlineLvl w:val="0"/>
        <w:rPr>
          <w:rFonts w:ascii="Calibri" w:eastAsia="Times New Roman" w:hAnsi="Calibri" w:cs="Times New Roman"/>
          <w:b/>
          <w:sz w:val="32"/>
          <w:szCs w:val="32"/>
        </w:rPr>
      </w:pPr>
      <w:r w:rsidRPr="003E218C">
        <w:rPr>
          <w:rFonts w:ascii="Calibri" w:eastAsia="Times New Roman" w:hAnsi="Calibri" w:cs="Times New Roman"/>
          <w:b/>
          <w:sz w:val="32"/>
          <w:szCs w:val="32"/>
        </w:rPr>
        <w:t>Sponsor’s Comment</w:t>
      </w:r>
    </w:p>
    <w:p w:rsidR="00AA1BC9" w:rsidRPr="003E218C" w:rsidRDefault="00AA1BC9" w:rsidP="00AA1BC9">
      <w:pPr>
        <w:jc w:val="both"/>
        <w:rPr>
          <w:rFonts w:ascii="Calibri" w:eastAsia="Calibri" w:hAnsi="Calibri" w:cs="Arial"/>
          <w:snapToGrid w:val="0"/>
          <w:szCs w:val="20"/>
        </w:rPr>
      </w:pPr>
      <w:r>
        <w:rPr>
          <w:rFonts w:ascii="Calibri" w:eastAsia="Calibri" w:hAnsi="Calibri" w:cs="Arial"/>
          <w:snapToGrid w:val="0"/>
          <w:szCs w:val="20"/>
        </w:rPr>
        <w:t>Roche is committed to continue working with all stakeholders to enable reimbursement of ocrelizumab for Australians with PPMS.</w:t>
      </w:r>
    </w:p>
    <w:p w:rsidR="000D2C0B" w:rsidRPr="003E218C" w:rsidRDefault="000D2C0B" w:rsidP="003E218C">
      <w:pPr>
        <w:jc w:val="both"/>
        <w:rPr>
          <w:rFonts w:ascii="Calibri" w:eastAsia="Calibri" w:hAnsi="Calibri" w:cs="Arial"/>
          <w:snapToGrid w:val="0"/>
          <w:szCs w:val="20"/>
        </w:rPr>
      </w:pPr>
    </w:p>
    <w:sectPr w:rsidR="000D2C0B" w:rsidRPr="003E218C" w:rsidSect="00B604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B38B6C" w15:done="0"/>
  <w15:commentEx w15:paraId="1B299E2C" w15:done="0"/>
  <w15:commentEx w15:paraId="59EF7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6AE" w:rsidRDefault="00F176AE" w:rsidP="00BA3306">
      <w:pPr>
        <w:spacing w:before="0" w:after="0"/>
      </w:pPr>
      <w:r>
        <w:separator/>
      </w:r>
    </w:p>
  </w:endnote>
  <w:endnote w:type="continuationSeparator" w:id="0">
    <w:p w:rsidR="00F176AE" w:rsidRDefault="00F176AE"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6AE" w:rsidRDefault="00F17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072064"/>
      <w:docPartObj>
        <w:docPartGallery w:val="Page Numbers (Bottom of Page)"/>
        <w:docPartUnique/>
      </w:docPartObj>
    </w:sdtPr>
    <w:sdtEndPr>
      <w:rPr>
        <w:b/>
        <w:noProof/>
        <w:sz w:val="20"/>
      </w:rPr>
    </w:sdtEndPr>
    <w:sdtContent>
      <w:p w:rsidR="00F651D8" w:rsidRPr="00552914" w:rsidRDefault="00F651D8">
        <w:pPr>
          <w:pStyle w:val="Footer"/>
          <w:jc w:val="center"/>
          <w:rPr>
            <w:b/>
            <w:sz w:val="20"/>
          </w:rPr>
        </w:pPr>
        <w:r w:rsidRPr="00552914">
          <w:rPr>
            <w:b/>
            <w:sz w:val="20"/>
          </w:rPr>
          <w:fldChar w:fldCharType="begin"/>
        </w:r>
        <w:r w:rsidRPr="00552914">
          <w:rPr>
            <w:b/>
            <w:sz w:val="20"/>
          </w:rPr>
          <w:instrText xml:space="preserve"> PAGE   \* MERGEFORMAT </w:instrText>
        </w:r>
        <w:r w:rsidRPr="00552914">
          <w:rPr>
            <w:b/>
            <w:sz w:val="20"/>
          </w:rPr>
          <w:fldChar w:fldCharType="separate"/>
        </w:r>
        <w:r w:rsidR="00F176AE">
          <w:rPr>
            <w:b/>
            <w:noProof/>
            <w:sz w:val="20"/>
          </w:rPr>
          <w:t>1</w:t>
        </w:r>
        <w:r w:rsidRPr="00552914">
          <w:rPr>
            <w:b/>
            <w:noProof/>
            <w:sz w:val="20"/>
          </w:rPr>
          <w:fldChar w:fldCharType="end"/>
        </w:r>
      </w:p>
    </w:sdtContent>
  </w:sdt>
  <w:p w:rsidR="00F651D8" w:rsidRPr="00552914" w:rsidRDefault="00F651D8" w:rsidP="005529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6AE" w:rsidRDefault="00F17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6AE" w:rsidRDefault="00F176AE" w:rsidP="00BA3306">
      <w:pPr>
        <w:spacing w:before="0" w:after="0"/>
      </w:pPr>
      <w:r>
        <w:separator/>
      </w:r>
    </w:p>
  </w:footnote>
  <w:footnote w:type="continuationSeparator" w:id="0">
    <w:p w:rsidR="00F176AE" w:rsidRDefault="00F176AE" w:rsidP="00BA3306">
      <w:pPr>
        <w:spacing w:before="0" w:after="0"/>
      </w:pPr>
      <w:r>
        <w:continuationSeparator/>
      </w:r>
    </w:p>
  </w:footnote>
  <w:footnote w:id="1">
    <w:p w:rsidR="00F651D8" w:rsidRDefault="00F651D8" w:rsidP="00C30B4C">
      <w:pPr>
        <w:pStyle w:val="FootnoteText"/>
      </w:pPr>
      <w:r>
        <w:rPr>
          <w:rStyle w:val="FootnoteReference"/>
        </w:rPr>
        <w:footnoteRef/>
      </w:r>
      <w:r>
        <w:t xml:space="preserve"> Public hospital price</w:t>
      </w:r>
    </w:p>
  </w:footnote>
  <w:footnote w:id="2">
    <w:p w:rsidR="00F651D8" w:rsidRDefault="00F651D8" w:rsidP="00C30B4C">
      <w:pPr>
        <w:pStyle w:val="FootnoteText"/>
      </w:pPr>
      <w:r>
        <w:rPr>
          <w:rStyle w:val="FootnoteReference"/>
        </w:rPr>
        <w:footnoteRef/>
      </w:r>
      <w:r>
        <w:t xml:space="preserve"> Private hospital price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6AE" w:rsidRDefault="00F17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D8" w:rsidRPr="00F90A91" w:rsidRDefault="00F651D8" w:rsidP="00552914">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November 2017</w:t>
    </w:r>
    <w:r w:rsidRPr="00F90A91">
      <w:rPr>
        <w:rFonts w:cs="Arial"/>
        <w:i/>
        <w:color w:val="808080"/>
        <w:sz w:val="22"/>
      </w:rPr>
      <w:t xml:space="preserve"> PBAC Meeting</w:t>
    </w:r>
  </w:p>
  <w:p w:rsidR="00F651D8" w:rsidRDefault="00F651D8" w:rsidP="00D53D7C">
    <w:pPr>
      <w:pStyle w:val="Header"/>
      <w:tabs>
        <w:tab w:val="clear" w:pos="9026"/>
        <w:tab w:val="left" w:pos="1725"/>
        <w:tab w:val="left" w:pos="7230"/>
        <w:tab w:val="left" w:pos="7513"/>
        <w:tab w:val="right" w:pos="9072"/>
        <w:tab w:val="right" w:pos="133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6AE" w:rsidRDefault="00F17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BF4032"/>
    <w:multiLevelType w:val="hybridMultilevel"/>
    <w:tmpl w:val="1AF0A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62AC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B72B1"/>
    <w:multiLevelType w:val="hybridMultilevel"/>
    <w:tmpl w:val="67021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26FEF"/>
    <w:multiLevelType w:val="hybridMultilevel"/>
    <w:tmpl w:val="DF488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C923CA"/>
    <w:multiLevelType w:val="hybridMultilevel"/>
    <w:tmpl w:val="7B78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DF2914"/>
    <w:multiLevelType w:val="hybridMultilevel"/>
    <w:tmpl w:val="1FBE0A62"/>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8">
    <w:nsid w:val="16432A30"/>
    <w:multiLevelType w:val="hybridMultilevel"/>
    <w:tmpl w:val="A5C036EC"/>
    <w:lvl w:ilvl="0" w:tplc="3A6EF5CE">
      <w:start w:val="1"/>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4E6825"/>
    <w:multiLevelType w:val="multilevel"/>
    <w:tmpl w:val="6B806826"/>
    <w:lvl w:ilvl="0">
      <w:start w:val="1"/>
      <w:numFmt w:val="decimal"/>
      <w:pStyle w:val="Heading1"/>
      <w:lvlText w:val="%1"/>
      <w:lvlJc w:val="left"/>
      <w:pPr>
        <w:ind w:left="340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51119D9"/>
    <w:multiLevelType w:val="hybridMultilevel"/>
    <w:tmpl w:val="C018D034"/>
    <w:lvl w:ilvl="0" w:tplc="DF24FE12">
      <w:start w:val="1"/>
      <w:numFmt w:val="bullet"/>
      <w:lvlText w:val="•"/>
      <w:lvlJc w:val="left"/>
      <w:pPr>
        <w:tabs>
          <w:tab w:val="num" w:pos="720"/>
        </w:tabs>
        <w:ind w:left="720" w:hanging="360"/>
      </w:pPr>
      <w:rPr>
        <w:rFonts w:ascii="Arial" w:hAnsi="Arial" w:hint="default"/>
      </w:rPr>
    </w:lvl>
    <w:lvl w:ilvl="1" w:tplc="8AAA05C2" w:tentative="1">
      <w:start w:val="1"/>
      <w:numFmt w:val="bullet"/>
      <w:lvlText w:val="•"/>
      <w:lvlJc w:val="left"/>
      <w:pPr>
        <w:tabs>
          <w:tab w:val="num" w:pos="1440"/>
        </w:tabs>
        <w:ind w:left="1440" w:hanging="360"/>
      </w:pPr>
      <w:rPr>
        <w:rFonts w:ascii="Arial" w:hAnsi="Arial" w:hint="default"/>
      </w:rPr>
    </w:lvl>
    <w:lvl w:ilvl="2" w:tplc="3BDAA138" w:tentative="1">
      <w:start w:val="1"/>
      <w:numFmt w:val="bullet"/>
      <w:lvlText w:val="•"/>
      <w:lvlJc w:val="left"/>
      <w:pPr>
        <w:tabs>
          <w:tab w:val="num" w:pos="2160"/>
        </w:tabs>
        <w:ind w:left="2160" w:hanging="360"/>
      </w:pPr>
      <w:rPr>
        <w:rFonts w:ascii="Arial" w:hAnsi="Arial" w:hint="default"/>
      </w:rPr>
    </w:lvl>
    <w:lvl w:ilvl="3" w:tplc="88ACB4D6" w:tentative="1">
      <w:start w:val="1"/>
      <w:numFmt w:val="bullet"/>
      <w:lvlText w:val="•"/>
      <w:lvlJc w:val="left"/>
      <w:pPr>
        <w:tabs>
          <w:tab w:val="num" w:pos="2880"/>
        </w:tabs>
        <w:ind w:left="2880" w:hanging="360"/>
      </w:pPr>
      <w:rPr>
        <w:rFonts w:ascii="Arial" w:hAnsi="Arial" w:hint="default"/>
      </w:rPr>
    </w:lvl>
    <w:lvl w:ilvl="4" w:tplc="F54AA71A" w:tentative="1">
      <w:start w:val="1"/>
      <w:numFmt w:val="bullet"/>
      <w:lvlText w:val="•"/>
      <w:lvlJc w:val="left"/>
      <w:pPr>
        <w:tabs>
          <w:tab w:val="num" w:pos="3600"/>
        </w:tabs>
        <w:ind w:left="3600" w:hanging="360"/>
      </w:pPr>
      <w:rPr>
        <w:rFonts w:ascii="Arial" w:hAnsi="Arial" w:hint="default"/>
      </w:rPr>
    </w:lvl>
    <w:lvl w:ilvl="5" w:tplc="2872EEE6" w:tentative="1">
      <w:start w:val="1"/>
      <w:numFmt w:val="bullet"/>
      <w:lvlText w:val="•"/>
      <w:lvlJc w:val="left"/>
      <w:pPr>
        <w:tabs>
          <w:tab w:val="num" w:pos="4320"/>
        </w:tabs>
        <w:ind w:left="4320" w:hanging="360"/>
      </w:pPr>
      <w:rPr>
        <w:rFonts w:ascii="Arial" w:hAnsi="Arial" w:hint="default"/>
      </w:rPr>
    </w:lvl>
    <w:lvl w:ilvl="6" w:tplc="742A0A1A" w:tentative="1">
      <w:start w:val="1"/>
      <w:numFmt w:val="bullet"/>
      <w:lvlText w:val="•"/>
      <w:lvlJc w:val="left"/>
      <w:pPr>
        <w:tabs>
          <w:tab w:val="num" w:pos="5040"/>
        </w:tabs>
        <w:ind w:left="5040" w:hanging="360"/>
      </w:pPr>
      <w:rPr>
        <w:rFonts w:ascii="Arial" w:hAnsi="Arial" w:hint="default"/>
      </w:rPr>
    </w:lvl>
    <w:lvl w:ilvl="7" w:tplc="CE0C3AD0" w:tentative="1">
      <w:start w:val="1"/>
      <w:numFmt w:val="bullet"/>
      <w:lvlText w:val="•"/>
      <w:lvlJc w:val="left"/>
      <w:pPr>
        <w:tabs>
          <w:tab w:val="num" w:pos="5760"/>
        </w:tabs>
        <w:ind w:left="5760" w:hanging="360"/>
      </w:pPr>
      <w:rPr>
        <w:rFonts w:ascii="Arial" w:hAnsi="Arial" w:hint="default"/>
      </w:rPr>
    </w:lvl>
    <w:lvl w:ilvl="8" w:tplc="97F8740C" w:tentative="1">
      <w:start w:val="1"/>
      <w:numFmt w:val="bullet"/>
      <w:lvlText w:val="•"/>
      <w:lvlJc w:val="left"/>
      <w:pPr>
        <w:tabs>
          <w:tab w:val="num" w:pos="6480"/>
        </w:tabs>
        <w:ind w:left="6480" w:hanging="360"/>
      </w:pPr>
      <w:rPr>
        <w:rFonts w:ascii="Arial" w:hAnsi="Arial" w:hint="default"/>
      </w:rPr>
    </w:lvl>
  </w:abstractNum>
  <w:abstractNum w:abstractNumId="13">
    <w:nsid w:val="39855CA0"/>
    <w:multiLevelType w:val="hybridMultilevel"/>
    <w:tmpl w:val="79F05AE6"/>
    <w:lvl w:ilvl="0" w:tplc="AE989EB8">
      <w:start w:val="1"/>
      <w:numFmt w:val="bullet"/>
      <w:lvlText w:val="•"/>
      <w:lvlJc w:val="left"/>
      <w:pPr>
        <w:tabs>
          <w:tab w:val="num" w:pos="720"/>
        </w:tabs>
        <w:ind w:left="720" w:hanging="360"/>
      </w:pPr>
      <w:rPr>
        <w:rFonts w:ascii="Arial" w:hAnsi="Arial" w:hint="default"/>
      </w:rPr>
    </w:lvl>
    <w:lvl w:ilvl="1" w:tplc="7AE87462" w:tentative="1">
      <w:start w:val="1"/>
      <w:numFmt w:val="bullet"/>
      <w:lvlText w:val="•"/>
      <w:lvlJc w:val="left"/>
      <w:pPr>
        <w:tabs>
          <w:tab w:val="num" w:pos="1440"/>
        </w:tabs>
        <w:ind w:left="1440" w:hanging="360"/>
      </w:pPr>
      <w:rPr>
        <w:rFonts w:ascii="Arial" w:hAnsi="Arial" w:hint="default"/>
      </w:rPr>
    </w:lvl>
    <w:lvl w:ilvl="2" w:tplc="4BB83A54" w:tentative="1">
      <w:start w:val="1"/>
      <w:numFmt w:val="bullet"/>
      <w:lvlText w:val="•"/>
      <w:lvlJc w:val="left"/>
      <w:pPr>
        <w:tabs>
          <w:tab w:val="num" w:pos="2160"/>
        </w:tabs>
        <w:ind w:left="2160" w:hanging="360"/>
      </w:pPr>
      <w:rPr>
        <w:rFonts w:ascii="Arial" w:hAnsi="Arial" w:hint="default"/>
      </w:rPr>
    </w:lvl>
    <w:lvl w:ilvl="3" w:tplc="0A465A48" w:tentative="1">
      <w:start w:val="1"/>
      <w:numFmt w:val="bullet"/>
      <w:lvlText w:val="•"/>
      <w:lvlJc w:val="left"/>
      <w:pPr>
        <w:tabs>
          <w:tab w:val="num" w:pos="2880"/>
        </w:tabs>
        <w:ind w:left="2880" w:hanging="360"/>
      </w:pPr>
      <w:rPr>
        <w:rFonts w:ascii="Arial" w:hAnsi="Arial" w:hint="default"/>
      </w:rPr>
    </w:lvl>
    <w:lvl w:ilvl="4" w:tplc="0A08267C" w:tentative="1">
      <w:start w:val="1"/>
      <w:numFmt w:val="bullet"/>
      <w:lvlText w:val="•"/>
      <w:lvlJc w:val="left"/>
      <w:pPr>
        <w:tabs>
          <w:tab w:val="num" w:pos="3600"/>
        </w:tabs>
        <w:ind w:left="3600" w:hanging="360"/>
      </w:pPr>
      <w:rPr>
        <w:rFonts w:ascii="Arial" w:hAnsi="Arial" w:hint="default"/>
      </w:rPr>
    </w:lvl>
    <w:lvl w:ilvl="5" w:tplc="CDE08B5C" w:tentative="1">
      <w:start w:val="1"/>
      <w:numFmt w:val="bullet"/>
      <w:lvlText w:val="•"/>
      <w:lvlJc w:val="left"/>
      <w:pPr>
        <w:tabs>
          <w:tab w:val="num" w:pos="4320"/>
        </w:tabs>
        <w:ind w:left="4320" w:hanging="360"/>
      </w:pPr>
      <w:rPr>
        <w:rFonts w:ascii="Arial" w:hAnsi="Arial" w:hint="default"/>
      </w:rPr>
    </w:lvl>
    <w:lvl w:ilvl="6" w:tplc="D97E61F6" w:tentative="1">
      <w:start w:val="1"/>
      <w:numFmt w:val="bullet"/>
      <w:lvlText w:val="•"/>
      <w:lvlJc w:val="left"/>
      <w:pPr>
        <w:tabs>
          <w:tab w:val="num" w:pos="5040"/>
        </w:tabs>
        <w:ind w:left="5040" w:hanging="360"/>
      </w:pPr>
      <w:rPr>
        <w:rFonts w:ascii="Arial" w:hAnsi="Arial" w:hint="default"/>
      </w:rPr>
    </w:lvl>
    <w:lvl w:ilvl="7" w:tplc="AF8C2C14" w:tentative="1">
      <w:start w:val="1"/>
      <w:numFmt w:val="bullet"/>
      <w:lvlText w:val="•"/>
      <w:lvlJc w:val="left"/>
      <w:pPr>
        <w:tabs>
          <w:tab w:val="num" w:pos="5760"/>
        </w:tabs>
        <w:ind w:left="5760" w:hanging="360"/>
      </w:pPr>
      <w:rPr>
        <w:rFonts w:ascii="Arial" w:hAnsi="Arial" w:hint="default"/>
      </w:rPr>
    </w:lvl>
    <w:lvl w:ilvl="8" w:tplc="50A40EFA" w:tentative="1">
      <w:start w:val="1"/>
      <w:numFmt w:val="bullet"/>
      <w:lvlText w:val="•"/>
      <w:lvlJc w:val="left"/>
      <w:pPr>
        <w:tabs>
          <w:tab w:val="num" w:pos="6480"/>
        </w:tabs>
        <w:ind w:left="6480" w:hanging="360"/>
      </w:pPr>
      <w:rPr>
        <w:rFonts w:ascii="Arial" w:hAnsi="Arial" w:hint="default"/>
      </w:rPr>
    </w:lvl>
  </w:abstractNum>
  <w:abstractNum w:abstractNumId="14">
    <w:nsid w:val="4674173A"/>
    <w:multiLevelType w:val="hybridMultilevel"/>
    <w:tmpl w:val="627229A6"/>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5">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F27242"/>
    <w:multiLevelType w:val="hybridMultilevel"/>
    <w:tmpl w:val="38DA6950"/>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E061C9"/>
    <w:multiLevelType w:val="hybridMultilevel"/>
    <w:tmpl w:val="693A6EB6"/>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2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6BD76D4"/>
    <w:multiLevelType w:val="hybridMultilevel"/>
    <w:tmpl w:val="EBCA472E"/>
    <w:lvl w:ilvl="0" w:tplc="8172807E">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857A007E"/>
    <w:lvl w:ilvl="0">
      <w:start w:val="7"/>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5"/>
  </w:num>
  <w:num w:numId="3">
    <w:abstractNumId w:val="2"/>
  </w:num>
  <w:num w:numId="4">
    <w:abstractNumId w:val="22"/>
  </w:num>
  <w:num w:numId="5">
    <w:abstractNumId w:val="11"/>
  </w:num>
  <w:num w:numId="6">
    <w:abstractNumId w:val="20"/>
  </w:num>
  <w:num w:numId="7">
    <w:abstractNumId w:val="4"/>
  </w:num>
  <w:num w:numId="8">
    <w:abstractNumId w:val="16"/>
  </w:num>
  <w:num w:numId="9">
    <w:abstractNumId w:val="3"/>
  </w:num>
  <w:num w:numId="10">
    <w:abstractNumId w:val="5"/>
  </w:num>
  <w:num w:numId="11">
    <w:abstractNumId w:val="14"/>
  </w:num>
  <w:num w:numId="12">
    <w:abstractNumId w:val="8"/>
  </w:num>
  <w:num w:numId="13">
    <w:abstractNumId w:val="19"/>
  </w:num>
  <w:num w:numId="14">
    <w:abstractNumId w:val="17"/>
  </w:num>
  <w:num w:numId="15">
    <w:abstractNumId w:val="18"/>
  </w:num>
  <w:num w:numId="16">
    <w:abstractNumId w:val="6"/>
  </w:num>
  <w:num w:numId="17">
    <w:abstractNumId w:val="0"/>
  </w:num>
  <w:num w:numId="18">
    <w:abstractNumId w:val="9"/>
  </w:num>
  <w:num w:numId="19">
    <w:abstractNumId w:val="10"/>
    <w:lvlOverride w:ilvl="0">
      <w:startOverride w:val="6"/>
    </w:lvlOverride>
    <w:lvlOverride w:ilvl="1">
      <w:startOverride w:val="52"/>
    </w:lvlOverride>
  </w:num>
  <w:num w:numId="20">
    <w:abstractNumId w:val="10"/>
  </w:num>
  <w:num w:numId="21">
    <w:abstractNumId w:val="10"/>
  </w:num>
  <w:num w:numId="22">
    <w:abstractNumId w:val="13"/>
  </w:num>
  <w:num w:numId="23">
    <w:abstractNumId w:val="1"/>
  </w:num>
  <w:num w:numId="24">
    <w:abstractNumId w:val="21"/>
  </w:num>
  <w:num w:numId="25">
    <w:abstractNumId w:val="12"/>
  </w:num>
  <w:num w:numId="26">
    <w:abstractNumId w:val="7"/>
  </w:num>
  <w:num w:numId="27">
    <w:abstractNumId w:val="10"/>
  </w:num>
  <w:num w:numId="28">
    <w:abstractNumId w:val="10"/>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AD" w15:userId="S-1-5-21-905479342-1514983418-1536837410-193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6" w:nlCheck="1" w:checkStyle="1"/>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3A2C"/>
    <w:rsid w:val="000046F3"/>
    <w:rsid w:val="000064C3"/>
    <w:rsid w:val="00006F2C"/>
    <w:rsid w:val="000104F9"/>
    <w:rsid w:val="0001066F"/>
    <w:rsid w:val="00013222"/>
    <w:rsid w:val="0001570D"/>
    <w:rsid w:val="000160CE"/>
    <w:rsid w:val="00016A82"/>
    <w:rsid w:val="00016BFB"/>
    <w:rsid w:val="000171CA"/>
    <w:rsid w:val="0002095B"/>
    <w:rsid w:val="00021770"/>
    <w:rsid w:val="00022F04"/>
    <w:rsid w:val="000232A2"/>
    <w:rsid w:val="000246C4"/>
    <w:rsid w:val="000263FF"/>
    <w:rsid w:val="00030950"/>
    <w:rsid w:val="00030DAD"/>
    <w:rsid w:val="000327DD"/>
    <w:rsid w:val="00034404"/>
    <w:rsid w:val="00036EE8"/>
    <w:rsid w:val="000461CF"/>
    <w:rsid w:val="00053D08"/>
    <w:rsid w:val="00057990"/>
    <w:rsid w:val="00057DCD"/>
    <w:rsid w:val="00057F71"/>
    <w:rsid w:val="00060153"/>
    <w:rsid w:val="00061036"/>
    <w:rsid w:val="00062067"/>
    <w:rsid w:val="00062781"/>
    <w:rsid w:val="00063122"/>
    <w:rsid w:val="00065C62"/>
    <w:rsid w:val="00065CDE"/>
    <w:rsid w:val="00065F4A"/>
    <w:rsid w:val="0006659C"/>
    <w:rsid w:val="0007154B"/>
    <w:rsid w:val="000745F4"/>
    <w:rsid w:val="00080FF3"/>
    <w:rsid w:val="000847FE"/>
    <w:rsid w:val="00086133"/>
    <w:rsid w:val="00086A03"/>
    <w:rsid w:val="00097D3E"/>
    <w:rsid w:val="000A0573"/>
    <w:rsid w:val="000A2694"/>
    <w:rsid w:val="000A2EF1"/>
    <w:rsid w:val="000A3FBA"/>
    <w:rsid w:val="000A6237"/>
    <w:rsid w:val="000A6616"/>
    <w:rsid w:val="000A6A63"/>
    <w:rsid w:val="000A6FBD"/>
    <w:rsid w:val="000B0D85"/>
    <w:rsid w:val="000B47D4"/>
    <w:rsid w:val="000B56CD"/>
    <w:rsid w:val="000B6B69"/>
    <w:rsid w:val="000B6E5D"/>
    <w:rsid w:val="000C0142"/>
    <w:rsid w:val="000C032F"/>
    <w:rsid w:val="000C0339"/>
    <w:rsid w:val="000C0375"/>
    <w:rsid w:val="000C37C1"/>
    <w:rsid w:val="000C687C"/>
    <w:rsid w:val="000C6A40"/>
    <w:rsid w:val="000C6A75"/>
    <w:rsid w:val="000C7E91"/>
    <w:rsid w:val="000D0023"/>
    <w:rsid w:val="000D2C0B"/>
    <w:rsid w:val="000D2E92"/>
    <w:rsid w:val="000D3160"/>
    <w:rsid w:val="000D6F65"/>
    <w:rsid w:val="000D7E54"/>
    <w:rsid w:val="000E54B6"/>
    <w:rsid w:val="000E57E4"/>
    <w:rsid w:val="000E7B66"/>
    <w:rsid w:val="000F1E8E"/>
    <w:rsid w:val="000F2534"/>
    <w:rsid w:val="000F3652"/>
    <w:rsid w:val="000F506B"/>
    <w:rsid w:val="000F6CCA"/>
    <w:rsid w:val="000F7DF1"/>
    <w:rsid w:val="001013BF"/>
    <w:rsid w:val="001047E5"/>
    <w:rsid w:val="00107196"/>
    <w:rsid w:val="00115B20"/>
    <w:rsid w:val="00115B57"/>
    <w:rsid w:val="00117954"/>
    <w:rsid w:val="00117BEB"/>
    <w:rsid w:val="00122014"/>
    <w:rsid w:val="001229DA"/>
    <w:rsid w:val="001240D4"/>
    <w:rsid w:val="0012701F"/>
    <w:rsid w:val="001279AE"/>
    <w:rsid w:val="001303C5"/>
    <w:rsid w:val="0013092C"/>
    <w:rsid w:val="00130EE1"/>
    <w:rsid w:val="0013171F"/>
    <w:rsid w:val="00131A74"/>
    <w:rsid w:val="001334EB"/>
    <w:rsid w:val="00133BC1"/>
    <w:rsid w:val="001361AE"/>
    <w:rsid w:val="00136E76"/>
    <w:rsid w:val="001403B1"/>
    <w:rsid w:val="00144452"/>
    <w:rsid w:val="0014635C"/>
    <w:rsid w:val="0014641A"/>
    <w:rsid w:val="001468C6"/>
    <w:rsid w:val="00146C47"/>
    <w:rsid w:val="00146CB3"/>
    <w:rsid w:val="00147BD9"/>
    <w:rsid w:val="00147C94"/>
    <w:rsid w:val="001517BE"/>
    <w:rsid w:val="00153274"/>
    <w:rsid w:val="001541EF"/>
    <w:rsid w:val="00155FBA"/>
    <w:rsid w:val="001568E5"/>
    <w:rsid w:val="001608A5"/>
    <w:rsid w:val="00162BCF"/>
    <w:rsid w:val="00165A49"/>
    <w:rsid w:val="00170D70"/>
    <w:rsid w:val="001722AD"/>
    <w:rsid w:val="001723FA"/>
    <w:rsid w:val="00173577"/>
    <w:rsid w:val="00175595"/>
    <w:rsid w:val="0017638E"/>
    <w:rsid w:val="00176AA5"/>
    <w:rsid w:val="00176DEF"/>
    <w:rsid w:val="0017720E"/>
    <w:rsid w:val="001777F9"/>
    <w:rsid w:val="00177893"/>
    <w:rsid w:val="00182381"/>
    <w:rsid w:val="00184221"/>
    <w:rsid w:val="0018482B"/>
    <w:rsid w:val="00184D06"/>
    <w:rsid w:val="00186307"/>
    <w:rsid w:val="00186EBC"/>
    <w:rsid w:val="0019167B"/>
    <w:rsid w:val="00195DA4"/>
    <w:rsid w:val="0019763E"/>
    <w:rsid w:val="001A0142"/>
    <w:rsid w:val="001A02B2"/>
    <w:rsid w:val="001A4350"/>
    <w:rsid w:val="001A7DD9"/>
    <w:rsid w:val="001B00CE"/>
    <w:rsid w:val="001B3980"/>
    <w:rsid w:val="001B45E1"/>
    <w:rsid w:val="001B6389"/>
    <w:rsid w:val="001B6809"/>
    <w:rsid w:val="001C0169"/>
    <w:rsid w:val="001C04CC"/>
    <w:rsid w:val="001C051E"/>
    <w:rsid w:val="001C42E7"/>
    <w:rsid w:val="001D0C83"/>
    <w:rsid w:val="001D1FDC"/>
    <w:rsid w:val="001D3FBA"/>
    <w:rsid w:val="001D476C"/>
    <w:rsid w:val="001D5DE3"/>
    <w:rsid w:val="001E203A"/>
    <w:rsid w:val="001E3854"/>
    <w:rsid w:val="001E4361"/>
    <w:rsid w:val="001E5918"/>
    <w:rsid w:val="001E6098"/>
    <w:rsid w:val="001F073C"/>
    <w:rsid w:val="001F1922"/>
    <w:rsid w:val="001F2912"/>
    <w:rsid w:val="001F3899"/>
    <w:rsid w:val="001F403F"/>
    <w:rsid w:val="001F4A13"/>
    <w:rsid w:val="001F50F0"/>
    <w:rsid w:val="002001C6"/>
    <w:rsid w:val="00200296"/>
    <w:rsid w:val="00200362"/>
    <w:rsid w:val="00201ADB"/>
    <w:rsid w:val="0020345A"/>
    <w:rsid w:val="002052AF"/>
    <w:rsid w:val="002058E5"/>
    <w:rsid w:val="00210FAA"/>
    <w:rsid w:val="002117E3"/>
    <w:rsid w:val="00211A52"/>
    <w:rsid w:val="00212563"/>
    <w:rsid w:val="00216C8C"/>
    <w:rsid w:val="002207DA"/>
    <w:rsid w:val="0022284A"/>
    <w:rsid w:val="002234A6"/>
    <w:rsid w:val="00224591"/>
    <w:rsid w:val="002278CE"/>
    <w:rsid w:val="00233552"/>
    <w:rsid w:val="002403FE"/>
    <w:rsid w:val="00241759"/>
    <w:rsid w:val="002425EA"/>
    <w:rsid w:val="00242EA0"/>
    <w:rsid w:val="00243685"/>
    <w:rsid w:val="00250396"/>
    <w:rsid w:val="0025053A"/>
    <w:rsid w:val="002508D5"/>
    <w:rsid w:val="0025224D"/>
    <w:rsid w:val="0025613F"/>
    <w:rsid w:val="00256813"/>
    <w:rsid w:val="00261DC6"/>
    <w:rsid w:val="00264623"/>
    <w:rsid w:val="002711A8"/>
    <w:rsid w:val="00273C92"/>
    <w:rsid w:val="002745CB"/>
    <w:rsid w:val="00276125"/>
    <w:rsid w:val="00276F81"/>
    <w:rsid w:val="0027740E"/>
    <w:rsid w:val="002802E7"/>
    <w:rsid w:val="00280B5B"/>
    <w:rsid w:val="00280E46"/>
    <w:rsid w:val="00282D1F"/>
    <w:rsid w:val="002836DF"/>
    <w:rsid w:val="0028430F"/>
    <w:rsid w:val="00291100"/>
    <w:rsid w:val="00291285"/>
    <w:rsid w:val="002924DA"/>
    <w:rsid w:val="00292821"/>
    <w:rsid w:val="002928F4"/>
    <w:rsid w:val="00293656"/>
    <w:rsid w:val="00296CE8"/>
    <w:rsid w:val="002A39FD"/>
    <w:rsid w:val="002A3CA6"/>
    <w:rsid w:val="002A3E53"/>
    <w:rsid w:val="002A4503"/>
    <w:rsid w:val="002B1AF5"/>
    <w:rsid w:val="002B37FC"/>
    <w:rsid w:val="002B39AC"/>
    <w:rsid w:val="002B4941"/>
    <w:rsid w:val="002B5D74"/>
    <w:rsid w:val="002B7A88"/>
    <w:rsid w:val="002B7ADB"/>
    <w:rsid w:val="002B7FD5"/>
    <w:rsid w:val="002C1A77"/>
    <w:rsid w:val="002C1D2F"/>
    <w:rsid w:val="002C2A7D"/>
    <w:rsid w:val="002C4E63"/>
    <w:rsid w:val="002D0115"/>
    <w:rsid w:val="002D222B"/>
    <w:rsid w:val="002D2FCA"/>
    <w:rsid w:val="002D34C2"/>
    <w:rsid w:val="002D57F6"/>
    <w:rsid w:val="002D5D48"/>
    <w:rsid w:val="002D7823"/>
    <w:rsid w:val="002E42FD"/>
    <w:rsid w:val="002E4C2D"/>
    <w:rsid w:val="002E5B31"/>
    <w:rsid w:val="002E5DEA"/>
    <w:rsid w:val="002E724A"/>
    <w:rsid w:val="002F0C7B"/>
    <w:rsid w:val="002F0CC4"/>
    <w:rsid w:val="002F2597"/>
    <w:rsid w:val="002F311E"/>
    <w:rsid w:val="002F60B0"/>
    <w:rsid w:val="002F71B8"/>
    <w:rsid w:val="002F7566"/>
    <w:rsid w:val="0030057F"/>
    <w:rsid w:val="00301EA1"/>
    <w:rsid w:val="00302117"/>
    <w:rsid w:val="00302FCC"/>
    <w:rsid w:val="00305812"/>
    <w:rsid w:val="003062AE"/>
    <w:rsid w:val="003070F6"/>
    <w:rsid w:val="00312144"/>
    <w:rsid w:val="00312D0F"/>
    <w:rsid w:val="00313175"/>
    <w:rsid w:val="00315514"/>
    <w:rsid w:val="00316ECD"/>
    <w:rsid w:val="00317BBF"/>
    <w:rsid w:val="00321BB7"/>
    <w:rsid w:val="00322C10"/>
    <w:rsid w:val="00322DA1"/>
    <w:rsid w:val="00325A39"/>
    <w:rsid w:val="00330564"/>
    <w:rsid w:val="00332B1C"/>
    <w:rsid w:val="00333095"/>
    <w:rsid w:val="00334ACF"/>
    <w:rsid w:val="003403EF"/>
    <w:rsid w:val="00340C16"/>
    <w:rsid w:val="00341A14"/>
    <w:rsid w:val="00342C2D"/>
    <w:rsid w:val="00343201"/>
    <w:rsid w:val="003458C2"/>
    <w:rsid w:val="00345CDE"/>
    <w:rsid w:val="00351381"/>
    <w:rsid w:val="003530A6"/>
    <w:rsid w:val="00353627"/>
    <w:rsid w:val="003554D6"/>
    <w:rsid w:val="00355807"/>
    <w:rsid w:val="00355F72"/>
    <w:rsid w:val="00356C92"/>
    <w:rsid w:val="00357657"/>
    <w:rsid w:val="0036006F"/>
    <w:rsid w:val="003626DB"/>
    <w:rsid w:val="003639A6"/>
    <w:rsid w:val="00363C7B"/>
    <w:rsid w:val="00365FBA"/>
    <w:rsid w:val="003669E0"/>
    <w:rsid w:val="00366D37"/>
    <w:rsid w:val="00367479"/>
    <w:rsid w:val="003679AE"/>
    <w:rsid w:val="003714D6"/>
    <w:rsid w:val="0037467D"/>
    <w:rsid w:val="00375974"/>
    <w:rsid w:val="00375F11"/>
    <w:rsid w:val="0038092B"/>
    <w:rsid w:val="0038281C"/>
    <w:rsid w:val="00384D54"/>
    <w:rsid w:val="003851FE"/>
    <w:rsid w:val="00385A64"/>
    <w:rsid w:val="00386D1A"/>
    <w:rsid w:val="0038702B"/>
    <w:rsid w:val="00391C19"/>
    <w:rsid w:val="00394190"/>
    <w:rsid w:val="00395913"/>
    <w:rsid w:val="00397170"/>
    <w:rsid w:val="003A2E5D"/>
    <w:rsid w:val="003A30B2"/>
    <w:rsid w:val="003A3433"/>
    <w:rsid w:val="003A4AB9"/>
    <w:rsid w:val="003A4D73"/>
    <w:rsid w:val="003A537E"/>
    <w:rsid w:val="003A5789"/>
    <w:rsid w:val="003A63D9"/>
    <w:rsid w:val="003A660F"/>
    <w:rsid w:val="003B095E"/>
    <w:rsid w:val="003B19EC"/>
    <w:rsid w:val="003B2EEA"/>
    <w:rsid w:val="003C0BF9"/>
    <w:rsid w:val="003C0D30"/>
    <w:rsid w:val="003C0EAF"/>
    <w:rsid w:val="003C14DB"/>
    <w:rsid w:val="003C14F7"/>
    <w:rsid w:val="003C1A9F"/>
    <w:rsid w:val="003C1D3B"/>
    <w:rsid w:val="003C2362"/>
    <w:rsid w:val="003C3DE6"/>
    <w:rsid w:val="003C456B"/>
    <w:rsid w:val="003C5F28"/>
    <w:rsid w:val="003D09E2"/>
    <w:rsid w:val="003D11A9"/>
    <w:rsid w:val="003D2A37"/>
    <w:rsid w:val="003D30F3"/>
    <w:rsid w:val="003D69EF"/>
    <w:rsid w:val="003D6F9F"/>
    <w:rsid w:val="003D7F8C"/>
    <w:rsid w:val="003E0EDB"/>
    <w:rsid w:val="003E218C"/>
    <w:rsid w:val="003E6475"/>
    <w:rsid w:val="003F105A"/>
    <w:rsid w:val="003F283D"/>
    <w:rsid w:val="003F6199"/>
    <w:rsid w:val="0040132E"/>
    <w:rsid w:val="004033BF"/>
    <w:rsid w:val="004073EF"/>
    <w:rsid w:val="00411717"/>
    <w:rsid w:val="004124A5"/>
    <w:rsid w:val="00417AD2"/>
    <w:rsid w:val="00421450"/>
    <w:rsid w:val="00423A55"/>
    <w:rsid w:val="00423BB8"/>
    <w:rsid w:val="00425AA0"/>
    <w:rsid w:val="004277E5"/>
    <w:rsid w:val="00427E55"/>
    <w:rsid w:val="004339D8"/>
    <w:rsid w:val="00435240"/>
    <w:rsid w:val="00436A37"/>
    <w:rsid w:val="00437407"/>
    <w:rsid w:val="00437BB5"/>
    <w:rsid w:val="00440E08"/>
    <w:rsid w:val="004416CF"/>
    <w:rsid w:val="00444976"/>
    <w:rsid w:val="00453167"/>
    <w:rsid w:val="00453284"/>
    <w:rsid w:val="00453BAE"/>
    <w:rsid w:val="00453D59"/>
    <w:rsid w:val="004542CB"/>
    <w:rsid w:val="00454493"/>
    <w:rsid w:val="004566D6"/>
    <w:rsid w:val="004578B1"/>
    <w:rsid w:val="00457E75"/>
    <w:rsid w:val="004619BB"/>
    <w:rsid w:val="00462223"/>
    <w:rsid w:val="00462515"/>
    <w:rsid w:val="00462986"/>
    <w:rsid w:val="00465D3F"/>
    <w:rsid w:val="0046621E"/>
    <w:rsid w:val="00467900"/>
    <w:rsid w:val="00471BB4"/>
    <w:rsid w:val="00472809"/>
    <w:rsid w:val="00472D4D"/>
    <w:rsid w:val="004737F9"/>
    <w:rsid w:val="00475482"/>
    <w:rsid w:val="004805A4"/>
    <w:rsid w:val="0048281D"/>
    <w:rsid w:val="00487234"/>
    <w:rsid w:val="00490415"/>
    <w:rsid w:val="00490F5C"/>
    <w:rsid w:val="004919DD"/>
    <w:rsid w:val="00494F7C"/>
    <w:rsid w:val="0049548D"/>
    <w:rsid w:val="00496C30"/>
    <w:rsid w:val="004A2DF5"/>
    <w:rsid w:val="004A31FE"/>
    <w:rsid w:val="004A3D1D"/>
    <w:rsid w:val="004A4EF3"/>
    <w:rsid w:val="004A51A5"/>
    <w:rsid w:val="004A5CD5"/>
    <w:rsid w:val="004B07E9"/>
    <w:rsid w:val="004B25FF"/>
    <w:rsid w:val="004B2AE2"/>
    <w:rsid w:val="004B3C00"/>
    <w:rsid w:val="004B612B"/>
    <w:rsid w:val="004C3B82"/>
    <w:rsid w:val="004D1006"/>
    <w:rsid w:val="004D1358"/>
    <w:rsid w:val="004D1751"/>
    <w:rsid w:val="004D1961"/>
    <w:rsid w:val="004D300E"/>
    <w:rsid w:val="004D3EDD"/>
    <w:rsid w:val="004D45DF"/>
    <w:rsid w:val="004D5774"/>
    <w:rsid w:val="004D61C4"/>
    <w:rsid w:val="004D6796"/>
    <w:rsid w:val="004D6DF2"/>
    <w:rsid w:val="004E0C0B"/>
    <w:rsid w:val="004E154E"/>
    <w:rsid w:val="004E2125"/>
    <w:rsid w:val="004E2DCD"/>
    <w:rsid w:val="004E420F"/>
    <w:rsid w:val="004E514F"/>
    <w:rsid w:val="004E57F1"/>
    <w:rsid w:val="004F3688"/>
    <w:rsid w:val="004F3926"/>
    <w:rsid w:val="004F3AAE"/>
    <w:rsid w:val="004F4415"/>
    <w:rsid w:val="004F4BDE"/>
    <w:rsid w:val="004F5124"/>
    <w:rsid w:val="004F6163"/>
    <w:rsid w:val="004F7B89"/>
    <w:rsid w:val="004F7CAC"/>
    <w:rsid w:val="00500A88"/>
    <w:rsid w:val="00502310"/>
    <w:rsid w:val="0050372A"/>
    <w:rsid w:val="00504563"/>
    <w:rsid w:val="00504DB8"/>
    <w:rsid w:val="00507713"/>
    <w:rsid w:val="00511320"/>
    <w:rsid w:val="005143F9"/>
    <w:rsid w:val="00516566"/>
    <w:rsid w:val="005218C3"/>
    <w:rsid w:val="00525DF7"/>
    <w:rsid w:val="00527844"/>
    <w:rsid w:val="005307BC"/>
    <w:rsid w:val="00531787"/>
    <w:rsid w:val="00531C11"/>
    <w:rsid w:val="005329E5"/>
    <w:rsid w:val="00535C74"/>
    <w:rsid w:val="005361AB"/>
    <w:rsid w:val="00537E02"/>
    <w:rsid w:val="00540ACD"/>
    <w:rsid w:val="00541D43"/>
    <w:rsid w:val="00542068"/>
    <w:rsid w:val="0054268A"/>
    <w:rsid w:val="00543AF9"/>
    <w:rsid w:val="005509FA"/>
    <w:rsid w:val="00550B0F"/>
    <w:rsid w:val="00552914"/>
    <w:rsid w:val="00554030"/>
    <w:rsid w:val="0055532F"/>
    <w:rsid w:val="005558A9"/>
    <w:rsid w:val="00555F84"/>
    <w:rsid w:val="005571C7"/>
    <w:rsid w:val="00561D24"/>
    <w:rsid w:val="00562392"/>
    <w:rsid w:val="00573964"/>
    <w:rsid w:val="00574848"/>
    <w:rsid w:val="00576ADE"/>
    <w:rsid w:val="00577AA5"/>
    <w:rsid w:val="00577CFD"/>
    <w:rsid w:val="00577DEF"/>
    <w:rsid w:val="00583050"/>
    <w:rsid w:val="005834B6"/>
    <w:rsid w:val="00587023"/>
    <w:rsid w:val="00592174"/>
    <w:rsid w:val="005923E2"/>
    <w:rsid w:val="005924A7"/>
    <w:rsid w:val="005948F6"/>
    <w:rsid w:val="00595C3D"/>
    <w:rsid w:val="00595F98"/>
    <w:rsid w:val="0059602B"/>
    <w:rsid w:val="00596934"/>
    <w:rsid w:val="00596964"/>
    <w:rsid w:val="005971A9"/>
    <w:rsid w:val="00597972"/>
    <w:rsid w:val="005A09F8"/>
    <w:rsid w:val="005A2381"/>
    <w:rsid w:val="005A34F0"/>
    <w:rsid w:val="005A3507"/>
    <w:rsid w:val="005A5197"/>
    <w:rsid w:val="005B0B30"/>
    <w:rsid w:val="005B2C50"/>
    <w:rsid w:val="005B2E32"/>
    <w:rsid w:val="005B6B11"/>
    <w:rsid w:val="005C0D97"/>
    <w:rsid w:val="005C3BD2"/>
    <w:rsid w:val="005C6285"/>
    <w:rsid w:val="005D2BC2"/>
    <w:rsid w:val="005D5A3A"/>
    <w:rsid w:val="005D5BA1"/>
    <w:rsid w:val="005D622E"/>
    <w:rsid w:val="005D6C13"/>
    <w:rsid w:val="005E1217"/>
    <w:rsid w:val="005E2E0B"/>
    <w:rsid w:val="005E49B2"/>
    <w:rsid w:val="005E75D7"/>
    <w:rsid w:val="005F0AE8"/>
    <w:rsid w:val="005F15F8"/>
    <w:rsid w:val="005F2352"/>
    <w:rsid w:val="005F2A6B"/>
    <w:rsid w:val="005F40C1"/>
    <w:rsid w:val="005F6210"/>
    <w:rsid w:val="006024D3"/>
    <w:rsid w:val="00604104"/>
    <w:rsid w:val="00606EF9"/>
    <w:rsid w:val="0060706A"/>
    <w:rsid w:val="006070C4"/>
    <w:rsid w:val="00607758"/>
    <w:rsid w:val="0061080E"/>
    <w:rsid w:val="00610D5E"/>
    <w:rsid w:val="006110E8"/>
    <w:rsid w:val="00613467"/>
    <w:rsid w:val="00613A3E"/>
    <w:rsid w:val="00614676"/>
    <w:rsid w:val="00616C46"/>
    <w:rsid w:val="00616E2A"/>
    <w:rsid w:val="0062079D"/>
    <w:rsid w:val="006210CA"/>
    <w:rsid w:val="006235CA"/>
    <w:rsid w:val="00624315"/>
    <w:rsid w:val="0062545B"/>
    <w:rsid w:val="0062552A"/>
    <w:rsid w:val="00626D80"/>
    <w:rsid w:val="00627336"/>
    <w:rsid w:val="0063060E"/>
    <w:rsid w:val="006310B3"/>
    <w:rsid w:val="006332BE"/>
    <w:rsid w:val="00634E4E"/>
    <w:rsid w:val="00637433"/>
    <w:rsid w:val="006408C3"/>
    <w:rsid w:val="00641A74"/>
    <w:rsid w:val="00644097"/>
    <w:rsid w:val="00644DF2"/>
    <w:rsid w:val="00645367"/>
    <w:rsid w:val="0064620D"/>
    <w:rsid w:val="006514DC"/>
    <w:rsid w:val="00651937"/>
    <w:rsid w:val="00655359"/>
    <w:rsid w:val="006575CB"/>
    <w:rsid w:val="00657754"/>
    <w:rsid w:val="00657C2E"/>
    <w:rsid w:val="00660814"/>
    <w:rsid w:val="00661286"/>
    <w:rsid w:val="00661EE8"/>
    <w:rsid w:val="00662DFF"/>
    <w:rsid w:val="006639D0"/>
    <w:rsid w:val="00664356"/>
    <w:rsid w:val="00664573"/>
    <w:rsid w:val="0066665F"/>
    <w:rsid w:val="0066672C"/>
    <w:rsid w:val="00666E20"/>
    <w:rsid w:val="00670DEF"/>
    <w:rsid w:val="00672120"/>
    <w:rsid w:val="0067537C"/>
    <w:rsid w:val="00682B26"/>
    <w:rsid w:val="006842A7"/>
    <w:rsid w:val="006851B9"/>
    <w:rsid w:val="00687AD7"/>
    <w:rsid w:val="00691913"/>
    <w:rsid w:val="00692C00"/>
    <w:rsid w:val="00692FB3"/>
    <w:rsid w:val="0069388D"/>
    <w:rsid w:val="006A01F7"/>
    <w:rsid w:val="006A138B"/>
    <w:rsid w:val="006A7322"/>
    <w:rsid w:val="006A74D4"/>
    <w:rsid w:val="006B140A"/>
    <w:rsid w:val="006B24AC"/>
    <w:rsid w:val="006B497C"/>
    <w:rsid w:val="006C0A15"/>
    <w:rsid w:val="006C21FF"/>
    <w:rsid w:val="006C2665"/>
    <w:rsid w:val="006C4906"/>
    <w:rsid w:val="006C5740"/>
    <w:rsid w:val="006C619C"/>
    <w:rsid w:val="006C6419"/>
    <w:rsid w:val="006C7AD6"/>
    <w:rsid w:val="006D3271"/>
    <w:rsid w:val="006D4CD2"/>
    <w:rsid w:val="006D52EB"/>
    <w:rsid w:val="006D5F25"/>
    <w:rsid w:val="006E1982"/>
    <w:rsid w:val="006E504F"/>
    <w:rsid w:val="006E5DE1"/>
    <w:rsid w:val="006E7302"/>
    <w:rsid w:val="006F0C3D"/>
    <w:rsid w:val="006F161E"/>
    <w:rsid w:val="006F1AD7"/>
    <w:rsid w:val="006F1C2A"/>
    <w:rsid w:val="006F21CC"/>
    <w:rsid w:val="006F37E8"/>
    <w:rsid w:val="006F4817"/>
    <w:rsid w:val="006F7B6D"/>
    <w:rsid w:val="0070328D"/>
    <w:rsid w:val="00707082"/>
    <w:rsid w:val="007077D2"/>
    <w:rsid w:val="0071242D"/>
    <w:rsid w:val="007126C5"/>
    <w:rsid w:val="00712C73"/>
    <w:rsid w:val="007159D8"/>
    <w:rsid w:val="007203AC"/>
    <w:rsid w:val="00723016"/>
    <w:rsid w:val="00723AB1"/>
    <w:rsid w:val="00723E1E"/>
    <w:rsid w:val="0072660D"/>
    <w:rsid w:val="007322B4"/>
    <w:rsid w:val="00736E9C"/>
    <w:rsid w:val="00740168"/>
    <w:rsid w:val="00742D7F"/>
    <w:rsid w:val="007443CC"/>
    <w:rsid w:val="00747333"/>
    <w:rsid w:val="007509A6"/>
    <w:rsid w:val="00750B5A"/>
    <w:rsid w:val="00751984"/>
    <w:rsid w:val="007557FF"/>
    <w:rsid w:val="00761A68"/>
    <w:rsid w:val="007633B0"/>
    <w:rsid w:val="00764992"/>
    <w:rsid w:val="007669EE"/>
    <w:rsid w:val="00766DFC"/>
    <w:rsid w:val="00770379"/>
    <w:rsid w:val="007715D2"/>
    <w:rsid w:val="00772501"/>
    <w:rsid w:val="00772C70"/>
    <w:rsid w:val="00776BE2"/>
    <w:rsid w:val="007776CF"/>
    <w:rsid w:val="00781003"/>
    <w:rsid w:val="007814F3"/>
    <w:rsid w:val="00782E0E"/>
    <w:rsid w:val="00783B37"/>
    <w:rsid w:val="00783DF8"/>
    <w:rsid w:val="007847FA"/>
    <w:rsid w:val="0078569C"/>
    <w:rsid w:val="00790910"/>
    <w:rsid w:val="00791DE1"/>
    <w:rsid w:val="00792471"/>
    <w:rsid w:val="00792E1E"/>
    <w:rsid w:val="007966D5"/>
    <w:rsid w:val="007A1941"/>
    <w:rsid w:val="007A3A8C"/>
    <w:rsid w:val="007A3EB1"/>
    <w:rsid w:val="007A49D6"/>
    <w:rsid w:val="007A5438"/>
    <w:rsid w:val="007B0E0C"/>
    <w:rsid w:val="007B5D23"/>
    <w:rsid w:val="007C0D5A"/>
    <w:rsid w:val="007C26E5"/>
    <w:rsid w:val="007C61B6"/>
    <w:rsid w:val="007C720A"/>
    <w:rsid w:val="007C76F6"/>
    <w:rsid w:val="007D040B"/>
    <w:rsid w:val="007D1092"/>
    <w:rsid w:val="007D1BEB"/>
    <w:rsid w:val="007D2621"/>
    <w:rsid w:val="007D2FE2"/>
    <w:rsid w:val="007E167B"/>
    <w:rsid w:val="007E3562"/>
    <w:rsid w:val="007E35D2"/>
    <w:rsid w:val="007E5E04"/>
    <w:rsid w:val="007E7AF2"/>
    <w:rsid w:val="007E7D63"/>
    <w:rsid w:val="007F08CA"/>
    <w:rsid w:val="007F3B6E"/>
    <w:rsid w:val="007F4301"/>
    <w:rsid w:val="007F4B62"/>
    <w:rsid w:val="007F6126"/>
    <w:rsid w:val="007F69C5"/>
    <w:rsid w:val="007F73DA"/>
    <w:rsid w:val="00801C65"/>
    <w:rsid w:val="008034EB"/>
    <w:rsid w:val="00804088"/>
    <w:rsid w:val="0080526F"/>
    <w:rsid w:val="008055F9"/>
    <w:rsid w:val="008057C4"/>
    <w:rsid w:val="00805869"/>
    <w:rsid w:val="008058E8"/>
    <w:rsid w:val="00806434"/>
    <w:rsid w:val="008075DA"/>
    <w:rsid w:val="00810516"/>
    <w:rsid w:val="00812133"/>
    <w:rsid w:val="00813288"/>
    <w:rsid w:val="00820E42"/>
    <w:rsid w:val="00821138"/>
    <w:rsid w:val="00821A29"/>
    <w:rsid w:val="0082296F"/>
    <w:rsid w:val="00823233"/>
    <w:rsid w:val="00824426"/>
    <w:rsid w:val="00830E52"/>
    <w:rsid w:val="008324E3"/>
    <w:rsid w:val="00832705"/>
    <w:rsid w:val="0083405E"/>
    <w:rsid w:val="008345FE"/>
    <w:rsid w:val="00834DD9"/>
    <w:rsid w:val="00836E8D"/>
    <w:rsid w:val="00844B31"/>
    <w:rsid w:val="00845946"/>
    <w:rsid w:val="00846988"/>
    <w:rsid w:val="00847076"/>
    <w:rsid w:val="008476A0"/>
    <w:rsid w:val="00852F38"/>
    <w:rsid w:val="00854C36"/>
    <w:rsid w:val="00856C34"/>
    <w:rsid w:val="00861A25"/>
    <w:rsid w:val="00862642"/>
    <w:rsid w:val="008644C7"/>
    <w:rsid w:val="008649B0"/>
    <w:rsid w:val="00864BCC"/>
    <w:rsid w:val="008658EB"/>
    <w:rsid w:val="00865DC1"/>
    <w:rsid w:val="00870089"/>
    <w:rsid w:val="00872B51"/>
    <w:rsid w:val="0087391B"/>
    <w:rsid w:val="00873C42"/>
    <w:rsid w:val="0087408E"/>
    <w:rsid w:val="008750F9"/>
    <w:rsid w:val="00875341"/>
    <w:rsid w:val="0087536F"/>
    <w:rsid w:val="008801C7"/>
    <w:rsid w:val="00880A40"/>
    <w:rsid w:val="00883D60"/>
    <w:rsid w:val="00885D35"/>
    <w:rsid w:val="00886181"/>
    <w:rsid w:val="008869F4"/>
    <w:rsid w:val="00890774"/>
    <w:rsid w:val="00893EEF"/>
    <w:rsid w:val="008A0A39"/>
    <w:rsid w:val="008A3C58"/>
    <w:rsid w:val="008A480D"/>
    <w:rsid w:val="008A4880"/>
    <w:rsid w:val="008A4BD6"/>
    <w:rsid w:val="008A4F43"/>
    <w:rsid w:val="008A52B1"/>
    <w:rsid w:val="008A6790"/>
    <w:rsid w:val="008A6889"/>
    <w:rsid w:val="008B20FC"/>
    <w:rsid w:val="008B4418"/>
    <w:rsid w:val="008B5B32"/>
    <w:rsid w:val="008C0196"/>
    <w:rsid w:val="008C07FB"/>
    <w:rsid w:val="008C6EDD"/>
    <w:rsid w:val="008C705B"/>
    <w:rsid w:val="008C740E"/>
    <w:rsid w:val="008D2DDE"/>
    <w:rsid w:val="008D2F3E"/>
    <w:rsid w:val="008D31C0"/>
    <w:rsid w:val="008D3621"/>
    <w:rsid w:val="008D562A"/>
    <w:rsid w:val="008D703C"/>
    <w:rsid w:val="008D78FF"/>
    <w:rsid w:val="008E0A82"/>
    <w:rsid w:val="008E2268"/>
    <w:rsid w:val="008E6D99"/>
    <w:rsid w:val="008F0C68"/>
    <w:rsid w:val="008F18A0"/>
    <w:rsid w:val="008F4F1F"/>
    <w:rsid w:val="00907637"/>
    <w:rsid w:val="00911EA2"/>
    <w:rsid w:val="00914DA7"/>
    <w:rsid w:val="00915F63"/>
    <w:rsid w:val="009166AE"/>
    <w:rsid w:val="00916C0D"/>
    <w:rsid w:val="009177E9"/>
    <w:rsid w:val="00925B46"/>
    <w:rsid w:val="00925D12"/>
    <w:rsid w:val="0092606A"/>
    <w:rsid w:val="00927669"/>
    <w:rsid w:val="00927D93"/>
    <w:rsid w:val="00930CCF"/>
    <w:rsid w:val="0093239F"/>
    <w:rsid w:val="009331CF"/>
    <w:rsid w:val="009334AC"/>
    <w:rsid w:val="00933F4A"/>
    <w:rsid w:val="00934746"/>
    <w:rsid w:val="00937D05"/>
    <w:rsid w:val="00937D40"/>
    <w:rsid w:val="00937D55"/>
    <w:rsid w:val="00942010"/>
    <w:rsid w:val="0094320A"/>
    <w:rsid w:val="00945ABE"/>
    <w:rsid w:val="0094616D"/>
    <w:rsid w:val="0095170D"/>
    <w:rsid w:val="009520DF"/>
    <w:rsid w:val="0095307F"/>
    <w:rsid w:val="00955526"/>
    <w:rsid w:val="00956AAF"/>
    <w:rsid w:val="00957C44"/>
    <w:rsid w:val="0096152D"/>
    <w:rsid w:val="00966A2D"/>
    <w:rsid w:val="00966C09"/>
    <w:rsid w:val="00966D93"/>
    <w:rsid w:val="0096796F"/>
    <w:rsid w:val="00971905"/>
    <w:rsid w:val="00976C44"/>
    <w:rsid w:val="00980B10"/>
    <w:rsid w:val="009813A5"/>
    <w:rsid w:val="009818C2"/>
    <w:rsid w:val="00981EB9"/>
    <w:rsid w:val="00982834"/>
    <w:rsid w:val="0098293F"/>
    <w:rsid w:val="00984441"/>
    <w:rsid w:val="009844CF"/>
    <w:rsid w:val="00984DD8"/>
    <w:rsid w:val="009858B5"/>
    <w:rsid w:val="00985CFC"/>
    <w:rsid w:val="00987D67"/>
    <w:rsid w:val="0099085F"/>
    <w:rsid w:val="009925DB"/>
    <w:rsid w:val="00993CC9"/>
    <w:rsid w:val="009972E3"/>
    <w:rsid w:val="00997338"/>
    <w:rsid w:val="009A044E"/>
    <w:rsid w:val="009A1059"/>
    <w:rsid w:val="009A1684"/>
    <w:rsid w:val="009A28F0"/>
    <w:rsid w:val="009A6EA3"/>
    <w:rsid w:val="009A6F74"/>
    <w:rsid w:val="009B2AC6"/>
    <w:rsid w:val="009B376D"/>
    <w:rsid w:val="009B37C4"/>
    <w:rsid w:val="009B435C"/>
    <w:rsid w:val="009B5270"/>
    <w:rsid w:val="009C238F"/>
    <w:rsid w:val="009C2DB1"/>
    <w:rsid w:val="009C47EC"/>
    <w:rsid w:val="009C4E82"/>
    <w:rsid w:val="009D0A6A"/>
    <w:rsid w:val="009D3628"/>
    <w:rsid w:val="009D379F"/>
    <w:rsid w:val="009D4C2A"/>
    <w:rsid w:val="009D6914"/>
    <w:rsid w:val="009E1C22"/>
    <w:rsid w:val="009E2481"/>
    <w:rsid w:val="009E3172"/>
    <w:rsid w:val="009E791F"/>
    <w:rsid w:val="009E799D"/>
    <w:rsid w:val="009F0919"/>
    <w:rsid w:val="009F3631"/>
    <w:rsid w:val="009F3790"/>
    <w:rsid w:val="009F37BD"/>
    <w:rsid w:val="009F3C06"/>
    <w:rsid w:val="009F7CEB"/>
    <w:rsid w:val="00A01D99"/>
    <w:rsid w:val="00A01FDC"/>
    <w:rsid w:val="00A03F80"/>
    <w:rsid w:val="00A040FD"/>
    <w:rsid w:val="00A0426A"/>
    <w:rsid w:val="00A0438C"/>
    <w:rsid w:val="00A04C0D"/>
    <w:rsid w:val="00A07A7F"/>
    <w:rsid w:val="00A10CBF"/>
    <w:rsid w:val="00A12983"/>
    <w:rsid w:val="00A170A1"/>
    <w:rsid w:val="00A20B1A"/>
    <w:rsid w:val="00A22A39"/>
    <w:rsid w:val="00A329A5"/>
    <w:rsid w:val="00A34BAF"/>
    <w:rsid w:val="00A41CCA"/>
    <w:rsid w:val="00A41E5D"/>
    <w:rsid w:val="00A43DBA"/>
    <w:rsid w:val="00A4539A"/>
    <w:rsid w:val="00A47A66"/>
    <w:rsid w:val="00A535FB"/>
    <w:rsid w:val="00A53C57"/>
    <w:rsid w:val="00A6374D"/>
    <w:rsid w:val="00A7036F"/>
    <w:rsid w:val="00A70C39"/>
    <w:rsid w:val="00A72FFA"/>
    <w:rsid w:val="00A75434"/>
    <w:rsid w:val="00A81A79"/>
    <w:rsid w:val="00A81F82"/>
    <w:rsid w:val="00A82BBD"/>
    <w:rsid w:val="00A841B0"/>
    <w:rsid w:val="00A85A2B"/>
    <w:rsid w:val="00A90A5B"/>
    <w:rsid w:val="00A9171A"/>
    <w:rsid w:val="00A91B6E"/>
    <w:rsid w:val="00A93543"/>
    <w:rsid w:val="00A94EFC"/>
    <w:rsid w:val="00A96EA1"/>
    <w:rsid w:val="00AA1681"/>
    <w:rsid w:val="00AA1BC9"/>
    <w:rsid w:val="00AA2FA1"/>
    <w:rsid w:val="00AA51C1"/>
    <w:rsid w:val="00AA6156"/>
    <w:rsid w:val="00AA73AC"/>
    <w:rsid w:val="00AA7931"/>
    <w:rsid w:val="00AA7B77"/>
    <w:rsid w:val="00AB0D03"/>
    <w:rsid w:val="00AB187A"/>
    <w:rsid w:val="00AB1F33"/>
    <w:rsid w:val="00AB3709"/>
    <w:rsid w:val="00AB39A5"/>
    <w:rsid w:val="00AB514A"/>
    <w:rsid w:val="00AB771C"/>
    <w:rsid w:val="00AC2C70"/>
    <w:rsid w:val="00AC409B"/>
    <w:rsid w:val="00AC455C"/>
    <w:rsid w:val="00AC50E3"/>
    <w:rsid w:val="00AC5794"/>
    <w:rsid w:val="00AC5B00"/>
    <w:rsid w:val="00AD14D4"/>
    <w:rsid w:val="00AD51C9"/>
    <w:rsid w:val="00AD67DE"/>
    <w:rsid w:val="00AD7011"/>
    <w:rsid w:val="00AE242E"/>
    <w:rsid w:val="00AE2A68"/>
    <w:rsid w:val="00AE513E"/>
    <w:rsid w:val="00AE5712"/>
    <w:rsid w:val="00AE72A9"/>
    <w:rsid w:val="00AE7AA8"/>
    <w:rsid w:val="00AF0DF9"/>
    <w:rsid w:val="00AF1374"/>
    <w:rsid w:val="00AF13B5"/>
    <w:rsid w:val="00AF3BC8"/>
    <w:rsid w:val="00AF4BE4"/>
    <w:rsid w:val="00AF6940"/>
    <w:rsid w:val="00B01E98"/>
    <w:rsid w:val="00B030F5"/>
    <w:rsid w:val="00B05A6C"/>
    <w:rsid w:val="00B11EA0"/>
    <w:rsid w:val="00B145BC"/>
    <w:rsid w:val="00B17454"/>
    <w:rsid w:val="00B17FDB"/>
    <w:rsid w:val="00B21BB1"/>
    <w:rsid w:val="00B24866"/>
    <w:rsid w:val="00B25D68"/>
    <w:rsid w:val="00B2777B"/>
    <w:rsid w:val="00B33CF1"/>
    <w:rsid w:val="00B344C2"/>
    <w:rsid w:val="00B40658"/>
    <w:rsid w:val="00B40C04"/>
    <w:rsid w:val="00B42CAE"/>
    <w:rsid w:val="00B435B9"/>
    <w:rsid w:val="00B45483"/>
    <w:rsid w:val="00B516B8"/>
    <w:rsid w:val="00B539FB"/>
    <w:rsid w:val="00B5543E"/>
    <w:rsid w:val="00B5589D"/>
    <w:rsid w:val="00B56244"/>
    <w:rsid w:val="00B5695D"/>
    <w:rsid w:val="00B56C64"/>
    <w:rsid w:val="00B60403"/>
    <w:rsid w:val="00B6367E"/>
    <w:rsid w:val="00B63B06"/>
    <w:rsid w:val="00B6660B"/>
    <w:rsid w:val="00B66C37"/>
    <w:rsid w:val="00B6703D"/>
    <w:rsid w:val="00B67119"/>
    <w:rsid w:val="00B71675"/>
    <w:rsid w:val="00B71B62"/>
    <w:rsid w:val="00B71CC5"/>
    <w:rsid w:val="00B75BC0"/>
    <w:rsid w:val="00B7796D"/>
    <w:rsid w:val="00B80865"/>
    <w:rsid w:val="00B80B83"/>
    <w:rsid w:val="00B811FB"/>
    <w:rsid w:val="00B81A5A"/>
    <w:rsid w:val="00B82C6A"/>
    <w:rsid w:val="00B855D2"/>
    <w:rsid w:val="00B863A0"/>
    <w:rsid w:val="00B90406"/>
    <w:rsid w:val="00B90752"/>
    <w:rsid w:val="00B90EFE"/>
    <w:rsid w:val="00B915D3"/>
    <w:rsid w:val="00B9276E"/>
    <w:rsid w:val="00B97B80"/>
    <w:rsid w:val="00BA01AB"/>
    <w:rsid w:val="00BA3306"/>
    <w:rsid w:val="00BA73EE"/>
    <w:rsid w:val="00BA7478"/>
    <w:rsid w:val="00BB365D"/>
    <w:rsid w:val="00BB367E"/>
    <w:rsid w:val="00BB4F2D"/>
    <w:rsid w:val="00BB7664"/>
    <w:rsid w:val="00BC2E1C"/>
    <w:rsid w:val="00BC7FCB"/>
    <w:rsid w:val="00BD03EC"/>
    <w:rsid w:val="00BD3022"/>
    <w:rsid w:val="00BD66EF"/>
    <w:rsid w:val="00BE11BA"/>
    <w:rsid w:val="00BE3CAA"/>
    <w:rsid w:val="00BE3E5F"/>
    <w:rsid w:val="00BE4B16"/>
    <w:rsid w:val="00BE4F31"/>
    <w:rsid w:val="00BE583A"/>
    <w:rsid w:val="00BE5EE6"/>
    <w:rsid w:val="00BE64FE"/>
    <w:rsid w:val="00BF1718"/>
    <w:rsid w:val="00BF21B3"/>
    <w:rsid w:val="00BF3535"/>
    <w:rsid w:val="00C01DCA"/>
    <w:rsid w:val="00C024FE"/>
    <w:rsid w:val="00C027F7"/>
    <w:rsid w:val="00C06418"/>
    <w:rsid w:val="00C0648E"/>
    <w:rsid w:val="00C07417"/>
    <w:rsid w:val="00C07BBA"/>
    <w:rsid w:val="00C104C2"/>
    <w:rsid w:val="00C11033"/>
    <w:rsid w:val="00C110C7"/>
    <w:rsid w:val="00C113A8"/>
    <w:rsid w:val="00C1390A"/>
    <w:rsid w:val="00C16362"/>
    <w:rsid w:val="00C17AE6"/>
    <w:rsid w:val="00C222FE"/>
    <w:rsid w:val="00C23FEA"/>
    <w:rsid w:val="00C2590A"/>
    <w:rsid w:val="00C3094D"/>
    <w:rsid w:val="00C30B4C"/>
    <w:rsid w:val="00C317F3"/>
    <w:rsid w:val="00C325F0"/>
    <w:rsid w:val="00C32E67"/>
    <w:rsid w:val="00C35C12"/>
    <w:rsid w:val="00C42509"/>
    <w:rsid w:val="00C43907"/>
    <w:rsid w:val="00C44C37"/>
    <w:rsid w:val="00C455DF"/>
    <w:rsid w:val="00C4640A"/>
    <w:rsid w:val="00C46AE5"/>
    <w:rsid w:val="00C47654"/>
    <w:rsid w:val="00C47869"/>
    <w:rsid w:val="00C51B84"/>
    <w:rsid w:val="00C5218A"/>
    <w:rsid w:val="00C52ACF"/>
    <w:rsid w:val="00C55C82"/>
    <w:rsid w:val="00C55D14"/>
    <w:rsid w:val="00C57E4D"/>
    <w:rsid w:val="00C626E2"/>
    <w:rsid w:val="00C628C8"/>
    <w:rsid w:val="00C64A96"/>
    <w:rsid w:val="00C65A3E"/>
    <w:rsid w:val="00C6682A"/>
    <w:rsid w:val="00C668DB"/>
    <w:rsid w:val="00C7385D"/>
    <w:rsid w:val="00C73DF4"/>
    <w:rsid w:val="00C73E49"/>
    <w:rsid w:val="00C7519E"/>
    <w:rsid w:val="00C772AF"/>
    <w:rsid w:val="00C7744F"/>
    <w:rsid w:val="00C77941"/>
    <w:rsid w:val="00C77B89"/>
    <w:rsid w:val="00C81A12"/>
    <w:rsid w:val="00C83892"/>
    <w:rsid w:val="00C846BE"/>
    <w:rsid w:val="00C85439"/>
    <w:rsid w:val="00C86C3E"/>
    <w:rsid w:val="00C903D9"/>
    <w:rsid w:val="00C92AA0"/>
    <w:rsid w:val="00C940B6"/>
    <w:rsid w:val="00C963DE"/>
    <w:rsid w:val="00C977AC"/>
    <w:rsid w:val="00CA0C26"/>
    <w:rsid w:val="00CA1B41"/>
    <w:rsid w:val="00CA1B69"/>
    <w:rsid w:val="00CA1CBA"/>
    <w:rsid w:val="00CA55DE"/>
    <w:rsid w:val="00CB07A8"/>
    <w:rsid w:val="00CB140C"/>
    <w:rsid w:val="00CB14A1"/>
    <w:rsid w:val="00CB285E"/>
    <w:rsid w:val="00CB3A7B"/>
    <w:rsid w:val="00CB5389"/>
    <w:rsid w:val="00CC10E1"/>
    <w:rsid w:val="00CC2BB7"/>
    <w:rsid w:val="00CC2EAA"/>
    <w:rsid w:val="00CD0A30"/>
    <w:rsid w:val="00CD12E3"/>
    <w:rsid w:val="00CD1703"/>
    <w:rsid w:val="00CD62CC"/>
    <w:rsid w:val="00CD6327"/>
    <w:rsid w:val="00CE1EE1"/>
    <w:rsid w:val="00CE2B78"/>
    <w:rsid w:val="00CE2BD1"/>
    <w:rsid w:val="00CE74A3"/>
    <w:rsid w:val="00CF0C40"/>
    <w:rsid w:val="00CF2771"/>
    <w:rsid w:val="00CF3865"/>
    <w:rsid w:val="00CF4ED3"/>
    <w:rsid w:val="00CF6E70"/>
    <w:rsid w:val="00D007E5"/>
    <w:rsid w:val="00D0199B"/>
    <w:rsid w:val="00D0199C"/>
    <w:rsid w:val="00D01A5E"/>
    <w:rsid w:val="00D025EA"/>
    <w:rsid w:val="00D034DD"/>
    <w:rsid w:val="00D03D0C"/>
    <w:rsid w:val="00D04847"/>
    <w:rsid w:val="00D04952"/>
    <w:rsid w:val="00D060E0"/>
    <w:rsid w:val="00D06A16"/>
    <w:rsid w:val="00D1078F"/>
    <w:rsid w:val="00D10E60"/>
    <w:rsid w:val="00D1242E"/>
    <w:rsid w:val="00D1271C"/>
    <w:rsid w:val="00D12CD2"/>
    <w:rsid w:val="00D13B1D"/>
    <w:rsid w:val="00D141A9"/>
    <w:rsid w:val="00D14D23"/>
    <w:rsid w:val="00D15D8B"/>
    <w:rsid w:val="00D16DA6"/>
    <w:rsid w:val="00D17984"/>
    <w:rsid w:val="00D24DAD"/>
    <w:rsid w:val="00D2562F"/>
    <w:rsid w:val="00D25916"/>
    <w:rsid w:val="00D30856"/>
    <w:rsid w:val="00D308EB"/>
    <w:rsid w:val="00D30CF0"/>
    <w:rsid w:val="00D329E6"/>
    <w:rsid w:val="00D37972"/>
    <w:rsid w:val="00D40896"/>
    <w:rsid w:val="00D41534"/>
    <w:rsid w:val="00D42B73"/>
    <w:rsid w:val="00D451FC"/>
    <w:rsid w:val="00D45CB2"/>
    <w:rsid w:val="00D50D56"/>
    <w:rsid w:val="00D53D7C"/>
    <w:rsid w:val="00D54E8B"/>
    <w:rsid w:val="00D5572A"/>
    <w:rsid w:val="00D5608B"/>
    <w:rsid w:val="00D63C48"/>
    <w:rsid w:val="00D64289"/>
    <w:rsid w:val="00D65146"/>
    <w:rsid w:val="00D6667B"/>
    <w:rsid w:val="00D666A3"/>
    <w:rsid w:val="00D71400"/>
    <w:rsid w:val="00D724E8"/>
    <w:rsid w:val="00D72632"/>
    <w:rsid w:val="00D72C23"/>
    <w:rsid w:val="00D82E3E"/>
    <w:rsid w:val="00D830D7"/>
    <w:rsid w:val="00D8329E"/>
    <w:rsid w:val="00D83BAB"/>
    <w:rsid w:val="00D8435D"/>
    <w:rsid w:val="00D84DE0"/>
    <w:rsid w:val="00D85F2D"/>
    <w:rsid w:val="00D87DCB"/>
    <w:rsid w:val="00D90107"/>
    <w:rsid w:val="00D9039C"/>
    <w:rsid w:val="00D90671"/>
    <w:rsid w:val="00D92D4E"/>
    <w:rsid w:val="00D93490"/>
    <w:rsid w:val="00D93B4D"/>
    <w:rsid w:val="00D944B5"/>
    <w:rsid w:val="00D95394"/>
    <w:rsid w:val="00D9588E"/>
    <w:rsid w:val="00D970E7"/>
    <w:rsid w:val="00DA032B"/>
    <w:rsid w:val="00DA0456"/>
    <w:rsid w:val="00DA382D"/>
    <w:rsid w:val="00DA3B52"/>
    <w:rsid w:val="00DA55BB"/>
    <w:rsid w:val="00DA6984"/>
    <w:rsid w:val="00DA73EE"/>
    <w:rsid w:val="00DB2941"/>
    <w:rsid w:val="00DB347B"/>
    <w:rsid w:val="00DB3AE0"/>
    <w:rsid w:val="00DB4E5A"/>
    <w:rsid w:val="00DB5F38"/>
    <w:rsid w:val="00DB7C02"/>
    <w:rsid w:val="00DC1743"/>
    <w:rsid w:val="00DC1F73"/>
    <w:rsid w:val="00DC34D0"/>
    <w:rsid w:val="00DC4461"/>
    <w:rsid w:val="00DC4729"/>
    <w:rsid w:val="00DC4CC9"/>
    <w:rsid w:val="00DC625C"/>
    <w:rsid w:val="00DC7746"/>
    <w:rsid w:val="00DD0EEB"/>
    <w:rsid w:val="00DD0FF2"/>
    <w:rsid w:val="00DD145A"/>
    <w:rsid w:val="00DD1A94"/>
    <w:rsid w:val="00DD24BB"/>
    <w:rsid w:val="00DD265C"/>
    <w:rsid w:val="00DD3049"/>
    <w:rsid w:val="00DD6B36"/>
    <w:rsid w:val="00DD7EA3"/>
    <w:rsid w:val="00DE097B"/>
    <w:rsid w:val="00DE30E2"/>
    <w:rsid w:val="00DE3536"/>
    <w:rsid w:val="00DE3A9A"/>
    <w:rsid w:val="00DE4909"/>
    <w:rsid w:val="00DE6421"/>
    <w:rsid w:val="00DE68F0"/>
    <w:rsid w:val="00DF16C0"/>
    <w:rsid w:val="00DF318F"/>
    <w:rsid w:val="00DF389B"/>
    <w:rsid w:val="00DF548B"/>
    <w:rsid w:val="00DF6F2B"/>
    <w:rsid w:val="00DF7D4C"/>
    <w:rsid w:val="00E001AC"/>
    <w:rsid w:val="00E04E62"/>
    <w:rsid w:val="00E05FBC"/>
    <w:rsid w:val="00E10B7D"/>
    <w:rsid w:val="00E12F14"/>
    <w:rsid w:val="00E16558"/>
    <w:rsid w:val="00E2125B"/>
    <w:rsid w:val="00E227EA"/>
    <w:rsid w:val="00E23660"/>
    <w:rsid w:val="00E239B4"/>
    <w:rsid w:val="00E24104"/>
    <w:rsid w:val="00E2761D"/>
    <w:rsid w:val="00E3072C"/>
    <w:rsid w:val="00E31A1E"/>
    <w:rsid w:val="00E34484"/>
    <w:rsid w:val="00E366A3"/>
    <w:rsid w:val="00E36B6F"/>
    <w:rsid w:val="00E37424"/>
    <w:rsid w:val="00E4041E"/>
    <w:rsid w:val="00E41732"/>
    <w:rsid w:val="00E45180"/>
    <w:rsid w:val="00E45305"/>
    <w:rsid w:val="00E45699"/>
    <w:rsid w:val="00E4634C"/>
    <w:rsid w:val="00E46AC9"/>
    <w:rsid w:val="00E471ED"/>
    <w:rsid w:val="00E50D36"/>
    <w:rsid w:val="00E5389A"/>
    <w:rsid w:val="00E53DB6"/>
    <w:rsid w:val="00E54FB3"/>
    <w:rsid w:val="00E55904"/>
    <w:rsid w:val="00E55E72"/>
    <w:rsid w:val="00E61CFD"/>
    <w:rsid w:val="00E6500E"/>
    <w:rsid w:val="00E66614"/>
    <w:rsid w:val="00E66A62"/>
    <w:rsid w:val="00E719D5"/>
    <w:rsid w:val="00E7239C"/>
    <w:rsid w:val="00E7310D"/>
    <w:rsid w:val="00E773DF"/>
    <w:rsid w:val="00E77B80"/>
    <w:rsid w:val="00E815FE"/>
    <w:rsid w:val="00E81A91"/>
    <w:rsid w:val="00E8269B"/>
    <w:rsid w:val="00E84DB6"/>
    <w:rsid w:val="00E85405"/>
    <w:rsid w:val="00E930FA"/>
    <w:rsid w:val="00E9322B"/>
    <w:rsid w:val="00E95697"/>
    <w:rsid w:val="00E95DB1"/>
    <w:rsid w:val="00E96F1B"/>
    <w:rsid w:val="00EA0F82"/>
    <w:rsid w:val="00EA1B29"/>
    <w:rsid w:val="00EA32BC"/>
    <w:rsid w:val="00EA4672"/>
    <w:rsid w:val="00EA54D8"/>
    <w:rsid w:val="00EA6296"/>
    <w:rsid w:val="00EA66E6"/>
    <w:rsid w:val="00EB15D2"/>
    <w:rsid w:val="00EB2B6A"/>
    <w:rsid w:val="00EB3F3E"/>
    <w:rsid w:val="00EB426B"/>
    <w:rsid w:val="00EB44E2"/>
    <w:rsid w:val="00EB4D5B"/>
    <w:rsid w:val="00EB5E6D"/>
    <w:rsid w:val="00EC14ED"/>
    <w:rsid w:val="00EC460B"/>
    <w:rsid w:val="00EC4827"/>
    <w:rsid w:val="00EC7715"/>
    <w:rsid w:val="00ED2A35"/>
    <w:rsid w:val="00ED2F7A"/>
    <w:rsid w:val="00EE2FE9"/>
    <w:rsid w:val="00EE3D6F"/>
    <w:rsid w:val="00EE4BD7"/>
    <w:rsid w:val="00EF3278"/>
    <w:rsid w:val="00EF3A2C"/>
    <w:rsid w:val="00EF750A"/>
    <w:rsid w:val="00F02654"/>
    <w:rsid w:val="00F02E1E"/>
    <w:rsid w:val="00F043B4"/>
    <w:rsid w:val="00F049EC"/>
    <w:rsid w:val="00F11472"/>
    <w:rsid w:val="00F14815"/>
    <w:rsid w:val="00F14D64"/>
    <w:rsid w:val="00F16EDA"/>
    <w:rsid w:val="00F175FA"/>
    <w:rsid w:val="00F176AE"/>
    <w:rsid w:val="00F179D9"/>
    <w:rsid w:val="00F2178A"/>
    <w:rsid w:val="00F23F01"/>
    <w:rsid w:val="00F24638"/>
    <w:rsid w:val="00F25AC7"/>
    <w:rsid w:val="00F26B4B"/>
    <w:rsid w:val="00F2706C"/>
    <w:rsid w:val="00F27C39"/>
    <w:rsid w:val="00F3094A"/>
    <w:rsid w:val="00F3280F"/>
    <w:rsid w:val="00F32D23"/>
    <w:rsid w:val="00F3348E"/>
    <w:rsid w:val="00F419C5"/>
    <w:rsid w:val="00F44EFB"/>
    <w:rsid w:val="00F46174"/>
    <w:rsid w:val="00F50FD9"/>
    <w:rsid w:val="00F53501"/>
    <w:rsid w:val="00F54A73"/>
    <w:rsid w:val="00F561EC"/>
    <w:rsid w:val="00F56314"/>
    <w:rsid w:val="00F61187"/>
    <w:rsid w:val="00F651D8"/>
    <w:rsid w:val="00F71827"/>
    <w:rsid w:val="00F72B42"/>
    <w:rsid w:val="00F733F3"/>
    <w:rsid w:val="00F73A39"/>
    <w:rsid w:val="00F75A46"/>
    <w:rsid w:val="00F75D3A"/>
    <w:rsid w:val="00F80139"/>
    <w:rsid w:val="00F805E7"/>
    <w:rsid w:val="00F85B1B"/>
    <w:rsid w:val="00F87C31"/>
    <w:rsid w:val="00F9212E"/>
    <w:rsid w:val="00F950B8"/>
    <w:rsid w:val="00F9603F"/>
    <w:rsid w:val="00F97402"/>
    <w:rsid w:val="00F9783B"/>
    <w:rsid w:val="00F9783F"/>
    <w:rsid w:val="00FA0329"/>
    <w:rsid w:val="00FA0E24"/>
    <w:rsid w:val="00FA1B1E"/>
    <w:rsid w:val="00FB1506"/>
    <w:rsid w:val="00FB32F4"/>
    <w:rsid w:val="00FB366A"/>
    <w:rsid w:val="00FB57DB"/>
    <w:rsid w:val="00FB6238"/>
    <w:rsid w:val="00FB6E88"/>
    <w:rsid w:val="00FC06E3"/>
    <w:rsid w:val="00FC22AB"/>
    <w:rsid w:val="00FC30E0"/>
    <w:rsid w:val="00FC33EA"/>
    <w:rsid w:val="00FC4EA4"/>
    <w:rsid w:val="00FC594B"/>
    <w:rsid w:val="00FD05BF"/>
    <w:rsid w:val="00FD0DA5"/>
    <w:rsid w:val="00FD594D"/>
    <w:rsid w:val="00FD6510"/>
    <w:rsid w:val="00FD739E"/>
    <w:rsid w:val="00FD7841"/>
    <w:rsid w:val="00FE2074"/>
    <w:rsid w:val="00FE2431"/>
    <w:rsid w:val="00FE3067"/>
    <w:rsid w:val="00FE4C58"/>
    <w:rsid w:val="00FE4F93"/>
    <w:rsid w:val="00FE6746"/>
    <w:rsid w:val="00FE784A"/>
    <w:rsid w:val="00FF2550"/>
    <w:rsid w:val="00FF27F5"/>
    <w:rsid w:val="00FF4A15"/>
    <w:rsid w:val="00FF610D"/>
    <w:rsid w:val="00FF615A"/>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C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2"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29"/>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2"/>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3"/>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CB285E"/>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B285E"/>
    <w:rPr>
      <w:rFonts w:ascii="Lucida Grande" w:hAnsi="Lucida Grande" w:cs="Lucida Grande"/>
      <w:sz w:val="24"/>
      <w:szCs w:val="24"/>
    </w:rPr>
  </w:style>
  <w:style w:type="character" w:customStyle="1" w:styleId="TableTextChar0">
    <w:name w:val="TableText Char"/>
    <w:basedOn w:val="DefaultParagraphFont"/>
    <w:link w:val="TableText1"/>
    <w:uiPriority w:val="3"/>
    <w:rsid w:val="00CE2BD1"/>
    <w:rPr>
      <w:rFonts w:ascii="Arial Narrow" w:eastAsia="Times New Roman" w:hAnsi="Arial Narrow" w:cs="Arial Narrow"/>
      <w:sz w:val="20"/>
      <w:szCs w:val="20"/>
    </w:rPr>
  </w:style>
  <w:style w:type="paragraph" w:customStyle="1" w:styleId="PortraitHeader">
    <w:name w:val="Portrait Header"/>
    <w:basedOn w:val="Normal"/>
    <w:link w:val="PortraitHeaderChar"/>
    <w:uiPriority w:val="5"/>
    <w:qFormat/>
    <w:rsid w:val="00CE2BD1"/>
    <w:pPr>
      <w:pBdr>
        <w:bottom w:val="single" w:sz="4" w:space="1" w:color="auto"/>
      </w:pBdr>
      <w:tabs>
        <w:tab w:val="right" w:pos="9354"/>
      </w:tabs>
      <w:spacing w:before="0" w:after="240" w:line="288" w:lineRule="auto"/>
      <w:jc w:val="both"/>
    </w:pPr>
    <w:rPr>
      <w:rFonts w:ascii="Calibri" w:eastAsiaTheme="minorEastAsia" w:hAnsi="Calibri"/>
      <w:sz w:val="18"/>
      <w:szCs w:val="18"/>
      <w:lang w:eastAsia="zh-CN"/>
    </w:rPr>
  </w:style>
  <w:style w:type="character" w:customStyle="1" w:styleId="PortraitHeaderChar">
    <w:name w:val="Portrait Header Char"/>
    <w:basedOn w:val="DefaultParagraphFont"/>
    <w:link w:val="PortraitHeader"/>
    <w:uiPriority w:val="5"/>
    <w:rsid w:val="00CE2BD1"/>
    <w:rPr>
      <w:rFonts w:ascii="Calibri" w:eastAsiaTheme="minorEastAsia" w:hAnsi="Calibri"/>
      <w:sz w:val="18"/>
      <w:szCs w:val="18"/>
      <w:lang w:eastAsia="zh-CN"/>
    </w:rPr>
  </w:style>
  <w:style w:type="character" w:customStyle="1" w:styleId="apple-converted-space">
    <w:name w:val="apple-converted-space"/>
    <w:basedOn w:val="DefaultParagraphFont"/>
    <w:rsid w:val="0054268A"/>
  </w:style>
  <w:style w:type="paragraph" w:customStyle="1" w:styleId="Source">
    <w:name w:val="Source"/>
    <w:basedOn w:val="Normal"/>
    <w:link w:val="SourceChar1"/>
    <w:qFormat/>
    <w:rsid w:val="000D2C0B"/>
    <w:pPr>
      <w:tabs>
        <w:tab w:val="left" w:pos="1210"/>
      </w:tabs>
      <w:spacing w:before="0" w:after="0"/>
      <w:jc w:val="both"/>
    </w:pPr>
    <w:rPr>
      <w:rFonts w:ascii="Times New Roman" w:eastAsia="PMingLiU" w:hAnsi="Times New Roman" w:cs="Times New Roman"/>
      <w:sz w:val="22"/>
    </w:rPr>
  </w:style>
  <w:style w:type="character" w:customStyle="1" w:styleId="SourceChar1">
    <w:name w:val="Source Char1"/>
    <w:link w:val="Source"/>
    <w:rsid w:val="000D2C0B"/>
    <w:rPr>
      <w:rFonts w:ascii="Times New Roman" w:eastAsia="PMingLiU"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2"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29"/>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2"/>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3"/>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CB285E"/>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B285E"/>
    <w:rPr>
      <w:rFonts w:ascii="Lucida Grande" w:hAnsi="Lucida Grande" w:cs="Lucida Grande"/>
      <w:sz w:val="24"/>
      <w:szCs w:val="24"/>
    </w:rPr>
  </w:style>
  <w:style w:type="character" w:customStyle="1" w:styleId="TableTextChar0">
    <w:name w:val="TableText Char"/>
    <w:basedOn w:val="DefaultParagraphFont"/>
    <w:link w:val="TableText1"/>
    <w:uiPriority w:val="3"/>
    <w:rsid w:val="00CE2BD1"/>
    <w:rPr>
      <w:rFonts w:ascii="Arial Narrow" w:eastAsia="Times New Roman" w:hAnsi="Arial Narrow" w:cs="Arial Narrow"/>
      <w:sz w:val="20"/>
      <w:szCs w:val="20"/>
    </w:rPr>
  </w:style>
  <w:style w:type="paragraph" w:customStyle="1" w:styleId="PortraitHeader">
    <w:name w:val="Portrait Header"/>
    <w:basedOn w:val="Normal"/>
    <w:link w:val="PortraitHeaderChar"/>
    <w:uiPriority w:val="5"/>
    <w:qFormat/>
    <w:rsid w:val="00CE2BD1"/>
    <w:pPr>
      <w:pBdr>
        <w:bottom w:val="single" w:sz="4" w:space="1" w:color="auto"/>
      </w:pBdr>
      <w:tabs>
        <w:tab w:val="right" w:pos="9354"/>
      </w:tabs>
      <w:spacing w:before="0" w:after="240" w:line="288" w:lineRule="auto"/>
      <w:jc w:val="both"/>
    </w:pPr>
    <w:rPr>
      <w:rFonts w:ascii="Calibri" w:eastAsiaTheme="minorEastAsia" w:hAnsi="Calibri"/>
      <w:sz w:val="18"/>
      <w:szCs w:val="18"/>
      <w:lang w:eastAsia="zh-CN"/>
    </w:rPr>
  </w:style>
  <w:style w:type="character" w:customStyle="1" w:styleId="PortraitHeaderChar">
    <w:name w:val="Portrait Header Char"/>
    <w:basedOn w:val="DefaultParagraphFont"/>
    <w:link w:val="PortraitHeader"/>
    <w:uiPriority w:val="5"/>
    <w:rsid w:val="00CE2BD1"/>
    <w:rPr>
      <w:rFonts w:ascii="Calibri" w:eastAsiaTheme="minorEastAsia" w:hAnsi="Calibri"/>
      <w:sz w:val="18"/>
      <w:szCs w:val="18"/>
      <w:lang w:eastAsia="zh-CN"/>
    </w:rPr>
  </w:style>
  <w:style w:type="character" w:customStyle="1" w:styleId="apple-converted-space">
    <w:name w:val="apple-converted-space"/>
    <w:basedOn w:val="DefaultParagraphFont"/>
    <w:rsid w:val="0054268A"/>
  </w:style>
  <w:style w:type="paragraph" w:customStyle="1" w:styleId="Source">
    <w:name w:val="Source"/>
    <w:basedOn w:val="Normal"/>
    <w:link w:val="SourceChar1"/>
    <w:qFormat/>
    <w:rsid w:val="000D2C0B"/>
    <w:pPr>
      <w:tabs>
        <w:tab w:val="left" w:pos="1210"/>
      </w:tabs>
      <w:spacing w:before="0" w:after="0"/>
      <w:jc w:val="both"/>
    </w:pPr>
    <w:rPr>
      <w:rFonts w:ascii="Times New Roman" w:eastAsia="PMingLiU" w:hAnsi="Times New Roman" w:cs="Times New Roman"/>
      <w:sz w:val="22"/>
    </w:rPr>
  </w:style>
  <w:style w:type="character" w:customStyle="1" w:styleId="SourceChar1">
    <w:name w:val="Source Char1"/>
    <w:link w:val="Source"/>
    <w:rsid w:val="000D2C0B"/>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696">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670720385">
      <w:bodyDiv w:val="1"/>
      <w:marLeft w:val="0"/>
      <w:marRight w:val="0"/>
      <w:marTop w:val="0"/>
      <w:marBottom w:val="0"/>
      <w:divBdr>
        <w:top w:val="none" w:sz="0" w:space="0" w:color="auto"/>
        <w:left w:val="none" w:sz="0" w:space="0" w:color="auto"/>
        <w:bottom w:val="none" w:sz="0" w:space="0" w:color="auto"/>
        <w:right w:val="none" w:sz="0" w:space="0" w:color="auto"/>
      </w:divBdr>
      <w:divsChild>
        <w:div w:id="188880688">
          <w:marLeft w:val="360"/>
          <w:marRight w:val="0"/>
          <w:marTop w:val="200"/>
          <w:marBottom w:val="0"/>
          <w:divBdr>
            <w:top w:val="none" w:sz="0" w:space="0" w:color="auto"/>
            <w:left w:val="none" w:sz="0" w:space="0" w:color="auto"/>
            <w:bottom w:val="none" w:sz="0" w:space="0" w:color="auto"/>
            <w:right w:val="none" w:sz="0" w:space="0" w:color="auto"/>
          </w:divBdr>
        </w:div>
      </w:divsChild>
    </w:div>
    <w:div w:id="935331968">
      <w:bodyDiv w:val="1"/>
      <w:marLeft w:val="0"/>
      <w:marRight w:val="0"/>
      <w:marTop w:val="0"/>
      <w:marBottom w:val="0"/>
      <w:divBdr>
        <w:top w:val="none" w:sz="0" w:space="0" w:color="auto"/>
        <w:left w:val="none" w:sz="0" w:space="0" w:color="auto"/>
        <w:bottom w:val="none" w:sz="0" w:space="0" w:color="auto"/>
        <w:right w:val="none" w:sz="0" w:space="0" w:color="auto"/>
      </w:divBdr>
      <w:divsChild>
        <w:div w:id="2001496266">
          <w:marLeft w:val="360"/>
          <w:marRight w:val="0"/>
          <w:marTop w:val="200"/>
          <w:marBottom w:val="0"/>
          <w:divBdr>
            <w:top w:val="none" w:sz="0" w:space="0" w:color="auto"/>
            <w:left w:val="none" w:sz="0" w:space="0" w:color="auto"/>
            <w:bottom w:val="none" w:sz="0" w:space="0" w:color="auto"/>
            <w:right w:val="none" w:sz="0" w:space="0" w:color="auto"/>
          </w:divBdr>
        </w:div>
      </w:divsChild>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83073030">
      <w:bodyDiv w:val="1"/>
      <w:marLeft w:val="0"/>
      <w:marRight w:val="0"/>
      <w:marTop w:val="0"/>
      <w:marBottom w:val="0"/>
      <w:divBdr>
        <w:top w:val="none" w:sz="0" w:space="0" w:color="auto"/>
        <w:left w:val="none" w:sz="0" w:space="0" w:color="auto"/>
        <w:bottom w:val="none" w:sz="0" w:space="0" w:color="auto"/>
        <w:right w:val="none" w:sz="0" w:space="0" w:color="auto"/>
      </w:divBdr>
    </w:div>
    <w:div w:id="1387410033">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519588131">
      <w:bodyDiv w:val="1"/>
      <w:marLeft w:val="0"/>
      <w:marRight w:val="0"/>
      <w:marTop w:val="0"/>
      <w:marBottom w:val="0"/>
      <w:divBdr>
        <w:top w:val="none" w:sz="0" w:space="0" w:color="auto"/>
        <w:left w:val="none" w:sz="0" w:space="0" w:color="auto"/>
        <w:bottom w:val="none" w:sz="0" w:space="0" w:color="auto"/>
        <w:right w:val="none" w:sz="0" w:space="0" w:color="auto"/>
      </w:divBdr>
    </w:div>
    <w:div w:id="1666470807">
      <w:bodyDiv w:val="1"/>
      <w:marLeft w:val="0"/>
      <w:marRight w:val="0"/>
      <w:marTop w:val="0"/>
      <w:marBottom w:val="0"/>
      <w:divBdr>
        <w:top w:val="none" w:sz="0" w:space="0" w:color="auto"/>
        <w:left w:val="none" w:sz="0" w:space="0" w:color="auto"/>
        <w:bottom w:val="none" w:sz="0" w:space="0" w:color="auto"/>
        <w:right w:val="none" w:sz="0" w:space="0" w:color="auto"/>
      </w:divBdr>
    </w:div>
    <w:div w:id="1702630542">
      <w:bodyDiv w:val="1"/>
      <w:marLeft w:val="0"/>
      <w:marRight w:val="0"/>
      <w:marTop w:val="0"/>
      <w:marBottom w:val="0"/>
      <w:divBdr>
        <w:top w:val="none" w:sz="0" w:space="0" w:color="auto"/>
        <w:left w:val="none" w:sz="0" w:space="0" w:color="auto"/>
        <w:bottom w:val="none" w:sz="0" w:space="0" w:color="auto"/>
        <w:right w:val="none" w:sz="0" w:space="0" w:color="auto"/>
      </w:divBdr>
    </w:div>
    <w:div w:id="1929118773">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3C33A-D3F8-47A2-948F-E142768E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9446</Words>
  <Characters>53843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2018-02-19T00:01:00Z</dcterms:created>
  <dcterms:modified xsi:type="dcterms:W3CDTF">2018-02-19T00:01:00Z</dcterms:modified>
</cp:coreProperties>
</file>